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3DA9E" w14:textId="77777777" w:rsidR="001E3FCF" w:rsidRPr="008348B0" w:rsidRDefault="001E3FCF" w:rsidP="001E3FCF">
      <w:pPr>
        <w:ind w:left="0"/>
      </w:pPr>
      <w:r w:rsidRPr="0082784A">
        <w:rPr>
          <w:noProof/>
          <w:lang w:eastAsia="en-AU"/>
        </w:rPr>
        <w:drawing>
          <wp:anchor distT="0" distB="0" distL="114300" distR="114300" simplePos="0" relativeHeight="251658240" behindDoc="1" locked="0" layoutInCell="1" allowOverlap="1" wp14:anchorId="2EFEF48F" wp14:editId="7647571D">
            <wp:simplePos x="0" y="0"/>
            <wp:positionH relativeFrom="column">
              <wp:posOffset>-277495</wp:posOffset>
            </wp:positionH>
            <wp:positionV relativeFrom="paragraph">
              <wp:posOffset>179070</wp:posOffset>
            </wp:positionV>
            <wp:extent cx="6675120" cy="998220"/>
            <wp:effectExtent l="0" t="0" r="0" b="0"/>
            <wp:wrapTight wrapText="bothSides">
              <wp:wrapPolygon edited="0">
                <wp:start x="0" y="0"/>
                <wp:lineTo x="0" y="21023"/>
                <wp:lineTo x="21514" y="21023"/>
                <wp:lineTo x="21514"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75120" cy="998220"/>
                    </a:xfrm>
                    <a:prstGeom prst="rect">
                      <a:avLst/>
                    </a:prstGeom>
                  </pic:spPr>
                </pic:pic>
              </a:graphicData>
            </a:graphic>
            <wp14:sizeRelH relativeFrom="page">
              <wp14:pctWidth>0</wp14:pctWidth>
            </wp14:sizeRelH>
            <wp14:sizeRelV relativeFrom="page">
              <wp14:pctHeight>0</wp14:pctHeight>
            </wp14:sizeRelV>
          </wp:anchor>
        </w:drawing>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04"/>
        <w:gridCol w:w="9181"/>
      </w:tblGrid>
      <w:tr w:rsidR="001E3FCF" w:rsidRPr="002C6F3C" w14:paraId="56BC532E" w14:textId="77777777" w:rsidTr="00AB6A29">
        <w:trPr>
          <w:trHeight w:val="49"/>
          <w:jc w:val="center"/>
        </w:trPr>
        <w:tc>
          <w:tcPr>
            <w:tcW w:w="10485" w:type="dxa"/>
            <w:gridSpan w:val="2"/>
            <w:tcMar>
              <w:top w:w="57" w:type="dxa"/>
              <w:left w:w="28" w:type="dxa"/>
              <w:bottom w:w="113" w:type="dxa"/>
              <w:right w:w="28" w:type="dxa"/>
            </w:tcMar>
          </w:tcPr>
          <w:p w14:paraId="5E46A1DC" w14:textId="138C969C" w:rsidR="001E3FCF" w:rsidRPr="00A24DA5" w:rsidRDefault="003C63D3">
            <w:pPr>
              <w:pStyle w:val="Caption"/>
              <w:rPr>
                <w:color w:val="113F7D"/>
                <w14:textFill>
                  <w14:solidFill>
                    <w14:srgbClr w14:val="113F7D">
                      <w14:lumMod w14:val="50000"/>
                    </w14:srgbClr>
                  </w14:solidFill>
                </w14:textFill>
              </w:rPr>
            </w:pPr>
            <w:r>
              <w:rPr>
                <w:color w:val="595959" w:themeColor="text1" w:themeTint="A6"/>
              </w:rPr>
              <w:t>September</w:t>
            </w:r>
            <w:r w:rsidR="002E405F">
              <w:rPr>
                <w:color w:val="595959" w:themeColor="text1" w:themeTint="A6"/>
              </w:rPr>
              <w:t xml:space="preserve"> 2026</w:t>
            </w:r>
            <w:r w:rsidR="001E3FCF" w:rsidRPr="005F6AC6">
              <w:rPr>
                <w:color w:val="595959" w:themeColor="text1" w:themeTint="A6"/>
              </w:rPr>
              <w:t xml:space="preserve"> – </w:t>
            </w:r>
            <w:r w:rsidR="002E405F">
              <w:rPr>
                <w:color w:val="595959" w:themeColor="text1" w:themeTint="A6"/>
              </w:rPr>
              <w:t>0</w:t>
            </w:r>
            <w:r w:rsidR="005F4DA5">
              <w:rPr>
                <w:color w:val="595959" w:themeColor="text1" w:themeTint="A6"/>
              </w:rPr>
              <w:t>9</w:t>
            </w:r>
            <w:r w:rsidR="001E3FCF" w:rsidRPr="005F6AC6">
              <w:rPr>
                <w:color w:val="595959" w:themeColor="text1" w:themeTint="A6"/>
              </w:rPr>
              <w:t>/</w:t>
            </w:r>
            <w:r w:rsidR="004F75CC" w:rsidRPr="005F6AC6">
              <w:rPr>
                <w:color w:val="595959" w:themeColor="text1" w:themeTint="A6"/>
              </w:rPr>
              <w:t>202</w:t>
            </w:r>
            <w:r w:rsidR="002E405F">
              <w:rPr>
                <w:color w:val="595959" w:themeColor="text1" w:themeTint="A6"/>
              </w:rPr>
              <w:t>6</w:t>
            </w:r>
          </w:p>
        </w:tc>
      </w:tr>
      <w:tr w:rsidR="001E3FCF" w:rsidRPr="002C6F3C" w14:paraId="728BC287" w14:textId="77777777" w:rsidTr="00AB6A29">
        <w:trPr>
          <w:trHeight w:val="49"/>
          <w:jc w:val="center"/>
        </w:trPr>
        <w:tc>
          <w:tcPr>
            <w:tcW w:w="10485" w:type="dxa"/>
            <w:gridSpan w:val="2"/>
            <w:tcMar>
              <w:top w:w="57" w:type="dxa"/>
              <w:left w:w="28" w:type="dxa"/>
              <w:bottom w:w="113" w:type="dxa"/>
              <w:right w:w="28" w:type="dxa"/>
            </w:tcMar>
          </w:tcPr>
          <w:p w14:paraId="11CFF8E2" w14:textId="77777777" w:rsidR="001E3FCF" w:rsidRPr="00A24DA5" w:rsidRDefault="001E3FCF">
            <w:pPr>
              <w:pStyle w:val="Heading1"/>
              <w:spacing w:before="0"/>
            </w:pPr>
            <w:r w:rsidRPr="00A24DA5">
              <w:t>Financial Reporting Council Communiqué</w:t>
            </w:r>
          </w:p>
        </w:tc>
      </w:tr>
      <w:tr w:rsidR="001E3FCF" w:rsidRPr="002C6F3C" w14:paraId="3CB2B3BE" w14:textId="77777777" w:rsidTr="00AB6A29">
        <w:trPr>
          <w:trHeight w:val="40"/>
          <w:jc w:val="center"/>
        </w:trPr>
        <w:tc>
          <w:tcPr>
            <w:tcW w:w="10485" w:type="dxa"/>
            <w:gridSpan w:val="2"/>
            <w:tcMar>
              <w:top w:w="57" w:type="dxa"/>
              <w:left w:w="28" w:type="dxa"/>
              <w:bottom w:w="113" w:type="dxa"/>
              <w:right w:w="28" w:type="dxa"/>
            </w:tcMar>
          </w:tcPr>
          <w:p w14:paraId="76B2995E" w14:textId="0B86D64C" w:rsidR="001E3FCF" w:rsidRPr="00FD60AF" w:rsidRDefault="001E3FCF">
            <w:pPr>
              <w:autoSpaceDE w:val="0"/>
              <w:autoSpaceDN w:val="0"/>
              <w:adjustRightInd w:val="0"/>
              <w:spacing w:before="0" w:after="0"/>
              <w:rPr>
                <w:rFonts w:eastAsia="Times New Roman" w:cs="Arial"/>
                <w:color w:val="auto"/>
                <w:szCs w:val="18"/>
                <w:lang w:eastAsia="en-AU"/>
              </w:rPr>
            </w:pPr>
            <w:r w:rsidRPr="00FD60AF">
              <w:rPr>
                <w:rFonts w:eastAsia="Times New Roman" w:cs="Arial"/>
                <w:color w:val="auto"/>
                <w:szCs w:val="18"/>
                <w:lang w:eastAsia="en-AU"/>
              </w:rPr>
              <w:t>The Financial Reporting Co</w:t>
            </w:r>
            <w:r>
              <w:rPr>
                <w:rFonts w:eastAsia="Times New Roman" w:cs="Arial"/>
                <w:color w:val="auto"/>
                <w:szCs w:val="18"/>
                <w:lang w:eastAsia="en-AU"/>
              </w:rPr>
              <w:t xml:space="preserve">uncil (FRC) met on </w:t>
            </w:r>
            <w:r w:rsidR="005F4DA5">
              <w:rPr>
                <w:rFonts w:eastAsia="Times New Roman" w:cs="Arial"/>
                <w:color w:val="auto"/>
                <w:szCs w:val="18"/>
                <w:lang w:eastAsia="en-AU"/>
              </w:rPr>
              <w:t>11 September</w:t>
            </w:r>
            <w:r w:rsidR="00825029">
              <w:rPr>
                <w:rFonts w:eastAsia="Times New Roman" w:cs="Arial"/>
                <w:color w:val="auto"/>
                <w:szCs w:val="18"/>
                <w:lang w:eastAsia="en-AU"/>
              </w:rPr>
              <w:t xml:space="preserve"> </w:t>
            </w:r>
            <w:r w:rsidR="002E405F">
              <w:rPr>
                <w:rFonts w:eastAsia="Times New Roman" w:cs="Arial"/>
                <w:color w:val="auto"/>
                <w:szCs w:val="18"/>
                <w:lang w:eastAsia="en-AU"/>
              </w:rPr>
              <w:t>2026</w:t>
            </w:r>
            <w:r w:rsidR="00953E02">
              <w:rPr>
                <w:rFonts w:eastAsia="Times New Roman" w:cs="Arial"/>
                <w:color w:val="auto"/>
                <w:szCs w:val="18"/>
                <w:lang w:eastAsia="en-AU"/>
              </w:rPr>
              <w:t>.</w:t>
            </w:r>
            <w:r w:rsidRPr="00FD60AF">
              <w:rPr>
                <w:rFonts w:eastAsia="Times New Roman" w:cs="Arial"/>
                <w:color w:val="auto"/>
                <w:szCs w:val="18"/>
                <w:lang w:eastAsia="en-AU"/>
              </w:rPr>
              <w:t xml:space="preserve"> </w:t>
            </w:r>
            <w:r w:rsidR="00953E02">
              <w:rPr>
                <w:rFonts w:eastAsia="Times New Roman" w:cs="Arial"/>
                <w:color w:val="auto"/>
                <w:szCs w:val="18"/>
                <w:lang w:eastAsia="en-AU"/>
              </w:rPr>
              <w:t>T</w:t>
            </w:r>
            <w:r w:rsidRPr="00FD60AF">
              <w:rPr>
                <w:rFonts w:eastAsia="Times New Roman" w:cs="Arial"/>
                <w:color w:val="auto"/>
                <w:szCs w:val="18"/>
                <w:lang w:eastAsia="en-AU"/>
              </w:rPr>
              <w:t xml:space="preserve">he key matters considered </w:t>
            </w:r>
            <w:r>
              <w:rPr>
                <w:rFonts w:eastAsia="Times New Roman" w:cs="Arial"/>
                <w:color w:val="auto"/>
                <w:szCs w:val="18"/>
                <w:lang w:eastAsia="en-AU"/>
              </w:rPr>
              <w:t>and decided are</w:t>
            </w:r>
            <w:r w:rsidRPr="00FD60AF">
              <w:rPr>
                <w:rFonts w:eastAsia="Times New Roman" w:cs="Arial"/>
                <w:color w:val="auto"/>
                <w:szCs w:val="18"/>
                <w:lang w:eastAsia="en-AU"/>
              </w:rPr>
              <w:t xml:space="preserve"> outline</w:t>
            </w:r>
            <w:r>
              <w:rPr>
                <w:rFonts w:eastAsia="Times New Roman" w:cs="Arial"/>
                <w:color w:val="auto"/>
                <w:szCs w:val="18"/>
                <w:lang w:eastAsia="en-AU"/>
              </w:rPr>
              <w:t>d below</w:t>
            </w:r>
            <w:r w:rsidRPr="00FD60AF">
              <w:rPr>
                <w:rFonts w:eastAsia="Times New Roman" w:cs="Arial"/>
                <w:color w:val="auto"/>
                <w:szCs w:val="18"/>
                <w:lang w:eastAsia="en-AU"/>
              </w:rPr>
              <w:t>:</w:t>
            </w:r>
          </w:p>
        </w:tc>
      </w:tr>
      <w:tr w:rsidR="008C471C" w:rsidRPr="002C6F3C" w14:paraId="69AD68A7" w14:textId="77777777" w:rsidTr="00AB6A29">
        <w:trPr>
          <w:trHeight w:val="1326"/>
          <w:jc w:val="center"/>
        </w:trPr>
        <w:tc>
          <w:tcPr>
            <w:tcW w:w="1304" w:type="dxa"/>
            <w:tcMar>
              <w:top w:w="57" w:type="dxa"/>
              <w:left w:w="28" w:type="dxa"/>
              <w:bottom w:w="113" w:type="dxa"/>
              <w:right w:w="28" w:type="dxa"/>
            </w:tcMar>
            <w:vAlign w:val="center"/>
          </w:tcPr>
          <w:p w14:paraId="485D9759" w14:textId="2B9412DB" w:rsidR="008C471C" w:rsidRDefault="008C471C">
            <w:pPr>
              <w:pStyle w:val="Heading3"/>
              <w:spacing w:before="0" w:after="0"/>
              <w:ind w:left="0"/>
              <w:rPr>
                <w:rFonts w:asciiTheme="minorHAnsi" w:hAnsiTheme="minorHAnsi" w:cs="Arial"/>
                <w:bCs/>
              </w:rPr>
            </w:pPr>
            <w:r>
              <w:rPr>
                <w:rFonts w:asciiTheme="minorHAnsi" w:hAnsiTheme="minorHAnsi" w:cs="Arial"/>
                <w:bCs/>
              </w:rPr>
              <w:t>Nominations Committee update</w:t>
            </w:r>
          </w:p>
        </w:tc>
        <w:tc>
          <w:tcPr>
            <w:tcW w:w="9181" w:type="dxa"/>
            <w:tcMar>
              <w:top w:w="57" w:type="dxa"/>
              <w:left w:w="28" w:type="dxa"/>
              <w:bottom w:w="113" w:type="dxa"/>
              <w:right w:w="28" w:type="dxa"/>
            </w:tcMar>
            <w:vAlign w:val="center"/>
          </w:tcPr>
          <w:p w14:paraId="5E123DD2" w14:textId="418EDF70" w:rsidR="00911A3E" w:rsidRDefault="001556B8" w:rsidP="00911A3E">
            <w:pPr>
              <w:pStyle w:val="Bullet"/>
            </w:pPr>
            <w:r>
              <w:t xml:space="preserve">The FRC </w:t>
            </w:r>
            <w:r w:rsidR="007736C3">
              <w:t>sought</w:t>
            </w:r>
            <w:r>
              <w:t xml:space="preserve"> applications for Chair and member roles on the technical standard-setting boards </w:t>
            </w:r>
            <w:r w:rsidR="009B0737">
              <w:t>of External Reporting Australia</w:t>
            </w:r>
            <w:r w:rsidR="00914F30">
              <w:t xml:space="preserve"> (ERA)</w:t>
            </w:r>
            <w:r w:rsidR="009B0737">
              <w:t xml:space="preserve"> </w:t>
            </w:r>
            <w:r>
              <w:t xml:space="preserve">responsible for making accounting, auditing and assurance, and sustainability standards. </w:t>
            </w:r>
          </w:p>
          <w:p w14:paraId="49840B2C" w14:textId="70B53EDF" w:rsidR="008C471C" w:rsidRDefault="00475E2B" w:rsidP="001556B8">
            <w:pPr>
              <w:pStyle w:val="Bullet"/>
            </w:pPr>
            <w:r w:rsidRPr="00475E2B">
              <w:t>Applications opened on Thursday, 10 September 2026 and close</w:t>
            </w:r>
            <w:r w:rsidR="007736C3">
              <w:t>d</w:t>
            </w:r>
            <w:r w:rsidRPr="00475E2B">
              <w:t xml:space="preserve"> on Sunday, 27 September 2026.</w:t>
            </w:r>
          </w:p>
        </w:tc>
      </w:tr>
      <w:tr w:rsidR="001E3FCF" w:rsidRPr="002C6F3C" w14:paraId="586EC719" w14:textId="77777777" w:rsidTr="00AB6A29">
        <w:trPr>
          <w:trHeight w:val="1326"/>
          <w:jc w:val="center"/>
        </w:trPr>
        <w:tc>
          <w:tcPr>
            <w:tcW w:w="1304" w:type="dxa"/>
            <w:tcMar>
              <w:top w:w="57" w:type="dxa"/>
              <w:left w:w="28" w:type="dxa"/>
              <w:bottom w:w="113" w:type="dxa"/>
              <w:right w:w="28" w:type="dxa"/>
            </w:tcMar>
            <w:vAlign w:val="center"/>
          </w:tcPr>
          <w:p w14:paraId="2EA65EF5" w14:textId="5C78199C" w:rsidR="001E3FCF" w:rsidRDefault="001E3FCF">
            <w:pPr>
              <w:pStyle w:val="Heading3"/>
              <w:spacing w:before="0" w:after="0"/>
              <w:ind w:left="0"/>
              <w:rPr>
                <w:rFonts w:asciiTheme="minorHAnsi" w:hAnsiTheme="minorHAnsi" w:cs="Arial"/>
                <w:bCs/>
              </w:rPr>
            </w:pPr>
            <w:r>
              <w:rPr>
                <w:rFonts w:asciiTheme="minorHAnsi" w:hAnsiTheme="minorHAnsi" w:cs="Arial"/>
                <w:bCs/>
              </w:rPr>
              <w:t>Environmental Scan</w:t>
            </w:r>
            <w:r w:rsidR="003863D1">
              <w:rPr>
                <w:rFonts w:asciiTheme="minorHAnsi" w:hAnsiTheme="minorHAnsi" w:cs="Arial"/>
                <w:bCs/>
              </w:rPr>
              <w:t xml:space="preserve"> </w:t>
            </w:r>
          </w:p>
        </w:tc>
        <w:tc>
          <w:tcPr>
            <w:tcW w:w="9181" w:type="dxa"/>
            <w:tcMar>
              <w:top w:w="57" w:type="dxa"/>
              <w:left w:w="28" w:type="dxa"/>
              <w:bottom w:w="113" w:type="dxa"/>
              <w:right w:w="28" w:type="dxa"/>
            </w:tcMar>
            <w:vAlign w:val="center"/>
          </w:tcPr>
          <w:p w14:paraId="76BCB574" w14:textId="70FEF716" w:rsidR="008700BD" w:rsidRDefault="008700BD" w:rsidP="008700BD">
            <w:pPr>
              <w:pStyle w:val="Bullet"/>
            </w:pPr>
            <w:r>
              <w:t>Members discussed Treasury's consultation on climate-related financial disclosure reforms.</w:t>
            </w:r>
          </w:p>
          <w:p w14:paraId="408A0958" w14:textId="0059F7C3" w:rsidR="008700BD" w:rsidRDefault="008700BD" w:rsidP="008700BD">
            <w:pPr>
              <w:pStyle w:val="Bullet"/>
            </w:pPr>
            <w:r>
              <w:t xml:space="preserve">Members also discussed governance, culture and accountability issues within the accounting profession, including developments arising from recent audit sector </w:t>
            </w:r>
            <w:r w:rsidR="00B35EC7">
              <w:t>matters</w:t>
            </w:r>
            <w:r>
              <w:t>.</w:t>
            </w:r>
          </w:p>
          <w:p w14:paraId="4A6D269A" w14:textId="3AD2B5B6" w:rsidR="00D620CF" w:rsidRPr="000040B1" w:rsidRDefault="008700BD" w:rsidP="008700BD">
            <w:pPr>
              <w:pStyle w:val="Bullet"/>
            </w:pPr>
            <w:r>
              <w:t>Members noted Treasury's consultation on regulation of the accounting profession and agreed to monitor future policy and international ethics developments.</w:t>
            </w:r>
          </w:p>
        </w:tc>
      </w:tr>
      <w:tr w:rsidR="001E3FCF" w:rsidRPr="002C6F3C" w14:paraId="5D4AB3B3" w14:textId="77777777" w:rsidTr="001B29C5">
        <w:trPr>
          <w:trHeight w:val="1670"/>
          <w:jc w:val="center"/>
        </w:trPr>
        <w:tc>
          <w:tcPr>
            <w:tcW w:w="1304" w:type="dxa"/>
            <w:tcMar>
              <w:top w:w="57" w:type="dxa"/>
              <w:left w:w="28" w:type="dxa"/>
              <w:bottom w:w="113" w:type="dxa"/>
              <w:right w:w="28" w:type="dxa"/>
            </w:tcMar>
            <w:vAlign w:val="center"/>
          </w:tcPr>
          <w:p w14:paraId="2CD8EC2A" w14:textId="5F9F6DA2" w:rsidR="001E3FCF" w:rsidRPr="00BB670E" w:rsidRDefault="001E3FCF" w:rsidP="00291FEE">
            <w:pPr>
              <w:pStyle w:val="Heading3"/>
              <w:spacing w:before="0" w:after="0"/>
              <w:ind w:hanging="170"/>
              <w:rPr>
                <w:rFonts w:asciiTheme="minorHAnsi" w:hAnsiTheme="minorHAnsi" w:cs="Arial"/>
                <w:bCs/>
              </w:rPr>
            </w:pPr>
            <w:r w:rsidRPr="00BB670E">
              <w:rPr>
                <w:rFonts w:asciiTheme="minorHAnsi" w:hAnsiTheme="minorHAnsi" w:cs="Arial"/>
                <w:bCs/>
              </w:rPr>
              <w:t>AASB</w:t>
            </w:r>
          </w:p>
        </w:tc>
        <w:tc>
          <w:tcPr>
            <w:tcW w:w="9181" w:type="dxa"/>
            <w:tcMar>
              <w:top w:w="57" w:type="dxa"/>
              <w:left w:w="28" w:type="dxa"/>
              <w:bottom w:w="113" w:type="dxa"/>
              <w:right w:w="28" w:type="dxa"/>
            </w:tcMar>
            <w:vAlign w:val="center"/>
          </w:tcPr>
          <w:p w14:paraId="4CC38641" w14:textId="0215F704" w:rsidR="00EA43CA" w:rsidRPr="00EA43CA" w:rsidRDefault="00EA43CA" w:rsidP="00EA43CA">
            <w:pPr>
              <w:pStyle w:val="Bullet"/>
              <w:rPr>
                <w:lang w:val="en-GB"/>
              </w:rPr>
            </w:pPr>
            <w:r w:rsidRPr="00EA43CA">
              <w:rPr>
                <w:lang w:val="en-GB"/>
              </w:rPr>
              <w:t>The AASB provided an update on international engagement, priority projects and sustainability reporting implementation activities.</w:t>
            </w:r>
          </w:p>
          <w:p w14:paraId="0402398B" w14:textId="211EAC93" w:rsidR="00EA43CA" w:rsidRPr="00EA43CA" w:rsidRDefault="00134234" w:rsidP="00EA43CA">
            <w:pPr>
              <w:pStyle w:val="Bullet"/>
              <w:rPr>
                <w:lang w:val="en-GB"/>
              </w:rPr>
            </w:pPr>
            <w:r>
              <w:rPr>
                <w:lang w:val="en-GB"/>
              </w:rPr>
              <w:t xml:space="preserve">Members </w:t>
            </w:r>
            <w:r w:rsidR="00EA43CA" w:rsidRPr="00EA43CA">
              <w:rPr>
                <w:lang w:val="en-GB"/>
              </w:rPr>
              <w:t>discussed AASB education, outreach and guidance initiatives supporting implementation of sustainability reporting standards.</w:t>
            </w:r>
          </w:p>
          <w:p w14:paraId="67164B11" w14:textId="64663960" w:rsidR="009A209F" w:rsidRPr="009A209F" w:rsidRDefault="00EA43CA" w:rsidP="00EA43CA">
            <w:pPr>
              <w:pStyle w:val="Bullet"/>
              <w:rPr>
                <w:lang w:val="en-GB"/>
              </w:rPr>
            </w:pPr>
            <w:r w:rsidRPr="00EA43CA">
              <w:rPr>
                <w:lang w:val="en-GB"/>
              </w:rPr>
              <w:t>The FRC noted that AASB guidance priorities are informed by stakeholder feedback, implementation issues and international developments.</w:t>
            </w:r>
          </w:p>
        </w:tc>
      </w:tr>
      <w:tr w:rsidR="002B2957" w:rsidRPr="002C6F3C" w14:paraId="441B6E90" w14:textId="77777777" w:rsidTr="00AB6A29">
        <w:trPr>
          <w:trHeight w:val="889"/>
          <w:jc w:val="center"/>
        </w:trPr>
        <w:tc>
          <w:tcPr>
            <w:tcW w:w="1304" w:type="dxa"/>
            <w:tcMar>
              <w:top w:w="57" w:type="dxa"/>
              <w:left w:w="28" w:type="dxa"/>
              <w:bottom w:w="113" w:type="dxa"/>
              <w:right w:w="28" w:type="dxa"/>
            </w:tcMar>
            <w:vAlign w:val="center"/>
          </w:tcPr>
          <w:p w14:paraId="3A522E60" w14:textId="2F1EB1A8" w:rsidR="002B2957" w:rsidRPr="00BB670E" w:rsidRDefault="0007363A" w:rsidP="00D920A8">
            <w:pPr>
              <w:pStyle w:val="Heading3"/>
              <w:spacing w:before="0" w:after="0"/>
              <w:ind w:hanging="170"/>
              <w:rPr>
                <w:rFonts w:asciiTheme="minorHAnsi" w:hAnsiTheme="minorHAnsi" w:cs="Arial"/>
                <w:bCs/>
              </w:rPr>
            </w:pPr>
            <w:r>
              <w:rPr>
                <w:rFonts w:asciiTheme="minorHAnsi" w:hAnsiTheme="minorHAnsi" w:cs="Arial"/>
                <w:bCs/>
              </w:rPr>
              <w:t>AUASB</w:t>
            </w:r>
          </w:p>
        </w:tc>
        <w:tc>
          <w:tcPr>
            <w:tcW w:w="9181" w:type="dxa"/>
            <w:tcMar>
              <w:top w:w="57" w:type="dxa"/>
              <w:left w:w="28" w:type="dxa"/>
              <w:bottom w:w="113" w:type="dxa"/>
              <w:right w:w="28" w:type="dxa"/>
            </w:tcMar>
            <w:vAlign w:val="center"/>
          </w:tcPr>
          <w:p w14:paraId="2A37188E" w14:textId="20C35EBB" w:rsidR="00694EAB" w:rsidRPr="00694EAB" w:rsidRDefault="00694EAB" w:rsidP="00694EAB">
            <w:pPr>
              <w:pStyle w:val="Bullet"/>
              <w:rPr>
                <w:lang w:val="en-GB"/>
              </w:rPr>
            </w:pPr>
            <w:r w:rsidRPr="00694EAB">
              <w:rPr>
                <w:lang w:val="en-GB"/>
              </w:rPr>
              <w:t>The AUASB provided an update on sustainability assurance implementation, international developments and stakeholder engagement activities.</w:t>
            </w:r>
          </w:p>
          <w:p w14:paraId="1EB5B72F" w14:textId="07A5DE09" w:rsidR="00694EAB" w:rsidRPr="00694EAB" w:rsidRDefault="00694EAB" w:rsidP="00694EAB">
            <w:pPr>
              <w:pStyle w:val="Bullet"/>
              <w:rPr>
                <w:lang w:val="en-GB"/>
              </w:rPr>
            </w:pPr>
            <w:r>
              <w:rPr>
                <w:lang w:val="en-GB"/>
              </w:rPr>
              <w:t>Members</w:t>
            </w:r>
            <w:r w:rsidRPr="00694EAB">
              <w:rPr>
                <w:lang w:val="en-GB"/>
              </w:rPr>
              <w:t xml:space="preserve"> discussed the AUASB's guidance priorities, including climate-related information</w:t>
            </w:r>
            <w:r w:rsidR="00417BEE">
              <w:rPr>
                <w:lang w:val="en-GB"/>
              </w:rPr>
              <w:t>, along with</w:t>
            </w:r>
            <w:r w:rsidRPr="00694EAB">
              <w:rPr>
                <w:lang w:val="en-GB"/>
              </w:rPr>
              <w:t xml:space="preserve"> emerging sustainability assurance practices.</w:t>
            </w:r>
          </w:p>
          <w:p w14:paraId="7DC9DC75" w14:textId="7A8CB9EF" w:rsidR="002B2957" w:rsidRPr="00176B7F" w:rsidRDefault="00694EAB" w:rsidP="00694EAB">
            <w:pPr>
              <w:pStyle w:val="Bullet"/>
              <w:rPr>
                <w:lang w:val="en-GB"/>
              </w:rPr>
            </w:pPr>
            <w:r>
              <w:rPr>
                <w:lang w:val="en-GB"/>
              </w:rPr>
              <w:t>Members also</w:t>
            </w:r>
            <w:r w:rsidRPr="00694EAB">
              <w:rPr>
                <w:lang w:val="en-GB"/>
              </w:rPr>
              <w:t xml:space="preserve"> discussed international standard-setting engagement</w:t>
            </w:r>
            <w:r w:rsidR="00D7186F">
              <w:rPr>
                <w:lang w:val="en-GB"/>
              </w:rPr>
              <w:t>, including efforts to strengthen Australia’s influence.</w:t>
            </w:r>
          </w:p>
        </w:tc>
      </w:tr>
      <w:tr w:rsidR="001E3FCF" w:rsidRPr="002C6F3C" w14:paraId="152783EA" w14:textId="77777777" w:rsidTr="00AB6A29">
        <w:trPr>
          <w:trHeight w:val="761"/>
          <w:jc w:val="center"/>
        </w:trPr>
        <w:tc>
          <w:tcPr>
            <w:tcW w:w="1304" w:type="dxa"/>
            <w:tcMar>
              <w:top w:w="57" w:type="dxa"/>
              <w:left w:w="28" w:type="dxa"/>
              <w:bottom w:w="113" w:type="dxa"/>
              <w:right w:w="28" w:type="dxa"/>
            </w:tcMar>
            <w:vAlign w:val="center"/>
          </w:tcPr>
          <w:p w14:paraId="15DCC2C8" w14:textId="77777777" w:rsidR="001E3FCF" w:rsidRPr="00BB670E" w:rsidRDefault="001E3FCF" w:rsidP="00D920A8">
            <w:pPr>
              <w:pStyle w:val="Heading3"/>
              <w:spacing w:before="0"/>
              <w:ind w:hanging="170"/>
              <w:rPr>
                <w:rFonts w:asciiTheme="minorHAnsi" w:hAnsiTheme="minorHAnsi" w:cs="Arial"/>
                <w:bCs/>
              </w:rPr>
            </w:pPr>
            <w:r>
              <w:rPr>
                <w:rFonts w:asciiTheme="minorHAnsi" w:hAnsiTheme="minorHAnsi" w:cs="Arial"/>
                <w:bCs/>
              </w:rPr>
              <w:t>XRB</w:t>
            </w:r>
          </w:p>
        </w:tc>
        <w:tc>
          <w:tcPr>
            <w:tcW w:w="9181" w:type="dxa"/>
            <w:tcMar>
              <w:top w:w="57" w:type="dxa"/>
              <w:left w:w="28" w:type="dxa"/>
              <w:bottom w:w="113" w:type="dxa"/>
              <w:right w:w="28" w:type="dxa"/>
            </w:tcMar>
            <w:vAlign w:val="center"/>
          </w:tcPr>
          <w:p w14:paraId="07824755" w14:textId="77777777" w:rsidR="00337650" w:rsidRDefault="00337650" w:rsidP="009C6BC9">
            <w:pPr>
              <w:pStyle w:val="Bullet"/>
            </w:pPr>
            <w:r>
              <w:t>The XRB</w:t>
            </w:r>
            <w:r w:rsidR="006C068A" w:rsidRPr="006C068A">
              <w:t xml:space="preserve"> highlighted </w:t>
            </w:r>
            <w:r>
              <w:t xml:space="preserve">its </w:t>
            </w:r>
            <w:r w:rsidR="006C068A" w:rsidRPr="006C068A">
              <w:t xml:space="preserve">Accounting Standards Framework Review, climate reporting initiatives and engagement with the ISSB on sustainability reporting developments. </w:t>
            </w:r>
          </w:p>
          <w:p w14:paraId="27A8E35F" w14:textId="028D7305" w:rsidR="00834FA6" w:rsidRPr="00AF38DE" w:rsidRDefault="006C068A" w:rsidP="009C6BC9">
            <w:pPr>
              <w:pStyle w:val="Bullet"/>
            </w:pPr>
            <w:r w:rsidRPr="006C068A">
              <w:t>Members noted that while New Zealand is seeking alignment with international and Australian approaches, some differences in climate reporting requirements may be needed to reflect New Zealand’s legislative and regulatory settings.</w:t>
            </w:r>
            <w:r w:rsidR="009C6BC9">
              <w:t xml:space="preserve"> </w:t>
            </w:r>
          </w:p>
        </w:tc>
      </w:tr>
      <w:tr w:rsidR="00B47CCC" w:rsidRPr="002C6F3C" w14:paraId="46ADAE3A" w14:textId="77777777" w:rsidTr="00AB6A29">
        <w:trPr>
          <w:trHeight w:val="49"/>
          <w:jc w:val="center"/>
        </w:trPr>
        <w:tc>
          <w:tcPr>
            <w:tcW w:w="10485" w:type="dxa"/>
            <w:gridSpan w:val="2"/>
            <w:tcMar>
              <w:top w:w="57" w:type="dxa"/>
              <w:left w:w="28" w:type="dxa"/>
              <w:bottom w:w="113" w:type="dxa"/>
              <w:right w:w="28" w:type="dxa"/>
            </w:tcMar>
          </w:tcPr>
          <w:p w14:paraId="6FCDD693" w14:textId="74644CF0" w:rsidR="00B47CCC" w:rsidRPr="002C6F3C" w:rsidRDefault="00FF2848" w:rsidP="00B47CCC">
            <w:pPr>
              <w:pStyle w:val="Heading2"/>
              <w:spacing w:before="0"/>
              <w:ind w:left="0"/>
              <w:jc w:val="center"/>
            </w:pPr>
            <w:r w:rsidRPr="00FF2848">
              <w:rPr>
                <w:sz w:val="20"/>
                <w:szCs w:val="20"/>
              </w:rPr>
              <w:t>This was the FRC’s final quarterly meeting</w:t>
            </w:r>
            <w:r w:rsidR="001956DA">
              <w:rPr>
                <w:sz w:val="20"/>
                <w:szCs w:val="20"/>
              </w:rPr>
              <w:t xml:space="preserve"> before the commencement of </w:t>
            </w:r>
            <w:r w:rsidRPr="00FF2848">
              <w:rPr>
                <w:sz w:val="20"/>
                <w:szCs w:val="20"/>
              </w:rPr>
              <w:t>ERA.</w:t>
            </w:r>
          </w:p>
        </w:tc>
      </w:tr>
    </w:tbl>
    <w:p w14:paraId="32A4DD4C" w14:textId="2FBE1A28" w:rsidR="00733D66" w:rsidRPr="00DD7ECF" w:rsidRDefault="00733D66" w:rsidP="00BE6B2B">
      <w:pPr>
        <w:ind w:left="0"/>
      </w:pPr>
    </w:p>
    <w:sectPr w:rsidR="00733D66" w:rsidRPr="00DD7ECF">
      <w:headerReference w:type="even" r:id="rId9"/>
      <w:footerReference w:type="even" r:id="rId10"/>
      <w:footerReference w:type="default" r:id="rId11"/>
      <w:headerReference w:type="first" r:id="rId12"/>
      <w:footerReference w:type="first" r:id="rId13"/>
      <w:pgSz w:w="11907" w:h="17577" w:code="9"/>
      <w:pgMar w:top="23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C9ED8" w14:textId="77777777" w:rsidR="00C754D0" w:rsidRDefault="00C754D0">
      <w:pPr>
        <w:spacing w:before="0" w:after="0"/>
      </w:pPr>
      <w:r>
        <w:separator/>
      </w:r>
    </w:p>
  </w:endnote>
  <w:endnote w:type="continuationSeparator" w:id="0">
    <w:p w14:paraId="586CDDBE" w14:textId="77777777" w:rsidR="00C754D0" w:rsidRDefault="00C754D0">
      <w:pPr>
        <w:spacing w:before="0" w:after="0"/>
      </w:pPr>
      <w:r>
        <w:continuationSeparator/>
      </w:r>
    </w:p>
  </w:endnote>
  <w:endnote w:type="continuationNotice" w:id="1">
    <w:p w14:paraId="4E749720" w14:textId="77777777" w:rsidR="00C754D0" w:rsidRDefault="00C754D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049B3" w14:textId="7E6F5E8D" w:rsidR="00F7565B" w:rsidRDefault="004F75CC">
    <w:r>
      <w:fldChar w:fldCharType="begin"/>
    </w:r>
    <w:r>
      <w:instrText>DOCPROPERTY DLMSecurityClassification \* MERGEFORMAT</w:instrText>
    </w:r>
    <w:r>
      <w:fldChar w:fldCharType="separate"/>
    </w:r>
    <w:r w:rsidR="001157D8">
      <w:rPr>
        <w:b/>
        <w:bCs/>
        <w:lang w:val="en-US"/>
      </w:rPr>
      <w:t>Error! Unknown document property name.</w:t>
    </w:r>
    <w:r>
      <w:fldChar w:fldCharType="end"/>
    </w:r>
  </w:p>
  <w:p w14:paraId="4BA831DE" w14:textId="104E9F8D" w:rsidR="00F7565B" w:rsidRDefault="004F75CC">
    <w:r>
      <w:fldChar w:fldCharType="begin"/>
    </w:r>
    <w:r>
      <w:instrText>DOCPROPERTY SecurityClassification \* MERGEFORMAT</w:instrText>
    </w:r>
    <w:r>
      <w:fldChar w:fldCharType="separate"/>
    </w:r>
    <w:r w:rsidR="001157D8">
      <w:rPr>
        <w:b/>
        <w:bCs/>
        <w:lang w:val="en-US"/>
      </w:rPr>
      <w:t>Error! Unknown document property name.</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69A2D" w14:textId="77777777" w:rsidR="00F7565B" w:rsidRPr="00A24DA5" w:rsidRDefault="00DD7ECF">
    <w:pPr>
      <w:pStyle w:val="Footer"/>
      <w:tabs>
        <w:tab w:val="left" w:pos="3709"/>
      </w:tabs>
      <w:ind w:left="0"/>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FC69D" w14:textId="2F7F3AB0" w:rsidR="00F7565B" w:rsidRDefault="004F75CC">
    <w:r>
      <w:fldChar w:fldCharType="begin"/>
    </w:r>
    <w:r>
      <w:instrText>DOCPROPERTY DLMSecurityClassification \* MERGEFORMAT</w:instrText>
    </w:r>
    <w:r>
      <w:fldChar w:fldCharType="separate"/>
    </w:r>
    <w:r w:rsidR="001157D8">
      <w:rPr>
        <w:b/>
        <w:bCs/>
        <w:lang w:val="en-US"/>
      </w:rPr>
      <w:t>Error! Unknown document property name.</w:t>
    </w:r>
    <w:r>
      <w:fldChar w:fldCharType="end"/>
    </w:r>
  </w:p>
  <w:p w14:paraId="2513710B" w14:textId="778E82BE" w:rsidR="00F7565B" w:rsidRDefault="004F75CC">
    <w:r>
      <w:fldChar w:fldCharType="begin"/>
    </w:r>
    <w:r>
      <w:instrText>DOCPROPERTY SecurityClassification \* MERGEFORMAT</w:instrText>
    </w:r>
    <w:r>
      <w:fldChar w:fldCharType="separate"/>
    </w:r>
    <w:r w:rsidR="001157D8">
      <w:rPr>
        <w:b/>
        <w:bCs/>
        <w:lang w:val="en-US"/>
      </w:rPr>
      <w:t>Error! Unknown document property name.</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D0B99" w14:textId="77777777" w:rsidR="00C754D0" w:rsidRDefault="00C754D0">
      <w:pPr>
        <w:spacing w:before="0" w:after="0"/>
      </w:pPr>
      <w:r>
        <w:separator/>
      </w:r>
    </w:p>
  </w:footnote>
  <w:footnote w:type="continuationSeparator" w:id="0">
    <w:p w14:paraId="4DA16B1D" w14:textId="77777777" w:rsidR="00C754D0" w:rsidRDefault="00C754D0">
      <w:pPr>
        <w:spacing w:before="0" w:after="0"/>
      </w:pPr>
      <w:r>
        <w:continuationSeparator/>
      </w:r>
    </w:p>
  </w:footnote>
  <w:footnote w:type="continuationNotice" w:id="1">
    <w:p w14:paraId="75D81B22" w14:textId="77777777" w:rsidR="00C754D0" w:rsidRDefault="00C754D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69448" w14:textId="504EFDC0" w:rsidR="00F7565B" w:rsidRDefault="004F75CC">
    <w:r>
      <w:fldChar w:fldCharType="begin"/>
    </w:r>
    <w:r>
      <w:instrText>DOCPROPERTY SecurityClassification \* MERGEFORMAT</w:instrText>
    </w:r>
    <w:r>
      <w:fldChar w:fldCharType="separate"/>
    </w:r>
    <w:r w:rsidR="001157D8">
      <w:rPr>
        <w:b/>
        <w:bCs/>
        <w:lang w:val="en-US"/>
      </w:rPr>
      <w:t>Error! Unknown document property name.</w:t>
    </w:r>
    <w:r>
      <w:fldChar w:fldCharType="end"/>
    </w:r>
  </w:p>
  <w:p w14:paraId="0BC36A52" w14:textId="6A38EA7B" w:rsidR="00F7565B" w:rsidRDefault="004F75CC">
    <w:r>
      <w:fldChar w:fldCharType="begin"/>
    </w:r>
    <w:r>
      <w:instrText>DOCPROPERTY DLMSecurityClassification \* MERGEFORMAT</w:instrText>
    </w:r>
    <w:r>
      <w:fldChar w:fldCharType="separate"/>
    </w:r>
    <w:r w:rsidR="001157D8">
      <w:rPr>
        <w:b/>
        <w:bCs/>
        <w:lang w:val="en-US"/>
      </w:rPr>
      <w:t>Error! Unknown document property name.</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556F2" w14:textId="2C3C2C7C" w:rsidR="00F7565B" w:rsidRDefault="004F75CC">
    <w:r>
      <w:fldChar w:fldCharType="begin"/>
    </w:r>
    <w:r>
      <w:instrText>DOCPROPERTY SecurityClassification \* MERGEFORMAT</w:instrText>
    </w:r>
    <w:r>
      <w:fldChar w:fldCharType="separate"/>
    </w:r>
    <w:r w:rsidR="001157D8">
      <w:rPr>
        <w:b/>
        <w:bCs/>
        <w:lang w:val="en-US"/>
      </w:rPr>
      <w:t>Error! Unknown document property name.</w:t>
    </w:r>
    <w:r>
      <w:fldChar w:fldCharType="end"/>
    </w:r>
  </w:p>
  <w:p w14:paraId="2F952788" w14:textId="22A16642" w:rsidR="00F7565B" w:rsidRDefault="004F75CC">
    <w:r>
      <w:fldChar w:fldCharType="begin"/>
    </w:r>
    <w:r>
      <w:instrText>DOCPROPERTY DLMSecurityClassification \* MERGEFORMAT</w:instrText>
    </w:r>
    <w:r>
      <w:fldChar w:fldCharType="separate"/>
    </w:r>
    <w:r w:rsidR="001157D8">
      <w:rPr>
        <w:b/>
        <w:bCs/>
        <w:lang w:val="en-US"/>
      </w:rPr>
      <w:t>Error! Unknown document property name.</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7E57"/>
    <w:multiLevelType w:val="hybridMultilevel"/>
    <w:tmpl w:val="EB104D94"/>
    <w:lvl w:ilvl="0" w:tplc="88E8AE6C">
      <w:start w:val="1"/>
      <w:numFmt w:val="bullet"/>
      <w:lvlText w:val=""/>
      <w:lvlJc w:val="left"/>
      <w:pPr>
        <w:ind w:left="851" w:hanging="360"/>
      </w:pPr>
      <w:rPr>
        <w:rFonts w:ascii="Symbol" w:hAnsi="Symbol" w:hint="default"/>
      </w:rPr>
    </w:lvl>
    <w:lvl w:ilvl="1" w:tplc="0BDA0DE4">
      <w:start w:val="1"/>
      <w:numFmt w:val="bullet"/>
      <w:lvlText w:val=""/>
      <w:lvlJc w:val="left"/>
      <w:pPr>
        <w:ind w:left="1571" w:hanging="360"/>
      </w:pPr>
      <w:rPr>
        <w:rFonts w:ascii="Symbol" w:hAnsi="Symbol" w:hint="default"/>
      </w:rPr>
    </w:lvl>
    <w:lvl w:ilvl="2" w:tplc="44528A3C">
      <w:start w:val="1"/>
      <w:numFmt w:val="bullet"/>
      <w:lvlText w:val=""/>
      <w:lvlJc w:val="left"/>
      <w:pPr>
        <w:ind w:left="2291" w:hanging="360"/>
      </w:pPr>
      <w:rPr>
        <w:rFonts w:ascii="Wingdings" w:hAnsi="Wingdings" w:hint="default"/>
      </w:rPr>
    </w:lvl>
    <w:lvl w:ilvl="3" w:tplc="9C76003A">
      <w:start w:val="1"/>
      <w:numFmt w:val="bullet"/>
      <w:lvlText w:val=""/>
      <w:lvlJc w:val="left"/>
      <w:pPr>
        <w:ind w:left="3011" w:hanging="360"/>
      </w:pPr>
      <w:rPr>
        <w:rFonts w:ascii="Symbol" w:hAnsi="Symbol" w:hint="default"/>
      </w:rPr>
    </w:lvl>
    <w:lvl w:ilvl="4" w:tplc="F43C3B38">
      <w:start w:val="1"/>
      <w:numFmt w:val="bullet"/>
      <w:lvlText w:val="o"/>
      <w:lvlJc w:val="left"/>
      <w:pPr>
        <w:ind w:left="3731" w:hanging="360"/>
      </w:pPr>
      <w:rPr>
        <w:rFonts w:ascii="Courier New" w:hAnsi="Courier New" w:hint="default"/>
      </w:rPr>
    </w:lvl>
    <w:lvl w:ilvl="5" w:tplc="30E8A9E4">
      <w:start w:val="1"/>
      <w:numFmt w:val="bullet"/>
      <w:lvlText w:val=""/>
      <w:lvlJc w:val="left"/>
      <w:pPr>
        <w:ind w:left="4451" w:hanging="360"/>
      </w:pPr>
      <w:rPr>
        <w:rFonts w:ascii="Wingdings" w:hAnsi="Wingdings" w:hint="default"/>
      </w:rPr>
    </w:lvl>
    <w:lvl w:ilvl="6" w:tplc="0D6A0C34">
      <w:start w:val="1"/>
      <w:numFmt w:val="bullet"/>
      <w:lvlText w:val=""/>
      <w:lvlJc w:val="left"/>
      <w:pPr>
        <w:ind w:left="5171" w:hanging="360"/>
      </w:pPr>
      <w:rPr>
        <w:rFonts w:ascii="Symbol" w:hAnsi="Symbol" w:hint="default"/>
      </w:rPr>
    </w:lvl>
    <w:lvl w:ilvl="7" w:tplc="A4EA33B8">
      <w:start w:val="1"/>
      <w:numFmt w:val="bullet"/>
      <w:lvlText w:val="o"/>
      <w:lvlJc w:val="left"/>
      <w:pPr>
        <w:ind w:left="5891" w:hanging="360"/>
      </w:pPr>
      <w:rPr>
        <w:rFonts w:ascii="Courier New" w:hAnsi="Courier New" w:hint="default"/>
      </w:rPr>
    </w:lvl>
    <w:lvl w:ilvl="8" w:tplc="6B4EF608">
      <w:start w:val="1"/>
      <w:numFmt w:val="bullet"/>
      <w:lvlText w:val=""/>
      <w:lvlJc w:val="left"/>
      <w:pPr>
        <w:ind w:left="6611" w:hanging="360"/>
      </w:pPr>
      <w:rPr>
        <w:rFonts w:ascii="Wingdings" w:hAnsi="Wingdings" w:hint="default"/>
      </w:rPr>
    </w:lvl>
  </w:abstractNum>
  <w:abstractNum w:abstractNumId="1" w15:restartNumberingAfterBreak="0">
    <w:nsid w:val="0491C6C3"/>
    <w:multiLevelType w:val="hybridMultilevel"/>
    <w:tmpl w:val="FE5A64A4"/>
    <w:lvl w:ilvl="0" w:tplc="6C321CEE">
      <w:start w:val="1"/>
      <w:numFmt w:val="bullet"/>
      <w:lvlText w:val=""/>
      <w:lvlJc w:val="left"/>
      <w:pPr>
        <w:ind w:left="720" w:hanging="360"/>
      </w:pPr>
      <w:rPr>
        <w:rFonts w:ascii="Symbol" w:hAnsi="Symbol" w:hint="default"/>
      </w:rPr>
    </w:lvl>
    <w:lvl w:ilvl="1" w:tplc="4E2A10A8">
      <w:start w:val="1"/>
      <w:numFmt w:val="bullet"/>
      <w:lvlText w:val=""/>
      <w:lvlJc w:val="left"/>
      <w:pPr>
        <w:ind w:left="1440" w:hanging="360"/>
      </w:pPr>
      <w:rPr>
        <w:rFonts w:ascii="Symbol" w:hAnsi="Symbol" w:hint="default"/>
      </w:rPr>
    </w:lvl>
    <w:lvl w:ilvl="2" w:tplc="512670C0">
      <w:start w:val="1"/>
      <w:numFmt w:val="bullet"/>
      <w:lvlText w:val=""/>
      <w:lvlJc w:val="left"/>
      <w:pPr>
        <w:ind w:left="2160" w:hanging="360"/>
      </w:pPr>
      <w:rPr>
        <w:rFonts w:ascii="Wingdings" w:hAnsi="Wingdings" w:hint="default"/>
      </w:rPr>
    </w:lvl>
    <w:lvl w:ilvl="3" w:tplc="E280F65C">
      <w:start w:val="1"/>
      <w:numFmt w:val="bullet"/>
      <w:lvlText w:val=""/>
      <w:lvlJc w:val="left"/>
      <w:pPr>
        <w:ind w:left="2880" w:hanging="360"/>
      </w:pPr>
      <w:rPr>
        <w:rFonts w:ascii="Symbol" w:hAnsi="Symbol" w:hint="default"/>
      </w:rPr>
    </w:lvl>
    <w:lvl w:ilvl="4" w:tplc="C3AC193A">
      <w:start w:val="1"/>
      <w:numFmt w:val="bullet"/>
      <w:lvlText w:val="o"/>
      <w:lvlJc w:val="left"/>
      <w:pPr>
        <w:ind w:left="3600" w:hanging="360"/>
      </w:pPr>
      <w:rPr>
        <w:rFonts w:ascii="Courier New" w:hAnsi="Courier New" w:hint="default"/>
      </w:rPr>
    </w:lvl>
    <w:lvl w:ilvl="5" w:tplc="0846DA4E">
      <w:start w:val="1"/>
      <w:numFmt w:val="bullet"/>
      <w:lvlText w:val=""/>
      <w:lvlJc w:val="left"/>
      <w:pPr>
        <w:ind w:left="4320" w:hanging="360"/>
      </w:pPr>
      <w:rPr>
        <w:rFonts w:ascii="Wingdings" w:hAnsi="Wingdings" w:hint="default"/>
      </w:rPr>
    </w:lvl>
    <w:lvl w:ilvl="6" w:tplc="7904034C">
      <w:start w:val="1"/>
      <w:numFmt w:val="bullet"/>
      <w:lvlText w:val=""/>
      <w:lvlJc w:val="left"/>
      <w:pPr>
        <w:ind w:left="5040" w:hanging="360"/>
      </w:pPr>
      <w:rPr>
        <w:rFonts w:ascii="Symbol" w:hAnsi="Symbol" w:hint="default"/>
      </w:rPr>
    </w:lvl>
    <w:lvl w:ilvl="7" w:tplc="EFCAAC7E">
      <w:start w:val="1"/>
      <w:numFmt w:val="bullet"/>
      <w:lvlText w:val="o"/>
      <w:lvlJc w:val="left"/>
      <w:pPr>
        <w:ind w:left="5760" w:hanging="360"/>
      </w:pPr>
      <w:rPr>
        <w:rFonts w:ascii="Courier New" w:hAnsi="Courier New" w:hint="default"/>
      </w:rPr>
    </w:lvl>
    <w:lvl w:ilvl="8" w:tplc="DBBEA8BE">
      <w:start w:val="1"/>
      <w:numFmt w:val="bullet"/>
      <w:lvlText w:val=""/>
      <w:lvlJc w:val="left"/>
      <w:pPr>
        <w:ind w:left="6480" w:hanging="360"/>
      </w:pPr>
      <w:rPr>
        <w:rFonts w:ascii="Wingdings" w:hAnsi="Wingdings" w:hint="default"/>
      </w:rPr>
    </w:lvl>
  </w:abstractNum>
  <w:abstractNum w:abstractNumId="2" w15:restartNumberingAfterBreak="0">
    <w:nsid w:val="0AF468B9"/>
    <w:multiLevelType w:val="hybridMultilevel"/>
    <w:tmpl w:val="A35C8636"/>
    <w:lvl w:ilvl="0" w:tplc="3016248A">
      <w:start w:val="1"/>
      <w:numFmt w:val="bullet"/>
      <w:lvlText w:val=""/>
      <w:lvlJc w:val="left"/>
      <w:pPr>
        <w:ind w:left="720" w:hanging="360"/>
      </w:pPr>
      <w:rPr>
        <w:rFonts w:ascii="Symbol" w:hAnsi="Symbol" w:hint="default"/>
      </w:rPr>
    </w:lvl>
    <w:lvl w:ilvl="1" w:tplc="28ACC95A">
      <w:start w:val="1"/>
      <w:numFmt w:val="bullet"/>
      <w:lvlText w:val=""/>
      <w:lvlJc w:val="left"/>
      <w:pPr>
        <w:ind w:left="1440" w:hanging="360"/>
      </w:pPr>
      <w:rPr>
        <w:rFonts w:ascii="Symbol" w:hAnsi="Symbol" w:hint="default"/>
      </w:rPr>
    </w:lvl>
    <w:lvl w:ilvl="2" w:tplc="0FA2070E">
      <w:start w:val="1"/>
      <w:numFmt w:val="bullet"/>
      <w:lvlText w:val=""/>
      <w:lvlJc w:val="left"/>
      <w:pPr>
        <w:ind w:left="2160" w:hanging="360"/>
      </w:pPr>
      <w:rPr>
        <w:rFonts w:ascii="Wingdings" w:hAnsi="Wingdings" w:hint="default"/>
      </w:rPr>
    </w:lvl>
    <w:lvl w:ilvl="3" w:tplc="1206B6AA">
      <w:start w:val="1"/>
      <w:numFmt w:val="bullet"/>
      <w:lvlText w:val=""/>
      <w:lvlJc w:val="left"/>
      <w:pPr>
        <w:ind w:left="2880" w:hanging="360"/>
      </w:pPr>
      <w:rPr>
        <w:rFonts w:ascii="Symbol" w:hAnsi="Symbol" w:hint="default"/>
      </w:rPr>
    </w:lvl>
    <w:lvl w:ilvl="4" w:tplc="3208ABBA">
      <w:start w:val="1"/>
      <w:numFmt w:val="bullet"/>
      <w:lvlText w:val="o"/>
      <w:lvlJc w:val="left"/>
      <w:pPr>
        <w:ind w:left="3600" w:hanging="360"/>
      </w:pPr>
      <w:rPr>
        <w:rFonts w:ascii="Courier New" w:hAnsi="Courier New" w:hint="default"/>
      </w:rPr>
    </w:lvl>
    <w:lvl w:ilvl="5" w:tplc="757A5DD8">
      <w:start w:val="1"/>
      <w:numFmt w:val="bullet"/>
      <w:lvlText w:val=""/>
      <w:lvlJc w:val="left"/>
      <w:pPr>
        <w:ind w:left="4320" w:hanging="360"/>
      </w:pPr>
      <w:rPr>
        <w:rFonts w:ascii="Wingdings" w:hAnsi="Wingdings" w:hint="default"/>
      </w:rPr>
    </w:lvl>
    <w:lvl w:ilvl="6" w:tplc="8C2E4820">
      <w:start w:val="1"/>
      <w:numFmt w:val="bullet"/>
      <w:lvlText w:val=""/>
      <w:lvlJc w:val="left"/>
      <w:pPr>
        <w:ind w:left="5040" w:hanging="360"/>
      </w:pPr>
      <w:rPr>
        <w:rFonts w:ascii="Symbol" w:hAnsi="Symbol" w:hint="default"/>
      </w:rPr>
    </w:lvl>
    <w:lvl w:ilvl="7" w:tplc="4FBEBFF8">
      <w:start w:val="1"/>
      <w:numFmt w:val="bullet"/>
      <w:lvlText w:val="o"/>
      <w:lvlJc w:val="left"/>
      <w:pPr>
        <w:ind w:left="5760" w:hanging="360"/>
      </w:pPr>
      <w:rPr>
        <w:rFonts w:ascii="Courier New" w:hAnsi="Courier New" w:hint="default"/>
      </w:rPr>
    </w:lvl>
    <w:lvl w:ilvl="8" w:tplc="3AC28BDC">
      <w:start w:val="1"/>
      <w:numFmt w:val="bullet"/>
      <w:lvlText w:val=""/>
      <w:lvlJc w:val="left"/>
      <w:pPr>
        <w:ind w:left="6480" w:hanging="360"/>
      </w:pPr>
      <w:rPr>
        <w:rFonts w:ascii="Wingdings" w:hAnsi="Wingdings" w:hint="default"/>
      </w:rPr>
    </w:lvl>
  </w:abstractNum>
  <w:abstractNum w:abstractNumId="3" w15:restartNumberingAfterBreak="0">
    <w:nsid w:val="12186837"/>
    <w:multiLevelType w:val="hybridMultilevel"/>
    <w:tmpl w:val="B5261F9A"/>
    <w:lvl w:ilvl="0" w:tplc="470AA3AE">
      <w:start w:val="19"/>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131E1F07"/>
    <w:multiLevelType w:val="multilevel"/>
    <w:tmpl w:val="CDE4512A"/>
    <w:lvl w:ilvl="0">
      <w:start w:val="1"/>
      <w:numFmt w:val="bullet"/>
      <w:lvlText w:val="•"/>
      <w:lvlJc w:val="left"/>
      <w:pPr>
        <w:tabs>
          <w:tab w:val="num" w:pos="567"/>
        </w:tabs>
        <w:ind w:left="567" w:hanging="567"/>
      </w:pPr>
      <w:rPr>
        <w:rFonts w:ascii="Times New Roman" w:hAnsi="Times New Roman" w:cs="Times New Roman"/>
      </w:rPr>
    </w:lvl>
    <w:lvl w:ilvl="1">
      <w:start w:val="1"/>
      <w:numFmt w:val="bullet"/>
      <w:lvlText w:val="–"/>
      <w:lvlJc w:val="left"/>
      <w:pPr>
        <w:tabs>
          <w:tab w:val="num" w:pos="1134"/>
        </w:tabs>
        <w:ind w:left="1134" w:hanging="567"/>
      </w:pPr>
      <w:rPr>
        <w:rFonts w:ascii="Times New Roman" w:hAnsi="Times New Roman" w:cs="Times New Roman"/>
      </w:rPr>
    </w:lvl>
    <w:lvl w:ilvl="2">
      <w:start w:val="1"/>
      <w:numFmt w:val="bullet"/>
      <w:lvlText w:val=":"/>
      <w:lvlJc w:val="left"/>
      <w:pPr>
        <w:tabs>
          <w:tab w:val="num" w:pos="1701"/>
        </w:tabs>
        <w:ind w:left="1701" w:hanging="567"/>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DC021C3"/>
    <w:multiLevelType w:val="hybridMultilevel"/>
    <w:tmpl w:val="D8A00B9A"/>
    <w:lvl w:ilvl="0" w:tplc="7618F4E0">
      <w:start w:val="1"/>
      <w:numFmt w:val="bullet"/>
      <w:lvlText w:val=""/>
      <w:lvlJc w:val="left"/>
      <w:pPr>
        <w:ind w:left="720" w:hanging="360"/>
      </w:pPr>
      <w:rPr>
        <w:rFonts w:ascii="Symbol" w:hAnsi="Symbol" w:hint="default"/>
      </w:rPr>
    </w:lvl>
    <w:lvl w:ilvl="1" w:tplc="D71859FC">
      <w:start w:val="1"/>
      <w:numFmt w:val="bullet"/>
      <w:lvlText w:val=""/>
      <w:lvlJc w:val="left"/>
      <w:pPr>
        <w:ind w:left="1440" w:hanging="360"/>
      </w:pPr>
      <w:rPr>
        <w:rFonts w:ascii="Symbol" w:hAnsi="Symbol" w:hint="default"/>
      </w:rPr>
    </w:lvl>
    <w:lvl w:ilvl="2" w:tplc="8886FB62">
      <w:start w:val="1"/>
      <w:numFmt w:val="bullet"/>
      <w:lvlText w:val=""/>
      <w:lvlJc w:val="left"/>
      <w:pPr>
        <w:ind w:left="2160" w:hanging="360"/>
      </w:pPr>
      <w:rPr>
        <w:rFonts w:ascii="Wingdings" w:hAnsi="Wingdings" w:hint="default"/>
      </w:rPr>
    </w:lvl>
    <w:lvl w:ilvl="3" w:tplc="65BC5F62">
      <w:start w:val="1"/>
      <w:numFmt w:val="bullet"/>
      <w:lvlText w:val=""/>
      <w:lvlJc w:val="left"/>
      <w:pPr>
        <w:ind w:left="2880" w:hanging="360"/>
      </w:pPr>
      <w:rPr>
        <w:rFonts w:ascii="Symbol" w:hAnsi="Symbol" w:hint="default"/>
      </w:rPr>
    </w:lvl>
    <w:lvl w:ilvl="4" w:tplc="AC3C27D2">
      <w:start w:val="1"/>
      <w:numFmt w:val="bullet"/>
      <w:lvlText w:val="o"/>
      <w:lvlJc w:val="left"/>
      <w:pPr>
        <w:ind w:left="3600" w:hanging="360"/>
      </w:pPr>
      <w:rPr>
        <w:rFonts w:ascii="Courier New" w:hAnsi="Courier New" w:hint="default"/>
      </w:rPr>
    </w:lvl>
    <w:lvl w:ilvl="5" w:tplc="028E7D66">
      <w:start w:val="1"/>
      <w:numFmt w:val="bullet"/>
      <w:lvlText w:val=""/>
      <w:lvlJc w:val="left"/>
      <w:pPr>
        <w:ind w:left="4320" w:hanging="360"/>
      </w:pPr>
      <w:rPr>
        <w:rFonts w:ascii="Wingdings" w:hAnsi="Wingdings" w:hint="default"/>
      </w:rPr>
    </w:lvl>
    <w:lvl w:ilvl="6" w:tplc="1A0C95C6">
      <w:start w:val="1"/>
      <w:numFmt w:val="bullet"/>
      <w:lvlText w:val=""/>
      <w:lvlJc w:val="left"/>
      <w:pPr>
        <w:ind w:left="5040" w:hanging="360"/>
      </w:pPr>
      <w:rPr>
        <w:rFonts w:ascii="Symbol" w:hAnsi="Symbol" w:hint="default"/>
      </w:rPr>
    </w:lvl>
    <w:lvl w:ilvl="7" w:tplc="68D673DA">
      <w:start w:val="1"/>
      <w:numFmt w:val="bullet"/>
      <w:lvlText w:val="o"/>
      <w:lvlJc w:val="left"/>
      <w:pPr>
        <w:ind w:left="5760" w:hanging="360"/>
      </w:pPr>
      <w:rPr>
        <w:rFonts w:ascii="Courier New" w:hAnsi="Courier New" w:hint="default"/>
      </w:rPr>
    </w:lvl>
    <w:lvl w:ilvl="8" w:tplc="DB8C28FA">
      <w:start w:val="1"/>
      <w:numFmt w:val="bullet"/>
      <w:lvlText w:val=""/>
      <w:lvlJc w:val="left"/>
      <w:pPr>
        <w:ind w:left="6480" w:hanging="360"/>
      </w:pPr>
      <w:rPr>
        <w:rFonts w:ascii="Wingdings" w:hAnsi="Wingdings" w:hint="default"/>
      </w:rPr>
    </w:lvl>
  </w:abstractNum>
  <w:abstractNum w:abstractNumId="6" w15:restartNumberingAfterBreak="0">
    <w:nsid w:val="2349719C"/>
    <w:multiLevelType w:val="multilevel"/>
    <w:tmpl w:val="75387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202568"/>
    <w:multiLevelType w:val="hybridMultilevel"/>
    <w:tmpl w:val="4D30B2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273E2E"/>
    <w:multiLevelType w:val="hybridMultilevel"/>
    <w:tmpl w:val="A3BA8DF8"/>
    <w:lvl w:ilvl="0" w:tplc="32E626CC">
      <w:start w:val="7"/>
      <w:numFmt w:val="bullet"/>
      <w:lvlText w:val="-"/>
      <w:lvlJc w:val="left"/>
      <w:pPr>
        <w:ind w:left="1210" w:hanging="360"/>
      </w:pPr>
      <w:rPr>
        <w:rFonts w:ascii="Calibri" w:eastAsiaTheme="minorHAnsi" w:hAnsi="Calibri" w:cs="Calibri" w:hint="default"/>
      </w:rPr>
    </w:lvl>
    <w:lvl w:ilvl="1" w:tplc="0C090003" w:tentative="1">
      <w:start w:val="1"/>
      <w:numFmt w:val="bullet"/>
      <w:lvlText w:val="o"/>
      <w:lvlJc w:val="left"/>
      <w:pPr>
        <w:ind w:left="1930" w:hanging="360"/>
      </w:pPr>
      <w:rPr>
        <w:rFonts w:ascii="Courier New" w:hAnsi="Courier New" w:cs="Courier New" w:hint="default"/>
      </w:rPr>
    </w:lvl>
    <w:lvl w:ilvl="2" w:tplc="0C090005" w:tentative="1">
      <w:start w:val="1"/>
      <w:numFmt w:val="bullet"/>
      <w:lvlText w:val=""/>
      <w:lvlJc w:val="left"/>
      <w:pPr>
        <w:ind w:left="2650" w:hanging="360"/>
      </w:pPr>
      <w:rPr>
        <w:rFonts w:ascii="Wingdings" w:hAnsi="Wingdings" w:hint="default"/>
      </w:rPr>
    </w:lvl>
    <w:lvl w:ilvl="3" w:tplc="0C090001" w:tentative="1">
      <w:start w:val="1"/>
      <w:numFmt w:val="bullet"/>
      <w:lvlText w:val=""/>
      <w:lvlJc w:val="left"/>
      <w:pPr>
        <w:ind w:left="3370" w:hanging="360"/>
      </w:pPr>
      <w:rPr>
        <w:rFonts w:ascii="Symbol" w:hAnsi="Symbol" w:hint="default"/>
      </w:rPr>
    </w:lvl>
    <w:lvl w:ilvl="4" w:tplc="0C090003" w:tentative="1">
      <w:start w:val="1"/>
      <w:numFmt w:val="bullet"/>
      <w:lvlText w:val="o"/>
      <w:lvlJc w:val="left"/>
      <w:pPr>
        <w:ind w:left="4090" w:hanging="360"/>
      </w:pPr>
      <w:rPr>
        <w:rFonts w:ascii="Courier New" w:hAnsi="Courier New" w:cs="Courier New" w:hint="default"/>
      </w:rPr>
    </w:lvl>
    <w:lvl w:ilvl="5" w:tplc="0C090005" w:tentative="1">
      <w:start w:val="1"/>
      <w:numFmt w:val="bullet"/>
      <w:lvlText w:val=""/>
      <w:lvlJc w:val="left"/>
      <w:pPr>
        <w:ind w:left="4810" w:hanging="360"/>
      </w:pPr>
      <w:rPr>
        <w:rFonts w:ascii="Wingdings" w:hAnsi="Wingdings" w:hint="default"/>
      </w:rPr>
    </w:lvl>
    <w:lvl w:ilvl="6" w:tplc="0C090001" w:tentative="1">
      <w:start w:val="1"/>
      <w:numFmt w:val="bullet"/>
      <w:lvlText w:val=""/>
      <w:lvlJc w:val="left"/>
      <w:pPr>
        <w:ind w:left="5530" w:hanging="360"/>
      </w:pPr>
      <w:rPr>
        <w:rFonts w:ascii="Symbol" w:hAnsi="Symbol" w:hint="default"/>
      </w:rPr>
    </w:lvl>
    <w:lvl w:ilvl="7" w:tplc="0C090003" w:tentative="1">
      <w:start w:val="1"/>
      <w:numFmt w:val="bullet"/>
      <w:lvlText w:val="o"/>
      <w:lvlJc w:val="left"/>
      <w:pPr>
        <w:ind w:left="6250" w:hanging="360"/>
      </w:pPr>
      <w:rPr>
        <w:rFonts w:ascii="Courier New" w:hAnsi="Courier New" w:cs="Courier New" w:hint="default"/>
      </w:rPr>
    </w:lvl>
    <w:lvl w:ilvl="8" w:tplc="0C090005" w:tentative="1">
      <w:start w:val="1"/>
      <w:numFmt w:val="bullet"/>
      <w:lvlText w:val=""/>
      <w:lvlJc w:val="left"/>
      <w:pPr>
        <w:ind w:left="6970" w:hanging="360"/>
      </w:pPr>
      <w:rPr>
        <w:rFonts w:ascii="Wingdings" w:hAnsi="Wingdings" w:hint="default"/>
      </w:rPr>
    </w:lvl>
  </w:abstractNum>
  <w:abstractNum w:abstractNumId="9" w15:restartNumberingAfterBreak="0">
    <w:nsid w:val="3A976014"/>
    <w:multiLevelType w:val="hybridMultilevel"/>
    <w:tmpl w:val="697424E8"/>
    <w:lvl w:ilvl="0" w:tplc="6DB66DC4">
      <w:start w:val="19"/>
      <w:numFmt w:val="bullet"/>
      <w:lvlText w:val="-"/>
      <w:lvlJc w:val="left"/>
      <w:pPr>
        <w:ind w:left="1211" w:hanging="360"/>
      </w:pPr>
      <w:rPr>
        <w:rFonts w:ascii="Calibri" w:eastAsia="Times New Roman" w:hAnsi="Calibri" w:cs="Calibri"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10" w15:restartNumberingAfterBreak="0">
    <w:nsid w:val="3F027D99"/>
    <w:multiLevelType w:val="multilevel"/>
    <w:tmpl w:val="7774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235309"/>
    <w:multiLevelType w:val="hybridMultilevel"/>
    <w:tmpl w:val="7F6A7B64"/>
    <w:lvl w:ilvl="0" w:tplc="0C090001">
      <w:start w:val="1"/>
      <w:numFmt w:val="bullet"/>
      <w:lvlText w:val=""/>
      <w:lvlJc w:val="left"/>
      <w:pPr>
        <w:ind w:left="530" w:hanging="360"/>
      </w:pPr>
      <w:rPr>
        <w:rFonts w:ascii="Symbol" w:hAnsi="Symbol" w:hint="default"/>
      </w:rPr>
    </w:lvl>
    <w:lvl w:ilvl="1" w:tplc="0C090003" w:tentative="1">
      <w:start w:val="1"/>
      <w:numFmt w:val="bullet"/>
      <w:lvlText w:val="o"/>
      <w:lvlJc w:val="left"/>
      <w:pPr>
        <w:ind w:left="1250" w:hanging="360"/>
      </w:pPr>
      <w:rPr>
        <w:rFonts w:ascii="Courier New" w:hAnsi="Courier New" w:cs="Courier New" w:hint="default"/>
      </w:rPr>
    </w:lvl>
    <w:lvl w:ilvl="2" w:tplc="0C090005" w:tentative="1">
      <w:start w:val="1"/>
      <w:numFmt w:val="bullet"/>
      <w:lvlText w:val=""/>
      <w:lvlJc w:val="left"/>
      <w:pPr>
        <w:ind w:left="1970" w:hanging="360"/>
      </w:pPr>
      <w:rPr>
        <w:rFonts w:ascii="Wingdings" w:hAnsi="Wingdings" w:hint="default"/>
      </w:rPr>
    </w:lvl>
    <w:lvl w:ilvl="3" w:tplc="0C090001" w:tentative="1">
      <w:start w:val="1"/>
      <w:numFmt w:val="bullet"/>
      <w:lvlText w:val=""/>
      <w:lvlJc w:val="left"/>
      <w:pPr>
        <w:ind w:left="2690" w:hanging="360"/>
      </w:pPr>
      <w:rPr>
        <w:rFonts w:ascii="Symbol" w:hAnsi="Symbol" w:hint="default"/>
      </w:rPr>
    </w:lvl>
    <w:lvl w:ilvl="4" w:tplc="0C090003" w:tentative="1">
      <w:start w:val="1"/>
      <w:numFmt w:val="bullet"/>
      <w:lvlText w:val="o"/>
      <w:lvlJc w:val="left"/>
      <w:pPr>
        <w:ind w:left="3410" w:hanging="360"/>
      </w:pPr>
      <w:rPr>
        <w:rFonts w:ascii="Courier New" w:hAnsi="Courier New" w:cs="Courier New" w:hint="default"/>
      </w:rPr>
    </w:lvl>
    <w:lvl w:ilvl="5" w:tplc="0C090005" w:tentative="1">
      <w:start w:val="1"/>
      <w:numFmt w:val="bullet"/>
      <w:lvlText w:val=""/>
      <w:lvlJc w:val="left"/>
      <w:pPr>
        <w:ind w:left="4130" w:hanging="360"/>
      </w:pPr>
      <w:rPr>
        <w:rFonts w:ascii="Wingdings" w:hAnsi="Wingdings" w:hint="default"/>
      </w:rPr>
    </w:lvl>
    <w:lvl w:ilvl="6" w:tplc="0C090001" w:tentative="1">
      <w:start w:val="1"/>
      <w:numFmt w:val="bullet"/>
      <w:lvlText w:val=""/>
      <w:lvlJc w:val="left"/>
      <w:pPr>
        <w:ind w:left="4850" w:hanging="360"/>
      </w:pPr>
      <w:rPr>
        <w:rFonts w:ascii="Symbol" w:hAnsi="Symbol" w:hint="default"/>
      </w:rPr>
    </w:lvl>
    <w:lvl w:ilvl="7" w:tplc="0C090003" w:tentative="1">
      <w:start w:val="1"/>
      <w:numFmt w:val="bullet"/>
      <w:lvlText w:val="o"/>
      <w:lvlJc w:val="left"/>
      <w:pPr>
        <w:ind w:left="5570" w:hanging="360"/>
      </w:pPr>
      <w:rPr>
        <w:rFonts w:ascii="Courier New" w:hAnsi="Courier New" w:cs="Courier New" w:hint="default"/>
      </w:rPr>
    </w:lvl>
    <w:lvl w:ilvl="8" w:tplc="0C090005" w:tentative="1">
      <w:start w:val="1"/>
      <w:numFmt w:val="bullet"/>
      <w:lvlText w:val=""/>
      <w:lvlJc w:val="left"/>
      <w:pPr>
        <w:ind w:left="6290" w:hanging="360"/>
      </w:pPr>
      <w:rPr>
        <w:rFonts w:ascii="Wingdings" w:hAnsi="Wingdings" w:hint="default"/>
      </w:rPr>
    </w:lvl>
  </w:abstractNum>
  <w:abstractNum w:abstractNumId="12" w15:restartNumberingAfterBreak="0">
    <w:nsid w:val="552E1E73"/>
    <w:multiLevelType w:val="hybridMultilevel"/>
    <w:tmpl w:val="5D48F54E"/>
    <w:lvl w:ilvl="0" w:tplc="480089C8">
      <w:start w:val="17"/>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5666271"/>
    <w:multiLevelType w:val="hybridMultilevel"/>
    <w:tmpl w:val="9D94B7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84775CE"/>
    <w:multiLevelType w:val="hybridMultilevel"/>
    <w:tmpl w:val="F8568030"/>
    <w:lvl w:ilvl="0" w:tplc="83167098">
      <w:start w:val="10"/>
      <w:numFmt w:val="bullet"/>
      <w:lvlText w:val="-"/>
      <w:lvlJc w:val="left"/>
      <w:pPr>
        <w:ind w:left="927" w:hanging="360"/>
      </w:pPr>
      <w:rPr>
        <w:rFonts w:ascii="Calibri" w:eastAsiaTheme="minorHAnsi" w:hAnsi="Calibri" w:cs="Calibri"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5" w15:restartNumberingAfterBreak="0">
    <w:nsid w:val="69C21848"/>
    <w:multiLevelType w:val="hybridMultilevel"/>
    <w:tmpl w:val="8690D2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7375158E"/>
    <w:multiLevelType w:val="hybridMultilevel"/>
    <w:tmpl w:val="CD3855E0"/>
    <w:lvl w:ilvl="0" w:tplc="D8745FA4">
      <w:start w:val="1"/>
      <w:numFmt w:val="bullet"/>
      <w:pStyle w:val="Bullet"/>
      <w:lvlText w:val=""/>
      <w:lvlJc w:val="left"/>
      <w:pPr>
        <w:ind w:left="360" w:hanging="360"/>
      </w:pPr>
      <w:rPr>
        <w:rFonts w:ascii="Symbol" w:hAnsi="Symbol" w:hint="default"/>
        <w:color w:val="auto"/>
      </w:rPr>
    </w:lvl>
    <w:lvl w:ilvl="1" w:tplc="5920B246">
      <w:start w:val="1"/>
      <w:numFmt w:val="bullet"/>
      <w:lvlText w:val="­"/>
      <w:lvlJc w:val="left"/>
      <w:pPr>
        <w:ind w:left="778"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745F3617"/>
    <w:multiLevelType w:val="hybridMultilevel"/>
    <w:tmpl w:val="7EA2B3A6"/>
    <w:lvl w:ilvl="0" w:tplc="470AA3AE">
      <w:start w:val="19"/>
      <w:numFmt w:val="bullet"/>
      <w:lvlText w:val="-"/>
      <w:lvlJc w:val="left"/>
      <w:pPr>
        <w:ind w:left="144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7AC65F54"/>
    <w:multiLevelType w:val="hybridMultilevel"/>
    <w:tmpl w:val="B4E061EA"/>
    <w:lvl w:ilvl="0" w:tplc="566E3100">
      <w:start w:val="2"/>
      <w:numFmt w:val="bullet"/>
      <w:lvlText w:val="-"/>
      <w:lvlJc w:val="left"/>
      <w:pPr>
        <w:ind w:left="1069"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B1A6175"/>
    <w:multiLevelType w:val="hybridMultilevel"/>
    <w:tmpl w:val="67BE4C92"/>
    <w:lvl w:ilvl="0" w:tplc="36C8001A">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53385665">
    <w:abstractNumId w:val="0"/>
  </w:num>
  <w:num w:numId="2" w16cid:durableId="2008167136">
    <w:abstractNumId w:val="5"/>
  </w:num>
  <w:num w:numId="3" w16cid:durableId="163594460">
    <w:abstractNumId w:val="1"/>
  </w:num>
  <w:num w:numId="4" w16cid:durableId="698091557">
    <w:abstractNumId w:val="2"/>
  </w:num>
  <w:num w:numId="5" w16cid:durableId="1324816414">
    <w:abstractNumId w:val="16"/>
  </w:num>
  <w:num w:numId="6" w16cid:durableId="1064179862">
    <w:abstractNumId w:val="4"/>
  </w:num>
  <w:num w:numId="7" w16cid:durableId="1915894715">
    <w:abstractNumId w:val="19"/>
  </w:num>
  <w:num w:numId="8" w16cid:durableId="548687983">
    <w:abstractNumId w:val="18"/>
  </w:num>
  <w:num w:numId="9" w16cid:durableId="1201362770">
    <w:abstractNumId w:val="16"/>
  </w:num>
  <w:num w:numId="10" w16cid:durableId="355496962">
    <w:abstractNumId w:val="16"/>
  </w:num>
  <w:num w:numId="11" w16cid:durableId="1212421872">
    <w:abstractNumId w:val="3"/>
  </w:num>
  <w:num w:numId="12" w16cid:durableId="1000044119">
    <w:abstractNumId w:val="9"/>
  </w:num>
  <w:num w:numId="13" w16cid:durableId="113525318">
    <w:abstractNumId w:val="14"/>
  </w:num>
  <w:num w:numId="14" w16cid:durableId="438567598">
    <w:abstractNumId w:val="17"/>
  </w:num>
  <w:num w:numId="15" w16cid:durableId="1130125278">
    <w:abstractNumId w:val="7"/>
  </w:num>
  <w:num w:numId="16" w16cid:durableId="1217819047">
    <w:abstractNumId w:val="13"/>
  </w:num>
  <w:num w:numId="17" w16cid:durableId="125511312">
    <w:abstractNumId w:val="8"/>
  </w:num>
  <w:num w:numId="18" w16cid:durableId="1616910543">
    <w:abstractNumId w:val="6"/>
  </w:num>
  <w:num w:numId="19" w16cid:durableId="1282414836">
    <w:abstractNumId w:val="16"/>
  </w:num>
  <w:num w:numId="20" w16cid:durableId="1735617435">
    <w:abstractNumId w:val="16"/>
  </w:num>
  <w:num w:numId="21" w16cid:durableId="624701775">
    <w:abstractNumId w:val="10"/>
  </w:num>
  <w:num w:numId="22" w16cid:durableId="943271952">
    <w:abstractNumId w:val="12"/>
  </w:num>
  <w:num w:numId="23" w16cid:durableId="517426586">
    <w:abstractNumId w:val="11"/>
  </w:num>
  <w:num w:numId="24" w16cid:durableId="334313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DCB"/>
    <w:rsid w:val="000006A2"/>
    <w:rsid w:val="000040B1"/>
    <w:rsid w:val="00004B5C"/>
    <w:rsid w:val="00007A85"/>
    <w:rsid w:val="00007F1E"/>
    <w:rsid w:val="00012B98"/>
    <w:rsid w:val="0002509F"/>
    <w:rsid w:val="00033F56"/>
    <w:rsid w:val="00037FF5"/>
    <w:rsid w:val="000451FD"/>
    <w:rsid w:val="00045637"/>
    <w:rsid w:val="00052879"/>
    <w:rsid w:val="00060CDF"/>
    <w:rsid w:val="00062AC3"/>
    <w:rsid w:val="00067E49"/>
    <w:rsid w:val="00071444"/>
    <w:rsid w:val="0007363A"/>
    <w:rsid w:val="00082C1C"/>
    <w:rsid w:val="000831A2"/>
    <w:rsid w:val="000912F1"/>
    <w:rsid w:val="00091A32"/>
    <w:rsid w:val="00091CD8"/>
    <w:rsid w:val="000931F2"/>
    <w:rsid w:val="0009382A"/>
    <w:rsid w:val="00096D56"/>
    <w:rsid w:val="000A5170"/>
    <w:rsid w:val="000A77EB"/>
    <w:rsid w:val="000B128B"/>
    <w:rsid w:val="000B34B4"/>
    <w:rsid w:val="000B36A6"/>
    <w:rsid w:val="000B4132"/>
    <w:rsid w:val="000B66E2"/>
    <w:rsid w:val="000C0130"/>
    <w:rsid w:val="000C03DD"/>
    <w:rsid w:val="000C6DFF"/>
    <w:rsid w:val="000D010D"/>
    <w:rsid w:val="000D1003"/>
    <w:rsid w:val="000D4410"/>
    <w:rsid w:val="000D64FB"/>
    <w:rsid w:val="000E1DF5"/>
    <w:rsid w:val="000E34A1"/>
    <w:rsid w:val="000F1BD8"/>
    <w:rsid w:val="000F2728"/>
    <w:rsid w:val="000F41FC"/>
    <w:rsid w:val="000F557D"/>
    <w:rsid w:val="000F5DF6"/>
    <w:rsid w:val="000F6835"/>
    <w:rsid w:val="000F7B3D"/>
    <w:rsid w:val="00105AE1"/>
    <w:rsid w:val="00106462"/>
    <w:rsid w:val="00106A3D"/>
    <w:rsid w:val="00107FF2"/>
    <w:rsid w:val="00112B59"/>
    <w:rsid w:val="001157D8"/>
    <w:rsid w:val="00115AEF"/>
    <w:rsid w:val="00117840"/>
    <w:rsid w:val="001179AC"/>
    <w:rsid w:val="001200C3"/>
    <w:rsid w:val="00125C1A"/>
    <w:rsid w:val="001306BF"/>
    <w:rsid w:val="001315F3"/>
    <w:rsid w:val="00133FEA"/>
    <w:rsid w:val="00134234"/>
    <w:rsid w:val="00134744"/>
    <w:rsid w:val="00134B74"/>
    <w:rsid w:val="00134FB1"/>
    <w:rsid w:val="00140C2C"/>
    <w:rsid w:val="001428B6"/>
    <w:rsid w:val="0014596F"/>
    <w:rsid w:val="00145EB5"/>
    <w:rsid w:val="00145F22"/>
    <w:rsid w:val="00146EAB"/>
    <w:rsid w:val="00151DE5"/>
    <w:rsid w:val="00151E66"/>
    <w:rsid w:val="001531E8"/>
    <w:rsid w:val="001556B8"/>
    <w:rsid w:val="00155CFD"/>
    <w:rsid w:val="00155F89"/>
    <w:rsid w:val="00161BA4"/>
    <w:rsid w:val="00161BFD"/>
    <w:rsid w:val="00164399"/>
    <w:rsid w:val="00170A84"/>
    <w:rsid w:val="001751A8"/>
    <w:rsid w:val="00176B7F"/>
    <w:rsid w:val="00181C19"/>
    <w:rsid w:val="00185459"/>
    <w:rsid w:val="00187D27"/>
    <w:rsid w:val="00191E0A"/>
    <w:rsid w:val="0019371A"/>
    <w:rsid w:val="00194142"/>
    <w:rsid w:val="001956DA"/>
    <w:rsid w:val="00196EF9"/>
    <w:rsid w:val="00197340"/>
    <w:rsid w:val="001A44CA"/>
    <w:rsid w:val="001B09F3"/>
    <w:rsid w:val="001B13F8"/>
    <w:rsid w:val="001B28CF"/>
    <w:rsid w:val="001B29C5"/>
    <w:rsid w:val="001B759D"/>
    <w:rsid w:val="001C1D94"/>
    <w:rsid w:val="001D0130"/>
    <w:rsid w:val="001D1594"/>
    <w:rsid w:val="001D382A"/>
    <w:rsid w:val="001D3F1D"/>
    <w:rsid w:val="001D4145"/>
    <w:rsid w:val="001D4693"/>
    <w:rsid w:val="001E3FCF"/>
    <w:rsid w:val="001E4A21"/>
    <w:rsid w:val="001E532E"/>
    <w:rsid w:val="001E5E38"/>
    <w:rsid w:val="001E724A"/>
    <w:rsid w:val="001F211F"/>
    <w:rsid w:val="001F492C"/>
    <w:rsid w:val="001F686F"/>
    <w:rsid w:val="00202EB2"/>
    <w:rsid w:val="00203A4F"/>
    <w:rsid w:val="00204FA1"/>
    <w:rsid w:val="00211CB4"/>
    <w:rsid w:val="00212C6A"/>
    <w:rsid w:val="00212CE3"/>
    <w:rsid w:val="00213EA8"/>
    <w:rsid w:val="00217669"/>
    <w:rsid w:val="00220336"/>
    <w:rsid w:val="00226FF5"/>
    <w:rsid w:val="00233F0E"/>
    <w:rsid w:val="00235C3F"/>
    <w:rsid w:val="002362E2"/>
    <w:rsid w:val="002364B1"/>
    <w:rsid w:val="0023716D"/>
    <w:rsid w:val="0023745C"/>
    <w:rsid w:val="00240805"/>
    <w:rsid w:val="00244D02"/>
    <w:rsid w:val="00245362"/>
    <w:rsid w:val="00252488"/>
    <w:rsid w:val="0025432C"/>
    <w:rsid w:val="00257DBE"/>
    <w:rsid w:val="002601E8"/>
    <w:rsid w:val="00260842"/>
    <w:rsid w:val="0026346D"/>
    <w:rsid w:val="00264F47"/>
    <w:rsid w:val="002650CE"/>
    <w:rsid w:val="00266A4E"/>
    <w:rsid w:val="00270ED7"/>
    <w:rsid w:val="0027752C"/>
    <w:rsid w:val="002863A0"/>
    <w:rsid w:val="00291FEE"/>
    <w:rsid w:val="00292FB2"/>
    <w:rsid w:val="002A433C"/>
    <w:rsid w:val="002A47A9"/>
    <w:rsid w:val="002A52A5"/>
    <w:rsid w:val="002A52B2"/>
    <w:rsid w:val="002A733E"/>
    <w:rsid w:val="002B0112"/>
    <w:rsid w:val="002B2957"/>
    <w:rsid w:val="002B4547"/>
    <w:rsid w:val="002B7DCB"/>
    <w:rsid w:val="002D39EB"/>
    <w:rsid w:val="002D478F"/>
    <w:rsid w:val="002D75DB"/>
    <w:rsid w:val="002D774C"/>
    <w:rsid w:val="002E11BA"/>
    <w:rsid w:val="002E3794"/>
    <w:rsid w:val="002E37A1"/>
    <w:rsid w:val="002E3DCB"/>
    <w:rsid w:val="002E405F"/>
    <w:rsid w:val="002E6AB5"/>
    <w:rsid w:val="002E6BAB"/>
    <w:rsid w:val="002E74D5"/>
    <w:rsid w:val="002F5D32"/>
    <w:rsid w:val="0030163E"/>
    <w:rsid w:val="00303B33"/>
    <w:rsid w:val="003049BD"/>
    <w:rsid w:val="0031381C"/>
    <w:rsid w:val="00315739"/>
    <w:rsid w:val="003162C0"/>
    <w:rsid w:val="00316ACE"/>
    <w:rsid w:val="00317908"/>
    <w:rsid w:val="00325D33"/>
    <w:rsid w:val="0032614D"/>
    <w:rsid w:val="003279C3"/>
    <w:rsid w:val="00333FD5"/>
    <w:rsid w:val="00337650"/>
    <w:rsid w:val="00350BF9"/>
    <w:rsid w:val="003513C8"/>
    <w:rsid w:val="0035252B"/>
    <w:rsid w:val="00352E31"/>
    <w:rsid w:val="0035394D"/>
    <w:rsid w:val="00356479"/>
    <w:rsid w:val="0035705E"/>
    <w:rsid w:val="00357CAF"/>
    <w:rsid w:val="00364486"/>
    <w:rsid w:val="003676A6"/>
    <w:rsid w:val="00380775"/>
    <w:rsid w:val="00382270"/>
    <w:rsid w:val="0038539C"/>
    <w:rsid w:val="00385BAF"/>
    <w:rsid w:val="003863D1"/>
    <w:rsid w:val="00387165"/>
    <w:rsid w:val="00390975"/>
    <w:rsid w:val="00396D5A"/>
    <w:rsid w:val="00397D21"/>
    <w:rsid w:val="003A0C89"/>
    <w:rsid w:val="003A2877"/>
    <w:rsid w:val="003A3BE1"/>
    <w:rsid w:val="003A421E"/>
    <w:rsid w:val="003A50DD"/>
    <w:rsid w:val="003A65B4"/>
    <w:rsid w:val="003B14ED"/>
    <w:rsid w:val="003B1C02"/>
    <w:rsid w:val="003B20DF"/>
    <w:rsid w:val="003B24C2"/>
    <w:rsid w:val="003B68F8"/>
    <w:rsid w:val="003B6A24"/>
    <w:rsid w:val="003B7ECC"/>
    <w:rsid w:val="003C0B9C"/>
    <w:rsid w:val="003C59BF"/>
    <w:rsid w:val="003C5EDA"/>
    <w:rsid w:val="003C63D3"/>
    <w:rsid w:val="003C6F43"/>
    <w:rsid w:val="003D0303"/>
    <w:rsid w:val="003D6216"/>
    <w:rsid w:val="003D6BE0"/>
    <w:rsid w:val="003E2D63"/>
    <w:rsid w:val="003E4438"/>
    <w:rsid w:val="003F3611"/>
    <w:rsid w:val="003F5481"/>
    <w:rsid w:val="003F60CA"/>
    <w:rsid w:val="003F6DF5"/>
    <w:rsid w:val="003F6F5D"/>
    <w:rsid w:val="0040108D"/>
    <w:rsid w:val="004013AA"/>
    <w:rsid w:val="0041330B"/>
    <w:rsid w:val="00417BEE"/>
    <w:rsid w:val="00421FFC"/>
    <w:rsid w:val="00422DCA"/>
    <w:rsid w:val="0042650A"/>
    <w:rsid w:val="00430616"/>
    <w:rsid w:val="00436916"/>
    <w:rsid w:val="0043751C"/>
    <w:rsid w:val="00440689"/>
    <w:rsid w:val="004420F2"/>
    <w:rsid w:val="004434AE"/>
    <w:rsid w:val="004519C0"/>
    <w:rsid w:val="004539A9"/>
    <w:rsid w:val="004557D3"/>
    <w:rsid w:val="0045684A"/>
    <w:rsid w:val="00457037"/>
    <w:rsid w:val="0045745D"/>
    <w:rsid w:val="00462CCA"/>
    <w:rsid w:val="00462D01"/>
    <w:rsid w:val="00462DAC"/>
    <w:rsid w:val="00475A5C"/>
    <w:rsid w:val="00475E2B"/>
    <w:rsid w:val="00475F4D"/>
    <w:rsid w:val="00477A8D"/>
    <w:rsid w:val="00483453"/>
    <w:rsid w:val="00483CA9"/>
    <w:rsid w:val="004844F6"/>
    <w:rsid w:val="00490923"/>
    <w:rsid w:val="00492388"/>
    <w:rsid w:val="004940B6"/>
    <w:rsid w:val="004942F7"/>
    <w:rsid w:val="00494F0E"/>
    <w:rsid w:val="00496831"/>
    <w:rsid w:val="00497A7A"/>
    <w:rsid w:val="004A156A"/>
    <w:rsid w:val="004A2105"/>
    <w:rsid w:val="004A63EF"/>
    <w:rsid w:val="004A6EC8"/>
    <w:rsid w:val="004A7A86"/>
    <w:rsid w:val="004B0B98"/>
    <w:rsid w:val="004B2D9C"/>
    <w:rsid w:val="004B5BB7"/>
    <w:rsid w:val="004B61E6"/>
    <w:rsid w:val="004B66B2"/>
    <w:rsid w:val="004C197A"/>
    <w:rsid w:val="004C4E9D"/>
    <w:rsid w:val="004D1D58"/>
    <w:rsid w:val="004E1744"/>
    <w:rsid w:val="004F0D1F"/>
    <w:rsid w:val="004F2FCA"/>
    <w:rsid w:val="004F75CC"/>
    <w:rsid w:val="004F776C"/>
    <w:rsid w:val="0050319B"/>
    <w:rsid w:val="00506F93"/>
    <w:rsid w:val="00511234"/>
    <w:rsid w:val="00511C63"/>
    <w:rsid w:val="00520978"/>
    <w:rsid w:val="00523FBF"/>
    <w:rsid w:val="00526EB5"/>
    <w:rsid w:val="005310DC"/>
    <w:rsid w:val="0053302E"/>
    <w:rsid w:val="00533E2C"/>
    <w:rsid w:val="005352A6"/>
    <w:rsid w:val="00535444"/>
    <w:rsid w:val="00542331"/>
    <w:rsid w:val="00546BB9"/>
    <w:rsid w:val="005476C3"/>
    <w:rsid w:val="005507AF"/>
    <w:rsid w:val="00561982"/>
    <w:rsid w:val="00562938"/>
    <w:rsid w:val="005629A3"/>
    <w:rsid w:val="00564500"/>
    <w:rsid w:val="005670CE"/>
    <w:rsid w:val="0058051A"/>
    <w:rsid w:val="00585C45"/>
    <w:rsid w:val="00593A30"/>
    <w:rsid w:val="00596955"/>
    <w:rsid w:val="00597AA6"/>
    <w:rsid w:val="005A70C5"/>
    <w:rsid w:val="005B092F"/>
    <w:rsid w:val="005B0BCB"/>
    <w:rsid w:val="005B0EE3"/>
    <w:rsid w:val="005B111E"/>
    <w:rsid w:val="005B33C2"/>
    <w:rsid w:val="005B7D77"/>
    <w:rsid w:val="005C101E"/>
    <w:rsid w:val="005C1363"/>
    <w:rsid w:val="005C2F81"/>
    <w:rsid w:val="005D5435"/>
    <w:rsid w:val="005D5E4B"/>
    <w:rsid w:val="005D6C61"/>
    <w:rsid w:val="005D7396"/>
    <w:rsid w:val="005D78BC"/>
    <w:rsid w:val="005E7964"/>
    <w:rsid w:val="005F0436"/>
    <w:rsid w:val="005F22C5"/>
    <w:rsid w:val="005F4DA5"/>
    <w:rsid w:val="005F6AC6"/>
    <w:rsid w:val="0060341C"/>
    <w:rsid w:val="00603D3F"/>
    <w:rsid w:val="00604C25"/>
    <w:rsid w:val="00610A68"/>
    <w:rsid w:val="00612734"/>
    <w:rsid w:val="006157CB"/>
    <w:rsid w:val="00620936"/>
    <w:rsid w:val="00620FB0"/>
    <w:rsid w:val="00624612"/>
    <w:rsid w:val="006262E4"/>
    <w:rsid w:val="006368BA"/>
    <w:rsid w:val="00641213"/>
    <w:rsid w:val="0064148B"/>
    <w:rsid w:val="006415C1"/>
    <w:rsid w:val="0064491B"/>
    <w:rsid w:val="0064679F"/>
    <w:rsid w:val="00650721"/>
    <w:rsid w:val="006546FC"/>
    <w:rsid w:val="006572C3"/>
    <w:rsid w:val="00657EC7"/>
    <w:rsid w:val="00660ACC"/>
    <w:rsid w:val="006677FF"/>
    <w:rsid w:val="00673ED4"/>
    <w:rsid w:val="00675CB9"/>
    <w:rsid w:val="00680205"/>
    <w:rsid w:val="006818E0"/>
    <w:rsid w:val="00681DA0"/>
    <w:rsid w:val="0068487C"/>
    <w:rsid w:val="0068752E"/>
    <w:rsid w:val="00687BB2"/>
    <w:rsid w:val="006925B9"/>
    <w:rsid w:val="006937D0"/>
    <w:rsid w:val="006943D1"/>
    <w:rsid w:val="00694EAB"/>
    <w:rsid w:val="0069680D"/>
    <w:rsid w:val="006A2E3D"/>
    <w:rsid w:val="006A4BC0"/>
    <w:rsid w:val="006A66CB"/>
    <w:rsid w:val="006B2A00"/>
    <w:rsid w:val="006B3EE6"/>
    <w:rsid w:val="006B420E"/>
    <w:rsid w:val="006B5BDA"/>
    <w:rsid w:val="006C068A"/>
    <w:rsid w:val="006C359B"/>
    <w:rsid w:val="006C3CCE"/>
    <w:rsid w:val="006C4DD7"/>
    <w:rsid w:val="006C5716"/>
    <w:rsid w:val="006C7171"/>
    <w:rsid w:val="006C7D53"/>
    <w:rsid w:val="006D043E"/>
    <w:rsid w:val="006E583D"/>
    <w:rsid w:val="006E6AC6"/>
    <w:rsid w:val="006E7B31"/>
    <w:rsid w:val="006F098A"/>
    <w:rsid w:val="006F45D7"/>
    <w:rsid w:val="00702140"/>
    <w:rsid w:val="00705678"/>
    <w:rsid w:val="00705A00"/>
    <w:rsid w:val="00705CE3"/>
    <w:rsid w:val="00710650"/>
    <w:rsid w:val="00713B86"/>
    <w:rsid w:val="0071619C"/>
    <w:rsid w:val="007163AC"/>
    <w:rsid w:val="00722C9F"/>
    <w:rsid w:val="0072513A"/>
    <w:rsid w:val="007274A7"/>
    <w:rsid w:val="00730500"/>
    <w:rsid w:val="00730B96"/>
    <w:rsid w:val="00733D66"/>
    <w:rsid w:val="00734438"/>
    <w:rsid w:val="00734D63"/>
    <w:rsid w:val="0073570C"/>
    <w:rsid w:val="00740827"/>
    <w:rsid w:val="00740F0E"/>
    <w:rsid w:val="00741966"/>
    <w:rsid w:val="007434DA"/>
    <w:rsid w:val="00744D11"/>
    <w:rsid w:val="007467AB"/>
    <w:rsid w:val="0074795A"/>
    <w:rsid w:val="00747B32"/>
    <w:rsid w:val="0075153F"/>
    <w:rsid w:val="00751AA2"/>
    <w:rsid w:val="00753C94"/>
    <w:rsid w:val="007548FA"/>
    <w:rsid w:val="007736C3"/>
    <w:rsid w:val="00775902"/>
    <w:rsid w:val="00780151"/>
    <w:rsid w:val="007802ED"/>
    <w:rsid w:val="00780430"/>
    <w:rsid w:val="00780FD5"/>
    <w:rsid w:val="00784757"/>
    <w:rsid w:val="007850E8"/>
    <w:rsid w:val="007870C0"/>
    <w:rsid w:val="007877EC"/>
    <w:rsid w:val="0079081F"/>
    <w:rsid w:val="00791315"/>
    <w:rsid w:val="00792469"/>
    <w:rsid w:val="007932A0"/>
    <w:rsid w:val="00794420"/>
    <w:rsid w:val="007956C9"/>
    <w:rsid w:val="00795E7C"/>
    <w:rsid w:val="007970F5"/>
    <w:rsid w:val="007A0F96"/>
    <w:rsid w:val="007A38C6"/>
    <w:rsid w:val="007A3AC8"/>
    <w:rsid w:val="007A5FAE"/>
    <w:rsid w:val="007B005C"/>
    <w:rsid w:val="007B27E3"/>
    <w:rsid w:val="007B3243"/>
    <w:rsid w:val="007B4D19"/>
    <w:rsid w:val="007B56D2"/>
    <w:rsid w:val="007B6BBC"/>
    <w:rsid w:val="007B7BBA"/>
    <w:rsid w:val="007B7CA2"/>
    <w:rsid w:val="007C02F7"/>
    <w:rsid w:val="007C1F28"/>
    <w:rsid w:val="007C243E"/>
    <w:rsid w:val="007C3398"/>
    <w:rsid w:val="007C5618"/>
    <w:rsid w:val="007C69E5"/>
    <w:rsid w:val="007D0BC6"/>
    <w:rsid w:val="007D26DB"/>
    <w:rsid w:val="007D5CE5"/>
    <w:rsid w:val="007E1E7B"/>
    <w:rsid w:val="007E52B6"/>
    <w:rsid w:val="007F18D6"/>
    <w:rsid w:val="007F247B"/>
    <w:rsid w:val="007F2859"/>
    <w:rsid w:val="00800137"/>
    <w:rsid w:val="00802453"/>
    <w:rsid w:val="00813093"/>
    <w:rsid w:val="0081445F"/>
    <w:rsid w:val="00815E5C"/>
    <w:rsid w:val="00817B4A"/>
    <w:rsid w:val="00821BB9"/>
    <w:rsid w:val="00825029"/>
    <w:rsid w:val="008345F5"/>
    <w:rsid w:val="00834AD3"/>
    <w:rsid w:val="00834B21"/>
    <w:rsid w:val="00834FA6"/>
    <w:rsid w:val="00835126"/>
    <w:rsid w:val="00843496"/>
    <w:rsid w:val="008452EF"/>
    <w:rsid w:val="008571B3"/>
    <w:rsid w:val="00857201"/>
    <w:rsid w:val="00857C8D"/>
    <w:rsid w:val="00861791"/>
    <w:rsid w:val="00861833"/>
    <w:rsid w:val="0086786D"/>
    <w:rsid w:val="008700BD"/>
    <w:rsid w:val="0087158B"/>
    <w:rsid w:val="00871DCF"/>
    <w:rsid w:val="00873D83"/>
    <w:rsid w:val="008753CB"/>
    <w:rsid w:val="00882C67"/>
    <w:rsid w:val="00885A7F"/>
    <w:rsid w:val="00885ED6"/>
    <w:rsid w:val="00894C45"/>
    <w:rsid w:val="00896433"/>
    <w:rsid w:val="00896C79"/>
    <w:rsid w:val="008A0FF1"/>
    <w:rsid w:val="008A31F7"/>
    <w:rsid w:val="008B0133"/>
    <w:rsid w:val="008B2007"/>
    <w:rsid w:val="008C1593"/>
    <w:rsid w:val="008C471C"/>
    <w:rsid w:val="008C49EA"/>
    <w:rsid w:val="008C7005"/>
    <w:rsid w:val="008C7DC0"/>
    <w:rsid w:val="008D0889"/>
    <w:rsid w:val="008D2FE1"/>
    <w:rsid w:val="008D4B90"/>
    <w:rsid w:val="008D64ED"/>
    <w:rsid w:val="008E1C69"/>
    <w:rsid w:val="008E226C"/>
    <w:rsid w:val="008E2B27"/>
    <w:rsid w:val="008E48F1"/>
    <w:rsid w:val="008E4B25"/>
    <w:rsid w:val="008E6645"/>
    <w:rsid w:val="008F01AE"/>
    <w:rsid w:val="008F3904"/>
    <w:rsid w:val="008F7362"/>
    <w:rsid w:val="009036EB"/>
    <w:rsid w:val="00905CC7"/>
    <w:rsid w:val="00911659"/>
    <w:rsid w:val="00911A3E"/>
    <w:rsid w:val="0091425A"/>
    <w:rsid w:val="0091484A"/>
    <w:rsid w:val="00914F30"/>
    <w:rsid w:val="00915A3C"/>
    <w:rsid w:val="0091687A"/>
    <w:rsid w:val="00922624"/>
    <w:rsid w:val="009246AB"/>
    <w:rsid w:val="00926FEC"/>
    <w:rsid w:val="00927E45"/>
    <w:rsid w:val="009309AC"/>
    <w:rsid w:val="00930A4F"/>
    <w:rsid w:val="0093480F"/>
    <w:rsid w:val="00936048"/>
    <w:rsid w:val="00942699"/>
    <w:rsid w:val="00951976"/>
    <w:rsid w:val="00953E02"/>
    <w:rsid w:val="009544D3"/>
    <w:rsid w:val="00954F62"/>
    <w:rsid w:val="00955C8E"/>
    <w:rsid w:val="00956D6E"/>
    <w:rsid w:val="00956F92"/>
    <w:rsid w:val="00957536"/>
    <w:rsid w:val="009600BD"/>
    <w:rsid w:val="009623AB"/>
    <w:rsid w:val="00962A0B"/>
    <w:rsid w:val="00967D46"/>
    <w:rsid w:val="009718F0"/>
    <w:rsid w:val="00971CB2"/>
    <w:rsid w:val="00977575"/>
    <w:rsid w:val="00977D04"/>
    <w:rsid w:val="009823C7"/>
    <w:rsid w:val="0098344D"/>
    <w:rsid w:val="00986875"/>
    <w:rsid w:val="009870D5"/>
    <w:rsid w:val="00990F96"/>
    <w:rsid w:val="009914AD"/>
    <w:rsid w:val="009922EC"/>
    <w:rsid w:val="00992311"/>
    <w:rsid w:val="00997322"/>
    <w:rsid w:val="009A1392"/>
    <w:rsid w:val="009A18F0"/>
    <w:rsid w:val="009A209F"/>
    <w:rsid w:val="009A2A5E"/>
    <w:rsid w:val="009A2F11"/>
    <w:rsid w:val="009A34B7"/>
    <w:rsid w:val="009A3C5A"/>
    <w:rsid w:val="009A555C"/>
    <w:rsid w:val="009A5B1C"/>
    <w:rsid w:val="009B05D7"/>
    <w:rsid w:val="009B0737"/>
    <w:rsid w:val="009B21F5"/>
    <w:rsid w:val="009B2345"/>
    <w:rsid w:val="009B5D26"/>
    <w:rsid w:val="009B6002"/>
    <w:rsid w:val="009B65B0"/>
    <w:rsid w:val="009B6DED"/>
    <w:rsid w:val="009C3BA4"/>
    <w:rsid w:val="009C4FAB"/>
    <w:rsid w:val="009C6BC9"/>
    <w:rsid w:val="009C7467"/>
    <w:rsid w:val="009D3AF3"/>
    <w:rsid w:val="009D6331"/>
    <w:rsid w:val="009D73B8"/>
    <w:rsid w:val="009D77E3"/>
    <w:rsid w:val="009D7F6F"/>
    <w:rsid w:val="009E4E8B"/>
    <w:rsid w:val="009E7530"/>
    <w:rsid w:val="009E7F31"/>
    <w:rsid w:val="009F04DE"/>
    <w:rsid w:val="009F234C"/>
    <w:rsid w:val="009F6D31"/>
    <w:rsid w:val="00A013B2"/>
    <w:rsid w:val="00A1068D"/>
    <w:rsid w:val="00A11116"/>
    <w:rsid w:val="00A12B39"/>
    <w:rsid w:val="00A12ECF"/>
    <w:rsid w:val="00A12EE5"/>
    <w:rsid w:val="00A13247"/>
    <w:rsid w:val="00A161A4"/>
    <w:rsid w:val="00A16F73"/>
    <w:rsid w:val="00A17867"/>
    <w:rsid w:val="00A230BD"/>
    <w:rsid w:val="00A31DE9"/>
    <w:rsid w:val="00A32EE4"/>
    <w:rsid w:val="00A36016"/>
    <w:rsid w:val="00A407B9"/>
    <w:rsid w:val="00A4505D"/>
    <w:rsid w:val="00A45245"/>
    <w:rsid w:val="00A46105"/>
    <w:rsid w:val="00A46833"/>
    <w:rsid w:val="00A46CBE"/>
    <w:rsid w:val="00A56A44"/>
    <w:rsid w:val="00A6103F"/>
    <w:rsid w:val="00A62841"/>
    <w:rsid w:val="00A6574F"/>
    <w:rsid w:val="00A65E06"/>
    <w:rsid w:val="00A67996"/>
    <w:rsid w:val="00A71345"/>
    <w:rsid w:val="00A7216A"/>
    <w:rsid w:val="00A736B3"/>
    <w:rsid w:val="00A73D1F"/>
    <w:rsid w:val="00A755F0"/>
    <w:rsid w:val="00A77857"/>
    <w:rsid w:val="00A8082A"/>
    <w:rsid w:val="00A808E6"/>
    <w:rsid w:val="00A816AA"/>
    <w:rsid w:val="00A81942"/>
    <w:rsid w:val="00A83DEE"/>
    <w:rsid w:val="00A8484C"/>
    <w:rsid w:val="00A85EE6"/>
    <w:rsid w:val="00A869D3"/>
    <w:rsid w:val="00A91322"/>
    <w:rsid w:val="00A915D0"/>
    <w:rsid w:val="00A91D65"/>
    <w:rsid w:val="00A97196"/>
    <w:rsid w:val="00AA2192"/>
    <w:rsid w:val="00AA4438"/>
    <w:rsid w:val="00AA4821"/>
    <w:rsid w:val="00AB6A29"/>
    <w:rsid w:val="00AC2ADA"/>
    <w:rsid w:val="00AC2C0F"/>
    <w:rsid w:val="00AC48C3"/>
    <w:rsid w:val="00AC4A18"/>
    <w:rsid w:val="00AC4FD0"/>
    <w:rsid w:val="00AC5945"/>
    <w:rsid w:val="00AD1E2C"/>
    <w:rsid w:val="00AD2A74"/>
    <w:rsid w:val="00AD354C"/>
    <w:rsid w:val="00AD4EF4"/>
    <w:rsid w:val="00AD5CEC"/>
    <w:rsid w:val="00AD7A39"/>
    <w:rsid w:val="00AF0130"/>
    <w:rsid w:val="00AF38DE"/>
    <w:rsid w:val="00AF3FB9"/>
    <w:rsid w:val="00AF3FE4"/>
    <w:rsid w:val="00AF459C"/>
    <w:rsid w:val="00B026D7"/>
    <w:rsid w:val="00B11B36"/>
    <w:rsid w:val="00B12D1F"/>
    <w:rsid w:val="00B1449D"/>
    <w:rsid w:val="00B20C38"/>
    <w:rsid w:val="00B259C3"/>
    <w:rsid w:val="00B35812"/>
    <w:rsid w:val="00B35EC7"/>
    <w:rsid w:val="00B40B74"/>
    <w:rsid w:val="00B41E6F"/>
    <w:rsid w:val="00B44F8D"/>
    <w:rsid w:val="00B45FBA"/>
    <w:rsid w:val="00B46016"/>
    <w:rsid w:val="00B47200"/>
    <w:rsid w:val="00B47CCC"/>
    <w:rsid w:val="00B549DE"/>
    <w:rsid w:val="00B5511F"/>
    <w:rsid w:val="00B55DF2"/>
    <w:rsid w:val="00B570DC"/>
    <w:rsid w:val="00B60153"/>
    <w:rsid w:val="00B6018B"/>
    <w:rsid w:val="00B6242A"/>
    <w:rsid w:val="00B63363"/>
    <w:rsid w:val="00B65885"/>
    <w:rsid w:val="00B673E8"/>
    <w:rsid w:val="00B67899"/>
    <w:rsid w:val="00B75033"/>
    <w:rsid w:val="00B80394"/>
    <w:rsid w:val="00B81EDC"/>
    <w:rsid w:val="00B829BA"/>
    <w:rsid w:val="00B869BF"/>
    <w:rsid w:val="00B874E0"/>
    <w:rsid w:val="00B94683"/>
    <w:rsid w:val="00B97F17"/>
    <w:rsid w:val="00BA0274"/>
    <w:rsid w:val="00BA0652"/>
    <w:rsid w:val="00BA214C"/>
    <w:rsid w:val="00BA2E3B"/>
    <w:rsid w:val="00BA5A75"/>
    <w:rsid w:val="00BA5D4F"/>
    <w:rsid w:val="00BA7186"/>
    <w:rsid w:val="00BB1443"/>
    <w:rsid w:val="00BB5E74"/>
    <w:rsid w:val="00BB608B"/>
    <w:rsid w:val="00BC1F95"/>
    <w:rsid w:val="00BC39AD"/>
    <w:rsid w:val="00BC52F6"/>
    <w:rsid w:val="00BD2607"/>
    <w:rsid w:val="00BD2D59"/>
    <w:rsid w:val="00BD46EE"/>
    <w:rsid w:val="00BD4FE3"/>
    <w:rsid w:val="00BE2F08"/>
    <w:rsid w:val="00BE52F3"/>
    <w:rsid w:val="00BE5F31"/>
    <w:rsid w:val="00BE6B2B"/>
    <w:rsid w:val="00BF0621"/>
    <w:rsid w:val="00BF42B7"/>
    <w:rsid w:val="00BF50DF"/>
    <w:rsid w:val="00BF6CB8"/>
    <w:rsid w:val="00C029A1"/>
    <w:rsid w:val="00C05E51"/>
    <w:rsid w:val="00C06AF1"/>
    <w:rsid w:val="00C12FE3"/>
    <w:rsid w:val="00C13678"/>
    <w:rsid w:val="00C20CD6"/>
    <w:rsid w:val="00C251FE"/>
    <w:rsid w:val="00C3129A"/>
    <w:rsid w:val="00C31BA8"/>
    <w:rsid w:val="00C333EC"/>
    <w:rsid w:val="00C40BF7"/>
    <w:rsid w:val="00C41249"/>
    <w:rsid w:val="00C44B2D"/>
    <w:rsid w:val="00C45EED"/>
    <w:rsid w:val="00C46D36"/>
    <w:rsid w:val="00C504A8"/>
    <w:rsid w:val="00C5242A"/>
    <w:rsid w:val="00C534AB"/>
    <w:rsid w:val="00C546F2"/>
    <w:rsid w:val="00C55426"/>
    <w:rsid w:val="00C62DC1"/>
    <w:rsid w:val="00C6799E"/>
    <w:rsid w:val="00C67F98"/>
    <w:rsid w:val="00C72F4D"/>
    <w:rsid w:val="00C754D0"/>
    <w:rsid w:val="00C858D4"/>
    <w:rsid w:val="00C93893"/>
    <w:rsid w:val="00C93C4A"/>
    <w:rsid w:val="00C95A7E"/>
    <w:rsid w:val="00CA3B71"/>
    <w:rsid w:val="00CA76D5"/>
    <w:rsid w:val="00CB2D4A"/>
    <w:rsid w:val="00CB34B4"/>
    <w:rsid w:val="00CB4580"/>
    <w:rsid w:val="00CB45DF"/>
    <w:rsid w:val="00CC06EC"/>
    <w:rsid w:val="00CC0E38"/>
    <w:rsid w:val="00CC2938"/>
    <w:rsid w:val="00CC631E"/>
    <w:rsid w:val="00CC6BA8"/>
    <w:rsid w:val="00CC74DE"/>
    <w:rsid w:val="00CD53A5"/>
    <w:rsid w:val="00CE1A6C"/>
    <w:rsid w:val="00CE1B1E"/>
    <w:rsid w:val="00CE1F48"/>
    <w:rsid w:val="00CE262B"/>
    <w:rsid w:val="00CE3D4D"/>
    <w:rsid w:val="00CE4866"/>
    <w:rsid w:val="00CE5BB9"/>
    <w:rsid w:val="00CF1917"/>
    <w:rsid w:val="00CF548E"/>
    <w:rsid w:val="00CF5F82"/>
    <w:rsid w:val="00CF6FC5"/>
    <w:rsid w:val="00D00385"/>
    <w:rsid w:val="00D02634"/>
    <w:rsid w:val="00D026D4"/>
    <w:rsid w:val="00D02702"/>
    <w:rsid w:val="00D029C2"/>
    <w:rsid w:val="00D03063"/>
    <w:rsid w:val="00D034AD"/>
    <w:rsid w:val="00D038CC"/>
    <w:rsid w:val="00D03FB3"/>
    <w:rsid w:val="00D07D44"/>
    <w:rsid w:val="00D148E5"/>
    <w:rsid w:val="00D14A76"/>
    <w:rsid w:val="00D24065"/>
    <w:rsid w:val="00D2561A"/>
    <w:rsid w:val="00D30AE1"/>
    <w:rsid w:val="00D31C6E"/>
    <w:rsid w:val="00D31F52"/>
    <w:rsid w:val="00D3513B"/>
    <w:rsid w:val="00D43E28"/>
    <w:rsid w:val="00D453A8"/>
    <w:rsid w:val="00D4678C"/>
    <w:rsid w:val="00D47FFE"/>
    <w:rsid w:val="00D54156"/>
    <w:rsid w:val="00D61903"/>
    <w:rsid w:val="00D620CF"/>
    <w:rsid w:val="00D62A25"/>
    <w:rsid w:val="00D65420"/>
    <w:rsid w:val="00D66C4C"/>
    <w:rsid w:val="00D7186F"/>
    <w:rsid w:val="00D75133"/>
    <w:rsid w:val="00D7541C"/>
    <w:rsid w:val="00D8616B"/>
    <w:rsid w:val="00D87D8C"/>
    <w:rsid w:val="00D90F94"/>
    <w:rsid w:val="00D91EEC"/>
    <w:rsid w:val="00D91F09"/>
    <w:rsid w:val="00D920A8"/>
    <w:rsid w:val="00DA19FD"/>
    <w:rsid w:val="00DA55C4"/>
    <w:rsid w:val="00DB02C6"/>
    <w:rsid w:val="00DB4044"/>
    <w:rsid w:val="00DB620F"/>
    <w:rsid w:val="00DD0B72"/>
    <w:rsid w:val="00DD402C"/>
    <w:rsid w:val="00DD5769"/>
    <w:rsid w:val="00DD7ECF"/>
    <w:rsid w:val="00DE460D"/>
    <w:rsid w:val="00DF4668"/>
    <w:rsid w:val="00DF6F8F"/>
    <w:rsid w:val="00DF7569"/>
    <w:rsid w:val="00E052DE"/>
    <w:rsid w:val="00E114D9"/>
    <w:rsid w:val="00E1168C"/>
    <w:rsid w:val="00E14F2D"/>
    <w:rsid w:val="00E17DFB"/>
    <w:rsid w:val="00E21283"/>
    <w:rsid w:val="00E22910"/>
    <w:rsid w:val="00E23AF1"/>
    <w:rsid w:val="00E2773B"/>
    <w:rsid w:val="00E3322C"/>
    <w:rsid w:val="00E3502F"/>
    <w:rsid w:val="00E36E56"/>
    <w:rsid w:val="00E40D5A"/>
    <w:rsid w:val="00E40E64"/>
    <w:rsid w:val="00E427DF"/>
    <w:rsid w:val="00E45262"/>
    <w:rsid w:val="00E50D4F"/>
    <w:rsid w:val="00E56A6D"/>
    <w:rsid w:val="00E60C99"/>
    <w:rsid w:val="00E6207A"/>
    <w:rsid w:val="00E6268A"/>
    <w:rsid w:val="00E626CD"/>
    <w:rsid w:val="00E628F3"/>
    <w:rsid w:val="00E761F3"/>
    <w:rsid w:val="00E8516F"/>
    <w:rsid w:val="00E94D74"/>
    <w:rsid w:val="00E973F1"/>
    <w:rsid w:val="00EA3880"/>
    <w:rsid w:val="00EA41AE"/>
    <w:rsid w:val="00EA43CA"/>
    <w:rsid w:val="00EA5263"/>
    <w:rsid w:val="00EA633A"/>
    <w:rsid w:val="00EA6A3E"/>
    <w:rsid w:val="00EB2498"/>
    <w:rsid w:val="00EB443F"/>
    <w:rsid w:val="00EC3E41"/>
    <w:rsid w:val="00EC67E8"/>
    <w:rsid w:val="00EC6D88"/>
    <w:rsid w:val="00ED1787"/>
    <w:rsid w:val="00EE0277"/>
    <w:rsid w:val="00EE273A"/>
    <w:rsid w:val="00EF1BB6"/>
    <w:rsid w:val="00EF4BD6"/>
    <w:rsid w:val="00EF700A"/>
    <w:rsid w:val="00EF72FD"/>
    <w:rsid w:val="00F06749"/>
    <w:rsid w:val="00F06CA1"/>
    <w:rsid w:val="00F07958"/>
    <w:rsid w:val="00F22360"/>
    <w:rsid w:val="00F231A6"/>
    <w:rsid w:val="00F237DC"/>
    <w:rsid w:val="00F23AF4"/>
    <w:rsid w:val="00F23E02"/>
    <w:rsid w:val="00F24663"/>
    <w:rsid w:val="00F26D43"/>
    <w:rsid w:val="00F37680"/>
    <w:rsid w:val="00F444BA"/>
    <w:rsid w:val="00F476DB"/>
    <w:rsid w:val="00F57710"/>
    <w:rsid w:val="00F63419"/>
    <w:rsid w:val="00F65DAB"/>
    <w:rsid w:val="00F65E6D"/>
    <w:rsid w:val="00F72267"/>
    <w:rsid w:val="00F7270E"/>
    <w:rsid w:val="00F73065"/>
    <w:rsid w:val="00F74343"/>
    <w:rsid w:val="00F7436D"/>
    <w:rsid w:val="00F74F73"/>
    <w:rsid w:val="00F7565B"/>
    <w:rsid w:val="00F80547"/>
    <w:rsid w:val="00F84E1A"/>
    <w:rsid w:val="00F87A90"/>
    <w:rsid w:val="00F91F06"/>
    <w:rsid w:val="00F936C7"/>
    <w:rsid w:val="00FA157B"/>
    <w:rsid w:val="00FA5949"/>
    <w:rsid w:val="00FA7501"/>
    <w:rsid w:val="00FA7BC4"/>
    <w:rsid w:val="00FB2924"/>
    <w:rsid w:val="00FB5299"/>
    <w:rsid w:val="00FB6D47"/>
    <w:rsid w:val="00FC1F6D"/>
    <w:rsid w:val="00FC5192"/>
    <w:rsid w:val="00FC6C58"/>
    <w:rsid w:val="00FD333F"/>
    <w:rsid w:val="00FE4552"/>
    <w:rsid w:val="00FE5D67"/>
    <w:rsid w:val="00FE7396"/>
    <w:rsid w:val="00FF2848"/>
    <w:rsid w:val="00FF429E"/>
    <w:rsid w:val="00FF4E68"/>
    <w:rsid w:val="00FF638E"/>
    <w:rsid w:val="00FF7FB7"/>
    <w:rsid w:val="00FF7FC3"/>
    <w:rsid w:val="06EAFDD5"/>
    <w:rsid w:val="09F2C4FC"/>
    <w:rsid w:val="15187D70"/>
    <w:rsid w:val="16191FA2"/>
    <w:rsid w:val="170E0658"/>
    <w:rsid w:val="1E90BEF1"/>
    <w:rsid w:val="1FD7F123"/>
    <w:rsid w:val="206E7D4A"/>
    <w:rsid w:val="25E774FA"/>
    <w:rsid w:val="28C7E809"/>
    <w:rsid w:val="2F24DBE4"/>
    <w:rsid w:val="34BA8574"/>
    <w:rsid w:val="3ED746B6"/>
    <w:rsid w:val="45B835E6"/>
    <w:rsid w:val="47E4E768"/>
    <w:rsid w:val="491484D4"/>
    <w:rsid w:val="5131CEAA"/>
    <w:rsid w:val="5D271A37"/>
    <w:rsid w:val="601404AD"/>
    <w:rsid w:val="61A4B7F3"/>
    <w:rsid w:val="723F3C99"/>
    <w:rsid w:val="73866ECB"/>
    <w:rsid w:val="7BDBB192"/>
    <w:rsid w:val="7E8136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10E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ECF"/>
    <w:pPr>
      <w:spacing w:before="60" w:after="60" w:line="240" w:lineRule="auto"/>
      <w:ind w:left="170"/>
    </w:pPr>
    <w:rPr>
      <w:rFonts w:ascii="Calibri" w:eastAsia="Calibri" w:hAnsi="Calibri" w:cs="Times New Roman"/>
      <w:color w:val="000000"/>
      <w:sz w:val="18"/>
      <w:lang w:val="en-AU"/>
    </w:rPr>
  </w:style>
  <w:style w:type="paragraph" w:styleId="Heading1">
    <w:name w:val="heading 1"/>
    <w:basedOn w:val="Normal"/>
    <w:next w:val="Normal"/>
    <w:link w:val="Heading1Char"/>
    <w:qFormat/>
    <w:rsid w:val="00DD7ECF"/>
    <w:pPr>
      <w:spacing w:after="0"/>
      <w:jc w:val="center"/>
      <w:outlineLvl w:val="0"/>
    </w:pPr>
    <w:rPr>
      <w:b/>
      <w:color w:val="113F7D"/>
      <w:sz w:val="44"/>
      <w:szCs w:val="44"/>
    </w:rPr>
  </w:style>
  <w:style w:type="paragraph" w:styleId="Heading2">
    <w:name w:val="heading 2"/>
    <w:basedOn w:val="Normal"/>
    <w:next w:val="Normal"/>
    <w:link w:val="Heading2Char"/>
    <w:qFormat/>
    <w:rsid w:val="00DD7ECF"/>
    <w:pPr>
      <w:spacing w:after="0"/>
      <w:outlineLvl w:val="1"/>
    </w:pPr>
    <w:rPr>
      <w:b/>
      <w:color w:val="113F7D"/>
      <w:sz w:val="28"/>
      <w:szCs w:val="28"/>
    </w:rPr>
  </w:style>
  <w:style w:type="paragraph" w:styleId="Heading3">
    <w:name w:val="heading 3"/>
    <w:basedOn w:val="Normal"/>
    <w:next w:val="Normal"/>
    <w:link w:val="Heading3Char"/>
    <w:qFormat/>
    <w:rsid w:val="00DD7ECF"/>
    <w:pPr>
      <w:outlineLvl w:val="2"/>
    </w:pPr>
    <w:rPr>
      <w:b/>
    </w:rPr>
  </w:style>
  <w:style w:type="paragraph" w:styleId="Heading4">
    <w:name w:val="heading 4"/>
    <w:basedOn w:val="Normal"/>
    <w:next w:val="Normal"/>
    <w:link w:val="Heading4Char"/>
    <w:uiPriority w:val="9"/>
    <w:unhideWhenUsed/>
    <w:qFormat/>
    <w:rsid w:val="00753C94"/>
    <w:pPr>
      <w:keepNext/>
      <w:keepLines/>
      <w:spacing w:before="80" w:after="40" w:line="278" w:lineRule="auto"/>
      <w:ind w:left="0"/>
      <w:outlineLvl w:val="3"/>
    </w:pPr>
    <w:rPr>
      <w:rFonts w:asciiTheme="minorHAnsi" w:eastAsiaTheme="majorEastAsia" w:hAnsiTheme="minorHAnsi" w:cstheme="majorBidi"/>
      <w:i/>
      <w:iCs/>
      <w:color w:val="2E74B5" w:themeColor="accent1" w:themeShade="BF"/>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7ECF"/>
    <w:rPr>
      <w:rFonts w:ascii="Calibri" w:eastAsia="Calibri" w:hAnsi="Calibri" w:cs="Times New Roman"/>
      <w:b/>
      <w:color w:val="113F7D"/>
      <w:sz w:val="44"/>
      <w:szCs w:val="44"/>
      <w:lang w:val="en-AU"/>
    </w:rPr>
  </w:style>
  <w:style w:type="character" w:customStyle="1" w:styleId="Heading2Char">
    <w:name w:val="Heading 2 Char"/>
    <w:basedOn w:val="DefaultParagraphFont"/>
    <w:link w:val="Heading2"/>
    <w:rsid w:val="00DD7ECF"/>
    <w:rPr>
      <w:rFonts w:ascii="Calibri" w:eastAsia="Calibri" w:hAnsi="Calibri" w:cs="Times New Roman"/>
      <w:b/>
      <w:color w:val="113F7D"/>
      <w:sz w:val="28"/>
      <w:szCs w:val="28"/>
      <w:lang w:val="en-AU"/>
    </w:rPr>
  </w:style>
  <w:style w:type="character" w:customStyle="1" w:styleId="Heading3Char">
    <w:name w:val="Heading 3 Char"/>
    <w:basedOn w:val="DefaultParagraphFont"/>
    <w:link w:val="Heading3"/>
    <w:rsid w:val="00DD7ECF"/>
    <w:rPr>
      <w:rFonts w:ascii="Calibri" w:eastAsia="Calibri" w:hAnsi="Calibri" w:cs="Times New Roman"/>
      <w:b/>
      <w:color w:val="000000"/>
      <w:sz w:val="18"/>
      <w:lang w:val="en-AU"/>
    </w:rPr>
  </w:style>
  <w:style w:type="paragraph" w:styleId="Caption">
    <w:name w:val="caption"/>
    <w:basedOn w:val="Normal"/>
    <w:next w:val="Normal"/>
    <w:qFormat/>
    <w:rsid w:val="00DD7ECF"/>
    <w:pPr>
      <w:spacing w:before="0" w:after="0"/>
      <w:jc w:val="right"/>
    </w:pPr>
    <w:rPr>
      <w:color w:val="808080" w:themeColor="background1" w:themeShade="80"/>
      <w:sz w:val="16"/>
      <w:szCs w:val="16"/>
    </w:rPr>
  </w:style>
  <w:style w:type="paragraph" w:customStyle="1" w:styleId="Bullet">
    <w:name w:val="Bullet"/>
    <w:basedOn w:val="Normal"/>
    <w:link w:val="BulletChar"/>
    <w:qFormat/>
    <w:rsid w:val="00DD7ECF"/>
    <w:pPr>
      <w:numPr>
        <w:numId w:val="5"/>
      </w:numPr>
      <w:autoSpaceDE w:val="0"/>
      <w:autoSpaceDN w:val="0"/>
      <w:adjustRightInd w:val="0"/>
      <w:spacing w:before="0"/>
      <w:textAlignment w:val="center"/>
    </w:pPr>
    <w:rPr>
      <w:rFonts w:eastAsia="Times New Roman" w:cs="Calibri"/>
      <w:szCs w:val="24"/>
      <w:lang w:val="en-US" w:eastAsia="en-AU"/>
    </w:rPr>
  </w:style>
  <w:style w:type="paragraph" w:styleId="Footer">
    <w:name w:val="footer"/>
    <w:basedOn w:val="Normal"/>
    <w:link w:val="FooterChar"/>
    <w:rsid w:val="00DD7ECF"/>
  </w:style>
  <w:style w:type="character" w:customStyle="1" w:styleId="FooterChar">
    <w:name w:val="Footer Char"/>
    <w:basedOn w:val="DefaultParagraphFont"/>
    <w:link w:val="Footer"/>
    <w:rsid w:val="00DD7ECF"/>
    <w:rPr>
      <w:rFonts w:ascii="Calibri" w:eastAsia="Calibri" w:hAnsi="Calibri" w:cs="Times New Roman"/>
      <w:color w:val="000000"/>
      <w:sz w:val="18"/>
      <w:lang w:val="en-AU"/>
    </w:rPr>
  </w:style>
  <w:style w:type="character" w:styleId="Hyperlink">
    <w:name w:val="Hyperlink"/>
    <w:basedOn w:val="DefaultParagraphFont"/>
    <w:rsid w:val="00DD7ECF"/>
    <w:rPr>
      <w:b w:val="0"/>
      <w:color w:val="113F7D"/>
      <w:u w:val="single"/>
    </w:rPr>
  </w:style>
  <w:style w:type="character" w:customStyle="1" w:styleId="BulletChar">
    <w:name w:val="Bullet Char"/>
    <w:basedOn w:val="DefaultParagraphFont"/>
    <w:link w:val="Bullet"/>
    <w:rsid w:val="00DD7ECF"/>
    <w:rPr>
      <w:rFonts w:ascii="Calibri" w:eastAsia="Times New Roman" w:hAnsi="Calibri" w:cs="Calibri"/>
      <w:color w:val="000000"/>
      <w:sz w:val="18"/>
      <w:szCs w:val="24"/>
      <w:lang w:eastAsia="en-AU"/>
    </w:rPr>
  </w:style>
  <w:style w:type="paragraph" w:styleId="Revision">
    <w:name w:val="Revision"/>
    <w:hidden/>
    <w:uiPriority w:val="99"/>
    <w:semiHidden/>
    <w:rsid w:val="001E4A21"/>
    <w:pPr>
      <w:spacing w:after="0" w:line="240" w:lineRule="auto"/>
    </w:pPr>
    <w:rPr>
      <w:rFonts w:ascii="Calibri" w:eastAsia="Calibri" w:hAnsi="Calibri" w:cs="Times New Roman"/>
      <w:color w:val="000000"/>
      <w:sz w:val="18"/>
      <w:lang w:val="en-AU"/>
    </w:rPr>
  </w:style>
  <w:style w:type="character" w:styleId="CommentReference">
    <w:name w:val="annotation reference"/>
    <w:basedOn w:val="DefaultParagraphFont"/>
    <w:uiPriority w:val="99"/>
    <w:semiHidden/>
    <w:unhideWhenUsed/>
    <w:rsid w:val="007C1F28"/>
    <w:rPr>
      <w:sz w:val="16"/>
      <w:szCs w:val="16"/>
    </w:rPr>
  </w:style>
  <w:style w:type="paragraph" w:styleId="CommentText">
    <w:name w:val="annotation text"/>
    <w:basedOn w:val="Normal"/>
    <w:link w:val="CommentTextChar"/>
    <w:uiPriority w:val="99"/>
    <w:unhideWhenUsed/>
    <w:rsid w:val="007C1F28"/>
    <w:rPr>
      <w:sz w:val="20"/>
      <w:szCs w:val="20"/>
    </w:rPr>
  </w:style>
  <w:style w:type="character" w:customStyle="1" w:styleId="CommentTextChar">
    <w:name w:val="Comment Text Char"/>
    <w:basedOn w:val="DefaultParagraphFont"/>
    <w:link w:val="CommentText"/>
    <w:uiPriority w:val="99"/>
    <w:rsid w:val="007C1F28"/>
    <w:rPr>
      <w:rFonts w:ascii="Calibri" w:eastAsia="Calibri" w:hAnsi="Calibri" w:cs="Times New Roman"/>
      <w:color w:val="000000"/>
      <w:sz w:val="20"/>
      <w:szCs w:val="20"/>
      <w:lang w:val="en-AU"/>
    </w:rPr>
  </w:style>
  <w:style w:type="paragraph" w:styleId="CommentSubject">
    <w:name w:val="annotation subject"/>
    <w:basedOn w:val="CommentText"/>
    <w:next w:val="CommentText"/>
    <w:link w:val="CommentSubjectChar"/>
    <w:uiPriority w:val="99"/>
    <w:semiHidden/>
    <w:unhideWhenUsed/>
    <w:rsid w:val="007C1F28"/>
    <w:rPr>
      <w:b/>
      <w:bCs/>
    </w:rPr>
  </w:style>
  <w:style w:type="character" w:customStyle="1" w:styleId="CommentSubjectChar">
    <w:name w:val="Comment Subject Char"/>
    <w:basedOn w:val="CommentTextChar"/>
    <w:link w:val="CommentSubject"/>
    <w:uiPriority w:val="99"/>
    <w:semiHidden/>
    <w:rsid w:val="007C1F28"/>
    <w:rPr>
      <w:rFonts w:ascii="Calibri" w:eastAsia="Calibri" w:hAnsi="Calibri" w:cs="Times New Roman"/>
      <w:b/>
      <w:bCs/>
      <w:color w:val="000000"/>
      <w:sz w:val="20"/>
      <w:szCs w:val="20"/>
      <w:lang w:val="en-AU"/>
    </w:rPr>
  </w:style>
  <w:style w:type="paragraph" w:customStyle="1" w:styleId="Dash">
    <w:name w:val="Dash"/>
    <w:basedOn w:val="Normal"/>
    <w:rsid w:val="00A4505D"/>
    <w:pPr>
      <w:tabs>
        <w:tab w:val="num" w:pos="1134"/>
      </w:tabs>
      <w:spacing w:before="0" w:after="240"/>
      <w:ind w:left="1134" w:hanging="567"/>
    </w:pPr>
    <w:rPr>
      <w:rFonts w:asciiTheme="minorHAnsi" w:eastAsiaTheme="minorHAnsi" w:hAnsiTheme="minorHAnsi" w:cstheme="minorBidi"/>
      <w:color w:val="auto"/>
      <w:sz w:val="22"/>
      <w:szCs w:val="24"/>
    </w:rPr>
  </w:style>
  <w:style w:type="paragraph" w:customStyle="1" w:styleId="DoubleDot">
    <w:name w:val="Double Dot"/>
    <w:basedOn w:val="Normal"/>
    <w:rsid w:val="00A4505D"/>
    <w:pPr>
      <w:tabs>
        <w:tab w:val="num" w:pos="1701"/>
      </w:tabs>
      <w:spacing w:before="0" w:after="240"/>
      <w:ind w:left="1701" w:hanging="567"/>
    </w:pPr>
    <w:rPr>
      <w:rFonts w:asciiTheme="minorHAnsi" w:eastAsiaTheme="minorHAnsi" w:hAnsiTheme="minorHAnsi" w:cstheme="minorBidi"/>
      <w:color w:val="auto"/>
      <w:sz w:val="22"/>
      <w:szCs w:val="24"/>
    </w:rPr>
  </w:style>
  <w:style w:type="paragraph" w:styleId="ListParagraph">
    <w:name w:val="List Paragraph"/>
    <w:basedOn w:val="Normal"/>
    <w:uiPriority w:val="34"/>
    <w:qFormat/>
    <w:rsid w:val="00161BFD"/>
    <w:pPr>
      <w:ind w:left="720"/>
      <w:contextualSpacing/>
    </w:pPr>
  </w:style>
  <w:style w:type="character" w:customStyle="1" w:styleId="normaltextrun">
    <w:name w:val="normaltextrun"/>
    <w:basedOn w:val="DefaultParagraphFont"/>
    <w:rsid w:val="0050319B"/>
  </w:style>
  <w:style w:type="character" w:customStyle="1" w:styleId="eop">
    <w:name w:val="eop"/>
    <w:basedOn w:val="DefaultParagraphFont"/>
    <w:rsid w:val="0050319B"/>
  </w:style>
  <w:style w:type="paragraph" w:styleId="Header">
    <w:name w:val="header"/>
    <w:basedOn w:val="Normal"/>
    <w:link w:val="HeaderChar"/>
    <w:uiPriority w:val="99"/>
    <w:unhideWhenUsed/>
    <w:rsid w:val="00A91D65"/>
    <w:pPr>
      <w:tabs>
        <w:tab w:val="center" w:pos="4513"/>
        <w:tab w:val="right" w:pos="9026"/>
      </w:tabs>
      <w:spacing w:before="0" w:after="0"/>
    </w:pPr>
  </w:style>
  <w:style w:type="character" w:customStyle="1" w:styleId="HeaderChar">
    <w:name w:val="Header Char"/>
    <w:basedOn w:val="DefaultParagraphFont"/>
    <w:link w:val="Header"/>
    <w:uiPriority w:val="99"/>
    <w:rsid w:val="00A91D65"/>
    <w:rPr>
      <w:rFonts w:ascii="Calibri" w:eastAsia="Calibri" w:hAnsi="Calibri" w:cs="Times New Roman"/>
      <w:color w:val="000000"/>
      <w:sz w:val="18"/>
      <w:lang w:val="en-AU"/>
    </w:rPr>
  </w:style>
  <w:style w:type="character" w:customStyle="1" w:styleId="Heading4Char">
    <w:name w:val="Heading 4 Char"/>
    <w:basedOn w:val="DefaultParagraphFont"/>
    <w:link w:val="Heading4"/>
    <w:uiPriority w:val="9"/>
    <w:rsid w:val="00753C94"/>
    <w:rPr>
      <w:rFonts w:eastAsiaTheme="majorEastAsia" w:cstheme="majorBidi"/>
      <w:i/>
      <w:iCs/>
      <w:color w:val="2E74B5" w:themeColor="accent1" w:themeShade="BF"/>
      <w:kern w:val="2"/>
      <w:sz w:val="24"/>
      <w:szCs w:val="24"/>
      <w:lang w:val="en-GB"/>
      <w14:ligatures w14:val="standardContextual"/>
    </w:rPr>
  </w:style>
  <w:style w:type="paragraph" w:styleId="FootnoteText">
    <w:name w:val="footnote text"/>
    <w:basedOn w:val="Normal"/>
    <w:link w:val="FootnoteTextChar"/>
    <w:uiPriority w:val="99"/>
    <w:semiHidden/>
    <w:unhideWhenUsed/>
    <w:rsid w:val="00753C94"/>
    <w:pPr>
      <w:spacing w:before="0" w:after="0"/>
      <w:ind w:left="0"/>
    </w:pPr>
    <w:rPr>
      <w:rFonts w:asciiTheme="minorHAnsi" w:eastAsiaTheme="minorHAnsi" w:hAnsiTheme="minorHAnsi" w:cstheme="minorBidi"/>
      <w:color w:val="auto"/>
      <w:kern w:val="2"/>
      <w:sz w:val="20"/>
      <w:szCs w:val="20"/>
      <w:lang w:val="en-GB"/>
      <w14:ligatures w14:val="standardContextual"/>
    </w:rPr>
  </w:style>
  <w:style w:type="character" w:customStyle="1" w:styleId="FootnoteTextChar">
    <w:name w:val="Footnote Text Char"/>
    <w:basedOn w:val="DefaultParagraphFont"/>
    <w:link w:val="FootnoteText"/>
    <w:uiPriority w:val="99"/>
    <w:semiHidden/>
    <w:rsid w:val="00753C94"/>
    <w:rPr>
      <w:kern w:val="2"/>
      <w:sz w:val="20"/>
      <w:szCs w:val="20"/>
      <w:lang w:val="en-GB"/>
      <w14:ligatures w14:val="standardContextual"/>
    </w:rPr>
  </w:style>
  <w:style w:type="character" w:styleId="FootnoteReference">
    <w:name w:val="footnote reference"/>
    <w:basedOn w:val="DefaultParagraphFont"/>
    <w:uiPriority w:val="99"/>
    <w:semiHidden/>
    <w:unhideWhenUsed/>
    <w:rsid w:val="00753C94"/>
    <w:rPr>
      <w:vertAlign w:val="superscript"/>
    </w:rPr>
  </w:style>
  <w:style w:type="character" w:styleId="UnresolvedMention">
    <w:name w:val="Unresolved Mention"/>
    <w:basedOn w:val="DefaultParagraphFont"/>
    <w:uiPriority w:val="99"/>
    <w:semiHidden/>
    <w:unhideWhenUsed/>
    <w:rsid w:val="00BB60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95663">
      <w:bodyDiv w:val="1"/>
      <w:marLeft w:val="0"/>
      <w:marRight w:val="0"/>
      <w:marTop w:val="0"/>
      <w:marBottom w:val="0"/>
      <w:divBdr>
        <w:top w:val="none" w:sz="0" w:space="0" w:color="auto"/>
        <w:left w:val="none" w:sz="0" w:space="0" w:color="auto"/>
        <w:bottom w:val="none" w:sz="0" w:space="0" w:color="auto"/>
        <w:right w:val="none" w:sz="0" w:space="0" w:color="auto"/>
      </w:divBdr>
    </w:div>
    <w:div w:id="134033918">
      <w:bodyDiv w:val="1"/>
      <w:marLeft w:val="0"/>
      <w:marRight w:val="0"/>
      <w:marTop w:val="0"/>
      <w:marBottom w:val="0"/>
      <w:divBdr>
        <w:top w:val="none" w:sz="0" w:space="0" w:color="auto"/>
        <w:left w:val="none" w:sz="0" w:space="0" w:color="auto"/>
        <w:bottom w:val="none" w:sz="0" w:space="0" w:color="auto"/>
        <w:right w:val="none" w:sz="0" w:space="0" w:color="auto"/>
      </w:divBdr>
    </w:div>
    <w:div w:id="184638132">
      <w:bodyDiv w:val="1"/>
      <w:marLeft w:val="0"/>
      <w:marRight w:val="0"/>
      <w:marTop w:val="0"/>
      <w:marBottom w:val="0"/>
      <w:divBdr>
        <w:top w:val="none" w:sz="0" w:space="0" w:color="auto"/>
        <w:left w:val="none" w:sz="0" w:space="0" w:color="auto"/>
        <w:bottom w:val="none" w:sz="0" w:space="0" w:color="auto"/>
        <w:right w:val="none" w:sz="0" w:space="0" w:color="auto"/>
      </w:divBdr>
    </w:div>
    <w:div w:id="215089673">
      <w:bodyDiv w:val="1"/>
      <w:marLeft w:val="0"/>
      <w:marRight w:val="0"/>
      <w:marTop w:val="0"/>
      <w:marBottom w:val="0"/>
      <w:divBdr>
        <w:top w:val="none" w:sz="0" w:space="0" w:color="auto"/>
        <w:left w:val="none" w:sz="0" w:space="0" w:color="auto"/>
        <w:bottom w:val="none" w:sz="0" w:space="0" w:color="auto"/>
        <w:right w:val="none" w:sz="0" w:space="0" w:color="auto"/>
      </w:divBdr>
    </w:div>
    <w:div w:id="283390332">
      <w:bodyDiv w:val="1"/>
      <w:marLeft w:val="0"/>
      <w:marRight w:val="0"/>
      <w:marTop w:val="0"/>
      <w:marBottom w:val="0"/>
      <w:divBdr>
        <w:top w:val="none" w:sz="0" w:space="0" w:color="auto"/>
        <w:left w:val="none" w:sz="0" w:space="0" w:color="auto"/>
        <w:bottom w:val="none" w:sz="0" w:space="0" w:color="auto"/>
        <w:right w:val="none" w:sz="0" w:space="0" w:color="auto"/>
      </w:divBdr>
    </w:div>
    <w:div w:id="299652075">
      <w:bodyDiv w:val="1"/>
      <w:marLeft w:val="0"/>
      <w:marRight w:val="0"/>
      <w:marTop w:val="0"/>
      <w:marBottom w:val="0"/>
      <w:divBdr>
        <w:top w:val="none" w:sz="0" w:space="0" w:color="auto"/>
        <w:left w:val="none" w:sz="0" w:space="0" w:color="auto"/>
        <w:bottom w:val="none" w:sz="0" w:space="0" w:color="auto"/>
        <w:right w:val="none" w:sz="0" w:space="0" w:color="auto"/>
      </w:divBdr>
    </w:div>
    <w:div w:id="526723385">
      <w:bodyDiv w:val="1"/>
      <w:marLeft w:val="0"/>
      <w:marRight w:val="0"/>
      <w:marTop w:val="0"/>
      <w:marBottom w:val="0"/>
      <w:divBdr>
        <w:top w:val="none" w:sz="0" w:space="0" w:color="auto"/>
        <w:left w:val="none" w:sz="0" w:space="0" w:color="auto"/>
        <w:bottom w:val="none" w:sz="0" w:space="0" w:color="auto"/>
        <w:right w:val="none" w:sz="0" w:space="0" w:color="auto"/>
      </w:divBdr>
    </w:div>
    <w:div w:id="556287039">
      <w:bodyDiv w:val="1"/>
      <w:marLeft w:val="0"/>
      <w:marRight w:val="0"/>
      <w:marTop w:val="0"/>
      <w:marBottom w:val="0"/>
      <w:divBdr>
        <w:top w:val="none" w:sz="0" w:space="0" w:color="auto"/>
        <w:left w:val="none" w:sz="0" w:space="0" w:color="auto"/>
        <w:bottom w:val="none" w:sz="0" w:space="0" w:color="auto"/>
        <w:right w:val="none" w:sz="0" w:space="0" w:color="auto"/>
      </w:divBdr>
    </w:div>
    <w:div w:id="617953635">
      <w:bodyDiv w:val="1"/>
      <w:marLeft w:val="0"/>
      <w:marRight w:val="0"/>
      <w:marTop w:val="0"/>
      <w:marBottom w:val="0"/>
      <w:divBdr>
        <w:top w:val="none" w:sz="0" w:space="0" w:color="auto"/>
        <w:left w:val="none" w:sz="0" w:space="0" w:color="auto"/>
        <w:bottom w:val="none" w:sz="0" w:space="0" w:color="auto"/>
        <w:right w:val="none" w:sz="0" w:space="0" w:color="auto"/>
      </w:divBdr>
    </w:div>
    <w:div w:id="847211471">
      <w:bodyDiv w:val="1"/>
      <w:marLeft w:val="0"/>
      <w:marRight w:val="0"/>
      <w:marTop w:val="0"/>
      <w:marBottom w:val="0"/>
      <w:divBdr>
        <w:top w:val="none" w:sz="0" w:space="0" w:color="auto"/>
        <w:left w:val="none" w:sz="0" w:space="0" w:color="auto"/>
        <w:bottom w:val="none" w:sz="0" w:space="0" w:color="auto"/>
        <w:right w:val="none" w:sz="0" w:space="0" w:color="auto"/>
      </w:divBdr>
    </w:div>
    <w:div w:id="1017658113">
      <w:bodyDiv w:val="1"/>
      <w:marLeft w:val="0"/>
      <w:marRight w:val="0"/>
      <w:marTop w:val="0"/>
      <w:marBottom w:val="0"/>
      <w:divBdr>
        <w:top w:val="none" w:sz="0" w:space="0" w:color="auto"/>
        <w:left w:val="none" w:sz="0" w:space="0" w:color="auto"/>
        <w:bottom w:val="none" w:sz="0" w:space="0" w:color="auto"/>
        <w:right w:val="none" w:sz="0" w:space="0" w:color="auto"/>
      </w:divBdr>
    </w:div>
    <w:div w:id="1023825678">
      <w:bodyDiv w:val="1"/>
      <w:marLeft w:val="0"/>
      <w:marRight w:val="0"/>
      <w:marTop w:val="0"/>
      <w:marBottom w:val="0"/>
      <w:divBdr>
        <w:top w:val="none" w:sz="0" w:space="0" w:color="auto"/>
        <w:left w:val="none" w:sz="0" w:space="0" w:color="auto"/>
        <w:bottom w:val="none" w:sz="0" w:space="0" w:color="auto"/>
        <w:right w:val="none" w:sz="0" w:space="0" w:color="auto"/>
      </w:divBdr>
    </w:div>
    <w:div w:id="1056323306">
      <w:bodyDiv w:val="1"/>
      <w:marLeft w:val="0"/>
      <w:marRight w:val="0"/>
      <w:marTop w:val="0"/>
      <w:marBottom w:val="0"/>
      <w:divBdr>
        <w:top w:val="none" w:sz="0" w:space="0" w:color="auto"/>
        <w:left w:val="none" w:sz="0" w:space="0" w:color="auto"/>
        <w:bottom w:val="none" w:sz="0" w:space="0" w:color="auto"/>
        <w:right w:val="none" w:sz="0" w:space="0" w:color="auto"/>
      </w:divBdr>
    </w:div>
    <w:div w:id="1108504067">
      <w:bodyDiv w:val="1"/>
      <w:marLeft w:val="0"/>
      <w:marRight w:val="0"/>
      <w:marTop w:val="0"/>
      <w:marBottom w:val="0"/>
      <w:divBdr>
        <w:top w:val="none" w:sz="0" w:space="0" w:color="auto"/>
        <w:left w:val="none" w:sz="0" w:space="0" w:color="auto"/>
        <w:bottom w:val="none" w:sz="0" w:space="0" w:color="auto"/>
        <w:right w:val="none" w:sz="0" w:space="0" w:color="auto"/>
      </w:divBdr>
      <w:divsChild>
        <w:div w:id="719398826">
          <w:marLeft w:val="0"/>
          <w:marRight w:val="0"/>
          <w:marTop w:val="0"/>
          <w:marBottom w:val="0"/>
          <w:divBdr>
            <w:top w:val="none" w:sz="0" w:space="0" w:color="auto"/>
            <w:left w:val="none" w:sz="0" w:space="0" w:color="auto"/>
            <w:bottom w:val="none" w:sz="0" w:space="0" w:color="auto"/>
            <w:right w:val="none" w:sz="0" w:space="0" w:color="auto"/>
          </w:divBdr>
          <w:divsChild>
            <w:div w:id="1127623664">
              <w:marLeft w:val="0"/>
              <w:marRight w:val="0"/>
              <w:marTop w:val="0"/>
              <w:marBottom w:val="0"/>
              <w:divBdr>
                <w:top w:val="none" w:sz="0" w:space="0" w:color="auto"/>
                <w:left w:val="none" w:sz="0" w:space="0" w:color="auto"/>
                <w:bottom w:val="none" w:sz="0" w:space="0" w:color="auto"/>
                <w:right w:val="none" w:sz="0" w:space="0" w:color="auto"/>
              </w:divBdr>
              <w:divsChild>
                <w:div w:id="801730596">
                  <w:marLeft w:val="0"/>
                  <w:marRight w:val="0"/>
                  <w:marTop w:val="0"/>
                  <w:marBottom w:val="0"/>
                  <w:divBdr>
                    <w:top w:val="none" w:sz="0" w:space="0" w:color="auto"/>
                    <w:left w:val="none" w:sz="0" w:space="0" w:color="auto"/>
                    <w:bottom w:val="none" w:sz="0" w:space="0" w:color="auto"/>
                    <w:right w:val="none" w:sz="0" w:space="0" w:color="auto"/>
                  </w:divBdr>
                  <w:divsChild>
                    <w:div w:id="967514645">
                      <w:marLeft w:val="0"/>
                      <w:marRight w:val="0"/>
                      <w:marTop w:val="0"/>
                      <w:marBottom w:val="0"/>
                      <w:divBdr>
                        <w:top w:val="none" w:sz="0" w:space="0" w:color="auto"/>
                        <w:left w:val="none" w:sz="0" w:space="0" w:color="auto"/>
                        <w:bottom w:val="none" w:sz="0" w:space="0" w:color="auto"/>
                        <w:right w:val="none" w:sz="0" w:space="0" w:color="auto"/>
                      </w:divBdr>
                      <w:divsChild>
                        <w:div w:id="1107189221">
                          <w:marLeft w:val="0"/>
                          <w:marRight w:val="0"/>
                          <w:marTop w:val="0"/>
                          <w:marBottom w:val="0"/>
                          <w:divBdr>
                            <w:top w:val="none" w:sz="0" w:space="0" w:color="auto"/>
                            <w:left w:val="none" w:sz="0" w:space="0" w:color="auto"/>
                            <w:bottom w:val="none" w:sz="0" w:space="0" w:color="auto"/>
                            <w:right w:val="none" w:sz="0" w:space="0" w:color="auto"/>
                          </w:divBdr>
                          <w:divsChild>
                            <w:div w:id="92754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241873">
      <w:bodyDiv w:val="1"/>
      <w:marLeft w:val="0"/>
      <w:marRight w:val="0"/>
      <w:marTop w:val="0"/>
      <w:marBottom w:val="0"/>
      <w:divBdr>
        <w:top w:val="none" w:sz="0" w:space="0" w:color="auto"/>
        <w:left w:val="none" w:sz="0" w:space="0" w:color="auto"/>
        <w:bottom w:val="none" w:sz="0" w:space="0" w:color="auto"/>
        <w:right w:val="none" w:sz="0" w:space="0" w:color="auto"/>
      </w:divBdr>
    </w:div>
    <w:div w:id="1305086201">
      <w:bodyDiv w:val="1"/>
      <w:marLeft w:val="0"/>
      <w:marRight w:val="0"/>
      <w:marTop w:val="0"/>
      <w:marBottom w:val="0"/>
      <w:divBdr>
        <w:top w:val="none" w:sz="0" w:space="0" w:color="auto"/>
        <w:left w:val="none" w:sz="0" w:space="0" w:color="auto"/>
        <w:bottom w:val="none" w:sz="0" w:space="0" w:color="auto"/>
        <w:right w:val="none" w:sz="0" w:space="0" w:color="auto"/>
      </w:divBdr>
    </w:div>
    <w:div w:id="1424958201">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0">
          <w:marLeft w:val="0"/>
          <w:marRight w:val="0"/>
          <w:marTop w:val="0"/>
          <w:marBottom w:val="0"/>
          <w:divBdr>
            <w:top w:val="none" w:sz="0" w:space="0" w:color="auto"/>
            <w:left w:val="none" w:sz="0" w:space="0" w:color="auto"/>
            <w:bottom w:val="none" w:sz="0" w:space="0" w:color="auto"/>
            <w:right w:val="none" w:sz="0" w:space="0" w:color="auto"/>
          </w:divBdr>
          <w:divsChild>
            <w:div w:id="1799949792">
              <w:marLeft w:val="0"/>
              <w:marRight w:val="0"/>
              <w:marTop w:val="0"/>
              <w:marBottom w:val="0"/>
              <w:divBdr>
                <w:top w:val="none" w:sz="0" w:space="0" w:color="auto"/>
                <w:left w:val="none" w:sz="0" w:space="0" w:color="auto"/>
                <w:bottom w:val="none" w:sz="0" w:space="0" w:color="auto"/>
                <w:right w:val="none" w:sz="0" w:space="0" w:color="auto"/>
              </w:divBdr>
              <w:divsChild>
                <w:div w:id="153616790">
                  <w:marLeft w:val="0"/>
                  <w:marRight w:val="0"/>
                  <w:marTop w:val="0"/>
                  <w:marBottom w:val="0"/>
                  <w:divBdr>
                    <w:top w:val="none" w:sz="0" w:space="0" w:color="auto"/>
                    <w:left w:val="none" w:sz="0" w:space="0" w:color="auto"/>
                    <w:bottom w:val="none" w:sz="0" w:space="0" w:color="auto"/>
                    <w:right w:val="none" w:sz="0" w:space="0" w:color="auto"/>
                  </w:divBdr>
                  <w:divsChild>
                    <w:div w:id="545215724">
                      <w:marLeft w:val="0"/>
                      <w:marRight w:val="0"/>
                      <w:marTop w:val="0"/>
                      <w:marBottom w:val="0"/>
                      <w:divBdr>
                        <w:top w:val="none" w:sz="0" w:space="0" w:color="auto"/>
                        <w:left w:val="none" w:sz="0" w:space="0" w:color="auto"/>
                        <w:bottom w:val="none" w:sz="0" w:space="0" w:color="auto"/>
                        <w:right w:val="none" w:sz="0" w:space="0" w:color="auto"/>
                      </w:divBdr>
                      <w:divsChild>
                        <w:div w:id="1587494270">
                          <w:marLeft w:val="0"/>
                          <w:marRight w:val="0"/>
                          <w:marTop w:val="0"/>
                          <w:marBottom w:val="0"/>
                          <w:divBdr>
                            <w:top w:val="none" w:sz="0" w:space="0" w:color="auto"/>
                            <w:left w:val="none" w:sz="0" w:space="0" w:color="auto"/>
                            <w:bottom w:val="none" w:sz="0" w:space="0" w:color="auto"/>
                            <w:right w:val="none" w:sz="0" w:space="0" w:color="auto"/>
                          </w:divBdr>
                          <w:divsChild>
                            <w:div w:id="73682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7672341">
      <w:bodyDiv w:val="1"/>
      <w:marLeft w:val="0"/>
      <w:marRight w:val="0"/>
      <w:marTop w:val="0"/>
      <w:marBottom w:val="0"/>
      <w:divBdr>
        <w:top w:val="none" w:sz="0" w:space="0" w:color="auto"/>
        <w:left w:val="none" w:sz="0" w:space="0" w:color="auto"/>
        <w:bottom w:val="none" w:sz="0" w:space="0" w:color="auto"/>
        <w:right w:val="none" w:sz="0" w:space="0" w:color="auto"/>
      </w:divBdr>
    </w:div>
    <w:div w:id="1677731325">
      <w:bodyDiv w:val="1"/>
      <w:marLeft w:val="0"/>
      <w:marRight w:val="0"/>
      <w:marTop w:val="0"/>
      <w:marBottom w:val="0"/>
      <w:divBdr>
        <w:top w:val="none" w:sz="0" w:space="0" w:color="auto"/>
        <w:left w:val="none" w:sz="0" w:space="0" w:color="auto"/>
        <w:bottom w:val="none" w:sz="0" w:space="0" w:color="auto"/>
        <w:right w:val="none" w:sz="0" w:space="0" w:color="auto"/>
      </w:divBdr>
    </w:div>
    <w:div w:id="1855875767">
      <w:bodyDiv w:val="1"/>
      <w:marLeft w:val="0"/>
      <w:marRight w:val="0"/>
      <w:marTop w:val="0"/>
      <w:marBottom w:val="0"/>
      <w:divBdr>
        <w:top w:val="none" w:sz="0" w:space="0" w:color="auto"/>
        <w:left w:val="none" w:sz="0" w:space="0" w:color="auto"/>
        <w:bottom w:val="none" w:sz="0" w:space="0" w:color="auto"/>
        <w:right w:val="none" w:sz="0" w:space="0" w:color="auto"/>
      </w:divBdr>
    </w:div>
    <w:div w:id="1916359975">
      <w:bodyDiv w:val="1"/>
      <w:marLeft w:val="0"/>
      <w:marRight w:val="0"/>
      <w:marTop w:val="0"/>
      <w:marBottom w:val="0"/>
      <w:divBdr>
        <w:top w:val="none" w:sz="0" w:space="0" w:color="auto"/>
        <w:left w:val="none" w:sz="0" w:space="0" w:color="auto"/>
        <w:bottom w:val="none" w:sz="0" w:space="0" w:color="auto"/>
        <w:right w:val="none" w:sz="0" w:space="0" w:color="auto"/>
      </w:divBdr>
    </w:div>
    <w:div w:id="1922906986">
      <w:bodyDiv w:val="1"/>
      <w:marLeft w:val="0"/>
      <w:marRight w:val="0"/>
      <w:marTop w:val="0"/>
      <w:marBottom w:val="0"/>
      <w:divBdr>
        <w:top w:val="none" w:sz="0" w:space="0" w:color="auto"/>
        <w:left w:val="none" w:sz="0" w:space="0" w:color="auto"/>
        <w:bottom w:val="none" w:sz="0" w:space="0" w:color="auto"/>
        <w:right w:val="none" w:sz="0" w:space="0" w:color="auto"/>
      </w:divBdr>
    </w:div>
    <w:div w:id="2014716713">
      <w:bodyDiv w:val="1"/>
      <w:marLeft w:val="0"/>
      <w:marRight w:val="0"/>
      <w:marTop w:val="0"/>
      <w:marBottom w:val="0"/>
      <w:divBdr>
        <w:top w:val="none" w:sz="0" w:space="0" w:color="auto"/>
        <w:left w:val="none" w:sz="0" w:space="0" w:color="auto"/>
        <w:bottom w:val="none" w:sz="0" w:space="0" w:color="auto"/>
        <w:right w:val="none" w:sz="0" w:space="0" w:color="auto"/>
      </w:divBdr>
    </w:div>
    <w:div w:id="2073456129">
      <w:bodyDiv w:val="1"/>
      <w:marLeft w:val="0"/>
      <w:marRight w:val="0"/>
      <w:marTop w:val="0"/>
      <w:marBottom w:val="0"/>
      <w:divBdr>
        <w:top w:val="none" w:sz="0" w:space="0" w:color="auto"/>
        <w:left w:val="none" w:sz="0" w:space="0" w:color="auto"/>
        <w:bottom w:val="none" w:sz="0" w:space="0" w:color="auto"/>
        <w:right w:val="none" w:sz="0" w:space="0" w:color="auto"/>
      </w:divBdr>
    </w:div>
    <w:div w:id="2082436694">
      <w:bodyDiv w:val="1"/>
      <w:marLeft w:val="0"/>
      <w:marRight w:val="0"/>
      <w:marTop w:val="0"/>
      <w:marBottom w:val="0"/>
      <w:divBdr>
        <w:top w:val="none" w:sz="0" w:space="0" w:color="auto"/>
        <w:left w:val="none" w:sz="0" w:space="0" w:color="auto"/>
        <w:bottom w:val="none" w:sz="0" w:space="0" w:color="auto"/>
        <w:right w:val="none" w:sz="0" w:space="0" w:color="auto"/>
      </w:divBdr>
    </w:div>
    <w:div w:id="2087801705">
      <w:bodyDiv w:val="1"/>
      <w:marLeft w:val="0"/>
      <w:marRight w:val="0"/>
      <w:marTop w:val="0"/>
      <w:marBottom w:val="0"/>
      <w:divBdr>
        <w:top w:val="none" w:sz="0" w:space="0" w:color="auto"/>
        <w:left w:val="none" w:sz="0" w:space="0" w:color="auto"/>
        <w:bottom w:val="none" w:sz="0" w:space="0" w:color="auto"/>
        <w:right w:val="none" w:sz="0" w:space="0" w:color="auto"/>
      </w:divBdr>
    </w:div>
    <w:div w:id="212507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FCA66-289A-4DA6-A6DD-94E61E170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277</Words>
  <Characters>1995</Characters>
  <Application>Microsoft Office Word</Application>
  <DocSecurity>0</DocSecurity>
  <Lines>38</Lines>
  <Paragraphs>24</Paragraphs>
  <ScaleCrop>false</ScaleCrop>
  <HeadingPairs>
    <vt:vector size="2" baseType="variant">
      <vt:variant>
        <vt:lpstr>Title</vt:lpstr>
      </vt:variant>
      <vt:variant>
        <vt:i4>1</vt:i4>
      </vt:variant>
    </vt:vector>
  </HeadingPairs>
  <TitlesOfParts>
    <vt:vector size="1" baseType="lpstr">
      <vt:lpstr>Communiqué – 11 September 2026</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Communiqué – 11 September 2026</dc:title>
  <dc:subject/>
  <dc:creator>Financial Reporting Council</dc:creator>
  <cp:keywords/>
  <dc:description/>
  <cp:lastModifiedBy/>
  <cp:revision>1</cp:revision>
  <dcterms:created xsi:type="dcterms:W3CDTF">2026-11-02T03:51:00Z</dcterms:created>
  <dcterms:modified xsi:type="dcterms:W3CDTF">2026-11-02T03:53:00Z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2026-11-02T03:53:55Z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068e48af-d8bd-449b-9150-21868f05495b</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