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09911087" w:displacedByCustomXml="next"/>
    <w:sdt>
      <w:sdtPr>
        <w:id w:val="389166347"/>
        <w:docPartObj>
          <w:docPartGallery w:val="Cover Pages"/>
          <w:docPartUnique/>
        </w:docPartObj>
      </w:sdtPr>
      <w:sdtEndPr>
        <w:rPr>
          <w:rFonts w:asciiTheme="minorHAnsi" w:hAnsiTheme="minorHAnsi"/>
          <w:lang w:val="en-GB"/>
        </w:rPr>
      </w:sdtEndPr>
      <w:sdtContent>
        <w:p w14:paraId="69F96A57" w14:textId="731007CC" w:rsidR="00B5341C" w:rsidRPr="006D0240" w:rsidRDefault="00B5341C" w:rsidP="0094076E">
          <w:pPr>
            <w:spacing w:after="1000"/>
          </w:pPr>
          <w:r>
            <w:rPr>
              <w:noProof/>
            </w:rPr>
            <w:drawing>
              <wp:anchor distT="0" distB="0" distL="114300" distR="114300" simplePos="0" relativeHeight="251658240" behindDoc="1" locked="0" layoutInCell="1" allowOverlap="1" wp14:anchorId="257C3E6F" wp14:editId="39DD667E">
                <wp:simplePos x="0" y="0"/>
                <wp:positionH relativeFrom="page">
                  <wp:posOffset>13648</wp:posOffset>
                </wp:positionH>
                <wp:positionV relativeFrom="page">
                  <wp:posOffset>-13648</wp:posOffset>
                </wp:positionV>
                <wp:extent cx="7552689" cy="10683402"/>
                <wp:effectExtent l="0" t="0" r="0" b="3810"/>
                <wp:wrapNone/>
                <wp:docPr id="575836895" name="Picture 5758368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836895" name="Picture 575836895">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52689" cy="106834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716F56" w14:textId="51D92308" w:rsidR="00B5341C" w:rsidRPr="006D0240" w:rsidRDefault="00B5341C" w:rsidP="0094076E">
          <w:pPr>
            <w:pStyle w:val="Header"/>
            <w:spacing w:after="1440"/>
          </w:pPr>
        </w:p>
        <w:p w14:paraId="12EFACA0" w14:textId="2CA3D941" w:rsidR="0094076E" w:rsidRPr="008A48F0" w:rsidRDefault="0094076E" w:rsidP="0094076E">
          <w:pPr>
            <w:pStyle w:val="Subtitle"/>
            <w:spacing w:before="600"/>
          </w:pPr>
          <w:r w:rsidRPr="004E4C36">
            <w:t>Financial</w:t>
          </w:r>
          <w:r w:rsidRPr="008A48F0">
            <w:t xml:space="preserve"> Reporting </w:t>
          </w:r>
          <w:r w:rsidRPr="0094076E">
            <w:t>Council</w:t>
          </w:r>
        </w:p>
        <w:p w14:paraId="0CD14C64" w14:textId="7C7055A0" w:rsidR="00E15AC7" w:rsidRPr="006E3717" w:rsidRDefault="0094076E" w:rsidP="006E3717">
          <w:pPr>
            <w:pStyle w:val="Title"/>
          </w:pPr>
          <w:r w:rsidRPr="006E3717">
            <w:t>202</w:t>
          </w:r>
          <w:r w:rsidR="00B31CEF">
            <w:t>5</w:t>
          </w:r>
          <w:r w:rsidRPr="006E3717">
            <w:t>–2</w:t>
          </w:r>
          <w:r w:rsidR="00B31CEF">
            <w:t>6</w:t>
          </w:r>
          <w:r w:rsidRPr="006E3717">
            <w:t xml:space="preserve"> Annual Report</w:t>
          </w:r>
        </w:p>
        <w:p w14:paraId="1C48B454" w14:textId="77777777" w:rsidR="0094076E" w:rsidRPr="0094076E" w:rsidRDefault="0094076E" w:rsidP="0094076E"/>
        <w:p w14:paraId="1CEB50B4" w14:textId="77777777" w:rsidR="00E15AC7" w:rsidRDefault="00E15AC7" w:rsidP="00B96BA4">
          <w:pPr>
            <w:spacing w:before="0" w:after="160" w:line="259" w:lineRule="auto"/>
            <w:rPr>
              <w:highlight w:val="yellow"/>
            </w:rPr>
            <w:sectPr w:rsidR="00E15AC7" w:rsidSect="005E5EE1">
              <w:footerReference w:type="even" r:id="rId8"/>
              <w:footerReference w:type="default" r:id="rId9"/>
              <w:type w:val="continuous"/>
              <w:pgSz w:w="11906" w:h="16838" w:code="9"/>
              <w:pgMar w:top="1843" w:right="1418" w:bottom="1418" w:left="1418" w:header="708" w:footer="708" w:gutter="0"/>
              <w:cols w:space="708"/>
              <w:titlePg/>
              <w:docGrid w:linePitch="360"/>
            </w:sectPr>
          </w:pPr>
        </w:p>
        <w:p w14:paraId="21C8F90A" w14:textId="6D851600" w:rsidR="00B96BA4" w:rsidRDefault="00B96BA4" w:rsidP="00B96BA4">
          <w:pPr>
            <w:spacing w:before="0" w:after="160" w:line="259" w:lineRule="auto"/>
          </w:pPr>
          <w:r w:rsidRPr="00191218">
            <w:lastRenderedPageBreak/>
            <w:t xml:space="preserve">© Commonwealth of Australia </w:t>
          </w:r>
          <w:r w:rsidR="00BA67F5" w:rsidRPr="00191218">
            <w:t>2026</w:t>
          </w:r>
        </w:p>
        <w:p w14:paraId="3606C256" w14:textId="746530BF" w:rsidR="00B96BA4" w:rsidRDefault="00B96BA4" w:rsidP="00B96BA4">
          <w:pPr>
            <w:tabs>
              <w:tab w:val="left" w:pos="1650"/>
            </w:tabs>
            <w:spacing w:before="240"/>
          </w:pPr>
          <w:r w:rsidRPr="00AE59BD">
            <w:t>ISSN: 2204</w:t>
          </w:r>
          <w:r w:rsidR="009C134F">
            <w:noBreakHyphen/>
          </w:r>
          <w:r w:rsidRPr="00AE59BD">
            <w:t>0935 (print), 2204</w:t>
          </w:r>
          <w:r w:rsidR="009C134F">
            <w:noBreakHyphen/>
          </w:r>
          <w:r w:rsidRPr="00AE59BD">
            <w:t>0943 (online)</w:t>
          </w:r>
        </w:p>
        <w:p w14:paraId="3C5A1E95" w14:textId="77777777" w:rsidR="00B96BA4" w:rsidRPr="00086F82" w:rsidRDefault="00B96BA4" w:rsidP="00B96BA4">
          <w:pPr>
            <w:tabs>
              <w:tab w:val="left" w:pos="1650"/>
            </w:tabs>
            <w:spacing w:before="240"/>
            <w:rPr>
              <w:rFonts w:cstheme="minorBidi"/>
              <w:sz w:val="24"/>
              <w:szCs w:val="24"/>
            </w:rPr>
          </w:pPr>
          <w:r w:rsidRPr="002F1BC2">
            <w:t>This publication is available for your use under a</w:t>
          </w:r>
          <w:r w:rsidRPr="00476F09">
            <w:rPr>
              <w:rFonts w:cstheme="minorHAnsi"/>
              <w:sz w:val="24"/>
              <w:szCs w:val="24"/>
            </w:rPr>
            <w:t xml:space="preserve"> </w:t>
          </w:r>
          <w:hyperlink r:id="rId10" w:history="1">
            <w:r>
              <w:rPr>
                <w:rStyle w:val="Hyperlink"/>
              </w:rPr>
              <w:t>Creative Commons Attribution 4.0 International</w:t>
            </w:r>
          </w:hyperlink>
          <w:r w:rsidRPr="00476F09">
            <w:rPr>
              <w:rFonts w:cstheme="minorHAnsi"/>
              <w:sz w:val="24"/>
              <w:szCs w:val="24"/>
            </w:rPr>
            <w:t xml:space="preserve"> </w:t>
          </w:r>
          <w:r w:rsidRPr="002F1BC2">
            <w:t xml:space="preserve">licence, </w:t>
          </w:r>
          <w:proofErr w:type="gramStart"/>
          <w:r w:rsidRPr="002F1BC2">
            <w:t>with the exception of</w:t>
          </w:r>
          <w:proofErr w:type="gramEnd"/>
          <w:r w:rsidRPr="002F1BC2">
            <w:t xml:space="preserve"> the Commonwealth Coat of Arms, the Treasury logo</w:t>
          </w:r>
          <w:r>
            <w:t xml:space="preserve">, photographs, images, </w:t>
          </w:r>
          <w:r w:rsidRPr="004F5ACF">
            <w:t>third party materials, materials protected by a trademark,</w:t>
          </w:r>
          <w:r>
            <w:t xml:space="preserve"> signatures </w:t>
          </w:r>
          <w:r w:rsidRPr="002F1BC2">
            <w:t>and where otherwise stated</w:t>
          </w:r>
          <w:r>
            <w:t xml:space="preserve">. </w:t>
          </w:r>
          <w:r w:rsidRPr="002F1BC2">
            <w:t>The full licence terms are available from</w:t>
          </w:r>
          <w:r w:rsidRPr="00476F09">
            <w:rPr>
              <w:rFonts w:cstheme="minorHAnsi"/>
              <w:sz w:val="24"/>
              <w:szCs w:val="24"/>
            </w:rPr>
            <w:t xml:space="preserve"> </w:t>
          </w:r>
          <w:hyperlink r:id="rId11" w:history="1">
            <w:r>
              <w:rPr>
                <w:rStyle w:val="Hyperlink"/>
              </w:rPr>
              <w:t>creativecommons.org/licenses/by/4.0/</w:t>
            </w:r>
            <w:proofErr w:type="spellStart"/>
            <w:r>
              <w:rPr>
                <w:rStyle w:val="Hyperlink"/>
              </w:rPr>
              <w:t>legalcode</w:t>
            </w:r>
            <w:proofErr w:type="spellEnd"/>
          </w:hyperlink>
          <w:r w:rsidRPr="00444CDB">
            <w:t>.</w:t>
          </w:r>
          <w:r w:rsidRPr="00D06A21">
            <w:rPr>
              <w:sz w:val="24"/>
              <w:szCs w:val="24"/>
            </w:rPr>
            <w:t xml:space="preserve"> </w:t>
          </w:r>
        </w:p>
        <w:p w14:paraId="6853FC97" w14:textId="77777777" w:rsidR="00B96BA4" w:rsidRDefault="00B96BA4" w:rsidP="00B96BA4">
          <w:pPr>
            <w:pStyle w:val="ChartGraphic"/>
            <w:jc w:val="left"/>
          </w:pPr>
          <w:r w:rsidRPr="00E56DFB">
            <w:rPr>
              <w:noProof/>
            </w:rPr>
            <w:drawing>
              <wp:inline distT="0" distB="0" distL="0" distR="0" wp14:anchorId="5D57C1A2" wp14:editId="0AAC57FE">
                <wp:extent cx="809625" cy="285750"/>
                <wp:effectExtent l="0" t="0" r="9525" b="0"/>
                <wp:docPr id="387628755" name="Picture 1" descr="P9#yIS1" title="Creative Common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628755" name="Picture 1" descr="P9#yIS1" title="Creative Commons ic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w="9525">
                          <a:noFill/>
                          <a:miter lim="800000"/>
                          <a:headEnd/>
                          <a:tailEnd/>
                        </a:ln>
                      </pic:spPr>
                    </pic:pic>
                  </a:graphicData>
                </a:graphic>
              </wp:inline>
            </w:drawing>
          </w:r>
        </w:p>
        <w:p w14:paraId="790E0B1D" w14:textId="12EA00D1" w:rsidR="00B96BA4" w:rsidRPr="006627B4" w:rsidRDefault="00B96BA4" w:rsidP="00B96BA4">
          <w:pPr>
            <w:tabs>
              <w:tab w:val="left" w:pos="1650"/>
            </w:tabs>
            <w:spacing w:before="240"/>
          </w:pPr>
          <w:r w:rsidRPr="006627B4">
            <w:t>Use of Treasury material under a</w:t>
          </w:r>
          <w:r w:rsidRPr="00476F09">
            <w:rPr>
              <w:rFonts w:cstheme="minorHAnsi"/>
              <w:sz w:val="24"/>
              <w:szCs w:val="24"/>
            </w:rPr>
            <w:t xml:space="preserve"> </w:t>
          </w:r>
          <w:hyperlink r:id="rId13" w:history="1">
            <w:r>
              <w:rPr>
                <w:rStyle w:val="Hyperlink"/>
              </w:rPr>
              <w:t>Creative Commons Attribution 4.0 International</w:t>
            </w:r>
          </w:hyperlink>
          <w:r>
            <w:t xml:space="preserve"> l</w:t>
          </w:r>
          <w:r w:rsidRPr="006627B4">
            <w:t>icence requires you to attribute the work (but not in any way that suggests that the Treasury endorse</w:t>
          </w:r>
          <w:r>
            <w:t>s you or your use of the work).</w:t>
          </w:r>
          <w:r w:rsidR="004A5BEE">
            <w:t xml:space="preserve"> </w:t>
          </w:r>
        </w:p>
        <w:p w14:paraId="2ACD44B5" w14:textId="28F2FB7E" w:rsidR="00B96BA4" w:rsidRPr="00444CDB" w:rsidRDefault="00B96BA4" w:rsidP="00B96BA4">
          <w:pPr>
            <w:spacing w:before="240"/>
            <w:rPr>
              <w:rStyle w:val="Strong"/>
            </w:rPr>
          </w:pPr>
          <w:r w:rsidRPr="00444CDB">
            <w:rPr>
              <w:rStyle w:val="Strong"/>
            </w:rPr>
            <w:t xml:space="preserve">Treasury material used </w:t>
          </w:r>
          <w:r w:rsidR="009C134F">
            <w:rPr>
              <w:rStyle w:val="Strong"/>
            </w:rPr>
            <w:t>‘</w:t>
          </w:r>
          <w:r w:rsidRPr="00444CDB">
            <w:rPr>
              <w:rStyle w:val="Strong"/>
            </w:rPr>
            <w:t>as supplied</w:t>
          </w:r>
          <w:r w:rsidR="009C134F">
            <w:rPr>
              <w:rStyle w:val="Strong"/>
            </w:rPr>
            <w:t>’</w:t>
          </w:r>
        </w:p>
        <w:p w14:paraId="1FD1A042" w14:textId="77777777" w:rsidR="00B96BA4" w:rsidRPr="00476F09" w:rsidRDefault="00B96BA4" w:rsidP="00B96BA4">
          <w:r w:rsidRPr="00476F09">
            <w:t>Provided you have not modified or transformed Treasury material in any way including, for example, by</w:t>
          </w:r>
          <w:r>
            <w:t xml:space="preserve"> </w:t>
          </w:r>
          <w:r w:rsidRPr="0096692D">
            <w:t>changing the Treasury text; calculating percentage changes; graphing or charting data</w:t>
          </w:r>
          <w:r>
            <w:t>;</w:t>
          </w:r>
          <w:r w:rsidRPr="0096692D">
            <w:t xml:space="preserve"> or deriving new statistics from published Treasury statistics</w:t>
          </w:r>
          <w:r>
            <w:t xml:space="preserve"> </w:t>
          </w:r>
          <w:r>
            <w:rPr>
              <w:rFonts w:cs="Calibri Light"/>
            </w:rPr>
            <w:t>–</w:t>
          </w:r>
          <w:r>
            <w:t xml:space="preserve"> then Treasury prefers t</w:t>
          </w:r>
          <w:r w:rsidRPr="00476F09">
            <w:t xml:space="preserve">he following attribution: </w:t>
          </w:r>
        </w:p>
        <w:p w14:paraId="47FDC8E9" w14:textId="77777777" w:rsidR="00B96BA4" w:rsidRPr="00A13A11" w:rsidRDefault="00B96BA4" w:rsidP="00B96BA4">
          <w:pPr>
            <w:ind w:firstLine="720"/>
          </w:pPr>
          <w:r w:rsidRPr="00E17231">
            <w:rPr>
              <w:iCs/>
            </w:rPr>
            <w:t>Source:</w:t>
          </w:r>
          <w:r w:rsidRPr="002F1BC2">
            <w:rPr>
              <w:i/>
            </w:rPr>
            <w:t xml:space="preserve"> </w:t>
          </w:r>
          <w:r w:rsidRPr="00AC2B70">
            <w:rPr>
              <w:rStyle w:val="Emphasis"/>
            </w:rPr>
            <w:t>The Commonwealth of Australia.</w:t>
          </w:r>
        </w:p>
        <w:p w14:paraId="6E1170AD" w14:textId="77777777" w:rsidR="00B96BA4" w:rsidRPr="00444CDB" w:rsidRDefault="00B96BA4" w:rsidP="00B96BA4">
          <w:pPr>
            <w:spacing w:before="240"/>
            <w:rPr>
              <w:rStyle w:val="Strong"/>
            </w:rPr>
          </w:pPr>
          <w:r w:rsidRPr="00444CDB">
            <w:rPr>
              <w:rStyle w:val="Strong"/>
            </w:rPr>
            <w:t>Derivative material</w:t>
          </w:r>
        </w:p>
        <w:p w14:paraId="2E1C9B7A" w14:textId="77777777" w:rsidR="00B96BA4" w:rsidRPr="006627B4" w:rsidRDefault="00B96BA4" w:rsidP="00B96BA4">
          <w:r w:rsidRPr="006627B4">
            <w:t xml:space="preserve">If you have modified or transformed Treasury material, or derived new material from those of the Treasury in any way, then Treasury prefers the following attribution: </w:t>
          </w:r>
        </w:p>
        <w:p w14:paraId="1A857043" w14:textId="77777777" w:rsidR="00B96BA4" w:rsidRPr="00AC2B70" w:rsidRDefault="00B96BA4" w:rsidP="00B96BA4">
          <w:pPr>
            <w:ind w:firstLine="720"/>
            <w:rPr>
              <w:rStyle w:val="Emphasis"/>
            </w:rPr>
          </w:pPr>
          <w:r w:rsidRPr="00AC2B70">
            <w:rPr>
              <w:rStyle w:val="Emphasis"/>
            </w:rPr>
            <w:t>Based on Commonwealth of Australia</w:t>
          </w:r>
          <w:r w:rsidRPr="00AC2B70" w:rsidDel="002A3368">
            <w:rPr>
              <w:rStyle w:val="Emphasis"/>
            </w:rPr>
            <w:t xml:space="preserve"> </w:t>
          </w:r>
          <w:r w:rsidRPr="00AC2B70">
            <w:rPr>
              <w:rStyle w:val="Emphasis"/>
            </w:rPr>
            <w:t>data</w:t>
          </w:r>
          <w:r w:rsidRPr="00E17231">
            <w:rPr>
              <w:rStyle w:val="Emphasis"/>
            </w:rPr>
            <w:t>.</w:t>
          </w:r>
        </w:p>
        <w:p w14:paraId="0C30851F" w14:textId="77777777" w:rsidR="00B96BA4" w:rsidRPr="00444CDB" w:rsidRDefault="00B96BA4" w:rsidP="00B96BA4">
          <w:pPr>
            <w:spacing w:before="240"/>
            <w:rPr>
              <w:rStyle w:val="Strong"/>
            </w:rPr>
          </w:pPr>
          <w:r w:rsidRPr="00444CDB">
            <w:rPr>
              <w:rStyle w:val="Strong"/>
            </w:rPr>
            <w:t>Use of the Coat of Arms</w:t>
          </w:r>
        </w:p>
        <w:p w14:paraId="3C6FB461" w14:textId="26C0A560" w:rsidR="00B96BA4" w:rsidRPr="005C503A" w:rsidRDefault="00B96BA4" w:rsidP="00B96BA4">
          <w:pPr>
            <w:spacing w:before="240"/>
          </w:pPr>
          <w:r w:rsidRPr="005C503A">
            <w:t xml:space="preserve">The terms under which the Coat of Arms can be used are set out on the Department of the Prime Minister and Cabinet website (see </w:t>
          </w:r>
          <w:hyperlink r:id="rId14" w:history="1">
            <w:r>
              <w:rPr>
                <w:rStyle w:val="Hyperlink"/>
              </w:rPr>
              <w:t>www.pmc.gov.au/government/commonwealth</w:t>
            </w:r>
            <w:r w:rsidR="009C134F">
              <w:rPr>
                <w:rStyle w:val="Hyperlink"/>
              </w:rPr>
              <w:noBreakHyphen/>
            </w:r>
            <w:r>
              <w:rPr>
                <w:rStyle w:val="Hyperlink"/>
              </w:rPr>
              <w:t>coat</w:t>
            </w:r>
            <w:r w:rsidR="009C134F">
              <w:rPr>
                <w:rStyle w:val="Hyperlink"/>
              </w:rPr>
              <w:noBreakHyphen/>
            </w:r>
            <w:r>
              <w:rPr>
                <w:rStyle w:val="Hyperlink"/>
              </w:rPr>
              <w:t>arms</w:t>
            </w:r>
          </w:hyperlink>
          <w:r w:rsidRPr="005C503A">
            <w:t>).</w:t>
          </w:r>
        </w:p>
        <w:p w14:paraId="2467B6F8" w14:textId="77777777" w:rsidR="00B96BA4" w:rsidRPr="00444CDB" w:rsidRDefault="00B96BA4" w:rsidP="00B96BA4">
          <w:pPr>
            <w:spacing w:before="240"/>
            <w:rPr>
              <w:rStyle w:val="Strong"/>
            </w:rPr>
          </w:pPr>
          <w:r w:rsidRPr="00444CDB">
            <w:rPr>
              <w:rStyle w:val="Strong"/>
            </w:rPr>
            <w:t>Other uses</w:t>
          </w:r>
        </w:p>
        <w:p w14:paraId="39E317BE" w14:textId="77777777" w:rsidR="00B96BA4" w:rsidRPr="006627B4" w:rsidRDefault="00B96BA4" w:rsidP="00B96BA4">
          <w:r>
            <w:t>E</w:t>
          </w:r>
          <w:r w:rsidRPr="006627B4">
            <w:t>nquiries regarding this licence and any other use of this document are welcome at:</w:t>
          </w:r>
        </w:p>
        <w:p w14:paraId="5812B115" w14:textId="5C42DAE6" w:rsidR="00B96BA4" w:rsidRDefault="00B96BA4" w:rsidP="00B96BA4">
          <w:pPr>
            <w:ind w:left="720"/>
            <w:rPr>
              <w:rStyle w:val="Hyperlink"/>
            </w:rPr>
          </w:pPr>
          <w:r w:rsidRPr="006627B4">
            <w:t>Manager</w:t>
          </w:r>
          <w:r>
            <w:br/>
            <w:t>Media Unit</w:t>
          </w:r>
          <w:r>
            <w:br/>
          </w:r>
          <w:r w:rsidRPr="006627B4">
            <w:t>The Treasury</w:t>
          </w:r>
          <w:r>
            <w:br/>
          </w:r>
          <w:r w:rsidRPr="006627B4">
            <w:t xml:space="preserve">Langton Crescent </w:t>
          </w:r>
          <w:r>
            <w:br/>
          </w:r>
          <w:r w:rsidR="006A545E" w:rsidRPr="006627B4">
            <w:t xml:space="preserve">Parkes </w:t>
          </w:r>
          <w:r w:rsidR="006A545E">
            <w:t>ACT</w:t>
          </w:r>
          <w:r w:rsidRPr="006627B4">
            <w:t xml:space="preserve"> </w:t>
          </w:r>
          <w:r>
            <w:t xml:space="preserve"> </w:t>
          </w:r>
          <w:r w:rsidRPr="006627B4">
            <w:t>2600</w:t>
          </w:r>
          <w:r>
            <w:br/>
          </w:r>
          <w:r w:rsidRPr="006627B4">
            <w:t xml:space="preserve">Email: </w:t>
          </w:r>
          <w:hyperlink r:id="rId15" w:history="1">
            <w:r>
              <w:rPr>
                <w:rStyle w:val="Hyperlink"/>
              </w:rPr>
              <w:t>media@treasury.gov.au</w:t>
            </w:r>
          </w:hyperlink>
        </w:p>
        <w:p w14:paraId="60206365" w14:textId="77777777" w:rsidR="00B96BA4" w:rsidRPr="003F1597" w:rsidRDefault="00B96BA4" w:rsidP="00925C35">
          <w:pPr>
            <w:spacing w:before="360"/>
            <w:rPr>
              <w:rStyle w:val="Emphasis"/>
            </w:rPr>
          </w:pPr>
          <w:r w:rsidRPr="003F1597">
            <w:rPr>
              <w:rStyle w:val="Emphasis"/>
            </w:rPr>
            <w:t>In the spirit of reconciliation, the Treasury acknowledges the Traditional Custodians of country throughout Australia and their connections to land, sea and community. We pay our respect to their Elders past and present and extend that respect to all Aboriginal and Torres Strait Islander peoples.</w:t>
          </w:r>
        </w:p>
        <w:p w14:paraId="56D21356" w14:textId="77777777" w:rsidR="00B61409" w:rsidRDefault="00B61409">
          <w:pPr>
            <w:spacing w:before="0" w:after="0"/>
            <w:rPr>
              <w:rFonts w:asciiTheme="minorHAnsi" w:hAnsiTheme="minorHAnsi"/>
              <w:lang w:val="en-GB"/>
            </w:rPr>
          </w:pPr>
        </w:p>
        <w:p w14:paraId="55D596B2" w14:textId="77777777" w:rsidR="00B61409" w:rsidRDefault="00B61409">
          <w:pPr>
            <w:spacing w:before="0" w:after="0"/>
            <w:rPr>
              <w:rFonts w:asciiTheme="minorHAnsi" w:hAnsiTheme="minorHAnsi"/>
              <w:lang w:val="en-GB"/>
            </w:rPr>
            <w:sectPr w:rsidR="00B61409" w:rsidSect="00B61409">
              <w:footerReference w:type="default" r:id="rId16"/>
              <w:pgSz w:w="11906" w:h="16838" w:code="9"/>
              <w:pgMar w:top="1843" w:right="1418" w:bottom="1418" w:left="1418" w:header="708" w:footer="708" w:gutter="0"/>
              <w:cols w:space="708"/>
              <w:titlePg/>
              <w:docGrid w:linePitch="360"/>
            </w:sectPr>
          </w:pPr>
        </w:p>
        <w:p w14:paraId="4921F779" w14:textId="225DB93D" w:rsidR="00B5341C" w:rsidRDefault="00722A86">
          <w:pPr>
            <w:spacing w:before="0" w:after="0"/>
            <w:rPr>
              <w:rFonts w:asciiTheme="minorHAnsi" w:hAnsiTheme="minorHAnsi"/>
              <w:lang w:val="en-GB"/>
            </w:rPr>
          </w:pPr>
          <w:r w:rsidRPr="00F04BEA">
            <w:rPr>
              <w:noProof/>
              <w:color w:val="FF0000"/>
            </w:rPr>
            <w:lastRenderedPageBreak/>
            <w:drawing>
              <wp:inline distT="0" distB="0" distL="0" distR="0" wp14:anchorId="00980BAB" wp14:editId="7470E282">
                <wp:extent cx="2160000" cy="482234"/>
                <wp:effectExtent l="0" t="0" r="0" b="0"/>
                <wp:docPr id="2031193724" name="Picture 2031193724" descr="Australian Government, Financial Reporting Counci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193724" name="Picture 2031193724" descr="Australian Government, Financial Reporting Council">
                          <a:extLst>
                            <a:ext uri="{C183D7F6-B498-43B3-948B-1728B52AA6E4}">
                              <adec:decorative xmlns:adec="http://schemas.microsoft.com/office/drawing/2017/decorative" val="0"/>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60000" cy="482234"/>
                        </a:xfrm>
                        <a:prstGeom prst="rect">
                          <a:avLst/>
                        </a:prstGeom>
                        <a:noFill/>
                        <a:ln>
                          <a:noFill/>
                        </a:ln>
                      </pic:spPr>
                    </pic:pic>
                  </a:graphicData>
                </a:graphic>
              </wp:inline>
            </w:drawing>
          </w:r>
        </w:p>
      </w:sdtContent>
    </w:sdt>
    <w:p w14:paraId="0B910852" w14:textId="77777777" w:rsidR="0036268A" w:rsidRPr="003059E5" w:rsidRDefault="0036268A" w:rsidP="00DF3392">
      <w:pPr>
        <w:spacing w:before="0" w:after="0"/>
        <w:jc w:val="right"/>
        <w:rPr>
          <w:lang w:val="en-GB"/>
        </w:rPr>
      </w:pPr>
      <w:r w:rsidRPr="003059E5">
        <w:rPr>
          <w:lang w:val="en-GB"/>
        </w:rPr>
        <w:t xml:space="preserve">Chair: Mr Andrew Mills </w:t>
      </w:r>
    </w:p>
    <w:p w14:paraId="55F8DDFF" w14:textId="77777777" w:rsidR="0036268A" w:rsidRPr="003059E5" w:rsidRDefault="0036268A" w:rsidP="00DF3392">
      <w:pPr>
        <w:spacing w:before="0" w:after="0"/>
        <w:jc w:val="right"/>
        <w:rPr>
          <w:lang w:val="en-GB"/>
        </w:rPr>
      </w:pPr>
      <w:r w:rsidRPr="003059E5">
        <w:rPr>
          <w:lang w:val="en-GB"/>
        </w:rPr>
        <w:t>Secretariat: c/ The Treasury</w:t>
      </w:r>
    </w:p>
    <w:p w14:paraId="47695FEB" w14:textId="77777777" w:rsidR="0036268A" w:rsidRPr="003059E5" w:rsidRDefault="0036268A" w:rsidP="00DF3392">
      <w:pPr>
        <w:spacing w:before="0" w:after="0"/>
        <w:jc w:val="right"/>
        <w:rPr>
          <w:lang w:val="en-GB"/>
        </w:rPr>
      </w:pPr>
      <w:r w:rsidRPr="003059E5">
        <w:rPr>
          <w:lang w:val="en-GB"/>
        </w:rPr>
        <w:t>Langton Crescent</w:t>
      </w:r>
    </w:p>
    <w:p w14:paraId="3091A3DF" w14:textId="77777777" w:rsidR="0036268A" w:rsidRPr="003059E5" w:rsidRDefault="0036268A" w:rsidP="00DF3392">
      <w:pPr>
        <w:spacing w:before="0" w:after="0"/>
        <w:jc w:val="right"/>
        <w:rPr>
          <w:lang w:val="en-GB"/>
        </w:rPr>
      </w:pPr>
      <w:r w:rsidRPr="003059E5">
        <w:rPr>
          <w:lang w:val="en-GB"/>
        </w:rPr>
        <w:t xml:space="preserve">Canberra ACT 2600 </w:t>
      </w:r>
    </w:p>
    <w:p w14:paraId="1149C397" w14:textId="4C194255" w:rsidR="0036268A" w:rsidRPr="003059E5" w:rsidRDefault="00D00DFF" w:rsidP="00DF3392">
      <w:pPr>
        <w:spacing w:before="0" w:after="0"/>
        <w:jc w:val="right"/>
        <w:rPr>
          <w:lang w:val="en-GB"/>
        </w:rPr>
      </w:pPr>
      <w:r w:rsidRPr="003059E5">
        <w:rPr>
          <w:lang w:val="en-GB"/>
        </w:rPr>
        <w:t>secretariat@frc</w:t>
      </w:r>
      <w:r w:rsidR="0036268A" w:rsidRPr="003059E5">
        <w:rPr>
          <w:lang w:val="en-GB"/>
        </w:rPr>
        <w:t>.gov.au</w:t>
      </w:r>
    </w:p>
    <w:p w14:paraId="3798FB42" w14:textId="692297A0" w:rsidR="006035A4" w:rsidRPr="003059E5" w:rsidRDefault="00905874" w:rsidP="00DF3392">
      <w:pPr>
        <w:spacing w:before="0" w:after="0"/>
        <w:rPr>
          <w:lang w:val="en-GB"/>
        </w:rPr>
      </w:pPr>
      <w:r w:rsidRPr="00905874">
        <w:rPr>
          <w:lang w:val="en-GB"/>
        </w:rPr>
        <w:t>23</w:t>
      </w:r>
      <w:r w:rsidR="00733143" w:rsidRPr="00905874">
        <w:rPr>
          <w:lang w:val="en-GB"/>
        </w:rPr>
        <w:t xml:space="preserve"> </w:t>
      </w:r>
      <w:r w:rsidR="001B5F0F" w:rsidRPr="00905874">
        <w:rPr>
          <w:lang w:val="en-GB"/>
        </w:rPr>
        <w:t>September</w:t>
      </w:r>
      <w:r w:rsidR="00EE0880" w:rsidRPr="00905874">
        <w:rPr>
          <w:lang w:val="en-GB"/>
        </w:rPr>
        <w:t xml:space="preserve"> 202</w:t>
      </w:r>
      <w:r w:rsidR="00733143" w:rsidRPr="00905874">
        <w:rPr>
          <w:lang w:val="en-GB"/>
        </w:rPr>
        <w:t>6</w:t>
      </w:r>
    </w:p>
    <w:p w14:paraId="550827AF" w14:textId="5B347905" w:rsidR="002B3D32" w:rsidRPr="003059E5" w:rsidRDefault="002B3D32" w:rsidP="00DF3392">
      <w:pPr>
        <w:spacing w:before="0" w:after="0"/>
        <w:rPr>
          <w:lang w:val="en-GB"/>
        </w:rPr>
      </w:pPr>
      <w:r w:rsidRPr="003059E5">
        <w:rPr>
          <w:lang w:val="en-GB"/>
        </w:rPr>
        <w:t xml:space="preserve">The Hon </w:t>
      </w:r>
      <w:r w:rsidR="000210DA" w:rsidRPr="003059E5">
        <w:rPr>
          <w:lang w:val="en-GB"/>
        </w:rPr>
        <w:t>Daniel Mulino</w:t>
      </w:r>
      <w:r w:rsidR="00C67571" w:rsidRPr="003059E5">
        <w:rPr>
          <w:lang w:val="en-GB"/>
        </w:rPr>
        <w:t xml:space="preserve"> MP </w:t>
      </w:r>
    </w:p>
    <w:p w14:paraId="34E7563E" w14:textId="30A7619E" w:rsidR="002B3D32" w:rsidRPr="003059E5" w:rsidRDefault="00C67571" w:rsidP="00DF3392">
      <w:pPr>
        <w:spacing w:before="0" w:after="0"/>
        <w:rPr>
          <w:lang w:val="en-GB"/>
        </w:rPr>
      </w:pPr>
      <w:r w:rsidRPr="003059E5">
        <w:rPr>
          <w:lang w:val="en-GB"/>
        </w:rPr>
        <w:t xml:space="preserve">Assistant </w:t>
      </w:r>
      <w:r w:rsidR="002B3D32" w:rsidRPr="003059E5">
        <w:rPr>
          <w:lang w:val="en-GB"/>
        </w:rPr>
        <w:t xml:space="preserve">Treasurer </w:t>
      </w:r>
    </w:p>
    <w:p w14:paraId="29E4510E" w14:textId="77777777" w:rsidR="002B3D32" w:rsidRPr="003059E5" w:rsidRDefault="002B3D32" w:rsidP="00DF3392">
      <w:pPr>
        <w:spacing w:before="0" w:after="0"/>
        <w:rPr>
          <w:lang w:val="en-GB"/>
        </w:rPr>
      </w:pPr>
      <w:r w:rsidRPr="003059E5">
        <w:rPr>
          <w:lang w:val="en-GB"/>
        </w:rPr>
        <w:t>Parliament House</w:t>
      </w:r>
    </w:p>
    <w:p w14:paraId="37065955" w14:textId="77777777" w:rsidR="002B3D32" w:rsidRPr="003059E5" w:rsidRDefault="002B3D32" w:rsidP="00DF3392">
      <w:pPr>
        <w:spacing w:before="0" w:after="0"/>
        <w:rPr>
          <w:lang w:val="en-GB"/>
        </w:rPr>
      </w:pPr>
      <w:r w:rsidRPr="003059E5">
        <w:rPr>
          <w:lang w:val="en-GB"/>
        </w:rPr>
        <w:t>CANBERRA ACT 2600</w:t>
      </w:r>
    </w:p>
    <w:p w14:paraId="4A7B0799" w14:textId="77777777" w:rsidR="00696F2E" w:rsidRPr="003059E5" w:rsidRDefault="00696F2E" w:rsidP="00DF3392"/>
    <w:p w14:paraId="27B654D0" w14:textId="4DEAF9B9" w:rsidR="00696F2E" w:rsidRPr="003059E5" w:rsidRDefault="00C67571" w:rsidP="00DF3392">
      <w:r w:rsidRPr="003059E5">
        <w:t>Dear Minister</w:t>
      </w:r>
    </w:p>
    <w:p w14:paraId="2BEA8771" w14:textId="4381FCB6" w:rsidR="00F06760" w:rsidRPr="003059E5" w:rsidRDefault="00C67571" w:rsidP="00DF3392">
      <w:r w:rsidRPr="003059E5">
        <w:t>I</w:t>
      </w:r>
      <w:r w:rsidR="00B53EE2" w:rsidRPr="003059E5">
        <w:t xml:space="preserve"> present the Financial Reporting Council (FRC) </w:t>
      </w:r>
      <w:r w:rsidRPr="003059E5">
        <w:t xml:space="preserve">annual report for the year ended 30 June </w:t>
      </w:r>
      <w:r w:rsidR="001A28CF" w:rsidRPr="003059E5">
        <w:t>202</w:t>
      </w:r>
      <w:r w:rsidR="001A28CF">
        <w:t>6</w:t>
      </w:r>
      <w:r w:rsidRPr="003059E5">
        <w:t>.</w:t>
      </w:r>
      <w:r w:rsidR="00E76A21" w:rsidRPr="003059E5">
        <w:t xml:space="preserve"> </w:t>
      </w:r>
    </w:p>
    <w:p w14:paraId="0E3F1609" w14:textId="6A5C6404" w:rsidR="00F06760" w:rsidRPr="003059E5" w:rsidRDefault="00F06760" w:rsidP="00DF3392">
      <w:r w:rsidRPr="003059E5">
        <w:t>This year has been a period of significant progress in Australia</w:t>
      </w:r>
      <w:r w:rsidR="009C134F">
        <w:t>’</w:t>
      </w:r>
      <w:r w:rsidRPr="003059E5">
        <w:t>s financial reporting landscape, particularly in advancing sustainability reporting and assurance frameworks. The FRC acknowledges the strong efforts made by the Australian standard</w:t>
      </w:r>
      <w:r w:rsidR="009C134F">
        <w:noBreakHyphen/>
      </w:r>
      <w:r w:rsidRPr="003059E5">
        <w:t xml:space="preserve">setting boards in </w:t>
      </w:r>
      <w:r w:rsidRPr="004D78B1">
        <w:t>developing</w:t>
      </w:r>
      <w:r w:rsidR="005133C7">
        <w:t xml:space="preserve"> </w:t>
      </w:r>
      <w:r w:rsidR="005133C7" w:rsidRPr="00B209FF">
        <w:t>an</w:t>
      </w:r>
      <w:r w:rsidR="00641EE0" w:rsidRPr="00B209FF">
        <w:t>d supporting the implementation of</w:t>
      </w:r>
      <w:r w:rsidRPr="003059E5">
        <w:t xml:space="preserve"> high</w:t>
      </w:r>
      <w:r w:rsidR="009C134F">
        <w:noBreakHyphen/>
      </w:r>
      <w:r w:rsidRPr="003059E5">
        <w:t>quality sustainability and assurance standards. The FRC recognise</w:t>
      </w:r>
      <w:r w:rsidR="00576E00" w:rsidRPr="003059E5">
        <w:t>s</w:t>
      </w:r>
      <w:r w:rsidRPr="003059E5">
        <w:t xml:space="preserve"> the importance of these standards in benefiting investors and the broader public through greater transparency and utility of sustainability disclosures. </w:t>
      </w:r>
    </w:p>
    <w:p w14:paraId="725FD35E" w14:textId="3BB98A6E" w:rsidR="000554F6" w:rsidRDefault="003105BF" w:rsidP="00F77ABD">
      <w:r w:rsidRPr="003105BF">
        <w:t xml:space="preserve">The FRC also monitored significant developments concerning standards of conduct </w:t>
      </w:r>
      <w:r w:rsidR="00BA1F02">
        <w:t>in</w:t>
      </w:r>
      <w:r w:rsidRPr="003105BF">
        <w:t xml:space="preserve"> parts of the financial reporting ecosystem, including matters arising from Parliamentary and public scrutiny of reports concerning alleged governance, confidentiality and whistleblower issues involving </w:t>
      </w:r>
      <w:r w:rsidR="0065034A">
        <w:t xml:space="preserve">large </w:t>
      </w:r>
      <w:r w:rsidR="0057110A">
        <w:t>audit</w:t>
      </w:r>
      <w:r w:rsidR="00A97107">
        <w:t xml:space="preserve"> firms in</w:t>
      </w:r>
      <w:r w:rsidRPr="003105BF">
        <w:t xml:space="preserve"> Australia. These developments reinforced the importance of maintaining public confidence in the professions that underpin Australia's financial reporting framework. The FRC considers strong frameworks for governance, accountability and integrity to be fundamental to maintaining that confidence.</w:t>
      </w:r>
      <w:r w:rsidR="003A0DC8">
        <w:t xml:space="preserve"> </w:t>
      </w:r>
      <w:r w:rsidR="00BA1F02" w:rsidRPr="00BA1F02">
        <w:t>The</w:t>
      </w:r>
      <w:r w:rsidR="00626068" w:rsidRPr="009E2007">
        <w:t xml:space="preserve"> FRC </w:t>
      </w:r>
      <w:r w:rsidR="00F93376">
        <w:t xml:space="preserve">also </w:t>
      </w:r>
      <w:r w:rsidR="00626068" w:rsidRPr="009E2007">
        <w:t xml:space="preserve">welcomed the Government's consultation on the regulation of accounting, auditing and consulting firms and the opportunity to </w:t>
      </w:r>
      <w:r w:rsidR="006E78BE">
        <w:t>re</w:t>
      </w:r>
      <w:r w:rsidR="00EB0CF2">
        <w:t>-examine</w:t>
      </w:r>
      <w:r w:rsidR="00626068" w:rsidRPr="009E2007">
        <w:t xml:space="preserve"> whether existing regulatory arrangements remain fit for purpose in supporting the </w:t>
      </w:r>
      <w:r w:rsidR="00BA1F02">
        <w:t xml:space="preserve">audit </w:t>
      </w:r>
      <w:r w:rsidR="00626068" w:rsidRPr="009E2007">
        <w:t>profession's public interest role.</w:t>
      </w:r>
    </w:p>
    <w:p w14:paraId="69FDB93A" w14:textId="32084810" w:rsidR="003908F4" w:rsidRDefault="00C67571" w:rsidP="00DF3392">
      <w:pPr>
        <w:rPr>
          <w:lang w:val="en-GB"/>
        </w:rPr>
      </w:pPr>
      <w:r w:rsidRPr="003059E5">
        <w:rPr>
          <w:lang w:val="en-GB"/>
        </w:rPr>
        <w:t>Th</w:t>
      </w:r>
      <w:r w:rsidR="00761874" w:rsidRPr="003059E5">
        <w:rPr>
          <w:lang w:val="en-GB"/>
        </w:rPr>
        <w:t>is</w:t>
      </w:r>
      <w:r w:rsidRPr="003059E5">
        <w:rPr>
          <w:lang w:val="en-GB"/>
        </w:rPr>
        <w:t xml:space="preserve"> report has been prepared in accordance with section 235B of the</w:t>
      </w:r>
      <w:r w:rsidR="002450A4" w:rsidRPr="003059E5">
        <w:rPr>
          <w:lang w:val="en-GB"/>
        </w:rPr>
        <w:t xml:space="preserve"> </w:t>
      </w:r>
      <w:r w:rsidR="002450A4" w:rsidRPr="00DF3392">
        <w:rPr>
          <w:i/>
          <w:iCs/>
        </w:rPr>
        <w:t>Australian Securities and Investments Commission Act 2001</w:t>
      </w:r>
      <w:r w:rsidR="00FA197D">
        <w:t xml:space="preserve"> </w:t>
      </w:r>
      <w:r w:rsidR="00455762" w:rsidRPr="00B03BF3">
        <w:rPr>
          <w:i/>
          <w:iCs/>
        </w:rPr>
        <w:t>(</w:t>
      </w:r>
      <w:proofErr w:type="spellStart"/>
      <w:r w:rsidR="00455762" w:rsidRPr="00B03BF3">
        <w:rPr>
          <w:i/>
          <w:iCs/>
        </w:rPr>
        <w:t>Cth</w:t>
      </w:r>
      <w:proofErr w:type="spellEnd"/>
      <w:r w:rsidR="00455762" w:rsidRPr="00B03BF3">
        <w:rPr>
          <w:i/>
          <w:iCs/>
        </w:rPr>
        <w:t>)</w:t>
      </w:r>
      <w:r w:rsidR="00455762">
        <w:t xml:space="preserve"> </w:t>
      </w:r>
      <w:r w:rsidR="00FA197D">
        <w:t>(ASIC Act)</w:t>
      </w:r>
      <w:r w:rsidR="00874843" w:rsidRPr="003059E5">
        <w:rPr>
          <w:lang w:val="en-GB"/>
        </w:rPr>
        <w:t>,</w:t>
      </w:r>
      <w:r w:rsidR="00812D93" w:rsidRPr="003059E5">
        <w:rPr>
          <w:lang w:val="en-GB"/>
        </w:rPr>
        <w:t xml:space="preserve"> </w:t>
      </w:r>
      <w:r w:rsidR="001E7A11" w:rsidRPr="003059E5">
        <w:rPr>
          <w:lang w:val="en-GB"/>
        </w:rPr>
        <w:t>which requires the report to be tabled in each House of</w:t>
      </w:r>
      <w:r w:rsidR="0010019E">
        <w:rPr>
          <w:lang w:val="en-GB"/>
        </w:rPr>
        <w:t> </w:t>
      </w:r>
      <w:r w:rsidR="001E7A11" w:rsidRPr="003059E5">
        <w:rPr>
          <w:lang w:val="en-GB"/>
        </w:rPr>
        <w:t>Parliament as soon as practicable.</w:t>
      </w:r>
      <w:r w:rsidR="00290EF3" w:rsidRPr="003059E5">
        <w:rPr>
          <w:lang w:val="en-GB"/>
        </w:rPr>
        <w:t xml:space="preserve"> </w:t>
      </w:r>
    </w:p>
    <w:p w14:paraId="1BE88A12" w14:textId="3E939ADB" w:rsidR="00FA197D" w:rsidRPr="00D3723B" w:rsidRDefault="00FA197D" w:rsidP="00DF3392">
      <w:r>
        <w:t xml:space="preserve">Noting the recent enactment of </w:t>
      </w:r>
      <w:r w:rsidRPr="00292569">
        <w:t xml:space="preserve">the </w:t>
      </w:r>
      <w:r w:rsidRPr="00DF4161">
        <w:rPr>
          <w:i/>
        </w:rPr>
        <w:t>Treasury Laws Amendment (Financial Reporting System Reform) Act 2026</w:t>
      </w:r>
      <w:r w:rsidR="00DC0613">
        <w:rPr>
          <w:i/>
        </w:rPr>
        <w:t xml:space="preserve"> (</w:t>
      </w:r>
      <w:proofErr w:type="spellStart"/>
      <w:r w:rsidR="00DC0613">
        <w:rPr>
          <w:i/>
        </w:rPr>
        <w:t>Cth</w:t>
      </w:r>
      <w:proofErr w:type="spellEnd"/>
      <w:r w:rsidR="00DC0613">
        <w:rPr>
          <w:i/>
        </w:rPr>
        <w:t>)</w:t>
      </w:r>
      <w:r>
        <w:t xml:space="preserve">, </w:t>
      </w:r>
      <w:r w:rsidRPr="004F2E01">
        <w:t xml:space="preserve">which </w:t>
      </w:r>
      <w:r>
        <w:t>gave</w:t>
      </w:r>
      <w:r w:rsidRPr="004F2E01">
        <w:t xml:space="preserve"> effect to the Government</w:t>
      </w:r>
      <w:r>
        <w:t>’</w:t>
      </w:r>
      <w:r w:rsidRPr="004F2E01">
        <w:t xml:space="preserve">s </w:t>
      </w:r>
      <w:r>
        <w:t>decision</w:t>
      </w:r>
      <w:r w:rsidRPr="004F2E01">
        <w:t xml:space="preserve"> to merge the financial reporting bodies</w:t>
      </w:r>
      <w:r>
        <w:t xml:space="preserve"> into a new body, External Reporting Australia (ERA), in accordance with paragraph 357(2)(a) of the </w:t>
      </w:r>
      <w:r w:rsidR="00810200" w:rsidRPr="0010019E">
        <w:t>ASIC</w:t>
      </w:r>
      <w:r w:rsidR="0010019E">
        <w:t> </w:t>
      </w:r>
      <w:r w:rsidR="00810200" w:rsidRPr="0010019E">
        <w:t>Act</w:t>
      </w:r>
      <w:r>
        <w:t>, this will be the final annual report of the FRC, with the FRC’s operations in 2026–27 to be reported in the first annual report of ERA</w:t>
      </w:r>
      <w:r w:rsidRPr="003059E5">
        <w:t>.</w:t>
      </w:r>
    </w:p>
    <w:p w14:paraId="72D10BB5" w14:textId="36BEDA04" w:rsidR="00C67571" w:rsidRPr="00D3723B" w:rsidRDefault="00C67571" w:rsidP="00DF3392">
      <w:pPr>
        <w:rPr>
          <w:lang w:val="en-GB"/>
        </w:rPr>
      </w:pPr>
      <w:r w:rsidRPr="003059E5">
        <w:rPr>
          <w:lang w:val="en-GB"/>
        </w:rPr>
        <w:t>Yours sincerely</w:t>
      </w:r>
    </w:p>
    <w:p w14:paraId="290F1343" w14:textId="050F2B03" w:rsidR="0029461C" w:rsidRPr="003059E5" w:rsidRDefault="00930E12" w:rsidP="0029461C">
      <w:pPr>
        <w:spacing w:before="240"/>
        <w:rPr>
          <w:rFonts w:ascii="Source Sans Pro Light" w:hAnsi="Source Sans Pro Light"/>
          <w:sz w:val="21"/>
          <w:szCs w:val="21"/>
          <w:lang w:val="en-GB"/>
        </w:rPr>
      </w:pPr>
      <w:r>
        <w:rPr>
          <w:rFonts w:ascii="Source Sans Pro Light" w:hAnsi="Source Sans Pro Light"/>
          <w:noProof/>
          <w:sz w:val="21"/>
          <w:szCs w:val="21"/>
          <w:lang w:val="en-GB"/>
        </w:rPr>
        <w:drawing>
          <wp:inline distT="0" distB="0" distL="0" distR="0" wp14:anchorId="31F1C7F7" wp14:editId="1D96B654">
            <wp:extent cx="1460575" cy="295290"/>
            <wp:effectExtent l="0" t="0" r="6350" b="9525"/>
            <wp:docPr id="279613746" name="Picture 1" descr="Signature of Andrew M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13746" name="Picture 1" descr="Signature of Andrew Mill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60575" cy="295290"/>
                    </a:xfrm>
                    <a:prstGeom prst="rect">
                      <a:avLst/>
                    </a:prstGeom>
                  </pic:spPr>
                </pic:pic>
              </a:graphicData>
            </a:graphic>
          </wp:inline>
        </w:drawing>
      </w:r>
    </w:p>
    <w:p w14:paraId="1AFE2275" w14:textId="77B78EFF" w:rsidR="002B3D32" w:rsidRPr="003059E5" w:rsidRDefault="00C67571" w:rsidP="00DF3392">
      <w:pPr>
        <w:rPr>
          <w:lang w:val="en-GB"/>
        </w:rPr>
      </w:pPr>
      <w:r w:rsidRPr="003059E5">
        <w:rPr>
          <w:lang w:val="en-GB"/>
        </w:rPr>
        <w:t>Andrew Mills</w:t>
      </w:r>
    </w:p>
    <w:p w14:paraId="57F5CF3C" w14:textId="22DAB1BD" w:rsidR="006035A4" w:rsidRDefault="006035A4" w:rsidP="00DF3392">
      <w:pPr>
        <w:rPr>
          <w:lang w:val="en-GB"/>
        </w:rPr>
      </w:pPr>
      <w:r w:rsidRPr="003059E5">
        <w:rPr>
          <w:lang w:val="en-GB"/>
        </w:rPr>
        <w:t xml:space="preserve">Chair </w:t>
      </w:r>
    </w:p>
    <w:p w14:paraId="278863B1" w14:textId="77777777" w:rsidR="00B61409" w:rsidRDefault="00B61409" w:rsidP="00DF3392">
      <w:pPr>
        <w:rPr>
          <w:lang w:val="en-GB"/>
        </w:rPr>
        <w:sectPr w:rsidR="00B61409" w:rsidSect="002E0DC1">
          <w:footerReference w:type="first" r:id="rId19"/>
          <w:pgSz w:w="11906" w:h="16838" w:code="9"/>
          <w:pgMar w:top="1843" w:right="1418" w:bottom="1418" w:left="1418" w:header="708" w:footer="708" w:gutter="0"/>
          <w:pgNumType w:fmt="lowerRoman"/>
          <w:cols w:space="708"/>
          <w:titlePg/>
          <w:docGrid w:linePitch="360"/>
        </w:sectPr>
      </w:pPr>
    </w:p>
    <w:bookmarkStart w:id="1" w:name="_Toc241065211" w:displacedByCustomXml="next"/>
    <w:sdt>
      <w:sdtPr>
        <w:rPr>
          <w:rFonts w:ascii="Calibri Light" w:hAnsi="Calibri Light" w:cs="Times New Roman"/>
          <w:b w:val="0"/>
          <w:color w:val="auto"/>
          <w:kern w:val="0"/>
          <w:sz w:val="22"/>
          <w:szCs w:val="20"/>
        </w:rPr>
        <w:id w:val="-736634675"/>
        <w:docPartObj>
          <w:docPartGallery w:val="Table of Contents"/>
          <w:docPartUnique/>
        </w:docPartObj>
      </w:sdtPr>
      <w:sdtEndPr>
        <w:rPr>
          <w:szCs w:val="22"/>
        </w:rPr>
      </w:sdtEndPr>
      <w:sdtContent>
        <w:p w14:paraId="191F4E6E" w14:textId="3106B9A1" w:rsidR="00CB7C46" w:rsidRPr="00CB7C46" w:rsidRDefault="00CB7C46" w:rsidP="003466B5">
          <w:pPr>
            <w:pStyle w:val="Heading1"/>
          </w:pPr>
          <w:r w:rsidRPr="00BB596D">
            <w:t>Contents</w:t>
          </w:r>
          <w:bookmarkEnd w:id="1"/>
        </w:p>
        <w:p w14:paraId="26B660D0" w14:textId="25F819F6" w:rsidR="002E0DC1" w:rsidRDefault="00CB7C46">
          <w:pPr>
            <w:pStyle w:val="TOC1"/>
            <w:rPr>
              <w:rFonts w:asciiTheme="minorHAnsi" w:eastAsiaTheme="minorEastAsia" w:hAnsiTheme="minorHAnsi" w:cstheme="minorBidi"/>
              <w:b w:val="0"/>
              <w:color w:val="auto"/>
              <w:kern w:val="2"/>
              <w:sz w:val="24"/>
              <w:szCs w:val="24"/>
              <w14:ligatures w14:val="standardContextual"/>
            </w:rPr>
          </w:pPr>
          <w:r>
            <w:rPr>
              <w:b w:val="0"/>
              <w:color w:val="1478B1"/>
            </w:rPr>
            <w:fldChar w:fldCharType="begin"/>
          </w:r>
          <w:r>
            <w:rPr>
              <w:b w:val="0"/>
            </w:rPr>
            <w:instrText xml:space="preserve"> TOC \o "1-2" \h \z \u </w:instrText>
          </w:r>
          <w:r>
            <w:rPr>
              <w:b w:val="0"/>
              <w:color w:val="1478B1"/>
            </w:rPr>
            <w:fldChar w:fldCharType="separate"/>
          </w:r>
          <w:hyperlink w:anchor="_Toc241065212" w:history="1">
            <w:r w:rsidR="002E0DC1" w:rsidRPr="009922F6">
              <w:rPr>
                <w:rStyle w:val="Hyperlink"/>
              </w:rPr>
              <w:t>Our past year</w:t>
            </w:r>
            <w:r w:rsidR="002E0DC1">
              <w:rPr>
                <w:webHidden/>
              </w:rPr>
              <w:tab/>
            </w:r>
            <w:r w:rsidR="002E0DC1">
              <w:rPr>
                <w:webHidden/>
              </w:rPr>
              <w:fldChar w:fldCharType="begin"/>
            </w:r>
            <w:r w:rsidR="002E0DC1">
              <w:rPr>
                <w:webHidden/>
              </w:rPr>
              <w:instrText xml:space="preserve"> PAGEREF _Toc241065212 \h </w:instrText>
            </w:r>
            <w:r w:rsidR="002E0DC1">
              <w:rPr>
                <w:webHidden/>
              </w:rPr>
            </w:r>
            <w:r w:rsidR="002E0DC1">
              <w:rPr>
                <w:webHidden/>
              </w:rPr>
              <w:fldChar w:fldCharType="separate"/>
            </w:r>
            <w:r w:rsidR="00C30EC7">
              <w:rPr>
                <w:webHidden/>
              </w:rPr>
              <w:t>1</w:t>
            </w:r>
            <w:r w:rsidR="002E0DC1">
              <w:rPr>
                <w:webHidden/>
              </w:rPr>
              <w:fldChar w:fldCharType="end"/>
            </w:r>
          </w:hyperlink>
        </w:p>
        <w:p w14:paraId="3DACC4E2" w14:textId="5E4F0C60" w:rsidR="002E0DC1" w:rsidRDefault="002E0DC1">
          <w:pPr>
            <w:pStyle w:val="TOC1"/>
            <w:rPr>
              <w:rFonts w:asciiTheme="minorHAnsi" w:eastAsiaTheme="minorEastAsia" w:hAnsiTheme="minorHAnsi" w:cstheme="minorBidi"/>
              <w:b w:val="0"/>
              <w:color w:val="auto"/>
              <w:kern w:val="2"/>
              <w:sz w:val="24"/>
              <w:szCs w:val="24"/>
              <w14:ligatures w14:val="standardContextual"/>
            </w:rPr>
          </w:pPr>
          <w:hyperlink w:anchor="_Toc241065213" w:history="1">
            <w:r w:rsidRPr="009922F6">
              <w:rPr>
                <w:rStyle w:val="Hyperlink"/>
              </w:rPr>
              <w:t>Forthcoming</w:t>
            </w:r>
            <w:r w:rsidRPr="009922F6">
              <w:rPr>
                <w:rStyle w:val="Hyperlink"/>
                <w:rFonts w:eastAsia="Aptos"/>
                <w:lang w:eastAsia="en-US"/>
              </w:rPr>
              <w:t xml:space="preserve"> changes to operating </w:t>
            </w:r>
            <w:r w:rsidRPr="009922F6">
              <w:rPr>
                <w:rStyle w:val="Hyperlink"/>
              </w:rPr>
              <w:t>environment</w:t>
            </w:r>
            <w:r>
              <w:rPr>
                <w:webHidden/>
              </w:rPr>
              <w:tab/>
            </w:r>
            <w:r>
              <w:rPr>
                <w:webHidden/>
              </w:rPr>
              <w:fldChar w:fldCharType="begin"/>
            </w:r>
            <w:r>
              <w:rPr>
                <w:webHidden/>
              </w:rPr>
              <w:instrText xml:space="preserve"> PAGEREF _Toc241065213 \h </w:instrText>
            </w:r>
            <w:r>
              <w:rPr>
                <w:webHidden/>
              </w:rPr>
            </w:r>
            <w:r>
              <w:rPr>
                <w:webHidden/>
              </w:rPr>
              <w:fldChar w:fldCharType="separate"/>
            </w:r>
            <w:r w:rsidR="00C30EC7">
              <w:rPr>
                <w:webHidden/>
              </w:rPr>
              <w:t>2</w:t>
            </w:r>
            <w:r>
              <w:rPr>
                <w:webHidden/>
              </w:rPr>
              <w:fldChar w:fldCharType="end"/>
            </w:r>
          </w:hyperlink>
        </w:p>
        <w:p w14:paraId="2809EA38" w14:textId="42E4195E" w:rsidR="002E0DC1" w:rsidRDefault="002E0DC1">
          <w:pPr>
            <w:pStyle w:val="TOC1"/>
            <w:rPr>
              <w:rFonts w:asciiTheme="minorHAnsi" w:eastAsiaTheme="minorEastAsia" w:hAnsiTheme="minorHAnsi" w:cstheme="minorBidi"/>
              <w:b w:val="0"/>
              <w:color w:val="auto"/>
              <w:kern w:val="2"/>
              <w:sz w:val="24"/>
              <w:szCs w:val="24"/>
              <w14:ligatures w14:val="standardContextual"/>
            </w:rPr>
          </w:pPr>
          <w:hyperlink w:anchor="_Toc241065214" w:history="1">
            <w:r w:rsidRPr="009922F6">
              <w:rPr>
                <w:rStyle w:val="Hyperlink"/>
              </w:rPr>
              <w:t>Snapshot of key and ongoing initiatives</w:t>
            </w:r>
            <w:r>
              <w:rPr>
                <w:webHidden/>
              </w:rPr>
              <w:tab/>
            </w:r>
            <w:r>
              <w:rPr>
                <w:webHidden/>
              </w:rPr>
              <w:fldChar w:fldCharType="begin"/>
            </w:r>
            <w:r>
              <w:rPr>
                <w:webHidden/>
              </w:rPr>
              <w:instrText xml:space="preserve"> PAGEREF _Toc241065214 \h </w:instrText>
            </w:r>
            <w:r>
              <w:rPr>
                <w:webHidden/>
              </w:rPr>
            </w:r>
            <w:r>
              <w:rPr>
                <w:webHidden/>
              </w:rPr>
              <w:fldChar w:fldCharType="separate"/>
            </w:r>
            <w:r w:rsidR="00C30EC7">
              <w:rPr>
                <w:webHidden/>
              </w:rPr>
              <w:t>3</w:t>
            </w:r>
            <w:r>
              <w:rPr>
                <w:webHidden/>
              </w:rPr>
              <w:fldChar w:fldCharType="end"/>
            </w:r>
          </w:hyperlink>
        </w:p>
        <w:p w14:paraId="1F6B3133" w14:textId="79D20A58"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15" w:history="1">
            <w:r w:rsidRPr="009922F6">
              <w:rPr>
                <w:rStyle w:val="Hyperlink"/>
              </w:rPr>
              <w:t>Climate and sustainability-related standards</w:t>
            </w:r>
            <w:r>
              <w:rPr>
                <w:webHidden/>
              </w:rPr>
              <w:tab/>
            </w:r>
            <w:r>
              <w:rPr>
                <w:webHidden/>
              </w:rPr>
              <w:fldChar w:fldCharType="begin"/>
            </w:r>
            <w:r>
              <w:rPr>
                <w:webHidden/>
              </w:rPr>
              <w:instrText xml:space="preserve"> PAGEREF _Toc241065215 \h </w:instrText>
            </w:r>
            <w:r>
              <w:rPr>
                <w:webHidden/>
              </w:rPr>
            </w:r>
            <w:r>
              <w:rPr>
                <w:webHidden/>
              </w:rPr>
              <w:fldChar w:fldCharType="separate"/>
            </w:r>
            <w:r w:rsidR="00C30EC7">
              <w:rPr>
                <w:webHidden/>
              </w:rPr>
              <w:t>3</w:t>
            </w:r>
            <w:r>
              <w:rPr>
                <w:webHidden/>
              </w:rPr>
              <w:fldChar w:fldCharType="end"/>
            </w:r>
          </w:hyperlink>
        </w:p>
        <w:p w14:paraId="6E4B369C" w14:textId="29D3AEF3"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16" w:history="1">
            <w:r w:rsidRPr="009922F6">
              <w:rPr>
                <w:rStyle w:val="Hyperlink"/>
              </w:rPr>
              <w:t>Audit Quality Management</w:t>
            </w:r>
            <w:r>
              <w:rPr>
                <w:webHidden/>
              </w:rPr>
              <w:tab/>
            </w:r>
            <w:r>
              <w:rPr>
                <w:webHidden/>
              </w:rPr>
              <w:fldChar w:fldCharType="begin"/>
            </w:r>
            <w:r>
              <w:rPr>
                <w:webHidden/>
              </w:rPr>
              <w:instrText xml:space="preserve"> PAGEREF _Toc241065216 \h </w:instrText>
            </w:r>
            <w:r>
              <w:rPr>
                <w:webHidden/>
              </w:rPr>
            </w:r>
            <w:r>
              <w:rPr>
                <w:webHidden/>
              </w:rPr>
              <w:fldChar w:fldCharType="separate"/>
            </w:r>
            <w:r w:rsidR="00C30EC7">
              <w:rPr>
                <w:webHidden/>
              </w:rPr>
              <w:t>3</w:t>
            </w:r>
            <w:r>
              <w:rPr>
                <w:webHidden/>
              </w:rPr>
              <w:fldChar w:fldCharType="end"/>
            </w:r>
          </w:hyperlink>
        </w:p>
        <w:p w14:paraId="567AEAA4" w14:textId="3445B1D6"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17" w:history="1">
            <w:r w:rsidRPr="009922F6">
              <w:rPr>
                <w:rStyle w:val="Hyperlink"/>
              </w:rPr>
              <w:t>Other financial reporting developments</w:t>
            </w:r>
            <w:r>
              <w:rPr>
                <w:webHidden/>
              </w:rPr>
              <w:tab/>
            </w:r>
            <w:r>
              <w:rPr>
                <w:webHidden/>
              </w:rPr>
              <w:fldChar w:fldCharType="begin"/>
            </w:r>
            <w:r>
              <w:rPr>
                <w:webHidden/>
              </w:rPr>
              <w:instrText xml:space="preserve"> PAGEREF _Toc241065217 \h </w:instrText>
            </w:r>
            <w:r>
              <w:rPr>
                <w:webHidden/>
              </w:rPr>
            </w:r>
            <w:r>
              <w:rPr>
                <w:webHidden/>
              </w:rPr>
              <w:fldChar w:fldCharType="separate"/>
            </w:r>
            <w:r w:rsidR="00C30EC7">
              <w:rPr>
                <w:webHidden/>
              </w:rPr>
              <w:t>4</w:t>
            </w:r>
            <w:r>
              <w:rPr>
                <w:webHidden/>
              </w:rPr>
              <w:fldChar w:fldCharType="end"/>
            </w:r>
          </w:hyperlink>
        </w:p>
        <w:p w14:paraId="44888C0A" w14:textId="540A9C7B"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18" w:history="1">
            <w:r w:rsidRPr="009922F6">
              <w:rPr>
                <w:rStyle w:val="Hyperlink"/>
              </w:rPr>
              <w:t>International Financial Reporting Standards</w:t>
            </w:r>
            <w:r>
              <w:rPr>
                <w:webHidden/>
              </w:rPr>
              <w:tab/>
            </w:r>
            <w:r>
              <w:rPr>
                <w:webHidden/>
              </w:rPr>
              <w:fldChar w:fldCharType="begin"/>
            </w:r>
            <w:r>
              <w:rPr>
                <w:webHidden/>
              </w:rPr>
              <w:instrText xml:space="preserve"> PAGEREF _Toc241065218 \h </w:instrText>
            </w:r>
            <w:r>
              <w:rPr>
                <w:webHidden/>
              </w:rPr>
            </w:r>
            <w:r>
              <w:rPr>
                <w:webHidden/>
              </w:rPr>
              <w:fldChar w:fldCharType="separate"/>
            </w:r>
            <w:r w:rsidR="00C30EC7">
              <w:rPr>
                <w:webHidden/>
              </w:rPr>
              <w:t>5</w:t>
            </w:r>
            <w:r>
              <w:rPr>
                <w:webHidden/>
              </w:rPr>
              <w:fldChar w:fldCharType="end"/>
            </w:r>
          </w:hyperlink>
        </w:p>
        <w:p w14:paraId="45713C24" w14:textId="60620B65"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19" w:history="1">
            <w:r w:rsidRPr="009922F6">
              <w:rPr>
                <w:rStyle w:val="Hyperlink"/>
              </w:rPr>
              <w:t>Public sector reporting developments</w:t>
            </w:r>
            <w:r>
              <w:rPr>
                <w:webHidden/>
              </w:rPr>
              <w:tab/>
            </w:r>
            <w:r>
              <w:rPr>
                <w:webHidden/>
              </w:rPr>
              <w:fldChar w:fldCharType="begin"/>
            </w:r>
            <w:r>
              <w:rPr>
                <w:webHidden/>
              </w:rPr>
              <w:instrText xml:space="preserve"> PAGEREF _Toc241065219 \h </w:instrText>
            </w:r>
            <w:r>
              <w:rPr>
                <w:webHidden/>
              </w:rPr>
            </w:r>
            <w:r>
              <w:rPr>
                <w:webHidden/>
              </w:rPr>
              <w:fldChar w:fldCharType="separate"/>
            </w:r>
            <w:r w:rsidR="00C30EC7">
              <w:rPr>
                <w:webHidden/>
              </w:rPr>
              <w:t>5</w:t>
            </w:r>
            <w:r>
              <w:rPr>
                <w:webHidden/>
              </w:rPr>
              <w:fldChar w:fldCharType="end"/>
            </w:r>
          </w:hyperlink>
        </w:p>
        <w:p w14:paraId="241D091F" w14:textId="340BB31F"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20" w:history="1">
            <w:r w:rsidRPr="009922F6">
              <w:rPr>
                <w:rStyle w:val="Hyperlink"/>
              </w:rPr>
              <w:t>Other international developments</w:t>
            </w:r>
            <w:r>
              <w:rPr>
                <w:webHidden/>
              </w:rPr>
              <w:tab/>
            </w:r>
            <w:r>
              <w:rPr>
                <w:webHidden/>
              </w:rPr>
              <w:fldChar w:fldCharType="begin"/>
            </w:r>
            <w:r>
              <w:rPr>
                <w:webHidden/>
              </w:rPr>
              <w:instrText xml:space="preserve"> PAGEREF _Toc241065220 \h </w:instrText>
            </w:r>
            <w:r>
              <w:rPr>
                <w:webHidden/>
              </w:rPr>
            </w:r>
            <w:r>
              <w:rPr>
                <w:webHidden/>
              </w:rPr>
              <w:fldChar w:fldCharType="separate"/>
            </w:r>
            <w:r w:rsidR="00C30EC7">
              <w:rPr>
                <w:webHidden/>
              </w:rPr>
              <w:t>6</w:t>
            </w:r>
            <w:r>
              <w:rPr>
                <w:webHidden/>
              </w:rPr>
              <w:fldChar w:fldCharType="end"/>
            </w:r>
          </w:hyperlink>
        </w:p>
        <w:p w14:paraId="08F3AE27" w14:textId="039E2A0A"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21" w:history="1">
            <w:r w:rsidRPr="009922F6">
              <w:rPr>
                <w:rStyle w:val="Hyperlink"/>
              </w:rPr>
              <w:t>Stakeholder engagement</w:t>
            </w:r>
            <w:r>
              <w:rPr>
                <w:webHidden/>
              </w:rPr>
              <w:tab/>
            </w:r>
            <w:r>
              <w:rPr>
                <w:webHidden/>
              </w:rPr>
              <w:fldChar w:fldCharType="begin"/>
            </w:r>
            <w:r>
              <w:rPr>
                <w:webHidden/>
              </w:rPr>
              <w:instrText xml:space="preserve"> PAGEREF _Toc241065221 \h </w:instrText>
            </w:r>
            <w:r>
              <w:rPr>
                <w:webHidden/>
              </w:rPr>
            </w:r>
            <w:r>
              <w:rPr>
                <w:webHidden/>
              </w:rPr>
              <w:fldChar w:fldCharType="separate"/>
            </w:r>
            <w:r w:rsidR="00C30EC7">
              <w:rPr>
                <w:webHidden/>
              </w:rPr>
              <w:t>6</w:t>
            </w:r>
            <w:r>
              <w:rPr>
                <w:webHidden/>
              </w:rPr>
              <w:fldChar w:fldCharType="end"/>
            </w:r>
          </w:hyperlink>
        </w:p>
        <w:p w14:paraId="076CB103" w14:textId="5DA2BFE9"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22" w:history="1">
            <w:r w:rsidRPr="009922F6">
              <w:rPr>
                <w:rStyle w:val="Hyperlink"/>
              </w:rPr>
              <w:t>Updated governance arrangements</w:t>
            </w:r>
            <w:r>
              <w:rPr>
                <w:webHidden/>
              </w:rPr>
              <w:tab/>
            </w:r>
            <w:r>
              <w:rPr>
                <w:webHidden/>
              </w:rPr>
              <w:fldChar w:fldCharType="begin"/>
            </w:r>
            <w:r>
              <w:rPr>
                <w:webHidden/>
              </w:rPr>
              <w:instrText xml:space="preserve"> PAGEREF _Toc241065222 \h </w:instrText>
            </w:r>
            <w:r>
              <w:rPr>
                <w:webHidden/>
              </w:rPr>
            </w:r>
            <w:r>
              <w:rPr>
                <w:webHidden/>
              </w:rPr>
              <w:fldChar w:fldCharType="separate"/>
            </w:r>
            <w:r w:rsidR="00C30EC7">
              <w:rPr>
                <w:webHidden/>
              </w:rPr>
              <w:t>6</w:t>
            </w:r>
            <w:r>
              <w:rPr>
                <w:webHidden/>
              </w:rPr>
              <w:fldChar w:fldCharType="end"/>
            </w:r>
          </w:hyperlink>
        </w:p>
        <w:p w14:paraId="6FCF8552" w14:textId="6524FA38" w:rsidR="002E0DC1" w:rsidRDefault="002E0DC1">
          <w:pPr>
            <w:pStyle w:val="TOC1"/>
            <w:rPr>
              <w:rFonts w:asciiTheme="minorHAnsi" w:eastAsiaTheme="minorEastAsia" w:hAnsiTheme="minorHAnsi" w:cstheme="minorBidi"/>
              <w:b w:val="0"/>
              <w:color w:val="auto"/>
              <w:kern w:val="2"/>
              <w:sz w:val="24"/>
              <w:szCs w:val="24"/>
              <w14:ligatures w14:val="standardContextual"/>
            </w:rPr>
          </w:pPr>
          <w:hyperlink w:anchor="_Toc241065223" w:history="1">
            <w:r w:rsidRPr="009922F6">
              <w:rPr>
                <w:rStyle w:val="Hyperlink"/>
              </w:rPr>
              <w:t>FRC objectives and functions</w:t>
            </w:r>
            <w:r>
              <w:rPr>
                <w:webHidden/>
              </w:rPr>
              <w:tab/>
            </w:r>
            <w:r>
              <w:rPr>
                <w:webHidden/>
              </w:rPr>
              <w:fldChar w:fldCharType="begin"/>
            </w:r>
            <w:r>
              <w:rPr>
                <w:webHidden/>
              </w:rPr>
              <w:instrText xml:space="preserve"> PAGEREF _Toc241065223 \h </w:instrText>
            </w:r>
            <w:r>
              <w:rPr>
                <w:webHidden/>
              </w:rPr>
            </w:r>
            <w:r>
              <w:rPr>
                <w:webHidden/>
              </w:rPr>
              <w:fldChar w:fldCharType="separate"/>
            </w:r>
            <w:r w:rsidR="00C30EC7">
              <w:rPr>
                <w:webHidden/>
              </w:rPr>
              <w:t>7</w:t>
            </w:r>
            <w:r>
              <w:rPr>
                <w:webHidden/>
              </w:rPr>
              <w:fldChar w:fldCharType="end"/>
            </w:r>
          </w:hyperlink>
        </w:p>
        <w:p w14:paraId="073A94B4" w14:textId="611A87D1"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24" w:history="1">
            <w:r w:rsidRPr="009922F6">
              <w:rPr>
                <w:rStyle w:val="Hyperlink"/>
              </w:rPr>
              <w:t>The financial reporting system</w:t>
            </w:r>
            <w:r>
              <w:rPr>
                <w:webHidden/>
              </w:rPr>
              <w:tab/>
            </w:r>
            <w:r>
              <w:rPr>
                <w:webHidden/>
              </w:rPr>
              <w:fldChar w:fldCharType="begin"/>
            </w:r>
            <w:r>
              <w:rPr>
                <w:webHidden/>
              </w:rPr>
              <w:instrText xml:space="preserve"> PAGEREF _Toc241065224 \h </w:instrText>
            </w:r>
            <w:r>
              <w:rPr>
                <w:webHidden/>
              </w:rPr>
            </w:r>
            <w:r>
              <w:rPr>
                <w:webHidden/>
              </w:rPr>
              <w:fldChar w:fldCharType="separate"/>
            </w:r>
            <w:r w:rsidR="00C30EC7">
              <w:rPr>
                <w:webHidden/>
              </w:rPr>
              <w:t>7</w:t>
            </w:r>
            <w:r>
              <w:rPr>
                <w:webHidden/>
              </w:rPr>
              <w:fldChar w:fldCharType="end"/>
            </w:r>
          </w:hyperlink>
        </w:p>
        <w:p w14:paraId="6D675EE2" w14:textId="2A5A3803"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25" w:history="1">
            <w:r w:rsidRPr="009922F6">
              <w:rPr>
                <w:rStyle w:val="Hyperlink"/>
              </w:rPr>
              <w:t>Functions of the FRC</w:t>
            </w:r>
            <w:r>
              <w:rPr>
                <w:webHidden/>
              </w:rPr>
              <w:tab/>
            </w:r>
            <w:r>
              <w:rPr>
                <w:webHidden/>
              </w:rPr>
              <w:fldChar w:fldCharType="begin"/>
            </w:r>
            <w:r>
              <w:rPr>
                <w:webHidden/>
              </w:rPr>
              <w:instrText xml:space="preserve"> PAGEREF _Toc241065225 \h </w:instrText>
            </w:r>
            <w:r>
              <w:rPr>
                <w:webHidden/>
              </w:rPr>
            </w:r>
            <w:r>
              <w:rPr>
                <w:webHidden/>
              </w:rPr>
              <w:fldChar w:fldCharType="separate"/>
            </w:r>
            <w:r w:rsidR="00C30EC7">
              <w:rPr>
                <w:webHidden/>
              </w:rPr>
              <w:t>8</w:t>
            </w:r>
            <w:r>
              <w:rPr>
                <w:webHidden/>
              </w:rPr>
              <w:fldChar w:fldCharType="end"/>
            </w:r>
          </w:hyperlink>
        </w:p>
        <w:p w14:paraId="31AFE55C" w14:textId="71840155"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26" w:history="1">
            <w:r w:rsidRPr="009922F6">
              <w:rPr>
                <w:rStyle w:val="Hyperlink"/>
              </w:rPr>
              <w:t>Statutory obligations</w:t>
            </w:r>
            <w:r>
              <w:rPr>
                <w:webHidden/>
              </w:rPr>
              <w:tab/>
            </w:r>
            <w:r>
              <w:rPr>
                <w:webHidden/>
              </w:rPr>
              <w:fldChar w:fldCharType="begin"/>
            </w:r>
            <w:r>
              <w:rPr>
                <w:webHidden/>
              </w:rPr>
              <w:instrText xml:space="preserve"> PAGEREF _Toc241065226 \h </w:instrText>
            </w:r>
            <w:r>
              <w:rPr>
                <w:webHidden/>
              </w:rPr>
            </w:r>
            <w:r>
              <w:rPr>
                <w:webHidden/>
              </w:rPr>
              <w:fldChar w:fldCharType="separate"/>
            </w:r>
            <w:r w:rsidR="00C30EC7">
              <w:rPr>
                <w:webHidden/>
              </w:rPr>
              <w:t>9</w:t>
            </w:r>
            <w:r>
              <w:rPr>
                <w:webHidden/>
              </w:rPr>
              <w:fldChar w:fldCharType="end"/>
            </w:r>
          </w:hyperlink>
        </w:p>
        <w:p w14:paraId="43FECB92" w14:textId="27D68811" w:rsidR="002E0DC1" w:rsidRDefault="002E0DC1">
          <w:pPr>
            <w:pStyle w:val="TOC1"/>
            <w:rPr>
              <w:rFonts w:asciiTheme="minorHAnsi" w:eastAsiaTheme="minorEastAsia" w:hAnsiTheme="minorHAnsi" w:cstheme="minorBidi"/>
              <w:b w:val="0"/>
              <w:color w:val="auto"/>
              <w:kern w:val="2"/>
              <w:sz w:val="24"/>
              <w:szCs w:val="24"/>
              <w14:ligatures w14:val="standardContextual"/>
            </w:rPr>
          </w:pPr>
          <w:hyperlink w:anchor="_Toc241065227" w:history="1">
            <w:r w:rsidRPr="009922F6">
              <w:rPr>
                <w:rStyle w:val="Hyperlink"/>
              </w:rPr>
              <w:t>Oversight of Australian standard setting</w:t>
            </w:r>
            <w:r>
              <w:rPr>
                <w:webHidden/>
              </w:rPr>
              <w:tab/>
            </w:r>
            <w:r>
              <w:rPr>
                <w:webHidden/>
              </w:rPr>
              <w:fldChar w:fldCharType="begin"/>
            </w:r>
            <w:r>
              <w:rPr>
                <w:webHidden/>
              </w:rPr>
              <w:instrText xml:space="preserve"> PAGEREF _Toc241065227 \h </w:instrText>
            </w:r>
            <w:r>
              <w:rPr>
                <w:webHidden/>
              </w:rPr>
            </w:r>
            <w:r>
              <w:rPr>
                <w:webHidden/>
              </w:rPr>
              <w:fldChar w:fldCharType="separate"/>
            </w:r>
            <w:r w:rsidR="00C30EC7">
              <w:rPr>
                <w:webHidden/>
              </w:rPr>
              <w:t>10</w:t>
            </w:r>
            <w:r>
              <w:rPr>
                <w:webHidden/>
              </w:rPr>
              <w:fldChar w:fldCharType="end"/>
            </w:r>
          </w:hyperlink>
        </w:p>
        <w:p w14:paraId="20D46F04" w14:textId="28EFE3DB"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28" w:history="1">
            <w:r w:rsidRPr="009922F6">
              <w:rPr>
                <w:rStyle w:val="Hyperlink"/>
                <w:spacing w:val="-2"/>
              </w:rPr>
              <w:t>Giving advice or feedback to the AASB, AUASB and their offices</w:t>
            </w:r>
            <w:r>
              <w:rPr>
                <w:webHidden/>
              </w:rPr>
              <w:tab/>
            </w:r>
            <w:r>
              <w:rPr>
                <w:webHidden/>
              </w:rPr>
              <w:fldChar w:fldCharType="begin"/>
            </w:r>
            <w:r>
              <w:rPr>
                <w:webHidden/>
              </w:rPr>
              <w:instrText xml:space="preserve"> PAGEREF _Toc241065228 \h </w:instrText>
            </w:r>
            <w:r>
              <w:rPr>
                <w:webHidden/>
              </w:rPr>
            </w:r>
            <w:r>
              <w:rPr>
                <w:webHidden/>
              </w:rPr>
              <w:fldChar w:fldCharType="separate"/>
            </w:r>
            <w:r w:rsidR="00C30EC7">
              <w:rPr>
                <w:webHidden/>
              </w:rPr>
              <w:t>10</w:t>
            </w:r>
            <w:r>
              <w:rPr>
                <w:webHidden/>
              </w:rPr>
              <w:fldChar w:fldCharType="end"/>
            </w:r>
          </w:hyperlink>
        </w:p>
        <w:p w14:paraId="10B3B12A" w14:textId="66E2F09F"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29" w:history="1">
            <w:r w:rsidRPr="009922F6">
              <w:rPr>
                <w:rStyle w:val="Hyperlink"/>
              </w:rPr>
              <w:t>AASB</w:t>
            </w:r>
            <w:r>
              <w:rPr>
                <w:webHidden/>
              </w:rPr>
              <w:tab/>
            </w:r>
            <w:r>
              <w:rPr>
                <w:webHidden/>
              </w:rPr>
              <w:fldChar w:fldCharType="begin"/>
            </w:r>
            <w:r>
              <w:rPr>
                <w:webHidden/>
              </w:rPr>
              <w:instrText xml:space="preserve"> PAGEREF _Toc241065229 \h </w:instrText>
            </w:r>
            <w:r>
              <w:rPr>
                <w:webHidden/>
              </w:rPr>
            </w:r>
            <w:r>
              <w:rPr>
                <w:webHidden/>
              </w:rPr>
              <w:fldChar w:fldCharType="separate"/>
            </w:r>
            <w:r w:rsidR="00C30EC7">
              <w:rPr>
                <w:webHidden/>
              </w:rPr>
              <w:t>10</w:t>
            </w:r>
            <w:r>
              <w:rPr>
                <w:webHidden/>
              </w:rPr>
              <w:fldChar w:fldCharType="end"/>
            </w:r>
          </w:hyperlink>
        </w:p>
        <w:p w14:paraId="58A06163" w14:textId="278B0EB0"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30" w:history="1">
            <w:r w:rsidRPr="009922F6">
              <w:rPr>
                <w:rStyle w:val="Hyperlink"/>
              </w:rPr>
              <w:t>AUASB</w:t>
            </w:r>
            <w:r>
              <w:rPr>
                <w:webHidden/>
              </w:rPr>
              <w:tab/>
            </w:r>
            <w:r>
              <w:rPr>
                <w:webHidden/>
              </w:rPr>
              <w:fldChar w:fldCharType="begin"/>
            </w:r>
            <w:r>
              <w:rPr>
                <w:webHidden/>
              </w:rPr>
              <w:instrText xml:space="preserve"> PAGEREF _Toc241065230 \h </w:instrText>
            </w:r>
            <w:r>
              <w:rPr>
                <w:webHidden/>
              </w:rPr>
            </w:r>
            <w:r>
              <w:rPr>
                <w:webHidden/>
              </w:rPr>
              <w:fldChar w:fldCharType="separate"/>
            </w:r>
            <w:r w:rsidR="00C30EC7">
              <w:rPr>
                <w:webHidden/>
              </w:rPr>
              <w:t>12</w:t>
            </w:r>
            <w:r>
              <w:rPr>
                <w:webHidden/>
              </w:rPr>
              <w:fldChar w:fldCharType="end"/>
            </w:r>
          </w:hyperlink>
        </w:p>
        <w:p w14:paraId="1BC4F799" w14:textId="559F511F"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31" w:history="1">
            <w:r w:rsidRPr="009922F6">
              <w:rPr>
                <w:rStyle w:val="Hyperlink"/>
              </w:rPr>
              <w:t>Determining the strategic direction of the AASB and AUASB</w:t>
            </w:r>
            <w:r>
              <w:rPr>
                <w:webHidden/>
              </w:rPr>
              <w:tab/>
            </w:r>
            <w:r>
              <w:rPr>
                <w:webHidden/>
              </w:rPr>
              <w:fldChar w:fldCharType="begin"/>
            </w:r>
            <w:r>
              <w:rPr>
                <w:webHidden/>
              </w:rPr>
              <w:instrText xml:space="preserve"> PAGEREF _Toc241065231 \h </w:instrText>
            </w:r>
            <w:r>
              <w:rPr>
                <w:webHidden/>
              </w:rPr>
            </w:r>
            <w:r>
              <w:rPr>
                <w:webHidden/>
              </w:rPr>
              <w:fldChar w:fldCharType="separate"/>
            </w:r>
            <w:r w:rsidR="00C30EC7">
              <w:rPr>
                <w:webHidden/>
              </w:rPr>
              <w:t>14</w:t>
            </w:r>
            <w:r>
              <w:rPr>
                <w:webHidden/>
              </w:rPr>
              <w:fldChar w:fldCharType="end"/>
            </w:r>
          </w:hyperlink>
        </w:p>
        <w:p w14:paraId="6E5B59E2" w14:textId="0F8DDE26"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32" w:history="1">
            <w:r w:rsidRPr="009922F6">
              <w:rPr>
                <w:rStyle w:val="Hyperlink"/>
              </w:rPr>
              <w:t>Monitoring international developments</w:t>
            </w:r>
            <w:r>
              <w:rPr>
                <w:webHidden/>
              </w:rPr>
              <w:tab/>
            </w:r>
            <w:r>
              <w:rPr>
                <w:webHidden/>
              </w:rPr>
              <w:fldChar w:fldCharType="begin"/>
            </w:r>
            <w:r>
              <w:rPr>
                <w:webHidden/>
              </w:rPr>
              <w:instrText xml:space="preserve"> PAGEREF _Toc241065232 \h </w:instrText>
            </w:r>
            <w:r>
              <w:rPr>
                <w:webHidden/>
              </w:rPr>
            </w:r>
            <w:r>
              <w:rPr>
                <w:webHidden/>
              </w:rPr>
              <w:fldChar w:fldCharType="separate"/>
            </w:r>
            <w:r w:rsidR="00C30EC7">
              <w:rPr>
                <w:webHidden/>
              </w:rPr>
              <w:t>14</w:t>
            </w:r>
            <w:r>
              <w:rPr>
                <w:webHidden/>
              </w:rPr>
              <w:fldChar w:fldCharType="end"/>
            </w:r>
          </w:hyperlink>
        </w:p>
        <w:p w14:paraId="419420DF" w14:textId="273F340C"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33" w:history="1">
            <w:r w:rsidRPr="009922F6">
              <w:rPr>
                <w:rStyle w:val="Hyperlink"/>
              </w:rPr>
              <w:t>Monitoring the operation of accounting and auditing standards</w:t>
            </w:r>
            <w:r>
              <w:rPr>
                <w:webHidden/>
              </w:rPr>
              <w:tab/>
            </w:r>
            <w:r>
              <w:rPr>
                <w:webHidden/>
              </w:rPr>
              <w:fldChar w:fldCharType="begin"/>
            </w:r>
            <w:r>
              <w:rPr>
                <w:webHidden/>
              </w:rPr>
              <w:instrText xml:space="preserve"> PAGEREF _Toc241065233 \h </w:instrText>
            </w:r>
            <w:r>
              <w:rPr>
                <w:webHidden/>
              </w:rPr>
            </w:r>
            <w:r>
              <w:rPr>
                <w:webHidden/>
              </w:rPr>
              <w:fldChar w:fldCharType="separate"/>
            </w:r>
            <w:r w:rsidR="00C30EC7">
              <w:rPr>
                <w:webHidden/>
              </w:rPr>
              <w:t>18</w:t>
            </w:r>
            <w:r>
              <w:rPr>
                <w:webHidden/>
              </w:rPr>
              <w:fldChar w:fldCharType="end"/>
            </w:r>
          </w:hyperlink>
        </w:p>
        <w:p w14:paraId="6ABDE8E5" w14:textId="68E90C29" w:rsidR="002E0DC1" w:rsidRDefault="002E0DC1">
          <w:pPr>
            <w:pStyle w:val="TOC1"/>
            <w:rPr>
              <w:rFonts w:asciiTheme="minorHAnsi" w:eastAsiaTheme="minorEastAsia" w:hAnsiTheme="minorHAnsi" w:cstheme="minorBidi"/>
              <w:b w:val="0"/>
              <w:color w:val="auto"/>
              <w:kern w:val="2"/>
              <w:sz w:val="24"/>
              <w:szCs w:val="24"/>
              <w14:ligatures w14:val="standardContextual"/>
            </w:rPr>
          </w:pPr>
          <w:hyperlink w:anchor="_Toc241065234" w:history="1">
            <w:r w:rsidRPr="009922F6">
              <w:rPr>
                <w:rStyle w:val="Hyperlink"/>
              </w:rPr>
              <w:t>Audit quality</w:t>
            </w:r>
            <w:r>
              <w:rPr>
                <w:webHidden/>
              </w:rPr>
              <w:tab/>
            </w:r>
            <w:r>
              <w:rPr>
                <w:webHidden/>
              </w:rPr>
              <w:fldChar w:fldCharType="begin"/>
            </w:r>
            <w:r>
              <w:rPr>
                <w:webHidden/>
              </w:rPr>
              <w:instrText xml:space="preserve"> PAGEREF _Toc241065234 \h </w:instrText>
            </w:r>
            <w:r>
              <w:rPr>
                <w:webHidden/>
              </w:rPr>
            </w:r>
            <w:r>
              <w:rPr>
                <w:webHidden/>
              </w:rPr>
              <w:fldChar w:fldCharType="separate"/>
            </w:r>
            <w:r w:rsidR="00C30EC7">
              <w:rPr>
                <w:webHidden/>
              </w:rPr>
              <w:t>20</w:t>
            </w:r>
            <w:r>
              <w:rPr>
                <w:webHidden/>
              </w:rPr>
              <w:fldChar w:fldCharType="end"/>
            </w:r>
          </w:hyperlink>
        </w:p>
        <w:p w14:paraId="129C89E3" w14:textId="2D3DFCE3"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35" w:history="1">
            <w:r w:rsidRPr="009922F6">
              <w:rPr>
                <w:rStyle w:val="Hyperlink"/>
              </w:rPr>
              <w:t>FRC’s role on audit quality</w:t>
            </w:r>
            <w:r>
              <w:rPr>
                <w:webHidden/>
              </w:rPr>
              <w:tab/>
            </w:r>
            <w:r>
              <w:rPr>
                <w:webHidden/>
              </w:rPr>
              <w:fldChar w:fldCharType="begin"/>
            </w:r>
            <w:r>
              <w:rPr>
                <w:webHidden/>
              </w:rPr>
              <w:instrText xml:space="preserve"> PAGEREF _Toc241065235 \h </w:instrText>
            </w:r>
            <w:r>
              <w:rPr>
                <w:webHidden/>
              </w:rPr>
            </w:r>
            <w:r>
              <w:rPr>
                <w:webHidden/>
              </w:rPr>
              <w:fldChar w:fldCharType="separate"/>
            </w:r>
            <w:r w:rsidR="00C30EC7">
              <w:rPr>
                <w:webHidden/>
              </w:rPr>
              <w:t>20</w:t>
            </w:r>
            <w:r>
              <w:rPr>
                <w:webHidden/>
              </w:rPr>
              <w:fldChar w:fldCharType="end"/>
            </w:r>
          </w:hyperlink>
        </w:p>
        <w:p w14:paraId="1A628423" w14:textId="6C64DAA0"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36" w:history="1">
            <w:r w:rsidRPr="009922F6">
              <w:rPr>
                <w:rStyle w:val="Hyperlink"/>
              </w:rPr>
              <w:t>ASIC initiatives to support and review audit quality</w:t>
            </w:r>
            <w:r>
              <w:rPr>
                <w:webHidden/>
              </w:rPr>
              <w:tab/>
            </w:r>
            <w:r>
              <w:rPr>
                <w:webHidden/>
              </w:rPr>
              <w:fldChar w:fldCharType="begin"/>
            </w:r>
            <w:r>
              <w:rPr>
                <w:webHidden/>
              </w:rPr>
              <w:instrText xml:space="preserve"> PAGEREF _Toc241065236 \h </w:instrText>
            </w:r>
            <w:r>
              <w:rPr>
                <w:webHidden/>
              </w:rPr>
            </w:r>
            <w:r>
              <w:rPr>
                <w:webHidden/>
              </w:rPr>
              <w:fldChar w:fldCharType="separate"/>
            </w:r>
            <w:r w:rsidR="00C30EC7">
              <w:rPr>
                <w:webHidden/>
              </w:rPr>
              <w:t>20</w:t>
            </w:r>
            <w:r>
              <w:rPr>
                <w:webHidden/>
              </w:rPr>
              <w:fldChar w:fldCharType="end"/>
            </w:r>
          </w:hyperlink>
        </w:p>
        <w:p w14:paraId="5073EECF" w14:textId="3441AB68"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37" w:history="1">
            <w:r w:rsidRPr="009922F6">
              <w:rPr>
                <w:rStyle w:val="Hyperlink"/>
              </w:rPr>
              <w:t>ASIC financial reporting and audit surveillance program</w:t>
            </w:r>
            <w:r>
              <w:rPr>
                <w:webHidden/>
              </w:rPr>
              <w:tab/>
            </w:r>
            <w:r>
              <w:rPr>
                <w:webHidden/>
              </w:rPr>
              <w:fldChar w:fldCharType="begin"/>
            </w:r>
            <w:r>
              <w:rPr>
                <w:webHidden/>
              </w:rPr>
              <w:instrText xml:space="preserve"> PAGEREF _Toc241065237 \h </w:instrText>
            </w:r>
            <w:r>
              <w:rPr>
                <w:webHidden/>
              </w:rPr>
            </w:r>
            <w:r>
              <w:rPr>
                <w:webHidden/>
              </w:rPr>
              <w:fldChar w:fldCharType="separate"/>
            </w:r>
            <w:r w:rsidR="00C30EC7">
              <w:rPr>
                <w:webHidden/>
              </w:rPr>
              <w:t>20</w:t>
            </w:r>
            <w:r>
              <w:rPr>
                <w:webHidden/>
              </w:rPr>
              <w:fldChar w:fldCharType="end"/>
            </w:r>
          </w:hyperlink>
        </w:p>
        <w:p w14:paraId="0A9D489B" w14:textId="419CF094"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38" w:history="1">
            <w:r w:rsidRPr="009922F6">
              <w:rPr>
                <w:rStyle w:val="Hyperlink"/>
              </w:rPr>
              <w:t>ASIC surveillance on audit firm complaints</w:t>
            </w:r>
            <w:r>
              <w:rPr>
                <w:webHidden/>
              </w:rPr>
              <w:tab/>
            </w:r>
            <w:r>
              <w:rPr>
                <w:webHidden/>
              </w:rPr>
              <w:fldChar w:fldCharType="begin"/>
            </w:r>
            <w:r>
              <w:rPr>
                <w:webHidden/>
              </w:rPr>
              <w:instrText xml:space="preserve"> PAGEREF _Toc241065238 \h </w:instrText>
            </w:r>
            <w:r>
              <w:rPr>
                <w:webHidden/>
              </w:rPr>
            </w:r>
            <w:r>
              <w:rPr>
                <w:webHidden/>
              </w:rPr>
              <w:fldChar w:fldCharType="separate"/>
            </w:r>
            <w:r w:rsidR="00C30EC7">
              <w:rPr>
                <w:webHidden/>
              </w:rPr>
              <w:t>23</w:t>
            </w:r>
            <w:r>
              <w:rPr>
                <w:webHidden/>
              </w:rPr>
              <w:fldChar w:fldCharType="end"/>
            </w:r>
          </w:hyperlink>
        </w:p>
        <w:p w14:paraId="4EF707C6" w14:textId="1B64C452"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39" w:history="1">
            <w:r w:rsidRPr="009922F6">
              <w:rPr>
                <w:rStyle w:val="Hyperlink"/>
              </w:rPr>
              <w:t>ASIC enforcement and compliance outcomes</w:t>
            </w:r>
            <w:r>
              <w:rPr>
                <w:webHidden/>
              </w:rPr>
              <w:tab/>
            </w:r>
            <w:r>
              <w:rPr>
                <w:webHidden/>
              </w:rPr>
              <w:fldChar w:fldCharType="begin"/>
            </w:r>
            <w:r>
              <w:rPr>
                <w:webHidden/>
              </w:rPr>
              <w:instrText xml:space="preserve"> PAGEREF _Toc241065239 \h </w:instrText>
            </w:r>
            <w:r>
              <w:rPr>
                <w:webHidden/>
              </w:rPr>
            </w:r>
            <w:r>
              <w:rPr>
                <w:webHidden/>
              </w:rPr>
              <w:fldChar w:fldCharType="separate"/>
            </w:r>
            <w:r w:rsidR="00C30EC7">
              <w:rPr>
                <w:webHidden/>
              </w:rPr>
              <w:t>23</w:t>
            </w:r>
            <w:r>
              <w:rPr>
                <w:webHidden/>
              </w:rPr>
              <w:fldChar w:fldCharType="end"/>
            </w:r>
          </w:hyperlink>
        </w:p>
        <w:p w14:paraId="75F209DF" w14:textId="2E974845"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40" w:history="1">
            <w:r w:rsidRPr="009922F6">
              <w:rPr>
                <w:rStyle w:val="Hyperlink"/>
              </w:rPr>
              <w:t>ASIC stakeholder engagement</w:t>
            </w:r>
            <w:r>
              <w:rPr>
                <w:webHidden/>
              </w:rPr>
              <w:tab/>
            </w:r>
            <w:r>
              <w:rPr>
                <w:webHidden/>
              </w:rPr>
              <w:fldChar w:fldCharType="begin"/>
            </w:r>
            <w:r>
              <w:rPr>
                <w:webHidden/>
              </w:rPr>
              <w:instrText xml:space="preserve"> PAGEREF _Toc241065240 \h </w:instrText>
            </w:r>
            <w:r>
              <w:rPr>
                <w:webHidden/>
              </w:rPr>
            </w:r>
            <w:r>
              <w:rPr>
                <w:webHidden/>
              </w:rPr>
              <w:fldChar w:fldCharType="separate"/>
            </w:r>
            <w:r w:rsidR="00C30EC7">
              <w:rPr>
                <w:webHidden/>
              </w:rPr>
              <w:t>23</w:t>
            </w:r>
            <w:r>
              <w:rPr>
                <w:webHidden/>
              </w:rPr>
              <w:fldChar w:fldCharType="end"/>
            </w:r>
          </w:hyperlink>
        </w:p>
        <w:p w14:paraId="6171B322" w14:textId="4752FB1E"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41" w:history="1">
            <w:r w:rsidRPr="009922F6">
              <w:rPr>
                <w:rStyle w:val="Hyperlink"/>
              </w:rPr>
              <w:t>Professional accounting bodies</w:t>
            </w:r>
            <w:r>
              <w:rPr>
                <w:webHidden/>
              </w:rPr>
              <w:tab/>
            </w:r>
            <w:r>
              <w:rPr>
                <w:webHidden/>
              </w:rPr>
              <w:fldChar w:fldCharType="begin"/>
            </w:r>
            <w:r>
              <w:rPr>
                <w:webHidden/>
              </w:rPr>
              <w:instrText xml:space="preserve"> PAGEREF _Toc241065241 \h </w:instrText>
            </w:r>
            <w:r>
              <w:rPr>
                <w:webHidden/>
              </w:rPr>
            </w:r>
            <w:r>
              <w:rPr>
                <w:webHidden/>
              </w:rPr>
              <w:fldChar w:fldCharType="separate"/>
            </w:r>
            <w:r w:rsidR="00C30EC7">
              <w:rPr>
                <w:webHidden/>
              </w:rPr>
              <w:t>24</w:t>
            </w:r>
            <w:r>
              <w:rPr>
                <w:webHidden/>
              </w:rPr>
              <w:fldChar w:fldCharType="end"/>
            </w:r>
          </w:hyperlink>
        </w:p>
        <w:p w14:paraId="61F21AC2" w14:textId="129A6506"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42" w:history="1">
            <w:r w:rsidRPr="009922F6">
              <w:rPr>
                <w:rStyle w:val="Hyperlink"/>
              </w:rPr>
              <w:t xml:space="preserve">Chartered Accountants Australia </w:t>
            </w:r>
            <w:r w:rsidR="00C30EC7">
              <w:rPr>
                <w:rStyle w:val="Hyperlink"/>
              </w:rPr>
              <w:t>and</w:t>
            </w:r>
            <w:r w:rsidRPr="009922F6">
              <w:rPr>
                <w:rStyle w:val="Hyperlink"/>
              </w:rPr>
              <w:t xml:space="preserve"> New Zealand</w:t>
            </w:r>
            <w:r>
              <w:rPr>
                <w:webHidden/>
              </w:rPr>
              <w:tab/>
            </w:r>
            <w:r>
              <w:rPr>
                <w:webHidden/>
              </w:rPr>
              <w:fldChar w:fldCharType="begin"/>
            </w:r>
            <w:r>
              <w:rPr>
                <w:webHidden/>
              </w:rPr>
              <w:instrText xml:space="preserve"> PAGEREF _Toc241065242 \h </w:instrText>
            </w:r>
            <w:r>
              <w:rPr>
                <w:webHidden/>
              </w:rPr>
            </w:r>
            <w:r>
              <w:rPr>
                <w:webHidden/>
              </w:rPr>
              <w:fldChar w:fldCharType="separate"/>
            </w:r>
            <w:r w:rsidR="00C30EC7">
              <w:rPr>
                <w:webHidden/>
              </w:rPr>
              <w:t>24</w:t>
            </w:r>
            <w:r>
              <w:rPr>
                <w:webHidden/>
              </w:rPr>
              <w:fldChar w:fldCharType="end"/>
            </w:r>
          </w:hyperlink>
        </w:p>
        <w:p w14:paraId="1FF96489" w14:textId="129F12EA"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43" w:history="1">
            <w:r w:rsidRPr="009922F6">
              <w:rPr>
                <w:rStyle w:val="Hyperlink"/>
              </w:rPr>
              <w:t>CPA Australia</w:t>
            </w:r>
            <w:r>
              <w:rPr>
                <w:webHidden/>
              </w:rPr>
              <w:tab/>
            </w:r>
            <w:r>
              <w:rPr>
                <w:webHidden/>
              </w:rPr>
              <w:fldChar w:fldCharType="begin"/>
            </w:r>
            <w:r>
              <w:rPr>
                <w:webHidden/>
              </w:rPr>
              <w:instrText xml:space="preserve"> PAGEREF _Toc241065243 \h </w:instrText>
            </w:r>
            <w:r>
              <w:rPr>
                <w:webHidden/>
              </w:rPr>
            </w:r>
            <w:r>
              <w:rPr>
                <w:webHidden/>
              </w:rPr>
              <w:fldChar w:fldCharType="separate"/>
            </w:r>
            <w:r w:rsidR="00C30EC7">
              <w:rPr>
                <w:webHidden/>
              </w:rPr>
              <w:t>25</w:t>
            </w:r>
            <w:r>
              <w:rPr>
                <w:webHidden/>
              </w:rPr>
              <w:fldChar w:fldCharType="end"/>
            </w:r>
          </w:hyperlink>
        </w:p>
        <w:p w14:paraId="3D92B05D" w14:textId="0466E66C"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44" w:history="1">
            <w:r w:rsidRPr="009922F6">
              <w:rPr>
                <w:rStyle w:val="Hyperlink"/>
              </w:rPr>
              <w:t>Institute of Public Accountants</w:t>
            </w:r>
            <w:r>
              <w:rPr>
                <w:webHidden/>
              </w:rPr>
              <w:tab/>
            </w:r>
            <w:r>
              <w:rPr>
                <w:webHidden/>
              </w:rPr>
              <w:fldChar w:fldCharType="begin"/>
            </w:r>
            <w:r>
              <w:rPr>
                <w:webHidden/>
              </w:rPr>
              <w:instrText xml:space="preserve"> PAGEREF _Toc241065244 \h </w:instrText>
            </w:r>
            <w:r>
              <w:rPr>
                <w:webHidden/>
              </w:rPr>
            </w:r>
            <w:r>
              <w:rPr>
                <w:webHidden/>
              </w:rPr>
              <w:fldChar w:fldCharType="separate"/>
            </w:r>
            <w:r w:rsidR="00C30EC7">
              <w:rPr>
                <w:webHidden/>
              </w:rPr>
              <w:t>26</w:t>
            </w:r>
            <w:r>
              <w:rPr>
                <w:webHidden/>
              </w:rPr>
              <w:fldChar w:fldCharType="end"/>
            </w:r>
          </w:hyperlink>
        </w:p>
        <w:p w14:paraId="4E3CBBE7" w14:textId="77777777" w:rsidR="002E0DC1" w:rsidRDefault="002E0DC1">
          <w:pPr>
            <w:spacing w:before="0" w:after="0"/>
            <w:rPr>
              <w:rStyle w:val="Hyperlink"/>
              <w:b/>
              <w:noProof/>
              <w:szCs w:val="22"/>
            </w:rPr>
          </w:pPr>
          <w:r>
            <w:rPr>
              <w:rStyle w:val="Hyperlink"/>
              <w:noProof/>
            </w:rPr>
            <w:br w:type="page"/>
          </w:r>
        </w:p>
        <w:p w14:paraId="3F84BC66" w14:textId="4CC742CE" w:rsidR="002E0DC1" w:rsidRDefault="002E0DC1">
          <w:pPr>
            <w:pStyle w:val="TOC1"/>
            <w:rPr>
              <w:rFonts w:asciiTheme="minorHAnsi" w:eastAsiaTheme="minorEastAsia" w:hAnsiTheme="minorHAnsi" w:cstheme="minorBidi"/>
              <w:b w:val="0"/>
              <w:color w:val="auto"/>
              <w:kern w:val="2"/>
              <w:sz w:val="24"/>
              <w:szCs w:val="24"/>
              <w14:ligatures w14:val="standardContextual"/>
            </w:rPr>
          </w:pPr>
          <w:hyperlink w:anchor="_Toc241065245" w:history="1">
            <w:r w:rsidRPr="009922F6">
              <w:rPr>
                <w:rStyle w:val="Hyperlink"/>
              </w:rPr>
              <w:t>FRC Nominations Committee</w:t>
            </w:r>
            <w:r>
              <w:rPr>
                <w:webHidden/>
              </w:rPr>
              <w:tab/>
            </w:r>
            <w:r>
              <w:rPr>
                <w:webHidden/>
              </w:rPr>
              <w:fldChar w:fldCharType="begin"/>
            </w:r>
            <w:r>
              <w:rPr>
                <w:webHidden/>
              </w:rPr>
              <w:instrText xml:space="preserve"> PAGEREF _Toc241065245 \h </w:instrText>
            </w:r>
            <w:r>
              <w:rPr>
                <w:webHidden/>
              </w:rPr>
            </w:r>
            <w:r>
              <w:rPr>
                <w:webHidden/>
              </w:rPr>
              <w:fldChar w:fldCharType="separate"/>
            </w:r>
            <w:r w:rsidR="00C30EC7">
              <w:rPr>
                <w:webHidden/>
              </w:rPr>
              <w:t>30</w:t>
            </w:r>
            <w:r>
              <w:rPr>
                <w:webHidden/>
              </w:rPr>
              <w:fldChar w:fldCharType="end"/>
            </w:r>
          </w:hyperlink>
        </w:p>
        <w:p w14:paraId="623C5C03" w14:textId="58BE5F5B"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46" w:history="1">
            <w:r w:rsidRPr="009922F6">
              <w:rPr>
                <w:rStyle w:val="Hyperlink"/>
              </w:rPr>
              <w:t>Nominations Committee members</w:t>
            </w:r>
            <w:r>
              <w:rPr>
                <w:webHidden/>
              </w:rPr>
              <w:tab/>
            </w:r>
            <w:r>
              <w:rPr>
                <w:webHidden/>
              </w:rPr>
              <w:fldChar w:fldCharType="begin"/>
            </w:r>
            <w:r>
              <w:rPr>
                <w:webHidden/>
              </w:rPr>
              <w:instrText xml:space="preserve"> PAGEREF _Toc241065246 \h </w:instrText>
            </w:r>
            <w:r>
              <w:rPr>
                <w:webHidden/>
              </w:rPr>
            </w:r>
            <w:r>
              <w:rPr>
                <w:webHidden/>
              </w:rPr>
              <w:fldChar w:fldCharType="separate"/>
            </w:r>
            <w:r w:rsidR="00C30EC7">
              <w:rPr>
                <w:webHidden/>
              </w:rPr>
              <w:t>30</w:t>
            </w:r>
            <w:r>
              <w:rPr>
                <w:webHidden/>
              </w:rPr>
              <w:fldChar w:fldCharType="end"/>
            </w:r>
          </w:hyperlink>
        </w:p>
        <w:p w14:paraId="40A2B974" w14:textId="2086D14A"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47" w:history="1">
            <w:r w:rsidRPr="009922F6">
              <w:rPr>
                <w:rStyle w:val="Hyperlink"/>
              </w:rPr>
              <w:t>Operations of the Nominations Committee</w:t>
            </w:r>
            <w:r>
              <w:rPr>
                <w:webHidden/>
              </w:rPr>
              <w:tab/>
            </w:r>
            <w:r>
              <w:rPr>
                <w:webHidden/>
              </w:rPr>
              <w:fldChar w:fldCharType="begin"/>
            </w:r>
            <w:r>
              <w:rPr>
                <w:webHidden/>
              </w:rPr>
              <w:instrText xml:space="preserve"> PAGEREF _Toc241065247 \h </w:instrText>
            </w:r>
            <w:r>
              <w:rPr>
                <w:webHidden/>
              </w:rPr>
            </w:r>
            <w:r>
              <w:rPr>
                <w:webHidden/>
              </w:rPr>
              <w:fldChar w:fldCharType="separate"/>
            </w:r>
            <w:r w:rsidR="00C30EC7">
              <w:rPr>
                <w:webHidden/>
              </w:rPr>
              <w:t>30</w:t>
            </w:r>
            <w:r>
              <w:rPr>
                <w:webHidden/>
              </w:rPr>
              <w:fldChar w:fldCharType="end"/>
            </w:r>
          </w:hyperlink>
        </w:p>
        <w:p w14:paraId="3DB1733A" w14:textId="25AFDA22"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48" w:history="1">
            <w:r w:rsidRPr="009922F6">
              <w:rPr>
                <w:rStyle w:val="Hyperlink"/>
              </w:rPr>
              <w:t>Appointment of members to the AASB and AUASB</w:t>
            </w:r>
            <w:r>
              <w:rPr>
                <w:webHidden/>
              </w:rPr>
              <w:tab/>
            </w:r>
            <w:r>
              <w:rPr>
                <w:webHidden/>
              </w:rPr>
              <w:fldChar w:fldCharType="begin"/>
            </w:r>
            <w:r>
              <w:rPr>
                <w:webHidden/>
              </w:rPr>
              <w:instrText xml:space="preserve"> PAGEREF _Toc241065248 \h </w:instrText>
            </w:r>
            <w:r>
              <w:rPr>
                <w:webHidden/>
              </w:rPr>
            </w:r>
            <w:r>
              <w:rPr>
                <w:webHidden/>
              </w:rPr>
              <w:fldChar w:fldCharType="separate"/>
            </w:r>
            <w:r w:rsidR="00C30EC7">
              <w:rPr>
                <w:webHidden/>
              </w:rPr>
              <w:t>30</w:t>
            </w:r>
            <w:r>
              <w:rPr>
                <w:webHidden/>
              </w:rPr>
              <w:fldChar w:fldCharType="end"/>
            </w:r>
          </w:hyperlink>
        </w:p>
        <w:p w14:paraId="5B9E5AF9" w14:textId="153E8985"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49" w:history="1">
            <w:r w:rsidRPr="009922F6">
              <w:rPr>
                <w:rStyle w:val="Hyperlink"/>
              </w:rPr>
              <w:t>Attendance at FRC Nominations Committee meetings</w:t>
            </w:r>
            <w:r>
              <w:rPr>
                <w:webHidden/>
              </w:rPr>
              <w:tab/>
            </w:r>
            <w:r>
              <w:rPr>
                <w:webHidden/>
              </w:rPr>
              <w:fldChar w:fldCharType="begin"/>
            </w:r>
            <w:r>
              <w:rPr>
                <w:webHidden/>
              </w:rPr>
              <w:instrText xml:space="preserve"> PAGEREF _Toc241065249 \h </w:instrText>
            </w:r>
            <w:r>
              <w:rPr>
                <w:webHidden/>
              </w:rPr>
            </w:r>
            <w:r>
              <w:rPr>
                <w:webHidden/>
              </w:rPr>
              <w:fldChar w:fldCharType="separate"/>
            </w:r>
            <w:r w:rsidR="00C30EC7">
              <w:rPr>
                <w:webHidden/>
              </w:rPr>
              <w:t>32</w:t>
            </w:r>
            <w:r>
              <w:rPr>
                <w:webHidden/>
              </w:rPr>
              <w:fldChar w:fldCharType="end"/>
            </w:r>
          </w:hyperlink>
        </w:p>
        <w:p w14:paraId="6514F9AA" w14:textId="64F98E43" w:rsidR="002E0DC1" w:rsidRDefault="002E0DC1">
          <w:pPr>
            <w:pStyle w:val="TOC1"/>
            <w:rPr>
              <w:rFonts w:asciiTheme="minorHAnsi" w:eastAsiaTheme="minorEastAsia" w:hAnsiTheme="minorHAnsi" w:cstheme="minorBidi"/>
              <w:b w:val="0"/>
              <w:color w:val="auto"/>
              <w:kern w:val="2"/>
              <w:sz w:val="24"/>
              <w:szCs w:val="24"/>
              <w14:ligatures w14:val="standardContextual"/>
            </w:rPr>
          </w:pPr>
          <w:hyperlink w:anchor="_Toc241065250" w:history="1">
            <w:r w:rsidRPr="009922F6">
              <w:rPr>
                <w:rStyle w:val="Hyperlink"/>
              </w:rPr>
              <w:t>FRC Public Sector Advisory Group (PSAG)</w:t>
            </w:r>
            <w:r>
              <w:rPr>
                <w:webHidden/>
              </w:rPr>
              <w:tab/>
            </w:r>
            <w:r>
              <w:rPr>
                <w:webHidden/>
              </w:rPr>
              <w:fldChar w:fldCharType="begin"/>
            </w:r>
            <w:r>
              <w:rPr>
                <w:webHidden/>
              </w:rPr>
              <w:instrText xml:space="preserve"> PAGEREF _Toc241065250 \h </w:instrText>
            </w:r>
            <w:r>
              <w:rPr>
                <w:webHidden/>
              </w:rPr>
            </w:r>
            <w:r>
              <w:rPr>
                <w:webHidden/>
              </w:rPr>
              <w:fldChar w:fldCharType="separate"/>
            </w:r>
            <w:r w:rsidR="00C30EC7">
              <w:rPr>
                <w:webHidden/>
              </w:rPr>
              <w:t>33</w:t>
            </w:r>
            <w:r>
              <w:rPr>
                <w:webHidden/>
              </w:rPr>
              <w:fldChar w:fldCharType="end"/>
            </w:r>
          </w:hyperlink>
        </w:p>
        <w:p w14:paraId="70BAEE95" w14:textId="40C2EFD4"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51" w:history="1">
            <w:r w:rsidRPr="009922F6">
              <w:rPr>
                <w:rStyle w:val="Hyperlink"/>
              </w:rPr>
              <w:t>PSAG focus areas for 2025–26</w:t>
            </w:r>
            <w:r>
              <w:rPr>
                <w:webHidden/>
              </w:rPr>
              <w:tab/>
            </w:r>
            <w:r>
              <w:rPr>
                <w:webHidden/>
              </w:rPr>
              <w:fldChar w:fldCharType="begin"/>
            </w:r>
            <w:r>
              <w:rPr>
                <w:webHidden/>
              </w:rPr>
              <w:instrText xml:space="preserve"> PAGEREF _Toc241065251 \h </w:instrText>
            </w:r>
            <w:r>
              <w:rPr>
                <w:webHidden/>
              </w:rPr>
            </w:r>
            <w:r>
              <w:rPr>
                <w:webHidden/>
              </w:rPr>
              <w:fldChar w:fldCharType="separate"/>
            </w:r>
            <w:r w:rsidR="00C30EC7">
              <w:rPr>
                <w:webHidden/>
              </w:rPr>
              <w:t>33</w:t>
            </w:r>
            <w:r>
              <w:rPr>
                <w:webHidden/>
              </w:rPr>
              <w:fldChar w:fldCharType="end"/>
            </w:r>
          </w:hyperlink>
        </w:p>
        <w:p w14:paraId="4E5FC5AF" w14:textId="4461A045" w:rsidR="002E0DC1" w:rsidRDefault="002E0DC1">
          <w:pPr>
            <w:pStyle w:val="TOC1"/>
            <w:rPr>
              <w:rFonts w:asciiTheme="minorHAnsi" w:eastAsiaTheme="minorEastAsia" w:hAnsiTheme="minorHAnsi" w:cstheme="minorBidi"/>
              <w:b w:val="0"/>
              <w:color w:val="auto"/>
              <w:kern w:val="2"/>
              <w:sz w:val="24"/>
              <w:szCs w:val="24"/>
              <w14:ligatures w14:val="standardContextual"/>
            </w:rPr>
          </w:pPr>
          <w:hyperlink w:anchor="_Toc241065252" w:history="1">
            <w:r w:rsidRPr="009922F6">
              <w:rPr>
                <w:rStyle w:val="Hyperlink"/>
              </w:rPr>
              <w:t>FRC membership</w:t>
            </w:r>
            <w:r>
              <w:rPr>
                <w:webHidden/>
              </w:rPr>
              <w:tab/>
            </w:r>
            <w:r>
              <w:rPr>
                <w:webHidden/>
              </w:rPr>
              <w:fldChar w:fldCharType="begin"/>
            </w:r>
            <w:r>
              <w:rPr>
                <w:webHidden/>
              </w:rPr>
              <w:instrText xml:space="preserve"> PAGEREF _Toc241065252 \h </w:instrText>
            </w:r>
            <w:r>
              <w:rPr>
                <w:webHidden/>
              </w:rPr>
            </w:r>
            <w:r>
              <w:rPr>
                <w:webHidden/>
              </w:rPr>
              <w:fldChar w:fldCharType="separate"/>
            </w:r>
            <w:r w:rsidR="00C30EC7">
              <w:rPr>
                <w:webHidden/>
              </w:rPr>
              <w:t>34</w:t>
            </w:r>
            <w:r>
              <w:rPr>
                <w:webHidden/>
              </w:rPr>
              <w:fldChar w:fldCharType="end"/>
            </w:r>
          </w:hyperlink>
        </w:p>
        <w:p w14:paraId="4B2FB8A5" w14:textId="23EC3E08"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53" w:history="1">
            <w:r w:rsidRPr="009922F6">
              <w:rPr>
                <w:rStyle w:val="Hyperlink"/>
              </w:rPr>
              <w:t>FRC members</w:t>
            </w:r>
            <w:r>
              <w:rPr>
                <w:webHidden/>
              </w:rPr>
              <w:tab/>
            </w:r>
            <w:r>
              <w:rPr>
                <w:webHidden/>
              </w:rPr>
              <w:fldChar w:fldCharType="begin"/>
            </w:r>
            <w:r>
              <w:rPr>
                <w:webHidden/>
              </w:rPr>
              <w:instrText xml:space="preserve"> PAGEREF _Toc241065253 \h </w:instrText>
            </w:r>
            <w:r>
              <w:rPr>
                <w:webHidden/>
              </w:rPr>
            </w:r>
            <w:r>
              <w:rPr>
                <w:webHidden/>
              </w:rPr>
              <w:fldChar w:fldCharType="separate"/>
            </w:r>
            <w:r w:rsidR="00C30EC7">
              <w:rPr>
                <w:webHidden/>
              </w:rPr>
              <w:t>34</w:t>
            </w:r>
            <w:r>
              <w:rPr>
                <w:webHidden/>
              </w:rPr>
              <w:fldChar w:fldCharType="end"/>
            </w:r>
          </w:hyperlink>
        </w:p>
        <w:p w14:paraId="00CB6544" w14:textId="1ABD7D05"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54" w:history="1">
            <w:r w:rsidRPr="009922F6">
              <w:rPr>
                <w:rStyle w:val="Hyperlink"/>
              </w:rPr>
              <w:t>Transparency</w:t>
            </w:r>
            <w:r>
              <w:rPr>
                <w:webHidden/>
              </w:rPr>
              <w:tab/>
            </w:r>
            <w:r>
              <w:rPr>
                <w:webHidden/>
              </w:rPr>
              <w:fldChar w:fldCharType="begin"/>
            </w:r>
            <w:r>
              <w:rPr>
                <w:webHidden/>
              </w:rPr>
              <w:instrText xml:space="preserve"> PAGEREF _Toc241065254 \h </w:instrText>
            </w:r>
            <w:r>
              <w:rPr>
                <w:webHidden/>
              </w:rPr>
            </w:r>
            <w:r>
              <w:rPr>
                <w:webHidden/>
              </w:rPr>
              <w:fldChar w:fldCharType="separate"/>
            </w:r>
            <w:r w:rsidR="00C30EC7">
              <w:rPr>
                <w:webHidden/>
              </w:rPr>
              <w:t>37</w:t>
            </w:r>
            <w:r>
              <w:rPr>
                <w:webHidden/>
              </w:rPr>
              <w:fldChar w:fldCharType="end"/>
            </w:r>
          </w:hyperlink>
        </w:p>
        <w:p w14:paraId="15F89495" w14:textId="393B4210"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55" w:history="1">
            <w:r w:rsidRPr="009922F6">
              <w:rPr>
                <w:rStyle w:val="Hyperlink"/>
              </w:rPr>
              <w:t>Disclosure and conflict of interests</w:t>
            </w:r>
            <w:r>
              <w:rPr>
                <w:webHidden/>
              </w:rPr>
              <w:tab/>
            </w:r>
            <w:r>
              <w:rPr>
                <w:webHidden/>
              </w:rPr>
              <w:fldChar w:fldCharType="begin"/>
            </w:r>
            <w:r>
              <w:rPr>
                <w:webHidden/>
              </w:rPr>
              <w:instrText xml:space="preserve"> PAGEREF _Toc241065255 \h </w:instrText>
            </w:r>
            <w:r>
              <w:rPr>
                <w:webHidden/>
              </w:rPr>
            </w:r>
            <w:r>
              <w:rPr>
                <w:webHidden/>
              </w:rPr>
              <w:fldChar w:fldCharType="separate"/>
            </w:r>
            <w:r w:rsidR="00C30EC7">
              <w:rPr>
                <w:webHidden/>
              </w:rPr>
              <w:t>37</w:t>
            </w:r>
            <w:r>
              <w:rPr>
                <w:webHidden/>
              </w:rPr>
              <w:fldChar w:fldCharType="end"/>
            </w:r>
          </w:hyperlink>
        </w:p>
        <w:p w14:paraId="7C68D86A" w14:textId="2F99B1C3"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56" w:history="1">
            <w:r w:rsidRPr="009922F6">
              <w:rPr>
                <w:rStyle w:val="Hyperlink"/>
              </w:rPr>
              <w:t>Attendance at FRC meetings</w:t>
            </w:r>
            <w:r>
              <w:rPr>
                <w:webHidden/>
              </w:rPr>
              <w:tab/>
            </w:r>
            <w:r>
              <w:rPr>
                <w:webHidden/>
              </w:rPr>
              <w:fldChar w:fldCharType="begin"/>
            </w:r>
            <w:r>
              <w:rPr>
                <w:webHidden/>
              </w:rPr>
              <w:instrText xml:space="preserve"> PAGEREF _Toc241065256 \h </w:instrText>
            </w:r>
            <w:r>
              <w:rPr>
                <w:webHidden/>
              </w:rPr>
            </w:r>
            <w:r>
              <w:rPr>
                <w:webHidden/>
              </w:rPr>
              <w:fldChar w:fldCharType="separate"/>
            </w:r>
            <w:r w:rsidR="00C30EC7">
              <w:rPr>
                <w:webHidden/>
              </w:rPr>
              <w:t>37</w:t>
            </w:r>
            <w:r>
              <w:rPr>
                <w:webHidden/>
              </w:rPr>
              <w:fldChar w:fldCharType="end"/>
            </w:r>
          </w:hyperlink>
        </w:p>
        <w:p w14:paraId="5D43605E" w14:textId="39EBDC94" w:rsidR="002E0DC1" w:rsidRDefault="002E0DC1">
          <w:pPr>
            <w:pStyle w:val="TOC1"/>
            <w:rPr>
              <w:rFonts w:asciiTheme="minorHAnsi" w:eastAsiaTheme="minorEastAsia" w:hAnsiTheme="minorHAnsi" w:cstheme="minorBidi"/>
              <w:b w:val="0"/>
              <w:color w:val="auto"/>
              <w:kern w:val="2"/>
              <w:sz w:val="24"/>
              <w:szCs w:val="24"/>
              <w14:ligatures w14:val="standardContextual"/>
            </w:rPr>
          </w:pPr>
          <w:hyperlink w:anchor="_Toc241065257" w:history="1">
            <w:r w:rsidRPr="009922F6">
              <w:rPr>
                <w:rStyle w:val="Hyperlink"/>
              </w:rPr>
              <w:t>Other matters</w:t>
            </w:r>
            <w:r>
              <w:rPr>
                <w:webHidden/>
              </w:rPr>
              <w:tab/>
            </w:r>
            <w:r>
              <w:rPr>
                <w:webHidden/>
              </w:rPr>
              <w:fldChar w:fldCharType="begin"/>
            </w:r>
            <w:r>
              <w:rPr>
                <w:webHidden/>
              </w:rPr>
              <w:instrText xml:space="preserve"> PAGEREF _Toc241065257 \h </w:instrText>
            </w:r>
            <w:r>
              <w:rPr>
                <w:webHidden/>
              </w:rPr>
            </w:r>
            <w:r>
              <w:rPr>
                <w:webHidden/>
              </w:rPr>
              <w:fldChar w:fldCharType="separate"/>
            </w:r>
            <w:r w:rsidR="00C30EC7">
              <w:rPr>
                <w:webHidden/>
              </w:rPr>
              <w:t>38</w:t>
            </w:r>
            <w:r>
              <w:rPr>
                <w:webHidden/>
              </w:rPr>
              <w:fldChar w:fldCharType="end"/>
            </w:r>
          </w:hyperlink>
        </w:p>
        <w:p w14:paraId="7CD4D022" w14:textId="3D7069E8"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58" w:history="1">
            <w:r w:rsidRPr="009922F6">
              <w:rPr>
                <w:rStyle w:val="Hyperlink"/>
              </w:rPr>
              <w:t>Communication and consultation</w:t>
            </w:r>
            <w:r>
              <w:rPr>
                <w:webHidden/>
              </w:rPr>
              <w:tab/>
            </w:r>
            <w:r>
              <w:rPr>
                <w:webHidden/>
              </w:rPr>
              <w:fldChar w:fldCharType="begin"/>
            </w:r>
            <w:r>
              <w:rPr>
                <w:webHidden/>
              </w:rPr>
              <w:instrText xml:space="preserve"> PAGEREF _Toc241065258 \h </w:instrText>
            </w:r>
            <w:r>
              <w:rPr>
                <w:webHidden/>
              </w:rPr>
            </w:r>
            <w:r>
              <w:rPr>
                <w:webHidden/>
              </w:rPr>
              <w:fldChar w:fldCharType="separate"/>
            </w:r>
            <w:r w:rsidR="00C30EC7">
              <w:rPr>
                <w:webHidden/>
              </w:rPr>
              <w:t>38</w:t>
            </w:r>
            <w:r>
              <w:rPr>
                <w:webHidden/>
              </w:rPr>
              <w:fldChar w:fldCharType="end"/>
            </w:r>
          </w:hyperlink>
        </w:p>
        <w:p w14:paraId="0B41AE54" w14:textId="28D2D3B4"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59" w:history="1">
            <w:r w:rsidRPr="009922F6">
              <w:rPr>
                <w:rStyle w:val="Hyperlink"/>
              </w:rPr>
              <w:t>Finances</w:t>
            </w:r>
            <w:r>
              <w:rPr>
                <w:webHidden/>
              </w:rPr>
              <w:tab/>
            </w:r>
            <w:r>
              <w:rPr>
                <w:webHidden/>
              </w:rPr>
              <w:fldChar w:fldCharType="begin"/>
            </w:r>
            <w:r>
              <w:rPr>
                <w:webHidden/>
              </w:rPr>
              <w:instrText xml:space="preserve"> PAGEREF _Toc241065259 \h </w:instrText>
            </w:r>
            <w:r>
              <w:rPr>
                <w:webHidden/>
              </w:rPr>
            </w:r>
            <w:r>
              <w:rPr>
                <w:webHidden/>
              </w:rPr>
              <w:fldChar w:fldCharType="separate"/>
            </w:r>
            <w:r w:rsidR="00C30EC7">
              <w:rPr>
                <w:webHidden/>
              </w:rPr>
              <w:t>38</w:t>
            </w:r>
            <w:r>
              <w:rPr>
                <w:webHidden/>
              </w:rPr>
              <w:fldChar w:fldCharType="end"/>
            </w:r>
          </w:hyperlink>
        </w:p>
        <w:p w14:paraId="71C9774C" w14:textId="40AF751D"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60" w:history="1">
            <w:r w:rsidRPr="009922F6">
              <w:rPr>
                <w:rStyle w:val="Hyperlink"/>
              </w:rPr>
              <w:t>Information Publication Scheme</w:t>
            </w:r>
            <w:r>
              <w:rPr>
                <w:webHidden/>
              </w:rPr>
              <w:tab/>
            </w:r>
            <w:r>
              <w:rPr>
                <w:webHidden/>
              </w:rPr>
              <w:fldChar w:fldCharType="begin"/>
            </w:r>
            <w:r>
              <w:rPr>
                <w:webHidden/>
              </w:rPr>
              <w:instrText xml:space="preserve"> PAGEREF _Toc241065260 \h </w:instrText>
            </w:r>
            <w:r>
              <w:rPr>
                <w:webHidden/>
              </w:rPr>
            </w:r>
            <w:r>
              <w:rPr>
                <w:webHidden/>
              </w:rPr>
              <w:fldChar w:fldCharType="separate"/>
            </w:r>
            <w:r w:rsidR="00C30EC7">
              <w:rPr>
                <w:webHidden/>
              </w:rPr>
              <w:t>38</w:t>
            </w:r>
            <w:r>
              <w:rPr>
                <w:webHidden/>
              </w:rPr>
              <w:fldChar w:fldCharType="end"/>
            </w:r>
          </w:hyperlink>
        </w:p>
        <w:p w14:paraId="58F293F2" w14:textId="4ECA93F5" w:rsidR="002E0DC1" w:rsidRDefault="002E0DC1">
          <w:pPr>
            <w:pStyle w:val="TOC2"/>
            <w:rPr>
              <w:rFonts w:asciiTheme="minorHAnsi" w:eastAsiaTheme="minorEastAsia" w:hAnsiTheme="minorHAnsi" w:cstheme="minorBidi"/>
              <w:color w:val="auto"/>
              <w:kern w:val="2"/>
              <w:sz w:val="24"/>
              <w:szCs w:val="24"/>
              <w14:ligatures w14:val="standardContextual"/>
            </w:rPr>
          </w:pPr>
          <w:hyperlink w:anchor="_Toc241065261" w:history="1">
            <w:r w:rsidRPr="009922F6">
              <w:rPr>
                <w:rStyle w:val="Hyperlink"/>
              </w:rPr>
              <w:t>Impact Analysis Statements</w:t>
            </w:r>
            <w:r>
              <w:rPr>
                <w:webHidden/>
              </w:rPr>
              <w:tab/>
            </w:r>
            <w:r>
              <w:rPr>
                <w:webHidden/>
              </w:rPr>
              <w:fldChar w:fldCharType="begin"/>
            </w:r>
            <w:r>
              <w:rPr>
                <w:webHidden/>
              </w:rPr>
              <w:instrText xml:space="preserve"> PAGEREF _Toc241065261 \h </w:instrText>
            </w:r>
            <w:r>
              <w:rPr>
                <w:webHidden/>
              </w:rPr>
            </w:r>
            <w:r>
              <w:rPr>
                <w:webHidden/>
              </w:rPr>
              <w:fldChar w:fldCharType="separate"/>
            </w:r>
            <w:r w:rsidR="00C30EC7">
              <w:rPr>
                <w:webHidden/>
              </w:rPr>
              <w:t>38</w:t>
            </w:r>
            <w:r>
              <w:rPr>
                <w:webHidden/>
              </w:rPr>
              <w:fldChar w:fldCharType="end"/>
            </w:r>
          </w:hyperlink>
        </w:p>
        <w:p w14:paraId="6D229622" w14:textId="0CFBC5FF" w:rsidR="002E0DC1" w:rsidRDefault="002E0DC1">
          <w:pPr>
            <w:pStyle w:val="TOC1"/>
            <w:rPr>
              <w:rFonts w:asciiTheme="minorHAnsi" w:eastAsiaTheme="minorEastAsia" w:hAnsiTheme="minorHAnsi" w:cstheme="minorBidi"/>
              <w:b w:val="0"/>
              <w:color w:val="auto"/>
              <w:kern w:val="2"/>
              <w:sz w:val="24"/>
              <w:szCs w:val="24"/>
              <w14:ligatures w14:val="standardContextual"/>
            </w:rPr>
          </w:pPr>
          <w:hyperlink w:anchor="_Toc241065262" w:history="1">
            <w:r w:rsidRPr="009922F6">
              <w:rPr>
                <w:rStyle w:val="Hyperlink"/>
              </w:rPr>
              <w:t>Glossary</w:t>
            </w:r>
            <w:r>
              <w:rPr>
                <w:webHidden/>
              </w:rPr>
              <w:tab/>
            </w:r>
            <w:r>
              <w:rPr>
                <w:webHidden/>
              </w:rPr>
              <w:fldChar w:fldCharType="begin"/>
            </w:r>
            <w:r>
              <w:rPr>
                <w:webHidden/>
              </w:rPr>
              <w:instrText xml:space="preserve"> PAGEREF _Toc241065262 \h </w:instrText>
            </w:r>
            <w:r>
              <w:rPr>
                <w:webHidden/>
              </w:rPr>
            </w:r>
            <w:r>
              <w:rPr>
                <w:webHidden/>
              </w:rPr>
              <w:fldChar w:fldCharType="separate"/>
            </w:r>
            <w:r w:rsidR="00C30EC7">
              <w:rPr>
                <w:webHidden/>
              </w:rPr>
              <w:t>39</w:t>
            </w:r>
            <w:r>
              <w:rPr>
                <w:webHidden/>
              </w:rPr>
              <w:fldChar w:fldCharType="end"/>
            </w:r>
          </w:hyperlink>
        </w:p>
        <w:p w14:paraId="61109B64" w14:textId="62E693C8" w:rsidR="00CB7C46" w:rsidRDefault="00CB7C46">
          <w:pPr>
            <w:rPr>
              <w:szCs w:val="22"/>
            </w:rPr>
          </w:pPr>
          <w:r>
            <w:rPr>
              <w:b/>
              <w:noProof/>
              <w:color w:val="2C384A" w:themeColor="accent1"/>
              <w:szCs w:val="22"/>
            </w:rPr>
            <w:fldChar w:fldCharType="end"/>
          </w:r>
        </w:p>
      </w:sdtContent>
    </w:sdt>
    <w:p w14:paraId="1BB9632B" w14:textId="77777777" w:rsidR="007F585F" w:rsidRDefault="007F585F" w:rsidP="003466B5">
      <w:pPr>
        <w:pStyle w:val="Heading1"/>
        <w:sectPr w:rsidR="007F585F" w:rsidSect="002E0DC1">
          <w:footerReference w:type="first" r:id="rId20"/>
          <w:type w:val="continuous"/>
          <w:pgSz w:w="11906" w:h="16838" w:code="9"/>
          <w:pgMar w:top="1843" w:right="1418" w:bottom="1418" w:left="1418" w:header="708" w:footer="708" w:gutter="0"/>
          <w:pgNumType w:fmt="lowerRoman"/>
          <w:cols w:space="708"/>
          <w:titlePg/>
          <w:docGrid w:linePitch="360"/>
        </w:sectPr>
      </w:pPr>
    </w:p>
    <w:p w14:paraId="2E267C45" w14:textId="5F01AF7B" w:rsidR="00E132E1" w:rsidRPr="001A77AA" w:rsidRDefault="00E132E1" w:rsidP="003466B5">
      <w:pPr>
        <w:pStyle w:val="Heading1"/>
      </w:pPr>
      <w:bookmarkStart w:id="2" w:name="_Toc241065212"/>
      <w:r w:rsidRPr="00A94360">
        <w:lastRenderedPageBreak/>
        <w:t xml:space="preserve">Our </w:t>
      </w:r>
      <w:r w:rsidRPr="00C40B90">
        <w:t>past</w:t>
      </w:r>
      <w:r w:rsidRPr="00A94360">
        <w:t xml:space="preserve"> year</w:t>
      </w:r>
      <w:bookmarkEnd w:id="2"/>
    </w:p>
    <w:p w14:paraId="157A2DC6" w14:textId="2A5952C6" w:rsidR="00E132E1" w:rsidRPr="001A77AA" w:rsidRDefault="00E132E1" w:rsidP="00D10B8F">
      <w:pPr>
        <w:rPr>
          <w:rFonts w:eastAsia="Aptos"/>
          <w:lang w:eastAsia="en-US"/>
        </w:rPr>
      </w:pPr>
      <w:r w:rsidRPr="001A77AA">
        <w:rPr>
          <w:rFonts w:eastAsia="Aptos"/>
          <w:lang w:eastAsia="en-US"/>
        </w:rPr>
        <w:t xml:space="preserve">The </w:t>
      </w:r>
      <w:r w:rsidR="00FD7321" w:rsidRPr="00FD7321">
        <w:rPr>
          <w:rFonts w:eastAsia="Aptos"/>
          <w:lang w:eastAsia="en-US"/>
        </w:rPr>
        <w:t>Financial Reporting Council</w:t>
      </w:r>
      <w:r w:rsidR="00FD7321">
        <w:rPr>
          <w:rFonts w:eastAsia="Aptos"/>
          <w:lang w:eastAsia="en-US"/>
        </w:rPr>
        <w:t>’s</w:t>
      </w:r>
      <w:r w:rsidR="00FD7321" w:rsidRPr="00FD7321">
        <w:rPr>
          <w:rFonts w:eastAsia="Aptos"/>
          <w:lang w:eastAsia="en-US"/>
        </w:rPr>
        <w:t xml:space="preserve"> (FRC) </w:t>
      </w:r>
      <w:r w:rsidRPr="001A77AA">
        <w:rPr>
          <w:rFonts w:eastAsia="Aptos"/>
          <w:lang w:eastAsia="en-US"/>
        </w:rPr>
        <w:t xml:space="preserve">activities </w:t>
      </w:r>
      <w:r w:rsidR="00F76F5A" w:rsidRPr="001A77AA">
        <w:rPr>
          <w:rFonts w:eastAsia="Aptos"/>
          <w:lang w:eastAsia="en-US"/>
        </w:rPr>
        <w:t xml:space="preserve">in </w:t>
      </w:r>
      <w:r w:rsidRPr="001A77AA">
        <w:rPr>
          <w:rFonts w:eastAsia="Aptos"/>
          <w:lang w:eastAsia="en-US"/>
        </w:rPr>
        <w:t xml:space="preserve">the </w:t>
      </w:r>
      <w:r w:rsidR="00774233" w:rsidRPr="001A77AA">
        <w:rPr>
          <w:rFonts w:eastAsia="Aptos"/>
          <w:lang w:eastAsia="en-US"/>
        </w:rPr>
        <w:t>2025</w:t>
      </w:r>
      <w:r w:rsidRPr="001A77AA">
        <w:rPr>
          <w:rFonts w:eastAsia="Aptos"/>
          <w:lang w:eastAsia="en-US"/>
        </w:rPr>
        <w:t>–</w:t>
      </w:r>
      <w:r w:rsidR="00774233" w:rsidRPr="001A77AA">
        <w:rPr>
          <w:rFonts w:eastAsia="Aptos"/>
          <w:lang w:eastAsia="en-US"/>
        </w:rPr>
        <w:t xml:space="preserve">26 </w:t>
      </w:r>
      <w:r w:rsidR="005D2586" w:rsidRPr="001A77AA">
        <w:rPr>
          <w:rFonts w:eastAsia="Aptos"/>
          <w:lang w:eastAsia="en-US"/>
        </w:rPr>
        <w:t xml:space="preserve">reporting </w:t>
      </w:r>
      <w:r w:rsidRPr="001A77AA">
        <w:rPr>
          <w:rFonts w:eastAsia="Aptos"/>
          <w:lang w:eastAsia="en-US"/>
        </w:rPr>
        <w:t>year reflected its commitment to strengthening confidence in</w:t>
      </w:r>
      <w:r w:rsidR="00842144" w:rsidRPr="001A77AA">
        <w:rPr>
          <w:rFonts w:eastAsia="Aptos"/>
          <w:lang w:eastAsia="en-US"/>
        </w:rPr>
        <w:t xml:space="preserve"> financial reporting in</w:t>
      </w:r>
      <w:r w:rsidRPr="001A77AA">
        <w:rPr>
          <w:rFonts w:eastAsia="Aptos"/>
          <w:lang w:eastAsia="en-US"/>
        </w:rPr>
        <w:t xml:space="preserve"> Australia</w:t>
      </w:r>
      <w:r w:rsidR="00842144" w:rsidRPr="001A77AA">
        <w:rPr>
          <w:rFonts w:eastAsia="Aptos"/>
          <w:lang w:eastAsia="en-US"/>
        </w:rPr>
        <w:t xml:space="preserve">. The FRC </w:t>
      </w:r>
      <w:r w:rsidR="00EA243F" w:rsidRPr="001A77AA">
        <w:rPr>
          <w:rFonts w:eastAsia="Aptos"/>
          <w:lang w:eastAsia="en-US"/>
        </w:rPr>
        <w:t>continued</w:t>
      </w:r>
      <w:r w:rsidR="00EE4BD6" w:rsidRPr="001A77AA">
        <w:rPr>
          <w:rFonts w:eastAsia="Aptos"/>
          <w:lang w:eastAsia="en-US"/>
        </w:rPr>
        <w:t xml:space="preserve"> to</w:t>
      </w:r>
      <w:r w:rsidR="008C6F05">
        <w:rPr>
          <w:rFonts w:eastAsia="Aptos"/>
          <w:lang w:eastAsia="en-US"/>
        </w:rPr>
        <w:t> </w:t>
      </w:r>
      <w:r w:rsidR="00B524B5" w:rsidRPr="001A77AA">
        <w:rPr>
          <w:rFonts w:eastAsia="Aptos"/>
          <w:lang w:eastAsia="en-US"/>
        </w:rPr>
        <w:t>enhance</w:t>
      </w:r>
      <w:r w:rsidR="00EE4BD6" w:rsidRPr="001A77AA">
        <w:rPr>
          <w:rFonts w:eastAsia="Aptos"/>
          <w:lang w:eastAsia="en-US"/>
        </w:rPr>
        <w:t xml:space="preserve"> </w:t>
      </w:r>
      <w:r w:rsidRPr="001A77AA">
        <w:rPr>
          <w:rFonts w:eastAsia="Aptos"/>
          <w:lang w:eastAsia="en-US"/>
        </w:rPr>
        <w:t xml:space="preserve">financial </w:t>
      </w:r>
      <w:r w:rsidR="00DF4433" w:rsidRPr="001A77AA">
        <w:rPr>
          <w:rFonts w:eastAsia="Aptos"/>
          <w:lang w:eastAsia="en-US"/>
        </w:rPr>
        <w:t xml:space="preserve">and sustainability </w:t>
      </w:r>
      <w:r w:rsidRPr="001A77AA">
        <w:rPr>
          <w:rFonts w:eastAsia="Aptos"/>
          <w:lang w:eastAsia="en-US"/>
        </w:rPr>
        <w:t>reporting and assurance frameworks</w:t>
      </w:r>
      <w:r w:rsidR="00EE4BD6" w:rsidRPr="001A77AA">
        <w:rPr>
          <w:rFonts w:eastAsia="Aptos"/>
          <w:lang w:eastAsia="en-US"/>
        </w:rPr>
        <w:t xml:space="preserve"> through</w:t>
      </w:r>
      <w:r w:rsidRPr="001A77AA">
        <w:rPr>
          <w:rFonts w:eastAsia="Aptos"/>
          <w:lang w:eastAsia="en-US"/>
        </w:rPr>
        <w:t>:</w:t>
      </w:r>
    </w:p>
    <w:p w14:paraId="0B3ABC15" w14:textId="77777777" w:rsidR="00E132E1" w:rsidRPr="001A77AA" w:rsidRDefault="00E132E1" w:rsidP="00531C63">
      <w:pPr>
        <w:pStyle w:val="Bullet"/>
      </w:pPr>
      <w:r w:rsidRPr="001A77AA">
        <w:t>targeted environmental scans and strategic oversight</w:t>
      </w:r>
    </w:p>
    <w:p w14:paraId="674E191D" w14:textId="77777777" w:rsidR="00E132E1" w:rsidRPr="001A77AA" w:rsidRDefault="00E132E1" w:rsidP="00531C63">
      <w:pPr>
        <w:pStyle w:val="Bullet"/>
      </w:pPr>
      <w:r w:rsidRPr="001A77AA">
        <w:t>active engagement with domestic and international stakeholders</w:t>
      </w:r>
    </w:p>
    <w:p w14:paraId="40DBA170" w14:textId="1AF6B157" w:rsidR="00A235E5" w:rsidRPr="001A77AA" w:rsidRDefault="00E132E1" w:rsidP="00531C63">
      <w:pPr>
        <w:pStyle w:val="Bullet"/>
      </w:pPr>
      <w:r w:rsidRPr="001A77AA">
        <w:t xml:space="preserve">support for the implementation of climate and sustainability reporting standards </w:t>
      </w:r>
      <w:r w:rsidR="00BB3CF4" w:rsidRPr="001A77AA">
        <w:t>aligned</w:t>
      </w:r>
      <w:r w:rsidR="00DB2326" w:rsidRPr="001A77AA">
        <w:t xml:space="preserve"> </w:t>
      </w:r>
      <w:r w:rsidRPr="001A77AA">
        <w:t>with global frameworks</w:t>
      </w:r>
      <w:r w:rsidR="00ED72EA" w:rsidRPr="001A77AA">
        <w:t>.</w:t>
      </w:r>
    </w:p>
    <w:p w14:paraId="6DB76F91" w14:textId="25019D09" w:rsidR="00E132E1" w:rsidRPr="001A77AA" w:rsidRDefault="00A235E5" w:rsidP="00D10B8F">
      <w:pPr>
        <w:rPr>
          <w:rFonts w:eastAsia="Aptos"/>
          <w:lang w:eastAsia="en-US"/>
        </w:rPr>
      </w:pPr>
      <w:r w:rsidRPr="001A77AA">
        <w:rPr>
          <w:rFonts w:eastAsia="Aptos"/>
          <w:lang w:eastAsia="en-US"/>
        </w:rPr>
        <w:t xml:space="preserve">The FRC continued its </w:t>
      </w:r>
      <w:r w:rsidR="00E132E1" w:rsidRPr="001A77AA">
        <w:rPr>
          <w:rFonts w:eastAsia="Aptos"/>
          <w:lang w:eastAsia="en-US"/>
        </w:rPr>
        <w:t xml:space="preserve">collaboration with the </w:t>
      </w:r>
      <w:r w:rsidRPr="001A77AA">
        <w:rPr>
          <w:rFonts w:eastAsia="Aptos"/>
          <w:lang w:eastAsia="en-US"/>
        </w:rPr>
        <w:t>Australian Accounting Standards Board (</w:t>
      </w:r>
      <w:r w:rsidR="00E132E1" w:rsidRPr="001A77AA">
        <w:rPr>
          <w:rFonts w:eastAsia="Aptos"/>
          <w:lang w:eastAsia="en-US"/>
        </w:rPr>
        <w:t>AASB</w:t>
      </w:r>
      <w:r w:rsidRPr="001A77AA">
        <w:rPr>
          <w:rFonts w:eastAsia="Aptos"/>
          <w:lang w:eastAsia="en-US"/>
        </w:rPr>
        <w:t>)</w:t>
      </w:r>
      <w:r w:rsidR="00E132E1" w:rsidRPr="001A77AA">
        <w:rPr>
          <w:rFonts w:eastAsia="Aptos"/>
          <w:lang w:eastAsia="en-US"/>
        </w:rPr>
        <w:t xml:space="preserve">, </w:t>
      </w:r>
      <w:r w:rsidRPr="001A77AA">
        <w:rPr>
          <w:rFonts w:eastAsia="Aptos"/>
          <w:lang w:eastAsia="en-US"/>
        </w:rPr>
        <w:t>Auditing</w:t>
      </w:r>
      <w:r w:rsidR="003B2C42" w:rsidRPr="001A77AA">
        <w:rPr>
          <w:rFonts w:eastAsia="Aptos"/>
          <w:lang w:eastAsia="en-US"/>
        </w:rPr>
        <w:t> </w:t>
      </w:r>
      <w:r w:rsidRPr="001A77AA">
        <w:rPr>
          <w:rFonts w:eastAsia="Aptos"/>
          <w:lang w:eastAsia="en-US"/>
        </w:rPr>
        <w:t>and Assurance Standards Board (</w:t>
      </w:r>
      <w:r w:rsidR="00E132E1" w:rsidRPr="001A77AA">
        <w:rPr>
          <w:rFonts w:eastAsia="Aptos"/>
          <w:lang w:eastAsia="en-US"/>
        </w:rPr>
        <w:t>AUASB</w:t>
      </w:r>
      <w:r w:rsidRPr="001A77AA">
        <w:rPr>
          <w:rFonts w:eastAsia="Aptos"/>
          <w:lang w:eastAsia="en-US"/>
        </w:rPr>
        <w:t>)</w:t>
      </w:r>
      <w:r w:rsidR="00E132E1" w:rsidRPr="001A77AA">
        <w:rPr>
          <w:rFonts w:eastAsia="Aptos"/>
          <w:lang w:eastAsia="en-US"/>
        </w:rPr>
        <w:t xml:space="preserve"> and </w:t>
      </w:r>
      <w:r w:rsidR="004444C3" w:rsidRPr="001A77AA">
        <w:rPr>
          <w:rFonts w:eastAsia="Aptos"/>
          <w:lang w:eastAsia="en-US"/>
        </w:rPr>
        <w:t xml:space="preserve">other </w:t>
      </w:r>
      <w:r w:rsidR="00E132E1" w:rsidRPr="001A77AA">
        <w:rPr>
          <w:rFonts w:eastAsia="Aptos"/>
          <w:lang w:eastAsia="en-US"/>
        </w:rPr>
        <w:t>stakeholders</w:t>
      </w:r>
      <w:r w:rsidRPr="001A77AA">
        <w:rPr>
          <w:rFonts w:eastAsia="Aptos"/>
          <w:lang w:eastAsia="en-US"/>
        </w:rPr>
        <w:t>. By doing so, t</w:t>
      </w:r>
      <w:r w:rsidR="00E132E1" w:rsidRPr="001A77AA">
        <w:rPr>
          <w:rFonts w:eastAsia="Aptos"/>
          <w:lang w:eastAsia="en-US"/>
        </w:rPr>
        <w:t>he FRC</w:t>
      </w:r>
      <w:r w:rsidR="002A1039" w:rsidRPr="001A77AA">
        <w:rPr>
          <w:rFonts w:eastAsia="Aptos"/>
          <w:lang w:eastAsia="en-US"/>
        </w:rPr>
        <w:t xml:space="preserve"> promoted</w:t>
      </w:r>
      <w:r w:rsidR="00E132E1" w:rsidRPr="001A77AA">
        <w:rPr>
          <w:rFonts w:eastAsia="Aptos"/>
          <w:lang w:eastAsia="en-US"/>
        </w:rPr>
        <w:t xml:space="preserve"> </w:t>
      </w:r>
      <w:r w:rsidR="002A1039" w:rsidRPr="001A77AA">
        <w:rPr>
          <w:rFonts w:eastAsia="Aptos"/>
          <w:lang w:eastAsia="en-US"/>
        </w:rPr>
        <w:t xml:space="preserve">international consistency and comparability, which </w:t>
      </w:r>
      <w:r w:rsidR="004444C3" w:rsidRPr="001A77AA">
        <w:rPr>
          <w:rFonts w:eastAsia="Aptos"/>
          <w:lang w:eastAsia="en-US"/>
        </w:rPr>
        <w:t>helped shape</w:t>
      </w:r>
      <w:r w:rsidR="00E132E1" w:rsidRPr="001A77AA">
        <w:rPr>
          <w:rFonts w:eastAsia="Aptos"/>
          <w:lang w:eastAsia="en-US"/>
        </w:rPr>
        <w:t xml:space="preserve"> Australia</w:t>
      </w:r>
      <w:r w:rsidR="009C134F" w:rsidRPr="001A77AA">
        <w:rPr>
          <w:rFonts w:eastAsia="Aptos"/>
          <w:lang w:eastAsia="en-US"/>
        </w:rPr>
        <w:t>’</w:t>
      </w:r>
      <w:r w:rsidR="00E132E1" w:rsidRPr="001A77AA">
        <w:rPr>
          <w:rFonts w:eastAsia="Aptos"/>
          <w:lang w:eastAsia="en-US"/>
        </w:rPr>
        <w:t>s sustainability reporting</w:t>
      </w:r>
      <w:r w:rsidR="003B2C42" w:rsidRPr="001A77AA">
        <w:rPr>
          <w:rFonts w:eastAsia="Aptos"/>
          <w:lang w:eastAsia="en-US"/>
        </w:rPr>
        <w:t> </w:t>
      </w:r>
      <w:r w:rsidR="00E132E1" w:rsidRPr="001A77AA">
        <w:rPr>
          <w:rFonts w:eastAsia="Aptos"/>
          <w:lang w:eastAsia="en-US"/>
        </w:rPr>
        <w:t xml:space="preserve">standards. </w:t>
      </w:r>
    </w:p>
    <w:p w14:paraId="582BAD7D" w14:textId="77777777" w:rsidR="00BB596D" w:rsidRDefault="00E132E1" w:rsidP="00BB596D">
      <w:pPr>
        <w:rPr>
          <w:rFonts w:eastAsia="Aptos"/>
          <w:lang w:eastAsia="en-US"/>
        </w:rPr>
      </w:pPr>
      <w:r w:rsidRPr="001A77AA">
        <w:rPr>
          <w:rFonts w:eastAsia="Aptos"/>
          <w:lang w:eastAsia="en-US"/>
        </w:rPr>
        <w:t>This</w:t>
      </w:r>
      <w:r w:rsidR="008B0E9C" w:rsidRPr="001A77AA">
        <w:rPr>
          <w:rFonts w:eastAsia="Aptos"/>
          <w:lang w:eastAsia="en-US"/>
        </w:rPr>
        <w:t xml:space="preserve"> annual</w:t>
      </w:r>
      <w:r w:rsidRPr="001A77AA">
        <w:rPr>
          <w:rFonts w:eastAsia="Aptos"/>
          <w:lang w:eastAsia="en-US"/>
        </w:rPr>
        <w:t xml:space="preserve"> report outlines the FRC</w:t>
      </w:r>
      <w:r w:rsidR="009C134F" w:rsidRPr="001A77AA">
        <w:rPr>
          <w:rFonts w:eastAsia="Aptos"/>
          <w:lang w:eastAsia="en-US"/>
        </w:rPr>
        <w:t>’</w:t>
      </w:r>
      <w:r w:rsidRPr="001A77AA">
        <w:rPr>
          <w:rFonts w:eastAsia="Aptos"/>
          <w:lang w:eastAsia="en-US"/>
        </w:rPr>
        <w:t xml:space="preserve">s priorities, actions and achievements during </w:t>
      </w:r>
      <w:r w:rsidR="00577819" w:rsidRPr="001A77AA">
        <w:rPr>
          <w:rFonts w:eastAsia="Aptos"/>
          <w:lang w:eastAsia="en-US"/>
        </w:rPr>
        <w:t>2025</w:t>
      </w:r>
      <w:r w:rsidRPr="001A77AA">
        <w:rPr>
          <w:rFonts w:eastAsia="Aptos"/>
          <w:lang w:eastAsia="en-US"/>
        </w:rPr>
        <w:t>–</w:t>
      </w:r>
      <w:r w:rsidR="00577819" w:rsidRPr="001A77AA">
        <w:rPr>
          <w:rFonts w:eastAsia="Aptos"/>
          <w:lang w:eastAsia="en-US"/>
        </w:rPr>
        <w:t>26</w:t>
      </w:r>
      <w:r w:rsidR="0000637E" w:rsidRPr="001A77AA">
        <w:rPr>
          <w:rFonts w:eastAsia="Aptos"/>
          <w:lang w:eastAsia="en-US"/>
        </w:rPr>
        <w:t>.</w:t>
      </w:r>
      <w:r w:rsidR="00577819" w:rsidRPr="001A77AA">
        <w:rPr>
          <w:rFonts w:eastAsia="Aptos"/>
          <w:lang w:eastAsia="en-US"/>
        </w:rPr>
        <w:t xml:space="preserve"> </w:t>
      </w:r>
      <w:r w:rsidR="00802C66" w:rsidRPr="001A77AA">
        <w:rPr>
          <w:rFonts w:eastAsia="Aptos"/>
          <w:lang w:eastAsia="en-US"/>
        </w:rPr>
        <w:t xml:space="preserve">It </w:t>
      </w:r>
      <w:r w:rsidRPr="001A77AA">
        <w:rPr>
          <w:rFonts w:eastAsia="Aptos"/>
          <w:lang w:eastAsia="en-US"/>
        </w:rPr>
        <w:t xml:space="preserve">highlights </w:t>
      </w:r>
      <w:r w:rsidR="00802C66" w:rsidRPr="001A77AA">
        <w:rPr>
          <w:rFonts w:eastAsia="Aptos"/>
          <w:lang w:eastAsia="en-US"/>
        </w:rPr>
        <w:t>the FRC</w:t>
      </w:r>
      <w:r w:rsidR="009C134F" w:rsidRPr="001A77AA">
        <w:rPr>
          <w:rFonts w:eastAsia="Aptos"/>
          <w:lang w:eastAsia="en-US"/>
        </w:rPr>
        <w:t>’</w:t>
      </w:r>
      <w:r w:rsidR="00802C66" w:rsidRPr="001A77AA">
        <w:rPr>
          <w:rFonts w:eastAsia="Aptos"/>
          <w:lang w:eastAsia="en-US"/>
        </w:rPr>
        <w:t xml:space="preserve">s </w:t>
      </w:r>
      <w:r w:rsidRPr="001A77AA">
        <w:rPr>
          <w:rFonts w:eastAsia="Aptos"/>
          <w:lang w:eastAsia="en-US"/>
        </w:rPr>
        <w:t>commitment to</w:t>
      </w:r>
      <w:r w:rsidR="00FA556D" w:rsidRPr="001A77AA">
        <w:rPr>
          <w:rFonts w:eastAsia="Aptos"/>
          <w:lang w:eastAsia="en-US"/>
        </w:rPr>
        <w:t xml:space="preserve"> </w:t>
      </w:r>
      <w:r w:rsidR="00DB5C03" w:rsidRPr="001A77AA">
        <w:rPr>
          <w:rFonts w:eastAsia="Aptos"/>
          <w:lang w:eastAsia="en-US"/>
        </w:rPr>
        <w:t>maintaining</w:t>
      </w:r>
      <w:r w:rsidRPr="001A77AA">
        <w:rPr>
          <w:rFonts w:eastAsia="Aptos"/>
          <w:lang w:eastAsia="en-US"/>
        </w:rPr>
        <w:t xml:space="preserve"> an effective</w:t>
      </w:r>
      <w:r w:rsidR="00E62FC5" w:rsidRPr="001A77AA">
        <w:rPr>
          <w:rFonts w:eastAsia="Aptos"/>
          <w:lang w:eastAsia="en-US"/>
        </w:rPr>
        <w:t xml:space="preserve"> and</w:t>
      </w:r>
      <w:r w:rsidRPr="001A77AA">
        <w:rPr>
          <w:rFonts w:eastAsia="Aptos"/>
          <w:lang w:eastAsia="en-US"/>
        </w:rPr>
        <w:t xml:space="preserve"> inclusive financial reporting system</w:t>
      </w:r>
      <w:r w:rsidR="00BF6057" w:rsidRPr="001A77AA">
        <w:rPr>
          <w:rFonts w:eastAsia="Aptos"/>
          <w:lang w:eastAsia="en-US"/>
        </w:rPr>
        <w:t xml:space="preserve"> for the benefit of all</w:t>
      </w:r>
      <w:r w:rsidR="003B2C42" w:rsidRPr="001A77AA">
        <w:rPr>
          <w:rFonts w:eastAsia="Aptos"/>
          <w:lang w:eastAsia="en-US"/>
        </w:rPr>
        <w:t> </w:t>
      </w:r>
      <w:r w:rsidR="00BF6057" w:rsidRPr="001A77AA">
        <w:rPr>
          <w:rFonts w:eastAsia="Aptos"/>
          <w:lang w:eastAsia="en-US"/>
        </w:rPr>
        <w:t>Australians</w:t>
      </w:r>
      <w:r w:rsidRPr="001A77AA">
        <w:rPr>
          <w:rFonts w:eastAsia="Aptos"/>
          <w:lang w:eastAsia="en-US"/>
        </w:rPr>
        <w:t>.</w:t>
      </w:r>
    </w:p>
    <w:p w14:paraId="66C57CA4" w14:textId="77777777" w:rsidR="00C40B90" w:rsidRDefault="00C40B90" w:rsidP="00BB596D">
      <w:pPr>
        <w:rPr>
          <w:rFonts w:eastAsia="Aptos"/>
          <w:lang w:eastAsia="en-US"/>
        </w:rPr>
      </w:pPr>
    </w:p>
    <w:p w14:paraId="1C5D8834" w14:textId="480E47DD" w:rsidR="00C40B90" w:rsidRPr="001A77AA" w:rsidRDefault="00C40B90" w:rsidP="00BB596D">
      <w:pPr>
        <w:rPr>
          <w:rFonts w:eastAsia="Aptos"/>
          <w:lang w:eastAsia="en-US"/>
        </w:rPr>
        <w:sectPr w:rsidR="00C40B90" w:rsidRPr="001A77AA" w:rsidSect="00B431F9">
          <w:pgSz w:w="11906" w:h="16838" w:code="9"/>
          <w:pgMar w:top="1843" w:right="1418" w:bottom="1418" w:left="1418" w:header="709" w:footer="709" w:gutter="0"/>
          <w:pgNumType w:start="1"/>
          <w:cols w:space="708"/>
          <w:titlePg/>
          <w:docGrid w:linePitch="360"/>
        </w:sectPr>
      </w:pPr>
    </w:p>
    <w:p w14:paraId="4F9CAAFF" w14:textId="06F4B05A" w:rsidR="00736613" w:rsidRPr="001A77AA" w:rsidRDefault="003D359C" w:rsidP="003466B5">
      <w:pPr>
        <w:pStyle w:val="Heading1"/>
        <w:rPr>
          <w:rFonts w:eastAsia="Aptos"/>
          <w:lang w:eastAsia="en-US"/>
        </w:rPr>
      </w:pPr>
      <w:bookmarkStart w:id="3" w:name="_Toc241065213"/>
      <w:r w:rsidRPr="001A77AA">
        <w:lastRenderedPageBreak/>
        <w:t>Forthcoming</w:t>
      </w:r>
      <w:r w:rsidRPr="001A77AA">
        <w:rPr>
          <w:rFonts w:eastAsia="Aptos"/>
          <w:lang w:eastAsia="en-US"/>
        </w:rPr>
        <w:t xml:space="preserve"> changes to operating </w:t>
      </w:r>
      <w:r w:rsidRPr="003466B5">
        <w:t>environment</w:t>
      </w:r>
      <w:bookmarkEnd w:id="3"/>
      <w:r w:rsidRPr="001A77AA">
        <w:rPr>
          <w:rFonts w:eastAsia="Aptos"/>
          <w:lang w:eastAsia="en-US"/>
        </w:rPr>
        <w:t xml:space="preserve"> </w:t>
      </w:r>
    </w:p>
    <w:p w14:paraId="55CE3C9A" w14:textId="568FA905" w:rsidR="003D359C" w:rsidRPr="001A77AA" w:rsidRDefault="00A06D59" w:rsidP="00C40B90">
      <w:r>
        <w:rPr>
          <w:rFonts w:eastAsia="Aptos"/>
          <w:lang w:eastAsia="en-US"/>
        </w:rPr>
        <w:t>T</w:t>
      </w:r>
      <w:r w:rsidR="003D359C" w:rsidRPr="001A77AA">
        <w:rPr>
          <w:rFonts w:eastAsia="Aptos"/>
          <w:lang w:eastAsia="en-US"/>
        </w:rPr>
        <w:t xml:space="preserve">he </w:t>
      </w:r>
      <w:r w:rsidR="003D359C" w:rsidRPr="00B03BF3">
        <w:rPr>
          <w:rFonts w:eastAsia="Aptos"/>
          <w:i/>
          <w:iCs/>
          <w:lang w:eastAsia="en-US"/>
        </w:rPr>
        <w:t xml:space="preserve">Treasury Laws </w:t>
      </w:r>
      <w:r w:rsidR="003D359C" w:rsidRPr="00B03BF3">
        <w:rPr>
          <w:i/>
          <w:iCs/>
        </w:rPr>
        <w:t xml:space="preserve">Amendment (Financial Reporting System Reform) </w:t>
      </w:r>
      <w:r w:rsidRPr="00B03BF3">
        <w:rPr>
          <w:i/>
          <w:iCs/>
        </w:rPr>
        <w:t xml:space="preserve">Act </w:t>
      </w:r>
      <w:r w:rsidR="003D359C" w:rsidRPr="00B03BF3">
        <w:rPr>
          <w:i/>
          <w:iCs/>
        </w:rPr>
        <w:t>2026</w:t>
      </w:r>
      <w:r w:rsidR="009B58B2" w:rsidRPr="001A77AA">
        <w:t xml:space="preserve"> </w:t>
      </w:r>
      <w:r w:rsidR="00FC52B9" w:rsidRPr="00B03BF3">
        <w:rPr>
          <w:i/>
          <w:iCs/>
        </w:rPr>
        <w:t>(</w:t>
      </w:r>
      <w:proofErr w:type="spellStart"/>
      <w:r w:rsidR="00FC52B9" w:rsidRPr="00B03BF3">
        <w:rPr>
          <w:i/>
          <w:iCs/>
        </w:rPr>
        <w:t>Cth</w:t>
      </w:r>
      <w:proofErr w:type="spellEnd"/>
      <w:r w:rsidR="00FC52B9" w:rsidRPr="00B03BF3">
        <w:rPr>
          <w:i/>
          <w:iCs/>
        </w:rPr>
        <w:t>)</w:t>
      </w:r>
      <w:r w:rsidR="00FC52B9" w:rsidRPr="001A77AA">
        <w:t xml:space="preserve"> </w:t>
      </w:r>
      <w:r w:rsidR="009B58B2" w:rsidRPr="001A77AA">
        <w:t>(</w:t>
      </w:r>
      <w:r w:rsidR="00A25416" w:rsidRPr="001A77AA">
        <w:t>ERA</w:t>
      </w:r>
      <w:r w:rsidR="009B58B2" w:rsidRPr="001A77AA">
        <w:t xml:space="preserve"> </w:t>
      </w:r>
      <w:r w:rsidR="00A25416" w:rsidRPr="001A77AA">
        <w:t>Act</w:t>
      </w:r>
      <w:r w:rsidR="009B58B2" w:rsidRPr="001A77AA">
        <w:t xml:space="preserve">) </w:t>
      </w:r>
      <w:r w:rsidR="003D359C" w:rsidRPr="001A77AA">
        <w:t>gives</w:t>
      </w:r>
      <w:r w:rsidR="003D359C" w:rsidRPr="001A77AA" w:rsidDel="003D359C">
        <w:rPr>
          <w:rFonts w:eastAsia="Aptos"/>
          <w:lang w:eastAsia="en-US"/>
        </w:rPr>
        <w:t xml:space="preserve"> effect to the </w:t>
      </w:r>
      <w:r w:rsidR="000E040F">
        <w:rPr>
          <w:rFonts w:eastAsia="Aptos"/>
          <w:lang w:eastAsia="en-US"/>
        </w:rPr>
        <w:t xml:space="preserve">Australian </w:t>
      </w:r>
      <w:r w:rsidR="003D359C" w:rsidRPr="001A77AA" w:rsidDel="003D359C">
        <w:rPr>
          <w:rFonts w:eastAsia="Aptos"/>
          <w:lang w:eastAsia="en-US"/>
        </w:rPr>
        <w:t>Government</w:t>
      </w:r>
      <w:r w:rsidR="009C134F" w:rsidRPr="001A77AA">
        <w:rPr>
          <w:rFonts w:eastAsia="Aptos"/>
          <w:lang w:eastAsia="en-US"/>
        </w:rPr>
        <w:t>’</w:t>
      </w:r>
      <w:r w:rsidR="003D359C" w:rsidRPr="001A77AA" w:rsidDel="003D359C">
        <w:rPr>
          <w:rFonts w:eastAsia="Aptos"/>
          <w:lang w:eastAsia="en-US"/>
        </w:rPr>
        <w:t>s</w:t>
      </w:r>
      <w:r w:rsidR="003D359C" w:rsidRPr="001A77AA">
        <w:rPr>
          <w:rFonts w:eastAsia="Aptos"/>
          <w:lang w:eastAsia="en-US"/>
        </w:rPr>
        <w:t xml:space="preserve"> November</w:t>
      </w:r>
      <w:r w:rsidR="004A7A8E">
        <w:rPr>
          <w:rFonts w:eastAsia="Aptos"/>
          <w:lang w:eastAsia="en-US"/>
        </w:rPr>
        <w:t> </w:t>
      </w:r>
      <w:r w:rsidR="003D359C" w:rsidRPr="001A77AA">
        <w:rPr>
          <w:rFonts w:eastAsia="Aptos"/>
          <w:lang w:eastAsia="en-US"/>
        </w:rPr>
        <w:t>2023</w:t>
      </w:r>
      <w:r w:rsidR="003D359C" w:rsidRPr="001A77AA" w:rsidDel="003D359C">
        <w:rPr>
          <w:rFonts w:eastAsia="Aptos"/>
          <w:lang w:eastAsia="en-US"/>
        </w:rPr>
        <w:t xml:space="preserve"> </w:t>
      </w:r>
      <w:r w:rsidR="003D359C" w:rsidRPr="001A77AA">
        <w:rPr>
          <w:rFonts w:eastAsia="Aptos"/>
          <w:lang w:eastAsia="en-US"/>
        </w:rPr>
        <w:t>decision</w:t>
      </w:r>
      <w:r w:rsidR="003D359C" w:rsidRPr="001A77AA" w:rsidDel="003D359C">
        <w:rPr>
          <w:rFonts w:eastAsia="Aptos"/>
          <w:lang w:eastAsia="en-US"/>
        </w:rPr>
        <w:t xml:space="preserve"> to </w:t>
      </w:r>
      <w:r w:rsidR="003D359C" w:rsidRPr="001A77AA">
        <w:rPr>
          <w:rFonts w:eastAsia="Aptos"/>
          <w:lang w:eastAsia="en-US"/>
        </w:rPr>
        <w:t xml:space="preserve">combine the FRC, </w:t>
      </w:r>
      <w:r w:rsidR="009B58B2" w:rsidRPr="001A77AA">
        <w:rPr>
          <w:rFonts w:eastAsia="Aptos"/>
          <w:lang w:eastAsia="en-US"/>
        </w:rPr>
        <w:t xml:space="preserve">AASB </w:t>
      </w:r>
      <w:r w:rsidR="003D359C" w:rsidRPr="001A77AA">
        <w:rPr>
          <w:rFonts w:eastAsia="Aptos"/>
          <w:lang w:eastAsia="en-US"/>
        </w:rPr>
        <w:t xml:space="preserve">and </w:t>
      </w:r>
      <w:r w:rsidR="009B58B2" w:rsidRPr="001A77AA">
        <w:rPr>
          <w:rFonts w:eastAsia="Aptos"/>
          <w:lang w:eastAsia="en-US"/>
        </w:rPr>
        <w:t>AUASB</w:t>
      </w:r>
      <w:r w:rsidR="003D359C" w:rsidRPr="001A77AA">
        <w:rPr>
          <w:rFonts w:eastAsia="Aptos"/>
          <w:lang w:eastAsia="en-US"/>
        </w:rPr>
        <w:t>,</w:t>
      </w:r>
      <w:r w:rsidR="008C6F05">
        <w:rPr>
          <w:rFonts w:eastAsia="Aptos"/>
          <w:lang w:eastAsia="en-US"/>
        </w:rPr>
        <w:t> </w:t>
      </w:r>
      <w:r w:rsidR="003D359C" w:rsidRPr="001A77AA">
        <w:rPr>
          <w:rFonts w:eastAsia="Aptos"/>
          <w:lang w:eastAsia="en-US"/>
        </w:rPr>
        <w:t xml:space="preserve">and their </w:t>
      </w:r>
      <w:r w:rsidR="00A25416" w:rsidRPr="001A77AA">
        <w:rPr>
          <w:rFonts w:eastAsia="Aptos"/>
          <w:lang w:eastAsia="en-US"/>
        </w:rPr>
        <w:t>o</w:t>
      </w:r>
      <w:r w:rsidR="003D359C" w:rsidRPr="001A77AA">
        <w:rPr>
          <w:rFonts w:eastAsia="Aptos"/>
          <w:lang w:eastAsia="en-US"/>
        </w:rPr>
        <w:t>ffices</w:t>
      </w:r>
      <w:r w:rsidR="00D7704D">
        <w:rPr>
          <w:rFonts w:eastAsia="Aptos"/>
          <w:lang w:eastAsia="en-US"/>
        </w:rPr>
        <w:t>,</w:t>
      </w:r>
      <w:r w:rsidR="003D359C" w:rsidRPr="001A77AA" w:rsidDel="003D359C">
        <w:rPr>
          <w:rFonts w:eastAsia="Aptos"/>
          <w:lang w:eastAsia="en-US"/>
        </w:rPr>
        <w:t xml:space="preserve"> into </w:t>
      </w:r>
      <w:r w:rsidR="003D359C" w:rsidRPr="001A77AA">
        <w:rPr>
          <w:rFonts w:eastAsia="Aptos"/>
          <w:lang w:eastAsia="en-US"/>
        </w:rPr>
        <w:t xml:space="preserve">a single </w:t>
      </w:r>
      <w:r w:rsidR="009B58B2" w:rsidRPr="001A77AA">
        <w:rPr>
          <w:rFonts w:eastAsia="Aptos"/>
          <w:lang w:eastAsia="en-US"/>
        </w:rPr>
        <w:t>entity</w:t>
      </w:r>
      <w:r w:rsidR="003D359C" w:rsidRPr="001A77AA">
        <w:rPr>
          <w:rFonts w:eastAsia="Aptos"/>
          <w:lang w:eastAsia="en-US"/>
        </w:rPr>
        <w:t xml:space="preserve"> to be known as </w:t>
      </w:r>
      <w:r w:rsidR="003D359C" w:rsidRPr="001A77AA" w:rsidDel="003D359C">
        <w:rPr>
          <w:rFonts w:eastAsia="Aptos"/>
          <w:lang w:eastAsia="en-US"/>
        </w:rPr>
        <w:t>External Reporting Australia</w:t>
      </w:r>
      <w:r w:rsidR="00983935" w:rsidRPr="001A77AA">
        <w:rPr>
          <w:rFonts w:eastAsia="Aptos"/>
          <w:lang w:eastAsia="en-US"/>
        </w:rPr>
        <w:t xml:space="preserve"> (ERA)</w:t>
      </w:r>
      <w:r w:rsidR="003D359C" w:rsidRPr="001A77AA">
        <w:rPr>
          <w:rFonts w:eastAsia="Aptos"/>
          <w:lang w:eastAsia="en-US"/>
        </w:rPr>
        <w:t>.</w:t>
      </w:r>
    </w:p>
    <w:p w14:paraId="234D8F86" w14:textId="1B025685" w:rsidR="00B070BE" w:rsidRPr="001A77AA" w:rsidRDefault="00B070BE" w:rsidP="00C40B90">
      <w:r w:rsidRPr="001A77AA">
        <w:t xml:space="preserve">During </w:t>
      </w:r>
      <w:r w:rsidR="009B58B2" w:rsidRPr="001A77AA">
        <w:t>2025</w:t>
      </w:r>
      <w:r w:rsidR="007154A0" w:rsidRPr="001A77AA">
        <w:t>–</w:t>
      </w:r>
      <w:r w:rsidR="009B58B2" w:rsidRPr="001A77AA">
        <w:t>26</w:t>
      </w:r>
      <w:r w:rsidRPr="001A77AA">
        <w:t>, the FRC continued to meet its existing obligations</w:t>
      </w:r>
      <w:r w:rsidR="009B58B2" w:rsidRPr="001A77AA">
        <w:t xml:space="preserve"> under the </w:t>
      </w:r>
      <w:r w:rsidR="00015BAF" w:rsidRPr="000C533D">
        <w:rPr>
          <w:i/>
          <w:iCs/>
        </w:rPr>
        <w:t xml:space="preserve">Australian Securities and Investments Commission Act 2001 </w:t>
      </w:r>
      <w:r w:rsidR="00015BAF" w:rsidRPr="00DA5750">
        <w:rPr>
          <w:i/>
          <w:iCs/>
        </w:rPr>
        <w:t>(</w:t>
      </w:r>
      <w:proofErr w:type="spellStart"/>
      <w:r w:rsidR="00015BAF" w:rsidRPr="00DA5750">
        <w:rPr>
          <w:i/>
          <w:iCs/>
        </w:rPr>
        <w:t>Cth</w:t>
      </w:r>
      <w:proofErr w:type="spellEnd"/>
      <w:r w:rsidR="00015BAF" w:rsidRPr="00DA5750">
        <w:rPr>
          <w:i/>
          <w:iCs/>
        </w:rPr>
        <w:t>)</w:t>
      </w:r>
      <w:r w:rsidR="00015BAF">
        <w:t xml:space="preserve"> (</w:t>
      </w:r>
      <w:r w:rsidR="009B58B2" w:rsidRPr="001A77AA">
        <w:t>ASIC</w:t>
      </w:r>
      <w:r w:rsidR="009C134F" w:rsidRPr="001A77AA">
        <w:t> </w:t>
      </w:r>
      <w:r w:rsidR="009B58B2" w:rsidRPr="001A77AA">
        <w:t>Act</w:t>
      </w:r>
      <w:r w:rsidR="00015BAF">
        <w:t>)</w:t>
      </w:r>
      <w:r w:rsidR="001E52DF" w:rsidRPr="001A77AA">
        <w:t xml:space="preserve">, including </w:t>
      </w:r>
      <w:r w:rsidR="009F5CD6" w:rsidRPr="001A77AA">
        <w:t xml:space="preserve">by </w:t>
      </w:r>
      <w:r w:rsidR="001E52DF" w:rsidRPr="001A77AA">
        <w:t xml:space="preserve">continuing to provide stable oversight of the financial reporting system, </w:t>
      </w:r>
      <w:r w:rsidRPr="001A77AA">
        <w:t>whilst ensuring it</w:t>
      </w:r>
      <w:r w:rsidR="001E52DF" w:rsidRPr="001A77AA">
        <w:t>s</w:t>
      </w:r>
      <w:r w:rsidRPr="001A77AA" w:rsidDel="001E52DF">
        <w:t xml:space="preserve"> </w:t>
      </w:r>
      <w:r w:rsidRPr="001A77AA">
        <w:t>prepared</w:t>
      </w:r>
      <w:r w:rsidR="001E52DF" w:rsidRPr="001A77AA">
        <w:t>ness</w:t>
      </w:r>
      <w:r w:rsidRPr="001A77AA">
        <w:t xml:space="preserve"> </w:t>
      </w:r>
      <w:r w:rsidR="001E52DF" w:rsidRPr="001A77AA">
        <w:t xml:space="preserve">for the anticipated new operating environment associated with the transition to </w:t>
      </w:r>
      <w:r w:rsidR="009F5CD6" w:rsidRPr="001A77AA">
        <w:t>ERA</w:t>
      </w:r>
      <w:r w:rsidR="001E52DF" w:rsidRPr="001A77AA">
        <w:t>.</w:t>
      </w:r>
      <w:r w:rsidRPr="001A77AA" w:rsidDel="001E52DF">
        <w:t xml:space="preserve"> </w:t>
      </w:r>
      <w:r w:rsidR="001E52DF" w:rsidRPr="001A77AA">
        <w:t xml:space="preserve">Some of the </w:t>
      </w:r>
      <w:r w:rsidRPr="001A77AA">
        <w:t xml:space="preserve">transition planning </w:t>
      </w:r>
      <w:r w:rsidR="001E52DF" w:rsidRPr="001A77AA">
        <w:t xml:space="preserve">activities of the FRC </w:t>
      </w:r>
      <w:r w:rsidRPr="001A77AA">
        <w:t xml:space="preserve">included: </w:t>
      </w:r>
    </w:p>
    <w:p w14:paraId="146A3E43" w14:textId="0DF35EAE" w:rsidR="001E52DF" w:rsidRPr="001A77AA" w:rsidRDefault="00053DA0" w:rsidP="00531C63">
      <w:pPr>
        <w:pStyle w:val="Bullet"/>
      </w:pPr>
      <w:r>
        <w:t>e</w:t>
      </w:r>
      <w:r w:rsidRPr="001A77AA">
        <w:t>ngaging</w:t>
      </w:r>
      <w:r w:rsidR="001E52DF" w:rsidRPr="001A77AA">
        <w:t xml:space="preserve"> with Treasury on various aspects of the exposure draft </w:t>
      </w:r>
      <w:r w:rsidR="00291191">
        <w:t>legislation</w:t>
      </w:r>
      <w:r w:rsidR="00BD2A5C">
        <w:t xml:space="preserve"> </w:t>
      </w:r>
      <w:r w:rsidR="009C243E">
        <w:t>giving effect</w:t>
      </w:r>
      <w:r w:rsidR="00D3521E">
        <w:t xml:space="preserve"> to the merger of the FRC, AASB and AUASB, and their offices</w:t>
      </w:r>
    </w:p>
    <w:p w14:paraId="7187D1EE" w14:textId="21B75ACB" w:rsidR="00B070BE" w:rsidRPr="001A77AA" w:rsidRDefault="00053DA0" w:rsidP="00531C63">
      <w:pPr>
        <w:pStyle w:val="Bullet"/>
      </w:pPr>
      <w:r>
        <w:t>i</w:t>
      </w:r>
      <w:r w:rsidRPr="001A77AA">
        <w:t xml:space="preserve">dentifying </w:t>
      </w:r>
      <w:r w:rsidR="00B070BE" w:rsidRPr="001A77AA">
        <w:t xml:space="preserve">key milestones, risks, dependencies and critical decisions </w:t>
      </w:r>
      <w:r w:rsidR="002258BC" w:rsidRPr="001A77AA">
        <w:t>required of the FRC</w:t>
      </w:r>
    </w:p>
    <w:p w14:paraId="62DD35B3" w14:textId="7B9E6FBF" w:rsidR="00445F82" w:rsidRPr="001A77AA" w:rsidRDefault="00053DA0" w:rsidP="00531C63">
      <w:pPr>
        <w:pStyle w:val="Bullet"/>
      </w:pPr>
      <w:r>
        <w:t>u</w:t>
      </w:r>
      <w:r w:rsidRPr="001A77AA">
        <w:t>pdat</w:t>
      </w:r>
      <w:r w:rsidR="00903EC5">
        <w:t>ing</w:t>
      </w:r>
      <w:r w:rsidR="00456CA5" w:rsidRPr="001A77AA">
        <w:t xml:space="preserve"> governance arrangements, including the 2026</w:t>
      </w:r>
      <w:r w:rsidR="009C134F" w:rsidRPr="001A77AA">
        <w:t>–</w:t>
      </w:r>
      <w:r w:rsidR="00456CA5" w:rsidRPr="001A77AA">
        <w:t xml:space="preserve">27 Strategic Plan </w:t>
      </w:r>
      <w:r w:rsidR="00AA17D5" w:rsidRPr="001A77AA">
        <w:t xml:space="preserve">(see </w:t>
      </w:r>
      <w:r w:rsidR="009C134F" w:rsidRPr="001A77AA">
        <w:t>‘</w:t>
      </w:r>
      <w:r w:rsidR="00AA17D5" w:rsidRPr="001A77AA">
        <w:t>Updated governance</w:t>
      </w:r>
      <w:r w:rsidR="005A7F05">
        <w:t xml:space="preserve"> </w:t>
      </w:r>
      <w:r w:rsidR="00AA17D5" w:rsidRPr="001A77AA">
        <w:t>arrangements</w:t>
      </w:r>
      <w:r w:rsidR="009C134F" w:rsidRPr="001A77AA">
        <w:t>’</w:t>
      </w:r>
      <w:r w:rsidR="00AA17D5" w:rsidRPr="001A77AA">
        <w:t xml:space="preserve"> section below)</w:t>
      </w:r>
    </w:p>
    <w:p w14:paraId="028D97E4" w14:textId="229B760E" w:rsidR="00B070BE" w:rsidRPr="001A77AA" w:rsidRDefault="00053DA0" w:rsidP="00531C63">
      <w:pPr>
        <w:pStyle w:val="Bullet"/>
      </w:pPr>
      <w:r>
        <w:t>c</w:t>
      </w:r>
      <w:r w:rsidRPr="001A77AA">
        <w:t xml:space="preserve">onsidering </w:t>
      </w:r>
      <w:r w:rsidR="009B58B2" w:rsidRPr="001A77AA">
        <w:t xml:space="preserve">AASB and AUASB </w:t>
      </w:r>
      <w:r w:rsidR="00B070BE" w:rsidRPr="001A77AA">
        <w:t>composition</w:t>
      </w:r>
      <w:r w:rsidR="009B58B2" w:rsidRPr="001A77AA">
        <w:t xml:space="preserve"> and</w:t>
      </w:r>
      <w:r w:rsidR="00B070BE" w:rsidRPr="001A77AA">
        <w:t xml:space="preserve"> member succession to support continuity </w:t>
      </w:r>
      <w:r w:rsidR="00A173CD">
        <w:t>(see</w:t>
      </w:r>
      <w:r w:rsidR="008C6F05">
        <w:t> </w:t>
      </w:r>
      <w:r w:rsidR="00A173CD">
        <w:t>‘</w:t>
      </w:r>
      <w:r w:rsidR="0043777A" w:rsidRPr="0043777A">
        <w:t>FRC</w:t>
      </w:r>
      <w:r w:rsidR="008C6F05">
        <w:t> </w:t>
      </w:r>
      <w:r w:rsidR="0043777A" w:rsidRPr="0043777A">
        <w:t>Nominations Committee</w:t>
      </w:r>
      <w:r w:rsidR="0043777A">
        <w:t>’ section below)</w:t>
      </w:r>
    </w:p>
    <w:p w14:paraId="24A820C5" w14:textId="60AF4EF1" w:rsidR="00B070BE" w:rsidRPr="001A77AA" w:rsidRDefault="00053DA0" w:rsidP="00531C63">
      <w:pPr>
        <w:pStyle w:val="Bullet"/>
      </w:pPr>
      <w:r>
        <w:t>e</w:t>
      </w:r>
      <w:r w:rsidRPr="001A77AA">
        <w:t>ngaging</w:t>
      </w:r>
      <w:r w:rsidR="009B58B2" w:rsidRPr="001A77AA">
        <w:t xml:space="preserve"> with</w:t>
      </w:r>
      <w:r w:rsidR="009B58B2" w:rsidRPr="001A77AA" w:rsidDel="00D13097">
        <w:t xml:space="preserve"> </w:t>
      </w:r>
      <w:r w:rsidR="009B58B2" w:rsidRPr="001A77AA">
        <w:t>Treasury, the AASB and AUASB</w:t>
      </w:r>
      <w:r w:rsidR="00B070BE" w:rsidRPr="001A77AA">
        <w:t xml:space="preserve">, regulated entities and other stakeholders </w:t>
      </w:r>
      <w:r w:rsidR="009B58B2" w:rsidRPr="001A77AA">
        <w:t xml:space="preserve">regarding </w:t>
      </w:r>
      <w:r w:rsidR="00B070BE" w:rsidRPr="001A77AA">
        <w:t>the status of the</w:t>
      </w:r>
      <w:r w:rsidR="00D31A40">
        <w:t xml:space="preserve"> </w:t>
      </w:r>
      <w:r w:rsidR="009B58B2" w:rsidRPr="001A77AA">
        <w:t>legislation</w:t>
      </w:r>
      <w:r w:rsidR="00D31A40">
        <w:t xml:space="preserve"> giving effect to the merger</w:t>
      </w:r>
      <w:r w:rsidR="00B070BE" w:rsidRPr="001A77AA">
        <w:t>.</w:t>
      </w:r>
    </w:p>
    <w:p w14:paraId="0C7B37FE" w14:textId="7210B4CF" w:rsidR="00B070BE" w:rsidRPr="001A77AA" w:rsidRDefault="007106EF" w:rsidP="00C40B90">
      <w:r>
        <w:t>The l</w:t>
      </w:r>
      <w:r w:rsidR="00F62A75">
        <w:t>egislation giving effect to the merger</w:t>
      </w:r>
      <w:r w:rsidR="002258BC" w:rsidRPr="001A77AA" w:rsidDel="0065621F">
        <w:t xml:space="preserve"> </w:t>
      </w:r>
      <w:r w:rsidR="002258BC" w:rsidRPr="001A77AA">
        <w:t xml:space="preserve">was introduced into the Parliament on </w:t>
      </w:r>
      <w:r w:rsidR="00532745" w:rsidRPr="001A77AA">
        <w:t>12</w:t>
      </w:r>
      <w:r w:rsidR="002258BC" w:rsidRPr="001A77AA">
        <w:t xml:space="preserve"> February 2026 and was passed</w:t>
      </w:r>
      <w:r w:rsidR="00B764DA" w:rsidRPr="001A77AA">
        <w:t xml:space="preserve"> </w:t>
      </w:r>
      <w:r w:rsidR="002258BC" w:rsidRPr="001A77AA">
        <w:t>on 30</w:t>
      </w:r>
      <w:r w:rsidR="000B6784" w:rsidRPr="001A77AA">
        <w:t> </w:t>
      </w:r>
      <w:r w:rsidR="002258BC" w:rsidRPr="001A77AA">
        <w:t>June</w:t>
      </w:r>
      <w:r w:rsidR="000B6784" w:rsidRPr="001A77AA">
        <w:t> </w:t>
      </w:r>
      <w:r w:rsidR="002258BC" w:rsidRPr="001A77AA">
        <w:t>2026.</w:t>
      </w:r>
      <w:r w:rsidR="00B070BE" w:rsidRPr="001A77AA" w:rsidDel="002258BC">
        <w:t xml:space="preserve"> </w:t>
      </w:r>
      <w:r w:rsidR="002258BC" w:rsidRPr="001A77AA">
        <w:t xml:space="preserve">It </w:t>
      </w:r>
      <w:r w:rsidR="00B070BE" w:rsidRPr="001A77AA">
        <w:t>received</w:t>
      </w:r>
      <w:r w:rsidR="00B070BE" w:rsidRPr="001A77AA" w:rsidDel="008A7033">
        <w:t xml:space="preserve"> </w:t>
      </w:r>
      <w:r w:rsidR="00B070BE" w:rsidRPr="001A77AA">
        <w:t>Royal Assent</w:t>
      </w:r>
      <w:r w:rsidR="002258BC" w:rsidRPr="001A77AA">
        <w:t xml:space="preserve"> on 6 July 2026</w:t>
      </w:r>
      <w:r w:rsidR="00DD631D">
        <w:t>,</w:t>
      </w:r>
      <w:r w:rsidR="002258BC" w:rsidRPr="001A77AA">
        <w:t xml:space="preserve"> and </w:t>
      </w:r>
      <w:r w:rsidR="009512DE" w:rsidRPr="001A77AA">
        <w:t xml:space="preserve">a </w:t>
      </w:r>
      <w:r w:rsidR="002258BC" w:rsidRPr="001A77AA">
        <w:t xml:space="preserve">transition period </w:t>
      </w:r>
      <w:r w:rsidR="00B070BE" w:rsidRPr="001A77AA">
        <w:t>commenced on 7</w:t>
      </w:r>
      <w:r w:rsidR="000B6784" w:rsidRPr="001A77AA">
        <w:t> </w:t>
      </w:r>
      <w:r w:rsidR="00B070BE" w:rsidRPr="001A77AA">
        <w:t>July</w:t>
      </w:r>
      <w:r w:rsidR="000B6784" w:rsidRPr="001A77AA">
        <w:t> </w:t>
      </w:r>
      <w:r w:rsidR="00B070BE" w:rsidRPr="001A77AA">
        <w:t>2026</w:t>
      </w:r>
      <w:r w:rsidR="002258BC" w:rsidRPr="001A77AA">
        <w:t xml:space="preserve">. </w:t>
      </w:r>
      <w:r w:rsidR="00225234" w:rsidRPr="001A77AA">
        <w:t>Under the ERA Act, the FRC has additional functions and powers</w:t>
      </w:r>
      <w:r w:rsidR="009426FA">
        <w:t xml:space="preserve"> </w:t>
      </w:r>
      <w:r w:rsidR="00225234" w:rsidRPr="001A77AA">
        <w:t>during the transition period</w:t>
      </w:r>
      <w:r w:rsidR="009426FA">
        <w:t xml:space="preserve"> to establish necessary arrangements for ERA’s commencement</w:t>
      </w:r>
      <w:r w:rsidR="00225234" w:rsidRPr="001A77AA">
        <w:t xml:space="preserve">, in addition to </w:t>
      </w:r>
      <w:r w:rsidR="00076D81">
        <w:t>the FRC’s</w:t>
      </w:r>
      <w:r w:rsidR="00225234" w:rsidRPr="001A77AA">
        <w:t xml:space="preserve"> existing </w:t>
      </w:r>
      <w:r w:rsidR="00471C81" w:rsidRPr="001A77AA">
        <w:t xml:space="preserve">obligations under the </w:t>
      </w:r>
      <w:r w:rsidR="00225234" w:rsidRPr="001A77AA">
        <w:t>ASIC Act.</w:t>
      </w:r>
      <w:r w:rsidR="00A7511B" w:rsidRPr="001A77AA">
        <w:t xml:space="preserve"> </w:t>
      </w:r>
      <w:r w:rsidR="0048653F" w:rsidRPr="001A77AA">
        <w:t>ERA will commence on 1</w:t>
      </w:r>
      <w:r w:rsidR="006E221F">
        <w:t> </w:t>
      </w:r>
      <w:r w:rsidR="0048653F" w:rsidRPr="001A77AA">
        <w:t>December</w:t>
      </w:r>
      <w:r w:rsidR="006E221F">
        <w:t> </w:t>
      </w:r>
      <w:r w:rsidR="0048653F" w:rsidRPr="001A77AA">
        <w:t xml:space="preserve">2026, following the conclusion of the transition period on 30 November 2026 and the repeal of legislation </w:t>
      </w:r>
      <w:r w:rsidR="006825D4">
        <w:t xml:space="preserve">that </w:t>
      </w:r>
      <w:r w:rsidR="000D6AA5">
        <w:t>giv</w:t>
      </w:r>
      <w:r w:rsidR="006825D4">
        <w:t>es</w:t>
      </w:r>
      <w:r w:rsidR="000D6AA5">
        <w:t xml:space="preserve"> effect to</w:t>
      </w:r>
      <w:r w:rsidR="0048653F" w:rsidRPr="001A77AA">
        <w:t xml:space="preserve"> the FRC</w:t>
      </w:r>
      <w:r w:rsidR="00B070BE" w:rsidRPr="001A77AA">
        <w:t>.</w:t>
      </w:r>
    </w:p>
    <w:p w14:paraId="56FA0A81" w14:textId="316AD3F3" w:rsidR="00551D86" w:rsidRDefault="002258BC" w:rsidP="00C40B90">
      <w:pPr>
        <w:rPr>
          <w:rFonts w:eastAsia="Aptos"/>
          <w:lang w:eastAsia="en-US"/>
        </w:rPr>
      </w:pPr>
      <w:r w:rsidRPr="001A77AA">
        <w:t>T</w:t>
      </w:r>
      <w:r w:rsidR="009B58B2" w:rsidRPr="001A77AA">
        <w:t>he FRC</w:t>
      </w:r>
      <w:r w:rsidR="009C134F" w:rsidRPr="001A77AA">
        <w:t>’</w:t>
      </w:r>
      <w:r w:rsidR="009B58B2" w:rsidRPr="001A77AA">
        <w:t xml:space="preserve">s operations </w:t>
      </w:r>
      <w:r w:rsidRPr="001A77AA">
        <w:t xml:space="preserve">from 1 July 2026 to 30 November 2026 (that is, in the </w:t>
      </w:r>
      <w:r w:rsidR="009B58B2" w:rsidRPr="001A77AA">
        <w:t>2026</w:t>
      </w:r>
      <w:r w:rsidR="009C134F" w:rsidRPr="001A77AA">
        <w:t>–</w:t>
      </w:r>
      <w:r w:rsidR="009B58B2" w:rsidRPr="001A77AA">
        <w:t>27</w:t>
      </w:r>
      <w:r w:rsidRPr="001A77AA">
        <w:t xml:space="preserve"> reporting year) </w:t>
      </w:r>
      <w:r w:rsidR="00DA74A0" w:rsidRPr="001A77AA">
        <w:t xml:space="preserve">will </w:t>
      </w:r>
      <w:r w:rsidRPr="001A77AA">
        <w:t>be</w:t>
      </w:r>
      <w:r w:rsidR="009B58B2" w:rsidRPr="001A77AA">
        <w:t xml:space="preserve"> reported in the first annual report of </w:t>
      </w:r>
      <w:r w:rsidR="00983935" w:rsidRPr="001A77AA">
        <w:t>ERA</w:t>
      </w:r>
      <w:r w:rsidR="003A34F3" w:rsidRPr="001A77AA">
        <w:t>.</w:t>
      </w:r>
      <w:r w:rsidR="00B764DA" w:rsidRPr="001A77AA">
        <w:t xml:space="preserve"> </w:t>
      </w:r>
      <w:r w:rsidR="00A7511B" w:rsidRPr="001A77AA">
        <w:t>Accordingly</w:t>
      </w:r>
      <w:r w:rsidR="003A34F3" w:rsidRPr="001A77AA">
        <w:t>,</w:t>
      </w:r>
      <w:r w:rsidR="00B764DA" w:rsidRPr="001A77AA">
        <w:t xml:space="preserve"> </w:t>
      </w:r>
      <w:r w:rsidR="00B764DA" w:rsidRPr="001A77AA">
        <w:rPr>
          <w:rFonts w:eastAsia="Aptos"/>
          <w:lang w:eastAsia="en-US"/>
        </w:rPr>
        <w:t>t</w:t>
      </w:r>
      <w:r w:rsidR="00FC0001" w:rsidRPr="001A77AA">
        <w:rPr>
          <w:rFonts w:eastAsia="Aptos"/>
          <w:lang w:eastAsia="en-US"/>
        </w:rPr>
        <w:t xml:space="preserve">his </w:t>
      </w:r>
      <w:r w:rsidR="00A7511B" w:rsidRPr="001A77AA">
        <w:rPr>
          <w:rFonts w:eastAsia="Aptos"/>
          <w:lang w:eastAsia="en-US"/>
        </w:rPr>
        <w:t xml:space="preserve">is </w:t>
      </w:r>
      <w:r w:rsidR="001415DC" w:rsidRPr="001A77AA">
        <w:rPr>
          <w:rFonts w:eastAsia="Aptos"/>
          <w:lang w:eastAsia="en-US"/>
        </w:rPr>
        <w:t xml:space="preserve">the FRC’s final </w:t>
      </w:r>
      <w:r w:rsidR="00FC0001" w:rsidRPr="001A77AA">
        <w:rPr>
          <w:rFonts w:eastAsia="Aptos"/>
          <w:lang w:eastAsia="en-US"/>
        </w:rPr>
        <w:t>annual report</w:t>
      </w:r>
      <w:r w:rsidR="00FC0001" w:rsidRPr="000C533D">
        <w:rPr>
          <w:rFonts w:eastAsia="Aptos"/>
          <w:lang w:eastAsia="en-US"/>
        </w:rPr>
        <w:t>.</w:t>
      </w:r>
    </w:p>
    <w:p w14:paraId="5029A3D8" w14:textId="77777777" w:rsidR="00C40B90" w:rsidRDefault="00C40B90" w:rsidP="00C40B90">
      <w:pPr>
        <w:rPr>
          <w:rFonts w:eastAsia="Aptos"/>
          <w:lang w:eastAsia="en-US"/>
        </w:rPr>
      </w:pPr>
    </w:p>
    <w:p w14:paraId="7C087A15" w14:textId="77777777" w:rsidR="00C40B90" w:rsidRDefault="00C40B90" w:rsidP="00C40B90">
      <w:pPr>
        <w:rPr>
          <w:rFonts w:eastAsia="Aptos"/>
          <w:lang w:eastAsia="en-US"/>
        </w:rPr>
        <w:sectPr w:rsidR="00C40B90" w:rsidSect="00BB596D">
          <w:pgSz w:w="11906" w:h="16838" w:code="9"/>
          <w:pgMar w:top="1843" w:right="1418" w:bottom="1418" w:left="1418" w:header="708" w:footer="708" w:gutter="0"/>
          <w:cols w:space="708"/>
          <w:titlePg/>
          <w:docGrid w:linePitch="360"/>
        </w:sectPr>
      </w:pPr>
    </w:p>
    <w:p w14:paraId="76AF0897" w14:textId="3E15EB2E" w:rsidR="00551D86" w:rsidRPr="001A77AA" w:rsidRDefault="00551D86" w:rsidP="003466B5">
      <w:pPr>
        <w:pStyle w:val="Heading1"/>
        <w:rPr>
          <w:rFonts w:eastAsia="Aptos"/>
          <w:lang w:eastAsia="en-US"/>
        </w:rPr>
      </w:pPr>
      <w:bookmarkStart w:id="4" w:name="_Toc241065214"/>
      <w:r w:rsidRPr="00C40B90">
        <w:lastRenderedPageBreak/>
        <w:t>Snapshot</w:t>
      </w:r>
      <w:r w:rsidRPr="001A77AA">
        <w:t xml:space="preserve"> of key and ongoing initiatives</w:t>
      </w:r>
      <w:bookmarkEnd w:id="4"/>
      <w:r w:rsidRPr="001A77AA">
        <w:rPr>
          <w:rFonts w:eastAsia="Aptos"/>
          <w:lang w:eastAsia="en-US"/>
        </w:rPr>
        <w:t xml:space="preserve"> </w:t>
      </w:r>
    </w:p>
    <w:p w14:paraId="376451F9" w14:textId="79284339" w:rsidR="00E132E1" w:rsidRPr="001A77AA" w:rsidRDefault="00E132E1" w:rsidP="000B66A2">
      <w:pPr>
        <w:pStyle w:val="Heading2"/>
        <w:rPr>
          <w:iCs w:val="0"/>
        </w:rPr>
      </w:pPr>
      <w:bookmarkStart w:id="5" w:name="_Toc241065215"/>
      <w:r w:rsidRPr="001A77AA">
        <w:rPr>
          <w:iCs w:val="0"/>
        </w:rPr>
        <w:t xml:space="preserve">Climate and </w:t>
      </w:r>
      <w:r w:rsidR="00446C50" w:rsidRPr="001A77AA">
        <w:rPr>
          <w:iCs w:val="0"/>
        </w:rPr>
        <w:t>s</w:t>
      </w:r>
      <w:r w:rsidRPr="001A77AA">
        <w:rPr>
          <w:iCs w:val="0"/>
        </w:rPr>
        <w:t>ustainability</w:t>
      </w:r>
      <w:r w:rsidR="009C134F" w:rsidRPr="001A77AA">
        <w:rPr>
          <w:iCs w:val="0"/>
        </w:rPr>
        <w:t>-</w:t>
      </w:r>
      <w:r w:rsidR="00446C50" w:rsidRPr="001A77AA">
        <w:rPr>
          <w:iCs w:val="0"/>
        </w:rPr>
        <w:t>r</w:t>
      </w:r>
      <w:r w:rsidRPr="001A77AA">
        <w:rPr>
          <w:iCs w:val="0"/>
        </w:rPr>
        <w:t xml:space="preserve">elated </w:t>
      </w:r>
      <w:r w:rsidR="00446C50" w:rsidRPr="001A77AA">
        <w:rPr>
          <w:iCs w:val="0"/>
        </w:rPr>
        <w:t>s</w:t>
      </w:r>
      <w:r w:rsidRPr="001A77AA">
        <w:rPr>
          <w:iCs w:val="0"/>
        </w:rPr>
        <w:t>tandards</w:t>
      </w:r>
      <w:bookmarkEnd w:id="5"/>
    </w:p>
    <w:p w14:paraId="0B69E46C" w14:textId="0D1313A7" w:rsidR="00DD4061" w:rsidRPr="001A77AA" w:rsidRDefault="00FB030D" w:rsidP="00D10B8F">
      <w:pPr>
        <w:rPr>
          <w:rFonts w:eastAsia="Aptos"/>
          <w:lang w:eastAsia="en-US"/>
        </w:rPr>
      </w:pPr>
      <w:r w:rsidRPr="001A77AA">
        <w:rPr>
          <w:rFonts w:eastAsia="Aptos"/>
          <w:lang w:eastAsia="en-US"/>
        </w:rPr>
        <w:t>During 2025–26, the FRC continued to monitor developments in climate</w:t>
      </w:r>
      <w:r w:rsidR="009C134F" w:rsidRPr="001A77AA">
        <w:rPr>
          <w:rFonts w:eastAsia="Aptos"/>
          <w:lang w:eastAsia="en-US"/>
        </w:rPr>
        <w:noBreakHyphen/>
      </w:r>
      <w:r w:rsidRPr="001A77AA">
        <w:rPr>
          <w:rFonts w:eastAsia="Aptos"/>
          <w:lang w:eastAsia="en-US"/>
        </w:rPr>
        <w:t xml:space="preserve">related financial disclosures and the broader sustainability reporting landscape. </w:t>
      </w:r>
      <w:r w:rsidR="00DD4061" w:rsidRPr="001A77AA">
        <w:rPr>
          <w:rFonts w:eastAsia="Aptos"/>
          <w:lang w:eastAsia="en-US"/>
        </w:rPr>
        <w:t>The FRC</w:t>
      </w:r>
      <w:r w:rsidRPr="001A77AA">
        <w:rPr>
          <w:rFonts w:eastAsia="Aptos"/>
          <w:lang w:eastAsia="en-US"/>
        </w:rPr>
        <w:t xml:space="preserve"> considered implementation challenges arising from Australia</w:t>
      </w:r>
      <w:r w:rsidR="009C134F" w:rsidRPr="001A77AA">
        <w:rPr>
          <w:rFonts w:eastAsia="Aptos"/>
          <w:lang w:eastAsia="en-US"/>
        </w:rPr>
        <w:t>’</w:t>
      </w:r>
      <w:r w:rsidRPr="001A77AA">
        <w:rPr>
          <w:rFonts w:eastAsia="Aptos"/>
          <w:lang w:eastAsia="en-US"/>
        </w:rPr>
        <w:t xml:space="preserve">s new reporting requirements, including the application of materiality and the interaction between mandatory and voluntary reporting. The FRC also </w:t>
      </w:r>
      <w:r w:rsidR="00DD4061" w:rsidRPr="001A77AA">
        <w:rPr>
          <w:rFonts w:eastAsia="Aptos"/>
          <w:lang w:eastAsia="en-US"/>
        </w:rPr>
        <w:t xml:space="preserve">considered </w:t>
      </w:r>
      <w:r w:rsidRPr="001A77AA">
        <w:rPr>
          <w:rFonts w:eastAsia="Aptos"/>
          <w:lang w:eastAsia="en-US"/>
        </w:rPr>
        <w:t>the importance of resolving foundational sustainability reporting matters before progressing to future areas, including nature</w:t>
      </w:r>
      <w:r w:rsidR="009C134F" w:rsidRPr="001A77AA">
        <w:rPr>
          <w:rFonts w:eastAsia="Aptos"/>
          <w:lang w:eastAsia="en-US"/>
        </w:rPr>
        <w:noBreakHyphen/>
      </w:r>
      <w:r w:rsidRPr="001A77AA">
        <w:rPr>
          <w:rFonts w:eastAsia="Aptos"/>
          <w:lang w:eastAsia="en-US"/>
        </w:rPr>
        <w:t xml:space="preserve">related disclosures. </w:t>
      </w:r>
    </w:p>
    <w:p w14:paraId="31C0F771" w14:textId="7CEFDFD5" w:rsidR="00FB030D" w:rsidRPr="001A77AA" w:rsidRDefault="006E216C" w:rsidP="00D10B8F">
      <w:pPr>
        <w:rPr>
          <w:rFonts w:eastAsia="Aptos"/>
          <w:lang w:eastAsia="en-US"/>
        </w:rPr>
      </w:pPr>
      <w:r w:rsidRPr="001A77AA">
        <w:rPr>
          <w:rFonts w:eastAsia="Aptos"/>
          <w:lang w:eastAsia="en-US"/>
        </w:rPr>
        <w:t>Recognising the evolving landscape of reporting, the FRC acknowledge</w:t>
      </w:r>
      <w:r w:rsidR="0020319A" w:rsidRPr="001A77AA">
        <w:rPr>
          <w:rFonts w:eastAsia="Aptos"/>
          <w:lang w:eastAsia="en-US"/>
        </w:rPr>
        <w:t>s</w:t>
      </w:r>
      <w:r w:rsidRPr="001A77AA">
        <w:rPr>
          <w:rFonts w:eastAsia="Aptos"/>
          <w:lang w:eastAsia="en-US"/>
        </w:rPr>
        <w:t xml:space="preserve"> the significant efforts made by</w:t>
      </w:r>
      <w:r w:rsidR="0000637E" w:rsidRPr="001A77AA">
        <w:rPr>
          <w:rFonts w:eastAsia="Aptos"/>
          <w:lang w:eastAsia="en-US"/>
        </w:rPr>
        <w:t> </w:t>
      </w:r>
      <w:r w:rsidRPr="001A77AA">
        <w:rPr>
          <w:rFonts w:eastAsia="Aptos"/>
          <w:lang w:eastAsia="en-US"/>
        </w:rPr>
        <w:t>the AUASB and AASB in developing</w:t>
      </w:r>
      <w:r w:rsidR="00535107" w:rsidRPr="001A77AA">
        <w:rPr>
          <w:rFonts w:eastAsia="Aptos"/>
          <w:lang w:eastAsia="en-US"/>
        </w:rPr>
        <w:t>, implementing</w:t>
      </w:r>
      <w:r w:rsidRPr="001A77AA">
        <w:rPr>
          <w:rFonts w:eastAsia="Aptos"/>
          <w:lang w:eastAsia="en-US"/>
        </w:rPr>
        <w:t xml:space="preserve"> </w:t>
      </w:r>
      <w:r w:rsidR="00A35AB5" w:rsidRPr="001A77AA">
        <w:rPr>
          <w:rFonts w:eastAsia="Aptos"/>
          <w:lang w:eastAsia="en-US"/>
        </w:rPr>
        <w:t xml:space="preserve">and </w:t>
      </w:r>
      <w:r w:rsidR="0020319A" w:rsidRPr="001A77AA">
        <w:rPr>
          <w:rFonts w:eastAsia="Aptos"/>
          <w:lang w:eastAsia="en-US"/>
        </w:rPr>
        <w:t>supporting the adoption of</w:t>
      </w:r>
      <w:r w:rsidR="00A35AB5" w:rsidRPr="001A77AA">
        <w:rPr>
          <w:rFonts w:eastAsia="Aptos"/>
          <w:lang w:eastAsia="en-US"/>
        </w:rPr>
        <w:t xml:space="preserve"> sustainability standards,</w:t>
      </w:r>
      <w:r w:rsidRPr="001A77AA">
        <w:rPr>
          <w:rFonts w:eastAsia="Aptos"/>
          <w:lang w:eastAsia="en-US"/>
        </w:rPr>
        <w:t xml:space="preserve"> guidance and educational resources. Providing guidance and resources helps ensure </w:t>
      </w:r>
      <w:r w:rsidR="00535107" w:rsidRPr="001A77AA">
        <w:rPr>
          <w:rFonts w:eastAsia="Aptos"/>
          <w:lang w:eastAsia="en-US"/>
        </w:rPr>
        <w:t>practitioners</w:t>
      </w:r>
      <w:r w:rsidRPr="001A77AA">
        <w:rPr>
          <w:rFonts w:eastAsia="Aptos"/>
          <w:lang w:eastAsia="en-US"/>
        </w:rPr>
        <w:t xml:space="preserve"> </w:t>
      </w:r>
      <w:r w:rsidR="00535107" w:rsidRPr="001A77AA">
        <w:rPr>
          <w:rFonts w:eastAsia="Aptos"/>
          <w:lang w:eastAsia="en-US"/>
        </w:rPr>
        <w:t>maintain best practice and adapt to</w:t>
      </w:r>
      <w:r w:rsidRPr="001A77AA">
        <w:rPr>
          <w:rFonts w:eastAsia="Aptos"/>
          <w:lang w:eastAsia="en-US"/>
        </w:rPr>
        <w:t xml:space="preserve"> </w:t>
      </w:r>
      <w:r w:rsidR="00916878" w:rsidRPr="001A77AA">
        <w:rPr>
          <w:rFonts w:eastAsia="Aptos"/>
          <w:lang w:eastAsia="en-US"/>
        </w:rPr>
        <w:t xml:space="preserve">changes in the </w:t>
      </w:r>
      <w:r w:rsidRPr="001A77AA">
        <w:rPr>
          <w:rFonts w:eastAsia="Aptos"/>
          <w:lang w:eastAsia="en-US"/>
        </w:rPr>
        <w:t xml:space="preserve">breadth of reporting </w:t>
      </w:r>
      <w:r w:rsidR="00916878" w:rsidRPr="001A77AA">
        <w:rPr>
          <w:rFonts w:eastAsia="Aptos"/>
          <w:lang w:eastAsia="en-US"/>
        </w:rPr>
        <w:t xml:space="preserve">and assurance </w:t>
      </w:r>
      <w:r w:rsidRPr="001A77AA">
        <w:rPr>
          <w:rFonts w:eastAsia="Aptos"/>
          <w:lang w:eastAsia="en-US"/>
        </w:rPr>
        <w:t>requirements.</w:t>
      </w:r>
      <w:r w:rsidR="00760AC0" w:rsidRPr="001A77AA">
        <w:rPr>
          <w:rFonts w:eastAsia="Aptos"/>
          <w:lang w:eastAsia="en-US"/>
        </w:rPr>
        <w:t xml:space="preserve"> </w:t>
      </w:r>
      <w:r w:rsidR="00DD4061" w:rsidRPr="001A77AA">
        <w:rPr>
          <w:rFonts w:eastAsia="Aptos"/>
          <w:lang w:eastAsia="en-US"/>
        </w:rPr>
        <w:t xml:space="preserve">The FRC </w:t>
      </w:r>
      <w:r w:rsidR="00FB030D" w:rsidRPr="001A77AA">
        <w:rPr>
          <w:rFonts w:eastAsia="Aptos"/>
          <w:lang w:eastAsia="en-US"/>
        </w:rPr>
        <w:t>also noted measures announced in the 2026–27 Budget, including consultation on improving the efficiency of climate</w:t>
      </w:r>
      <w:r w:rsidR="009C134F" w:rsidRPr="001A77AA">
        <w:rPr>
          <w:rFonts w:eastAsia="Aptos"/>
          <w:lang w:eastAsia="en-US"/>
        </w:rPr>
        <w:noBreakHyphen/>
      </w:r>
      <w:r w:rsidR="00FB030D" w:rsidRPr="001A77AA">
        <w:rPr>
          <w:rFonts w:eastAsia="Aptos"/>
          <w:lang w:eastAsia="en-US"/>
        </w:rPr>
        <w:t>related financial disclosures.</w:t>
      </w:r>
    </w:p>
    <w:p w14:paraId="4B1B31AA" w14:textId="60BDD75B" w:rsidR="00E132E1" w:rsidRDefault="00E132E1" w:rsidP="000B66A2">
      <w:pPr>
        <w:pStyle w:val="Heading2"/>
        <w:rPr>
          <w:iCs w:val="0"/>
        </w:rPr>
      </w:pPr>
      <w:bookmarkStart w:id="6" w:name="_Toc241065216"/>
      <w:r w:rsidRPr="001A77AA">
        <w:rPr>
          <w:iCs w:val="0"/>
        </w:rPr>
        <w:t>Audit Quality Management</w:t>
      </w:r>
      <w:bookmarkEnd w:id="6"/>
    </w:p>
    <w:p w14:paraId="34F99088" w14:textId="2130D06E" w:rsidR="00EE3996" w:rsidRPr="001A77AA" w:rsidRDefault="00EE3996" w:rsidP="002B5E12">
      <w:pPr>
        <w:pStyle w:val="Heading3"/>
        <w:spacing w:before="240"/>
      </w:pPr>
      <w:r w:rsidRPr="00EE3996">
        <w:t>Concerns about the audit profession</w:t>
      </w:r>
    </w:p>
    <w:p w14:paraId="1BC4E133" w14:textId="2FE79B3A" w:rsidR="007B14CE" w:rsidRPr="007B14CE" w:rsidRDefault="007B14CE" w:rsidP="007B14CE">
      <w:pPr>
        <w:rPr>
          <w:rFonts w:eastAsia="Aptos"/>
          <w:lang w:eastAsia="en-US"/>
        </w:rPr>
      </w:pPr>
      <w:r w:rsidRPr="007B14CE">
        <w:rPr>
          <w:rFonts w:eastAsia="Aptos"/>
          <w:lang w:eastAsia="en-US"/>
        </w:rPr>
        <w:t xml:space="preserve">The FRC monitored developments affecting audit quality and confidence in the profession. </w:t>
      </w:r>
      <w:proofErr w:type="gramStart"/>
      <w:r w:rsidRPr="007B14CE">
        <w:rPr>
          <w:rFonts w:eastAsia="Aptos"/>
          <w:lang w:eastAsia="en-US"/>
        </w:rPr>
        <w:t>This included issues</w:t>
      </w:r>
      <w:proofErr w:type="gramEnd"/>
      <w:r w:rsidR="004B7A64">
        <w:rPr>
          <w:rFonts w:eastAsia="Aptos"/>
          <w:lang w:eastAsia="en-US"/>
        </w:rPr>
        <w:t xml:space="preserve"> related to </w:t>
      </w:r>
      <w:r w:rsidR="00EC46D2">
        <w:rPr>
          <w:rFonts w:eastAsia="Aptos"/>
          <w:lang w:eastAsia="en-US"/>
        </w:rPr>
        <w:t xml:space="preserve">firm </w:t>
      </w:r>
      <w:r w:rsidR="004B7A64" w:rsidRPr="007B14CE">
        <w:rPr>
          <w:rFonts w:eastAsia="Aptos"/>
          <w:lang w:eastAsia="en-US"/>
        </w:rPr>
        <w:t xml:space="preserve">governance, </w:t>
      </w:r>
      <w:r w:rsidR="009B6C18">
        <w:rPr>
          <w:rFonts w:eastAsia="Aptos"/>
          <w:lang w:eastAsia="en-US"/>
        </w:rPr>
        <w:t xml:space="preserve">the </w:t>
      </w:r>
      <w:r w:rsidR="00B46CD0">
        <w:rPr>
          <w:rFonts w:eastAsia="Aptos"/>
          <w:lang w:eastAsia="en-US"/>
        </w:rPr>
        <w:t>way confidential informatio</w:t>
      </w:r>
      <w:r w:rsidR="00C93B44">
        <w:rPr>
          <w:rFonts w:eastAsia="Aptos"/>
          <w:lang w:eastAsia="en-US"/>
        </w:rPr>
        <w:t>n</w:t>
      </w:r>
      <w:r w:rsidR="003B3F55">
        <w:rPr>
          <w:rFonts w:eastAsia="Aptos"/>
          <w:lang w:eastAsia="en-US"/>
        </w:rPr>
        <w:t xml:space="preserve"> may be </w:t>
      </w:r>
      <w:r w:rsidR="00A33FCA">
        <w:rPr>
          <w:rFonts w:eastAsia="Aptos"/>
          <w:lang w:eastAsia="en-US"/>
        </w:rPr>
        <w:t>used</w:t>
      </w:r>
      <w:r w:rsidR="004B7A64" w:rsidRPr="007B14CE">
        <w:rPr>
          <w:rFonts w:eastAsia="Aptos"/>
          <w:lang w:eastAsia="en-US"/>
        </w:rPr>
        <w:t xml:space="preserve"> and </w:t>
      </w:r>
      <w:r w:rsidR="009164BE">
        <w:rPr>
          <w:rFonts w:eastAsia="Aptos"/>
          <w:lang w:eastAsia="en-US"/>
        </w:rPr>
        <w:t xml:space="preserve">the treatment of </w:t>
      </w:r>
      <w:r w:rsidR="004B7A64" w:rsidRPr="007B14CE">
        <w:rPr>
          <w:rFonts w:eastAsia="Aptos"/>
          <w:lang w:eastAsia="en-US"/>
        </w:rPr>
        <w:t>whistleblowers</w:t>
      </w:r>
      <w:r w:rsidRPr="007B14CE">
        <w:rPr>
          <w:rFonts w:eastAsia="Aptos"/>
          <w:lang w:eastAsia="en-US"/>
        </w:rPr>
        <w:t xml:space="preserve"> arising </w:t>
      </w:r>
      <w:r w:rsidR="00304B1A">
        <w:rPr>
          <w:rFonts w:eastAsia="Aptos"/>
          <w:lang w:eastAsia="en-US"/>
        </w:rPr>
        <w:t>in the context of</w:t>
      </w:r>
      <w:r w:rsidRPr="007B14CE">
        <w:rPr>
          <w:rFonts w:eastAsia="Aptos"/>
          <w:lang w:eastAsia="en-US"/>
        </w:rPr>
        <w:t xml:space="preserve"> Parliamentary scrutiny of the conduct of large audit firms. While such issues do not appear to relate to the veracity of specific audit conclusions, they are relevant to the broader environment in which high-quality audits are conducted. High standards of professional conduct, governance and organisational culture support the public interest role that audit plays within the financial reporting system. Serious matters, including the handling of confidential information, can undermine confidence in the profession and its ability to act as a trusted gatekeeper within that system.</w:t>
      </w:r>
    </w:p>
    <w:p w14:paraId="57567C4C" w14:textId="07E25172" w:rsidR="00AE595B" w:rsidRDefault="007B14CE" w:rsidP="007B14CE">
      <w:pPr>
        <w:rPr>
          <w:rFonts w:eastAsia="Aptos"/>
          <w:lang w:eastAsia="en-US"/>
        </w:rPr>
      </w:pPr>
      <w:r w:rsidRPr="007B14CE">
        <w:rPr>
          <w:rFonts w:eastAsia="Aptos"/>
          <w:lang w:eastAsia="en-US"/>
        </w:rPr>
        <w:t>In this context, the FRC welcomed the Government's consultation on the regulation of accounting, auditing and consulting firms and the opportunity to consider whether existing regulatory arrangements</w:t>
      </w:r>
      <w:r w:rsidR="005A7F05">
        <w:rPr>
          <w:rFonts w:eastAsia="Aptos"/>
          <w:lang w:eastAsia="en-US"/>
        </w:rPr>
        <w:t xml:space="preserve"> </w:t>
      </w:r>
      <w:r w:rsidRPr="007B14CE">
        <w:rPr>
          <w:rFonts w:eastAsia="Aptos"/>
          <w:lang w:eastAsia="en-US"/>
        </w:rPr>
        <w:t>remain fit for purpose in supporting audit quality, professional accountability and public</w:t>
      </w:r>
      <w:r w:rsidR="00925C35">
        <w:rPr>
          <w:rFonts w:eastAsia="Aptos"/>
          <w:lang w:eastAsia="en-US"/>
        </w:rPr>
        <w:t> </w:t>
      </w:r>
      <w:r w:rsidRPr="007B14CE">
        <w:rPr>
          <w:rFonts w:eastAsia="Aptos"/>
          <w:lang w:eastAsia="en-US"/>
        </w:rPr>
        <w:t>confidence in the profession. From an oversight perspective, the FRC considers these matters to</w:t>
      </w:r>
      <w:r w:rsidR="00925C35">
        <w:rPr>
          <w:rFonts w:eastAsia="Aptos"/>
          <w:lang w:eastAsia="en-US"/>
        </w:rPr>
        <w:t> </w:t>
      </w:r>
      <w:r w:rsidRPr="007B14CE">
        <w:rPr>
          <w:rFonts w:eastAsia="Aptos"/>
          <w:lang w:eastAsia="en-US"/>
        </w:rPr>
        <w:t>be connected to the effectiveness of the broader financial reporting system.</w:t>
      </w:r>
    </w:p>
    <w:p w14:paraId="02B84FBD" w14:textId="77777777" w:rsidR="00AE595B" w:rsidRDefault="00AE595B">
      <w:pPr>
        <w:spacing w:before="0" w:after="0"/>
        <w:rPr>
          <w:rFonts w:eastAsia="Aptos"/>
          <w:lang w:eastAsia="en-US"/>
        </w:rPr>
      </w:pPr>
      <w:r>
        <w:rPr>
          <w:rFonts w:eastAsia="Aptos"/>
          <w:lang w:eastAsia="en-US"/>
        </w:rPr>
        <w:br w:type="page"/>
      </w:r>
    </w:p>
    <w:p w14:paraId="75CA832B" w14:textId="643133C0" w:rsidR="00EE3996" w:rsidRPr="001A77AA" w:rsidRDefault="00EE3996" w:rsidP="00EE3996">
      <w:pPr>
        <w:pStyle w:val="Heading3"/>
      </w:pPr>
      <w:r>
        <w:lastRenderedPageBreak/>
        <w:t>Other matters</w:t>
      </w:r>
    </w:p>
    <w:p w14:paraId="0B4A336E" w14:textId="377FB6F6" w:rsidR="00B75644" w:rsidRDefault="00B75644" w:rsidP="00251D36">
      <w:pPr>
        <w:rPr>
          <w:rFonts w:eastAsia="Aptos"/>
          <w:lang w:eastAsia="en-US"/>
        </w:rPr>
      </w:pPr>
      <w:r>
        <w:rPr>
          <w:rFonts w:eastAsia="Aptos"/>
          <w:lang w:eastAsia="en-US"/>
        </w:rPr>
        <w:t>The FRC</w:t>
      </w:r>
      <w:r w:rsidRPr="00B75644">
        <w:rPr>
          <w:rFonts w:eastAsia="Aptos"/>
          <w:lang w:eastAsia="en-US"/>
        </w:rPr>
        <w:t xml:space="preserve"> observed a shift in </w:t>
      </w:r>
      <w:r w:rsidR="00794A8B">
        <w:rPr>
          <w:rFonts w:eastAsia="Aptos"/>
          <w:lang w:eastAsia="en-US"/>
        </w:rPr>
        <w:t xml:space="preserve">international </w:t>
      </w:r>
      <w:r w:rsidRPr="00B75644">
        <w:rPr>
          <w:rFonts w:eastAsia="Aptos"/>
          <w:lang w:eastAsia="en-US"/>
        </w:rPr>
        <w:t>audit standard</w:t>
      </w:r>
      <w:r w:rsidR="002130A2">
        <w:rPr>
          <w:rFonts w:eastAsia="Aptos"/>
          <w:lang w:eastAsia="en-US"/>
        </w:rPr>
        <w:t xml:space="preserve"> </w:t>
      </w:r>
      <w:r w:rsidRPr="00B75644">
        <w:rPr>
          <w:rFonts w:eastAsia="Aptos"/>
          <w:lang w:eastAsia="en-US"/>
        </w:rPr>
        <w:t xml:space="preserve">setting, with increased focus on </w:t>
      </w:r>
      <w:r w:rsidR="00F6445F">
        <w:rPr>
          <w:rFonts w:eastAsia="Aptos"/>
          <w:lang w:eastAsia="en-US"/>
        </w:rPr>
        <w:t>matters</w:t>
      </w:r>
      <w:r w:rsidR="006F24F3">
        <w:rPr>
          <w:rFonts w:eastAsia="Aptos"/>
          <w:lang w:eastAsia="en-US"/>
        </w:rPr>
        <w:t> </w:t>
      </w:r>
      <w:r w:rsidR="00F6445F">
        <w:rPr>
          <w:rFonts w:eastAsia="Aptos"/>
          <w:lang w:eastAsia="en-US"/>
        </w:rPr>
        <w:t xml:space="preserve">including </w:t>
      </w:r>
      <w:r w:rsidRPr="00B75644">
        <w:rPr>
          <w:rFonts w:eastAsia="Aptos"/>
          <w:lang w:eastAsia="en-US"/>
        </w:rPr>
        <w:t>post-implementation reviews of issued standards</w:t>
      </w:r>
      <w:r w:rsidR="00F6445F">
        <w:rPr>
          <w:rFonts w:eastAsia="Aptos"/>
          <w:lang w:eastAsia="en-US"/>
        </w:rPr>
        <w:t>,</w:t>
      </w:r>
      <w:r w:rsidRPr="00B75644">
        <w:rPr>
          <w:rFonts w:eastAsia="Aptos"/>
          <w:lang w:eastAsia="en-US"/>
        </w:rPr>
        <w:t xml:space="preserve"> as standard</w:t>
      </w:r>
      <w:r w:rsidR="00322917">
        <w:rPr>
          <w:rFonts w:eastAsia="Aptos"/>
          <w:lang w:eastAsia="en-US"/>
        </w:rPr>
        <w:t xml:space="preserve"> </w:t>
      </w:r>
      <w:r w:rsidRPr="00B75644">
        <w:rPr>
          <w:rFonts w:eastAsia="Aptos"/>
          <w:lang w:eastAsia="en-US"/>
        </w:rPr>
        <w:t>setting projects reached</w:t>
      </w:r>
      <w:r w:rsidR="006F24F3">
        <w:rPr>
          <w:rFonts w:eastAsia="Aptos"/>
          <w:lang w:eastAsia="en-US"/>
        </w:rPr>
        <w:t> </w:t>
      </w:r>
      <w:r w:rsidRPr="00B75644">
        <w:rPr>
          <w:rFonts w:eastAsia="Aptos"/>
          <w:lang w:eastAsia="en-US"/>
        </w:rPr>
        <w:t>completion.</w:t>
      </w:r>
    </w:p>
    <w:p w14:paraId="38A7FC3F" w14:textId="671CBA3E" w:rsidR="00ED0703" w:rsidRPr="001A77AA" w:rsidRDefault="002F3FA2" w:rsidP="00251D36">
      <w:pPr>
        <w:rPr>
          <w:rStyle w:val="Hyperlink"/>
          <w:color w:val="auto"/>
          <w:u w:val="none"/>
        </w:rPr>
      </w:pPr>
      <w:r w:rsidRPr="001A77AA">
        <w:rPr>
          <w:rStyle w:val="Hyperlink"/>
          <w:color w:val="auto"/>
          <w:u w:val="none"/>
        </w:rPr>
        <w:t>The FRC also co</w:t>
      </w:r>
      <w:r w:rsidR="0001019F" w:rsidRPr="001A77AA">
        <w:rPr>
          <w:rStyle w:val="Hyperlink"/>
          <w:color w:val="auto"/>
          <w:u w:val="none"/>
        </w:rPr>
        <w:t>ntinue</w:t>
      </w:r>
      <w:r w:rsidR="0001019F">
        <w:rPr>
          <w:rStyle w:val="Hyperlink"/>
          <w:color w:val="auto"/>
          <w:u w:val="none"/>
        </w:rPr>
        <w:t>d</w:t>
      </w:r>
      <w:r w:rsidR="0001019F" w:rsidRPr="001A77AA">
        <w:rPr>
          <w:rStyle w:val="Hyperlink"/>
          <w:color w:val="auto"/>
          <w:u w:val="none"/>
        </w:rPr>
        <w:t xml:space="preserve"> </w:t>
      </w:r>
      <w:r w:rsidRPr="001A77AA">
        <w:rPr>
          <w:rStyle w:val="Hyperlink"/>
          <w:color w:val="auto"/>
          <w:u w:val="none"/>
        </w:rPr>
        <w:t xml:space="preserve">to consider the implications of recommendation </w:t>
      </w:r>
      <w:r w:rsidR="00334025" w:rsidRPr="001A77AA">
        <w:rPr>
          <w:rStyle w:val="Hyperlink"/>
          <w:color w:val="auto"/>
          <w:u w:val="none"/>
        </w:rPr>
        <w:t>4.2</w:t>
      </w:r>
      <w:r w:rsidRPr="001A77AA">
        <w:rPr>
          <w:rStyle w:val="Hyperlink"/>
          <w:color w:val="auto"/>
          <w:u w:val="none"/>
        </w:rPr>
        <w:t xml:space="preserve"> made by the Productivity</w:t>
      </w:r>
      <w:r w:rsidR="00A20455" w:rsidRPr="001A77AA">
        <w:rPr>
          <w:rStyle w:val="Hyperlink"/>
          <w:color w:val="auto"/>
          <w:u w:val="none"/>
        </w:rPr>
        <w:t> </w:t>
      </w:r>
      <w:r w:rsidRPr="001A77AA">
        <w:rPr>
          <w:rStyle w:val="Hyperlink"/>
          <w:color w:val="auto"/>
          <w:u w:val="none"/>
        </w:rPr>
        <w:t xml:space="preserve">Commission inquiry report, </w:t>
      </w:r>
      <w:proofErr w:type="gramStart"/>
      <w:r w:rsidR="00A147F5" w:rsidRPr="000C533D">
        <w:t>Building</w:t>
      </w:r>
      <w:proofErr w:type="gramEnd"/>
      <w:r w:rsidR="00A147F5" w:rsidRPr="000C533D">
        <w:t xml:space="preserve"> a Skilled and Adaptable Workforce (2025)</w:t>
      </w:r>
      <w:r w:rsidR="003A6466" w:rsidRPr="001A77AA">
        <w:rPr>
          <w:rStyle w:val="Hyperlink"/>
          <w:color w:val="auto"/>
          <w:u w:val="none"/>
        </w:rPr>
        <w:t xml:space="preserve"> </w:t>
      </w:r>
      <w:r w:rsidRPr="001A77AA">
        <w:rPr>
          <w:rStyle w:val="Hyperlink"/>
          <w:color w:val="auto"/>
          <w:u w:val="none"/>
        </w:rPr>
        <w:t xml:space="preserve">to </w:t>
      </w:r>
      <w:r w:rsidR="00B85AD9" w:rsidRPr="001A77AA">
        <w:rPr>
          <w:rStyle w:val="Hyperlink"/>
          <w:color w:val="auto"/>
          <w:u w:val="none"/>
        </w:rPr>
        <w:t>target</w:t>
      </w:r>
      <w:r w:rsidR="006F24F3">
        <w:rPr>
          <w:rStyle w:val="Hyperlink"/>
          <w:color w:val="auto"/>
          <w:u w:val="none"/>
        </w:rPr>
        <w:t> </w:t>
      </w:r>
      <w:r w:rsidR="00B85AD9" w:rsidRPr="001A77AA">
        <w:rPr>
          <w:rStyle w:val="Hyperlink"/>
          <w:color w:val="auto"/>
          <w:u w:val="none"/>
        </w:rPr>
        <w:t>qualification requirements to risk.</w:t>
      </w:r>
    </w:p>
    <w:p w14:paraId="500C3991" w14:textId="7BB6A000" w:rsidR="00764AA7" w:rsidRPr="001A77AA" w:rsidRDefault="00C26BE2" w:rsidP="00251D36">
      <w:pPr>
        <w:rPr>
          <w:rFonts w:eastAsia="Aptos"/>
          <w:lang w:eastAsia="en-US"/>
        </w:rPr>
      </w:pPr>
      <w:r w:rsidRPr="001A77AA">
        <w:rPr>
          <w:rFonts w:eastAsia="Aptos"/>
          <w:lang w:eastAsia="en-US"/>
        </w:rPr>
        <w:t>T</w:t>
      </w:r>
      <w:r w:rsidR="00E132E1" w:rsidRPr="001A77AA">
        <w:rPr>
          <w:rFonts w:eastAsia="Aptos"/>
          <w:lang w:eastAsia="en-US"/>
        </w:rPr>
        <w:t>he FRC acknowledge</w:t>
      </w:r>
      <w:r w:rsidRPr="001A77AA">
        <w:rPr>
          <w:rFonts w:eastAsia="Aptos"/>
          <w:lang w:eastAsia="en-US"/>
        </w:rPr>
        <w:t>s</w:t>
      </w:r>
      <w:r w:rsidR="00E132E1" w:rsidRPr="001A77AA">
        <w:rPr>
          <w:rFonts w:eastAsia="Aptos"/>
          <w:lang w:eastAsia="en-US"/>
        </w:rPr>
        <w:t xml:space="preserve"> the significant efforts made by the AUASB in developing comprehensive guidance and educational resources</w:t>
      </w:r>
      <w:r w:rsidRPr="001A77AA">
        <w:rPr>
          <w:rFonts w:eastAsia="Aptos"/>
          <w:lang w:eastAsia="en-US"/>
        </w:rPr>
        <w:t>, as t</w:t>
      </w:r>
      <w:r w:rsidR="00E132E1" w:rsidRPr="001A77AA">
        <w:rPr>
          <w:rFonts w:eastAsia="Aptos"/>
          <w:lang w:eastAsia="en-US"/>
        </w:rPr>
        <w:t xml:space="preserve">hese materials </w:t>
      </w:r>
      <w:r w:rsidR="00B36340" w:rsidRPr="001A77AA">
        <w:rPr>
          <w:rFonts w:eastAsia="Aptos"/>
          <w:lang w:eastAsia="en-US"/>
        </w:rPr>
        <w:t>help</w:t>
      </w:r>
      <w:r w:rsidR="00E132E1" w:rsidRPr="001A77AA">
        <w:rPr>
          <w:rFonts w:eastAsia="Aptos"/>
          <w:lang w:eastAsia="en-US"/>
        </w:rPr>
        <w:t xml:space="preserve"> auditors implement auditing standards</w:t>
      </w:r>
      <w:r w:rsidR="00B36340" w:rsidRPr="001A77AA">
        <w:rPr>
          <w:rFonts w:eastAsia="Aptos"/>
          <w:lang w:eastAsia="en-US"/>
        </w:rPr>
        <w:t xml:space="preserve">. </w:t>
      </w:r>
      <w:r w:rsidR="00981CAB" w:rsidRPr="001A77AA">
        <w:rPr>
          <w:rFonts w:eastAsia="Aptos"/>
          <w:lang w:eastAsia="en-US"/>
        </w:rPr>
        <w:t>Providing</w:t>
      </w:r>
      <w:r w:rsidR="000D449B" w:rsidRPr="001A77AA">
        <w:rPr>
          <w:rFonts w:eastAsia="Aptos"/>
          <w:lang w:eastAsia="en-US"/>
        </w:rPr>
        <w:t xml:space="preserve"> guidance and resources</w:t>
      </w:r>
      <w:r w:rsidR="00B36340" w:rsidRPr="001A77AA">
        <w:rPr>
          <w:rFonts w:eastAsia="Aptos"/>
          <w:lang w:eastAsia="en-US"/>
        </w:rPr>
        <w:t xml:space="preserve"> </w:t>
      </w:r>
      <w:r w:rsidR="000D449B" w:rsidRPr="001A77AA">
        <w:rPr>
          <w:rFonts w:eastAsia="Aptos"/>
          <w:lang w:eastAsia="en-US"/>
        </w:rPr>
        <w:t xml:space="preserve">helps </w:t>
      </w:r>
      <w:r w:rsidR="00E132E1" w:rsidRPr="001A77AA">
        <w:rPr>
          <w:rFonts w:eastAsia="Aptos"/>
          <w:lang w:eastAsia="en-US"/>
        </w:rPr>
        <w:t>ensur</w:t>
      </w:r>
      <w:r w:rsidR="00B36340" w:rsidRPr="001A77AA">
        <w:rPr>
          <w:rFonts w:eastAsia="Aptos"/>
          <w:lang w:eastAsia="en-US"/>
        </w:rPr>
        <w:t>e</w:t>
      </w:r>
      <w:r w:rsidR="00E132E1" w:rsidRPr="001A77AA">
        <w:rPr>
          <w:rFonts w:eastAsia="Aptos"/>
          <w:lang w:eastAsia="en-US"/>
        </w:rPr>
        <w:t xml:space="preserve"> audit practices keep pace with the</w:t>
      </w:r>
      <w:r w:rsidR="003B2C42" w:rsidRPr="001A77AA">
        <w:rPr>
          <w:rFonts w:eastAsia="Aptos"/>
          <w:lang w:eastAsia="en-US"/>
        </w:rPr>
        <w:t> </w:t>
      </w:r>
      <w:r w:rsidR="00E132E1" w:rsidRPr="001A77AA">
        <w:rPr>
          <w:rFonts w:eastAsia="Aptos"/>
          <w:lang w:eastAsia="en-US"/>
        </w:rPr>
        <w:t>increasing complexity and breadth of reporting requirements.</w:t>
      </w:r>
    </w:p>
    <w:p w14:paraId="2A3497A6" w14:textId="3C87B900" w:rsidR="00FF12DD" w:rsidRPr="001A77AA" w:rsidRDefault="00FF12DD" w:rsidP="006F24F3">
      <w:pPr>
        <w:pStyle w:val="Heading2"/>
      </w:pPr>
      <w:bookmarkStart w:id="7" w:name="_Toc241065217"/>
      <w:r w:rsidRPr="001A77AA">
        <w:t xml:space="preserve">Other financial </w:t>
      </w:r>
      <w:r w:rsidRPr="006F24F3">
        <w:t>reporting</w:t>
      </w:r>
      <w:r w:rsidRPr="001A77AA">
        <w:t xml:space="preserve"> developments</w:t>
      </w:r>
      <w:bookmarkEnd w:id="7"/>
    </w:p>
    <w:p w14:paraId="0D8A3599" w14:textId="28252B85" w:rsidR="00FF12DD" w:rsidRPr="001A77AA" w:rsidRDefault="00FF12DD" w:rsidP="004A7A8E">
      <w:pPr>
        <w:rPr>
          <w:rStyle w:val="Hyperlink"/>
          <w:color w:val="auto"/>
          <w:u w:val="none"/>
        </w:rPr>
      </w:pPr>
      <w:r w:rsidRPr="001A77AA">
        <w:rPr>
          <w:rStyle w:val="Hyperlink"/>
          <w:color w:val="auto"/>
          <w:u w:val="none"/>
        </w:rPr>
        <w:t>The FRC monitored Australian Government regulatory reform initiatives aimed at reducing regulatory burden. The FRC noted measures announced in the 2026–27 Budget, including increased reporting thresholds for large proprietary companies</w:t>
      </w:r>
      <w:r w:rsidR="00D13776" w:rsidRPr="001A77AA">
        <w:rPr>
          <w:rStyle w:val="Hyperlink"/>
          <w:color w:val="auto"/>
          <w:u w:val="none"/>
        </w:rPr>
        <w:t xml:space="preserve">, and simplifying </w:t>
      </w:r>
      <w:r w:rsidR="00DD7C41" w:rsidRPr="001A77AA">
        <w:rPr>
          <w:rStyle w:val="Hyperlink"/>
          <w:color w:val="auto"/>
          <w:u w:val="none"/>
        </w:rPr>
        <w:t>existing reporting relief for group entities</w:t>
      </w:r>
      <w:r w:rsidRPr="001A77AA">
        <w:rPr>
          <w:rStyle w:val="Hyperlink"/>
          <w:color w:val="auto"/>
          <w:u w:val="none"/>
        </w:rPr>
        <w:t>.</w:t>
      </w:r>
      <w:r w:rsidR="0000637E" w:rsidRPr="001A77AA">
        <w:rPr>
          <w:rStyle w:val="Hyperlink"/>
          <w:color w:val="auto"/>
          <w:u w:val="none"/>
        </w:rPr>
        <w:t> </w:t>
      </w:r>
      <w:r w:rsidRPr="001A77AA">
        <w:rPr>
          <w:rStyle w:val="Hyperlink"/>
          <w:color w:val="auto"/>
          <w:u w:val="none"/>
        </w:rPr>
        <w:t xml:space="preserve">The FRC also observed the potential for increased digital financial reporting to streamline data collection and information sharing. </w:t>
      </w:r>
      <w:r w:rsidR="00AE2D9D" w:rsidRPr="001A77AA">
        <w:rPr>
          <w:rStyle w:val="Hyperlink"/>
          <w:color w:val="auto"/>
          <w:u w:val="none"/>
        </w:rPr>
        <w:t xml:space="preserve">The FRC continues to consider the implications of </w:t>
      </w:r>
      <w:r w:rsidR="006230D4" w:rsidRPr="001A77AA">
        <w:rPr>
          <w:rStyle w:val="Hyperlink"/>
          <w:color w:val="auto"/>
          <w:u w:val="none"/>
        </w:rPr>
        <w:t>recommendation</w:t>
      </w:r>
      <w:r w:rsidR="00AE2D9D" w:rsidRPr="001A77AA">
        <w:rPr>
          <w:rStyle w:val="Hyperlink"/>
          <w:color w:val="auto"/>
          <w:u w:val="none"/>
        </w:rPr>
        <w:t xml:space="preserve"> </w:t>
      </w:r>
      <w:r w:rsidR="006230D4" w:rsidRPr="001A77AA">
        <w:rPr>
          <w:rStyle w:val="Hyperlink"/>
          <w:color w:val="auto"/>
          <w:u w:val="none"/>
        </w:rPr>
        <w:t xml:space="preserve">5.1 </w:t>
      </w:r>
      <w:r w:rsidR="00AE2D9D" w:rsidRPr="001A77AA">
        <w:rPr>
          <w:rStyle w:val="Hyperlink"/>
          <w:color w:val="auto"/>
          <w:u w:val="none"/>
        </w:rPr>
        <w:t xml:space="preserve">made by the </w:t>
      </w:r>
      <w:r w:rsidR="00B026DD" w:rsidRPr="001A77AA">
        <w:rPr>
          <w:rStyle w:val="Hyperlink"/>
          <w:color w:val="auto"/>
          <w:u w:val="none"/>
        </w:rPr>
        <w:t>Productivity Commission inquiry report</w:t>
      </w:r>
      <w:r w:rsidR="00E80AF0" w:rsidRPr="001A77AA">
        <w:rPr>
          <w:rStyle w:val="Hyperlink"/>
          <w:color w:val="auto"/>
          <w:u w:val="none"/>
        </w:rPr>
        <w:t>,</w:t>
      </w:r>
      <w:r w:rsidR="00B026DD" w:rsidRPr="001A77AA">
        <w:rPr>
          <w:rStyle w:val="Hyperlink"/>
          <w:color w:val="auto"/>
          <w:u w:val="none"/>
        </w:rPr>
        <w:t xml:space="preserve"> </w:t>
      </w:r>
      <w:r w:rsidR="00A147F5" w:rsidRPr="000C533D">
        <w:t>Harnessing Data and Digital Technology (2025)</w:t>
      </w:r>
      <w:r w:rsidR="006230D4" w:rsidRPr="001A77AA">
        <w:rPr>
          <w:rStyle w:val="Hyperlink"/>
          <w:color w:val="auto"/>
          <w:u w:val="none"/>
        </w:rPr>
        <w:t xml:space="preserve"> to make digital financial reporting the default</w:t>
      </w:r>
      <w:r w:rsidR="00F37206" w:rsidRPr="001A77AA">
        <w:rPr>
          <w:rStyle w:val="Hyperlink"/>
          <w:color w:val="auto"/>
          <w:u w:val="none"/>
        </w:rPr>
        <w:t xml:space="preserve"> method of reporting</w:t>
      </w:r>
      <w:r w:rsidR="006230D4" w:rsidRPr="001A77AA">
        <w:rPr>
          <w:rStyle w:val="Hyperlink"/>
          <w:color w:val="auto"/>
          <w:u w:val="none"/>
        </w:rPr>
        <w:t>.</w:t>
      </w:r>
    </w:p>
    <w:p w14:paraId="78BA7EA5" w14:textId="072ACD68" w:rsidR="00FF12DD" w:rsidRPr="001A77AA" w:rsidRDefault="00FF12DD" w:rsidP="004A7A8E">
      <w:pPr>
        <w:rPr>
          <w:rStyle w:val="Hyperlink"/>
          <w:color w:val="auto"/>
          <w:u w:val="none"/>
        </w:rPr>
      </w:pPr>
      <w:r w:rsidRPr="001A77AA">
        <w:rPr>
          <w:rStyle w:val="Hyperlink"/>
          <w:color w:val="auto"/>
          <w:u w:val="none"/>
        </w:rPr>
        <w:t xml:space="preserve">The FRC also monitored the rapid growth of </w:t>
      </w:r>
      <w:r w:rsidR="00D25B42" w:rsidRPr="001A77AA">
        <w:rPr>
          <w:rStyle w:val="Hyperlink"/>
          <w:color w:val="auto"/>
          <w:u w:val="none"/>
        </w:rPr>
        <w:t>AI</w:t>
      </w:r>
      <w:r w:rsidRPr="001A77AA">
        <w:rPr>
          <w:rStyle w:val="Hyperlink"/>
          <w:color w:val="auto"/>
          <w:u w:val="none"/>
        </w:rPr>
        <w:t xml:space="preserve"> in financial reporting and assurance</w:t>
      </w:r>
      <w:r w:rsidR="00A376B7" w:rsidRPr="001A77AA">
        <w:rPr>
          <w:rStyle w:val="Hyperlink"/>
          <w:color w:val="auto"/>
          <w:u w:val="none"/>
        </w:rPr>
        <w:t xml:space="preserve">, including the release of the Information Sheet </w:t>
      </w:r>
      <w:r w:rsidR="009C134F" w:rsidRPr="001A77AA">
        <w:rPr>
          <w:rStyle w:val="Hyperlink"/>
          <w:color w:val="auto"/>
          <w:u w:val="none"/>
        </w:rPr>
        <w:t>‘</w:t>
      </w:r>
      <w:r w:rsidR="00A376B7" w:rsidRPr="001A77AA">
        <w:rPr>
          <w:rStyle w:val="Hyperlink"/>
          <w:color w:val="auto"/>
          <w:u w:val="none"/>
        </w:rPr>
        <w:t>Impact of AI on Auditors</w:t>
      </w:r>
      <w:r w:rsidR="009C134F" w:rsidRPr="001A77AA">
        <w:rPr>
          <w:rStyle w:val="Hyperlink"/>
          <w:color w:val="auto"/>
          <w:u w:val="none"/>
        </w:rPr>
        <w:t>’</w:t>
      </w:r>
      <w:r w:rsidR="00A376B7" w:rsidRPr="001A77AA">
        <w:rPr>
          <w:rStyle w:val="Hyperlink"/>
          <w:color w:val="auto"/>
          <w:u w:val="none"/>
        </w:rPr>
        <w:t xml:space="preserve"> to provide guidance on the use of AI by auditors and the impact of AI used by audited entities by the AUASB</w:t>
      </w:r>
      <w:r w:rsidRPr="001A77AA">
        <w:rPr>
          <w:rStyle w:val="Hyperlink"/>
          <w:color w:val="auto"/>
          <w:u w:val="none"/>
        </w:rPr>
        <w:t xml:space="preserve">. </w:t>
      </w:r>
      <w:r w:rsidR="00B44DB2" w:rsidRPr="001A77AA">
        <w:rPr>
          <w:rStyle w:val="Hyperlink"/>
          <w:color w:val="auto"/>
          <w:u w:val="none"/>
        </w:rPr>
        <w:t xml:space="preserve">The FRC </w:t>
      </w:r>
      <w:r w:rsidRPr="001A77AA">
        <w:rPr>
          <w:rStyle w:val="Hyperlink"/>
          <w:color w:val="auto"/>
          <w:u w:val="none"/>
        </w:rPr>
        <w:t>acknowledged the opportunities presented by emerging technologies while emphasising the importance of responsible implementation supported by appropriate governance arrangements to manage risks associated with the use of AI.</w:t>
      </w:r>
    </w:p>
    <w:p w14:paraId="2E0EAAE7" w14:textId="77777777" w:rsidR="00AE595B" w:rsidRPr="00AE595B" w:rsidRDefault="00AE595B" w:rsidP="00AE595B">
      <w:r w:rsidRPr="00AE595B">
        <w:br w:type="page"/>
      </w:r>
    </w:p>
    <w:p w14:paraId="45DC5D3E" w14:textId="7EA8D55F" w:rsidR="00E132E1" w:rsidRPr="001A77AA" w:rsidRDefault="00E132E1" w:rsidP="00251D36">
      <w:pPr>
        <w:pStyle w:val="Heading2"/>
      </w:pPr>
      <w:bookmarkStart w:id="8" w:name="_Toc241065218"/>
      <w:r w:rsidRPr="001A77AA">
        <w:lastRenderedPageBreak/>
        <w:t xml:space="preserve">International Financial </w:t>
      </w:r>
      <w:r w:rsidRPr="00251D36">
        <w:t>Reporting</w:t>
      </w:r>
      <w:r w:rsidRPr="001A77AA">
        <w:t xml:space="preserve"> Standards</w:t>
      </w:r>
      <w:bookmarkEnd w:id="8"/>
    </w:p>
    <w:p w14:paraId="31F1E353" w14:textId="03B001F9" w:rsidR="00E132E1" w:rsidRPr="001A77AA" w:rsidRDefault="00E132E1" w:rsidP="00251D36">
      <w:pPr>
        <w:rPr>
          <w:rFonts w:eastAsia="Aptos"/>
          <w:lang w:eastAsia="en-US"/>
        </w:rPr>
      </w:pPr>
      <w:r w:rsidRPr="001A77AA">
        <w:rPr>
          <w:rFonts w:eastAsia="Aptos"/>
          <w:lang w:eastAsia="en-US"/>
        </w:rPr>
        <w:t>The FRC maintained its commitment to</w:t>
      </w:r>
      <w:r w:rsidRPr="001A77AA" w:rsidDel="00513CFE">
        <w:rPr>
          <w:rFonts w:eastAsia="Aptos"/>
          <w:lang w:eastAsia="en-US"/>
        </w:rPr>
        <w:t xml:space="preserve"> </w:t>
      </w:r>
      <w:r w:rsidR="00513CFE">
        <w:rPr>
          <w:rFonts w:eastAsia="Aptos"/>
          <w:lang w:eastAsia="en-US"/>
        </w:rPr>
        <w:t>promote</w:t>
      </w:r>
      <w:r w:rsidR="00513CFE" w:rsidRPr="001A77AA">
        <w:rPr>
          <w:rFonts w:eastAsia="Aptos"/>
          <w:lang w:eastAsia="en-US"/>
        </w:rPr>
        <w:t xml:space="preserve"> </w:t>
      </w:r>
      <w:r w:rsidRPr="001A77AA">
        <w:rPr>
          <w:rFonts w:eastAsia="Aptos"/>
          <w:lang w:eastAsia="en-US"/>
        </w:rPr>
        <w:t>align</w:t>
      </w:r>
      <w:r w:rsidR="008F260B" w:rsidRPr="001A77AA">
        <w:rPr>
          <w:rFonts w:eastAsia="Aptos"/>
          <w:lang w:eastAsia="en-US"/>
        </w:rPr>
        <w:t>ment of</w:t>
      </w:r>
      <w:r w:rsidRPr="001A77AA">
        <w:rPr>
          <w:rFonts w:eastAsia="Aptos"/>
          <w:lang w:eastAsia="en-US"/>
        </w:rPr>
        <w:t xml:space="preserve"> Australia</w:t>
      </w:r>
      <w:r w:rsidR="009C134F" w:rsidRPr="001A77AA">
        <w:rPr>
          <w:rFonts w:eastAsia="Aptos"/>
          <w:lang w:eastAsia="en-US"/>
        </w:rPr>
        <w:t>’</w:t>
      </w:r>
      <w:r w:rsidRPr="001A77AA">
        <w:rPr>
          <w:rFonts w:eastAsia="Aptos"/>
          <w:lang w:eastAsia="en-US"/>
        </w:rPr>
        <w:t>s financial reporting framework with international standards. The FRC supported various appointments of Australians to international standard</w:t>
      </w:r>
      <w:r w:rsidR="009C134F" w:rsidRPr="001A77AA">
        <w:rPr>
          <w:rFonts w:eastAsia="Aptos"/>
          <w:lang w:eastAsia="en-US"/>
        </w:rPr>
        <w:noBreakHyphen/>
      </w:r>
      <w:r w:rsidRPr="001A77AA">
        <w:rPr>
          <w:rFonts w:eastAsia="Aptos"/>
          <w:lang w:eastAsia="en-US"/>
        </w:rPr>
        <w:t>setting bodies and forums of influence by identifying</w:t>
      </w:r>
      <w:r w:rsidR="00DE0DCE" w:rsidRPr="001A77AA">
        <w:rPr>
          <w:rFonts w:eastAsia="Aptos"/>
          <w:lang w:eastAsia="en-US"/>
        </w:rPr>
        <w:t xml:space="preserve"> and nominating</w:t>
      </w:r>
      <w:r w:rsidRPr="001A77AA">
        <w:rPr>
          <w:rFonts w:eastAsia="Aptos"/>
          <w:lang w:eastAsia="en-US"/>
        </w:rPr>
        <w:t xml:space="preserve"> suitable candidates, reinforcing Australia</w:t>
      </w:r>
      <w:r w:rsidR="009C134F" w:rsidRPr="001A77AA">
        <w:rPr>
          <w:rFonts w:eastAsia="Aptos"/>
          <w:lang w:eastAsia="en-US"/>
        </w:rPr>
        <w:t>’</w:t>
      </w:r>
      <w:r w:rsidRPr="001A77AA">
        <w:rPr>
          <w:rFonts w:eastAsia="Aptos"/>
          <w:lang w:eastAsia="en-US"/>
        </w:rPr>
        <w:t xml:space="preserve">s </w:t>
      </w:r>
      <w:r w:rsidR="00DE0DCE" w:rsidRPr="001A77AA">
        <w:rPr>
          <w:rFonts w:eastAsia="Aptos"/>
          <w:lang w:eastAsia="en-US"/>
        </w:rPr>
        <w:t xml:space="preserve">standing </w:t>
      </w:r>
      <w:r w:rsidRPr="001A77AA">
        <w:rPr>
          <w:rFonts w:eastAsia="Aptos"/>
          <w:lang w:eastAsia="en-US"/>
        </w:rPr>
        <w:t>in global standard</w:t>
      </w:r>
      <w:r w:rsidR="009C134F" w:rsidRPr="001A77AA">
        <w:rPr>
          <w:rFonts w:eastAsia="Aptos"/>
          <w:lang w:eastAsia="en-US"/>
        </w:rPr>
        <w:noBreakHyphen/>
      </w:r>
      <w:r w:rsidRPr="001A77AA">
        <w:rPr>
          <w:rFonts w:eastAsia="Aptos"/>
          <w:lang w:eastAsia="en-US"/>
        </w:rPr>
        <w:t>setting discussions.</w:t>
      </w:r>
      <w:r w:rsidR="00D87BB7" w:rsidRPr="001A77AA">
        <w:rPr>
          <w:rFonts w:eastAsia="Aptos"/>
          <w:lang w:eastAsia="en-US"/>
        </w:rPr>
        <w:t xml:space="preserve"> For example, on</w:t>
      </w:r>
      <w:r w:rsidR="008C6F05">
        <w:rPr>
          <w:rFonts w:eastAsia="Aptos"/>
          <w:lang w:eastAsia="en-US"/>
        </w:rPr>
        <w:t> </w:t>
      </w:r>
      <w:r w:rsidR="00D87BB7" w:rsidRPr="001A77AA">
        <w:rPr>
          <w:rFonts w:eastAsia="Aptos"/>
          <w:lang w:eastAsia="en-US"/>
        </w:rPr>
        <w:t>16</w:t>
      </w:r>
      <w:r w:rsidR="004A7A8E">
        <w:rPr>
          <w:rFonts w:eastAsia="Aptos"/>
          <w:lang w:eastAsia="en-US"/>
        </w:rPr>
        <w:t> </w:t>
      </w:r>
      <w:r w:rsidR="00D87BB7" w:rsidRPr="001A77AA">
        <w:rPr>
          <w:rFonts w:eastAsia="Aptos"/>
          <w:lang w:eastAsia="en-US"/>
        </w:rPr>
        <w:t>March</w:t>
      </w:r>
      <w:r w:rsidR="004A7A8E">
        <w:rPr>
          <w:rFonts w:eastAsia="Aptos"/>
          <w:lang w:eastAsia="en-US"/>
        </w:rPr>
        <w:t> </w:t>
      </w:r>
      <w:r w:rsidR="00D87BB7" w:rsidRPr="001A77AA">
        <w:rPr>
          <w:rFonts w:eastAsia="Aptos"/>
          <w:lang w:eastAsia="en-US"/>
        </w:rPr>
        <w:t>2026, the Trustees of the IFRS Foundation announced that the AASB was accepted as</w:t>
      </w:r>
      <w:r w:rsidR="008C6F05">
        <w:rPr>
          <w:rFonts w:eastAsia="Aptos"/>
          <w:lang w:eastAsia="en-US"/>
        </w:rPr>
        <w:t> </w:t>
      </w:r>
      <w:r w:rsidR="00D87BB7" w:rsidRPr="001A77AA">
        <w:rPr>
          <w:rFonts w:eastAsia="Aptos"/>
          <w:lang w:eastAsia="en-US"/>
        </w:rPr>
        <w:t>a</w:t>
      </w:r>
      <w:r w:rsidR="008C6F05">
        <w:rPr>
          <w:rFonts w:eastAsia="Aptos"/>
          <w:lang w:eastAsia="en-US"/>
        </w:rPr>
        <w:t> </w:t>
      </w:r>
      <w:r w:rsidR="00D87BB7" w:rsidRPr="001A77AA">
        <w:rPr>
          <w:rFonts w:eastAsia="Aptos"/>
          <w:lang w:eastAsia="en-US"/>
        </w:rPr>
        <w:t xml:space="preserve">member of </w:t>
      </w:r>
      <w:r w:rsidR="008D68FE">
        <w:rPr>
          <w:rFonts w:eastAsia="Aptos"/>
          <w:lang w:eastAsia="en-US"/>
        </w:rPr>
        <w:t xml:space="preserve">the </w:t>
      </w:r>
      <w:r w:rsidR="008D68FE" w:rsidRPr="008D68FE">
        <w:rPr>
          <w:rFonts w:eastAsia="Aptos"/>
          <w:lang w:eastAsia="en-US"/>
        </w:rPr>
        <w:t>Sustainability Standards Advisory Forum</w:t>
      </w:r>
      <w:r w:rsidR="00D87BB7" w:rsidRPr="001A77AA">
        <w:rPr>
          <w:rFonts w:eastAsia="Aptos"/>
          <w:lang w:eastAsia="en-US"/>
        </w:rPr>
        <w:t xml:space="preserve"> </w:t>
      </w:r>
      <w:r w:rsidR="008D68FE">
        <w:rPr>
          <w:rFonts w:eastAsia="Aptos"/>
          <w:lang w:eastAsia="en-US"/>
        </w:rPr>
        <w:t>(</w:t>
      </w:r>
      <w:r w:rsidR="00D87BB7" w:rsidRPr="001A77AA">
        <w:rPr>
          <w:rFonts w:eastAsia="Aptos"/>
          <w:lang w:eastAsia="en-US"/>
        </w:rPr>
        <w:t>SSAF</w:t>
      </w:r>
      <w:r w:rsidR="008D68FE">
        <w:rPr>
          <w:rFonts w:eastAsia="Aptos"/>
          <w:lang w:eastAsia="en-US"/>
        </w:rPr>
        <w:t>)</w:t>
      </w:r>
      <w:r w:rsidR="00D87BB7" w:rsidRPr="001A77AA">
        <w:rPr>
          <w:rFonts w:eastAsia="Aptos"/>
          <w:lang w:eastAsia="en-US"/>
        </w:rPr>
        <w:t xml:space="preserve"> for </w:t>
      </w:r>
      <w:r w:rsidR="0081763A" w:rsidRPr="001A77AA">
        <w:rPr>
          <w:rFonts w:eastAsia="Aptos"/>
          <w:lang w:eastAsia="en-US"/>
        </w:rPr>
        <w:t xml:space="preserve">a </w:t>
      </w:r>
      <w:r w:rsidR="003A2E2E">
        <w:rPr>
          <w:rFonts w:eastAsia="Aptos"/>
          <w:lang w:eastAsia="en-US"/>
        </w:rPr>
        <w:t>3</w:t>
      </w:r>
      <w:r w:rsidR="009C134F" w:rsidRPr="001A77AA">
        <w:rPr>
          <w:rFonts w:eastAsia="Aptos"/>
          <w:lang w:eastAsia="en-US"/>
        </w:rPr>
        <w:noBreakHyphen/>
      </w:r>
      <w:r w:rsidR="00D87BB7" w:rsidRPr="001A77AA">
        <w:rPr>
          <w:rFonts w:eastAsia="Aptos"/>
          <w:lang w:eastAsia="en-US"/>
        </w:rPr>
        <w:t>year period between 2026</w:t>
      </w:r>
      <w:r w:rsidR="008C6F05">
        <w:rPr>
          <w:rFonts w:eastAsia="Aptos"/>
          <w:lang w:eastAsia="en-US"/>
        </w:rPr>
        <w:t>‍</w:t>
      </w:r>
      <w:r w:rsidR="00D87BB7" w:rsidRPr="001A77AA">
        <w:rPr>
          <w:rFonts w:eastAsia="Aptos"/>
          <w:lang w:eastAsia="en-US"/>
        </w:rPr>
        <w:t>–</w:t>
      </w:r>
      <w:r w:rsidR="008C6F05">
        <w:rPr>
          <w:rFonts w:eastAsia="Aptos"/>
          <w:lang w:eastAsia="en-US"/>
        </w:rPr>
        <w:t>‍</w:t>
      </w:r>
      <w:r w:rsidR="00D87BB7" w:rsidRPr="001A77AA">
        <w:rPr>
          <w:rFonts w:eastAsia="Aptos"/>
          <w:lang w:eastAsia="en-US"/>
        </w:rPr>
        <w:t>2028.</w:t>
      </w:r>
    </w:p>
    <w:p w14:paraId="27AAABCA" w14:textId="4B26242E" w:rsidR="00E132E1" w:rsidRPr="001A77AA" w:rsidRDefault="00E132E1" w:rsidP="00251D36">
      <w:pPr>
        <w:rPr>
          <w:rFonts w:eastAsia="Aptos"/>
          <w:lang w:eastAsia="en-US"/>
        </w:rPr>
      </w:pPr>
      <w:r w:rsidRPr="001A77AA">
        <w:rPr>
          <w:rFonts w:eastAsia="Aptos"/>
          <w:lang w:eastAsia="en-US"/>
        </w:rPr>
        <w:t>The FRC emphasised the importance of proactive engagement in international forums to ensure that</w:t>
      </w:r>
      <w:r w:rsidR="0000637E" w:rsidRPr="001A77AA">
        <w:rPr>
          <w:rFonts w:eastAsia="Aptos"/>
          <w:lang w:eastAsia="en-US"/>
        </w:rPr>
        <w:t> </w:t>
      </w:r>
      <w:r w:rsidRPr="001A77AA">
        <w:rPr>
          <w:rFonts w:eastAsia="Aptos"/>
          <w:lang w:eastAsia="en-US"/>
        </w:rPr>
        <w:t>Australia</w:t>
      </w:r>
      <w:r w:rsidR="009C134F" w:rsidRPr="001A77AA">
        <w:rPr>
          <w:rFonts w:eastAsia="Aptos"/>
          <w:lang w:eastAsia="en-US"/>
        </w:rPr>
        <w:t>’</w:t>
      </w:r>
      <w:r w:rsidRPr="001A77AA">
        <w:rPr>
          <w:rFonts w:eastAsia="Aptos"/>
          <w:lang w:eastAsia="en-US"/>
        </w:rPr>
        <w:t>s standards reflect global trends and domestic needs. The AASB and AUASB regularly report to the FRC on their activities to strengthen and expand relationships with global and national</w:t>
      </w:r>
      <w:r w:rsidR="00C52551" w:rsidRPr="001A77AA">
        <w:rPr>
          <w:rFonts w:eastAsia="Aptos"/>
          <w:lang w:eastAsia="en-US"/>
        </w:rPr>
        <w:t> </w:t>
      </w:r>
      <w:r w:rsidRPr="001A77AA">
        <w:rPr>
          <w:rFonts w:eastAsia="Aptos"/>
          <w:lang w:eastAsia="en-US"/>
        </w:rPr>
        <w:t>standard</w:t>
      </w:r>
      <w:r w:rsidR="009C134F" w:rsidRPr="001A77AA">
        <w:rPr>
          <w:rFonts w:eastAsia="Aptos"/>
          <w:lang w:eastAsia="en-US"/>
        </w:rPr>
        <w:noBreakHyphen/>
      </w:r>
      <w:r w:rsidRPr="001A77AA">
        <w:rPr>
          <w:rFonts w:eastAsia="Aptos"/>
          <w:lang w:eastAsia="en-US"/>
        </w:rPr>
        <w:t>setting bodies. This allows the boards to effectively monitor and contribute to international</w:t>
      </w:r>
      <w:r w:rsidR="00C52551" w:rsidRPr="001A77AA">
        <w:rPr>
          <w:rFonts w:eastAsia="Aptos"/>
          <w:lang w:eastAsia="en-US"/>
        </w:rPr>
        <w:t> </w:t>
      </w:r>
      <w:r w:rsidRPr="001A77AA">
        <w:rPr>
          <w:rFonts w:eastAsia="Aptos"/>
          <w:lang w:eastAsia="en-US"/>
        </w:rPr>
        <w:t>developments.</w:t>
      </w:r>
    </w:p>
    <w:p w14:paraId="1D9A11E1" w14:textId="3F1FDC9F" w:rsidR="00A56B9E" w:rsidRDefault="00BF7BD5" w:rsidP="00251D36">
      <w:pPr>
        <w:rPr>
          <w:rFonts w:eastAsia="Aptos"/>
          <w:lang w:eastAsia="en-US"/>
        </w:rPr>
      </w:pPr>
      <w:r w:rsidRPr="001A77AA">
        <w:rPr>
          <w:rFonts w:eastAsia="Aptos"/>
          <w:lang w:eastAsia="en-US"/>
        </w:rPr>
        <w:t>The FRC continued to monitor international financial reporting developments and the increasing integration of financial and sustainability reporting. Members considered emerging international perspectives on reporting requirements</w:t>
      </w:r>
      <w:r w:rsidR="002767DB">
        <w:rPr>
          <w:rFonts w:eastAsia="Aptos"/>
          <w:lang w:eastAsia="en-US"/>
        </w:rPr>
        <w:t xml:space="preserve"> and </w:t>
      </w:r>
      <w:r w:rsidRPr="001A77AA">
        <w:rPr>
          <w:rFonts w:eastAsia="Aptos"/>
          <w:lang w:eastAsia="en-US"/>
        </w:rPr>
        <w:t>differences between Australian and international standards</w:t>
      </w:r>
      <w:r w:rsidR="00A5126B">
        <w:rPr>
          <w:rFonts w:eastAsia="Aptos"/>
          <w:lang w:eastAsia="en-US"/>
        </w:rPr>
        <w:t xml:space="preserve">. They also </w:t>
      </w:r>
      <w:r w:rsidRPr="001A77AA">
        <w:rPr>
          <w:rFonts w:eastAsia="Aptos"/>
          <w:lang w:eastAsia="en-US"/>
        </w:rPr>
        <w:t>identified key areas impacting international standard setting.</w:t>
      </w:r>
    </w:p>
    <w:p w14:paraId="6BF78CB5" w14:textId="67CEA5E3" w:rsidR="00383961" w:rsidRDefault="00383961" w:rsidP="00251D36">
      <w:pPr>
        <w:rPr>
          <w:rFonts w:eastAsia="Aptos"/>
          <w:lang w:eastAsia="en-US"/>
        </w:rPr>
      </w:pPr>
      <w:r w:rsidRPr="00383961">
        <w:rPr>
          <w:rFonts w:eastAsia="Aptos"/>
          <w:lang w:eastAsia="en-US"/>
        </w:rPr>
        <w:t>The FRC also undertook engagement with international bodies and counterparts, including the International Federation of Accountants (IFAC), New Zealand XRB and UK Financial Reporting Council.</w:t>
      </w:r>
    </w:p>
    <w:p w14:paraId="7F2C3B00" w14:textId="22A77EA8" w:rsidR="00E132E1" w:rsidRPr="001A77AA" w:rsidRDefault="00E132E1" w:rsidP="00251D36">
      <w:pPr>
        <w:pStyle w:val="Heading2"/>
      </w:pPr>
      <w:bookmarkStart w:id="9" w:name="_Toc241065219"/>
      <w:r w:rsidRPr="001A77AA">
        <w:t xml:space="preserve">Public </w:t>
      </w:r>
      <w:r w:rsidR="00197E29" w:rsidRPr="001A77AA">
        <w:t>s</w:t>
      </w:r>
      <w:r w:rsidRPr="001A77AA">
        <w:t xml:space="preserve">ector </w:t>
      </w:r>
      <w:r w:rsidR="00197E29" w:rsidRPr="00251D36">
        <w:t>r</w:t>
      </w:r>
      <w:r w:rsidRPr="00251D36">
        <w:t>eporting</w:t>
      </w:r>
      <w:r w:rsidRPr="001A77AA">
        <w:t xml:space="preserve"> </w:t>
      </w:r>
      <w:r w:rsidR="00197E29" w:rsidRPr="00251D36">
        <w:t>d</w:t>
      </w:r>
      <w:r w:rsidRPr="00251D36">
        <w:t>evelopments</w:t>
      </w:r>
      <w:bookmarkEnd w:id="9"/>
    </w:p>
    <w:p w14:paraId="19BBF3D6" w14:textId="738ECA71" w:rsidR="00CB32A0" w:rsidRPr="001A77AA" w:rsidRDefault="00E132E1" w:rsidP="00251D36">
      <w:pPr>
        <w:rPr>
          <w:rFonts w:eastAsia="Aptos"/>
        </w:rPr>
      </w:pPr>
      <w:r w:rsidRPr="001A77AA">
        <w:rPr>
          <w:rFonts w:eastAsia="Aptos"/>
        </w:rPr>
        <w:t xml:space="preserve">Public sector reporting continued to be a focus </w:t>
      </w:r>
      <w:r w:rsidR="00CB32A0" w:rsidRPr="001A77AA">
        <w:rPr>
          <w:rFonts w:eastAsia="Aptos"/>
        </w:rPr>
        <w:t xml:space="preserve">area </w:t>
      </w:r>
      <w:r w:rsidRPr="001A77AA">
        <w:rPr>
          <w:rFonts w:eastAsia="Aptos"/>
        </w:rPr>
        <w:t>for the FRC during</w:t>
      </w:r>
      <w:r w:rsidR="002379E7">
        <w:rPr>
          <w:rFonts w:eastAsia="Aptos"/>
        </w:rPr>
        <w:t xml:space="preserve"> </w:t>
      </w:r>
      <w:r w:rsidR="001A4D98" w:rsidRPr="001A77AA">
        <w:rPr>
          <w:rFonts w:eastAsia="Aptos"/>
        </w:rPr>
        <w:t>2025</w:t>
      </w:r>
      <w:r w:rsidRPr="001A77AA">
        <w:rPr>
          <w:rFonts w:eastAsia="Aptos"/>
        </w:rPr>
        <w:t>–</w:t>
      </w:r>
      <w:r w:rsidR="001A4D98" w:rsidRPr="001A77AA">
        <w:rPr>
          <w:rFonts w:eastAsia="Aptos"/>
        </w:rPr>
        <w:t>26</w:t>
      </w:r>
      <w:r w:rsidRPr="001A77AA">
        <w:rPr>
          <w:rFonts w:eastAsia="Aptos"/>
        </w:rPr>
        <w:t xml:space="preserve">. </w:t>
      </w:r>
    </w:p>
    <w:p w14:paraId="010DC63B" w14:textId="434FF51E" w:rsidR="00316FE9" w:rsidRPr="001A77AA" w:rsidRDefault="00907AB9" w:rsidP="00251D36">
      <w:pPr>
        <w:rPr>
          <w:rFonts w:eastAsia="Aptos"/>
          <w:lang w:eastAsia="en-US"/>
        </w:rPr>
      </w:pPr>
      <w:r w:rsidRPr="001A77AA">
        <w:rPr>
          <w:rFonts w:eastAsia="Aptos"/>
          <w:lang w:eastAsia="en-US"/>
        </w:rPr>
        <w:t>T</w:t>
      </w:r>
      <w:r w:rsidR="00316FE9" w:rsidRPr="001A77AA">
        <w:rPr>
          <w:rFonts w:eastAsia="Aptos"/>
          <w:lang w:eastAsia="en-US"/>
        </w:rPr>
        <w:t xml:space="preserve">he FRC continued to monitor developments affecting public sector financial reporting through updates from </w:t>
      </w:r>
      <w:r w:rsidR="004D6462">
        <w:rPr>
          <w:rFonts w:eastAsia="Aptos"/>
          <w:lang w:eastAsia="en-US"/>
        </w:rPr>
        <w:t>the Public Sector Advisory Group (</w:t>
      </w:r>
      <w:r w:rsidR="00643F2C" w:rsidRPr="001A77AA">
        <w:rPr>
          <w:rFonts w:eastAsia="Aptos"/>
          <w:lang w:eastAsia="en-US"/>
        </w:rPr>
        <w:t>PSAG</w:t>
      </w:r>
      <w:r w:rsidR="004D6462">
        <w:rPr>
          <w:rFonts w:eastAsia="Aptos"/>
          <w:lang w:eastAsia="en-US"/>
        </w:rPr>
        <w:t>)</w:t>
      </w:r>
      <w:r w:rsidR="00316FE9" w:rsidRPr="001A77AA">
        <w:rPr>
          <w:rFonts w:eastAsia="Aptos"/>
          <w:lang w:eastAsia="en-US"/>
        </w:rPr>
        <w:t xml:space="preserve">. </w:t>
      </w:r>
      <w:r w:rsidR="004E1DC7">
        <w:rPr>
          <w:rFonts w:eastAsia="Aptos"/>
          <w:lang w:eastAsia="en-US"/>
        </w:rPr>
        <w:t>PSAG m</w:t>
      </w:r>
      <w:r w:rsidR="004E1DC7" w:rsidRPr="001A77AA">
        <w:rPr>
          <w:rFonts w:eastAsia="Aptos"/>
          <w:lang w:eastAsia="en-US"/>
        </w:rPr>
        <w:t xml:space="preserve">embers </w:t>
      </w:r>
      <w:r w:rsidR="00BA0419">
        <w:rPr>
          <w:rFonts w:eastAsia="Aptos"/>
          <w:lang w:eastAsia="en-US"/>
        </w:rPr>
        <w:t xml:space="preserve">observed </w:t>
      </w:r>
      <w:r w:rsidR="00BA0419" w:rsidRPr="00BA0419">
        <w:rPr>
          <w:rFonts w:eastAsia="Aptos"/>
          <w:lang w:eastAsia="en-US"/>
        </w:rPr>
        <w:t xml:space="preserve">implementation challenges arising from Australia’s new </w:t>
      </w:r>
      <w:r w:rsidR="001C435D">
        <w:rPr>
          <w:rFonts w:eastAsia="Aptos"/>
          <w:lang w:eastAsia="en-US"/>
        </w:rPr>
        <w:t xml:space="preserve">climate-related financial </w:t>
      </w:r>
      <w:r w:rsidR="00BA0419" w:rsidRPr="00BA0419">
        <w:rPr>
          <w:rFonts w:eastAsia="Aptos"/>
          <w:lang w:eastAsia="en-US"/>
        </w:rPr>
        <w:t xml:space="preserve">reporting requirements </w:t>
      </w:r>
      <w:r w:rsidR="00BA0419">
        <w:rPr>
          <w:rFonts w:eastAsia="Aptos"/>
          <w:lang w:eastAsia="en-US"/>
        </w:rPr>
        <w:t>and</w:t>
      </w:r>
      <w:r w:rsidR="00316FE9" w:rsidRPr="001A77AA">
        <w:rPr>
          <w:rFonts w:eastAsia="Aptos"/>
          <w:lang w:eastAsia="en-US"/>
        </w:rPr>
        <w:t xml:space="preserve"> observed varying levels of preparedness across jurisdictions as implementation of climate</w:t>
      </w:r>
      <w:r w:rsidR="009C134F" w:rsidRPr="001A77AA">
        <w:rPr>
          <w:rFonts w:eastAsia="Aptos"/>
          <w:lang w:eastAsia="en-US"/>
        </w:rPr>
        <w:noBreakHyphen/>
      </w:r>
      <w:r w:rsidR="00316FE9" w:rsidRPr="001A77AA">
        <w:rPr>
          <w:rFonts w:eastAsia="Aptos"/>
          <w:lang w:eastAsia="en-US"/>
        </w:rPr>
        <w:t>related financial disclosures progressed, highlighting the different levels of</w:t>
      </w:r>
      <w:r w:rsidR="0000637E" w:rsidRPr="001A77AA">
        <w:rPr>
          <w:rFonts w:eastAsia="Aptos"/>
          <w:lang w:eastAsia="en-US"/>
        </w:rPr>
        <w:t> </w:t>
      </w:r>
      <w:r w:rsidR="00316FE9" w:rsidRPr="001A77AA">
        <w:rPr>
          <w:rFonts w:eastAsia="Aptos"/>
          <w:lang w:eastAsia="en-US"/>
        </w:rPr>
        <w:t>maturity across jurisdictions.</w:t>
      </w:r>
    </w:p>
    <w:p w14:paraId="60297CB2" w14:textId="09AC38B6" w:rsidR="00316FE9" w:rsidRPr="001A77AA" w:rsidRDefault="004E1DC7" w:rsidP="00251D36">
      <w:pPr>
        <w:rPr>
          <w:rFonts w:eastAsia="Aptos"/>
          <w:lang w:eastAsia="en-US"/>
        </w:rPr>
      </w:pPr>
      <w:r>
        <w:rPr>
          <w:rFonts w:eastAsia="Aptos"/>
          <w:lang w:eastAsia="en-US"/>
        </w:rPr>
        <w:t>PSAG m</w:t>
      </w:r>
      <w:r w:rsidR="00316FE9" w:rsidRPr="001A77AA">
        <w:rPr>
          <w:rFonts w:eastAsia="Aptos"/>
          <w:lang w:eastAsia="en-US"/>
        </w:rPr>
        <w:t>embers noted a growing focus across the Commonwealth on improving the efficiency and effectiveness of public sector reporting. Members also considered broader developments affecting the public sector, including the impact of the geopolitical environment on fiscal strategy, government budget measures and international capacity</w:t>
      </w:r>
      <w:r w:rsidR="009C134F" w:rsidRPr="001A77AA">
        <w:rPr>
          <w:rFonts w:eastAsia="Aptos"/>
          <w:lang w:eastAsia="en-US"/>
        </w:rPr>
        <w:noBreakHyphen/>
      </w:r>
      <w:r w:rsidR="00316FE9" w:rsidRPr="001A77AA">
        <w:rPr>
          <w:rFonts w:eastAsia="Aptos"/>
          <w:lang w:eastAsia="en-US"/>
        </w:rPr>
        <w:t>building initiatives to strengthen accounting and financial management practices in the Pacific region.</w:t>
      </w:r>
    </w:p>
    <w:p w14:paraId="09EA2848" w14:textId="24C5CACA" w:rsidR="00E132E1" w:rsidRPr="001A77AA" w:rsidRDefault="004E1DC7" w:rsidP="00251D36">
      <w:pPr>
        <w:rPr>
          <w:rFonts w:eastAsia="Aptos"/>
          <w:lang w:eastAsia="en-US"/>
        </w:rPr>
      </w:pPr>
      <w:r>
        <w:rPr>
          <w:rFonts w:eastAsia="Aptos"/>
          <w:lang w:eastAsia="en-US"/>
        </w:rPr>
        <w:t>PSAG m</w:t>
      </w:r>
      <w:r w:rsidRPr="001A77AA">
        <w:rPr>
          <w:rFonts w:eastAsia="Aptos"/>
          <w:lang w:eastAsia="en-US"/>
        </w:rPr>
        <w:t>embers</w:t>
      </w:r>
      <w:r w:rsidR="00316FE9" w:rsidRPr="001A77AA">
        <w:rPr>
          <w:rFonts w:eastAsia="Aptos"/>
          <w:lang w:eastAsia="en-US"/>
        </w:rPr>
        <w:t xml:space="preserve"> continued to monitor developments in public sector audit quality through updates from </w:t>
      </w:r>
      <w:r w:rsidR="00047C58">
        <w:rPr>
          <w:rFonts w:eastAsia="Aptos"/>
          <w:lang w:eastAsia="en-US"/>
        </w:rPr>
        <w:t xml:space="preserve">the </w:t>
      </w:r>
      <w:r w:rsidR="00047C58" w:rsidRPr="00047C58">
        <w:rPr>
          <w:rFonts w:eastAsia="Aptos"/>
          <w:lang w:eastAsia="en-US"/>
        </w:rPr>
        <w:t>Australasian Council of Auditors-General (</w:t>
      </w:r>
      <w:r w:rsidR="00316FE9" w:rsidRPr="001A77AA">
        <w:rPr>
          <w:rFonts w:eastAsia="Aptos"/>
          <w:lang w:eastAsia="en-US"/>
        </w:rPr>
        <w:t>ACAG</w:t>
      </w:r>
      <w:r w:rsidR="00047C58">
        <w:rPr>
          <w:rFonts w:eastAsia="Aptos"/>
          <w:lang w:eastAsia="en-US"/>
        </w:rPr>
        <w:t>)</w:t>
      </w:r>
      <w:r w:rsidR="00316FE9" w:rsidRPr="001A77AA">
        <w:rPr>
          <w:rFonts w:eastAsia="Aptos"/>
          <w:lang w:eastAsia="en-US"/>
        </w:rPr>
        <w:t xml:space="preserve">. </w:t>
      </w:r>
      <w:r>
        <w:rPr>
          <w:rFonts w:eastAsia="Aptos"/>
          <w:lang w:eastAsia="en-US"/>
        </w:rPr>
        <w:t>PSAG m</w:t>
      </w:r>
      <w:r w:rsidRPr="001A77AA">
        <w:rPr>
          <w:rFonts w:eastAsia="Aptos"/>
          <w:lang w:eastAsia="en-US"/>
        </w:rPr>
        <w:t xml:space="preserve">embers </w:t>
      </w:r>
      <w:r w:rsidR="00316FE9" w:rsidRPr="001A77AA">
        <w:rPr>
          <w:rFonts w:eastAsia="Aptos"/>
          <w:lang w:eastAsia="en-US"/>
        </w:rPr>
        <w:t>noted the findings of ACAG</w:t>
      </w:r>
      <w:r w:rsidR="009C134F" w:rsidRPr="001A77AA">
        <w:rPr>
          <w:rFonts w:eastAsia="Aptos"/>
          <w:lang w:eastAsia="en-US"/>
        </w:rPr>
        <w:t>’</w:t>
      </w:r>
      <w:r w:rsidR="00316FE9" w:rsidRPr="001A77AA">
        <w:rPr>
          <w:rFonts w:eastAsia="Aptos"/>
          <w:lang w:eastAsia="en-US"/>
        </w:rPr>
        <w:t xml:space="preserve">s </w:t>
      </w:r>
      <w:r w:rsidR="00502915" w:rsidRPr="001A77AA">
        <w:rPr>
          <w:rFonts w:eastAsia="Aptos"/>
          <w:lang w:eastAsia="en-US"/>
        </w:rPr>
        <w:t xml:space="preserve">paper, </w:t>
      </w:r>
      <w:r w:rsidR="005D5891" w:rsidRPr="000C533D">
        <w:rPr>
          <w:rFonts w:eastAsia="Aptos"/>
        </w:rPr>
        <w:t>Audit Quality in the Public Sector (2026)</w:t>
      </w:r>
      <w:r w:rsidR="00316FE9" w:rsidRPr="001A77AA">
        <w:rPr>
          <w:rFonts w:eastAsia="Aptos"/>
          <w:lang w:eastAsia="en-US"/>
        </w:rPr>
        <w:t>, including improvements in workforce capacity following the COVID</w:t>
      </w:r>
      <w:r w:rsidR="009C134F" w:rsidRPr="001A77AA">
        <w:rPr>
          <w:rFonts w:eastAsia="Aptos"/>
          <w:lang w:eastAsia="en-US"/>
        </w:rPr>
        <w:noBreakHyphen/>
      </w:r>
      <w:r w:rsidR="00316FE9" w:rsidRPr="001A77AA">
        <w:rPr>
          <w:rFonts w:eastAsia="Aptos"/>
          <w:lang w:eastAsia="en-US"/>
        </w:rPr>
        <w:t>19 pandemic, while recognising that recruitment and retention challenges remained at junior levels of the profession.</w:t>
      </w:r>
    </w:p>
    <w:p w14:paraId="5FA85B71" w14:textId="1D47977B" w:rsidR="00C07C49" w:rsidRPr="001A77AA" w:rsidRDefault="00CA4F32" w:rsidP="00251D36">
      <w:pPr>
        <w:rPr>
          <w:rFonts w:eastAsia="Aptos"/>
          <w:lang w:eastAsia="en-US"/>
        </w:rPr>
      </w:pPr>
      <w:r w:rsidRPr="00CA4F32">
        <w:rPr>
          <w:rFonts w:eastAsia="Aptos"/>
          <w:lang w:eastAsia="en-US"/>
        </w:rPr>
        <w:t>Through its public sector focus, PSAG</w:t>
      </w:r>
      <w:r w:rsidR="00122A7D">
        <w:rPr>
          <w:rFonts w:eastAsia="Aptos"/>
          <w:lang w:eastAsia="en-US"/>
        </w:rPr>
        <w:t xml:space="preserve"> also</w:t>
      </w:r>
      <w:r w:rsidRPr="00CA4F32">
        <w:rPr>
          <w:rFonts w:eastAsia="Aptos"/>
          <w:lang w:eastAsia="en-US"/>
        </w:rPr>
        <w:t xml:space="preserve"> monitored reforms to Australia’s financial reporting framework</w:t>
      </w:r>
      <w:r>
        <w:rPr>
          <w:rFonts w:eastAsia="Aptos"/>
          <w:lang w:eastAsia="en-US"/>
        </w:rPr>
        <w:t xml:space="preserve"> generally</w:t>
      </w:r>
      <w:r w:rsidRPr="00CA4F32">
        <w:rPr>
          <w:rFonts w:eastAsia="Aptos"/>
          <w:lang w:eastAsia="en-US"/>
        </w:rPr>
        <w:t xml:space="preserve">, including the </w:t>
      </w:r>
      <w:r>
        <w:rPr>
          <w:rFonts w:eastAsia="Aptos"/>
          <w:lang w:eastAsia="en-US"/>
        </w:rPr>
        <w:t>then proposed legislation to establish ERA</w:t>
      </w:r>
      <w:r w:rsidRPr="00CA4F32">
        <w:rPr>
          <w:rFonts w:eastAsia="Aptos"/>
          <w:lang w:eastAsia="en-US"/>
        </w:rPr>
        <w:t>. Consideration was given to implications for the public sector, particularly in relation to transition planning, governance arrangements and funding.</w:t>
      </w:r>
    </w:p>
    <w:p w14:paraId="0F8AE1FB" w14:textId="11BD6E2D" w:rsidR="00EA3F57" w:rsidRPr="00251D36" w:rsidRDefault="00502915" w:rsidP="00251D36">
      <w:pPr>
        <w:rPr>
          <w:rFonts w:eastAsia="Aptos"/>
          <w:spacing w:val="-1"/>
          <w:lang w:eastAsia="en-US"/>
        </w:rPr>
      </w:pPr>
      <w:r w:rsidRPr="00251D36">
        <w:rPr>
          <w:rFonts w:eastAsia="Aptos"/>
          <w:spacing w:val="-1"/>
          <w:lang w:eastAsia="en-US"/>
        </w:rPr>
        <w:t>For f</w:t>
      </w:r>
      <w:r w:rsidR="00EA3F57" w:rsidRPr="00251D36">
        <w:rPr>
          <w:rFonts w:eastAsia="Aptos"/>
          <w:spacing w:val="-1"/>
          <w:lang w:eastAsia="en-US"/>
        </w:rPr>
        <w:t>urther information on PSAG, including membership</w:t>
      </w:r>
      <w:r w:rsidRPr="00251D36">
        <w:rPr>
          <w:rFonts w:eastAsia="Aptos"/>
          <w:spacing w:val="-1"/>
          <w:lang w:eastAsia="en-US"/>
        </w:rPr>
        <w:t xml:space="preserve">, see </w:t>
      </w:r>
      <w:r w:rsidR="009C134F" w:rsidRPr="00251D36">
        <w:rPr>
          <w:rFonts w:eastAsia="Aptos"/>
          <w:spacing w:val="-1"/>
          <w:lang w:eastAsia="en-US"/>
        </w:rPr>
        <w:t>‘</w:t>
      </w:r>
      <w:r w:rsidR="00675AEE" w:rsidRPr="00251D36">
        <w:rPr>
          <w:rFonts w:eastAsia="Aptos"/>
          <w:spacing w:val="-1"/>
          <w:lang w:eastAsia="en-US"/>
        </w:rPr>
        <w:t xml:space="preserve">FRC </w:t>
      </w:r>
      <w:r w:rsidR="00683576" w:rsidRPr="00251D36">
        <w:rPr>
          <w:rFonts w:eastAsia="Aptos"/>
          <w:spacing w:val="-1"/>
          <w:lang w:eastAsia="en-US"/>
        </w:rPr>
        <w:t>Public Sector Advisory Group (PSAG)</w:t>
      </w:r>
      <w:r w:rsidR="009C134F" w:rsidRPr="00251D36">
        <w:rPr>
          <w:rFonts w:eastAsia="Aptos"/>
          <w:spacing w:val="-1"/>
          <w:lang w:eastAsia="en-US"/>
        </w:rPr>
        <w:t>’</w:t>
      </w:r>
      <w:r w:rsidRPr="00251D36">
        <w:rPr>
          <w:rFonts w:eastAsia="Aptos"/>
          <w:spacing w:val="-1"/>
          <w:lang w:eastAsia="en-US"/>
        </w:rPr>
        <w:t>.</w:t>
      </w:r>
    </w:p>
    <w:p w14:paraId="70C21C54" w14:textId="74AAD4FA" w:rsidR="00E132E1" w:rsidRPr="001A77AA" w:rsidDel="00BF7BD5" w:rsidRDefault="00E132E1" w:rsidP="00251D36">
      <w:pPr>
        <w:pStyle w:val="Heading2"/>
      </w:pPr>
      <w:bookmarkStart w:id="10" w:name="_Toc241065220"/>
      <w:r w:rsidRPr="001A77AA" w:rsidDel="00BF7BD5">
        <w:lastRenderedPageBreak/>
        <w:t xml:space="preserve">Other </w:t>
      </w:r>
      <w:r w:rsidR="00197E29" w:rsidRPr="00251D36" w:rsidDel="00BF7BD5">
        <w:t>i</w:t>
      </w:r>
      <w:r w:rsidRPr="00251D36" w:rsidDel="00BF7BD5">
        <w:t>nternational</w:t>
      </w:r>
      <w:r w:rsidRPr="001A77AA" w:rsidDel="00BF7BD5">
        <w:t xml:space="preserve"> </w:t>
      </w:r>
      <w:r w:rsidR="00197E29" w:rsidRPr="001A77AA" w:rsidDel="00BF7BD5">
        <w:t>d</w:t>
      </w:r>
      <w:r w:rsidRPr="001A77AA" w:rsidDel="00BF7BD5">
        <w:t>evelopments</w:t>
      </w:r>
      <w:bookmarkEnd w:id="10"/>
    </w:p>
    <w:p w14:paraId="45EC3BCD" w14:textId="77777777" w:rsidR="00740BC4" w:rsidRPr="001A77AA" w:rsidRDefault="00E132E1" w:rsidP="00251D36">
      <w:pPr>
        <w:rPr>
          <w:rFonts w:eastAsia="Aptos"/>
          <w:lang w:eastAsia="en-US"/>
        </w:rPr>
      </w:pPr>
      <w:r w:rsidRPr="001A77AA" w:rsidDel="00BF7BD5">
        <w:rPr>
          <w:rFonts w:eastAsia="Aptos"/>
          <w:lang w:eastAsia="en-US"/>
        </w:rPr>
        <w:t xml:space="preserve">The FRC closely monitored international regulatory reforms and considered their relevance to Australia. </w:t>
      </w:r>
      <w:proofErr w:type="gramStart"/>
      <w:r w:rsidR="00395633" w:rsidRPr="001A77AA">
        <w:rPr>
          <w:rFonts w:eastAsia="Aptos"/>
          <w:lang w:eastAsia="en-US"/>
        </w:rPr>
        <w:t>In particular, members</w:t>
      </w:r>
      <w:proofErr w:type="gramEnd"/>
      <w:r w:rsidR="00395633" w:rsidRPr="001A77AA">
        <w:rPr>
          <w:rFonts w:eastAsia="Aptos"/>
          <w:lang w:eastAsia="en-US"/>
        </w:rPr>
        <w:t xml:space="preserve"> noted </w:t>
      </w:r>
      <w:r w:rsidRPr="001A77AA" w:rsidDel="00BF7BD5">
        <w:rPr>
          <w:rFonts w:eastAsia="Aptos"/>
          <w:lang w:eastAsia="en-US"/>
        </w:rPr>
        <w:t>developments in the United Kingdom</w:t>
      </w:r>
      <w:r w:rsidR="007C2230" w:rsidRPr="001A77AA" w:rsidDel="00BF7BD5">
        <w:rPr>
          <w:rFonts w:eastAsia="Aptos"/>
          <w:lang w:eastAsia="en-US"/>
        </w:rPr>
        <w:t xml:space="preserve"> (UK)</w:t>
      </w:r>
      <w:r w:rsidRPr="001A77AA" w:rsidDel="00BF7BD5">
        <w:rPr>
          <w:rFonts w:eastAsia="Aptos"/>
          <w:lang w:eastAsia="en-US"/>
        </w:rPr>
        <w:t xml:space="preserve"> </w:t>
      </w:r>
      <w:r w:rsidR="00C270FA" w:rsidRPr="001A77AA">
        <w:rPr>
          <w:rFonts w:eastAsia="Aptos"/>
          <w:lang w:eastAsia="en-US"/>
        </w:rPr>
        <w:t>concerning</w:t>
      </w:r>
      <w:r w:rsidRPr="001A77AA" w:rsidDel="00BF7BD5">
        <w:rPr>
          <w:rFonts w:eastAsia="Aptos"/>
          <w:lang w:eastAsia="en-US"/>
        </w:rPr>
        <w:t xml:space="preserve"> </w:t>
      </w:r>
      <w:r w:rsidR="00A4453F" w:rsidRPr="001A77AA">
        <w:rPr>
          <w:rFonts w:eastAsia="Aptos"/>
          <w:lang w:eastAsia="en-US"/>
        </w:rPr>
        <w:t>modernis</w:t>
      </w:r>
      <w:r w:rsidR="009025D7" w:rsidRPr="001A77AA">
        <w:rPr>
          <w:rFonts w:eastAsia="Aptos"/>
          <w:lang w:eastAsia="en-US"/>
        </w:rPr>
        <w:t>ing</w:t>
      </w:r>
      <w:r w:rsidR="00A4453F" w:rsidRPr="001A77AA">
        <w:rPr>
          <w:rFonts w:eastAsia="Aptos"/>
          <w:lang w:eastAsia="en-US"/>
        </w:rPr>
        <w:t xml:space="preserve"> corporate reporting</w:t>
      </w:r>
      <w:r w:rsidR="001366D1" w:rsidRPr="001A77AA">
        <w:rPr>
          <w:rFonts w:eastAsia="Aptos"/>
          <w:lang w:eastAsia="en-US"/>
        </w:rPr>
        <w:t xml:space="preserve">, </w:t>
      </w:r>
      <w:r w:rsidR="005677C5" w:rsidRPr="001A77AA">
        <w:rPr>
          <w:rFonts w:eastAsia="Aptos"/>
          <w:lang w:eastAsia="en-US"/>
        </w:rPr>
        <w:t xml:space="preserve">sustainability standards, </w:t>
      </w:r>
      <w:r w:rsidR="001366D1" w:rsidRPr="001A77AA">
        <w:rPr>
          <w:rFonts w:eastAsia="Aptos"/>
          <w:lang w:eastAsia="en-US"/>
        </w:rPr>
        <w:t>private equity investment in audit firms and</w:t>
      </w:r>
      <w:r w:rsidR="003B2C42" w:rsidRPr="001A77AA">
        <w:rPr>
          <w:rFonts w:eastAsia="Aptos"/>
          <w:lang w:eastAsia="en-US"/>
        </w:rPr>
        <w:t> </w:t>
      </w:r>
      <w:r w:rsidR="001366D1" w:rsidRPr="001A77AA">
        <w:rPr>
          <w:rFonts w:eastAsia="Aptos"/>
          <w:lang w:eastAsia="en-US"/>
        </w:rPr>
        <w:t>use of AI in auditing</w:t>
      </w:r>
      <w:r w:rsidRPr="001A77AA" w:rsidDel="00BF7BD5">
        <w:rPr>
          <w:rFonts w:eastAsia="Aptos"/>
          <w:lang w:eastAsia="en-US"/>
        </w:rPr>
        <w:t>.</w:t>
      </w:r>
      <w:r w:rsidR="007A6796" w:rsidRPr="001A77AA">
        <w:rPr>
          <w:rFonts w:eastAsia="Aptos"/>
          <w:lang w:eastAsia="en-US"/>
        </w:rPr>
        <w:t xml:space="preserve"> </w:t>
      </w:r>
    </w:p>
    <w:p w14:paraId="7FB9D5A5" w14:textId="12C60560" w:rsidR="005238F8" w:rsidRPr="001A77AA" w:rsidRDefault="00740BC4" w:rsidP="00251D36">
      <w:pPr>
        <w:rPr>
          <w:rFonts w:eastAsia="Aptos"/>
          <w:lang w:eastAsia="en-US"/>
        </w:rPr>
      </w:pPr>
      <w:r w:rsidRPr="001A77AA">
        <w:rPr>
          <w:rFonts w:eastAsia="Aptos"/>
          <w:lang w:eastAsia="en-US"/>
        </w:rPr>
        <w:t xml:space="preserve">Through its international engagement with the </w:t>
      </w:r>
      <w:r w:rsidR="00E12F1E">
        <w:rPr>
          <w:rFonts w:eastAsia="Aptos"/>
          <w:lang w:eastAsia="en-US"/>
        </w:rPr>
        <w:t>New Zealand External Reporting Board (</w:t>
      </w:r>
      <w:r w:rsidRPr="001A77AA">
        <w:rPr>
          <w:rFonts w:eastAsia="Aptos"/>
          <w:lang w:eastAsia="en-US"/>
        </w:rPr>
        <w:t>XRB</w:t>
      </w:r>
      <w:r w:rsidR="00E12F1E">
        <w:rPr>
          <w:rFonts w:eastAsia="Aptos"/>
          <w:lang w:eastAsia="en-US"/>
        </w:rPr>
        <w:t>)</w:t>
      </w:r>
      <w:r w:rsidRPr="001A77AA">
        <w:rPr>
          <w:rFonts w:eastAsia="Aptos"/>
          <w:lang w:eastAsia="en-US"/>
        </w:rPr>
        <w:t>, members also noted consultations concerning the</w:t>
      </w:r>
      <w:r w:rsidR="001601B8">
        <w:rPr>
          <w:rFonts w:eastAsia="Aptos"/>
          <w:lang w:eastAsia="en-US"/>
        </w:rPr>
        <w:t xml:space="preserve"> New Zealand</w:t>
      </w:r>
      <w:r w:rsidRPr="001A77AA">
        <w:rPr>
          <w:rFonts w:eastAsia="Aptos"/>
          <w:lang w:eastAsia="en-US"/>
        </w:rPr>
        <w:t xml:space="preserve"> </w:t>
      </w:r>
      <w:r w:rsidR="0010031E">
        <w:rPr>
          <w:rFonts w:eastAsia="Aptos"/>
          <w:lang w:eastAsia="en-US"/>
        </w:rPr>
        <w:t>D</w:t>
      </w:r>
      <w:r w:rsidR="005D5891" w:rsidRPr="000C533D">
        <w:rPr>
          <w:rFonts w:eastAsia="Aptos"/>
        </w:rPr>
        <w:t xml:space="preserve">raft </w:t>
      </w:r>
      <w:r w:rsidR="0010031E">
        <w:rPr>
          <w:rFonts w:eastAsia="Aptos"/>
          <w:lang w:eastAsia="en-US"/>
        </w:rPr>
        <w:t>C</w:t>
      </w:r>
      <w:r w:rsidR="005D5891" w:rsidRPr="000C533D">
        <w:rPr>
          <w:rFonts w:eastAsia="Aptos"/>
        </w:rPr>
        <w:t xml:space="preserve">limate </w:t>
      </w:r>
      <w:r w:rsidR="0010031E">
        <w:rPr>
          <w:rFonts w:eastAsia="Aptos"/>
          <w:lang w:eastAsia="en-US"/>
        </w:rPr>
        <w:t>R</w:t>
      </w:r>
      <w:r w:rsidR="005D5891" w:rsidRPr="000C533D">
        <w:rPr>
          <w:rFonts w:eastAsia="Aptos"/>
        </w:rPr>
        <w:t xml:space="preserve">eporting </w:t>
      </w:r>
      <w:r w:rsidR="0010031E">
        <w:rPr>
          <w:rFonts w:eastAsia="Aptos"/>
          <w:lang w:eastAsia="en-US"/>
        </w:rPr>
        <w:t>R</w:t>
      </w:r>
      <w:r w:rsidR="005D5891" w:rsidRPr="000C533D">
        <w:rPr>
          <w:rFonts w:eastAsia="Aptos"/>
        </w:rPr>
        <w:t>oadmap</w:t>
      </w:r>
      <w:r w:rsidR="00E83375" w:rsidRPr="001A77AA">
        <w:rPr>
          <w:rFonts w:eastAsia="Aptos"/>
          <w:lang w:eastAsia="en-US"/>
        </w:rPr>
        <w:t xml:space="preserve"> </w:t>
      </w:r>
      <w:r w:rsidR="0010031E">
        <w:rPr>
          <w:rFonts w:eastAsia="Aptos"/>
          <w:lang w:eastAsia="en-US"/>
        </w:rPr>
        <w:t>(2026)</w:t>
      </w:r>
      <w:r w:rsidR="00E83375" w:rsidRPr="001A77AA">
        <w:rPr>
          <w:rFonts w:eastAsia="Aptos"/>
          <w:lang w:eastAsia="en-US"/>
        </w:rPr>
        <w:t xml:space="preserve"> and</w:t>
      </w:r>
      <w:r w:rsidR="00251D36">
        <w:rPr>
          <w:rFonts w:eastAsia="Aptos"/>
          <w:lang w:eastAsia="en-US"/>
        </w:rPr>
        <w:t> </w:t>
      </w:r>
      <w:r w:rsidR="00D33665" w:rsidRPr="001A77AA">
        <w:rPr>
          <w:rFonts w:eastAsia="Aptos"/>
          <w:lang w:eastAsia="en-US"/>
        </w:rPr>
        <w:t xml:space="preserve">targeted consultation on internationally aligned climate-disclosures. Members noted </w:t>
      </w:r>
      <w:r w:rsidR="0068450F" w:rsidRPr="001A77AA">
        <w:rPr>
          <w:rFonts w:eastAsia="Aptos"/>
          <w:lang w:eastAsia="en-US"/>
        </w:rPr>
        <w:t xml:space="preserve">planned consideration of </w:t>
      </w:r>
      <w:r w:rsidR="00D33665" w:rsidRPr="001A77AA">
        <w:rPr>
          <w:rFonts w:eastAsia="Aptos"/>
          <w:lang w:eastAsia="en-US"/>
        </w:rPr>
        <w:t>New Zealand</w:t>
      </w:r>
      <w:r w:rsidR="0068450F" w:rsidRPr="001A77AA">
        <w:rPr>
          <w:rFonts w:eastAsia="Aptos"/>
          <w:lang w:eastAsia="en-US"/>
        </w:rPr>
        <w:t>’s multi standard,</w:t>
      </w:r>
      <w:r w:rsidR="00D33665" w:rsidRPr="001A77AA">
        <w:rPr>
          <w:rFonts w:eastAsia="Aptos"/>
          <w:lang w:eastAsia="en-US"/>
        </w:rPr>
        <w:t xml:space="preserve"> sector-based accounting standards framework</w:t>
      </w:r>
      <w:r w:rsidR="0068450F" w:rsidRPr="001A77AA">
        <w:rPr>
          <w:rFonts w:eastAsia="Aptos"/>
          <w:lang w:eastAsia="en-US"/>
        </w:rPr>
        <w:t xml:space="preserve">. </w:t>
      </w:r>
    </w:p>
    <w:p w14:paraId="7AF9DC85" w14:textId="4CECEC41" w:rsidR="00E132E1" w:rsidRPr="001A77AA" w:rsidRDefault="00E132E1" w:rsidP="00251D36">
      <w:pPr>
        <w:pStyle w:val="Heading2"/>
      </w:pPr>
      <w:bookmarkStart w:id="11" w:name="_Toc241065221"/>
      <w:r w:rsidRPr="001A77AA">
        <w:t xml:space="preserve">Stakeholder </w:t>
      </w:r>
      <w:r w:rsidR="00197E29" w:rsidRPr="00251D36">
        <w:t>e</w:t>
      </w:r>
      <w:r w:rsidRPr="00251D36">
        <w:t>ngagement</w:t>
      </w:r>
      <w:bookmarkEnd w:id="11"/>
    </w:p>
    <w:p w14:paraId="5E8DC576" w14:textId="58B0FEE7" w:rsidR="00E132E1" w:rsidRPr="001A77AA" w:rsidRDefault="00E132E1" w:rsidP="00251D36">
      <w:pPr>
        <w:rPr>
          <w:lang w:eastAsia="en-US"/>
        </w:rPr>
      </w:pPr>
      <w:r w:rsidRPr="001A77AA">
        <w:rPr>
          <w:rFonts w:eastAsia="Aptos"/>
          <w:lang w:eastAsia="en-US"/>
        </w:rPr>
        <w:t>Engagement with stakeholders remained central to the FRC</w:t>
      </w:r>
      <w:r w:rsidR="009C134F" w:rsidRPr="001A77AA">
        <w:rPr>
          <w:rFonts w:eastAsia="Aptos"/>
          <w:lang w:eastAsia="en-US"/>
        </w:rPr>
        <w:t>’</w:t>
      </w:r>
      <w:r w:rsidRPr="001A77AA">
        <w:rPr>
          <w:rFonts w:eastAsia="Aptos"/>
          <w:lang w:eastAsia="en-US"/>
        </w:rPr>
        <w:t>s strategy to identify and address emerging issues in financial reporting</w:t>
      </w:r>
      <w:r w:rsidR="00461B5B">
        <w:rPr>
          <w:rFonts w:eastAsia="Aptos"/>
          <w:lang w:eastAsia="en-US"/>
        </w:rPr>
        <w:t>,</w:t>
      </w:r>
      <w:r w:rsidRPr="001A77AA">
        <w:rPr>
          <w:rFonts w:eastAsia="Aptos"/>
          <w:lang w:eastAsia="en-US"/>
        </w:rPr>
        <w:t xml:space="preserve"> auditing</w:t>
      </w:r>
      <w:r w:rsidR="00461B5B">
        <w:rPr>
          <w:rFonts w:eastAsia="Aptos"/>
          <w:lang w:eastAsia="en-US"/>
        </w:rPr>
        <w:t xml:space="preserve"> and assurance</w:t>
      </w:r>
      <w:r w:rsidRPr="001A77AA">
        <w:rPr>
          <w:rFonts w:eastAsia="Aptos"/>
          <w:lang w:eastAsia="en-US"/>
        </w:rPr>
        <w:t xml:space="preserve">. </w:t>
      </w:r>
      <w:r w:rsidR="00D55102" w:rsidRPr="001A77AA">
        <w:rPr>
          <w:rFonts w:eastAsia="Aptos"/>
          <w:lang w:eastAsia="en-US"/>
        </w:rPr>
        <w:t>A</w:t>
      </w:r>
      <w:r w:rsidRPr="001A77AA">
        <w:rPr>
          <w:rFonts w:eastAsia="Aptos"/>
          <w:lang w:eastAsia="en-US"/>
        </w:rPr>
        <w:t xml:space="preserve">ctivities during </w:t>
      </w:r>
      <w:r w:rsidR="006B7C17" w:rsidRPr="001A77AA">
        <w:rPr>
          <w:rFonts w:eastAsia="Aptos"/>
          <w:lang w:eastAsia="en-US"/>
        </w:rPr>
        <w:t>2025</w:t>
      </w:r>
      <w:r w:rsidR="00197E29" w:rsidRPr="001A77AA">
        <w:rPr>
          <w:rFonts w:eastAsia="Aptos"/>
          <w:lang w:eastAsia="en-US"/>
        </w:rPr>
        <w:t>–</w:t>
      </w:r>
      <w:r w:rsidR="006B7C17" w:rsidRPr="001A77AA">
        <w:rPr>
          <w:rFonts w:eastAsia="Aptos"/>
          <w:lang w:eastAsia="en-US"/>
        </w:rPr>
        <w:t xml:space="preserve">26 </w:t>
      </w:r>
      <w:r w:rsidRPr="001A77AA">
        <w:rPr>
          <w:rFonts w:eastAsia="Aptos"/>
          <w:lang w:eastAsia="en-US"/>
        </w:rPr>
        <w:t>included</w:t>
      </w:r>
      <w:r w:rsidR="00D146AC" w:rsidRPr="001A77AA">
        <w:rPr>
          <w:rFonts w:eastAsia="Aptos"/>
          <w:lang w:eastAsia="en-US"/>
        </w:rPr>
        <w:t xml:space="preserve"> engagement with domestic and international stakeholders to remain informed of </w:t>
      </w:r>
      <w:r w:rsidR="001D3251">
        <w:rPr>
          <w:rFonts w:eastAsia="Aptos"/>
          <w:lang w:eastAsia="en-US"/>
        </w:rPr>
        <w:t xml:space="preserve">these </w:t>
      </w:r>
      <w:r w:rsidR="00D146AC" w:rsidRPr="001A77AA">
        <w:rPr>
          <w:rFonts w:eastAsia="Aptos"/>
          <w:lang w:eastAsia="en-US"/>
        </w:rPr>
        <w:t xml:space="preserve">emerging issues. Through these engagements, </w:t>
      </w:r>
      <w:r w:rsidR="000253FA" w:rsidRPr="001A77AA">
        <w:rPr>
          <w:rFonts w:eastAsia="Aptos"/>
          <w:lang w:eastAsia="en-US"/>
        </w:rPr>
        <w:t>the FRC</w:t>
      </w:r>
      <w:r w:rsidR="003B2C42" w:rsidRPr="001A77AA">
        <w:rPr>
          <w:rFonts w:eastAsia="Aptos"/>
          <w:lang w:eastAsia="en-US"/>
        </w:rPr>
        <w:t> </w:t>
      </w:r>
      <w:r w:rsidR="00D146AC" w:rsidRPr="001A77AA">
        <w:rPr>
          <w:rFonts w:eastAsia="Aptos"/>
          <w:lang w:eastAsia="en-US"/>
        </w:rPr>
        <w:t>received updates on international standard</w:t>
      </w:r>
      <w:r w:rsidR="009C134F" w:rsidRPr="001A77AA">
        <w:rPr>
          <w:rFonts w:eastAsia="Aptos"/>
          <w:lang w:eastAsia="en-US"/>
        </w:rPr>
        <w:noBreakHyphen/>
      </w:r>
      <w:r w:rsidR="00D146AC" w:rsidRPr="001A77AA">
        <w:rPr>
          <w:rFonts w:eastAsia="Aptos"/>
          <w:lang w:eastAsia="en-US"/>
        </w:rPr>
        <w:t>setting priorities, including challenges relating to the</w:t>
      </w:r>
      <w:r w:rsidR="003B2C42" w:rsidRPr="001A77AA">
        <w:rPr>
          <w:rFonts w:eastAsia="Aptos"/>
          <w:lang w:eastAsia="en-US"/>
        </w:rPr>
        <w:t> </w:t>
      </w:r>
      <w:r w:rsidR="00D146AC" w:rsidRPr="001A77AA">
        <w:rPr>
          <w:rFonts w:eastAsia="Aptos"/>
          <w:lang w:eastAsia="en-US"/>
        </w:rPr>
        <w:t>quality of standards, collaboration across jurisdictions, funding arrangements and workforce capacity,</w:t>
      </w:r>
      <w:r w:rsidR="003B2C42" w:rsidRPr="001A77AA">
        <w:rPr>
          <w:rFonts w:eastAsia="Aptos"/>
          <w:lang w:eastAsia="en-US"/>
        </w:rPr>
        <w:t> </w:t>
      </w:r>
      <w:r w:rsidR="00792EB1" w:rsidRPr="001A77AA">
        <w:rPr>
          <w:rFonts w:eastAsia="Aptos"/>
          <w:lang w:eastAsia="en-US"/>
        </w:rPr>
        <w:t xml:space="preserve">which supported </w:t>
      </w:r>
      <w:r w:rsidR="00D146AC" w:rsidRPr="001A77AA">
        <w:rPr>
          <w:rFonts w:eastAsia="Aptos"/>
          <w:lang w:eastAsia="en-US"/>
        </w:rPr>
        <w:t>the FRC</w:t>
      </w:r>
      <w:r w:rsidR="009C134F" w:rsidRPr="001A77AA">
        <w:rPr>
          <w:rFonts w:eastAsia="Aptos"/>
          <w:lang w:eastAsia="en-US"/>
        </w:rPr>
        <w:t>’</w:t>
      </w:r>
      <w:r w:rsidR="00D146AC" w:rsidRPr="001A77AA">
        <w:rPr>
          <w:rFonts w:eastAsia="Aptos"/>
          <w:lang w:eastAsia="en-US"/>
        </w:rPr>
        <w:t xml:space="preserve">s understanding of developments </w:t>
      </w:r>
      <w:r w:rsidR="001D2FEF" w:rsidRPr="001A77AA">
        <w:rPr>
          <w:rFonts w:eastAsia="Aptos"/>
          <w:lang w:eastAsia="en-US"/>
        </w:rPr>
        <w:t xml:space="preserve">that shaped </w:t>
      </w:r>
      <w:r w:rsidR="00D146AC" w:rsidRPr="001A77AA">
        <w:rPr>
          <w:rFonts w:eastAsia="Aptos"/>
          <w:lang w:eastAsia="en-US"/>
        </w:rPr>
        <w:t xml:space="preserve">the domestic and global reporting </w:t>
      </w:r>
      <w:r w:rsidR="00D146AC" w:rsidRPr="001A77AA">
        <w:rPr>
          <w:lang w:eastAsia="en-US"/>
        </w:rPr>
        <w:t>environment.</w:t>
      </w:r>
    </w:p>
    <w:p w14:paraId="26514E13" w14:textId="67C3BD08" w:rsidR="0031617F" w:rsidRPr="001A77AA" w:rsidRDefault="00E132E1" w:rsidP="00251D36">
      <w:pPr>
        <w:rPr>
          <w:lang w:val="en-GB"/>
        </w:rPr>
      </w:pPr>
      <w:r w:rsidRPr="001A77AA">
        <w:rPr>
          <w:lang w:eastAsia="en-US"/>
        </w:rPr>
        <w:t>The FRC</w:t>
      </w:r>
      <w:r w:rsidR="009C134F" w:rsidRPr="001A77AA">
        <w:rPr>
          <w:lang w:eastAsia="en-US"/>
        </w:rPr>
        <w:t>’</w:t>
      </w:r>
      <w:r w:rsidRPr="001A77AA">
        <w:rPr>
          <w:lang w:eastAsia="en-US"/>
        </w:rPr>
        <w:t>s active stakeholder engagement ensured it remained responsive to sector developments and</w:t>
      </w:r>
      <w:r w:rsidR="0000637E" w:rsidRPr="001A77AA">
        <w:rPr>
          <w:lang w:eastAsia="en-US"/>
        </w:rPr>
        <w:t> </w:t>
      </w:r>
      <w:r w:rsidR="003A2CCF">
        <w:rPr>
          <w:lang w:eastAsia="en-US"/>
        </w:rPr>
        <w:t xml:space="preserve">allowed it to </w:t>
      </w:r>
      <w:r w:rsidRPr="001A77AA">
        <w:rPr>
          <w:lang w:eastAsia="en-US"/>
        </w:rPr>
        <w:t>adapt its oversight strategies effectively. This proactive approach supports continuous improvements in Australia</w:t>
      </w:r>
      <w:r w:rsidR="009C134F" w:rsidRPr="001A77AA">
        <w:rPr>
          <w:lang w:eastAsia="en-US"/>
        </w:rPr>
        <w:t>’</w:t>
      </w:r>
      <w:r w:rsidRPr="001A77AA">
        <w:rPr>
          <w:lang w:eastAsia="en-US"/>
        </w:rPr>
        <w:t>s financial reporting</w:t>
      </w:r>
      <w:r w:rsidR="00F91B72">
        <w:rPr>
          <w:lang w:eastAsia="en-US"/>
        </w:rPr>
        <w:t>,</w:t>
      </w:r>
      <w:r w:rsidRPr="001A77AA">
        <w:rPr>
          <w:lang w:eastAsia="en-US"/>
        </w:rPr>
        <w:t xml:space="preserve"> auditing </w:t>
      </w:r>
      <w:r w:rsidR="00F91B72">
        <w:rPr>
          <w:lang w:eastAsia="en-US"/>
        </w:rPr>
        <w:t>and assurance</w:t>
      </w:r>
      <w:r w:rsidRPr="001A77AA">
        <w:rPr>
          <w:lang w:eastAsia="en-US"/>
        </w:rPr>
        <w:t xml:space="preserve"> frameworks.</w:t>
      </w:r>
      <w:r w:rsidR="0031617F">
        <w:rPr>
          <w:lang w:eastAsia="en-US"/>
        </w:rPr>
        <w:t xml:space="preserve"> </w:t>
      </w:r>
      <w:r w:rsidR="004E7A6F">
        <w:rPr>
          <w:lang w:eastAsia="en-US"/>
        </w:rPr>
        <w:t>For</w:t>
      </w:r>
      <w:r w:rsidR="004A7A8E">
        <w:rPr>
          <w:lang w:eastAsia="en-US"/>
        </w:rPr>
        <w:t> </w:t>
      </w:r>
      <w:r w:rsidR="004E7A6F">
        <w:rPr>
          <w:lang w:eastAsia="en-US"/>
        </w:rPr>
        <w:t>example, this includes the FRC’s support of the AASB and AUASB to work closely together to support the implementation of</w:t>
      </w:r>
      <w:r w:rsidR="00710404">
        <w:rPr>
          <w:lang w:eastAsia="en-US"/>
        </w:rPr>
        <w:t xml:space="preserve"> sustainability accounting and assurance standards, along with engagement with ASIC concerning </w:t>
      </w:r>
      <w:r w:rsidR="00200569">
        <w:rPr>
          <w:lang w:eastAsia="en-US"/>
        </w:rPr>
        <w:t xml:space="preserve">its audit </w:t>
      </w:r>
      <w:r w:rsidR="00E040AA">
        <w:rPr>
          <w:lang w:eastAsia="en-US"/>
        </w:rPr>
        <w:t xml:space="preserve">surveillance program. </w:t>
      </w:r>
      <w:r w:rsidR="006723A6">
        <w:rPr>
          <w:lang w:eastAsia="en-US"/>
        </w:rPr>
        <w:t>For further information, see ‘Oversight of Australian standard setting’ and ‘</w:t>
      </w:r>
      <w:r w:rsidR="00B53855">
        <w:rPr>
          <w:lang w:eastAsia="en-US"/>
        </w:rPr>
        <w:t>A</w:t>
      </w:r>
      <w:r w:rsidR="006723A6">
        <w:rPr>
          <w:lang w:eastAsia="en-US"/>
        </w:rPr>
        <w:t xml:space="preserve">udit quality’ below. </w:t>
      </w:r>
    </w:p>
    <w:p w14:paraId="146DC96E" w14:textId="56C57552" w:rsidR="000C2F8B" w:rsidRPr="001A77AA" w:rsidRDefault="000C2F8B" w:rsidP="00251D36">
      <w:pPr>
        <w:pStyle w:val="Heading2"/>
      </w:pPr>
      <w:bookmarkStart w:id="12" w:name="_Toc241065222"/>
      <w:bookmarkEnd w:id="0"/>
      <w:r w:rsidRPr="001A77AA">
        <w:t xml:space="preserve">Updated </w:t>
      </w:r>
      <w:r w:rsidRPr="00251D36">
        <w:t>governance</w:t>
      </w:r>
      <w:r w:rsidRPr="001A77AA">
        <w:t xml:space="preserve"> </w:t>
      </w:r>
      <w:r w:rsidRPr="00251D36">
        <w:t>arrangements</w:t>
      </w:r>
      <w:bookmarkEnd w:id="12"/>
    </w:p>
    <w:p w14:paraId="6C2E2AC9" w14:textId="4B111614" w:rsidR="00853157" w:rsidRPr="001A77AA" w:rsidRDefault="00C618AC" w:rsidP="00251D36">
      <w:r w:rsidRPr="001A77AA">
        <w:t>During 2025</w:t>
      </w:r>
      <w:r w:rsidR="009C134F" w:rsidRPr="001A77AA">
        <w:t>–</w:t>
      </w:r>
      <w:r w:rsidRPr="001A77AA">
        <w:t xml:space="preserve">2026, the FRC updated its Rules of Procedure </w:t>
      </w:r>
      <w:r w:rsidR="00AF3D94" w:rsidRPr="001A77AA">
        <w:t>and</w:t>
      </w:r>
      <w:r w:rsidRPr="001A77AA">
        <w:t xml:space="preserve"> Nominations Committee Charter </w:t>
      </w:r>
      <w:r w:rsidR="00AF3D94" w:rsidRPr="001A77AA">
        <w:t>to ensure they remained fit</w:t>
      </w:r>
      <w:r w:rsidR="009C134F" w:rsidRPr="001A77AA">
        <w:noBreakHyphen/>
      </w:r>
      <w:r w:rsidR="00AF3D94" w:rsidRPr="001A77AA">
        <w:t>for</w:t>
      </w:r>
      <w:r w:rsidR="009C134F" w:rsidRPr="001A77AA">
        <w:noBreakHyphen/>
      </w:r>
      <w:r w:rsidR="00AF3D94" w:rsidRPr="001A77AA">
        <w:t xml:space="preserve">purpose and reflected best practice. The FRC also </w:t>
      </w:r>
      <w:r w:rsidRPr="001A77AA">
        <w:t>released its 2026</w:t>
      </w:r>
      <w:r w:rsidR="009C134F" w:rsidRPr="001A77AA">
        <w:t>–</w:t>
      </w:r>
      <w:r w:rsidRPr="001A77AA">
        <w:t>2027 Strategic Plan</w:t>
      </w:r>
      <w:r w:rsidR="003E44AA" w:rsidRPr="001A77AA">
        <w:t xml:space="preserve"> </w:t>
      </w:r>
      <w:r w:rsidR="00AF3D94" w:rsidRPr="001A77AA">
        <w:t>which is</w:t>
      </w:r>
      <w:r w:rsidR="00C508C5" w:rsidRPr="001A77AA">
        <w:t xml:space="preserve"> intended to cover the FRC</w:t>
      </w:r>
      <w:r w:rsidR="009C134F" w:rsidRPr="001A77AA">
        <w:t>’</w:t>
      </w:r>
      <w:r w:rsidR="00C508C5" w:rsidRPr="001A77AA">
        <w:t>s priorities for 2026</w:t>
      </w:r>
      <w:r w:rsidR="0031617F" w:rsidRPr="0031617F">
        <w:t>–</w:t>
      </w:r>
      <w:r w:rsidR="00C508C5" w:rsidRPr="001A77AA">
        <w:t xml:space="preserve">2027, recognising </w:t>
      </w:r>
      <w:r w:rsidR="001830DC" w:rsidRPr="001A77AA">
        <w:t>that</w:t>
      </w:r>
      <w:r w:rsidR="00663FF1" w:rsidRPr="001A77AA">
        <w:t xml:space="preserve"> ERA</w:t>
      </w:r>
      <w:r w:rsidR="00251D36">
        <w:t> </w:t>
      </w:r>
      <w:r w:rsidR="00663FF1" w:rsidRPr="001A77AA">
        <w:t>will</w:t>
      </w:r>
      <w:r w:rsidR="00251D36">
        <w:t> </w:t>
      </w:r>
      <w:r w:rsidR="00663FF1" w:rsidRPr="001A77AA">
        <w:t>commence on 1 December 2026</w:t>
      </w:r>
      <w:r w:rsidR="00C508C5" w:rsidRPr="001A77AA">
        <w:t>.</w:t>
      </w:r>
      <w:r w:rsidR="00904DE8" w:rsidRPr="001A77AA">
        <w:t xml:space="preserve"> </w:t>
      </w:r>
      <w:r w:rsidR="00121F1C" w:rsidRPr="001A77AA">
        <w:t>The FRC</w:t>
      </w:r>
      <w:r w:rsidR="009C134F" w:rsidRPr="001A77AA">
        <w:t>’</w:t>
      </w:r>
      <w:r w:rsidR="00121F1C" w:rsidRPr="001A77AA">
        <w:t xml:space="preserve">s strategic priorities for 2026–27 </w:t>
      </w:r>
      <w:r w:rsidR="00AF3D94" w:rsidRPr="001A77AA">
        <w:t xml:space="preserve">focus </w:t>
      </w:r>
      <w:r w:rsidR="00121F1C" w:rsidRPr="001A77AA">
        <w:t>on strengthening</w:t>
      </w:r>
      <w:r w:rsidR="00251D36">
        <w:t> </w:t>
      </w:r>
      <w:r w:rsidR="00121F1C" w:rsidRPr="001A77AA">
        <w:t>financial reporting, responding to regulatory and market developments, and enhancing international</w:t>
      </w:r>
      <w:r w:rsidR="00251D36">
        <w:t> </w:t>
      </w:r>
      <w:r w:rsidR="00121F1C" w:rsidRPr="001A77AA">
        <w:t>collaboratio</w:t>
      </w:r>
      <w:r w:rsidR="00853157" w:rsidRPr="001A77AA">
        <w:t>n.</w:t>
      </w:r>
    </w:p>
    <w:p w14:paraId="16D784F2" w14:textId="291F7530" w:rsidR="00BB596D" w:rsidRPr="001A77AA" w:rsidRDefault="0031617F" w:rsidP="00251D36">
      <w:pPr>
        <w:sectPr w:rsidR="00BB596D" w:rsidRPr="001A77AA" w:rsidSect="00BB596D">
          <w:pgSz w:w="11906" w:h="16838" w:code="9"/>
          <w:pgMar w:top="1843" w:right="1418" w:bottom="1418" w:left="1418" w:header="708" w:footer="708" w:gutter="0"/>
          <w:cols w:space="708"/>
          <w:titlePg/>
          <w:docGrid w:linePitch="360"/>
        </w:sectPr>
      </w:pPr>
      <w:r>
        <w:t xml:space="preserve"> </w:t>
      </w:r>
    </w:p>
    <w:p w14:paraId="6358C89F" w14:textId="08E4A323" w:rsidR="00E87F8F" w:rsidRPr="001A77AA" w:rsidRDefault="00C67571" w:rsidP="003466B5">
      <w:pPr>
        <w:pStyle w:val="Heading1"/>
      </w:pPr>
      <w:bookmarkStart w:id="13" w:name="_Toc241065223"/>
      <w:r w:rsidRPr="001A77AA">
        <w:lastRenderedPageBreak/>
        <w:t>FRC o</w:t>
      </w:r>
      <w:r w:rsidR="00C6378A" w:rsidRPr="001A77AA">
        <w:t>bjectives</w:t>
      </w:r>
      <w:r w:rsidR="00B2611D" w:rsidRPr="001A77AA">
        <w:t xml:space="preserve"> and </w:t>
      </w:r>
      <w:r w:rsidRPr="001A77AA">
        <w:t>functions</w:t>
      </w:r>
      <w:bookmarkEnd w:id="13"/>
      <w:r w:rsidRPr="001A77AA">
        <w:t xml:space="preserve"> </w:t>
      </w:r>
    </w:p>
    <w:p w14:paraId="27BB3DF0" w14:textId="33C3386F" w:rsidR="00C67571" w:rsidRPr="001A77AA" w:rsidRDefault="00C67571" w:rsidP="00251D36">
      <w:pPr>
        <w:pStyle w:val="Heading2"/>
      </w:pPr>
      <w:bookmarkStart w:id="14" w:name="_Toc241065224"/>
      <w:r w:rsidRPr="001A77AA">
        <w:t xml:space="preserve">The financial </w:t>
      </w:r>
      <w:r w:rsidRPr="00251D36">
        <w:t>reporting</w:t>
      </w:r>
      <w:r w:rsidRPr="001A77AA">
        <w:t xml:space="preserve"> system</w:t>
      </w:r>
      <w:bookmarkEnd w:id="14"/>
    </w:p>
    <w:p w14:paraId="5543F0BC" w14:textId="2BA46B79" w:rsidR="00C67571" w:rsidRPr="001A77AA" w:rsidRDefault="00C67571" w:rsidP="00251D36">
      <w:r w:rsidRPr="001A77AA">
        <w:t>Part 12 of the ASIC Act establishes the framework for Australia</w:t>
      </w:r>
      <w:r w:rsidR="009C134F" w:rsidRPr="001A77AA">
        <w:t>’</w:t>
      </w:r>
      <w:r w:rsidRPr="001A77AA">
        <w:t>s financial reporting system. The</w:t>
      </w:r>
      <w:r w:rsidR="003B2C42" w:rsidRPr="001A77AA">
        <w:t> </w:t>
      </w:r>
      <w:r w:rsidRPr="001A77AA">
        <w:t>objectives of Part 12 are set out in section 224 of the ASIC Act and include:</w:t>
      </w:r>
    </w:p>
    <w:p w14:paraId="2A774041" w14:textId="3C3CD14D" w:rsidR="00C67571" w:rsidRPr="001A77AA" w:rsidRDefault="00C67571" w:rsidP="00251D36">
      <w:pPr>
        <w:pStyle w:val="Bullet"/>
      </w:pPr>
      <w:r w:rsidRPr="001A77AA">
        <w:t xml:space="preserve">facilitating the </w:t>
      </w:r>
      <w:r w:rsidRPr="00251D36">
        <w:t>development</w:t>
      </w:r>
      <w:r w:rsidRPr="001A77AA">
        <w:t xml:space="preserve"> of accounting </w:t>
      </w:r>
      <w:r w:rsidR="00DC4A40" w:rsidRPr="001A77AA">
        <w:t xml:space="preserve">and sustainability </w:t>
      </w:r>
      <w:r w:rsidRPr="001A77AA">
        <w:t>standards that:</w:t>
      </w:r>
    </w:p>
    <w:p w14:paraId="3BE8BCEE" w14:textId="2F82715A" w:rsidR="00C67571" w:rsidRPr="001A77AA" w:rsidRDefault="00FA5500" w:rsidP="00302544">
      <w:pPr>
        <w:pStyle w:val="Dash"/>
      </w:pPr>
      <w:r w:rsidRPr="001A77AA">
        <w:t>a</w:t>
      </w:r>
      <w:r w:rsidR="00C67571" w:rsidRPr="001A77AA">
        <w:t>llow users to make and evaluate financial decisions</w:t>
      </w:r>
    </w:p>
    <w:p w14:paraId="6AA4BC97" w14:textId="3A43530D" w:rsidR="00C67571" w:rsidRPr="001A77AA" w:rsidRDefault="00FA5500" w:rsidP="003B326A">
      <w:pPr>
        <w:pStyle w:val="Dash"/>
      </w:pPr>
      <w:r w:rsidRPr="001A77AA">
        <w:t>a</w:t>
      </w:r>
      <w:r w:rsidR="00C67571" w:rsidRPr="001A77AA">
        <w:t>ssist directors to fulfil their statutory financial reporting obligations</w:t>
      </w:r>
    </w:p>
    <w:p w14:paraId="4CE3EDA8" w14:textId="43D5ECE5" w:rsidR="00C67571" w:rsidRPr="001A77AA" w:rsidRDefault="00FA5500" w:rsidP="003B326A">
      <w:pPr>
        <w:pStyle w:val="Dash"/>
      </w:pPr>
      <w:r w:rsidRPr="001A77AA">
        <w:t>a</w:t>
      </w:r>
      <w:r w:rsidR="00E87F8F" w:rsidRPr="001A77AA">
        <w:t xml:space="preserve">re </w:t>
      </w:r>
      <w:r w:rsidR="00C67571" w:rsidRPr="001A77AA">
        <w:t>relevant, reliable, easy to understand and facilitate comparability</w:t>
      </w:r>
    </w:p>
    <w:p w14:paraId="5F212916" w14:textId="535C8CC4" w:rsidR="00C67571" w:rsidRPr="001A77AA" w:rsidRDefault="009D3A80" w:rsidP="00251D36">
      <w:pPr>
        <w:pStyle w:val="Bullet"/>
      </w:pPr>
      <w:r w:rsidRPr="001A77AA">
        <w:t>f</w:t>
      </w:r>
      <w:r w:rsidR="00C67571" w:rsidRPr="001A77AA">
        <w:t xml:space="preserve">acilitating the development of auditing and assurance standards that provide Australian auditors with relevant and </w:t>
      </w:r>
      <w:r w:rsidR="00C67571" w:rsidRPr="00251D36">
        <w:t>comprehensive</w:t>
      </w:r>
      <w:r w:rsidR="00C67571" w:rsidRPr="001A77AA">
        <w:t xml:space="preserve"> guidance in determining whether financial reports comply with statutory </w:t>
      </w:r>
      <w:r w:rsidR="00C620E6" w:rsidRPr="001A77AA">
        <w:t>requirements and</w:t>
      </w:r>
      <w:r w:rsidR="00C67571" w:rsidRPr="001A77AA">
        <w:t xml:space="preserve"> require auditors</w:t>
      </w:r>
      <w:r w:rsidR="009C134F" w:rsidRPr="001A77AA">
        <w:t>’</w:t>
      </w:r>
      <w:r w:rsidR="00C67571" w:rsidRPr="001A77AA">
        <w:t xml:space="preserve"> reports to be reliable and readily understood by users</w:t>
      </w:r>
    </w:p>
    <w:p w14:paraId="16320FC8" w14:textId="3B39C626" w:rsidR="00C67571" w:rsidRPr="001A77AA" w:rsidRDefault="009D3A80" w:rsidP="00251D36">
      <w:pPr>
        <w:pStyle w:val="Bullet"/>
      </w:pPr>
      <w:r w:rsidRPr="001A77AA">
        <w:t>f</w:t>
      </w:r>
      <w:r w:rsidR="00C67571" w:rsidRPr="001A77AA">
        <w:t xml:space="preserve">acilitating </w:t>
      </w:r>
      <w:r w:rsidR="00C67571" w:rsidRPr="00251D36">
        <w:t>the</w:t>
      </w:r>
      <w:r w:rsidR="00C67571" w:rsidRPr="001A77AA">
        <w:t xml:space="preserve"> Australian economy by:</w:t>
      </w:r>
    </w:p>
    <w:p w14:paraId="19941685" w14:textId="3F9748AB" w:rsidR="00C67571" w:rsidRPr="00251D36" w:rsidRDefault="00FA5500" w:rsidP="00251D36">
      <w:pPr>
        <w:pStyle w:val="Dash"/>
      </w:pPr>
      <w:r w:rsidRPr="001A77AA">
        <w:t>r</w:t>
      </w:r>
      <w:r w:rsidR="00C67571" w:rsidRPr="001A77AA">
        <w:t xml:space="preserve">educing </w:t>
      </w:r>
      <w:r w:rsidR="00C67571" w:rsidRPr="00251D36">
        <w:t>the cost of capital</w:t>
      </w:r>
    </w:p>
    <w:p w14:paraId="61309BE5" w14:textId="29CB9B5F" w:rsidR="00C67571" w:rsidRPr="00251D36" w:rsidRDefault="00FA5500" w:rsidP="00251D36">
      <w:pPr>
        <w:pStyle w:val="Dash"/>
      </w:pPr>
      <w:r w:rsidRPr="00251D36">
        <w:t>e</w:t>
      </w:r>
      <w:r w:rsidR="00C67571" w:rsidRPr="00251D36">
        <w:t>nabling Australian entities to compete effectively overseas</w:t>
      </w:r>
    </w:p>
    <w:p w14:paraId="20D98725" w14:textId="5EE8440B" w:rsidR="00C67571" w:rsidRPr="00251D36" w:rsidRDefault="00FA5500" w:rsidP="00251D36">
      <w:pPr>
        <w:pStyle w:val="Dash"/>
      </w:pPr>
      <w:r w:rsidRPr="00251D36">
        <w:t>h</w:t>
      </w:r>
      <w:r w:rsidR="00C67571" w:rsidRPr="00251D36">
        <w:t>aving accounting</w:t>
      </w:r>
      <w:r w:rsidR="00C55C27" w:rsidRPr="00251D36">
        <w:t>, sustainability</w:t>
      </w:r>
      <w:r w:rsidR="00C67571" w:rsidRPr="00251D36">
        <w:t xml:space="preserve"> and auditing standards that are clearly stated and easy to</w:t>
      </w:r>
      <w:r w:rsidR="0000637E" w:rsidRPr="00251D36">
        <w:t> </w:t>
      </w:r>
      <w:r w:rsidR="00C67571" w:rsidRPr="00251D36">
        <w:t>understand</w:t>
      </w:r>
    </w:p>
    <w:p w14:paraId="54225FF2" w14:textId="47EBE83F" w:rsidR="00C67571" w:rsidRPr="001A77AA" w:rsidRDefault="009D3A80" w:rsidP="00251D36">
      <w:pPr>
        <w:pStyle w:val="Bullet"/>
      </w:pPr>
      <w:r w:rsidRPr="001A77AA">
        <w:t>m</w:t>
      </w:r>
      <w:r w:rsidR="00C67571" w:rsidRPr="001A77AA">
        <w:t xml:space="preserve">aintaining investor confidence in </w:t>
      </w:r>
      <w:r w:rsidR="00C67571" w:rsidRPr="00251D36">
        <w:t>the</w:t>
      </w:r>
      <w:r w:rsidR="00C67571" w:rsidRPr="001A77AA">
        <w:t xml:space="preserve"> Australian economy (including its capital markets).</w:t>
      </w:r>
    </w:p>
    <w:p w14:paraId="6DF61B39" w14:textId="77777777" w:rsidR="00AE595B" w:rsidRPr="00AE595B" w:rsidRDefault="00AE595B" w:rsidP="00AE595B">
      <w:r w:rsidRPr="00AE595B">
        <w:br w:type="page"/>
      </w:r>
    </w:p>
    <w:p w14:paraId="45C7A805" w14:textId="40EA0CB4" w:rsidR="00C67571" w:rsidRPr="001A77AA" w:rsidRDefault="00C67571" w:rsidP="00251D36">
      <w:pPr>
        <w:pStyle w:val="Heading2"/>
      </w:pPr>
      <w:bookmarkStart w:id="15" w:name="_Toc241065225"/>
      <w:r w:rsidRPr="00251D36">
        <w:lastRenderedPageBreak/>
        <w:t>Functions</w:t>
      </w:r>
      <w:r w:rsidRPr="001A77AA">
        <w:t xml:space="preserve"> of the FRC</w:t>
      </w:r>
      <w:bookmarkEnd w:id="15"/>
    </w:p>
    <w:p w14:paraId="73A78B09" w14:textId="77D2E4D2" w:rsidR="00C67571" w:rsidRPr="001A77AA" w:rsidRDefault="00C67571" w:rsidP="00251D36">
      <w:r w:rsidRPr="001A77AA">
        <w:t>The FRC is the peak body responsible for overseeing the effectiveness of the financial reporting system in Australia.</w:t>
      </w:r>
      <w:r w:rsidR="00CA540A" w:rsidRPr="001A77AA">
        <w:t xml:space="preserve"> </w:t>
      </w:r>
      <w:r w:rsidRPr="001A77AA">
        <w:t>The FRC</w:t>
      </w:r>
      <w:r w:rsidR="009C134F" w:rsidRPr="001A77AA">
        <w:t>’</w:t>
      </w:r>
      <w:r w:rsidRPr="001A77AA">
        <w:t>s functions, as set out in the ASIC Act, include:</w:t>
      </w:r>
    </w:p>
    <w:p w14:paraId="7D8DCE21" w14:textId="3B56BADC" w:rsidR="00C67571" w:rsidRPr="00251D36" w:rsidRDefault="00B305AC" w:rsidP="00251D36">
      <w:pPr>
        <w:pStyle w:val="Bullet"/>
      </w:pPr>
      <w:r w:rsidRPr="00251D36">
        <w:t>p</w:t>
      </w:r>
      <w:r w:rsidR="009A746A" w:rsidRPr="00251D36">
        <w:t>rovidin</w:t>
      </w:r>
      <w:r w:rsidR="00C67571" w:rsidRPr="00251D36">
        <w:t>g broad oversight of the accounting</w:t>
      </w:r>
      <w:r w:rsidR="00DC3DA7" w:rsidRPr="00251D36">
        <w:t>,</w:t>
      </w:r>
      <w:r w:rsidR="00094267" w:rsidRPr="00251D36">
        <w:t xml:space="preserve"> sustainability</w:t>
      </w:r>
      <w:r w:rsidR="00C67571" w:rsidRPr="00251D36">
        <w:t xml:space="preserve"> and auditing standard setting processes and giving the Minister reports and advice about such matters</w:t>
      </w:r>
    </w:p>
    <w:p w14:paraId="4429BD8D" w14:textId="094B4CD7" w:rsidR="00C67571" w:rsidRPr="00251D36" w:rsidRDefault="00ED7BC5" w:rsidP="00251D36">
      <w:pPr>
        <w:pStyle w:val="Bullet"/>
      </w:pPr>
      <w:r w:rsidRPr="00251D36">
        <w:t>e</w:t>
      </w:r>
      <w:r w:rsidR="009A746A" w:rsidRPr="00251D36">
        <w:t>stablish</w:t>
      </w:r>
      <w:r w:rsidR="00C67571" w:rsidRPr="00251D36">
        <w:t>ing appropriate consultative mechanisms</w:t>
      </w:r>
    </w:p>
    <w:p w14:paraId="1059A3EA" w14:textId="28CF8017" w:rsidR="00C67571" w:rsidRPr="00251D36" w:rsidRDefault="00ED7BC5" w:rsidP="00251D36">
      <w:pPr>
        <w:pStyle w:val="Bullet"/>
      </w:pPr>
      <w:r w:rsidRPr="00251D36">
        <w:t>a</w:t>
      </w:r>
      <w:r w:rsidR="009A746A" w:rsidRPr="00251D36">
        <w:t>ppo</w:t>
      </w:r>
      <w:r w:rsidR="00C67571" w:rsidRPr="00251D36">
        <w:t>inting members of the AASB and AUASB (other than the Chairs)</w:t>
      </w:r>
    </w:p>
    <w:p w14:paraId="59F20BBE" w14:textId="3B71BDBC" w:rsidR="00C67571" w:rsidRPr="00251D36" w:rsidRDefault="00ED7BC5" w:rsidP="00251D36">
      <w:pPr>
        <w:pStyle w:val="Bullet"/>
      </w:pPr>
      <w:r w:rsidRPr="00251D36">
        <w:t>g</w:t>
      </w:r>
      <w:r w:rsidR="009A746A" w:rsidRPr="00251D36">
        <w:t xml:space="preserve">iving </w:t>
      </w:r>
      <w:r w:rsidR="00C67571" w:rsidRPr="00251D36">
        <w:t>advice or feedback to the AASB and AUASB on their priorities, business plans and procedures</w:t>
      </w:r>
    </w:p>
    <w:p w14:paraId="35B959A8" w14:textId="09259D73" w:rsidR="00C67571" w:rsidRPr="00251D36" w:rsidRDefault="00ED7BC5" w:rsidP="00251D36">
      <w:pPr>
        <w:pStyle w:val="Bullet"/>
      </w:pPr>
      <w:r w:rsidRPr="00251D36">
        <w:t>g</w:t>
      </w:r>
      <w:r w:rsidR="009A746A" w:rsidRPr="00251D36">
        <w:t>ivin</w:t>
      </w:r>
      <w:r w:rsidR="00C67571" w:rsidRPr="00251D36">
        <w:t>g advice or feedback to the offices of the AASB and AUASB on their budget and staffing</w:t>
      </w:r>
      <w:r w:rsidR="003B2C42" w:rsidRPr="00251D36">
        <w:t> </w:t>
      </w:r>
      <w:r w:rsidR="00C67571" w:rsidRPr="00251D36">
        <w:t>arrangements</w:t>
      </w:r>
    </w:p>
    <w:p w14:paraId="22B14F82" w14:textId="3626F53C" w:rsidR="00C67571" w:rsidRPr="00251D36" w:rsidRDefault="00ED7BC5" w:rsidP="00251D36">
      <w:pPr>
        <w:pStyle w:val="Bullet"/>
      </w:pPr>
      <w:r w:rsidRPr="00251D36">
        <w:t>d</w:t>
      </w:r>
      <w:r w:rsidR="009A746A" w:rsidRPr="00251D36">
        <w:t>ete</w:t>
      </w:r>
      <w:r w:rsidR="00C67571" w:rsidRPr="00251D36">
        <w:t>rmining the broad strategic direction of the AASB and AUASB</w:t>
      </w:r>
    </w:p>
    <w:p w14:paraId="07440107" w14:textId="0F9AD172" w:rsidR="00C67571" w:rsidRPr="00251D36" w:rsidRDefault="00ED7BC5" w:rsidP="00251D36">
      <w:pPr>
        <w:pStyle w:val="Bullet"/>
      </w:pPr>
      <w:r w:rsidRPr="00251D36">
        <w:t>m</w:t>
      </w:r>
      <w:r w:rsidR="009A746A" w:rsidRPr="00251D36">
        <w:t>on</w:t>
      </w:r>
      <w:r w:rsidR="00C67571" w:rsidRPr="00251D36">
        <w:t>itoring the operation of accounting</w:t>
      </w:r>
      <w:r w:rsidR="00A22FE3" w:rsidRPr="00251D36">
        <w:t>, sustainability</w:t>
      </w:r>
      <w:r w:rsidR="00C67571" w:rsidRPr="00251D36">
        <w:t xml:space="preserve"> and auditing standards and the effectiveness of consultative arrangements of the AASB and AUASB</w:t>
      </w:r>
    </w:p>
    <w:p w14:paraId="56E81201" w14:textId="2DC448A7" w:rsidR="00C67571" w:rsidRPr="00251D36" w:rsidRDefault="00ED7BC5" w:rsidP="00251D36">
      <w:pPr>
        <w:pStyle w:val="Bullet"/>
      </w:pPr>
      <w:r w:rsidRPr="00251D36">
        <w:t>g</w:t>
      </w:r>
      <w:r w:rsidR="009A746A" w:rsidRPr="00251D36">
        <w:t>ivin</w:t>
      </w:r>
      <w:r w:rsidR="00C67571" w:rsidRPr="00251D36">
        <w:t>g strategic policy advice and reports to the Minister and professional accounting bodies in relation to the quality of audits conducted by Australian auditors</w:t>
      </w:r>
    </w:p>
    <w:p w14:paraId="5CCC38DF" w14:textId="5E8E4659" w:rsidR="00C67571" w:rsidRPr="00251D36" w:rsidRDefault="00ED7BC5" w:rsidP="00251D36">
      <w:pPr>
        <w:pStyle w:val="Bullet"/>
      </w:pPr>
      <w:bookmarkStart w:id="16" w:name="Statutory_obligations"/>
      <w:bookmarkStart w:id="17" w:name="_bookmark4"/>
      <w:bookmarkEnd w:id="16"/>
      <w:bookmarkEnd w:id="17"/>
      <w:r w:rsidRPr="00251D36">
        <w:t>m</w:t>
      </w:r>
      <w:r w:rsidR="009A746A" w:rsidRPr="00251D36">
        <w:t>o</w:t>
      </w:r>
      <w:r w:rsidR="00C67571" w:rsidRPr="00251D36">
        <w:t>nitoring the development of international accounting</w:t>
      </w:r>
      <w:r w:rsidR="00F70BE7" w:rsidRPr="00251D36">
        <w:t>, sustainability</w:t>
      </w:r>
      <w:r w:rsidR="00C67571" w:rsidRPr="00251D36">
        <w:t xml:space="preserve"> and auditing standards</w:t>
      </w:r>
    </w:p>
    <w:p w14:paraId="21AEA6E5" w14:textId="62CB583D" w:rsidR="00C67571" w:rsidRPr="00251D36" w:rsidRDefault="00ED7BC5" w:rsidP="00251D36">
      <w:pPr>
        <w:pStyle w:val="Bullet"/>
      </w:pPr>
      <w:r w:rsidRPr="00251D36">
        <w:t>f</w:t>
      </w:r>
      <w:r w:rsidR="009A746A" w:rsidRPr="00251D36">
        <w:t>urt</w:t>
      </w:r>
      <w:r w:rsidR="00C67571" w:rsidRPr="00251D36">
        <w:t>hering the development of a single set of accounting</w:t>
      </w:r>
      <w:r w:rsidR="00F70BE7" w:rsidRPr="00251D36">
        <w:t>, sustainability</w:t>
      </w:r>
      <w:r w:rsidR="00C67571" w:rsidRPr="00251D36">
        <w:t xml:space="preserve"> and auditing standards for world</w:t>
      </w:r>
      <w:r w:rsidR="009C134F" w:rsidRPr="00251D36">
        <w:noBreakHyphen/>
      </w:r>
      <w:r w:rsidR="00C67571" w:rsidRPr="00251D36">
        <w:t>wide use</w:t>
      </w:r>
    </w:p>
    <w:p w14:paraId="4445578A" w14:textId="73FCB7FC" w:rsidR="00C67571" w:rsidRPr="001A77AA" w:rsidRDefault="00ED7BC5" w:rsidP="00251D36">
      <w:pPr>
        <w:pStyle w:val="Bullet"/>
      </w:pPr>
      <w:r w:rsidRPr="001A77AA">
        <w:t>p</w:t>
      </w:r>
      <w:r w:rsidR="009A746A" w:rsidRPr="001A77AA">
        <w:t>rom</w:t>
      </w:r>
      <w:r w:rsidR="00C67571" w:rsidRPr="001A77AA">
        <w:t xml:space="preserve">oting the continued adoption of </w:t>
      </w:r>
      <w:r w:rsidR="00C67571" w:rsidRPr="00251D36">
        <w:t>international</w:t>
      </w:r>
      <w:r w:rsidR="00C67571" w:rsidRPr="001A77AA">
        <w:t xml:space="preserve"> best practice standards in the Australian standard setting processes.</w:t>
      </w:r>
    </w:p>
    <w:p w14:paraId="22C09708" w14:textId="77777777" w:rsidR="00C67571" w:rsidRPr="001A77AA" w:rsidRDefault="00C67571" w:rsidP="00251D36">
      <w:r w:rsidRPr="001A77AA">
        <w:t>The FRC is also responsible for advancing and promoting the main objects of Part 12 of the ASIC Act, concerning the Australian financial reporting system.</w:t>
      </w:r>
    </w:p>
    <w:p w14:paraId="3D96CE71" w14:textId="77777777" w:rsidR="00AE595B" w:rsidRPr="00AE595B" w:rsidRDefault="00AE595B" w:rsidP="00AE595B">
      <w:r w:rsidRPr="00AE595B">
        <w:br w:type="page"/>
      </w:r>
    </w:p>
    <w:p w14:paraId="22E6484A" w14:textId="74DF824E" w:rsidR="00C67571" w:rsidRPr="001A77AA" w:rsidRDefault="00C67571" w:rsidP="003466B5">
      <w:pPr>
        <w:pStyle w:val="Heading2"/>
      </w:pPr>
      <w:bookmarkStart w:id="18" w:name="_Toc241065226"/>
      <w:r w:rsidRPr="003466B5">
        <w:lastRenderedPageBreak/>
        <w:t>Statutory</w:t>
      </w:r>
      <w:r w:rsidRPr="001A77AA">
        <w:t xml:space="preserve"> obligations</w:t>
      </w:r>
      <w:bookmarkEnd w:id="18"/>
    </w:p>
    <w:p w14:paraId="1F9DA296" w14:textId="5C77FD59" w:rsidR="00C67571" w:rsidRPr="001A77AA" w:rsidRDefault="00E87F8F" w:rsidP="00251D36">
      <w:r w:rsidRPr="001A77AA">
        <w:t xml:space="preserve">The </w:t>
      </w:r>
      <w:r w:rsidR="00C67571" w:rsidRPr="001A77AA">
        <w:t xml:space="preserve">FRC </w:t>
      </w:r>
      <w:r w:rsidR="00A661A4" w:rsidRPr="001A77AA">
        <w:t xml:space="preserve">has </w:t>
      </w:r>
      <w:r w:rsidR="00033335" w:rsidRPr="001A77AA">
        <w:t>me</w:t>
      </w:r>
      <w:r w:rsidR="00EE3A8F" w:rsidRPr="001A77AA">
        <w:t>t</w:t>
      </w:r>
      <w:r w:rsidR="00033335" w:rsidRPr="001A77AA">
        <w:t xml:space="preserve"> its statutory obligations under the ASIC Act through </w:t>
      </w:r>
      <w:r w:rsidR="00A661A4" w:rsidRPr="001A77AA">
        <w:t>the following activities</w:t>
      </w:r>
      <w:r w:rsidR="008226CF" w:rsidRPr="001A77AA">
        <w:t>.</w:t>
      </w:r>
    </w:p>
    <w:p w14:paraId="51EBB397" w14:textId="00573CD3" w:rsidR="00E828E9" w:rsidRPr="00251D36" w:rsidRDefault="00E828E9" w:rsidP="00251D36">
      <w:pPr>
        <w:pStyle w:val="Bullet"/>
      </w:pPr>
      <w:r w:rsidRPr="00251D36">
        <w:t xml:space="preserve">Made appointments to the AASB and AUASB (see </w:t>
      </w:r>
      <w:r w:rsidR="009C134F" w:rsidRPr="00251D36">
        <w:t>‘</w:t>
      </w:r>
      <w:r w:rsidR="007B1436" w:rsidRPr="00251D36">
        <w:t>Appointment of members to the AASB and AUASB</w:t>
      </w:r>
      <w:r w:rsidR="009C134F" w:rsidRPr="00251D36">
        <w:t>’</w:t>
      </w:r>
      <w:r w:rsidR="007B1436" w:rsidRPr="00251D36">
        <w:t xml:space="preserve"> below)</w:t>
      </w:r>
    </w:p>
    <w:p w14:paraId="6C3E863C" w14:textId="77777777" w:rsidR="006D092D" w:rsidRPr="001A77AA" w:rsidRDefault="009D2711" w:rsidP="00251D36">
      <w:pPr>
        <w:pStyle w:val="Bullet"/>
      </w:pPr>
      <w:r w:rsidRPr="00251D36">
        <w:t>C</w:t>
      </w:r>
      <w:r w:rsidR="005E297F" w:rsidRPr="00251D36">
        <w:t>ontinued</w:t>
      </w:r>
      <w:r w:rsidR="005E297F" w:rsidRPr="001A77AA">
        <w:t xml:space="preserve"> </w:t>
      </w:r>
      <w:r w:rsidR="00F55C53" w:rsidRPr="001A77AA">
        <w:t>work</w:t>
      </w:r>
      <w:r w:rsidR="008F0F70" w:rsidRPr="001A77AA">
        <w:t xml:space="preserve"> directed at</w:t>
      </w:r>
      <w:r w:rsidR="005E1C06" w:rsidRPr="001A77AA">
        <w:t xml:space="preserve"> </w:t>
      </w:r>
      <w:r w:rsidR="005E297F" w:rsidRPr="001A77AA">
        <w:t>enhanc</w:t>
      </w:r>
      <w:r w:rsidR="008F0F70" w:rsidRPr="001A77AA">
        <w:t xml:space="preserve">ing </w:t>
      </w:r>
      <w:r w:rsidR="005E297F" w:rsidRPr="001A77AA">
        <w:t xml:space="preserve">the quality of financial reports, </w:t>
      </w:r>
      <w:r w:rsidR="00B574F5" w:rsidRPr="001A77AA">
        <w:t>which</w:t>
      </w:r>
      <w:r w:rsidR="006D092D" w:rsidRPr="001A77AA">
        <w:t>:</w:t>
      </w:r>
    </w:p>
    <w:p w14:paraId="63008364" w14:textId="7A4F2858" w:rsidR="006D092D" w:rsidRPr="00251D36" w:rsidRDefault="005E297F" w:rsidP="00251D36">
      <w:pPr>
        <w:pStyle w:val="Dash"/>
      </w:pPr>
      <w:r w:rsidRPr="001A77AA">
        <w:t>contribut</w:t>
      </w:r>
      <w:r w:rsidR="00B574F5" w:rsidRPr="001A77AA">
        <w:t>ed</w:t>
      </w:r>
      <w:r w:rsidRPr="001A77AA">
        <w:t xml:space="preserve"> to the development of common international accounting</w:t>
      </w:r>
      <w:r w:rsidR="005E43E0" w:rsidRPr="001A77AA">
        <w:t>, sustainability</w:t>
      </w:r>
      <w:r w:rsidRPr="001A77AA">
        <w:t xml:space="preserve"> and auditing </w:t>
      </w:r>
      <w:r w:rsidR="00CE7F47" w:rsidRPr="00251D36">
        <w:t>standards</w:t>
      </w:r>
    </w:p>
    <w:p w14:paraId="48B8B189" w14:textId="755BDD6F" w:rsidR="006D092D" w:rsidRPr="001A77AA" w:rsidRDefault="005E297F" w:rsidP="00251D36">
      <w:pPr>
        <w:pStyle w:val="Dash"/>
      </w:pPr>
      <w:r w:rsidRPr="00251D36">
        <w:t>facilitat</w:t>
      </w:r>
      <w:r w:rsidR="00B574F5" w:rsidRPr="00251D36">
        <w:t>ed</w:t>
      </w:r>
      <w:r w:rsidR="008F0F70" w:rsidRPr="001A77AA">
        <w:t xml:space="preserve"> the</w:t>
      </w:r>
      <w:r w:rsidRPr="001A77AA">
        <w:t xml:space="preserve"> harmonisation of Australian standards with international standards.</w:t>
      </w:r>
      <w:r w:rsidR="005E1C06" w:rsidRPr="001A77AA">
        <w:t xml:space="preserve"> </w:t>
      </w:r>
    </w:p>
    <w:p w14:paraId="6B6EF1B9" w14:textId="407224A9" w:rsidR="006D092D" w:rsidRPr="001A77AA" w:rsidRDefault="005E1C06" w:rsidP="00251D36">
      <w:pPr>
        <w:rPr>
          <w:lang w:val="en-GB"/>
        </w:rPr>
      </w:pPr>
      <w:r w:rsidRPr="001A77AA">
        <w:rPr>
          <w:lang w:val="en-GB"/>
        </w:rPr>
        <w:t>This work</w:t>
      </w:r>
      <w:r w:rsidR="003B1AF5" w:rsidRPr="001A77AA">
        <w:rPr>
          <w:lang w:val="en-GB"/>
        </w:rPr>
        <w:t xml:space="preserve"> included</w:t>
      </w:r>
      <w:r w:rsidR="008E2A80" w:rsidRPr="001A77AA">
        <w:rPr>
          <w:lang w:val="en-GB"/>
        </w:rPr>
        <w:t xml:space="preserve"> </w:t>
      </w:r>
      <w:r w:rsidR="003B1AF5" w:rsidRPr="001A77AA">
        <w:rPr>
          <w:lang w:val="en-GB"/>
        </w:rPr>
        <w:t>monitoring developments in international standards and</w:t>
      </w:r>
      <w:r w:rsidR="008E2A80" w:rsidRPr="001A77AA">
        <w:rPr>
          <w:lang w:val="en-GB"/>
        </w:rPr>
        <w:t xml:space="preserve"> </w:t>
      </w:r>
      <w:r w:rsidR="003B1AF5" w:rsidRPr="001A77AA">
        <w:rPr>
          <w:lang w:val="en-GB"/>
        </w:rPr>
        <w:t>promoting a coordinated approach to Australian standards</w:t>
      </w:r>
      <w:r w:rsidR="00F72998" w:rsidRPr="001A77AA">
        <w:rPr>
          <w:lang w:val="en-GB"/>
        </w:rPr>
        <w:t xml:space="preserve">. As a result, </w:t>
      </w:r>
      <w:r w:rsidR="00E667D2" w:rsidRPr="001A77AA">
        <w:rPr>
          <w:lang w:val="en-GB"/>
        </w:rPr>
        <w:t>the FRC</w:t>
      </w:r>
      <w:r w:rsidR="006D092D" w:rsidRPr="001A77AA">
        <w:rPr>
          <w:lang w:val="en-GB"/>
        </w:rPr>
        <w:t>:</w:t>
      </w:r>
    </w:p>
    <w:p w14:paraId="7DF830ED" w14:textId="75D9ABB7" w:rsidR="006D092D" w:rsidRPr="00251D36" w:rsidRDefault="00670750" w:rsidP="00251D36">
      <w:pPr>
        <w:pStyle w:val="Dash"/>
      </w:pPr>
      <w:r w:rsidRPr="00251D36">
        <w:t>facilitate</w:t>
      </w:r>
      <w:r w:rsidR="00E667D2" w:rsidRPr="00251D36">
        <w:t>d</w:t>
      </w:r>
      <w:r w:rsidRPr="00251D36">
        <w:t xml:space="preserve"> </w:t>
      </w:r>
      <w:r w:rsidR="005E1C06" w:rsidRPr="00251D36">
        <w:t>investor confidence in Australian firms</w:t>
      </w:r>
    </w:p>
    <w:p w14:paraId="349544D8" w14:textId="11ED9230" w:rsidR="006D092D" w:rsidRPr="00251D36" w:rsidRDefault="005E1C06" w:rsidP="00251D36">
      <w:pPr>
        <w:pStyle w:val="Dash"/>
      </w:pPr>
      <w:r w:rsidRPr="00251D36">
        <w:t>promote</w:t>
      </w:r>
      <w:r w:rsidR="00E667D2" w:rsidRPr="00251D36">
        <w:t>d</w:t>
      </w:r>
      <w:r w:rsidRPr="00251D36">
        <w:t xml:space="preserve"> cross</w:t>
      </w:r>
      <w:r w:rsidR="009C134F" w:rsidRPr="00251D36">
        <w:noBreakHyphen/>
      </w:r>
      <w:r w:rsidRPr="00251D36">
        <w:t>border comparisons by investors</w:t>
      </w:r>
    </w:p>
    <w:p w14:paraId="7578250E" w14:textId="58F8E31B" w:rsidR="005E297F" w:rsidRPr="001A77AA" w:rsidRDefault="006A1B24" w:rsidP="00251D36">
      <w:pPr>
        <w:pStyle w:val="Dash"/>
      </w:pPr>
      <w:r w:rsidRPr="00251D36">
        <w:t>enhance</w:t>
      </w:r>
      <w:r w:rsidR="00E667D2" w:rsidRPr="001A77AA">
        <w:t>d</w:t>
      </w:r>
      <w:r w:rsidRPr="001A77AA">
        <w:t xml:space="preserve"> the ability of </w:t>
      </w:r>
      <w:r w:rsidR="005E1C06" w:rsidRPr="001A77AA">
        <w:t xml:space="preserve">Australian firms </w:t>
      </w:r>
      <w:r w:rsidRPr="001A77AA">
        <w:t xml:space="preserve">to </w:t>
      </w:r>
      <w:r w:rsidR="005E1C06" w:rsidRPr="001A77AA">
        <w:t>access international capital markets at lower cost.</w:t>
      </w:r>
      <w:r w:rsidR="00DE15BB" w:rsidRPr="001A77AA">
        <w:t xml:space="preserve"> </w:t>
      </w:r>
    </w:p>
    <w:p w14:paraId="030C3AB8" w14:textId="77777777" w:rsidR="00EE2696" w:rsidRPr="001A77AA" w:rsidRDefault="009D2711" w:rsidP="00531C63">
      <w:pPr>
        <w:pStyle w:val="Bullet"/>
      </w:pPr>
      <w:r w:rsidRPr="001A77AA">
        <w:t>M</w:t>
      </w:r>
      <w:r w:rsidR="00DB0C08" w:rsidRPr="001A77AA">
        <w:t>onitor</w:t>
      </w:r>
      <w:r w:rsidR="0067670C" w:rsidRPr="001A77AA">
        <w:t>ed</w:t>
      </w:r>
      <w:r w:rsidR="00DB0C08" w:rsidRPr="001A77AA">
        <w:t xml:space="preserve"> the impact of macroeconomic </w:t>
      </w:r>
      <w:r w:rsidR="000305A6" w:rsidRPr="001A77AA">
        <w:t>conditions and skill shortages on the financial reporting system and audit quality</w:t>
      </w:r>
      <w:r w:rsidR="00A6279D" w:rsidRPr="001A77AA">
        <w:t xml:space="preserve">. </w:t>
      </w:r>
    </w:p>
    <w:p w14:paraId="37AAB499" w14:textId="4CC0590D" w:rsidR="000A5A47" w:rsidRPr="001A77AA" w:rsidRDefault="00A6279D" w:rsidP="00531C63">
      <w:pPr>
        <w:pStyle w:val="Bullet"/>
      </w:pPr>
      <w:r w:rsidRPr="001A77AA">
        <w:t>C</w:t>
      </w:r>
      <w:r w:rsidR="0067670C" w:rsidRPr="001A77AA">
        <w:t>ontinued to obtain qualitative and quantitative data from stakeholders on matters including</w:t>
      </w:r>
      <w:r w:rsidR="000A5A47" w:rsidRPr="001A77AA">
        <w:t>:</w:t>
      </w:r>
    </w:p>
    <w:p w14:paraId="4D676236" w14:textId="697AC10D" w:rsidR="000A5A47" w:rsidRPr="001A77AA" w:rsidRDefault="0067670C" w:rsidP="00406500">
      <w:pPr>
        <w:pStyle w:val="Dash"/>
      </w:pPr>
      <w:r w:rsidRPr="001A77AA">
        <w:t>auditor disciplinary processes</w:t>
      </w:r>
    </w:p>
    <w:p w14:paraId="3DBE3B63" w14:textId="254CF8A0" w:rsidR="000A5A47" w:rsidRPr="001A77AA" w:rsidRDefault="008E0007" w:rsidP="00406500">
      <w:pPr>
        <w:pStyle w:val="Dash"/>
      </w:pPr>
      <w:r w:rsidRPr="001A77AA">
        <w:t>talent retention</w:t>
      </w:r>
    </w:p>
    <w:p w14:paraId="0070F59B" w14:textId="14EAD0FE" w:rsidR="000A5A47" w:rsidRPr="001A77AA" w:rsidRDefault="006B7734" w:rsidP="00406500">
      <w:pPr>
        <w:pStyle w:val="Dash"/>
      </w:pPr>
      <w:r w:rsidRPr="001A77AA">
        <w:t>skill shortages</w:t>
      </w:r>
    </w:p>
    <w:p w14:paraId="5E1E90B6" w14:textId="0F6062F7" w:rsidR="000A5A47" w:rsidRPr="001A77AA" w:rsidRDefault="006B7734" w:rsidP="00406500">
      <w:pPr>
        <w:pStyle w:val="Dash"/>
      </w:pPr>
      <w:r w:rsidRPr="001A77AA">
        <w:t>sustainability</w:t>
      </w:r>
      <w:r w:rsidR="000305A6" w:rsidRPr="001A77AA">
        <w:t>.</w:t>
      </w:r>
      <w:r w:rsidR="00FF2D64" w:rsidRPr="001A77AA">
        <w:t xml:space="preserve"> </w:t>
      </w:r>
    </w:p>
    <w:p w14:paraId="1A7F4DD2" w14:textId="6E0158F5" w:rsidR="005D317E" w:rsidRPr="001A77AA" w:rsidRDefault="00FF2D64" w:rsidP="00D54A8B">
      <w:r w:rsidRPr="001A77AA">
        <w:t>This work facilitate</w:t>
      </w:r>
      <w:r w:rsidR="00A6279D" w:rsidRPr="001A77AA">
        <w:t>d</w:t>
      </w:r>
      <w:r w:rsidRPr="001A77AA">
        <w:t xml:space="preserve"> the development of </w:t>
      </w:r>
      <w:r w:rsidR="00BA477C" w:rsidRPr="001A77AA">
        <w:t>financial reporting</w:t>
      </w:r>
      <w:r w:rsidRPr="001A77AA">
        <w:t xml:space="preserve"> standards</w:t>
      </w:r>
      <w:r w:rsidR="005D317E" w:rsidRPr="001A77AA">
        <w:t xml:space="preserve"> </w:t>
      </w:r>
      <w:r w:rsidR="006B0CFF" w:rsidRPr="001A77AA">
        <w:t>and investor confidence by</w:t>
      </w:r>
      <w:r w:rsidR="003B2C42" w:rsidRPr="001A77AA">
        <w:t> </w:t>
      </w:r>
      <w:r w:rsidR="00BA477C" w:rsidRPr="001A77AA">
        <w:t>enabling any</w:t>
      </w:r>
      <w:r w:rsidR="009C3F12" w:rsidRPr="001A77AA">
        <w:t xml:space="preserve"> impacts of such matters</w:t>
      </w:r>
      <w:r w:rsidR="00BA477C" w:rsidRPr="001A77AA">
        <w:t xml:space="preserve"> on</w:t>
      </w:r>
      <w:r w:rsidR="009C3F12" w:rsidRPr="001A77AA">
        <w:t xml:space="preserve"> accounting</w:t>
      </w:r>
      <w:r w:rsidR="005E43E0" w:rsidRPr="001A77AA">
        <w:t>, sustainability</w:t>
      </w:r>
      <w:r w:rsidR="009C3F12" w:rsidRPr="001A77AA">
        <w:t xml:space="preserve"> and auditing standards and practices</w:t>
      </w:r>
      <w:r w:rsidR="00BA477C" w:rsidRPr="001A77AA">
        <w:t xml:space="preserve"> to be identified and addressed. </w:t>
      </w:r>
    </w:p>
    <w:p w14:paraId="10A5DE16" w14:textId="0C962A77" w:rsidR="00BD54C9" w:rsidRPr="00251D36" w:rsidRDefault="00DE5D7C" w:rsidP="00251D36">
      <w:pPr>
        <w:pStyle w:val="Bullet"/>
      </w:pPr>
      <w:r w:rsidRPr="001A77AA">
        <w:t xml:space="preserve">Corresponded </w:t>
      </w:r>
      <w:r w:rsidRPr="00251D36">
        <w:t>with</w:t>
      </w:r>
      <w:r w:rsidR="00BD54C9" w:rsidRPr="00251D36">
        <w:t xml:space="preserve"> </w:t>
      </w:r>
      <w:r w:rsidRPr="00251D36">
        <w:t xml:space="preserve">Australian Government </w:t>
      </w:r>
      <w:r w:rsidR="005E7C39" w:rsidRPr="00251D36">
        <w:t>m</w:t>
      </w:r>
      <w:r w:rsidR="007452E6" w:rsidRPr="00251D36">
        <w:t>inister</w:t>
      </w:r>
      <w:r w:rsidR="001A3CEC" w:rsidRPr="00251D36">
        <w:t>s</w:t>
      </w:r>
      <w:r w:rsidR="007452E6" w:rsidRPr="00251D36">
        <w:t xml:space="preserve"> </w:t>
      </w:r>
      <w:r w:rsidR="00EB0531" w:rsidRPr="00251D36">
        <w:t xml:space="preserve">about </w:t>
      </w:r>
      <w:r w:rsidR="00D35211" w:rsidRPr="00251D36">
        <w:t>digital reporting</w:t>
      </w:r>
      <w:r w:rsidR="004762FE" w:rsidRPr="00251D36">
        <w:t>.</w:t>
      </w:r>
    </w:p>
    <w:p w14:paraId="5785CE0A" w14:textId="24A9563A" w:rsidR="00D7279B" w:rsidRPr="00251D36" w:rsidRDefault="00D7279B" w:rsidP="00251D36">
      <w:pPr>
        <w:pStyle w:val="Bullet"/>
      </w:pPr>
      <w:r w:rsidRPr="00251D36">
        <w:t xml:space="preserve">Corresponded with </w:t>
      </w:r>
      <w:r w:rsidR="005829AB" w:rsidRPr="00251D36">
        <w:t>IFRS Foundation Trustees, endorsing the nomination of the AASB to SSAF.</w:t>
      </w:r>
    </w:p>
    <w:p w14:paraId="4D13182A" w14:textId="30A3D7A9" w:rsidR="007867F6" w:rsidRPr="001A77AA" w:rsidRDefault="009D2711" w:rsidP="00251D36">
      <w:pPr>
        <w:pStyle w:val="Bullet"/>
      </w:pPr>
      <w:r w:rsidRPr="00251D36">
        <w:t>C</w:t>
      </w:r>
      <w:r w:rsidR="003C2747" w:rsidRPr="00251D36">
        <w:t>ontinue</w:t>
      </w:r>
      <w:r w:rsidR="005E297F" w:rsidRPr="00251D36">
        <w:t>d</w:t>
      </w:r>
      <w:r w:rsidR="003C2747" w:rsidRPr="00251D36">
        <w:t xml:space="preserve"> to monitor financial reporting and auditing issues relevant to the public sector through its</w:t>
      </w:r>
      <w:r w:rsidR="003B2C42" w:rsidRPr="00251D36">
        <w:t> </w:t>
      </w:r>
      <w:r w:rsidR="003C2747" w:rsidRPr="00251D36">
        <w:t xml:space="preserve">FRC Public Sector </w:t>
      </w:r>
      <w:r w:rsidR="005B03DD" w:rsidRPr="00251D36">
        <w:t>Advisory</w:t>
      </w:r>
      <w:r w:rsidR="003C2747" w:rsidRPr="001A77AA">
        <w:t xml:space="preserve"> Group, comprising members of the FRC and the public sector.</w:t>
      </w:r>
    </w:p>
    <w:p w14:paraId="0C2D8C0A" w14:textId="77777777" w:rsidR="00325881" w:rsidRPr="001A77AA" w:rsidRDefault="00325881" w:rsidP="00A7773C"/>
    <w:p w14:paraId="70D7062F" w14:textId="77777777" w:rsidR="00325881" w:rsidRPr="001A77AA" w:rsidRDefault="00325881" w:rsidP="003466B5">
      <w:pPr>
        <w:pStyle w:val="Heading1"/>
        <w:sectPr w:rsidR="00325881" w:rsidRPr="001A77AA" w:rsidSect="00BB596D">
          <w:pgSz w:w="11906" w:h="16838" w:code="9"/>
          <w:pgMar w:top="1843" w:right="1418" w:bottom="1418" w:left="1418" w:header="708" w:footer="708" w:gutter="0"/>
          <w:cols w:space="708"/>
          <w:titlePg/>
          <w:docGrid w:linePitch="360"/>
        </w:sectPr>
      </w:pPr>
    </w:p>
    <w:p w14:paraId="7A129F17" w14:textId="7B1DAAE1" w:rsidR="009527A2" w:rsidRPr="001A77AA" w:rsidRDefault="00B026FA" w:rsidP="003466B5">
      <w:pPr>
        <w:pStyle w:val="Heading1"/>
      </w:pPr>
      <w:bookmarkStart w:id="19" w:name="_Toc241065227"/>
      <w:r w:rsidRPr="001A77AA">
        <w:lastRenderedPageBreak/>
        <w:t>Oversight of Australian</w:t>
      </w:r>
      <w:r w:rsidR="00C67571" w:rsidRPr="001A77AA">
        <w:t xml:space="preserve"> </w:t>
      </w:r>
      <w:r w:rsidR="00B2611D" w:rsidRPr="001A77AA">
        <w:t>s</w:t>
      </w:r>
      <w:r w:rsidRPr="001A77AA">
        <w:t xml:space="preserve">tandard </w:t>
      </w:r>
      <w:r w:rsidR="00B2611D" w:rsidRPr="001A77AA">
        <w:t>s</w:t>
      </w:r>
      <w:r w:rsidRPr="001A77AA">
        <w:t>etting</w:t>
      </w:r>
      <w:bookmarkEnd w:id="19"/>
    </w:p>
    <w:p w14:paraId="376E3AF4" w14:textId="27B45383" w:rsidR="009527A2" w:rsidRPr="001A77AA" w:rsidRDefault="009527A2" w:rsidP="000B66A2">
      <w:pPr>
        <w:pStyle w:val="Heading2"/>
        <w:rPr>
          <w:iCs w:val="0"/>
          <w:spacing w:val="-2"/>
        </w:rPr>
      </w:pPr>
      <w:bookmarkStart w:id="20" w:name="_Toc177124033"/>
      <w:bookmarkStart w:id="21" w:name="_Toc177124858"/>
      <w:bookmarkStart w:id="22" w:name="_Toc241065228"/>
      <w:r w:rsidRPr="001A77AA">
        <w:rPr>
          <w:iCs w:val="0"/>
          <w:spacing w:val="-2"/>
        </w:rPr>
        <w:t>Giving advice or feedback to the AASB, AUASB and their</w:t>
      </w:r>
      <w:r w:rsidR="003B2C42" w:rsidRPr="001A77AA">
        <w:rPr>
          <w:iCs w:val="0"/>
          <w:spacing w:val="-2"/>
        </w:rPr>
        <w:t xml:space="preserve"> </w:t>
      </w:r>
      <w:r w:rsidRPr="001A77AA">
        <w:rPr>
          <w:iCs w:val="0"/>
          <w:spacing w:val="-2"/>
        </w:rPr>
        <w:t>offices</w:t>
      </w:r>
      <w:bookmarkEnd w:id="20"/>
      <w:bookmarkEnd w:id="21"/>
      <w:bookmarkEnd w:id="22"/>
    </w:p>
    <w:p w14:paraId="406F719A" w14:textId="29D5FA57" w:rsidR="009527A2" w:rsidRPr="001A77AA" w:rsidRDefault="009527A2" w:rsidP="002B7CC0">
      <w:r w:rsidRPr="001A77AA">
        <w:t>The FRC primarily provides advice to the AASB, AUASB and their offices at meetings of the FRC. The</w:t>
      </w:r>
      <w:r w:rsidR="002B7CC0" w:rsidRPr="001A77AA">
        <w:t> </w:t>
      </w:r>
      <w:r w:rsidRPr="001A77AA">
        <w:t xml:space="preserve">Chairs of the AASB and AUASB </w:t>
      </w:r>
      <w:r w:rsidR="00C74CD2" w:rsidRPr="001A77AA">
        <w:t>were</w:t>
      </w:r>
      <w:r w:rsidRPr="001A77AA">
        <w:t xml:space="preserve"> members of the FRC</w:t>
      </w:r>
      <w:r w:rsidR="00C74CD2" w:rsidRPr="001A77AA">
        <w:t xml:space="preserve"> until </w:t>
      </w:r>
      <w:r w:rsidR="00A64285" w:rsidRPr="001A77AA">
        <w:t>30 June</w:t>
      </w:r>
      <w:r w:rsidR="00C74CD2" w:rsidRPr="001A77AA">
        <w:t xml:space="preserve"> 2026</w:t>
      </w:r>
      <w:r w:rsidR="00741670" w:rsidRPr="001A77AA">
        <w:t xml:space="preserve"> (inclusive)</w:t>
      </w:r>
      <w:r w:rsidR="00C74CD2" w:rsidRPr="001A77AA">
        <w:t>.</w:t>
      </w:r>
      <w:r w:rsidRPr="001A77AA">
        <w:t xml:space="preserve"> They provide written and oral reports on</w:t>
      </w:r>
      <w:r w:rsidR="002B7CC0" w:rsidRPr="001A77AA">
        <w:t> </w:t>
      </w:r>
      <w:r w:rsidRPr="001A77AA">
        <w:t xml:space="preserve">the activities of their respective boards at each FRC meeting. </w:t>
      </w:r>
      <w:r w:rsidR="00C74CD2" w:rsidRPr="001A77AA">
        <w:t>In</w:t>
      </w:r>
      <w:r w:rsidR="0000637E" w:rsidRPr="001A77AA">
        <w:t> </w:t>
      </w:r>
      <w:r w:rsidR="00C74CD2" w:rsidRPr="001A77AA">
        <w:t>2025–26</w:t>
      </w:r>
      <w:r w:rsidRPr="001A77AA">
        <w:t>, AASB and AUASB reports included items covering:</w:t>
      </w:r>
    </w:p>
    <w:p w14:paraId="0E65EFA0" w14:textId="77777777" w:rsidR="009527A2" w:rsidRPr="001A77AA" w:rsidRDefault="009527A2" w:rsidP="00531C63">
      <w:pPr>
        <w:pStyle w:val="Bullet"/>
      </w:pPr>
      <w:r w:rsidRPr="001A77AA">
        <w:t>AASB and AUASB strategies</w:t>
      </w:r>
    </w:p>
    <w:p w14:paraId="77A6816C" w14:textId="77777777" w:rsidR="009527A2" w:rsidRPr="001A77AA" w:rsidRDefault="009527A2" w:rsidP="00531C63">
      <w:pPr>
        <w:pStyle w:val="Bullet"/>
      </w:pPr>
      <w:r w:rsidRPr="001A77AA">
        <w:t xml:space="preserve">AASB and AUASB Corporate Plans for </w:t>
      </w:r>
      <w:r w:rsidR="00C74CD2" w:rsidRPr="001A77AA">
        <w:t>2025–26</w:t>
      </w:r>
    </w:p>
    <w:p w14:paraId="49C00432" w14:textId="7C475EFF" w:rsidR="009527A2" w:rsidRPr="001A77AA" w:rsidRDefault="009527A2" w:rsidP="00531C63">
      <w:pPr>
        <w:pStyle w:val="Bullet"/>
      </w:pPr>
      <w:r w:rsidRPr="001A77AA">
        <w:t>AASB and AUASB</w:t>
      </w:r>
      <w:r w:rsidR="009C134F" w:rsidRPr="001A77AA">
        <w:t>’</w:t>
      </w:r>
      <w:r w:rsidRPr="001A77AA">
        <w:t>s key activities including progress on key strategic priorities.</w:t>
      </w:r>
    </w:p>
    <w:p w14:paraId="666DC4A8" w14:textId="77777777" w:rsidR="009527A2" w:rsidRPr="001A77AA" w:rsidRDefault="009527A2" w:rsidP="002B7CC0">
      <w:r w:rsidRPr="001A77AA">
        <w:t>FRC members reviewed these reports and provided</w:t>
      </w:r>
      <w:r w:rsidRPr="001A77AA">
        <w:rPr>
          <w:spacing w:val="-5"/>
        </w:rPr>
        <w:t xml:space="preserve"> </w:t>
      </w:r>
      <w:r w:rsidRPr="001A77AA">
        <w:t>advice</w:t>
      </w:r>
      <w:r w:rsidRPr="001A77AA">
        <w:rPr>
          <w:spacing w:val="-5"/>
        </w:rPr>
        <w:t xml:space="preserve"> </w:t>
      </w:r>
      <w:r w:rsidRPr="001A77AA">
        <w:t>and</w:t>
      </w:r>
      <w:r w:rsidRPr="001A77AA">
        <w:rPr>
          <w:spacing w:val="-5"/>
        </w:rPr>
        <w:t xml:space="preserve"> </w:t>
      </w:r>
      <w:r w:rsidRPr="001A77AA">
        <w:t>feedback</w:t>
      </w:r>
      <w:r w:rsidRPr="001A77AA">
        <w:rPr>
          <w:spacing w:val="-5"/>
        </w:rPr>
        <w:t xml:space="preserve"> </w:t>
      </w:r>
      <w:r w:rsidRPr="001A77AA">
        <w:t>to</w:t>
      </w:r>
      <w:r w:rsidRPr="001A77AA">
        <w:rPr>
          <w:spacing w:val="-5"/>
        </w:rPr>
        <w:t xml:space="preserve"> </w:t>
      </w:r>
      <w:r w:rsidRPr="001A77AA">
        <w:t>the</w:t>
      </w:r>
      <w:r w:rsidRPr="001A77AA">
        <w:rPr>
          <w:spacing w:val="-5"/>
        </w:rPr>
        <w:t xml:space="preserve"> </w:t>
      </w:r>
      <w:r w:rsidRPr="001A77AA">
        <w:t>AASB</w:t>
      </w:r>
      <w:r w:rsidRPr="001A77AA">
        <w:rPr>
          <w:spacing w:val="-5"/>
        </w:rPr>
        <w:t xml:space="preserve"> </w:t>
      </w:r>
      <w:r w:rsidRPr="001A77AA">
        <w:t>and AUASB at FRC meetings, including on AASB</w:t>
      </w:r>
      <w:r w:rsidRPr="001A77AA">
        <w:rPr>
          <w:spacing w:val="40"/>
        </w:rPr>
        <w:t xml:space="preserve"> </w:t>
      </w:r>
      <w:r w:rsidRPr="001A77AA">
        <w:t>and AUASB strategic priorities, business plans and emerging topics. The</w:t>
      </w:r>
      <w:r w:rsidRPr="001A77AA">
        <w:rPr>
          <w:spacing w:val="-5"/>
        </w:rPr>
        <w:t xml:space="preserve"> </w:t>
      </w:r>
      <w:r w:rsidRPr="001A77AA">
        <w:t>FRC</w:t>
      </w:r>
      <w:r w:rsidRPr="001A77AA">
        <w:rPr>
          <w:spacing w:val="-5"/>
        </w:rPr>
        <w:t xml:space="preserve"> </w:t>
      </w:r>
      <w:r w:rsidRPr="001A77AA">
        <w:t>did</w:t>
      </w:r>
      <w:r w:rsidRPr="001A77AA">
        <w:rPr>
          <w:spacing w:val="-5"/>
        </w:rPr>
        <w:t xml:space="preserve"> </w:t>
      </w:r>
      <w:r w:rsidRPr="001A77AA">
        <w:t xml:space="preserve">not directly provide advice to the </w:t>
      </w:r>
      <w:r w:rsidR="00DE121F" w:rsidRPr="001A77AA">
        <w:t>o</w:t>
      </w:r>
      <w:r w:rsidRPr="001A77AA">
        <w:t xml:space="preserve">ffices of the AASB and the AUASB on their budgets and staffing in </w:t>
      </w:r>
      <w:r w:rsidR="00C74CD2" w:rsidRPr="001A77AA">
        <w:t>2025–26.</w:t>
      </w:r>
      <w:r w:rsidRPr="001A77AA">
        <w:t xml:space="preserve"> However, the FRC did contribute to the strategic priorities and thereby influenced budgets and staffing indirectly.</w:t>
      </w:r>
    </w:p>
    <w:p w14:paraId="1C1E60B6" w14:textId="77777777" w:rsidR="009527A2" w:rsidRPr="001A77AA" w:rsidRDefault="009527A2" w:rsidP="002B7CC0">
      <w:r w:rsidRPr="001A77AA">
        <w:t xml:space="preserve">The FRC continued to encourage alignment of AASB and AUASB plans, projects and activities where practicable and welcomed the ongoing collaboration between </w:t>
      </w:r>
      <w:r w:rsidRPr="001A77AA" w:rsidDel="00D833D9">
        <w:t xml:space="preserve">the </w:t>
      </w:r>
      <w:r w:rsidRPr="001A77AA">
        <w:t xml:space="preserve">boards in </w:t>
      </w:r>
      <w:r w:rsidR="00C74CD2" w:rsidRPr="001A77AA">
        <w:t>2025–26. In particular, the FRC supported the boards to work closely together</w:t>
      </w:r>
      <w:r w:rsidRPr="001A77AA">
        <w:t xml:space="preserve"> to support the implementation of:</w:t>
      </w:r>
    </w:p>
    <w:p w14:paraId="5470ED60" w14:textId="4E6D77D5" w:rsidR="009527A2" w:rsidRPr="001A77AA" w:rsidRDefault="009527A2" w:rsidP="00531C63">
      <w:pPr>
        <w:pStyle w:val="Bullet"/>
      </w:pPr>
      <w:r w:rsidRPr="001A77AA">
        <w:t>AASB S1 General Requirements for Disclosure of Sustainability</w:t>
      </w:r>
      <w:r w:rsidR="009C134F" w:rsidRPr="001A77AA">
        <w:noBreakHyphen/>
      </w:r>
      <w:r w:rsidRPr="001A77AA">
        <w:t>related Financial Information</w:t>
      </w:r>
    </w:p>
    <w:p w14:paraId="0B4F4BC1" w14:textId="4BAF49AC" w:rsidR="009527A2" w:rsidRPr="001A77AA" w:rsidRDefault="009527A2" w:rsidP="00531C63">
      <w:pPr>
        <w:pStyle w:val="Bullet"/>
      </w:pPr>
      <w:r w:rsidRPr="001A77AA">
        <w:t>AASB S2 Climate</w:t>
      </w:r>
      <w:r w:rsidR="009C134F" w:rsidRPr="001A77AA">
        <w:noBreakHyphen/>
      </w:r>
      <w:r w:rsidRPr="001A77AA">
        <w:t>related Disclosures</w:t>
      </w:r>
    </w:p>
    <w:p w14:paraId="7C19D059" w14:textId="77777777" w:rsidR="00C74CD2" w:rsidRPr="001A77AA" w:rsidRDefault="00C74CD2" w:rsidP="00531C63">
      <w:pPr>
        <w:pStyle w:val="Bullet"/>
      </w:pPr>
      <w:r w:rsidRPr="001A77AA">
        <w:t xml:space="preserve">ASSA 5000 </w:t>
      </w:r>
      <w:r w:rsidRPr="000C533D">
        <w:rPr>
          <w:rStyle w:val="BulletChar"/>
        </w:rPr>
        <w:t>General Requirements for Sustainability Assurance</w:t>
      </w:r>
      <w:r w:rsidRPr="001A77AA">
        <w:t> </w:t>
      </w:r>
      <w:r w:rsidRPr="000C533D">
        <w:rPr>
          <w:rStyle w:val="BulletChar"/>
        </w:rPr>
        <w:t>Engagements.</w:t>
      </w:r>
    </w:p>
    <w:p w14:paraId="055AF11A" w14:textId="77777777" w:rsidR="00C74CD2" w:rsidRPr="001A77AA" w:rsidRDefault="00C74CD2" w:rsidP="003B2C42">
      <w:r w:rsidRPr="001A77AA">
        <w:t>The AASB and the AUASB undertook the following activities in 2025–26.</w:t>
      </w:r>
    </w:p>
    <w:p w14:paraId="150B22DE" w14:textId="4CC0AA3E" w:rsidR="009527A2" w:rsidRPr="001A77AA" w:rsidRDefault="009527A2" w:rsidP="000B66A2">
      <w:pPr>
        <w:pStyle w:val="Heading2"/>
        <w:rPr>
          <w:iCs w:val="0"/>
        </w:rPr>
      </w:pPr>
      <w:bookmarkStart w:id="23" w:name="_Toc177124034"/>
      <w:bookmarkStart w:id="24" w:name="_Toc177124859"/>
      <w:bookmarkStart w:id="25" w:name="_Toc241065229"/>
      <w:r w:rsidRPr="001A77AA">
        <w:rPr>
          <w:iCs w:val="0"/>
        </w:rPr>
        <w:t>AASB</w:t>
      </w:r>
      <w:bookmarkEnd w:id="23"/>
      <w:bookmarkEnd w:id="24"/>
      <w:bookmarkEnd w:id="25"/>
    </w:p>
    <w:p w14:paraId="6AD2FF58" w14:textId="36286EA1" w:rsidR="00AC1B28" w:rsidRPr="001A77AA" w:rsidRDefault="00AC1B28" w:rsidP="00251D36">
      <w:pPr>
        <w:pStyle w:val="Bullet"/>
      </w:pPr>
      <w:r w:rsidRPr="001A77AA">
        <w:t>Issued AASB 1061 General Purpose Financial Statements – Not</w:t>
      </w:r>
      <w:r w:rsidR="009C134F" w:rsidRPr="001A77AA">
        <w:noBreakHyphen/>
      </w:r>
      <w:r w:rsidRPr="001A77AA">
        <w:t>for</w:t>
      </w:r>
      <w:r w:rsidR="009C134F" w:rsidRPr="001A77AA">
        <w:noBreakHyphen/>
      </w:r>
      <w:r w:rsidRPr="001A77AA">
        <w:t>Profit Private Sector Tier</w:t>
      </w:r>
      <w:r w:rsidR="0000637E" w:rsidRPr="001A77AA">
        <w:t> </w:t>
      </w:r>
      <w:r w:rsidRPr="001A77AA">
        <w:t>3</w:t>
      </w:r>
      <w:r w:rsidR="0000637E" w:rsidRPr="001A77AA">
        <w:t> </w:t>
      </w:r>
      <w:r w:rsidRPr="001A77AA">
        <w:t>Entities.</w:t>
      </w:r>
    </w:p>
    <w:p w14:paraId="3B9AB700" w14:textId="77777777" w:rsidR="009527A2" w:rsidRPr="001A77AA" w:rsidRDefault="009527A2" w:rsidP="00251D36">
      <w:pPr>
        <w:pStyle w:val="Bullet"/>
      </w:pPr>
      <w:r w:rsidRPr="001A77AA">
        <w:t xml:space="preserve">Issued amendments to </w:t>
      </w:r>
      <w:r w:rsidRPr="00251D36">
        <w:t>Australian</w:t>
      </w:r>
      <w:r w:rsidRPr="001A77AA">
        <w:t xml:space="preserve"> Accounting Standards:</w:t>
      </w:r>
    </w:p>
    <w:p w14:paraId="396B415C" w14:textId="36793197" w:rsidR="00AC1B28" w:rsidRPr="001A77AA" w:rsidRDefault="00AC1B28" w:rsidP="00AC1B28">
      <w:pPr>
        <w:pStyle w:val="Dash"/>
        <w:rPr>
          <w:rFonts w:ascii="Aptos" w:hAnsi="Aptos" w:cs="Calibri Light"/>
          <w:color w:val="auto"/>
        </w:rPr>
      </w:pPr>
      <w:r w:rsidRPr="001A77AA">
        <w:rPr>
          <w:color w:val="auto"/>
        </w:rPr>
        <w:t>AASB 2026</w:t>
      </w:r>
      <w:r w:rsidR="009C134F" w:rsidRPr="001A77AA">
        <w:rPr>
          <w:color w:val="auto"/>
        </w:rPr>
        <w:noBreakHyphen/>
      </w:r>
      <w:r w:rsidRPr="001A77AA">
        <w:rPr>
          <w:color w:val="auto"/>
        </w:rPr>
        <w:t>2</w:t>
      </w:r>
      <w:r w:rsidRPr="001A77AA">
        <w:rPr>
          <w:rFonts w:ascii="Aptos" w:hAnsi="Aptos" w:cs="Calibri Light"/>
          <w:color w:val="auto"/>
        </w:rPr>
        <w:t xml:space="preserve"> </w:t>
      </w:r>
      <w:r w:rsidRPr="001A77AA">
        <w:rPr>
          <w:color w:val="auto"/>
        </w:rPr>
        <w:t>Amendments to Australian Accounting Standards – Extending the Application of the Conceptual Framework and Limiting the Ability of Not</w:t>
      </w:r>
      <w:r w:rsidR="009C134F" w:rsidRPr="001A77AA">
        <w:rPr>
          <w:color w:val="auto"/>
        </w:rPr>
        <w:noBreakHyphen/>
      </w:r>
      <w:r w:rsidRPr="001A77AA">
        <w:rPr>
          <w:color w:val="auto"/>
        </w:rPr>
        <w:t>for</w:t>
      </w:r>
      <w:r w:rsidR="009C134F" w:rsidRPr="001A77AA">
        <w:rPr>
          <w:color w:val="auto"/>
        </w:rPr>
        <w:noBreakHyphen/>
      </w:r>
      <w:r w:rsidRPr="001A77AA">
        <w:rPr>
          <w:color w:val="auto"/>
        </w:rPr>
        <w:t>Profit Entities to Prepare Special Purpose Financial Statements</w:t>
      </w:r>
    </w:p>
    <w:p w14:paraId="62B72F66" w14:textId="0941A06B" w:rsidR="00AC1B28" w:rsidRPr="001A77AA" w:rsidRDefault="00AC1B28" w:rsidP="00AC1B28">
      <w:pPr>
        <w:pStyle w:val="Dash"/>
        <w:rPr>
          <w:color w:val="auto"/>
        </w:rPr>
      </w:pPr>
      <w:r w:rsidRPr="001A77AA">
        <w:rPr>
          <w:color w:val="auto"/>
        </w:rPr>
        <w:t>AASB 2026</w:t>
      </w:r>
      <w:r w:rsidR="009C134F" w:rsidRPr="001A77AA">
        <w:rPr>
          <w:color w:val="auto"/>
        </w:rPr>
        <w:noBreakHyphen/>
      </w:r>
      <w:r w:rsidRPr="001A77AA">
        <w:rPr>
          <w:color w:val="auto"/>
        </w:rPr>
        <w:t>1</w:t>
      </w:r>
      <w:r w:rsidRPr="001A77AA">
        <w:rPr>
          <w:rFonts w:ascii="Aptos" w:hAnsi="Aptos" w:cs="Calibri Light"/>
          <w:color w:val="auto"/>
        </w:rPr>
        <w:t xml:space="preserve"> </w:t>
      </w:r>
      <w:r w:rsidRPr="001A77AA">
        <w:rPr>
          <w:color w:val="auto"/>
        </w:rPr>
        <w:t>Amendments to Australian Accounting Standards – Disclosures about Uncertainties in the Financial Statements</w:t>
      </w:r>
    </w:p>
    <w:p w14:paraId="28A2591D" w14:textId="4DA95011" w:rsidR="00AC1B28" w:rsidRPr="001A77AA" w:rsidRDefault="00AC1B28" w:rsidP="00AC1B28">
      <w:pPr>
        <w:pStyle w:val="Dash"/>
        <w:rPr>
          <w:color w:val="auto"/>
        </w:rPr>
      </w:pPr>
      <w:r w:rsidRPr="001A77AA">
        <w:rPr>
          <w:color w:val="auto"/>
        </w:rPr>
        <w:t>AASB S2025</w:t>
      </w:r>
      <w:r w:rsidR="009C134F" w:rsidRPr="001A77AA">
        <w:rPr>
          <w:color w:val="auto"/>
        </w:rPr>
        <w:noBreakHyphen/>
      </w:r>
      <w:r w:rsidRPr="001A77AA">
        <w:rPr>
          <w:color w:val="auto"/>
        </w:rPr>
        <w:t>1 Amendments to Greenhouse Gas Emissions Disclosures</w:t>
      </w:r>
    </w:p>
    <w:p w14:paraId="77416714" w14:textId="64811556" w:rsidR="00AC1B28" w:rsidRPr="001A77AA" w:rsidRDefault="00AC1B28" w:rsidP="00AC1B28">
      <w:pPr>
        <w:pStyle w:val="Dash"/>
        <w:rPr>
          <w:color w:val="auto"/>
        </w:rPr>
      </w:pPr>
      <w:r w:rsidRPr="001A77AA">
        <w:rPr>
          <w:color w:val="auto"/>
        </w:rPr>
        <w:t>AASB 2025</w:t>
      </w:r>
      <w:r w:rsidR="009C134F" w:rsidRPr="001A77AA">
        <w:rPr>
          <w:color w:val="auto"/>
        </w:rPr>
        <w:noBreakHyphen/>
      </w:r>
      <w:r w:rsidRPr="001A77AA">
        <w:rPr>
          <w:color w:val="auto"/>
        </w:rPr>
        <w:t>4</w:t>
      </w:r>
      <w:r w:rsidRPr="001A77AA">
        <w:rPr>
          <w:rFonts w:ascii="Aptos" w:hAnsi="Aptos" w:cs="Calibri Light"/>
          <w:color w:val="auto"/>
        </w:rPr>
        <w:t xml:space="preserve"> </w:t>
      </w:r>
      <w:r w:rsidRPr="001A77AA">
        <w:rPr>
          <w:color w:val="auto"/>
        </w:rPr>
        <w:t>Amendments to Australian Accounting Standards – Translation to a Hyperinflationary Presentation Currency</w:t>
      </w:r>
    </w:p>
    <w:p w14:paraId="231C574A" w14:textId="13337399" w:rsidR="00AC1B28" w:rsidRPr="001A77AA" w:rsidRDefault="00AC1B28" w:rsidP="00AC1B28">
      <w:pPr>
        <w:pStyle w:val="Dash"/>
        <w:rPr>
          <w:color w:val="auto"/>
        </w:rPr>
      </w:pPr>
      <w:r w:rsidRPr="001A77AA">
        <w:rPr>
          <w:color w:val="auto"/>
        </w:rPr>
        <w:t>AASB 2025</w:t>
      </w:r>
      <w:r w:rsidR="009C134F" w:rsidRPr="001A77AA">
        <w:rPr>
          <w:color w:val="auto"/>
        </w:rPr>
        <w:noBreakHyphen/>
      </w:r>
      <w:r w:rsidRPr="001A77AA">
        <w:rPr>
          <w:color w:val="auto"/>
        </w:rPr>
        <w:t>3</w:t>
      </w:r>
      <w:r w:rsidRPr="001A77AA">
        <w:rPr>
          <w:rFonts w:ascii="Aptos" w:hAnsi="Aptos" w:cs="Calibri Light"/>
          <w:color w:val="auto"/>
        </w:rPr>
        <w:t xml:space="preserve"> </w:t>
      </w:r>
      <w:r w:rsidRPr="001A77AA">
        <w:rPr>
          <w:color w:val="auto"/>
        </w:rPr>
        <w:t>Amendments to Australian Accounting Standards – Contracts Referencing Nature</w:t>
      </w:r>
      <w:r w:rsidR="009C134F" w:rsidRPr="001A77AA">
        <w:rPr>
          <w:color w:val="auto"/>
        </w:rPr>
        <w:noBreakHyphen/>
      </w:r>
      <w:r w:rsidRPr="001A77AA">
        <w:rPr>
          <w:color w:val="auto"/>
        </w:rPr>
        <w:t>dependent Electricity: Tier 2 Disclosures.</w:t>
      </w:r>
    </w:p>
    <w:p w14:paraId="114D7073" w14:textId="77777777" w:rsidR="00AC1B28" w:rsidRPr="001A77AA" w:rsidRDefault="00AC1B28" w:rsidP="00174E43">
      <w:pPr>
        <w:pStyle w:val="Bullet"/>
        <w:keepNext/>
      </w:pPr>
      <w:r w:rsidRPr="001A77AA">
        <w:lastRenderedPageBreak/>
        <w:t>Issued the</w:t>
      </w:r>
      <w:r w:rsidRPr="001A77AA" w:rsidDel="00DC6161">
        <w:t xml:space="preserve"> following </w:t>
      </w:r>
      <w:r w:rsidRPr="001A77AA">
        <w:t>exposure drafts: </w:t>
      </w:r>
    </w:p>
    <w:p w14:paraId="62DFB8F4" w14:textId="77777777" w:rsidR="00AC1B28" w:rsidRPr="001A77AA" w:rsidRDefault="00AC1B28" w:rsidP="00174E43">
      <w:pPr>
        <w:pStyle w:val="Dash"/>
        <w:keepNext/>
        <w:rPr>
          <w:rFonts w:ascii="Aptos" w:hAnsi="Aptos" w:cs="Calibri Light"/>
          <w:color w:val="auto"/>
        </w:rPr>
      </w:pPr>
      <w:r w:rsidRPr="001A77AA">
        <w:rPr>
          <w:color w:val="auto"/>
        </w:rPr>
        <w:t>ED 341 Updating AASB 1060 to Align the Classification and Presentation Requirements with AASB 18</w:t>
      </w:r>
    </w:p>
    <w:p w14:paraId="3BC745ED" w14:textId="77777777" w:rsidR="00AC1B28" w:rsidRPr="001A77AA" w:rsidRDefault="00AC1B28" w:rsidP="00AC1B28">
      <w:pPr>
        <w:pStyle w:val="Dash"/>
        <w:rPr>
          <w:rFonts w:ascii="Aptos" w:hAnsi="Aptos" w:cs="Calibri Light"/>
          <w:color w:val="auto"/>
        </w:rPr>
      </w:pPr>
      <w:r w:rsidRPr="001A77AA">
        <w:rPr>
          <w:color w:val="auto"/>
        </w:rPr>
        <w:t>ED 340</w:t>
      </w:r>
      <w:r w:rsidRPr="001A77AA">
        <w:rPr>
          <w:rFonts w:ascii="Aptos" w:hAnsi="Aptos" w:cs="Calibri Light"/>
          <w:color w:val="auto"/>
        </w:rPr>
        <w:t xml:space="preserve"> </w:t>
      </w:r>
      <w:r w:rsidRPr="001A77AA">
        <w:rPr>
          <w:color w:val="auto"/>
        </w:rPr>
        <w:t>Amendments to the Fair Value Option for Investments in Associates and Joint Ventures</w:t>
      </w:r>
    </w:p>
    <w:p w14:paraId="66D27468" w14:textId="77777777" w:rsidR="00AC1B28" w:rsidRPr="001A77AA" w:rsidRDefault="00AC1B28" w:rsidP="00AC1B28">
      <w:pPr>
        <w:pStyle w:val="Dash"/>
        <w:rPr>
          <w:rFonts w:ascii="Aptos" w:hAnsi="Aptos" w:cs="Calibri Light"/>
          <w:color w:val="auto"/>
        </w:rPr>
      </w:pPr>
      <w:r w:rsidRPr="001A77AA">
        <w:rPr>
          <w:color w:val="auto"/>
        </w:rPr>
        <w:t>ED 339</w:t>
      </w:r>
      <w:r w:rsidRPr="001A77AA">
        <w:rPr>
          <w:rFonts w:ascii="Aptos" w:hAnsi="Aptos" w:cs="Calibri Light"/>
          <w:color w:val="auto"/>
        </w:rPr>
        <w:t xml:space="preserve"> </w:t>
      </w:r>
      <w:r w:rsidRPr="001A77AA">
        <w:rPr>
          <w:color w:val="auto"/>
        </w:rPr>
        <w:t>Risk Mitigation Accounting</w:t>
      </w:r>
    </w:p>
    <w:p w14:paraId="32C8956B" w14:textId="1D30364B" w:rsidR="00AC1B28" w:rsidRPr="001A77AA" w:rsidRDefault="00AC1B28" w:rsidP="00AC1B28">
      <w:pPr>
        <w:pStyle w:val="Dash"/>
        <w:rPr>
          <w:rFonts w:ascii="Aptos" w:hAnsi="Aptos" w:cs="Calibri Light"/>
          <w:color w:val="auto"/>
        </w:rPr>
      </w:pPr>
      <w:r w:rsidRPr="001A77AA">
        <w:rPr>
          <w:color w:val="auto"/>
        </w:rPr>
        <w:t>ED 338</w:t>
      </w:r>
      <w:r w:rsidRPr="001A77AA">
        <w:rPr>
          <w:rFonts w:ascii="Aptos" w:hAnsi="Aptos" w:cs="Calibri Light"/>
          <w:color w:val="auto"/>
        </w:rPr>
        <w:t xml:space="preserve"> </w:t>
      </w:r>
      <w:r w:rsidRPr="001A77AA">
        <w:rPr>
          <w:color w:val="auto"/>
        </w:rPr>
        <w:t>Application of AASB 18 and AASB 107 by Superannuation and Not</w:t>
      </w:r>
      <w:r w:rsidR="009C134F" w:rsidRPr="001A77AA">
        <w:rPr>
          <w:color w:val="auto"/>
        </w:rPr>
        <w:noBreakHyphen/>
      </w:r>
      <w:r w:rsidRPr="001A77AA">
        <w:rPr>
          <w:color w:val="auto"/>
        </w:rPr>
        <w:t>for</w:t>
      </w:r>
      <w:r w:rsidR="009C134F" w:rsidRPr="001A77AA">
        <w:rPr>
          <w:color w:val="auto"/>
        </w:rPr>
        <w:noBreakHyphen/>
      </w:r>
      <w:r w:rsidRPr="001A77AA">
        <w:rPr>
          <w:color w:val="auto"/>
        </w:rPr>
        <w:t>Profit Entities and Operating Cash Flow Reconciliation.</w:t>
      </w:r>
    </w:p>
    <w:p w14:paraId="54190954" w14:textId="77777777" w:rsidR="00AC1B28" w:rsidRPr="001A77AA" w:rsidRDefault="00AC1B28" w:rsidP="00531C63">
      <w:pPr>
        <w:pStyle w:val="Bullet"/>
      </w:pPr>
      <w:r w:rsidRPr="001A77AA">
        <w:t>Issued the</w:t>
      </w:r>
      <w:r w:rsidRPr="001A77AA" w:rsidDel="00DC6161">
        <w:t xml:space="preserve"> following </w:t>
      </w:r>
      <w:r w:rsidRPr="001A77AA">
        <w:t>invitation to comment: </w:t>
      </w:r>
    </w:p>
    <w:p w14:paraId="5F87C517" w14:textId="445FA211" w:rsidR="00AC1B28" w:rsidRPr="001A77AA" w:rsidRDefault="00AC1B28" w:rsidP="00AC1B28">
      <w:pPr>
        <w:pStyle w:val="Dash"/>
        <w:rPr>
          <w:rFonts w:ascii="Aptos" w:hAnsi="Aptos" w:cs="Calibri Light"/>
          <w:color w:val="auto"/>
        </w:rPr>
      </w:pPr>
      <w:r w:rsidRPr="001A77AA">
        <w:rPr>
          <w:color w:val="auto"/>
        </w:rPr>
        <w:t>ITC 57 AASB 2027</w:t>
      </w:r>
      <w:r w:rsidR="00372380" w:rsidRPr="001A77AA">
        <w:rPr>
          <w:color w:val="auto"/>
        </w:rPr>
        <w:t>–</w:t>
      </w:r>
      <w:r w:rsidRPr="001A77AA">
        <w:rPr>
          <w:color w:val="auto"/>
        </w:rPr>
        <w:t>2031 Agenda Consultation</w:t>
      </w:r>
    </w:p>
    <w:p w14:paraId="76A0DA92" w14:textId="799314EA" w:rsidR="00AC1B28" w:rsidRPr="001A77AA" w:rsidRDefault="00AC1B28" w:rsidP="00AC1B28">
      <w:pPr>
        <w:pStyle w:val="Dash"/>
        <w:rPr>
          <w:rFonts w:ascii="Aptos" w:hAnsi="Aptos" w:cs="Calibri Light"/>
          <w:color w:val="auto"/>
        </w:rPr>
      </w:pPr>
      <w:r w:rsidRPr="001A77AA">
        <w:rPr>
          <w:color w:val="auto"/>
        </w:rPr>
        <w:t>ITC 56 Post</w:t>
      </w:r>
      <w:r w:rsidR="009C134F" w:rsidRPr="001A77AA">
        <w:rPr>
          <w:color w:val="auto"/>
        </w:rPr>
        <w:noBreakHyphen/>
      </w:r>
      <w:r w:rsidRPr="001A77AA">
        <w:rPr>
          <w:color w:val="auto"/>
        </w:rPr>
        <w:t>implementation Review of Tier 2 and the Removal of Special Purpose Financial Statements for Certain For</w:t>
      </w:r>
      <w:r w:rsidR="009C134F" w:rsidRPr="001A77AA">
        <w:rPr>
          <w:color w:val="auto"/>
        </w:rPr>
        <w:noBreakHyphen/>
      </w:r>
      <w:r w:rsidRPr="001A77AA">
        <w:rPr>
          <w:color w:val="auto"/>
        </w:rPr>
        <w:t>Profit Private Sector Entities and Further Update of Tier 2.</w:t>
      </w:r>
    </w:p>
    <w:p w14:paraId="13EDFD5E" w14:textId="14B185F8" w:rsidR="009527A2" w:rsidRPr="001A77AA" w:rsidRDefault="009527A2" w:rsidP="00531C63">
      <w:pPr>
        <w:pStyle w:val="Bullet"/>
      </w:pPr>
      <w:r w:rsidRPr="001A77AA">
        <w:t xml:space="preserve">Engaged in the </w:t>
      </w:r>
      <w:r w:rsidRPr="001A77AA" w:rsidDel="00DC6161">
        <w:t xml:space="preserve">following </w:t>
      </w:r>
      <w:r w:rsidRPr="001A77AA">
        <w:t>Post</w:t>
      </w:r>
      <w:r w:rsidR="009C134F" w:rsidRPr="001A77AA">
        <w:noBreakHyphen/>
      </w:r>
      <w:r w:rsidRPr="001A77AA">
        <w:t>implementation Review (PIR) activities</w:t>
      </w:r>
      <w:r w:rsidR="005257DE" w:rsidRPr="001A77AA">
        <w:t>:</w:t>
      </w:r>
    </w:p>
    <w:p w14:paraId="2C1DA909" w14:textId="0C722CD3" w:rsidR="00AC1B28" w:rsidRPr="001A77AA" w:rsidRDefault="000F20B4" w:rsidP="00AC1B28">
      <w:pPr>
        <w:pStyle w:val="Dash"/>
        <w:rPr>
          <w:color w:val="auto"/>
        </w:rPr>
      </w:pPr>
      <w:r>
        <w:rPr>
          <w:color w:val="auto"/>
        </w:rPr>
        <w:t>c</w:t>
      </w:r>
      <w:r w:rsidRPr="001A77AA">
        <w:rPr>
          <w:color w:val="auto"/>
        </w:rPr>
        <w:t>ontinued</w:t>
      </w:r>
      <w:r w:rsidR="00AC1B28" w:rsidRPr="001A77AA">
        <w:rPr>
          <w:color w:val="auto"/>
        </w:rPr>
        <w:t xml:space="preserve"> working on the PIR of AASB 1060</w:t>
      </w:r>
      <w:r w:rsidR="00AC1B28" w:rsidRPr="001A77AA">
        <w:rPr>
          <w:rFonts w:ascii="Aptos" w:hAnsi="Aptos" w:cs="Calibri Light"/>
          <w:color w:val="auto"/>
        </w:rPr>
        <w:t xml:space="preserve"> </w:t>
      </w:r>
      <w:r w:rsidR="00AC1B28" w:rsidRPr="001A77AA">
        <w:rPr>
          <w:color w:val="auto"/>
        </w:rPr>
        <w:t>General Purpose Financial Statements – Simplified</w:t>
      </w:r>
      <w:r w:rsidR="009B2E62">
        <w:rPr>
          <w:color w:val="auto"/>
        </w:rPr>
        <w:t> </w:t>
      </w:r>
      <w:r w:rsidR="00AC1B28" w:rsidRPr="001A77AA">
        <w:rPr>
          <w:color w:val="auto"/>
        </w:rPr>
        <w:t xml:space="preserve">Disclosures for </w:t>
      </w:r>
      <w:proofErr w:type="gramStart"/>
      <w:r w:rsidR="00AC1B28" w:rsidRPr="001A77AA">
        <w:rPr>
          <w:color w:val="auto"/>
        </w:rPr>
        <w:t>For</w:t>
      </w:r>
      <w:proofErr w:type="gramEnd"/>
      <w:r w:rsidR="009C134F" w:rsidRPr="001A77AA">
        <w:rPr>
          <w:color w:val="auto"/>
        </w:rPr>
        <w:noBreakHyphen/>
      </w:r>
      <w:r w:rsidR="00AC1B28" w:rsidRPr="001A77AA">
        <w:rPr>
          <w:color w:val="auto"/>
        </w:rPr>
        <w:t>Profit and Not</w:t>
      </w:r>
      <w:r w:rsidR="009C134F" w:rsidRPr="001A77AA">
        <w:rPr>
          <w:color w:val="auto"/>
        </w:rPr>
        <w:noBreakHyphen/>
      </w:r>
      <w:r w:rsidR="00AC1B28" w:rsidRPr="001A77AA">
        <w:rPr>
          <w:color w:val="auto"/>
        </w:rPr>
        <w:t>for</w:t>
      </w:r>
      <w:r w:rsidR="009C134F" w:rsidRPr="001A77AA">
        <w:rPr>
          <w:color w:val="auto"/>
        </w:rPr>
        <w:noBreakHyphen/>
      </w:r>
      <w:r w:rsidR="00AC1B28" w:rsidRPr="001A77AA">
        <w:rPr>
          <w:color w:val="auto"/>
        </w:rPr>
        <w:t>Profit Tier 2 Entities and AASB 2020</w:t>
      </w:r>
      <w:r w:rsidR="009C134F" w:rsidRPr="001A77AA">
        <w:rPr>
          <w:color w:val="auto"/>
        </w:rPr>
        <w:noBreakHyphen/>
      </w:r>
      <w:r w:rsidR="00AC1B28" w:rsidRPr="001A77AA">
        <w:rPr>
          <w:color w:val="auto"/>
        </w:rPr>
        <w:t>2 Removal</w:t>
      </w:r>
      <w:r w:rsidR="009B2E62">
        <w:rPr>
          <w:color w:val="auto"/>
        </w:rPr>
        <w:t> </w:t>
      </w:r>
      <w:r w:rsidR="00AC1B28" w:rsidRPr="001A77AA">
        <w:rPr>
          <w:color w:val="auto"/>
        </w:rPr>
        <w:t>of Special Purpose Financial Statements for Certain For</w:t>
      </w:r>
      <w:r w:rsidR="009C134F" w:rsidRPr="001A77AA">
        <w:rPr>
          <w:color w:val="auto"/>
        </w:rPr>
        <w:noBreakHyphen/>
      </w:r>
      <w:r w:rsidR="00AC1B28" w:rsidRPr="001A77AA">
        <w:rPr>
          <w:color w:val="auto"/>
        </w:rPr>
        <w:t>Profit Private Sector Entities (ITC</w:t>
      </w:r>
      <w:r w:rsidR="009B2E62">
        <w:rPr>
          <w:color w:val="auto"/>
        </w:rPr>
        <w:t> </w:t>
      </w:r>
      <w:r w:rsidR="00AC1B28" w:rsidRPr="001A77AA">
        <w:rPr>
          <w:color w:val="auto"/>
        </w:rPr>
        <w:t>56</w:t>
      </w:r>
      <w:r w:rsidR="009B2E62">
        <w:rPr>
          <w:color w:val="auto"/>
        </w:rPr>
        <w:t> </w:t>
      </w:r>
      <w:r w:rsidR="00AC1B28" w:rsidRPr="001A77AA">
        <w:rPr>
          <w:color w:val="auto"/>
        </w:rPr>
        <w:t>Post</w:t>
      </w:r>
      <w:r w:rsidR="009C134F" w:rsidRPr="001A77AA">
        <w:rPr>
          <w:color w:val="auto"/>
        </w:rPr>
        <w:noBreakHyphen/>
      </w:r>
      <w:r w:rsidR="00AC1B28" w:rsidRPr="001A77AA">
        <w:rPr>
          <w:color w:val="auto"/>
        </w:rPr>
        <w:t>implementation Review of Tier 2 and the Removal of Special Purpose Financial Statements for Certain For</w:t>
      </w:r>
      <w:r w:rsidR="009C134F" w:rsidRPr="001A77AA">
        <w:rPr>
          <w:color w:val="auto"/>
        </w:rPr>
        <w:noBreakHyphen/>
      </w:r>
      <w:r w:rsidR="00AC1B28" w:rsidRPr="001A77AA">
        <w:rPr>
          <w:color w:val="auto"/>
        </w:rPr>
        <w:t>Profit Private Sector Entities and Further Update of Tier 2)</w:t>
      </w:r>
    </w:p>
    <w:p w14:paraId="08EA865B" w14:textId="79D22352" w:rsidR="00AC1B28" w:rsidRPr="001A77AA" w:rsidRDefault="000F20B4" w:rsidP="00AC1B28">
      <w:pPr>
        <w:pStyle w:val="Dash"/>
        <w:rPr>
          <w:rFonts w:ascii="Aptos" w:hAnsi="Aptos" w:cs="Calibri Light"/>
          <w:color w:val="auto"/>
        </w:rPr>
      </w:pPr>
      <w:r>
        <w:rPr>
          <w:color w:val="auto"/>
        </w:rPr>
        <w:t>c</w:t>
      </w:r>
      <w:r w:rsidRPr="001A77AA">
        <w:rPr>
          <w:color w:val="auto"/>
        </w:rPr>
        <w:t>ontinued</w:t>
      </w:r>
      <w:r w:rsidR="00AC1B28" w:rsidRPr="001A77AA">
        <w:rPr>
          <w:color w:val="auto"/>
        </w:rPr>
        <w:t xml:space="preserve"> working on the PIR of the Leases Standard (ITC 55 PIR of AASB 16 Leases covering the IASB</w:t>
      </w:r>
      <w:r w:rsidR="009C134F" w:rsidRPr="001A77AA">
        <w:rPr>
          <w:color w:val="auto"/>
        </w:rPr>
        <w:t>’</w:t>
      </w:r>
      <w:r w:rsidR="00AC1B28" w:rsidRPr="001A77AA">
        <w:rPr>
          <w:color w:val="auto"/>
        </w:rPr>
        <w:t>s IFRS 16 PIR for for</w:t>
      </w:r>
      <w:r w:rsidR="009C134F" w:rsidRPr="001A77AA">
        <w:rPr>
          <w:color w:val="auto"/>
        </w:rPr>
        <w:noBreakHyphen/>
      </w:r>
      <w:r w:rsidR="00AC1B28" w:rsidRPr="001A77AA">
        <w:rPr>
          <w:color w:val="auto"/>
        </w:rPr>
        <w:t>profit private sector entities and the</w:t>
      </w:r>
      <w:r w:rsidR="00AC1B28" w:rsidRPr="001A77AA">
        <w:rPr>
          <w:rFonts w:ascii="Aptos" w:hAnsi="Aptos" w:cs="Calibri Light"/>
          <w:color w:val="auto"/>
        </w:rPr>
        <w:t xml:space="preserve"> </w:t>
      </w:r>
      <w:r w:rsidR="00AC1B28" w:rsidRPr="001A77AA">
        <w:rPr>
          <w:color w:val="auto"/>
        </w:rPr>
        <w:t>AASB</w:t>
      </w:r>
      <w:r w:rsidR="009C134F" w:rsidRPr="001A77AA">
        <w:rPr>
          <w:color w:val="auto"/>
        </w:rPr>
        <w:t>’</w:t>
      </w:r>
      <w:r w:rsidR="00AC1B28" w:rsidRPr="001A77AA">
        <w:rPr>
          <w:color w:val="auto"/>
        </w:rPr>
        <w:t>s domestic PIR of AASB 16 for not</w:t>
      </w:r>
      <w:r w:rsidR="009C134F" w:rsidRPr="001A77AA">
        <w:rPr>
          <w:color w:val="auto"/>
        </w:rPr>
        <w:noBreakHyphen/>
      </w:r>
      <w:r w:rsidR="00AC1B28" w:rsidRPr="001A77AA">
        <w:rPr>
          <w:color w:val="auto"/>
        </w:rPr>
        <w:t>for</w:t>
      </w:r>
      <w:r w:rsidR="009C134F" w:rsidRPr="001A77AA">
        <w:rPr>
          <w:color w:val="auto"/>
        </w:rPr>
        <w:noBreakHyphen/>
      </w:r>
      <w:r w:rsidR="00AC1B28" w:rsidRPr="001A77AA">
        <w:rPr>
          <w:color w:val="auto"/>
        </w:rPr>
        <w:t>profit and public sector entities)</w:t>
      </w:r>
    </w:p>
    <w:p w14:paraId="2830FA7F" w14:textId="180D647A" w:rsidR="00AC1B28" w:rsidRPr="001A77AA" w:rsidRDefault="000F20B4" w:rsidP="00AC1B28">
      <w:pPr>
        <w:pStyle w:val="Dash"/>
        <w:rPr>
          <w:rFonts w:ascii="Aptos" w:hAnsi="Aptos" w:cs="Calibri Light"/>
          <w:color w:val="auto"/>
        </w:rPr>
      </w:pPr>
      <w:r>
        <w:rPr>
          <w:rFonts w:cs="Calibri Light"/>
          <w:color w:val="auto"/>
        </w:rPr>
        <w:t>c</w:t>
      </w:r>
      <w:r w:rsidRPr="001A77AA">
        <w:rPr>
          <w:rFonts w:cs="Calibri Light"/>
          <w:color w:val="auto"/>
        </w:rPr>
        <w:t>ompleted</w:t>
      </w:r>
      <w:r w:rsidR="00AC1B28" w:rsidRPr="001A77AA">
        <w:rPr>
          <w:rFonts w:cs="Calibri Light"/>
          <w:color w:val="auto"/>
        </w:rPr>
        <w:t xml:space="preserve"> </w:t>
      </w:r>
      <w:r w:rsidR="00AC1B28" w:rsidRPr="001A77AA">
        <w:rPr>
          <w:color w:val="auto"/>
        </w:rPr>
        <w:t>the PIR of certain not</w:t>
      </w:r>
      <w:r w:rsidR="009C134F" w:rsidRPr="001A77AA">
        <w:rPr>
          <w:color w:val="auto"/>
        </w:rPr>
        <w:noBreakHyphen/>
      </w:r>
      <w:r w:rsidR="00AC1B28" w:rsidRPr="001A77AA">
        <w:rPr>
          <w:color w:val="auto"/>
        </w:rPr>
        <w:t>for</w:t>
      </w:r>
      <w:r w:rsidR="009C134F" w:rsidRPr="001A77AA">
        <w:rPr>
          <w:color w:val="auto"/>
        </w:rPr>
        <w:noBreakHyphen/>
      </w:r>
      <w:r w:rsidR="00AC1B28" w:rsidRPr="001A77AA">
        <w:rPr>
          <w:color w:val="auto"/>
        </w:rPr>
        <w:t>profit topics (ITC 51</w:t>
      </w:r>
      <w:r w:rsidR="00AC1B28" w:rsidRPr="001A77AA">
        <w:rPr>
          <w:rFonts w:ascii="Aptos" w:hAnsi="Aptos" w:cs="Calibri Light"/>
          <w:color w:val="auto"/>
        </w:rPr>
        <w:t xml:space="preserve"> </w:t>
      </w:r>
      <w:r w:rsidR="00AC1B28" w:rsidRPr="001A77AA">
        <w:rPr>
          <w:color w:val="auto"/>
        </w:rPr>
        <w:t>Post</w:t>
      </w:r>
      <w:r w:rsidR="009C134F" w:rsidRPr="001A77AA">
        <w:rPr>
          <w:color w:val="auto"/>
        </w:rPr>
        <w:noBreakHyphen/>
      </w:r>
      <w:r w:rsidR="00AC1B28" w:rsidRPr="001A77AA">
        <w:rPr>
          <w:color w:val="auto"/>
        </w:rPr>
        <w:t>implementation Review of Not</w:t>
      </w:r>
      <w:r w:rsidR="009C134F" w:rsidRPr="001A77AA">
        <w:rPr>
          <w:color w:val="auto"/>
        </w:rPr>
        <w:noBreakHyphen/>
      </w:r>
      <w:r w:rsidR="00AC1B28" w:rsidRPr="001A77AA">
        <w:rPr>
          <w:color w:val="auto"/>
        </w:rPr>
        <w:t>for</w:t>
      </w:r>
      <w:r w:rsidR="009C134F" w:rsidRPr="001A77AA">
        <w:rPr>
          <w:color w:val="auto"/>
        </w:rPr>
        <w:noBreakHyphen/>
      </w:r>
      <w:r w:rsidR="00AC1B28" w:rsidRPr="001A77AA">
        <w:rPr>
          <w:color w:val="auto"/>
        </w:rPr>
        <w:t>Profit Topics – Control, Structured Entities, Related Party Disclosures and Basis of Preparation of Special Purpose Financial Statements)</w:t>
      </w:r>
    </w:p>
    <w:p w14:paraId="7A069EC5" w14:textId="7F244522" w:rsidR="00AC1B28" w:rsidRPr="001A77AA" w:rsidRDefault="000F20B4" w:rsidP="00AC1B28">
      <w:pPr>
        <w:pStyle w:val="Dash"/>
        <w:rPr>
          <w:color w:val="auto"/>
        </w:rPr>
      </w:pPr>
      <w:r>
        <w:rPr>
          <w:color w:val="auto"/>
        </w:rPr>
        <w:t>c</w:t>
      </w:r>
      <w:r w:rsidRPr="001A77AA">
        <w:rPr>
          <w:color w:val="auto"/>
        </w:rPr>
        <w:t>ontinued</w:t>
      </w:r>
      <w:r w:rsidR="00AC1B28" w:rsidRPr="001A77AA">
        <w:rPr>
          <w:color w:val="auto"/>
        </w:rPr>
        <w:t xml:space="preserve"> working on the PIR of AASB 1059 Service Concession Arrangements: Grantor (ITC</w:t>
      </w:r>
      <w:r w:rsidR="000B6784" w:rsidRPr="001A77AA">
        <w:rPr>
          <w:color w:val="auto"/>
        </w:rPr>
        <w:t> </w:t>
      </w:r>
      <w:r w:rsidR="00AC1B28" w:rsidRPr="001A77AA">
        <w:rPr>
          <w:color w:val="auto"/>
        </w:rPr>
        <w:t>49</w:t>
      </w:r>
      <w:r w:rsidR="009B2E62">
        <w:rPr>
          <w:rFonts w:ascii="Aptos" w:hAnsi="Aptos" w:cs="Calibri Light"/>
          <w:color w:val="auto"/>
        </w:rPr>
        <w:t> </w:t>
      </w:r>
      <w:r w:rsidR="00AC1B28" w:rsidRPr="001A77AA">
        <w:rPr>
          <w:color w:val="auto"/>
        </w:rPr>
        <w:t>Post</w:t>
      </w:r>
      <w:r w:rsidR="009C134F" w:rsidRPr="001A77AA">
        <w:rPr>
          <w:color w:val="auto"/>
        </w:rPr>
        <w:noBreakHyphen/>
      </w:r>
      <w:r w:rsidR="00AC1B28" w:rsidRPr="001A77AA">
        <w:rPr>
          <w:color w:val="auto"/>
        </w:rPr>
        <w:t>implementation Review of AASB 1059 Service Concession Arrangements: Grantors).</w:t>
      </w:r>
    </w:p>
    <w:p w14:paraId="6B05D417" w14:textId="77777777" w:rsidR="009527A2" w:rsidRPr="001A77AA" w:rsidRDefault="009527A2" w:rsidP="00531C63">
      <w:pPr>
        <w:pStyle w:val="Bullet"/>
      </w:pPr>
      <w:r w:rsidRPr="001A77AA">
        <w:t>Released the</w:t>
      </w:r>
      <w:r w:rsidRPr="001A77AA" w:rsidDel="00DC6161">
        <w:t xml:space="preserve"> following </w:t>
      </w:r>
      <w:r w:rsidRPr="001A77AA">
        <w:t>Research Reports: </w:t>
      </w:r>
    </w:p>
    <w:p w14:paraId="59A65F2E" w14:textId="23D94C01" w:rsidR="00AC1B28" w:rsidRPr="00174E43" w:rsidRDefault="00AC1B28" w:rsidP="00AC1B28">
      <w:pPr>
        <w:pStyle w:val="Dash"/>
        <w:rPr>
          <w:rFonts w:ascii="Aptos" w:hAnsi="Aptos" w:cs="Calibri Light"/>
          <w:color w:val="auto"/>
          <w:spacing w:val="-2"/>
        </w:rPr>
      </w:pPr>
      <w:r w:rsidRPr="00174E43">
        <w:rPr>
          <w:color w:val="auto"/>
          <w:spacing w:val="-2"/>
        </w:rPr>
        <w:t>AASB</w:t>
      </w:r>
      <w:r w:rsidR="009C134F" w:rsidRPr="00174E43">
        <w:rPr>
          <w:color w:val="auto"/>
          <w:spacing w:val="-2"/>
        </w:rPr>
        <w:noBreakHyphen/>
      </w:r>
      <w:r w:rsidRPr="00174E43">
        <w:rPr>
          <w:color w:val="auto"/>
          <w:spacing w:val="-2"/>
        </w:rPr>
        <w:t>KSSB (Korea Sustainability Standards Board) Joint Research Report</w:t>
      </w:r>
      <w:r w:rsidRPr="00174E43">
        <w:rPr>
          <w:rFonts w:ascii="Aptos" w:hAnsi="Aptos" w:cs="Calibri Light"/>
          <w:color w:val="auto"/>
          <w:spacing w:val="-2"/>
        </w:rPr>
        <w:t xml:space="preserve"> </w:t>
      </w:r>
      <w:r w:rsidR="004246A7" w:rsidRPr="00174E43">
        <w:rPr>
          <w:color w:val="auto"/>
          <w:spacing w:val="-2"/>
        </w:rPr>
        <w:t xml:space="preserve">Biodiversity, Ecosystems </w:t>
      </w:r>
      <w:r w:rsidR="004246A7" w:rsidRPr="00174E43">
        <w:rPr>
          <w:color w:val="auto"/>
          <w:spacing w:val="-1"/>
        </w:rPr>
        <w:t>and Ecosystem Services (BEES) Disclosure Practices: Observations in Australia and Korea (2025)</w:t>
      </w:r>
    </w:p>
    <w:p w14:paraId="5E9E460B" w14:textId="4D0E8D11" w:rsidR="00AC1B28" w:rsidRPr="001A77AA" w:rsidRDefault="00AC1B28" w:rsidP="00AC1B28">
      <w:pPr>
        <w:pStyle w:val="Dash"/>
        <w:rPr>
          <w:color w:val="auto"/>
        </w:rPr>
      </w:pPr>
      <w:r w:rsidRPr="001A77AA">
        <w:rPr>
          <w:color w:val="auto"/>
        </w:rPr>
        <w:t>Research Report 25</w:t>
      </w:r>
      <w:r w:rsidRPr="001A77AA">
        <w:rPr>
          <w:rFonts w:ascii="Aptos" w:hAnsi="Aptos" w:cs="Calibri Light"/>
          <w:color w:val="auto"/>
        </w:rPr>
        <w:t xml:space="preserve"> </w:t>
      </w:r>
      <w:r w:rsidR="004246A7" w:rsidRPr="000C533D">
        <w:rPr>
          <w:color w:val="auto"/>
        </w:rPr>
        <w:t>Statement of Cash Flows and Related Matters (2025)</w:t>
      </w:r>
    </w:p>
    <w:p w14:paraId="43EB6A58" w14:textId="72CB3D4C" w:rsidR="000B6784" w:rsidRPr="001A77AA" w:rsidRDefault="00AC1B28" w:rsidP="00AC1B28">
      <w:pPr>
        <w:pStyle w:val="Dash"/>
        <w:rPr>
          <w:color w:val="auto"/>
        </w:rPr>
      </w:pPr>
      <w:r w:rsidRPr="001A77AA">
        <w:rPr>
          <w:color w:val="auto"/>
        </w:rPr>
        <w:t>AASB</w:t>
      </w:r>
      <w:r w:rsidR="009C134F" w:rsidRPr="001A77AA">
        <w:rPr>
          <w:color w:val="auto"/>
        </w:rPr>
        <w:noBreakHyphen/>
      </w:r>
      <w:r w:rsidRPr="001A77AA">
        <w:rPr>
          <w:color w:val="auto"/>
        </w:rPr>
        <w:t xml:space="preserve">AUASB Joint Research Report in collaboration with </w:t>
      </w:r>
      <w:r w:rsidR="003F4D07">
        <w:rPr>
          <w:color w:val="auto"/>
        </w:rPr>
        <w:t xml:space="preserve">Chartered Accountants Australia </w:t>
      </w:r>
      <w:r w:rsidR="00D23A52">
        <w:rPr>
          <w:color w:val="auto"/>
        </w:rPr>
        <w:t>and</w:t>
      </w:r>
      <w:r w:rsidR="004A7A8E">
        <w:rPr>
          <w:color w:val="auto"/>
        </w:rPr>
        <w:t> </w:t>
      </w:r>
      <w:r w:rsidR="003F4D07">
        <w:rPr>
          <w:color w:val="auto"/>
        </w:rPr>
        <w:t>New Zealand (</w:t>
      </w:r>
      <w:r w:rsidRPr="001A77AA">
        <w:rPr>
          <w:color w:val="auto"/>
        </w:rPr>
        <w:t>CA ANZ</w:t>
      </w:r>
      <w:r w:rsidR="003F4D07">
        <w:rPr>
          <w:color w:val="auto"/>
        </w:rPr>
        <w:t>)</w:t>
      </w:r>
      <w:r w:rsidRPr="001A77AA">
        <w:rPr>
          <w:color w:val="auto"/>
        </w:rPr>
        <w:t xml:space="preserve"> </w:t>
      </w:r>
      <w:r w:rsidR="004246A7" w:rsidRPr="000C533D">
        <w:rPr>
          <w:color w:val="auto"/>
        </w:rPr>
        <w:t>Preparedness of ASX</w:t>
      </w:r>
      <w:r w:rsidR="004246A7" w:rsidRPr="000C533D">
        <w:rPr>
          <w:color w:val="auto"/>
        </w:rPr>
        <w:noBreakHyphen/>
        <w:t>listed entities for climate</w:t>
      </w:r>
      <w:r w:rsidR="004246A7" w:rsidRPr="000C533D">
        <w:rPr>
          <w:color w:val="auto"/>
        </w:rPr>
        <w:noBreakHyphen/>
        <w:t>related reporting and</w:t>
      </w:r>
      <w:r w:rsidR="008C6F05">
        <w:rPr>
          <w:color w:val="auto"/>
        </w:rPr>
        <w:t> </w:t>
      </w:r>
      <w:r w:rsidR="004246A7" w:rsidRPr="000C533D">
        <w:rPr>
          <w:color w:val="auto"/>
        </w:rPr>
        <w:t>assurance requirements (2025)</w:t>
      </w:r>
      <w:r w:rsidRPr="001A77AA">
        <w:rPr>
          <w:color w:val="auto"/>
        </w:rPr>
        <w:t>.</w:t>
      </w:r>
    </w:p>
    <w:p w14:paraId="782EEF04" w14:textId="77777777" w:rsidR="00AC1B28" w:rsidRPr="001A77AA" w:rsidRDefault="00AC1B28" w:rsidP="00531C63">
      <w:pPr>
        <w:pStyle w:val="Bullet"/>
      </w:pPr>
      <w:r w:rsidRPr="001A77AA">
        <w:t>Made the</w:t>
      </w:r>
      <w:r w:rsidRPr="001A77AA" w:rsidDel="00DC6161">
        <w:t xml:space="preserve"> following </w:t>
      </w:r>
      <w:r w:rsidRPr="001A77AA">
        <w:t>submissions:</w:t>
      </w:r>
    </w:p>
    <w:p w14:paraId="3B947798" w14:textId="6025F983" w:rsidR="00AC1B28" w:rsidRPr="001A77AA" w:rsidRDefault="00AC1B28" w:rsidP="00AC1B28">
      <w:pPr>
        <w:pStyle w:val="Dash"/>
        <w:rPr>
          <w:color w:val="auto"/>
        </w:rPr>
      </w:pPr>
      <w:r w:rsidRPr="001A77AA">
        <w:rPr>
          <w:color w:val="auto"/>
        </w:rPr>
        <w:t xml:space="preserve">AASB submission on </w:t>
      </w:r>
      <w:r w:rsidR="006F3F38">
        <w:rPr>
          <w:color w:val="auto"/>
        </w:rPr>
        <w:t xml:space="preserve">the </w:t>
      </w:r>
      <w:r w:rsidR="006F3F38" w:rsidRPr="006F3F38">
        <w:rPr>
          <w:color w:val="auto"/>
        </w:rPr>
        <w:t>International Sustainability Standards Board</w:t>
      </w:r>
      <w:r w:rsidRPr="001A77AA">
        <w:rPr>
          <w:color w:val="auto"/>
        </w:rPr>
        <w:t xml:space="preserve"> </w:t>
      </w:r>
      <w:r w:rsidR="006F3F38">
        <w:rPr>
          <w:color w:val="auto"/>
        </w:rPr>
        <w:t>(</w:t>
      </w:r>
      <w:r w:rsidRPr="001A77AA">
        <w:rPr>
          <w:color w:val="auto"/>
        </w:rPr>
        <w:t>ISSB</w:t>
      </w:r>
      <w:r w:rsidR="006F3F38">
        <w:rPr>
          <w:color w:val="auto"/>
        </w:rPr>
        <w:t>)</w:t>
      </w:r>
      <w:r w:rsidRPr="001A77AA">
        <w:rPr>
          <w:color w:val="auto"/>
        </w:rPr>
        <w:t xml:space="preserve"> Exposure Draft/2025/1 and ISSB Exposure Draft/2025/2 Proposed Amendments to the SASB Standards and Proposed Amendments to the Industry</w:t>
      </w:r>
      <w:r w:rsidR="009C134F" w:rsidRPr="001A77AA">
        <w:rPr>
          <w:color w:val="auto"/>
        </w:rPr>
        <w:noBreakHyphen/>
      </w:r>
      <w:r w:rsidRPr="001A77AA">
        <w:rPr>
          <w:color w:val="auto"/>
        </w:rPr>
        <w:t>based Guidance on Implementing IFRS S2</w:t>
      </w:r>
    </w:p>
    <w:p w14:paraId="49BCE7E5" w14:textId="27BB665D" w:rsidR="00AC1B28" w:rsidRPr="001A77AA" w:rsidRDefault="00AC1B28" w:rsidP="00AC1B28">
      <w:pPr>
        <w:pStyle w:val="Dash"/>
        <w:rPr>
          <w:color w:val="auto"/>
        </w:rPr>
      </w:pPr>
      <w:r w:rsidRPr="001A77AA">
        <w:rPr>
          <w:color w:val="auto"/>
        </w:rPr>
        <w:t>AASB submission on IASB Request for Information on Post</w:t>
      </w:r>
      <w:r w:rsidR="009C134F" w:rsidRPr="001A77AA">
        <w:rPr>
          <w:color w:val="auto"/>
        </w:rPr>
        <w:noBreakHyphen/>
      </w:r>
      <w:r w:rsidRPr="001A77AA">
        <w:rPr>
          <w:color w:val="auto"/>
        </w:rPr>
        <w:t>implementation Review of IFRS</w:t>
      </w:r>
      <w:r w:rsidR="00D609D4" w:rsidRPr="001A77AA">
        <w:rPr>
          <w:color w:val="auto"/>
        </w:rPr>
        <w:t> </w:t>
      </w:r>
      <w:r w:rsidRPr="001A77AA">
        <w:rPr>
          <w:color w:val="auto"/>
        </w:rPr>
        <w:t>16</w:t>
      </w:r>
      <w:r w:rsidR="00D609D4" w:rsidRPr="001A77AA">
        <w:rPr>
          <w:color w:val="auto"/>
        </w:rPr>
        <w:t> </w:t>
      </w:r>
      <w:r w:rsidRPr="001A77AA">
        <w:rPr>
          <w:color w:val="auto"/>
        </w:rPr>
        <w:t>Leases.</w:t>
      </w:r>
    </w:p>
    <w:p w14:paraId="6F1928AF" w14:textId="0E6F3920" w:rsidR="00AC1B28" w:rsidRPr="001A77AA" w:rsidRDefault="00AC1B28" w:rsidP="00531C63">
      <w:pPr>
        <w:pStyle w:val="Bullet"/>
      </w:pPr>
      <w:r w:rsidRPr="001A77AA">
        <w:t>As the Asian</w:t>
      </w:r>
      <w:r w:rsidR="009C134F" w:rsidRPr="001A77AA">
        <w:noBreakHyphen/>
      </w:r>
      <w:r w:rsidRPr="001A77AA">
        <w:t>Oceanian Standard</w:t>
      </w:r>
      <w:r w:rsidR="009C134F" w:rsidRPr="001A77AA">
        <w:noBreakHyphen/>
      </w:r>
      <w:r w:rsidRPr="001A77AA">
        <w:t>Setters Group (AOSSG) Chair, made the submission to IASB</w:t>
      </w:r>
      <w:r w:rsidR="00866BE7">
        <w:t> </w:t>
      </w:r>
      <w:r w:rsidRPr="001A77AA">
        <w:t>Exposure Draft/2026/1 Amendments to the Fair Value Option for Investments in Associates</w:t>
      </w:r>
      <w:r w:rsidR="00866BE7">
        <w:t> </w:t>
      </w:r>
      <w:r w:rsidRPr="001A77AA">
        <w:t>and Joint Ventures: Proposed amendments to IAS 28.</w:t>
      </w:r>
    </w:p>
    <w:p w14:paraId="25E57755" w14:textId="53D923A1" w:rsidR="00AC1B28" w:rsidRPr="001A77AA" w:rsidRDefault="00AC1B28" w:rsidP="00251D36">
      <w:pPr>
        <w:pStyle w:val="Bullet"/>
        <w:rPr>
          <w:color w:val="auto"/>
        </w:rPr>
      </w:pPr>
      <w:r w:rsidRPr="001A77AA">
        <w:lastRenderedPageBreak/>
        <w:t xml:space="preserve">The AASB hosted </w:t>
      </w:r>
      <w:r w:rsidR="00F86A74">
        <w:t>3</w:t>
      </w:r>
      <w:r w:rsidRPr="001A77AA">
        <w:t xml:space="preserve"> forums across 17</w:t>
      </w:r>
      <w:r w:rsidR="009C134F" w:rsidRPr="001A77AA">
        <w:t>–</w:t>
      </w:r>
      <w:r w:rsidRPr="001A77AA">
        <w:t>19 November 2025. The 2025 AASB Research Forum, themed</w:t>
      </w:r>
      <w:r w:rsidR="00F86A74">
        <w:t> </w:t>
      </w:r>
      <w:r w:rsidR="009C134F" w:rsidRPr="001A77AA">
        <w:t>‘</w:t>
      </w:r>
      <w:r w:rsidRPr="001A77AA">
        <w:t>Accounting and Reporting in the Digital Era</w:t>
      </w:r>
      <w:r w:rsidR="009C134F" w:rsidRPr="001A77AA">
        <w:t>’</w:t>
      </w:r>
      <w:r w:rsidRPr="001A77AA">
        <w:t>, was co</w:t>
      </w:r>
      <w:r w:rsidR="009C134F" w:rsidRPr="001A77AA">
        <w:noBreakHyphen/>
      </w:r>
      <w:r w:rsidRPr="001A77AA">
        <w:t>hosted by University of Melbourne on</w:t>
      </w:r>
      <w:r w:rsidR="00F86A74">
        <w:t> </w:t>
      </w:r>
      <w:r w:rsidRPr="001A77AA">
        <w:t>17</w:t>
      </w:r>
      <w:r w:rsidR="00F86A74">
        <w:t> </w:t>
      </w:r>
      <w:r w:rsidRPr="001A77AA">
        <w:t xml:space="preserve">November 2025. The Sustainability Research Forum was held on 18 November 2025, followed by the Applied </w:t>
      </w:r>
      <w:r w:rsidRPr="00251D36">
        <w:t>Research</w:t>
      </w:r>
      <w:r w:rsidRPr="001A77AA">
        <w:t xml:space="preserve"> – Shaping Standard Setting Forum on 19 November 2025. </w:t>
      </w:r>
      <w:r w:rsidR="009A4B4C" w:rsidRPr="001A77AA">
        <w:t>In</w:t>
      </w:r>
      <w:r w:rsidR="003B2C42" w:rsidRPr="001A77AA">
        <w:t> </w:t>
      </w:r>
      <w:r w:rsidR="009A4B4C" w:rsidRPr="001A77AA">
        <w:t>2026</w:t>
      </w:r>
      <w:r w:rsidRPr="001A77AA">
        <w:t>, the AASB offered the opportunity to attend in Melbourne, or virtually from any other location worldwide</w:t>
      </w:r>
      <w:r w:rsidR="003F7FA3" w:rsidRPr="001A77AA">
        <w:t>.</w:t>
      </w:r>
      <w:r w:rsidR="00F86A74">
        <w:t xml:space="preserve"> </w:t>
      </w:r>
      <w:r w:rsidR="003F7FA3" w:rsidRPr="001A77AA">
        <w:t>As a result, there were</w:t>
      </w:r>
      <w:r w:rsidRPr="001A77AA">
        <w:t xml:space="preserve"> 280 </w:t>
      </w:r>
      <w:r w:rsidR="003F7FA3" w:rsidRPr="001A77AA">
        <w:t>i</w:t>
      </w:r>
      <w:r w:rsidRPr="001A77AA">
        <w:t>n</w:t>
      </w:r>
      <w:r w:rsidR="009C134F" w:rsidRPr="001A77AA">
        <w:noBreakHyphen/>
      </w:r>
      <w:r w:rsidR="003F7FA3" w:rsidRPr="001A77AA">
        <w:t>p</w:t>
      </w:r>
      <w:r w:rsidRPr="001A77AA">
        <w:t xml:space="preserve">erson </w:t>
      </w:r>
      <w:r w:rsidR="003F7FA3" w:rsidRPr="001A77AA">
        <w:t>a</w:t>
      </w:r>
      <w:r w:rsidRPr="001A77AA">
        <w:t>ttendees</w:t>
      </w:r>
      <w:r w:rsidR="003F7FA3" w:rsidRPr="001A77AA">
        <w:t xml:space="preserve"> and </w:t>
      </w:r>
      <w:r w:rsidRPr="001A77AA">
        <w:t xml:space="preserve">356 </w:t>
      </w:r>
      <w:r w:rsidR="003F7FA3" w:rsidRPr="001A77AA">
        <w:t>v</w:t>
      </w:r>
      <w:r w:rsidRPr="001A77AA">
        <w:t xml:space="preserve">irtual </w:t>
      </w:r>
      <w:r w:rsidR="003F7FA3" w:rsidRPr="001A77AA">
        <w:t>attendees</w:t>
      </w:r>
      <w:r w:rsidRPr="001A77AA">
        <w:t>.</w:t>
      </w:r>
      <w:r w:rsidRPr="001A77AA">
        <w:rPr>
          <w:color w:val="auto"/>
        </w:rPr>
        <w:t> </w:t>
      </w:r>
    </w:p>
    <w:p w14:paraId="46B20A75" w14:textId="77777777" w:rsidR="009527A2" w:rsidRPr="001A77AA" w:rsidRDefault="009527A2" w:rsidP="00251D36">
      <w:pPr>
        <w:pStyle w:val="Heading2"/>
      </w:pPr>
      <w:bookmarkStart w:id="26" w:name="_Toc177124035"/>
      <w:bookmarkStart w:id="27" w:name="_Toc177124860"/>
      <w:bookmarkStart w:id="28" w:name="_Toc241065230"/>
      <w:r w:rsidRPr="00251D36">
        <w:t>AUASB</w:t>
      </w:r>
      <w:bookmarkEnd w:id="26"/>
      <w:bookmarkEnd w:id="27"/>
      <w:bookmarkEnd w:id="28"/>
    </w:p>
    <w:p w14:paraId="0D73FF4C" w14:textId="203E1615" w:rsidR="003B6CD2" w:rsidRPr="001A77AA" w:rsidRDefault="003B6CD2" w:rsidP="00531C63">
      <w:pPr>
        <w:pStyle w:val="Bullet"/>
      </w:pPr>
      <w:r w:rsidRPr="001A77AA">
        <w:t xml:space="preserve">Released an Information Sheet – </w:t>
      </w:r>
      <w:r w:rsidRPr="000C533D">
        <w:t>Impact of AI on Auditors</w:t>
      </w:r>
      <w:r w:rsidRPr="001A77AA">
        <w:t xml:space="preserve"> to provide guidance on the use of AI by auditors and the impact of AI used by audited entities.</w:t>
      </w:r>
    </w:p>
    <w:p w14:paraId="3615C806" w14:textId="08E1DA1B" w:rsidR="003B6CD2" w:rsidRPr="001A77AA" w:rsidRDefault="003B6CD2" w:rsidP="00531C63">
      <w:pPr>
        <w:pStyle w:val="Bullet"/>
      </w:pPr>
      <w:r w:rsidRPr="001A77AA">
        <w:t>Issued the following exposure drafts and consultation papers:</w:t>
      </w:r>
    </w:p>
    <w:p w14:paraId="7CA7579B" w14:textId="466CBC1F" w:rsidR="003B6CD2" w:rsidRPr="001A77AA" w:rsidRDefault="003B6CD2" w:rsidP="003B6CD2">
      <w:pPr>
        <w:pStyle w:val="Dash"/>
        <w:rPr>
          <w:rFonts w:cs="Calibri Light"/>
        </w:rPr>
      </w:pPr>
      <w:r w:rsidRPr="001A77AA">
        <w:rPr>
          <w:rFonts w:cs="Calibri Light"/>
        </w:rPr>
        <w:t xml:space="preserve">Exposure Draft 02/25 – Proposed amendments to ASSA 5010 </w:t>
      </w:r>
      <w:r w:rsidRPr="000C533D">
        <w:rPr>
          <w:rFonts w:cs="Calibri Light"/>
        </w:rPr>
        <w:t xml:space="preserve">Timeline for Audits and Reviews of Information in Sustainability Reports under the </w:t>
      </w:r>
      <w:r w:rsidR="00C55EFE" w:rsidRPr="009C5FCA">
        <w:rPr>
          <w:i/>
          <w:iCs/>
        </w:rPr>
        <w:t>Corporations Act 2001</w:t>
      </w:r>
      <w:r w:rsidR="00C55EFE">
        <w:rPr>
          <w:i/>
        </w:rPr>
        <w:t xml:space="preserve"> (</w:t>
      </w:r>
      <w:proofErr w:type="spellStart"/>
      <w:r w:rsidR="00C55EFE">
        <w:rPr>
          <w:i/>
        </w:rPr>
        <w:t>Cth</w:t>
      </w:r>
      <w:proofErr w:type="spellEnd"/>
      <w:r w:rsidR="00C55EFE">
        <w:rPr>
          <w:i/>
        </w:rPr>
        <w:t>)</w:t>
      </w:r>
      <w:r w:rsidR="00C55EFE" w:rsidRPr="001A77AA">
        <w:t xml:space="preserve"> (Corporations Act)</w:t>
      </w:r>
      <w:r w:rsidRPr="001A77AA">
        <w:rPr>
          <w:rFonts w:cs="Calibri Light"/>
        </w:rPr>
        <w:t>, in relation to assurance covering the directors</w:t>
      </w:r>
      <w:r w:rsidR="009C134F" w:rsidRPr="001A77AA">
        <w:rPr>
          <w:rFonts w:cs="Calibri Light"/>
        </w:rPr>
        <w:t>’</w:t>
      </w:r>
      <w:r w:rsidRPr="001A77AA">
        <w:rPr>
          <w:rFonts w:cs="Calibri Light"/>
        </w:rPr>
        <w:t xml:space="preserve"> declaration and voluntary reporting and assurance under the </w:t>
      </w:r>
      <w:r w:rsidRPr="000C533D">
        <w:rPr>
          <w:rFonts w:cs="Calibri Light"/>
        </w:rPr>
        <w:t>Corporations Act</w:t>
      </w:r>
    </w:p>
    <w:p w14:paraId="3AD8D5D0" w14:textId="57AD1A4C" w:rsidR="003B6CD2" w:rsidRPr="001A77AA" w:rsidRDefault="003B6CD2" w:rsidP="003B6CD2">
      <w:pPr>
        <w:pStyle w:val="Dash"/>
        <w:rPr>
          <w:rFonts w:cs="Calibri Light"/>
        </w:rPr>
      </w:pPr>
      <w:r w:rsidRPr="001A77AA">
        <w:rPr>
          <w:rFonts w:cs="Calibri Light"/>
        </w:rPr>
        <w:t>Exposure Draft 03/25 – Proposed Australian Standard on Sustainability Assurance ASSA 2025</w:t>
      </w:r>
      <w:r w:rsidR="009C134F" w:rsidRPr="001A77AA">
        <w:rPr>
          <w:rFonts w:cs="Calibri Light"/>
        </w:rPr>
        <w:noBreakHyphen/>
      </w:r>
      <w:r w:rsidRPr="001A77AA">
        <w:rPr>
          <w:rFonts w:cs="Calibri Light"/>
        </w:rPr>
        <w:t xml:space="preserve">11 Amendments to ASSA 5000 </w:t>
      </w:r>
      <w:r w:rsidRPr="000C533D">
        <w:rPr>
          <w:rFonts w:cs="Calibri Light"/>
        </w:rPr>
        <w:t>General Requirements for Sustainability Assurance Engagements</w:t>
      </w:r>
      <w:r w:rsidRPr="001A77AA">
        <w:rPr>
          <w:rFonts w:cs="Calibri Light"/>
        </w:rPr>
        <w:t>, which focused on illustrative Corporations Act auditor</w:t>
      </w:r>
      <w:r w:rsidR="009C134F" w:rsidRPr="001A77AA">
        <w:rPr>
          <w:rFonts w:cs="Calibri Light"/>
        </w:rPr>
        <w:t>’</w:t>
      </w:r>
      <w:r w:rsidRPr="001A77AA">
        <w:rPr>
          <w:rFonts w:cs="Calibri Light"/>
        </w:rPr>
        <w:t>s reports</w:t>
      </w:r>
    </w:p>
    <w:p w14:paraId="2B8F53D2" w14:textId="40426F80" w:rsidR="003B6CD2" w:rsidRPr="001A77AA" w:rsidRDefault="003B6CD2" w:rsidP="003B6CD2">
      <w:pPr>
        <w:pStyle w:val="Dash"/>
        <w:rPr>
          <w:rFonts w:cs="Calibri Light"/>
        </w:rPr>
      </w:pPr>
      <w:r w:rsidRPr="001A77AA">
        <w:rPr>
          <w:rFonts w:cs="Calibri Light"/>
        </w:rPr>
        <w:t xml:space="preserve">Consultation Paper – </w:t>
      </w:r>
      <w:r w:rsidR="00737D89" w:rsidRPr="00737D89">
        <w:rPr>
          <w:rFonts w:cs="Calibri Light"/>
        </w:rPr>
        <w:t xml:space="preserve">International Auditing and Assurance Standards Board (IAASB)’s </w:t>
      </w:r>
      <w:r w:rsidRPr="000C533D">
        <w:rPr>
          <w:rFonts w:cs="Calibri Light"/>
        </w:rPr>
        <w:t>Proposed Narrow Scope Amendments to IAASB Standards Arising from the IESBA</w:t>
      </w:r>
      <w:r w:rsidR="009C134F" w:rsidRPr="000C533D">
        <w:rPr>
          <w:rFonts w:cs="Calibri Light"/>
        </w:rPr>
        <w:t>’</w:t>
      </w:r>
      <w:r w:rsidRPr="000C533D">
        <w:rPr>
          <w:rFonts w:cs="Calibri Light"/>
        </w:rPr>
        <w:t>s Using the Work of an External Expert Project</w:t>
      </w:r>
      <w:r w:rsidR="005916BB">
        <w:rPr>
          <w:rFonts w:cs="Calibri Light"/>
        </w:rPr>
        <w:t xml:space="preserve"> (2025)</w:t>
      </w:r>
    </w:p>
    <w:p w14:paraId="348F6F2A" w14:textId="13D0FDA6" w:rsidR="003B6CD2" w:rsidRPr="001A77AA" w:rsidRDefault="003B6CD2" w:rsidP="003B6CD2">
      <w:pPr>
        <w:pStyle w:val="Dash"/>
        <w:rPr>
          <w:rFonts w:cs="Calibri Light"/>
        </w:rPr>
      </w:pPr>
      <w:r w:rsidRPr="001A77AA">
        <w:rPr>
          <w:rFonts w:cs="Calibri Light"/>
        </w:rPr>
        <w:t xml:space="preserve">Consultation Paper – IAASB Proposed International Standard on Review Engagements ISRE 2410 (Revised) </w:t>
      </w:r>
      <w:r w:rsidRPr="000C533D">
        <w:rPr>
          <w:rFonts w:cs="Calibri Light"/>
        </w:rPr>
        <w:t>Review of Interim Financial Information Performed by the Independent Auditor of the Entity</w:t>
      </w:r>
      <w:r w:rsidR="009C134F" w:rsidRPr="000C533D">
        <w:rPr>
          <w:rFonts w:cs="Calibri Light"/>
        </w:rPr>
        <w:t>’</w:t>
      </w:r>
      <w:r w:rsidRPr="000C533D">
        <w:rPr>
          <w:rFonts w:cs="Calibri Light"/>
        </w:rPr>
        <w:t>s Annual Financial Statements</w:t>
      </w:r>
      <w:r w:rsidR="00092190">
        <w:rPr>
          <w:rFonts w:cs="Calibri Light"/>
        </w:rPr>
        <w:t xml:space="preserve"> (2026)</w:t>
      </w:r>
      <w:r w:rsidRPr="001A77AA">
        <w:rPr>
          <w:rFonts w:cs="Calibri Light"/>
        </w:rPr>
        <w:t xml:space="preserve">. AUASB and </w:t>
      </w:r>
      <w:proofErr w:type="spellStart"/>
      <w:r w:rsidRPr="001A77AA">
        <w:rPr>
          <w:rFonts w:cs="Calibri Light"/>
        </w:rPr>
        <w:t>NZAuASB</w:t>
      </w:r>
      <w:proofErr w:type="spellEnd"/>
      <w:r w:rsidRPr="001A77AA">
        <w:rPr>
          <w:rFonts w:cs="Calibri Light"/>
        </w:rPr>
        <w:t xml:space="preserve"> staff worked on the</w:t>
      </w:r>
      <w:r w:rsidR="0000637E" w:rsidRPr="001A77AA">
        <w:rPr>
          <w:rFonts w:cs="Calibri Light"/>
        </w:rPr>
        <w:t> </w:t>
      </w:r>
      <w:r w:rsidRPr="001A77AA">
        <w:rPr>
          <w:rFonts w:cs="Calibri Light"/>
        </w:rPr>
        <w:t>IAASB</w:t>
      </w:r>
      <w:r w:rsidR="009C134F" w:rsidRPr="001A77AA">
        <w:rPr>
          <w:rFonts w:cs="Calibri Light"/>
        </w:rPr>
        <w:t>’</w:t>
      </w:r>
      <w:r w:rsidRPr="001A77AA">
        <w:rPr>
          <w:rFonts w:cs="Calibri Light"/>
        </w:rPr>
        <w:t>s development of the proposed revised standard under IAASB direction.</w:t>
      </w:r>
    </w:p>
    <w:p w14:paraId="7DA869DB" w14:textId="364F5B0B" w:rsidR="003B6CD2" w:rsidRPr="001A77AA" w:rsidRDefault="003B6CD2" w:rsidP="00531C63">
      <w:pPr>
        <w:pStyle w:val="Bullet"/>
      </w:pPr>
      <w:r w:rsidRPr="001A77AA">
        <w:t>Issued ASA 240 The Auditor</w:t>
      </w:r>
      <w:r w:rsidR="009C134F" w:rsidRPr="001A77AA">
        <w:t>’</w:t>
      </w:r>
      <w:r w:rsidRPr="001A77AA">
        <w:t>s Responsibility to Consider Fraud and Error in an Audit of Financial Statements and consequential amendments to other standards.</w:t>
      </w:r>
    </w:p>
    <w:p w14:paraId="40F20153" w14:textId="77777777" w:rsidR="003B6CD2" w:rsidRPr="001A77AA" w:rsidRDefault="003B6CD2" w:rsidP="00531C63">
      <w:pPr>
        <w:pStyle w:val="Bullet"/>
      </w:pPr>
      <w:r w:rsidRPr="001A77AA">
        <w:t>Issued amendments to the Australian auditing and assurance standards:</w:t>
      </w:r>
    </w:p>
    <w:p w14:paraId="1F29B647" w14:textId="2E3400D5" w:rsidR="003B6CD2" w:rsidRPr="001A77AA" w:rsidRDefault="003B6CD2" w:rsidP="003B6CD2">
      <w:pPr>
        <w:pStyle w:val="Dash"/>
      </w:pPr>
      <w:r w:rsidRPr="001A77AA">
        <w:t>AUASB 2025</w:t>
      </w:r>
      <w:r w:rsidR="009C134F" w:rsidRPr="001A77AA">
        <w:noBreakHyphen/>
      </w:r>
      <w:r w:rsidRPr="001A77AA">
        <w:t xml:space="preserve">5 </w:t>
      </w:r>
      <w:r w:rsidRPr="000C533D">
        <w:t>Amendments to AUASB Standard</w:t>
      </w:r>
      <w:r w:rsidRPr="001A77AA">
        <w:t xml:space="preserve"> (ASA 102)</w:t>
      </w:r>
    </w:p>
    <w:p w14:paraId="1E429591" w14:textId="45F87A3B" w:rsidR="003B6CD2" w:rsidRPr="001A77AA" w:rsidRDefault="003B6CD2" w:rsidP="003B6CD2">
      <w:pPr>
        <w:pStyle w:val="Dash"/>
      </w:pPr>
      <w:r w:rsidRPr="001A77AA">
        <w:t>AUASB 2025</w:t>
      </w:r>
      <w:r w:rsidR="009C134F" w:rsidRPr="001A77AA">
        <w:noBreakHyphen/>
      </w:r>
      <w:r w:rsidRPr="001A77AA">
        <w:t xml:space="preserve">6 </w:t>
      </w:r>
      <w:r w:rsidRPr="000C533D">
        <w:t>Amendments to AUASB Standard</w:t>
      </w:r>
      <w:r w:rsidRPr="001A77AA">
        <w:t xml:space="preserve"> (consequential amendments to other standards from Revised Standard ASA 240)</w:t>
      </w:r>
    </w:p>
    <w:p w14:paraId="7B7091FF" w14:textId="0FB0C567" w:rsidR="003B6CD2" w:rsidRPr="001A77AA" w:rsidRDefault="003B6CD2" w:rsidP="003B6CD2">
      <w:pPr>
        <w:pStyle w:val="Dash"/>
      </w:pPr>
      <w:r w:rsidRPr="001A77AA">
        <w:t>AUASB 2025</w:t>
      </w:r>
      <w:r w:rsidR="009C134F" w:rsidRPr="001A77AA">
        <w:noBreakHyphen/>
      </w:r>
      <w:r w:rsidRPr="001A77AA">
        <w:t xml:space="preserve">7 </w:t>
      </w:r>
      <w:r w:rsidRPr="000C533D">
        <w:t>Amendments to AUASB Standard</w:t>
      </w:r>
      <w:r w:rsidRPr="001A77AA">
        <w:t xml:space="preserve"> (ASSA 5000, ASA 102)</w:t>
      </w:r>
    </w:p>
    <w:p w14:paraId="289DD7ED" w14:textId="6F982AE5" w:rsidR="003B6CD2" w:rsidRPr="001A77AA" w:rsidRDefault="003B6CD2" w:rsidP="003B6CD2">
      <w:pPr>
        <w:pStyle w:val="Dash"/>
      </w:pPr>
      <w:r w:rsidRPr="001A77AA">
        <w:t>AUASB 2025</w:t>
      </w:r>
      <w:r w:rsidR="009C134F" w:rsidRPr="001A77AA">
        <w:noBreakHyphen/>
      </w:r>
      <w:r w:rsidRPr="001A77AA">
        <w:t xml:space="preserve">8 </w:t>
      </w:r>
      <w:r w:rsidRPr="000C533D">
        <w:t>Amendments to AUASB Standard</w:t>
      </w:r>
      <w:r w:rsidRPr="001A77AA">
        <w:t xml:space="preserve"> (consequential amendments from changes in the APESB Code)</w:t>
      </w:r>
    </w:p>
    <w:p w14:paraId="4A717557" w14:textId="4BED2586" w:rsidR="003B6CD2" w:rsidRPr="001A77AA" w:rsidRDefault="003B6CD2" w:rsidP="003B6CD2">
      <w:pPr>
        <w:pStyle w:val="Dash"/>
      </w:pPr>
      <w:r w:rsidRPr="001A77AA">
        <w:t>AUASB 2025</w:t>
      </w:r>
      <w:r w:rsidR="009C134F" w:rsidRPr="001A77AA">
        <w:noBreakHyphen/>
      </w:r>
      <w:r w:rsidRPr="001A77AA">
        <w:t xml:space="preserve">9 </w:t>
      </w:r>
      <w:r w:rsidRPr="000C533D">
        <w:t>Amendments to AUASB Standard</w:t>
      </w:r>
      <w:r w:rsidRPr="001A77AA">
        <w:t xml:space="preserve"> (consequential amendments from narrow scope amendments to the ISQMs and ISAs)</w:t>
      </w:r>
    </w:p>
    <w:p w14:paraId="7DAF6710" w14:textId="2915FEA6" w:rsidR="003B6CD2" w:rsidRPr="001A77AA" w:rsidRDefault="003B6CD2" w:rsidP="003B6CD2">
      <w:pPr>
        <w:pStyle w:val="Dash"/>
      </w:pPr>
      <w:r w:rsidRPr="001A77AA">
        <w:t>AUASB 2025</w:t>
      </w:r>
      <w:r w:rsidR="009C134F" w:rsidRPr="001A77AA">
        <w:noBreakHyphen/>
      </w:r>
      <w:r w:rsidRPr="001A77AA">
        <w:t xml:space="preserve">10 </w:t>
      </w:r>
      <w:r w:rsidRPr="000C533D">
        <w:t>Amendments to ASSA 5010</w:t>
      </w:r>
    </w:p>
    <w:p w14:paraId="4D11D68F" w14:textId="662EA5C8" w:rsidR="003B6CD2" w:rsidRPr="001A77AA" w:rsidRDefault="003B6CD2" w:rsidP="003B6CD2">
      <w:pPr>
        <w:pStyle w:val="Dash"/>
      </w:pPr>
      <w:r w:rsidRPr="001A77AA">
        <w:t>AUASB 2025</w:t>
      </w:r>
      <w:r w:rsidR="009C134F" w:rsidRPr="001A77AA">
        <w:noBreakHyphen/>
      </w:r>
      <w:r w:rsidRPr="001A77AA">
        <w:t xml:space="preserve">12 </w:t>
      </w:r>
      <w:r w:rsidRPr="000C533D">
        <w:t>Amendments to AUASB Standard</w:t>
      </w:r>
      <w:r w:rsidRPr="001A77AA">
        <w:t xml:space="preserve"> (consequential amendments from AASB</w:t>
      </w:r>
      <w:r w:rsidR="0000637E" w:rsidRPr="001A77AA">
        <w:t> </w:t>
      </w:r>
      <w:r w:rsidRPr="001A77AA">
        <w:t xml:space="preserve">18 </w:t>
      </w:r>
      <w:r w:rsidRPr="000C533D">
        <w:t>Presentation and Disclosure in Financial Statements</w:t>
      </w:r>
      <w:r w:rsidRPr="001A77AA">
        <w:t>)</w:t>
      </w:r>
    </w:p>
    <w:p w14:paraId="40610EA1" w14:textId="56E07FD8" w:rsidR="003B6CD2" w:rsidRPr="001A77AA" w:rsidRDefault="003B6CD2" w:rsidP="003B6CD2">
      <w:pPr>
        <w:pStyle w:val="Dash"/>
      </w:pPr>
      <w:r w:rsidRPr="001A77AA">
        <w:t>AUASB 2026</w:t>
      </w:r>
      <w:r w:rsidR="009C134F" w:rsidRPr="001A77AA">
        <w:noBreakHyphen/>
      </w:r>
      <w:r w:rsidRPr="001A77AA">
        <w:t xml:space="preserve">1 </w:t>
      </w:r>
      <w:r w:rsidRPr="000C533D">
        <w:t>Amendments to AUASB Standard</w:t>
      </w:r>
      <w:r w:rsidRPr="001A77AA">
        <w:t xml:space="preserve"> (ASA 620).</w:t>
      </w:r>
    </w:p>
    <w:p w14:paraId="667B18CB" w14:textId="63A01701" w:rsidR="003B6CD2" w:rsidRPr="001A77AA" w:rsidRDefault="003B6CD2" w:rsidP="00531C63">
      <w:pPr>
        <w:pStyle w:val="Bullet"/>
      </w:pPr>
      <w:r w:rsidRPr="001A77AA">
        <w:lastRenderedPageBreak/>
        <w:t>Released a RSE Illustrative Auditor</w:t>
      </w:r>
      <w:r w:rsidR="009C134F" w:rsidRPr="001A77AA">
        <w:t>’</w:t>
      </w:r>
      <w:r w:rsidRPr="001A77AA">
        <w:t>s Report</w:t>
      </w:r>
      <w:r w:rsidR="009C134F" w:rsidRPr="001A77AA">
        <w:t xml:space="preserve"> – </w:t>
      </w:r>
      <w:r w:rsidRPr="001A77AA">
        <w:t>Prudential Standard SPS 310 Audit and Related</w:t>
      </w:r>
      <w:r w:rsidR="006A2EB8" w:rsidRPr="001A77AA">
        <w:t> </w:t>
      </w:r>
      <w:r w:rsidRPr="001A77AA">
        <w:t>Matters</w:t>
      </w:r>
      <w:r w:rsidR="00135CC6">
        <w:t xml:space="preserve"> (2025)</w:t>
      </w:r>
      <w:r w:rsidRPr="001A77AA">
        <w:t>.</w:t>
      </w:r>
    </w:p>
    <w:p w14:paraId="1B730994" w14:textId="6552BD94" w:rsidR="009527A2" w:rsidRPr="001A77AA" w:rsidRDefault="003B6CD2" w:rsidP="00531C63">
      <w:pPr>
        <w:pStyle w:val="Bullet"/>
      </w:pPr>
      <w:r w:rsidRPr="001A77AA">
        <w:t xml:space="preserve">Issued the following revised </w:t>
      </w:r>
      <w:r w:rsidR="009527A2" w:rsidRPr="001A77AA">
        <w:t>Australian</w:t>
      </w:r>
      <w:r w:rsidR="009C134F" w:rsidRPr="001A77AA">
        <w:noBreakHyphen/>
      </w:r>
      <w:r w:rsidR="009527A2" w:rsidRPr="001A77AA">
        <w:t>specific Guidance Statements:</w:t>
      </w:r>
    </w:p>
    <w:p w14:paraId="27432079" w14:textId="77777777" w:rsidR="009527A2" w:rsidRPr="001A77AA" w:rsidRDefault="009527A2" w:rsidP="0031027B">
      <w:pPr>
        <w:pStyle w:val="Dash"/>
      </w:pPr>
      <w:r w:rsidRPr="001A77AA">
        <w:t xml:space="preserve">GS 002 </w:t>
      </w:r>
      <w:r w:rsidRPr="000C533D">
        <w:t>Audit Implications of Prudential Reporting Requirements for Registered Superannuation Entities</w:t>
      </w:r>
      <w:r w:rsidRPr="001A77AA">
        <w:t xml:space="preserve"> (and related illustrative assurance report)</w:t>
      </w:r>
    </w:p>
    <w:p w14:paraId="55419427" w14:textId="77777777" w:rsidR="003B6CD2" w:rsidRPr="001A77AA" w:rsidRDefault="003B6CD2" w:rsidP="003B6CD2">
      <w:pPr>
        <w:pStyle w:val="Dash"/>
      </w:pPr>
      <w:r w:rsidRPr="001A77AA">
        <w:t xml:space="preserve">GS 011 </w:t>
      </w:r>
      <w:r w:rsidRPr="000C533D">
        <w:t>Third Party Access to Audit Working Papers</w:t>
      </w:r>
    </w:p>
    <w:p w14:paraId="4FDD7FF9" w14:textId="5A0C776B" w:rsidR="003B6CD2" w:rsidRPr="001A77AA" w:rsidRDefault="003B6CD2" w:rsidP="003B6CD2">
      <w:pPr>
        <w:pStyle w:val="Dash"/>
      </w:pPr>
      <w:r w:rsidRPr="001A77AA">
        <w:t xml:space="preserve">GS 018 </w:t>
      </w:r>
      <w:r w:rsidRPr="000C533D">
        <w:t>Franchising Code of Conduct – Auditor</w:t>
      </w:r>
      <w:r w:rsidR="009C134F" w:rsidRPr="000C533D">
        <w:t>’</w:t>
      </w:r>
      <w:r w:rsidRPr="000C533D">
        <w:t>s Report</w:t>
      </w:r>
      <w:r w:rsidRPr="001A77AA">
        <w:t xml:space="preserve"> for a new Franchising Code.</w:t>
      </w:r>
    </w:p>
    <w:p w14:paraId="7F834B32" w14:textId="77777777" w:rsidR="003B6CD2" w:rsidRPr="001A77AA" w:rsidRDefault="003B6CD2" w:rsidP="00531C63">
      <w:pPr>
        <w:pStyle w:val="Bullet"/>
      </w:pPr>
      <w:r w:rsidRPr="001A77AA">
        <w:t>Commenced projects to update Guidance Statements:</w:t>
      </w:r>
    </w:p>
    <w:p w14:paraId="6AE8B1E6" w14:textId="77777777" w:rsidR="009527A2" w:rsidRPr="001A77AA" w:rsidRDefault="009527A2" w:rsidP="0031027B">
      <w:pPr>
        <w:pStyle w:val="Dash"/>
        <w:rPr>
          <w:rFonts w:cs="Calibri Light"/>
        </w:rPr>
      </w:pPr>
      <w:r w:rsidRPr="001A77AA">
        <w:rPr>
          <w:rFonts w:cs="Calibri Light"/>
        </w:rPr>
        <w:t xml:space="preserve">GS 007 </w:t>
      </w:r>
      <w:r w:rsidRPr="000C533D">
        <w:t>Audit Implications of the Use of Service Organisations for Investment Management Services</w:t>
      </w:r>
      <w:r w:rsidRPr="001A77AA">
        <w:rPr>
          <w:rFonts w:cs="Calibri Light"/>
        </w:rPr>
        <w:t xml:space="preserve"> </w:t>
      </w:r>
    </w:p>
    <w:p w14:paraId="7BFDC4C1" w14:textId="77777777" w:rsidR="003B6CD2" w:rsidRPr="001A77AA" w:rsidRDefault="003B6CD2" w:rsidP="003B6CD2">
      <w:pPr>
        <w:pStyle w:val="Dash"/>
      </w:pPr>
      <w:r w:rsidRPr="001A77AA">
        <w:t xml:space="preserve">GS 015 </w:t>
      </w:r>
      <w:r w:rsidRPr="000C533D">
        <w:t>Audit Implications for Investment in Associates</w:t>
      </w:r>
      <w:r w:rsidRPr="001A77AA">
        <w:t>.</w:t>
      </w:r>
    </w:p>
    <w:p w14:paraId="51721839" w14:textId="77777777" w:rsidR="003B6CD2" w:rsidRPr="001A77AA" w:rsidRDefault="003B6CD2" w:rsidP="00531C63">
      <w:pPr>
        <w:pStyle w:val="Bullet"/>
      </w:pPr>
      <w:r w:rsidRPr="001A77AA">
        <w:t>The AUASB also commenced planning for new guidance on assurance work on the valuation of unlisted investments in externally Managed Investment Schemes.</w:t>
      </w:r>
    </w:p>
    <w:p w14:paraId="21182324" w14:textId="3C6B5648" w:rsidR="003B6CD2" w:rsidRPr="001A77AA" w:rsidRDefault="003B6CD2" w:rsidP="00531C63">
      <w:pPr>
        <w:pStyle w:val="Bullet"/>
      </w:pPr>
      <w:r w:rsidRPr="001A77AA">
        <w:t>Withdrew Guidance Statement GS 021 Engagements under the National Greenhouse and Energy</w:t>
      </w:r>
      <w:r w:rsidR="0067118A">
        <w:t> </w:t>
      </w:r>
      <w:r w:rsidRPr="001A77AA">
        <w:t>Reporting Scheme, Carbon Pricing Mechanism and Related Schemes.</w:t>
      </w:r>
    </w:p>
    <w:p w14:paraId="3608ED27" w14:textId="7B518E94" w:rsidR="003B6CD2" w:rsidRPr="001A77AA" w:rsidRDefault="003B6CD2" w:rsidP="00531C63">
      <w:pPr>
        <w:pStyle w:val="Bullet"/>
      </w:pPr>
      <w:r w:rsidRPr="001A77AA">
        <w:t>Issued an AASB</w:t>
      </w:r>
      <w:r w:rsidR="009C134F" w:rsidRPr="001A77AA">
        <w:noBreakHyphen/>
      </w:r>
      <w:r w:rsidRPr="001A77AA">
        <w:t xml:space="preserve">AUASB Joint Research Report: </w:t>
      </w:r>
      <w:r w:rsidR="004246A7" w:rsidRPr="004246A7">
        <w:t>Preparedness of ASX</w:t>
      </w:r>
      <w:r w:rsidR="004246A7" w:rsidRPr="004246A7">
        <w:noBreakHyphen/>
        <w:t>listed entities for climate</w:t>
      </w:r>
      <w:r w:rsidR="004246A7" w:rsidRPr="004246A7">
        <w:noBreakHyphen/>
        <w:t>related reporting and assurance requirements</w:t>
      </w:r>
      <w:r w:rsidR="004246A7" w:rsidRPr="000C533D">
        <w:t xml:space="preserve"> (2025)</w:t>
      </w:r>
      <w:r w:rsidRPr="001A77AA">
        <w:t>.</w:t>
      </w:r>
    </w:p>
    <w:p w14:paraId="0F7EB92D" w14:textId="77777777" w:rsidR="003B6CD2" w:rsidRPr="001A77AA" w:rsidRDefault="003B6CD2" w:rsidP="00531C63">
      <w:pPr>
        <w:pStyle w:val="Bullet"/>
      </w:pPr>
      <w:r w:rsidRPr="001A77AA">
        <w:t>Made the</w:t>
      </w:r>
      <w:r w:rsidRPr="001A77AA" w:rsidDel="00DC6161">
        <w:t xml:space="preserve"> following </w:t>
      </w:r>
      <w:r w:rsidRPr="001A77AA">
        <w:t>submissions on:</w:t>
      </w:r>
    </w:p>
    <w:p w14:paraId="0B92BC2E" w14:textId="37ECFF1C" w:rsidR="003B6CD2" w:rsidRPr="001A77AA" w:rsidRDefault="003B6CD2" w:rsidP="003B6CD2">
      <w:pPr>
        <w:pStyle w:val="Dash"/>
      </w:pPr>
      <w:r w:rsidRPr="001A77AA">
        <w:t>IAASB</w:t>
      </w:r>
      <w:r w:rsidR="009C134F" w:rsidRPr="001A77AA">
        <w:t>’</w:t>
      </w:r>
      <w:r w:rsidRPr="001A77AA">
        <w:t>s Post</w:t>
      </w:r>
      <w:r w:rsidR="009C134F" w:rsidRPr="001A77AA">
        <w:noBreakHyphen/>
      </w:r>
      <w:r w:rsidRPr="001A77AA">
        <w:t>Implementation Survey on ISA 540 on auditing accounting estimates</w:t>
      </w:r>
    </w:p>
    <w:p w14:paraId="1749F978" w14:textId="6CE91BA3" w:rsidR="003B6CD2" w:rsidRPr="001A77AA" w:rsidRDefault="003B6CD2" w:rsidP="003B6CD2">
      <w:pPr>
        <w:pStyle w:val="Dash"/>
      </w:pPr>
      <w:r w:rsidRPr="001A77AA">
        <w:t xml:space="preserve">The </w:t>
      </w:r>
      <w:r w:rsidR="00CC389A" w:rsidRPr="00CC389A">
        <w:t>International Ethics Standards Board for Accountants</w:t>
      </w:r>
      <w:r w:rsidRPr="001A77AA">
        <w:t xml:space="preserve"> </w:t>
      </w:r>
      <w:r w:rsidR="00CC389A">
        <w:t>(</w:t>
      </w:r>
      <w:r w:rsidRPr="001A77AA">
        <w:t>IESBA</w:t>
      </w:r>
      <w:r w:rsidR="00CC389A">
        <w:t>)</w:t>
      </w:r>
      <w:r w:rsidRPr="001A77AA">
        <w:t xml:space="preserve"> and IAASB Joint Stakeholder Survey on matters affecting the development of the 2028</w:t>
      </w:r>
      <w:r w:rsidR="00F918DE">
        <w:t>–</w:t>
      </w:r>
      <w:r w:rsidRPr="001A77AA">
        <w:t>31 strategies and work plans of the international boards</w:t>
      </w:r>
    </w:p>
    <w:p w14:paraId="0BF43262" w14:textId="566BA0AD" w:rsidR="003B6CD2" w:rsidRPr="001A77AA" w:rsidRDefault="003B6CD2" w:rsidP="003B6CD2">
      <w:pPr>
        <w:pStyle w:val="Dash"/>
      </w:pPr>
      <w:r w:rsidRPr="001A77AA">
        <w:t>IAASB</w:t>
      </w:r>
      <w:r w:rsidR="009C134F" w:rsidRPr="001A77AA">
        <w:t>’</w:t>
      </w:r>
      <w:r w:rsidRPr="001A77AA">
        <w:t>s Proposed Narrow</w:t>
      </w:r>
      <w:r w:rsidR="009C134F" w:rsidRPr="001A77AA">
        <w:noBreakHyphen/>
      </w:r>
      <w:r w:rsidRPr="001A77AA">
        <w:t>Scope Amendments to IAASB Standards Arising from the IESBA</w:t>
      </w:r>
      <w:r w:rsidR="009C134F" w:rsidRPr="001A77AA">
        <w:t>’</w:t>
      </w:r>
      <w:r w:rsidRPr="001A77AA">
        <w:t xml:space="preserve">s </w:t>
      </w:r>
      <w:r w:rsidRPr="000C533D">
        <w:t>Using the Work of an External Expert</w:t>
      </w:r>
      <w:r w:rsidRPr="001A77AA">
        <w:t xml:space="preserve"> Project.</w:t>
      </w:r>
    </w:p>
    <w:p w14:paraId="323D9F83" w14:textId="4FBC6142" w:rsidR="003B6CD2" w:rsidRPr="001A77AA" w:rsidRDefault="003B6CD2" w:rsidP="00531C63">
      <w:pPr>
        <w:pStyle w:val="Bullet"/>
      </w:pPr>
      <w:r w:rsidRPr="001A77AA">
        <w:t>The AUASB participated in the October 2025 and May 2026 IAASB/IESBA Stakeholder</w:t>
      </w:r>
      <w:r w:rsidR="009C134F" w:rsidRPr="001A77AA">
        <w:t> </w:t>
      </w:r>
      <w:r w:rsidRPr="001A77AA">
        <w:t>Advisory Council meetings, providing strategic advice to the international boards.</w:t>
      </w:r>
    </w:p>
    <w:p w14:paraId="011D2A21" w14:textId="08EC0010" w:rsidR="003B6CD2" w:rsidRPr="001A77AA" w:rsidRDefault="003B6CD2" w:rsidP="00531C63">
      <w:pPr>
        <w:pStyle w:val="Bullet"/>
      </w:pPr>
      <w:r w:rsidRPr="001A77AA">
        <w:t>The AUASB also participated in the IAASB</w:t>
      </w:r>
      <w:r w:rsidR="009C134F" w:rsidRPr="001A77AA">
        <w:t>’</w:t>
      </w:r>
      <w:r w:rsidRPr="001A77AA">
        <w:t>s Jurisdiction Standard Setters meeting in April</w:t>
      </w:r>
      <w:r w:rsidR="007E36D4" w:rsidRPr="001A77AA">
        <w:t>–‍</w:t>
      </w:r>
      <w:r w:rsidRPr="001A77AA">
        <w:t>May</w:t>
      </w:r>
      <w:r w:rsidR="009C134F" w:rsidRPr="001A77AA">
        <w:t> </w:t>
      </w:r>
      <w:r w:rsidRPr="001A77AA">
        <w:t xml:space="preserve">2026. </w:t>
      </w:r>
    </w:p>
    <w:p w14:paraId="58A22C31" w14:textId="77777777" w:rsidR="00AE595B" w:rsidRPr="00AE595B" w:rsidRDefault="00AE595B" w:rsidP="00AE595B">
      <w:bookmarkStart w:id="29" w:name="_Toc177124036"/>
      <w:bookmarkStart w:id="30" w:name="_Toc177124861"/>
      <w:r w:rsidRPr="00AE595B">
        <w:br w:type="page"/>
      </w:r>
    </w:p>
    <w:p w14:paraId="32EAF69B" w14:textId="21DA8EBA" w:rsidR="009527A2" w:rsidRPr="001A77AA" w:rsidRDefault="009527A2" w:rsidP="00C52551">
      <w:pPr>
        <w:pStyle w:val="Heading2"/>
        <w:keepLines/>
        <w:rPr>
          <w:iCs w:val="0"/>
        </w:rPr>
      </w:pPr>
      <w:bookmarkStart w:id="31" w:name="_Toc241065231"/>
      <w:r w:rsidRPr="001A77AA">
        <w:rPr>
          <w:iCs w:val="0"/>
        </w:rPr>
        <w:lastRenderedPageBreak/>
        <w:t>Determining the strategic direction of the AASB and AUASB</w:t>
      </w:r>
      <w:bookmarkEnd w:id="29"/>
      <w:bookmarkEnd w:id="30"/>
      <w:bookmarkEnd w:id="31"/>
    </w:p>
    <w:p w14:paraId="7B036EB3" w14:textId="171BD545" w:rsidR="009527A2" w:rsidRPr="001A77AA" w:rsidRDefault="009527A2" w:rsidP="00251D36">
      <w:r w:rsidRPr="001A77AA">
        <w:t xml:space="preserve">Since its establishment, the FRC has made </w:t>
      </w:r>
      <w:r w:rsidR="00F86A74">
        <w:t>3</w:t>
      </w:r>
      <w:r w:rsidRPr="001A77AA">
        <w:t xml:space="preserve"> determinations concerning the broad strategic direction of the AASB and AUASB. These determinations require:</w:t>
      </w:r>
    </w:p>
    <w:p w14:paraId="4DBAB36D" w14:textId="77777777" w:rsidR="009527A2" w:rsidRPr="001A77AA" w:rsidRDefault="009527A2" w:rsidP="00531C63">
      <w:pPr>
        <w:pStyle w:val="Bullet"/>
      </w:pPr>
      <w:r w:rsidRPr="001A77AA">
        <w:t>the AASB to work towards the adoption of accounting standards that are the same as those issued by the IASB (Direction approved 5 September 2002)</w:t>
      </w:r>
    </w:p>
    <w:p w14:paraId="0E8233BE" w14:textId="57851A39" w:rsidR="009527A2" w:rsidRPr="001A77AA" w:rsidRDefault="009527A2" w:rsidP="00531C63">
      <w:pPr>
        <w:pStyle w:val="Bullet"/>
      </w:pPr>
      <w:r w:rsidRPr="001A77AA">
        <w:t>the AASB to pursue the harmonisation of</w:t>
      </w:r>
      <w:r w:rsidR="007642AF" w:rsidRPr="001A77AA">
        <w:t xml:space="preserve"> reporting </w:t>
      </w:r>
      <w:r w:rsidR="00D27556" w:rsidRPr="001A77AA">
        <w:t xml:space="preserve">between </w:t>
      </w:r>
      <w:r w:rsidR="007642AF" w:rsidRPr="001A77AA">
        <w:t xml:space="preserve">Government Finance Statistics </w:t>
      </w:r>
      <w:r w:rsidRPr="001A77AA">
        <w:t xml:space="preserve">and </w:t>
      </w:r>
      <w:r w:rsidR="00FF1E70" w:rsidRPr="001A77AA">
        <w:rPr>
          <w:lang w:val="en-GB"/>
        </w:rPr>
        <w:t>Generally Accepted Accounting Principles</w:t>
      </w:r>
      <w:r w:rsidR="00FF1E70" w:rsidRPr="001A77AA" w:rsidDel="00FF1E70">
        <w:t xml:space="preserve"> </w:t>
      </w:r>
      <w:r w:rsidRPr="001A77AA">
        <w:t>(Direction approved 12 December 2002)</w:t>
      </w:r>
    </w:p>
    <w:p w14:paraId="65447AF6" w14:textId="77777777" w:rsidR="00254D72" w:rsidRPr="001A77AA" w:rsidRDefault="009527A2" w:rsidP="003B2C42">
      <w:pPr>
        <w:pStyle w:val="Bullet"/>
      </w:pPr>
      <w:r w:rsidRPr="001A77AA">
        <w:t>the AUASB to use auditing standards issued by the IAASB as a base from which to</w:t>
      </w:r>
      <w:r w:rsidR="00254D72" w:rsidRPr="001A77AA">
        <w:t>:</w:t>
      </w:r>
    </w:p>
    <w:p w14:paraId="32CC1A78" w14:textId="284BEA41" w:rsidR="00254D72" w:rsidRPr="001A77AA" w:rsidRDefault="009527A2" w:rsidP="003B2C42">
      <w:pPr>
        <w:pStyle w:val="Dash"/>
      </w:pPr>
      <w:r w:rsidRPr="001A77AA">
        <w:t>develop the Australian standards</w:t>
      </w:r>
    </w:p>
    <w:p w14:paraId="0BB38E88" w14:textId="0F90260B" w:rsidR="00254D72" w:rsidRPr="001A77AA" w:rsidRDefault="009527A2" w:rsidP="003B2C42">
      <w:pPr>
        <w:pStyle w:val="Dash"/>
      </w:pPr>
      <w:r w:rsidRPr="001A77AA">
        <w:t>develop auditing and assurance standards other than for historical financial information</w:t>
      </w:r>
    </w:p>
    <w:p w14:paraId="3407BD04" w14:textId="34AED697" w:rsidR="009527A2" w:rsidRPr="001A77AA" w:rsidRDefault="009527A2" w:rsidP="003B2C42">
      <w:pPr>
        <w:pStyle w:val="Dash"/>
      </w:pPr>
      <w:r w:rsidRPr="001A77AA">
        <w:t>participate in audit research that is conducive to the AUASB</w:t>
      </w:r>
      <w:r w:rsidR="009C134F" w:rsidRPr="001A77AA">
        <w:t>’</w:t>
      </w:r>
      <w:r w:rsidRPr="001A77AA">
        <w:t>s standard</w:t>
      </w:r>
      <w:r w:rsidR="009C134F" w:rsidRPr="001A77AA">
        <w:noBreakHyphen/>
      </w:r>
      <w:r w:rsidRPr="001A77AA">
        <w:t>setting activities (Direction approved 4 April 2005).</w:t>
      </w:r>
    </w:p>
    <w:p w14:paraId="27EB16C0" w14:textId="49E5B958" w:rsidR="009527A2" w:rsidRPr="001A77AA" w:rsidRDefault="009527A2" w:rsidP="003B2C42">
      <w:r w:rsidRPr="001A77AA">
        <w:t>These directions remain current and the FRC continues to monitor their appropriateness. The FRC is</w:t>
      </w:r>
      <w:r w:rsidR="0067118A">
        <w:t> </w:t>
      </w:r>
      <w:r w:rsidRPr="001A77AA">
        <w:t>satisfied that the AASB and the AUASB have implemented these directions.</w:t>
      </w:r>
    </w:p>
    <w:p w14:paraId="00D4847E" w14:textId="77777777" w:rsidR="009527A2" w:rsidRPr="001A77AA" w:rsidRDefault="009527A2" w:rsidP="000B66A2">
      <w:pPr>
        <w:pStyle w:val="Heading2"/>
        <w:rPr>
          <w:iCs w:val="0"/>
        </w:rPr>
      </w:pPr>
      <w:bookmarkStart w:id="32" w:name="_Toc177124037"/>
      <w:bookmarkStart w:id="33" w:name="_Toc177124862"/>
      <w:bookmarkStart w:id="34" w:name="_Toc241065232"/>
      <w:r w:rsidRPr="001A77AA">
        <w:rPr>
          <w:iCs w:val="0"/>
        </w:rPr>
        <w:t>Monitoring international developments</w:t>
      </w:r>
      <w:bookmarkEnd w:id="32"/>
      <w:bookmarkEnd w:id="33"/>
      <w:bookmarkEnd w:id="34"/>
    </w:p>
    <w:p w14:paraId="55336E2E" w14:textId="281031AA" w:rsidR="001E7BA8" w:rsidRPr="001A77AA" w:rsidRDefault="009527A2" w:rsidP="00BD3CA4">
      <w:r w:rsidRPr="001A77AA">
        <w:t>The FRC monitors the development of international standard</w:t>
      </w:r>
      <w:r w:rsidR="00B43F03" w:rsidRPr="001A77AA">
        <w:t xml:space="preserve"> </w:t>
      </w:r>
      <w:r w:rsidRPr="001A77AA">
        <w:t>setting in a range of ways, including by</w:t>
      </w:r>
      <w:r w:rsidR="001E7BA8" w:rsidRPr="001A77AA">
        <w:t>:</w:t>
      </w:r>
    </w:p>
    <w:p w14:paraId="020932D1" w14:textId="1D572103" w:rsidR="00C91ED8" w:rsidRPr="001A77AA" w:rsidRDefault="009527A2" w:rsidP="00531C63">
      <w:pPr>
        <w:pStyle w:val="Bullet"/>
      </w:pPr>
      <w:r w:rsidRPr="001A77AA">
        <w:t>inviting speakers from international financial reporting organisations to present at its meetings</w:t>
      </w:r>
    </w:p>
    <w:p w14:paraId="73EB86D9" w14:textId="329A248A" w:rsidR="009527A2" w:rsidRPr="001A77AA" w:rsidRDefault="009527A2" w:rsidP="00531C63">
      <w:pPr>
        <w:pStyle w:val="Bullet"/>
      </w:pPr>
      <w:r w:rsidRPr="001A77AA">
        <w:t xml:space="preserve">reviewing media from international bodies and other jurisdictions. </w:t>
      </w:r>
    </w:p>
    <w:p w14:paraId="2DA13210" w14:textId="54DEE74D" w:rsidR="009527A2" w:rsidRPr="001A77AA" w:rsidRDefault="009527A2" w:rsidP="00BD3CA4">
      <w:r w:rsidRPr="001A77AA">
        <w:t>The AASB and AUASB provide regular reports to the FRC on their efforts to build and enhance relationships with global and national standard</w:t>
      </w:r>
      <w:r w:rsidR="007367B9" w:rsidRPr="001A77AA">
        <w:t xml:space="preserve"> </w:t>
      </w:r>
      <w:r w:rsidRPr="001A77AA">
        <w:t>setters, through which the boards can monitor and influence international developments.</w:t>
      </w:r>
    </w:p>
    <w:p w14:paraId="1C0A5F2A" w14:textId="5C7A4E65" w:rsidR="009527A2" w:rsidRPr="001A77AA" w:rsidRDefault="009527A2" w:rsidP="00BD3CA4">
      <w:pPr>
        <w:pStyle w:val="Heading3"/>
      </w:pPr>
      <w:bookmarkStart w:id="35" w:name="_Toc177124038"/>
      <w:bookmarkStart w:id="36" w:name="_Toc177124700"/>
      <w:bookmarkStart w:id="37" w:name="_Toc177124863"/>
      <w:r w:rsidRPr="001A77AA">
        <w:t>International accounting standards</w:t>
      </w:r>
      <w:bookmarkEnd w:id="35"/>
      <w:bookmarkEnd w:id="36"/>
      <w:bookmarkEnd w:id="37"/>
    </w:p>
    <w:p w14:paraId="54F18F72" w14:textId="6D78BC51" w:rsidR="009527A2" w:rsidRPr="001A77AA" w:rsidRDefault="009527A2" w:rsidP="00BD3CA4">
      <w:r w:rsidRPr="001A77AA">
        <w:t xml:space="preserve">In line with </w:t>
      </w:r>
      <w:r w:rsidR="007004BC" w:rsidRPr="001A77AA">
        <w:t xml:space="preserve">the AASB’s </w:t>
      </w:r>
      <w:r w:rsidRPr="001A77AA">
        <w:t>mandate</w:t>
      </w:r>
      <w:r w:rsidR="007004BC" w:rsidRPr="001A77AA">
        <w:t xml:space="preserve"> under the ASIC Act</w:t>
      </w:r>
      <w:r w:rsidRPr="001A77AA">
        <w:t xml:space="preserve"> to </w:t>
      </w:r>
      <w:r w:rsidR="007D79C5">
        <w:t>participate in and contribute to the</w:t>
      </w:r>
      <w:r w:rsidRPr="001A77AA">
        <w:t xml:space="preserve"> development of a single set of accounting standards for world</w:t>
      </w:r>
      <w:r w:rsidR="000A6D67">
        <w:t>-</w:t>
      </w:r>
      <w:r w:rsidRPr="001A77AA">
        <w:t>wide use, the FRC supports the AASB</w:t>
      </w:r>
      <w:r w:rsidR="009C134F" w:rsidRPr="001A77AA">
        <w:t>’</w:t>
      </w:r>
      <w:r w:rsidRPr="001A77AA">
        <w:t>s adoption of the IFRS accounting standards issued</w:t>
      </w:r>
      <w:r w:rsidRPr="001A77AA">
        <w:rPr>
          <w:spacing w:val="-5"/>
        </w:rPr>
        <w:t xml:space="preserve"> </w:t>
      </w:r>
      <w:r w:rsidRPr="001A77AA">
        <w:t>by</w:t>
      </w:r>
      <w:r w:rsidRPr="001A77AA">
        <w:rPr>
          <w:spacing w:val="-5"/>
        </w:rPr>
        <w:t xml:space="preserve"> </w:t>
      </w:r>
      <w:r w:rsidRPr="001A77AA">
        <w:t>the</w:t>
      </w:r>
      <w:r w:rsidRPr="001A77AA">
        <w:rPr>
          <w:spacing w:val="-5"/>
        </w:rPr>
        <w:t xml:space="preserve"> </w:t>
      </w:r>
      <w:r w:rsidRPr="001A77AA">
        <w:t xml:space="preserve">IASB. These standards continue to have the most widespread impact, having been adopted in over </w:t>
      </w:r>
      <w:r w:rsidR="00D806F7" w:rsidRPr="001A77AA">
        <w:t>140 </w:t>
      </w:r>
      <w:r w:rsidRPr="001A77AA">
        <w:t>countries.</w:t>
      </w:r>
    </w:p>
    <w:p w14:paraId="6375BFF4" w14:textId="13076054" w:rsidR="00EE133F" w:rsidRPr="001A77AA" w:rsidRDefault="009527A2" w:rsidP="00BD3CA4">
      <w:r w:rsidRPr="001A77AA">
        <w:t>The AASB regularly reassesses the appropriateness of using the IFRS (rather than International Public Sector Accounting Standards Board (IPSASB) standards) as a base for the Australian public sector. The AASB also uses IPSASB guidance to modify IFRS for the not</w:t>
      </w:r>
      <w:r w:rsidR="009C134F" w:rsidRPr="001A77AA">
        <w:noBreakHyphen/>
      </w:r>
      <w:r w:rsidRPr="001A77AA">
        <w:t>for</w:t>
      </w:r>
      <w:r w:rsidR="009C134F" w:rsidRPr="001A77AA">
        <w:noBreakHyphen/>
      </w:r>
      <w:r w:rsidRPr="001A77AA">
        <w:t xml:space="preserve">profit sector where appropriate. </w:t>
      </w:r>
    </w:p>
    <w:p w14:paraId="4EF0666B" w14:textId="77777777" w:rsidR="00AE595B" w:rsidRPr="00AE595B" w:rsidRDefault="00AE595B" w:rsidP="00AE595B">
      <w:bookmarkStart w:id="38" w:name="_Toc177124039"/>
      <w:bookmarkStart w:id="39" w:name="_Toc177124701"/>
      <w:bookmarkStart w:id="40" w:name="_Toc177124864"/>
      <w:r w:rsidRPr="00AE595B">
        <w:br w:type="page"/>
      </w:r>
    </w:p>
    <w:p w14:paraId="1FD4E77A" w14:textId="3120B5EF" w:rsidR="009527A2" w:rsidRPr="001A77AA" w:rsidRDefault="009527A2" w:rsidP="00BD3CA4">
      <w:pPr>
        <w:pStyle w:val="Heading3"/>
      </w:pPr>
      <w:r w:rsidRPr="001A77AA">
        <w:lastRenderedPageBreak/>
        <w:t>International auditing standards</w:t>
      </w:r>
      <w:bookmarkEnd w:id="38"/>
      <w:bookmarkEnd w:id="39"/>
      <w:bookmarkEnd w:id="40"/>
    </w:p>
    <w:p w14:paraId="45C0F961" w14:textId="03C1F9F9" w:rsidR="009527A2" w:rsidRPr="001A77AA" w:rsidRDefault="009527A2" w:rsidP="00BD3CA4">
      <w:r w:rsidRPr="001A77AA">
        <w:t>The FRC supports the AUASB</w:t>
      </w:r>
      <w:r w:rsidR="009C134F" w:rsidRPr="001A77AA">
        <w:t>’</w:t>
      </w:r>
      <w:r w:rsidRPr="001A77AA">
        <w:t>s adoption of the international auditing standards issued by the IAASB. This is consistent with the AUASB</w:t>
      </w:r>
      <w:r w:rsidR="009C134F" w:rsidRPr="001A77AA">
        <w:t>’</w:t>
      </w:r>
      <w:r w:rsidRPr="001A77AA">
        <w:t>s mandate under the ASIC Act to</w:t>
      </w:r>
      <w:r w:rsidR="000832E4">
        <w:t xml:space="preserve"> participate in and contribute to </w:t>
      </w:r>
      <w:r w:rsidRPr="001A77AA">
        <w:t>the</w:t>
      </w:r>
      <w:r w:rsidR="0067118A">
        <w:t> </w:t>
      </w:r>
      <w:r w:rsidRPr="001A77AA">
        <w:t>development of a single set of auditing standards for world</w:t>
      </w:r>
      <w:r w:rsidR="000A6D67">
        <w:t>-</w:t>
      </w:r>
      <w:r w:rsidRPr="001A77AA">
        <w:t xml:space="preserve">wide use. </w:t>
      </w:r>
      <w:r w:rsidR="00A00C7A" w:rsidRPr="001A77AA">
        <w:t>IAASB</w:t>
      </w:r>
      <w:r w:rsidRPr="001A77AA">
        <w:t xml:space="preserve"> standards have been adopted in over 1</w:t>
      </w:r>
      <w:r w:rsidR="00A00C7A" w:rsidRPr="001A77AA">
        <w:t>30</w:t>
      </w:r>
      <w:r w:rsidR="00853157" w:rsidRPr="001A77AA">
        <w:t> </w:t>
      </w:r>
      <w:r w:rsidRPr="001A77AA">
        <w:t>countries.</w:t>
      </w:r>
    </w:p>
    <w:p w14:paraId="172BD1B6" w14:textId="03EA82BE" w:rsidR="009527A2" w:rsidRPr="001A77AA" w:rsidRDefault="00A33496" w:rsidP="00BD3CA4">
      <w:r w:rsidRPr="001A77AA">
        <w:t>The AUASB influences and contributes to the work of the IAASB through</w:t>
      </w:r>
      <w:r w:rsidR="009527A2" w:rsidRPr="001A77AA">
        <w:t>:</w:t>
      </w:r>
    </w:p>
    <w:p w14:paraId="0718F3EF" w14:textId="5D00A827" w:rsidR="009527A2" w:rsidRPr="001A77AA" w:rsidRDefault="00B968DB" w:rsidP="00531C63">
      <w:pPr>
        <w:pStyle w:val="Bullet"/>
      </w:pPr>
      <w:r w:rsidRPr="001A77AA">
        <w:t>t</w:t>
      </w:r>
      <w:r w:rsidR="009527A2" w:rsidRPr="001A77AA">
        <w:t>he AUASB Chair</w:t>
      </w:r>
      <w:r w:rsidR="009C134F" w:rsidRPr="001A77AA">
        <w:t>’</w:t>
      </w:r>
      <w:r w:rsidR="009527A2" w:rsidRPr="001A77AA">
        <w:t>s membership of the IAASB and IESBA Stakeholder Advisory Council</w:t>
      </w:r>
    </w:p>
    <w:p w14:paraId="6352CFDE" w14:textId="07278D9E" w:rsidR="009527A2" w:rsidRPr="001A77AA" w:rsidRDefault="00B968DB" w:rsidP="00531C63">
      <w:pPr>
        <w:pStyle w:val="Bullet"/>
      </w:pPr>
      <w:r w:rsidRPr="001A77AA">
        <w:t>p</w:t>
      </w:r>
      <w:r w:rsidR="009527A2" w:rsidRPr="001A77AA">
        <w:t>articipating in the Jurisdictional Standard Setters meetings with the IAASB</w:t>
      </w:r>
    </w:p>
    <w:p w14:paraId="7AFD72C1" w14:textId="6480B8E1" w:rsidR="009527A2" w:rsidRPr="001A77AA" w:rsidRDefault="00B968DB" w:rsidP="00531C63">
      <w:pPr>
        <w:pStyle w:val="Bullet"/>
      </w:pPr>
      <w:r w:rsidRPr="001A77AA">
        <w:t>o</w:t>
      </w:r>
      <w:r w:rsidR="009527A2" w:rsidRPr="001A77AA">
        <w:t>utreach to stakeholders and submissions on IAASB exposure drafts</w:t>
      </w:r>
    </w:p>
    <w:p w14:paraId="682840A9" w14:textId="1E0EBDD8" w:rsidR="009527A2" w:rsidRPr="001A77AA" w:rsidRDefault="00B968DB" w:rsidP="00531C63">
      <w:pPr>
        <w:pStyle w:val="Bullet"/>
      </w:pPr>
      <w:r w:rsidRPr="001A77AA">
        <w:t>m</w:t>
      </w:r>
      <w:r w:rsidR="009527A2" w:rsidRPr="001A77AA">
        <w:t>eetings with the Chair and staff of the IAASB on developments and key issues</w:t>
      </w:r>
    </w:p>
    <w:p w14:paraId="6B45789F" w14:textId="3804DF94" w:rsidR="009527A2" w:rsidRPr="001A77AA" w:rsidRDefault="00B968DB" w:rsidP="00531C63">
      <w:pPr>
        <w:pStyle w:val="Bullet"/>
      </w:pPr>
      <w:r w:rsidRPr="001A77AA">
        <w:t>s</w:t>
      </w:r>
      <w:r w:rsidR="009527A2" w:rsidRPr="001A77AA">
        <w:t xml:space="preserve">upporting a member of the IAASB by reviewing IAASB papers and providing suggestions on issues to be raised at IAASB meetings. </w:t>
      </w:r>
      <w:r w:rsidR="008863E6" w:rsidRPr="001A77AA">
        <w:t xml:space="preserve">The </w:t>
      </w:r>
      <w:r w:rsidR="009527A2" w:rsidRPr="001A77AA">
        <w:t xml:space="preserve">AUASB Director </w:t>
      </w:r>
      <w:r w:rsidR="00440723" w:rsidRPr="001A77AA">
        <w:t>(</w:t>
      </w:r>
      <w:r w:rsidR="009527A2" w:rsidRPr="001A77AA">
        <w:t>Technical</w:t>
      </w:r>
      <w:r w:rsidR="00440723" w:rsidRPr="001A77AA">
        <w:t>)</w:t>
      </w:r>
      <w:r w:rsidR="009527A2" w:rsidRPr="001A77AA">
        <w:t xml:space="preserve"> acts as an IAASB </w:t>
      </w:r>
      <w:r w:rsidRPr="001A77AA">
        <w:t>t</w:t>
      </w:r>
      <w:r w:rsidR="009527A2" w:rsidRPr="001A77AA">
        <w:t xml:space="preserve">echnical </w:t>
      </w:r>
      <w:r w:rsidRPr="001A77AA">
        <w:t>a</w:t>
      </w:r>
      <w:r w:rsidR="009527A2" w:rsidRPr="001A77AA">
        <w:t xml:space="preserve">dviser and provides detailed AUASB input to </w:t>
      </w:r>
      <w:r w:rsidR="008863E6" w:rsidRPr="001A77AA">
        <w:t>the member</w:t>
      </w:r>
      <w:r w:rsidR="009527A2" w:rsidRPr="001A77AA">
        <w:t>.</w:t>
      </w:r>
    </w:p>
    <w:p w14:paraId="72752340" w14:textId="58C4DFA8" w:rsidR="00136BB3" w:rsidRPr="001A77AA" w:rsidRDefault="00136BB3" w:rsidP="00136BB3">
      <w:bookmarkStart w:id="41" w:name="_Toc177124040"/>
      <w:bookmarkStart w:id="42" w:name="_Toc177124702"/>
      <w:bookmarkStart w:id="43" w:name="_Toc177124865"/>
      <w:r w:rsidRPr="001A77AA">
        <w:t>IAASB and AUASB auditing and assurance standards apply to private and public sector audits. Standards and application guidance specific to the audits and related services for public sector entities</w:t>
      </w:r>
      <w:r w:rsidR="0067118A">
        <w:t> </w:t>
      </w:r>
      <w:r w:rsidRPr="001A77AA">
        <w:t>are covered (where appropriate) by AUASB standards and guidance statements.</w:t>
      </w:r>
    </w:p>
    <w:p w14:paraId="768F7C83" w14:textId="246798E2" w:rsidR="009527A2" w:rsidRPr="001A77AA" w:rsidRDefault="009527A2" w:rsidP="00251D36">
      <w:pPr>
        <w:pStyle w:val="Heading3"/>
      </w:pPr>
      <w:r w:rsidRPr="001A77AA">
        <w:t xml:space="preserve">International </w:t>
      </w:r>
      <w:r w:rsidRPr="00251D36">
        <w:t>sustainability</w:t>
      </w:r>
      <w:r w:rsidRPr="001A77AA">
        <w:t xml:space="preserve"> standards</w:t>
      </w:r>
      <w:bookmarkEnd w:id="41"/>
      <w:bookmarkEnd w:id="42"/>
      <w:bookmarkEnd w:id="43"/>
      <w:r w:rsidRPr="001A77AA">
        <w:t xml:space="preserve"> </w:t>
      </w:r>
    </w:p>
    <w:p w14:paraId="4DAFD517" w14:textId="71E553D1" w:rsidR="00152B33" w:rsidRPr="001A77AA" w:rsidRDefault="004F7E6F" w:rsidP="00251D36">
      <w:r w:rsidRPr="001A77AA">
        <w:t>During</w:t>
      </w:r>
      <w:r w:rsidR="00152B33" w:rsidRPr="001A77AA">
        <w:t xml:space="preserve"> 2025</w:t>
      </w:r>
      <w:r w:rsidR="007E36D4" w:rsidRPr="001A77AA">
        <w:t>–</w:t>
      </w:r>
      <w:r w:rsidR="00152B33" w:rsidRPr="001A77AA">
        <w:t>26, the FRC closely monitored the ISSB</w:t>
      </w:r>
      <w:r w:rsidR="009C134F" w:rsidRPr="001A77AA">
        <w:t>’</w:t>
      </w:r>
      <w:r w:rsidR="00152B33" w:rsidRPr="001A77AA">
        <w:t>s activities, including its release of exposure drafts and sustainability standards.</w:t>
      </w:r>
      <w:r w:rsidR="00152B33" w:rsidRPr="001A77AA" w:rsidDel="00543109">
        <w:t xml:space="preserve"> </w:t>
      </w:r>
    </w:p>
    <w:p w14:paraId="6D8EB43C" w14:textId="6F41377A" w:rsidR="00152B33" w:rsidRPr="001A77AA" w:rsidRDefault="00152B33" w:rsidP="00251D36">
      <w:pPr>
        <w:rPr>
          <w:szCs w:val="22"/>
        </w:rPr>
      </w:pPr>
      <w:r w:rsidRPr="001A77AA">
        <w:rPr>
          <w:szCs w:val="22"/>
        </w:rPr>
        <w:t>The AASB and AUASB continued to support the implementation of Australia</w:t>
      </w:r>
      <w:r w:rsidR="009C134F" w:rsidRPr="001A77AA">
        <w:rPr>
          <w:szCs w:val="22"/>
        </w:rPr>
        <w:t>’</w:t>
      </w:r>
      <w:r w:rsidRPr="001A77AA">
        <w:rPr>
          <w:szCs w:val="22"/>
        </w:rPr>
        <w:t>s sustainability reporting</w:t>
      </w:r>
      <w:r w:rsidR="00251D36">
        <w:rPr>
          <w:szCs w:val="22"/>
        </w:rPr>
        <w:t> </w:t>
      </w:r>
      <w:r w:rsidRPr="001A77AA">
        <w:rPr>
          <w:szCs w:val="22"/>
        </w:rPr>
        <w:t>and assurance standards and contribute to the development of international sustainability reporting standards.</w:t>
      </w:r>
    </w:p>
    <w:p w14:paraId="16A55CAF" w14:textId="338D9CB0" w:rsidR="00152B33" w:rsidRPr="001A77AA" w:rsidRDefault="00152B33" w:rsidP="003B2C42">
      <w:pPr>
        <w:pStyle w:val="Bullet"/>
      </w:pPr>
      <w:r w:rsidRPr="001A77AA">
        <w:t xml:space="preserve">Following the release of AASB S1 </w:t>
      </w:r>
      <w:r w:rsidRPr="000C533D">
        <w:t>General Requirements for Disclosure of Sustainability</w:t>
      </w:r>
      <w:r w:rsidR="009C134F" w:rsidRPr="000C533D">
        <w:noBreakHyphen/>
      </w:r>
      <w:r w:rsidRPr="000C533D">
        <w:t>related Financial Information</w:t>
      </w:r>
      <w:r w:rsidRPr="001A77AA">
        <w:t xml:space="preserve"> and AASB S2 </w:t>
      </w:r>
      <w:r w:rsidRPr="000C533D">
        <w:t>Climate</w:t>
      </w:r>
      <w:r w:rsidR="009C134F" w:rsidRPr="000C533D">
        <w:noBreakHyphen/>
      </w:r>
      <w:r w:rsidRPr="000C533D">
        <w:t>related Disclosures</w:t>
      </w:r>
      <w:r w:rsidRPr="001A77AA">
        <w:t xml:space="preserve"> in September 2024, the AASB continued implementation support activities for AASB S2 throughout 2025–26.</w:t>
      </w:r>
    </w:p>
    <w:p w14:paraId="60E154DA" w14:textId="103AFF26" w:rsidR="00152B33" w:rsidRPr="001A77AA" w:rsidRDefault="00152B33" w:rsidP="003B2C42">
      <w:pPr>
        <w:pStyle w:val="Bullet"/>
      </w:pPr>
      <w:r w:rsidRPr="001A77AA">
        <w:t xml:space="preserve">The AASB lodged submissions to the ISSB on SASB/ED/2025/1 </w:t>
      </w:r>
      <w:r w:rsidRPr="000C533D">
        <w:t>Proposed Amendments to the SASB</w:t>
      </w:r>
      <w:r w:rsidR="0067118A">
        <w:t> </w:t>
      </w:r>
      <w:r w:rsidRPr="000C533D">
        <w:t>Standards</w:t>
      </w:r>
      <w:r w:rsidRPr="001A77AA">
        <w:t xml:space="preserve"> and ISSB/ED/2025/2 </w:t>
      </w:r>
      <w:r w:rsidRPr="000C533D">
        <w:t>Proposed Amendments to the Industry</w:t>
      </w:r>
      <w:r w:rsidR="009C134F" w:rsidRPr="000C533D">
        <w:noBreakHyphen/>
      </w:r>
      <w:r w:rsidRPr="000C533D">
        <w:t>based Guidance on Implementing IFRS S2</w:t>
      </w:r>
      <w:r w:rsidRPr="001A77AA">
        <w:t>.</w:t>
      </w:r>
    </w:p>
    <w:p w14:paraId="3F8120A3" w14:textId="0FC80EA6" w:rsidR="00152B33" w:rsidRPr="001A77AA" w:rsidRDefault="00152B33" w:rsidP="003B2C42">
      <w:pPr>
        <w:pStyle w:val="Bullet"/>
      </w:pPr>
      <w:r w:rsidRPr="001A77AA">
        <w:t xml:space="preserve">The AASB lodged a submission to the ISSB on Exposure Draft </w:t>
      </w:r>
      <w:r w:rsidRPr="000C533D">
        <w:t>Amendments to Greenhouse Gas</w:t>
      </w:r>
      <w:r w:rsidR="0067118A">
        <w:t> </w:t>
      </w:r>
      <w:r w:rsidRPr="000C533D">
        <w:t>Emissions Disclosures – Proposed amendments to IFRS S2</w:t>
      </w:r>
      <w:r w:rsidRPr="001A77AA">
        <w:t xml:space="preserve">. The AASB also lodged a joint submission, together with the UK Financial Reporting Council and the Sustainability Standards Board of Japan, on the same Exposure Draft. </w:t>
      </w:r>
    </w:p>
    <w:p w14:paraId="57CDE734" w14:textId="78E3FCF1" w:rsidR="00152B33" w:rsidRPr="001A77AA" w:rsidRDefault="00152B33" w:rsidP="003B2C42">
      <w:pPr>
        <w:pStyle w:val="Bullet"/>
      </w:pPr>
      <w:r w:rsidRPr="001A77AA">
        <w:t>In December 2025, the AASB issued AASB S2025</w:t>
      </w:r>
      <w:r w:rsidR="009C134F" w:rsidRPr="001A77AA">
        <w:noBreakHyphen/>
      </w:r>
      <w:r w:rsidRPr="001A77AA">
        <w:t xml:space="preserve">1, amending AASB S2 </w:t>
      </w:r>
      <w:r w:rsidRPr="000C533D">
        <w:t>Climate</w:t>
      </w:r>
      <w:r w:rsidR="009C134F" w:rsidRPr="000C533D">
        <w:noBreakHyphen/>
      </w:r>
      <w:r w:rsidRPr="000C533D">
        <w:t>related Disclosures</w:t>
      </w:r>
      <w:r w:rsidRPr="001A77AA">
        <w:t xml:space="preserve"> to clarify and extend relief from certain greenhouse gas (GHG) emissions disclosure requirements and amend the classification requirements for some GHG emissions. The amendments were informed by feedback received on ED SR2 </w:t>
      </w:r>
      <w:r w:rsidRPr="000C533D">
        <w:t>Amendments to Greenhouse Gas Emissions Disclosures – Proposed amendments to AASB S2</w:t>
      </w:r>
      <w:r w:rsidRPr="001A77AA">
        <w:t>.</w:t>
      </w:r>
    </w:p>
    <w:p w14:paraId="112B9581" w14:textId="389E3B6A" w:rsidR="00152B33" w:rsidRPr="001A77AA" w:rsidRDefault="00152B33" w:rsidP="003B2C42">
      <w:pPr>
        <w:pStyle w:val="Bullet"/>
      </w:pPr>
      <w:r w:rsidRPr="001A77AA">
        <w:t>The AASB continued to coordinate the AASB S2 Implementation Advisory Panel (IAP), a dedicated forum established to support consistent, principles</w:t>
      </w:r>
      <w:r w:rsidR="009C134F" w:rsidRPr="001A77AA">
        <w:noBreakHyphen/>
      </w:r>
      <w:r w:rsidRPr="001A77AA">
        <w:t xml:space="preserve">based application of AASB S2 across Australia. The IAP met </w:t>
      </w:r>
      <w:r w:rsidR="00F86A74">
        <w:t>3</w:t>
      </w:r>
      <w:r w:rsidRPr="001A77AA">
        <w:t xml:space="preserve"> times during </w:t>
      </w:r>
      <w:r w:rsidR="00BC723C" w:rsidRPr="001A77AA">
        <w:t>2025–26</w:t>
      </w:r>
      <w:r w:rsidRPr="001A77AA">
        <w:t>.</w:t>
      </w:r>
    </w:p>
    <w:p w14:paraId="501320A6" w14:textId="77777777" w:rsidR="00152B33" w:rsidRPr="001A77AA" w:rsidRDefault="00152B33" w:rsidP="00AE595B">
      <w:pPr>
        <w:pStyle w:val="Bullet"/>
        <w:keepNext/>
        <w:keepLines/>
      </w:pPr>
      <w:r w:rsidRPr="001A77AA">
        <w:lastRenderedPageBreak/>
        <w:t>The AASB expanded the AASB S2 Knowledge Hub, publishing educational materials on:</w:t>
      </w:r>
    </w:p>
    <w:p w14:paraId="08D84F48" w14:textId="35E1F958" w:rsidR="00152B33" w:rsidRPr="00251D36" w:rsidRDefault="00152B33" w:rsidP="00AE595B">
      <w:pPr>
        <w:pStyle w:val="Dash"/>
        <w:keepNext/>
        <w:keepLines/>
      </w:pPr>
      <w:r w:rsidRPr="00251D36">
        <w:t>comparing AASB S2 with the TCFD recommendations</w:t>
      </w:r>
    </w:p>
    <w:p w14:paraId="6D6641DD" w14:textId="39277D3C" w:rsidR="00152B33" w:rsidRPr="00251D36" w:rsidRDefault="00152B33" w:rsidP="00251D36">
      <w:pPr>
        <w:pStyle w:val="Dash"/>
      </w:pPr>
      <w:r w:rsidRPr="00251D36">
        <w:t>greenhouse gas emissions disclosures under AASB S2</w:t>
      </w:r>
    </w:p>
    <w:p w14:paraId="06F9AAC8" w14:textId="3AFC3F96" w:rsidR="00152B33" w:rsidRPr="00251D36" w:rsidRDefault="00152B33" w:rsidP="00251D36">
      <w:pPr>
        <w:pStyle w:val="Dash"/>
      </w:pPr>
      <w:r w:rsidRPr="00251D36">
        <w:t>proportionality mechanisms in AASB S2</w:t>
      </w:r>
    </w:p>
    <w:p w14:paraId="331978EC" w14:textId="04133997" w:rsidR="00152B33" w:rsidRPr="00251D36" w:rsidRDefault="00152B33" w:rsidP="00251D36">
      <w:pPr>
        <w:pStyle w:val="Dash"/>
      </w:pPr>
      <w:r w:rsidRPr="00251D36">
        <w:t>climate</w:t>
      </w:r>
      <w:r w:rsidR="009C134F" w:rsidRPr="00251D36">
        <w:noBreakHyphen/>
      </w:r>
      <w:r w:rsidRPr="00251D36">
        <w:t>related risks and opportunities and the disclosure of material information in AASB S2</w:t>
      </w:r>
    </w:p>
    <w:p w14:paraId="7340CD66" w14:textId="2096B36C" w:rsidR="00152B33" w:rsidRPr="00251D36" w:rsidRDefault="00152B33" w:rsidP="00251D36">
      <w:pPr>
        <w:pStyle w:val="Dash"/>
      </w:pPr>
      <w:r w:rsidRPr="00251D36">
        <w:t>climate resilience and climate</w:t>
      </w:r>
      <w:r w:rsidR="009C134F" w:rsidRPr="00251D36">
        <w:noBreakHyphen/>
      </w:r>
      <w:r w:rsidRPr="00251D36">
        <w:t>related scenario analysis requirements in AASB S2, including supporting video and slide resources</w:t>
      </w:r>
    </w:p>
    <w:p w14:paraId="1814AFD4" w14:textId="77777777" w:rsidR="00152B33" w:rsidRPr="001A77AA" w:rsidRDefault="00152B33" w:rsidP="00251D36">
      <w:pPr>
        <w:pStyle w:val="Dash"/>
      </w:pPr>
      <w:r w:rsidRPr="00251D36">
        <w:t>a comparison</w:t>
      </w:r>
      <w:r w:rsidRPr="001A77AA">
        <w:t xml:space="preserve"> of GHG emissions reporting under AASB S2 and the National Greenhouse and Energy Reporting Scheme developed in conjunction with the Commonwealth Scientific and Industrial Research Organisation.</w:t>
      </w:r>
    </w:p>
    <w:p w14:paraId="6CAA0F89" w14:textId="2281D72C" w:rsidR="00152B33" w:rsidRPr="001A77AA" w:rsidRDefault="00152B33" w:rsidP="003B2C42">
      <w:pPr>
        <w:pStyle w:val="Bullet"/>
      </w:pPr>
      <w:r w:rsidRPr="001A77AA">
        <w:t xml:space="preserve">The AASB partnered with ASIC and the University of Technology Sydney to develop </w:t>
      </w:r>
      <w:r w:rsidR="0043133E">
        <w:t>8</w:t>
      </w:r>
      <w:r w:rsidRPr="001A77AA">
        <w:t xml:space="preserve"> educational modules supporting foundational learning across the emerging climate reporting ecosystem. The modules cover the Corporations Act sustainability reporting requirements, climate</w:t>
      </w:r>
      <w:r w:rsidR="009C134F" w:rsidRPr="001A77AA">
        <w:noBreakHyphen/>
      </w:r>
      <w:r w:rsidRPr="001A77AA">
        <w:t>related risks and opportunities, emissions accounting, scenario analysis, governance and</w:t>
      </w:r>
      <w:r w:rsidR="0067118A">
        <w:t> </w:t>
      </w:r>
      <w:r w:rsidRPr="001A77AA">
        <w:t>risk management.</w:t>
      </w:r>
    </w:p>
    <w:p w14:paraId="5322EB76" w14:textId="6F011C35" w:rsidR="00152B33" w:rsidRPr="001A77AA" w:rsidRDefault="00152B33" w:rsidP="003B2C42">
      <w:pPr>
        <w:pStyle w:val="Bullet"/>
      </w:pPr>
      <w:r w:rsidRPr="001A77AA">
        <w:t>The AASB and ASIC also hosted a series in</w:t>
      </w:r>
      <w:r w:rsidR="009C134F" w:rsidRPr="001A77AA">
        <w:noBreakHyphen/>
      </w:r>
      <w:r w:rsidRPr="001A77AA">
        <w:t>person workshops and online webinars to support capacity</w:t>
      </w:r>
      <w:r w:rsidR="009C134F" w:rsidRPr="001A77AA">
        <w:noBreakHyphen/>
      </w:r>
      <w:r w:rsidRPr="001A77AA">
        <w:t>building for entities preparing for mandatory sustainability reporting requirements.</w:t>
      </w:r>
    </w:p>
    <w:p w14:paraId="7DAFEEE5" w14:textId="66C0D4A7" w:rsidR="00152B33" w:rsidRPr="001A77AA" w:rsidRDefault="00152B33" w:rsidP="003B2C42">
      <w:pPr>
        <w:pStyle w:val="Bullet"/>
      </w:pPr>
      <w:r w:rsidRPr="001A77AA">
        <w:t>The AASB facilitated 10 in</w:t>
      </w:r>
      <w:r w:rsidR="009C134F" w:rsidRPr="001A77AA">
        <w:noBreakHyphen/>
      </w:r>
      <w:r w:rsidRPr="001A77AA">
        <w:t>person Scenario Analysis Workshops across Australia to support reporting entities in applying the climate resilience and scenario analysis requirements of AASB S2.</w:t>
      </w:r>
    </w:p>
    <w:p w14:paraId="616CD002" w14:textId="03389627" w:rsidR="00152B33" w:rsidRPr="001A77AA" w:rsidRDefault="00152B33" w:rsidP="003B2C42">
      <w:pPr>
        <w:pStyle w:val="Bullet"/>
        <w:rPr>
          <w:szCs w:val="22"/>
        </w:rPr>
      </w:pPr>
      <w:r w:rsidRPr="001A77AA">
        <w:rPr>
          <w:szCs w:val="22"/>
        </w:rPr>
        <w:t xml:space="preserve">In partnership with the IFRS Foundation, the AASB delivered </w:t>
      </w:r>
      <w:r w:rsidR="00F86A74">
        <w:rPr>
          <w:szCs w:val="22"/>
        </w:rPr>
        <w:t>2</w:t>
      </w:r>
      <w:r w:rsidRPr="001A77AA">
        <w:rPr>
          <w:szCs w:val="22"/>
        </w:rPr>
        <w:t xml:space="preserve"> workshops in conjunction with the</w:t>
      </w:r>
      <w:r w:rsidR="0067118A">
        <w:rPr>
          <w:szCs w:val="22"/>
        </w:rPr>
        <w:t> </w:t>
      </w:r>
      <w:r w:rsidRPr="001A77AA">
        <w:rPr>
          <w:szCs w:val="22"/>
        </w:rPr>
        <w:t>ISSB Vice</w:t>
      </w:r>
      <w:r w:rsidR="009C134F" w:rsidRPr="001A77AA">
        <w:rPr>
          <w:szCs w:val="22"/>
        </w:rPr>
        <w:noBreakHyphen/>
      </w:r>
      <w:r w:rsidRPr="001A77AA">
        <w:rPr>
          <w:szCs w:val="22"/>
        </w:rPr>
        <w:t>Chair and ISSB Technical Director, focused on AASB S2 implementation. The AASB also facilitated an assurance practitioner</w:t>
      </w:r>
      <w:r w:rsidR="009C134F" w:rsidRPr="001A77AA">
        <w:rPr>
          <w:szCs w:val="22"/>
        </w:rPr>
        <w:noBreakHyphen/>
      </w:r>
      <w:r w:rsidRPr="001A77AA">
        <w:rPr>
          <w:szCs w:val="22"/>
        </w:rPr>
        <w:t>focused event featuring representatives from the ISSB, Greenhouse Gas Protocol, ASIC and the International Auditing and Assurance Standards Board.</w:t>
      </w:r>
    </w:p>
    <w:p w14:paraId="2674D0A4" w14:textId="2612E943" w:rsidR="00152B33" w:rsidRPr="001A77AA" w:rsidRDefault="00152B33" w:rsidP="003B2C42">
      <w:pPr>
        <w:pStyle w:val="Bullet"/>
        <w:rPr>
          <w:szCs w:val="22"/>
        </w:rPr>
      </w:pPr>
      <w:r w:rsidRPr="001A77AA">
        <w:rPr>
          <w:szCs w:val="22"/>
        </w:rPr>
        <w:t>Australia was appointed to SSAF, a global advisory body established by the IFRS Foundation to support the ISSB. Australia is represented on the SSAF by AASB staff.</w:t>
      </w:r>
    </w:p>
    <w:p w14:paraId="6A74FD57" w14:textId="34FC4A9D" w:rsidR="00152B33" w:rsidRPr="001A77AA" w:rsidRDefault="00152B33" w:rsidP="003B2C42">
      <w:pPr>
        <w:pStyle w:val="Bullet"/>
        <w:rPr>
          <w:szCs w:val="22"/>
        </w:rPr>
      </w:pPr>
      <w:r w:rsidRPr="001A77AA">
        <w:rPr>
          <w:szCs w:val="22"/>
        </w:rPr>
        <w:t>In July 2025, the AASB, AUASB and CA ANZ released an independent research report examining climate</w:t>
      </w:r>
      <w:r w:rsidR="009C134F" w:rsidRPr="001A77AA">
        <w:rPr>
          <w:szCs w:val="22"/>
        </w:rPr>
        <w:noBreakHyphen/>
      </w:r>
      <w:r w:rsidRPr="001A77AA">
        <w:rPr>
          <w:szCs w:val="22"/>
        </w:rPr>
        <w:t xml:space="preserve">related disclosures and assurance practices in the 2023 and 2024 annual reports of </w:t>
      </w:r>
      <w:r w:rsidR="00C24658" w:rsidRPr="00C24658">
        <w:rPr>
          <w:szCs w:val="22"/>
        </w:rPr>
        <w:t xml:space="preserve">Australian Securities Exchange </w:t>
      </w:r>
      <w:r w:rsidR="00C24658">
        <w:rPr>
          <w:szCs w:val="22"/>
        </w:rPr>
        <w:t>(</w:t>
      </w:r>
      <w:r w:rsidRPr="001A77AA">
        <w:rPr>
          <w:szCs w:val="22"/>
        </w:rPr>
        <w:t>ASX</w:t>
      </w:r>
      <w:r w:rsidR="00C24658">
        <w:rPr>
          <w:szCs w:val="22"/>
        </w:rPr>
        <w:t xml:space="preserve">) </w:t>
      </w:r>
      <w:r w:rsidRPr="001A77AA">
        <w:rPr>
          <w:szCs w:val="22"/>
        </w:rPr>
        <w:t>listed entities, with a focus on entities expected to become subject to mandatory reporting and assurance requirements. A further research report on preparedness for mandatory sustainability assurance will be published by the AUASB and CA ANZ in</w:t>
      </w:r>
      <w:r w:rsidR="0067118A">
        <w:rPr>
          <w:szCs w:val="22"/>
        </w:rPr>
        <w:t> </w:t>
      </w:r>
      <w:r w:rsidRPr="001A77AA">
        <w:rPr>
          <w:szCs w:val="22"/>
        </w:rPr>
        <w:t xml:space="preserve">August 2026. </w:t>
      </w:r>
    </w:p>
    <w:p w14:paraId="2527E3AD" w14:textId="4BD17843" w:rsidR="00152B33" w:rsidRPr="001A77AA" w:rsidRDefault="00152B33" w:rsidP="003B2C42">
      <w:pPr>
        <w:pStyle w:val="Bullet"/>
        <w:rPr>
          <w:szCs w:val="22"/>
        </w:rPr>
      </w:pPr>
      <w:r w:rsidRPr="001A77AA">
        <w:rPr>
          <w:szCs w:val="22"/>
        </w:rPr>
        <w:t>In September 2025, the AASB and the Korean Sustainability Standards Board published a joint research report analysing nature</w:t>
      </w:r>
      <w:r w:rsidR="009C134F" w:rsidRPr="001A77AA">
        <w:rPr>
          <w:szCs w:val="22"/>
        </w:rPr>
        <w:noBreakHyphen/>
      </w:r>
      <w:r w:rsidRPr="001A77AA">
        <w:rPr>
          <w:szCs w:val="22"/>
        </w:rPr>
        <w:t>related disclosures in annual and sustainability</w:t>
      </w:r>
      <w:r w:rsidR="009C134F" w:rsidRPr="001A77AA">
        <w:rPr>
          <w:szCs w:val="22"/>
        </w:rPr>
        <w:noBreakHyphen/>
      </w:r>
      <w:r w:rsidRPr="001A77AA">
        <w:rPr>
          <w:szCs w:val="22"/>
        </w:rPr>
        <w:t>related reports</w:t>
      </w:r>
      <w:r w:rsidR="0067118A">
        <w:rPr>
          <w:szCs w:val="22"/>
        </w:rPr>
        <w:t> </w:t>
      </w:r>
      <w:r w:rsidRPr="001A77AA">
        <w:rPr>
          <w:szCs w:val="22"/>
        </w:rPr>
        <w:t>issued between 2021 and 2023 by 110 publicly listed entities across 11 Global Industry Classification Standard sectors in Australia and Korea.</w:t>
      </w:r>
    </w:p>
    <w:p w14:paraId="06561B00" w14:textId="641EEB4E" w:rsidR="00152B33" w:rsidRPr="001A77AA" w:rsidRDefault="00152B33" w:rsidP="003B2C42">
      <w:pPr>
        <w:pStyle w:val="Bullet"/>
        <w:rPr>
          <w:szCs w:val="22"/>
        </w:rPr>
      </w:pPr>
      <w:r w:rsidRPr="001A77AA">
        <w:rPr>
          <w:szCs w:val="22"/>
        </w:rPr>
        <w:t>Throughout 2025–26, the AASB engaged extensively with stakeholders, discussing and/or presenting on sustainability reporting and climate</w:t>
      </w:r>
      <w:r w:rsidR="009C134F" w:rsidRPr="001A77AA">
        <w:rPr>
          <w:szCs w:val="22"/>
        </w:rPr>
        <w:noBreakHyphen/>
      </w:r>
      <w:r w:rsidRPr="001A77AA">
        <w:rPr>
          <w:szCs w:val="22"/>
        </w:rPr>
        <w:t>related financial disclosures at the:</w:t>
      </w:r>
    </w:p>
    <w:p w14:paraId="3056767D" w14:textId="1135EB6D" w:rsidR="00152B33" w:rsidRPr="001A77AA" w:rsidRDefault="00152B33" w:rsidP="00152B33">
      <w:pPr>
        <w:pStyle w:val="Dash"/>
        <w:rPr>
          <w:color w:val="auto"/>
        </w:rPr>
      </w:pPr>
      <w:r w:rsidRPr="001A77AA">
        <w:rPr>
          <w:color w:val="auto"/>
        </w:rPr>
        <w:t>17th Annual Meeting of the AOSSG</w:t>
      </w:r>
    </w:p>
    <w:p w14:paraId="000C68B0" w14:textId="5C957123" w:rsidR="00152B33" w:rsidRPr="001A77AA" w:rsidRDefault="00152B33" w:rsidP="00152B33">
      <w:pPr>
        <w:pStyle w:val="Dash"/>
        <w:rPr>
          <w:color w:val="auto"/>
        </w:rPr>
      </w:pPr>
      <w:r w:rsidRPr="001A77AA">
        <w:rPr>
          <w:color w:val="auto"/>
        </w:rPr>
        <w:t>2026 Forest Valuation Summit</w:t>
      </w:r>
    </w:p>
    <w:p w14:paraId="7718E227" w14:textId="6C2242EC" w:rsidR="00152B33" w:rsidRPr="001A77AA" w:rsidRDefault="00152B33" w:rsidP="00152B33">
      <w:pPr>
        <w:pStyle w:val="Dash"/>
        <w:rPr>
          <w:color w:val="auto"/>
        </w:rPr>
      </w:pPr>
      <w:r w:rsidRPr="001A77AA">
        <w:rPr>
          <w:color w:val="auto"/>
        </w:rPr>
        <w:t>2026 IFASS meeting</w:t>
      </w:r>
      <w:r w:rsidR="001D11C6" w:rsidRPr="001A77AA">
        <w:rPr>
          <w:color w:val="auto"/>
        </w:rPr>
        <w:t>, which was hosted by the AASB in Melbourne</w:t>
      </w:r>
    </w:p>
    <w:p w14:paraId="10A8F78C" w14:textId="192204A9" w:rsidR="00152B33" w:rsidRPr="001A77AA" w:rsidRDefault="00152B33" w:rsidP="00152B33">
      <w:pPr>
        <w:pStyle w:val="Dash"/>
        <w:rPr>
          <w:color w:val="auto"/>
        </w:rPr>
      </w:pPr>
      <w:r w:rsidRPr="001A77AA">
        <w:rPr>
          <w:color w:val="auto"/>
        </w:rPr>
        <w:t xml:space="preserve">2026 </w:t>
      </w:r>
      <w:r w:rsidR="005A0F2C" w:rsidRPr="005A0F2C">
        <w:rPr>
          <w:color w:val="auto"/>
        </w:rPr>
        <w:t xml:space="preserve">Responsible Investment Association Australasia </w:t>
      </w:r>
      <w:r w:rsidRPr="001A77AA">
        <w:rPr>
          <w:color w:val="auto"/>
        </w:rPr>
        <w:t>Conference</w:t>
      </w:r>
    </w:p>
    <w:p w14:paraId="3D2D5D0C" w14:textId="484C6543" w:rsidR="00152B33" w:rsidRPr="001A77AA" w:rsidRDefault="00152B33" w:rsidP="00152B33">
      <w:pPr>
        <w:pStyle w:val="Dash"/>
        <w:rPr>
          <w:color w:val="auto"/>
        </w:rPr>
      </w:pPr>
      <w:r w:rsidRPr="001A77AA">
        <w:rPr>
          <w:color w:val="auto"/>
        </w:rPr>
        <w:t xml:space="preserve">24th </w:t>
      </w:r>
      <w:r w:rsidR="00CE3B94" w:rsidRPr="00CE3B94">
        <w:rPr>
          <w:color w:val="auto"/>
        </w:rPr>
        <w:t>Australasian Centre for Social and Environmental Accounting Research</w:t>
      </w:r>
      <w:r w:rsidR="00CE3B94">
        <w:rPr>
          <w:color w:val="auto"/>
        </w:rPr>
        <w:t xml:space="preserve"> (</w:t>
      </w:r>
      <w:r w:rsidRPr="001A77AA">
        <w:rPr>
          <w:color w:val="auto"/>
        </w:rPr>
        <w:t>A</w:t>
      </w:r>
      <w:r w:rsidR="009C134F" w:rsidRPr="001A77AA">
        <w:rPr>
          <w:color w:val="auto"/>
        </w:rPr>
        <w:noBreakHyphen/>
      </w:r>
      <w:r w:rsidRPr="001A77AA">
        <w:rPr>
          <w:color w:val="auto"/>
        </w:rPr>
        <w:t>CSEAR</w:t>
      </w:r>
      <w:r w:rsidR="00CE3B94">
        <w:rPr>
          <w:color w:val="auto"/>
        </w:rPr>
        <w:t>)</w:t>
      </w:r>
      <w:r w:rsidR="00251D36">
        <w:rPr>
          <w:color w:val="auto"/>
        </w:rPr>
        <w:t> </w:t>
      </w:r>
      <w:r w:rsidRPr="001A77AA">
        <w:rPr>
          <w:color w:val="auto"/>
        </w:rPr>
        <w:t>Conference</w:t>
      </w:r>
    </w:p>
    <w:p w14:paraId="10576F20" w14:textId="4BC67405" w:rsidR="00152B33" w:rsidRPr="001A77AA" w:rsidRDefault="00152B33" w:rsidP="00152B33">
      <w:pPr>
        <w:pStyle w:val="Dash"/>
        <w:rPr>
          <w:color w:val="auto"/>
        </w:rPr>
      </w:pPr>
      <w:r w:rsidRPr="001A77AA">
        <w:rPr>
          <w:color w:val="auto"/>
        </w:rPr>
        <w:lastRenderedPageBreak/>
        <w:t>AASB Sustainability Research Forum</w:t>
      </w:r>
    </w:p>
    <w:p w14:paraId="054EE955" w14:textId="175DC17B" w:rsidR="00152B33" w:rsidRPr="001A77AA" w:rsidRDefault="00152B33" w:rsidP="00152B33">
      <w:pPr>
        <w:pStyle w:val="Dash"/>
        <w:rPr>
          <w:color w:val="auto"/>
        </w:rPr>
      </w:pPr>
      <w:r w:rsidRPr="001A77AA">
        <w:rPr>
          <w:color w:val="auto"/>
        </w:rPr>
        <w:t>CA ANZ Annual Conference</w:t>
      </w:r>
    </w:p>
    <w:p w14:paraId="3F5A1907" w14:textId="02D4411D" w:rsidR="00152B33" w:rsidRPr="001A77AA" w:rsidRDefault="00152B33" w:rsidP="00152B33">
      <w:pPr>
        <w:pStyle w:val="Dash"/>
        <w:rPr>
          <w:color w:val="auto"/>
        </w:rPr>
      </w:pPr>
      <w:r w:rsidRPr="001A77AA">
        <w:rPr>
          <w:color w:val="auto"/>
        </w:rPr>
        <w:t>CA ANZ Sustainability Conference</w:t>
      </w:r>
    </w:p>
    <w:p w14:paraId="7E7EEF64" w14:textId="70EA95EC" w:rsidR="00152B33" w:rsidRPr="001A77AA" w:rsidRDefault="00D76343" w:rsidP="00152B33">
      <w:pPr>
        <w:pStyle w:val="Dash"/>
        <w:rPr>
          <w:color w:val="auto"/>
        </w:rPr>
      </w:pPr>
      <w:r w:rsidRPr="00D76343">
        <w:rPr>
          <w:color w:val="auto"/>
        </w:rPr>
        <w:t>The Fiji Institute of Chartered Accountants</w:t>
      </w:r>
      <w:r>
        <w:rPr>
          <w:color w:val="auto"/>
        </w:rPr>
        <w:t xml:space="preserve"> </w:t>
      </w:r>
      <w:r w:rsidR="00152B33" w:rsidRPr="001A77AA">
        <w:rPr>
          <w:color w:val="auto"/>
        </w:rPr>
        <w:t>Annual Conference</w:t>
      </w:r>
    </w:p>
    <w:p w14:paraId="66B2C4F7" w14:textId="60D92A39" w:rsidR="00152B33" w:rsidRPr="001A77AA" w:rsidRDefault="00152B33" w:rsidP="00152B33">
      <w:pPr>
        <w:pStyle w:val="Dash"/>
        <w:rPr>
          <w:color w:val="auto"/>
        </w:rPr>
      </w:pPr>
      <w:r w:rsidRPr="001A77AA">
        <w:rPr>
          <w:color w:val="auto"/>
        </w:rPr>
        <w:t>Hunter Sustainability Network Champion Event</w:t>
      </w:r>
    </w:p>
    <w:p w14:paraId="733B1876" w14:textId="2CC64EAD" w:rsidR="00152B33" w:rsidRPr="001A77AA" w:rsidRDefault="000B7955" w:rsidP="00152B33">
      <w:pPr>
        <w:pStyle w:val="Dash"/>
        <w:rPr>
          <w:color w:val="auto"/>
        </w:rPr>
      </w:pPr>
      <w:r w:rsidRPr="000B7955">
        <w:rPr>
          <w:color w:val="auto"/>
        </w:rPr>
        <w:t>The Institute of Chartered Accountants of India</w:t>
      </w:r>
      <w:r>
        <w:rPr>
          <w:color w:val="auto"/>
        </w:rPr>
        <w:t xml:space="preserve"> </w:t>
      </w:r>
      <w:r w:rsidR="00152B33" w:rsidRPr="001A77AA">
        <w:rPr>
          <w:color w:val="auto"/>
        </w:rPr>
        <w:t>Melbourne Chapter 7th Annual Conference</w:t>
      </w:r>
    </w:p>
    <w:p w14:paraId="3D2653D0" w14:textId="23E85820" w:rsidR="00152B33" w:rsidRPr="001A77AA" w:rsidRDefault="00152B33" w:rsidP="00152B33">
      <w:pPr>
        <w:pStyle w:val="Dash"/>
        <w:rPr>
          <w:color w:val="auto"/>
        </w:rPr>
      </w:pPr>
      <w:r w:rsidRPr="001A77AA">
        <w:rPr>
          <w:color w:val="auto"/>
        </w:rPr>
        <w:t xml:space="preserve">Industry Capability Network Virtual Climate Reporting </w:t>
      </w:r>
      <w:r w:rsidR="00FC711D">
        <w:rPr>
          <w:color w:val="auto"/>
        </w:rPr>
        <w:t>and</w:t>
      </w:r>
      <w:r w:rsidRPr="001A77AA">
        <w:rPr>
          <w:color w:val="auto"/>
        </w:rPr>
        <w:t xml:space="preserve"> Procurement Roundtable</w:t>
      </w:r>
    </w:p>
    <w:p w14:paraId="026A309A" w14:textId="77777777" w:rsidR="00152B33" w:rsidRPr="001A77AA" w:rsidRDefault="00152B33" w:rsidP="00152B33">
      <w:pPr>
        <w:pStyle w:val="Dash"/>
        <w:rPr>
          <w:color w:val="auto"/>
        </w:rPr>
      </w:pPr>
      <w:r w:rsidRPr="000C533D">
        <w:rPr>
          <w:color w:val="auto"/>
        </w:rPr>
        <w:t>Resilience to Climate Change and Natural Hazards: Better Decisions, Strategy and Disclosure</w:t>
      </w:r>
      <w:r w:rsidRPr="001A77AA">
        <w:rPr>
          <w:color w:val="auto"/>
        </w:rPr>
        <w:t xml:space="preserve"> event hosted by WSP</w:t>
      </w:r>
    </w:p>
    <w:p w14:paraId="3ED735D9" w14:textId="0F08C1AD" w:rsidR="00152B33" w:rsidRPr="001A77AA" w:rsidRDefault="00152B33" w:rsidP="00152B33">
      <w:pPr>
        <w:pStyle w:val="Dash"/>
        <w:rPr>
          <w:color w:val="auto"/>
        </w:rPr>
      </w:pPr>
      <w:r w:rsidRPr="001A77AA">
        <w:rPr>
          <w:color w:val="auto"/>
        </w:rPr>
        <w:t>Sustainability Business Live Conference</w:t>
      </w:r>
    </w:p>
    <w:p w14:paraId="61399E9F" w14:textId="7AAB2074" w:rsidR="00152B33" w:rsidRPr="001A77AA" w:rsidRDefault="00722AB0" w:rsidP="00152B33">
      <w:pPr>
        <w:pStyle w:val="Dash"/>
      </w:pPr>
      <w:r w:rsidRPr="00722AB0">
        <w:rPr>
          <w:color w:val="auto"/>
        </w:rPr>
        <w:t>UN Global Compact Network Australia</w:t>
      </w:r>
      <w:r>
        <w:rPr>
          <w:color w:val="auto"/>
        </w:rPr>
        <w:t xml:space="preserve"> </w:t>
      </w:r>
      <w:r w:rsidR="00152B33" w:rsidRPr="001A77AA">
        <w:rPr>
          <w:color w:val="auto"/>
        </w:rPr>
        <w:t>Sustainability Reporting Community of Practice.</w:t>
      </w:r>
    </w:p>
    <w:p w14:paraId="7A8733F7" w14:textId="63DB4EE8" w:rsidR="00152B33" w:rsidRPr="001A77AA" w:rsidRDefault="00152B33" w:rsidP="003B2C42">
      <w:pPr>
        <w:pStyle w:val="Bullet"/>
        <w:keepNext/>
        <w:keepLines/>
      </w:pPr>
      <w:r w:rsidRPr="001A77AA">
        <w:t xml:space="preserve">The AUASB amended ASSA 5000 and ASA 102 to adopt the revised APES </w:t>
      </w:r>
      <w:r w:rsidRPr="000C533D">
        <w:t>110 Code of Ethics for</w:t>
      </w:r>
      <w:r w:rsidR="0000637E" w:rsidRPr="000C533D">
        <w:t> </w:t>
      </w:r>
      <w:r w:rsidRPr="000C533D">
        <w:t xml:space="preserve">Professional Accountants </w:t>
      </w:r>
      <w:r w:rsidRPr="001A77AA">
        <w:t xml:space="preserve">that includes new ethical and independence requirements for sustainability assurance. In June 2025, the AUASB amended ASSA 5000 </w:t>
      </w:r>
      <w:r w:rsidRPr="000C533D">
        <w:t>General Requirements for</w:t>
      </w:r>
      <w:r w:rsidR="0000637E" w:rsidRPr="000C533D">
        <w:t> </w:t>
      </w:r>
      <w:r w:rsidRPr="000C533D">
        <w:t>Sustainability Assurance Engagements</w:t>
      </w:r>
      <w:r w:rsidRPr="001A77AA">
        <w:t xml:space="preserve"> to address practical implementation matters related to</w:t>
      </w:r>
      <w:r w:rsidR="0000637E" w:rsidRPr="001A77AA">
        <w:t> </w:t>
      </w:r>
      <w:r w:rsidRPr="001A77AA">
        <w:t>ethics and effective date matters. In July 2025, the AUASB made further amendments to ASSA</w:t>
      </w:r>
      <w:r w:rsidR="00D609D4" w:rsidRPr="001A77AA">
        <w:t> </w:t>
      </w:r>
      <w:r w:rsidRPr="001A77AA">
        <w:t>5000 and consequential amendments to ASA 102 to adopt the revised APES 110.</w:t>
      </w:r>
    </w:p>
    <w:p w14:paraId="2FE194C0" w14:textId="5479C900" w:rsidR="00152B33" w:rsidRPr="001A77AA" w:rsidRDefault="00152B33" w:rsidP="003B2C42">
      <w:pPr>
        <w:pStyle w:val="Bullet"/>
      </w:pPr>
      <w:r w:rsidRPr="001A77AA">
        <w:t>The AUASB amended ASSA 5010 to require the approach for the phasing in of assurance for Group</w:t>
      </w:r>
      <w:r w:rsidR="00A322AE" w:rsidRPr="001A77AA">
        <w:t> </w:t>
      </w:r>
      <w:r w:rsidRPr="001A77AA">
        <w:t xml:space="preserve">1, 2 and 3 entities to be applied for voluntary sustainability reports under the </w:t>
      </w:r>
      <w:r w:rsidRPr="000C533D">
        <w:t>Corporations</w:t>
      </w:r>
      <w:r w:rsidR="00A322AE" w:rsidRPr="000C533D">
        <w:t> </w:t>
      </w:r>
      <w:r w:rsidRPr="000C533D">
        <w:t>Act</w:t>
      </w:r>
      <w:r w:rsidRPr="001A77AA">
        <w:t xml:space="preserve">. </w:t>
      </w:r>
    </w:p>
    <w:p w14:paraId="7C1453B3" w14:textId="701EBC55" w:rsidR="00152B33" w:rsidRPr="001A77AA" w:rsidRDefault="00152B33" w:rsidP="003B2C42">
      <w:pPr>
        <w:pStyle w:val="Bullet"/>
      </w:pPr>
      <w:r w:rsidRPr="001A77AA">
        <w:t xml:space="preserve">The AUASB issued exposure draft ED 03/25, which proposed to add </w:t>
      </w:r>
      <w:r w:rsidR="00F86A74">
        <w:t>4</w:t>
      </w:r>
      <w:r w:rsidRPr="001A77AA">
        <w:t xml:space="preserve"> more illustrative Corporations Act auditor</w:t>
      </w:r>
      <w:r w:rsidR="009C134F" w:rsidRPr="001A77AA">
        <w:t>’</w:t>
      </w:r>
      <w:r w:rsidRPr="001A77AA">
        <w:t>s reports to ASSA 5000 to promote consistent reporting. After considering feedback received, the AUASB issued Illustrative Corporations Act Sustainability Assurance Reports in early January 2026.</w:t>
      </w:r>
    </w:p>
    <w:p w14:paraId="32DC04F2" w14:textId="19FBE824" w:rsidR="00152B33" w:rsidRPr="001A77AA" w:rsidRDefault="00152B33" w:rsidP="003B2C42">
      <w:pPr>
        <w:pStyle w:val="Bullet"/>
      </w:pPr>
      <w:r w:rsidRPr="001A77AA">
        <w:t>The AUASB participated in the IAASB</w:t>
      </w:r>
      <w:r w:rsidR="009C134F" w:rsidRPr="001A77AA">
        <w:t>’</w:t>
      </w:r>
      <w:r w:rsidRPr="001A77AA">
        <w:t xml:space="preserve">s Working Group developing supplementary illustrative assurance reports, which were released in November 2025. </w:t>
      </w:r>
    </w:p>
    <w:p w14:paraId="3DB688C3" w14:textId="70056E0A" w:rsidR="00152B33" w:rsidRPr="001A77AA" w:rsidRDefault="00152B33" w:rsidP="00251D36">
      <w:pPr>
        <w:pStyle w:val="Bullet"/>
      </w:pPr>
      <w:r w:rsidRPr="001A77AA">
        <w:t xml:space="preserve">The </w:t>
      </w:r>
      <w:r w:rsidR="003C0F34">
        <w:t>AUASB</w:t>
      </w:r>
      <w:r w:rsidRPr="001A77AA">
        <w:t xml:space="preserve"> engaged extensively with stakeholders, discussing and/or presenting on sustainability </w:t>
      </w:r>
      <w:r w:rsidRPr="00251D36">
        <w:t>assurance</w:t>
      </w:r>
      <w:r w:rsidRPr="001A77AA">
        <w:t xml:space="preserve"> matters at the following:</w:t>
      </w:r>
    </w:p>
    <w:p w14:paraId="1EA97A4E" w14:textId="49EE51F6" w:rsidR="00152B33" w:rsidRPr="001A77AA" w:rsidRDefault="00152B33" w:rsidP="003B2C42">
      <w:pPr>
        <w:pStyle w:val="Dash"/>
      </w:pPr>
      <w:r w:rsidRPr="001A77AA">
        <w:t>a virtual roundtable to seek feedback from stakeholders on ED 02/25 and ED 03/25</w:t>
      </w:r>
    </w:p>
    <w:p w14:paraId="66C5D787" w14:textId="56CB3583" w:rsidR="00152B33" w:rsidRPr="001A77AA" w:rsidRDefault="00152B33" w:rsidP="003B2C42">
      <w:pPr>
        <w:pStyle w:val="Dash"/>
      </w:pPr>
      <w:r w:rsidRPr="001A77AA">
        <w:t>the CA ANZ Accounting and Audit Conference in May 2026</w:t>
      </w:r>
    </w:p>
    <w:p w14:paraId="4EEA440A" w14:textId="5F20F9BD" w:rsidR="00152B33" w:rsidRPr="001A77AA" w:rsidRDefault="00152B33" w:rsidP="003B2C42">
      <w:pPr>
        <w:pStyle w:val="Dash"/>
      </w:pPr>
      <w:r w:rsidRPr="001A77AA">
        <w:t>the Accounting and Finance Association of Australia and New Zealand Conference in July</w:t>
      </w:r>
      <w:r w:rsidR="0000637E" w:rsidRPr="001A77AA">
        <w:t> </w:t>
      </w:r>
      <w:r w:rsidRPr="001A77AA">
        <w:t>2025</w:t>
      </w:r>
    </w:p>
    <w:p w14:paraId="0C40FFFD" w14:textId="09400574" w:rsidR="00152B33" w:rsidRPr="001A77AA" w:rsidRDefault="00152B33" w:rsidP="003B2C42">
      <w:pPr>
        <w:pStyle w:val="Dash"/>
      </w:pPr>
      <w:r w:rsidRPr="001A77AA">
        <w:t>the Clean Energy Regulator</w:t>
      </w:r>
      <w:r w:rsidR="009C134F" w:rsidRPr="001A77AA">
        <w:t>’</w:t>
      </w:r>
      <w:r w:rsidRPr="001A77AA">
        <w:t>s annual auditor forum in Melbourne and Sydney</w:t>
      </w:r>
    </w:p>
    <w:p w14:paraId="34A943E9" w14:textId="00F64406" w:rsidR="00152B33" w:rsidRPr="001A77AA" w:rsidRDefault="00152B33" w:rsidP="003B2C42">
      <w:pPr>
        <w:pStyle w:val="Dash"/>
      </w:pPr>
      <w:r w:rsidRPr="001A77AA">
        <w:t>a forum with larger audit firms, also involving the ISSB Vice Chair and a member of the GHG</w:t>
      </w:r>
      <w:r w:rsidR="00B579CC">
        <w:t> </w:t>
      </w:r>
      <w:r w:rsidRPr="001A77AA">
        <w:t>Protocol Group</w:t>
      </w:r>
    </w:p>
    <w:p w14:paraId="5C9F018F" w14:textId="091E8CA8" w:rsidR="00152B33" w:rsidRPr="001A77AA" w:rsidRDefault="00152B33" w:rsidP="003B2C42">
      <w:pPr>
        <w:pStyle w:val="Dash"/>
      </w:pPr>
      <w:r w:rsidRPr="001A77AA">
        <w:t>a forum with mid</w:t>
      </w:r>
      <w:r w:rsidR="009C134F" w:rsidRPr="001A77AA">
        <w:noBreakHyphen/>
      </w:r>
      <w:r w:rsidRPr="001A77AA">
        <w:t>tier firms in Melbourne</w:t>
      </w:r>
    </w:p>
    <w:p w14:paraId="5B0BA277" w14:textId="4C008735" w:rsidR="00152B33" w:rsidRPr="001A77AA" w:rsidRDefault="00152B33" w:rsidP="003B2C42">
      <w:pPr>
        <w:pStyle w:val="Dash"/>
      </w:pPr>
      <w:r w:rsidRPr="001A77AA">
        <w:t>Sustainability Live June 2026 in Melbourne</w:t>
      </w:r>
    </w:p>
    <w:p w14:paraId="68648F10" w14:textId="486F329D" w:rsidR="00152B33" w:rsidRPr="001A77AA" w:rsidRDefault="00451FB8" w:rsidP="003B2C42">
      <w:pPr>
        <w:pStyle w:val="Dash"/>
      </w:pPr>
      <w:r>
        <w:t>r</w:t>
      </w:r>
      <w:r w:rsidR="00BB54C5" w:rsidRPr="001A77AA">
        <w:t>egular</w:t>
      </w:r>
      <w:r w:rsidR="00152B33" w:rsidRPr="001A77AA">
        <w:t xml:space="preserve"> meetings of the CA ANZ Sustainability Research Group and the Large National Networks Discussion Group, as well as meetings with individual stakeholders</w:t>
      </w:r>
      <w:r w:rsidR="007163CF" w:rsidRPr="001A77AA">
        <w:t>.</w:t>
      </w:r>
    </w:p>
    <w:p w14:paraId="74D13EDD" w14:textId="77777777" w:rsidR="00152B33" w:rsidRPr="001A77AA" w:rsidRDefault="00152B33" w:rsidP="008C6F05">
      <w:pPr>
        <w:pStyle w:val="Bullet"/>
        <w:keepNext/>
        <w:keepLines/>
      </w:pPr>
      <w:r w:rsidRPr="001A77AA">
        <w:rPr>
          <w:szCs w:val="22"/>
        </w:rPr>
        <w:lastRenderedPageBreak/>
        <w:t>The AUASB</w:t>
      </w:r>
      <w:r w:rsidRPr="001A77AA">
        <w:t xml:space="preserve"> issued implementation support materials that appear on the AUASB website, including:</w:t>
      </w:r>
    </w:p>
    <w:p w14:paraId="1A658D43" w14:textId="6CF586D3" w:rsidR="00152B33" w:rsidRPr="001A77AA" w:rsidRDefault="00BB54C5" w:rsidP="008C6F05">
      <w:pPr>
        <w:pStyle w:val="Dash"/>
        <w:keepNext/>
        <w:keepLines/>
      </w:pPr>
      <w:r>
        <w:t>k</w:t>
      </w:r>
      <w:r w:rsidRPr="001A77AA">
        <w:t xml:space="preserve">ey </w:t>
      </w:r>
      <w:r w:rsidR="00152B33" w:rsidRPr="001A77AA">
        <w:t>messages for preparers and auditors</w:t>
      </w:r>
    </w:p>
    <w:p w14:paraId="44E9093F" w14:textId="77777777" w:rsidR="00152B33" w:rsidRPr="001A77AA" w:rsidRDefault="00152B33" w:rsidP="008C6F05">
      <w:pPr>
        <w:pStyle w:val="Dash"/>
        <w:keepNext/>
        <w:keepLines/>
      </w:pPr>
      <w:r w:rsidRPr="001A77AA">
        <w:t>FAQs on complex assurance matters under the local reporting framework</w:t>
      </w:r>
    </w:p>
    <w:p w14:paraId="3B14A1C9" w14:textId="22424C08" w:rsidR="00152B33" w:rsidRPr="001A77AA" w:rsidRDefault="00BB54C5" w:rsidP="003B2C42">
      <w:pPr>
        <w:pStyle w:val="Dash"/>
      </w:pPr>
      <w:r>
        <w:t>i</w:t>
      </w:r>
      <w:r w:rsidRPr="001A77AA">
        <w:t xml:space="preserve">llustrative </w:t>
      </w:r>
      <w:r w:rsidR="00152B33" w:rsidRPr="001A77AA">
        <w:t>Corporations Act assurance reports</w:t>
      </w:r>
    </w:p>
    <w:p w14:paraId="218F6514" w14:textId="0FFF0707" w:rsidR="00152B33" w:rsidRPr="001A77AA" w:rsidRDefault="00BB54C5" w:rsidP="003B2C42">
      <w:pPr>
        <w:pStyle w:val="Dash"/>
        <w:rPr>
          <w:color w:val="auto"/>
        </w:rPr>
      </w:pPr>
      <w:r>
        <w:rPr>
          <w:color w:val="auto"/>
        </w:rPr>
        <w:t>e</w:t>
      </w:r>
      <w:r w:rsidRPr="001A77AA">
        <w:rPr>
          <w:color w:val="auto"/>
        </w:rPr>
        <w:t>ducative</w:t>
      </w:r>
      <w:r w:rsidR="00152B33" w:rsidRPr="001A77AA">
        <w:rPr>
          <w:color w:val="auto"/>
        </w:rPr>
        <w:t xml:space="preserve"> materials, including a table providing links to </w:t>
      </w:r>
      <w:r w:rsidR="00152B33" w:rsidRPr="001A77AA">
        <w:t>AUASB and IAASB standards and guidance for each assurance area</w:t>
      </w:r>
      <w:r w:rsidR="00152B33" w:rsidRPr="001A77AA">
        <w:rPr>
          <w:color w:val="auto"/>
        </w:rPr>
        <w:t>.</w:t>
      </w:r>
    </w:p>
    <w:p w14:paraId="1595CE1D" w14:textId="57717BC0" w:rsidR="00152B33" w:rsidRPr="001A77AA" w:rsidRDefault="00152B33" w:rsidP="003B2C42">
      <w:pPr>
        <w:pStyle w:val="Bullet"/>
      </w:pPr>
      <w:r w:rsidRPr="001A77AA">
        <w:rPr>
          <w:szCs w:val="22"/>
        </w:rPr>
        <w:t>The AUASB</w:t>
      </w:r>
      <w:r w:rsidRPr="001A77AA">
        <w:t xml:space="preserve"> has developed and is consulting on guidance on assurance for financed emissions using a data provider.</w:t>
      </w:r>
    </w:p>
    <w:p w14:paraId="1425E261" w14:textId="77777777" w:rsidR="004F6D6D" w:rsidRPr="001A77AA" w:rsidRDefault="009527A2" w:rsidP="00251D36">
      <w:pPr>
        <w:pStyle w:val="Heading3"/>
      </w:pPr>
      <w:bookmarkStart w:id="44" w:name="_Toc177124041"/>
      <w:bookmarkStart w:id="45" w:name="_Toc177124703"/>
      <w:bookmarkStart w:id="46" w:name="_Toc177124866"/>
      <w:r w:rsidRPr="00251D36">
        <w:t>International</w:t>
      </w:r>
      <w:r w:rsidRPr="001A77AA">
        <w:t xml:space="preserve"> appointments</w:t>
      </w:r>
      <w:bookmarkEnd w:id="44"/>
      <w:bookmarkEnd w:id="45"/>
      <w:bookmarkEnd w:id="46"/>
    </w:p>
    <w:p w14:paraId="23A28B24" w14:textId="77777777" w:rsidR="00444D11" w:rsidRPr="001A77AA" w:rsidRDefault="00444D11" w:rsidP="00251D36">
      <w:r w:rsidRPr="001A77AA">
        <w:t xml:space="preserve">In 2025–26 the FRC welcomed the following international appointments of Australian accounting and auditing profession leaders: </w:t>
      </w:r>
    </w:p>
    <w:p w14:paraId="2DC0B2FB" w14:textId="06E66080" w:rsidR="00444D11" w:rsidRPr="001A77AA" w:rsidRDefault="00444D11" w:rsidP="003B2C42">
      <w:pPr>
        <w:pStyle w:val="Bullet"/>
      </w:pPr>
      <w:r w:rsidRPr="001A77AA">
        <w:t>The AASB was appointed to the ISSB</w:t>
      </w:r>
      <w:r w:rsidR="009C134F" w:rsidRPr="001A77AA">
        <w:t>’</w:t>
      </w:r>
      <w:r w:rsidRPr="001A77AA">
        <w:t>s SSAF, effective from 16 March 2026. SSAF is a technical</w:t>
      </w:r>
      <w:r w:rsidR="009C5017">
        <w:t> </w:t>
      </w:r>
      <w:r w:rsidRPr="001A77AA">
        <w:t>advisory body to the ISSB. The advice of SSAF members helps the ISSB develop high</w:t>
      </w:r>
      <w:r w:rsidR="009C134F" w:rsidRPr="001A77AA">
        <w:noBreakHyphen/>
      </w:r>
      <w:r w:rsidRPr="001A77AA">
        <w:t>quality Standards.</w:t>
      </w:r>
    </w:p>
    <w:p w14:paraId="549F04EC" w14:textId="0F19A15A" w:rsidR="00444D11" w:rsidRPr="001A77AA" w:rsidRDefault="00444D11" w:rsidP="003B2C42">
      <w:pPr>
        <w:pStyle w:val="Bullet"/>
      </w:pPr>
      <w:r w:rsidRPr="001A77AA">
        <w:t xml:space="preserve">Dr Keith Kendall (Chair, AASB) continued his role as </w:t>
      </w:r>
      <w:r w:rsidR="007154A0" w:rsidRPr="001A77AA">
        <w:t>C</w:t>
      </w:r>
      <w:r w:rsidRPr="001A77AA">
        <w:t>o</w:t>
      </w:r>
      <w:r w:rsidR="009C134F" w:rsidRPr="001A77AA">
        <w:noBreakHyphen/>
      </w:r>
      <w:r w:rsidRPr="001A77AA">
        <w:t>Chair of the International Forum of Accounting Standard Setters (IFASS)</w:t>
      </w:r>
      <w:r w:rsidR="008B319B">
        <w:t xml:space="preserve"> on behalf of Australia</w:t>
      </w:r>
      <w:r w:rsidRPr="001A77AA">
        <w:t>. IFASS comprises National Standard Setters, which foster evidence</w:t>
      </w:r>
      <w:r w:rsidR="009C134F" w:rsidRPr="001A77AA">
        <w:noBreakHyphen/>
      </w:r>
      <w:r w:rsidRPr="001A77AA">
        <w:t>based standard setting and share insights with international standard</w:t>
      </w:r>
      <w:r w:rsidR="009C134F" w:rsidRPr="001A77AA">
        <w:noBreakHyphen/>
      </w:r>
      <w:r w:rsidRPr="001A77AA">
        <w:t>setting bodies such as the IASB and the ISSB.</w:t>
      </w:r>
    </w:p>
    <w:p w14:paraId="738CC559" w14:textId="36753B32" w:rsidR="00444D11" w:rsidRPr="001A77AA" w:rsidRDefault="00444D11" w:rsidP="003B2C42">
      <w:pPr>
        <w:pStyle w:val="Bullet"/>
      </w:pPr>
      <w:r w:rsidRPr="001A77AA">
        <w:t xml:space="preserve">Dr Kendall was appointed </w:t>
      </w:r>
      <w:r w:rsidR="00C60B38">
        <w:t>to represent Australia</w:t>
      </w:r>
      <w:r w:rsidRPr="001A77AA">
        <w:t xml:space="preserve"> as Chair of AOSSG at its November 2025 meeting. AOSSG is a grouping of</w:t>
      </w:r>
      <w:r w:rsidR="0000637E" w:rsidRPr="001A77AA">
        <w:t> </w:t>
      </w:r>
      <w:r w:rsidRPr="001A77AA">
        <w:t>30 accounting standard</w:t>
      </w:r>
      <w:r w:rsidR="009C134F" w:rsidRPr="001A77AA">
        <w:noBreakHyphen/>
      </w:r>
      <w:r w:rsidRPr="001A77AA">
        <w:t>setters in the Asian</w:t>
      </w:r>
      <w:r w:rsidR="009C134F" w:rsidRPr="001A77AA">
        <w:noBreakHyphen/>
      </w:r>
      <w:r w:rsidRPr="001A77AA">
        <w:t>Oceanian region. The Group was formed in 2009 in response to the adoption of International Financial Reporting Standards (IFRS) and to contribute to the development of a high</w:t>
      </w:r>
      <w:r w:rsidR="009C134F" w:rsidRPr="001A77AA">
        <w:noBreakHyphen/>
      </w:r>
      <w:r w:rsidRPr="001A77AA">
        <w:t>quality set of global accounting standards. As</w:t>
      </w:r>
      <w:r w:rsidR="009C5017">
        <w:t> </w:t>
      </w:r>
      <w:r w:rsidRPr="001A77AA">
        <w:t>AOSSG Secretariat, the AASB helped secure AOSSG a seat on SSAF.</w:t>
      </w:r>
    </w:p>
    <w:p w14:paraId="7A7BCB95" w14:textId="77777777" w:rsidR="00FE53B6" w:rsidRPr="001A77AA" w:rsidRDefault="009527A2" w:rsidP="003B2C42">
      <w:pPr>
        <w:pStyle w:val="Bullet"/>
      </w:pPr>
      <w:r w:rsidRPr="001A77AA">
        <w:t>Doug Niven (Chair, AUASB) continued his role as a member of the IAASB and IESBA Stakeholder Advisory Council</w:t>
      </w:r>
      <w:r w:rsidR="00975D77" w:rsidRPr="001A77AA">
        <w:t xml:space="preserve">, which </w:t>
      </w:r>
      <w:r w:rsidRPr="001A77AA">
        <w:t>provides strategic input and recommendations to IAASB and IESBA.</w:t>
      </w:r>
    </w:p>
    <w:p w14:paraId="03FF55FA" w14:textId="77777777" w:rsidR="009527A2" w:rsidRPr="001A77AA" w:rsidRDefault="009527A2" w:rsidP="0016307B">
      <w:pPr>
        <w:pStyle w:val="Heading3"/>
      </w:pPr>
      <w:bookmarkStart w:id="47" w:name="_Toc177124042"/>
      <w:bookmarkStart w:id="48" w:name="_Toc177124704"/>
      <w:bookmarkStart w:id="49" w:name="_Toc177124867"/>
      <w:r w:rsidRPr="001A77AA">
        <w:t>Regional relationships</w:t>
      </w:r>
      <w:bookmarkEnd w:id="47"/>
      <w:bookmarkEnd w:id="48"/>
      <w:bookmarkEnd w:id="49"/>
    </w:p>
    <w:p w14:paraId="7592079F" w14:textId="12CFDC55" w:rsidR="009527A2" w:rsidRPr="001A77AA" w:rsidRDefault="009527A2" w:rsidP="0016307B">
      <w:r w:rsidRPr="001A77AA">
        <w:t>Australia and New Zealand continued to facilitate harmonisation of trans</w:t>
      </w:r>
      <w:r w:rsidR="009C134F" w:rsidRPr="001A77AA">
        <w:noBreakHyphen/>
      </w:r>
      <w:r w:rsidRPr="001A77AA">
        <w:t>Tasman standard setting. This</w:t>
      </w:r>
      <w:r w:rsidR="0016307B" w:rsidRPr="001A77AA">
        <w:t> </w:t>
      </w:r>
      <w:r w:rsidRPr="001A77AA">
        <w:t xml:space="preserve">relationship </w:t>
      </w:r>
      <w:r w:rsidR="0069621C" w:rsidRPr="001A77AA">
        <w:t>was</w:t>
      </w:r>
      <w:r w:rsidRPr="001A77AA">
        <w:t xml:space="preserve"> enhanced by cross appointment</w:t>
      </w:r>
      <w:r w:rsidR="56853C50" w:rsidRPr="001A77AA">
        <w:t>s</w:t>
      </w:r>
      <w:r w:rsidRPr="001A77AA">
        <w:t xml:space="preserve"> to financial reporting oversight and standard</w:t>
      </w:r>
      <w:r w:rsidR="009C134F" w:rsidRPr="001A77AA">
        <w:noBreakHyphen/>
      </w:r>
      <w:r w:rsidRPr="001A77AA">
        <w:t xml:space="preserve">setting boards between Australia and New Zealand. </w:t>
      </w:r>
    </w:p>
    <w:p w14:paraId="0BDB8815" w14:textId="0E3C5271" w:rsidR="007867F6" w:rsidRPr="001A77AA" w:rsidRDefault="009527A2" w:rsidP="00A322AE">
      <w:r w:rsidRPr="001A77AA">
        <w:t>The FRC Chair is a member of the XRB. The XRB Chair</w:t>
      </w:r>
      <w:r w:rsidR="00256520" w:rsidRPr="001A77AA">
        <w:t>,</w:t>
      </w:r>
      <w:r w:rsidR="00BD4F6A" w:rsidRPr="001A77AA">
        <w:t xml:space="preserve"> Mr John Kensington</w:t>
      </w:r>
      <w:r w:rsidR="00AB1BF5">
        <w:t>,</w:t>
      </w:r>
      <w:r w:rsidRPr="001A77AA">
        <w:t xml:space="preserve"> </w:t>
      </w:r>
      <w:r w:rsidR="00571C50" w:rsidRPr="001A77AA">
        <w:t>has represented</w:t>
      </w:r>
      <w:r w:rsidR="008F006B" w:rsidRPr="001A77AA">
        <w:t xml:space="preserve"> the XRB </w:t>
      </w:r>
      <w:r w:rsidR="00085B53" w:rsidRPr="001A77AA">
        <w:t>a</w:t>
      </w:r>
      <w:r w:rsidR="00571C50" w:rsidRPr="001A77AA">
        <w:t>s</w:t>
      </w:r>
      <w:r w:rsidR="0000637E" w:rsidRPr="001A77AA">
        <w:t> </w:t>
      </w:r>
      <w:r w:rsidR="00571C50" w:rsidRPr="001A77AA">
        <w:t>a guest of</w:t>
      </w:r>
      <w:r w:rsidR="00085B53" w:rsidRPr="001A77AA">
        <w:t xml:space="preserve"> the </w:t>
      </w:r>
      <w:r w:rsidRPr="001A77AA">
        <w:t>FRC</w:t>
      </w:r>
      <w:r w:rsidR="005D353B" w:rsidRPr="001A77AA">
        <w:t xml:space="preserve">. This </w:t>
      </w:r>
      <w:r w:rsidR="0034680A" w:rsidRPr="001A77AA">
        <w:t>arrangement</w:t>
      </w:r>
      <w:r w:rsidR="005D353B" w:rsidRPr="001A77AA">
        <w:t xml:space="preserve"> </w:t>
      </w:r>
      <w:r w:rsidR="00FD23C8" w:rsidRPr="001A77AA">
        <w:t xml:space="preserve">fosters </w:t>
      </w:r>
      <w:r w:rsidR="00A31A7A" w:rsidRPr="001A77AA">
        <w:t>trans</w:t>
      </w:r>
      <w:r w:rsidR="009C134F" w:rsidRPr="001A77AA">
        <w:noBreakHyphen/>
      </w:r>
      <w:r w:rsidR="00A31A7A" w:rsidRPr="001A77AA">
        <w:t xml:space="preserve">Tasman </w:t>
      </w:r>
      <w:r w:rsidR="00FD23C8" w:rsidRPr="001A77AA">
        <w:t>collaboration</w:t>
      </w:r>
      <w:r w:rsidR="00925EA8" w:rsidRPr="001A77AA">
        <w:t xml:space="preserve"> and </w:t>
      </w:r>
      <w:r w:rsidR="00906E71" w:rsidRPr="001A77AA">
        <w:t>the dissemination of</w:t>
      </w:r>
      <w:r w:rsidR="009C5017">
        <w:t> </w:t>
      </w:r>
      <w:r w:rsidR="00906E71" w:rsidRPr="001A77AA">
        <w:t xml:space="preserve">jurisdictional insights. </w:t>
      </w:r>
      <w:r w:rsidR="00D64561" w:rsidRPr="001A77AA">
        <w:t>C</w:t>
      </w:r>
      <w:r w:rsidR="005D353B" w:rsidRPr="001A77AA">
        <w:t xml:space="preserve">onsistent with the </w:t>
      </w:r>
      <w:r w:rsidRPr="001A77AA">
        <w:t>arrangement for cross</w:t>
      </w:r>
      <w:r w:rsidR="0077617C" w:rsidRPr="001A77AA">
        <w:t xml:space="preserve"> </w:t>
      </w:r>
      <w:r w:rsidRPr="001A77AA">
        <w:t>appointments between Australia and</w:t>
      </w:r>
      <w:r w:rsidR="0000637E" w:rsidRPr="001A77AA">
        <w:t> </w:t>
      </w:r>
      <w:r w:rsidRPr="001A77AA">
        <w:t>New Zealand</w:t>
      </w:r>
      <w:r w:rsidR="00D64561" w:rsidRPr="001A77AA">
        <w:t>, t</w:t>
      </w:r>
      <w:r w:rsidRPr="001A77AA">
        <w:t xml:space="preserve">he Chairs of the AASB, AUASB, </w:t>
      </w:r>
      <w:r w:rsidRPr="001A77AA">
        <w:rPr>
          <w:lang w:val="en-GB"/>
        </w:rPr>
        <w:t>New Zealand Accounting Standards Board</w:t>
      </w:r>
      <w:r w:rsidRPr="001A77AA">
        <w:t xml:space="preserve"> (NZASB) and </w:t>
      </w:r>
      <w:r w:rsidRPr="001A77AA">
        <w:rPr>
          <w:lang w:val="en-GB"/>
        </w:rPr>
        <w:t>New Zealand Auditing and Assurance Standards Board (</w:t>
      </w:r>
      <w:proofErr w:type="spellStart"/>
      <w:r w:rsidRPr="001A77AA">
        <w:t>NZAuASB</w:t>
      </w:r>
      <w:proofErr w:type="spellEnd"/>
      <w:r w:rsidRPr="001A77AA">
        <w:t xml:space="preserve">) are </w:t>
      </w:r>
      <w:r w:rsidR="005D353B" w:rsidRPr="001A77AA">
        <w:t>m</w:t>
      </w:r>
      <w:r w:rsidRPr="001A77AA">
        <w:t>embers of their counterpart boards.</w:t>
      </w:r>
      <w:bookmarkStart w:id="50" w:name="_Toc177124043"/>
      <w:bookmarkStart w:id="51" w:name="_Toc177124868"/>
    </w:p>
    <w:p w14:paraId="2430F69F" w14:textId="77777777" w:rsidR="008C6F05" w:rsidRPr="008C6F05" w:rsidRDefault="008C6F05" w:rsidP="008C6F05">
      <w:bookmarkStart w:id="52" w:name="_Toc241065233"/>
      <w:r>
        <w:br w:type="page"/>
      </w:r>
    </w:p>
    <w:p w14:paraId="461042FA" w14:textId="1FD40783" w:rsidR="009527A2" w:rsidRPr="001A77AA" w:rsidRDefault="009527A2" w:rsidP="00251D36">
      <w:pPr>
        <w:pStyle w:val="Heading2"/>
      </w:pPr>
      <w:r w:rsidRPr="001A77AA">
        <w:lastRenderedPageBreak/>
        <w:t xml:space="preserve">Monitoring </w:t>
      </w:r>
      <w:r w:rsidRPr="00251D36">
        <w:t>the</w:t>
      </w:r>
      <w:r w:rsidRPr="001A77AA">
        <w:t xml:space="preserve"> operation of accounting and auditing</w:t>
      </w:r>
      <w:r w:rsidR="003B2C42" w:rsidRPr="001A77AA">
        <w:t> </w:t>
      </w:r>
      <w:r w:rsidRPr="001A77AA">
        <w:t>standards</w:t>
      </w:r>
      <w:bookmarkEnd w:id="50"/>
      <w:bookmarkEnd w:id="51"/>
      <w:bookmarkEnd w:id="52"/>
    </w:p>
    <w:p w14:paraId="78E65A17" w14:textId="3ECA40A1" w:rsidR="009527A2" w:rsidRPr="001A77AA" w:rsidRDefault="009527A2" w:rsidP="00251D36">
      <w:r w:rsidRPr="001A77AA">
        <w:t>The FRC monitors the operation of Australian accounting</w:t>
      </w:r>
      <w:r w:rsidR="00586D42" w:rsidRPr="001A77AA">
        <w:t>, sustainability</w:t>
      </w:r>
      <w:r w:rsidRPr="001A77AA">
        <w:t xml:space="preserve"> and auditing standards. It does so to assess the continued relevance and effectiveness of the standards. This applies to private and public sectors in Australia</w:t>
      </w:r>
      <w:r w:rsidR="009C134F" w:rsidRPr="001A77AA">
        <w:t>’</w:t>
      </w:r>
      <w:r w:rsidRPr="001A77AA">
        <w:t>s economy.</w:t>
      </w:r>
      <w:r w:rsidR="00604FFD" w:rsidRPr="001A77AA">
        <w:t xml:space="preserve"> </w:t>
      </w:r>
    </w:p>
    <w:p w14:paraId="381B2C6D" w14:textId="541AA9E4" w:rsidR="009527A2" w:rsidRPr="001A77AA" w:rsidRDefault="009527A2" w:rsidP="00251D36">
      <w:r w:rsidRPr="001A77AA">
        <w:t>Based on the reports of the Chairs of the AASB and AUASB, and on FRC members</w:t>
      </w:r>
      <w:r w:rsidR="009C134F" w:rsidRPr="001A77AA">
        <w:t>’</w:t>
      </w:r>
      <w:r w:rsidRPr="001A77AA">
        <w:t xml:space="preserve"> knowledge of how the standard</w:t>
      </w:r>
      <w:r w:rsidR="009C134F" w:rsidRPr="001A77AA">
        <w:noBreakHyphen/>
      </w:r>
      <w:r w:rsidRPr="001A77AA">
        <w:t>setting processes and standards themselves operate in practice, the FRC is satisfied the AASB and AUASB</w:t>
      </w:r>
      <w:r w:rsidR="00634F4D" w:rsidRPr="001A77AA">
        <w:t xml:space="preserve"> have</w:t>
      </w:r>
      <w:r w:rsidRPr="001A77AA">
        <w:t>:</w:t>
      </w:r>
    </w:p>
    <w:p w14:paraId="0584260C" w14:textId="5651CB08" w:rsidR="009527A2" w:rsidRPr="00251D36" w:rsidRDefault="004631D6" w:rsidP="00251D36">
      <w:pPr>
        <w:pStyle w:val="Bullet"/>
      </w:pPr>
      <w:r>
        <w:t>a</w:t>
      </w:r>
      <w:r w:rsidRPr="001A77AA">
        <w:t>dopted</w:t>
      </w:r>
      <w:r w:rsidR="009527A2" w:rsidRPr="001A77AA">
        <w:t xml:space="preserve"> IFRS accounting standards and International Standards on Auditing</w:t>
      </w:r>
      <w:r w:rsidR="0068751C" w:rsidRPr="001A77AA">
        <w:t xml:space="preserve">, including those </w:t>
      </w:r>
      <w:r w:rsidR="0068751C" w:rsidRPr="00251D36">
        <w:t>related to sustainability,</w:t>
      </w:r>
      <w:r w:rsidR="009527A2" w:rsidRPr="00251D36">
        <w:t xml:space="preserve"> within reasonable timeframes in accordance with the strategic directions issued by the FRC </w:t>
      </w:r>
    </w:p>
    <w:p w14:paraId="39B442AC" w14:textId="0695314E" w:rsidR="009527A2" w:rsidRPr="00251D36" w:rsidRDefault="009527A2" w:rsidP="00251D36">
      <w:pPr>
        <w:pStyle w:val="Bullet"/>
      </w:pPr>
      <w:r w:rsidRPr="00251D36">
        <w:t>adequate post</w:t>
      </w:r>
      <w:r w:rsidR="009C134F" w:rsidRPr="00251D36">
        <w:noBreakHyphen/>
      </w:r>
      <w:r w:rsidRPr="00251D36">
        <w:t>implementation review processes to assess the effectiveness of new standards</w:t>
      </w:r>
    </w:p>
    <w:p w14:paraId="536E8FAF" w14:textId="59C87A25" w:rsidR="009527A2" w:rsidRPr="00251D36" w:rsidRDefault="009527A2" w:rsidP="00251D36">
      <w:pPr>
        <w:pStyle w:val="Bullet"/>
      </w:pPr>
      <w:r w:rsidRPr="00251D36">
        <w:t>regular consultation processes to identify if further guidance is necessary for existing accounting</w:t>
      </w:r>
      <w:r w:rsidR="00980EFB" w:rsidRPr="00251D36">
        <w:t>, sustainability</w:t>
      </w:r>
      <w:r w:rsidRPr="00251D36">
        <w:t xml:space="preserve"> and auditing standards</w:t>
      </w:r>
    </w:p>
    <w:p w14:paraId="21E09ED5" w14:textId="1889C8E8" w:rsidR="0016307B" w:rsidRPr="00251D36" w:rsidRDefault="00634F4D" w:rsidP="00251D36">
      <w:pPr>
        <w:pStyle w:val="Bullet"/>
      </w:pPr>
      <w:r w:rsidRPr="00251D36">
        <w:t xml:space="preserve">consulted </w:t>
      </w:r>
      <w:r w:rsidR="009527A2" w:rsidRPr="00251D36">
        <w:t>appropriately before issuing new standards or guidance</w:t>
      </w:r>
    </w:p>
    <w:p w14:paraId="1C2D0A78" w14:textId="056F6DBA" w:rsidR="000B6784" w:rsidRPr="001A77AA" w:rsidRDefault="0097019F" w:rsidP="00251D36">
      <w:pPr>
        <w:pStyle w:val="Bullet"/>
      </w:pPr>
      <w:r w:rsidRPr="00251D36">
        <w:t xml:space="preserve">appropriate </w:t>
      </w:r>
      <w:r w:rsidR="009527A2" w:rsidRPr="00251D36">
        <w:t>consultation</w:t>
      </w:r>
      <w:r w:rsidR="009527A2" w:rsidRPr="001A77AA">
        <w:t xml:space="preserve"> mechanisms </w:t>
      </w:r>
      <w:r w:rsidRPr="001A77AA">
        <w:t xml:space="preserve">in place </w:t>
      </w:r>
      <w:r w:rsidR="009527A2" w:rsidRPr="001A77AA">
        <w:t>that include roundtables, targeted outreach, education sessions, webinars and relevant social media</w:t>
      </w:r>
      <w:r w:rsidR="009C134F" w:rsidRPr="001A77AA">
        <w:t xml:space="preserve">. </w:t>
      </w:r>
      <w:bookmarkStart w:id="53" w:name="_Hlk139874340"/>
    </w:p>
    <w:p w14:paraId="70D63465" w14:textId="77777777" w:rsidR="00BB596D" w:rsidRPr="001A77AA" w:rsidRDefault="00BB596D" w:rsidP="00AE595B"/>
    <w:p w14:paraId="23619CD0" w14:textId="77777777" w:rsidR="00BB596D" w:rsidRPr="00AE595B" w:rsidRDefault="00BB596D" w:rsidP="00AE595B">
      <w:pPr>
        <w:sectPr w:rsidR="00BB596D" w:rsidRPr="00AE595B" w:rsidSect="000B6784">
          <w:pgSz w:w="11906" w:h="16838" w:code="9"/>
          <w:pgMar w:top="1843" w:right="1418" w:bottom="1418" w:left="1418" w:header="708" w:footer="708" w:gutter="0"/>
          <w:cols w:space="708"/>
          <w:titlePg/>
          <w:docGrid w:linePitch="360"/>
        </w:sectPr>
      </w:pPr>
    </w:p>
    <w:p w14:paraId="2C574333" w14:textId="71DD5ED5" w:rsidR="00F23429" w:rsidRPr="001A77AA" w:rsidRDefault="00B026FA" w:rsidP="003466B5">
      <w:pPr>
        <w:pStyle w:val="Heading1"/>
      </w:pPr>
      <w:bookmarkStart w:id="54" w:name="_Toc241065234"/>
      <w:r w:rsidRPr="001A77AA">
        <w:lastRenderedPageBreak/>
        <w:t xml:space="preserve">Audit </w:t>
      </w:r>
      <w:r w:rsidR="00FE4EBF" w:rsidRPr="001A77AA">
        <w:t>q</w:t>
      </w:r>
      <w:r w:rsidRPr="001A77AA">
        <w:t>uality</w:t>
      </w:r>
      <w:bookmarkEnd w:id="54"/>
    </w:p>
    <w:p w14:paraId="3A60A098" w14:textId="472178CA" w:rsidR="000D1F53" w:rsidRPr="001A77AA" w:rsidRDefault="006174EF" w:rsidP="000B66A2">
      <w:pPr>
        <w:pStyle w:val="Heading2"/>
        <w:rPr>
          <w:iCs w:val="0"/>
        </w:rPr>
      </w:pPr>
      <w:bookmarkStart w:id="55" w:name="_Toc241065235"/>
      <w:r w:rsidRPr="001A77AA">
        <w:rPr>
          <w:iCs w:val="0"/>
        </w:rPr>
        <w:t>FRC</w:t>
      </w:r>
      <w:r w:rsidR="009C134F" w:rsidRPr="001A77AA">
        <w:rPr>
          <w:iCs w:val="0"/>
        </w:rPr>
        <w:t>’</w:t>
      </w:r>
      <w:r w:rsidRPr="001A77AA">
        <w:rPr>
          <w:iCs w:val="0"/>
        </w:rPr>
        <w:t>s role on audit quality</w:t>
      </w:r>
      <w:bookmarkEnd w:id="55"/>
    </w:p>
    <w:p w14:paraId="63B2DAB2" w14:textId="69E24D6F" w:rsidR="004C26EB" w:rsidRPr="001A77AA" w:rsidRDefault="004C26EB" w:rsidP="0016307B">
      <w:r w:rsidRPr="001A77AA">
        <w:t>Australia</w:t>
      </w:r>
      <w:r w:rsidR="009C134F" w:rsidRPr="001A77AA">
        <w:t>’</w:t>
      </w:r>
      <w:r w:rsidRPr="001A77AA">
        <w:t>s legislative framework for audit is mainly set out in the</w:t>
      </w:r>
      <w:r w:rsidRPr="000C533D">
        <w:rPr>
          <w:rStyle w:val="Emphasis"/>
          <w:i w:val="0"/>
          <w:iCs w:val="0"/>
        </w:rPr>
        <w:t xml:space="preserve"> </w:t>
      </w:r>
      <w:r w:rsidRPr="001A77AA" w:rsidDel="00C55EFE">
        <w:t>Corporations</w:t>
      </w:r>
      <w:r w:rsidR="00A322AE" w:rsidRPr="001A77AA">
        <w:t> </w:t>
      </w:r>
      <w:r w:rsidRPr="001A77AA" w:rsidDel="00C55EFE">
        <w:t>Act</w:t>
      </w:r>
      <w:r w:rsidRPr="001A77AA">
        <w:t>. ASIC has key regulator responsibil</w:t>
      </w:r>
      <w:r w:rsidR="00520083" w:rsidRPr="001A77AA">
        <w:t>ity</w:t>
      </w:r>
      <w:r w:rsidRPr="001A77AA">
        <w:t xml:space="preserve"> for the regime, including for surveillance, </w:t>
      </w:r>
      <w:r w:rsidR="000149C5" w:rsidRPr="001A77AA">
        <w:t>investigation</w:t>
      </w:r>
      <w:r w:rsidR="00520083" w:rsidRPr="001A77AA">
        <w:t xml:space="preserve"> </w:t>
      </w:r>
      <w:r w:rsidRPr="001A77AA">
        <w:t>and enforcement of audit requirements.</w:t>
      </w:r>
    </w:p>
    <w:p w14:paraId="5F7CCE4E" w14:textId="18DC0988" w:rsidR="004C26EB" w:rsidRPr="001A77AA" w:rsidRDefault="004C26EB" w:rsidP="0016307B">
      <w:r w:rsidRPr="001A77AA">
        <w:t>The Corporations Act framework gives legal effect to the auditing standards developed by the AUASB. The auditing standards require auditors to adhere to relevant ethical standards issued by the</w:t>
      </w:r>
      <w:r w:rsidR="00B55B55" w:rsidRPr="001A77AA">
        <w:t xml:space="preserve"> </w:t>
      </w:r>
      <w:r w:rsidRPr="001A77AA">
        <w:t>APESB.</w:t>
      </w:r>
    </w:p>
    <w:p w14:paraId="12C44246" w14:textId="1F5C2942" w:rsidR="000E564A" w:rsidRDefault="004C26EB" w:rsidP="0016307B">
      <w:r w:rsidRPr="001A77AA">
        <w:t>The FRC</w:t>
      </w:r>
      <w:r w:rsidR="009C134F" w:rsidRPr="001A77AA">
        <w:t>’</w:t>
      </w:r>
      <w:r w:rsidRPr="001A77AA">
        <w:t xml:space="preserve">s functions under the ASIC Act include </w:t>
      </w:r>
      <w:r w:rsidR="1BD98678" w:rsidRPr="001A77AA">
        <w:t xml:space="preserve">providing </w:t>
      </w:r>
      <w:r w:rsidRPr="001A77AA">
        <w:t xml:space="preserve">strategic policy advice and reports to the Minister and the </w:t>
      </w:r>
      <w:r w:rsidR="0017456A">
        <w:t>p</w:t>
      </w:r>
      <w:r w:rsidR="0017456A" w:rsidRPr="001A77AA">
        <w:t xml:space="preserve">rofessional </w:t>
      </w:r>
      <w:r w:rsidR="0017456A">
        <w:t>a</w:t>
      </w:r>
      <w:r w:rsidR="0017456A" w:rsidRPr="001A77AA">
        <w:t xml:space="preserve">ccounting </w:t>
      </w:r>
      <w:r w:rsidR="0017456A">
        <w:t>b</w:t>
      </w:r>
      <w:r w:rsidRPr="001A77AA">
        <w:t>odies</w:t>
      </w:r>
      <w:r w:rsidR="008D7DBF">
        <w:t xml:space="preserve"> </w:t>
      </w:r>
      <w:r w:rsidRPr="001A77AA">
        <w:t>in relation to the quality of audits conducted by Australian auditors. This advice may include advising and reporting on the Corporations Act audit</w:t>
      </w:r>
      <w:r w:rsidR="0000637E" w:rsidRPr="001A77AA">
        <w:t> </w:t>
      </w:r>
      <w:r w:rsidRPr="001A77AA">
        <w:t>framework, auditing standards or codes of conduct, and the quality assurance reviews, auditor</w:t>
      </w:r>
      <w:r w:rsidR="0000637E" w:rsidRPr="001A77AA">
        <w:t> </w:t>
      </w:r>
      <w:r w:rsidRPr="001A77AA">
        <w:t>disciplinary processes and education on professional ethics undertaken by the professional accounting</w:t>
      </w:r>
      <w:r w:rsidR="0000637E" w:rsidRPr="001A77AA">
        <w:t> </w:t>
      </w:r>
      <w:r w:rsidRPr="001A77AA">
        <w:t>bodies.</w:t>
      </w:r>
    </w:p>
    <w:p w14:paraId="7AF61377" w14:textId="5DFEE50E" w:rsidR="00347A9C" w:rsidRPr="001A77AA" w:rsidRDefault="00E21BD9" w:rsidP="0016307B">
      <w:r>
        <w:t xml:space="preserve">As part of </w:t>
      </w:r>
      <w:r w:rsidR="004A7103">
        <w:t xml:space="preserve">carrying out </w:t>
      </w:r>
      <w:r>
        <w:t xml:space="preserve">the FRC’s </w:t>
      </w:r>
      <w:r w:rsidR="004A7103">
        <w:t>responsibilities</w:t>
      </w:r>
      <w:r>
        <w:t>, t</w:t>
      </w:r>
      <w:r w:rsidR="00347A9C" w:rsidRPr="001A77AA">
        <w:t xml:space="preserve">he FRC established the Auditor Review Working Group to consider </w:t>
      </w:r>
      <w:r w:rsidR="00347A9C">
        <w:t xml:space="preserve">supply and demand </w:t>
      </w:r>
      <w:r w:rsidR="00347A9C" w:rsidRPr="001A77AA">
        <w:t>issues in the auditing sector including the application of the</w:t>
      </w:r>
      <w:r w:rsidR="008C6F05">
        <w:t> </w:t>
      </w:r>
      <w:r w:rsidR="00347A9C" w:rsidRPr="00B41063">
        <w:t>registered company auditor</w:t>
      </w:r>
      <w:r w:rsidR="00347A9C" w:rsidRPr="001A77AA">
        <w:t xml:space="preserve"> </w:t>
      </w:r>
      <w:r w:rsidR="00347A9C">
        <w:t>(</w:t>
      </w:r>
      <w:r w:rsidR="00347A9C" w:rsidRPr="001A77AA">
        <w:t>RCA</w:t>
      </w:r>
      <w:r w:rsidR="00347A9C">
        <w:t>)</w:t>
      </w:r>
      <w:r w:rsidR="00347A9C" w:rsidRPr="001A77AA">
        <w:t xml:space="preserve"> concept in various contexts. The working group comprised members from the public sector and </w:t>
      </w:r>
      <w:r w:rsidR="00347A9C">
        <w:t>professional accounting bodies</w:t>
      </w:r>
      <w:r w:rsidR="00347A9C" w:rsidRPr="001A77AA">
        <w:t>. The Working Group advised the</w:t>
      </w:r>
      <w:r w:rsidR="009C5017">
        <w:t> </w:t>
      </w:r>
      <w:r w:rsidR="00347A9C" w:rsidRPr="001A77AA">
        <w:t xml:space="preserve">FRC on its research, including audit requirements under Commonwealth, State and Territory legislation, the use of the RCA designation and other auditor designations. </w:t>
      </w:r>
      <w:r w:rsidR="005460CE">
        <w:t>While</w:t>
      </w:r>
      <w:r w:rsidR="00347A9C" w:rsidRPr="001A77AA">
        <w:t xml:space="preserve"> the working group has met its </w:t>
      </w:r>
      <w:r w:rsidR="005460CE">
        <w:t xml:space="preserve">initial </w:t>
      </w:r>
      <w:r w:rsidR="00347A9C" w:rsidRPr="001A77AA">
        <w:t xml:space="preserve">objectives by providing an overview of issues </w:t>
      </w:r>
      <w:r w:rsidR="00347A9C">
        <w:t>affecting</w:t>
      </w:r>
      <w:r w:rsidR="00347A9C" w:rsidRPr="001A77AA">
        <w:t xml:space="preserve"> </w:t>
      </w:r>
      <w:r w:rsidR="00347A9C">
        <w:t xml:space="preserve">supply and demand in </w:t>
      </w:r>
      <w:r w:rsidR="00347A9C" w:rsidRPr="001A77AA">
        <w:t>the audit sector</w:t>
      </w:r>
      <w:r w:rsidR="00EF581F">
        <w:t>, it was recognised that additional work could be undertaken but that such work should be</w:t>
      </w:r>
      <w:r w:rsidR="009C5017">
        <w:t> </w:t>
      </w:r>
      <w:r w:rsidR="00EF581F">
        <w:t>deferred until after ERA was established when Working Group members’ roles would be clarified</w:t>
      </w:r>
      <w:r w:rsidR="00347A9C" w:rsidRPr="001A77AA">
        <w:t xml:space="preserve">. </w:t>
      </w:r>
    </w:p>
    <w:p w14:paraId="5525F224" w14:textId="2E8E9EBA" w:rsidR="00095E93" w:rsidRPr="001A77AA" w:rsidRDefault="00691F5C" w:rsidP="0016307B">
      <w:r>
        <w:t>To</w:t>
      </w:r>
      <w:r w:rsidR="004B1B2F">
        <w:t xml:space="preserve"> </w:t>
      </w:r>
      <w:r w:rsidR="00095147">
        <w:t>be informed</w:t>
      </w:r>
      <w:r w:rsidR="006D2CC6">
        <w:t xml:space="preserve"> of the current audit environment, t</w:t>
      </w:r>
      <w:r w:rsidR="00095E93">
        <w:t xml:space="preserve">he FRC </w:t>
      </w:r>
      <w:r w:rsidR="006A26E2">
        <w:t>received</w:t>
      </w:r>
      <w:r w:rsidR="00095E93">
        <w:t xml:space="preserve"> information concerning </w:t>
      </w:r>
      <w:r w:rsidR="00AE1162">
        <w:t>audit quality programs</w:t>
      </w:r>
      <w:r w:rsidR="00CC1A35">
        <w:t xml:space="preserve"> from ASIC and professional accounting bodies</w:t>
      </w:r>
      <w:r w:rsidR="00F906E3">
        <w:t>, which is set out below.</w:t>
      </w:r>
      <w:r w:rsidR="0067781E">
        <w:t xml:space="preserve"> </w:t>
      </w:r>
      <w:r w:rsidR="00A64D5A" w:rsidRPr="00A46DA1">
        <w:t>Only information that is publicly available has been</w:t>
      </w:r>
      <w:r w:rsidR="001B1443" w:rsidRPr="00A46DA1">
        <w:t xml:space="preserve"> verified</w:t>
      </w:r>
      <w:r w:rsidR="00AA3892">
        <w:t xml:space="preserve"> by the FRC</w:t>
      </w:r>
      <w:r w:rsidR="001B1443" w:rsidRPr="00A46DA1">
        <w:t>.</w:t>
      </w:r>
    </w:p>
    <w:p w14:paraId="0947B066" w14:textId="4C709397" w:rsidR="00126045" w:rsidRPr="001A77AA" w:rsidRDefault="00126045" w:rsidP="00126045">
      <w:pPr>
        <w:pStyle w:val="Heading2"/>
        <w:rPr>
          <w:iCs w:val="0"/>
        </w:rPr>
      </w:pPr>
      <w:bookmarkStart w:id="56" w:name="_Toc241065236"/>
      <w:bookmarkEnd w:id="53"/>
      <w:r w:rsidRPr="001A77AA">
        <w:rPr>
          <w:iCs w:val="0"/>
        </w:rPr>
        <w:t>ASIC initiatives to support and review audit quality</w:t>
      </w:r>
      <w:bookmarkEnd w:id="56"/>
    </w:p>
    <w:p w14:paraId="1E46E424" w14:textId="734797BC" w:rsidR="00126045" w:rsidRPr="001A77AA" w:rsidRDefault="00126045" w:rsidP="00126045">
      <w:r w:rsidRPr="001A77AA">
        <w:t xml:space="preserve">ASIC oversees the integrity and quality of financial reporting and auditing in Australia. </w:t>
      </w:r>
      <w:r w:rsidR="00F247CB">
        <w:t>S</w:t>
      </w:r>
      <w:r w:rsidRPr="001A77AA">
        <w:t>trategic priority</w:t>
      </w:r>
      <w:r w:rsidR="005A7F05">
        <w:t> </w:t>
      </w:r>
      <w:r w:rsidRPr="001A77AA">
        <w:t xml:space="preserve">2 of </w:t>
      </w:r>
      <w:r w:rsidR="00F247CB">
        <w:t>ASIC’s 2025–26</w:t>
      </w:r>
      <w:r w:rsidRPr="001A77AA">
        <w:t xml:space="preserve"> Corporate Plan is to strengthen market disclosure </w:t>
      </w:r>
      <w:r w:rsidR="0089609F">
        <w:t xml:space="preserve">and </w:t>
      </w:r>
      <w:r w:rsidR="0089609F" w:rsidRPr="0089609F">
        <w:t>conduct by ASIC</w:t>
      </w:r>
      <w:r w:rsidR="00F918DE">
        <w:noBreakHyphen/>
      </w:r>
      <w:r w:rsidR="0089609F" w:rsidRPr="0089609F">
        <w:t>regulated professionals</w:t>
      </w:r>
      <w:r w:rsidR="002F4BE4">
        <w:t>,</w:t>
      </w:r>
      <w:r w:rsidRPr="001A77AA">
        <w:t xml:space="preserve"> focusing on promoting high</w:t>
      </w:r>
      <w:r w:rsidR="00A05890">
        <w:t>-</w:t>
      </w:r>
      <w:r w:rsidRPr="001A77AA">
        <w:t>quality financial reporting, climate reporting and audit. ASIC</w:t>
      </w:r>
      <w:r w:rsidR="009C134F" w:rsidRPr="001A77AA">
        <w:t>’</w:t>
      </w:r>
      <w:r w:rsidRPr="001A77AA">
        <w:t>s enforcement priorities for 2026 include a new priority for financial reporting misconduct</w:t>
      </w:r>
      <w:r w:rsidR="00673507" w:rsidRPr="001A77AA">
        <w:t>,</w:t>
      </w:r>
      <w:r w:rsidRPr="001A77AA">
        <w:t xml:space="preserve"> including failure to lodge financial reports and a continuing focus on auditor misconduct. ASIC uses a range of regulatory tools including engagement, guidance, surveillance, and enforcement actions to promote high</w:t>
      </w:r>
      <w:r w:rsidR="009C134F" w:rsidRPr="001A77AA">
        <w:noBreakHyphen/>
      </w:r>
      <w:r w:rsidRPr="001A77AA">
        <w:t>quality financial reporting and audit outcomes.</w:t>
      </w:r>
    </w:p>
    <w:p w14:paraId="20AAFD91" w14:textId="77777777" w:rsidR="00126045" w:rsidRPr="001A77AA" w:rsidRDefault="00126045" w:rsidP="00126045">
      <w:pPr>
        <w:pStyle w:val="Heading2"/>
        <w:rPr>
          <w:iCs w:val="0"/>
        </w:rPr>
      </w:pPr>
      <w:bookmarkStart w:id="57" w:name="_Toc148364554"/>
      <w:bookmarkStart w:id="58" w:name="_Toc148428408"/>
      <w:bookmarkStart w:id="59" w:name="_Toc241065237"/>
      <w:r w:rsidRPr="001A77AA">
        <w:rPr>
          <w:iCs w:val="0"/>
        </w:rPr>
        <w:t>ASIC financial reporting and audit surveillance program</w:t>
      </w:r>
      <w:bookmarkEnd w:id="57"/>
      <w:bookmarkEnd w:id="58"/>
      <w:bookmarkEnd w:id="59"/>
      <w:r w:rsidRPr="001A77AA">
        <w:rPr>
          <w:iCs w:val="0"/>
        </w:rPr>
        <w:t xml:space="preserve"> </w:t>
      </w:r>
    </w:p>
    <w:p w14:paraId="5ACE57E6" w14:textId="3E67FB79" w:rsidR="00126045" w:rsidRPr="001A77AA" w:rsidRDefault="00126045" w:rsidP="00126045">
      <w:pPr>
        <w:rPr>
          <w:rFonts w:eastAsia="Calibri"/>
          <w:lang w:eastAsia="en-US"/>
        </w:rPr>
      </w:pPr>
      <w:r w:rsidRPr="001A77AA">
        <w:rPr>
          <w:rFonts w:eastAsia="Calibri"/>
          <w:lang w:eastAsia="en-US"/>
        </w:rPr>
        <w:t>ASIC</w:t>
      </w:r>
      <w:r w:rsidR="009C134F" w:rsidRPr="001A77AA">
        <w:rPr>
          <w:rFonts w:eastAsia="Calibri"/>
          <w:lang w:eastAsia="en-US"/>
        </w:rPr>
        <w:t>’</w:t>
      </w:r>
      <w:r w:rsidRPr="001A77AA">
        <w:rPr>
          <w:rFonts w:eastAsia="Calibri"/>
          <w:lang w:eastAsia="en-US"/>
        </w:rPr>
        <w:t>s financial reporting and audit surveillance program focuses on the entire financial reporting system. The program provides stakeholders with information about ASIC</w:t>
      </w:r>
      <w:r w:rsidR="009C134F" w:rsidRPr="001A77AA">
        <w:rPr>
          <w:rFonts w:eastAsia="Calibri"/>
          <w:lang w:eastAsia="en-US"/>
        </w:rPr>
        <w:t>’</w:t>
      </w:r>
      <w:r w:rsidRPr="001A77AA">
        <w:rPr>
          <w:rFonts w:eastAsia="Calibri"/>
          <w:lang w:eastAsia="en-US"/>
        </w:rPr>
        <w:t xml:space="preserve">s surveillance to help improve financial reporting and audit quality. ASIC routinely communicates audit findings to directors of audited entities to support remediation and improvement in both reporting and audit quality. </w:t>
      </w:r>
      <w:r w:rsidR="00192832" w:rsidRPr="000C533D">
        <w:rPr>
          <w:rFonts w:eastAsia="Calibri"/>
        </w:rPr>
        <w:t xml:space="preserve">Information Sheet 224 </w:t>
      </w:r>
      <w:r w:rsidRPr="001A77AA">
        <w:rPr>
          <w:rFonts w:eastAsia="Calibri"/>
          <w:lang w:eastAsia="en-US"/>
        </w:rPr>
        <w:t>provides further information on ASIC</w:t>
      </w:r>
      <w:r w:rsidR="009C134F" w:rsidRPr="001A77AA">
        <w:rPr>
          <w:rFonts w:eastAsia="Calibri"/>
          <w:lang w:eastAsia="en-US"/>
        </w:rPr>
        <w:t>’</w:t>
      </w:r>
      <w:r w:rsidRPr="001A77AA">
        <w:rPr>
          <w:rFonts w:eastAsia="Calibri"/>
          <w:lang w:eastAsia="en-US"/>
        </w:rPr>
        <w:t xml:space="preserve">s approach to financial reporting and audit surveillances. </w:t>
      </w:r>
    </w:p>
    <w:p w14:paraId="390F038C" w14:textId="2EE7DC7F" w:rsidR="00126045" w:rsidRPr="001A77AA" w:rsidRDefault="00126045" w:rsidP="00126045">
      <w:pPr>
        <w:pStyle w:val="Heading3"/>
      </w:pPr>
      <w:r w:rsidRPr="001A77AA">
        <w:rPr>
          <w:lang w:eastAsia="en-US"/>
        </w:rPr>
        <w:lastRenderedPageBreak/>
        <w:t>2024–25</w:t>
      </w:r>
      <w:r w:rsidRPr="001A77AA">
        <w:t xml:space="preserve"> </w:t>
      </w:r>
      <w:r w:rsidR="00433976">
        <w:t>s</w:t>
      </w:r>
      <w:r w:rsidRPr="001A77AA">
        <w:t>urveillance program</w:t>
      </w:r>
    </w:p>
    <w:p w14:paraId="5ADBBC99" w14:textId="7E40401D" w:rsidR="00126045" w:rsidRPr="001A77AA" w:rsidRDefault="007E0C78" w:rsidP="00126045">
      <w:pPr>
        <w:rPr>
          <w:rFonts w:eastAsia="Calibri"/>
          <w:lang w:eastAsia="en-US"/>
        </w:rPr>
      </w:pPr>
      <w:r>
        <w:rPr>
          <w:rFonts w:eastAsia="Calibri"/>
          <w:lang w:eastAsia="en-US"/>
        </w:rPr>
        <w:t xml:space="preserve">In </w:t>
      </w:r>
      <w:r w:rsidR="00352AF5" w:rsidRPr="00352AF5">
        <w:rPr>
          <w:rFonts w:eastAsia="Calibri"/>
          <w:lang w:eastAsia="en-US"/>
        </w:rPr>
        <w:t>September and October 2025</w:t>
      </w:r>
      <w:r w:rsidR="00352AF5">
        <w:rPr>
          <w:rFonts w:eastAsia="Calibri"/>
          <w:lang w:eastAsia="en-US"/>
        </w:rPr>
        <w:t xml:space="preserve">, ASIC published </w:t>
      </w:r>
      <w:r w:rsidR="00F86A74">
        <w:rPr>
          <w:rFonts w:eastAsia="Calibri"/>
          <w:lang w:eastAsia="en-US"/>
        </w:rPr>
        <w:t>3</w:t>
      </w:r>
      <w:r w:rsidR="00352AF5">
        <w:rPr>
          <w:rFonts w:eastAsia="Calibri"/>
          <w:lang w:eastAsia="en-US"/>
        </w:rPr>
        <w:t xml:space="preserve"> </w:t>
      </w:r>
      <w:r w:rsidR="00126045" w:rsidRPr="001A77AA">
        <w:rPr>
          <w:rFonts w:eastAsia="Calibri"/>
          <w:lang w:eastAsia="en-US"/>
        </w:rPr>
        <w:t xml:space="preserve">reports </w:t>
      </w:r>
      <w:r w:rsidR="00352AF5">
        <w:rPr>
          <w:rFonts w:eastAsia="Calibri"/>
          <w:lang w:eastAsia="en-US"/>
        </w:rPr>
        <w:t xml:space="preserve">summarising </w:t>
      </w:r>
      <w:r w:rsidR="00126045" w:rsidRPr="001A77AA">
        <w:rPr>
          <w:rFonts w:eastAsia="Calibri"/>
          <w:lang w:eastAsia="en-US"/>
        </w:rPr>
        <w:t>findings from ASIC</w:t>
      </w:r>
      <w:r w:rsidR="009C134F" w:rsidRPr="001A77AA">
        <w:rPr>
          <w:rFonts w:eastAsia="Calibri"/>
          <w:lang w:eastAsia="en-US"/>
        </w:rPr>
        <w:t>’</w:t>
      </w:r>
      <w:r w:rsidR="00126045" w:rsidRPr="001A77AA">
        <w:rPr>
          <w:rFonts w:eastAsia="Calibri"/>
          <w:lang w:eastAsia="en-US"/>
        </w:rPr>
        <w:t>s surveillance programs for the period 1 July 2024 to 30</w:t>
      </w:r>
      <w:r w:rsidR="000C727E" w:rsidRPr="001A77AA">
        <w:rPr>
          <w:rFonts w:eastAsia="Calibri"/>
          <w:lang w:eastAsia="en-US"/>
        </w:rPr>
        <w:t> </w:t>
      </w:r>
      <w:r w:rsidR="00126045" w:rsidRPr="001A77AA">
        <w:rPr>
          <w:rFonts w:eastAsia="Calibri"/>
          <w:lang w:eastAsia="en-US"/>
        </w:rPr>
        <w:t xml:space="preserve">June 2025. </w:t>
      </w:r>
      <w:r w:rsidR="003A1639">
        <w:rPr>
          <w:rFonts w:eastAsia="Calibri"/>
          <w:lang w:eastAsia="en-US"/>
        </w:rPr>
        <w:t>T</w:t>
      </w:r>
      <w:r w:rsidR="0027524F" w:rsidRPr="001A77AA">
        <w:rPr>
          <w:rFonts w:eastAsia="Calibri"/>
          <w:lang w:eastAsia="en-US"/>
        </w:rPr>
        <w:t>hey</w:t>
      </w:r>
      <w:r w:rsidR="00126045" w:rsidRPr="001A77AA">
        <w:rPr>
          <w:rFonts w:eastAsia="Calibri"/>
          <w:lang w:eastAsia="en-US"/>
        </w:rPr>
        <w:t xml:space="preserve"> highlight areas where the quality of financial reporting and audits and auditor compliance can be improved. </w:t>
      </w:r>
    </w:p>
    <w:p w14:paraId="1C8B55CE" w14:textId="46D48435" w:rsidR="00126045" w:rsidRPr="001A77AA" w:rsidRDefault="00126045" w:rsidP="00126045">
      <w:pPr>
        <w:rPr>
          <w:rFonts w:eastAsia="Calibri"/>
          <w:lang w:eastAsia="en-US"/>
        </w:rPr>
      </w:pPr>
      <w:r w:rsidRPr="001A77AA">
        <w:rPr>
          <w:rFonts w:eastAsia="Calibri"/>
          <w:lang w:eastAsia="en-US"/>
        </w:rPr>
        <w:t xml:space="preserve">In September 2025, ASIC published </w:t>
      </w:r>
      <w:r w:rsidR="00352AF5" w:rsidRPr="00352AF5">
        <w:rPr>
          <w:rFonts w:eastAsia="Calibri"/>
          <w:lang w:eastAsia="en-US"/>
        </w:rPr>
        <w:t xml:space="preserve">Report 816 Accounting for your super: ASIC’s review into the financial reporting and audit of super funds (2025) (REP 816) </w:t>
      </w:r>
      <w:r w:rsidRPr="001A77AA">
        <w:rPr>
          <w:rFonts w:eastAsia="Calibri"/>
          <w:lang w:eastAsia="en-US"/>
        </w:rPr>
        <w:t xml:space="preserve">setting out findings from </w:t>
      </w:r>
      <w:r w:rsidR="00E167BA">
        <w:rPr>
          <w:rFonts w:eastAsia="Calibri"/>
          <w:lang w:eastAsia="en-US"/>
        </w:rPr>
        <w:t>its</w:t>
      </w:r>
      <w:r w:rsidR="00E167BA" w:rsidRPr="001A77AA">
        <w:rPr>
          <w:rFonts w:eastAsia="Calibri"/>
          <w:lang w:eastAsia="en-US"/>
        </w:rPr>
        <w:t xml:space="preserve"> </w:t>
      </w:r>
      <w:r w:rsidRPr="001A77AA">
        <w:rPr>
          <w:rFonts w:eastAsia="Calibri"/>
          <w:lang w:eastAsia="en-US"/>
        </w:rPr>
        <w:t>review of financial reporting and auditing of Registrable Superannuation Entities (RSEs). RSEs were required to lodge audited financial reports with ASIC for the first time for financial years commencing on or after 1</w:t>
      </w:r>
      <w:r w:rsidR="000C727E" w:rsidRPr="001A77AA">
        <w:rPr>
          <w:rFonts w:eastAsia="Calibri"/>
          <w:lang w:eastAsia="en-US"/>
        </w:rPr>
        <w:t> </w:t>
      </w:r>
      <w:r w:rsidRPr="001A77AA">
        <w:rPr>
          <w:rFonts w:eastAsia="Calibri"/>
          <w:lang w:eastAsia="en-US"/>
        </w:rPr>
        <w:t>July</w:t>
      </w:r>
      <w:r w:rsidR="000C727E" w:rsidRPr="001A77AA">
        <w:rPr>
          <w:rFonts w:eastAsia="Calibri"/>
          <w:lang w:eastAsia="en-US"/>
        </w:rPr>
        <w:t> </w:t>
      </w:r>
      <w:r w:rsidRPr="001A77AA">
        <w:rPr>
          <w:rFonts w:eastAsia="Calibri"/>
          <w:lang w:eastAsia="en-US"/>
        </w:rPr>
        <w:t>2023</w:t>
      </w:r>
      <w:r w:rsidR="000A7E36">
        <w:rPr>
          <w:rFonts w:eastAsia="Calibri"/>
          <w:lang w:eastAsia="en-US"/>
        </w:rPr>
        <w:t xml:space="preserve"> and t</w:t>
      </w:r>
      <w:r w:rsidRPr="001A77AA">
        <w:rPr>
          <w:rFonts w:eastAsia="Calibri"/>
          <w:lang w:eastAsia="en-US"/>
        </w:rPr>
        <w:t xml:space="preserve">hese reports were lodged during the 2024–25 financial year. ASIC reviewed the financial reports of 60 RSEs and contacted 17 superannuation trustees about their valuation and disclosure of </w:t>
      </w:r>
      <w:r w:rsidRPr="001A77AA">
        <w:rPr>
          <w:rFonts w:eastAsia="Calibri"/>
          <w:lang w:val="en-US" w:eastAsia="en-US"/>
        </w:rPr>
        <w:t>investments and disclosure of expenses</w:t>
      </w:r>
      <w:r w:rsidRPr="001A77AA">
        <w:rPr>
          <w:rFonts w:eastAsia="Calibri"/>
          <w:lang w:eastAsia="en-US"/>
        </w:rPr>
        <w:t xml:space="preserve">. </w:t>
      </w:r>
    </w:p>
    <w:p w14:paraId="2374D919" w14:textId="4CF865C9" w:rsidR="00126045" w:rsidRPr="001A77AA" w:rsidRDefault="00126045" w:rsidP="00126045">
      <w:pPr>
        <w:rPr>
          <w:rFonts w:eastAsia="Calibri"/>
          <w:lang w:val="en-US" w:eastAsia="en-US"/>
        </w:rPr>
      </w:pPr>
      <w:r w:rsidRPr="001A77AA">
        <w:rPr>
          <w:rFonts w:eastAsia="Calibri"/>
          <w:lang w:eastAsia="en-US"/>
        </w:rPr>
        <w:t xml:space="preserve">ASIC also reviewed </w:t>
      </w:r>
      <w:r w:rsidR="00F86A74">
        <w:rPr>
          <w:rFonts w:eastAsia="Calibri"/>
          <w:lang w:eastAsia="en-US"/>
        </w:rPr>
        <w:t>5</w:t>
      </w:r>
      <w:r w:rsidR="00AC0190">
        <w:rPr>
          <w:rFonts w:eastAsia="Calibri"/>
          <w:lang w:eastAsia="en-US"/>
        </w:rPr>
        <w:t xml:space="preserve"> </w:t>
      </w:r>
      <w:r w:rsidRPr="001A77AA">
        <w:rPr>
          <w:rFonts w:eastAsia="Calibri"/>
          <w:lang w:eastAsia="en-US"/>
        </w:rPr>
        <w:t xml:space="preserve">RSE audit files across </w:t>
      </w:r>
      <w:r w:rsidR="0043133E">
        <w:rPr>
          <w:rFonts w:eastAsia="Calibri"/>
          <w:lang w:eastAsia="en-US"/>
        </w:rPr>
        <w:t>5</w:t>
      </w:r>
      <w:r w:rsidR="00F34D7B" w:rsidRPr="001A77AA">
        <w:rPr>
          <w:rFonts w:eastAsia="Calibri"/>
          <w:lang w:eastAsia="en-US"/>
        </w:rPr>
        <w:t xml:space="preserve"> </w:t>
      </w:r>
      <w:r w:rsidRPr="001A77AA">
        <w:rPr>
          <w:rFonts w:eastAsia="Calibri"/>
          <w:lang w:eastAsia="en-US"/>
        </w:rPr>
        <w:t>audit firms and reported findings to each firm and the trustees of the audited RSE on the sufficiency of audit evidence about investment valuations and application of materiality levels.</w:t>
      </w:r>
      <w:r w:rsidR="00A07D83">
        <w:rPr>
          <w:rFonts w:eastAsia="Calibri"/>
          <w:lang w:val="en-US" w:eastAsia="en-US"/>
        </w:rPr>
        <w:t xml:space="preserve"> </w:t>
      </w:r>
      <w:r w:rsidRPr="001A77AA">
        <w:rPr>
          <w:rFonts w:eastAsia="Calibri"/>
          <w:lang w:val="en-US" w:eastAsia="en-US"/>
        </w:rPr>
        <w:t>ASIC has indicated that RSE reporting and audit will remain part of its</w:t>
      </w:r>
      <w:r w:rsidR="008C6F05">
        <w:rPr>
          <w:rFonts w:eastAsia="Calibri"/>
          <w:lang w:val="en-US" w:eastAsia="en-US"/>
        </w:rPr>
        <w:t> </w:t>
      </w:r>
      <w:r w:rsidRPr="001A77AA">
        <w:rPr>
          <w:rFonts w:eastAsia="Calibri"/>
          <w:lang w:val="en-US" w:eastAsia="en-US"/>
        </w:rPr>
        <w:t>ongoing surveillance program.</w:t>
      </w:r>
    </w:p>
    <w:p w14:paraId="54B96587" w14:textId="00CB6751" w:rsidR="00126045" w:rsidRPr="001A77AA" w:rsidRDefault="00126045" w:rsidP="00126045">
      <w:r w:rsidRPr="001A77AA">
        <w:rPr>
          <w:rFonts w:eastAsia="Calibri"/>
          <w:lang w:eastAsia="en-US"/>
        </w:rPr>
        <w:t xml:space="preserve">In October 2025, ASIC published </w:t>
      </w:r>
      <w:r w:rsidR="00352AF5" w:rsidRPr="00352AF5">
        <w:rPr>
          <w:rFonts w:eastAsia="Calibri"/>
          <w:lang w:eastAsia="en-US"/>
        </w:rPr>
        <w:t>Report 817 Building trust: Auditors’ compliance with independence and conflict of interest obligations (2025) (REP 817)</w:t>
      </w:r>
      <w:r w:rsidRPr="001A77AA">
        <w:t>, which reported on a data</w:t>
      </w:r>
      <w:r w:rsidR="009C134F" w:rsidRPr="001A77AA">
        <w:noBreakHyphen/>
      </w:r>
      <w:r w:rsidRPr="001A77AA">
        <w:t>driven surveillance of</w:t>
      </w:r>
      <w:r w:rsidR="009C5017">
        <w:t> </w:t>
      </w:r>
      <w:r w:rsidRPr="001A77AA">
        <w:t>auditor</w:t>
      </w:r>
      <w:r w:rsidR="0000637E" w:rsidRPr="001A77AA">
        <w:t> </w:t>
      </w:r>
      <w:r w:rsidRPr="001A77AA">
        <w:t>independence and conflict</w:t>
      </w:r>
      <w:r w:rsidR="009C134F" w:rsidRPr="001A77AA">
        <w:noBreakHyphen/>
      </w:r>
      <w:r w:rsidRPr="001A77AA">
        <w:t>of</w:t>
      </w:r>
      <w:r w:rsidR="009C134F" w:rsidRPr="001A77AA">
        <w:noBreakHyphen/>
      </w:r>
      <w:r w:rsidRPr="001A77AA">
        <w:t>interest obligations. The surveillance assessed potential independence risks across approximately 2,900 auditors and involved detailed reviews of 48 auditors from 19 audit firms.</w:t>
      </w:r>
    </w:p>
    <w:p w14:paraId="6778D6E3" w14:textId="65333923" w:rsidR="00126045" w:rsidRPr="001A77AA" w:rsidRDefault="00126045" w:rsidP="00126045">
      <w:r w:rsidRPr="001A77AA">
        <w:t xml:space="preserve">ASIC found that many auditors were unable to effectively demonstrate compliance with prescriptive and general independence obligations. </w:t>
      </w:r>
      <w:r w:rsidR="00F34D7B">
        <w:t>15</w:t>
      </w:r>
      <w:r w:rsidR="00F34D7B" w:rsidRPr="001A77AA">
        <w:t xml:space="preserve"> </w:t>
      </w:r>
      <w:r w:rsidRPr="001A77AA">
        <w:t>auditors were identified as likely in breach of rotation requirements, prohibited relationship rules or prohibited non</w:t>
      </w:r>
      <w:r w:rsidR="009C134F" w:rsidRPr="001A77AA">
        <w:noBreakHyphen/>
      </w:r>
      <w:r w:rsidRPr="001A77AA">
        <w:t>audit</w:t>
      </w:r>
      <w:r w:rsidR="009C134F" w:rsidRPr="001A77AA">
        <w:noBreakHyphen/>
      </w:r>
      <w:r w:rsidRPr="001A77AA">
        <w:t>service requirements.</w:t>
      </w:r>
    </w:p>
    <w:p w14:paraId="21D8C36B" w14:textId="08BD1EE5" w:rsidR="00126045" w:rsidRPr="001A77AA" w:rsidRDefault="00126045" w:rsidP="00126045">
      <w:r w:rsidRPr="001A77AA">
        <w:t>ASIC highlighted deficiencies in auditors</w:t>
      </w:r>
      <w:r w:rsidR="009C134F" w:rsidRPr="001A77AA">
        <w:t>’</w:t>
      </w:r>
      <w:r w:rsidRPr="001A77AA">
        <w:t xml:space="preserve"> consideration and documentation of independence threats, including narrow or tick</w:t>
      </w:r>
      <w:r w:rsidR="009C134F" w:rsidRPr="001A77AA">
        <w:noBreakHyphen/>
      </w:r>
      <w:r w:rsidRPr="001A77AA">
        <w:t>box approaches, insufficient consideration of independence in appearance and failure to proactively report potential breaches to ASIC.</w:t>
      </w:r>
    </w:p>
    <w:p w14:paraId="13CDAA81" w14:textId="6F046192" w:rsidR="00126045" w:rsidRPr="001A77AA" w:rsidRDefault="00126045" w:rsidP="00126045">
      <w:pPr>
        <w:rPr>
          <w:rFonts w:eastAsia="Calibri"/>
          <w:lang w:eastAsia="en-US"/>
        </w:rPr>
      </w:pPr>
      <w:r w:rsidRPr="001A77AA">
        <w:t>ASIC reissued Regulatory Guide 34 Auditor obligations: Reporting to ASIC </w:t>
      </w:r>
      <w:r w:rsidR="001B3F9B">
        <w:t>(2025)</w:t>
      </w:r>
      <w:r w:rsidR="001B3F9B" w:rsidRPr="001A77AA">
        <w:t xml:space="preserve"> </w:t>
      </w:r>
      <w:r w:rsidRPr="001A77AA">
        <w:t>(</w:t>
      </w:r>
      <w:r w:rsidR="002023F3" w:rsidRPr="000C533D">
        <w:t>RG 34</w:t>
      </w:r>
      <w:r w:rsidRPr="001A77AA">
        <w:t>)</w:t>
      </w:r>
      <w:r w:rsidR="002023F3">
        <w:t xml:space="preserve"> </w:t>
      </w:r>
      <w:r w:rsidRPr="001A77AA">
        <w:t>to consolidate and simplify guidance on auditor breach notification and contravention reporting obligations to ASIC including the auditor</w:t>
      </w:r>
      <w:r w:rsidR="009C134F" w:rsidRPr="001A77AA">
        <w:t>’</w:t>
      </w:r>
      <w:r w:rsidRPr="001A77AA">
        <w:t>s obligation to report their own contraventions including conflicts of interest situations to ASIC.</w:t>
      </w:r>
    </w:p>
    <w:p w14:paraId="5412C70B" w14:textId="16202357" w:rsidR="00126045" w:rsidRPr="000C533D" w:rsidRDefault="00126045" w:rsidP="00126045">
      <w:pPr>
        <w:rPr>
          <w:rFonts w:eastAsia="Calibri"/>
          <w:lang w:eastAsia="en-US"/>
        </w:rPr>
      </w:pPr>
      <w:r w:rsidRPr="00767762">
        <w:rPr>
          <w:rFonts w:eastAsia="Calibri"/>
          <w:lang w:eastAsia="en-US"/>
        </w:rPr>
        <w:t>In October 2025, ASIC</w:t>
      </w:r>
      <w:r w:rsidR="00564661">
        <w:rPr>
          <w:rFonts w:eastAsia="Calibri"/>
          <w:lang w:eastAsia="en-US"/>
        </w:rPr>
        <w:t xml:space="preserve"> also</w:t>
      </w:r>
      <w:r w:rsidRPr="00767762">
        <w:rPr>
          <w:rFonts w:eastAsia="Calibri"/>
          <w:lang w:eastAsia="en-US"/>
        </w:rPr>
        <w:t xml:space="preserve"> published </w:t>
      </w:r>
      <w:r w:rsidR="002D058A" w:rsidRPr="002D058A">
        <w:rPr>
          <w:rFonts w:eastAsia="Calibri"/>
          <w:lang w:eastAsia="en-US"/>
        </w:rPr>
        <w:t>Report 819 ASIC’s oversight of financial reporting and audit 2024–2025 (2025) (REP 819)</w:t>
      </w:r>
      <w:r w:rsidR="002D058A">
        <w:rPr>
          <w:rFonts w:eastAsia="Calibri"/>
          <w:lang w:eastAsia="en-US"/>
        </w:rPr>
        <w:t xml:space="preserve"> </w:t>
      </w:r>
      <w:r w:rsidRPr="00767762">
        <w:rPr>
          <w:rFonts w:eastAsia="Calibri"/>
          <w:lang w:eastAsia="en-US"/>
        </w:rPr>
        <w:t>on its oversight of financial reporting and audit including findings from its surveillance program for the 12 months to 30 June 2025</w:t>
      </w:r>
      <w:r w:rsidR="00D54FAC" w:rsidRPr="00767762">
        <w:rPr>
          <w:rFonts w:eastAsia="Calibri"/>
          <w:lang w:eastAsia="en-US"/>
        </w:rPr>
        <w:t>,</w:t>
      </w:r>
      <w:r w:rsidRPr="000C533D">
        <w:rPr>
          <w:rFonts w:eastAsia="Calibri"/>
          <w:lang w:eastAsia="en-US"/>
        </w:rPr>
        <w:t xml:space="preserve"> </w:t>
      </w:r>
      <w:r w:rsidRPr="00767762">
        <w:rPr>
          <w:rFonts w:eastAsia="Calibri"/>
          <w:lang w:eastAsia="en-US"/>
        </w:rPr>
        <w:t>excluding the surveillance of RSEs</w:t>
      </w:r>
      <w:r w:rsidR="00D54FAC" w:rsidRPr="00767762">
        <w:rPr>
          <w:rFonts w:eastAsia="Calibri"/>
          <w:lang w:eastAsia="en-US"/>
        </w:rPr>
        <w:t>,</w:t>
      </w:r>
      <w:r w:rsidRPr="00767762">
        <w:rPr>
          <w:rFonts w:eastAsia="Calibri"/>
          <w:lang w:eastAsia="en-US"/>
        </w:rPr>
        <w:t xml:space="preserve"> which is included in REP 816.</w:t>
      </w:r>
    </w:p>
    <w:p w14:paraId="6F6AC2F7" w14:textId="112D11BF" w:rsidR="00126045" w:rsidRPr="001A77AA" w:rsidRDefault="00126045" w:rsidP="00126045">
      <w:pPr>
        <w:rPr>
          <w:rFonts w:eastAsia="Calibri"/>
          <w:lang w:eastAsia="en-US"/>
        </w:rPr>
      </w:pPr>
      <w:r w:rsidRPr="001A77AA">
        <w:rPr>
          <w:rFonts w:eastAsia="Calibri"/>
          <w:lang w:eastAsia="en-US"/>
        </w:rPr>
        <w:t>ASIC reviewed 254 financial reports of listed and large proprietary compan</w:t>
      </w:r>
      <w:r w:rsidR="001765BE" w:rsidRPr="001A77AA">
        <w:rPr>
          <w:rFonts w:eastAsia="Calibri"/>
          <w:lang w:eastAsia="en-US"/>
        </w:rPr>
        <w:t>ies</w:t>
      </w:r>
      <w:r w:rsidRPr="001A77AA">
        <w:rPr>
          <w:rFonts w:eastAsia="Calibri"/>
          <w:lang w:eastAsia="en-US"/>
        </w:rPr>
        <w:t xml:space="preserve"> and contacted 22</w:t>
      </w:r>
      <w:r w:rsidR="00481490" w:rsidRPr="001A77AA">
        <w:rPr>
          <w:rFonts w:eastAsia="Calibri"/>
          <w:lang w:eastAsia="en-US"/>
        </w:rPr>
        <w:t> </w:t>
      </w:r>
      <w:r w:rsidRPr="001A77AA">
        <w:rPr>
          <w:rFonts w:eastAsia="Calibri"/>
          <w:lang w:eastAsia="en-US"/>
        </w:rPr>
        <w:t xml:space="preserve">companies about their financial reporting. Most of the issues related to disclosure in the operating and financial review, impairment and asset values and financial report disclosures. Following </w:t>
      </w:r>
      <w:r w:rsidR="00531FA0" w:rsidRPr="001A77AA">
        <w:rPr>
          <w:rFonts w:eastAsia="Calibri"/>
          <w:lang w:eastAsia="en-US"/>
        </w:rPr>
        <w:t>ASIC</w:t>
      </w:r>
      <w:r w:rsidR="009C134F" w:rsidRPr="001A77AA">
        <w:rPr>
          <w:rFonts w:eastAsia="Calibri"/>
          <w:lang w:eastAsia="en-US"/>
        </w:rPr>
        <w:t>’</w:t>
      </w:r>
      <w:r w:rsidR="00531FA0" w:rsidRPr="001A77AA">
        <w:rPr>
          <w:rFonts w:eastAsia="Calibri"/>
          <w:lang w:eastAsia="en-US"/>
        </w:rPr>
        <w:t>s</w:t>
      </w:r>
      <w:r w:rsidRPr="001A77AA">
        <w:rPr>
          <w:rFonts w:eastAsia="Calibri"/>
          <w:lang w:eastAsia="en-US"/>
        </w:rPr>
        <w:t xml:space="preserve"> enquiries</w:t>
      </w:r>
      <w:r w:rsidR="00531FA0" w:rsidRPr="001A77AA">
        <w:rPr>
          <w:rFonts w:eastAsia="Calibri"/>
          <w:lang w:eastAsia="en-US"/>
        </w:rPr>
        <w:t>,</w:t>
      </w:r>
      <w:r w:rsidRPr="001A77AA">
        <w:rPr>
          <w:rFonts w:eastAsia="Calibri"/>
          <w:lang w:eastAsia="en-US"/>
        </w:rPr>
        <w:t xml:space="preserve"> 18 entities made changes or agreed to make changes to their financial reports.</w:t>
      </w:r>
    </w:p>
    <w:p w14:paraId="58F37076" w14:textId="6C8AEF87" w:rsidR="00126045" w:rsidRPr="001A77AA" w:rsidRDefault="00126045" w:rsidP="00126045">
      <w:pPr>
        <w:rPr>
          <w:rFonts w:eastAsia="Calibri"/>
          <w:lang w:eastAsia="en-US"/>
        </w:rPr>
      </w:pPr>
      <w:r w:rsidRPr="001A77AA">
        <w:rPr>
          <w:rFonts w:eastAsia="Calibri"/>
          <w:lang w:eastAsia="en-US"/>
        </w:rPr>
        <w:t xml:space="preserve">ASIC reviewed 10 audit files of listed and unlisted companies across </w:t>
      </w:r>
      <w:r w:rsidR="0043133E">
        <w:rPr>
          <w:rFonts w:eastAsia="Calibri"/>
          <w:lang w:eastAsia="en-US"/>
        </w:rPr>
        <w:t>8</w:t>
      </w:r>
      <w:r w:rsidRPr="001A77AA">
        <w:rPr>
          <w:rFonts w:eastAsia="Calibri"/>
          <w:lang w:eastAsia="en-US"/>
        </w:rPr>
        <w:t xml:space="preserve"> audit firms and reported findings about revenue recognition and impairment and asset values to </w:t>
      </w:r>
      <w:r w:rsidR="0043133E">
        <w:rPr>
          <w:rFonts w:eastAsia="Calibri"/>
          <w:lang w:eastAsia="en-US"/>
        </w:rPr>
        <w:t>9</w:t>
      </w:r>
      <w:r w:rsidRPr="001A77AA">
        <w:rPr>
          <w:rFonts w:eastAsia="Calibri"/>
          <w:lang w:eastAsia="en-US"/>
        </w:rPr>
        <w:t xml:space="preserve"> auditors and directors of</w:t>
      </w:r>
      <w:r w:rsidR="009C5017">
        <w:rPr>
          <w:rFonts w:eastAsia="Calibri"/>
          <w:lang w:eastAsia="en-US"/>
        </w:rPr>
        <w:t> </w:t>
      </w:r>
      <w:r w:rsidRPr="001A77AA">
        <w:rPr>
          <w:rFonts w:eastAsia="Calibri"/>
          <w:lang w:eastAsia="en-US"/>
        </w:rPr>
        <w:t>the</w:t>
      </w:r>
      <w:r w:rsidR="008D4F49">
        <w:rPr>
          <w:rFonts w:eastAsia="Calibri"/>
          <w:lang w:eastAsia="en-US"/>
        </w:rPr>
        <w:t xml:space="preserve"> </w:t>
      </w:r>
      <w:r w:rsidR="0043133E">
        <w:rPr>
          <w:rFonts w:eastAsia="Calibri"/>
          <w:lang w:eastAsia="en-US"/>
        </w:rPr>
        <w:t>9</w:t>
      </w:r>
      <w:r w:rsidRPr="001A77AA">
        <w:rPr>
          <w:rFonts w:eastAsia="Calibri"/>
          <w:lang w:eastAsia="en-US"/>
        </w:rPr>
        <w:t xml:space="preserve"> audited companies. ASIC closed </w:t>
      </w:r>
      <w:r w:rsidR="00C64673">
        <w:rPr>
          <w:rFonts w:eastAsia="Calibri"/>
          <w:lang w:eastAsia="en-US"/>
        </w:rPr>
        <w:t>one</w:t>
      </w:r>
      <w:r w:rsidRPr="001A77AA">
        <w:rPr>
          <w:rFonts w:eastAsia="Calibri"/>
          <w:lang w:eastAsia="en-US"/>
        </w:rPr>
        <w:t xml:space="preserve"> audit surveillance </w:t>
      </w:r>
      <w:r w:rsidR="00B3071F" w:rsidRPr="001A77AA">
        <w:rPr>
          <w:rFonts w:eastAsia="Calibri"/>
          <w:lang w:eastAsia="en-US"/>
        </w:rPr>
        <w:t xml:space="preserve">file </w:t>
      </w:r>
      <w:r w:rsidRPr="001A77AA">
        <w:rPr>
          <w:rFonts w:eastAsia="Calibri"/>
          <w:lang w:eastAsia="en-US"/>
        </w:rPr>
        <w:t>with no findings. ASIC selected audit files</w:t>
      </w:r>
      <w:r w:rsidR="008D4F49">
        <w:rPr>
          <w:rFonts w:eastAsia="Calibri"/>
          <w:lang w:eastAsia="en-US"/>
        </w:rPr>
        <w:t xml:space="preserve"> </w:t>
      </w:r>
      <w:r w:rsidRPr="001A77AA">
        <w:rPr>
          <w:rFonts w:eastAsia="Calibri"/>
          <w:lang w:eastAsia="en-US"/>
        </w:rPr>
        <w:t xml:space="preserve">for surveillance where ASIC identified concerns from </w:t>
      </w:r>
      <w:r w:rsidR="00B3071F" w:rsidRPr="001A77AA">
        <w:rPr>
          <w:rFonts w:eastAsia="Calibri"/>
          <w:lang w:eastAsia="en-US"/>
        </w:rPr>
        <w:t>its</w:t>
      </w:r>
      <w:r w:rsidRPr="001A77AA">
        <w:rPr>
          <w:rFonts w:eastAsia="Calibri"/>
          <w:lang w:eastAsia="en-US"/>
        </w:rPr>
        <w:t xml:space="preserve"> financial report reviews and financial report surveillances. </w:t>
      </w:r>
    </w:p>
    <w:p w14:paraId="1A30F581" w14:textId="46011C25" w:rsidR="00126045" w:rsidRPr="001A77AA" w:rsidRDefault="00126045" w:rsidP="00126045">
      <w:pPr>
        <w:rPr>
          <w:rFonts w:eastAsia="Calibri"/>
          <w:lang w:eastAsia="en-US"/>
        </w:rPr>
      </w:pPr>
      <w:r w:rsidRPr="001A77AA">
        <w:rPr>
          <w:rFonts w:eastAsia="Calibri"/>
          <w:lang w:eastAsia="en-US"/>
        </w:rPr>
        <w:lastRenderedPageBreak/>
        <w:t>ASIC</w:t>
      </w:r>
      <w:r w:rsidR="00077AFE">
        <w:rPr>
          <w:rFonts w:eastAsia="Calibri"/>
          <w:lang w:eastAsia="en-US"/>
        </w:rPr>
        <w:t xml:space="preserve"> </w:t>
      </w:r>
      <w:r w:rsidR="00C20FC3">
        <w:rPr>
          <w:rFonts w:eastAsia="Calibri"/>
          <w:lang w:eastAsia="en-US"/>
        </w:rPr>
        <w:t>observed that</w:t>
      </w:r>
      <w:r w:rsidR="00077AFE">
        <w:rPr>
          <w:rFonts w:eastAsia="Calibri"/>
          <w:lang w:eastAsia="en-US"/>
        </w:rPr>
        <w:t xml:space="preserve"> it</w:t>
      </w:r>
      <w:r w:rsidRPr="001A77AA">
        <w:rPr>
          <w:rFonts w:eastAsia="Calibri"/>
          <w:lang w:eastAsia="en-US"/>
        </w:rPr>
        <w:t xml:space="preserve"> continues to have the largest number of findings on the audit of revenue recognition and impairment and asset values. </w:t>
      </w:r>
      <w:r w:rsidR="00E201E6" w:rsidRPr="001A77AA">
        <w:rPr>
          <w:rFonts w:eastAsia="Calibri"/>
          <w:lang w:eastAsia="en-US"/>
        </w:rPr>
        <w:t xml:space="preserve">ASIC has </w:t>
      </w:r>
      <w:r w:rsidR="00C20FC3">
        <w:rPr>
          <w:rFonts w:eastAsia="Calibri"/>
          <w:lang w:eastAsia="en-US"/>
        </w:rPr>
        <w:t>advised</w:t>
      </w:r>
      <w:r w:rsidR="00C20FC3" w:rsidRPr="001A77AA">
        <w:rPr>
          <w:rFonts w:eastAsia="Calibri"/>
          <w:lang w:eastAsia="en-US"/>
        </w:rPr>
        <w:t xml:space="preserve"> </w:t>
      </w:r>
      <w:r w:rsidR="00E201E6" w:rsidRPr="001A77AA">
        <w:rPr>
          <w:rFonts w:eastAsia="Calibri"/>
          <w:lang w:eastAsia="en-US"/>
        </w:rPr>
        <w:t>that t</w:t>
      </w:r>
      <w:r w:rsidRPr="001A77AA">
        <w:rPr>
          <w:rFonts w:eastAsia="Calibri"/>
          <w:lang w:eastAsia="en-US"/>
        </w:rPr>
        <w:t>hese areas are subject to a</w:t>
      </w:r>
      <w:r w:rsidR="002449E9">
        <w:rPr>
          <w:rFonts w:eastAsia="Calibri"/>
          <w:lang w:eastAsia="en-US"/>
        </w:rPr>
        <w:t> </w:t>
      </w:r>
      <w:r w:rsidRPr="001A77AA">
        <w:rPr>
          <w:rFonts w:eastAsia="Calibri"/>
          <w:lang w:eastAsia="en-US"/>
        </w:rPr>
        <w:t>high</w:t>
      </w:r>
      <w:r w:rsidR="00F85D6C">
        <w:rPr>
          <w:rFonts w:eastAsia="Calibri"/>
          <w:lang w:eastAsia="en-US"/>
        </w:rPr>
        <w:t> </w:t>
      </w:r>
      <w:r w:rsidRPr="001A77AA">
        <w:rPr>
          <w:rFonts w:eastAsia="Calibri"/>
          <w:lang w:eastAsia="en-US"/>
        </w:rPr>
        <w:t xml:space="preserve">degree of estimation uncertainty and significant judgement. </w:t>
      </w:r>
    </w:p>
    <w:p w14:paraId="63470DE8" w14:textId="22968904" w:rsidR="00126045" w:rsidRPr="001A77AA" w:rsidRDefault="00126045" w:rsidP="00126045">
      <w:pPr>
        <w:pStyle w:val="Heading3"/>
      </w:pPr>
      <w:r w:rsidRPr="001A77AA">
        <w:rPr>
          <w:lang w:eastAsia="en-US"/>
        </w:rPr>
        <w:t>2025–26</w:t>
      </w:r>
      <w:r w:rsidRPr="001A77AA">
        <w:t xml:space="preserve"> surveillance program</w:t>
      </w:r>
    </w:p>
    <w:p w14:paraId="2C305884" w14:textId="16B9ACF4" w:rsidR="00126045" w:rsidRPr="001A77AA" w:rsidRDefault="00126045" w:rsidP="00C871CC">
      <w:r w:rsidRPr="001A77AA">
        <w:rPr>
          <w:rFonts w:eastAsia="Calibri"/>
          <w:lang w:eastAsia="en-US"/>
        </w:rPr>
        <w:t>In May 2025</w:t>
      </w:r>
      <w:r w:rsidR="00354199" w:rsidRPr="001A77AA">
        <w:rPr>
          <w:rFonts w:eastAsia="Calibri"/>
          <w:lang w:eastAsia="en-US"/>
        </w:rPr>
        <w:t>,</w:t>
      </w:r>
      <w:r w:rsidRPr="001A77AA">
        <w:rPr>
          <w:rFonts w:eastAsia="Calibri"/>
          <w:lang w:eastAsia="en-US"/>
        </w:rPr>
        <w:t xml:space="preserve"> ASIC published its focus areas for its 2025–26 program and </w:t>
      </w:r>
      <w:r w:rsidRPr="001A77AA">
        <w:t xml:space="preserve">announced an expanded program to support financial reporting and audit quality. ASIC </w:t>
      </w:r>
      <w:r w:rsidR="00456594">
        <w:t>advised that</w:t>
      </w:r>
      <w:r w:rsidR="00B01082">
        <w:t xml:space="preserve"> it</w:t>
      </w:r>
      <w:r w:rsidRPr="001A77AA">
        <w:t xml:space="preserve"> has moved from issuing financial reporting and audit focus areas twice annually to publishing a single annual update, with focus areas now released once each year in May</w:t>
      </w:r>
      <w:r w:rsidR="00354199" w:rsidRPr="001A77AA">
        <w:t>.</w:t>
      </w:r>
    </w:p>
    <w:p w14:paraId="54C8413C" w14:textId="7823941D" w:rsidR="00126045" w:rsidRPr="001A77AA" w:rsidRDefault="00B01082" w:rsidP="00531C63">
      <w:pPr>
        <w:pStyle w:val="Bullet"/>
        <w:numPr>
          <w:ilvl w:val="0"/>
          <w:numId w:val="0"/>
        </w:numPr>
        <w:rPr>
          <w:rFonts w:ascii="Aptos" w:hAnsi="Aptos"/>
          <w:sz w:val="20"/>
        </w:rPr>
      </w:pPr>
      <w:r>
        <w:t xml:space="preserve">ASIC </w:t>
      </w:r>
      <w:r w:rsidR="00E321AC">
        <w:t>advised</w:t>
      </w:r>
      <w:r>
        <w:t xml:space="preserve"> that i</w:t>
      </w:r>
      <w:r w:rsidR="00126045" w:rsidRPr="001A77AA">
        <w:t>n 2025</w:t>
      </w:r>
      <w:r w:rsidR="000C727E" w:rsidRPr="001A77AA">
        <w:t>–</w:t>
      </w:r>
      <w:r w:rsidR="00126045" w:rsidRPr="001A77AA">
        <w:t xml:space="preserve">26, </w:t>
      </w:r>
      <w:r>
        <w:t>it</w:t>
      </w:r>
      <w:r w:rsidR="00126045" w:rsidRPr="001A77AA">
        <w:t xml:space="preserve"> broadened audit file selection to include files linked to financial</w:t>
      </w:r>
      <w:r w:rsidR="00800802">
        <w:t xml:space="preserve"> </w:t>
      </w:r>
      <w:r w:rsidR="00126045" w:rsidRPr="001A77AA">
        <w:t>reporting concerns, files selected by reference to potential independence or conflict</w:t>
      </w:r>
      <w:r w:rsidR="009C134F" w:rsidRPr="001A77AA">
        <w:noBreakHyphen/>
      </w:r>
      <w:r w:rsidR="00126045" w:rsidRPr="001A77AA">
        <w:t>of</w:t>
      </w:r>
      <w:r w:rsidR="009C134F" w:rsidRPr="001A77AA">
        <w:noBreakHyphen/>
      </w:r>
      <w:r w:rsidR="00126045" w:rsidRPr="001A77AA">
        <w:t xml:space="preserve">interest risks, other internal and external intelligence and random selection. </w:t>
      </w:r>
    </w:p>
    <w:p w14:paraId="61DDABCA" w14:textId="397CAB5C" w:rsidR="00126045" w:rsidRPr="001A77AA" w:rsidRDefault="00126045" w:rsidP="00126045">
      <w:pPr>
        <w:rPr>
          <w:rFonts w:eastAsia="Calibri"/>
          <w:lang w:eastAsia="en-US"/>
        </w:rPr>
      </w:pPr>
      <w:r w:rsidRPr="001A77AA">
        <w:rPr>
          <w:rFonts w:eastAsia="Calibri"/>
          <w:lang w:eastAsia="en-US"/>
        </w:rPr>
        <w:t>ASIC</w:t>
      </w:r>
      <w:r w:rsidR="00DC1EA0">
        <w:rPr>
          <w:rFonts w:eastAsia="Calibri"/>
          <w:lang w:eastAsia="en-US"/>
        </w:rPr>
        <w:t xml:space="preserve"> </w:t>
      </w:r>
      <w:r w:rsidR="00977848">
        <w:rPr>
          <w:rFonts w:eastAsia="Calibri"/>
          <w:lang w:eastAsia="en-US"/>
        </w:rPr>
        <w:t>stated</w:t>
      </w:r>
      <w:r w:rsidR="00DC1EA0">
        <w:rPr>
          <w:rFonts w:eastAsia="Calibri"/>
          <w:lang w:eastAsia="en-US"/>
        </w:rPr>
        <w:t xml:space="preserve"> that its</w:t>
      </w:r>
      <w:r w:rsidRPr="001A77AA">
        <w:rPr>
          <w:rFonts w:eastAsia="Calibri"/>
          <w:lang w:eastAsia="en-US"/>
        </w:rPr>
        <w:t xml:space="preserve"> financial reporting and audit surveillance report for reviews conducted between 1</w:t>
      </w:r>
      <w:r w:rsidR="00787E8E">
        <w:rPr>
          <w:rFonts w:eastAsia="Calibri"/>
          <w:lang w:eastAsia="en-US"/>
        </w:rPr>
        <w:t> </w:t>
      </w:r>
      <w:r w:rsidRPr="001A77AA">
        <w:rPr>
          <w:rFonts w:eastAsia="Calibri"/>
          <w:lang w:eastAsia="en-US"/>
        </w:rPr>
        <w:t>July 2025 and 30 June 2026 will be published in the second quarter of 2026</w:t>
      </w:r>
      <w:r w:rsidR="000C727E" w:rsidRPr="001A77AA">
        <w:rPr>
          <w:rFonts w:eastAsia="Calibri"/>
          <w:lang w:eastAsia="en-US"/>
        </w:rPr>
        <w:t>–</w:t>
      </w:r>
      <w:r w:rsidRPr="001A77AA">
        <w:rPr>
          <w:rFonts w:eastAsia="Calibri"/>
          <w:lang w:eastAsia="en-US"/>
        </w:rPr>
        <w:t xml:space="preserve">27. </w:t>
      </w:r>
    </w:p>
    <w:p w14:paraId="6C448852" w14:textId="00F0510A" w:rsidR="00665C82" w:rsidRPr="00665C82" w:rsidRDefault="00126045" w:rsidP="00665C82">
      <w:pPr>
        <w:rPr>
          <w:rFonts w:eastAsia="Calibri"/>
          <w:lang w:val="en-US" w:eastAsia="en-US"/>
        </w:rPr>
      </w:pPr>
      <w:r w:rsidRPr="001A77AA">
        <w:rPr>
          <w:rFonts w:eastAsia="Calibri"/>
          <w:lang w:val="en-US" w:eastAsia="en-US"/>
        </w:rPr>
        <w:t>ASIC</w:t>
      </w:r>
      <w:r w:rsidR="00DC1EA0">
        <w:rPr>
          <w:rFonts w:eastAsia="Calibri"/>
          <w:lang w:val="en-US" w:eastAsia="en-US"/>
        </w:rPr>
        <w:t xml:space="preserve"> has indicated it</w:t>
      </w:r>
      <w:r w:rsidRPr="001A77AA">
        <w:rPr>
          <w:rFonts w:eastAsia="Calibri"/>
          <w:lang w:val="en-US" w:eastAsia="en-US"/>
        </w:rPr>
        <w:t xml:space="preserve"> is taking a pragmatic and proportionate approach to sustainability reporting and</w:t>
      </w:r>
      <w:r w:rsidR="009C5017">
        <w:rPr>
          <w:rFonts w:eastAsia="Calibri"/>
          <w:lang w:val="en-US" w:eastAsia="en-US"/>
        </w:rPr>
        <w:t> </w:t>
      </w:r>
      <w:r w:rsidR="00ED126D">
        <w:rPr>
          <w:rFonts w:eastAsia="Calibri"/>
          <w:lang w:val="en-US" w:eastAsia="en-US"/>
        </w:rPr>
        <w:t xml:space="preserve">that it </w:t>
      </w:r>
      <w:r w:rsidRPr="001A77AA">
        <w:rPr>
          <w:rFonts w:eastAsia="Calibri"/>
          <w:lang w:val="en-US" w:eastAsia="en-US"/>
        </w:rPr>
        <w:t>has supported implementation during 202</w:t>
      </w:r>
      <w:r w:rsidR="00DB3213" w:rsidRPr="001A77AA">
        <w:rPr>
          <w:rFonts w:eastAsia="Calibri"/>
          <w:lang w:val="en-US" w:eastAsia="en-US"/>
        </w:rPr>
        <w:t>5</w:t>
      </w:r>
      <w:r w:rsidR="000C727E" w:rsidRPr="001A77AA">
        <w:rPr>
          <w:rFonts w:eastAsia="Calibri"/>
          <w:lang w:val="en-US" w:eastAsia="en-US"/>
        </w:rPr>
        <w:t>–</w:t>
      </w:r>
      <w:r w:rsidRPr="001A77AA">
        <w:rPr>
          <w:rFonts w:eastAsia="Calibri"/>
          <w:lang w:val="en-US" w:eastAsia="en-US"/>
        </w:rPr>
        <w:t>26 through guidance, education and relief. ASIC updated FAQs to reflect changes to the law and respond to stakeholder questions</w:t>
      </w:r>
      <w:r w:rsidR="00D33D88" w:rsidRPr="001A77AA">
        <w:rPr>
          <w:rFonts w:eastAsia="Calibri"/>
          <w:lang w:val="en-US" w:eastAsia="en-US"/>
        </w:rPr>
        <w:t xml:space="preserve">. ASIC </w:t>
      </w:r>
      <w:r w:rsidRPr="001A77AA">
        <w:rPr>
          <w:rFonts w:eastAsia="Calibri"/>
          <w:lang w:val="en-US" w:eastAsia="en-US"/>
        </w:rPr>
        <w:t xml:space="preserve">partnered with the AASB to commission </w:t>
      </w:r>
      <w:r w:rsidR="00D7783F">
        <w:rPr>
          <w:rFonts w:eastAsia="Calibri"/>
          <w:lang w:val="en-US" w:eastAsia="en-US"/>
        </w:rPr>
        <w:t>the University of Technology</w:t>
      </w:r>
      <w:r w:rsidR="001D5339">
        <w:rPr>
          <w:rFonts w:eastAsia="Calibri"/>
          <w:lang w:val="en-US" w:eastAsia="en-US"/>
        </w:rPr>
        <w:t xml:space="preserve"> Sydney</w:t>
      </w:r>
      <w:r w:rsidR="00D7783F" w:rsidRPr="001A77AA">
        <w:rPr>
          <w:rFonts w:eastAsia="Calibri"/>
          <w:lang w:val="en-US" w:eastAsia="en-US"/>
        </w:rPr>
        <w:t xml:space="preserve"> </w:t>
      </w:r>
      <w:r w:rsidRPr="001A77AA">
        <w:rPr>
          <w:rFonts w:eastAsia="Calibri"/>
          <w:lang w:val="en-US" w:eastAsia="en-US"/>
        </w:rPr>
        <w:t xml:space="preserve">and Studio 3 to publish </w:t>
      </w:r>
      <w:r w:rsidR="00162925">
        <w:rPr>
          <w:rFonts w:eastAsia="Calibri"/>
          <w:lang w:val="en-US" w:eastAsia="en-US"/>
        </w:rPr>
        <w:t>8 </w:t>
      </w:r>
      <w:r w:rsidRPr="001A77AA">
        <w:rPr>
          <w:rFonts w:eastAsia="Calibri"/>
          <w:lang w:val="en-US" w:eastAsia="en-US"/>
        </w:rPr>
        <w:t>interactive educational modules about the foundational concepts underlying sustainability reporting supported by webinars, videos and in</w:t>
      </w:r>
      <w:r w:rsidR="009C134F" w:rsidRPr="001A77AA">
        <w:rPr>
          <w:rFonts w:eastAsia="Calibri"/>
          <w:lang w:val="en-US" w:eastAsia="en-US"/>
        </w:rPr>
        <w:noBreakHyphen/>
      </w:r>
      <w:r w:rsidRPr="001A77AA">
        <w:rPr>
          <w:rFonts w:eastAsia="Calibri"/>
          <w:lang w:val="en-US" w:eastAsia="en-US"/>
        </w:rPr>
        <w:t xml:space="preserve">person workshops. ASIC also reviewed a selection of Group 1 sustainability reports and published early observations to assist preparers and the market. </w:t>
      </w:r>
    </w:p>
    <w:p w14:paraId="41D6BB32" w14:textId="77777777" w:rsidR="00B313FF" w:rsidRPr="004F58EE" w:rsidRDefault="00B313FF" w:rsidP="006E74A5">
      <w:pPr>
        <w:pStyle w:val="Heading3"/>
      </w:pPr>
      <w:r w:rsidRPr="004F58EE">
        <w:rPr>
          <w:lang w:eastAsia="en-US"/>
        </w:rPr>
        <w:t>2026–27</w:t>
      </w:r>
      <w:r w:rsidRPr="004F58EE">
        <w:t xml:space="preserve"> </w:t>
      </w:r>
      <w:r w:rsidRPr="006E74A5">
        <w:t>surveillance</w:t>
      </w:r>
      <w:r w:rsidRPr="004F58EE">
        <w:t xml:space="preserve"> program</w:t>
      </w:r>
    </w:p>
    <w:p w14:paraId="251D2740" w14:textId="2DE1ABF5" w:rsidR="004157C8" w:rsidRPr="000C533D" w:rsidRDefault="004157C8" w:rsidP="00B313FF">
      <w:pPr>
        <w:rPr>
          <w:rFonts w:eastAsia="Calibri"/>
          <w:lang w:val="en-US" w:eastAsia="en-US"/>
        </w:rPr>
      </w:pPr>
      <w:r w:rsidRPr="00665C82">
        <w:rPr>
          <w:rFonts w:eastAsia="Calibri"/>
          <w:lang w:val="en-US" w:eastAsia="en-US"/>
        </w:rPr>
        <w:t>In May 2026</w:t>
      </w:r>
      <w:r>
        <w:rPr>
          <w:rFonts w:eastAsia="Calibri"/>
          <w:lang w:val="en-US" w:eastAsia="en-US"/>
        </w:rPr>
        <w:t>,</w:t>
      </w:r>
      <w:r w:rsidRPr="00665C82">
        <w:rPr>
          <w:rFonts w:eastAsia="Calibri"/>
          <w:lang w:val="en-US" w:eastAsia="en-US"/>
        </w:rPr>
        <w:t xml:space="preserve"> ASIC published its focus areas for financial reporting, audit and sustainability for 2026</w:t>
      </w:r>
      <w:r w:rsidR="00827072">
        <w:rPr>
          <w:rFonts w:eastAsia="Calibri"/>
          <w:lang w:val="en-US" w:eastAsia="en-US"/>
        </w:rPr>
        <w:t>–</w:t>
      </w:r>
      <w:r w:rsidRPr="00665C82">
        <w:rPr>
          <w:rFonts w:eastAsia="Calibri"/>
          <w:lang w:val="en-US" w:eastAsia="en-US"/>
        </w:rPr>
        <w:t>27</w:t>
      </w:r>
      <w:r w:rsidR="00F949E1">
        <w:rPr>
          <w:rFonts w:eastAsia="Calibri"/>
          <w:lang w:val="en-US" w:eastAsia="en-US"/>
        </w:rPr>
        <w:t xml:space="preserve"> in </w:t>
      </w:r>
      <w:r w:rsidR="00F949E1" w:rsidRPr="003E481B">
        <w:rPr>
          <w:rFonts w:eastAsia="Calibri"/>
          <w:lang w:eastAsia="en-US"/>
        </w:rPr>
        <w:t>2</w:t>
      </w:r>
      <w:r w:rsidR="00F949E1">
        <w:rPr>
          <w:rFonts w:eastAsia="Calibri"/>
          <w:lang w:eastAsia="en-US"/>
        </w:rPr>
        <w:t>6</w:t>
      </w:r>
      <w:r w:rsidR="00F949E1" w:rsidRPr="003E481B">
        <w:rPr>
          <w:rFonts w:eastAsia="Calibri"/>
          <w:lang w:eastAsia="en-US"/>
        </w:rPr>
        <w:t>-0</w:t>
      </w:r>
      <w:r w:rsidR="00F949E1">
        <w:rPr>
          <w:rFonts w:eastAsia="Calibri"/>
          <w:lang w:eastAsia="en-US"/>
        </w:rPr>
        <w:t>98</w:t>
      </w:r>
      <w:r w:rsidR="00F949E1" w:rsidRPr="003E481B">
        <w:rPr>
          <w:rFonts w:eastAsia="Calibri"/>
          <w:lang w:eastAsia="en-US"/>
        </w:rPr>
        <w:t>MR</w:t>
      </w:r>
      <w:r>
        <w:rPr>
          <w:rFonts w:eastAsia="Calibri"/>
          <w:lang w:val="en-US" w:eastAsia="en-US"/>
        </w:rPr>
        <w:t>,</w:t>
      </w:r>
      <w:r w:rsidRPr="00665C82">
        <w:rPr>
          <w:rFonts w:eastAsia="Calibri"/>
          <w:lang w:val="en-US" w:eastAsia="en-US"/>
        </w:rPr>
        <w:t xml:space="preserve"> indicating it will enhance its surveillance of audits</w:t>
      </w:r>
      <w:r>
        <w:rPr>
          <w:rFonts w:eastAsia="Calibri"/>
          <w:lang w:val="en-US" w:eastAsia="en-US"/>
        </w:rPr>
        <w:t>,</w:t>
      </w:r>
      <w:r w:rsidRPr="00665C82">
        <w:rPr>
          <w:rFonts w:eastAsia="Calibri"/>
          <w:lang w:val="en-US" w:eastAsia="en-US"/>
        </w:rPr>
        <w:t xml:space="preserve"> including a review of auditor compliance with their obligations to lodge annual statements.  </w:t>
      </w:r>
    </w:p>
    <w:p w14:paraId="363CB69F" w14:textId="659D4525" w:rsidR="00B313FF" w:rsidRDefault="00B313FF" w:rsidP="00B313FF">
      <w:pPr>
        <w:rPr>
          <w:rFonts w:eastAsia="Calibri"/>
          <w:lang w:eastAsia="en-US"/>
        </w:rPr>
      </w:pPr>
      <w:r w:rsidRPr="0030255E">
        <w:rPr>
          <w:rFonts w:eastAsia="Calibri"/>
          <w:lang w:eastAsia="en-US"/>
        </w:rPr>
        <w:t xml:space="preserve">ASIC </w:t>
      </w:r>
      <w:r w:rsidR="007D532D">
        <w:rPr>
          <w:rFonts w:eastAsia="Calibri"/>
          <w:lang w:eastAsia="en-US"/>
        </w:rPr>
        <w:t xml:space="preserve">has indicated it </w:t>
      </w:r>
      <w:r w:rsidRPr="0030255E">
        <w:rPr>
          <w:rFonts w:eastAsia="Calibri"/>
          <w:lang w:eastAsia="en-US"/>
        </w:rPr>
        <w:t>will</w:t>
      </w:r>
      <w:r>
        <w:rPr>
          <w:rFonts w:eastAsia="Calibri"/>
          <w:lang w:eastAsia="en-US"/>
        </w:rPr>
        <w:t xml:space="preserve"> continue</w:t>
      </w:r>
      <w:r w:rsidRPr="0030255E">
        <w:rPr>
          <w:rFonts w:eastAsia="Calibri"/>
          <w:lang w:eastAsia="en-US"/>
        </w:rPr>
        <w:t xml:space="preserve"> review</w:t>
      </w:r>
      <w:r>
        <w:rPr>
          <w:rFonts w:eastAsia="Calibri"/>
          <w:lang w:eastAsia="en-US"/>
        </w:rPr>
        <w:t>ing</w:t>
      </w:r>
      <w:r w:rsidRPr="0030255E">
        <w:rPr>
          <w:rFonts w:eastAsia="Calibri"/>
          <w:lang w:eastAsia="en-US"/>
        </w:rPr>
        <w:t xml:space="preserve"> 25 audit files</w:t>
      </w:r>
      <w:r>
        <w:rPr>
          <w:rFonts w:eastAsia="Calibri"/>
          <w:lang w:eastAsia="en-US"/>
        </w:rPr>
        <w:t xml:space="preserve">, </w:t>
      </w:r>
      <w:r w:rsidRPr="0030255E">
        <w:rPr>
          <w:rFonts w:eastAsia="Calibri"/>
          <w:lang w:eastAsia="en-US"/>
        </w:rPr>
        <w:t>maintain</w:t>
      </w:r>
      <w:r>
        <w:rPr>
          <w:rFonts w:eastAsia="Calibri"/>
          <w:lang w:eastAsia="en-US"/>
        </w:rPr>
        <w:t>ing</w:t>
      </w:r>
      <w:r w:rsidRPr="0030255E">
        <w:rPr>
          <w:rFonts w:eastAsia="Calibri"/>
          <w:lang w:eastAsia="en-US"/>
        </w:rPr>
        <w:t xml:space="preserve"> its focus on listed and unlisted companies and RSEs, </w:t>
      </w:r>
      <w:r w:rsidRPr="00850FD8">
        <w:rPr>
          <w:rFonts w:eastAsia="Calibri"/>
          <w:lang w:eastAsia="en-US"/>
        </w:rPr>
        <w:t>while expanding the program to include selec</w:t>
      </w:r>
      <w:r>
        <w:rPr>
          <w:rFonts w:eastAsia="Calibri"/>
          <w:lang w:eastAsia="en-US"/>
        </w:rPr>
        <w:t>ted</w:t>
      </w:r>
      <w:r w:rsidRPr="0030255E">
        <w:rPr>
          <w:rFonts w:eastAsia="Calibri"/>
          <w:lang w:eastAsia="en-US"/>
        </w:rPr>
        <w:t xml:space="preserve"> M</w:t>
      </w:r>
      <w:r>
        <w:rPr>
          <w:rFonts w:eastAsia="Calibri"/>
          <w:lang w:eastAsia="en-US"/>
        </w:rPr>
        <w:t xml:space="preserve">anaged </w:t>
      </w:r>
      <w:r w:rsidRPr="0030255E">
        <w:rPr>
          <w:rFonts w:eastAsia="Calibri"/>
          <w:lang w:eastAsia="en-US"/>
        </w:rPr>
        <w:t>I</w:t>
      </w:r>
      <w:r>
        <w:rPr>
          <w:rFonts w:eastAsia="Calibri"/>
          <w:lang w:eastAsia="en-US"/>
        </w:rPr>
        <w:t xml:space="preserve">nvestment </w:t>
      </w:r>
      <w:r w:rsidRPr="0030255E">
        <w:rPr>
          <w:rFonts w:eastAsia="Calibri"/>
          <w:lang w:eastAsia="en-US"/>
        </w:rPr>
        <w:t>S</w:t>
      </w:r>
      <w:r>
        <w:rPr>
          <w:rFonts w:eastAsia="Calibri"/>
          <w:lang w:eastAsia="en-US"/>
        </w:rPr>
        <w:t>cheme</w:t>
      </w:r>
      <w:r w:rsidRPr="0030255E">
        <w:rPr>
          <w:rFonts w:eastAsia="Calibri"/>
          <w:lang w:eastAsia="en-US"/>
        </w:rPr>
        <w:t xml:space="preserve">s. </w:t>
      </w:r>
      <w:r>
        <w:rPr>
          <w:rFonts w:eastAsia="Calibri"/>
          <w:lang w:eastAsia="en-US"/>
        </w:rPr>
        <w:t>ASIC</w:t>
      </w:r>
      <w:r w:rsidR="00D22B3B">
        <w:rPr>
          <w:rFonts w:eastAsia="Calibri"/>
          <w:lang w:eastAsia="en-US"/>
        </w:rPr>
        <w:t xml:space="preserve"> </w:t>
      </w:r>
      <w:r w:rsidR="00A56632">
        <w:rPr>
          <w:rFonts w:eastAsia="Calibri"/>
          <w:lang w:eastAsia="en-US"/>
        </w:rPr>
        <w:t>noted</w:t>
      </w:r>
      <w:r w:rsidR="00D22B3B">
        <w:rPr>
          <w:rFonts w:eastAsia="Calibri"/>
          <w:lang w:eastAsia="en-US"/>
        </w:rPr>
        <w:t xml:space="preserve"> it</w:t>
      </w:r>
      <w:r>
        <w:rPr>
          <w:rFonts w:eastAsia="Calibri"/>
          <w:lang w:eastAsia="en-US"/>
        </w:rPr>
        <w:t xml:space="preserve"> will continue to select the audit files from a mix of sources including concerns about financial reports, other internal or external data (including independence threats) which indicate a risk to audit quality and a random selection process. </w:t>
      </w:r>
    </w:p>
    <w:p w14:paraId="5236BF29" w14:textId="79BA958B" w:rsidR="00B313FF" w:rsidRDefault="00B313FF" w:rsidP="00B313FF">
      <w:pPr>
        <w:rPr>
          <w:rFonts w:eastAsia="Calibri"/>
          <w:lang w:eastAsia="en-US"/>
        </w:rPr>
      </w:pPr>
      <w:r>
        <w:rPr>
          <w:rFonts w:eastAsia="Calibri"/>
          <w:lang w:eastAsia="en-US"/>
        </w:rPr>
        <w:t>I</w:t>
      </w:r>
      <w:r w:rsidRPr="005D1C84">
        <w:rPr>
          <w:rFonts w:eastAsia="Calibri"/>
          <w:lang w:eastAsia="en-US"/>
        </w:rPr>
        <w:t>n responding to ASIC’s audit findings, audit firms indicate the remedial actions they intend to take. In</w:t>
      </w:r>
      <w:r w:rsidR="009C5017">
        <w:rPr>
          <w:rFonts w:eastAsia="Calibri"/>
          <w:lang w:eastAsia="en-US"/>
        </w:rPr>
        <w:t> </w:t>
      </w:r>
      <w:r w:rsidRPr="005D1C84">
        <w:rPr>
          <w:rFonts w:eastAsia="Calibri"/>
          <w:lang w:eastAsia="en-US"/>
        </w:rPr>
        <w:t>2026</w:t>
      </w:r>
      <w:r w:rsidR="00827072">
        <w:rPr>
          <w:rFonts w:eastAsia="Calibri"/>
          <w:lang w:eastAsia="en-US"/>
        </w:rPr>
        <w:t>–</w:t>
      </w:r>
      <w:r w:rsidRPr="005D1C84">
        <w:rPr>
          <w:rFonts w:eastAsia="Calibri"/>
          <w:lang w:eastAsia="en-US"/>
        </w:rPr>
        <w:t xml:space="preserve">27, </w:t>
      </w:r>
      <w:r>
        <w:rPr>
          <w:rFonts w:eastAsia="Calibri"/>
          <w:lang w:eastAsia="en-US"/>
        </w:rPr>
        <w:t>ASIC</w:t>
      </w:r>
      <w:r w:rsidRPr="005D1C84">
        <w:rPr>
          <w:rFonts w:eastAsia="Calibri"/>
          <w:lang w:eastAsia="en-US"/>
        </w:rPr>
        <w:t xml:space="preserve"> </w:t>
      </w:r>
      <w:r w:rsidR="0073331E">
        <w:rPr>
          <w:rFonts w:eastAsia="Calibri"/>
          <w:lang w:eastAsia="en-US"/>
        </w:rPr>
        <w:t xml:space="preserve">has indicated it </w:t>
      </w:r>
      <w:r w:rsidRPr="005D1C84">
        <w:rPr>
          <w:rFonts w:eastAsia="Calibri"/>
          <w:lang w:eastAsia="en-US"/>
        </w:rPr>
        <w:t>will monitor and report on firms’ implementation of those actions.</w:t>
      </w:r>
    </w:p>
    <w:p w14:paraId="19507A17" w14:textId="6BD094CB" w:rsidR="00B313FF" w:rsidRDefault="00B313FF" w:rsidP="00B313FF">
      <w:pPr>
        <w:rPr>
          <w:rFonts w:eastAsia="Calibri"/>
          <w:lang w:eastAsia="en-US"/>
        </w:rPr>
      </w:pPr>
      <w:r w:rsidRPr="5B7A447C">
        <w:rPr>
          <w:rFonts w:eastAsia="Calibri"/>
          <w:lang w:eastAsia="en-US"/>
        </w:rPr>
        <w:t xml:space="preserve">ASIC </w:t>
      </w:r>
      <w:r w:rsidR="0073331E">
        <w:rPr>
          <w:rFonts w:eastAsia="Calibri"/>
          <w:lang w:eastAsia="en-US"/>
        </w:rPr>
        <w:t xml:space="preserve">has also </w:t>
      </w:r>
      <w:r w:rsidR="00066B14">
        <w:rPr>
          <w:rFonts w:eastAsia="Calibri"/>
          <w:lang w:eastAsia="en-US"/>
        </w:rPr>
        <w:t>stated that</w:t>
      </w:r>
      <w:r w:rsidR="0073331E">
        <w:rPr>
          <w:rFonts w:eastAsia="Calibri"/>
          <w:lang w:eastAsia="en-US"/>
        </w:rPr>
        <w:t xml:space="preserve"> it </w:t>
      </w:r>
      <w:r w:rsidRPr="5B7A447C">
        <w:rPr>
          <w:rFonts w:eastAsia="Calibri"/>
          <w:lang w:eastAsia="en-US"/>
        </w:rPr>
        <w:t>will continue to engage with larger firms to understand their firm-wide actions taken in response to findings in REP 817 about their compliance with independence and conflict of interest obligations.</w:t>
      </w:r>
    </w:p>
    <w:p w14:paraId="3F6870F0" w14:textId="3EDA41AB" w:rsidR="00B313FF" w:rsidRDefault="00B313FF" w:rsidP="00B313FF">
      <w:pPr>
        <w:rPr>
          <w:rFonts w:eastAsia="Calibri"/>
          <w:lang w:eastAsia="en-US"/>
        </w:rPr>
      </w:pPr>
      <w:r w:rsidRPr="00466CE1">
        <w:rPr>
          <w:rFonts w:eastAsia="Calibri"/>
          <w:lang w:eastAsia="en-US"/>
        </w:rPr>
        <w:t xml:space="preserve">ASIC </w:t>
      </w:r>
      <w:r w:rsidR="00A200E7">
        <w:rPr>
          <w:rFonts w:eastAsia="Calibri"/>
          <w:lang w:eastAsia="en-US"/>
        </w:rPr>
        <w:t xml:space="preserve">has </w:t>
      </w:r>
      <w:r w:rsidR="00117ADB">
        <w:rPr>
          <w:rFonts w:eastAsia="Calibri"/>
          <w:lang w:eastAsia="en-US"/>
        </w:rPr>
        <w:t>conveyed that</w:t>
      </w:r>
      <w:r w:rsidR="00A200E7">
        <w:rPr>
          <w:rFonts w:eastAsia="Calibri"/>
          <w:lang w:eastAsia="en-US"/>
        </w:rPr>
        <w:t xml:space="preserve"> it </w:t>
      </w:r>
      <w:r w:rsidRPr="00466CE1">
        <w:rPr>
          <w:rFonts w:eastAsia="Calibri"/>
          <w:lang w:eastAsia="en-US"/>
        </w:rPr>
        <w:t xml:space="preserve">will also review compliance by registered company auditors with their obligations to lodge their annual statements. </w:t>
      </w:r>
      <w:r w:rsidR="005F3745">
        <w:rPr>
          <w:rFonts w:eastAsia="Calibri"/>
          <w:lang w:eastAsia="en-US"/>
        </w:rPr>
        <w:t>ASIC has emphasised that t</w:t>
      </w:r>
      <w:r w:rsidRPr="00466CE1">
        <w:rPr>
          <w:rFonts w:eastAsia="Calibri"/>
          <w:lang w:eastAsia="en-US"/>
        </w:rPr>
        <w:t>hese obligations are fundamental requirements that support audit quality and auditor competence</w:t>
      </w:r>
      <w:r>
        <w:rPr>
          <w:rFonts w:eastAsia="Calibri"/>
          <w:lang w:eastAsia="en-US"/>
        </w:rPr>
        <w:t>.</w:t>
      </w:r>
    </w:p>
    <w:p w14:paraId="78DD4E7D" w14:textId="525641A6" w:rsidR="00B313FF" w:rsidRPr="001A77AA" w:rsidRDefault="00B313FF" w:rsidP="00126045">
      <w:pPr>
        <w:rPr>
          <w:rFonts w:eastAsia="Calibri"/>
          <w:lang w:val="en-US" w:eastAsia="en-US"/>
        </w:rPr>
      </w:pPr>
      <w:r w:rsidRPr="276820E7">
        <w:rPr>
          <w:rFonts w:eastAsia="Calibri"/>
          <w:lang w:eastAsia="en-US"/>
        </w:rPr>
        <w:t>ASIC</w:t>
      </w:r>
      <w:r w:rsidR="005F3745">
        <w:rPr>
          <w:rFonts w:eastAsia="Calibri"/>
          <w:lang w:eastAsia="en-US"/>
        </w:rPr>
        <w:t xml:space="preserve"> also </w:t>
      </w:r>
      <w:r w:rsidR="00117ADB">
        <w:rPr>
          <w:rFonts w:eastAsia="Calibri"/>
          <w:lang w:eastAsia="en-US"/>
        </w:rPr>
        <w:t>noted</w:t>
      </w:r>
      <w:r w:rsidR="005F3745">
        <w:rPr>
          <w:rFonts w:eastAsia="Calibri"/>
          <w:lang w:eastAsia="en-US"/>
        </w:rPr>
        <w:t xml:space="preserve"> that its</w:t>
      </w:r>
      <w:r w:rsidRPr="276820E7">
        <w:rPr>
          <w:rFonts w:eastAsia="Calibri"/>
          <w:lang w:eastAsia="en-US"/>
        </w:rPr>
        <w:t xml:space="preserve"> administration of the mandatory climate reporting framework will continue, with a focus on the sustainability reports being submitted by Group 1 entities and engagement with large audit firms on assurance methodologies as appropriate</w:t>
      </w:r>
      <w:r>
        <w:rPr>
          <w:rFonts w:eastAsia="Calibri"/>
          <w:lang w:val="en-US" w:eastAsia="en-US"/>
        </w:rPr>
        <w:t>.</w:t>
      </w:r>
      <w:r w:rsidR="00AB7B71">
        <w:rPr>
          <w:rFonts w:eastAsia="Calibri"/>
          <w:lang w:val="en-US" w:eastAsia="en-US"/>
        </w:rPr>
        <w:t xml:space="preserve"> </w:t>
      </w:r>
      <w:r w:rsidR="00AB7B71" w:rsidRPr="00665C82">
        <w:rPr>
          <w:rFonts w:eastAsia="Calibri"/>
          <w:lang w:val="en-US" w:eastAsia="en-US"/>
        </w:rPr>
        <w:t xml:space="preserve">ASIC </w:t>
      </w:r>
      <w:r w:rsidR="00AB7B71">
        <w:rPr>
          <w:rFonts w:eastAsia="Calibri"/>
          <w:lang w:val="en-US" w:eastAsia="en-US"/>
        </w:rPr>
        <w:t xml:space="preserve">has indicated it </w:t>
      </w:r>
      <w:r w:rsidR="00AB7B71" w:rsidRPr="00665C82">
        <w:rPr>
          <w:rFonts w:eastAsia="Calibri"/>
          <w:lang w:val="en-US" w:eastAsia="en-US"/>
        </w:rPr>
        <w:t>will publish its detailed observations from the review of sustainability reports in Q1 2026</w:t>
      </w:r>
      <w:r w:rsidR="00827072">
        <w:rPr>
          <w:rFonts w:eastAsia="Calibri"/>
          <w:lang w:val="en-US" w:eastAsia="en-US"/>
        </w:rPr>
        <w:t>–</w:t>
      </w:r>
      <w:r w:rsidR="00AB7B71" w:rsidRPr="00665C82">
        <w:rPr>
          <w:rFonts w:eastAsia="Calibri"/>
          <w:lang w:val="en-US" w:eastAsia="en-US"/>
        </w:rPr>
        <w:t>27.</w:t>
      </w:r>
    </w:p>
    <w:p w14:paraId="18085DAA" w14:textId="1D1BA6DF" w:rsidR="00126045" w:rsidRPr="001A77AA" w:rsidRDefault="00126045" w:rsidP="00126045">
      <w:pPr>
        <w:pStyle w:val="Heading2"/>
        <w:rPr>
          <w:iCs w:val="0"/>
          <w:color w:val="5F5F5F" w:themeColor="text2"/>
        </w:rPr>
      </w:pPr>
      <w:bookmarkStart w:id="60" w:name="_Toc241065238"/>
      <w:r w:rsidRPr="001A77AA">
        <w:rPr>
          <w:iCs w:val="0"/>
          <w:color w:val="0A1D30"/>
        </w:rPr>
        <w:lastRenderedPageBreak/>
        <w:t xml:space="preserve">ASIC </w:t>
      </w:r>
      <w:r w:rsidRPr="001A77AA" w:rsidDel="00C948C4">
        <w:rPr>
          <w:iCs w:val="0"/>
          <w:color w:val="0A1D30"/>
        </w:rPr>
        <w:t xml:space="preserve">surveillance </w:t>
      </w:r>
      <w:r w:rsidRPr="001A77AA">
        <w:rPr>
          <w:iCs w:val="0"/>
          <w:color w:val="0A1D30"/>
        </w:rPr>
        <w:t xml:space="preserve">on </w:t>
      </w:r>
      <w:r w:rsidRPr="001A77AA" w:rsidDel="00C948C4">
        <w:rPr>
          <w:iCs w:val="0"/>
          <w:color w:val="0A1D30"/>
          <w:szCs w:val="36"/>
        </w:rPr>
        <w:t xml:space="preserve">audit </w:t>
      </w:r>
      <w:r w:rsidRPr="001A77AA">
        <w:rPr>
          <w:iCs w:val="0"/>
          <w:color w:val="0A1D30"/>
          <w:szCs w:val="36"/>
        </w:rPr>
        <w:t>firm complaints</w:t>
      </w:r>
      <w:bookmarkEnd w:id="60"/>
    </w:p>
    <w:p w14:paraId="13FDF9C2" w14:textId="69C734A0" w:rsidR="00126045" w:rsidRPr="001A77AA" w:rsidRDefault="008D044B" w:rsidP="00126045">
      <w:r>
        <w:t xml:space="preserve">ASIC </w:t>
      </w:r>
      <w:r w:rsidR="00F07D5D">
        <w:t xml:space="preserve">advised </w:t>
      </w:r>
      <w:r>
        <w:t>that</w:t>
      </w:r>
      <w:r w:rsidR="00126045" w:rsidRPr="001A77AA">
        <w:t xml:space="preserve"> </w:t>
      </w:r>
      <w:r>
        <w:t>it</w:t>
      </w:r>
      <w:r w:rsidR="00126045" w:rsidRPr="001A77AA">
        <w:t xml:space="preserve"> commenced surveillance examining internal complaints received by large audit firms about their audit practice. ASIC </w:t>
      </w:r>
      <w:r>
        <w:t>indicated it</w:t>
      </w:r>
      <w:r w:rsidR="00126045" w:rsidRPr="001A77AA">
        <w:t xml:space="preserve"> will communicate outcomes of this surveillance in the third quarter of 2026</w:t>
      </w:r>
      <w:r w:rsidR="000C727E" w:rsidRPr="001A77AA">
        <w:t>–</w:t>
      </w:r>
      <w:r w:rsidR="00126045" w:rsidRPr="001A77AA">
        <w:t>27.</w:t>
      </w:r>
    </w:p>
    <w:p w14:paraId="11634765" w14:textId="355324C4" w:rsidR="00126045" w:rsidRPr="000C533D" w:rsidRDefault="00126045" w:rsidP="006E74A5">
      <w:pPr>
        <w:pStyle w:val="Heading2"/>
      </w:pPr>
      <w:bookmarkStart w:id="61" w:name="_Toc241065239"/>
      <w:r w:rsidRPr="000C533D">
        <w:t>ASIC enforcement and compliance outcomes</w:t>
      </w:r>
      <w:bookmarkEnd w:id="61"/>
    </w:p>
    <w:p w14:paraId="28B69ED9" w14:textId="5A17CBBF" w:rsidR="00126045" w:rsidRPr="001A77AA" w:rsidRDefault="008D044B" w:rsidP="00126045">
      <w:pPr>
        <w:rPr>
          <w:rFonts w:eastAsia="Calibri"/>
          <w:lang w:eastAsia="en-US"/>
        </w:rPr>
      </w:pPr>
      <w:r>
        <w:rPr>
          <w:rFonts w:eastAsia="Calibri"/>
          <w:lang w:eastAsia="en-US"/>
        </w:rPr>
        <w:t xml:space="preserve">ASIC has </w:t>
      </w:r>
      <w:r w:rsidR="00C251E9">
        <w:rPr>
          <w:rFonts w:eastAsia="Calibri"/>
          <w:lang w:eastAsia="en-US"/>
        </w:rPr>
        <w:t>advised</w:t>
      </w:r>
      <w:r>
        <w:rPr>
          <w:rFonts w:eastAsia="Calibri"/>
          <w:lang w:eastAsia="en-US"/>
        </w:rPr>
        <w:t xml:space="preserve"> that a</w:t>
      </w:r>
      <w:r w:rsidRPr="001A77AA">
        <w:rPr>
          <w:rFonts w:eastAsia="Calibri"/>
          <w:lang w:eastAsia="en-US"/>
        </w:rPr>
        <w:t xml:space="preserve">uditor </w:t>
      </w:r>
      <w:r w:rsidR="00126045" w:rsidRPr="001A77AA">
        <w:rPr>
          <w:rFonts w:eastAsia="Calibri"/>
          <w:lang w:eastAsia="en-US"/>
        </w:rPr>
        <w:t xml:space="preserve">misconduct continues to be an enforcement priority. ASIC continued to take enforcement actions against registered company auditors during 2025–26, including: </w:t>
      </w:r>
    </w:p>
    <w:p w14:paraId="00F8A44E" w14:textId="3664821E" w:rsidR="00126045" w:rsidRPr="001A77AA" w:rsidRDefault="00126045" w:rsidP="00531C63">
      <w:pPr>
        <w:pStyle w:val="Bullet"/>
      </w:pPr>
      <w:r w:rsidRPr="001A77AA">
        <w:t>issuing an infringement notice to an authorised audit company for allegedly providing a prohibited non</w:t>
      </w:r>
      <w:r w:rsidR="009C134F" w:rsidRPr="001A77AA">
        <w:noBreakHyphen/>
      </w:r>
      <w:r w:rsidRPr="001A77AA">
        <w:t>audit service to an audit client</w:t>
      </w:r>
    </w:p>
    <w:p w14:paraId="5DC40406" w14:textId="40BA5A90" w:rsidR="00126045" w:rsidRPr="001A77AA" w:rsidRDefault="00126045" w:rsidP="00531C63">
      <w:pPr>
        <w:pStyle w:val="Bullet"/>
      </w:pPr>
      <w:r w:rsidRPr="001A77AA">
        <w:t xml:space="preserve">accepting court enforceable undertakings from </w:t>
      </w:r>
      <w:r w:rsidR="00F86A74">
        <w:t>3</w:t>
      </w:r>
      <w:r w:rsidR="00480EFE" w:rsidRPr="001A77AA">
        <w:t xml:space="preserve"> </w:t>
      </w:r>
      <w:r w:rsidRPr="001A77AA">
        <w:t xml:space="preserve">auditors for auditor rotation failures </w:t>
      </w:r>
    </w:p>
    <w:p w14:paraId="4DAC26D4" w14:textId="6FB099E4" w:rsidR="00126045" w:rsidRPr="001A77AA" w:rsidRDefault="00126045" w:rsidP="00531C63">
      <w:pPr>
        <w:pStyle w:val="Bullet"/>
      </w:pPr>
      <w:r w:rsidRPr="001A77AA">
        <w:t xml:space="preserve">applying to CADB to cancel the registration of </w:t>
      </w:r>
      <w:r w:rsidR="005A7F05">
        <w:t>one</w:t>
      </w:r>
      <w:r w:rsidR="00480EFE" w:rsidRPr="001A77AA">
        <w:t xml:space="preserve"> </w:t>
      </w:r>
      <w:r w:rsidRPr="001A77AA">
        <w:t>auditor for breaching duties across 10 listed company audits</w:t>
      </w:r>
    </w:p>
    <w:p w14:paraId="605A6FED" w14:textId="50188A68" w:rsidR="00126045" w:rsidRPr="001A77AA" w:rsidRDefault="00126045" w:rsidP="00531C63">
      <w:pPr>
        <w:pStyle w:val="Bullet"/>
      </w:pPr>
      <w:r w:rsidRPr="001A77AA">
        <w:t xml:space="preserve">accepting the request from </w:t>
      </w:r>
      <w:r w:rsidR="00F86A74">
        <w:t>2</w:t>
      </w:r>
      <w:r w:rsidR="00480EFE" w:rsidRPr="001A77AA">
        <w:t xml:space="preserve"> </w:t>
      </w:r>
      <w:r w:rsidRPr="001A77AA">
        <w:t>auditors to cancel their registration following independence concerns raised by ASIC</w:t>
      </w:r>
      <w:r w:rsidR="0042742D" w:rsidRPr="001A77AA">
        <w:t>.</w:t>
      </w:r>
      <w:r w:rsidRPr="001A77AA">
        <w:t> </w:t>
      </w:r>
    </w:p>
    <w:p w14:paraId="462DB297" w14:textId="77777777" w:rsidR="00126045" w:rsidRPr="000C533D" w:rsidRDefault="00126045" w:rsidP="00126045">
      <w:pPr>
        <w:pStyle w:val="Heading2"/>
        <w:rPr>
          <w:color w:val="auto"/>
        </w:rPr>
      </w:pPr>
      <w:bookmarkStart w:id="62" w:name="_Toc148428410"/>
      <w:bookmarkStart w:id="63" w:name="_Toc148364556"/>
      <w:bookmarkStart w:id="64" w:name="_Toc241065240"/>
      <w:r w:rsidRPr="000C533D">
        <w:rPr>
          <w:color w:val="auto"/>
        </w:rPr>
        <w:t>ASIC stakeholder engagement</w:t>
      </w:r>
      <w:bookmarkEnd w:id="62"/>
      <w:bookmarkEnd w:id="63"/>
      <w:bookmarkEnd w:id="64"/>
    </w:p>
    <w:p w14:paraId="4C95C89F" w14:textId="15325A86" w:rsidR="00126045" w:rsidRPr="001A77AA" w:rsidRDefault="00126045" w:rsidP="00126045">
      <w:pPr>
        <w:rPr>
          <w:rFonts w:eastAsia="Calibri"/>
          <w:lang w:eastAsia="en-US"/>
        </w:rPr>
      </w:pPr>
      <w:r w:rsidRPr="001A77AA">
        <w:rPr>
          <w:rFonts w:eastAsia="Calibri"/>
          <w:lang w:eastAsia="en-US"/>
        </w:rPr>
        <w:t xml:space="preserve">ASIC </w:t>
      </w:r>
      <w:r w:rsidR="008D044B">
        <w:rPr>
          <w:rFonts w:eastAsia="Calibri"/>
          <w:lang w:eastAsia="en-US"/>
        </w:rPr>
        <w:t>indicated it</w:t>
      </w:r>
      <w:r w:rsidRPr="001A77AA">
        <w:rPr>
          <w:rFonts w:eastAsia="Calibri"/>
          <w:lang w:eastAsia="en-US"/>
        </w:rPr>
        <w:t xml:space="preserve"> wrote to all registered company auditors reminding them of their legal, ethical and professional obligations and the importance of protecting public confidence in the audit profession. ASIC </w:t>
      </w:r>
      <w:r w:rsidR="008D044B">
        <w:rPr>
          <w:rFonts w:eastAsia="Calibri"/>
          <w:lang w:eastAsia="en-US"/>
        </w:rPr>
        <w:t>took</w:t>
      </w:r>
      <w:r w:rsidRPr="001A77AA">
        <w:rPr>
          <w:rFonts w:eastAsia="Calibri"/>
          <w:lang w:eastAsia="en-US"/>
        </w:rPr>
        <w:t xml:space="preserve"> this step at a time when there is heightened focus on auditor conduct and the behaviour of</w:t>
      </w:r>
      <w:r w:rsidR="009C5017">
        <w:rPr>
          <w:rFonts w:eastAsia="Calibri"/>
          <w:lang w:eastAsia="en-US"/>
        </w:rPr>
        <w:t> </w:t>
      </w:r>
      <w:r w:rsidRPr="001A77AA">
        <w:rPr>
          <w:rFonts w:eastAsia="Calibri"/>
          <w:lang w:eastAsia="en-US"/>
        </w:rPr>
        <w:t>audit firms. ASIC</w:t>
      </w:r>
      <w:r w:rsidR="008D044B">
        <w:rPr>
          <w:rFonts w:eastAsia="Calibri"/>
          <w:lang w:eastAsia="en-US"/>
        </w:rPr>
        <w:t xml:space="preserve"> </w:t>
      </w:r>
      <w:r w:rsidRPr="001A77AA">
        <w:rPr>
          <w:rFonts w:eastAsia="Calibri"/>
          <w:lang w:eastAsia="en-US"/>
        </w:rPr>
        <w:t xml:space="preserve">is concerned about impacts </w:t>
      </w:r>
      <w:r w:rsidR="00BB4FDE">
        <w:rPr>
          <w:rFonts w:eastAsia="Calibri"/>
          <w:lang w:eastAsia="en-US"/>
        </w:rPr>
        <w:t>on</w:t>
      </w:r>
      <w:r w:rsidR="00BB4FDE" w:rsidRPr="001A77AA">
        <w:rPr>
          <w:rFonts w:eastAsia="Calibri"/>
          <w:lang w:eastAsia="en-US"/>
        </w:rPr>
        <w:t xml:space="preserve"> </w:t>
      </w:r>
      <w:r w:rsidRPr="001A77AA">
        <w:rPr>
          <w:rFonts w:eastAsia="Calibri"/>
          <w:lang w:eastAsia="en-US"/>
        </w:rPr>
        <w:t xml:space="preserve">trust and confidence in the profession and </w:t>
      </w:r>
      <w:r w:rsidR="00EB05FE">
        <w:rPr>
          <w:rFonts w:eastAsia="Calibri"/>
          <w:lang w:eastAsia="en-US"/>
        </w:rPr>
        <w:t>emphasised</w:t>
      </w:r>
      <w:r w:rsidR="006C2EF9">
        <w:rPr>
          <w:rFonts w:eastAsia="Calibri"/>
          <w:lang w:eastAsia="en-US"/>
        </w:rPr>
        <w:t xml:space="preserve"> the importance of</w:t>
      </w:r>
      <w:r w:rsidRPr="001A77AA">
        <w:rPr>
          <w:rFonts w:eastAsia="Calibri"/>
          <w:lang w:eastAsia="en-US"/>
        </w:rPr>
        <w:t xml:space="preserve"> auditors fulfill</w:t>
      </w:r>
      <w:r w:rsidR="00EB05FE">
        <w:rPr>
          <w:rFonts w:eastAsia="Calibri"/>
          <w:lang w:eastAsia="en-US"/>
        </w:rPr>
        <w:t>ing</w:t>
      </w:r>
      <w:r w:rsidRPr="001A77AA">
        <w:rPr>
          <w:rFonts w:eastAsia="Calibri"/>
          <w:lang w:eastAsia="en-US"/>
        </w:rPr>
        <w:t xml:space="preserve"> their obligations.</w:t>
      </w:r>
    </w:p>
    <w:p w14:paraId="62291781" w14:textId="6580EDA0" w:rsidR="00126045" w:rsidRPr="001A77AA" w:rsidRDefault="00126045" w:rsidP="00126045">
      <w:pPr>
        <w:rPr>
          <w:rFonts w:eastAsia="Calibri"/>
          <w:lang w:eastAsia="en-US"/>
        </w:rPr>
      </w:pPr>
      <w:r w:rsidRPr="001A77AA">
        <w:rPr>
          <w:rFonts w:eastAsia="Calibri"/>
          <w:lang w:eastAsia="en-US"/>
        </w:rPr>
        <w:t>ASIC undertakes engagement with international and domestic stakeholders to discuss emerging issues and risks in the financial reporting and audit industry and collaborates with other regulators and</w:t>
      </w:r>
      <w:r w:rsidR="008C6F05">
        <w:rPr>
          <w:rFonts w:eastAsia="Calibri"/>
          <w:lang w:eastAsia="en-US"/>
        </w:rPr>
        <w:t> </w:t>
      </w:r>
      <w:r w:rsidRPr="001A77AA">
        <w:rPr>
          <w:rFonts w:eastAsia="Calibri"/>
          <w:lang w:eastAsia="en-US"/>
        </w:rPr>
        <w:t>government agencies to improve the quality of financial reporting and audit.</w:t>
      </w:r>
    </w:p>
    <w:p w14:paraId="5D77A919" w14:textId="19B3E94A" w:rsidR="00126045" w:rsidRPr="001A77AA" w:rsidRDefault="00126045" w:rsidP="00126045">
      <w:pPr>
        <w:rPr>
          <w:rFonts w:eastAsia="Calibri"/>
          <w:lang w:eastAsia="en-US"/>
        </w:rPr>
      </w:pPr>
      <w:r w:rsidRPr="001A77AA">
        <w:rPr>
          <w:rFonts w:eastAsia="Calibri"/>
          <w:lang w:eastAsia="en-US"/>
        </w:rPr>
        <w:t xml:space="preserve">ASIC is a member of </w:t>
      </w:r>
      <w:r w:rsidR="00BB596D" w:rsidRPr="001A77AA">
        <w:rPr>
          <w:rFonts w:eastAsia="Calibri"/>
          <w:lang w:eastAsia="en-US"/>
        </w:rPr>
        <w:t>International Organization of Securities Commissions (</w:t>
      </w:r>
      <w:r w:rsidRPr="001A77AA">
        <w:rPr>
          <w:rFonts w:eastAsia="Calibri"/>
          <w:lang w:eastAsia="en-US"/>
        </w:rPr>
        <w:t>IOSCO</w:t>
      </w:r>
      <w:r w:rsidR="00BB596D" w:rsidRPr="001A77AA">
        <w:rPr>
          <w:rFonts w:eastAsia="Calibri"/>
          <w:lang w:eastAsia="en-US"/>
        </w:rPr>
        <w:t>)</w:t>
      </w:r>
      <w:r w:rsidRPr="001A77AA">
        <w:rPr>
          <w:rFonts w:eastAsia="Calibri"/>
          <w:lang w:eastAsia="en-US"/>
        </w:rPr>
        <w:t xml:space="preserve"> and</w:t>
      </w:r>
      <w:r w:rsidR="00BB596D" w:rsidRPr="001A77AA">
        <w:rPr>
          <w:rFonts w:eastAsia="Calibri"/>
          <w:lang w:eastAsia="en-US"/>
        </w:rPr>
        <w:t xml:space="preserve"> International Forum of Independent Audit Regulators</w:t>
      </w:r>
      <w:r w:rsidRPr="001A77AA">
        <w:rPr>
          <w:rFonts w:eastAsia="Calibri"/>
          <w:lang w:eastAsia="en-US"/>
        </w:rPr>
        <w:t xml:space="preserve"> </w:t>
      </w:r>
      <w:r w:rsidR="00BB596D" w:rsidRPr="001A77AA">
        <w:rPr>
          <w:rFonts w:eastAsia="Calibri"/>
          <w:lang w:eastAsia="en-US"/>
        </w:rPr>
        <w:t>(</w:t>
      </w:r>
      <w:r w:rsidRPr="001A77AA">
        <w:rPr>
          <w:rFonts w:eastAsia="Calibri"/>
          <w:lang w:eastAsia="en-US"/>
        </w:rPr>
        <w:t>IFIAR</w:t>
      </w:r>
      <w:r w:rsidR="00BB596D" w:rsidRPr="001A77AA">
        <w:rPr>
          <w:rFonts w:eastAsia="Calibri"/>
          <w:lang w:eastAsia="en-US"/>
        </w:rPr>
        <w:t>)</w:t>
      </w:r>
      <w:r w:rsidRPr="001A77AA">
        <w:rPr>
          <w:rFonts w:eastAsia="Calibri"/>
          <w:lang w:eastAsia="en-US"/>
        </w:rPr>
        <w:t>.</w:t>
      </w:r>
    </w:p>
    <w:p w14:paraId="529EF9E0" w14:textId="29C19310" w:rsidR="00126045" w:rsidRPr="001A77AA" w:rsidRDefault="00126045" w:rsidP="00126045">
      <w:pPr>
        <w:rPr>
          <w:rFonts w:eastAsia="Calibri"/>
          <w:lang w:eastAsia="en-US"/>
        </w:rPr>
      </w:pPr>
      <w:r w:rsidRPr="001A77AA">
        <w:rPr>
          <w:rFonts w:eastAsia="Calibri"/>
          <w:lang w:eastAsia="en-US"/>
        </w:rPr>
        <w:t xml:space="preserve">In April 2026, IFIAR released its </w:t>
      </w:r>
      <w:r w:rsidR="008D4F49">
        <w:rPr>
          <w:rFonts w:eastAsia="Calibri"/>
          <w:lang w:eastAsia="en-US"/>
        </w:rPr>
        <w:t>14th</w:t>
      </w:r>
      <w:r w:rsidRPr="001A77AA">
        <w:rPr>
          <w:rFonts w:eastAsia="Calibri"/>
          <w:lang w:eastAsia="en-US"/>
        </w:rPr>
        <w:t xml:space="preserve"> annual survey of results of its member regulators</w:t>
      </w:r>
      <w:r w:rsidR="009C134F" w:rsidRPr="001A77AA">
        <w:rPr>
          <w:rFonts w:eastAsia="Calibri"/>
          <w:lang w:eastAsia="en-US"/>
        </w:rPr>
        <w:t>’</w:t>
      </w:r>
      <w:r w:rsidRPr="001A77AA">
        <w:rPr>
          <w:rFonts w:eastAsia="Calibri"/>
          <w:lang w:eastAsia="en-US"/>
        </w:rPr>
        <w:t xml:space="preserve"> inspections of</w:t>
      </w:r>
      <w:r w:rsidR="009C5017">
        <w:rPr>
          <w:rFonts w:eastAsia="Calibri"/>
          <w:lang w:eastAsia="en-US"/>
        </w:rPr>
        <w:t> </w:t>
      </w:r>
      <w:r w:rsidRPr="001A77AA">
        <w:rPr>
          <w:rFonts w:eastAsia="Calibri"/>
          <w:lang w:eastAsia="en-US"/>
        </w:rPr>
        <w:t xml:space="preserve">audit firms affiliated with the </w:t>
      </w:r>
      <w:r w:rsidR="0043133E">
        <w:rPr>
          <w:rFonts w:eastAsia="Calibri"/>
          <w:lang w:eastAsia="en-US"/>
        </w:rPr>
        <w:t>6</w:t>
      </w:r>
      <w:r w:rsidRPr="001A77AA">
        <w:rPr>
          <w:rFonts w:eastAsia="Calibri"/>
          <w:lang w:eastAsia="en-US"/>
        </w:rPr>
        <w:t xml:space="preserve"> largest global audit firm networks. </w:t>
      </w:r>
      <w:proofErr w:type="gramStart"/>
      <w:r w:rsidRPr="001A77AA">
        <w:rPr>
          <w:rFonts w:eastAsia="Calibri"/>
          <w:lang w:eastAsia="en-US"/>
        </w:rPr>
        <w:t>Similar to</w:t>
      </w:r>
      <w:proofErr w:type="gramEnd"/>
      <w:r w:rsidRPr="001A77AA">
        <w:rPr>
          <w:rFonts w:eastAsia="Calibri"/>
          <w:lang w:eastAsia="en-US"/>
        </w:rPr>
        <w:t xml:space="preserve"> ASIC, IFIAR</w:t>
      </w:r>
      <w:r w:rsidR="009C134F" w:rsidRPr="001A77AA">
        <w:rPr>
          <w:rFonts w:eastAsia="Calibri"/>
          <w:lang w:eastAsia="en-US"/>
        </w:rPr>
        <w:t>’</w:t>
      </w:r>
      <w:r w:rsidRPr="001A77AA">
        <w:rPr>
          <w:rFonts w:eastAsia="Calibri"/>
          <w:lang w:eastAsia="en-US"/>
        </w:rPr>
        <w:t>s areas with the highest level of findings included accounting estimates, including fair value measurement and revenue recognition.</w:t>
      </w:r>
    </w:p>
    <w:p w14:paraId="27AD2DCA" w14:textId="110DCB70" w:rsidR="00126045" w:rsidRPr="001A77AA" w:rsidRDefault="00126045" w:rsidP="00126045">
      <w:r w:rsidRPr="001A77AA">
        <w:rPr>
          <w:rFonts w:eastAsia="Calibri"/>
          <w:lang w:eastAsia="en-US"/>
        </w:rPr>
        <w:t>Domestically, ASIC regularly liaises with professional accounting bodies and audit firms to discuss emerging accounting and auditing issues. ASIC also undertakes ongoing and regular engagement with the AASB and the AUASB on issues related to financial reporting and audit, including sustainable finance.</w:t>
      </w:r>
    </w:p>
    <w:p w14:paraId="45D04480" w14:textId="77777777" w:rsidR="00AE595B" w:rsidRPr="00AE595B" w:rsidRDefault="00AE595B" w:rsidP="00AE595B">
      <w:r w:rsidRPr="00AE595B">
        <w:br w:type="page"/>
      </w:r>
    </w:p>
    <w:p w14:paraId="64D8D3B8" w14:textId="2B145366" w:rsidR="006174EF" w:rsidRPr="001A77AA" w:rsidRDefault="003644ED" w:rsidP="000B66A2">
      <w:pPr>
        <w:pStyle w:val="Heading2"/>
        <w:rPr>
          <w:iCs w:val="0"/>
        </w:rPr>
      </w:pPr>
      <w:bookmarkStart w:id="65" w:name="_Toc241065241"/>
      <w:r w:rsidRPr="001A77AA">
        <w:rPr>
          <w:iCs w:val="0"/>
        </w:rPr>
        <w:lastRenderedPageBreak/>
        <w:t>Professional accounting bod</w:t>
      </w:r>
      <w:r w:rsidR="005C685D" w:rsidRPr="001A77AA">
        <w:rPr>
          <w:iCs w:val="0"/>
        </w:rPr>
        <w:t>ies</w:t>
      </w:r>
      <w:bookmarkEnd w:id="65"/>
      <w:r w:rsidRPr="001A77AA">
        <w:rPr>
          <w:iCs w:val="0"/>
        </w:rPr>
        <w:t xml:space="preserve"> </w:t>
      </w:r>
    </w:p>
    <w:p w14:paraId="165E7D11" w14:textId="76002B76" w:rsidR="008810BD" w:rsidRPr="001A77AA" w:rsidRDefault="008810BD" w:rsidP="00821E6B">
      <w:r w:rsidRPr="001A77AA">
        <w:t xml:space="preserve">Each </w:t>
      </w:r>
      <w:r w:rsidR="00B316F6">
        <w:t>professional accounting body</w:t>
      </w:r>
      <w:r w:rsidR="00EA7795" w:rsidRPr="001A77AA">
        <w:t xml:space="preserve"> </w:t>
      </w:r>
      <w:r w:rsidRPr="001A77AA">
        <w:t xml:space="preserve">conducts </w:t>
      </w:r>
      <w:r w:rsidR="00106C33" w:rsidRPr="001A77AA">
        <w:t xml:space="preserve">a </w:t>
      </w:r>
      <w:r w:rsidRPr="001A77AA">
        <w:t xml:space="preserve">review program to support the </w:t>
      </w:r>
      <w:r w:rsidR="00106C33" w:rsidRPr="001A77AA">
        <w:t xml:space="preserve">quality </w:t>
      </w:r>
      <w:r w:rsidRPr="001A77AA">
        <w:t xml:space="preserve">of audits and auditors in Australia. </w:t>
      </w:r>
      <w:r w:rsidR="001063B3" w:rsidRPr="001A77AA">
        <w:t>E</w:t>
      </w:r>
      <w:r w:rsidRPr="001A77AA">
        <w:t>ach organisation</w:t>
      </w:r>
      <w:r w:rsidR="009C134F" w:rsidRPr="001A77AA">
        <w:t>’</w:t>
      </w:r>
      <w:r w:rsidR="001063B3" w:rsidRPr="001A77AA">
        <w:t>s program</w:t>
      </w:r>
      <w:r w:rsidRPr="001A77AA">
        <w:t xml:space="preserve"> is different, with complementary </w:t>
      </w:r>
      <w:r w:rsidR="001678F2" w:rsidRPr="001A77AA">
        <w:t xml:space="preserve">risk </w:t>
      </w:r>
      <w:r w:rsidRPr="001A77AA">
        <w:t xml:space="preserve">management, </w:t>
      </w:r>
      <w:r w:rsidR="009B3D42" w:rsidRPr="001A77AA">
        <w:t>participants</w:t>
      </w:r>
      <w:r w:rsidRPr="001A77AA">
        <w:t xml:space="preserve"> and types of engagement. Accordingly, statistics gathered by each organisation may not</w:t>
      </w:r>
      <w:r w:rsidR="00AE595B">
        <w:t> </w:t>
      </w:r>
      <w:r w:rsidRPr="001A77AA">
        <w:t xml:space="preserve">be comparable. </w:t>
      </w:r>
      <w:r w:rsidR="00B316F6">
        <w:t>Professional accounting bodie</w:t>
      </w:r>
      <w:r w:rsidR="0077431D" w:rsidRPr="001A77AA">
        <w:t>s</w:t>
      </w:r>
      <w:r w:rsidR="004E1BD8" w:rsidRPr="001A77AA">
        <w:t xml:space="preserve"> </w:t>
      </w:r>
      <w:r w:rsidRPr="001A77AA">
        <w:t xml:space="preserve">also </w:t>
      </w:r>
      <w:r w:rsidR="005809F8" w:rsidRPr="001A77AA">
        <w:t xml:space="preserve">support their members to adhere to </w:t>
      </w:r>
      <w:r w:rsidRPr="001A77AA">
        <w:t>professional</w:t>
      </w:r>
      <w:r w:rsidR="00AE595B">
        <w:t> </w:t>
      </w:r>
      <w:r w:rsidRPr="001A77AA">
        <w:t>standards.</w:t>
      </w:r>
    </w:p>
    <w:p w14:paraId="41F0A1C2" w14:textId="0AD9DF14" w:rsidR="008810BD" w:rsidRPr="001A77AA" w:rsidRDefault="008363F2" w:rsidP="00821E6B">
      <w:r w:rsidRPr="001A77AA">
        <w:t xml:space="preserve">This section </w:t>
      </w:r>
      <w:r w:rsidR="00E31049">
        <w:t>outlines</w:t>
      </w:r>
      <w:r w:rsidR="00AE4FC8">
        <w:t xml:space="preserve"> the review process undertaken by each professional accounting body, as well as</w:t>
      </w:r>
      <w:r w:rsidR="00E31049">
        <w:t xml:space="preserve"> </w:t>
      </w:r>
      <w:r w:rsidR="00474D6D">
        <w:t xml:space="preserve">actions </w:t>
      </w:r>
      <w:r w:rsidR="00AE4FC8">
        <w:t xml:space="preserve">each </w:t>
      </w:r>
      <w:r w:rsidR="00474D6D">
        <w:t>professional accounting bod</w:t>
      </w:r>
      <w:r w:rsidR="00AE4FC8">
        <w:t>y</w:t>
      </w:r>
      <w:r w:rsidR="00474D6D">
        <w:t xml:space="preserve"> ha</w:t>
      </w:r>
      <w:r w:rsidR="00AE4FC8">
        <w:t>s</w:t>
      </w:r>
      <w:r w:rsidR="00474D6D">
        <w:t xml:space="preserve"> reported </w:t>
      </w:r>
      <w:r w:rsidR="00A56202">
        <w:t xml:space="preserve">that they undertook </w:t>
      </w:r>
      <w:r w:rsidR="00474D6D">
        <w:t xml:space="preserve">to contribute to </w:t>
      </w:r>
      <w:r w:rsidR="008810BD" w:rsidRPr="001A77AA">
        <w:t xml:space="preserve">audit quality in </w:t>
      </w:r>
      <w:r w:rsidR="00776F02" w:rsidRPr="001A77AA">
        <w:t>2025</w:t>
      </w:r>
      <w:r w:rsidR="006A2CAE" w:rsidRPr="001A77AA">
        <w:t>–</w:t>
      </w:r>
      <w:r w:rsidR="00776F02" w:rsidRPr="001A77AA">
        <w:t>26</w:t>
      </w:r>
      <w:r w:rsidR="008810BD" w:rsidRPr="001A77AA">
        <w:t>.</w:t>
      </w:r>
    </w:p>
    <w:p w14:paraId="477A6C3D" w14:textId="7E88A432" w:rsidR="008810BD" w:rsidRPr="001A77AA" w:rsidRDefault="008810BD" w:rsidP="000B66A2">
      <w:pPr>
        <w:pStyle w:val="Heading2"/>
        <w:rPr>
          <w:iCs w:val="0"/>
        </w:rPr>
      </w:pPr>
      <w:bookmarkStart w:id="66" w:name="_Toc241065242"/>
      <w:r w:rsidRPr="001A77AA">
        <w:rPr>
          <w:iCs w:val="0"/>
        </w:rPr>
        <w:t>C</w:t>
      </w:r>
      <w:r w:rsidR="00BD08A9">
        <w:rPr>
          <w:iCs w:val="0"/>
        </w:rPr>
        <w:t xml:space="preserve">hartered Accountants </w:t>
      </w:r>
      <w:r w:rsidRPr="001A77AA">
        <w:rPr>
          <w:iCs w:val="0"/>
        </w:rPr>
        <w:t>A</w:t>
      </w:r>
      <w:r w:rsidR="00BD08A9">
        <w:rPr>
          <w:iCs w:val="0"/>
        </w:rPr>
        <w:t>ustralia</w:t>
      </w:r>
      <w:r w:rsidRPr="001A77AA">
        <w:rPr>
          <w:iCs w:val="0"/>
        </w:rPr>
        <w:t xml:space="preserve"> </w:t>
      </w:r>
      <w:r w:rsidR="004908C5">
        <w:rPr>
          <w:iCs w:val="0"/>
        </w:rPr>
        <w:t>and</w:t>
      </w:r>
      <w:r w:rsidR="00BD08A9">
        <w:rPr>
          <w:iCs w:val="0"/>
        </w:rPr>
        <w:t xml:space="preserve"> New Zealand</w:t>
      </w:r>
      <w:bookmarkEnd w:id="66"/>
    </w:p>
    <w:p w14:paraId="24CA80F0" w14:textId="21778377" w:rsidR="00D80B67" w:rsidRPr="001A77AA" w:rsidRDefault="00D80B67" w:rsidP="00D80B67">
      <w:pPr>
        <w:rPr>
          <w:rFonts w:eastAsia="Calibri Light" w:cs="Calibri Light"/>
          <w:szCs w:val="22"/>
        </w:rPr>
      </w:pPr>
      <w:r w:rsidRPr="001A77AA">
        <w:rPr>
          <w:rFonts w:eastAsia="Calibri Light" w:cs="Calibri Light"/>
          <w:szCs w:val="22"/>
        </w:rPr>
        <w:t xml:space="preserve">The </w:t>
      </w:r>
      <w:r w:rsidR="00BD08A9">
        <w:rPr>
          <w:rFonts w:eastAsia="Calibri Light" w:cs="Calibri Light"/>
          <w:szCs w:val="22"/>
        </w:rPr>
        <w:t xml:space="preserve">Chartered Accountants Australia </w:t>
      </w:r>
      <w:r w:rsidR="004908C5">
        <w:rPr>
          <w:rFonts w:eastAsia="Calibri Light" w:cs="Calibri Light"/>
          <w:szCs w:val="22"/>
        </w:rPr>
        <w:t>and</w:t>
      </w:r>
      <w:r w:rsidR="00BD08A9">
        <w:rPr>
          <w:rFonts w:eastAsia="Calibri Light" w:cs="Calibri Light"/>
          <w:szCs w:val="22"/>
        </w:rPr>
        <w:t xml:space="preserve"> New Zealand (</w:t>
      </w:r>
      <w:r w:rsidRPr="001A77AA">
        <w:rPr>
          <w:rFonts w:eastAsia="Calibri Light" w:cs="Calibri Light"/>
          <w:szCs w:val="22"/>
        </w:rPr>
        <w:t>CA ANZ</w:t>
      </w:r>
      <w:r w:rsidR="00BD08A9">
        <w:rPr>
          <w:rFonts w:eastAsia="Calibri Light" w:cs="Calibri Light"/>
          <w:szCs w:val="22"/>
        </w:rPr>
        <w:t>)</w:t>
      </w:r>
      <w:r w:rsidRPr="001A77AA">
        <w:rPr>
          <w:rFonts w:eastAsia="Calibri Light" w:cs="Calibri Light"/>
          <w:szCs w:val="22"/>
        </w:rPr>
        <w:t xml:space="preserve"> Quality Review Program assess</w:t>
      </w:r>
      <w:r w:rsidR="00DC3054" w:rsidRPr="001A77AA">
        <w:rPr>
          <w:rFonts w:eastAsia="Calibri Light" w:cs="Calibri Light"/>
          <w:szCs w:val="22"/>
        </w:rPr>
        <w:t>es</w:t>
      </w:r>
      <w:r w:rsidRPr="001A77AA">
        <w:rPr>
          <w:rFonts w:eastAsia="Calibri Light" w:cs="Calibri Light"/>
          <w:szCs w:val="22"/>
        </w:rPr>
        <w:t xml:space="preserve"> whether practices offering services to the public have an appropriate system of quality management in place to meet professional, technical and legislative requirements.</w:t>
      </w:r>
    </w:p>
    <w:p w14:paraId="07C14C03" w14:textId="175CD307" w:rsidR="00D80B67" w:rsidRPr="006E74A5" w:rsidRDefault="00D02F86" w:rsidP="00D80B67">
      <w:pPr>
        <w:rPr>
          <w:rFonts w:eastAsia="Calibri Light" w:cs="Calibri Light"/>
          <w:spacing w:val="-1"/>
          <w:kern w:val="22"/>
          <w:szCs w:val="22"/>
        </w:rPr>
      </w:pPr>
      <w:r w:rsidRPr="006E74A5">
        <w:rPr>
          <w:rFonts w:eastAsia="Calibri Light" w:cs="Calibri Light"/>
          <w:spacing w:val="-1"/>
          <w:kern w:val="22"/>
          <w:szCs w:val="22"/>
        </w:rPr>
        <w:t>The</w:t>
      </w:r>
      <w:r w:rsidR="00D80B67" w:rsidRPr="006E74A5">
        <w:rPr>
          <w:rFonts w:eastAsia="Calibri Light" w:cs="Calibri Light"/>
          <w:spacing w:val="-1"/>
          <w:kern w:val="22"/>
          <w:szCs w:val="22"/>
        </w:rPr>
        <w:t xml:space="preserve"> reviews allow </w:t>
      </w:r>
      <w:r w:rsidRPr="006E74A5">
        <w:rPr>
          <w:rFonts w:eastAsia="Calibri Light" w:cs="Calibri Light"/>
          <w:spacing w:val="-1"/>
          <w:kern w:val="22"/>
          <w:szCs w:val="22"/>
        </w:rPr>
        <w:t xml:space="preserve">CA ANZ </w:t>
      </w:r>
      <w:r w:rsidR="00D80B67" w:rsidRPr="006E74A5">
        <w:rPr>
          <w:rFonts w:eastAsia="Calibri Light" w:cs="Calibri Light"/>
          <w:spacing w:val="-1"/>
          <w:kern w:val="22"/>
          <w:szCs w:val="22"/>
        </w:rPr>
        <w:t xml:space="preserve">to assist </w:t>
      </w:r>
      <w:r w:rsidR="008569E0" w:rsidRPr="006E74A5">
        <w:rPr>
          <w:rFonts w:eastAsia="Calibri Light" w:cs="Calibri Light"/>
          <w:spacing w:val="-1"/>
          <w:kern w:val="22"/>
          <w:szCs w:val="22"/>
        </w:rPr>
        <w:t>its</w:t>
      </w:r>
      <w:r w:rsidR="00D80B67" w:rsidRPr="006E74A5">
        <w:rPr>
          <w:rFonts w:eastAsia="Calibri Light" w:cs="Calibri Light"/>
          <w:spacing w:val="-1"/>
          <w:kern w:val="22"/>
          <w:szCs w:val="22"/>
        </w:rPr>
        <w:t xml:space="preserve"> members in achieving and maintaining quality</w:t>
      </w:r>
      <w:r w:rsidR="00087C32" w:rsidRPr="006E74A5">
        <w:rPr>
          <w:rFonts w:eastAsia="Calibri Light" w:cs="Calibri Light"/>
          <w:spacing w:val="-1"/>
          <w:kern w:val="22"/>
          <w:szCs w:val="22"/>
        </w:rPr>
        <w:t xml:space="preserve"> and</w:t>
      </w:r>
      <w:r w:rsidR="00D80B67" w:rsidRPr="006E74A5">
        <w:rPr>
          <w:rFonts w:eastAsia="Calibri Light" w:cs="Calibri Light"/>
          <w:spacing w:val="-1"/>
          <w:kern w:val="22"/>
          <w:szCs w:val="22"/>
        </w:rPr>
        <w:t xml:space="preserve"> understand</w:t>
      </w:r>
      <w:r w:rsidR="00B4091E" w:rsidRPr="006E74A5">
        <w:rPr>
          <w:rFonts w:eastAsia="Calibri Light" w:cs="Calibri Light"/>
          <w:spacing w:val="-1"/>
          <w:kern w:val="22"/>
          <w:szCs w:val="22"/>
        </w:rPr>
        <w:t>ing</w:t>
      </w:r>
      <w:r w:rsidR="00D80B67" w:rsidRPr="006E74A5">
        <w:rPr>
          <w:rFonts w:eastAsia="Calibri Light" w:cs="Calibri Light"/>
          <w:spacing w:val="-1"/>
          <w:kern w:val="22"/>
          <w:szCs w:val="22"/>
        </w:rPr>
        <w:t xml:space="preserve"> </w:t>
      </w:r>
      <w:r w:rsidR="00D80B67" w:rsidRPr="006E74A5">
        <w:rPr>
          <w:rFonts w:eastAsia="Calibri Light" w:cs="Calibri Light"/>
          <w:kern w:val="22"/>
          <w:szCs w:val="22"/>
        </w:rPr>
        <w:t>where members need additional guidance to stay up to date with changes in requirements.</w:t>
      </w:r>
    </w:p>
    <w:p w14:paraId="1D8DB3E2" w14:textId="484BA46F" w:rsidR="00D80B67" w:rsidRPr="001A77AA" w:rsidRDefault="005A5D20" w:rsidP="00D80B67">
      <w:pPr>
        <w:rPr>
          <w:rFonts w:eastAsia="Calibri Light" w:cs="Calibri Light"/>
          <w:szCs w:val="22"/>
        </w:rPr>
      </w:pPr>
      <w:r w:rsidRPr="001A77AA">
        <w:rPr>
          <w:rFonts w:eastAsia="Calibri Light" w:cs="Calibri Light"/>
          <w:szCs w:val="22"/>
        </w:rPr>
        <w:t>CA ANZ have indicated that i</w:t>
      </w:r>
      <w:r w:rsidR="00D80B67" w:rsidRPr="001A77AA">
        <w:rPr>
          <w:rFonts w:eastAsia="Calibri Light" w:cs="Calibri Light"/>
          <w:szCs w:val="22"/>
        </w:rPr>
        <w:t>n 2026</w:t>
      </w:r>
      <w:r w:rsidRPr="001A77AA">
        <w:rPr>
          <w:rFonts w:eastAsia="Calibri Light" w:cs="Calibri Light"/>
          <w:szCs w:val="22"/>
        </w:rPr>
        <w:t>,</w:t>
      </w:r>
      <w:r w:rsidR="00D80B67" w:rsidRPr="001A77AA">
        <w:rPr>
          <w:rFonts w:eastAsia="Calibri Light" w:cs="Calibri Light"/>
          <w:szCs w:val="22"/>
        </w:rPr>
        <w:t xml:space="preserve"> the </w:t>
      </w:r>
      <w:r w:rsidR="002401B5" w:rsidRPr="001A77AA">
        <w:rPr>
          <w:rFonts w:eastAsia="Calibri Light" w:cs="Calibri Light"/>
          <w:szCs w:val="22"/>
        </w:rPr>
        <w:t xml:space="preserve">program </w:t>
      </w:r>
      <w:r w:rsidR="00D80B67" w:rsidRPr="001A77AA">
        <w:rPr>
          <w:rFonts w:eastAsia="Calibri Light" w:cs="Calibri Light"/>
          <w:szCs w:val="22"/>
        </w:rPr>
        <w:t xml:space="preserve">concentrated on quality reviews of practices of larger sizes rather than </w:t>
      </w:r>
      <w:r w:rsidR="00D43693" w:rsidRPr="001A77AA">
        <w:rPr>
          <w:rFonts w:eastAsia="Calibri Light" w:cs="Calibri Light"/>
          <w:szCs w:val="22"/>
        </w:rPr>
        <w:t xml:space="preserve">a </w:t>
      </w:r>
      <w:r w:rsidR="00D80B67" w:rsidRPr="001A77AA">
        <w:rPr>
          <w:rFonts w:eastAsia="Calibri Light" w:cs="Calibri Light"/>
          <w:szCs w:val="22"/>
        </w:rPr>
        <w:t>broader representation of practices. As a</w:t>
      </w:r>
      <w:r w:rsidR="00D80B67" w:rsidRPr="001A77AA" w:rsidDel="008968A8">
        <w:rPr>
          <w:rFonts w:eastAsia="Calibri Light" w:cs="Calibri Light"/>
          <w:szCs w:val="22"/>
        </w:rPr>
        <w:t xml:space="preserve"> </w:t>
      </w:r>
      <w:r w:rsidR="00D80B67" w:rsidRPr="001A77AA">
        <w:rPr>
          <w:rFonts w:eastAsia="Calibri Light" w:cs="Calibri Light"/>
          <w:szCs w:val="22"/>
        </w:rPr>
        <w:t>result</w:t>
      </w:r>
      <w:r w:rsidR="00D8235E" w:rsidRPr="001A77AA">
        <w:rPr>
          <w:rFonts w:eastAsia="Calibri Light" w:cs="Calibri Light"/>
          <w:szCs w:val="22"/>
        </w:rPr>
        <w:t>,</w:t>
      </w:r>
      <w:r w:rsidR="00D80B67" w:rsidRPr="001A77AA">
        <w:rPr>
          <w:rFonts w:eastAsia="Calibri Light" w:cs="Calibri Light"/>
          <w:szCs w:val="22"/>
        </w:rPr>
        <w:t xml:space="preserve"> a greater number of audit engagement files were reviewed over a reduced number of practitioners and practices compared to 2025. </w:t>
      </w:r>
      <w:r w:rsidR="00F71AE1">
        <w:rPr>
          <w:rFonts w:eastAsia="Calibri Light" w:cs="Calibri Light"/>
          <w:szCs w:val="22"/>
        </w:rPr>
        <w:t xml:space="preserve">According to </w:t>
      </w:r>
      <w:r w:rsidR="009F104C" w:rsidRPr="001A77AA">
        <w:rPr>
          <w:rFonts w:eastAsia="Calibri Light" w:cs="Calibri Light"/>
          <w:szCs w:val="22"/>
        </w:rPr>
        <w:t>CA ANZ</w:t>
      </w:r>
      <w:r w:rsidR="00F71AE1">
        <w:rPr>
          <w:rFonts w:eastAsia="Calibri Light" w:cs="Calibri Light"/>
          <w:szCs w:val="22"/>
        </w:rPr>
        <w:t>,</w:t>
      </w:r>
      <w:r w:rsidR="009F104C" w:rsidRPr="001A77AA">
        <w:rPr>
          <w:rFonts w:eastAsia="Calibri Light" w:cs="Calibri Light"/>
          <w:szCs w:val="22"/>
        </w:rPr>
        <w:t xml:space="preserve"> their </w:t>
      </w:r>
      <w:r w:rsidR="00D80B67" w:rsidRPr="001A77AA">
        <w:rPr>
          <w:rFonts w:eastAsia="Calibri Light" w:cs="Calibri Light"/>
          <w:szCs w:val="22"/>
        </w:rPr>
        <w:t xml:space="preserve">reviews found </w:t>
      </w:r>
      <w:proofErr w:type="gramStart"/>
      <w:r w:rsidR="00D80B67" w:rsidRPr="001A77AA">
        <w:rPr>
          <w:rFonts w:eastAsia="Calibri Light" w:cs="Calibri Light"/>
          <w:szCs w:val="22"/>
        </w:rPr>
        <w:t>the majority of</w:t>
      </w:r>
      <w:proofErr w:type="gramEnd"/>
      <w:r w:rsidR="00D80B67" w:rsidRPr="001A77AA">
        <w:rPr>
          <w:rFonts w:eastAsia="Calibri Light" w:cs="Calibri Light"/>
          <w:szCs w:val="22"/>
        </w:rPr>
        <w:t xml:space="preserve"> practices had adequate systems of quality management in place.</w:t>
      </w:r>
    </w:p>
    <w:p w14:paraId="603A9FB2" w14:textId="4CB46C69" w:rsidR="00D80B67" w:rsidRPr="001A77AA" w:rsidRDefault="009F104C" w:rsidP="00D80B67">
      <w:pPr>
        <w:rPr>
          <w:rFonts w:eastAsia="Calibri Light" w:cs="Calibri Light"/>
          <w:szCs w:val="22"/>
        </w:rPr>
      </w:pPr>
      <w:r w:rsidRPr="001A77AA">
        <w:rPr>
          <w:rFonts w:eastAsia="Calibri Light" w:cs="Calibri Light"/>
          <w:szCs w:val="22"/>
        </w:rPr>
        <w:t xml:space="preserve">CA ANZ </w:t>
      </w:r>
      <w:r w:rsidR="006744C4">
        <w:rPr>
          <w:rFonts w:eastAsia="Calibri Light" w:cs="Calibri Light"/>
          <w:szCs w:val="22"/>
        </w:rPr>
        <w:t>observed</w:t>
      </w:r>
      <w:r w:rsidR="005A52FE" w:rsidRPr="001A77AA">
        <w:rPr>
          <w:rFonts w:eastAsia="Calibri Light" w:cs="Calibri Light"/>
          <w:szCs w:val="22"/>
        </w:rPr>
        <w:t xml:space="preserve"> </w:t>
      </w:r>
      <w:r w:rsidRPr="001A77AA">
        <w:rPr>
          <w:rFonts w:eastAsia="Calibri Light" w:cs="Calibri Light"/>
          <w:szCs w:val="22"/>
        </w:rPr>
        <w:t>that d</w:t>
      </w:r>
      <w:r w:rsidR="00D80B67" w:rsidRPr="001A77AA">
        <w:rPr>
          <w:rFonts w:eastAsia="Calibri Light" w:cs="Calibri Light"/>
          <w:szCs w:val="22"/>
        </w:rPr>
        <w:t>uring the year</w:t>
      </w:r>
      <w:r w:rsidRPr="001A77AA">
        <w:rPr>
          <w:rFonts w:eastAsia="Calibri Light" w:cs="Calibri Light"/>
          <w:szCs w:val="22"/>
        </w:rPr>
        <w:t>,</w:t>
      </w:r>
      <w:r w:rsidR="00D80B67" w:rsidRPr="001A77AA">
        <w:rPr>
          <w:rFonts w:eastAsia="Calibri Light" w:cs="Calibri Light"/>
          <w:szCs w:val="22"/>
        </w:rPr>
        <w:t xml:space="preserve"> the </w:t>
      </w:r>
      <w:r w:rsidR="002401B5" w:rsidRPr="001A77AA">
        <w:rPr>
          <w:rFonts w:eastAsia="Calibri Light" w:cs="Calibri Light"/>
          <w:szCs w:val="22"/>
        </w:rPr>
        <w:t xml:space="preserve">program </w:t>
      </w:r>
      <w:r w:rsidR="00D80B67" w:rsidRPr="001A77AA">
        <w:rPr>
          <w:rFonts w:eastAsia="Calibri Light" w:cs="Calibri Light"/>
          <w:szCs w:val="22"/>
        </w:rPr>
        <w:t>solidified initiatives introduced in previous years,</w:t>
      </w:r>
      <w:r w:rsidR="003B2C42" w:rsidRPr="001A77AA">
        <w:rPr>
          <w:rFonts w:eastAsia="Calibri Light" w:cs="Calibri Light"/>
          <w:szCs w:val="22"/>
        </w:rPr>
        <w:t> </w:t>
      </w:r>
      <w:r w:rsidR="00D80B67" w:rsidRPr="001A77AA">
        <w:rPr>
          <w:rFonts w:eastAsia="Calibri Light" w:cs="Calibri Light"/>
          <w:szCs w:val="22"/>
        </w:rPr>
        <w:t>including:</w:t>
      </w:r>
    </w:p>
    <w:p w14:paraId="440D4B27" w14:textId="77777777" w:rsidR="00D80B67" w:rsidRPr="001A77AA" w:rsidRDefault="00D80B67" w:rsidP="00531C63">
      <w:pPr>
        <w:pStyle w:val="Bullet"/>
        <w:rPr>
          <w:rFonts w:eastAsia="Calibri Light"/>
        </w:rPr>
      </w:pPr>
      <w:r w:rsidRPr="001A77AA">
        <w:rPr>
          <w:rFonts w:eastAsia="Calibri Light"/>
        </w:rPr>
        <w:t>expanding the scope, consistency and comparability of reviews of large firms</w:t>
      </w:r>
    </w:p>
    <w:p w14:paraId="4D08E8B1" w14:textId="77777777" w:rsidR="00D80B67" w:rsidRPr="001A77AA" w:rsidRDefault="00D80B67" w:rsidP="00531C63">
      <w:pPr>
        <w:pStyle w:val="Bullet"/>
        <w:rPr>
          <w:rFonts w:eastAsia="Calibri Light"/>
        </w:rPr>
      </w:pPr>
      <w:r w:rsidRPr="001A77AA">
        <w:rPr>
          <w:rFonts w:eastAsia="Calibri Light"/>
        </w:rPr>
        <w:t>targeted inquiries for areas of focus</w:t>
      </w:r>
    </w:p>
    <w:p w14:paraId="69D399C0" w14:textId="77777777" w:rsidR="00D80B67" w:rsidRPr="001A77AA" w:rsidRDefault="00D80B67" w:rsidP="00531C63">
      <w:pPr>
        <w:pStyle w:val="Bullet"/>
        <w:rPr>
          <w:rFonts w:eastAsia="Calibri Light"/>
        </w:rPr>
      </w:pPr>
      <w:r w:rsidRPr="001A77AA">
        <w:rPr>
          <w:rFonts w:eastAsia="Calibri Light"/>
        </w:rPr>
        <w:t>expanding resources to assist in increasing future review numbers</w:t>
      </w:r>
    </w:p>
    <w:p w14:paraId="75BE5794" w14:textId="40AFE76A" w:rsidR="00D80B67" w:rsidRDefault="00D54F78" w:rsidP="00D80B67">
      <w:r w:rsidRPr="001A77AA">
        <w:t xml:space="preserve">CA ANZ </w:t>
      </w:r>
      <w:r w:rsidR="006744C4">
        <w:t>stated</w:t>
      </w:r>
      <w:r w:rsidR="006744C4" w:rsidRPr="001A77AA">
        <w:t xml:space="preserve"> </w:t>
      </w:r>
      <w:r w:rsidRPr="001A77AA">
        <w:t>that o</w:t>
      </w:r>
      <w:r w:rsidR="00D80B67" w:rsidRPr="001A77AA">
        <w:t xml:space="preserve">ver the past year, </w:t>
      </w:r>
      <w:r w:rsidRPr="001A77AA">
        <w:t>it</w:t>
      </w:r>
      <w:r w:rsidR="00D80B67" w:rsidRPr="001A77AA">
        <w:t xml:space="preserve"> contributed to supporting audit and assurance practices through awareness raising and knowledge building, particularly in the context of sustainability. A</w:t>
      </w:r>
      <w:r w:rsidR="0000637E" w:rsidRPr="001A77AA">
        <w:t> </w:t>
      </w:r>
      <w:r w:rsidR="00D80B67" w:rsidRPr="001A77AA">
        <w:t>guide</w:t>
      </w:r>
      <w:r w:rsidR="0000637E" w:rsidRPr="001A77AA">
        <w:t> </w:t>
      </w:r>
      <w:r w:rsidR="00D80B67" w:rsidRPr="001A77AA">
        <w:t>on estimates and forward</w:t>
      </w:r>
      <w:r w:rsidR="009C134F" w:rsidRPr="001A77AA">
        <w:noBreakHyphen/>
      </w:r>
      <w:r w:rsidR="00D80B67" w:rsidRPr="001A77AA">
        <w:t>looking information for sustainability assurance engagements was developed</w:t>
      </w:r>
      <w:r w:rsidR="00DD5699" w:rsidRPr="001A77AA">
        <w:t xml:space="preserve"> by CA ANZ</w:t>
      </w:r>
      <w:r w:rsidR="00D80B67" w:rsidRPr="001A77AA">
        <w:t xml:space="preserve">, featuring a case study that has illustrative procedures for both reasonable and limited assurance. </w:t>
      </w:r>
    </w:p>
    <w:p w14:paraId="2EB44C04" w14:textId="6F8CA8F3" w:rsidR="00A4015B" w:rsidRPr="001A77AA" w:rsidRDefault="00A4015B" w:rsidP="00D80B67">
      <w:r w:rsidRPr="00A4015B">
        <w:t xml:space="preserve">CA ANZ </w:t>
      </w:r>
      <w:r w:rsidR="000661DC">
        <w:t xml:space="preserve">also </w:t>
      </w:r>
      <w:r w:rsidR="006216CA">
        <w:t>highlighted that it provided</w:t>
      </w:r>
      <w:r w:rsidRPr="00A4015B">
        <w:t xml:space="preserve"> input on audit quality and related matters to inform government consultations. </w:t>
      </w:r>
    </w:p>
    <w:p w14:paraId="53D54A30" w14:textId="065E4979" w:rsidR="00D80B67" w:rsidRPr="001A77AA" w:rsidRDefault="00C93A87" w:rsidP="00D80B67">
      <w:r>
        <w:t xml:space="preserve">CA ANZ </w:t>
      </w:r>
      <w:r w:rsidR="006A5098">
        <w:t>advised that</w:t>
      </w:r>
      <w:r>
        <w:t xml:space="preserve"> it </w:t>
      </w:r>
      <w:r w:rsidR="002128DD">
        <w:t xml:space="preserve">held a </w:t>
      </w:r>
      <w:r w:rsidR="00D80B67" w:rsidRPr="001A77AA">
        <w:t>large</w:t>
      </w:r>
      <w:r w:rsidR="009C134F" w:rsidRPr="001A77AA">
        <w:noBreakHyphen/>
      </w:r>
      <w:r w:rsidR="00D80B67" w:rsidRPr="001A77AA">
        <w:t>scale training initiative</w:t>
      </w:r>
      <w:r w:rsidR="00B04228" w:rsidRPr="001A77AA">
        <w:t xml:space="preserve"> </w:t>
      </w:r>
      <w:r w:rsidR="00D80B67" w:rsidRPr="001A77AA">
        <w:t xml:space="preserve">to enhance audit quality </w:t>
      </w:r>
      <w:r w:rsidR="002128DD">
        <w:t>and</w:t>
      </w:r>
      <w:r w:rsidR="00D80B67" w:rsidRPr="001A77AA">
        <w:t xml:space="preserve"> an annual</w:t>
      </w:r>
      <w:r w:rsidR="009C5017">
        <w:t xml:space="preserve"> </w:t>
      </w:r>
      <w:r w:rsidR="00D80B67" w:rsidRPr="001A77AA">
        <w:t>audit conference</w:t>
      </w:r>
      <w:r w:rsidR="007D7BA9">
        <w:t>, which</w:t>
      </w:r>
      <w:r w:rsidR="002128DD">
        <w:t xml:space="preserve"> was</w:t>
      </w:r>
      <w:r w:rsidR="00D80B67" w:rsidRPr="001A77AA">
        <w:t xml:space="preserve"> attended by over 3,000 participants. The event featured presentations from</w:t>
      </w:r>
      <w:r w:rsidR="0000637E" w:rsidRPr="001A77AA">
        <w:t> </w:t>
      </w:r>
      <w:r w:rsidR="00D80B67" w:rsidRPr="001A77AA">
        <w:t>regulators, policymakers, standard</w:t>
      </w:r>
      <w:r w:rsidR="009C134F" w:rsidRPr="001A77AA">
        <w:noBreakHyphen/>
      </w:r>
      <w:r w:rsidR="00D80B67" w:rsidRPr="001A77AA">
        <w:t>setters, and audit firms, fostering dialogue and professional</w:t>
      </w:r>
      <w:r w:rsidR="0000637E" w:rsidRPr="001A77AA">
        <w:t> </w:t>
      </w:r>
      <w:r w:rsidR="00D80B67" w:rsidRPr="001A77AA">
        <w:t>development.</w:t>
      </w:r>
    </w:p>
    <w:p w14:paraId="6A0F3A7D" w14:textId="3FA8B612" w:rsidR="00D80B67" w:rsidRPr="001A77AA" w:rsidRDefault="00D80B67" w:rsidP="00D80B67">
      <w:r w:rsidRPr="00647ED0">
        <w:t>To support auditors</w:t>
      </w:r>
      <w:r w:rsidRPr="001A77AA">
        <w:t xml:space="preserve"> in navigating changes to standards and the economic environment</w:t>
      </w:r>
      <w:r w:rsidR="009C134F" w:rsidRPr="001A77AA">
        <w:t>’</w:t>
      </w:r>
      <w:r w:rsidRPr="001A77AA">
        <w:t xml:space="preserve">s impact on audit quality, CA ANZ </w:t>
      </w:r>
      <w:r w:rsidR="00E96998" w:rsidRPr="001A77AA">
        <w:t xml:space="preserve">produced </w:t>
      </w:r>
      <w:r w:rsidRPr="001A77AA">
        <w:t xml:space="preserve">biannual Assurance Essential Guides and webinars. CA ANZ </w:t>
      </w:r>
      <w:r w:rsidR="0071698A" w:rsidRPr="001A77AA">
        <w:t xml:space="preserve">also indicated it </w:t>
      </w:r>
      <w:r w:rsidRPr="001A77AA">
        <w:t>disseminated developments from standard setters and regulators through a fortnightly technical newsletter, reaching over 20,000 subscribers.</w:t>
      </w:r>
    </w:p>
    <w:p w14:paraId="77DCA415" w14:textId="0EED0398" w:rsidR="00B46E88" w:rsidRPr="001A77AA" w:rsidRDefault="00D80B67" w:rsidP="008B11D4">
      <w:r w:rsidRPr="001A77AA">
        <w:lastRenderedPageBreak/>
        <w:t xml:space="preserve">CA ANZ </w:t>
      </w:r>
      <w:r w:rsidR="00E55AEF">
        <w:t>stated that</w:t>
      </w:r>
      <w:r w:rsidR="00E55AEF" w:rsidRPr="001A77AA">
        <w:t xml:space="preserve"> </w:t>
      </w:r>
      <w:r w:rsidR="00E96998" w:rsidRPr="001A77AA">
        <w:t xml:space="preserve">it </w:t>
      </w:r>
      <w:r w:rsidRPr="001A77AA">
        <w:t>facilitated monthly dialogues among stakeholders – including ASIC, ACNC, AASB,</w:t>
      </w:r>
      <w:r w:rsidR="009C5017">
        <w:t> </w:t>
      </w:r>
      <w:r w:rsidRPr="001A77AA">
        <w:t>AUASB, APESB, and audit firms – to address technical matters central to audit quality.</w:t>
      </w:r>
    </w:p>
    <w:p w14:paraId="783BCA16" w14:textId="5F1E076F" w:rsidR="008810BD" w:rsidRPr="001A77AA" w:rsidRDefault="008810BD" w:rsidP="000B66A2">
      <w:pPr>
        <w:pStyle w:val="Heading2"/>
        <w:rPr>
          <w:iCs w:val="0"/>
        </w:rPr>
      </w:pPr>
      <w:bookmarkStart w:id="67" w:name="_Toc241065243"/>
      <w:r w:rsidRPr="00FE42A3">
        <w:rPr>
          <w:iCs w:val="0"/>
        </w:rPr>
        <w:t>CPA</w:t>
      </w:r>
      <w:r w:rsidR="00565E7D" w:rsidRPr="00FE42A3">
        <w:rPr>
          <w:iCs w:val="0"/>
        </w:rPr>
        <w:t xml:space="preserve"> Australia</w:t>
      </w:r>
      <w:bookmarkEnd w:id="67"/>
    </w:p>
    <w:p w14:paraId="5087AEC0" w14:textId="317DAFB3" w:rsidR="00565E7D" w:rsidRPr="001A77AA" w:rsidRDefault="00B42046" w:rsidP="00565E7D">
      <w:r>
        <w:t>CPA</w:t>
      </w:r>
      <w:r w:rsidR="001A621F" w:rsidRPr="001A621F">
        <w:t xml:space="preserve"> Australia</w:t>
      </w:r>
      <w:r w:rsidR="001A621F">
        <w:t xml:space="preserve"> </w:t>
      </w:r>
      <w:r w:rsidR="00565E7D" w:rsidRPr="001A77AA">
        <w:t xml:space="preserve">Best Practice Program </w:t>
      </w:r>
      <w:r w:rsidR="0019619A" w:rsidRPr="001A77AA">
        <w:t xml:space="preserve">is directed at maintaining professional and ethical standards by </w:t>
      </w:r>
      <w:r w:rsidR="009C1E90">
        <w:t>its</w:t>
      </w:r>
      <w:r w:rsidR="009C5017">
        <w:t> </w:t>
      </w:r>
      <w:r w:rsidR="00565E7D" w:rsidRPr="001A77AA">
        <w:t xml:space="preserve">members in public practice. The </w:t>
      </w:r>
      <w:r w:rsidR="00474E91" w:rsidRPr="001A77AA">
        <w:t xml:space="preserve">program’s </w:t>
      </w:r>
      <w:r w:rsidR="00565E7D" w:rsidRPr="001A77AA">
        <w:t>assessments are designed to ensure CPA Australia</w:t>
      </w:r>
      <w:r w:rsidR="009C134F" w:rsidRPr="001A77AA">
        <w:t>’</w:t>
      </w:r>
      <w:r w:rsidR="00565E7D" w:rsidRPr="001A77AA">
        <w:t>s public practice certificate (PPC) holders who provide public accounting services in Australia and New</w:t>
      </w:r>
      <w:r w:rsidR="00C52551" w:rsidRPr="001A77AA">
        <w:t> </w:t>
      </w:r>
      <w:r w:rsidR="00565E7D" w:rsidRPr="001A77AA">
        <w:t>Zealand:</w:t>
      </w:r>
    </w:p>
    <w:p w14:paraId="0047CF86" w14:textId="77777777" w:rsidR="00565E7D" w:rsidRPr="001A77AA" w:rsidRDefault="00565E7D" w:rsidP="00531C63">
      <w:pPr>
        <w:pStyle w:val="Bullet"/>
      </w:pPr>
      <w:r w:rsidRPr="001A77AA">
        <w:t>have implemented a system of quality management</w:t>
      </w:r>
    </w:p>
    <w:p w14:paraId="5DF0FE00" w14:textId="77777777" w:rsidR="00565E7D" w:rsidRPr="001A77AA" w:rsidRDefault="00565E7D" w:rsidP="00531C63">
      <w:pPr>
        <w:pStyle w:val="Bullet"/>
      </w:pPr>
      <w:r w:rsidRPr="001A77AA">
        <w:t>adhere to the relevant professional and ethical standards for their services</w:t>
      </w:r>
    </w:p>
    <w:p w14:paraId="014D3A4B" w14:textId="12463643" w:rsidR="00565E7D" w:rsidRPr="001A77AA" w:rsidRDefault="00565E7D" w:rsidP="00531C63">
      <w:pPr>
        <w:pStyle w:val="Bullet"/>
      </w:pPr>
      <w:r w:rsidRPr="001A77AA">
        <w:t>continue to meet the CPA Australia by</w:t>
      </w:r>
      <w:r w:rsidR="009C134F" w:rsidRPr="001A77AA">
        <w:noBreakHyphen/>
      </w:r>
      <w:r w:rsidRPr="001A77AA">
        <w:t xml:space="preserve">law requirements relevant to PPC holders. </w:t>
      </w:r>
    </w:p>
    <w:p w14:paraId="0AC20D84" w14:textId="76626B5E" w:rsidR="00565E7D" w:rsidRPr="001A77AA" w:rsidRDefault="00565E7D" w:rsidP="00565E7D">
      <w:r w:rsidRPr="001A77AA">
        <w:t xml:space="preserve">CPA Australia </w:t>
      </w:r>
      <w:r w:rsidR="00540F52">
        <w:t>conveyed</w:t>
      </w:r>
      <w:r w:rsidR="002714E5" w:rsidRPr="001A77AA">
        <w:t xml:space="preserve"> that </w:t>
      </w:r>
      <w:r w:rsidR="009C1E90">
        <w:t xml:space="preserve">its </w:t>
      </w:r>
      <w:r w:rsidRPr="001A77AA">
        <w:t>members who provide audit and assurance services complete a full</w:t>
      </w:r>
      <w:r w:rsidR="0000637E" w:rsidRPr="001A77AA">
        <w:t> </w:t>
      </w:r>
      <w:r w:rsidRPr="001A77AA">
        <w:t>assessment that includes review of client engagement files to demonstrate compliance with the standards and adherence to procedures in their system of quality management. The annual results of</w:t>
      </w:r>
      <w:r w:rsidR="0000637E" w:rsidRPr="001A77AA">
        <w:t> </w:t>
      </w:r>
      <w:r w:rsidRPr="001A77AA">
        <w:t xml:space="preserve">the program are contained in the </w:t>
      </w:r>
      <w:r w:rsidR="00C453A2" w:rsidRPr="000D3F48">
        <w:t>CPA Australia Professional Standards Report (2025)</w:t>
      </w:r>
      <w:r w:rsidR="009C134F" w:rsidRPr="001A77AA">
        <w:t xml:space="preserve">. </w:t>
      </w:r>
    </w:p>
    <w:p w14:paraId="518D3242" w14:textId="3F793AD0" w:rsidR="00565E7D" w:rsidRPr="001A77AA" w:rsidRDefault="00565E7D" w:rsidP="00565E7D">
      <w:r w:rsidRPr="001A77AA">
        <w:t>CPA Australia</w:t>
      </w:r>
      <w:r w:rsidR="002714E5" w:rsidRPr="001A77AA">
        <w:t xml:space="preserve"> have indicated that it</w:t>
      </w:r>
      <w:r w:rsidRPr="001A77AA">
        <w:t xml:space="preserve"> uses insights from its annual assessments and member queries responded to during the year to provide practice support for all its members to promote compliance and the delivery of public accounting services. </w:t>
      </w:r>
      <w:r w:rsidR="0011108F">
        <w:t>C</w:t>
      </w:r>
      <w:r w:rsidRPr="001A77AA">
        <w:t xml:space="preserve">ommon assessment findings are shared with </w:t>
      </w:r>
      <w:r w:rsidR="0011108F">
        <w:t>CPA</w:t>
      </w:r>
      <w:r w:rsidR="006E74A5">
        <w:t> </w:t>
      </w:r>
      <w:r w:rsidR="0011108F">
        <w:t>Australia</w:t>
      </w:r>
      <w:r w:rsidR="00664C7D">
        <w:t xml:space="preserve"> </w:t>
      </w:r>
      <w:r w:rsidRPr="001A77AA">
        <w:t>members to inform</w:t>
      </w:r>
      <w:r w:rsidR="00892D7D" w:rsidRPr="001A77AA">
        <w:t>,</w:t>
      </w:r>
      <w:r w:rsidRPr="001A77AA">
        <w:t xml:space="preserve"> educate</w:t>
      </w:r>
      <w:r w:rsidRPr="001A77AA" w:rsidDel="00892D7D">
        <w:t xml:space="preserve"> </w:t>
      </w:r>
      <w:r w:rsidR="00892D7D" w:rsidRPr="001A77AA">
        <w:t xml:space="preserve">and </w:t>
      </w:r>
      <w:r w:rsidRPr="001A77AA">
        <w:t>promote proactive self</w:t>
      </w:r>
      <w:r w:rsidR="009C134F" w:rsidRPr="001A77AA">
        <w:noBreakHyphen/>
      </w:r>
      <w:r w:rsidRPr="001A77AA">
        <w:t>review and access to</w:t>
      </w:r>
      <w:r w:rsidR="006E74A5">
        <w:t xml:space="preserve"> </w:t>
      </w:r>
      <w:r w:rsidRPr="001A77AA">
        <w:t>CPA</w:t>
      </w:r>
      <w:r w:rsidR="006E74A5">
        <w:t> </w:t>
      </w:r>
      <w:r w:rsidRPr="001A77AA">
        <w:t>Australia</w:t>
      </w:r>
      <w:r w:rsidR="009C134F" w:rsidRPr="001A77AA">
        <w:t>’</w:t>
      </w:r>
      <w:r w:rsidRPr="001A77AA">
        <w:t xml:space="preserve">s tools and resources. This information is also provided in the </w:t>
      </w:r>
      <w:r w:rsidR="006E3B62" w:rsidRPr="000D3F48">
        <w:t>CPA Australia 2025 Professional Standards Report</w:t>
      </w:r>
      <w:r w:rsidR="00276FEE" w:rsidRPr="001A77AA">
        <w:t>.</w:t>
      </w:r>
    </w:p>
    <w:p w14:paraId="30CDE0E3" w14:textId="6327A6EA" w:rsidR="00565E7D" w:rsidRPr="001A77AA" w:rsidRDefault="00565E7D" w:rsidP="006E74A5">
      <w:r w:rsidRPr="001A77AA">
        <w:t>CPA Australia</w:t>
      </w:r>
      <w:r w:rsidR="006434C3" w:rsidRPr="001A77AA">
        <w:t xml:space="preserve"> have </w:t>
      </w:r>
      <w:r w:rsidRPr="001A77AA">
        <w:t>contributed to standard</w:t>
      </w:r>
      <w:r w:rsidR="009C134F" w:rsidRPr="001A77AA">
        <w:noBreakHyphen/>
      </w:r>
      <w:r w:rsidRPr="001A77AA">
        <w:t>setting activities during the period through its</w:t>
      </w:r>
      <w:r w:rsidR="006E74A5">
        <w:t xml:space="preserve"> </w:t>
      </w:r>
      <w:r w:rsidRPr="001A77AA">
        <w:t>submissions and advocacy activities</w:t>
      </w:r>
      <w:r w:rsidR="00FC11B9" w:rsidRPr="001A77AA">
        <w:t xml:space="preserve">, </w:t>
      </w:r>
      <w:r w:rsidRPr="001A77AA">
        <w:t>includ</w:t>
      </w:r>
      <w:r w:rsidR="00FC11B9" w:rsidRPr="001A77AA">
        <w:t>ing</w:t>
      </w:r>
      <w:r w:rsidRPr="001A77AA">
        <w:t xml:space="preserve"> </w:t>
      </w:r>
      <w:r w:rsidR="00FC11B9" w:rsidRPr="001A77AA">
        <w:t xml:space="preserve">by </w:t>
      </w:r>
      <w:r w:rsidRPr="001A77AA">
        <w:t>providing written submissions to Australian and</w:t>
      </w:r>
      <w:r w:rsidR="006E74A5">
        <w:t xml:space="preserve"> </w:t>
      </w:r>
      <w:r w:rsidRPr="001A77AA">
        <w:t>international standard</w:t>
      </w:r>
      <w:r w:rsidR="009C134F" w:rsidRPr="001A77AA">
        <w:noBreakHyphen/>
      </w:r>
      <w:r w:rsidRPr="001A77AA">
        <w:t xml:space="preserve">setters to support </w:t>
      </w:r>
      <w:r w:rsidR="001A5821" w:rsidRPr="001A77AA">
        <w:t xml:space="preserve">the </w:t>
      </w:r>
      <w:r w:rsidRPr="001A77AA">
        <w:t>development of financial, sustainability, auditing</w:t>
      </w:r>
      <w:r w:rsidR="00784667" w:rsidRPr="001A77AA">
        <w:t>,</w:t>
      </w:r>
      <w:r w:rsidRPr="001A77AA">
        <w:t xml:space="preserve"> assurance and independence standards. CPA Australia </w:t>
      </w:r>
      <w:r w:rsidR="00DA2B82">
        <w:t>noted</w:t>
      </w:r>
      <w:r w:rsidR="00DA2B82" w:rsidRPr="001A77AA">
        <w:t xml:space="preserve"> </w:t>
      </w:r>
      <w:r w:rsidR="00784667" w:rsidRPr="001A77AA">
        <w:t xml:space="preserve">it </w:t>
      </w:r>
      <w:r w:rsidRPr="001A77AA">
        <w:t>also regularly engaged with national and international standard</w:t>
      </w:r>
      <w:r w:rsidR="009C134F" w:rsidRPr="001A77AA">
        <w:noBreakHyphen/>
      </w:r>
      <w:r w:rsidRPr="001A77AA">
        <w:t>setters, government agencies and regulators to support reporting and audit practices in</w:t>
      </w:r>
      <w:r w:rsidR="006E74A5">
        <w:t> </w:t>
      </w:r>
      <w:r w:rsidRPr="001A77AA">
        <w:t>Australia.</w:t>
      </w:r>
    </w:p>
    <w:p w14:paraId="63112ED2" w14:textId="3F40847C" w:rsidR="00565E7D" w:rsidRPr="001A77AA" w:rsidRDefault="00565E7D" w:rsidP="006E74A5">
      <w:r w:rsidRPr="001A77AA">
        <w:t>CPA Australia develop</w:t>
      </w:r>
      <w:r w:rsidR="00C05439">
        <w:t>s</w:t>
      </w:r>
      <w:r w:rsidRPr="001A77AA">
        <w:t xml:space="preserve"> practical resources such as guides, webinars, podcasts and articles, to assist members in their roles as auditors. </w:t>
      </w:r>
    </w:p>
    <w:p w14:paraId="6B8ACE96" w14:textId="5C6030D3" w:rsidR="00702747" w:rsidRPr="001A77AA" w:rsidRDefault="00565E7D" w:rsidP="006E74A5">
      <w:r w:rsidRPr="001A77AA">
        <w:t xml:space="preserve">Additionally, </w:t>
      </w:r>
      <w:r w:rsidR="006A1403" w:rsidRPr="001A77AA">
        <w:t xml:space="preserve">CPA </w:t>
      </w:r>
      <w:r w:rsidR="00064481">
        <w:t>stated</w:t>
      </w:r>
      <w:r w:rsidR="007B0ABA" w:rsidRPr="001A77AA">
        <w:t xml:space="preserve"> </w:t>
      </w:r>
      <w:r w:rsidR="006A1403" w:rsidRPr="001A77AA">
        <w:t xml:space="preserve">that </w:t>
      </w:r>
      <w:r w:rsidRPr="001A77AA">
        <w:t xml:space="preserve">in late 2025, </w:t>
      </w:r>
      <w:r w:rsidR="006A1403" w:rsidRPr="001A77AA">
        <w:t>it</w:t>
      </w:r>
      <w:r w:rsidRPr="001A77AA">
        <w:t xml:space="preserve"> transitioned its ASQM1 tool from a spreadsheet into an automated online solution</w:t>
      </w:r>
      <w:r w:rsidR="009718D7">
        <w:t>, to</w:t>
      </w:r>
      <w:r w:rsidRPr="001A77AA">
        <w:t xml:space="preserve"> help </w:t>
      </w:r>
      <w:r w:rsidR="009802C0">
        <w:t xml:space="preserve">its </w:t>
      </w:r>
      <w:r w:rsidRPr="001A77AA">
        <w:t>members ensure their systems of quality management are established and maintained for their firms, consistent with the processes used in the engagements.</w:t>
      </w:r>
    </w:p>
    <w:p w14:paraId="161A2512" w14:textId="77777777" w:rsidR="00AE595B" w:rsidRPr="00AE595B" w:rsidRDefault="00AE595B" w:rsidP="00AE595B">
      <w:r w:rsidRPr="00AE595B">
        <w:br w:type="page"/>
      </w:r>
    </w:p>
    <w:p w14:paraId="1F9D26EC" w14:textId="3082699B" w:rsidR="008810BD" w:rsidRPr="001A77AA" w:rsidRDefault="00553AD5" w:rsidP="006E74A5">
      <w:pPr>
        <w:pStyle w:val="Heading2"/>
      </w:pPr>
      <w:bookmarkStart w:id="68" w:name="_Toc241065244"/>
      <w:r w:rsidRPr="00553AD5">
        <w:lastRenderedPageBreak/>
        <w:t xml:space="preserve">Institute of Public </w:t>
      </w:r>
      <w:r w:rsidRPr="006E74A5">
        <w:t>Accountants</w:t>
      </w:r>
      <w:bookmarkEnd w:id="68"/>
    </w:p>
    <w:p w14:paraId="489B1B52" w14:textId="327F36CD" w:rsidR="0032542F" w:rsidRDefault="00553AD5" w:rsidP="006E74A5">
      <w:r>
        <w:t xml:space="preserve">The </w:t>
      </w:r>
      <w:r w:rsidRPr="00553AD5">
        <w:t>Institute of Public Accountants</w:t>
      </w:r>
      <w:r>
        <w:t xml:space="preserve"> (</w:t>
      </w:r>
      <w:r w:rsidR="00123A8B" w:rsidRPr="001A77AA">
        <w:t>IPA</w:t>
      </w:r>
      <w:r>
        <w:t>)</w:t>
      </w:r>
      <w:r w:rsidR="00123A8B" w:rsidRPr="001A77AA">
        <w:t xml:space="preserve"> have indicated that i</w:t>
      </w:r>
      <w:r w:rsidR="00D64D22" w:rsidRPr="001A77AA">
        <w:t>n 2025</w:t>
      </w:r>
      <w:r w:rsidR="003D6378" w:rsidRPr="001A77AA">
        <w:t>,</w:t>
      </w:r>
      <w:r w:rsidR="00D64D22" w:rsidRPr="001A77AA" w:rsidDel="00123A8B">
        <w:t xml:space="preserve"> </w:t>
      </w:r>
      <w:r w:rsidR="00123A8B" w:rsidRPr="001A77AA">
        <w:t xml:space="preserve">it </w:t>
      </w:r>
      <w:r w:rsidR="00D64D22" w:rsidRPr="001A77AA">
        <w:t xml:space="preserve">completed approximately 3,500 quality assurance reviews of </w:t>
      </w:r>
      <w:r w:rsidR="00C64429">
        <w:t xml:space="preserve">its </w:t>
      </w:r>
      <w:r w:rsidR="00D64D22" w:rsidRPr="001A77AA">
        <w:t xml:space="preserve">members and their practice entities. The data and results are used to revise and update </w:t>
      </w:r>
      <w:r w:rsidR="004566FC">
        <w:t>its</w:t>
      </w:r>
      <w:r w:rsidR="00D64D22" w:rsidRPr="001A77AA">
        <w:t xml:space="preserve"> member tools and resources, particularly the APES 320</w:t>
      </w:r>
      <w:r w:rsidR="00D64D22" w:rsidRPr="001A77AA">
        <w:rPr>
          <w:rStyle w:val="FootnoteReference"/>
          <w:rFonts w:ascii="Source Sans Pro Light" w:hAnsi="Source Sans Pro Light" w:cs="Arial"/>
          <w:sz w:val="21"/>
          <w:szCs w:val="21"/>
          <w:vertAlign w:val="superscript"/>
        </w:rPr>
        <w:footnoteReference w:id="2"/>
      </w:r>
      <w:r w:rsidR="00D64D22" w:rsidRPr="001A77AA">
        <w:t>, APES 325</w:t>
      </w:r>
      <w:r w:rsidR="00D64D22" w:rsidRPr="001A77AA">
        <w:rPr>
          <w:rStyle w:val="FootnoteReference"/>
          <w:rFonts w:ascii="Source Sans Pro Light" w:hAnsi="Source Sans Pro Light" w:cs="Arial"/>
          <w:sz w:val="21"/>
          <w:szCs w:val="21"/>
          <w:vertAlign w:val="superscript"/>
        </w:rPr>
        <w:footnoteReference w:id="3"/>
      </w:r>
      <w:r w:rsidR="00D64D22" w:rsidRPr="001A77AA">
        <w:t xml:space="preserve"> and ASQM 1</w:t>
      </w:r>
      <w:r w:rsidR="00D64D22" w:rsidRPr="001A77AA">
        <w:rPr>
          <w:rStyle w:val="FootnoteReference"/>
          <w:vertAlign w:val="superscript"/>
        </w:rPr>
        <w:footnoteReference w:id="4"/>
      </w:r>
      <w:r w:rsidR="00D64D22" w:rsidRPr="001A77AA">
        <w:t xml:space="preserve"> Manuals. </w:t>
      </w:r>
      <w:r w:rsidR="00E06044" w:rsidRPr="001A77AA">
        <w:t>IPA m</w:t>
      </w:r>
      <w:r w:rsidR="00D64D22" w:rsidRPr="001A77AA">
        <w:t>embers rely on the</w:t>
      </w:r>
      <w:r w:rsidR="007624DE">
        <w:t>se</w:t>
      </w:r>
      <w:r w:rsidR="00D64D22" w:rsidRPr="001A77AA">
        <w:t xml:space="preserve"> </w:t>
      </w:r>
      <w:r w:rsidR="002D2CA9" w:rsidRPr="001A77AA">
        <w:t xml:space="preserve">manuals </w:t>
      </w:r>
      <w:r w:rsidR="00D64D22" w:rsidRPr="001A77AA">
        <w:t xml:space="preserve">as part of the quality review process and to ensure their practices are compliant with all relevant standards and obligations. </w:t>
      </w:r>
      <w:r w:rsidR="00607E6B" w:rsidRPr="001A77AA">
        <w:t xml:space="preserve">IPA </w:t>
      </w:r>
      <w:r w:rsidR="00E83BF9">
        <w:t>advised that it has</w:t>
      </w:r>
      <w:r w:rsidR="008C6F05">
        <w:t> </w:t>
      </w:r>
      <w:r w:rsidR="00607E6B" w:rsidRPr="001A77AA">
        <w:t xml:space="preserve">further revised the </w:t>
      </w:r>
      <w:r w:rsidR="002D2CA9" w:rsidRPr="001A77AA">
        <w:t xml:space="preserve">manuals </w:t>
      </w:r>
      <w:r w:rsidR="00D64D22" w:rsidRPr="001A77AA">
        <w:t>to support single partner and multi</w:t>
      </w:r>
      <w:r w:rsidR="009C134F" w:rsidRPr="001A77AA">
        <w:noBreakHyphen/>
      </w:r>
      <w:r w:rsidR="00D64D22" w:rsidRPr="001A77AA">
        <w:t xml:space="preserve">partner practices, with additional templates, examples, case studies and checklists which have been tailored to specific services provided by the practice, including audit and assurance. </w:t>
      </w:r>
    </w:p>
    <w:p w14:paraId="296F231F" w14:textId="610A1420" w:rsidR="00D64D22" w:rsidRPr="008C6F05" w:rsidRDefault="00D64D22" w:rsidP="006E74A5">
      <w:pPr>
        <w:rPr>
          <w:spacing w:val="-2"/>
        </w:rPr>
      </w:pPr>
      <w:r w:rsidRPr="008C6F05">
        <w:rPr>
          <w:spacing w:val="-2"/>
        </w:rPr>
        <w:t>Tools and resources are supported by education and training with Continuing Professional Development</w:t>
      </w:r>
      <w:r w:rsidR="008C6F05" w:rsidRPr="008C6F05">
        <w:rPr>
          <w:spacing w:val="-2"/>
        </w:rPr>
        <w:t xml:space="preserve"> </w:t>
      </w:r>
      <w:r w:rsidRPr="008C6F05">
        <w:t>(CPD) being offered by the IPA. The risk management training course</w:t>
      </w:r>
      <w:r w:rsidR="00DE41C0" w:rsidRPr="008C6F05">
        <w:t>,</w:t>
      </w:r>
      <w:r w:rsidRPr="008C6F05">
        <w:t xml:space="preserve"> which encompasses</w:t>
      </w:r>
      <w:r w:rsidR="008C6F05" w:rsidRPr="008C6F05">
        <w:t xml:space="preserve"> </w:t>
      </w:r>
      <w:r w:rsidRPr="008C6F05">
        <w:t>audit and assurance engagements</w:t>
      </w:r>
      <w:r w:rsidR="00235ED8" w:rsidRPr="008C6F05">
        <w:t>,</w:t>
      </w:r>
      <w:r w:rsidR="00DE41C0" w:rsidRPr="008C6F05">
        <w:t xml:space="preserve"> is </w:t>
      </w:r>
      <w:r w:rsidRPr="008C6F05">
        <w:t>provided online and in</w:t>
      </w:r>
      <w:r w:rsidR="009C134F" w:rsidRPr="008C6F05">
        <w:noBreakHyphen/>
      </w:r>
      <w:r w:rsidRPr="008C6F05">
        <w:t>person</w:t>
      </w:r>
      <w:r w:rsidR="00DE41C0" w:rsidRPr="008C6F05">
        <w:t xml:space="preserve"> and IPA </w:t>
      </w:r>
      <w:r w:rsidR="00EE6E10" w:rsidRPr="008C6F05">
        <w:t>observed</w:t>
      </w:r>
      <w:r w:rsidR="008C6F05" w:rsidRPr="008C6F05">
        <w:t xml:space="preserve"> </w:t>
      </w:r>
      <w:r w:rsidR="00EE6E10" w:rsidRPr="008C6F05">
        <w:t xml:space="preserve">that </w:t>
      </w:r>
      <w:r w:rsidR="007C6658" w:rsidRPr="008C6F05">
        <w:t>the course was</w:t>
      </w:r>
      <w:r w:rsidR="006021C7" w:rsidRPr="008C6F05">
        <w:t xml:space="preserve"> </w:t>
      </w:r>
      <w:r w:rsidRPr="008C6F05">
        <w:t>well attended over the last year.</w:t>
      </w:r>
    </w:p>
    <w:p w14:paraId="27A31FB3" w14:textId="5411B00D" w:rsidR="00D64D22" w:rsidRPr="001A77AA" w:rsidRDefault="00076030" w:rsidP="006E74A5">
      <w:r w:rsidRPr="001A77AA">
        <w:t xml:space="preserve">IPA have </w:t>
      </w:r>
      <w:r w:rsidR="00237602">
        <w:t>stated</w:t>
      </w:r>
      <w:r w:rsidR="00237602" w:rsidRPr="001A77AA">
        <w:t xml:space="preserve"> </w:t>
      </w:r>
      <w:r w:rsidRPr="001A77AA">
        <w:t>that, b</w:t>
      </w:r>
      <w:r w:rsidR="00D64D22" w:rsidRPr="001A77AA">
        <w:t>ased on</w:t>
      </w:r>
      <w:r w:rsidR="00D64D22" w:rsidRPr="001A77AA" w:rsidDel="00076030">
        <w:t xml:space="preserve"> </w:t>
      </w:r>
      <w:r w:rsidR="00D64D22" w:rsidRPr="001A77AA">
        <w:t xml:space="preserve">feedback including an annual member engagement survey and </w:t>
      </w:r>
      <w:r w:rsidR="00D966D0" w:rsidRPr="001A77AA">
        <w:t xml:space="preserve">an </w:t>
      </w:r>
      <w:r w:rsidR="00D64D22" w:rsidRPr="001A77AA">
        <w:t xml:space="preserve">annual Professional Standards Declaration, </w:t>
      </w:r>
      <w:r w:rsidR="004566FC">
        <w:t xml:space="preserve">its </w:t>
      </w:r>
      <w:r w:rsidR="00D64D22" w:rsidRPr="001A77AA">
        <w:t>members are appreciative of the tools and resources being provided to them</w:t>
      </w:r>
      <w:r w:rsidR="00B879A0" w:rsidRPr="001A77AA">
        <w:t>, which provide them</w:t>
      </w:r>
      <w:r w:rsidR="00D64D22" w:rsidRPr="001A77AA">
        <w:t xml:space="preserve"> with a higher level of understanding of their obligations. </w:t>
      </w:r>
      <w:r w:rsidR="00B25555" w:rsidRPr="001A77AA">
        <w:t xml:space="preserve">IPA have indicated this </w:t>
      </w:r>
      <w:r w:rsidR="00D64D22" w:rsidRPr="001A77AA">
        <w:t>has also improved the</w:t>
      </w:r>
      <w:r w:rsidR="007B1F01" w:rsidRPr="001A77AA">
        <w:t>ir</w:t>
      </w:r>
      <w:r w:rsidR="00D64D22" w:rsidRPr="001A77AA">
        <w:t xml:space="preserve"> level of practice oversight </w:t>
      </w:r>
      <w:r w:rsidR="000A37F5" w:rsidRPr="001A77AA">
        <w:t>and</w:t>
      </w:r>
      <w:r w:rsidR="00D64D22" w:rsidRPr="001A77AA">
        <w:t xml:space="preserve"> level of risk management, which </w:t>
      </w:r>
      <w:r w:rsidR="000A37F5" w:rsidRPr="001A77AA">
        <w:t xml:space="preserve">they believe </w:t>
      </w:r>
      <w:r w:rsidR="00D64D22" w:rsidRPr="001A77AA">
        <w:t>improves the level of consumer protection.</w:t>
      </w:r>
    </w:p>
    <w:p w14:paraId="3803DBC9" w14:textId="051335AA" w:rsidR="00D64D22" w:rsidRPr="001A77AA" w:rsidRDefault="00BF7C6B" w:rsidP="006E74A5">
      <w:r w:rsidRPr="001A77AA">
        <w:t>IPA</w:t>
      </w:r>
      <w:r w:rsidR="00774460" w:rsidRPr="001A77AA">
        <w:t xml:space="preserve"> have </w:t>
      </w:r>
      <w:r w:rsidR="002D30A5">
        <w:t xml:space="preserve">observed that </w:t>
      </w:r>
      <w:r w:rsidR="00774460" w:rsidRPr="001A77AA">
        <w:t>their</w:t>
      </w:r>
      <w:r w:rsidRPr="001A77AA">
        <w:t xml:space="preserve"> </w:t>
      </w:r>
      <w:r w:rsidR="00D64D22" w:rsidRPr="001A77AA">
        <w:t xml:space="preserve">quality review compliance rates have improved on average by nearly </w:t>
      </w:r>
      <w:r w:rsidRPr="001A77AA">
        <w:t>8</w:t>
      </w:r>
      <w:r w:rsidR="0000637E" w:rsidRPr="001A77AA">
        <w:t> </w:t>
      </w:r>
      <w:r w:rsidR="00D64D22" w:rsidRPr="001A77AA">
        <w:t>per</w:t>
      </w:r>
      <w:r w:rsidR="0000637E" w:rsidRPr="001A77AA">
        <w:t> </w:t>
      </w:r>
      <w:r w:rsidR="00D64D22" w:rsidRPr="001A77AA">
        <w:t xml:space="preserve">cent from 2024 to 2025. The highest increase was for APES 325 </w:t>
      </w:r>
      <w:r w:rsidR="00D64D22" w:rsidRPr="000D3F48">
        <w:t>Risk Management for Firms</w:t>
      </w:r>
      <w:r w:rsidR="007B581C" w:rsidRPr="001A77AA">
        <w:t xml:space="preserve"> and</w:t>
      </w:r>
      <w:r w:rsidR="0000637E" w:rsidRPr="001A77AA">
        <w:t> </w:t>
      </w:r>
      <w:r w:rsidR="007B581C" w:rsidRPr="001A77AA">
        <w:t xml:space="preserve">IPA have </w:t>
      </w:r>
      <w:r w:rsidR="00D10A28">
        <w:t>noted that</w:t>
      </w:r>
      <w:r w:rsidR="00D10A28" w:rsidRPr="001A77AA">
        <w:t xml:space="preserve"> </w:t>
      </w:r>
      <w:r w:rsidR="007B581C" w:rsidRPr="001A77AA">
        <w:t>this reflects their</w:t>
      </w:r>
      <w:r w:rsidR="00D64D22" w:rsidRPr="001A77AA">
        <w:t xml:space="preserve"> focus on this aspect of practice</w:t>
      </w:r>
      <w:r w:rsidR="009C134F" w:rsidRPr="001A77AA">
        <w:t xml:space="preserve">. </w:t>
      </w:r>
    </w:p>
    <w:p w14:paraId="07138BFC" w14:textId="7744C675" w:rsidR="00D64D22" w:rsidRDefault="00D64D22" w:rsidP="006E74A5">
      <w:r w:rsidRPr="001A77AA">
        <w:t>Further changes have been made to improve the level of CPD compliance rates by changing from a</w:t>
      </w:r>
      <w:r w:rsidR="0000637E" w:rsidRPr="001A77AA">
        <w:t> </w:t>
      </w:r>
      <w:r w:rsidR="003A2E2E">
        <w:t>3</w:t>
      </w:r>
      <w:r w:rsidR="009C134F" w:rsidRPr="001A77AA">
        <w:noBreakHyphen/>
      </w:r>
      <w:r w:rsidRPr="001A77AA">
        <w:t>year CPD cycle to a one</w:t>
      </w:r>
      <w:r w:rsidR="009C134F" w:rsidRPr="001A77AA">
        <w:noBreakHyphen/>
      </w:r>
      <w:r w:rsidRPr="001A77AA">
        <w:t xml:space="preserve">year CPD cycle. </w:t>
      </w:r>
      <w:r w:rsidR="00B875C6" w:rsidRPr="001A77AA">
        <w:t xml:space="preserve">IPA have </w:t>
      </w:r>
      <w:r w:rsidR="00D10A28">
        <w:t>expressed that</w:t>
      </w:r>
      <w:r w:rsidR="00D10A28" w:rsidRPr="001A77AA">
        <w:t xml:space="preserve"> </w:t>
      </w:r>
      <w:r w:rsidR="00B875C6" w:rsidRPr="001A77AA">
        <w:t>t</w:t>
      </w:r>
      <w:r w:rsidRPr="001A77AA">
        <w:t>his has been well received by</w:t>
      </w:r>
      <w:r w:rsidR="009C5017">
        <w:t> </w:t>
      </w:r>
      <w:r w:rsidR="0031519E">
        <w:t>its</w:t>
      </w:r>
      <w:r w:rsidR="008C6F05">
        <w:t> </w:t>
      </w:r>
      <w:r w:rsidRPr="001A77AA">
        <w:t>members</w:t>
      </w:r>
      <w:r w:rsidR="00F45729" w:rsidRPr="001A77AA">
        <w:t xml:space="preserve"> who have </w:t>
      </w:r>
      <w:r w:rsidRPr="001A77AA">
        <w:t xml:space="preserve">specifically </w:t>
      </w:r>
      <w:r w:rsidR="00F45729" w:rsidRPr="001A77AA">
        <w:t xml:space="preserve">commented </w:t>
      </w:r>
      <w:r w:rsidRPr="001A77AA">
        <w:t xml:space="preserve">that it will be easier to track and comply with CPD requirements. </w:t>
      </w:r>
      <w:r w:rsidR="00F45729" w:rsidRPr="001A77AA">
        <w:t xml:space="preserve">IPA members </w:t>
      </w:r>
      <w:r w:rsidRPr="001A77AA">
        <w:t xml:space="preserve">must complete CPD across </w:t>
      </w:r>
      <w:r w:rsidR="00F86A74">
        <w:t>3</w:t>
      </w:r>
      <w:r w:rsidRPr="001A77AA">
        <w:t xml:space="preserve"> categories with minimum requirements for each category, being professional and ethical standards</w:t>
      </w:r>
      <w:r w:rsidR="00012F0E" w:rsidRPr="001A77AA">
        <w:t xml:space="preserve">, </w:t>
      </w:r>
      <w:r w:rsidRPr="001A77AA">
        <w:t>technical and product knowledge</w:t>
      </w:r>
      <w:r w:rsidR="00012F0E" w:rsidRPr="001A77AA">
        <w:t xml:space="preserve">, </w:t>
      </w:r>
      <w:r w:rsidRPr="001A77AA">
        <w:t>and management and professional skills</w:t>
      </w:r>
      <w:r w:rsidR="009C134F" w:rsidRPr="001A77AA">
        <w:t xml:space="preserve">. </w:t>
      </w:r>
      <w:r w:rsidRPr="001A77AA">
        <w:t xml:space="preserve"> </w:t>
      </w:r>
    </w:p>
    <w:p w14:paraId="411C690D" w14:textId="4B69834E" w:rsidR="00764C54" w:rsidRPr="001A77AA" w:rsidRDefault="00764C54" w:rsidP="006E74A5">
      <w:r w:rsidRPr="00764C54">
        <w:t xml:space="preserve">IPA </w:t>
      </w:r>
      <w:r w:rsidR="00653662">
        <w:t xml:space="preserve">highlighted that it </w:t>
      </w:r>
      <w:r w:rsidRPr="00764C54">
        <w:t xml:space="preserve">participated in consultations and made submissions on a range of topics to the AASB, AUASB, ASIC and APESB relating to matters relevant to audit quality and financial reporting. </w:t>
      </w:r>
    </w:p>
    <w:p w14:paraId="475937EC" w14:textId="1F026BE6" w:rsidR="00146EF1" w:rsidRPr="001A77AA" w:rsidRDefault="00164A9C" w:rsidP="006E74A5">
      <w:r w:rsidRPr="001A77AA">
        <w:t xml:space="preserve">The results of </w:t>
      </w:r>
      <w:r w:rsidR="00BD1FFB" w:rsidRPr="001A77AA">
        <w:t>IPA</w:t>
      </w:r>
      <w:r w:rsidR="009C134F" w:rsidRPr="001A77AA">
        <w:t>’</w:t>
      </w:r>
      <w:r w:rsidR="00BD1FFB" w:rsidRPr="001A77AA">
        <w:t>s, CA ANZ</w:t>
      </w:r>
      <w:r w:rsidR="009C134F" w:rsidRPr="001A77AA">
        <w:t>’</w:t>
      </w:r>
      <w:r w:rsidR="00BD1FFB" w:rsidRPr="001A77AA">
        <w:t>s and CPA Australia</w:t>
      </w:r>
      <w:r w:rsidR="009C134F" w:rsidRPr="001A77AA">
        <w:t>’</w:t>
      </w:r>
      <w:r w:rsidR="00BD1FFB" w:rsidRPr="001A77AA">
        <w:t xml:space="preserve">s </w:t>
      </w:r>
      <w:r w:rsidRPr="001A77AA">
        <w:t>programs are summarised in</w:t>
      </w:r>
      <w:r w:rsidR="00E34CFC" w:rsidRPr="001A77AA">
        <w:t xml:space="preserve"> </w:t>
      </w:r>
      <w:r w:rsidR="00DC0298" w:rsidRPr="001A77AA">
        <w:t xml:space="preserve">Tables </w:t>
      </w:r>
      <w:r w:rsidR="00444E39" w:rsidRPr="001A77AA">
        <w:t>4</w:t>
      </w:r>
      <w:r w:rsidR="00707BB5" w:rsidRPr="001A77AA">
        <w:t>.</w:t>
      </w:r>
      <w:r w:rsidR="004E57FA" w:rsidRPr="001A77AA">
        <w:t>1</w:t>
      </w:r>
      <w:r w:rsidR="00707BB5" w:rsidRPr="001A77AA">
        <w:t xml:space="preserve"> and </w:t>
      </w:r>
      <w:r w:rsidR="00444E39" w:rsidRPr="001A77AA">
        <w:t>4</w:t>
      </w:r>
      <w:r w:rsidR="00707BB5" w:rsidRPr="001A77AA">
        <w:t>.</w:t>
      </w:r>
      <w:r w:rsidR="004E57FA" w:rsidRPr="001A77AA">
        <w:t>2</w:t>
      </w:r>
      <w:r w:rsidR="00954252" w:rsidRPr="001A77AA">
        <w:t>.</w:t>
      </w:r>
    </w:p>
    <w:p w14:paraId="3AF2120C" w14:textId="77777777" w:rsidR="002A5E00" w:rsidRDefault="002A5E00" w:rsidP="006E74A5">
      <w:r>
        <w:br w:type="page"/>
      </w:r>
    </w:p>
    <w:p w14:paraId="7BBC858A" w14:textId="77777777" w:rsidR="00972F7D" w:rsidRDefault="00972F7D" w:rsidP="00972F7D">
      <w:pPr>
        <w:pStyle w:val="TableMainHeading"/>
      </w:pPr>
      <w:r w:rsidRPr="001A77AA">
        <w:lastRenderedPageBreak/>
        <w:t>Table 4.1: Outcomes of review programs – quality assurance reviews of audit firms</w:t>
      </w:r>
    </w:p>
    <w:p w14:paraId="0A5BF646" w14:textId="77777777" w:rsidR="00972F7D" w:rsidRPr="00972F7D" w:rsidRDefault="00972F7D" w:rsidP="00972F7D">
      <w:pPr>
        <w:pStyle w:val="TableSecondHeading"/>
        <w:rPr>
          <w:color w:val="auto"/>
        </w:rPr>
      </w:pPr>
      <w:r w:rsidRPr="00972F7D">
        <w:rPr>
          <w:color w:val="auto"/>
        </w:rPr>
        <w:t>Institute of Public Accountants (IPA)</w:t>
      </w:r>
      <w:r w:rsidRPr="00972F7D">
        <w:rPr>
          <w:color w:val="auto"/>
          <w:vertAlign w:val="superscript"/>
        </w:rPr>
        <w:t>a</w:t>
      </w:r>
    </w:p>
    <w:tbl>
      <w:tblPr>
        <w:tblW w:w="5000" w:type="pct"/>
        <w:tblLayout w:type="fixed"/>
        <w:tblCellMar>
          <w:left w:w="170" w:type="dxa"/>
          <w:right w:w="170" w:type="dxa"/>
        </w:tblCellMar>
        <w:tblLook w:val="04A0" w:firstRow="1" w:lastRow="0" w:firstColumn="1" w:lastColumn="0" w:noHBand="0" w:noVBand="1"/>
      </w:tblPr>
      <w:tblGrid>
        <w:gridCol w:w="4590"/>
        <w:gridCol w:w="1119"/>
        <w:gridCol w:w="1121"/>
        <w:gridCol w:w="1121"/>
        <w:gridCol w:w="1119"/>
      </w:tblGrid>
      <w:tr w:rsidR="00972F7D" w:rsidRPr="001A77AA" w14:paraId="7036F4A8" w14:textId="77777777" w:rsidTr="00A37FA9">
        <w:trPr>
          <w:trHeight w:val="69"/>
        </w:trPr>
        <w:tc>
          <w:tcPr>
            <w:tcW w:w="2529" w:type="pct"/>
            <w:tcBorders>
              <w:right w:val="single" w:sz="4" w:space="0" w:color="157EB9" w:themeColor="accent3"/>
            </w:tcBorders>
            <w:shd w:val="clear" w:color="auto" w:fill="CFDBEC"/>
          </w:tcPr>
          <w:p w14:paraId="050387B7" w14:textId="77777777" w:rsidR="00972F7D" w:rsidRPr="00BD344B" w:rsidRDefault="00972F7D" w:rsidP="00A37FA9">
            <w:pPr>
              <w:pStyle w:val="TableColumnHeadingLeft"/>
            </w:pPr>
            <w:r w:rsidRPr="00BD344B">
              <w:t>Outcome</w:t>
            </w:r>
          </w:p>
        </w:tc>
        <w:tc>
          <w:tcPr>
            <w:tcW w:w="617" w:type="pct"/>
            <w:tcBorders>
              <w:left w:val="single" w:sz="4" w:space="0" w:color="157EB9" w:themeColor="accent3"/>
            </w:tcBorders>
            <w:shd w:val="clear" w:color="auto" w:fill="C8D3E7" w:themeFill="accent5" w:themeFillShade="E6"/>
          </w:tcPr>
          <w:p w14:paraId="737A385E" w14:textId="77777777" w:rsidR="00972F7D" w:rsidRPr="00BD344B" w:rsidRDefault="00972F7D" w:rsidP="00A37FA9">
            <w:pPr>
              <w:pStyle w:val="TableColumnHeadingRight"/>
            </w:pPr>
            <w:r w:rsidRPr="00BD344B">
              <w:t>2024–25</w:t>
            </w:r>
            <w:r>
              <w:br/>
            </w:r>
            <w:r w:rsidRPr="00BD344B">
              <w:t>No.</w:t>
            </w:r>
          </w:p>
        </w:tc>
        <w:tc>
          <w:tcPr>
            <w:tcW w:w="618" w:type="pct"/>
            <w:tcBorders>
              <w:right w:val="single" w:sz="4" w:space="0" w:color="157EB9" w:themeColor="accent3"/>
            </w:tcBorders>
            <w:shd w:val="clear" w:color="auto" w:fill="CFDBEC"/>
          </w:tcPr>
          <w:p w14:paraId="32D15387" w14:textId="77777777" w:rsidR="00972F7D" w:rsidRPr="00BD344B" w:rsidRDefault="00972F7D" w:rsidP="00A37FA9">
            <w:pPr>
              <w:pStyle w:val="TableColumnHeadingRight"/>
            </w:pPr>
            <w:r w:rsidRPr="00BD344B">
              <w:t>2024–25</w:t>
            </w:r>
            <w:r>
              <w:br/>
            </w:r>
            <w:r w:rsidRPr="00BD344B">
              <w:t>%</w:t>
            </w:r>
          </w:p>
        </w:tc>
        <w:tc>
          <w:tcPr>
            <w:tcW w:w="618" w:type="pct"/>
            <w:tcBorders>
              <w:left w:val="single" w:sz="4" w:space="0" w:color="157EB9" w:themeColor="accent3"/>
            </w:tcBorders>
            <w:shd w:val="clear" w:color="auto" w:fill="C8D3E7" w:themeFill="accent5" w:themeFillShade="E6"/>
          </w:tcPr>
          <w:p w14:paraId="237E32BE" w14:textId="77777777" w:rsidR="00972F7D" w:rsidRPr="00BD344B" w:rsidRDefault="00972F7D" w:rsidP="00A37FA9">
            <w:pPr>
              <w:pStyle w:val="TableColumnHeadingRight"/>
            </w:pPr>
            <w:r w:rsidRPr="00BD344B">
              <w:t>2025–26</w:t>
            </w:r>
            <w:r>
              <w:br/>
            </w:r>
            <w:r w:rsidRPr="00BD344B">
              <w:t>No.</w:t>
            </w:r>
          </w:p>
        </w:tc>
        <w:tc>
          <w:tcPr>
            <w:tcW w:w="617" w:type="pct"/>
            <w:shd w:val="clear" w:color="auto" w:fill="CFDBEC"/>
          </w:tcPr>
          <w:p w14:paraId="3B6D6E8D" w14:textId="77777777" w:rsidR="00972F7D" w:rsidRPr="00BD344B" w:rsidRDefault="00972F7D" w:rsidP="00A37FA9">
            <w:pPr>
              <w:pStyle w:val="TableColumnHeadingRight"/>
            </w:pPr>
            <w:r w:rsidRPr="00BD344B">
              <w:t>2025–26</w:t>
            </w:r>
            <w:r>
              <w:br/>
            </w:r>
            <w:r w:rsidRPr="00BD344B">
              <w:t>%</w:t>
            </w:r>
          </w:p>
        </w:tc>
      </w:tr>
      <w:tr w:rsidR="00972F7D" w:rsidRPr="001A77AA" w14:paraId="63835FF6" w14:textId="77777777" w:rsidTr="00A37FA9">
        <w:trPr>
          <w:trHeight w:val="80"/>
        </w:trPr>
        <w:tc>
          <w:tcPr>
            <w:tcW w:w="2529" w:type="pct"/>
            <w:tcBorders>
              <w:bottom w:val="single" w:sz="4" w:space="0" w:color="CFDBEC"/>
              <w:right w:val="single" w:sz="4" w:space="0" w:color="157EB9" w:themeColor="accent3"/>
            </w:tcBorders>
            <w:hideMark/>
          </w:tcPr>
          <w:p w14:paraId="0754BE48" w14:textId="77777777" w:rsidR="00972F7D" w:rsidRPr="001A77AA" w:rsidRDefault="00972F7D" w:rsidP="00A37FA9">
            <w:pPr>
              <w:pStyle w:val="TableTextLeft"/>
              <w:rPr>
                <w:i/>
                <w:iCs/>
              </w:rPr>
            </w:pPr>
            <w:r w:rsidRPr="001A77AA">
              <w:t xml:space="preserve">Satisfactory/fully compliant </w:t>
            </w:r>
          </w:p>
        </w:tc>
        <w:tc>
          <w:tcPr>
            <w:tcW w:w="617" w:type="pct"/>
            <w:tcBorders>
              <w:left w:val="single" w:sz="4" w:space="0" w:color="157EB9" w:themeColor="accent3"/>
              <w:bottom w:val="single" w:sz="4" w:space="0" w:color="CFDBEC"/>
            </w:tcBorders>
            <w:shd w:val="clear" w:color="auto" w:fill="F4F6FA"/>
          </w:tcPr>
          <w:p w14:paraId="59147D56" w14:textId="77777777" w:rsidR="00972F7D" w:rsidRPr="001A77AA" w:rsidRDefault="00972F7D" w:rsidP="00A37FA9">
            <w:pPr>
              <w:pStyle w:val="TableTextRight"/>
            </w:pPr>
            <w:r w:rsidRPr="001A77AA">
              <w:t>23</w:t>
            </w:r>
          </w:p>
        </w:tc>
        <w:tc>
          <w:tcPr>
            <w:tcW w:w="618" w:type="pct"/>
            <w:tcBorders>
              <w:bottom w:val="single" w:sz="4" w:space="0" w:color="CFDBEC"/>
              <w:right w:val="single" w:sz="4" w:space="0" w:color="157EB9" w:themeColor="accent3"/>
            </w:tcBorders>
          </w:tcPr>
          <w:p w14:paraId="02193A64" w14:textId="77777777" w:rsidR="00972F7D" w:rsidRPr="001A77AA" w:rsidRDefault="00972F7D" w:rsidP="00A37FA9">
            <w:pPr>
              <w:pStyle w:val="TableTextRight"/>
            </w:pPr>
            <w:r w:rsidRPr="001A77AA">
              <w:t>61</w:t>
            </w:r>
          </w:p>
        </w:tc>
        <w:tc>
          <w:tcPr>
            <w:tcW w:w="618" w:type="pct"/>
            <w:tcBorders>
              <w:left w:val="single" w:sz="4" w:space="0" w:color="157EB9" w:themeColor="accent3"/>
              <w:bottom w:val="single" w:sz="4" w:space="0" w:color="CFDBEC"/>
            </w:tcBorders>
            <w:shd w:val="clear" w:color="auto" w:fill="F4F6FA"/>
          </w:tcPr>
          <w:p w14:paraId="1CE1C242" w14:textId="77777777" w:rsidR="00972F7D" w:rsidRPr="001A77AA" w:rsidRDefault="00972F7D" w:rsidP="00A37FA9">
            <w:pPr>
              <w:pStyle w:val="TableTextRight"/>
            </w:pPr>
            <w:r w:rsidRPr="001A77AA">
              <w:t>27</w:t>
            </w:r>
          </w:p>
        </w:tc>
        <w:tc>
          <w:tcPr>
            <w:tcW w:w="617" w:type="pct"/>
            <w:tcBorders>
              <w:bottom w:val="single" w:sz="4" w:space="0" w:color="CFDBEC"/>
            </w:tcBorders>
          </w:tcPr>
          <w:p w14:paraId="1BE60CBD" w14:textId="77777777" w:rsidR="00972F7D" w:rsidRPr="001A77AA" w:rsidRDefault="00972F7D" w:rsidP="00A37FA9">
            <w:pPr>
              <w:pStyle w:val="TableTextRight"/>
            </w:pPr>
            <w:r w:rsidRPr="001A77AA">
              <w:t>79</w:t>
            </w:r>
          </w:p>
        </w:tc>
      </w:tr>
      <w:tr w:rsidR="00972F7D" w:rsidRPr="001A77AA" w14:paraId="12394930" w14:textId="77777777" w:rsidTr="00A37FA9">
        <w:tc>
          <w:tcPr>
            <w:tcW w:w="2529" w:type="pct"/>
            <w:tcBorders>
              <w:top w:val="single" w:sz="4" w:space="0" w:color="CFDBEC"/>
              <w:bottom w:val="single" w:sz="4" w:space="0" w:color="CFDBEC"/>
              <w:right w:val="single" w:sz="4" w:space="0" w:color="157EB9" w:themeColor="accent3"/>
            </w:tcBorders>
            <w:hideMark/>
          </w:tcPr>
          <w:p w14:paraId="42054E23" w14:textId="77777777" w:rsidR="00972F7D" w:rsidRPr="001A77AA" w:rsidRDefault="00972F7D" w:rsidP="00A37FA9">
            <w:pPr>
              <w:pStyle w:val="TableTextLeft"/>
              <w:rPr>
                <w:i/>
                <w:iCs/>
              </w:rPr>
            </w:pPr>
            <w:r w:rsidRPr="001A77AA">
              <w:t xml:space="preserve">Corrective actions required </w:t>
            </w:r>
          </w:p>
        </w:tc>
        <w:tc>
          <w:tcPr>
            <w:tcW w:w="617" w:type="pct"/>
            <w:tcBorders>
              <w:top w:val="single" w:sz="4" w:space="0" w:color="CFDBEC"/>
              <w:left w:val="single" w:sz="4" w:space="0" w:color="157EB9" w:themeColor="accent3"/>
              <w:bottom w:val="single" w:sz="4" w:space="0" w:color="CFDBEC"/>
            </w:tcBorders>
            <w:shd w:val="clear" w:color="auto" w:fill="F4F6FA"/>
          </w:tcPr>
          <w:p w14:paraId="60937286" w14:textId="77777777" w:rsidR="00972F7D" w:rsidRPr="001A77AA" w:rsidRDefault="00972F7D" w:rsidP="00A37FA9">
            <w:pPr>
              <w:pStyle w:val="TableTextRight"/>
            </w:pPr>
            <w:r w:rsidRPr="001A77AA">
              <w:t>0</w:t>
            </w:r>
          </w:p>
        </w:tc>
        <w:tc>
          <w:tcPr>
            <w:tcW w:w="618" w:type="pct"/>
            <w:tcBorders>
              <w:top w:val="single" w:sz="4" w:space="0" w:color="CFDBEC"/>
              <w:bottom w:val="single" w:sz="4" w:space="0" w:color="CFDBEC"/>
              <w:right w:val="single" w:sz="4" w:space="0" w:color="157EB9" w:themeColor="accent3"/>
            </w:tcBorders>
          </w:tcPr>
          <w:p w14:paraId="139D6868" w14:textId="77777777" w:rsidR="00972F7D" w:rsidRPr="001A77AA" w:rsidRDefault="00972F7D" w:rsidP="00A37FA9">
            <w:pPr>
              <w:pStyle w:val="TableTextRight"/>
            </w:pPr>
            <w:r w:rsidRPr="001A77AA">
              <w:t>0</w:t>
            </w:r>
          </w:p>
        </w:tc>
        <w:tc>
          <w:tcPr>
            <w:tcW w:w="618" w:type="pct"/>
            <w:tcBorders>
              <w:top w:val="single" w:sz="4" w:space="0" w:color="CFDBEC"/>
              <w:left w:val="single" w:sz="4" w:space="0" w:color="157EB9" w:themeColor="accent3"/>
              <w:bottom w:val="single" w:sz="4" w:space="0" w:color="CFDBEC"/>
            </w:tcBorders>
            <w:shd w:val="clear" w:color="auto" w:fill="F4F6FA"/>
          </w:tcPr>
          <w:p w14:paraId="18BB1C93" w14:textId="77777777" w:rsidR="00972F7D" w:rsidRPr="001A77AA" w:rsidRDefault="00972F7D" w:rsidP="00A37FA9">
            <w:pPr>
              <w:pStyle w:val="TableTextRight"/>
            </w:pPr>
            <w:r w:rsidRPr="001A77AA">
              <w:t>0</w:t>
            </w:r>
          </w:p>
        </w:tc>
        <w:tc>
          <w:tcPr>
            <w:tcW w:w="617" w:type="pct"/>
            <w:tcBorders>
              <w:top w:val="single" w:sz="4" w:space="0" w:color="CFDBEC"/>
              <w:bottom w:val="single" w:sz="4" w:space="0" w:color="CFDBEC"/>
            </w:tcBorders>
          </w:tcPr>
          <w:p w14:paraId="5D43EF1E" w14:textId="77777777" w:rsidR="00972F7D" w:rsidRPr="001A77AA" w:rsidRDefault="00972F7D" w:rsidP="00A37FA9">
            <w:pPr>
              <w:pStyle w:val="TableTextRight"/>
            </w:pPr>
            <w:r w:rsidRPr="001A77AA">
              <w:t>0</w:t>
            </w:r>
          </w:p>
        </w:tc>
      </w:tr>
      <w:tr w:rsidR="00972F7D" w:rsidRPr="001A77AA" w14:paraId="1D44444C" w14:textId="77777777" w:rsidTr="00A37FA9">
        <w:tc>
          <w:tcPr>
            <w:tcW w:w="2529" w:type="pct"/>
            <w:tcBorders>
              <w:top w:val="single" w:sz="4" w:space="0" w:color="CFDBEC"/>
              <w:bottom w:val="single" w:sz="4" w:space="0" w:color="CFDBEC"/>
              <w:right w:val="single" w:sz="4" w:space="0" w:color="157EB9" w:themeColor="accent3"/>
            </w:tcBorders>
          </w:tcPr>
          <w:p w14:paraId="3AB97082" w14:textId="77777777" w:rsidR="00972F7D" w:rsidRPr="001A77AA" w:rsidRDefault="00972F7D" w:rsidP="00A37FA9">
            <w:pPr>
              <w:pStyle w:val="TableTextLeft"/>
              <w:rPr>
                <w:i/>
                <w:iCs/>
              </w:rPr>
            </w:pPr>
            <w:r w:rsidRPr="001A77AA">
              <w:t>Minor corrective actions required</w:t>
            </w:r>
          </w:p>
        </w:tc>
        <w:tc>
          <w:tcPr>
            <w:tcW w:w="617" w:type="pct"/>
            <w:tcBorders>
              <w:top w:val="single" w:sz="4" w:space="0" w:color="CFDBEC"/>
              <w:left w:val="single" w:sz="4" w:space="0" w:color="157EB9" w:themeColor="accent3"/>
              <w:bottom w:val="single" w:sz="4" w:space="0" w:color="CFDBEC"/>
            </w:tcBorders>
            <w:shd w:val="clear" w:color="auto" w:fill="F4F6FA"/>
          </w:tcPr>
          <w:p w14:paraId="771DFC4C" w14:textId="77777777" w:rsidR="00972F7D" w:rsidRPr="001A77AA" w:rsidRDefault="00972F7D" w:rsidP="00A37FA9">
            <w:pPr>
              <w:pStyle w:val="TableTextRight"/>
            </w:pPr>
            <w:r w:rsidRPr="001A77AA">
              <w:t>4</w:t>
            </w:r>
          </w:p>
        </w:tc>
        <w:tc>
          <w:tcPr>
            <w:tcW w:w="618" w:type="pct"/>
            <w:tcBorders>
              <w:top w:val="single" w:sz="4" w:space="0" w:color="CFDBEC"/>
              <w:bottom w:val="single" w:sz="4" w:space="0" w:color="CFDBEC"/>
              <w:right w:val="single" w:sz="4" w:space="0" w:color="157EB9" w:themeColor="accent3"/>
            </w:tcBorders>
          </w:tcPr>
          <w:p w14:paraId="5464DDFA" w14:textId="77777777" w:rsidR="00972F7D" w:rsidRPr="001A77AA" w:rsidRDefault="00972F7D" w:rsidP="00A37FA9">
            <w:pPr>
              <w:pStyle w:val="TableTextRight"/>
            </w:pPr>
            <w:r w:rsidRPr="001A77AA">
              <w:t>11</w:t>
            </w:r>
          </w:p>
        </w:tc>
        <w:tc>
          <w:tcPr>
            <w:tcW w:w="618" w:type="pct"/>
            <w:tcBorders>
              <w:top w:val="single" w:sz="4" w:space="0" w:color="CFDBEC"/>
              <w:left w:val="single" w:sz="4" w:space="0" w:color="157EB9" w:themeColor="accent3"/>
              <w:bottom w:val="single" w:sz="4" w:space="0" w:color="CFDBEC"/>
            </w:tcBorders>
            <w:shd w:val="clear" w:color="auto" w:fill="F4F6FA"/>
          </w:tcPr>
          <w:p w14:paraId="3CA4AF17" w14:textId="77777777" w:rsidR="00972F7D" w:rsidRPr="001A77AA" w:rsidRDefault="00972F7D" w:rsidP="00A37FA9">
            <w:pPr>
              <w:pStyle w:val="TableTextRight"/>
            </w:pPr>
            <w:r w:rsidRPr="001A77AA">
              <w:t>3</w:t>
            </w:r>
          </w:p>
        </w:tc>
        <w:tc>
          <w:tcPr>
            <w:tcW w:w="617" w:type="pct"/>
            <w:tcBorders>
              <w:top w:val="single" w:sz="4" w:space="0" w:color="CFDBEC"/>
              <w:bottom w:val="single" w:sz="4" w:space="0" w:color="CFDBEC"/>
            </w:tcBorders>
          </w:tcPr>
          <w:p w14:paraId="14DDD515" w14:textId="77777777" w:rsidR="00972F7D" w:rsidRPr="001A77AA" w:rsidRDefault="00972F7D" w:rsidP="00A37FA9">
            <w:pPr>
              <w:pStyle w:val="TableTextRight"/>
            </w:pPr>
            <w:r w:rsidRPr="001A77AA">
              <w:t>9</w:t>
            </w:r>
          </w:p>
        </w:tc>
      </w:tr>
      <w:tr w:rsidR="00972F7D" w:rsidRPr="001A77AA" w14:paraId="0DBFB9E4" w14:textId="77777777" w:rsidTr="00A37FA9">
        <w:tc>
          <w:tcPr>
            <w:tcW w:w="2529" w:type="pct"/>
            <w:tcBorders>
              <w:top w:val="single" w:sz="4" w:space="0" w:color="CFDBEC"/>
              <w:bottom w:val="single" w:sz="4" w:space="0" w:color="CFDBEC"/>
              <w:right w:val="single" w:sz="4" w:space="0" w:color="157EB9" w:themeColor="accent3"/>
            </w:tcBorders>
          </w:tcPr>
          <w:p w14:paraId="5EFCDDE4" w14:textId="77777777" w:rsidR="00972F7D" w:rsidRPr="001A77AA" w:rsidRDefault="00972F7D" w:rsidP="00A37FA9">
            <w:pPr>
              <w:pStyle w:val="TableTextLeft"/>
              <w:rPr>
                <w:i/>
                <w:iCs/>
              </w:rPr>
            </w:pPr>
            <w:r w:rsidRPr="001A77AA">
              <w:t>Major corrective actions required</w:t>
            </w:r>
          </w:p>
        </w:tc>
        <w:tc>
          <w:tcPr>
            <w:tcW w:w="617" w:type="pct"/>
            <w:tcBorders>
              <w:top w:val="single" w:sz="4" w:space="0" w:color="CFDBEC"/>
              <w:left w:val="single" w:sz="4" w:space="0" w:color="157EB9" w:themeColor="accent3"/>
              <w:bottom w:val="single" w:sz="4" w:space="0" w:color="CFDBEC"/>
            </w:tcBorders>
            <w:shd w:val="clear" w:color="auto" w:fill="F4F6FA"/>
          </w:tcPr>
          <w:p w14:paraId="25D95C35" w14:textId="77777777" w:rsidR="00972F7D" w:rsidRPr="001A77AA" w:rsidRDefault="00972F7D" w:rsidP="00A37FA9">
            <w:pPr>
              <w:pStyle w:val="TableTextRight"/>
            </w:pPr>
            <w:r w:rsidRPr="001A77AA">
              <w:t>11</w:t>
            </w:r>
          </w:p>
        </w:tc>
        <w:tc>
          <w:tcPr>
            <w:tcW w:w="618" w:type="pct"/>
            <w:tcBorders>
              <w:top w:val="single" w:sz="4" w:space="0" w:color="CFDBEC"/>
              <w:bottom w:val="single" w:sz="4" w:space="0" w:color="CFDBEC"/>
              <w:right w:val="single" w:sz="4" w:space="0" w:color="157EB9" w:themeColor="accent3"/>
            </w:tcBorders>
          </w:tcPr>
          <w:p w14:paraId="1EB311B5" w14:textId="77777777" w:rsidR="00972F7D" w:rsidRPr="001A77AA" w:rsidRDefault="00972F7D" w:rsidP="00A37FA9">
            <w:pPr>
              <w:pStyle w:val="TableTextRight"/>
            </w:pPr>
            <w:r w:rsidRPr="001A77AA">
              <w:t>28</w:t>
            </w:r>
          </w:p>
        </w:tc>
        <w:tc>
          <w:tcPr>
            <w:tcW w:w="618" w:type="pct"/>
            <w:tcBorders>
              <w:top w:val="single" w:sz="4" w:space="0" w:color="CFDBEC"/>
              <w:left w:val="single" w:sz="4" w:space="0" w:color="157EB9" w:themeColor="accent3"/>
              <w:bottom w:val="single" w:sz="4" w:space="0" w:color="CFDBEC"/>
            </w:tcBorders>
            <w:shd w:val="clear" w:color="auto" w:fill="F4F6FA"/>
          </w:tcPr>
          <w:p w14:paraId="56BB05EC" w14:textId="77777777" w:rsidR="00972F7D" w:rsidRPr="001A77AA" w:rsidRDefault="00972F7D" w:rsidP="00A37FA9">
            <w:pPr>
              <w:pStyle w:val="TableTextRight"/>
            </w:pPr>
            <w:r w:rsidRPr="001A77AA">
              <w:t>4</w:t>
            </w:r>
          </w:p>
        </w:tc>
        <w:tc>
          <w:tcPr>
            <w:tcW w:w="617" w:type="pct"/>
            <w:tcBorders>
              <w:top w:val="single" w:sz="4" w:space="0" w:color="CFDBEC"/>
              <w:bottom w:val="single" w:sz="4" w:space="0" w:color="CFDBEC"/>
            </w:tcBorders>
          </w:tcPr>
          <w:p w14:paraId="5FDF1F46" w14:textId="77777777" w:rsidR="00972F7D" w:rsidRPr="001A77AA" w:rsidRDefault="00972F7D" w:rsidP="00A37FA9">
            <w:pPr>
              <w:pStyle w:val="TableTextRight"/>
            </w:pPr>
            <w:r w:rsidRPr="001A77AA">
              <w:t>12</w:t>
            </w:r>
          </w:p>
        </w:tc>
      </w:tr>
      <w:tr w:rsidR="00972F7D" w:rsidRPr="001A77AA" w14:paraId="36EEEA2A" w14:textId="77777777" w:rsidTr="00A37FA9">
        <w:trPr>
          <w:trHeight w:val="77"/>
        </w:trPr>
        <w:tc>
          <w:tcPr>
            <w:tcW w:w="2529" w:type="pct"/>
            <w:tcBorders>
              <w:top w:val="single" w:sz="4" w:space="0" w:color="CFDBEC"/>
              <w:bottom w:val="single" w:sz="4" w:space="0" w:color="CFDBEC"/>
              <w:right w:val="single" w:sz="4" w:space="0" w:color="157EB9" w:themeColor="accent3"/>
            </w:tcBorders>
            <w:hideMark/>
          </w:tcPr>
          <w:p w14:paraId="0F4B242B" w14:textId="77777777" w:rsidR="00972F7D" w:rsidRPr="001A77AA" w:rsidRDefault="00972F7D" w:rsidP="00A37FA9">
            <w:pPr>
              <w:pStyle w:val="TableTextLeft"/>
              <w:rPr>
                <w:i/>
                <w:iCs/>
              </w:rPr>
            </w:pPr>
            <w:r w:rsidRPr="001A77AA">
              <w:t xml:space="preserve">Unsatisfactory/disciplinary action required </w:t>
            </w:r>
          </w:p>
        </w:tc>
        <w:tc>
          <w:tcPr>
            <w:tcW w:w="617" w:type="pct"/>
            <w:tcBorders>
              <w:top w:val="single" w:sz="4" w:space="0" w:color="CFDBEC"/>
              <w:left w:val="single" w:sz="4" w:space="0" w:color="157EB9" w:themeColor="accent3"/>
              <w:bottom w:val="single" w:sz="4" w:space="0" w:color="CFDBEC"/>
            </w:tcBorders>
            <w:shd w:val="clear" w:color="auto" w:fill="F4F6FA"/>
          </w:tcPr>
          <w:p w14:paraId="50B72BE9" w14:textId="77777777" w:rsidR="00972F7D" w:rsidRPr="001A77AA" w:rsidRDefault="00972F7D" w:rsidP="00A37FA9">
            <w:pPr>
              <w:pStyle w:val="TableTextRight"/>
            </w:pPr>
            <w:r w:rsidRPr="001A77AA">
              <w:t>0</w:t>
            </w:r>
          </w:p>
        </w:tc>
        <w:tc>
          <w:tcPr>
            <w:tcW w:w="618" w:type="pct"/>
            <w:tcBorders>
              <w:top w:val="single" w:sz="4" w:space="0" w:color="CFDBEC"/>
              <w:bottom w:val="single" w:sz="4" w:space="0" w:color="CFDBEC"/>
              <w:right w:val="single" w:sz="4" w:space="0" w:color="157EB9" w:themeColor="accent3"/>
            </w:tcBorders>
          </w:tcPr>
          <w:p w14:paraId="1E1C5C85" w14:textId="77777777" w:rsidR="00972F7D" w:rsidRPr="001A77AA" w:rsidRDefault="00972F7D" w:rsidP="00A37FA9">
            <w:pPr>
              <w:pStyle w:val="TableTextRight"/>
            </w:pPr>
            <w:r w:rsidRPr="001A77AA">
              <w:t>0</w:t>
            </w:r>
          </w:p>
        </w:tc>
        <w:tc>
          <w:tcPr>
            <w:tcW w:w="618" w:type="pct"/>
            <w:tcBorders>
              <w:top w:val="single" w:sz="4" w:space="0" w:color="CFDBEC"/>
              <w:left w:val="single" w:sz="4" w:space="0" w:color="157EB9" w:themeColor="accent3"/>
              <w:bottom w:val="single" w:sz="4" w:space="0" w:color="CFDBEC"/>
            </w:tcBorders>
            <w:shd w:val="clear" w:color="auto" w:fill="F4F6FA"/>
          </w:tcPr>
          <w:p w14:paraId="411609BF" w14:textId="77777777" w:rsidR="00972F7D" w:rsidRPr="001A77AA" w:rsidRDefault="00972F7D" w:rsidP="00A37FA9">
            <w:pPr>
              <w:pStyle w:val="TableTextRight"/>
            </w:pPr>
            <w:r w:rsidRPr="001A77AA">
              <w:t>0</w:t>
            </w:r>
          </w:p>
        </w:tc>
        <w:tc>
          <w:tcPr>
            <w:tcW w:w="617" w:type="pct"/>
            <w:tcBorders>
              <w:top w:val="single" w:sz="4" w:space="0" w:color="CFDBEC"/>
              <w:bottom w:val="single" w:sz="4" w:space="0" w:color="CFDBEC"/>
            </w:tcBorders>
          </w:tcPr>
          <w:p w14:paraId="0580BD68" w14:textId="77777777" w:rsidR="00972F7D" w:rsidRPr="001A77AA" w:rsidRDefault="00972F7D" w:rsidP="00A37FA9">
            <w:pPr>
              <w:pStyle w:val="TableTextRight"/>
            </w:pPr>
            <w:r w:rsidRPr="001A77AA">
              <w:t>0</w:t>
            </w:r>
          </w:p>
        </w:tc>
      </w:tr>
      <w:tr w:rsidR="00972F7D" w:rsidRPr="001A77AA" w14:paraId="358A1FE2" w14:textId="77777777" w:rsidTr="00A37FA9">
        <w:trPr>
          <w:trHeight w:val="64"/>
        </w:trPr>
        <w:tc>
          <w:tcPr>
            <w:tcW w:w="2529" w:type="pct"/>
            <w:tcBorders>
              <w:top w:val="single" w:sz="4" w:space="0" w:color="CFDBEC"/>
              <w:right w:val="single" w:sz="4" w:space="0" w:color="157EB9" w:themeColor="accent3"/>
            </w:tcBorders>
            <w:hideMark/>
          </w:tcPr>
          <w:p w14:paraId="069A2D9F" w14:textId="77777777" w:rsidR="00972F7D" w:rsidRPr="001A77AA" w:rsidRDefault="00972F7D" w:rsidP="00A37FA9">
            <w:pPr>
              <w:pStyle w:val="TableColumnHeadingLeft"/>
              <w:rPr>
                <w:i/>
                <w:iCs/>
              </w:rPr>
            </w:pPr>
            <w:proofErr w:type="spellStart"/>
            <w:r w:rsidRPr="001A77AA">
              <w:t>Total</w:t>
            </w:r>
            <w:r w:rsidRPr="001A77AA">
              <w:rPr>
                <w:vertAlign w:val="superscript"/>
              </w:rPr>
              <w:t>e</w:t>
            </w:r>
            <w:proofErr w:type="spellEnd"/>
            <w:r w:rsidRPr="001A77AA">
              <w:t xml:space="preserve"> </w:t>
            </w:r>
          </w:p>
        </w:tc>
        <w:tc>
          <w:tcPr>
            <w:tcW w:w="617" w:type="pct"/>
            <w:tcBorders>
              <w:top w:val="single" w:sz="4" w:space="0" w:color="CFDBEC"/>
              <w:left w:val="single" w:sz="4" w:space="0" w:color="157EB9" w:themeColor="accent3"/>
            </w:tcBorders>
            <w:shd w:val="clear" w:color="auto" w:fill="F4F6FA"/>
          </w:tcPr>
          <w:p w14:paraId="63D4D080" w14:textId="77777777" w:rsidR="00972F7D" w:rsidRPr="001A77AA" w:rsidRDefault="00972F7D" w:rsidP="00A37FA9">
            <w:pPr>
              <w:pStyle w:val="TableColumnHeadingRight"/>
            </w:pPr>
            <w:r w:rsidRPr="001A77AA">
              <w:t>38</w:t>
            </w:r>
          </w:p>
        </w:tc>
        <w:tc>
          <w:tcPr>
            <w:tcW w:w="618" w:type="pct"/>
            <w:tcBorders>
              <w:top w:val="single" w:sz="4" w:space="0" w:color="CFDBEC"/>
              <w:right w:val="single" w:sz="4" w:space="0" w:color="157EB9" w:themeColor="accent3"/>
            </w:tcBorders>
          </w:tcPr>
          <w:p w14:paraId="764FB0FD" w14:textId="77777777" w:rsidR="00972F7D" w:rsidRPr="001A77AA" w:rsidRDefault="00972F7D" w:rsidP="00A37FA9">
            <w:pPr>
              <w:pStyle w:val="TableColumnHeadingRight"/>
            </w:pPr>
            <w:r w:rsidRPr="001A77AA">
              <w:t>100</w:t>
            </w:r>
          </w:p>
        </w:tc>
        <w:tc>
          <w:tcPr>
            <w:tcW w:w="618" w:type="pct"/>
            <w:tcBorders>
              <w:top w:val="single" w:sz="4" w:space="0" w:color="CFDBEC"/>
              <w:left w:val="single" w:sz="4" w:space="0" w:color="157EB9" w:themeColor="accent3"/>
            </w:tcBorders>
            <w:shd w:val="clear" w:color="auto" w:fill="F4F6FA"/>
          </w:tcPr>
          <w:p w14:paraId="6A45C8BA" w14:textId="77777777" w:rsidR="00972F7D" w:rsidRPr="001A77AA" w:rsidRDefault="00972F7D" w:rsidP="00A37FA9">
            <w:pPr>
              <w:pStyle w:val="TableColumnHeadingRight"/>
            </w:pPr>
            <w:r w:rsidRPr="001A77AA">
              <w:t>34</w:t>
            </w:r>
          </w:p>
        </w:tc>
        <w:tc>
          <w:tcPr>
            <w:tcW w:w="617" w:type="pct"/>
            <w:tcBorders>
              <w:top w:val="single" w:sz="4" w:space="0" w:color="CFDBEC"/>
            </w:tcBorders>
          </w:tcPr>
          <w:p w14:paraId="12327A4A" w14:textId="77777777" w:rsidR="00972F7D" w:rsidRPr="001A77AA" w:rsidRDefault="00972F7D" w:rsidP="00A37FA9">
            <w:pPr>
              <w:pStyle w:val="TableColumnHeadingRight"/>
            </w:pPr>
            <w:r w:rsidRPr="001A77AA">
              <w:t>100</w:t>
            </w:r>
          </w:p>
        </w:tc>
      </w:tr>
    </w:tbl>
    <w:p w14:paraId="0EF5E105" w14:textId="77777777" w:rsidR="00972F7D" w:rsidRDefault="00972F7D" w:rsidP="00972F7D">
      <w:pPr>
        <w:pStyle w:val="NoSpacing"/>
      </w:pPr>
    </w:p>
    <w:p w14:paraId="09C62DF9" w14:textId="77777777" w:rsidR="00972F7D" w:rsidRPr="00972F7D" w:rsidRDefault="00972F7D" w:rsidP="00972F7D">
      <w:pPr>
        <w:pStyle w:val="TableSecondHeading"/>
        <w:rPr>
          <w:color w:val="auto"/>
        </w:rPr>
      </w:pPr>
      <w:r w:rsidRPr="00972F7D">
        <w:rPr>
          <w:color w:val="auto"/>
        </w:rPr>
        <w:t xml:space="preserve">Chartered Accountants Australia and New Zealand (CA </w:t>
      </w:r>
      <w:proofErr w:type="gramStart"/>
      <w:r w:rsidRPr="00972F7D">
        <w:rPr>
          <w:color w:val="auto"/>
        </w:rPr>
        <w:t>ANZ)</w:t>
      </w:r>
      <w:r w:rsidRPr="00972F7D">
        <w:rPr>
          <w:color w:val="auto"/>
          <w:vertAlign w:val="superscript"/>
        </w:rPr>
        <w:t>b</w:t>
      </w:r>
      <w:proofErr w:type="gramEnd"/>
    </w:p>
    <w:tbl>
      <w:tblPr>
        <w:tblW w:w="5000" w:type="pct"/>
        <w:tblLayout w:type="fixed"/>
        <w:tblCellMar>
          <w:left w:w="170" w:type="dxa"/>
          <w:right w:w="170" w:type="dxa"/>
        </w:tblCellMar>
        <w:tblLook w:val="04A0" w:firstRow="1" w:lastRow="0" w:firstColumn="1" w:lastColumn="0" w:noHBand="0" w:noVBand="1"/>
      </w:tblPr>
      <w:tblGrid>
        <w:gridCol w:w="4590"/>
        <w:gridCol w:w="1119"/>
        <w:gridCol w:w="1121"/>
        <w:gridCol w:w="1121"/>
        <w:gridCol w:w="1119"/>
      </w:tblGrid>
      <w:tr w:rsidR="00972F7D" w:rsidRPr="001A77AA" w14:paraId="0924D4AD" w14:textId="77777777" w:rsidTr="00A37FA9">
        <w:trPr>
          <w:trHeight w:val="69"/>
        </w:trPr>
        <w:tc>
          <w:tcPr>
            <w:tcW w:w="2530" w:type="pct"/>
            <w:tcBorders>
              <w:right w:val="single" w:sz="4" w:space="0" w:color="157EB9" w:themeColor="accent3"/>
            </w:tcBorders>
            <w:shd w:val="clear" w:color="auto" w:fill="CFDBEC"/>
          </w:tcPr>
          <w:p w14:paraId="12DE62EE" w14:textId="77777777" w:rsidR="00972F7D" w:rsidRPr="00BD344B" w:rsidRDefault="00972F7D" w:rsidP="00A37FA9">
            <w:pPr>
              <w:pStyle w:val="TableColumnHeadingLeft"/>
            </w:pPr>
            <w:r w:rsidRPr="00BD344B">
              <w:t>Outcome</w:t>
            </w:r>
          </w:p>
        </w:tc>
        <w:tc>
          <w:tcPr>
            <w:tcW w:w="617" w:type="pct"/>
            <w:tcBorders>
              <w:left w:val="single" w:sz="4" w:space="0" w:color="157EB9" w:themeColor="accent3"/>
            </w:tcBorders>
            <w:shd w:val="clear" w:color="auto" w:fill="C8D3E7" w:themeFill="accent5" w:themeFillShade="E6"/>
          </w:tcPr>
          <w:p w14:paraId="78860426" w14:textId="77777777" w:rsidR="00972F7D" w:rsidRPr="00BD344B" w:rsidRDefault="00972F7D" w:rsidP="00A37FA9">
            <w:pPr>
              <w:pStyle w:val="TableColumnHeadingRight"/>
            </w:pPr>
            <w:r w:rsidRPr="00BD344B">
              <w:t>2024–25</w:t>
            </w:r>
            <w:r>
              <w:br/>
            </w:r>
            <w:r w:rsidRPr="00BD344B">
              <w:t>No.</w:t>
            </w:r>
          </w:p>
        </w:tc>
        <w:tc>
          <w:tcPr>
            <w:tcW w:w="618" w:type="pct"/>
            <w:tcBorders>
              <w:right w:val="single" w:sz="4" w:space="0" w:color="157EB9" w:themeColor="accent3"/>
            </w:tcBorders>
            <w:shd w:val="clear" w:color="auto" w:fill="CFDBEC"/>
          </w:tcPr>
          <w:p w14:paraId="485A0EC7" w14:textId="77777777" w:rsidR="00972F7D" w:rsidRPr="00BD344B" w:rsidRDefault="00972F7D" w:rsidP="00A37FA9">
            <w:pPr>
              <w:pStyle w:val="TableColumnHeadingRight"/>
            </w:pPr>
            <w:r w:rsidRPr="00BD344B">
              <w:t>2024–25</w:t>
            </w:r>
            <w:r>
              <w:br/>
            </w:r>
            <w:r w:rsidRPr="00BD344B">
              <w:t>%</w:t>
            </w:r>
          </w:p>
        </w:tc>
        <w:tc>
          <w:tcPr>
            <w:tcW w:w="618" w:type="pct"/>
            <w:tcBorders>
              <w:left w:val="single" w:sz="4" w:space="0" w:color="157EB9" w:themeColor="accent3"/>
            </w:tcBorders>
            <w:shd w:val="clear" w:color="auto" w:fill="C8D3E7" w:themeFill="accent5" w:themeFillShade="E6"/>
          </w:tcPr>
          <w:p w14:paraId="41F5D491" w14:textId="77777777" w:rsidR="00972F7D" w:rsidRPr="00BD344B" w:rsidRDefault="00972F7D" w:rsidP="00A37FA9">
            <w:pPr>
              <w:pStyle w:val="TableColumnHeadingRight"/>
            </w:pPr>
            <w:r w:rsidRPr="00BD344B">
              <w:t>2025–26</w:t>
            </w:r>
            <w:r>
              <w:br/>
            </w:r>
            <w:r w:rsidRPr="00BD344B">
              <w:t>No.</w:t>
            </w:r>
          </w:p>
        </w:tc>
        <w:tc>
          <w:tcPr>
            <w:tcW w:w="617" w:type="pct"/>
            <w:shd w:val="clear" w:color="auto" w:fill="CFDBEC"/>
          </w:tcPr>
          <w:p w14:paraId="0EE88436" w14:textId="77777777" w:rsidR="00972F7D" w:rsidRPr="00BD344B" w:rsidRDefault="00972F7D" w:rsidP="00A37FA9">
            <w:pPr>
              <w:pStyle w:val="TableColumnHeadingRight"/>
            </w:pPr>
            <w:r w:rsidRPr="00BD344B">
              <w:t>2025–26</w:t>
            </w:r>
            <w:r>
              <w:br/>
            </w:r>
            <w:r w:rsidRPr="00BD344B">
              <w:t>%</w:t>
            </w:r>
          </w:p>
        </w:tc>
      </w:tr>
      <w:tr w:rsidR="00972F7D" w:rsidRPr="001A77AA" w14:paraId="4A7D5E13" w14:textId="77777777" w:rsidTr="00A37FA9">
        <w:trPr>
          <w:trHeight w:val="80"/>
        </w:trPr>
        <w:tc>
          <w:tcPr>
            <w:tcW w:w="2530" w:type="pct"/>
            <w:tcBorders>
              <w:bottom w:val="single" w:sz="4" w:space="0" w:color="CFDBEC"/>
              <w:right w:val="single" w:sz="4" w:space="0" w:color="157EB9" w:themeColor="accent3"/>
            </w:tcBorders>
            <w:hideMark/>
          </w:tcPr>
          <w:p w14:paraId="64FFA825" w14:textId="77777777" w:rsidR="00972F7D" w:rsidRPr="001A77AA" w:rsidRDefault="00972F7D" w:rsidP="00A37FA9">
            <w:pPr>
              <w:pStyle w:val="TableTextLeft"/>
              <w:rPr>
                <w:i/>
                <w:iCs/>
              </w:rPr>
            </w:pPr>
            <w:r w:rsidRPr="001A77AA">
              <w:t xml:space="preserve">Satisfactory/fully compliant </w:t>
            </w:r>
          </w:p>
        </w:tc>
        <w:tc>
          <w:tcPr>
            <w:tcW w:w="617" w:type="pct"/>
            <w:tcBorders>
              <w:left w:val="single" w:sz="4" w:space="0" w:color="157EB9" w:themeColor="accent3"/>
              <w:bottom w:val="single" w:sz="4" w:space="0" w:color="CFDBEC"/>
            </w:tcBorders>
            <w:shd w:val="clear" w:color="auto" w:fill="F4F6FA"/>
            <w:vAlign w:val="center"/>
          </w:tcPr>
          <w:p w14:paraId="3EE26F3B" w14:textId="77777777" w:rsidR="00972F7D" w:rsidRPr="001A77AA" w:rsidRDefault="00972F7D" w:rsidP="00A37FA9">
            <w:pPr>
              <w:pStyle w:val="TableTextRight"/>
            </w:pPr>
            <w:r w:rsidRPr="001A77AA">
              <w:t>118</w:t>
            </w:r>
          </w:p>
        </w:tc>
        <w:tc>
          <w:tcPr>
            <w:tcW w:w="618" w:type="pct"/>
            <w:tcBorders>
              <w:bottom w:val="single" w:sz="4" w:space="0" w:color="CFDBEC"/>
              <w:right w:val="single" w:sz="4" w:space="0" w:color="157EB9" w:themeColor="accent3"/>
            </w:tcBorders>
            <w:vAlign w:val="center"/>
          </w:tcPr>
          <w:p w14:paraId="0FD1F178" w14:textId="77777777" w:rsidR="00972F7D" w:rsidRPr="001A77AA" w:rsidRDefault="00972F7D" w:rsidP="00A37FA9">
            <w:pPr>
              <w:pStyle w:val="TableTextRight"/>
            </w:pPr>
            <w:r w:rsidRPr="001A77AA">
              <w:t>80</w:t>
            </w:r>
          </w:p>
        </w:tc>
        <w:tc>
          <w:tcPr>
            <w:tcW w:w="618" w:type="pct"/>
            <w:tcBorders>
              <w:left w:val="single" w:sz="4" w:space="0" w:color="157EB9" w:themeColor="accent3"/>
              <w:bottom w:val="single" w:sz="4" w:space="0" w:color="CFDBEC"/>
            </w:tcBorders>
            <w:shd w:val="clear" w:color="auto" w:fill="F4F6FA"/>
            <w:vAlign w:val="center"/>
          </w:tcPr>
          <w:p w14:paraId="04294391" w14:textId="77777777" w:rsidR="00972F7D" w:rsidRPr="001A77AA" w:rsidRDefault="00972F7D" w:rsidP="00A37FA9">
            <w:pPr>
              <w:pStyle w:val="TableTextRight"/>
            </w:pPr>
            <w:r w:rsidRPr="001A77AA">
              <w:t>121</w:t>
            </w:r>
          </w:p>
        </w:tc>
        <w:tc>
          <w:tcPr>
            <w:tcW w:w="617" w:type="pct"/>
            <w:tcBorders>
              <w:bottom w:val="single" w:sz="4" w:space="0" w:color="CFDBEC"/>
            </w:tcBorders>
            <w:vAlign w:val="center"/>
          </w:tcPr>
          <w:p w14:paraId="3E11C347" w14:textId="77777777" w:rsidR="00972F7D" w:rsidRPr="001A77AA" w:rsidRDefault="00972F7D" w:rsidP="00A37FA9">
            <w:pPr>
              <w:pStyle w:val="TableTextRight"/>
            </w:pPr>
            <w:r w:rsidRPr="001A77AA">
              <w:t>87</w:t>
            </w:r>
          </w:p>
        </w:tc>
      </w:tr>
      <w:tr w:rsidR="00972F7D" w:rsidRPr="001A77AA" w14:paraId="47C1534F" w14:textId="77777777" w:rsidTr="00A37FA9">
        <w:tc>
          <w:tcPr>
            <w:tcW w:w="2530" w:type="pct"/>
            <w:tcBorders>
              <w:top w:val="single" w:sz="4" w:space="0" w:color="CFDBEC"/>
              <w:bottom w:val="single" w:sz="4" w:space="0" w:color="CFDBEC"/>
              <w:right w:val="single" w:sz="4" w:space="0" w:color="157EB9" w:themeColor="accent3"/>
            </w:tcBorders>
            <w:hideMark/>
          </w:tcPr>
          <w:p w14:paraId="468ECC3A" w14:textId="77777777" w:rsidR="00972F7D" w:rsidRPr="001A77AA" w:rsidRDefault="00972F7D" w:rsidP="00A37FA9">
            <w:pPr>
              <w:pStyle w:val="TableTextLeft"/>
              <w:rPr>
                <w:i/>
                <w:iCs/>
              </w:rPr>
            </w:pPr>
            <w:r w:rsidRPr="001A77AA">
              <w:t xml:space="preserve">Corrective actions required </w:t>
            </w:r>
          </w:p>
        </w:tc>
        <w:tc>
          <w:tcPr>
            <w:tcW w:w="617" w:type="pct"/>
            <w:tcBorders>
              <w:top w:val="single" w:sz="4" w:space="0" w:color="CFDBEC"/>
              <w:left w:val="single" w:sz="4" w:space="0" w:color="157EB9" w:themeColor="accent3"/>
              <w:bottom w:val="single" w:sz="4" w:space="0" w:color="CFDBEC"/>
            </w:tcBorders>
            <w:shd w:val="clear" w:color="auto" w:fill="F4F6FA"/>
            <w:vAlign w:val="center"/>
          </w:tcPr>
          <w:p w14:paraId="6F3DB84A" w14:textId="77777777" w:rsidR="00972F7D" w:rsidRPr="001A77AA" w:rsidRDefault="00972F7D" w:rsidP="00A37FA9">
            <w:pPr>
              <w:pStyle w:val="TableTextRight"/>
            </w:pPr>
            <w:r w:rsidRPr="001A77AA">
              <w:t>27</w:t>
            </w:r>
          </w:p>
        </w:tc>
        <w:tc>
          <w:tcPr>
            <w:tcW w:w="618" w:type="pct"/>
            <w:tcBorders>
              <w:top w:val="single" w:sz="4" w:space="0" w:color="CFDBEC"/>
              <w:bottom w:val="single" w:sz="4" w:space="0" w:color="CFDBEC"/>
              <w:right w:val="single" w:sz="4" w:space="0" w:color="157EB9" w:themeColor="accent3"/>
            </w:tcBorders>
            <w:vAlign w:val="center"/>
          </w:tcPr>
          <w:p w14:paraId="2DD3EC50" w14:textId="77777777" w:rsidR="00972F7D" w:rsidRPr="001A77AA" w:rsidRDefault="00972F7D" w:rsidP="00A37FA9">
            <w:pPr>
              <w:pStyle w:val="TableTextRight"/>
            </w:pPr>
            <w:r w:rsidRPr="001A77AA">
              <w:t>19</w:t>
            </w:r>
          </w:p>
        </w:tc>
        <w:tc>
          <w:tcPr>
            <w:tcW w:w="618" w:type="pct"/>
            <w:tcBorders>
              <w:top w:val="single" w:sz="4" w:space="0" w:color="CFDBEC"/>
              <w:left w:val="single" w:sz="4" w:space="0" w:color="157EB9" w:themeColor="accent3"/>
              <w:bottom w:val="single" w:sz="4" w:space="0" w:color="CFDBEC"/>
            </w:tcBorders>
            <w:shd w:val="clear" w:color="auto" w:fill="F4F6FA"/>
            <w:vAlign w:val="center"/>
          </w:tcPr>
          <w:p w14:paraId="361D959A" w14:textId="77777777" w:rsidR="00972F7D" w:rsidRPr="001A77AA" w:rsidRDefault="00972F7D" w:rsidP="00A37FA9">
            <w:pPr>
              <w:pStyle w:val="TableTextRight"/>
            </w:pPr>
            <w:r w:rsidRPr="001A77AA">
              <w:t>17</w:t>
            </w:r>
          </w:p>
        </w:tc>
        <w:tc>
          <w:tcPr>
            <w:tcW w:w="617" w:type="pct"/>
            <w:tcBorders>
              <w:top w:val="single" w:sz="4" w:space="0" w:color="CFDBEC"/>
              <w:bottom w:val="single" w:sz="4" w:space="0" w:color="CFDBEC"/>
            </w:tcBorders>
            <w:vAlign w:val="center"/>
          </w:tcPr>
          <w:p w14:paraId="2800F4F0" w14:textId="77777777" w:rsidR="00972F7D" w:rsidRPr="001A77AA" w:rsidRDefault="00972F7D" w:rsidP="00A37FA9">
            <w:pPr>
              <w:pStyle w:val="TableTextRight"/>
            </w:pPr>
            <w:r w:rsidRPr="001A77AA">
              <w:t>12</w:t>
            </w:r>
          </w:p>
        </w:tc>
      </w:tr>
      <w:tr w:rsidR="00972F7D" w:rsidRPr="001A77AA" w14:paraId="62F6606C" w14:textId="77777777" w:rsidTr="00A37FA9">
        <w:tc>
          <w:tcPr>
            <w:tcW w:w="2530" w:type="pct"/>
            <w:tcBorders>
              <w:top w:val="single" w:sz="4" w:space="0" w:color="CFDBEC"/>
              <w:bottom w:val="single" w:sz="4" w:space="0" w:color="CFDBEC"/>
              <w:right w:val="single" w:sz="4" w:space="0" w:color="157EB9" w:themeColor="accent3"/>
            </w:tcBorders>
          </w:tcPr>
          <w:p w14:paraId="5EA5D969" w14:textId="77777777" w:rsidR="00972F7D" w:rsidRPr="001A77AA" w:rsidRDefault="00972F7D" w:rsidP="00A37FA9">
            <w:pPr>
              <w:pStyle w:val="TableTextLeft"/>
              <w:rPr>
                <w:i/>
                <w:iCs/>
              </w:rPr>
            </w:pPr>
            <w:r w:rsidRPr="001A77AA">
              <w:t>Minor corrective actions required</w:t>
            </w:r>
          </w:p>
        </w:tc>
        <w:tc>
          <w:tcPr>
            <w:tcW w:w="617" w:type="pct"/>
            <w:tcBorders>
              <w:top w:val="single" w:sz="4" w:space="0" w:color="CFDBEC"/>
              <w:left w:val="single" w:sz="4" w:space="0" w:color="157EB9" w:themeColor="accent3"/>
              <w:bottom w:val="single" w:sz="4" w:space="0" w:color="CFDBEC"/>
            </w:tcBorders>
            <w:shd w:val="clear" w:color="auto" w:fill="F4F6FA"/>
            <w:vAlign w:val="center"/>
          </w:tcPr>
          <w:p w14:paraId="1B927793" w14:textId="77777777" w:rsidR="00972F7D" w:rsidRPr="001A77AA" w:rsidRDefault="00972F7D" w:rsidP="00A37FA9">
            <w:pPr>
              <w:pStyle w:val="TableTextRight"/>
            </w:pPr>
            <w:r w:rsidRPr="001A77AA">
              <w:t>N/A</w:t>
            </w:r>
          </w:p>
        </w:tc>
        <w:tc>
          <w:tcPr>
            <w:tcW w:w="618" w:type="pct"/>
            <w:tcBorders>
              <w:top w:val="single" w:sz="4" w:space="0" w:color="CFDBEC"/>
              <w:bottom w:val="single" w:sz="4" w:space="0" w:color="CFDBEC"/>
              <w:right w:val="single" w:sz="4" w:space="0" w:color="157EB9" w:themeColor="accent3"/>
            </w:tcBorders>
            <w:vAlign w:val="center"/>
          </w:tcPr>
          <w:p w14:paraId="5D02017E" w14:textId="77777777" w:rsidR="00972F7D" w:rsidRPr="001A77AA" w:rsidRDefault="00972F7D" w:rsidP="00A37FA9">
            <w:pPr>
              <w:pStyle w:val="TableTextRight"/>
            </w:pPr>
            <w:r w:rsidRPr="001A77AA">
              <w:t>N/A</w:t>
            </w:r>
          </w:p>
        </w:tc>
        <w:tc>
          <w:tcPr>
            <w:tcW w:w="618" w:type="pct"/>
            <w:tcBorders>
              <w:top w:val="single" w:sz="4" w:space="0" w:color="CFDBEC"/>
              <w:left w:val="single" w:sz="4" w:space="0" w:color="157EB9" w:themeColor="accent3"/>
              <w:bottom w:val="single" w:sz="4" w:space="0" w:color="CFDBEC"/>
            </w:tcBorders>
            <w:shd w:val="clear" w:color="auto" w:fill="F4F6FA"/>
            <w:vAlign w:val="center"/>
          </w:tcPr>
          <w:p w14:paraId="3100165E" w14:textId="77777777" w:rsidR="00972F7D" w:rsidRPr="001A77AA" w:rsidRDefault="00972F7D" w:rsidP="00A37FA9">
            <w:pPr>
              <w:pStyle w:val="TableTextRight"/>
            </w:pPr>
            <w:r w:rsidRPr="001A77AA">
              <w:t>N/A</w:t>
            </w:r>
          </w:p>
        </w:tc>
        <w:tc>
          <w:tcPr>
            <w:tcW w:w="617" w:type="pct"/>
            <w:tcBorders>
              <w:top w:val="single" w:sz="4" w:space="0" w:color="CFDBEC"/>
              <w:bottom w:val="single" w:sz="4" w:space="0" w:color="CFDBEC"/>
            </w:tcBorders>
            <w:vAlign w:val="center"/>
          </w:tcPr>
          <w:p w14:paraId="6B66D496" w14:textId="77777777" w:rsidR="00972F7D" w:rsidRPr="001A77AA" w:rsidRDefault="00972F7D" w:rsidP="00A37FA9">
            <w:pPr>
              <w:pStyle w:val="TableTextRight"/>
            </w:pPr>
            <w:r w:rsidRPr="001A77AA">
              <w:t>N/A</w:t>
            </w:r>
          </w:p>
        </w:tc>
      </w:tr>
      <w:tr w:rsidR="00972F7D" w:rsidRPr="001A77AA" w14:paraId="413D7606" w14:textId="77777777" w:rsidTr="00A37FA9">
        <w:tc>
          <w:tcPr>
            <w:tcW w:w="2530" w:type="pct"/>
            <w:tcBorders>
              <w:top w:val="single" w:sz="4" w:space="0" w:color="CFDBEC"/>
              <w:bottom w:val="single" w:sz="4" w:space="0" w:color="CFDBEC"/>
              <w:right w:val="single" w:sz="4" w:space="0" w:color="157EB9" w:themeColor="accent3"/>
            </w:tcBorders>
          </w:tcPr>
          <w:p w14:paraId="20DDF8A9" w14:textId="77777777" w:rsidR="00972F7D" w:rsidRPr="001A77AA" w:rsidRDefault="00972F7D" w:rsidP="00A37FA9">
            <w:pPr>
              <w:pStyle w:val="TableTextLeft"/>
              <w:rPr>
                <w:i/>
                <w:iCs/>
              </w:rPr>
            </w:pPr>
            <w:r w:rsidRPr="001A77AA">
              <w:t>Major corrective actions required</w:t>
            </w:r>
          </w:p>
        </w:tc>
        <w:tc>
          <w:tcPr>
            <w:tcW w:w="617" w:type="pct"/>
            <w:tcBorders>
              <w:top w:val="single" w:sz="4" w:space="0" w:color="CFDBEC"/>
              <w:left w:val="single" w:sz="4" w:space="0" w:color="157EB9" w:themeColor="accent3"/>
              <w:bottom w:val="single" w:sz="4" w:space="0" w:color="CFDBEC"/>
            </w:tcBorders>
            <w:shd w:val="clear" w:color="auto" w:fill="F4F6FA"/>
            <w:vAlign w:val="center"/>
          </w:tcPr>
          <w:p w14:paraId="7E9934AC" w14:textId="77777777" w:rsidR="00972F7D" w:rsidRPr="001A77AA" w:rsidRDefault="00972F7D" w:rsidP="00A37FA9">
            <w:pPr>
              <w:pStyle w:val="TableTextRight"/>
            </w:pPr>
            <w:r w:rsidRPr="001A77AA">
              <w:t>N/A</w:t>
            </w:r>
          </w:p>
        </w:tc>
        <w:tc>
          <w:tcPr>
            <w:tcW w:w="618" w:type="pct"/>
            <w:tcBorders>
              <w:top w:val="single" w:sz="4" w:space="0" w:color="CFDBEC"/>
              <w:bottom w:val="single" w:sz="4" w:space="0" w:color="CFDBEC"/>
              <w:right w:val="single" w:sz="4" w:space="0" w:color="157EB9" w:themeColor="accent3"/>
            </w:tcBorders>
            <w:vAlign w:val="center"/>
          </w:tcPr>
          <w:p w14:paraId="56869D0C" w14:textId="77777777" w:rsidR="00972F7D" w:rsidRPr="001A77AA" w:rsidRDefault="00972F7D" w:rsidP="00A37FA9">
            <w:pPr>
              <w:pStyle w:val="TableTextRight"/>
            </w:pPr>
            <w:r w:rsidRPr="001A77AA">
              <w:t>N/A</w:t>
            </w:r>
          </w:p>
        </w:tc>
        <w:tc>
          <w:tcPr>
            <w:tcW w:w="618" w:type="pct"/>
            <w:tcBorders>
              <w:top w:val="single" w:sz="4" w:space="0" w:color="CFDBEC"/>
              <w:left w:val="single" w:sz="4" w:space="0" w:color="157EB9" w:themeColor="accent3"/>
              <w:bottom w:val="single" w:sz="4" w:space="0" w:color="CFDBEC"/>
            </w:tcBorders>
            <w:shd w:val="clear" w:color="auto" w:fill="F4F6FA"/>
            <w:vAlign w:val="center"/>
          </w:tcPr>
          <w:p w14:paraId="0543CB3A" w14:textId="77777777" w:rsidR="00972F7D" w:rsidRPr="001A77AA" w:rsidRDefault="00972F7D" w:rsidP="00A37FA9">
            <w:pPr>
              <w:pStyle w:val="TableTextRight"/>
            </w:pPr>
            <w:r w:rsidRPr="001A77AA">
              <w:t>N/A</w:t>
            </w:r>
          </w:p>
        </w:tc>
        <w:tc>
          <w:tcPr>
            <w:tcW w:w="617" w:type="pct"/>
            <w:tcBorders>
              <w:top w:val="single" w:sz="4" w:space="0" w:color="CFDBEC"/>
              <w:bottom w:val="single" w:sz="4" w:space="0" w:color="CFDBEC"/>
            </w:tcBorders>
            <w:vAlign w:val="center"/>
          </w:tcPr>
          <w:p w14:paraId="14D818D6" w14:textId="77777777" w:rsidR="00972F7D" w:rsidRPr="001A77AA" w:rsidRDefault="00972F7D" w:rsidP="00A37FA9">
            <w:pPr>
              <w:pStyle w:val="TableTextRight"/>
            </w:pPr>
            <w:r w:rsidRPr="001A77AA">
              <w:t>N/A</w:t>
            </w:r>
          </w:p>
        </w:tc>
      </w:tr>
      <w:tr w:rsidR="00972F7D" w:rsidRPr="001A77AA" w14:paraId="0A2E0418" w14:textId="77777777" w:rsidTr="00A37FA9">
        <w:trPr>
          <w:trHeight w:val="77"/>
        </w:trPr>
        <w:tc>
          <w:tcPr>
            <w:tcW w:w="2530" w:type="pct"/>
            <w:tcBorders>
              <w:top w:val="single" w:sz="4" w:space="0" w:color="CFDBEC"/>
              <w:bottom w:val="single" w:sz="4" w:space="0" w:color="CFDBEC"/>
              <w:right w:val="single" w:sz="4" w:space="0" w:color="157EB9" w:themeColor="accent3"/>
            </w:tcBorders>
            <w:hideMark/>
          </w:tcPr>
          <w:p w14:paraId="6DE5AB6E" w14:textId="77777777" w:rsidR="00972F7D" w:rsidRPr="001A77AA" w:rsidRDefault="00972F7D" w:rsidP="00A37FA9">
            <w:pPr>
              <w:pStyle w:val="TableTextLeft"/>
              <w:rPr>
                <w:i/>
                <w:iCs/>
              </w:rPr>
            </w:pPr>
            <w:r w:rsidRPr="001A77AA">
              <w:t xml:space="preserve">Unsatisfactory/disciplinary action required </w:t>
            </w:r>
          </w:p>
        </w:tc>
        <w:tc>
          <w:tcPr>
            <w:tcW w:w="617" w:type="pct"/>
            <w:tcBorders>
              <w:top w:val="single" w:sz="4" w:space="0" w:color="CFDBEC"/>
              <w:left w:val="single" w:sz="4" w:space="0" w:color="157EB9" w:themeColor="accent3"/>
              <w:bottom w:val="single" w:sz="4" w:space="0" w:color="CFDBEC"/>
            </w:tcBorders>
            <w:shd w:val="clear" w:color="auto" w:fill="F4F6FA"/>
            <w:vAlign w:val="center"/>
          </w:tcPr>
          <w:p w14:paraId="1EEE8057" w14:textId="77777777" w:rsidR="00972F7D" w:rsidRPr="001A77AA" w:rsidRDefault="00972F7D" w:rsidP="00A37FA9">
            <w:pPr>
              <w:pStyle w:val="TableTextRight"/>
            </w:pPr>
            <w:r w:rsidRPr="001A77AA">
              <w:t>2</w:t>
            </w:r>
          </w:p>
        </w:tc>
        <w:tc>
          <w:tcPr>
            <w:tcW w:w="618" w:type="pct"/>
            <w:tcBorders>
              <w:top w:val="single" w:sz="4" w:space="0" w:color="CFDBEC"/>
              <w:bottom w:val="single" w:sz="4" w:space="0" w:color="CFDBEC"/>
              <w:right w:val="single" w:sz="4" w:space="0" w:color="157EB9" w:themeColor="accent3"/>
            </w:tcBorders>
            <w:vAlign w:val="center"/>
          </w:tcPr>
          <w:p w14:paraId="3EBE5A4E" w14:textId="77777777" w:rsidR="00972F7D" w:rsidRPr="001A77AA" w:rsidRDefault="00972F7D" w:rsidP="00A37FA9">
            <w:pPr>
              <w:pStyle w:val="TableTextRight"/>
            </w:pPr>
            <w:r w:rsidRPr="001A77AA">
              <w:t>1</w:t>
            </w:r>
          </w:p>
        </w:tc>
        <w:tc>
          <w:tcPr>
            <w:tcW w:w="618" w:type="pct"/>
            <w:tcBorders>
              <w:top w:val="single" w:sz="4" w:space="0" w:color="CFDBEC"/>
              <w:left w:val="single" w:sz="4" w:space="0" w:color="157EB9" w:themeColor="accent3"/>
              <w:bottom w:val="single" w:sz="4" w:space="0" w:color="CFDBEC"/>
            </w:tcBorders>
            <w:shd w:val="clear" w:color="auto" w:fill="F4F6FA"/>
            <w:vAlign w:val="center"/>
          </w:tcPr>
          <w:p w14:paraId="279B2DDE" w14:textId="77777777" w:rsidR="00972F7D" w:rsidRPr="001A77AA" w:rsidRDefault="00972F7D" w:rsidP="00A37FA9">
            <w:pPr>
              <w:pStyle w:val="TableTextRight"/>
            </w:pPr>
            <w:r w:rsidRPr="001A77AA">
              <w:t>1</w:t>
            </w:r>
          </w:p>
        </w:tc>
        <w:tc>
          <w:tcPr>
            <w:tcW w:w="617" w:type="pct"/>
            <w:tcBorders>
              <w:top w:val="single" w:sz="4" w:space="0" w:color="CFDBEC"/>
              <w:bottom w:val="single" w:sz="4" w:space="0" w:color="CFDBEC"/>
            </w:tcBorders>
            <w:vAlign w:val="center"/>
          </w:tcPr>
          <w:p w14:paraId="073B54B9" w14:textId="77777777" w:rsidR="00972F7D" w:rsidRPr="001A77AA" w:rsidRDefault="00972F7D" w:rsidP="00A37FA9">
            <w:pPr>
              <w:pStyle w:val="TableTextRight"/>
            </w:pPr>
            <w:r w:rsidRPr="001A77AA">
              <w:t>1</w:t>
            </w:r>
          </w:p>
        </w:tc>
      </w:tr>
      <w:tr w:rsidR="00972F7D" w:rsidRPr="001A77AA" w14:paraId="02C7216B" w14:textId="77777777" w:rsidTr="00A37FA9">
        <w:trPr>
          <w:trHeight w:val="64"/>
        </w:trPr>
        <w:tc>
          <w:tcPr>
            <w:tcW w:w="2530" w:type="pct"/>
            <w:tcBorders>
              <w:top w:val="single" w:sz="4" w:space="0" w:color="CFDBEC"/>
              <w:right w:val="single" w:sz="4" w:space="0" w:color="157EB9" w:themeColor="accent3"/>
            </w:tcBorders>
            <w:hideMark/>
          </w:tcPr>
          <w:p w14:paraId="225FB9C1" w14:textId="77777777" w:rsidR="00972F7D" w:rsidRPr="001A77AA" w:rsidRDefault="00972F7D" w:rsidP="00A37FA9">
            <w:pPr>
              <w:pStyle w:val="TableColumnHeadingLeft"/>
              <w:rPr>
                <w:i/>
                <w:iCs/>
              </w:rPr>
            </w:pPr>
            <w:proofErr w:type="spellStart"/>
            <w:r w:rsidRPr="001A77AA">
              <w:t>Total</w:t>
            </w:r>
            <w:r w:rsidRPr="001A77AA">
              <w:rPr>
                <w:vertAlign w:val="superscript"/>
              </w:rPr>
              <w:t>e</w:t>
            </w:r>
            <w:proofErr w:type="spellEnd"/>
            <w:r w:rsidRPr="001A77AA">
              <w:t xml:space="preserve"> </w:t>
            </w:r>
          </w:p>
        </w:tc>
        <w:tc>
          <w:tcPr>
            <w:tcW w:w="617" w:type="pct"/>
            <w:tcBorders>
              <w:top w:val="single" w:sz="4" w:space="0" w:color="CFDBEC"/>
              <w:left w:val="single" w:sz="4" w:space="0" w:color="157EB9" w:themeColor="accent3"/>
            </w:tcBorders>
            <w:shd w:val="clear" w:color="auto" w:fill="F4F6FA"/>
            <w:vAlign w:val="center"/>
          </w:tcPr>
          <w:p w14:paraId="4D65DAF5" w14:textId="77777777" w:rsidR="00972F7D" w:rsidRPr="001A77AA" w:rsidRDefault="00972F7D" w:rsidP="00A37FA9">
            <w:pPr>
              <w:pStyle w:val="TableColumnHeadingRight"/>
            </w:pPr>
            <w:r w:rsidRPr="001A77AA">
              <w:t>147</w:t>
            </w:r>
            <w:r w:rsidRPr="001A77AA">
              <w:rPr>
                <w:vertAlign w:val="superscript"/>
              </w:rPr>
              <w:t>c</w:t>
            </w:r>
          </w:p>
        </w:tc>
        <w:tc>
          <w:tcPr>
            <w:tcW w:w="618" w:type="pct"/>
            <w:tcBorders>
              <w:top w:val="single" w:sz="4" w:space="0" w:color="CFDBEC"/>
              <w:right w:val="single" w:sz="4" w:space="0" w:color="157EB9" w:themeColor="accent3"/>
            </w:tcBorders>
            <w:vAlign w:val="center"/>
          </w:tcPr>
          <w:p w14:paraId="578DCB89" w14:textId="77777777" w:rsidR="00972F7D" w:rsidRPr="001A77AA" w:rsidRDefault="00972F7D" w:rsidP="00A37FA9">
            <w:pPr>
              <w:pStyle w:val="TableColumnHeadingRight"/>
            </w:pPr>
            <w:r w:rsidRPr="001A77AA">
              <w:t>100</w:t>
            </w:r>
          </w:p>
        </w:tc>
        <w:tc>
          <w:tcPr>
            <w:tcW w:w="618" w:type="pct"/>
            <w:tcBorders>
              <w:top w:val="single" w:sz="4" w:space="0" w:color="CFDBEC"/>
              <w:left w:val="single" w:sz="4" w:space="0" w:color="157EB9" w:themeColor="accent3"/>
            </w:tcBorders>
            <w:shd w:val="clear" w:color="auto" w:fill="F4F6FA"/>
            <w:vAlign w:val="center"/>
          </w:tcPr>
          <w:p w14:paraId="75C61B23" w14:textId="77777777" w:rsidR="00972F7D" w:rsidRPr="001A77AA" w:rsidRDefault="00972F7D" w:rsidP="00A37FA9">
            <w:pPr>
              <w:pStyle w:val="TableColumnHeadingRight"/>
            </w:pPr>
            <w:r w:rsidRPr="001A77AA">
              <w:t>139</w:t>
            </w:r>
            <w:r w:rsidRPr="001A77AA">
              <w:rPr>
                <w:vertAlign w:val="superscript"/>
              </w:rPr>
              <w:t>c</w:t>
            </w:r>
          </w:p>
        </w:tc>
        <w:tc>
          <w:tcPr>
            <w:tcW w:w="617" w:type="pct"/>
            <w:tcBorders>
              <w:top w:val="single" w:sz="4" w:space="0" w:color="CFDBEC"/>
            </w:tcBorders>
            <w:vAlign w:val="center"/>
          </w:tcPr>
          <w:p w14:paraId="4C0BFBC9" w14:textId="77777777" w:rsidR="00972F7D" w:rsidRPr="001A77AA" w:rsidRDefault="00972F7D" w:rsidP="00A37FA9">
            <w:pPr>
              <w:pStyle w:val="TableColumnHeadingRight"/>
            </w:pPr>
            <w:r w:rsidRPr="001A77AA">
              <w:t>100</w:t>
            </w:r>
          </w:p>
        </w:tc>
      </w:tr>
    </w:tbl>
    <w:p w14:paraId="2C59BFB8" w14:textId="77777777" w:rsidR="00972F7D" w:rsidRDefault="00972F7D" w:rsidP="00972F7D">
      <w:pPr>
        <w:pStyle w:val="ChartorTableNote"/>
      </w:pPr>
    </w:p>
    <w:p w14:paraId="0A1CB204" w14:textId="77777777" w:rsidR="00972F7D" w:rsidRPr="00972F7D" w:rsidRDefault="00972F7D" w:rsidP="00972F7D">
      <w:pPr>
        <w:pStyle w:val="TableSecondHeading"/>
        <w:rPr>
          <w:color w:val="auto"/>
        </w:rPr>
      </w:pPr>
      <w:r w:rsidRPr="00972F7D">
        <w:rPr>
          <w:color w:val="auto"/>
        </w:rPr>
        <w:t xml:space="preserve">CPA </w:t>
      </w:r>
      <w:proofErr w:type="spellStart"/>
      <w:r w:rsidRPr="00972F7D">
        <w:rPr>
          <w:color w:val="auto"/>
        </w:rPr>
        <w:t>Australia</w:t>
      </w:r>
      <w:r w:rsidRPr="00972F7D">
        <w:rPr>
          <w:color w:val="auto"/>
          <w:vertAlign w:val="superscript"/>
        </w:rPr>
        <w:t>d</w:t>
      </w:r>
      <w:proofErr w:type="spellEnd"/>
    </w:p>
    <w:tbl>
      <w:tblPr>
        <w:tblW w:w="5000" w:type="pct"/>
        <w:tblLayout w:type="fixed"/>
        <w:tblCellMar>
          <w:left w:w="170" w:type="dxa"/>
          <w:right w:w="170" w:type="dxa"/>
        </w:tblCellMar>
        <w:tblLook w:val="04A0" w:firstRow="1" w:lastRow="0" w:firstColumn="1" w:lastColumn="0" w:noHBand="0" w:noVBand="1"/>
      </w:tblPr>
      <w:tblGrid>
        <w:gridCol w:w="4590"/>
        <w:gridCol w:w="1119"/>
        <w:gridCol w:w="1121"/>
        <w:gridCol w:w="1121"/>
        <w:gridCol w:w="1119"/>
      </w:tblGrid>
      <w:tr w:rsidR="00972F7D" w:rsidRPr="001A77AA" w14:paraId="59D57F72" w14:textId="77777777" w:rsidTr="00A37FA9">
        <w:trPr>
          <w:trHeight w:val="69"/>
        </w:trPr>
        <w:tc>
          <w:tcPr>
            <w:tcW w:w="2530" w:type="pct"/>
            <w:tcBorders>
              <w:right w:val="single" w:sz="4" w:space="0" w:color="157EB9" w:themeColor="accent3"/>
            </w:tcBorders>
            <w:shd w:val="clear" w:color="auto" w:fill="CFDBEC"/>
          </w:tcPr>
          <w:p w14:paraId="09E60877" w14:textId="77777777" w:rsidR="00972F7D" w:rsidRPr="00BD344B" w:rsidRDefault="00972F7D" w:rsidP="00A37FA9">
            <w:pPr>
              <w:pStyle w:val="TableColumnHeadingLeft"/>
            </w:pPr>
            <w:r w:rsidRPr="00BD344B">
              <w:t>Outcome</w:t>
            </w:r>
          </w:p>
        </w:tc>
        <w:tc>
          <w:tcPr>
            <w:tcW w:w="617" w:type="pct"/>
            <w:tcBorders>
              <w:left w:val="single" w:sz="4" w:space="0" w:color="157EB9" w:themeColor="accent3"/>
            </w:tcBorders>
            <w:shd w:val="clear" w:color="auto" w:fill="C8D3E7" w:themeFill="accent5" w:themeFillShade="E6"/>
          </w:tcPr>
          <w:p w14:paraId="58DF7BDF" w14:textId="77777777" w:rsidR="00972F7D" w:rsidRPr="00BD344B" w:rsidRDefault="00972F7D" w:rsidP="00A37FA9">
            <w:pPr>
              <w:pStyle w:val="TableColumnHeadingRight"/>
            </w:pPr>
            <w:r w:rsidRPr="00BD344B">
              <w:t>2024–25</w:t>
            </w:r>
            <w:r>
              <w:br/>
            </w:r>
            <w:r w:rsidRPr="00BD344B">
              <w:t>No.</w:t>
            </w:r>
          </w:p>
        </w:tc>
        <w:tc>
          <w:tcPr>
            <w:tcW w:w="618" w:type="pct"/>
            <w:tcBorders>
              <w:right w:val="single" w:sz="4" w:space="0" w:color="157EB9" w:themeColor="accent3"/>
            </w:tcBorders>
            <w:shd w:val="clear" w:color="auto" w:fill="CFDBEC"/>
          </w:tcPr>
          <w:p w14:paraId="109FEE29" w14:textId="77777777" w:rsidR="00972F7D" w:rsidRPr="00BD344B" w:rsidRDefault="00972F7D" w:rsidP="00A37FA9">
            <w:pPr>
              <w:pStyle w:val="TableColumnHeadingRight"/>
            </w:pPr>
            <w:r w:rsidRPr="00BD344B">
              <w:t>2024–25</w:t>
            </w:r>
            <w:r>
              <w:br/>
            </w:r>
            <w:r w:rsidRPr="00BD344B">
              <w:t>%</w:t>
            </w:r>
          </w:p>
        </w:tc>
        <w:tc>
          <w:tcPr>
            <w:tcW w:w="618" w:type="pct"/>
            <w:tcBorders>
              <w:left w:val="single" w:sz="4" w:space="0" w:color="157EB9" w:themeColor="accent3"/>
            </w:tcBorders>
            <w:shd w:val="clear" w:color="auto" w:fill="C8D3E7" w:themeFill="accent5" w:themeFillShade="E6"/>
          </w:tcPr>
          <w:p w14:paraId="62804DB2" w14:textId="77777777" w:rsidR="00972F7D" w:rsidRPr="00BD344B" w:rsidRDefault="00972F7D" w:rsidP="00A37FA9">
            <w:pPr>
              <w:pStyle w:val="TableColumnHeadingRight"/>
            </w:pPr>
            <w:r w:rsidRPr="00BD344B">
              <w:t>2025–26</w:t>
            </w:r>
            <w:r>
              <w:br/>
            </w:r>
            <w:r w:rsidRPr="00BD344B">
              <w:t>No.</w:t>
            </w:r>
          </w:p>
        </w:tc>
        <w:tc>
          <w:tcPr>
            <w:tcW w:w="617" w:type="pct"/>
            <w:shd w:val="clear" w:color="auto" w:fill="CFDBEC"/>
          </w:tcPr>
          <w:p w14:paraId="6F318558" w14:textId="77777777" w:rsidR="00972F7D" w:rsidRPr="00BD344B" w:rsidRDefault="00972F7D" w:rsidP="00A37FA9">
            <w:pPr>
              <w:pStyle w:val="TableColumnHeadingRight"/>
            </w:pPr>
            <w:r w:rsidRPr="00BD344B">
              <w:t>2025–26</w:t>
            </w:r>
            <w:r>
              <w:br/>
            </w:r>
            <w:r w:rsidRPr="00BD344B">
              <w:t>%</w:t>
            </w:r>
          </w:p>
        </w:tc>
      </w:tr>
      <w:tr w:rsidR="00972F7D" w:rsidRPr="001A77AA" w14:paraId="0E37C266" w14:textId="77777777" w:rsidTr="00A37FA9">
        <w:trPr>
          <w:trHeight w:val="80"/>
        </w:trPr>
        <w:tc>
          <w:tcPr>
            <w:tcW w:w="2530" w:type="pct"/>
            <w:tcBorders>
              <w:bottom w:val="single" w:sz="4" w:space="0" w:color="CFDBEC"/>
              <w:right w:val="single" w:sz="4" w:space="0" w:color="157EB9" w:themeColor="accent3"/>
            </w:tcBorders>
            <w:hideMark/>
          </w:tcPr>
          <w:p w14:paraId="6E8729A1" w14:textId="77777777" w:rsidR="00972F7D" w:rsidRPr="001A77AA" w:rsidRDefault="00972F7D" w:rsidP="00A37FA9">
            <w:pPr>
              <w:pStyle w:val="TableTextLeft"/>
              <w:rPr>
                <w:i/>
                <w:iCs/>
              </w:rPr>
            </w:pPr>
            <w:r w:rsidRPr="001A77AA">
              <w:t xml:space="preserve">Satisfactory/fully compliant </w:t>
            </w:r>
          </w:p>
        </w:tc>
        <w:tc>
          <w:tcPr>
            <w:tcW w:w="617" w:type="pct"/>
            <w:tcBorders>
              <w:left w:val="single" w:sz="4" w:space="0" w:color="157EB9" w:themeColor="accent3"/>
              <w:bottom w:val="single" w:sz="4" w:space="0" w:color="CFDBEC"/>
            </w:tcBorders>
            <w:shd w:val="clear" w:color="auto" w:fill="F4F6FA"/>
            <w:vAlign w:val="center"/>
          </w:tcPr>
          <w:p w14:paraId="5254F0EF" w14:textId="77777777" w:rsidR="00972F7D" w:rsidRPr="001A77AA" w:rsidRDefault="00972F7D" w:rsidP="00A37FA9">
            <w:pPr>
              <w:pStyle w:val="TableTextRight"/>
            </w:pPr>
            <w:r w:rsidRPr="001A77AA">
              <w:t>82</w:t>
            </w:r>
          </w:p>
        </w:tc>
        <w:tc>
          <w:tcPr>
            <w:tcW w:w="618" w:type="pct"/>
            <w:tcBorders>
              <w:bottom w:val="single" w:sz="4" w:space="0" w:color="CFDBEC"/>
              <w:right w:val="single" w:sz="4" w:space="0" w:color="157EB9" w:themeColor="accent3"/>
            </w:tcBorders>
            <w:vAlign w:val="center"/>
          </w:tcPr>
          <w:p w14:paraId="1FABECF3" w14:textId="77777777" w:rsidR="00972F7D" w:rsidRPr="001A77AA" w:rsidRDefault="00972F7D" w:rsidP="00A37FA9">
            <w:pPr>
              <w:pStyle w:val="TableTextRight"/>
            </w:pPr>
            <w:r w:rsidRPr="001A77AA">
              <w:t>65</w:t>
            </w:r>
          </w:p>
        </w:tc>
        <w:tc>
          <w:tcPr>
            <w:tcW w:w="618" w:type="pct"/>
            <w:tcBorders>
              <w:left w:val="single" w:sz="4" w:space="0" w:color="157EB9" w:themeColor="accent3"/>
              <w:bottom w:val="single" w:sz="4" w:space="0" w:color="CFDBEC"/>
            </w:tcBorders>
            <w:shd w:val="clear" w:color="auto" w:fill="F4F6FA"/>
            <w:vAlign w:val="center"/>
          </w:tcPr>
          <w:p w14:paraId="21ADDDE0" w14:textId="77777777" w:rsidR="00972F7D" w:rsidRPr="001A77AA" w:rsidRDefault="00972F7D" w:rsidP="00A37FA9">
            <w:pPr>
              <w:pStyle w:val="TableTextRight"/>
            </w:pPr>
            <w:r w:rsidRPr="001A77AA">
              <w:t>144</w:t>
            </w:r>
          </w:p>
        </w:tc>
        <w:tc>
          <w:tcPr>
            <w:tcW w:w="617" w:type="pct"/>
            <w:tcBorders>
              <w:bottom w:val="single" w:sz="4" w:space="0" w:color="CFDBEC"/>
            </w:tcBorders>
            <w:vAlign w:val="center"/>
          </w:tcPr>
          <w:p w14:paraId="2625ABAD" w14:textId="77777777" w:rsidR="00972F7D" w:rsidRPr="001A77AA" w:rsidRDefault="00972F7D" w:rsidP="00A37FA9">
            <w:pPr>
              <w:pStyle w:val="TableTextRight"/>
            </w:pPr>
            <w:r w:rsidRPr="001A77AA">
              <w:t>7</w:t>
            </w:r>
            <w:r>
              <w:t>4</w:t>
            </w:r>
          </w:p>
        </w:tc>
      </w:tr>
      <w:tr w:rsidR="00972F7D" w:rsidRPr="001A77AA" w14:paraId="1B29EDB0" w14:textId="77777777" w:rsidTr="00A37FA9">
        <w:tc>
          <w:tcPr>
            <w:tcW w:w="2530" w:type="pct"/>
            <w:tcBorders>
              <w:top w:val="single" w:sz="4" w:space="0" w:color="CFDBEC"/>
              <w:bottom w:val="single" w:sz="4" w:space="0" w:color="CFDBEC"/>
              <w:right w:val="single" w:sz="4" w:space="0" w:color="157EB9" w:themeColor="accent3"/>
            </w:tcBorders>
            <w:hideMark/>
          </w:tcPr>
          <w:p w14:paraId="0C297F86" w14:textId="77777777" w:rsidR="00972F7D" w:rsidRPr="001A77AA" w:rsidRDefault="00972F7D" w:rsidP="00A37FA9">
            <w:pPr>
              <w:pStyle w:val="TableTextLeft"/>
              <w:rPr>
                <w:i/>
                <w:iCs/>
              </w:rPr>
            </w:pPr>
            <w:r w:rsidRPr="001A77AA">
              <w:t xml:space="preserve">Corrective actions required </w:t>
            </w:r>
          </w:p>
        </w:tc>
        <w:tc>
          <w:tcPr>
            <w:tcW w:w="617" w:type="pct"/>
            <w:tcBorders>
              <w:top w:val="single" w:sz="4" w:space="0" w:color="CFDBEC"/>
              <w:left w:val="single" w:sz="4" w:space="0" w:color="157EB9" w:themeColor="accent3"/>
              <w:bottom w:val="single" w:sz="4" w:space="0" w:color="CFDBEC"/>
            </w:tcBorders>
            <w:shd w:val="clear" w:color="auto" w:fill="F4F6FA"/>
            <w:vAlign w:val="center"/>
          </w:tcPr>
          <w:p w14:paraId="2F0E018F" w14:textId="77777777" w:rsidR="00972F7D" w:rsidRPr="001A77AA" w:rsidRDefault="00972F7D" w:rsidP="00A37FA9">
            <w:pPr>
              <w:pStyle w:val="TableTextRight"/>
            </w:pPr>
            <w:r w:rsidRPr="001A77AA">
              <w:t>44</w:t>
            </w:r>
          </w:p>
        </w:tc>
        <w:tc>
          <w:tcPr>
            <w:tcW w:w="618" w:type="pct"/>
            <w:tcBorders>
              <w:top w:val="single" w:sz="4" w:space="0" w:color="CFDBEC"/>
              <w:bottom w:val="single" w:sz="4" w:space="0" w:color="CFDBEC"/>
              <w:right w:val="single" w:sz="4" w:space="0" w:color="157EB9" w:themeColor="accent3"/>
            </w:tcBorders>
            <w:vAlign w:val="center"/>
          </w:tcPr>
          <w:p w14:paraId="475EA889" w14:textId="77777777" w:rsidR="00972F7D" w:rsidRPr="001A77AA" w:rsidRDefault="00972F7D" w:rsidP="00A37FA9">
            <w:pPr>
              <w:pStyle w:val="TableTextRight"/>
            </w:pPr>
            <w:r w:rsidRPr="001A77AA">
              <w:t>35</w:t>
            </w:r>
          </w:p>
        </w:tc>
        <w:tc>
          <w:tcPr>
            <w:tcW w:w="618" w:type="pct"/>
            <w:tcBorders>
              <w:top w:val="single" w:sz="4" w:space="0" w:color="CFDBEC"/>
              <w:left w:val="single" w:sz="4" w:space="0" w:color="157EB9" w:themeColor="accent3"/>
              <w:bottom w:val="single" w:sz="4" w:space="0" w:color="CFDBEC"/>
            </w:tcBorders>
            <w:shd w:val="clear" w:color="auto" w:fill="F4F6FA"/>
            <w:vAlign w:val="center"/>
          </w:tcPr>
          <w:p w14:paraId="15746497" w14:textId="77777777" w:rsidR="00972F7D" w:rsidRPr="001A77AA" w:rsidRDefault="00972F7D" w:rsidP="00A37FA9">
            <w:pPr>
              <w:pStyle w:val="TableTextRight"/>
            </w:pPr>
            <w:r w:rsidRPr="001A77AA">
              <w:t>5</w:t>
            </w:r>
            <w:r>
              <w:t>1</w:t>
            </w:r>
          </w:p>
        </w:tc>
        <w:tc>
          <w:tcPr>
            <w:tcW w:w="617" w:type="pct"/>
            <w:tcBorders>
              <w:top w:val="single" w:sz="4" w:space="0" w:color="CFDBEC"/>
              <w:bottom w:val="single" w:sz="4" w:space="0" w:color="CFDBEC"/>
            </w:tcBorders>
            <w:vAlign w:val="center"/>
          </w:tcPr>
          <w:p w14:paraId="2D43C003" w14:textId="77777777" w:rsidR="00972F7D" w:rsidRPr="001A77AA" w:rsidRDefault="00972F7D" w:rsidP="00A37FA9">
            <w:pPr>
              <w:pStyle w:val="TableTextRight"/>
            </w:pPr>
            <w:r w:rsidRPr="001A77AA">
              <w:t>2</w:t>
            </w:r>
            <w:r>
              <w:t>6</w:t>
            </w:r>
          </w:p>
        </w:tc>
      </w:tr>
      <w:tr w:rsidR="00972F7D" w:rsidRPr="001A77AA" w14:paraId="6048AB14" w14:textId="77777777" w:rsidTr="00A37FA9">
        <w:tc>
          <w:tcPr>
            <w:tcW w:w="2530" w:type="pct"/>
            <w:tcBorders>
              <w:top w:val="single" w:sz="4" w:space="0" w:color="CFDBEC"/>
              <w:bottom w:val="single" w:sz="4" w:space="0" w:color="CFDBEC"/>
              <w:right w:val="single" w:sz="4" w:space="0" w:color="157EB9" w:themeColor="accent3"/>
            </w:tcBorders>
          </w:tcPr>
          <w:p w14:paraId="32902E10" w14:textId="77777777" w:rsidR="00972F7D" w:rsidRPr="001A77AA" w:rsidRDefault="00972F7D" w:rsidP="00A37FA9">
            <w:pPr>
              <w:pStyle w:val="TableTextLeft"/>
              <w:rPr>
                <w:i/>
                <w:iCs/>
              </w:rPr>
            </w:pPr>
            <w:r w:rsidRPr="001A77AA">
              <w:t>Minor corrective actions required</w:t>
            </w:r>
          </w:p>
        </w:tc>
        <w:tc>
          <w:tcPr>
            <w:tcW w:w="617" w:type="pct"/>
            <w:tcBorders>
              <w:top w:val="single" w:sz="4" w:space="0" w:color="CFDBEC"/>
              <w:left w:val="single" w:sz="4" w:space="0" w:color="157EB9" w:themeColor="accent3"/>
              <w:bottom w:val="single" w:sz="4" w:space="0" w:color="CFDBEC"/>
            </w:tcBorders>
            <w:shd w:val="clear" w:color="auto" w:fill="F4F6FA"/>
            <w:vAlign w:val="center"/>
          </w:tcPr>
          <w:p w14:paraId="6043ED55" w14:textId="77777777" w:rsidR="00972F7D" w:rsidRPr="001A77AA" w:rsidRDefault="00972F7D" w:rsidP="00A37FA9">
            <w:pPr>
              <w:pStyle w:val="TableTextRight"/>
            </w:pPr>
            <w:r w:rsidRPr="001A77AA" w:rsidDel="00C12B48">
              <w:t>N/A</w:t>
            </w:r>
          </w:p>
        </w:tc>
        <w:tc>
          <w:tcPr>
            <w:tcW w:w="618" w:type="pct"/>
            <w:tcBorders>
              <w:top w:val="single" w:sz="4" w:space="0" w:color="CFDBEC"/>
              <w:bottom w:val="single" w:sz="4" w:space="0" w:color="CFDBEC"/>
              <w:right w:val="single" w:sz="4" w:space="0" w:color="157EB9" w:themeColor="accent3"/>
            </w:tcBorders>
            <w:vAlign w:val="center"/>
          </w:tcPr>
          <w:p w14:paraId="28F4C7B2" w14:textId="77777777" w:rsidR="00972F7D" w:rsidRPr="001A77AA" w:rsidRDefault="00972F7D" w:rsidP="00A37FA9">
            <w:pPr>
              <w:pStyle w:val="TableTextRight"/>
            </w:pPr>
            <w:r w:rsidRPr="001A77AA" w:rsidDel="00C12B48">
              <w:t>N/A</w:t>
            </w:r>
          </w:p>
        </w:tc>
        <w:tc>
          <w:tcPr>
            <w:tcW w:w="618" w:type="pct"/>
            <w:tcBorders>
              <w:top w:val="single" w:sz="4" w:space="0" w:color="CFDBEC"/>
              <w:left w:val="single" w:sz="4" w:space="0" w:color="157EB9" w:themeColor="accent3"/>
              <w:bottom w:val="single" w:sz="4" w:space="0" w:color="CFDBEC"/>
            </w:tcBorders>
            <w:shd w:val="clear" w:color="auto" w:fill="F4F6FA"/>
            <w:vAlign w:val="center"/>
          </w:tcPr>
          <w:p w14:paraId="519DCE21" w14:textId="77777777" w:rsidR="00972F7D" w:rsidRPr="001A77AA" w:rsidRDefault="00972F7D" w:rsidP="00A37FA9">
            <w:pPr>
              <w:pStyle w:val="TableTextRight"/>
            </w:pPr>
            <w:r w:rsidRPr="001A77AA" w:rsidDel="00E41AA5">
              <w:t>N/A</w:t>
            </w:r>
          </w:p>
        </w:tc>
        <w:tc>
          <w:tcPr>
            <w:tcW w:w="617" w:type="pct"/>
            <w:tcBorders>
              <w:top w:val="single" w:sz="4" w:space="0" w:color="CFDBEC"/>
              <w:bottom w:val="single" w:sz="4" w:space="0" w:color="CFDBEC"/>
            </w:tcBorders>
            <w:vAlign w:val="center"/>
          </w:tcPr>
          <w:p w14:paraId="2DF9B95B" w14:textId="77777777" w:rsidR="00972F7D" w:rsidRPr="001A77AA" w:rsidRDefault="00972F7D" w:rsidP="00A37FA9">
            <w:pPr>
              <w:pStyle w:val="TableTextRight"/>
            </w:pPr>
            <w:r w:rsidRPr="001A77AA" w:rsidDel="00E41AA5">
              <w:t>N/A</w:t>
            </w:r>
          </w:p>
        </w:tc>
      </w:tr>
      <w:tr w:rsidR="00972F7D" w:rsidRPr="001A77AA" w14:paraId="1794F9A7" w14:textId="77777777" w:rsidTr="00A37FA9">
        <w:tc>
          <w:tcPr>
            <w:tcW w:w="2530" w:type="pct"/>
            <w:tcBorders>
              <w:top w:val="single" w:sz="4" w:space="0" w:color="CFDBEC"/>
              <w:bottom w:val="single" w:sz="4" w:space="0" w:color="CFDBEC"/>
              <w:right w:val="single" w:sz="4" w:space="0" w:color="157EB9" w:themeColor="accent3"/>
            </w:tcBorders>
          </w:tcPr>
          <w:p w14:paraId="5ED801FE" w14:textId="77777777" w:rsidR="00972F7D" w:rsidRPr="001A77AA" w:rsidRDefault="00972F7D" w:rsidP="00A37FA9">
            <w:pPr>
              <w:pStyle w:val="TableTextLeft"/>
              <w:rPr>
                <w:i/>
                <w:iCs/>
              </w:rPr>
            </w:pPr>
            <w:r w:rsidRPr="001A77AA">
              <w:t>Major corrective actions required</w:t>
            </w:r>
          </w:p>
        </w:tc>
        <w:tc>
          <w:tcPr>
            <w:tcW w:w="617" w:type="pct"/>
            <w:tcBorders>
              <w:top w:val="single" w:sz="4" w:space="0" w:color="CFDBEC"/>
              <w:left w:val="single" w:sz="4" w:space="0" w:color="157EB9" w:themeColor="accent3"/>
              <w:bottom w:val="single" w:sz="4" w:space="0" w:color="CFDBEC"/>
            </w:tcBorders>
            <w:shd w:val="clear" w:color="auto" w:fill="F4F6FA"/>
            <w:vAlign w:val="center"/>
          </w:tcPr>
          <w:p w14:paraId="1FD16469" w14:textId="77777777" w:rsidR="00972F7D" w:rsidRPr="001A77AA" w:rsidRDefault="00972F7D" w:rsidP="00A37FA9">
            <w:pPr>
              <w:pStyle w:val="TableTextRight"/>
            </w:pPr>
            <w:r w:rsidRPr="001A77AA" w:rsidDel="00C12B48">
              <w:t>N/A</w:t>
            </w:r>
          </w:p>
        </w:tc>
        <w:tc>
          <w:tcPr>
            <w:tcW w:w="618" w:type="pct"/>
            <w:tcBorders>
              <w:top w:val="single" w:sz="4" w:space="0" w:color="CFDBEC"/>
              <w:bottom w:val="single" w:sz="4" w:space="0" w:color="CFDBEC"/>
              <w:right w:val="single" w:sz="4" w:space="0" w:color="157EB9" w:themeColor="accent3"/>
            </w:tcBorders>
            <w:vAlign w:val="center"/>
          </w:tcPr>
          <w:p w14:paraId="3F05E2A4" w14:textId="77777777" w:rsidR="00972F7D" w:rsidRPr="001A77AA" w:rsidRDefault="00972F7D" w:rsidP="00A37FA9">
            <w:pPr>
              <w:pStyle w:val="TableTextRight"/>
            </w:pPr>
            <w:r w:rsidRPr="001A77AA" w:rsidDel="00C12B48">
              <w:t>N/A</w:t>
            </w:r>
          </w:p>
        </w:tc>
        <w:tc>
          <w:tcPr>
            <w:tcW w:w="618" w:type="pct"/>
            <w:tcBorders>
              <w:top w:val="single" w:sz="4" w:space="0" w:color="CFDBEC"/>
              <w:left w:val="single" w:sz="4" w:space="0" w:color="157EB9" w:themeColor="accent3"/>
              <w:bottom w:val="single" w:sz="4" w:space="0" w:color="CFDBEC"/>
            </w:tcBorders>
            <w:shd w:val="clear" w:color="auto" w:fill="F4F6FA"/>
            <w:vAlign w:val="center"/>
          </w:tcPr>
          <w:p w14:paraId="5FD486E4" w14:textId="77777777" w:rsidR="00972F7D" w:rsidRPr="001A77AA" w:rsidRDefault="00972F7D" w:rsidP="00A37FA9">
            <w:pPr>
              <w:pStyle w:val="TableTextRight"/>
            </w:pPr>
            <w:r w:rsidRPr="001A77AA" w:rsidDel="00E41AA5">
              <w:t>N/A</w:t>
            </w:r>
          </w:p>
        </w:tc>
        <w:tc>
          <w:tcPr>
            <w:tcW w:w="617" w:type="pct"/>
            <w:tcBorders>
              <w:top w:val="single" w:sz="4" w:space="0" w:color="CFDBEC"/>
              <w:bottom w:val="single" w:sz="4" w:space="0" w:color="CFDBEC"/>
            </w:tcBorders>
            <w:vAlign w:val="center"/>
          </w:tcPr>
          <w:p w14:paraId="7747C672" w14:textId="77777777" w:rsidR="00972F7D" w:rsidRPr="001A77AA" w:rsidRDefault="00972F7D" w:rsidP="00A37FA9">
            <w:pPr>
              <w:pStyle w:val="TableTextRight"/>
            </w:pPr>
            <w:r w:rsidRPr="001A77AA" w:rsidDel="00E41AA5">
              <w:t>N/A</w:t>
            </w:r>
          </w:p>
        </w:tc>
      </w:tr>
      <w:tr w:rsidR="00972F7D" w:rsidRPr="001A77AA" w14:paraId="746B7404" w14:textId="77777777" w:rsidTr="00A37FA9">
        <w:trPr>
          <w:trHeight w:val="77"/>
        </w:trPr>
        <w:tc>
          <w:tcPr>
            <w:tcW w:w="2530" w:type="pct"/>
            <w:tcBorders>
              <w:top w:val="single" w:sz="4" w:space="0" w:color="CFDBEC"/>
              <w:bottom w:val="single" w:sz="4" w:space="0" w:color="CFDBEC"/>
              <w:right w:val="single" w:sz="4" w:space="0" w:color="157EB9" w:themeColor="accent3"/>
            </w:tcBorders>
            <w:hideMark/>
          </w:tcPr>
          <w:p w14:paraId="493A476C" w14:textId="77777777" w:rsidR="00972F7D" w:rsidRPr="001A77AA" w:rsidRDefault="00972F7D" w:rsidP="00A37FA9">
            <w:pPr>
              <w:pStyle w:val="TableTextLeft"/>
              <w:rPr>
                <w:i/>
                <w:iCs/>
              </w:rPr>
            </w:pPr>
            <w:r w:rsidRPr="001A77AA">
              <w:t xml:space="preserve">Unsatisfactory/disciplinary action required </w:t>
            </w:r>
          </w:p>
        </w:tc>
        <w:tc>
          <w:tcPr>
            <w:tcW w:w="617" w:type="pct"/>
            <w:tcBorders>
              <w:top w:val="single" w:sz="4" w:space="0" w:color="CFDBEC"/>
              <w:left w:val="single" w:sz="4" w:space="0" w:color="157EB9" w:themeColor="accent3"/>
              <w:bottom w:val="single" w:sz="4" w:space="0" w:color="CFDBEC"/>
            </w:tcBorders>
            <w:shd w:val="clear" w:color="auto" w:fill="F4F6FA"/>
            <w:vAlign w:val="center"/>
          </w:tcPr>
          <w:p w14:paraId="5BD2C636" w14:textId="77777777" w:rsidR="00972F7D" w:rsidRPr="001A77AA" w:rsidRDefault="00972F7D" w:rsidP="00A37FA9">
            <w:pPr>
              <w:pStyle w:val="TableTextRight"/>
            </w:pPr>
            <w:r w:rsidRPr="001A77AA" w:rsidDel="00C12B48">
              <w:t>0</w:t>
            </w:r>
          </w:p>
        </w:tc>
        <w:tc>
          <w:tcPr>
            <w:tcW w:w="618" w:type="pct"/>
            <w:tcBorders>
              <w:top w:val="single" w:sz="4" w:space="0" w:color="CFDBEC"/>
              <w:bottom w:val="single" w:sz="4" w:space="0" w:color="CFDBEC"/>
              <w:right w:val="single" w:sz="4" w:space="0" w:color="157EB9" w:themeColor="accent3"/>
            </w:tcBorders>
            <w:vAlign w:val="center"/>
          </w:tcPr>
          <w:p w14:paraId="400AE680" w14:textId="77777777" w:rsidR="00972F7D" w:rsidRPr="001A77AA" w:rsidRDefault="00972F7D" w:rsidP="00A37FA9">
            <w:pPr>
              <w:pStyle w:val="TableTextRight"/>
            </w:pPr>
            <w:r w:rsidRPr="001A77AA" w:rsidDel="00C12B48">
              <w:t>0</w:t>
            </w:r>
          </w:p>
        </w:tc>
        <w:tc>
          <w:tcPr>
            <w:tcW w:w="618" w:type="pct"/>
            <w:tcBorders>
              <w:top w:val="single" w:sz="4" w:space="0" w:color="CFDBEC"/>
              <w:left w:val="single" w:sz="4" w:space="0" w:color="157EB9" w:themeColor="accent3"/>
              <w:bottom w:val="single" w:sz="4" w:space="0" w:color="CFDBEC"/>
            </w:tcBorders>
            <w:shd w:val="clear" w:color="auto" w:fill="F4F6FA"/>
            <w:vAlign w:val="center"/>
          </w:tcPr>
          <w:p w14:paraId="7D399104" w14:textId="77777777" w:rsidR="00972F7D" w:rsidRPr="001A77AA" w:rsidRDefault="00972F7D" w:rsidP="00A37FA9">
            <w:pPr>
              <w:pStyle w:val="TableTextRight"/>
            </w:pPr>
            <w:r>
              <w:t>0</w:t>
            </w:r>
          </w:p>
        </w:tc>
        <w:tc>
          <w:tcPr>
            <w:tcW w:w="617" w:type="pct"/>
            <w:tcBorders>
              <w:top w:val="single" w:sz="4" w:space="0" w:color="CFDBEC"/>
              <w:bottom w:val="single" w:sz="4" w:space="0" w:color="CFDBEC"/>
            </w:tcBorders>
            <w:vAlign w:val="center"/>
          </w:tcPr>
          <w:p w14:paraId="247D4276" w14:textId="77777777" w:rsidR="00972F7D" w:rsidRPr="001A77AA" w:rsidRDefault="00972F7D" w:rsidP="00A37FA9">
            <w:pPr>
              <w:pStyle w:val="TableTextRight"/>
            </w:pPr>
            <w:r>
              <w:t>0</w:t>
            </w:r>
          </w:p>
        </w:tc>
      </w:tr>
      <w:tr w:rsidR="00972F7D" w:rsidRPr="001A77AA" w14:paraId="59ED6C62" w14:textId="77777777" w:rsidTr="00A37FA9">
        <w:trPr>
          <w:trHeight w:val="64"/>
        </w:trPr>
        <w:tc>
          <w:tcPr>
            <w:tcW w:w="2530" w:type="pct"/>
            <w:tcBorders>
              <w:top w:val="single" w:sz="4" w:space="0" w:color="CFDBEC"/>
              <w:right w:val="single" w:sz="4" w:space="0" w:color="157EB9" w:themeColor="accent3"/>
            </w:tcBorders>
            <w:hideMark/>
          </w:tcPr>
          <w:p w14:paraId="594EC4C6" w14:textId="77777777" w:rsidR="00972F7D" w:rsidRPr="001A77AA" w:rsidRDefault="00972F7D" w:rsidP="00A37FA9">
            <w:pPr>
              <w:pStyle w:val="TableColumnHeadingLeft"/>
              <w:rPr>
                <w:i/>
                <w:iCs/>
              </w:rPr>
            </w:pPr>
            <w:proofErr w:type="spellStart"/>
            <w:r w:rsidRPr="001A77AA">
              <w:t>Total</w:t>
            </w:r>
            <w:r w:rsidRPr="001A77AA">
              <w:rPr>
                <w:vertAlign w:val="superscript"/>
              </w:rPr>
              <w:t>e</w:t>
            </w:r>
            <w:proofErr w:type="spellEnd"/>
            <w:r w:rsidRPr="001A77AA">
              <w:t xml:space="preserve"> </w:t>
            </w:r>
          </w:p>
        </w:tc>
        <w:tc>
          <w:tcPr>
            <w:tcW w:w="617" w:type="pct"/>
            <w:tcBorders>
              <w:top w:val="single" w:sz="4" w:space="0" w:color="CFDBEC"/>
              <w:left w:val="single" w:sz="4" w:space="0" w:color="157EB9" w:themeColor="accent3"/>
            </w:tcBorders>
            <w:shd w:val="clear" w:color="auto" w:fill="F4F6FA"/>
            <w:vAlign w:val="center"/>
          </w:tcPr>
          <w:p w14:paraId="3DDFBB91" w14:textId="77777777" w:rsidR="00972F7D" w:rsidRPr="001A77AA" w:rsidRDefault="00972F7D" w:rsidP="00A37FA9">
            <w:pPr>
              <w:pStyle w:val="TableColumnHeadingRight"/>
            </w:pPr>
            <w:r w:rsidRPr="001A77AA">
              <w:t>126</w:t>
            </w:r>
          </w:p>
        </w:tc>
        <w:tc>
          <w:tcPr>
            <w:tcW w:w="618" w:type="pct"/>
            <w:tcBorders>
              <w:top w:val="single" w:sz="4" w:space="0" w:color="CFDBEC"/>
              <w:right w:val="single" w:sz="4" w:space="0" w:color="157EB9" w:themeColor="accent3"/>
            </w:tcBorders>
            <w:vAlign w:val="center"/>
          </w:tcPr>
          <w:p w14:paraId="4B2B8922" w14:textId="77777777" w:rsidR="00972F7D" w:rsidRPr="001A77AA" w:rsidRDefault="00972F7D" w:rsidP="00A37FA9">
            <w:pPr>
              <w:pStyle w:val="TableColumnHeadingRight"/>
            </w:pPr>
            <w:r w:rsidRPr="001A77AA" w:rsidDel="00C12B48">
              <w:t>100</w:t>
            </w:r>
          </w:p>
        </w:tc>
        <w:tc>
          <w:tcPr>
            <w:tcW w:w="618" w:type="pct"/>
            <w:tcBorders>
              <w:top w:val="single" w:sz="4" w:space="0" w:color="CFDBEC"/>
              <w:left w:val="single" w:sz="4" w:space="0" w:color="157EB9" w:themeColor="accent3"/>
            </w:tcBorders>
            <w:shd w:val="clear" w:color="auto" w:fill="F4F6FA"/>
            <w:vAlign w:val="center"/>
          </w:tcPr>
          <w:p w14:paraId="6038C6ED" w14:textId="77777777" w:rsidR="00972F7D" w:rsidRPr="001A77AA" w:rsidRDefault="00972F7D" w:rsidP="00A37FA9">
            <w:pPr>
              <w:pStyle w:val="TableColumnHeadingRight"/>
            </w:pPr>
            <w:r w:rsidRPr="001A77AA">
              <w:t>195</w:t>
            </w:r>
          </w:p>
        </w:tc>
        <w:tc>
          <w:tcPr>
            <w:tcW w:w="617" w:type="pct"/>
            <w:tcBorders>
              <w:top w:val="single" w:sz="4" w:space="0" w:color="CFDBEC"/>
            </w:tcBorders>
            <w:vAlign w:val="center"/>
          </w:tcPr>
          <w:p w14:paraId="7D344950" w14:textId="77777777" w:rsidR="00972F7D" w:rsidRPr="001A77AA" w:rsidRDefault="00972F7D" w:rsidP="00A37FA9">
            <w:pPr>
              <w:pStyle w:val="TableColumnHeadingRight"/>
            </w:pPr>
            <w:r w:rsidRPr="001A77AA" w:rsidDel="00E41AA5">
              <w:t>100</w:t>
            </w:r>
          </w:p>
        </w:tc>
      </w:tr>
    </w:tbl>
    <w:p w14:paraId="0463E238" w14:textId="77777777" w:rsidR="00972F7D" w:rsidRDefault="00972F7D" w:rsidP="00972F7D">
      <w:pPr>
        <w:spacing w:before="0" w:after="0"/>
        <w:rPr>
          <w:rFonts w:asciiTheme="minorHAnsi" w:hAnsiTheme="minorHAnsi"/>
          <w:color w:val="000000"/>
          <w:sz w:val="18"/>
        </w:rPr>
      </w:pPr>
      <w:r>
        <w:br w:type="page"/>
      </w:r>
    </w:p>
    <w:p w14:paraId="06EA2011" w14:textId="77777777" w:rsidR="00972F7D" w:rsidRPr="001A77AA" w:rsidRDefault="00972F7D" w:rsidP="00972F7D">
      <w:pPr>
        <w:pStyle w:val="ChartorTableNote"/>
      </w:pPr>
      <w:r w:rsidRPr="001A77AA">
        <w:lastRenderedPageBreak/>
        <w:t xml:space="preserve">Notes: </w:t>
      </w:r>
    </w:p>
    <w:p w14:paraId="5EDCD59C" w14:textId="77777777" w:rsidR="00972F7D" w:rsidRPr="001A77AA" w:rsidRDefault="00972F7D" w:rsidP="00972F7D">
      <w:pPr>
        <w:pStyle w:val="ChartandTableFootnoteAlpha"/>
      </w:pPr>
      <w:r w:rsidRPr="001A77AA">
        <w:t>The IPA classifies its member review program outputs into compliant, minor non</w:t>
      </w:r>
      <w:r w:rsidRPr="001A77AA">
        <w:noBreakHyphen/>
        <w:t>compliance or major non</w:t>
      </w:r>
      <w:r w:rsidRPr="001A77AA">
        <w:noBreakHyphen/>
        <w:t>compliance. The non</w:t>
      </w:r>
      <w:r w:rsidRPr="001A77AA">
        <w:noBreakHyphen/>
        <w:t xml:space="preserve">compliances reported in Tables 4.1 and 4.2 have been divided into these categories. The results are inputted into the IPA’s risk management framework and processes, with some members being reviewed more frequently. </w:t>
      </w:r>
    </w:p>
    <w:p w14:paraId="58FBACAB" w14:textId="77777777" w:rsidR="00972F7D" w:rsidRPr="001A77AA" w:rsidRDefault="00972F7D" w:rsidP="00972F7D">
      <w:pPr>
        <w:pStyle w:val="ChartorTableNote"/>
        <w:ind w:left="284"/>
      </w:pPr>
      <w:r w:rsidRPr="001A77AA">
        <w:t xml:space="preserve">The program assesses compliance with the professional and ethical standards promulgated by APESB, including APES 320 and 325, as well as IPA’s Constitution and </w:t>
      </w:r>
      <w:proofErr w:type="gramStart"/>
      <w:r w:rsidRPr="001A77AA">
        <w:t>By</w:t>
      </w:r>
      <w:proofErr w:type="gramEnd"/>
      <w:r w:rsidRPr="001A77AA">
        <w:noBreakHyphen/>
        <w:t xml:space="preserve">Laws, and the requirements of the Professional Standards Legislation. </w:t>
      </w:r>
    </w:p>
    <w:p w14:paraId="4A1C04A5" w14:textId="51F41EAC" w:rsidR="00972F7D" w:rsidRPr="001A77AA" w:rsidRDefault="00972F7D" w:rsidP="00972F7D">
      <w:pPr>
        <w:pStyle w:val="ChartandTableFootnoteAlpha"/>
        <w:numPr>
          <w:ilvl w:val="0"/>
          <w:numId w:val="0"/>
        </w:numPr>
        <w:ind w:left="284"/>
      </w:pPr>
      <w:r w:rsidRPr="001A77AA">
        <w:t xml:space="preserve">The program is conducted at an individual member level, compliant with </w:t>
      </w:r>
      <w:r>
        <w:t>the</w:t>
      </w:r>
      <w:r w:rsidRPr="001A77AA">
        <w:t xml:space="preserve"> IFAC Statement of Membership Obligations (SMO) 1 </w:t>
      </w:r>
      <w:r w:rsidRPr="003F722F">
        <w:t>Quality Assurance</w:t>
      </w:r>
      <w:r w:rsidRPr="001A77AA">
        <w:t xml:space="preserve">. Members of the same practice may be assessed simultaneously. Entity Members have the option of being assessed as an entity. </w:t>
      </w:r>
    </w:p>
    <w:p w14:paraId="2FEB16B1" w14:textId="240C43BD" w:rsidR="00972F7D" w:rsidRPr="001A77AA" w:rsidRDefault="00972F7D" w:rsidP="00972F7D">
      <w:pPr>
        <w:pStyle w:val="ChartandTableFootnoteAlpha"/>
        <w:numPr>
          <w:ilvl w:val="0"/>
          <w:numId w:val="0"/>
        </w:numPr>
        <w:ind w:left="284"/>
      </w:pPr>
      <w:r w:rsidRPr="001A77AA">
        <w:t xml:space="preserve">Table 4.1 reports the program results for practices with </w:t>
      </w:r>
      <w:r w:rsidR="00F86A74">
        <w:t>2</w:t>
      </w:r>
      <w:r w:rsidRPr="001A77AA">
        <w:t xml:space="preserve"> or more partners and Table 4.2 reports the QRP results for single partner practices. </w:t>
      </w:r>
    </w:p>
    <w:p w14:paraId="68D25B97" w14:textId="77777777" w:rsidR="00972F7D" w:rsidRPr="001A77AA" w:rsidRDefault="00972F7D" w:rsidP="00972F7D">
      <w:pPr>
        <w:pStyle w:val="ChartandTableFootnoteAlpha"/>
      </w:pPr>
      <w:r w:rsidRPr="001A77AA">
        <w:t xml:space="preserve">CA ANZ’s review program assesses whether a firm has implemented an appropriate system of quality management as set out in APES 320 </w:t>
      </w:r>
      <w:r w:rsidRPr="003F722F">
        <w:t>Quality Management for Firms that provide Non</w:t>
      </w:r>
      <w:r w:rsidRPr="003F722F">
        <w:noBreakHyphen/>
        <w:t>Assurance Services</w:t>
      </w:r>
      <w:r w:rsidRPr="001A77AA">
        <w:t xml:space="preserve">; and ASQM 1 </w:t>
      </w:r>
      <w:r w:rsidRPr="003F722F">
        <w:t xml:space="preserve">Quality Management for Firms that Perform Audits or Reviews of Financial Reports and Other Financial Information, or Other Assurance or Related Services Engagements </w:t>
      </w:r>
      <w:r w:rsidRPr="001A77AA">
        <w:t>and antecedent standards.</w:t>
      </w:r>
    </w:p>
    <w:p w14:paraId="6910A125" w14:textId="77777777" w:rsidR="00972F7D" w:rsidRPr="001A77AA" w:rsidRDefault="00972F7D" w:rsidP="00972F7D">
      <w:pPr>
        <w:pStyle w:val="ChartandTableFootnoteAlpha"/>
      </w:pPr>
      <w:r w:rsidRPr="001A77AA">
        <w:t>CA ANZ’s review of these 139 practices included the work of 170 individual members who complete audit engagements and 331 audit files. CA ANZ’s focus on larger practices during 2026 has resulted in a substantial increase in the number of audit file engagements reviewed.</w:t>
      </w:r>
    </w:p>
    <w:p w14:paraId="3E02FADB" w14:textId="6C901874" w:rsidR="00972F7D" w:rsidRPr="001A77AA" w:rsidRDefault="00972F7D" w:rsidP="00972F7D">
      <w:pPr>
        <w:pStyle w:val="ChartandTableFootnoteAlpha"/>
        <w:rPr>
          <w:lang w:val="en-GB"/>
        </w:rPr>
      </w:pPr>
      <w:r w:rsidRPr="001A77AA">
        <w:rPr>
          <w:lang w:val="en-GB"/>
        </w:rPr>
        <w:t>As detailed above,</w:t>
      </w:r>
      <w:r w:rsidRPr="001A77AA" w:rsidDel="00E41AA5">
        <w:rPr>
          <w:lang w:val="en-GB"/>
        </w:rPr>
        <w:t xml:space="preserve"> </w:t>
      </w:r>
      <w:r w:rsidRPr="001A77AA">
        <w:rPr>
          <w:lang w:val="en-GB"/>
        </w:rPr>
        <w:t>CPA Australia’s Best Practice Program assessment of audit and assurance practitioners covers their system of quality management, adherence to professional and ethical standards as well as CPA Australia by</w:t>
      </w:r>
      <w:r w:rsidRPr="001A77AA">
        <w:rPr>
          <w:lang w:val="en-GB"/>
        </w:rPr>
        <w:noBreakHyphen/>
        <w:t>laws, including a sample review of client engagement files. For the purposes of this table, assessments</w:t>
      </w:r>
      <w:r w:rsidR="005033BB">
        <w:rPr>
          <w:lang w:val="en-GB"/>
        </w:rPr>
        <w:t xml:space="preserve"> are</w:t>
      </w:r>
      <w:r w:rsidRPr="001A77AA">
        <w:rPr>
          <w:lang w:val="en-GB"/>
        </w:rPr>
        <w:t xml:space="preserve"> classified as:</w:t>
      </w:r>
    </w:p>
    <w:p w14:paraId="135E8B6A" w14:textId="77777777" w:rsidR="00972F7D" w:rsidRPr="001A77AA" w:rsidRDefault="00972F7D" w:rsidP="00972F7D">
      <w:pPr>
        <w:pStyle w:val="ChartandTableNoteBullet"/>
      </w:pPr>
      <w:r w:rsidRPr="001A77AA" w:rsidDel="004F41C1">
        <w:t xml:space="preserve">satisfactory/fully compliant refer to members </w:t>
      </w:r>
      <w:r w:rsidRPr="001A77AA">
        <w:t xml:space="preserve">who had </w:t>
      </w:r>
      <w:r w:rsidRPr="001A77AA" w:rsidDel="004F41C1">
        <w:t>moderate or low</w:t>
      </w:r>
      <w:r w:rsidRPr="001A77AA">
        <w:noBreakHyphen/>
      </w:r>
      <w:r w:rsidRPr="001A77AA" w:rsidDel="004F41C1">
        <w:t>rated</w:t>
      </w:r>
      <w:r w:rsidRPr="001A77AA">
        <w:t xml:space="preserve"> findings which can be rectified by the</w:t>
      </w:r>
      <w:r>
        <w:t> </w:t>
      </w:r>
      <w:r w:rsidRPr="001A77AA">
        <w:t>member or no findings or only</w:t>
      </w:r>
      <w:r w:rsidRPr="001A77AA" w:rsidDel="004F41C1">
        <w:t xml:space="preserve"> recommendations for improvement</w:t>
      </w:r>
    </w:p>
    <w:p w14:paraId="2D170B8B" w14:textId="77777777" w:rsidR="00972F7D" w:rsidRPr="001A77AA" w:rsidRDefault="00972F7D" w:rsidP="00972F7D">
      <w:pPr>
        <w:pStyle w:val="ChartandTableNoteBullet"/>
      </w:pPr>
      <w:r w:rsidRPr="001A77AA">
        <w:t>corrective actions required refer to members who had high</w:t>
      </w:r>
      <w:r w:rsidRPr="001A77AA">
        <w:noBreakHyphen/>
        <w:t>rated corrective actions and/or a follow</w:t>
      </w:r>
      <w:r w:rsidRPr="001A77AA">
        <w:noBreakHyphen/>
        <w:t>up assessment required in 12–18 months</w:t>
      </w:r>
    </w:p>
    <w:p w14:paraId="6822A983" w14:textId="77777777" w:rsidR="00972F7D" w:rsidRPr="001A77AA" w:rsidRDefault="00972F7D" w:rsidP="00972F7D">
      <w:pPr>
        <w:pStyle w:val="ChartandTableNoteBullet"/>
      </w:pPr>
      <w:r w:rsidRPr="001A77AA">
        <w:t>Unsatisfactory/disciplinary action required refers to members who were referred for conduct investigation or disciplinary action due to significant and/or pervasive non</w:t>
      </w:r>
      <w:r w:rsidRPr="001A77AA">
        <w:rPr>
          <w:rFonts w:ascii="Cambria Math" w:hAnsi="Cambria Math" w:cs="Cambria Math"/>
        </w:rPr>
        <w:t>‑</w:t>
      </w:r>
      <w:r w:rsidRPr="001A77AA">
        <w:t>compliance or failure to engage in the assessment.</w:t>
      </w:r>
    </w:p>
    <w:p w14:paraId="14CDF483" w14:textId="77777777" w:rsidR="00972F7D" w:rsidRDefault="00972F7D" w:rsidP="00972F7D">
      <w:pPr>
        <w:pStyle w:val="ChartandTableFootnoteAlpha"/>
        <w:numPr>
          <w:ilvl w:val="0"/>
          <w:numId w:val="0"/>
        </w:numPr>
        <w:ind w:left="284"/>
      </w:pPr>
      <w:r w:rsidRPr="008C6A6F">
        <w:t>CPA Australia clarified that it disciplines members rather than firms. As a result, firm referrals to the Professional Conduct Unit for non-engagement are no longer included in the reported data.</w:t>
      </w:r>
    </w:p>
    <w:p w14:paraId="3C2A0AF9" w14:textId="77777777" w:rsidR="00972F7D" w:rsidRPr="001A77AA" w:rsidRDefault="00972F7D" w:rsidP="00972F7D">
      <w:pPr>
        <w:pStyle w:val="ChartandTableFootnoteAlpha"/>
        <w:rPr>
          <w:rFonts w:cstheme="minorHAnsi"/>
          <w:szCs w:val="18"/>
        </w:rPr>
      </w:pPr>
      <w:r w:rsidRPr="001A77AA">
        <w:rPr>
          <w:rFonts w:cstheme="minorHAnsi"/>
          <w:szCs w:val="18"/>
        </w:rPr>
        <w:t>Results may differ because the professional accounting bodies use different ways to categorise the statuses of ‘satisfactory’ or ‘requires review’. As such, this would affect direct comparability between the bodies’ results.</w:t>
      </w:r>
    </w:p>
    <w:p w14:paraId="33F3D3F1" w14:textId="77777777" w:rsidR="00972F7D" w:rsidRPr="001A77AA" w:rsidRDefault="00972F7D" w:rsidP="00972F7D">
      <w:pPr>
        <w:pStyle w:val="ChartandTableFootnoteAlpha"/>
        <w:numPr>
          <w:ilvl w:val="0"/>
          <w:numId w:val="0"/>
        </w:numPr>
        <w:ind w:left="284"/>
      </w:pPr>
      <w:r w:rsidRPr="001A77AA">
        <w:br w:type="page"/>
      </w:r>
    </w:p>
    <w:p w14:paraId="2C168417" w14:textId="77777777" w:rsidR="00972F7D" w:rsidRDefault="00972F7D" w:rsidP="00972F7D">
      <w:pPr>
        <w:pStyle w:val="TableMainHeading"/>
        <w:rPr>
          <w:rFonts w:cs="Calibri"/>
          <w:vertAlign w:val="superscript"/>
        </w:rPr>
      </w:pPr>
      <w:r w:rsidRPr="001A77AA">
        <w:lastRenderedPageBreak/>
        <w:t>Table 4.2:</w:t>
      </w:r>
      <w:r w:rsidRPr="001A77AA">
        <w:tab/>
        <w:t xml:space="preserve">Outcomes of </w:t>
      </w:r>
      <w:r w:rsidRPr="000E7269">
        <w:t>review</w:t>
      </w:r>
      <w:r w:rsidRPr="001A77AA">
        <w:t xml:space="preserve"> programs – quality assurance reviews of individual </w:t>
      </w:r>
      <w:proofErr w:type="spellStart"/>
      <w:r w:rsidRPr="001A77AA">
        <w:t>members</w:t>
      </w:r>
      <w:r w:rsidRPr="001A77AA">
        <w:rPr>
          <w:rFonts w:cs="Calibri"/>
          <w:vertAlign w:val="superscript"/>
        </w:rPr>
        <w:t>a</w:t>
      </w:r>
      <w:proofErr w:type="spellEnd"/>
    </w:p>
    <w:p w14:paraId="76D64164" w14:textId="77777777" w:rsidR="00972F7D" w:rsidRPr="00972F7D" w:rsidRDefault="00972F7D" w:rsidP="00972F7D">
      <w:pPr>
        <w:pStyle w:val="TableSecondHeading"/>
        <w:rPr>
          <w:color w:val="auto"/>
        </w:rPr>
      </w:pPr>
      <w:r w:rsidRPr="00972F7D">
        <w:rPr>
          <w:color w:val="auto"/>
        </w:rPr>
        <w:t>Institute of Public Accountants (IPA)</w:t>
      </w:r>
      <w:r w:rsidRPr="00972F7D">
        <w:rPr>
          <w:color w:val="auto"/>
          <w:vertAlign w:val="superscript"/>
        </w:rPr>
        <w:t>b</w:t>
      </w:r>
    </w:p>
    <w:tbl>
      <w:tblPr>
        <w:tblW w:w="5000" w:type="pct"/>
        <w:tblLayout w:type="fixed"/>
        <w:tblCellMar>
          <w:left w:w="170" w:type="dxa"/>
          <w:right w:w="170" w:type="dxa"/>
        </w:tblCellMar>
        <w:tblLook w:val="04A0" w:firstRow="1" w:lastRow="0" w:firstColumn="1" w:lastColumn="0" w:noHBand="0" w:noVBand="1"/>
      </w:tblPr>
      <w:tblGrid>
        <w:gridCol w:w="6095"/>
        <w:gridCol w:w="1489"/>
        <w:gridCol w:w="1486"/>
      </w:tblGrid>
      <w:tr w:rsidR="00972F7D" w:rsidRPr="001A77AA" w14:paraId="6EED1F33" w14:textId="77777777" w:rsidTr="00A37FA9">
        <w:trPr>
          <w:trHeight w:val="69"/>
        </w:trPr>
        <w:tc>
          <w:tcPr>
            <w:tcW w:w="3360" w:type="pct"/>
            <w:tcBorders>
              <w:right w:val="single" w:sz="4" w:space="0" w:color="157EB9" w:themeColor="accent3"/>
            </w:tcBorders>
            <w:shd w:val="clear" w:color="auto" w:fill="CFDBEC"/>
          </w:tcPr>
          <w:p w14:paraId="14978DC5" w14:textId="77777777" w:rsidR="00972F7D" w:rsidRPr="00BD344B" w:rsidRDefault="00972F7D" w:rsidP="00A37FA9">
            <w:pPr>
              <w:pStyle w:val="TableColumnHeadingLeft"/>
            </w:pPr>
            <w:r w:rsidRPr="00BD344B">
              <w:t>Outcome</w:t>
            </w:r>
          </w:p>
        </w:tc>
        <w:tc>
          <w:tcPr>
            <w:tcW w:w="821" w:type="pct"/>
            <w:tcBorders>
              <w:left w:val="single" w:sz="4" w:space="0" w:color="157EB9" w:themeColor="accent3"/>
              <w:right w:val="single" w:sz="4" w:space="0" w:color="157EB9" w:themeColor="accent3"/>
            </w:tcBorders>
            <w:shd w:val="clear" w:color="auto" w:fill="C8D3E7" w:themeFill="accent5" w:themeFillShade="E6"/>
          </w:tcPr>
          <w:p w14:paraId="15267C89" w14:textId="2CDAA327" w:rsidR="00972F7D" w:rsidRPr="00BD344B" w:rsidRDefault="00972F7D" w:rsidP="00A37FA9">
            <w:pPr>
              <w:pStyle w:val="TableColumnHeadingRight"/>
            </w:pPr>
            <w:r w:rsidRPr="001A77AA">
              <w:t>2024–25</w:t>
            </w:r>
            <w:r>
              <w:br/>
            </w:r>
            <w:r w:rsidR="001A6846" w:rsidRPr="00BD344B">
              <w:t>%</w:t>
            </w:r>
          </w:p>
        </w:tc>
        <w:tc>
          <w:tcPr>
            <w:tcW w:w="819" w:type="pct"/>
            <w:tcBorders>
              <w:left w:val="single" w:sz="4" w:space="0" w:color="157EB9" w:themeColor="accent3"/>
            </w:tcBorders>
            <w:shd w:val="clear" w:color="auto" w:fill="CFDBEC"/>
          </w:tcPr>
          <w:p w14:paraId="00844F91" w14:textId="77777777" w:rsidR="00972F7D" w:rsidRPr="00BD344B" w:rsidRDefault="00972F7D" w:rsidP="00A37FA9">
            <w:pPr>
              <w:pStyle w:val="TableColumnHeadingRight"/>
            </w:pPr>
            <w:r w:rsidRPr="00BD344B">
              <w:t>2025–26</w:t>
            </w:r>
            <w:r>
              <w:br/>
            </w:r>
            <w:r w:rsidRPr="00BD344B">
              <w:t>%</w:t>
            </w:r>
          </w:p>
        </w:tc>
      </w:tr>
      <w:tr w:rsidR="00972F7D" w:rsidRPr="001A77AA" w14:paraId="22A8E41C" w14:textId="77777777" w:rsidTr="00A37FA9">
        <w:trPr>
          <w:trHeight w:val="80"/>
        </w:trPr>
        <w:tc>
          <w:tcPr>
            <w:tcW w:w="3360" w:type="pct"/>
            <w:tcBorders>
              <w:bottom w:val="single" w:sz="4" w:space="0" w:color="CFDBEC"/>
              <w:right w:val="single" w:sz="4" w:space="0" w:color="157EB9" w:themeColor="accent3"/>
            </w:tcBorders>
            <w:vAlign w:val="center"/>
            <w:hideMark/>
          </w:tcPr>
          <w:p w14:paraId="19D2EA35" w14:textId="77777777" w:rsidR="00972F7D" w:rsidRPr="001A77AA" w:rsidRDefault="00972F7D" w:rsidP="00A37FA9">
            <w:pPr>
              <w:pStyle w:val="TableTextLeft"/>
              <w:rPr>
                <w:i/>
                <w:iCs/>
              </w:rPr>
            </w:pPr>
            <w:r w:rsidRPr="001A77AA">
              <w:t xml:space="preserve">Satisfactory / fully compliant </w:t>
            </w:r>
          </w:p>
        </w:tc>
        <w:tc>
          <w:tcPr>
            <w:tcW w:w="821" w:type="pct"/>
            <w:tcBorders>
              <w:left w:val="single" w:sz="4" w:space="0" w:color="157EB9" w:themeColor="accent3"/>
              <w:bottom w:val="single" w:sz="4" w:space="0" w:color="CFDBEC"/>
              <w:right w:val="single" w:sz="4" w:space="0" w:color="157EB9" w:themeColor="accent3"/>
            </w:tcBorders>
            <w:shd w:val="clear" w:color="auto" w:fill="F4F6FA"/>
            <w:vAlign w:val="center"/>
          </w:tcPr>
          <w:p w14:paraId="4B6FA9E0" w14:textId="57AF9918" w:rsidR="00972F7D" w:rsidRPr="001A77AA" w:rsidRDefault="00972F7D" w:rsidP="00A37FA9">
            <w:pPr>
              <w:pStyle w:val="TableTextRight"/>
            </w:pPr>
            <w:r w:rsidRPr="001A77AA">
              <w:t>65</w:t>
            </w:r>
          </w:p>
        </w:tc>
        <w:tc>
          <w:tcPr>
            <w:tcW w:w="819" w:type="pct"/>
            <w:tcBorders>
              <w:left w:val="single" w:sz="4" w:space="0" w:color="157EB9" w:themeColor="accent3"/>
              <w:bottom w:val="single" w:sz="4" w:space="0" w:color="CFDBEC"/>
            </w:tcBorders>
            <w:vAlign w:val="center"/>
          </w:tcPr>
          <w:p w14:paraId="15D4E02D" w14:textId="0E14B420" w:rsidR="00972F7D" w:rsidRPr="001A77AA" w:rsidRDefault="00972F7D" w:rsidP="00A37FA9">
            <w:pPr>
              <w:pStyle w:val="TableTextRight"/>
            </w:pPr>
            <w:r w:rsidRPr="001A77AA">
              <w:t>80</w:t>
            </w:r>
          </w:p>
        </w:tc>
      </w:tr>
      <w:tr w:rsidR="00972F7D" w:rsidRPr="001A77AA" w14:paraId="15C0C6FF" w14:textId="77777777" w:rsidTr="00A37FA9">
        <w:tc>
          <w:tcPr>
            <w:tcW w:w="3360" w:type="pct"/>
            <w:tcBorders>
              <w:top w:val="single" w:sz="4" w:space="0" w:color="CFDBEC"/>
              <w:bottom w:val="single" w:sz="4" w:space="0" w:color="CFDBEC"/>
              <w:right w:val="single" w:sz="4" w:space="0" w:color="157EB9" w:themeColor="accent3"/>
            </w:tcBorders>
            <w:vAlign w:val="center"/>
            <w:hideMark/>
          </w:tcPr>
          <w:p w14:paraId="4443BDC5" w14:textId="77777777" w:rsidR="00972F7D" w:rsidRPr="001A77AA" w:rsidRDefault="00972F7D" w:rsidP="00A37FA9">
            <w:pPr>
              <w:pStyle w:val="TableTextLeft"/>
              <w:rPr>
                <w:i/>
                <w:iCs/>
              </w:rPr>
            </w:pPr>
            <w:r w:rsidRPr="001A77AA">
              <w:t>Requires rereview / non</w:t>
            </w:r>
            <w:r w:rsidRPr="001A77AA">
              <w:noBreakHyphen/>
              <w:t xml:space="preserve">compliant </w:t>
            </w:r>
          </w:p>
        </w:tc>
        <w:tc>
          <w:tcPr>
            <w:tcW w:w="821" w:type="pct"/>
            <w:tcBorders>
              <w:top w:val="single" w:sz="4" w:space="0" w:color="CFDBEC"/>
              <w:left w:val="single" w:sz="4" w:space="0" w:color="157EB9" w:themeColor="accent3"/>
              <w:bottom w:val="single" w:sz="4" w:space="0" w:color="CFDBEC"/>
              <w:right w:val="single" w:sz="4" w:space="0" w:color="157EB9" w:themeColor="accent3"/>
            </w:tcBorders>
            <w:shd w:val="clear" w:color="auto" w:fill="F4F6FA"/>
            <w:vAlign w:val="center"/>
          </w:tcPr>
          <w:p w14:paraId="75D3FFDC" w14:textId="0C64B9ED" w:rsidR="00972F7D" w:rsidRPr="001A77AA" w:rsidRDefault="00972F7D" w:rsidP="00A37FA9">
            <w:pPr>
              <w:pStyle w:val="TableTextRight"/>
            </w:pPr>
            <w:r w:rsidRPr="001A77AA">
              <w:t>0</w:t>
            </w:r>
          </w:p>
        </w:tc>
        <w:tc>
          <w:tcPr>
            <w:tcW w:w="819" w:type="pct"/>
            <w:tcBorders>
              <w:top w:val="single" w:sz="4" w:space="0" w:color="CFDBEC"/>
              <w:left w:val="single" w:sz="4" w:space="0" w:color="157EB9" w:themeColor="accent3"/>
              <w:bottom w:val="single" w:sz="4" w:space="0" w:color="CFDBEC"/>
            </w:tcBorders>
            <w:vAlign w:val="center"/>
          </w:tcPr>
          <w:p w14:paraId="610B9E32" w14:textId="7603FBDB" w:rsidR="00972F7D" w:rsidRPr="001A77AA" w:rsidRDefault="00972F7D" w:rsidP="00A37FA9">
            <w:pPr>
              <w:pStyle w:val="TableTextRight"/>
            </w:pPr>
            <w:r w:rsidRPr="001A77AA">
              <w:t>0</w:t>
            </w:r>
          </w:p>
        </w:tc>
      </w:tr>
      <w:tr w:rsidR="00972F7D" w:rsidRPr="001A77AA" w14:paraId="6326C8CB" w14:textId="77777777" w:rsidTr="00A37FA9">
        <w:tc>
          <w:tcPr>
            <w:tcW w:w="3360" w:type="pct"/>
            <w:tcBorders>
              <w:top w:val="single" w:sz="4" w:space="0" w:color="CFDBEC"/>
              <w:bottom w:val="single" w:sz="4" w:space="0" w:color="CFDBEC"/>
              <w:right w:val="single" w:sz="4" w:space="0" w:color="157EB9" w:themeColor="accent3"/>
            </w:tcBorders>
            <w:vAlign w:val="center"/>
          </w:tcPr>
          <w:p w14:paraId="1F9EEE85" w14:textId="77777777" w:rsidR="00972F7D" w:rsidRPr="001A77AA" w:rsidRDefault="00972F7D" w:rsidP="00A37FA9">
            <w:pPr>
              <w:pStyle w:val="TableTextLeft"/>
              <w:rPr>
                <w:i/>
                <w:iCs/>
              </w:rPr>
            </w:pPr>
            <w:r w:rsidRPr="001A77AA">
              <w:t>Minor corrective actions required</w:t>
            </w:r>
          </w:p>
        </w:tc>
        <w:tc>
          <w:tcPr>
            <w:tcW w:w="821" w:type="pct"/>
            <w:tcBorders>
              <w:top w:val="single" w:sz="4" w:space="0" w:color="CFDBEC"/>
              <w:left w:val="single" w:sz="4" w:space="0" w:color="157EB9" w:themeColor="accent3"/>
              <w:bottom w:val="single" w:sz="4" w:space="0" w:color="CFDBEC"/>
              <w:right w:val="single" w:sz="4" w:space="0" w:color="157EB9" w:themeColor="accent3"/>
            </w:tcBorders>
            <w:shd w:val="clear" w:color="auto" w:fill="F4F6FA"/>
            <w:vAlign w:val="center"/>
          </w:tcPr>
          <w:p w14:paraId="2F311B8A" w14:textId="6CA76590" w:rsidR="00972F7D" w:rsidRPr="001A77AA" w:rsidRDefault="00972F7D" w:rsidP="00A37FA9">
            <w:pPr>
              <w:pStyle w:val="TableTextRight"/>
            </w:pPr>
            <w:r w:rsidRPr="001A77AA">
              <w:t>5</w:t>
            </w:r>
          </w:p>
        </w:tc>
        <w:tc>
          <w:tcPr>
            <w:tcW w:w="819" w:type="pct"/>
            <w:tcBorders>
              <w:top w:val="single" w:sz="4" w:space="0" w:color="CFDBEC"/>
              <w:left w:val="single" w:sz="4" w:space="0" w:color="157EB9" w:themeColor="accent3"/>
              <w:bottom w:val="single" w:sz="4" w:space="0" w:color="CFDBEC"/>
            </w:tcBorders>
            <w:vAlign w:val="center"/>
          </w:tcPr>
          <w:p w14:paraId="09FA51F5" w14:textId="212FF7F1" w:rsidR="00972F7D" w:rsidRPr="001A77AA" w:rsidRDefault="00972F7D" w:rsidP="00A37FA9">
            <w:pPr>
              <w:pStyle w:val="TableTextRight"/>
            </w:pPr>
            <w:r w:rsidRPr="001A77AA">
              <w:t>6</w:t>
            </w:r>
          </w:p>
        </w:tc>
      </w:tr>
      <w:tr w:rsidR="00972F7D" w:rsidRPr="001A77AA" w14:paraId="5577D2CB" w14:textId="77777777" w:rsidTr="00A37FA9">
        <w:tc>
          <w:tcPr>
            <w:tcW w:w="3360" w:type="pct"/>
            <w:tcBorders>
              <w:top w:val="single" w:sz="4" w:space="0" w:color="CFDBEC"/>
              <w:bottom w:val="single" w:sz="4" w:space="0" w:color="CFDBEC"/>
              <w:right w:val="single" w:sz="4" w:space="0" w:color="157EB9" w:themeColor="accent3"/>
            </w:tcBorders>
            <w:vAlign w:val="center"/>
          </w:tcPr>
          <w:p w14:paraId="61F1F4B4" w14:textId="77777777" w:rsidR="00972F7D" w:rsidRPr="001A77AA" w:rsidRDefault="00972F7D" w:rsidP="00A37FA9">
            <w:pPr>
              <w:pStyle w:val="TableTextLeft"/>
              <w:rPr>
                <w:i/>
                <w:iCs/>
              </w:rPr>
            </w:pPr>
            <w:r w:rsidRPr="001A77AA">
              <w:t>Major corrective actions required</w:t>
            </w:r>
          </w:p>
        </w:tc>
        <w:tc>
          <w:tcPr>
            <w:tcW w:w="821" w:type="pct"/>
            <w:tcBorders>
              <w:top w:val="single" w:sz="4" w:space="0" w:color="CFDBEC"/>
              <w:left w:val="single" w:sz="4" w:space="0" w:color="157EB9" w:themeColor="accent3"/>
              <w:bottom w:val="single" w:sz="4" w:space="0" w:color="CFDBEC"/>
              <w:right w:val="single" w:sz="4" w:space="0" w:color="157EB9" w:themeColor="accent3"/>
            </w:tcBorders>
            <w:shd w:val="clear" w:color="auto" w:fill="F4F6FA"/>
            <w:vAlign w:val="center"/>
          </w:tcPr>
          <w:p w14:paraId="1A4578E1" w14:textId="2ECF1705" w:rsidR="00972F7D" w:rsidRPr="001A77AA" w:rsidRDefault="00972F7D" w:rsidP="00A37FA9">
            <w:pPr>
              <w:pStyle w:val="TableTextRight"/>
            </w:pPr>
            <w:r w:rsidRPr="001A77AA">
              <w:t>30</w:t>
            </w:r>
          </w:p>
        </w:tc>
        <w:tc>
          <w:tcPr>
            <w:tcW w:w="819" w:type="pct"/>
            <w:tcBorders>
              <w:top w:val="single" w:sz="4" w:space="0" w:color="CFDBEC"/>
              <w:left w:val="single" w:sz="4" w:space="0" w:color="157EB9" w:themeColor="accent3"/>
              <w:bottom w:val="single" w:sz="4" w:space="0" w:color="CFDBEC"/>
            </w:tcBorders>
            <w:vAlign w:val="center"/>
          </w:tcPr>
          <w:p w14:paraId="763B2142" w14:textId="04655E3B" w:rsidR="00972F7D" w:rsidRPr="001A77AA" w:rsidRDefault="00972F7D" w:rsidP="00A37FA9">
            <w:pPr>
              <w:pStyle w:val="TableTextRight"/>
            </w:pPr>
            <w:r w:rsidRPr="001A77AA">
              <w:t>14</w:t>
            </w:r>
          </w:p>
        </w:tc>
      </w:tr>
      <w:tr w:rsidR="00972F7D" w:rsidRPr="001A77AA" w14:paraId="3A3D305A" w14:textId="77777777" w:rsidTr="00A37FA9">
        <w:trPr>
          <w:trHeight w:val="77"/>
        </w:trPr>
        <w:tc>
          <w:tcPr>
            <w:tcW w:w="3360" w:type="pct"/>
            <w:tcBorders>
              <w:top w:val="single" w:sz="4" w:space="0" w:color="CFDBEC"/>
              <w:bottom w:val="single" w:sz="4" w:space="0" w:color="CFDBEC"/>
              <w:right w:val="single" w:sz="4" w:space="0" w:color="157EB9" w:themeColor="accent3"/>
            </w:tcBorders>
            <w:vAlign w:val="center"/>
            <w:hideMark/>
          </w:tcPr>
          <w:p w14:paraId="70DE8C49" w14:textId="77777777" w:rsidR="00972F7D" w:rsidRPr="001A77AA" w:rsidRDefault="00972F7D" w:rsidP="00A37FA9">
            <w:pPr>
              <w:pStyle w:val="TableTextLeft"/>
              <w:rPr>
                <w:i/>
                <w:iCs/>
              </w:rPr>
            </w:pPr>
            <w:r w:rsidRPr="001A77AA">
              <w:t xml:space="preserve">Unsatisfactory / disciplinary action required </w:t>
            </w:r>
          </w:p>
        </w:tc>
        <w:tc>
          <w:tcPr>
            <w:tcW w:w="821" w:type="pct"/>
            <w:tcBorders>
              <w:top w:val="single" w:sz="4" w:space="0" w:color="CFDBEC"/>
              <w:left w:val="single" w:sz="4" w:space="0" w:color="157EB9" w:themeColor="accent3"/>
              <w:bottom w:val="single" w:sz="4" w:space="0" w:color="CFDBEC"/>
              <w:right w:val="single" w:sz="4" w:space="0" w:color="157EB9" w:themeColor="accent3"/>
            </w:tcBorders>
            <w:shd w:val="clear" w:color="auto" w:fill="F4F6FA"/>
            <w:vAlign w:val="center"/>
          </w:tcPr>
          <w:p w14:paraId="24B8C4DB" w14:textId="05625F37" w:rsidR="00972F7D" w:rsidRPr="001A77AA" w:rsidRDefault="00972F7D" w:rsidP="00A37FA9">
            <w:pPr>
              <w:pStyle w:val="TableTextRight"/>
            </w:pPr>
            <w:r w:rsidRPr="001A77AA">
              <w:t>0</w:t>
            </w:r>
          </w:p>
        </w:tc>
        <w:tc>
          <w:tcPr>
            <w:tcW w:w="819" w:type="pct"/>
            <w:tcBorders>
              <w:top w:val="single" w:sz="4" w:space="0" w:color="CFDBEC"/>
              <w:left w:val="single" w:sz="4" w:space="0" w:color="157EB9" w:themeColor="accent3"/>
              <w:bottom w:val="single" w:sz="4" w:space="0" w:color="CFDBEC"/>
            </w:tcBorders>
            <w:vAlign w:val="center"/>
          </w:tcPr>
          <w:p w14:paraId="5F64D49B" w14:textId="1BA5AD2F" w:rsidR="00972F7D" w:rsidRPr="001A77AA" w:rsidRDefault="00972F7D" w:rsidP="00A37FA9">
            <w:pPr>
              <w:pStyle w:val="TableTextRight"/>
            </w:pPr>
            <w:r w:rsidRPr="001A77AA">
              <w:t>0</w:t>
            </w:r>
          </w:p>
        </w:tc>
      </w:tr>
      <w:tr w:rsidR="00972F7D" w:rsidRPr="001A77AA" w14:paraId="459C0BE8" w14:textId="77777777" w:rsidTr="00A37FA9">
        <w:trPr>
          <w:trHeight w:val="64"/>
        </w:trPr>
        <w:tc>
          <w:tcPr>
            <w:tcW w:w="3360" w:type="pct"/>
            <w:tcBorders>
              <w:top w:val="single" w:sz="4" w:space="0" w:color="CFDBEC"/>
              <w:right w:val="single" w:sz="4" w:space="0" w:color="157EB9" w:themeColor="accent3"/>
            </w:tcBorders>
            <w:hideMark/>
          </w:tcPr>
          <w:p w14:paraId="5874B1B4" w14:textId="77777777" w:rsidR="00972F7D" w:rsidRPr="001A77AA" w:rsidRDefault="00972F7D" w:rsidP="00A37FA9">
            <w:pPr>
              <w:pStyle w:val="TableColumnHeadingLeft"/>
              <w:rPr>
                <w:i/>
                <w:iCs/>
              </w:rPr>
            </w:pPr>
            <w:proofErr w:type="spellStart"/>
            <w:r w:rsidRPr="001A77AA">
              <w:t>Total</w:t>
            </w:r>
            <w:r w:rsidRPr="001A77AA">
              <w:rPr>
                <w:vertAlign w:val="superscript"/>
              </w:rPr>
              <w:t>e</w:t>
            </w:r>
            <w:proofErr w:type="spellEnd"/>
            <w:r w:rsidRPr="001A77AA">
              <w:t xml:space="preserve"> </w:t>
            </w:r>
          </w:p>
        </w:tc>
        <w:tc>
          <w:tcPr>
            <w:tcW w:w="821" w:type="pct"/>
            <w:tcBorders>
              <w:top w:val="single" w:sz="4" w:space="0" w:color="CFDBEC"/>
              <w:left w:val="single" w:sz="4" w:space="0" w:color="157EB9" w:themeColor="accent3"/>
              <w:right w:val="single" w:sz="4" w:space="0" w:color="157EB9" w:themeColor="accent3"/>
            </w:tcBorders>
            <w:shd w:val="clear" w:color="auto" w:fill="F4F6FA"/>
            <w:vAlign w:val="center"/>
          </w:tcPr>
          <w:p w14:paraId="0FD22B66" w14:textId="7AC1AE39" w:rsidR="00972F7D" w:rsidRPr="001A77AA" w:rsidRDefault="00972F7D" w:rsidP="00A37FA9">
            <w:pPr>
              <w:pStyle w:val="TableColumnHeadingRight"/>
            </w:pPr>
            <w:r w:rsidRPr="001A77AA">
              <w:t>100</w:t>
            </w:r>
          </w:p>
        </w:tc>
        <w:tc>
          <w:tcPr>
            <w:tcW w:w="819" w:type="pct"/>
            <w:tcBorders>
              <w:top w:val="single" w:sz="4" w:space="0" w:color="CFDBEC"/>
              <w:left w:val="single" w:sz="4" w:space="0" w:color="157EB9" w:themeColor="accent3"/>
            </w:tcBorders>
            <w:vAlign w:val="center"/>
          </w:tcPr>
          <w:p w14:paraId="0CD795D7" w14:textId="3CF8828C" w:rsidR="00972F7D" w:rsidRPr="001A77AA" w:rsidRDefault="00972F7D" w:rsidP="00A37FA9">
            <w:pPr>
              <w:pStyle w:val="TableColumnHeadingRight"/>
            </w:pPr>
            <w:r w:rsidRPr="001A77AA">
              <w:t>100</w:t>
            </w:r>
          </w:p>
        </w:tc>
      </w:tr>
    </w:tbl>
    <w:p w14:paraId="0E81A2F8" w14:textId="77777777" w:rsidR="00972F7D" w:rsidRDefault="00972F7D" w:rsidP="00972F7D">
      <w:pPr>
        <w:pStyle w:val="NoSpacing"/>
      </w:pPr>
    </w:p>
    <w:p w14:paraId="1E55B5D9" w14:textId="77777777" w:rsidR="00972F7D" w:rsidRPr="00972F7D" w:rsidRDefault="00972F7D" w:rsidP="00972F7D">
      <w:pPr>
        <w:pStyle w:val="TableSecondHeading"/>
        <w:rPr>
          <w:color w:val="auto"/>
        </w:rPr>
      </w:pPr>
      <w:r w:rsidRPr="00972F7D">
        <w:rPr>
          <w:color w:val="auto"/>
        </w:rPr>
        <w:t xml:space="preserve">CPA </w:t>
      </w:r>
      <w:proofErr w:type="spellStart"/>
      <w:r w:rsidRPr="00972F7D">
        <w:rPr>
          <w:color w:val="auto"/>
        </w:rPr>
        <w:t>Australia</w:t>
      </w:r>
      <w:r w:rsidRPr="00972F7D">
        <w:rPr>
          <w:color w:val="auto"/>
          <w:vertAlign w:val="superscript"/>
        </w:rPr>
        <w:t>c</w:t>
      </w:r>
      <w:proofErr w:type="spellEnd"/>
    </w:p>
    <w:tbl>
      <w:tblPr>
        <w:tblW w:w="5000" w:type="pct"/>
        <w:tblLayout w:type="fixed"/>
        <w:tblCellMar>
          <w:left w:w="170" w:type="dxa"/>
          <w:right w:w="170" w:type="dxa"/>
        </w:tblCellMar>
        <w:tblLook w:val="04A0" w:firstRow="1" w:lastRow="0" w:firstColumn="1" w:lastColumn="0" w:noHBand="0" w:noVBand="1"/>
      </w:tblPr>
      <w:tblGrid>
        <w:gridCol w:w="6095"/>
        <w:gridCol w:w="1489"/>
        <w:gridCol w:w="1486"/>
      </w:tblGrid>
      <w:tr w:rsidR="00972F7D" w:rsidRPr="001A77AA" w14:paraId="33F79168" w14:textId="77777777" w:rsidTr="00A37FA9">
        <w:trPr>
          <w:trHeight w:val="69"/>
        </w:trPr>
        <w:tc>
          <w:tcPr>
            <w:tcW w:w="3360" w:type="pct"/>
            <w:tcBorders>
              <w:right w:val="single" w:sz="4" w:space="0" w:color="157EB9" w:themeColor="accent3"/>
            </w:tcBorders>
            <w:shd w:val="clear" w:color="auto" w:fill="CFDBEC"/>
          </w:tcPr>
          <w:p w14:paraId="592E10AF" w14:textId="77777777" w:rsidR="00972F7D" w:rsidRPr="00BD344B" w:rsidRDefault="00972F7D" w:rsidP="00A37FA9">
            <w:pPr>
              <w:pStyle w:val="TableColumnHeadingLeft"/>
            </w:pPr>
            <w:r w:rsidRPr="00BD344B">
              <w:t>Outcome</w:t>
            </w:r>
          </w:p>
        </w:tc>
        <w:tc>
          <w:tcPr>
            <w:tcW w:w="821" w:type="pct"/>
            <w:tcBorders>
              <w:left w:val="single" w:sz="4" w:space="0" w:color="157EB9" w:themeColor="accent3"/>
              <w:right w:val="single" w:sz="4" w:space="0" w:color="157EB9" w:themeColor="accent3"/>
            </w:tcBorders>
            <w:shd w:val="clear" w:color="auto" w:fill="C8D3E7" w:themeFill="accent5" w:themeFillShade="E6"/>
          </w:tcPr>
          <w:p w14:paraId="5742F505" w14:textId="06B22E4A" w:rsidR="00972F7D" w:rsidRPr="00BD344B" w:rsidRDefault="00972F7D" w:rsidP="00A37FA9">
            <w:pPr>
              <w:pStyle w:val="TableColumnHeadingRight"/>
            </w:pPr>
            <w:r w:rsidRPr="001A77AA">
              <w:t>2024–25</w:t>
            </w:r>
            <w:r>
              <w:br/>
            </w:r>
            <w:r w:rsidR="001A6846" w:rsidRPr="00BD344B">
              <w:t>%</w:t>
            </w:r>
          </w:p>
        </w:tc>
        <w:tc>
          <w:tcPr>
            <w:tcW w:w="819" w:type="pct"/>
            <w:tcBorders>
              <w:left w:val="single" w:sz="4" w:space="0" w:color="157EB9" w:themeColor="accent3"/>
            </w:tcBorders>
            <w:shd w:val="clear" w:color="auto" w:fill="CFDBEC"/>
          </w:tcPr>
          <w:p w14:paraId="3EBEACCA" w14:textId="77777777" w:rsidR="00972F7D" w:rsidRPr="00BD344B" w:rsidRDefault="00972F7D" w:rsidP="00A37FA9">
            <w:pPr>
              <w:pStyle w:val="TableColumnHeadingRight"/>
            </w:pPr>
            <w:r w:rsidRPr="00BD344B">
              <w:t>2025–26</w:t>
            </w:r>
            <w:r>
              <w:br/>
            </w:r>
            <w:r w:rsidRPr="00BD344B">
              <w:t>%</w:t>
            </w:r>
          </w:p>
        </w:tc>
      </w:tr>
      <w:tr w:rsidR="00972F7D" w:rsidRPr="001A77AA" w14:paraId="243FC1F9" w14:textId="77777777" w:rsidTr="00A37FA9">
        <w:trPr>
          <w:trHeight w:val="80"/>
        </w:trPr>
        <w:tc>
          <w:tcPr>
            <w:tcW w:w="3360" w:type="pct"/>
            <w:tcBorders>
              <w:bottom w:val="single" w:sz="4" w:space="0" w:color="CFDBEC"/>
              <w:right w:val="single" w:sz="4" w:space="0" w:color="157EB9" w:themeColor="accent3"/>
            </w:tcBorders>
            <w:vAlign w:val="center"/>
            <w:hideMark/>
          </w:tcPr>
          <w:p w14:paraId="3B921C52" w14:textId="77777777" w:rsidR="00972F7D" w:rsidRPr="001A77AA" w:rsidRDefault="00972F7D" w:rsidP="00A37FA9">
            <w:pPr>
              <w:pStyle w:val="TableTextLeft"/>
              <w:rPr>
                <w:i/>
                <w:iCs/>
              </w:rPr>
            </w:pPr>
            <w:r w:rsidRPr="001A77AA">
              <w:t xml:space="preserve">Satisfactory / fully compliant </w:t>
            </w:r>
          </w:p>
        </w:tc>
        <w:tc>
          <w:tcPr>
            <w:tcW w:w="821" w:type="pct"/>
            <w:tcBorders>
              <w:left w:val="single" w:sz="4" w:space="0" w:color="157EB9" w:themeColor="accent3"/>
              <w:bottom w:val="single" w:sz="4" w:space="0" w:color="CFDBEC"/>
              <w:right w:val="single" w:sz="4" w:space="0" w:color="157EB9" w:themeColor="accent3"/>
            </w:tcBorders>
            <w:shd w:val="clear" w:color="auto" w:fill="F4F6FA"/>
            <w:vAlign w:val="center"/>
          </w:tcPr>
          <w:p w14:paraId="6F5551F3" w14:textId="3EDBB990" w:rsidR="00972F7D" w:rsidRPr="001A77AA" w:rsidRDefault="00972F7D" w:rsidP="00A37FA9">
            <w:pPr>
              <w:pStyle w:val="TableTextRight"/>
            </w:pPr>
            <w:r w:rsidRPr="001A77AA">
              <w:t>65</w:t>
            </w:r>
          </w:p>
        </w:tc>
        <w:tc>
          <w:tcPr>
            <w:tcW w:w="819" w:type="pct"/>
            <w:tcBorders>
              <w:left w:val="single" w:sz="4" w:space="0" w:color="157EB9" w:themeColor="accent3"/>
              <w:bottom w:val="single" w:sz="4" w:space="0" w:color="CFDBEC"/>
            </w:tcBorders>
            <w:vAlign w:val="center"/>
          </w:tcPr>
          <w:p w14:paraId="3735C127" w14:textId="0D4F0A9C" w:rsidR="00972F7D" w:rsidRPr="001A77AA" w:rsidRDefault="00972F7D" w:rsidP="00A37FA9">
            <w:pPr>
              <w:pStyle w:val="TableTextRight"/>
            </w:pPr>
            <w:r w:rsidRPr="001A77AA">
              <w:t>75</w:t>
            </w:r>
          </w:p>
        </w:tc>
      </w:tr>
      <w:tr w:rsidR="00972F7D" w:rsidRPr="001A77AA" w14:paraId="74A3BB46" w14:textId="77777777" w:rsidTr="00A37FA9">
        <w:tc>
          <w:tcPr>
            <w:tcW w:w="3360" w:type="pct"/>
            <w:tcBorders>
              <w:top w:val="single" w:sz="4" w:space="0" w:color="CFDBEC"/>
              <w:bottom w:val="single" w:sz="4" w:space="0" w:color="CFDBEC"/>
              <w:right w:val="single" w:sz="4" w:space="0" w:color="157EB9" w:themeColor="accent3"/>
            </w:tcBorders>
            <w:vAlign w:val="center"/>
            <w:hideMark/>
          </w:tcPr>
          <w:p w14:paraId="3D0127E7" w14:textId="77777777" w:rsidR="00972F7D" w:rsidRPr="001A77AA" w:rsidRDefault="00972F7D" w:rsidP="00A37FA9">
            <w:pPr>
              <w:pStyle w:val="TableTextLeft"/>
              <w:rPr>
                <w:i/>
                <w:iCs/>
              </w:rPr>
            </w:pPr>
            <w:r w:rsidRPr="001A77AA">
              <w:t>Requires rereview / non</w:t>
            </w:r>
            <w:r w:rsidRPr="001A77AA">
              <w:noBreakHyphen/>
              <w:t xml:space="preserve">compliant </w:t>
            </w:r>
          </w:p>
        </w:tc>
        <w:tc>
          <w:tcPr>
            <w:tcW w:w="821" w:type="pct"/>
            <w:tcBorders>
              <w:top w:val="single" w:sz="4" w:space="0" w:color="CFDBEC"/>
              <w:left w:val="single" w:sz="4" w:space="0" w:color="157EB9" w:themeColor="accent3"/>
              <w:bottom w:val="single" w:sz="4" w:space="0" w:color="CFDBEC"/>
              <w:right w:val="single" w:sz="4" w:space="0" w:color="157EB9" w:themeColor="accent3"/>
            </w:tcBorders>
            <w:shd w:val="clear" w:color="auto" w:fill="F4F6FA"/>
            <w:vAlign w:val="center"/>
          </w:tcPr>
          <w:p w14:paraId="70649677" w14:textId="5C702BDC" w:rsidR="00972F7D" w:rsidRPr="001A77AA" w:rsidRDefault="00972F7D" w:rsidP="00A37FA9">
            <w:pPr>
              <w:pStyle w:val="TableTextRight"/>
            </w:pPr>
            <w:r w:rsidRPr="001A77AA">
              <w:t>34</w:t>
            </w:r>
          </w:p>
        </w:tc>
        <w:tc>
          <w:tcPr>
            <w:tcW w:w="819" w:type="pct"/>
            <w:tcBorders>
              <w:top w:val="single" w:sz="4" w:space="0" w:color="CFDBEC"/>
              <w:left w:val="single" w:sz="4" w:space="0" w:color="157EB9" w:themeColor="accent3"/>
              <w:bottom w:val="single" w:sz="4" w:space="0" w:color="CFDBEC"/>
            </w:tcBorders>
            <w:vAlign w:val="center"/>
          </w:tcPr>
          <w:p w14:paraId="5DED535B" w14:textId="23415C61" w:rsidR="00972F7D" w:rsidRPr="001A77AA" w:rsidRDefault="00972F7D" w:rsidP="00A37FA9">
            <w:pPr>
              <w:pStyle w:val="TableTextRight"/>
            </w:pPr>
            <w:r w:rsidRPr="001A77AA">
              <w:t>24</w:t>
            </w:r>
          </w:p>
        </w:tc>
      </w:tr>
      <w:tr w:rsidR="00972F7D" w:rsidRPr="001A77AA" w14:paraId="2131F662" w14:textId="77777777" w:rsidTr="00A37FA9">
        <w:tc>
          <w:tcPr>
            <w:tcW w:w="3360" w:type="pct"/>
            <w:tcBorders>
              <w:top w:val="single" w:sz="4" w:space="0" w:color="CFDBEC"/>
              <w:bottom w:val="single" w:sz="4" w:space="0" w:color="CFDBEC"/>
              <w:right w:val="single" w:sz="4" w:space="0" w:color="157EB9" w:themeColor="accent3"/>
            </w:tcBorders>
            <w:vAlign w:val="center"/>
          </w:tcPr>
          <w:p w14:paraId="485457E0" w14:textId="77777777" w:rsidR="00972F7D" w:rsidRPr="001A77AA" w:rsidRDefault="00972F7D" w:rsidP="00A37FA9">
            <w:pPr>
              <w:pStyle w:val="TableTextLeft"/>
              <w:rPr>
                <w:i/>
                <w:iCs/>
              </w:rPr>
            </w:pPr>
            <w:r w:rsidRPr="001A77AA">
              <w:t>Minor corrective actions required</w:t>
            </w:r>
          </w:p>
        </w:tc>
        <w:tc>
          <w:tcPr>
            <w:tcW w:w="821" w:type="pct"/>
            <w:tcBorders>
              <w:top w:val="single" w:sz="4" w:space="0" w:color="CFDBEC"/>
              <w:left w:val="single" w:sz="4" w:space="0" w:color="157EB9" w:themeColor="accent3"/>
              <w:bottom w:val="single" w:sz="4" w:space="0" w:color="CFDBEC"/>
              <w:right w:val="single" w:sz="4" w:space="0" w:color="157EB9" w:themeColor="accent3"/>
            </w:tcBorders>
            <w:shd w:val="clear" w:color="auto" w:fill="F4F6FA"/>
            <w:vAlign w:val="center"/>
          </w:tcPr>
          <w:p w14:paraId="66BC187F" w14:textId="77777777" w:rsidR="00972F7D" w:rsidRPr="001A77AA" w:rsidRDefault="00972F7D" w:rsidP="00A37FA9">
            <w:pPr>
              <w:pStyle w:val="TableTextRight"/>
            </w:pPr>
            <w:r w:rsidRPr="001A77AA" w:rsidDel="00F44E14">
              <w:t>N/A</w:t>
            </w:r>
          </w:p>
        </w:tc>
        <w:tc>
          <w:tcPr>
            <w:tcW w:w="819" w:type="pct"/>
            <w:tcBorders>
              <w:top w:val="single" w:sz="4" w:space="0" w:color="CFDBEC"/>
              <w:left w:val="single" w:sz="4" w:space="0" w:color="157EB9" w:themeColor="accent3"/>
              <w:bottom w:val="single" w:sz="4" w:space="0" w:color="CFDBEC"/>
            </w:tcBorders>
            <w:vAlign w:val="center"/>
          </w:tcPr>
          <w:p w14:paraId="59049E18" w14:textId="77777777" w:rsidR="00972F7D" w:rsidRPr="001A77AA" w:rsidRDefault="00972F7D" w:rsidP="00A37FA9">
            <w:pPr>
              <w:pStyle w:val="TableTextRight"/>
            </w:pPr>
            <w:r w:rsidRPr="001A77AA">
              <w:t>N/A</w:t>
            </w:r>
          </w:p>
        </w:tc>
      </w:tr>
      <w:tr w:rsidR="00972F7D" w:rsidRPr="001A77AA" w14:paraId="5796794E" w14:textId="77777777" w:rsidTr="00A37FA9">
        <w:tc>
          <w:tcPr>
            <w:tcW w:w="3360" w:type="pct"/>
            <w:tcBorders>
              <w:top w:val="single" w:sz="4" w:space="0" w:color="CFDBEC"/>
              <w:bottom w:val="single" w:sz="4" w:space="0" w:color="CFDBEC"/>
              <w:right w:val="single" w:sz="4" w:space="0" w:color="157EB9" w:themeColor="accent3"/>
            </w:tcBorders>
            <w:vAlign w:val="center"/>
          </w:tcPr>
          <w:p w14:paraId="14C5C427" w14:textId="77777777" w:rsidR="00972F7D" w:rsidRPr="001A77AA" w:rsidRDefault="00972F7D" w:rsidP="00A37FA9">
            <w:pPr>
              <w:pStyle w:val="TableTextLeft"/>
              <w:rPr>
                <w:i/>
                <w:iCs/>
              </w:rPr>
            </w:pPr>
            <w:r w:rsidRPr="001A77AA">
              <w:t>Major corrective actions required</w:t>
            </w:r>
          </w:p>
        </w:tc>
        <w:tc>
          <w:tcPr>
            <w:tcW w:w="821" w:type="pct"/>
            <w:tcBorders>
              <w:top w:val="single" w:sz="4" w:space="0" w:color="CFDBEC"/>
              <w:left w:val="single" w:sz="4" w:space="0" w:color="157EB9" w:themeColor="accent3"/>
              <w:bottom w:val="single" w:sz="4" w:space="0" w:color="CFDBEC"/>
              <w:right w:val="single" w:sz="4" w:space="0" w:color="157EB9" w:themeColor="accent3"/>
            </w:tcBorders>
            <w:shd w:val="clear" w:color="auto" w:fill="F4F6FA"/>
            <w:vAlign w:val="center"/>
          </w:tcPr>
          <w:p w14:paraId="0202C8A4" w14:textId="77777777" w:rsidR="00972F7D" w:rsidRPr="001A77AA" w:rsidRDefault="00972F7D" w:rsidP="00A37FA9">
            <w:pPr>
              <w:pStyle w:val="TableTextRight"/>
            </w:pPr>
            <w:r w:rsidRPr="001A77AA" w:rsidDel="00F44E14">
              <w:t>N/A</w:t>
            </w:r>
          </w:p>
        </w:tc>
        <w:tc>
          <w:tcPr>
            <w:tcW w:w="819" w:type="pct"/>
            <w:tcBorders>
              <w:top w:val="single" w:sz="4" w:space="0" w:color="CFDBEC"/>
              <w:left w:val="single" w:sz="4" w:space="0" w:color="157EB9" w:themeColor="accent3"/>
              <w:bottom w:val="single" w:sz="4" w:space="0" w:color="CFDBEC"/>
            </w:tcBorders>
            <w:vAlign w:val="center"/>
          </w:tcPr>
          <w:p w14:paraId="3FD7DF18" w14:textId="77777777" w:rsidR="00972F7D" w:rsidRPr="001A77AA" w:rsidRDefault="00972F7D" w:rsidP="00A37FA9">
            <w:pPr>
              <w:pStyle w:val="TableTextRight"/>
            </w:pPr>
            <w:r w:rsidRPr="001A77AA">
              <w:t>N/A</w:t>
            </w:r>
          </w:p>
        </w:tc>
      </w:tr>
      <w:tr w:rsidR="00972F7D" w:rsidRPr="001A77AA" w14:paraId="4CC51024" w14:textId="77777777" w:rsidTr="00A37FA9">
        <w:trPr>
          <w:trHeight w:val="77"/>
        </w:trPr>
        <w:tc>
          <w:tcPr>
            <w:tcW w:w="3360" w:type="pct"/>
            <w:tcBorders>
              <w:top w:val="single" w:sz="4" w:space="0" w:color="CFDBEC"/>
              <w:bottom w:val="single" w:sz="4" w:space="0" w:color="CFDBEC"/>
              <w:right w:val="single" w:sz="4" w:space="0" w:color="157EB9" w:themeColor="accent3"/>
            </w:tcBorders>
            <w:vAlign w:val="center"/>
            <w:hideMark/>
          </w:tcPr>
          <w:p w14:paraId="42B89128" w14:textId="77777777" w:rsidR="00972F7D" w:rsidRPr="001A77AA" w:rsidRDefault="00972F7D" w:rsidP="00A37FA9">
            <w:pPr>
              <w:pStyle w:val="TableTextLeft"/>
              <w:rPr>
                <w:i/>
                <w:iCs/>
              </w:rPr>
            </w:pPr>
            <w:r w:rsidRPr="001A77AA">
              <w:t xml:space="preserve">Unsatisfactory / disciplinary action required </w:t>
            </w:r>
          </w:p>
        </w:tc>
        <w:tc>
          <w:tcPr>
            <w:tcW w:w="821" w:type="pct"/>
            <w:tcBorders>
              <w:top w:val="single" w:sz="4" w:space="0" w:color="CFDBEC"/>
              <w:left w:val="single" w:sz="4" w:space="0" w:color="157EB9" w:themeColor="accent3"/>
              <w:bottom w:val="single" w:sz="4" w:space="0" w:color="CFDBEC"/>
              <w:right w:val="single" w:sz="4" w:space="0" w:color="157EB9" w:themeColor="accent3"/>
            </w:tcBorders>
            <w:shd w:val="clear" w:color="auto" w:fill="F4F6FA"/>
            <w:vAlign w:val="center"/>
          </w:tcPr>
          <w:p w14:paraId="3DA593FB" w14:textId="7D9D5553" w:rsidR="00972F7D" w:rsidRPr="001A77AA" w:rsidRDefault="00972F7D" w:rsidP="00A37FA9">
            <w:pPr>
              <w:pStyle w:val="TableTextRight"/>
            </w:pPr>
            <w:r w:rsidRPr="001A77AA" w:rsidDel="00F44E14">
              <w:t>1</w:t>
            </w:r>
          </w:p>
        </w:tc>
        <w:tc>
          <w:tcPr>
            <w:tcW w:w="819" w:type="pct"/>
            <w:tcBorders>
              <w:top w:val="single" w:sz="4" w:space="0" w:color="CFDBEC"/>
              <w:left w:val="single" w:sz="4" w:space="0" w:color="157EB9" w:themeColor="accent3"/>
              <w:bottom w:val="single" w:sz="4" w:space="0" w:color="CFDBEC"/>
            </w:tcBorders>
            <w:vAlign w:val="center"/>
          </w:tcPr>
          <w:p w14:paraId="142AE5F8" w14:textId="066A9463" w:rsidR="00972F7D" w:rsidRPr="001A77AA" w:rsidRDefault="00972F7D" w:rsidP="00A37FA9">
            <w:pPr>
              <w:pStyle w:val="TableTextRight"/>
            </w:pPr>
            <w:r w:rsidRPr="001A77AA">
              <w:t>1</w:t>
            </w:r>
          </w:p>
        </w:tc>
      </w:tr>
      <w:tr w:rsidR="00972F7D" w:rsidRPr="001A77AA" w14:paraId="6C839CA4" w14:textId="77777777" w:rsidTr="00A37FA9">
        <w:trPr>
          <w:trHeight w:val="64"/>
        </w:trPr>
        <w:tc>
          <w:tcPr>
            <w:tcW w:w="3360" w:type="pct"/>
            <w:tcBorders>
              <w:top w:val="single" w:sz="4" w:space="0" w:color="CFDBEC"/>
              <w:right w:val="single" w:sz="4" w:space="0" w:color="157EB9" w:themeColor="accent3"/>
            </w:tcBorders>
            <w:hideMark/>
          </w:tcPr>
          <w:p w14:paraId="3F0925FF" w14:textId="77777777" w:rsidR="00972F7D" w:rsidRPr="001A77AA" w:rsidRDefault="00972F7D" w:rsidP="00A37FA9">
            <w:pPr>
              <w:pStyle w:val="TableColumnHeadingLeft"/>
              <w:rPr>
                <w:i/>
                <w:iCs/>
              </w:rPr>
            </w:pPr>
            <w:proofErr w:type="spellStart"/>
            <w:r w:rsidRPr="001A77AA">
              <w:t>Total</w:t>
            </w:r>
            <w:r w:rsidRPr="001A77AA">
              <w:rPr>
                <w:vertAlign w:val="superscript"/>
              </w:rPr>
              <w:t>e</w:t>
            </w:r>
            <w:proofErr w:type="spellEnd"/>
            <w:r w:rsidRPr="001A77AA">
              <w:t xml:space="preserve"> </w:t>
            </w:r>
          </w:p>
        </w:tc>
        <w:tc>
          <w:tcPr>
            <w:tcW w:w="821" w:type="pct"/>
            <w:tcBorders>
              <w:top w:val="single" w:sz="4" w:space="0" w:color="CFDBEC"/>
              <w:left w:val="single" w:sz="4" w:space="0" w:color="157EB9" w:themeColor="accent3"/>
              <w:right w:val="single" w:sz="4" w:space="0" w:color="157EB9" w:themeColor="accent3"/>
            </w:tcBorders>
            <w:shd w:val="clear" w:color="auto" w:fill="F4F6FA"/>
            <w:vAlign w:val="center"/>
          </w:tcPr>
          <w:p w14:paraId="5D037736" w14:textId="05B6B149" w:rsidR="00972F7D" w:rsidRPr="001A77AA" w:rsidRDefault="00972F7D" w:rsidP="00A37FA9">
            <w:pPr>
              <w:pStyle w:val="TableColumnHeadingRight"/>
            </w:pPr>
            <w:r w:rsidRPr="001A77AA" w:rsidDel="00F44E14">
              <w:t>100</w:t>
            </w:r>
          </w:p>
        </w:tc>
        <w:tc>
          <w:tcPr>
            <w:tcW w:w="819" w:type="pct"/>
            <w:tcBorders>
              <w:top w:val="single" w:sz="4" w:space="0" w:color="CFDBEC"/>
              <w:left w:val="single" w:sz="4" w:space="0" w:color="157EB9" w:themeColor="accent3"/>
            </w:tcBorders>
            <w:vAlign w:val="center"/>
          </w:tcPr>
          <w:p w14:paraId="690128B5" w14:textId="2BAD0F9B" w:rsidR="00972F7D" w:rsidRPr="001A77AA" w:rsidRDefault="00972F7D" w:rsidP="00A37FA9">
            <w:pPr>
              <w:pStyle w:val="TableColumnHeadingRight"/>
            </w:pPr>
            <w:r w:rsidRPr="001A77AA">
              <w:t>100</w:t>
            </w:r>
          </w:p>
        </w:tc>
      </w:tr>
    </w:tbl>
    <w:p w14:paraId="101D2735" w14:textId="77777777" w:rsidR="00972F7D" w:rsidRDefault="00972F7D" w:rsidP="00972F7D">
      <w:pPr>
        <w:pStyle w:val="NoSpacing"/>
      </w:pPr>
    </w:p>
    <w:p w14:paraId="4975D7D2" w14:textId="77777777" w:rsidR="00972F7D" w:rsidRPr="001A77AA" w:rsidRDefault="00972F7D" w:rsidP="00972F7D">
      <w:pPr>
        <w:pStyle w:val="ChartorTableNote"/>
        <w:keepNext/>
        <w:keepLines/>
      </w:pPr>
      <w:r w:rsidRPr="001A77AA">
        <w:rPr>
          <w:lang w:val="en-GB"/>
        </w:rPr>
        <w:t>Notes:</w:t>
      </w:r>
    </w:p>
    <w:p w14:paraId="48E57CA3" w14:textId="77777777" w:rsidR="00972F7D" w:rsidRPr="001A77AA" w:rsidRDefault="00972F7D" w:rsidP="00972F7D">
      <w:pPr>
        <w:pStyle w:val="ChartandTableFootnoteAlpha"/>
        <w:keepNext/>
        <w:keepLines/>
        <w:numPr>
          <w:ilvl w:val="0"/>
          <w:numId w:val="38"/>
        </w:numPr>
        <w:rPr>
          <w:lang w:val="en-GB"/>
        </w:rPr>
      </w:pPr>
      <w:r w:rsidRPr="001A77AA">
        <w:rPr>
          <w:lang w:val="en-GB"/>
        </w:rPr>
        <w:t>CA ANZ review program completes quality assurance reviews based on firms, not individual members. Inclusion of individual members is in Table 4.1.</w:t>
      </w:r>
    </w:p>
    <w:p w14:paraId="26EB61E4" w14:textId="77777777" w:rsidR="00972F7D" w:rsidRPr="001A77AA" w:rsidRDefault="00972F7D" w:rsidP="00972F7D">
      <w:pPr>
        <w:pStyle w:val="ChartandTableFootnoteAlpha"/>
        <w:keepNext/>
        <w:keepLines/>
        <w:rPr>
          <w:lang w:val="en-GB"/>
        </w:rPr>
      </w:pPr>
      <w:r w:rsidRPr="001A77AA">
        <w:rPr>
          <w:lang w:val="en-GB"/>
        </w:rPr>
        <w:t xml:space="preserve">See note (a) to Table 4.1. </w:t>
      </w:r>
    </w:p>
    <w:p w14:paraId="2F173827" w14:textId="77777777" w:rsidR="00972F7D" w:rsidRPr="001A77AA" w:rsidRDefault="00972F7D" w:rsidP="00972F7D">
      <w:pPr>
        <w:pStyle w:val="ChartandTableFootnoteAlpha"/>
        <w:rPr>
          <w:lang w:val="en-GB"/>
        </w:rPr>
      </w:pPr>
      <w:r w:rsidRPr="001A77AA">
        <w:rPr>
          <w:lang w:val="en-GB"/>
        </w:rPr>
        <w:t xml:space="preserve">See note (d) to Table 4.1. </w:t>
      </w:r>
    </w:p>
    <w:p w14:paraId="3ED20794" w14:textId="77777777" w:rsidR="00BB596D" w:rsidRPr="001A77AA" w:rsidRDefault="00BB596D" w:rsidP="00BB596D">
      <w:pPr>
        <w:pStyle w:val="NoSpacing"/>
        <w:rPr>
          <w:lang w:val="en-GB"/>
        </w:rPr>
      </w:pPr>
    </w:p>
    <w:p w14:paraId="77EF61F7" w14:textId="77777777" w:rsidR="00BB596D" w:rsidRPr="001A77AA" w:rsidRDefault="00BB596D" w:rsidP="003466B5">
      <w:pPr>
        <w:pStyle w:val="Heading1"/>
        <w:sectPr w:rsidR="00BB596D" w:rsidRPr="001A77AA" w:rsidSect="000B6784">
          <w:pgSz w:w="11906" w:h="16838" w:code="9"/>
          <w:pgMar w:top="1843" w:right="1418" w:bottom="1418" w:left="1418" w:header="708" w:footer="708" w:gutter="0"/>
          <w:cols w:space="708"/>
          <w:titlePg/>
          <w:docGrid w:linePitch="360"/>
        </w:sectPr>
      </w:pPr>
    </w:p>
    <w:p w14:paraId="29E08654" w14:textId="4482A167" w:rsidR="00F23429" w:rsidRPr="001A77AA" w:rsidRDefault="001157FB" w:rsidP="003466B5">
      <w:pPr>
        <w:pStyle w:val="Heading1"/>
      </w:pPr>
      <w:bookmarkStart w:id="69" w:name="_Toc241065245"/>
      <w:r w:rsidRPr="001A77AA">
        <w:lastRenderedPageBreak/>
        <w:t>FRC Nominations Committee</w:t>
      </w:r>
      <w:bookmarkEnd w:id="69"/>
    </w:p>
    <w:p w14:paraId="0A41DD26" w14:textId="5370A85E" w:rsidR="001157FB" w:rsidRPr="001A77AA" w:rsidRDefault="001157FB" w:rsidP="000B66A2">
      <w:pPr>
        <w:pStyle w:val="Heading2"/>
        <w:rPr>
          <w:iCs w:val="0"/>
        </w:rPr>
      </w:pPr>
      <w:bookmarkStart w:id="70" w:name="_Toc241065246"/>
      <w:r w:rsidRPr="001A77AA">
        <w:rPr>
          <w:iCs w:val="0"/>
        </w:rPr>
        <w:t>Nominations Committee members</w:t>
      </w:r>
      <w:bookmarkEnd w:id="70"/>
    </w:p>
    <w:p w14:paraId="22D27E85" w14:textId="23F7FEF5" w:rsidR="001157FB" w:rsidRPr="001A77AA" w:rsidRDefault="001157FB" w:rsidP="00610F4C">
      <w:pPr>
        <w:rPr>
          <w:lang w:val="en-GB"/>
        </w:rPr>
      </w:pPr>
      <w:r w:rsidRPr="001A77AA">
        <w:rPr>
          <w:lang w:val="en-GB"/>
        </w:rPr>
        <w:t xml:space="preserve">As </w:t>
      </w:r>
      <w:r w:rsidR="006A545E" w:rsidRPr="001A77AA">
        <w:rPr>
          <w:lang w:val="en-GB"/>
        </w:rPr>
        <w:t>of</w:t>
      </w:r>
      <w:r w:rsidRPr="001A77AA">
        <w:rPr>
          <w:lang w:val="en-GB"/>
        </w:rPr>
        <w:t xml:space="preserve"> 30 June </w:t>
      </w:r>
      <w:r w:rsidR="00A43143" w:rsidRPr="001A77AA">
        <w:rPr>
          <w:lang w:val="en-GB"/>
        </w:rPr>
        <w:t>2026</w:t>
      </w:r>
      <w:r w:rsidRPr="001A77AA">
        <w:rPr>
          <w:lang w:val="en-GB"/>
        </w:rPr>
        <w:t xml:space="preserve">, the Nominations Committee comprised </w:t>
      </w:r>
      <w:r w:rsidR="00032680" w:rsidRPr="001A77AA">
        <w:rPr>
          <w:lang w:val="en-GB"/>
        </w:rPr>
        <w:t xml:space="preserve">FRC members </w:t>
      </w:r>
      <w:r w:rsidR="00F937BA" w:rsidRPr="001A77AA">
        <w:rPr>
          <w:lang w:val="en-GB"/>
        </w:rPr>
        <w:t>Rachel Grimes</w:t>
      </w:r>
      <w:r w:rsidRPr="001A77AA">
        <w:rPr>
          <w:lang w:val="en-GB"/>
        </w:rPr>
        <w:t xml:space="preserve"> (Chair), Andrew Mills</w:t>
      </w:r>
      <w:r w:rsidR="00EB71F8" w:rsidRPr="001A77AA">
        <w:rPr>
          <w:lang w:val="en-GB"/>
        </w:rPr>
        <w:t xml:space="preserve"> (ex officio)</w:t>
      </w:r>
      <w:r w:rsidRPr="001A77AA">
        <w:rPr>
          <w:lang w:val="en-GB"/>
        </w:rPr>
        <w:t>, Keith Kendall</w:t>
      </w:r>
      <w:r w:rsidR="00E73322" w:rsidRPr="001A77AA">
        <w:rPr>
          <w:lang w:val="en-GB"/>
        </w:rPr>
        <w:t>, Doug Niven and Pru Benn</w:t>
      </w:r>
      <w:r w:rsidR="00A92025" w:rsidRPr="001A77AA">
        <w:rPr>
          <w:lang w:val="en-GB"/>
        </w:rPr>
        <w:t xml:space="preserve">ett. </w:t>
      </w:r>
    </w:p>
    <w:p w14:paraId="5C75F4C3" w14:textId="7BFCCA8D" w:rsidR="001157FB" w:rsidRPr="001A77AA" w:rsidRDefault="001157FB" w:rsidP="00925952">
      <w:pPr>
        <w:pStyle w:val="Heading2"/>
      </w:pPr>
      <w:bookmarkStart w:id="71" w:name="_Toc241065247"/>
      <w:r w:rsidRPr="00925952">
        <w:t>Operations</w:t>
      </w:r>
      <w:r w:rsidRPr="001A77AA">
        <w:t xml:space="preserve"> of the Nominations Committee</w:t>
      </w:r>
      <w:bookmarkEnd w:id="71"/>
    </w:p>
    <w:p w14:paraId="1FAB048F" w14:textId="2BF3835A" w:rsidR="00AF1BFE" w:rsidRPr="001A77AA" w:rsidRDefault="0067706A" w:rsidP="00610F4C">
      <w:pPr>
        <w:rPr>
          <w:lang w:val="en-GB"/>
        </w:rPr>
      </w:pPr>
      <w:r w:rsidRPr="001A77AA">
        <w:rPr>
          <w:lang w:val="en-GB"/>
        </w:rPr>
        <w:t xml:space="preserve">In </w:t>
      </w:r>
      <w:r w:rsidR="007640CC" w:rsidRPr="001A77AA">
        <w:rPr>
          <w:lang w:val="en-GB"/>
        </w:rPr>
        <w:t>2025</w:t>
      </w:r>
      <w:r w:rsidRPr="001A77AA">
        <w:rPr>
          <w:lang w:val="en-GB"/>
        </w:rPr>
        <w:t>–</w:t>
      </w:r>
      <w:r w:rsidR="007640CC" w:rsidRPr="001A77AA">
        <w:rPr>
          <w:lang w:val="en-GB"/>
        </w:rPr>
        <w:t>26</w:t>
      </w:r>
      <w:r w:rsidRPr="001A77AA">
        <w:rPr>
          <w:lang w:val="en-GB"/>
        </w:rPr>
        <w:t xml:space="preserve">, the Nominations </w:t>
      </w:r>
      <w:r w:rsidR="00AF1BFE" w:rsidRPr="001A77AA">
        <w:rPr>
          <w:lang w:val="en-GB"/>
        </w:rPr>
        <w:t xml:space="preserve">Committee: </w:t>
      </w:r>
    </w:p>
    <w:p w14:paraId="735D38BB" w14:textId="646E1C6B" w:rsidR="001157FB" w:rsidRPr="001A77AA" w:rsidRDefault="00776803" w:rsidP="00531C63">
      <w:pPr>
        <w:pStyle w:val="Bullet"/>
      </w:pPr>
      <w:r w:rsidRPr="001A77AA">
        <w:t>m</w:t>
      </w:r>
      <w:r w:rsidR="001157FB" w:rsidRPr="001A77AA">
        <w:t>ade recommendations to the FRC for the appointment of members to the AASB and AUASB</w:t>
      </w:r>
    </w:p>
    <w:p w14:paraId="488572FA" w14:textId="24EC9297" w:rsidR="00414163" w:rsidRPr="001A77AA" w:rsidRDefault="00414163" w:rsidP="00531C63">
      <w:pPr>
        <w:pStyle w:val="Bullet"/>
      </w:pPr>
      <w:r w:rsidRPr="001A77AA">
        <w:t>considered board composition, member succession and appointment requirements to support continuity and effective governance</w:t>
      </w:r>
      <w:r w:rsidR="00EC0FEA" w:rsidRPr="001A77AA">
        <w:t xml:space="preserve"> </w:t>
      </w:r>
      <w:proofErr w:type="gramStart"/>
      <w:r w:rsidR="00EC0FEA" w:rsidRPr="001A77AA">
        <w:t>in light of</w:t>
      </w:r>
      <w:proofErr w:type="gramEnd"/>
      <w:r w:rsidR="00EC0FEA" w:rsidRPr="001A77AA">
        <w:t xml:space="preserve"> the </w:t>
      </w:r>
      <w:r w:rsidR="00ED4B2C" w:rsidRPr="001A77AA">
        <w:t xml:space="preserve">then </w:t>
      </w:r>
      <w:r w:rsidR="00EC0FEA" w:rsidRPr="001A77AA">
        <w:t xml:space="preserve">potential passage of the </w:t>
      </w:r>
      <w:r w:rsidR="00F77ABD" w:rsidRPr="001A77AA">
        <w:t>ERA Act</w:t>
      </w:r>
    </w:p>
    <w:p w14:paraId="5320C398" w14:textId="61208C4E" w:rsidR="00784B26" w:rsidRPr="001A77AA" w:rsidRDefault="00776803" w:rsidP="00531C63">
      <w:pPr>
        <w:pStyle w:val="Bullet"/>
      </w:pPr>
      <w:r w:rsidRPr="001A77AA">
        <w:t>c</w:t>
      </w:r>
      <w:r w:rsidR="001157FB" w:rsidRPr="001A77AA">
        <w:t>onsidered the performance of the AASB and AUASB</w:t>
      </w:r>
      <w:r w:rsidR="007473AA" w:rsidRPr="001A77AA">
        <w:t xml:space="preserve">, </w:t>
      </w:r>
      <w:r w:rsidR="001157FB" w:rsidRPr="001A77AA">
        <w:t>including through peer review</w:t>
      </w:r>
    </w:p>
    <w:p w14:paraId="61BE21B5" w14:textId="075923C3" w:rsidR="00175A58" w:rsidRPr="001A77AA" w:rsidRDefault="000015E6" w:rsidP="00531C63">
      <w:pPr>
        <w:pStyle w:val="Bullet"/>
      </w:pPr>
      <w:r w:rsidRPr="001A77AA">
        <w:t xml:space="preserve">made </w:t>
      </w:r>
      <w:r w:rsidR="00175A58" w:rsidRPr="001A77AA">
        <w:t xml:space="preserve">changes </w:t>
      </w:r>
      <w:r w:rsidR="00F64E5B" w:rsidRPr="001A77AA">
        <w:t>to</w:t>
      </w:r>
      <w:r w:rsidR="00175A58" w:rsidRPr="001A77AA">
        <w:t xml:space="preserve"> the Nominations Charter to the FRC</w:t>
      </w:r>
      <w:r w:rsidR="001D6C53" w:rsidRPr="001A77AA">
        <w:t>.</w:t>
      </w:r>
    </w:p>
    <w:p w14:paraId="7277AF80" w14:textId="77777777" w:rsidR="001157FB" w:rsidRPr="001A77AA" w:rsidRDefault="001157FB" w:rsidP="000B66A2">
      <w:pPr>
        <w:pStyle w:val="Heading2"/>
        <w:rPr>
          <w:iCs w:val="0"/>
        </w:rPr>
      </w:pPr>
      <w:bookmarkStart w:id="72" w:name="_Toc241065248"/>
      <w:r w:rsidRPr="001A77AA">
        <w:rPr>
          <w:iCs w:val="0"/>
        </w:rPr>
        <w:t>Appointment of members to the AASB and AUASB</w:t>
      </w:r>
      <w:bookmarkEnd w:id="72"/>
    </w:p>
    <w:p w14:paraId="34957841" w14:textId="4A81323D" w:rsidR="005F6698" w:rsidRDefault="00D821E0" w:rsidP="001501D5">
      <w:pPr>
        <w:rPr>
          <w:rFonts w:cs="Calibri Light"/>
          <w:szCs w:val="22"/>
          <w:lang w:val="en-GB"/>
        </w:rPr>
      </w:pPr>
      <w:r w:rsidRPr="001A77AA">
        <w:rPr>
          <w:rFonts w:cs="Calibri Light"/>
          <w:szCs w:val="22"/>
          <w:lang w:val="en-GB"/>
        </w:rPr>
        <w:t>In 2025</w:t>
      </w:r>
      <w:r w:rsidR="00E6550C" w:rsidRPr="001A77AA">
        <w:rPr>
          <w:rFonts w:cs="Calibri Light"/>
          <w:szCs w:val="22"/>
          <w:lang w:val="en-GB"/>
        </w:rPr>
        <w:t>–</w:t>
      </w:r>
      <w:r w:rsidRPr="001A77AA">
        <w:rPr>
          <w:rFonts w:cs="Calibri Light"/>
          <w:szCs w:val="22"/>
          <w:lang w:val="en-GB"/>
        </w:rPr>
        <w:t>26, while legislation to give effect to the merger of financial reporting bodies was before the</w:t>
      </w:r>
      <w:r w:rsidR="00925952">
        <w:rPr>
          <w:rFonts w:cs="Calibri Light"/>
          <w:szCs w:val="22"/>
          <w:lang w:val="en-GB"/>
        </w:rPr>
        <w:t> </w:t>
      </w:r>
      <w:r w:rsidRPr="001A77AA">
        <w:rPr>
          <w:rFonts w:cs="Calibri Light"/>
          <w:szCs w:val="22"/>
          <w:lang w:val="en-GB"/>
        </w:rPr>
        <w:t>Parliament, the Nominations Committee recommended mak</w:t>
      </w:r>
      <w:r w:rsidR="00721879" w:rsidRPr="001A77AA">
        <w:rPr>
          <w:rFonts w:cs="Calibri Light"/>
          <w:szCs w:val="22"/>
          <w:lang w:val="en-GB"/>
        </w:rPr>
        <w:t>ing</w:t>
      </w:r>
      <w:r w:rsidRPr="001A77AA">
        <w:rPr>
          <w:rFonts w:cs="Calibri Light"/>
          <w:szCs w:val="22"/>
          <w:lang w:val="en-GB"/>
        </w:rPr>
        <w:t xml:space="preserve"> short</w:t>
      </w:r>
      <w:r w:rsidR="009C134F" w:rsidRPr="001A77AA">
        <w:rPr>
          <w:rFonts w:cs="Calibri Light"/>
          <w:szCs w:val="22"/>
          <w:lang w:val="en-GB"/>
        </w:rPr>
        <w:noBreakHyphen/>
      </w:r>
      <w:r w:rsidRPr="001A77AA">
        <w:rPr>
          <w:rFonts w:cs="Calibri Light"/>
          <w:szCs w:val="22"/>
          <w:lang w:val="en-GB"/>
        </w:rPr>
        <w:t>term reappointments to AASB and AUASB to ensure the continuity of the boards. These reappointments were made by the FRC</w:t>
      </w:r>
      <w:r w:rsidR="00925952">
        <w:rPr>
          <w:rFonts w:cs="Calibri Light"/>
          <w:szCs w:val="22"/>
          <w:lang w:val="en-GB"/>
        </w:rPr>
        <w:t> </w:t>
      </w:r>
      <w:r w:rsidRPr="001A77AA">
        <w:rPr>
          <w:rFonts w:cs="Calibri Light"/>
          <w:szCs w:val="22"/>
          <w:lang w:val="en-GB"/>
        </w:rPr>
        <w:t xml:space="preserve">in </w:t>
      </w:r>
      <w:r w:rsidR="00F86A74">
        <w:rPr>
          <w:rFonts w:cs="Calibri Light"/>
          <w:szCs w:val="22"/>
          <w:lang w:val="en-GB"/>
        </w:rPr>
        <w:t>2</w:t>
      </w:r>
      <w:r w:rsidRPr="001A77AA">
        <w:rPr>
          <w:rFonts w:cs="Calibri Light"/>
          <w:szCs w:val="22"/>
          <w:lang w:val="en-GB"/>
        </w:rPr>
        <w:t xml:space="preserve"> tranches</w:t>
      </w:r>
      <w:r w:rsidR="00DB2F01" w:rsidRPr="001A77AA">
        <w:rPr>
          <w:rFonts w:cs="Calibri Light"/>
          <w:szCs w:val="22"/>
          <w:lang w:val="en-GB"/>
        </w:rPr>
        <w:t xml:space="preserve">, </w:t>
      </w:r>
      <w:r w:rsidR="004708D8" w:rsidRPr="001A77AA">
        <w:rPr>
          <w:rFonts w:cs="Calibri Light"/>
          <w:szCs w:val="22"/>
          <w:lang w:val="en-GB"/>
        </w:rPr>
        <w:t xml:space="preserve">initially </w:t>
      </w:r>
      <w:r w:rsidR="00F86A74">
        <w:rPr>
          <w:rFonts w:cs="Calibri Light"/>
          <w:szCs w:val="22"/>
          <w:lang w:val="en-GB"/>
        </w:rPr>
        <w:t>5</w:t>
      </w:r>
      <w:r w:rsidR="004708D8" w:rsidRPr="001A77AA">
        <w:rPr>
          <w:rFonts w:cs="Calibri Light"/>
          <w:szCs w:val="22"/>
          <w:lang w:val="en-GB"/>
        </w:rPr>
        <w:t xml:space="preserve"> AASB and </w:t>
      </w:r>
      <w:r w:rsidR="00F86A74">
        <w:rPr>
          <w:rFonts w:cs="Calibri Light"/>
          <w:szCs w:val="22"/>
          <w:lang w:val="en-GB"/>
        </w:rPr>
        <w:t>4</w:t>
      </w:r>
      <w:r w:rsidR="004708D8" w:rsidRPr="001A77AA">
        <w:rPr>
          <w:rFonts w:cs="Calibri Light"/>
          <w:szCs w:val="22"/>
          <w:lang w:val="en-GB"/>
        </w:rPr>
        <w:t xml:space="preserve"> AUASB members were reappointed from 1 January</w:t>
      </w:r>
      <w:r w:rsidR="00EE3467" w:rsidRPr="001A77AA">
        <w:rPr>
          <w:rFonts w:cs="Calibri Light"/>
          <w:szCs w:val="22"/>
          <w:lang w:val="en-GB"/>
        </w:rPr>
        <w:t xml:space="preserve"> until </w:t>
      </w:r>
      <w:r w:rsidR="004708D8" w:rsidRPr="001A77AA">
        <w:rPr>
          <w:rFonts w:cs="Calibri Light"/>
          <w:szCs w:val="22"/>
          <w:lang w:val="en-GB"/>
        </w:rPr>
        <w:t>30</w:t>
      </w:r>
      <w:r w:rsidR="00E6550C" w:rsidRPr="001A77AA">
        <w:rPr>
          <w:rFonts w:cs="Calibri Light"/>
          <w:szCs w:val="22"/>
          <w:lang w:val="en-GB"/>
        </w:rPr>
        <w:t> </w:t>
      </w:r>
      <w:r w:rsidR="004708D8" w:rsidRPr="001A77AA">
        <w:rPr>
          <w:rFonts w:cs="Calibri Light"/>
          <w:szCs w:val="22"/>
          <w:lang w:val="en-GB"/>
        </w:rPr>
        <w:t>June</w:t>
      </w:r>
      <w:r w:rsidR="00925952">
        <w:rPr>
          <w:rFonts w:cs="Calibri Light"/>
          <w:szCs w:val="22"/>
          <w:lang w:val="en-GB"/>
        </w:rPr>
        <w:t> </w:t>
      </w:r>
      <w:r w:rsidR="000A4452" w:rsidRPr="001A77AA">
        <w:rPr>
          <w:rFonts w:cs="Calibri Light"/>
          <w:szCs w:val="22"/>
          <w:lang w:val="en-GB"/>
        </w:rPr>
        <w:t>2026</w:t>
      </w:r>
      <w:r w:rsidR="00E6550C" w:rsidRPr="001A77AA">
        <w:rPr>
          <w:rFonts w:cs="Calibri Light"/>
          <w:szCs w:val="22"/>
          <w:lang w:val="en-GB"/>
        </w:rPr>
        <w:t xml:space="preserve">. </w:t>
      </w:r>
      <w:r w:rsidR="004708D8" w:rsidRPr="001A77AA">
        <w:rPr>
          <w:rFonts w:cs="Calibri Light"/>
          <w:szCs w:val="22"/>
          <w:lang w:val="en-GB"/>
        </w:rPr>
        <w:t xml:space="preserve">The FRC subsequently reappointed 12 AASB and </w:t>
      </w:r>
      <w:r w:rsidR="0043133E">
        <w:rPr>
          <w:rFonts w:cs="Calibri Light"/>
          <w:szCs w:val="22"/>
          <w:lang w:val="en-GB"/>
        </w:rPr>
        <w:t>9</w:t>
      </w:r>
      <w:r w:rsidR="004708D8" w:rsidRPr="001A77AA">
        <w:rPr>
          <w:rFonts w:cs="Calibri Light"/>
          <w:szCs w:val="22"/>
          <w:lang w:val="en-GB"/>
        </w:rPr>
        <w:t xml:space="preserve"> AUASB members from 1</w:t>
      </w:r>
      <w:r w:rsidR="00F43A1B">
        <w:rPr>
          <w:rFonts w:cs="Calibri Light"/>
          <w:szCs w:val="22"/>
          <w:lang w:val="en-GB"/>
        </w:rPr>
        <w:t> </w:t>
      </w:r>
      <w:r w:rsidR="004708D8" w:rsidRPr="001A77AA">
        <w:rPr>
          <w:rFonts w:cs="Calibri Light"/>
          <w:szCs w:val="22"/>
          <w:lang w:val="en-GB"/>
        </w:rPr>
        <w:t>July</w:t>
      </w:r>
      <w:r w:rsidR="00F43A1B">
        <w:rPr>
          <w:rFonts w:cs="Calibri Light"/>
          <w:szCs w:val="22"/>
          <w:lang w:val="en-GB"/>
        </w:rPr>
        <w:t> </w:t>
      </w:r>
      <w:r w:rsidR="004708D8" w:rsidRPr="001A77AA">
        <w:rPr>
          <w:rFonts w:cs="Calibri Light"/>
          <w:szCs w:val="22"/>
          <w:lang w:val="en-GB"/>
        </w:rPr>
        <w:t>to 31</w:t>
      </w:r>
      <w:r w:rsidR="00925952">
        <w:rPr>
          <w:rFonts w:cs="Calibri Light"/>
          <w:szCs w:val="22"/>
          <w:lang w:val="en-GB"/>
        </w:rPr>
        <w:t> </w:t>
      </w:r>
      <w:r w:rsidR="004708D8" w:rsidRPr="001A77AA">
        <w:rPr>
          <w:rFonts w:cs="Calibri Light"/>
          <w:szCs w:val="22"/>
          <w:lang w:val="en-GB"/>
        </w:rPr>
        <w:t>October</w:t>
      </w:r>
      <w:r w:rsidR="00925952">
        <w:rPr>
          <w:rFonts w:cs="Calibri Light"/>
          <w:szCs w:val="22"/>
          <w:lang w:val="en-GB"/>
        </w:rPr>
        <w:t> </w:t>
      </w:r>
      <w:r w:rsidR="004708D8" w:rsidRPr="001A77AA">
        <w:rPr>
          <w:rFonts w:cs="Calibri Light"/>
          <w:szCs w:val="22"/>
          <w:lang w:val="en-GB"/>
        </w:rPr>
        <w:t>2026</w:t>
      </w:r>
      <w:r w:rsidR="00EE3467" w:rsidRPr="001A77AA">
        <w:rPr>
          <w:rFonts w:cs="Calibri Light"/>
          <w:szCs w:val="22"/>
          <w:lang w:val="en-GB"/>
        </w:rPr>
        <w:t>.</w:t>
      </w:r>
    </w:p>
    <w:p w14:paraId="753101E1" w14:textId="0E4E973A" w:rsidR="00D95CC7" w:rsidRPr="001A77AA" w:rsidRDefault="00D821E0" w:rsidP="001501D5">
      <w:pPr>
        <w:rPr>
          <w:rFonts w:cs="Calibri Light"/>
          <w:szCs w:val="22"/>
          <w:lang w:val="en-GB"/>
        </w:rPr>
      </w:pPr>
      <w:r w:rsidRPr="001A77AA">
        <w:rPr>
          <w:rFonts w:cs="Calibri Light"/>
          <w:szCs w:val="22"/>
          <w:lang w:val="en-GB"/>
        </w:rPr>
        <w:t xml:space="preserve">Following the </w:t>
      </w:r>
      <w:r w:rsidR="00BB418B">
        <w:rPr>
          <w:rFonts w:cs="Calibri Light"/>
          <w:szCs w:val="22"/>
          <w:lang w:val="en-GB"/>
        </w:rPr>
        <w:t xml:space="preserve">commencement of </w:t>
      </w:r>
      <w:r w:rsidR="00DA5CAE">
        <w:rPr>
          <w:rFonts w:cs="Calibri Light"/>
          <w:szCs w:val="22"/>
          <w:lang w:val="en-GB"/>
        </w:rPr>
        <w:t>relevant parts of the</w:t>
      </w:r>
      <w:r w:rsidRPr="001A77AA">
        <w:rPr>
          <w:rFonts w:cs="Calibri Light"/>
          <w:szCs w:val="22"/>
          <w:lang w:val="en-GB"/>
        </w:rPr>
        <w:t xml:space="preserve"> ERA Act, </w:t>
      </w:r>
      <w:r w:rsidR="002C1D0D">
        <w:rPr>
          <w:rFonts w:cs="Calibri Light"/>
          <w:szCs w:val="22"/>
          <w:lang w:val="en-GB"/>
        </w:rPr>
        <w:t xml:space="preserve">by virtue of </w:t>
      </w:r>
      <w:r w:rsidR="00C746A9">
        <w:rPr>
          <w:rFonts w:cs="Calibri Light"/>
          <w:szCs w:val="22"/>
          <w:lang w:val="en-GB"/>
        </w:rPr>
        <w:t xml:space="preserve">section 351 of the ASIC Act, </w:t>
      </w:r>
      <w:r w:rsidRPr="001A77AA">
        <w:rPr>
          <w:rFonts w:cs="Calibri Light"/>
          <w:szCs w:val="22"/>
          <w:lang w:val="en-GB"/>
        </w:rPr>
        <w:t>the terms of all current AASB and AUASB members were extended for the balance of the transitional period</w:t>
      </w:r>
      <w:r w:rsidR="00FB0DDE" w:rsidRPr="001A77AA">
        <w:rPr>
          <w:rFonts w:cs="Calibri Light"/>
          <w:szCs w:val="22"/>
          <w:lang w:val="en-GB"/>
        </w:rPr>
        <w:t xml:space="preserve">, to </w:t>
      </w:r>
      <w:r w:rsidRPr="001A77AA">
        <w:rPr>
          <w:rFonts w:cs="Calibri Light"/>
          <w:szCs w:val="22"/>
          <w:lang w:val="en-GB"/>
        </w:rPr>
        <w:t>30 November 2026.</w:t>
      </w:r>
    </w:p>
    <w:p w14:paraId="3E374119" w14:textId="77777777" w:rsidR="003466B5" w:rsidRPr="003466B5" w:rsidRDefault="003466B5" w:rsidP="003466B5">
      <w:r w:rsidRPr="003466B5">
        <w:br w:type="page"/>
      </w:r>
    </w:p>
    <w:p w14:paraId="26556C56" w14:textId="04940959" w:rsidR="00861F10" w:rsidRPr="00925952" w:rsidRDefault="00861F10" w:rsidP="00925952">
      <w:pPr>
        <w:pStyle w:val="Heading3"/>
      </w:pPr>
      <w:r w:rsidRPr="001A77AA">
        <w:lastRenderedPageBreak/>
        <w:t>AASB</w:t>
      </w:r>
    </w:p>
    <w:p w14:paraId="0A26353D" w14:textId="68B67DD1" w:rsidR="00F571BA" w:rsidRPr="001A77AA" w:rsidRDefault="00AC7ACA" w:rsidP="00925952">
      <w:r w:rsidRPr="001A77AA">
        <w:t>The following</w:t>
      </w:r>
      <w:r w:rsidR="00F571BA" w:rsidRPr="001A77AA">
        <w:t xml:space="preserve"> appointment</w:t>
      </w:r>
      <w:r w:rsidR="003A1D8E" w:rsidRPr="001A77AA">
        <w:t xml:space="preserve">s </w:t>
      </w:r>
      <w:r w:rsidR="00EB1A12" w:rsidRPr="001A77AA">
        <w:t>were made from</w:t>
      </w:r>
      <w:r w:rsidR="00F571BA" w:rsidRPr="001A77AA">
        <w:t xml:space="preserve"> 1 July 2026 until 31 October 2026:</w:t>
      </w:r>
    </w:p>
    <w:p w14:paraId="4687D0C6" w14:textId="00C26129" w:rsidR="00A84798" w:rsidRPr="001A77AA" w:rsidRDefault="00A00DB2" w:rsidP="00531C63">
      <w:pPr>
        <w:pStyle w:val="Bullet"/>
      </w:pPr>
      <w:r w:rsidRPr="001A77AA">
        <w:t>Dean Hanlon</w:t>
      </w:r>
      <w:r w:rsidR="00A84798" w:rsidRPr="001A77AA">
        <w:t xml:space="preserve"> </w:t>
      </w:r>
    </w:p>
    <w:p w14:paraId="481AD0AC" w14:textId="77777777" w:rsidR="00A84798" w:rsidRPr="001A77AA" w:rsidRDefault="00A00DB2" w:rsidP="00531C63">
      <w:pPr>
        <w:pStyle w:val="Bullet"/>
      </w:pPr>
      <w:r w:rsidRPr="001A77AA">
        <w:t>Toby Langley</w:t>
      </w:r>
    </w:p>
    <w:p w14:paraId="7B811F3F" w14:textId="77777777" w:rsidR="00A84798" w:rsidRPr="001A77AA" w:rsidRDefault="00A00DB2" w:rsidP="00531C63">
      <w:pPr>
        <w:pStyle w:val="Bullet"/>
      </w:pPr>
      <w:r w:rsidRPr="001A77AA">
        <w:t>Caroline Spencer</w:t>
      </w:r>
    </w:p>
    <w:p w14:paraId="1F9EE365" w14:textId="77777777" w:rsidR="00A84798" w:rsidRPr="001A77AA" w:rsidRDefault="00A00DB2" w:rsidP="00531C63">
      <w:pPr>
        <w:pStyle w:val="Bullet"/>
      </w:pPr>
      <w:r w:rsidRPr="001A77AA">
        <w:t>Moana Overton</w:t>
      </w:r>
    </w:p>
    <w:p w14:paraId="20A9284A" w14:textId="1F068DAD" w:rsidR="0001584C" w:rsidRPr="001A77AA" w:rsidRDefault="0001584C" w:rsidP="00531C63">
      <w:pPr>
        <w:pStyle w:val="Bullet"/>
      </w:pPr>
      <w:r w:rsidRPr="001A77AA">
        <w:t>Rebecca Gordon</w:t>
      </w:r>
    </w:p>
    <w:p w14:paraId="7EE86BE6" w14:textId="77777777" w:rsidR="00A84798" w:rsidRPr="001A77AA" w:rsidRDefault="00A00DB2" w:rsidP="00531C63">
      <w:pPr>
        <w:pStyle w:val="Bullet"/>
      </w:pPr>
      <w:r w:rsidRPr="001A77AA">
        <w:t>Carolyn Cordery</w:t>
      </w:r>
    </w:p>
    <w:p w14:paraId="7AFAB71A" w14:textId="4C73C890" w:rsidR="003C1591" w:rsidRPr="001A77AA" w:rsidRDefault="003C1591" w:rsidP="003C1591">
      <w:pPr>
        <w:pStyle w:val="Bullet"/>
      </w:pPr>
      <w:r w:rsidRPr="001A77AA">
        <w:t>Sean Osborn</w:t>
      </w:r>
    </w:p>
    <w:p w14:paraId="57BF224A" w14:textId="04F846E5" w:rsidR="00A84798" w:rsidRPr="001A77AA" w:rsidRDefault="00A00DB2" w:rsidP="00531C63">
      <w:pPr>
        <w:pStyle w:val="Bullet"/>
      </w:pPr>
      <w:r w:rsidRPr="001A77AA">
        <w:t>Liza Maimone</w:t>
      </w:r>
      <w:r w:rsidR="00E91031" w:rsidRPr="001A77AA">
        <w:t xml:space="preserve"> (prior to this, Liza was appointed from 1 January 2026 until 30 June 2026)</w:t>
      </w:r>
    </w:p>
    <w:p w14:paraId="45EBE8BE" w14:textId="2DC76EC8" w:rsidR="00A84798" w:rsidRPr="001A77AA" w:rsidRDefault="00A00DB2" w:rsidP="00531C63">
      <w:pPr>
        <w:pStyle w:val="Bullet"/>
      </w:pPr>
      <w:r w:rsidRPr="001A77AA">
        <w:t>Stephen Taylor</w:t>
      </w:r>
      <w:r w:rsidR="00DD005E" w:rsidRPr="001A77AA">
        <w:t xml:space="preserve"> (prior to this, Stephen was appointed from 1 January 2026 until 30 June 2026)</w:t>
      </w:r>
    </w:p>
    <w:p w14:paraId="712DCEE8" w14:textId="4EBCC3C7" w:rsidR="00A84798" w:rsidRPr="001A77AA" w:rsidRDefault="00A00DB2" w:rsidP="00531C63">
      <w:pPr>
        <w:pStyle w:val="Bullet"/>
      </w:pPr>
      <w:r w:rsidRPr="001A77AA">
        <w:t>David Holland</w:t>
      </w:r>
      <w:r w:rsidR="00DD005E" w:rsidRPr="001A77AA">
        <w:t xml:space="preserve"> (prior to this, David was appointed from 1 January 2026 until 30 June 2026)</w:t>
      </w:r>
    </w:p>
    <w:p w14:paraId="1F31F3D6" w14:textId="73892460" w:rsidR="00A84798" w:rsidRPr="001A77AA" w:rsidRDefault="00A00DB2" w:rsidP="00531C63">
      <w:pPr>
        <w:pStyle w:val="Bullet"/>
      </w:pPr>
      <w:r w:rsidRPr="001A77AA">
        <w:t xml:space="preserve">Mathew Nelson </w:t>
      </w:r>
      <w:r w:rsidR="002B76BC" w:rsidRPr="001A77AA">
        <w:t>(prior to this, Mathew was appointed from 1 January 2026 until 30 June 2026)</w:t>
      </w:r>
    </w:p>
    <w:p w14:paraId="711A9CA5" w14:textId="149076F3" w:rsidR="00A84798" w:rsidRPr="001A77AA" w:rsidRDefault="00A00DB2" w:rsidP="00531C63">
      <w:pPr>
        <w:pStyle w:val="Bullet"/>
      </w:pPr>
      <w:r w:rsidRPr="001A77AA">
        <w:t>Adrian King</w:t>
      </w:r>
      <w:r w:rsidR="00143E80" w:rsidRPr="001A77AA">
        <w:t xml:space="preserve"> </w:t>
      </w:r>
      <w:r w:rsidR="00E91031" w:rsidRPr="001A77AA">
        <w:t>(prior to this, Adrian was appointed from 1 January 2026 until 30 June 2026)</w:t>
      </w:r>
    </w:p>
    <w:p w14:paraId="64594280" w14:textId="77777777" w:rsidR="001157FB" w:rsidRPr="001A77AA" w:rsidRDefault="001157FB" w:rsidP="00610F4C">
      <w:pPr>
        <w:pStyle w:val="Heading3"/>
      </w:pPr>
      <w:r w:rsidRPr="001A77AA">
        <w:t>AUASB</w:t>
      </w:r>
    </w:p>
    <w:p w14:paraId="5E562208" w14:textId="215A052C" w:rsidR="000B4DC0" w:rsidRPr="001A77AA" w:rsidRDefault="007A503D" w:rsidP="007052E8">
      <w:r w:rsidRPr="001A77AA">
        <w:t xml:space="preserve">The following appointments </w:t>
      </w:r>
      <w:r w:rsidR="00B946E5" w:rsidRPr="001A77AA">
        <w:t>were made from</w:t>
      </w:r>
      <w:r w:rsidR="002F06F1" w:rsidRPr="001A77AA">
        <w:t xml:space="preserve"> 1 July 2026 until 31 October 2026:</w:t>
      </w:r>
    </w:p>
    <w:p w14:paraId="7CE73A0A" w14:textId="77777777" w:rsidR="002F06F1" w:rsidRPr="001A77AA" w:rsidRDefault="002F06F1" w:rsidP="00531C63">
      <w:pPr>
        <w:pStyle w:val="Bullet"/>
      </w:pPr>
      <w:r w:rsidRPr="001A77AA">
        <w:rPr>
          <w:lang w:val="en-GB"/>
        </w:rPr>
        <w:t>Jennifer Travers</w:t>
      </w:r>
    </w:p>
    <w:p w14:paraId="15B75498" w14:textId="77777777" w:rsidR="002F06F1" w:rsidRPr="001A77AA" w:rsidRDefault="002F06F1" w:rsidP="00531C63">
      <w:pPr>
        <w:pStyle w:val="Bullet"/>
      </w:pPr>
      <w:r w:rsidRPr="001A77AA">
        <w:rPr>
          <w:lang w:val="en-GB"/>
        </w:rPr>
        <w:t>Joanne Lonergan</w:t>
      </w:r>
    </w:p>
    <w:p w14:paraId="1D6138EF" w14:textId="77777777" w:rsidR="001323D1" w:rsidRPr="001A77AA" w:rsidRDefault="001323D1" w:rsidP="00531C63">
      <w:pPr>
        <w:pStyle w:val="Bullet"/>
      </w:pPr>
      <w:r w:rsidRPr="001A77AA">
        <w:rPr>
          <w:lang w:val="en-GB"/>
        </w:rPr>
        <w:t xml:space="preserve">Merilyn Gwan </w:t>
      </w:r>
    </w:p>
    <w:p w14:paraId="2B5CEC36" w14:textId="1887EE0D" w:rsidR="009F2E60" w:rsidRPr="001A77AA" w:rsidRDefault="009F2E60" w:rsidP="00531C63">
      <w:pPr>
        <w:pStyle w:val="Bullet"/>
      </w:pPr>
      <w:r w:rsidRPr="001A77AA">
        <w:rPr>
          <w:lang w:val="en-GB"/>
        </w:rPr>
        <w:t>Noel Harding</w:t>
      </w:r>
    </w:p>
    <w:p w14:paraId="5BD71FE9" w14:textId="2ECF1E1A" w:rsidR="002F06F1" w:rsidRPr="001A77AA" w:rsidRDefault="002F06F1" w:rsidP="00531C63">
      <w:pPr>
        <w:pStyle w:val="Bullet"/>
      </w:pPr>
      <w:r w:rsidRPr="001A77AA">
        <w:rPr>
          <w:lang w:val="en-GB"/>
        </w:rPr>
        <w:t>Graeme Pinfold</w:t>
      </w:r>
      <w:r w:rsidR="00880877" w:rsidRPr="001A77AA">
        <w:rPr>
          <w:lang w:val="en-GB"/>
        </w:rPr>
        <w:t xml:space="preserve"> </w:t>
      </w:r>
      <w:r w:rsidR="00E54837" w:rsidRPr="001A77AA">
        <w:rPr>
          <w:lang w:val="en-GB"/>
        </w:rPr>
        <w:t>(</w:t>
      </w:r>
      <w:r w:rsidR="00EE0D5F">
        <w:rPr>
          <w:lang w:val="en-GB"/>
        </w:rPr>
        <w:t>p</w:t>
      </w:r>
      <w:r w:rsidR="00880877" w:rsidRPr="001A77AA">
        <w:rPr>
          <w:lang w:val="en-GB"/>
        </w:rPr>
        <w:t>rior to this, Graeme</w:t>
      </w:r>
      <w:r w:rsidR="0051264F" w:rsidRPr="001A77AA">
        <w:rPr>
          <w:lang w:val="en-GB"/>
        </w:rPr>
        <w:t xml:space="preserve"> was</w:t>
      </w:r>
      <w:r w:rsidR="00987E16" w:rsidRPr="001A77AA">
        <w:rPr>
          <w:lang w:val="en-GB"/>
        </w:rPr>
        <w:t xml:space="preserve"> </w:t>
      </w:r>
      <w:r w:rsidR="00E1679F">
        <w:rPr>
          <w:lang w:val="en-GB"/>
        </w:rPr>
        <w:t xml:space="preserve">separately </w:t>
      </w:r>
      <w:r w:rsidR="00987E16" w:rsidRPr="001A77AA">
        <w:rPr>
          <w:lang w:val="en-GB"/>
        </w:rPr>
        <w:t>appoint</w:t>
      </w:r>
      <w:r w:rsidR="0051264F" w:rsidRPr="001A77AA">
        <w:rPr>
          <w:lang w:val="en-GB"/>
        </w:rPr>
        <w:t xml:space="preserve">ed </w:t>
      </w:r>
      <w:r w:rsidR="009572BA" w:rsidRPr="001A77AA">
        <w:rPr>
          <w:lang w:val="en-GB"/>
        </w:rPr>
        <w:t>from</w:t>
      </w:r>
      <w:r w:rsidR="00987E16" w:rsidRPr="001A77AA">
        <w:rPr>
          <w:lang w:val="en-GB"/>
        </w:rPr>
        <w:t xml:space="preserve"> </w:t>
      </w:r>
      <w:r w:rsidR="00880877" w:rsidRPr="001A77AA">
        <w:rPr>
          <w:lang w:val="en-GB"/>
        </w:rPr>
        <w:t>1 September 2025 until 30 June 2026</w:t>
      </w:r>
      <w:r w:rsidR="00987E16" w:rsidRPr="001A77AA">
        <w:rPr>
          <w:lang w:val="en-GB"/>
        </w:rPr>
        <w:t>)</w:t>
      </w:r>
    </w:p>
    <w:p w14:paraId="60D31050" w14:textId="30153BC2" w:rsidR="002F06F1" w:rsidRPr="001A77AA" w:rsidRDefault="002F06F1" w:rsidP="00531C63">
      <w:pPr>
        <w:pStyle w:val="Bullet"/>
      </w:pPr>
      <w:r w:rsidRPr="001A77AA">
        <w:rPr>
          <w:lang w:val="en-GB"/>
        </w:rPr>
        <w:t>Jason Thorne</w:t>
      </w:r>
      <w:r w:rsidR="006F792E" w:rsidRPr="001A77AA">
        <w:rPr>
          <w:lang w:val="en-GB"/>
        </w:rPr>
        <w:t xml:space="preserve"> (prior to this, Jason</w:t>
      </w:r>
      <w:r w:rsidR="001D58DA" w:rsidRPr="001A77AA">
        <w:rPr>
          <w:lang w:val="en-GB"/>
        </w:rPr>
        <w:t xml:space="preserve"> was</w:t>
      </w:r>
      <w:r w:rsidR="006F792E" w:rsidRPr="001A77AA">
        <w:rPr>
          <w:lang w:val="en-GB"/>
        </w:rPr>
        <w:t xml:space="preserve"> appoint</w:t>
      </w:r>
      <w:r w:rsidR="001D58DA" w:rsidRPr="001A77AA">
        <w:rPr>
          <w:lang w:val="en-GB"/>
        </w:rPr>
        <w:t>ed</w:t>
      </w:r>
      <w:r w:rsidR="006F792E" w:rsidRPr="001A77AA">
        <w:rPr>
          <w:lang w:val="en-GB"/>
        </w:rPr>
        <w:t xml:space="preserve"> </w:t>
      </w:r>
      <w:r w:rsidR="001D58DA" w:rsidRPr="001A77AA">
        <w:rPr>
          <w:lang w:val="en-GB"/>
        </w:rPr>
        <w:t>from</w:t>
      </w:r>
      <w:r w:rsidR="006F792E" w:rsidRPr="001A77AA">
        <w:rPr>
          <w:lang w:val="en-GB"/>
        </w:rPr>
        <w:t xml:space="preserve"> 1 January 2026 until 30 June 2026)</w:t>
      </w:r>
    </w:p>
    <w:p w14:paraId="17549849" w14:textId="65993048" w:rsidR="002F06F1" w:rsidRPr="001A77AA" w:rsidRDefault="002F06F1" w:rsidP="00531C63">
      <w:pPr>
        <w:pStyle w:val="Bullet"/>
      </w:pPr>
      <w:r w:rsidRPr="001A77AA">
        <w:rPr>
          <w:lang w:val="en-GB"/>
        </w:rPr>
        <w:t>Andrew Porter</w:t>
      </w:r>
      <w:r w:rsidR="006F792E" w:rsidRPr="001A77AA">
        <w:rPr>
          <w:lang w:val="en-GB"/>
        </w:rPr>
        <w:t xml:space="preserve"> (prior to this, Andrew</w:t>
      </w:r>
      <w:r w:rsidR="001D58DA" w:rsidRPr="001A77AA">
        <w:rPr>
          <w:lang w:val="en-GB"/>
        </w:rPr>
        <w:t xml:space="preserve"> was appointed from</w:t>
      </w:r>
      <w:r w:rsidR="006F792E" w:rsidRPr="001A77AA">
        <w:rPr>
          <w:lang w:val="en-GB"/>
        </w:rPr>
        <w:t xml:space="preserve"> 1 January 2026 until 30 June 2026)</w:t>
      </w:r>
    </w:p>
    <w:p w14:paraId="1AB06C61" w14:textId="478F1A0F" w:rsidR="002F06F1" w:rsidRPr="001A77AA" w:rsidRDefault="002F06F1" w:rsidP="00531C63">
      <w:pPr>
        <w:pStyle w:val="Bullet"/>
      </w:pPr>
      <w:r w:rsidRPr="001A77AA">
        <w:rPr>
          <w:lang w:val="en-GB"/>
        </w:rPr>
        <w:t>Chi Woo</w:t>
      </w:r>
      <w:r w:rsidR="006F792E" w:rsidRPr="001A77AA">
        <w:rPr>
          <w:lang w:val="en-GB"/>
        </w:rPr>
        <w:t xml:space="preserve"> (prior to this, Chi</w:t>
      </w:r>
      <w:r w:rsidR="001D58DA" w:rsidRPr="001A77AA">
        <w:rPr>
          <w:lang w:val="en-GB"/>
        </w:rPr>
        <w:t xml:space="preserve"> was appointed from</w:t>
      </w:r>
      <w:r w:rsidR="006F792E" w:rsidRPr="001A77AA">
        <w:rPr>
          <w:lang w:val="en-GB"/>
        </w:rPr>
        <w:t xml:space="preserve"> 1 January 2026 until 30 June 2026)</w:t>
      </w:r>
    </w:p>
    <w:p w14:paraId="781AA634" w14:textId="1E13A662" w:rsidR="002F06F1" w:rsidRPr="001A77AA" w:rsidRDefault="002F06F1" w:rsidP="00531C63">
      <w:pPr>
        <w:pStyle w:val="Bullet"/>
      </w:pPr>
      <w:r w:rsidRPr="001A77AA">
        <w:rPr>
          <w:lang w:val="en-GB"/>
        </w:rPr>
        <w:t xml:space="preserve">Terence Jeyaretnam </w:t>
      </w:r>
      <w:r w:rsidR="006F792E" w:rsidRPr="001A77AA">
        <w:rPr>
          <w:lang w:val="en-GB"/>
        </w:rPr>
        <w:t xml:space="preserve">(prior to this, Terence </w:t>
      </w:r>
      <w:r w:rsidR="001D58DA" w:rsidRPr="001A77AA">
        <w:rPr>
          <w:lang w:val="en-GB"/>
        </w:rPr>
        <w:t>was appointed from</w:t>
      </w:r>
      <w:r w:rsidR="006F792E" w:rsidRPr="001A77AA">
        <w:rPr>
          <w:lang w:val="en-GB"/>
        </w:rPr>
        <w:t xml:space="preserve"> 1 January 2026 until 30 June 2026)</w:t>
      </w:r>
    </w:p>
    <w:p w14:paraId="091540DB" w14:textId="77777777" w:rsidR="003466B5" w:rsidRPr="003466B5" w:rsidRDefault="003466B5" w:rsidP="003466B5">
      <w:r w:rsidRPr="003466B5">
        <w:br w:type="page"/>
      </w:r>
    </w:p>
    <w:p w14:paraId="0748C9A2" w14:textId="6E713BEF" w:rsidR="003428F2" w:rsidRPr="001A77AA" w:rsidRDefault="003428F2" w:rsidP="003428F2">
      <w:pPr>
        <w:pStyle w:val="Heading3"/>
      </w:pPr>
      <w:r w:rsidRPr="001A77AA">
        <w:lastRenderedPageBreak/>
        <w:t>Outgoing members</w:t>
      </w:r>
    </w:p>
    <w:p w14:paraId="1E901F94" w14:textId="51C92163" w:rsidR="009805B1" w:rsidRPr="001A77AA" w:rsidRDefault="00AB41EA" w:rsidP="0064585A">
      <w:pPr>
        <w:rPr>
          <w:lang w:val="en-GB"/>
        </w:rPr>
      </w:pPr>
      <w:r w:rsidRPr="001A77AA">
        <w:rPr>
          <w:lang w:val="en-GB"/>
        </w:rPr>
        <w:t>The FRC wishes to acknowledge the contr</w:t>
      </w:r>
      <w:r w:rsidR="00E65747" w:rsidRPr="001A77AA">
        <w:rPr>
          <w:lang w:val="en-GB"/>
        </w:rPr>
        <w:t xml:space="preserve">ibutions of </w:t>
      </w:r>
      <w:r w:rsidR="00CC3D20" w:rsidRPr="001A77AA">
        <w:rPr>
          <w:lang w:val="en-GB"/>
        </w:rPr>
        <w:t>outgoing AUASB members</w:t>
      </w:r>
      <w:r w:rsidR="007025D7" w:rsidRPr="001A77AA">
        <w:rPr>
          <w:lang w:val="en-GB"/>
        </w:rPr>
        <w:t xml:space="preserve">. </w:t>
      </w:r>
    </w:p>
    <w:p w14:paraId="23906710" w14:textId="6F9B5C80" w:rsidR="009805B1" w:rsidRPr="008C6F05" w:rsidRDefault="00CC3D20" w:rsidP="0064585A">
      <w:pPr>
        <w:rPr>
          <w:spacing w:val="-1"/>
          <w:lang w:val="en-GB"/>
        </w:rPr>
      </w:pPr>
      <w:r w:rsidRPr="008C6F05">
        <w:rPr>
          <w:spacing w:val="-1"/>
          <w:lang w:val="en-GB"/>
        </w:rPr>
        <w:t>T</w:t>
      </w:r>
      <w:r w:rsidR="00711F68" w:rsidRPr="008C6F05">
        <w:rPr>
          <w:spacing w:val="-1"/>
          <w:lang w:val="en-GB"/>
        </w:rPr>
        <w:t xml:space="preserve">he late </w:t>
      </w:r>
      <w:proofErr w:type="spellStart"/>
      <w:r w:rsidR="00711F68" w:rsidRPr="008C6F05">
        <w:rPr>
          <w:spacing w:val="-1"/>
          <w:lang w:val="en-GB"/>
        </w:rPr>
        <w:t>Klynton</w:t>
      </w:r>
      <w:proofErr w:type="spellEnd"/>
      <w:r w:rsidR="00711F68" w:rsidRPr="008C6F05">
        <w:rPr>
          <w:spacing w:val="-1"/>
          <w:lang w:val="en-GB"/>
        </w:rPr>
        <w:t xml:space="preserve"> Hanki</w:t>
      </w:r>
      <w:r w:rsidRPr="008C6F05">
        <w:rPr>
          <w:spacing w:val="-1"/>
          <w:lang w:val="en-GB"/>
        </w:rPr>
        <w:t xml:space="preserve">n served from </w:t>
      </w:r>
      <w:r w:rsidR="00C556FE" w:rsidRPr="008C6F05">
        <w:rPr>
          <w:spacing w:val="-1"/>
          <w:lang w:val="en-GB"/>
        </w:rPr>
        <w:t xml:space="preserve">1 January </w:t>
      </w:r>
      <w:r w:rsidR="004A6823" w:rsidRPr="008C6F05">
        <w:rPr>
          <w:spacing w:val="-1"/>
          <w:lang w:val="en-GB"/>
        </w:rPr>
        <w:t>2022</w:t>
      </w:r>
      <w:r w:rsidRPr="008C6F05">
        <w:rPr>
          <w:spacing w:val="-1"/>
          <w:lang w:val="en-GB"/>
        </w:rPr>
        <w:t xml:space="preserve"> to 30 June</w:t>
      </w:r>
      <w:r w:rsidR="00FB2C03" w:rsidRPr="008C6F05">
        <w:rPr>
          <w:spacing w:val="-1"/>
          <w:lang w:val="en-GB"/>
        </w:rPr>
        <w:t xml:space="preserve"> 2026.</w:t>
      </w:r>
      <w:r w:rsidR="00BE450C" w:rsidRPr="008C6F05">
        <w:rPr>
          <w:spacing w:val="-1"/>
          <w:lang w:val="en-GB"/>
        </w:rPr>
        <w:t xml:space="preserve"> </w:t>
      </w:r>
      <w:proofErr w:type="spellStart"/>
      <w:r w:rsidRPr="008C6F05">
        <w:rPr>
          <w:spacing w:val="-1"/>
          <w:lang w:val="en-GB"/>
        </w:rPr>
        <w:t>Klynton</w:t>
      </w:r>
      <w:proofErr w:type="spellEnd"/>
      <w:r w:rsidR="00D628BB" w:rsidRPr="008C6F05">
        <w:rPr>
          <w:spacing w:val="-1"/>
          <w:lang w:val="en-GB"/>
        </w:rPr>
        <w:t xml:space="preserve"> was a gre</w:t>
      </w:r>
      <w:r w:rsidR="00624F80" w:rsidRPr="008C6F05">
        <w:rPr>
          <w:spacing w:val="-1"/>
          <w:lang w:val="en-GB"/>
        </w:rPr>
        <w:t>atly appreciated</w:t>
      </w:r>
      <w:r w:rsidR="008C6F05" w:rsidRPr="008C6F05">
        <w:rPr>
          <w:spacing w:val="-1"/>
          <w:lang w:val="en-GB"/>
        </w:rPr>
        <w:t xml:space="preserve"> </w:t>
      </w:r>
      <w:r w:rsidR="00624F80" w:rsidRPr="008C6F05">
        <w:rPr>
          <w:lang w:val="en-GB"/>
        </w:rPr>
        <w:t xml:space="preserve">member of the AUASB. </w:t>
      </w:r>
      <w:r w:rsidR="00B05D12" w:rsidRPr="008C6F05">
        <w:rPr>
          <w:lang w:val="en-GB"/>
        </w:rPr>
        <w:t xml:space="preserve">The FRC extends its sympathies to </w:t>
      </w:r>
      <w:proofErr w:type="spellStart"/>
      <w:r w:rsidR="00624F87" w:rsidRPr="008C6F05">
        <w:rPr>
          <w:lang w:val="en-GB"/>
        </w:rPr>
        <w:t>Klynton</w:t>
      </w:r>
      <w:r w:rsidR="009C134F" w:rsidRPr="008C6F05">
        <w:rPr>
          <w:lang w:val="en-GB"/>
        </w:rPr>
        <w:t>’</w:t>
      </w:r>
      <w:r w:rsidR="00624F87" w:rsidRPr="008C6F05">
        <w:rPr>
          <w:lang w:val="en-GB"/>
        </w:rPr>
        <w:t>s</w:t>
      </w:r>
      <w:proofErr w:type="spellEnd"/>
      <w:r w:rsidR="00624F87" w:rsidRPr="008C6F05">
        <w:rPr>
          <w:lang w:val="en-GB"/>
        </w:rPr>
        <w:t xml:space="preserve"> family</w:t>
      </w:r>
      <w:r w:rsidR="00675EEA" w:rsidRPr="008C6F05">
        <w:rPr>
          <w:lang w:val="en-GB"/>
        </w:rPr>
        <w:t>, friends and colleagues</w:t>
      </w:r>
      <w:r w:rsidR="00530658" w:rsidRPr="008C6F05">
        <w:rPr>
          <w:lang w:val="en-GB"/>
        </w:rPr>
        <w:t>.</w:t>
      </w:r>
      <w:r w:rsidR="00B05D12" w:rsidRPr="008C6F05">
        <w:rPr>
          <w:lang w:val="en-GB"/>
        </w:rPr>
        <w:t xml:space="preserve"> </w:t>
      </w:r>
      <w:r w:rsidR="009D0C9B" w:rsidRPr="008C6F05">
        <w:rPr>
          <w:lang w:val="en-GB"/>
        </w:rPr>
        <w:t xml:space="preserve">During his terms, </w:t>
      </w:r>
      <w:r w:rsidR="00D04791" w:rsidRPr="008C6F05">
        <w:rPr>
          <w:lang w:val="en-GB"/>
        </w:rPr>
        <w:t xml:space="preserve">the </w:t>
      </w:r>
      <w:r w:rsidR="00167D94" w:rsidRPr="008C6F05">
        <w:rPr>
          <w:lang w:val="en-GB"/>
        </w:rPr>
        <w:t>AUASB</w:t>
      </w:r>
      <w:r w:rsidR="009D0C9B" w:rsidRPr="008C6F05">
        <w:rPr>
          <w:lang w:val="en-GB"/>
        </w:rPr>
        <w:t xml:space="preserve"> oversaw a transformative period for assurance</w:t>
      </w:r>
      <w:r w:rsidR="00D04791" w:rsidRPr="008C6F05">
        <w:rPr>
          <w:lang w:val="en-GB"/>
        </w:rPr>
        <w:t xml:space="preserve"> and</w:t>
      </w:r>
      <w:r w:rsidR="00331BD7" w:rsidRPr="008C6F05">
        <w:rPr>
          <w:lang w:val="en-GB"/>
        </w:rPr>
        <w:t xml:space="preserve"> </w:t>
      </w:r>
      <w:r w:rsidR="009D0C9B" w:rsidRPr="008C6F05">
        <w:rPr>
          <w:lang w:val="en-GB"/>
        </w:rPr>
        <w:t>corporate reporting</w:t>
      </w:r>
      <w:r w:rsidR="00D04791" w:rsidRPr="008C6F05">
        <w:rPr>
          <w:lang w:val="en-GB"/>
        </w:rPr>
        <w:t>, and</w:t>
      </w:r>
      <w:r w:rsidR="009D0C9B" w:rsidRPr="008C6F05">
        <w:rPr>
          <w:lang w:val="en-GB"/>
        </w:rPr>
        <w:t xml:space="preserve"> </w:t>
      </w:r>
      <w:proofErr w:type="spellStart"/>
      <w:r w:rsidR="009D0C9B" w:rsidRPr="008C6F05">
        <w:rPr>
          <w:lang w:val="en-GB"/>
        </w:rPr>
        <w:t>Klynton</w:t>
      </w:r>
      <w:r w:rsidR="009C134F" w:rsidRPr="008C6F05">
        <w:rPr>
          <w:lang w:val="en-GB"/>
        </w:rPr>
        <w:t>’</w:t>
      </w:r>
      <w:r w:rsidR="009D0C9B" w:rsidRPr="008C6F05">
        <w:rPr>
          <w:lang w:val="en-GB"/>
        </w:rPr>
        <w:t>s</w:t>
      </w:r>
      <w:proofErr w:type="spellEnd"/>
      <w:r w:rsidR="00C85D88" w:rsidRPr="008C6F05">
        <w:rPr>
          <w:lang w:val="en-GB"/>
        </w:rPr>
        <w:t xml:space="preserve"> contributions</w:t>
      </w:r>
      <w:r w:rsidR="00B05D12" w:rsidRPr="008C6F05">
        <w:rPr>
          <w:lang w:val="en-GB"/>
        </w:rPr>
        <w:t xml:space="preserve"> </w:t>
      </w:r>
      <w:r w:rsidR="00FB2C03" w:rsidRPr="008C6F05">
        <w:rPr>
          <w:lang w:val="en-GB"/>
        </w:rPr>
        <w:t>are</w:t>
      </w:r>
      <w:r w:rsidR="00B05D12" w:rsidRPr="008C6F05">
        <w:rPr>
          <w:lang w:val="en-GB"/>
        </w:rPr>
        <w:t xml:space="preserve"> warmly </w:t>
      </w:r>
      <w:r w:rsidR="00530658" w:rsidRPr="008C6F05">
        <w:rPr>
          <w:lang w:val="en-GB"/>
        </w:rPr>
        <w:t>remembered</w:t>
      </w:r>
      <w:r w:rsidR="00331BD7" w:rsidRPr="008C6F05">
        <w:rPr>
          <w:lang w:val="en-GB"/>
        </w:rPr>
        <w:t>.</w:t>
      </w:r>
      <w:r w:rsidR="00331BD7" w:rsidRPr="008C6F05">
        <w:rPr>
          <w:spacing w:val="-1"/>
          <w:lang w:val="en-GB"/>
        </w:rPr>
        <w:t xml:space="preserve"> </w:t>
      </w:r>
    </w:p>
    <w:p w14:paraId="4730EA3F" w14:textId="35E0CA16" w:rsidR="00CC3D20" w:rsidRPr="001A77AA" w:rsidRDefault="00CC3D20" w:rsidP="0064585A">
      <w:r w:rsidRPr="001A77AA">
        <w:rPr>
          <w:lang w:val="en-GB"/>
        </w:rPr>
        <w:t>Julie Crisp, former Deputy Chair of the AUASB</w:t>
      </w:r>
      <w:r w:rsidR="00AB1BF5">
        <w:rPr>
          <w:lang w:val="en-GB"/>
        </w:rPr>
        <w:t>,</w:t>
      </w:r>
      <w:r w:rsidRPr="001A77AA">
        <w:rPr>
          <w:lang w:val="en-GB"/>
        </w:rPr>
        <w:t xml:space="preserve"> served from </w:t>
      </w:r>
      <w:r w:rsidR="00624F87" w:rsidRPr="001A77AA">
        <w:rPr>
          <w:lang w:val="en-GB"/>
        </w:rPr>
        <w:t>1 January 20</w:t>
      </w:r>
      <w:r w:rsidR="00BA3BF4">
        <w:rPr>
          <w:lang w:val="en-GB"/>
        </w:rPr>
        <w:t>18</w:t>
      </w:r>
      <w:r w:rsidRPr="001A77AA">
        <w:rPr>
          <w:lang w:val="en-GB"/>
        </w:rPr>
        <w:t xml:space="preserve"> to 30 June 2026</w:t>
      </w:r>
      <w:r w:rsidR="009D0C9B" w:rsidRPr="001A77AA">
        <w:rPr>
          <w:lang w:val="en-GB"/>
        </w:rPr>
        <w:t xml:space="preserve">. </w:t>
      </w:r>
      <w:r w:rsidR="009805B1" w:rsidRPr="001A77AA">
        <w:rPr>
          <w:lang w:val="en-GB"/>
        </w:rPr>
        <w:t>Julie</w:t>
      </w:r>
      <w:r w:rsidR="009C134F" w:rsidRPr="001A77AA">
        <w:rPr>
          <w:lang w:val="en-GB"/>
        </w:rPr>
        <w:t>’</w:t>
      </w:r>
      <w:r w:rsidR="009D0C9B" w:rsidRPr="001A77AA">
        <w:rPr>
          <w:lang w:val="en-GB"/>
        </w:rPr>
        <w:t>s</w:t>
      </w:r>
      <w:r w:rsidR="009805B1" w:rsidRPr="001A77AA">
        <w:rPr>
          <w:lang w:val="en-GB"/>
        </w:rPr>
        <w:t xml:space="preserve"> leadership and contributions to the AUASB</w:t>
      </w:r>
      <w:r w:rsidR="009C134F" w:rsidRPr="001A77AA">
        <w:rPr>
          <w:lang w:val="en-GB"/>
        </w:rPr>
        <w:t>’</w:t>
      </w:r>
      <w:r w:rsidR="009805B1" w:rsidRPr="001A77AA">
        <w:rPr>
          <w:lang w:val="en-GB"/>
        </w:rPr>
        <w:t>s public sector work, including the update of ASAE 3150 as Project Advisory Group Chair</w:t>
      </w:r>
      <w:r w:rsidR="00D04791" w:rsidRPr="001A77AA">
        <w:rPr>
          <w:lang w:val="en-GB"/>
        </w:rPr>
        <w:t>,</w:t>
      </w:r>
      <w:r w:rsidR="009805B1" w:rsidRPr="001A77AA">
        <w:rPr>
          <w:lang w:val="en-GB"/>
        </w:rPr>
        <w:t xml:space="preserve"> have been greatly appreciated. </w:t>
      </w:r>
    </w:p>
    <w:p w14:paraId="26B8C7E7" w14:textId="7778F723" w:rsidR="001157FB" w:rsidRPr="001A77AA" w:rsidRDefault="001157FB" w:rsidP="00610F4C">
      <w:pPr>
        <w:pStyle w:val="Heading2"/>
        <w:rPr>
          <w:iCs w:val="0"/>
        </w:rPr>
      </w:pPr>
      <w:bookmarkStart w:id="73" w:name="_Toc241065249"/>
      <w:r w:rsidRPr="001A77AA">
        <w:rPr>
          <w:iCs w:val="0"/>
        </w:rPr>
        <w:t>Attendance at FRC Nominations Committee meetings</w:t>
      </w:r>
      <w:bookmarkEnd w:id="73"/>
    </w:p>
    <w:p w14:paraId="30958E4A" w14:textId="4B777203" w:rsidR="001157FB" w:rsidRPr="001A77AA" w:rsidRDefault="001157FB" w:rsidP="00610F4C">
      <w:pPr>
        <w:rPr>
          <w:lang w:val="en-GB"/>
        </w:rPr>
      </w:pPr>
      <w:r w:rsidRPr="001A77AA">
        <w:rPr>
          <w:lang w:val="en-GB"/>
        </w:rPr>
        <w:t xml:space="preserve">The FRC Nominations Committee held </w:t>
      </w:r>
      <w:r w:rsidR="00F86A74">
        <w:rPr>
          <w:lang w:val="en-GB"/>
        </w:rPr>
        <w:t>3</w:t>
      </w:r>
      <w:r w:rsidR="00BA4CCD" w:rsidRPr="001A77AA">
        <w:rPr>
          <w:lang w:val="en-GB"/>
        </w:rPr>
        <w:t xml:space="preserve"> </w:t>
      </w:r>
      <w:r w:rsidRPr="001A77AA">
        <w:rPr>
          <w:lang w:val="en-GB"/>
        </w:rPr>
        <w:t xml:space="preserve">meetings in </w:t>
      </w:r>
      <w:r w:rsidR="006A3FEF" w:rsidRPr="001A77AA">
        <w:rPr>
          <w:lang w:val="en-GB"/>
        </w:rPr>
        <w:t>2025</w:t>
      </w:r>
      <w:r w:rsidRPr="001A77AA">
        <w:rPr>
          <w:lang w:val="en-GB"/>
        </w:rPr>
        <w:t>–</w:t>
      </w:r>
      <w:r w:rsidR="006A3FEF" w:rsidRPr="001A77AA">
        <w:rPr>
          <w:lang w:val="en-GB"/>
        </w:rPr>
        <w:t>26</w:t>
      </w:r>
      <w:r w:rsidRPr="001A77AA">
        <w:rPr>
          <w:lang w:val="en-GB"/>
        </w:rPr>
        <w:t>.</w:t>
      </w:r>
      <w:r w:rsidR="00850184" w:rsidRPr="001A77AA">
        <w:rPr>
          <w:lang w:val="en-GB"/>
        </w:rPr>
        <w:t xml:space="preserve"> </w:t>
      </w:r>
      <w:r w:rsidRPr="001A77AA">
        <w:rPr>
          <w:lang w:val="en-GB"/>
        </w:rPr>
        <w:t>Members</w:t>
      </w:r>
      <w:r w:rsidR="009C134F" w:rsidRPr="001A77AA">
        <w:rPr>
          <w:lang w:val="en-GB"/>
        </w:rPr>
        <w:t>’</w:t>
      </w:r>
      <w:r w:rsidRPr="001A77AA">
        <w:rPr>
          <w:lang w:val="en-GB"/>
        </w:rPr>
        <w:t xml:space="preserve"> attendance is in </w:t>
      </w:r>
      <w:r w:rsidR="00414B5D" w:rsidRPr="001A77AA">
        <w:rPr>
          <w:lang w:val="en-GB"/>
        </w:rPr>
        <w:t>Table</w:t>
      </w:r>
      <w:r w:rsidR="005202FE" w:rsidRPr="001A77AA">
        <w:rPr>
          <w:lang w:val="en-GB"/>
        </w:rPr>
        <w:t> </w:t>
      </w:r>
      <w:r w:rsidR="00DC0298" w:rsidRPr="001A77AA">
        <w:rPr>
          <w:lang w:val="en-GB"/>
        </w:rPr>
        <w:t>5</w:t>
      </w:r>
      <w:r w:rsidR="00414B5D" w:rsidRPr="001A77AA">
        <w:rPr>
          <w:lang w:val="en-GB"/>
        </w:rPr>
        <w:t xml:space="preserve">.1. </w:t>
      </w:r>
    </w:p>
    <w:p w14:paraId="7480775C" w14:textId="00E158C1" w:rsidR="001157FB" w:rsidRPr="001A77AA" w:rsidRDefault="001157FB" w:rsidP="00D609D4">
      <w:pPr>
        <w:pStyle w:val="TableMainHeading"/>
      </w:pPr>
      <w:r w:rsidRPr="001A77AA">
        <w:t xml:space="preserve">Table </w:t>
      </w:r>
      <w:r w:rsidR="00DC0298" w:rsidRPr="001A77AA">
        <w:t>5</w:t>
      </w:r>
      <w:r w:rsidRPr="001A77AA">
        <w:t xml:space="preserve">.1: FRC Nominations Committee meeting attendance in </w:t>
      </w:r>
      <w:r w:rsidR="004C2500" w:rsidRPr="001A77AA">
        <w:t>2025</w:t>
      </w:r>
      <w:r w:rsidRPr="001A77AA">
        <w:t>–</w:t>
      </w:r>
      <w:r w:rsidR="004C2500" w:rsidRPr="001A77AA">
        <w:t>26</w:t>
      </w:r>
    </w:p>
    <w:tbl>
      <w:tblPr>
        <w:tblStyle w:val="DefaultTable"/>
        <w:tblW w:w="5000" w:type="pct"/>
        <w:tblBorders>
          <w:top w:val="none" w:sz="0" w:space="0" w:color="auto"/>
          <w:left w:val="none" w:sz="0" w:space="0" w:color="auto"/>
          <w:bottom w:val="none" w:sz="0" w:space="0" w:color="auto"/>
          <w:right w:val="none" w:sz="0" w:space="0" w:color="auto"/>
          <w:insideH w:val="single" w:sz="4" w:space="0" w:color="EEEEEE" w:themeColor="background2"/>
          <w:insideV w:val="none" w:sz="0" w:space="0" w:color="auto"/>
        </w:tblBorders>
        <w:tblLook w:val="04A0" w:firstRow="1" w:lastRow="0" w:firstColumn="1" w:lastColumn="0" w:noHBand="0" w:noVBand="1"/>
      </w:tblPr>
      <w:tblGrid>
        <w:gridCol w:w="3567"/>
        <w:gridCol w:w="5503"/>
      </w:tblGrid>
      <w:tr w:rsidR="00850184" w:rsidRPr="001A77AA" w14:paraId="18627091" w14:textId="77777777" w:rsidTr="00B217FE">
        <w:tc>
          <w:tcPr>
            <w:tcW w:w="2943" w:type="dxa"/>
            <w:tcBorders>
              <w:top w:val="nil"/>
              <w:bottom w:val="nil"/>
              <w:right w:val="single" w:sz="4" w:space="0" w:color="157EB9" w:themeColor="accent3"/>
            </w:tcBorders>
            <w:shd w:val="clear" w:color="auto" w:fill="EAEEF6" w:themeFill="accent5"/>
          </w:tcPr>
          <w:p w14:paraId="30F1BCF9" w14:textId="77777777" w:rsidR="00850184" w:rsidRPr="001A77AA" w:rsidRDefault="00850184" w:rsidP="00F0512D">
            <w:pPr>
              <w:pStyle w:val="TableColumnHeadingLeft"/>
            </w:pPr>
            <w:r w:rsidRPr="001A77AA">
              <w:t>Member</w:t>
            </w:r>
          </w:p>
        </w:tc>
        <w:tc>
          <w:tcPr>
            <w:tcW w:w="4540" w:type="dxa"/>
            <w:tcBorders>
              <w:top w:val="nil"/>
              <w:left w:val="single" w:sz="4" w:space="0" w:color="157EB9" w:themeColor="accent3"/>
              <w:bottom w:val="nil"/>
            </w:tcBorders>
            <w:shd w:val="clear" w:color="auto" w:fill="EAEEF6" w:themeFill="accent5"/>
          </w:tcPr>
          <w:p w14:paraId="44EB77DF" w14:textId="2B9F89C7" w:rsidR="00850184" w:rsidRPr="001A77AA" w:rsidRDefault="007D6C8F" w:rsidP="00F0512D">
            <w:pPr>
              <w:pStyle w:val="TableColumnHeadingLeft"/>
            </w:pPr>
            <w:r w:rsidRPr="001A77AA">
              <w:t xml:space="preserve">Number of </w:t>
            </w:r>
            <w:r w:rsidR="00850184" w:rsidRPr="001A77AA">
              <w:t xml:space="preserve">eligible </w:t>
            </w:r>
            <w:r w:rsidRPr="001A77AA">
              <w:t xml:space="preserve">meetings </w:t>
            </w:r>
            <w:r w:rsidR="00850184" w:rsidRPr="001A77AA">
              <w:t>attend</w:t>
            </w:r>
            <w:r w:rsidRPr="001A77AA">
              <w:t>ed</w:t>
            </w:r>
          </w:p>
        </w:tc>
      </w:tr>
      <w:tr w:rsidR="00850184" w:rsidRPr="001A77AA" w14:paraId="3BDA217F" w14:textId="77777777" w:rsidTr="00B217FE">
        <w:tc>
          <w:tcPr>
            <w:tcW w:w="2943" w:type="dxa"/>
            <w:tcBorders>
              <w:top w:val="nil"/>
              <w:bottom w:val="single" w:sz="4" w:space="0" w:color="F2F4F9" w:themeColor="accent5" w:themeTint="99"/>
              <w:right w:val="single" w:sz="4" w:space="0" w:color="157EB9" w:themeColor="accent3"/>
            </w:tcBorders>
          </w:tcPr>
          <w:p w14:paraId="13853A41" w14:textId="2BD9BCDF" w:rsidR="00850184" w:rsidRPr="001A77AA" w:rsidRDefault="00777473" w:rsidP="00610F4C">
            <w:pPr>
              <w:pStyle w:val="TableTextLeft"/>
              <w:rPr>
                <w:lang w:val="en-GB"/>
              </w:rPr>
            </w:pPr>
            <w:r w:rsidRPr="001A77AA">
              <w:t>Rachel Grimes</w:t>
            </w:r>
            <w:r w:rsidR="004B7E79" w:rsidRPr="001A77AA">
              <w:t xml:space="preserve"> </w:t>
            </w:r>
            <w:r w:rsidR="00850184" w:rsidRPr="001A77AA">
              <w:rPr>
                <w:lang w:val="en-GB"/>
              </w:rPr>
              <w:t>(Chair)</w:t>
            </w:r>
          </w:p>
        </w:tc>
        <w:tc>
          <w:tcPr>
            <w:tcW w:w="4540" w:type="dxa"/>
            <w:tcBorders>
              <w:top w:val="nil"/>
              <w:left w:val="single" w:sz="4" w:space="0" w:color="157EB9" w:themeColor="accent3"/>
              <w:bottom w:val="single" w:sz="4" w:space="0" w:color="F2F4F9" w:themeColor="accent5" w:themeTint="99"/>
            </w:tcBorders>
          </w:tcPr>
          <w:p w14:paraId="79187F57" w14:textId="769CA367" w:rsidR="00850184" w:rsidRPr="001A77AA" w:rsidRDefault="00420618" w:rsidP="00610F4C">
            <w:pPr>
              <w:pStyle w:val="TableTextLeft"/>
              <w:rPr>
                <w:lang w:val="en-GB"/>
              </w:rPr>
            </w:pPr>
            <w:r w:rsidRPr="001A77AA">
              <w:rPr>
                <w:lang w:val="en-GB"/>
              </w:rPr>
              <w:t>3 of 3</w:t>
            </w:r>
          </w:p>
        </w:tc>
      </w:tr>
      <w:tr w:rsidR="001A04F3" w:rsidRPr="001A77AA" w14:paraId="252D3452" w14:textId="77777777" w:rsidTr="00B217FE">
        <w:tc>
          <w:tcPr>
            <w:tcW w:w="2943" w:type="dxa"/>
            <w:tcBorders>
              <w:top w:val="single" w:sz="4" w:space="0" w:color="F2F4F9" w:themeColor="accent5" w:themeTint="99"/>
              <w:bottom w:val="single" w:sz="4" w:space="0" w:color="F2F4F9" w:themeColor="accent5" w:themeTint="99"/>
              <w:right w:val="single" w:sz="4" w:space="0" w:color="157EB9" w:themeColor="accent3"/>
            </w:tcBorders>
          </w:tcPr>
          <w:p w14:paraId="6475A5C6" w14:textId="0EB61792" w:rsidR="001A04F3" w:rsidRPr="001A77AA" w:rsidRDefault="001A04F3" w:rsidP="00610F4C">
            <w:pPr>
              <w:pStyle w:val="TableTextLeft"/>
              <w:rPr>
                <w:lang w:val="en-GB"/>
              </w:rPr>
            </w:pPr>
            <w:r w:rsidRPr="001A77AA">
              <w:rPr>
                <w:lang w:val="en-GB"/>
              </w:rPr>
              <w:t>A Mills</w:t>
            </w:r>
            <w:r w:rsidR="0090187C" w:rsidRPr="001A77AA">
              <w:rPr>
                <w:lang w:val="en-GB"/>
              </w:rPr>
              <w:t xml:space="preserve"> (ex officio)</w:t>
            </w:r>
          </w:p>
        </w:tc>
        <w:tc>
          <w:tcPr>
            <w:tcW w:w="4540" w:type="dxa"/>
            <w:tcBorders>
              <w:top w:val="single" w:sz="4" w:space="0" w:color="F2F4F9" w:themeColor="accent5" w:themeTint="99"/>
              <w:left w:val="single" w:sz="4" w:space="0" w:color="157EB9" w:themeColor="accent3"/>
              <w:bottom w:val="single" w:sz="4" w:space="0" w:color="F2F4F9" w:themeColor="accent5" w:themeTint="99"/>
            </w:tcBorders>
          </w:tcPr>
          <w:p w14:paraId="10659C63" w14:textId="0D8B67C5" w:rsidR="001A04F3" w:rsidRPr="001A77AA" w:rsidRDefault="00420618" w:rsidP="00610F4C">
            <w:pPr>
              <w:pStyle w:val="TableTextLeft"/>
              <w:rPr>
                <w:lang w:val="en-GB"/>
              </w:rPr>
            </w:pPr>
            <w:r w:rsidRPr="001A77AA">
              <w:rPr>
                <w:lang w:val="en-GB"/>
              </w:rPr>
              <w:t>3 of 3</w:t>
            </w:r>
          </w:p>
        </w:tc>
      </w:tr>
      <w:tr w:rsidR="008C15F2" w:rsidRPr="001A77AA" w14:paraId="26CAC67E" w14:textId="77777777" w:rsidTr="00B217FE">
        <w:tc>
          <w:tcPr>
            <w:tcW w:w="2943" w:type="dxa"/>
            <w:tcBorders>
              <w:top w:val="single" w:sz="4" w:space="0" w:color="F2F4F9" w:themeColor="accent5" w:themeTint="99"/>
              <w:bottom w:val="single" w:sz="4" w:space="0" w:color="F2F4F9" w:themeColor="accent5" w:themeTint="99"/>
              <w:right w:val="single" w:sz="4" w:space="0" w:color="157EB9" w:themeColor="accent3"/>
            </w:tcBorders>
          </w:tcPr>
          <w:p w14:paraId="5626F669" w14:textId="6353AA76" w:rsidR="008C15F2" w:rsidRPr="001A77AA" w:rsidRDefault="008C15F2" w:rsidP="00610F4C">
            <w:pPr>
              <w:pStyle w:val="TableTextLeft"/>
              <w:rPr>
                <w:lang w:val="en-GB"/>
              </w:rPr>
            </w:pPr>
            <w:r w:rsidRPr="001A77AA">
              <w:rPr>
                <w:lang w:val="en-GB"/>
              </w:rPr>
              <w:t>D Niven</w:t>
            </w:r>
          </w:p>
        </w:tc>
        <w:tc>
          <w:tcPr>
            <w:tcW w:w="4540" w:type="dxa"/>
            <w:tcBorders>
              <w:top w:val="single" w:sz="4" w:space="0" w:color="F2F4F9" w:themeColor="accent5" w:themeTint="99"/>
              <w:left w:val="single" w:sz="4" w:space="0" w:color="157EB9" w:themeColor="accent3"/>
              <w:bottom w:val="single" w:sz="4" w:space="0" w:color="F2F4F9" w:themeColor="accent5" w:themeTint="99"/>
            </w:tcBorders>
          </w:tcPr>
          <w:p w14:paraId="2FC80093" w14:textId="22D03D63" w:rsidR="008C15F2" w:rsidRPr="001A77AA" w:rsidRDefault="00420618" w:rsidP="00610F4C">
            <w:pPr>
              <w:pStyle w:val="TableTextLeft"/>
              <w:rPr>
                <w:lang w:val="en-GB"/>
              </w:rPr>
            </w:pPr>
            <w:r w:rsidRPr="001A77AA">
              <w:rPr>
                <w:lang w:val="en-GB"/>
              </w:rPr>
              <w:t>3 of 3</w:t>
            </w:r>
          </w:p>
        </w:tc>
      </w:tr>
      <w:tr w:rsidR="008C15F2" w:rsidRPr="001A77AA" w14:paraId="4B0D65EA" w14:textId="77777777" w:rsidTr="00B217FE">
        <w:tc>
          <w:tcPr>
            <w:tcW w:w="2943" w:type="dxa"/>
            <w:tcBorders>
              <w:top w:val="single" w:sz="4" w:space="0" w:color="F2F4F9" w:themeColor="accent5" w:themeTint="99"/>
              <w:bottom w:val="single" w:sz="4" w:space="0" w:color="F2F4F9" w:themeColor="accent5" w:themeTint="99"/>
              <w:right w:val="single" w:sz="4" w:space="0" w:color="157EB9" w:themeColor="accent3"/>
            </w:tcBorders>
          </w:tcPr>
          <w:p w14:paraId="22AD85F1" w14:textId="6B617906" w:rsidR="008C15F2" w:rsidRPr="001A77AA" w:rsidRDefault="008C15F2" w:rsidP="00610F4C">
            <w:pPr>
              <w:pStyle w:val="TableTextLeft"/>
              <w:rPr>
                <w:lang w:val="en-GB"/>
              </w:rPr>
            </w:pPr>
            <w:r w:rsidRPr="001A77AA">
              <w:rPr>
                <w:lang w:val="en-GB"/>
              </w:rPr>
              <w:t xml:space="preserve">K Kendall </w:t>
            </w:r>
          </w:p>
        </w:tc>
        <w:tc>
          <w:tcPr>
            <w:tcW w:w="4540" w:type="dxa"/>
            <w:tcBorders>
              <w:top w:val="single" w:sz="4" w:space="0" w:color="F2F4F9" w:themeColor="accent5" w:themeTint="99"/>
              <w:left w:val="single" w:sz="4" w:space="0" w:color="157EB9" w:themeColor="accent3"/>
              <w:bottom w:val="single" w:sz="4" w:space="0" w:color="F2F4F9" w:themeColor="accent5" w:themeTint="99"/>
            </w:tcBorders>
          </w:tcPr>
          <w:p w14:paraId="75F820C0" w14:textId="29CFCD7E" w:rsidR="008C15F2" w:rsidRPr="001A77AA" w:rsidRDefault="00420618" w:rsidP="00610F4C">
            <w:pPr>
              <w:pStyle w:val="TableTextLeft"/>
              <w:rPr>
                <w:lang w:val="en-GB"/>
              </w:rPr>
            </w:pPr>
            <w:r w:rsidRPr="001A77AA">
              <w:rPr>
                <w:lang w:val="en-GB"/>
              </w:rPr>
              <w:t>3 of 3</w:t>
            </w:r>
          </w:p>
        </w:tc>
      </w:tr>
      <w:tr w:rsidR="008C15F2" w:rsidRPr="001A77AA" w14:paraId="250B8507" w14:textId="77777777" w:rsidTr="00B217FE">
        <w:tc>
          <w:tcPr>
            <w:tcW w:w="2943" w:type="dxa"/>
            <w:tcBorders>
              <w:top w:val="single" w:sz="4" w:space="0" w:color="F2F4F9" w:themeColor="accent5" w:themeTint="99"/>
              <w:bottom w:val="nil"/>
              <w:right w:val="single" w:sz="4" w:space="0" w:color="157EB9" w:themeColor="accent3"/>
            </w:tcBorders>
          </w:tcPr>
          <w:p w14:paraId="3A43C666" w14:textId="4A87D472" w:rsidR="008C15F2" w:rsidRPr="001A77AA" w:rsidRDefault="008C15F2" w:rsidP="00610F4C">
            <w:pPr>
              <w:pStyle w:val="TableTextLeft"/>
              <w:rPr>
                <w:lang w:val="en-GB"/>
              </w:rPr>
            </w:pPr>
            <w:r w:rsidRPr="001A77AA">
              <w:rPr>
                <w:lang w:val="en-GB"/>
              </w:rPr>
              <w:t>P Bennett</w:t>
            </w:r>
          </w:p>
        </w:tc>
        <w:tc>
          <w:tcPr>
            <w:tcW w:w="4540" w:type="dxa"/>
            <w:tcBorders>
              <w:top w:val="single" w:sz="4" w:space="0" w:color="F2F4F9" w:themeColor="accent5" w:themeTint="99"/>
              <w:left w:val="single" w:sz="4" w:space="0" w:color="157EB9" w:themeColor="accent3"/>
              <w:bottom w:val="nil"/>
            </w:tcBorders>
          </w:tcPr>
          <w:p w14:paraId="551F18E9" w14:textId="70641901" w:rsidR="008C15F2" w:rsidRPr="001A77AA" w:rsidRDefault="00420618" w:rsidP="00610F4C">
            <w:pPr>
              <w:pStyle w:val="TableTextLeft"/>
              <w:rPr>
                <w:lang w:val="en-GB"/>
              </w:rPr>
            </w:pPr>
            <w:r w:rsidRPr="001A77AA">
              <w:rPr>
                <w:lang w:val="en-GB"/>
              </w:rPr>
              <w:t>3 of 3</w:t>
            </w:r>
          </w:p>
        </w:tc>
      </w:tr>
    </w:tbl>
    <w:p w14:paraId="0DBD086D" w14:textId="77777777" w:rsidR="00E15AC7" w:rsidRPr="00925952" w:rsidRDefault="00E15AC7" w:rsidP="00925952">
      <w:pPr>
        <w:sectPr w:rsidR="00E15AC7" w:rsidRPr="00925952" w:rsidSect="000B6784">
          <w:pgSz w:w="11906" w:h="16838" w:code="9"/>
          <w:pgMar w:top="1843" w:right="1418" w:bottom="1418" w:left="1418" w:header="708" w:footer="708" w:gutter="0"/>
          <w:cols w:space="708"/>
          <w:titlePg/>
          <w:docGrid w:linePitch="360"/>
        </w:sectPr>
      </w:pPr>
    </w:p>
    <w:p w14:paraId="0054A486" w14:textId="2352C712" w:rsidR="00502EFA" w:rsidRPr="001A77AA" w:rsidRDefault="00546F47" w:rsidP="003466B5">
      <w:pPr>
        <w:pStyle w:val="Heading1"/>
      </w:pPr>
      <w:bookmarkStart w:id="74" w:name="_Toc241065250"/>
      <w:r w:rsidRPr="001A77AA">
        <w:lastRenderedPageBreak/>
        <w:t>FRC Public Sector Advisory Group</w:t>
      </w:r>
      <w:r w:rsidR="002F3E02" w:rsidRPr="001A77AA">
        <w:t xml:space="preserve"> (PSAG)</w:t>
      </w:r>
      <w:bookmarkEnd w:id="74"/>
    </w:p>
    <w:p w14:paraId="68A030F2" w14:textId="567D5B02" w:rsidR="006030DA" w:rsidRPr="001A77AA" w:rsidRDefault="006030DA" w:rsidP="00546F47">
      <w:r w:rsidRPr="001A77AA">
        <w:t>The FRC monitors financial reporting and auditing issues relevant to the public sector through its</w:t>
      </w:r>
      <w:r w:rsidR="008C6F05">
        <w:t> </w:t>
      </w:r>
      <w:r w:rsidRPr="001A77AA">
        <w:t>FRC</w:t>
      </w:r>
      <w:r w:rsidR="009C5017">
        <w:t> </w:t>
      </w:r>
      <w:r w:rsidRPr="001A77AA">
        <w:t>PSAG</w:t>
      </w:r>
      <w:r w:rsidR="001242B7" w:rsidRPr="001A77AA">
        <w:t>.</w:t>
      </w:r>
      <w:r w:rsidR="004B7E79" w:rsidRPr="001A77AA">
        <w:t xml:space="preserve"> The group</w:t>
      </w:r>
      <w:r w:rsidRPr="001A77AA">
        <w:t xml:space="preserve"> compris</w:t>
      </w:r>
      <w:r w:rsidR="004B7E79" w:rsidRPr="001A77AA">
        <w:t>es</w:t>
      </w:r>
      <w:r w:rsidRPr="001A77AA">
        <w:t xml:space="preserve"> members of the FRC and public sector</w:t>
      </w:r>
      <w:r w:rsidR="00165299">
        <w:t xml:space="preserve"> representatives</w:t>
      </w:r>
      <w:r w:rsidRPr="001A77AA">
        <w:t>.</w:t>
      </w:r>
    </w:p>
    <w:p w14:paraId="1954C5A5" w14:textId="4C4DD6B4" w:rsidR="006812C8" w:rsidRPr="001A77AA" w:rsidRDefault="0087705E" w:rsidP="00620B7E">
      <w:r w:rsidRPr="001A77AA">
        <w:t xml:space="preserve">As </w:t>
      </w:r>
      <w:r w:rsidR="00C8462F" w:rsidRPr="001A77AA">
        <w:t xml:space="preserve">of </w:t>
      </w:r>
      <w:r w:rsidR="005B157C" w:rsidRPr="001A77AA">
        <w:t>30 June</w:t>
      </w:r>
      <w:r w:rsidRPr="001A77AA">
        <w:t xml:space="preserve"> </w:t>
      </w:r>
      <w:r w:rsidR="00AA362E" w:rsidRPr="001A77AA">
        <w:t>2026</w:t>
      </w:r>
      <w:r w:rsidRPr="001A77AA">
        <w:t xml:space="preserve">, the </w:t>
      </w:r>
      <w:r w:rsidR="004D5323" w:rsidRPr="001A77AA">
        <w:t xml:space="preserve">PSAG members </w:t>
      </w:r>
      <w:r w:rsidRPr="001A77AA">
        <w:t>were</w:t>
      </w:r>
      <w:r w:rsidR="004D5323" w:rsidRPr="001A77AA">
        <w:t>:</w:t>
      </w:r>
    </w:p>
    <w:p w14:paraId="7A43325A" w14:textId="7446EE81" w:rsidR="00262C0F" w:rsidRPr="001A77AA" w:rsidRDefault="00262C0F" w:rsidP="00531C63">
      <w:pPr>
        <w:pStyle w:val="Bullet"/>
      </w:pPr>
      <w:r w:rsidRPr="001A77AA">
        <w:rPr>
          <w:b/>
          <w:bCs/>
        </w:rPr>
        <w:t>Amy Fox</w:t>
      </w:r>
      <w:r w:rsidRPr="001A77AA">
        <w:t xml:space="preserve"> </w:t>
      </w:r>
      <w:r w:rsidR="002267DB" w:rsidRPr="001A77AA">
        <w:t>–</w:t>
      </w:r>
      <w:r w:rsidRPr="001A77AA">
        <w:t xml:space="preserve"> Department of Finance </w:t>
      </w:r>
      <w:r w:rsidR="001242B7" w:rsidRPr="001A77AA">
        <w:t>–</w:t>
      </w:r>
      <w:r w:rsidRPr="001A77AA">
        <w:t xml:space="preserve"> First Assistant Secretary</w:t>
      </w:r>
      <w:r w:rsidR="008E4E4A" w:rsidRPr="001A77AA">
        <w:t xml:space="preserve"> (Chair)</w:t>
      </w:r>
    </w:p>
    <w:p w14:paraId="3B0C0EDD" w14:textId="65DF5619" w:rsidR="009945A9" w:rsidRPr="001A77AA" w:rsidRDefault="009945A9" w:rsidP="00531C63">
      <w:pPr>
        <w:pStyle w:val="Bullet"/>
      </w:pPr>
      <w:r w:rsidRPr="001A77AA">
        <w:rPr>
          <w:b/>
          <w:bCs/>
        </w:rPr>
        <w:t>Andrew Mills</w:t>
      </w:r>
      <w:r w:rsidRPr="001A77AA">
        <w:t xml:space="preserve"> – Chair of FRC</w:t>
      </w:r>
      <w:r w:rsidR="00683576" w:rsidRPr="001A77AA">
        <w:t xml:space="preserve"> (ex</w:t>
      </w:r>
      <w:r w:rsidR="009C134F" w:rsidRPr="001A77AA">
        <w:noBreakHyphen/>
      </w:r>
      <w:r w:rsidR="00683576" w:rsidRPr="001A77AA">
        <w:t>officio)</w:t>
      </w:r>
    </w:p>
    <w:p w14:paraId="42289F13" w14:textId="225892FF" w:rsidR="004D5323" w:rsidRPr="001A77AA" w:rsidRDefault="004D5323" w:rsidP="00531C63">
      <w:pPr>
        <w:pStyle w:val="Bullet"/>
      </w:pPr>
      <w:r w:rsidRPr="001A77AA">
        <w:rPr>
          <w:b/>
          <w:bCs/>
        </w:rPr>
        <w:t>Keith Kendall</w:t>
      </w:r>
      <w:r w:rsidR="00374DD8" w:rsidRPr="001A77AA">
        <w:t xml:space="preserve"> </w:t>
      </w:r>
      <w:r w:rsidR="00912764" w:rsidRPr="001A77AA">
        <w:t>–</w:t>
      </w:r>
      <w:r w:rsidR="00374DD8" w:rsidRPr="001A77AA">
        <w:t xml:space="preserve"> </w:t>
      </w:r>
      <w:r w:rsidR="00912764" w:rsidRPr="001A77AA">
        <w:t>Chair of AASB</w:t>
      </w:r>
    </w:p>
    <w:p w14:paraId="24FB0A1F" w14:textId="2EF623E8" w:rsidR="008C621C" w:rsidRPr="001A77AA" w:rsidRDefault="009910AC" w:rsidP="00531C63">
      <w:pPr>
        <w:pStyle w:val="Bullet"/>
      </w:pPr>
      <w:r w:rsidRPr="001A77AA">
        <w:rPr>
          <w:b/>
          <w:bCs/>
        </w:rPr>
        <w:t>Doug Niven</w:t>
      </w:r>
      <w:r w:rsidR="00FC0E0B" w:rsidRPr="001A77AA">
        <w:t xml:space="preserve"> </w:t>
      </w:r>
      <w:r w:rsidR="002267DB" w:rsidRPr="001A77AA">
        <w:t>–</w:t>
      </w:r>
      <w:r w:rsidR="00FC0E0B" w:rsidRPr="001A77AA">
        <w:softHyphen/>
        <w:t xml:space="preserve"> </w:t>
      </w:r>
      <w:r w:rsidRPr="001A77AA">
        <w:t>Chair of AUASB</w:t>
      </w:r>
    </w:p>
    <w:p w14:paraId="205980C5" w14:textId="720CD178" w:rsidR="00912764" w:rsidRPr="001A77AA" w:rsidRDefault="00915149" w:rsidP="00531C63">
      <w:pPr>
        <w:pStyle w:val="Bullet"/>
      </w:pPr>
      <w:r w:rsidRPr="001A77AA">
        <w:rPr>
          <w:b/>
          <w:bCs/>
        </w:rPr>
        <w:t>Andrew Greaves</w:t>
      </w:r>
      <w:r w:rsidR="00912764" w:rsidRPr="001A77AA">
        <w:t xml:space="preserve"> –</w:t>
      </w:r>
      <w:r w:rsidR="00DC0EAE" w:rsidRPr="001A77AA">
        <w:t xml:space="preserve"> </w:t>
      </w:r>
      <w:r w:rsidR="001C49C9" w:rsidRPr="001A77AA">
        <w:t>Auditor</w:t>
      </w:r>
      <w:r w:rsidR="009C134F" w:rsidRPr="001A77AA">
        <w:noBreakHyphen/>
      </w:r>
      <w:r w:rsidR="001C49C9" w:rsidRPr="001A77AA">
        <w:t xml:space="preserve">General of Victoria and </w:t>
      </w:r>
      <w:r w:rsidR="00912764" w:rsidRPr="001A77AA">
        <w:t>ACAG representative</w:t>
      </w:r>
    </w:p>
    <w:p w14:paraId="0A256B98" w14:textId="5AF18C0C" w:rsidR="004573D6" w:rsidRPr="001A77AA" w:rsidRDefault="000B680B" w:rsidP="00531C63">
      <w:pPr>
        <w:pStyle w:val="Bullet"/>
      </w:pPr>
      <w:r w:rsidRPr="001A77AA">
        <w:rPr>
          <w:b/>
          <w:bCs/>
        </w:rPr>
        <w:t>Sean Osborn</w:t>
      </w:r>
      <w:r w:rsidR="004573D6" w:rsidRPr="001A77AA">
        <w:t xml:space="preserve"> – </w:t>
      </w:r>
      <w:r w:rsidR="00092120" w:rsidRPr="001A77AA">
        <w:t>NSW</w:t>
      </w:r>
      <w:r w:rsidR="00480081" w:rsidRPr="001A77AA">
        <w:t xml:space="preserve"> Treasury</w:t>
      </w:r>
      <w:r w:rsidR="00915149" w:rsidRPr="001A77AA">
        <w:t xml:space="preserve"> representative</w:t>
      </w:r>
      <w:r w:rsidR="00F02374" w:rsidRPr="001A77AA">
        <w:t xml:space="preserve"> and </w:t>
      </w:r>
      <w:proofErr w:type="spellStart"/>
      <w:r w:rsidR="00F02374" w:rsidRPr="001A77AA">
        <w:t>HoTARAC</w:t>
      </w:r>
      <w:proofErr w:type="spellEnd"/>
      <w:r w:rsidR="00F02374" w:rsidRPr="001A77AA">
        <w:t xml:space="preserve"> representative</w:t>
      </w:r>
    </w:p>
    <w:p w14:paraId="7B6E6B34" w14:textId="01485747" w:rsidR="00E525C9" w:rsidRPr="001A77AA" w:rsidRDefault="00FB1A95" w:rsidP="00531C63">
      <w:pPr>
        <w:pStyle w:val="Bullet"/>
      </w:pPr>
      <w:r w:rsidRPr="001A77AA">
        <w:rPr>
          <w:b/>
          <w:bCs/>
        </w:rPr>
        <w:t>Lasantha Samaranayake</w:t>
      </w:r>
      <w:r w:rsidRPr="001A77AA">
        <w:t xml:space="preserve"> </w:t>
      </w:r>
      <w:r w:rsidR="00487EB9" w:rsidRPr="001A77AA">
        <w:t>–</w:t>
      </w:r>
      <w:r w:rsidR="001128A4" w:rsidRPr="001A77AA">
        <w:t xml:space="preserve"> </w:t>
      </w:r>
      <w:r w:rsidR="00E51CD8" w:rsidRPr="001A77AA">
        <w:t xml:space="preserve">Department of Finance </w:t>
      </w:r>
      <w:r w:rsidR="00DC0EAE" w:rsidRPr="001A77AA">
        <w:t xml:space="preserve">– </w:t>
      </w:r>
      <w:r w:rsidR="00E51CD8" w:rsidRPr="001A77AA">
        <w:t>Assistant Secretary</w:t>
      </w:r>
      <w:r w:rsidR="009C134F" w:rsidRPr="001A77AA">
        <w:t xml:space="preserve"> – </w:t>
      </w:r>
      <w:r w:rsidR="00F1758B" w:rsidRPr="001A77AA">
        <w:t xml:space="preserve">Commonwealth representative and </w:t>
      </w:r>
      <w:proofErr w:type="spellStart"/>
      <w:r w:rsidR="00F1758B" w:rsidRPr="001A77AA">
        <w:t>HoTARAC</w:t>
      </w:r>
      <w:proofErr w:type="spellEnd"/>
      <w:r w:rsidR="00F1758B" w:rsidRPr="001A77AA">
        <w:t xml:space="preserve"> representative</w:t>
      </w:r>
    </w:p>
    <w:p w14:paraId="5E8B3CE4" w14:textId="0EDF68D6" w:rsidR="00E525C9" w:rsidRPr="001A77AA" w:rsidRDefault="00E33E45" w:rsidP="00620B7E">
      <w:pPr>
        <w:pStyle w:val="Heading2"/>
        <w:rPr>
          <w:iCs w:val="0"/>
        </w:rPr>
      </w:pPr>
      <w:bookmarkStart w:id="75" w:name="_Toc241065251"/>
      <w:r w:rsidRPr="001A77AA">
        <w:rPr>
          <w:iCs w:val="0"/>
        </w:rPr>
        <w:t>PSAG f</w:t>
      </w:r>
      <w:r w:rsidR="00E525C9" w:rsidRPr="001A77AA">
        <w:rPr>
          <w:iCs w:val="0"/>
        </w:rPr>
        <w:t xml:space="preserve">ocus </w:t>
      </w:r>
      <w:r w:rsidRPr="001A77AA">
        <w:rPr>
          <w:iCs w:val="0"/>
        </w:rPr>
        <w:t xml:space="preserve">areas </w:t>
      </w:r>
      <w:r w:rsidR="00E525C9" w:rsidRPr="001A77AA">
        <w:rPr>
          <w:iCs w:val="0"/>
        </w:rPr>
        <w:t xml:space="preserve">for </w:t>
      </w:r>
      <w:r w:rsidR="00BD15DE" w:rsidRPr="001A77AA">
        <w:rPr>
          <w:iCs w:val="0"/>
        </w:rPr>
        <w:t>2025</w:t>
      </w:r>
      <w:r w:rsidR="001242B7" w:rsidRPr="001A77AA">
        <w:rPr>
          <w:iCs w:val="0"/>
        </w:rPr>
        <w:t>–</w:t>
      </w:r>
      <w:r w:rsidR="00BD15DE" w:rsidRPr="001A77AA">
        <w:rPr>
          <w:iCs w:val="0"/>
        </w:rPr>
        <w:t>26</w:t>
      </w:r>
      <w:bookmarkEnd w:id="75"/>
    </w:p>
    <w:p w14:paraId="1EABD4F1" w14:textId="0F3A929F" w:rsidR="00E525C9" w:rsidRPr="001A77AA" w:rsidRDefault="00E525C9" w:rsidP="00531C63">
      <w:pPr>
        <w:pStyle w:val="Bullet"/>
      </w:pPr>
      <w:r w:rsidRPr="001A77AA">
        <w:t>Talent attraction and retention in the public sector</w:t>
      </w:r>
    </w:p>
    <w:p w14:paraId="4114DA6C" w14:textId="713CB3EF" w:rsidR="00E525C9" w:rsidRPr="001A77AA" w:rsidRDefault="00E525C9" w:rsidP="00531C63">
      <w:pPr>
        <w:pStyle w:val="Bullet"/>
      </w:pPr>
      <w:r w:rsidRPr="001A77AA">
        <w:t>Public sector sustainability reporting</w:t>
      </w:r>
      <w:r w:rsidR="003D6DB7" w:rsidRPr="001A77AA">
        <w:t>, including reforms</w:t>
      </w:r>
    </w:p>
    <w:p w14:paraId="580C35E7" w14:textId="03A768C9" w:rsidR="00E525C9" w:rsidRPr="001A77AA" w:rsidRDefault="00E525C9" w:rsidP="00531C63">
      <w:pPr>
        <w:pStyle w:val="Bullet"/>
      </w:pPr>
      <w:r w:rsidRPr="001A77AA">
        <w:t>Audit quality and audit themes in the public sector</w:t>
      </w:r>
    </w:p>
    <w:p w14:paraId="0D52742B" w14:textId="23544277" w:rsidR="00BC3814" w:rsidRPr="001A77AA" w:rsidRDefault="00BC3814" w:rsidP="00531C63">
      <w:pPr>
        <w:pStyle w:val="Bullet"/>
      </w:pPr>
      <w:r w:rsidRPr="001A77AA">
        <w:t>Geopolitical impacts</w:t>
      </w:r>
      <w:r w:rsidR="003D6DB7" w:rsidRPr="001A77AA">
        <w:t xml:space="preserve"> and international capacity building</w:t>
      </w:r>
    </w:p>
    <w:p w14:paraId="4C8E2D88" w14:textId="2FE13619" w:rsidR="00925952" w:rsidRDefault="00986795" w:rsidP="00114E56">
      <w:pPr>
        <w:pStyle w:val="Bullet"/>
        <w:spacing w:before="0"/>
      </w:pPr>
      <w:r w:rsidRPr="001A77AA">
        <w:t xml:space="preserve">Opportunities to streamline </w:t>
      </w:r>
      <w:r w:rsidR="00CB7693" w:rsidRPr="001A77AA">
        <w:t>reporting</w:t>
      </w:r>
      <w:r w:rsidR="005D5984">
        <w:t>.</w:t>
      </w:r>
    </w:p>
    <w:p w14:paraId="609E3150" w14:textId="3C8EC7A7" w:rsidR="00E15AC7" w:rsidRPr="001A77AA" w:rsidRDefault="00986795" w:rsidP="00925952">
      <w:pPr>
        <w:sectPr w:rsidR="00E15AC7" w:rsidRPr="001A77AA" w:rsidSect="000B6784">
          <w:pgSz w:w="11906" w:h="16838" w:code="9"/>
          <w:pgMar w:top="1843" w:right="1418" w:bottom="1418" w:left="1418" w:header="708" w:footer="708" w:gutter="0"/>
          <w:cols w:space="708"/>
          <w:titlePg/>
          <w:docGrid w:linePitch="360"/>
        </w:sectPr>
      </w:pPr>
      <w:r w:rsidRPr="001A77AA">
        <w:t xml:space="preserve"> </w:t>
      </w:r>
    </w:p>
    <w:p w14:paraId="258E0D7F" w14:textId="581EEBD9" w:rsidR="00F23429" w:rsidRPr="001A77AA" w:rsidRDefault="0027283D" w:rsidP="003466B5">
      <w:pPr>
        <w:pStyle w:val="Heading1"/>
      </w:pPr>
      <w:bookmarkStart w:id="76" w:name="_Toc241065252"/>
      <w:r w:rsidRPr="001A77AA">
        <w:lastRenderedPageBreak/>
        <w:t xml:space="preserve">FRC </w:t>
      </w:r>
      <w:r w:rsidR="009A69A4" w:rsidRPr="001A77AA">
        <w:t>m</w:t>
      </w:r>
      <w:r w:rsidRPr="001A77AA">
        <w:t>embership</w:t>
      </w:r>
      <w:bookmarkEnd w:id="76"/>
    </w:p>
    <w:p w14:paraId="61B4E246" w14:textId="77777777" w:rsidR="0027283D" w:rsidRPr="001A77AA" w:rsidRDefault="0027283D" w:rsidP="006048B3">
      <w:pPr>
        <w:pStyle w:val="Heading2"/>
        <w:rPr>
          <w:iCs w:val="0"/>
        </w:rPr>
      </w:pPr>
      <w:bookmarkStart w:id="77" w:name="_Toc241065253"/>
      <w:r w:rsidRPr="001A77AA">
        <w:rPr>
          <w:iCs w:val="0"/>
        </w:rPr>
        <w:t>FRC members</w:t>
      </w:r>
      <w:bookmarkEnd w:id="77"/>
    </w:p>
    <w:p w14:paraId="238B2176" w14:textId="7ECF7A14" w:rsidR="0027283D" w:rsidRPr="001A77AA" w:rsidRDefault="0027283D" w:rsidP="00DF3392">
      <w:r w:rsidRPr="001A77AA">
        <w:t>Members of the FRC are appointed on a</w:t>
      </w:r>
      <w:r w:rsidR="002A3F46" w:rsidRPr="001A77AA">
        <w:t xml:space="preserve"> </w:t>
      </w:r>
      <w:r w:rsidRPr="001A77AA">
        <w:t>part</w:t>
      </w:r>
      <w:r w:rsidR="009C134F" w:rsidRPr="001A77AA">
        <w:noBreakHyphen/>
      </w:r>
      <w:r w:rsidRPr="001A77AA">
        <w:t>time basis by the Minister.</w:t>
      </w:r>
    </w:p>
    <w:p w14:paraId="27A09EBA" w14:textId="3D80BCBD" w:rsidR="00E15AC7" w:rsidRPr="001A77AA" w:rsidRDefault="00A50ECA" w:rsidP="00DF3392">
      <w:r w:rsidRPr="001A77AA">
        <w:t>The FRC was constituted by a Chair and</w:t>
      </w:r>
      <w:r w:rsidR="00C03B4E" w:rsidRPr="001A77AA">
        <w:t xml:space="preserve"> </w:t>
      </w:r>
      <w:r w:rsidR="0043133E">
        <w:t>7</w:t>
      </w:r>
      <w:r w:rsidR="00912738" w:rsidRPr="001A77AA">
        <w:t xml:space="preserve"> </w:t>
      </w:r>
      <w:r w:rsidR="00666800" w:rsidRPr="001A77AA">
        <w:t>other</w:t>
      </w:r>
      <w:r w:rsidR="00C03B4E" w:rsidRPr="001A77AA">
        <w:t xml:space="preserve"> </w:t>
      </w:r>
      <w:r w:rsidRPr="001A77AA">
        <w:t xml:space="preserve">members during </w:t>
      </w:r>
      <w:r w:rsidR="004F7E6F" w:rsidRPr="001A77AA">
        <w:t>2025</w:t>
      </w:r>
      <w:r w:rsidR="004A7A8E">
        <w:t>–</w:t>
      </w:r>
      <w:r w:rsidR="004F7E6F" w:rsidRPr="001A77AA">
        <w:t>26</w:t>
      </w:r>
      <w:r w:rsidR="00C90258" w:rsidRPr="001A77AA">
        <w:t xml:space="preserve">, with members as </w:t>
      </w:r>
      <w:r w:rsidR="008868F5" w:rsidRPr="001A77AA">
        <w:t>of</w:t>
      </w:r>
      <w:r w:rsidR="00C90258" w:rsidRPr="001A77AA">
        <w:t xml:space="preserve"> </w:t>
      </w:r>
      <w:r w:rsidR="00DE4B52" w:rsidRPr="001A77AA">
        <w:t>30</w:t>
      </w:r>
      <w:r w:rsidR="00DE4B52">
        <w:t> </w:t>
      </w:r>
      <w:r w:rsidR="00DE4B52" w:rsidRPr="001A77AA">
        <w:t>June</w:t>
      </w:r>
      <w:r w:rsidR="00DE4B52">
        <w:t> </w:t>
      </w:r>
      <w:r w:rsidR="00C90258" w:rsidRPr="001A77AA">
        <w:t>2026 listed below</w:t>
      </w:r>
      <w:r w:rsidR="000A2754" w:rsidRPr="001A77AA">
        <w:t>.</w:t>
      </w:r>
      <w:r w:rsidR="00604520" w:rsidRPr="001A77AA">
        <w:t xml:space="preserve"> </w:t>
      </w:r>
    </w:p>
    <w:p w14:paraId="069C3776" w14:textId="77777777" w:rsidR="0064585A" w:rsidRPr="001A77AA" w:rsidRDefault="0064585A" w:rsidP="00B217FE">
      <w:pPr>
        <w:pStyle w:val="Heading3"/>
      </w:pPr>
      <w:r w:rsidRPr="001A77AA">
        <w:t xml:space="preserve">Mr Andrew Mills (Chair) </w:t>
      </w:r>
    </w:p>
    <w:p w14:paraId="320851F4" w14:textId="7973C0EC" w:rsidR="0064585A" w:rsidRPr="008C6F05" w:rsidRDefault="0064585A" w:rsidP="0064585A">
      <w:pPr>
        <w:rPr>
          <w:spacing w:val="-1"/>
        </w:rPr>
      </w:pPr>
      <w:r w:rsidRPr="008C6F05">
        <w:rPr>
          <w:spacing w:val="-1"/>
        </w:rPr>
        <w:t>Andrew has over 40 years</w:t>
      </w:r>
      <w:r w:rsidR="00D9100B" w:rsidRPr="008C6F05">
        <w:rPr>
          <w:spacing w:val="-1"/>
        </w:rPr>
        <w:t>’</w:t>
      </w:r>
      <w:r w:rsidRPr="008C6F05">
        <w:rPr>
          <w:spacing w:val="-1"/>
        </w:rPr>
        <w:t xml:space="preserve"> experience in senior commercial, accounting and legal practice, government </w:t>
      </w:r>
      <w:r w:rsidRPr="008C6F05">
        <w:t>and academic roles. He is Chair of the Independent Planning Commission (NSW), member</w:t>
      </w:r>
      <w:r w:rsidR="008C6F05" w:rsidRPr="008C6F05">
        <w:t xml:space="preserve"> </w:t>
      </w:r>
      <w:r w:rsidRPr="008C6F05">
        <w:t xml:space="preserve">of the </w:t>
      </w:r>
      <w:r w:rsidR="000E1F55" w:rsidRPr="008C6F05">
        <w:t>XRB</w:t>
      </w:r>
      <w:r w:rsidRPr="008C6F05">
        <w:t xml:space="preserve"> (NZ) and of the Board of Taxation among other governance roles. Andrew is also a</w:t>
      </w:r>
      <w:r w:rsidR="008C6F05" w:rsidRPr="008C6F05">
        <w:t xml:space="preserve"> </w:t>
      </w:r>
      <w:r w:rsidRPr="008C6F05">
        <w:t>Principal</w:t>
      </w:r>
      <w:r w:rsidR="008C6F05" w:rsidRPr="008C6F05">
        <w:t xml:space="preserve"> </w:t>
      </w:r>
      <w:r w:rsidRPr="008C6F05">
        <w:t>Fellow of the University of Melbourne Law School.</w:t>
      </w:r>
    </w:p>
    <w:p w14:paraId="043CDE4D" w14:textId="433160A5" w:rsidR="0064585A" w:rsidRPr="001A77AA" w:rsidRDefault="0064585A" w:rsidP="0064585A">
      <w:r w:rsidRPr="001A77AA">
        <w:t xml:space="preserve">Previously, Andrew served as Second Commissioner of Taxation at the </w:t>
      </w:r>
      <w:r w:rsidR="00B4028D">
        <w:t>Australian Taxation Office</w:t>
      </w:r>
      <w:r w:rsidRPr="001A77AA">
        <w:t xml:space="preserve">. He was also a </w:t>
      </w:r>
      <w:proofErr w:type="gramStart"/>
      <w:r w:rsidRPr="001A77AA">
        <w:t>Director</w:t>
      </w:r>
      <w:proofErr w:type="gramEnd"/>
      <w:r w:rsidRPr="001A77AA">
        <w:noBreakHyphen/>
        <w:t>Partner at Greenwoods &amp; Freehills for over 20 years, including Managing Director of the firm between 2006 and 2011 and has held senior roles in the financial services industry.</w:t>
      </w:r>
    </w:p>
    <w:p w14:paraId="2E28EF97" w14:textId="2CBF0005" w:rsidR="0064585A" w:rsidRPr="001A77AA" w:rsidRDefault="0064585A" w:rsidP="0064585A">
      <w:r w:rsidRPr="001A77AA">
        <w:t>Andrew has a Bachelor of Business, a Master of Laws and a Graduate Diploma in Tax Law. He is also a Graduate Member of the Australian Institute of Company Directors, a Fellow of CPA</w:t>
      </w:r>
      <w:r w:rsidR="00B4028D">
        <w:t xml:space="preserve"> Australia</w:t>
      </w:r>
      <w:r w:rsidRPr="001A77AA">
        <w:t>, a</w:t>
      </w:r>
      <w:r w:rsidR="008C6F05">
        <w:t> </w:t>
      </w:r>
      <w:r w:rsidRPr="001A77AA">
        <w:t>Fellow of the Governance Institute of Australia, and a Chartered Tax Adviser (Life).</w:t>
      </w:r>
    </w:p>
    <w:p w14:paraId="737C2F7F" w14:textId="77777777" w:rsidR="0064585A" w:rsidRPr="001A77AA" w:rsidRDefault="0064585A" w:rsidP="0064585A">
      <w:pPr>
        <w:pStyle w:val="Heading3"/>
      </w:pPr>
      <w:r w:rsidRPr="001A77AA">
        <w:t>Ms Rachel Grimes AM</w:t>
      </w:r>
    </w:p>
    <w:p w14:paraId="7E370B73" w14:textId="322E1A91" w:rsidR="0064585A" w:rsidRPr="001A77AA" w:rsidRDefault="0064585A" w:rsidP="0064585A">
      <w:r w:rsidRPr="001A77AA">
        <w:t>Rachel has over 30 years</w:t>
      </w:r>
      <w:r w:rsidR="008D63E6" w:rsidRPr="001A77AA">
        <w:t>’</w:t>
      </w:r>
      <w:r w:rsidRPr="001A77AA">
        <w:t xml:space="preserve"> experience specialising in the financial services sector after which time she has focused on Non</w:t>
      </w:r>
      <w:r w:rsidRPr="001A77AA">
        <w:noBreakHyphen/>
        <w:t>Executive Director roles.</w:t>
      </w:r>
    </w:p>
    <w:p w14:paraId="20BF45C6" w14:textId="3834EBA5" w:rsidR="0064585A" w:rsidRPr="001A77AA" w:rsidRDefault="0064585A" w:rsidP="0064585A">
      <w:r w:rsidRPr="001A77AA">
        <w:t>In 2011, Rachel was appointed President of the Institute of Chartered Accountants Australia and was the President of IFAC</w:t>
      </w:r>
      <w:r w:rsidR="009966BA">
        <w:t xml:space="preserve"> </w:t>
      </w:r>
      <w:r w:rsidRPr="001A77AA">
        <w:t>– the global organisation for the accountancy profession from 2016 to 2018. Rachel is a Non</w:t>
      </w:r>
      <w:r w:rsidRPr="001A77AA">
        <w:noBreakHyphen/>
        <w:t>Executive Director on ASX-listed Boards including HUB24 and Platinum.</w:t>
      </w:r>
    </w:p>
    <w:p w14:paraId="64E46E4E" w14:textId="112E92A6" w:rsidR="0064585A" w:rsidRPr="001A77AA" w:rsidRDefault="0064585A" w:rsidP="0064585A">
      <w:r w:rsidRPr="001A77AA">
        <w:t>Rachel is also a Director on Australian Payments Plus, Angus Knight and the Accounting Professional and Ethical Standards Board and serves as the Chair of the Finance and Risk Committee for Surfing Australia. Rachel has a Bachelor of Business in Accounting from the University of Technology Sydney.</w:t>
      </w:r>
    </w:p>
    <w:p w14:paraId="16150B7C" w14:textId="2A689B13" w:rsidR="0064585A" w:rsidRPr="001A77AA" w:rsidRDefault="0064585A" w:rsidP="0064585A">
      <w:r w:rsidRPr="001A77AA">
        <w:t>Rachel was appointed as a Member in the General division for significant service in the field of accountancy and to professional associations.</w:t>
      </w:r>
    </w:p>
    <w:p w14:paraId="4B09E0E0" w14:textId="77777777" w:rsidR="003466B5" w:rsidRPr="003466B5" w:rsidRDefault="003466B5" w:rsidP="003466B5">
      <w:r w:rsidRPr="003466B5">
        <w:br w:type="page"/>
      </w:r>
    </w:p>
    <w:p w14:paraId="7354E436" w14:textId="77777777" w:rsidR="00A3444A" w:rsidRPr="001A77AA" w:rsidRDefault="00A3444A" w:rsidP="00A3444A">
      <w:pPr>
        <w:pStyle w:val="Heading3"/>
      </w:pPr>
      <w:r w:rsidRPr="001A77AA">
        <w:lastRenderedPageBreak/>
        <w:t>Ms Pru Bennett</w:t>
      </w:r>
    </w:p>
    <w:p w14:paraId="1AC3E980" w14:textId="397150B5" w:rsidR="00A3444A" w:rsidRDefault="00A3444A" w:rsidP="00A3444A">
      <w:r>
        <w:t>With over 30 years’ experience in corporate governance and investment stewardship, Pru is a</w:t>
      </w:r>
      <w:r w:rsidR="009C5017">
        <w:t> </w:t>
      </w:r>
      <w:r>
        <w:t>Senior Advisor to Brunswick Group and Oasis Capital.</w:t>
      </w:r>
    </w:p>
    <w:p w14:paraId="68E18CF8" w14:textId="780C5653" w:rsidR="00A3444A" w:rsidRDefault="00A3444A" w:rsidP="00A3444A">
      <w:r>
        <w:t>Pru is a member of the ASX Corporate Governance Advisory Group</w:t>
      </w:r>
      <w:r w:rsidR="00176A51">
        <w:t xml:space="preserve"> and</w:t>
      </w:r>
      <w:r>
        <w:t xml:space="preserve"> a council member of the Asian Corporate Governance Association.</w:t>
      </w:r>
    </w:p>
    <w:p w14:paraId="717741EC" w14:textId="77777777" w:rsidR="00176A51" w:rsidRDefault="00A3444A" w:rsidP="00A3444A">
      <w:r>
        <w:t xml:space="preserve">Until 2019, Pru was a Managing Director and Head of Investment Stewardship APAC for BlackRock. She is the former Chair of the National Foundation for Australia-China Relations, a former director of the Global Compact Network Australia and a former member of the Monetary Authority of Singapore’s Corporate Governance Advisory Committee. </w:t>
      </w:r>
    </w:p>
    <w:p w14:paraId="2FE9EC26" w14:textId="0881AA84" w:rsidR="00A3444A" w:rsidRPr="00912738" w:rsidRDefault="00A3444A" w:rsidP="00A3444A">
      <w:r>
        <w:t>Pru is a Fellow of Chartered Accountants Australia and New Zealand and a graduate of the Australian Institute of Company Directors.</w:t>
      </w:r>
    </w:p>
    <w:p w14:paraId="01CA4AD6" w14:textId="565C3DC3" w:rsidR="00585228" w:rsidRPr="001A77AA" w:rsidRDefault="00585228" w:rsidP="00585228">
      <w:pPr>
        <w:pStyle w:val="Heading3"/>
      </w:pPr>
      <w:r w:rsidRPr="001A77AA">
        <w:rPr>
          <w:lang w:val="en-GB"/>
        </w:rPr>
        <w:t>Ms Amy Fox</w:t>
      </w:r>
    </w:p>
    <w:p w14:paraId="48A5B4EE" w14:textId="6F01DEEC" w:rsidR="00585228" w:rsidRPr="001A77AA" w:rsidRDefault="00585228" w:rsidP="00585228">
      <w:r w:rsidRPr="001A77AA">
        <w:t xml:space="preserve">Amy is a First Assistant Secretary at the Australian Government Department of Finance. She has over </w:t>
      </w:r>
      <w:r w:rsidR="00F86A74">
        <w:t>2 </w:t>
      </w:r>
      <w:r w:rsidRPr="001A77AA">
        <w:t>decades of experience in various roles including at the Department of Agriculture, Fisheries and Forestry, the Australian National Audit Office, and as a consultant to the World Bank.</w:t>
      </w:r>
    </w:p>
    <w:p w14:paraId="181AE95B" w14:textId="6A793191" w:rsidR="00585228" w:rsidRPr="001A77AA" w:rsidRDefault="00585228" w:rsidP="00585228">
      <w:r w:rsidRPr="001A77AA">
        <w:t>Amy holds a Master of Business Administration from Deakin University, is a fellow of CPA</w:t>
      </w:r>
      <w:r>
        <w:t xml:space="preserve"> Australia</w:t>
      </w:r>
      <w:r w:rsidRPr="001A77AA">
        <w:t>, fellow of Chartered Accountants Australia and New Zealand and graduate of the Australian Institute of</w:t>
      </w:r>
      <w:r w:rsidR="00C5582A">
        <w:t> </w:t>
      </w:r>
      <w:r w:rsidRPr="001A77AA">
        <w:t>Company Directors.</w:t>
      </w:r>
    </w:p>
    <w:p w14:paraId="5B76F8D6" w14:textId="77777777" w:rsidR="00585228" w:rsidRDefault="00585228" w:rsidP="00585228">
      <w:r w:rsidRPr="001A77AA">
        <w:t>Amy’s term ended on 30 June 2026.</w:t>
      </w:r>
    </w:p>
    <w:p w14:paraId="60E062A6" w14:textId="77777777" w:rsidR="00A3444A" w:rsidRPr="001A77AA" w:rsidRDefault="00A3444A" w:rsidP="00A3444A">
      <w:pPr>
        <w:pStyle w:val="Heading3"/>
      </w:pPr>
      <w:r w:rsidRPr="001A77AA">
        <w:t>Ms Alison White</w:t>
      </w:r>
    </w:p>
    <w:p w14:paraId="1B35600F" w14:textId="49EC8C38" w:rsidR="00A3444A" w:rsidRPr="001A77AA" w:rsidRDefault="00A3444A" w:rsidP="00A3444A">
      <w:r w:rsidRPr="001A77AA">
        <w:t xml:space="preserve">Alison is the leader of the Accounting </w:t>
      </w:r>
      <w:r w:rsidR="00C30EC7">
        <w:t>and</w:t>
      </w:r>
      <w:r w:rsidRPr="001A77AA">
        <w:t xml:space="preserve"> Corporate Reporting team in Deloitte’s Audit and Assurance division. She has over 26 years audit and accounting advisory experience in Australia, Hong Kong and South Africa, specialising in the resolution of complex accounting issues.</w:t>
      </w:r>
    </w:p>
    <w:p w14:paraId="69B2EC8C" w14:textId="3A89F8D2" w:rsidR="00A3444A" w:rsidRPr="001A77AA" w:rsidRDefault="00A3444A" w:rsidP="00A3444A">
      <w:r w:rsidRPr="001A77AA">
        <w:t xml:space="preserve">Alison served as a member of the AASB and has recently completed her </w:t>
      </w:r>
      <w:r w:rsidR="0043133E">
        <w:t>6</w:t>
      </w:r>
      <w:r w:rsidRPr="001A77AA">
        <w:t>-year term as the Deputy</w:t>
      </w:r>
      <w:r w:rsidR="00BE03D6">
        <w:t> </w:t>
      </w:r>
      <w:r w:rsidRPr="001A77AA">
        <w:t>Chair. She is also a member of the Business Combinations Project Advisory Panels of the AASB.</w:t>
      </w:r>
    </w:p>
    <w:p w14:paraId="1029B38B" w14:textId="01FC7C30" w:rsidR="00A3444A" w:rsidRPr="001A77AA" w:rsidRDefault="00A3444A" w:rsidP="00A3444A">
      <w:r w:rsidRPr="001A77AA">
        <w:t>Alison is a member of the Deloitte Global Expert Advisory Panel on Leases and the Property Council of</w:t>
      </w:r>
      <w:r w:rsidR="009C5017">
        <w:t> </w:t>
      </w:r>
      <w:r w:rsidRPr="001A77AA">
        <w:t>Australia’s National Accounting Roundtable.</w:t>
      </w:r>
    </w:p>
    <w:p w14:paraId="2AD99890" w14:textId="77777777" w:rsidR="00A3444A" w:rsidRPr="001A77AA" w:rsidRDefault="00A3444A" w:rsidP="00A3444A">
      <w:pPr>
        <w:rPr>
          <w:highlight w:val="yellow"/>
          <w:lang w:val="en-GB"/>
        </w:rPr>
      </w:pPr>
      <w:r w:rsidRPr="001A77AA">
        <w:t>Alison’s term ended on 30 June 2026.</w:t>
      </w:r>
    </w:p>
    <w:p w14:paraId="1D1F44A2" w14:textId="77777777" w:rsidR="0064585A" w:rsidRPr="001A77AA" w:rsidRDefault="0064585A" w:rsidP="0064585A">
      <w:pPr>
        <w:pStyle w:val="Heading3"/>
      </w:pPr>
      <w:r w:rsidRPr="001A77AA">
        <w:t>Dr Keith Kendall</w:t>
      </w:r>
    </w:p>
    <w:p w14:paraId="5398BCDD" w14:textId="77777777" w:rsidR="0064585A" w:rsidRPr="001A77AA" w:rsidRDefault="0064585A" w:rsidP="0064585A">
      <w:r w:rsidRPr="001A77AA">
        <w:t xml:space="preserve">Dr Keith Kendall joined the AASB as Chair in May 2020. </w:t>
      </w:r>
    </w:p>
    <w:p w14:paraId="2592451A" w14:textId="4C4FA66F" w:rsidR="0064585A" w:rsidRPr="001A77AA" w:rsidRDefault="0064585A" w:rsidP="0064585A">
      <w:r w:rsidRPr="001A77AA">
        <w:t>Prior to his appointment, he was a Partner at Rigby Cooke Lawyers, a Victorian barrister, and a</w:t>
      </w:r>
      <w:r w:rsidR="008C6F05">
        <w:t> </w:t>
      </w:r>
      <w:r w:rsidRPr="001A77AA">
        <w:t>Senior</w:t>
      </w:r>
      <w:r w:rsidR="00635B19">
        <w:t> </w:t>
      </w:r>
      <w:r w:rsidRPr="001A77AA">
        <w:t>Lecturer at La Trobe University. His experience across law, academia, accounting, and</w:t>
      </w:r>
      <w:r w:rsidR="00AA0806">
        <w:t xml:space="preserve"> </w:t>
      </w:r>
      <w:r w:rsidRPr="001A77AA">
        <w:t>government (as</w:t>
      </w:r>
      <w:r w:rsidR="00AA0806">
        <w:t xml:space="preserve"> </w:t>
      </w:r>
      <w:r w:rsidRPr="001A77AA">
        <w:t>a member of the Administrative Appeals Tribunal), allows him to bring a</w:t>
      </w:r>
      <w:r w:rsidR="00AA0806">
        <w:t xml:space="preserve"> </w:t>
      </w:r>
      <w:r w:rsidRPr="001A77AA">
        <w:t>well</w:t>
      </w:r>
      <w:r w:rsidRPr="001A77AA">
        <w:noBreakHyphen/>
        <w:t>rounded</w:t>
      </w:r>
      <w:r w:rsidR="004F0B5F">
        <w:t xml:space="preserve"> </w:t>
      </w:r>
      <w:r w:rsidRPr="001A77AA">
        <w:t>perspective to the AASB’s projects and strategic direction.</w:t>
      </w:r>
    </w:p>
    <w:p w14:paraId="7771AF9D" w14:textId="77777777" w:rsidR="0064585A" w:rsidRPr="001A77AA" w:rsidRDefault="0064585A" w:rsidP="0064585A">
      <w:r w:rsidRPr="001A77AA">
        <w:t>Dr Kendall’s term as a member of the FRC ended on 30 June 2026.</w:t>
      </w:r>
    </w:p>
    <w:p w14:paraId="6F004FC3" w14:textId="77777777" w:rsidR="003466B5" w:rsidRPr="003466B5" w:rsidRDefault="003466B5" w:rsidP="003466B5">
      <w:pPr>
        <w:rPr>
          <w:lang w:val="en-GB"/>
        </w:rPr>
      </w:pPr>
      <w:r w:rsidRPr="003466B5">
        <w:rPr>
          <w:lang w:val="en-GB"/>
        </w:rPr>
        <w:br w:type="page"/>
      </w:r>
    </w:p>
    <w:p w14:paraId="0D2F5624" w14:textId="77777777" w:rsidR="0064585A" w:rsidRPr="001A77AA" w:rsidRDefault="0064585A" w:rsidP="0064585A">
      <w:pPr>
        <w:pStyle w:val="Heading3"/>
        <w:rPr>
          <w:lang w:val="en-GB"/>
        </w:rPr>
      </w:pPr>
      <w:r w:rsidRPr="001A77AA">
        <w:rPr>
          <w:lang w:val="en-GB"/>
        </w:rPr>
        <w:lastRenderedPageBreak/>
        <w:t>Mr Doug Niven</w:t>
      </w:r>
    </w:p>
    <w:p w14:paraId="6C0868FC" w14:textId="77777777" w:rsidR="0064585A" w:rsidRPr="001A77AA" w:rsidRDefault="0064585A" w:rsidP="0064585A">
      <w:r w:rsidRPr="001A77AA">
        <w:t>Doug Niven joined the AUASB as Chair in September 2023 and was acting Chair from July 2023.</w:t>
      </w:r>
    </w:p>
    <w:p w14:paraId="19B07772" w14:textId="77777777" w:rsidR="0064585A" w:rsidRPr="001A77AA" w:rsidRDefault="0064585A" w:rsidP="0064585A">
      <w:r w:rsidRPr="001A77AA">
        <w:t>Doug has more than 40 years of experience in financial reporting and audit. He worked at Deloitte Touche Tohmatsu for 15 years, where he audited companies in the financial services sector and other industries. He joined ASIC as Deputy Chief Accountant in 1998 and was ASIC’s Senior Executive Leader, Financial Reporting and Audit, from 2008 to 2020, and Chief Accountant from 2020 to 2023.</w:t>
      </w:r>
    </w:p>
    <w:p w14:paraId="21E31979" w14:textId="77777777" w:rsidR="0064585A" w:rsidRPr="001A77AA" w:rsidRDefault="0064585A" w:rsidP="0064585A">
      <w:r w:rsidRPr="001A77AA">
        <w:t>Doug was responsible for ASIC’s financial reporting surveillances and audit inspections, ASIC’s strategy and policy on financial reporting, audit and periodic sustainability reporting, and digital financial reporting. Doug represented ASIC externally on financial reporting and auditing matters.</w:t>
      </w:r>
    </w:p>
    <w:p w14:paraId="2054EE42" w14:textId="77777777" w:rsidR="0064585A" w:rsidRPr="001A77AA" w:rsidRDefault="0064585A" w:rsidP="0064585A">
      <w:r w:rsidRPr="001A77AA">
        <w:t>He was a member of the IOSCO Committee 1 on Accounting, Audit and Disclosure, the IOSCO Sustainability Reporting and Assurance Workstreams and the International Forum of Independent Audit Regulators.</w:t>
      </w:r>
    </w:p>
    <w:p w14:paraId="75450F66" w14:textId="77777777" w:rsidR="0064585A" w:rsidRPr="001A77AA" w:rsidRDefault="0064585A" w:rsidP="0064585A">
      <w:r w:rsidRPr="001A77AA">
        <w:t>Doug is also a member of the IAASB/IESBA Stakeholder Advisory Council.</w:t>
      </w:r>
    </w:p>
    <w:p w14:paraId="26126142" w14:textId="756CA972" w:rsidR="00E15AC7" w:rsidRDefault="0064585A" w:rsidP="0064585A">
      <w:r w:rsidRPr="001A77AA">
        <w:t>Doug’s term as a member of the FRC ended on 30 June 2026.</w:t>
      </w:r>
    </w:p>
    <w:p w14:paraId="51E4734E" w14:textId="77777777" w:rsidR="00A3444A" w:rsidRPr="001A77AA" w:rsidRDefault="00A3444A" w:rsidP="00A3444A">
      <w:pPr>
        <w:pStyle w:val="Heading3"/>
        <w:rPr>
          <w:lang w:val="en-GB"/>
        </w:rPr>
      </w:pPr>
      <w:r w:rsidRPr="001A77AA">
        <w:rPr>
          <w:lang w:val="en-GB"/>
        </w:rPr>
        <w:t xml:space="preserve">Ms </w:t>
      </w:r>
      <w:r w:rsidRPr="001A77AA">
        <w:t>Emma</w:t>
      </w:r>
      <w:r w:rsidRPr="001A77AA">
        <w:rPr>
          <w:lang w:val="en-GB"/>
        </w:rPr>
        <w:t xml:space="preserve"> Herd</w:t>
      </w:r>
    </w:p>
    <w:p w14:paraId="44284FD4" w14:textId="77777777" w:rsidR="00A3444A" w:rsidRPr="001A77AA" w:rsidRDefault="00A3444A" w:rsidP="00A3444A">
      <w:r w:rsidRPr="001A77AA">
        <w:t>Emma has 25 years’ experience in finance, sustainability, and non</w:t>
      </w:r>
      <w:r w:rsidRPr="001A77AA">
        <w:noBreakHyphen/>
        <w:t xml:space="preserve">financial reporting with specialisation in commercial climate change finance and investment. </w:t>
      </w:r>
    </w:p>
    <w:p w14:paraId="598B3F59" w14:textId="77777777" w:rsidR="00A3444A" w:rsidRPr="001A77AA" w:rsidRDefault="00A3444A" w:rsidP="00A3444A">
      <w:r w:rsidRPr="001A77AA">
        <w:t>She is a Partner of Climate Change and Sustainability Services at Ernst and Young Oceania.</w:t>
      </w:r>
    </w:p>
    <w:p w14:paraId="4E0A102C" w14:textId="0961BBD5" w:rsidR="00A3444A" w:rsidRPr="001A77AA" w:rsidRDefault="00A3444A" w:rsidP="00A3444A">
      <w:r w:rsidRPr="001A77AA">
        <w:t>Emma’s previous roles include Chief Executive Officer of Investor Group on Climate Change, Environment Commissioner with the NSW Greater Cities Commission, and Head of Sustainability and</w:t>
      </w:r>
      <w:r w:rsidR="009C5017">
        <w:t> </w:t>
      </w:r>
      <w:r w:rsidRPr="001A77AA">
        <w:t>Executive Director, Emissions and Environment at Westpac Institutional Bank.</w:t>
      </w:r>
    </w:p>
    <w:p w14:paraId="731B55D4" w14:textId="77777777" w:rsidR="00A3444A" w:rsidRDefault="00A3444A" w:rsidP="00A3444A">
      <w:r>
        <w:t xml:space="preserve">She is also currently a member of the ASIC Consultative Panel, Queensland Land Restoration Fund Investment Panel, and the Green Building Council of Australia Green Star Advisory Board. </w:t>
      </w:r>
    </w:p>
    <w:p w14:paraId="7AB88ACA" w14:textId="77777777" w:rsidR="00A3444A" w:rsidRPr="001A77AA" w:rsidRDefault="00A3444A" w:rsidP="00A3444A">
      <w:pPr>
        <w:rPr>
          <w:rFonts w:cs="Calibri Light"/>
          <w:szCs w:val="22"/>
        </w:rPr>
      </w:pPr>
      <w:r>
        <w:t xml:space="preserve">Emma is a former Co-Chair of the Australian Sustainable Finance Institute Technical Advisory Group, former member of the Victorian Government Independent Expert Panel on Interim Targets, and former Board Member of the Carbon Market Institute. </w:t>
      </w:r>
    </w:p>
    <w:p w14:paraId="14B1736D" w14:textId="77777777" w:rsidR="00A3444A" w:rsidRPr="001A77AA" w:rsidRDefault="00A3444A" w:rsidP="00A3444A">
      <w:pPr>
        <w:rPr>
          <w:rFonts w:cs="Calibri Light"/>
          <w:szCs w:val="22"/>
        </w:rPr>
      </w:pPr>
      <w:r w:rsidRPr="001A77AA">
        <w:rPr>
          <w:rFonts w:cs="Calibri Light"/>
          <w:szCs w:val="22"/>
        </w:rPr>
        <w:t xml:space="preserve">Emma’s qualifications include a Bachelor of Asian Studies (Thai) (Hons) and United Nations Environment Programme Finance Initiative/United Nations Institute for Training and Research </w:t>
      </w:r>
      <w:r w:rsidRPr="000D3F48">
        <w:rPr>
          <w:rFonts w:cs="Calibri Light"/>
          <w:szCs w:val="22"/>
        </w:rPr>
        <w:t>Climate Change: Risks and Opportunities for the Finance Sector</w:t>
      </w:r>
      <w:r w:rsidRPr="001A77AA">
        <w:rPr>
          <w:rFonts w:cs="Calibri Light"/>
          <w:szCs w:val="22"/>
        </w:rPr>
        <w:t> certification.</w:t>
      </w:r>
    </w:p>
    <w:p w14:paraId="3C819420" w14:textId="1F5DBE12" w:rsidR="00A3444A" w:rsidRPr="00A3444A" w:rsidRDefault="00A3444A" w:rsidP="0064585A">
      <w:pPr>
        <w:rPr>
          <w:highlight w:val="yellow"/>
          <w:lang w:val="en-GB"/>
        </w:rPr>
      </w:pPr>
      <w:r w:rsidRPr="001A77AA">
        <w:t>Emma’s term ended on 30 June 2026.</w:t>
      </w:r>
    </w:p>
    <w:p w14:paraId="312F85E8" w14:textId="77777777" w:rsidR="003466B5" w:rsidRPr="003466B5" w:rsidRDefault="003466B5" w:rsidP="003466B5">
      <w:r w:rsidRPr="003466B5">
        <w:br w:type="page"/>
      </w:r>
    </w:p>
    <w:p w14:paraId="12DE1693" w14:textId="6288B25D" w:rsidR="0027283D" w:rsidRPr="001A77AA" w:rsidRDefault="0027283D" w:rsidP="000B66A2">
      <w:pPr>
        <w:pStyle w:val="Heading2"/>
        <w:rPr>
          <w:iCs w:val="0"/>
        </w:rPr>
      </w:pPr>
      <w:bookmarkStart w:id="78" w:name="_Toc241065254"/>
      <w:r w:rsidRPr="001A77AA">
        <w:rPr>
          <w:iCs w:val="0"/>
        </w:rPr>
        <w:lastRenderedPageBreak/>
        <w:t>Transparency</w:t>
      </w:r>
      <w:bookmarkEnd w:id="78"/>
    </w:p>
    <w:p w14:paraId="6D14C59D" w14:textId="68580D23" w:rsidR="0027283D" w:rsidRPr="001A77AA" w:rsidRDefault="0027283D" w:rsidP="00620B7E">
      <w:pPr>
        <w:rPr>
          <w:lang w:val="en-GB"/>
        </w:rPr>
      </w:pPr>
      <w:r w:rsidRPr="001A77AA">
        <w:rPr>
          <w:lang w:val="en-GB"/>
        </w:rPr>
        <w:t xml:space="preserve">In </w:t>
      </w:r>
      <w:r w:rsidR="00D31805" w:rsidRPr="001A77AA">
        <w:rPr>
          <w:lang w:val="en-GB"/>
        </w:rPr>
        <w:t>2025</w:t>
      </w:r>
      <w:r w:rsidR="00176C7C" w:rsidRPr="001A77AA">
        <w:rPr>
          <w:lang w:val="en-GB"/>
        </w:rPr>
        <w:t>–</w:t>
      </w:r>
      <w:r w:rsidR="00D31805" w:rsidRPr="001A77AA">
        <w:rPr>
          <w:lang w:val="en-GB"/>
        </w:rPr>
        <w:t xml:space="preserve">26 </w:t>
      </w:r>
      <w:r w:rsidRPr="001A77AA">
        <w:rPr>
          <w:lang w:val="en-GB"/>
        </w:rPr>
        <w:t xml:space="preserve">the FRC </w:t>
      </w:r>
      <w:r w:rsidR="00C96ABD" w:rsidRPr="001A77AA">
        <w:rPr>
          <w:lang w:val="en-GB"/>
        </w:rPr>
        <w:t xml:space="preserve">continued </w:t>
      </w:r>
      <w:r w:rsidRPr="001A77AA">
        <w:rPr>
          <w:lang w:val="en-GB"/>
        </w:rPr>
        <w:t>to allow members of the public to observe its meetings</w:t>
      </w:r>
      <w:r w:rsidR="004D7C13" w:rsidRPr="001A77AA">
        <w:rPr>
          <w:lang w:val="en-GB"/>
        </w:rPr>
        <w:t xml:space="preserve">. </w:t>
      </w:r>
      <w:r w:rsidR="001D605A" w:rsidRPr="001A77AA">
        <w:rPr>
          <w:lang w:val="en-GB"/>
        </w:rPr>
        <w:t>Advance</w:t>
      </w:r>
      <w:r w:rsidR="0064585A" w:rsidRPr="001A77AA">
        <w:rPr>
          <w:lang w:val="en-GB"/>
        </w:rPr>
        <w:t xml:space="preserve"> </w:t>
      </w:r>
      <w:r w:rsidR="001D605A" w:rsidRPr="001A77AA">
        <w:rPr>
          <w:lang w:val="en-GB"/>
        </w:rPr>
        <w:t>notices of meetings</w:t>
      </w:r>
      <w:r w:rsidR="00B6457E" w:rsidRPr="001A77AA">
        <w:rPr>
          <w:lang w:val="en-GB"/>
        </w:rPr>
        <w:t xml:space="preserve"> and minutes </w:t>
      </w:r>
      <w:r w:rsidR="00F47314" w:rsidRPr="001A77AA">
        <w:rPr>
          <w:lang w:val="en-GB"/>
        </w:rPr>
        <w:t>of the public session are published on the FRC website</w:t>
      </w:r>
      <w:r w:rsidR="007731D6" w:rsidRPr="001A77AA">
        <w:rPr>
          <w:lang w:val="en-GB"/>
        </w:rPr>
        <w:t>.</w:t>
      </w:r>
      <w:r w:rsidRPr="001A77AA">
        <w:rPr>
          <w:lang w:val="en-GB"/>
        </w:rPr>
        <w:t xml:space="preserve"> </w:t>
      </w:r>
      <w:r w:rsidR="007731D6" w:rsidRPr="001A77AA">
        <w:rPr>
          <w:lang w:val="en-GB"/>
        </w:rPr>
        <w:t>This</w:t>
      </w:r>
      <w:r w:rsidR="0064585A" w:rsidRPr="001A77AA">
        <w:rPr>
          <w:lang w:val="en-GB"/>
        </w:rPr>
        <w:t xml:space="preserve"> </w:t>
      </w:r>
      <w:r w:rsidR="007731D6" w:rsidRPr="001A77AA">
        <w:rPr>
          <w:lang w:val="en-GB"/>
        </w:rPr>
        <w:t xml:space="preserve">demonstrates </w:t>
      </w:r>
      <w:r w:rsidRPr="001A77AA">
        <w:rPr>
          <w:lang w:val="en-GB"/>
        </w:rPr>
        <w:t>the FRC</w:t>
      </w:r>
      <w:r w:rsidR="009C134F" w:rsidRPr="001A77AA">
        <w:rPr>
          <w:lang w:val="en-GB"/>
        </w:rPr>
        <w:t>’</w:t>
      </w:r>
      <w:r w:rsidRPr="001A77AA">
        <w:rPr>
          <w:lang w:val="en-GB"/>
        </w:rPr>
        <w:t>s strong commitment to transparency and stakeholder engagement.</w:t>
      </w:r>
    </w:p>
    <w:p w14:paraId="573923F2" w14:textId="77777777" w:rsidR="0027283D" w:rsidRPr="001A77AA" w:rsidRDefault="0027283D" w:rsidP="000B66A2">
      <w:pPr>
        <w:pStyle w:val="Heading2"/>
        <w:rPr>
          <w:iCs w:val="0"/>
        </w:rPr>
      </w:pPr>
      <w:bookmarkStart w:id="79" w:name="_Toc241065255"/>
      <w:r w:rsidRPr="001A77AA">
        <w:rPr>
          <w:iCs w:val="0"/>
        </w:rPr>
        <w:t>Disclosure and conflict of interests</w:t>
      </w:r>
      <w:bookmarkEnd w:id="79"/>
    </w:p>
    <w:p w14:paraId="30CFF9E7" w14:textId="2B99D963" w:rsidR="00620B7E" w:rsidRPr="001A77AA" w:rsidRDefault="0027283D" w:rsidP="00D878B3">
      <w:pPr>
        <w:rPr>
          <w:lang w:val="en-GB"/>
        </w:rPr>
      </w:pPr>
      <w:r w:rsidRPr="001A77AA">
        <w:rPr>
          <w:lang w:val="en-GB"/>
        </w:rPr>
        <w:t>The FRC has processes to manage conflicts of interest of members</w:t>
      </w:r>
      <w:r w:rsidR="00941473" w:rsidRPr="001A77AA">
        <w:rPr>
          <w:lang w:val="en-GB"/>
        </w:rPr>
        <w:t xml:space="preserve">. Members are </w:t>
      </w:r>
      <w:r w:rsidRPr="001A77AA">
        <w:rPr>
          <w:lang w:val="en-GB"/>
        </w:rPr>
        <w:t>required to disclose</w:t>
      </w:r>
      <w:r w:rsidR="00941473" w:rsidRPr="001A77AA">
        <w:rPr>
          <w:lang w:val="en-GB"/>
        </w:rPr>
        <w:t xml:space="preserve"> relevant interests</w:t>
      </w:r>
      <w:r w:rsidRPr="001A77AA">
        <w:rPr>
          <w:lang w:val="en-GB"/>
        </w:rPr>
        <w:t xml:space="preserve"> on </w:t>
      </w:r>
      <w:r w:rsidR="00941473" w:rsidRPr="001A77AA">
        <w:rPr>
          <w:lang w:val="en-GB"/>
        </w:rPr>
        <w:t xml:space="preserve">their </w:t>
      </w:r>
      <w:r w:rsidRPr="001A77AA">
        <w:rPr>
          <w:lang w:val="en-GB"/>
        </w:rPr>
        <w:t xml:space="preserve">appointment and at the commencement of FRC meetings. </w:t>
      </w:r>
      <w:r w:rsidR="009B0803" w:rsidRPr="001A77AA">
        <w:rPr>
          <w:lang w:val="en-GB"/>
        </w:rPr>
        <w:t>The FRC also maintains a</w:t>
      </w:r>
      <w:r w:rsidRPr="001A77AA">
        <w:rPr>
          <w:lang w:val="en-GB"/>
        </w:rPr>
        <w:t xml:space="preserve"> register of interests.</w:t>
      </w:r>
    </w:p>
    <w:p w14:paraId="6F26C766" w14:textId="708170C4" w:rsidR="0027283D" w:rsidRPr="001A77AA" w:rsidRDefault="0027283D" w:rsidP="0064585A">
      <w:pPr>
        <w:pStyle w:val="Heading2"/>
        <w:keepLines/>
        <w:rPr>
          <w:iCs w:val="0"/>
        </w:rPr>
      </w:pPr>
      <w:bookmarkStart w:id="80" w:name="_Toc241065256"/>
      <w:r w:rsidRPr="001A77AA">
        <w:rPr>
          <w:iCs w:val="0"/>
        </w:rPr>
        <w:t>Attendance at FRC meetings</w:t>
      </w:r>
      <w:bookmarkEnd w:id="80"/>
    </w:p>
    <w:p w14:paraId="7BEBB4F6" w14:textId="73DA693A" w:rsidR="006722D3" w:rsidRPr="001A77AA" w:rsidRDefault="0027283D" w:rsidP="0064585A">
      <w:pPr>
        <w:keepNext/>
        <w:keepLines/>
        <w:rPr>
          <w:szCs w:val="21"/>
          <w:lang w:val="en-GB"/>
        </w:rPr>
      </w:pPr>
      <w:r w:rsidRPr="001A77AA">
        <w:rPr>
          <w:szCs w:val="21"/>
          <w:lang w:val="en-GB"/>
        </w:rPr>
        <w:t xml:space="preserve">The FRC held </w:t>
      </w:r>
      <w:r w:rsidR="00F86A74">
        <w:rPr>
          <w:szCs w:val="21"/>
          <w:lang w:val="en-GB"/>
        </w:rPr>
        <w:t>4</w:t>
      </w:r>
      <w:r w:rsidR="00E216D5" w:rsidRPr="001A77AA">
        <w:rPr>
          <w:szCs w:val="21"/>
          <w:lang w:val="en-GB"/>
        </w:rPr>
        <w:t xml:space="preserve"> quarterly</w:t>
      </w:r>
      <w:r w:rsidR="00D66ADC" w:rsidRPr="001A77AA">
        <w:rPr>
          <w:szCs w:val="21"/>
          <w:lang w:val="en-GB"/>
        </w:rPr>
        <w:t xml:space="preserve"> </w:t>
      </w:r>
      <w:r w:rsidRPr="001A77AA">
        <w:rPr>
          <w:szCs w:val="21"/>
          <w:lang w:val="en-GB"/>
        </w:rPr>
        <w:t xml:space="preserve">meetings in </w:t>
      </w:r>
      <w:r w:rsidR="00E216D5" w:rsidRPr="001A77AA">
        <w:rPr>
          <w:szCs w:val="21"/>
          <w:lang w:val="en-GB"/>
        </w:rPr>
        <w:t>2025</w:t>
      </w:r>
      <w:r w:rsidRPr="001A77AA">
        <w:rPr>
          <w:szCs w:val="21"/>
          <w:lang w:val="en-GB"/>
        </w:rPr>
        <w:t>–</w:t>
      </w:r>
      <w:r w:rsidR="00E216D5" w:rsidRPr="001A77AA">
        <w:rPr>
          <w:szCs w:val="21"/>
          <w:lang w:val="en-GB"/>
        </w:rPr>
        <w:t>26</w:t>
      </w:r>
      <w:r w:rsidR="00C131CD" w:rsidRPr="001A77AA">
        <w:rPr>
          <w:szCs w:val="21"/>
          <w:lang w:val="en-GB"/>
        </w:rPr>
        <w:t xml:space="preserve">: </w:t>
      </w:r>
      <w:r w:rsidRPr="001A77AA" w:rsidDel="00E216D5">
        <w:rPr>
          <w:szCs w:val="21"/>
          <w:lang w:val="en-GB"/>
        </w:rPr>
        <w:t>September</w:t>
      </w:r>
      <w:r w:rsidR="00BE61F3" w:rsidRPr="001A77AA" w:rsidDel="00E216D5">
        <w:rPr>
          <w:szCs w:val="21"/>
          <w:lang w:val="en-GB"/>
        </w:rPr>
        <w:t xml:space="preserve"> </w:t>
      </w:r>
      <w:r w:rsidR="00E216D5" w:rsidRPr="001A77AA">
        <w:rPr>
          <w:szCs w:val="21"/>
          <w:lang w:val="en-GB"/>
        </w:rPr>
        <w:t>2025</w:t>
      </w:r>
      <w:r w:rsidRPr="001A77AA">
        <w:rPr>
          <w:szCs w:val="21"/>
          <w:lang w:val="en-GB"/>
        </w:rPr>
        <w:t xml:space="preserve">, </w:t>
      </w:r>
      <w:r w:rsidR="00E216D5" w:rsidRPr="001A77AA">
        <w:rPr>
          <w:szCs w:val="21"/>
          <w:lang w:val="en-GB"/>
        </w:rPr>
        <w:t>December 2025</w:t>
      </w:r>
      <w:r w:rsidRPr="001A77AA">
        <w:rPr>
          <w:szCs w:val="21"/>
          <w:lang w:val="en-GB"/>
        </w:rPr>
        <w:t xml:space="preserve">, </w:t>
      </w:r>
      <w:r w:rsidR="00CB197D" w:rsidRPr="001A77AA">
        <w:rPr>
          <w:szCs w:val="21"/>
          <w:lang w:val="en-GB"/>
        </w:rPr>
        <w:t>March</w:t>
      </w:r>
      <w:r w:rsidR="00625D0C" w:rsidRPr="001A77AA">
        <w:rPr>
          <w:szCs w:val="21"/>
          <w:lang w:val="en-GB"/>
        </w:rPr>
        <w:t xml:space="preserve"> </w:t>
      </w:r>
      <w:r w:rsidR="00E216D5" w:rsidRPr="001A77AA">
        <w:rPr>
          <w:szCs w:val="21"/>
          <w:lang w:val="en-GB"/>
        </w:rPr>
        <w:t xml:space="preserve">2026 </w:t>
      </w:r>
      <w:r w:rsidR="00625D0C" w:rsidRPr="001A77AA">
        <w:rPr>
          <w:szCs w:val="21"/>
          <w:lang w:val="en-GB"/>
        </w:rPr>
        <w:t>and June</w:t>
      </w:r>
      <w:r w:rsidR="00BE61F3" w:rsidRPr="001A77AA">
        <w:rPr>
          <w:szCs w:val="21"/>
          <w:lang w:val="en-GB"/>
        </w:rPr>
        <w:t xml:space="preserve"> </w:t>
      </w:r>
      <w:r w:rsidR="00E216D5" w:rsidRPr="001A77AA">
        <w:rPr>
          <w:szCs w:val="21"/>
          <w:lang w:val="en-GB"/>
        </w:rPr>
        <w:t>2026</w:t>
      </w:r>
      <w:r w:rsidRPr="001A77AA">
        <w:rPr>
          <w:szCs w:val="21"/>
          <w:lang w:val="en-GB"/>
        </w:rPr>
        <w:t xml:space="preserve">. </w:t>
      </w:r>
      <w:r w:rsidR="00B026FA" w:rsidRPr="001A77AA">
        <w:rPr>
          <w:szCs w:val="21"/>
          <w:lang w:val="en-GB"/>
        </w:rPr>
        <w:t>Members</w:t>
      </w:r>
      <w:r w:rsidR="009C134F" w:rsidRPr="001A77AA">
        <w:rPr>
          <w:szCs w:val="21"/>
          <w:lang w:val="en-GB"/>
        </w:rPr>
        <w:t>’</w:t>
      </w:r>
      <w:r w:rsidR="00B026FA" w:rsidRPr="001A77AA">
        <w:rPr>
          <w:szCs w:val="21"/>
          <w:lang w:val="en-GB"/>
        </w:rPr>
        <w:t xml:space="preserve"> attendance is in </w:t>
      </w:r>
      <w:r w:rsidR="00F74004" w:rsidRPr="001A77AA">
        <w:rPr>
          <w:szCs w:val="21"/>
          <w:lang w:val="en-GB"/>
        </w:rPr>
        <w:t xml:space="preserve">Table </w:t>
      </w:r>
      <w:r w:rsidR="0009081D" w:rsidRPr="001A77AA">
        <w:rPr>
          <w:szCs w:val="21"/>
          <w:lang w:val="en-GB"/>
        </w:rPr>
        <w:t>7</w:t>
      </w:r>
      <w:r w:rsidR="00F74004" w:rsidRPr="001A77AA">
        <w:rPr>
          <w:szCs w:val="21"/>
          <w:lang w:val="en-GB"/>
        </w:rPr>
        <w:t>.1</w:t>
      </w:r>
      <w:r w:rsidR="006722D3" w:rsidRPr="001A77AA">
        <w:rPr>
          <w:szCs w:val="21"/>
          <w:lang w:val="en-GB"/>
        </w:rPr>
        <w:t>.</w:t>
      </w:r>
    </w:p>
    <w:p w14:paraId="03950D31" w14:textId="3E130712" w:rsidR="00AF1BFE" w:rsidRPr="001A77AA" w:rsidRDefault="006722D3" w:rsidP="00B217FE">
      <w:pPr>
        <w:pStyle w:val="TableMainHeading"/>
      </w:pPr>
      <w:r w:rsidRPr="001A77AA">
        <w:rPr>
          <w:lang w:val="en-GB"/>
        </w:rPr>
        <w:t xml:space="preserve">Table </w:t>
      </w:r>
      <w:r w:rsidR="0009081D" w:rsidRPr="001A77AA">
        <w:rPr>
          <w:lang w:val="en-GB"/>
        </w:rPr>
        <w:t>7</w:t>
      </w:r>
      <w:r w:rsidRPr="001A77AA">
        <w:rPr>
          <w:lang w:val="en-GB"/>
        </w:rPr>
        <w:t xml:space="preserve">.1: FRC </w:t>
      </w:r>
      <w:r w:rsidRPr="001A77AA">
        <w:t>meeting</w:t>
      </w:r>
      <w:r w:rsidRPr="001A77AA">
        <w:rPr>
          <w:lang w:val="en-GB"/>
        </w:rPr>
        <w:t xml:space="preserve"> attendance in </w:t>
      </w:r>
      <w:r w:rsidR="00E216D5" w:rsidRPr="001A77AA">
        <w:rPr>
          <w:lang w:val="en-GB"/>
        </w:rPr>
        <w:t>2025</w:t>
      </w:r>
      <w:r w:rsidR="00176C7C" w:rsidRPr="001A77AA">
        <w:rPr>
          <w:lang w:val="en-GB"/>
        </w:rPr>
        <w:t>–</w:t>
      </w:r>
      <w:r w:rsidR="00E216D5" w:rsidRPr="001A77AA">
        <w:rPr>
          <w:lang w:val="en-GB"/>
        </w:rPr>
        <w:t>26</w:t>
      </w:r>
    </w:p>
    <w:tbl>
      <w:tblPr>
        <w:tblStyle w:val="DefaultTabl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7"/>
        <w:gridCol w:w="5503"/>
      </w:tblGrid>
      <w:tr w:rsidR="00F23429" w:rsidRPr="001A77AA" w14:paraId="1B32154E" w14:textId="77777777" w:rsidTr="00B217FE">
        <w:tc>
          <w:tcPr>
            <w:tcW w:w="3567" w:type="dxa"/>
            <w:tcBorders>
              <w:right w:val="single" w:sz="4" w:space="0" w:color="157EB9" w:themeColor="accent3"/>
            </w:tcBorders>
            <w:shd w:val="clear" w:color="auto" w:fill="EAEEF6" w:themeFill="accent5"/>
          </w:tcPr>
          <w:p w14:paraId="7C996DC0" w14:textId="77777777" w:rsidR="00F23429" w:rsidRPr="001A77AA" w:rsidRDefault="00B026FA" w:rsidP="0064585A">
            <w:pPr>
              <w:pStyle w:val="TableColumnHeadingLeft"/>
              <w:keepNext/>
              <w:keepLines/>
            </w:pPr>
            <w:r w:rsidRPr="001A77AA">
              <w:t>Member</w:t>
            </w:r>
          </w:p>
        </w:tc>
        <w:tc>
          <w:tcPr>
            <w:tcW w:w="5503" w:type="dxa"/>
            <w:tcBorders>
              <w:left w:val="single" w:sz="4" w:space="0" w:color="157EB9" w:themeColor="accent3"/>
            </w:tcBorders>
            <w:shd w:val="clear" w:color="auto" w:fill="EAEEF6" w:themeFill="accent5"/>
          </w:tcPr>
          <w:p w14:paraId="251469F8" w14:textId="77777777" w:rsidR="00F23429" w:rsidRPr="001A77AA" w:rsidRDefault="00B026FA" w:rsidP="0064585A">
            <w:pPr>
              <w:pStyle w:val="TableColumnHeadingLeft"/>
              <w:keepNext/>
              <w:keepLines/>
            </w:pPr>
            <w:r w:rsidRPr="001A77AA">
              <w:t>No</w:t>
            </w:r>
            <w:r w:rsidR="00EF5032" w:rsidRPr="001A77AA">
              <w:t>.</w:t>
            </w:r>
            <w:r w:rsidRPr="001A77AA">
              <w:t xml:space="preserve"> meetings attended/No</w:t>
            </w:r>
            <w:r w:rsidR="00EF5032" w:rsidRPr="001A77AA">
              <w:t>.</w:t>
            </w:r>
            <w:r w:rsidR="00401335" w:rsidRPr="001A77AA">
              <w:t xml:space="preserve"> </w:t>
            </w:r>
            <w:r w:rsidRPr="001A77AA">
              <w:t>eligible to attend</w:t>
            </w:r>
          </w:p>
        </w:tc>
      </w:tr>
      <w:tr w:rsidR="00F23429" w:rsidRPr="001A77AA" w14:paraId="1F05AB38" w14:textId="77777777" w:rsidTr="00B217FE">
        <w:tc>
          <w:tcPr>
            <w:tcW w:w="3567" w:type="dxa"/>
            <w:tcBorders>
              <w:bottom w:val="single" w:sz="4" w:space="0" w:color="CFDBEC" w:themeColor="accent4"/>
              <w:right w:val="single" w:sz="4" w:space="0" w:color="157EB9" w:themeColor="accent3"/>
            </w:tcBorders>
          </w:tcPr>
          <w:p w14:paraId="6B680C61" w14:textId="687C6E47" w:rsidR="00F23429" w:rsidRPr="001A77AA" w:rsidRDefault="006722D3" w:rsidP="0064585A">
            <w:pPr>
              <w:pStyle w:val="TableTextLeft"/>
              <w:keepNext/>
              <w:keepLines/>
              <w:rPr>
                <w:lang w:val="en-GB"/>
              </w:rPr>
            </w:pPr>
            <w:r w:rsidRPr="001A77AA">
              <w:rPr>
                <w:lang w:val="en-GB"/>
              </w:rPr>
              <w:t>A Mills (Chair)</w:t>
            </w:r>
          </w:p>
        </w:tc>
        <w:tc>
          <w:tcPr>
            <w:tcW w:w="5503" w:type="dxa"/>
            <w:tcBorders>
              <w:left w:val="single" w:sz="4" w:space="0" w:color="157EB9" w:themeColor="accent3"/>
              <w:bottom w:val="single" w:sz="4" w:space="0" w:color="CFDBEC" w:themeColor="accent4"/>
            </w:tcBorders>
          </w:tcPr>
          <w:p w14:paraId="11AFC42D" w14:textId="32A65BF3" w:rsidR="00F23429" w:rsidRPr="001A77AA" w:rsidRDefault="00010B2B" w:rsidP="0064585A">
            <w:pPr>
              <w:pStyle w:val="TableTextLeft"/>
              <w:keepNext/>
              <w:keepLines/>
              <w:rPr>
                <w:lang w:val="en-GB"/>
              </w:rPr>
            </w:pPr>
            <w:r w:rsidRPr="001A77AA">
              <w:rPr>
                <w:lang w:val="en-GB"/>
              </w:rPr>
              <w:t xml:space="preserve">4 </w:t>
            </w:r>
            <w:r w:rsidR="008969B2" w:rsidRPr="001A77AA">
              <w:rPr>
                <w:lang w:val="en-GB"/>
              </w:rPr>
              <w:t xml:space="preserve">of </w:t>
            </w:r>
            <w:r w:rsidRPr="001A77AA">
              <w:rPr>
                <w:lang w:val="en-GB"/>
              </w:rPr>
              <w:t>4</w:t>
            </w:r>
          </w:p>
        </w:tc>
      </w:tr>
      <w:tr w:rsidR="00370D6E" w:rsidRPr="001A77AA" w14:paraId="5B46C0DE" w14:textId="77777777" w:rsidTr="00B217FE">
        <w:tc>
          <w:tcPr>
            <w:tcW w:w="3567" w:type="dxa"/>
            <w:tcBorders>
              <w:top w:val="single" w:sz="4" w:space="0" w:color="CFDBEC" w:themeColor="accent4"/>
              <w:bottom w:val="single" w:sz="4" w:space="0" w:color="CFDBEC" w:themeColor="accent4"/>
              <w:right w:val="single" w:sz="4" w:space="0" w:color="157EB9" w:themeColor="accent3"/>
            </w:tcBorders>
          </w:tcPr>
          <w:p w14:paraId="0997E1DF" w14:textId="74106807" w:rsidR="00370D6E" w:rsidRPr="001A77AA" w:rsidRDefault="00036B4D" w:rsidP="0064585A">
            <w:pPr>
              <w:pStyle w:val="TableTextLeft"/>
              <w:keepNext/>
              <w:keepLines/>
              <w:rPr>
                <w:lang w:val="en-GB"/>
              </w:rPr>
            </w:pPr>
            <w:r w:rsidRPr="001A77AA">
              <w:rPr>
                <w:lang w:val="en-GB"/>
              </w:rPr>
              <w:t>A</w:t>
            </w:r>
            <w:r w:rsidRPr="001A77AA">
              <w:t xml:space="preserve"> Fox</w:t>
            </w:r>
          </w:p>
        </w:tc>
        <w:tc>
          <w:tcPr>
            <w:tcW w:w="5503" w:type="dxa"/>
            <w:tcBorders>
              <w:top w:val="single" w:sz="4" w:space="0" w:color="CFDBEC" w:themeColor="accent4"/>
              <w:left w:val="single" w:sz="4" w:space="0" w:color="157EB9" w:themeColor="accent3"/>
              <w:bottom w:val="single" w:sz="4" w:space="0" w:color="CFDBEC" w:themeColor="accent4"/>
            </w:tcBorders>
          </w:tcPr>
          <w:p w14:paraId="22C0D8B8" w14:textId="7B031B32" w:rsidR="00370D6E" w:rsidRPr="001A77AA" w:rsidRDefault="00EC3644" w:rsidP="0064585A">
            <w:pPr>
              <w:pStyle w:val="TableTextLeft"/>
              <w:keepNext/>
              <w:keepLines/>
              <w:rPr>
                <w:lang w:val="en-GB"/>
              </w:rPr>
            </w:pPr>
            <w:r w:rsidRPr="001A77AA">
              <w:rPr>
                <w:lang w:val="en-GB"/>
              </w:rPr>
              <w:t xml:space="preserve">3 </w:t>
            </w:r>
            <w:r w:rsidR="00036B4D" w:rsidRPr="001A77AA">
              <w:rPr>
                <w:lang w:val="en-GB"/>
              </w:rPr>
              <w:t>of 4</w:t>
            </w:r>
          </w:p>
        </w:tc>
      </w:tr>
      <w:tr w:rsidR="00036B4D" w:rsidRPr="001A77AA" w14:paraId="4647E0E8" w14:textId="77777777" w:rsidTr="00B217FE">
        <w:tc>
          <w:tcPr>
            <w:tcW w:w="3567" w:type="dxa"/>
            <w:tcBorders>
              <w:top w:val="single" w:sz="4" w:space="0" w:color="CFDBEC" w:themeColor="accent4"/>
              <w:bottom w:val="single" w:sz="4" w:space="0" w:color="CFDBEC" w:themeColor="accent4"/>
              <w:right w:val="single" w:sz="4" w:space="0" w:color="157EB9" w:themeColor="accent3"/>
            </w:tcBorders>
          </w:tcPr>
          <w:p w14:paraId="0A5772A6" w14:textId="0EF17D15" w:rsidR="00036B4D" w:rsidRPr="001A77AA" w:rsidRDefault="00036B4D" w:rsidP="0064585A">
            <w:pPr>
              <w:pStyle w:val="TableTextLeft"/>
              <w:keepNext/>
              <w:keepLines/>
              <w:rPr>
                <w:lang w:val="en-GB"/>
              </w:rPr>
            </w:pPr>
            <w:r w:rsidRPr="001A77AA">
              <w:rPr>
                <w:lang w:val="en-GB"/>
              </w:rPr>
              <w:t>A White</w:t>
            </w:r>
          </w:p>
        </w:tc>
        <w:tc>
          <w:tcPr>
            <w:tcW w:w="5503" w:type="dxa"/>
            <w:tcBorders>
              <w:top w:val="single" w:sz="4" w:space="0" w:color="CFDBEC" w:themeColor="accent4"/>
              <w:left w:val="single" w:sz="4" w:space="0" w:color="157EB9" w:themeColor="accent3"/>
              <w:bottom w:val="single" w:sz="4" w:space="0" w:color="CFDBEC" w:themeColor="accent4"/>
            </w:tcBorders>
          </w:tcPr>
          <w:p w14:paraId="57D5F5E9" w14:textId="48BF727A" w:rsidR="00036B4D" w:rsidRPr="001A77AA" w:rsidRDefault="00036B4D" w:rsidP="0064585A">
            <w:pPr>
              <w:pStyle w:val="TableTextLeft"/>
              <w:keepNext/>
              <w:keepLines/>
              <w:rPr>
                <w:lang w:val="en-GB"/>
              </w:rPr>
            </w:pPr>
            <w:r w:rsidRPr="001A77AA">
              <w:rPr>
                <w:lang w:val="en-GB"/>
              </w:rPr>
              <w:t>4 of 4</w:t>
            </w:r>
          </w:p>
        </w:tc>
      </w:tr>
      <w:tr w:rsidR="00036B4D" w:rsidRPr="001A77AA" w14:paraId="58A295CF" w14:textId="77777777" w:rsidTr="00B217FE">
        <w:tc>
          <w:tcPr>
            <w:tcW w:w="3567" w:type="dxa"/>
            <w:tcBorders>
              <w:top w:val="single" w:sz="4" w:space="0" w:color="CFDBEC" w:themeColor="accent4"/>
              <w:bottom w:val="single" w:sz="4" w:space="0" w:color="CFDBEC" w:themeColor="accent4"/>
              <w:right w:val="single" w:sz="4" w:space="0" w:color="157EB9" w:themeColor="accent3"/>
            </w:tcBorders>
          </w:tcPr>
          <w:p w14:paraId="7A0E88F3" w14:textId="1BED5939" w:rsidR="00036B4D" w:rsidRPr="001A77AA" w:rsidRDefault="00036B4D" w:rsidP="0064585A">
            <w:pPr>
              <w:pStyle w:val="TableTextLeft"/>
              <w:keepNext/>
              <w:keepLines/>
              <w:rPr>
                <w:lang w:val="en-GB"/>
              </w:rPr>
            </w:pPr>
            <w:r w:rsidRPr="001A77AA">
              <w:rPr>
                <w:lang w:val="en-GB"/>
              </w:rPr>
              <w:t>D Niven</w:t>
            </w:r>
          </w:p>
        </w:tc>
        <w:tc>
          <w:tcPr>
            <w:tcW w:w="5503" w:type="dxa"/>
            <w:tcBorders>
              <w:top w:val="single" w:sz="4" w:space="0" w:color="CFDBEC" w:themeColor="accent4"/>
              <w:left w:val="single" w:sz="4" w:space="0" w:color="157EB9" w:themeColor="accent3"/>
              <w:bottom w:val="single" w:sz="4" w:space="0" w:color="CFDBEC" w:themeColor="accent4"/>
            </w:tcBorders>
          </w:tcPr>
          <w:p w14:paraId="1AA8CBE3" w14:textId="512D5917" w:rsidR="00036B4D" w:rsidRPr="001A77AA" w:rsidRDefault="00DA0A34" w:rsidP="0064585A">
            <w:pPr>
              <w:pStyle w:val="TableTextLeft"/>
              <w:keepNext/>
              <w:keepLines/>
              <w:rPr>
                <w:lang w:val="en-GB"/>
              </w:rPr>
            </w:pPr>
            <w:r w:rsidRPr="001A77AA">
              <w:rPr>
                <w:lang w:val="en-GB"/>
              </w:rPr>
              <w:t>4 of 4</w:t>
            </w:r>
          </w:p>
        </w:tc>
      </w:tr>
      <w:tr w:rsidR="00F23429" w:rsidRPr="001A77AA" w14:paraId="3290B4FA" w14:textId="77777777" w:rsidTr="00B217FE">
        <w:tc>
          <w:tcPr>
            <w:tcW w:w="3567" w:type="dxa"/>
            <w:tcBorders>
              <w:top w:val="single" w:sz="4" w:space="0" w:color="CFDBEC" w:themeColor="accent4"/>
              <w:bottom w:val="single" w:sz="4" w:space="0" w:color="CFDBEC" w:themeColor="accent4"/>
              <w:right w:val="single" w:sz="4" w:space="0" w:color="157EB9" w:themeColor="accent3"/>
            </w:tcBorders>
          </w:tcPr>
          <w:p w14:paraId="02C52788" w14:textId="488B6EA4" w:rsidR="00F23429" w:rsidRPr="001A77AA" w:rsidRDefault="00CB6A48" w:rsidP="0064585A">
            <w:pPr>
              <w:pStyle w:val="TableTextLeft"/>
              <w:keepNext/>
              <w:keepLines/>
              <w:rPr>
                <w:lang w:val="en-GB"/>
              </w:rPr>
            </w:pPr>
            <w:r w:rsidRPr="001A77AA">
              <w:rPr>
                <w:lang w:val="en-GB"/>
              </w:rPr>
              <w:t>E Herd</w:t>
            </w:r>
            <w:r w:rsidR="006722D3" w:rsidRPr="001A77AA">
              <w:rPr>
                <w:lang w:val="en-GB"/>
              </w:rPr>
              <w:t xml:space="preserve"> </w:t>
            </w:r>
          </w:p>
        </w:tc>
        <w:tc>
          <w:tcPr>
            <w:tcW w:w="5503" w:type="dxa"/>
            <w:tcBorders>
              <w:top w:val="single" w:sz="4" w:space="0" w:color="CFDBEC" w:themeColor="accent4"/>
              <w:left w:val="single" w:sz="4" w:space="0" w:color="157EB9" w:themeColor="accent3"/>
              <w:bottom w:val="single" w:sz="4" w:space="0" w:color="CFDBEC" w:themeColor="accent4"/>
            </w:tcBorders>
          </w:tcPr>
          <w:p w14:paraId="608A3E9B" w14:textId="1DA7B56B" w:rsidR="00F23429" w:rsidRPr="001A77AA" w:rsidRDefault="00E77B2E" w:rsidP="0064585A">
            <w:pPr>
              <w:pStyle w:val="TableTextLeft"/>
              <w:keepNext/>
              <w:keepLines/>
              <w:rPr>
                <w:lang w:val="en-GB"/>
              </w:rPr>
            </w:pPr>
            <w:r w:rsidRPr="001A77AA">
              <w:rPr>
                <w:lang w:val="en-GB"/>
              </w:rPr>
              <w:t xml:space="preserve">3 </w:t>
            </w:r>
            <w:r w:rsidR="008969B2" w:rsidRPr="001A77AA">
              <w:rPr>
                <w:lang w:val="en-GB"/>
              </w:rPr>
              <w:t xml:space="preserve">of </w:t>
            </w:r>
            <w:r w:rsidRPr="001A77AA">
              <w:rPr>
                <w:lang w:val="en-GB"/>
              </w:rPr>
              <w:t>4</w:t>
            </w:r>
          </w:p>
        </w:tc>
      </w:tr>
      <w:tr w:rsidR="006722D3" w:rsidRPr="001A77AA" w14:paraId="7BE9135D" w14:textId="77777777" w:rsidTr="00B217FE">
        <w:tc>
          <w:tcPr>
            <w:tcW w:w="3567" w:type="dxa"/>
            <w:tcBorders>
              <w:top w:val="single" w:sz="4" w:space="0" w:color="CFDBEC" w:themeColor="accent4"/>
              <w:bottom w:val="single" w:sz="4" w:space="0" w:color="CFDBEC" w:themeColor="accent4"/>
              <w:right w:val="single" w:sz="4" w:space="0" w:color="157EB9" w:themeColor="accent3"/>
            </w:tcBorders>
          </w:tcPr>
          <w:p w14:paraId="747B9E2E" w14:textId="1A852469" w:rsidR="006722D3" w:rsidRPr="001A77AA" w:rsidRDefault="006722D3" w:rsidP="0064585A">
            <w:pPr>
              <w:pStyle w:val="TableTextLeft"/>
              <w:keepNext/>
              <w:keepLines/>
              <w:rPr>
                <w:lang w:val="en-GB"/>
              </w:rPr>
            </w:pPr>
            <w:r w:rsidRPr="001A77AA">
              <w:rPr>
                <w:lang w:val="en-GB"/>
              </w:rPr>
              <w:t>K Kendall</w:t>
            </w:r>
          </w:p>
        </w:tc>
        <w:tc>
          <w:tcPr>
            <w:tcW w:w="5503" w:type="dxa"/>
            <w:tcBorders>
              <w:top w:val="single" w:sz="4" w:space="0" w:color="CFDBEC" w:themeColor="accent4"/>
              <w:left w:val="single" w:sz="4" w:space="0" w:color="157EB9" w:themeColor="accent3"/>
              <w:bottom w:val="single" w:sz="4" w:space="0" w:color="CFDBEC" w:themeColor="accent4"/>
            </w:tcBorders>
          </w:tcPr>
          <w:p w14:paraId="45702FDD" w14:textId="5E19817C" w:rsidR="006722D3" w:rsidRPr="001A77AA" w:rsidRDefault="00E77B2E" w:rsidP="0064585A">
            <w:pPr>
              <w:pStyle w:val="TableTextLeft"/>
              <w:keepNext/>
              <w:keepLines/>
              <w:rPr>
                <w:lang w:val="en-GB"/>
              </w:rPr>
            </w:pPr>
            <w:r w:rsidRPr="001A77AA">
              <w:rPr>
                <w:lang w:val="en-GB"/>
              </w:rPr>
              <w:t>4</w:t>
            </w:r>
            <w:r w:rsidR="006722D3" w:rsidRPr="001A77AA">
              <w:rPr>
                <w:lang w:val="en-GB"/>
              </w:rPr>
              <w:t xml:space="preserve"> of </w:t>
            </w:r>
            <w:r w:rsidRPr="001A77AA">
              <w:rPr>
                <w:lang w:val="en-GB"/>
              </w:rPr>
              <w:t>4</w:t>
            </w:r>
          </w:p>
        </w:tc>
      </w:tr>
      <w:tr w:rsidR="00DA0A34" w:rsidRPr="001A77AA" w14:paraId="76EE9B9D" w14:textId="77777777" w:rsidTr="00B217FE">
        <w:tc>
          <w:tcPr>
            <w:tcW w:w="3567" w:type="dxa"/>
            <w:tcBorders>
              <w:top w:val="single" w:sz="4" w:space="0" w:color="CFDBEC" w:themeColor="accent4"/>
              <w:bottom w:val="single" w:sz="4" w:space="0" w:color="CFDBEC" w:themeColor="accent4"/>
              <w:right w:val="single" w:sz="4" w:space="0" w:color="157EB9" w:themeColor="accent3"/>
            </w:tcBorders>
          </w:tcPr>
          <w:p w14:paraId="1F7B2633" w14:textId="5F6F5D26" w:rsidR="00DA0A34" w:rsidRPr="001A77AA" w:rsidRDefault="00DA0A34" w:rsidP="0064585A">
            <w:pPr>
              <w:pStyle w:val="TableTextLeft"/>
              <w:keepNext/>
              <w:keepLines/>
              <w:rPr>
                <w:lang w:val="en-GB"/>
              </w:rPr>
            </w:pPr>
            <w:r w:rsidRPr="001A77AA">
              <w:rPr>
                <w:lang w:val="en-GB"/>
              </w:rPr>
              <w:t>P Bennett</w:t>
            </w:r>
          </w:p>
        </w:tc>
        <w:tc>
          <w:tcPr>
            <w:tcW w:w="5503" w:type="dxa"/>
            <w:tcBorders>
              <w:top w:val="single" w:sz="4" w:space="0" w:color="CFDBEC" w:themeColor="accent4"/>
              <w:left w:val="single" w:sz="4" w:space="0" w:color="157EB9" w:themeColor="accent3"/>
              <w:bottom w:val="single" w:sz="4" w:space="0" w:color="CFDBEC" w:themeColor="accent4"/>
            </w:tcBorders>
          </w:tcPr>
          <w:p w14:paraId="52753E94" w14:textId="19BB12EF" w:rsidR="00DA0A34" w:rsidRPr="001A77AA" w:rsidRDefault="006A3D20" w:rsidP="0064585A">
            <w:pPr>
              <w:pStyle w:val="TableTextLeft"/>
              <w:keepNext/>
              <w:keepLines/>
              <w:rPr>
                <w:lang w:val="en-GB"/>
              </w:rPr>
            </w:pPr>
            <w:r w:rsidRPr="001A77AA">
              <w:rPr>
                <w:lang w:val="en-GB"/>
              </w:rPr>
              <w:t xml:space="preserve">4 </w:t>
            </w:r>
            <w:r w:rsidR="00162E53" w:rsidRPr="001A77AA">
              <w:rPr>
                <w:lang w:val="en-GB"/>
              </w:rPr>
              <w:t>of 4</w:t>
            </w:r>
          </w:p>
        </w:tc>
      </w:tr>
      <w:tr w:rsidR="00DA0A34" w:rsidRPr="001A77AA" w14:paraId="5A016C38" w14:textId="77777777" w:rsidTr="00B217FE">
        <w:tc>
          <w:tcPr>
            <w:tcW w:w="3567" w:type="dxa"/>
            <w:tcBorders>
              <w:top w:val="single" w:sz="4" w:space="0" w:color="CFDBEC" w:themeColor="accent4"/>
              <w:right w:val="single" w:sz="4" w:space="0" w:color="157EB9" w:themeColor="accent3"/>
            </w:tcBorders>
          </w:tcPr>
          <w:p w14:paraId="63984233" w14:textId="45B3ED63" w:rsidR="00DA0A34" w:rsidRPr="001A77AA" w:rsidRDefault="00DA0A34" w:rsidP="0064585A">
            <w:pPr>
              <w:pStyle w:val="TableTextLeft"/>
              <w:keepNext/>
              <w:keepLines/>
              <w:rPr>
                <w:lang w:val="en-GB"/>
              </w:rPr>
            </w:pPr>
            <w:r w:rsidRPr="001A77AA">
              <w:rPr>
                <w:lang w:val="en-GB"/>
              </w:rPr>
              <w:t>R Grimes</w:t>
            </w:r>
          </w:p>
        </w:tc>
        <w:tc>
          <w:tcPr>
            <w:tcW w:w="5503" w:type="dxa"/>
            <w:tcBorders>
              <w:top w:val="single" w:sz="4" w:space="0" w:color="CFDBEC" w:themeColor="accent4"/>
              <w:left w:val="single" w:sz="4" w:space="0" w:color="157EB9" w:themeColor="accent3"/>
            </w:tcBorders>
          </w:tcPr>
          <w:p w14:paraId="63309643" w14:textId="7257E90A" w:rsidR="00DA0A34" w:rsidRPr="001A77AA" w:rsidRDefault="00D34AB0" w:rsidP="0064585A">
            <w:pPr>
              <w:pStyle w:val="TableTextLeft"/>
              <w:keepNext/>
              <w:keepLines/>
              <w:rPr>
                <w:lang w:val="en-GB"/>
              </w:rPr>
            </w:pPr>
            <w:r w:rsidRPr="001A77AA">
              <w:rPr>
                <w:lang w:val="en-GB"/>
              </w:rPr>
              <w:t>4</w:t>
            </w:r>
            <w:r w:rsidR="006A3D20" w:rsidRPr="001A77AA">
              <w:rPr>
                <w:lang w:val="en-GB"/>
              </w:rPr>
              <w:t xml:space="preserve"> </w:t>
            </w:r>
            <w:r w:rsidR="00162E53" w:rsidRPr="001A77AA">
              <w:rPr>
                <w:lang w:val="en-GB"/>
              </w:rPr>
              <w:t>of 4</w:t>
            </w:r>
          </w:p>
        </w:tc>
      </w:tr>
    </w:tbl>
    <w:p w14:paraId="7FE18F52" w14:textId="77777777" w:rsidR="00E15AC7" w:rsidRPr="00925952" w:rsidRDefault="00E15AC7" w:rsidP="00925952">
      <w:pPr>
        <w:sectPr w:rsidR="00E15AC7" w:rsidRPr="00925952" w:rsidSect="000B6784">
          <w:pgSz w:w="11906" w:h="16838" w:code="9"/>
          <w:pgMar w:top="1843" w:right="1418" w:bottom="1418" w:left="1418" w:header="708" w:footer="708" w:gutter="0"/>
          <w:cols w:space="708"/>
          <w:titlePg/>
          <w:docGrid w:linePitch="360"/>
        </w:sectPr>
      </w:pPr>
    </w:p>
    <w:p w14:paraId="7955D6A5" w14:textId="36583FDB" w:rsidR="00502EFA" w:rsidRPr="001A77AA" w:rsidRDefault="009A69A4" w:rsidP="003466B5">
      <w:pPr>
        <w:pStyle w:val="Heading1"/>
      </w:pPr>
      <w:bookmarkStart w:id="81" w:name="_Toc241065257"/>
      <w:r w:rsidRPr="001A77AA">
        <w:lastRenderedPageBreak/>
        <w:t>Other matters</w:t>
      </w:r>
      <w:bookmarkEnd w:id="81"/>
    </w:p>
    <w:p w14:paraId="47517E6E" w14:textId="77777777" w:rsidR="009A69A4" w:rsidRPr="001A77AA" w:rsidRDefault="009A69A4" w:rsidP="000B66A2">
      <w:pPr>
        <w:pStyle w:val="Heading2"/>
        <w:rPr>
          <w:iCs w:val="0"/>
        </w:rPr>
      </w:pPr>
      <w:bookmarkStart w:id="82" w:name="_Toc241065258"/>
      <w:r w:rsidRPr="001A77AA">
        <w:rPr>
          <w:iCs w:val="0"/>
        </w:rPr>
        <w:t>Communication and consultation</w:t>
      </w:r>
      <w:bookmarkEnd w:id="82"/>
    </w:p>
    <w:p w14:paraId="74C6ABAA" w14:textId="1ADE8607" w:rsidR="00664821" w:rsidRPr="001A77AA" w:rsidRDefault="009A69A4" w:rsidP="00ED0709">
      <w:pPr>
        <w:rPr>
          <w:lang w:val="en-GB"/>
        </w:rPr>
      </w:pPr>
      <w:r w:rsidRPr="001A77AA">
        <w:rPr>
          <w:lang w:val="en-GB"/>
        </w:rPr>
        <w:t>The</w:t>
      </w:r>
      <w:r w:rsidRPr="001A77AA">
        <w:rPr>
          <w:spacing w:val="-2"/>
          <w:lang w:val="en-GB"/>
        </w:rPr>
        <w:t xml:space="preserve"> </w:t>
      </w:r>
      <w:r w:rsidRPr="001A77AA">
        <w:rPr>
          <w:lang w:val="en-GB"/>
        </w:rPr>
        <w:t xml:space="preserve">FRC primarily communicates and consults with stakeholders and other interest groups via meetings and through its </w:t>
      </w:r>
      <w:r w:rsidRPr="001A77AA">
        <w:rPr>
          <w:szCs w:val="21"/>
          <w:lang w:val="en-GB"/>
        </w:rPr>
        <w:t>website</w:t>
      </w:r>
      <w:r w:rsidR="003E1473" w:rsidRPr="001A77AA">
        <w:rPr>
          <w:lang w:val="en-GB"/>
        </w:rPr>
        <w:t xml:space="preserve">. </w:t>
      </w:r>
      <w:r w:rsidRPr="001A77AA">
        <w:rPr>
          <w:lang w:val="en-GB"/>
        </w:rPr>
        <w:t xml:space="preserve">A communique from each FRC meeting is published on the website and </w:t>
      </w:r>
      <w:r w:rsidR="007A3E84" w:rsidRPr="001A77AA">
        <w:rPr>
          <w:lang w:val="en-GB"/>
        </w:rPr>
        <w:t xml:space="preserve">is available </w:t>
      </w:r>
      <w:r w:rsidRPr="001A77AA">
        <w:rPr>
          <w:lang w:val="en-GB"/>
        </w:rPr>
        <w:t>to stakeholders. The website includes</w:t>
      </w:r>
      <w:r w:rsidRPr="001A77AA">
        <w:rPr>
          <w:spacing w:val="-6"/>
          <w:lang w:val="en-GB"/>
        </w:rPr>
        <w:t xml:space="preserve"> </w:t>
      </w:r>
      <w:r w:rsidRPr="001A77AA">
        <w:rPr>
          <w:lang w:val="en-GB"/>
        </w:rPr>
        <w:t>information</w:t>
      </w:r>
      <w:r w:rsidRPr="001A77AA">
        <w:rPr>
          <w:spacing w:val="-6"/>
          <w:lang w:val="en-GB"/>
        </w:rPr>
        <w:t xml:space="preserve"> </w:t>
      </w:r>
      <w:r w:rsidRPr="001A77AA">
        <w:rPr>
          <w:lang w:val="en-GB"/>
        </w:rPr>
        <w:t>about</w:t>
      </w:r>
      <w:r w:rsidRPr="001A77AA">
        <w:rPr>
          <w:spacing w:val="-6"/>
          <w:lang w:val="en-GB"/>
        </w:rPr>
        <w:t xml:space="preserve"> </w:t>
      </w:r>
      <w:r w:rsidRPr="001A77AA">
        <w:rPr>
          <w:lang w:val="en-GB"/>
        </w:rPr>
        <w:t>FRC</w:t>
      </w:r>
      <w:r w:rsidRPr="001A77AA">
        <w:rPr>
          <w:spacing w:val="-6"/>
          <w:lang w:val="en-GB"/>
        </w:rPr>
        <w:t xml:space="preserve"> </w:t>
      </w:r>
      <w:r w:rsidRPr="001A77AA">
        <w:rPr>
          <w:lang w:val="en-GB"/>
        </w:rPr>
        <w:t>members, minutes of meetings, published reports and procedural</w:t>
      </w:r>
      <w:r w:rsidRPr="001A77AA">
        <w:rPr>
          <w:spacing w:val="-7"/>
          <w:lang w:val="en-GB"/>
        </w:rPr>
        <w:t xml:space="preserve"> </w:t>
      </w:r>
      <w:r w:rsidRPr="001A77AA">
        <w:rPr>
          <w:lang w:val="en-GB"/>
        </w:rPr>
        <w:t xml:space="preserve">rules. </w:t>
      </w:r>
    </w:p>
    <w:p w14:paraId="25D91889" w14:textId="19287D8F" w:rsidR="00932C68" w:rsidRPr="001A77AA" w:rsidRDefault="00664821" w:rsidP="00620B7E">
      <w:pPr>
        <w:rPr>
          <w:lang w:val="en-GB"/>
        </w:rPr>
      </w:pPr>
      <w:r w:rsidRPr="001A77AA">
        <w:rPr>
          <w:lang w:val="en-GB"/>
        </w:rPr>
        <w:t xml:space="preserve">The FRC did not use its </w:t>
      </w:r>
      <w:r w:rsidR="00C8096A" w:rsidRPr="001A77AA">
        <w:rPr>
          <w:lang w:val="en-GB"/>
        </w:rPr>
        <w:t xml:space="preserve">formal </w:t>
      </w:r>
      <w:r w:rsidRPr="001A77AA">
        <w:rPr>
          <w:lang w:val="en-GB"/>
        </w:rPr>
        <w:t xml:space="preserve">information gathering powers under section 225A of the ASIC Act in </w:t>
      </w:r>
      <w:r w:rsidR="003B135C" w:rsidRPr="001A77AA">
        <w:rPr>
          <w:lang w:val="en-GB"/>
        </w:rPr>
        <w:t>2025</w:t>
      </w:r>
      <w:r w:rsidR="00176C7C" w:rsidRPr="001A77AA">
        <w:rPr>
          <w:lang w:val="en-GB"/>
        </w:rPr>
        <w:t>–2</w:t>
      </w:r>
      <w:r w:rsidR="003B135C" w:rsidRPr="001A77AA">
        <w:rPr>
          <w:lang w:val="en-GB"/>
        </w:rPr>
        <w:t>6</w:t>
      </w:r>
      <w:r w:rsidRPr="001A77AA">
        <w:rPr>
          <w:lang w:val="en-GB"/>
        </w:rPr>
        <w:t>.</w:t>
      </w:r>
    </w:p>
    <w:p w14:paraId="1DD318E9" w14:textId="3CB5EF58" w:rsidR="00664821" w:rsidRPr="001A77AA" w:rsidRDefault="009303B3" w:rsidP="00620B7E">
      <w:pPr>
        <w:rPr>
          <w:lang w:val="en-GB"/>
        </w:rPr>
      </w:pPr>
      <w:r w:rsidRPr="001A77AA">
        <w:rPr>
          <w:lang w:val="en-GB"/>
        </w:rPr>
        <w:t>The FRC thanks</w:t>
      </w:r>
      <w:r w:rsidR="00763EF6" w:rsidRPr="001A77AA">
        <w:rPr>
          <w:lang w:val="en-GB"/>
        </w:rPr>
        <w:t xml:space="preserve"> all</w:t>
      </w:r>
      <w:r w:rsidRPr="001A77AA">
        <w:rPr>
          <w:lang w:val="en-GB"/>
        </w:rPr>
        <w:t xml:space="preserve"> stakeholder</w:t>
      </w:r>
      <w:r w:rsidR="006A4E7D" w:rsidRPr="001A77AA">
        <w:rPr>
          <w:lang w:val="en-GB"/>
        </w:rPr>
        <w:t>s</w:t>
      </w:r>
      <w:r w:rsidRPr="001A77AA">
        <w:rPr>
          <w:lang w:val="en-GB"/>
        </w:rPr>
        <w:t xml:space="preserve"> </w:t>
      </w:r>
      <w:r w:rsidR="00763EF6" w:rsidRPr="001A77AA">
        <w:rPr>
          <w:lang w:val="en-GB"/>
        </w:rPr>
        <w:t xml:space="preserve">who supported its work by providing requested </w:t>
      </w:r>
      <w:r w:rsidRPr="001A77AA">
        <w:rPr>
          <w:lang w:val="en-GB"/>
        </w:rPr>
        <w:t>information and data</w:t>
      </w:r>
      <w:r w:rsidR="00763EF6" w:rsidRPr="001A77AA">
        <w:rPr>
          <w:lang w:val="en-GB"/>
        </w:rPr>
        <w:t>.</w:t>
      </w:r>
    </w:p>
    <w:p w14:paraId="7D6D16DF" w14:textId="77777777" w:rsidR="009A69A4" w:rsidRPr="001A77AA" w:rsidRDefault="009A69A4" w:rsidP="00925952">
      <w:pPr>
        <w:pStyle w:val="Heading2"/>
      </w:pPr>
      <w:bookmarkStart w:id="83" w:name="_Toc241065259"/>
      <w:r w:rsidRPr="00925952">
        <w:t>Finances</w:t>
      </w:r>
      <w:bookmarkEnd w:id="83"/>
    </w:p>
    <w:p w14:paraId="5D1356DB" w14:textId="16192EF2" w:rsidR="009A69A4" w:rsidRPr="001A77AA" w:rsidRDefault="009A69A4" w:rsidP="00620B7E">
      <w:pPr>
        <w:rPr>
          <w:lang w:val="en-GB"/>
        </w:rPr>
      </w:pPr>
      <w:r w:rsidRPr="001A77AA">
        <w:rPr>
          <w:lang w:val="en-GB"/>
        </w:rPr>
        <w:t xml:space="preserve">In </w:t>
      </w:r>
      <w:r w:rsidR="0005441E" w:rsidRPr="001A77AA">
        <w:rPr>
          <w:lang w:val="en-GB"/>
        </w:rPr>
        <w:t>2025</w:t>
      </w:r>
      <w:r w:rsidR="008671A9" w:rsidRPr="001A77AA">
        <w:rPr>
          <w:lang w:val="en-GB"/>
        </w:rPr>
        <w:t>–</w:t>
      </w:r>
      <w:r w:rsidR="0005441E" w:rsidRPr="001A77AA">
        <w:rPr>
          <w:lang w:val="en-GB"/>
        </w:rPr>
        <w:t>26</w:t>
      </w:r>
      <w:r w:rsidRPr="001A77AA">
        <w:rPr>
          <w:lang w:val="en-GB"/>
        </w:rPr>
        <w:t>, the Australian Government provided funding through the Treasury to support the FRC. The</w:t>
      </w:r>
      <w:r w:rsidR="00620B7E" w:rsidRPr="001A77AA">
        <w:rPr>
          <w:lang w:val="en-GB"/>
        </w:rPr>
        <w:t> </w:t>
      </w:r>
      <w:r w:rsidRPr="001A77AA">
        <w:rPr>
          <w:lang w:val="en-GB"/>
        </w:rPr>
        <w:t>FRC</w:t>
      </w:r>
      <w:r w:rsidR="009C134F" w:rsidRPr="001A77AA">
        <w:rPr>
          <w:lang w:val="en-GB"/>
        </w:rPr>
        <w:t>’</w:t>
      </w:r>
      <w:r w:rsidRPr="001A77AA">
        <w:rPr>
          <w:lang w:val="en-GB"/>
        </w:rPr>
        <w:t xml:space="preserve">s Secretariat is provided by staff </w:t>
      </w:r>
      <w:r w:rsidR="00031A30" w:rsidRPr="001A77AA">
        <w:rPr>
          <w:lang w:val="en-GB"/>
        </w:rPr>
        <w:t xml:space="preserve">members from </w:t>
      </w:r>
      <w:r w:rsidRPr="001A77AA">
        <w:rPr>
          <w:lang w:val="en-GB"/>
        </w:rPr>
        <w:t>Treasury</w:t>
      </w:r>
      <w:r w:rsidR="009C134F" w:rsidRPr="001A77AA">
        <w:rPr>
          <w:lang w:val="en-GB"/>
        </w:rPr>
        <w:t>’</w:t>
      </w:r>
      <w:r w:rsidRPr="001A77AA">
        <w:rPr>
          <w:lang w:val="en-GB"/>
        </w:rPr>
        <w:t>s Markets Group. Expenditure and</w:t>
      </w:r>
      <w:r w:rsidR="009C5017">
        <w:rPr>
          <w:lang w:val="en-GB"/>
        </w:rPr>
        <w:t> </w:t>
      </w:r>
      <w:r w:rsidRPr="001A77AA">
        <w:rPr>
          <w:lang w:val="en-GB"/>
        </w:rPr>
        <w:t xml:space="preserve">performance of </w:t>
      </w:r>
      <w:r w:rsidR="00031A30" w:rsidRPr="001A77AA">
        <w:rPr>
          <w:lang w:val="en-GB"/>
        </w:rPr>
        <w:t>the FRC</w:t>
      </w:r>
      <w:r w:rsidR="009C134F" w:rsidRPr="001A77AA">
        <w:rPr>
          <w:lang w:val="en-GB"/>
        </w:rPr>
        <w:t>’</w:t>
      </w:r>
      <w:r w:rsidR="00031A30" w:rsidRPr="001A77AA">
        <w:rPr>
          <w:lang w:val="en-GB"/>
        </w:rPr>
        <w:t xml:space="preserve">s </w:t>
      </w:r>
      <w:r w:rsidRPr="001A77AA">
        <w:rPr>
          <w:lang w:val="en-GB"/>
        </w:rPr>
        <w:t>functions are included in Treasury</w:t>
      </w:r>
      <w:r w:rsidR="009C134F" w:rsidRPr="001A77AA">
        <w:rPr>
          <w:lang w:val="en-GB"/>
        </w:rPr>
        <w:t>’</w:t>
      </w:r>
      <w:r w:rsidRPr="001A77AA">
        <w:rPr>
          <w:lang w:val="en-GB"/>
        </w:rPr>
        <w:t xml:space="preserve">s annual financial statements. </w:t>
      </w:r>
    </w:p>
    <w:p w14:paraId="49F7F47D" w14:textId="7718D9BF" w:rsidR="009A69A4" w:rsidRPr="001A77AA" w:rsidRDefault="009A69A4" w:rsidP="00620B7E">
      <w:pPr>
        <w:rPr>
          <w:lang w:val="en-GB"/>
        </w:rPr>
      </w:pPr>
      <w:r w:rsidRPr="001A77AA">
        <w:rPr>
          <w:lang w:val="en-GB"/>
        </w:rPr>
        <w:t>Information about the funding of the AASB and AUASB (including the sources of that funding) is included in the annual report</w:t>
      </w:r>
      <w:r w:rsidR="00A251C7" w:rsidRPr="001A77AA">
        <w:rPr>
          <w:lang w:val="en-GB"/>
        </w:rPr>
        <w:t>s</w:t>
      </w:r>
      <w:r w:rsidRPr="001A77AA">
        <w:rPr>
          <w:lang w:val="en-GB"/>
        </w:rPr>
        <w:t xml:space="preserve"> of the AASB and AUASB.</w:t>
      </w:r>
    </w:p>
    <w:p w14:paraId="486B2C96" w14:textId="05F559B8" w:rsidR="009A69A4" w:rsidRPr="001A77AA" w:rsidRDefault="009A69A4" w:rsidP="000B66A2">
      <w:pPr>
        <w:pStyle w:val="Heading2"/>
        <w:rPr>
          <w:iCs w:val="0"/>
        </w:rPr>
      </w:pPr>
      <w:bookmarkStart w:id="84" w:name="_Toc241065260"/>
      <w:r w:rsidRPr="001A77AA">
        <w:rPr>
          <w:iCs w:val="0"/>
        </w:rPr>
        <w:t>Information Publication Scheme</w:t>
      </w:r>
      <w:bookmarkEnd w:id="84"/>
    </w:p>
    <w:p w14:paraId="63743FC1" w14:textId="5986F347" w:rsidR="002A744A" w:rsidRPr="001A77AA" w:rsidRDefault="00EE10C1" w:rsidP="00620B7E">
      <w:pPr>
        <w:rPr>
          <w:lang w:val="en-GB"/>
        </w:rPr>
      </w:pPr>
      <w:r w:rsidRPr="001A77AA">
        <w:rPr>
          <w:lang w:val="en-GB"/>
        </w:rPr>
        <w:t xml:space="preserve">Part II of the </w:t>
      </w:r>
      <w:r w:rsidR="009A69A4" w:rsidRPr="00B03BF3">
        <w:rPr>
          <w:i/>
          <w:iCs/>
          <w:lang w:val="en-GB"/>
        </w:rPr>
        <w:t>F</w:t>
      </w:r>
      <w:r w:rsidR="009557FA" w:rsidRPr="00B03BF3">
        <w:rPr>
          <w:i/>
          <w:iCs/>
          <w:lang w:val="en-GB"/>
        </w:rPr>
        <w:t xml:space="preserve">reedom of Information </w:t>
      </w:r>
      <w:r w:rsidR="009A69A4" w:rsidRPr="00B03BF3">
        <w:rPr>
          <w:i/>
          <w:iCs/>
          <w:lang w:val="en-GB"/>
        </w:rPr>
        <w:t>Act</w:t>
      </w:r>
      <w:r w:rsidR="009557FA" w:rsidRPr="00B03BF3">
        <w:rPr>
          <w:i/>
          <w:iCs/>
          <w:lang w:val="en-GB"/>
        </w:rPr>
        <w:t xml:space="preserve"> 1982 </w:t>
      </w:r>
      <w:r w:rsidR="00E44465" w:rsidRPr="00B03BF3">
        <w:rPr>
          <w:i/>
          <w:iCs/>
          <w:lang w:val="en-GB"/>
        </w:rPr>
        <w:t>(</w:t>
      </w:r>
      <w:proofErr w:type="spellStart"/>
      <w:r w:rsidR="00E44465" w:rsidRPr="00B03BF3">
        <w:rPr>
          <w:i/>
          <w:iCs/>
          <w:lang w:val="en-GB"/>
        </w:rPr>
        <w:t>Cth</w:t>
      </w:r>
      <w:proofErr w:type="spellEnd"/>
      <w:r w:rsidR="00E44465" w:rsidRPr="00B03BF3">
        <w:rPr>
          <w:i/>
          <w:iCs/>
          <w:lang w:val="en-GB"/>
        </w:rPr>
        <w:t>)</w:t>
      </w:r>
      <w:r w:rsidR="00E44465">
        <w:rPr>
          <w:lang w:val="en-GB"/>
        </w:rPr>
        <w:t xml:space="preserve"> </w:t>
      </w:r>
      <w:r w:rsidRPr="001A77AA">
        <w:rPr>
          <w:lang w:val="en-GB"/>
        </w:rPr>
        <w:t xml:space="preserve">requires Australian </w:t>
      </w:r>
      <w:r w:rsidR="00C13189" w:rsidRPr="001A77AA">
        <w:rPr>
          <w:lang w:val="en-GB"/>
        </w:rPr>
        <w:t>G</w:t>
      </w:r>
      <w:r w:rsidRPr="001A77AA">
        <w:rPr>
          <w:lang w:val="en-GB"/>
        </w:rPr>
        <w:t>overnment agencies to publis</w:t>
      </w:r>
      <w:r w:rsidR="00951BA9" w:rsidRPr="001A77AA">
        <w:rPr>
          <w:lang w:val="en-GB"/>
        </w:rPr>
        <w:t>h an I</w:t>
      </w:r>
      <w:r w:rsidR="009A69A4" w:rsidRPr="001A77AA">
        <w:rPr>
          <w:lang w:val="en-GB"/>
        </w:rPr>
        <w:t>nformation Publication Scheme</w:t>
      </w:r>
      <w:r w:rsidR="00951BA9" w:rsidRPr="001A77AA">
        <w:rPr>
          <w:lang w:val="en-GB"/>
        </w:rPr>
        <w:t xml:space="preserve"> plan on their website. </w:t>
      </w:r>
      <w:r w:rsidR="00EC48AB" w:rsidRPr="001A77AA">
        <w:rPr>
          <w:lang w:val="en-GB"/>
        </w:rPr>
        <w:t xml:space="preserve">These plans </w:t>
      </w:r>
      <w:r w:rsidR="00447D1F" w:rsidRPr="001A77AA">
        <w:rPr>
          <w:lang w:val="en-GB"/>
        </w:rPr>
        <w:t xml:space="preserve">must </w:t>
      </w:r>
      <w:r w:rsidR="00113D6A" w:rsidRPr="001A77AA">
        <w:rPr>
          <w:lang w:val="en-GB"/>
        </w:rPr>
        <w:t>explain</w:t>
      </w:r>
      <w:r w:rsidR="00447D1F" w:rsidRPr="001A77AA">
        <w:rPr>
          <w:lang w:val="en-GB"/>
        </w:rPr>
        <w:t xml:space="preserve"> how the agency will meet its </w:t>
      </w:r>
      <w:r w:rsidR="00164D13" w:rsidRPr="001A77AA">
        <w:rPr>
          <w:lang w:val="en-GB"/>
        </w:rPr>
        <w:t>obligations to proactively publish information</w:t>
      </w:r>
      <w:r w:rsidR="005D32C2" w:rsidRPr="001A77AA">
        <w:rPr>
          <w:lang w:val="en-GB"/>
        </w:rPr>
        <w:t xml:space="preserve">. </w:t>
      </w:r>
    </w:p>
    <w:p w14:paraId="529A53C7" w14:textId="2A6041C7" w:rsidR="009A69A4" w:rsidRPr="001A77AA" w:rsidRDefault="00C13189" w:rsidP="00620B7E">
      <w:pPr>
        <w:rPr>
          <w:lang w:val="en-GB"/>
        </w:rPr>
      </w:pPr>
      <w:r w:rsidRPr="001A77AA">
        <w:rPr>
          <w:lang w:val="en-GB"/>
        </w:rPr>
        <w:t>The FRC</w:t>
      </w:r>
      <w:r w:rsidR="009C134F" w:rsidRPr="001A77AA">
        <w:rPr>
          <w:lang w:val="en-GB"/>
        </w:rPr>
        <w:t>’</w:t>
      </w:r>
      <w:r w:rsidRPr="001A77AA">
        <w:rPr>
          <w:lang w:val="en-GB"/>
        </w:rPr>
        <w:t xml:space="preserve">s </w:t>
      </w:r>
      <w:r w:rsidR="00492EE9" w:rsidRPr="001A77AA">
        <w:rPr>
          <w:lang w:val="en-GB"/>
        </w:rPr>
        <w:t xml:space="preserve">Information Publication Scheme plan </w:t>
      </w:r>
      <w:r w:rsidR="005B0CC5" w:rsidRPr="001A77AA">
        <w:rPr>
          <w:lang w:val="en-GB"/>
        </w:rPr>
        <w:t xml:space="preserve">is </w:t>
      </w:r>
      <w:r w:rsidR="002A744A" w:rsidRPr="001A77AA">
        <w:rPr>
          <w:lang w:val="en-GB"/>
        </w:rPr>
        <w:t xml:space="preserve">on </w:t>
      </w:r>
      <w:r w:rsidR="009A69A4" w:rsidRPr="001A77AA">
        <w:rPr>
          <w:lang w:val="en-GB"/>
        </w:rPr>
        <w:t xml:space="preserve">the home page of the </w:t>
      </w:r>
      <w:r w:rsidR="00C45C74" w:rsidRPr="000D3F48">
        <w:t>FRC’s website</w:t>
      </w:r>
      <w:r w:rsidR="009A69A4" w:rsidRPr="001A77AA">
        <w:rPr>
          <w:lang w:val="en-GB"/>
        </w:rPr>
        <w:t xml:space="preserve">. </w:t>
      </w:r>
    </w:p>
    <w:p w14:paraId="058CD89B" w14:textId="78F682F4" w:rsidR="009A69A4" w:rsidRPr="001A77AA" w:rsidRDefault="009A69A4" w:rsidP="000B66A2">
      <w:pPr>
        <w:pStyle w:val="Heading2"/>
        <w:rPr>
          <w:iCs w:val="0"/>
        </w:rPr>
      </w:pPr>
      <w:bookmarkStart w:id="85" w:name="_Toc241065261"/>
      <w:r w:rsidRPr="001A77AA">
        <w:rPr>
          <w:iCs w:val="0"/>
        </w:rPr>
        <w:t>Impact</w:t>
      </w:r>
      <w:r w:rsidR="00652AC9" w:rsidRPr="001A77AA">
        <w:rPr>
          <w:iCs w:val="0"/>
        </w:rPr>
        <w:t xml:space="preserve"> Analysis</w:t>
      </w:r>
      <w:r w:rsidRPr="001A77AA">
        <w:rPr>
          <w:iCs w:val="0"/>
        </w:rPr>
        <w:t xml:space="preserve"> Statements</w:t>
      </w:r>
      <w:bookmarkEnd w:id="85"/>
    </w:p>
    <w:p w14:paraId="04A8CA12" w14:textId="714E98DE" w:rsidR="009A69A4" w:rsidRDefault="009A69A4" w:rsidP="00620B7E">
      <w:pPr>
        <w:rPr>
          <w:lang w:val="en-GB"/>
        </w:rPr>
      </w:pPr>
      <w:r w:rsidRPr="001A77AA">
        <w:rPr>
          <w:lang w:val="en-GB"/>
        </w:rPr>
        <w:t xml:space="preserve">The FRC did not submit any Impact </w:t>
      </w:r>
      <w:r w:rsidR="006A44AD" w:rsidRPr="001A77AA">
        <w:rPr>
          <w:lang w:val="en-GB"/>
        </w:rPr>
        <w:t xml:space="preserve">Analysis </w:t>
      </w:r>
      <w:r w:rsidRPr="001A77AA">
        <w:rPr>
          <w:lang w:val="en-GB"/>
        </w:rPr>
        <w:t xml:space="preserve">Statements in </w:t>
      </w:r>
      <w:r w:rsidR="002A6F15" w:rsidRPr="001A77AA">
        <w:rPr>
          <w:lang w:val="en-GB"/>
        </w:rPr>
        <w:t>2025</w:t>
      </w:r>
      <w:r w:rsidR="00176C7C" w:rsidRPr="001A77AA">
        <w:rPr>
          <w:lang w:val="en-GB"/>
        </w:rPr>
        <w:t>–</w:t>
      </w:r>
      <w:r w:rsidR="002A6F15" w:rsidRPr="001A77AA">
        <w:rPr>
          <w:lang w:val="en-GB"/>
        </w:rPr>
        <w:t>26</w:t>
      </w:r>
      <w:r w:rsidRPr="001A77AA">
        <w:rPr>
          <w:lang w:val="en-GB"/>
        </w:rPr>
        <w:t>.</w:t>
      </w:r>
    </w:p>
    <w:p w14:paraId="45E1B45A" w14:textId="77777777" w:rsidR="00E15AC7" w:rsidRPr="00925952" w:rsidRDefault="00E15AC7" w:rsidP="00925952"/>
    <w:p w14:paraId="4BAF2AFE" w14:textId="77777777" w:rsidR="00925952" w:rsidRPr="00925952" w:rsidRDefault="00925952" w:rsidP="00925952">
      <w:pPr>
        <w:sectPr w:rsidR="00925952" w:rsidRPr="00925952" w:rsidSect="000B6784">
          <w:pgSz w:w="11906" w:h="16838" w:code="9"/>
          <w:pgMar w:top="1843" w:right="1418" w:bottom="1418" w:left="1418" w:header="708" w:footer="708" w:gutter="0"/>
          <w:cols w:space="708"/>
          <w:titlePg/>
          <w:docGrid w:linePitch="360"/>
        </w:sectPr>
      </w:pPr>
    </w:p>
    <w:p w14:paraId="792D4358" w14:textId="16E6AB20" w:rsidR="001D1BBF" w:rsidRPr="00D878B3" w:rsidRDefault="006B3DFF" w:rsidP="003466B5">
      <w:pPr>
        <w:pStyle w:val="Heading1"/>
        <w:spacing w:after="600"/>
      </w:pPr>
      <w:bookmarkStart w:id="86" w:name="_Toc241065262"/>
      <w:r w:rsidRPr="00925952">
        <w:lastRenderedPageBreak/>
        <w:t>Glossary</w:t>
      </w:r>
      <w:bookmarkEnd w:id="86"/>
      <w:r w:rsidRPr="00D878B3">
        <w:t xml:space="preserve"> </w:t>
      </w:r>
    </w:p>
    <w:tbl>
      <w:tblPr>
        <w:tblW w:w="5000" w:type="pct"/>
        <w:tblBorders>
          <w:insideH w:val="single" w:sz="4" w:space="0" w:color="F6F8FB" w:themeColor="accent5" w:themeTint="66"/>
        </w:tblBorders>
        <w:tblCellMar>
          <w:left w:w="0" w:type="dxa"/>
        </w:tblCellMar>
        <w:tblLook w:val="04A0" w:firstRow="1" w:lastRow="0" w:firstColumn="1" w:lastColumn="0" w:noHBand="0" w:noVBand="1"/>
      </w:tblPr>
      <w:tblGrid>
        <w:gridCol w:w="1589"/>
        <w:gridCol w:w="7481"/>
      </w:tblGrid>
      <w:tr w:rsidR="00925952" w:rsidRPr="009C134F" w14:paraId="25231B60" w14:textId="77777777" w:rsidTr="00270A85">
        <w:tc>
          <w:tcPr>
            <w:tcW w:w="1565" w:type="dxa"/>
            <w:shd w:val="clear" w:color="auto" w:fill="EAEEF6" w:themeFill="accent5"/>
          </w:tcPr>
          <w:p w14:paraId="012B7B45" w14:textId="3BE5509A" w:rsidR="00925952" w:rsidRPr="00377E57" w:rsidRDefault="00925952" w:rsidP="007437B2">
            <w:pPr>
              <w:pStyle w:val="TableTextLeft"/>
              <w:spacing w:before="20" w:after="20"/>
              <w:rPr>
                <w:b/>
                <w:bCs/>
                <w:szCs w:val="18"/>
                <w:lang w:val="en-GB"/>
              </w:rPr>
            </w:pPr>
            <w:r>
              <w:rPr>
                <w:b/>
                <w:bCs/>
                <w:szCs w:val="18"/>
                <w:lang w:val="en-GB"/>
              </w:rPr>
              <w:t>Term</w:t>
            </w:r>
          </w:p>
        </w:tc>
        <w:tc>
          <w:tcPr>
            <w:tcW w:w="7366" w:type="dxa"/>
            <w:shd w:val="clear" w:color="auto" w:fill="EAEEF6" w:themeFill="accent5"/>
          </w:tcPr>
          <w:p w14:paraId="7C24A6E2" w14:textId="67E33020" w:rsidR="00925952" w:rsidRPr="009C134F" w:rsidRDefault="00925952" w:rsidP="007437B2">
            <w:pPr>
              <w:pStyle w:val="TableTextLeft"/>
              <w:spacing w:before="20" w:after="20"/>
              <w:rPr>
                <w:bCs/>
              </w:rPr>
            </w:pPr>
            <w:r>
              <w:rPr>
                <w:b/>
                <w:bCs/>
                <w:szCs w:val="18"/>
                <w:lang w:val="en-GB"/>
              </w:rPr>
              <w:t>Definition</w:t>
            </w:r>
          </w:p>
        </w:tc>
      </w:tr>
      <w:tr w:rsidR="00350596" w:rsidRPr="009C134F" w14:paraId="13C30929" w14:textId="77777777" w:rsidTr="00270A85">
        <w:tc>
          <w:tcPr>
            <w:tcW w:w="1565" w:type="dxa"/>
          </w:tcPr>
          <w:p w14:paraId="731AA189" w14:textId="77777777" w:rsidR="00350596" w:rsidRPr="00377E57" w:rsidRDefault="00350596" w:rsidP="007437B2">
            <w:pPr>
              <w:pStyle w:val="TableTextLeft"/>
              <w:spacing w:before="20" w:after="20"/>
              <w:rPr>
                <w:b/>
                <w:bCs/>
                <w:szCs w:val="18"/>
                <w:lang w:val="en-GB"/>
              </w:rPr>
            </w:pPr>
            <w:r w:rsidRPr="00377E57">
              <w:rPr>
                <w:b/>
                <w:bCs/>
                <w:szCs w:val="18"/>
                <w:lang w:val="en-GB"/>
              </w:rPr>
              <w:t>AASB</w:t>
            </w:r>
          </w:p>
        </w:tc>
        <w:tc>
          <w:tcPr>
            <w:tcW w:w="7366" w:type="dxa"/>
          </w:tcPr>
          <w:p w14:paraId="5FB3E773" w14:textId="77777777" w:rsidR="00350596" w:rsidRPr="009C134F" w:rsidRDefault="00350596" w:rsidP="007437B2">
            <w:pPr>
              <w:pStyle w:val="TableTextLeft"/>
              <w:spacing w:before="20" w:after="20"/>
              <w:rPr>
                <w:b/>
                <w:bCs/>
              </w:rPr>
            </w:pPr>
            <w:r w:rsidRPr="009C134F">
              <w:rPr>
                <w:bCs/>
              </w:rPr>
              <w:t>Australian Accounting Standards Board</w:t>
            </w:r>
          </w:p>
        </w:tc>
      </w:tr>
      <w:tr w:rsidR="007E1C9E" w:rsidRPr="009C134F" w14:paraId="53303CDF" w14:textId="77777777" w:rsidTr="00270A85">
        <w:tc>
          <w:tcPr>
            <w:tcW w:w="1565" w:type="dxa"/>
          </w:tcPr>
          <w:p w14:paraId="6932CB98" w14:textId="7117BBD5" w:rsidR="007E1C9E" w:rsidRPr="00377E57" w:rsidRDefault="00F77ABD" w:rsidP="007437B2">
            <w:pPr>
              <w:pStyle w:val="TableTextLeft"/>
              <w:spacing w:before="20" w:after="20"/>
              <w:rPr>
                <w:b/>
                <w:szCs w:val="18"/>
                <w:lang w:val="en-GB"/>
              </w:rPr>
            </w:pPr>
            <w:r w:rsidRPr="00377E57">
              <w:rPr>
                <w:b/>
                <w:szCs w:val="18"/>
                <w:lang w:val="en-GB"/>
              </w:rPr>
              <w:t>ERA</w:t>
            </w:r>
            <w:r w:rsidR="007E1C9E" w:rsidRPr="00377E57">
              <w:rPr>
                <w:b/>
                <w:szCs w:val="18"/>
                <w:lang w:val="en-GB"/>
              </w:rPr>
              <w:t xml:space="preserve"> Act</w:t>
            </w:r>
          </w:p>
        </w:tc>
        <w:tc>
          <w:tcPr>
            <w:tcW w:w="7366" w:type="dxa"/>
          </w:tcPr>
          <w:p w14:paraId="5CB97E54" w14:textId="6E4A3F84" w:rsidR="0060020C" w:rsidRPr="009C134F" w:rsidRDefault="007E1C9E" w:rsidP="007437B2">
            <w:pPr>
              <w:pStyle w:val="TableTextLeft"/>
              <w:spacing w:before="20" w:after="20"/>
            </w:pPr>
            <w:r w:rsidRPr="009C134F">
              <w:t>Treasury Laws Amendment (Financial Reporting System Reform) Act 2026</w:t>
            </w:r>
            <w:r w:rsidR="00BA0C88" w:rsidRPr="009C134F">
              <w:t xml:space="preserve"> </w:t>
            </w:r>
            <w:r w:rsidR="000416A8">
              <w:t>(</w:t>
            </w:r>
            <w:proofErr w:type="spellStart"/>
            <w:r w:rsidR="000416A8">
              <w:t>Cth</w:t>
            </w:r>
            <w:proofErr w:type="spellEnd"/>
            <w:r w:rsidR="000416A8">
              <w:t>)</w:t>
            </w:r>
            <w:r w:rsidR="00BA0C88" w:rsidRPr="009C134F">
              <w:t xml:space="preserve"> </w:t>
            </w:r>
          </w:p>
        </w:tc>
      </w:tr>
      <w:tr w:rsidR="00F40CB7" w:rsidRPr="009C134F" w:rsidDel="00B1607A" w14:paraId="406341F7" w14:textId="77777777" w:rsidTr="00270A85">
        <w:tc>
          <w:tcPr>
            <w:tcW w:w="1565" w:type="dxa"/>
          </w:tcPr>
          <w:p w14:paraId="44FF645D" w14:textId="51086C10" w:rsidR="00F40CB7" w:rsidRPr="00377E57" w:rsidDel="00B1607A" w:rsidRDefault="00F40CB7" w:rsidP="007437B2">
            <w:pPr>
              <w:pStyle w:val="TableTextLeft"/>
              <w:spacing w:before="20" w:after="20"/>
              <w:rPr>
                <w:b/>
                <w:szCs w:val="18"/>
              </w:rPr>
            </w:pPr>
            <w:r>
              <w:rPr>
                <w:b/>
                <w:szCs w:val="18"/>
              </w:rPr>
              <w:t>APES</w:t>
            </w:r>
          </w:p>
        </w:tc>
        <w:tc>
          <w:tcPr>
            <w:tcW w:w="7366" w:type="dxa"/>
          </w:tcPr>
          <w:p w14:paraId="14BA0BCC" w14:textId="210DD0FD" w:rsidR="00F40CB7" w:rsidRPr="009C134F" w:rsidDel="00B1607A" w:rsidRDefault="00F40CB7" w:rsidP="007437B2">
            <w:pPr>
              <w:pStyle w:val="TableTextLeft"/>
              <w:spacing w:before="20" w:after="20"/>
            </w:pPr>
            <w:r w:rsidRPr="00F40CB7">
              <w:t>Accounting Professional and Ethical Standards</w:t>
            </w:r>
          </w:p>
        </w:tc>
      </w:tr>
      <w:tr w:rsidR="00350596" w:rsidRPr="009C134F" w14:paraId="215E4E71" w14:textId="77777777" w:rsidTr="00270A85">
        <w:tc>
          <w:tcPr>
            <w:tcW w:w="1565" w:type="dxa"/>
          </w:tcPr>
          <w:p w14:paraId="10C8B93F" w14:textId="77777777" w:rsidR="00350596" w:rsidRPr="00377E57" w:rsidRDefault="00350596" w:rsidP="007437B2">
            <w:pPr>
              <w:pStyle w:val="TableTextLeft"/>
              <w:spacing w:before="20" w:after="20"/>
              <w:rPr>
                <w:b/>
                <w:szCs w:val="18"/>
                <w:lang w:val="en-GB"/>
              </w:rPr>
            </w:pPr>
            <w:r w:rsidRPr="00377E57">
              <w:rPr>
                <w:b/>
                <w:szCs w:val="18"/>
                <w:lang w:val="en-GB"/>
              </w:rPr>
              <w:t>APESB</w:t>
            </w:r>
          </w:p>
        </w:tc>
        <w:tc>
          <w:tcPr>
            <w:tcW w:w="7366" w:type="dxa"/>
          </w:tcPr>
          <w:p w14:paraId="7F775E01" w14:textId="77777777" w:rsidR="00350596" w:rsidRPr="009C134F" w:rsidRDefault="00350596" w:rsidP="007437B2">
            <w:pPr>
              <w:pStyle w:val="TableTextLeft"/>
              <w:spacing w:before="20" w:after="20"/>
            </w:pPr>
            <w:r w:rsidRPr="009C134F">
              <w:t>Accounting Professional and Ethical Standards Board</w:t>
            </w:r>
          </w:p>
        </w:tc>
      </w:tr>
      <w:tr w:rsidR="00011011" w:rsidRPr="009C134F" w14:paraId="4F4FFA2B" w14:textId="77777777" w:rsidTr="00270A85">
        <w:tc>
          <w:tcPr>
            <w:tcW w:w="1565" w:type="dxa"/>
          </w:tcPr>
          <w:p w14:paraId="277CB0A1" w14:textId="49F08ABC" w:rsidR="00011011" w:rsidRPr="00377E57" w:rsidRDefault="00011011" w:rsidP="007437B2">
            <w:pPr>
              <w:pStyle w:val="TableTextLeft"/>
              <w:spacing w:before="20" w:after="20"/>
              <w:rPr>
                <w:rFonts w:eastAsia="Aptos"/>
                <w:b/>
                <w:kern w:val="2"/>
                <w:szCs w:val="18"/>
                <w14:ligatures w14:val="standardContextual"/>
              </w:rPr>
            </w:pPr>
            <w:r w:rsidRPr="00377E57">
              <w:rPr>
                <w:rFonts w:eastAsia="Aptos"/>
                <w:b/>
                <w:kern w:val="2"/>
                <w:szCs w:val="18"/>
                <w14:ligatures w14:val="standardContextual"/>
              </w:rPr>
              <w:t>AI</w:t>
            </w:r>
          </w:p>
        </w:tc>
        <w:tc>
          <w:tcPr>
            <w:tcW w:w="7366" w:type="dxa"/>
          </w:tcPr>
          <w:p w14:paraId="7590CE87" w14:textId="490DAE27" w:rsidR="00011011" w:rsidRPr="009C134F" w:rsidRDefault="00011011" w:rsidP="007437B2">
            <w:pPr>
              <w:pStyle w:val="TableTextLeft"/>
              <w:spacing w:before="20" w:after="20"/>
              <w:rPr>
                <w:rFonts w:eastAsia="Aptos"/>
              </w:rPr>
            </w:pPr>
            <w:r w:rsidRPr="009C134F">
              <w:rPr>
                <w:rFonts w:eastAsia="Aptos"/>
              </w:rPr>
              <w:t>Artificial intelligence</w:t>
            </w:r>
          </w:p>
        </w:tc>
      </w:tr>
      <w:tr w:rsidR="00D4556E" w:rsidRPr="009C134F" w14:paraId="5353E4E7" w14:textId="77777777" w:rsidTr="00270A85">
        <w:tc>
          <w:tcPr>
            <w:tcW w:w="1565" w:type="dxa"/>
          </w:tcPr>
          <w:p w14:paraId="5D535617" w14:textId="4389F048" w:rsidR="00D4556E" w:rsidRPr="00377E57" w:rsidRDefault="00D4556E" w:rsidP="007437B2">
            <w:pPr>
              <w:pStyle w:val="TableTextLeft"/>
              <w:spacing w:before="20" w:after="20"/>
              <w:rPr>
                <w:rFonts w:eastAsia="Aptos"/>
                <w:b/>
                <w:kern w:val="2"/>
                <w:szCs w:val="18"/>
                <w14:ligatures w14:val="standardContextual"/>
              </w:rPr>
            </w:pPr>
            <w:r>
              <w:rPr>
                <w:rFonts w:eastAsia="Aptos"/>
                <w:b/>
                <w:kern w:val="2"/>
                <w:szCs w:val="18"/>
                <w14:ligatures w14:val="standardContextual"/>
              </w:rPr>
              <w:t>AOSSG</w:t>
            </w:r>
          </w:p>
        </w:tc>
        <w:tc>
          <w:tcPr>
            <w:tcW w:w="7366" w:type="dxa"/>
          </w:tcPr>
          <w:p w14:paraId="611A91B0" w14:textId="4B9D300C" w:rsidR="00D4556E" w:rsidRPr="009C134F" w:rsidRDefault="007B5E2B" w:rsidP="007437B2">
            <w:pPr>
              <w:pStyle w:val="TableTextLeft"/>
              <w:spacing w:before="20" w:after="20"/>
              <w:rPr>
                <w:rFonts w:eastAsia="Aptos"/>
              </w:rPr>
            </w:pPr>
            <w:r w:rsidRPr="007B5E2B">
              <w:rPr>
                <w:rFonts w:eastAsia="Aptos"/>
              </w:rPr>
              <w:t>Asian-Oceanian Standard-Setters Group</w:t>
            </w:r>
          </w:p>
        </w:tc>
      </w:tr>
      <w:tr w:rsidR="00350596" w:rsidRPr="009C134F" w14:paraId="27092C6F" w14:textId="77777777" w:rsidTr="00270A85">
        <w:tc>
          <w:tcPr>
            <w:tcW w:w="1565" w:type="dxa"/>
          </w:tcPr>
          <w:p w14:paraId="10E11E2C" w14:textId="77777777" w:rsidR="00350596" w:rsidRPr="00377E57" w:rsidRDefault="00350596" w:rsidP="007437B2">
            <w:pPr>
              <w:pStyle w:val="TableTextLeft"/>
              <w:spacing w:before="20" w:after="20"/>
              <w:rPr>
                <w:b/>
                <w:szCs w:val="18"/>
                <w:lang w:val="en-GB"/>
              </w:rPr>
            </w:pPr>
            <w:r w:rsidRPr="00377E57">
              <w:rPr>
                <w:b/>
                <w:szCs w:val="18"/>
                <w:lang w:val="en-GB"/>
              </w:rPr>
              <w:t>ASIC</w:t>
            </w:r>
          </w:p>
        </w:tc>
        <w:tc>
          <w:tcPr>
            <w:tcW w:w="7366" w:type="dxa"/>
          </w:tcPr>
          <w:p w14:paraId="274F44A5" w14:textId="77777777" w:rsidR="00350596" w:rsidRPr="009C134F" w:rsidRDefault="00350596" w:rsidP="007437B2">
            <w:pPr>
              <w:pStyle w:val="TableTextLeft"/>
              <w:spacing w:before="20" w:after="20"/>
            </w:pPr>
            <w:r w:rsidRPr="009C134F">
              <w:t>Australian Securities and Investments Commission</w:t>
            </w:r>
          </w:p>
        </w:tc>
      </w:tr>
      <w:tr w:rsidR="005C2DC0" w:rsidRPr="009C134F" w14:paraId="1C789EB5" w14:textId="77777777" w:rsidTr="00270A85">
        <w:tc>
          <w:tcPr>
            <w:tcW w:w="1565" w:type="dxa"/>
          </w:tcPr>
          <w:p w14:paraId="473C24E2" w14:textId="35253E42" w:rsidR="005C2DC0" w:rsidRPr="00377E57" w:rsidRDefault="005C2DC0" w:rsidP="007437B2">
            <w:pPr>
              <w:pStyle w:val="TableTextLeft"/>
              <w:spacing w:before="20" w:after="20"/>
              <w:rPr>
                <w:b/>
                <w:szCs w:val="18"/>
                <w:lang w:val="en-GB"/>
              </w:rPr>
            </w:pPr>
            <w:r w:rsidRPr="00377E57">
              <w:rPr>
                <w:b/>
                <w:szCs w:val="18"/>
                <w:lang w:val="en-GB"/>
              </w:rPr>
              <w:t>ASIC Act</w:t>
            </w:r>
          </w:p>
        </w:tc>
        <w:tc>
          <w:tcPr>
            <w:tcW w:w="7366" w:type="dxa"/>
          </w:tcPr>
          <w:p w14:paraId="695FD4EE" w14:textId="2943889F" w:rsidR="005C2DC0" w:rsidRPr="009C134F" w:rsidRDefault="005C2DC0" w:rsidP="007437B2">
            <w:pPr>
              <w:pStyle w:val="TableTextLeft"/>
              <w:spacing w:before="20" w:after="20"/>
            </w:pPr>
            <w:r w:rsidRPr="009C134F">
              <w:t>Australian Securities and Investments Commission Act 2001</w:t>
            </w:r>
            <w:r w:rsidR="000416A8">
              <w:t xml:space="preserve"> (</w:t>
            </w:r>
            <w:proofErr w:type="spellStart"/>
            <w:r w:rsidR="000416A8">
              <w:t>Cth</w:t>
            </w:r>
            <w:proofErr w:type="spellEnd"/>
            <w:r w:rsidR="000416A8">
              <w:t>)</w:t>
            </w:r>
          </w:p>
        </w:tc>
      </w:tr>
      <w:tr w:rsidR="00350596" w:rsidRPr="009C134F" w14:paraId="2F79887F" w14:textId="77777777" w:rsidTr="00270A85">
        <w:tc>
          <w:tcPr>
            <w:tcW w:w="1565" w:type="dxa"/>
          </w:tcPr>
          <w:p w14:paraId="25FA6489" w14:textId="77777777" w:rsidR="00350596" w:rsidRPr="00377E57" w:rsidRDefault="00350596" w:rsidP="007437B2">
            <w:pPr>
              <w:pStyle w:val="TableTextLeft"/>
              <w:spacing w:before="20" w:after="20"/>
              <w:rPr>
                <w:b/>
                <w:szCs w:val="18"/>
                <w:lang w:val="en-GB"/>
              </w:rPr>
            </w:pPr>
            <w:r w:rsidRPr="00377E57">
              <w:rPr>
                <w:b/>
                <w:szCs w:val="18"/>
                <w:lang w:val="en-GB"/>
              </w:rPr>
              <w:t>ASX</w:t>
            </w:r>
          </w:p>
        </w:tc>
        <w:tc>
          <w:tcPr>
            <w:tcW w:w="7366" w:type="dxa"/>
          </w:tcPr>
          <w:p w14:paraId="11EF96D1" w14:textId="77777777" w:rsidR="00350596" w:rsidRPr="009C134F" w:rsidRDefault="00350596" w:rsidP="007437B2">
            <w:pPr>
              <w:pStyle w:val="TableTextLeft"/>
              <w:spacing w:before="20" w:after="20"/>
            </w:pPr>
            <w:r w:rsidRPr="009C134F">
              <w:t>Australian Securities Exchange</w:t>
            </w:r>
          </w:p>
        </w:tc>
      </w:tr>
      <w:tr w:rsidR="00350596" w:rsidRPr="009C134F" w14:paraId="345F9267" w14:textId="77777777" w:rsidTr="00270A85">
        <w:tc>
          <w:tcPr>
            <w:tcW w:w="1565" w:type="dxa"/>
          </w:tcPr>
          <w:p w14:paraId="64764F4B" w14:textId="77777777" w:rsidR="00350596" w:rsidRPr="00377E57" w:rsidRDefault="00350596" w:rsidP="007437B2">
            <w:pPr>
              <w:pStyle w:val="TableTextLeft"/>
              <w:spacing w:before="20" w:after="20"/>
              <w:rPr>
                <w:b/>
                <w:szCs w:val="18"/>
                <w:lang w:val="en-GB"/>
              </w:rPr>
            </w:pPr>
            <w:r w:rsidRPr="00377E57">
              <w:rPr>
                <w:b/>
                <w:szCs w:val="18"/>
                <w:lang w:val="en-GB"/>
              </w:rPr>
              <w:t>AUASB</w:t>
            </w:r>
          </w:p>
        </w:tc>
        <w:tc>
          <w:tcPr>
            <w:tcW w:w="7366" w:type="dxa"/>
          </w:tcPr>
          <w:p w14:paraId="29CCE450" w14:textId="77777777" w:rsidR="00350596" w:rsidRPr="009C134F" w:rsidRDefault="00350596" w:rsidP="007437B2">
            <w:pPr>
              <w:pStyle w:val="TableTextLeft"/>
              <w:spacing w:before="20" w:after="20"/>
            </w:pPr>
            <w:r w:rsidRPr="009C134F">
              <w:t>Auditing and Assurance Standards Board</w:t>
            </w:r>
          </w:p>
        </w:tc>
      </w:tr>
      <w:tr w:rsidR="00350596" w:rsidRPr="009C134F" w14:paraId="2A87F64C" w14:textId="77777777" w:rsidTr="00270A85">
        <w:tc>
          <w:tcPr>
            <w:tcW w:w="1565" w:type="dxa"/>
          </w:tcPr>
          <w:p w14:paraId="611EACA0" w14:textId="7B55A4A3" w:rsidR="00350596" w:rsidRPr="00377E57" w:rsidRDefault="00A43C1E" w:rsidP="007437B2">
            <w:pPr>
              <w:pStyle w:val="TableTextLeft"/>
              <w:spacing w:before="20" w:after="20"/>
              <w:rPr>
                <w:b/>
                <w:szCs w:val="18"/>
                <w:lang w:val="en-GB"/>
              </w:rPr>
            </w:pPr>
            <w:r w:rsidRPr="00377E57">
              <w:rPr>
                <w:b/>
                <w:szCs w:val="18"/>
                <w:lang w:val="en-GB"/>
              </w:rPr>
              <w:t>CA</w:t>
            </w:r>
            <w:r w:rsidR="00350596" w:rsidRPr="00377E57">
              <w:rPr>
                <w:b/>
                <w:szCs w:val="18"/>
                <w:lang w:val="en-GB"/>
              </w:rPr>
              <w:t xml:space="preserve"> ANZ</w:t>
            </w:r>
          </w:p>
        </w:tc>
        <w:tc>
          <w:tcPr>
            <w:tcW w:w="7366" w:type="dxa"/>
          </w:tcPr>
          <w:p w14:paraId="70D15A74" w14:textId="77777777" w:rsidR="00350596" w:rsidRPr="009C134F" w:rsidRDefault="00350596" w:rsidP="007437B2">
            <w:pPr>
              <w:pStyle w:val="TableTextLeft"/>
              <w:spacing w:before="20" w:after="20"/>
            </w:pPr>
            <w:r w:rsidRPr="009C134F">
              <w:t>Chartered Accountants Australia and New Zealand</w:t>
            </w:r>
          </w:p>
        </w:tc>
      </w:tr>
      <w:tr w:rsidR="00907B29" w:rsidRPr="009C134F" w14:paraId="57FF0D82" w14:textId="77777777" w:rsidTr="00270A85">
        <w:tc>
          <w:tcPr>
            <w:tcW w:w="1565" w:type="dxa"/>
          </w:tcPr>
          <w:p w14:paraId="42E5E955" w14:textId="1E461B1D" w:rsidR="00907B29" w:rsidRPr="00377E57" w:rsidRDefault="00907B29" w:rsidP="007437B2">
            <w:pPr>
              <w:pStyle w:val="TableTextLeft"/>
              <w:spacing w:before="20" w:after="20"/>
              <w:rPr>
                <w:b/>
                <w:szCs w:val="18"/>
                <w:lang w:val="en-GB"/>
              </w:rPr>
            </w:pPr>
            <w:r>
              <w:rPr>
                <w:b/>
                <w:szCs w:val="18"/>
                <w:lang w:val="en-GB"/>
              </w:rPr>
              <w:t>CADB</w:t>
            </w:r>
          </w:p>
        </w:tc>
        <w:tc>
          <w:tcPr>
            <w:tcW w:w="7366" w:type="dxa"/>
          </w:tcPr>
          <w:p w14:paraId="09352CA9" w14:textId="518E0707" w:rsidR="00907B29" w:rsidRPr="009C134F" w:rsidRDefault="00907B29" w:rsidP="007437B2">
            <w:pPr>
              <w:pStyle w:val="TableTextLeft"/>
              <w:spacing w:before="20" w:after="20"/>
            </w:pPr>
            <w:r w:rsidRPr="00907B29">
              <w:t>Companies Auditors Disciplinary Board</w:t>
            </w:r>
          </w:p>
        </w:tc>
      </w:tr>
      <w:tr w:rsidR="009543D4" w:rsidRPr="009C134F" w14:paraId="6CC19706" w14:textId="77777777" w:rsidTr="00270A85">
        <w:tc>
          <w:tcPr>
            <w:tcW w:w="1565" w:type="dxa"/>
          </w:tcPr>
          <w:p w14:paraId="3585FB54" w14:textId="7102A7E4" w:rsidR="009543D4" w:rsidRDefault="009543D4" w:rsidP="007437B2">
            <w:pPr>
              <w:pStyle w:val="TableTextLeft"/>
              <w:spacing w:before="20" w:after="20"/>
              <w:rPr>
                <w:b/>
                <w:szCs w:val="18"/>
                <w:lang w:val="en-GB"/>
              </w:rPr>
            </w:pPr>
            <w:r w:rsidRPr="009543D4">
              <w:rPr>
                <w:b/>
                <w:szCs w:val="18"/>
                <w:lang w:val="en-GB"/>
              </w:rPr>
              <w:t>Corporations Act</w:t>
            </w:r>
          </w:p>
        </w:tc>
        <w:tc>
          <w:tcPr>
            <w:tcW w:w="7366" w:type="dxa"/>
          </w:tcPr>
          <w:p w14:paraId="70078D38" w14:textId="300AB97F" w:rsidR="009543D4" w:rsidRPr="00907B29" w:rsidRDefault="009543D4" w:rsidP="007437B2">
            <w:pPr>
              <w:pStyle w:val="TableTextLeft"/>
              <w:spacing w:before="20" w:after="20"/>
            </w:pPr>
            <w:r>
              <w:t>Corporations Act 2001 (</w:t>
            </w:r>
            <w:proofErr w:type="spellStart"/>
            <w:r>
              <w:t>Cth</w:t>
            </w:r>
            <w:proofErr w:type="spellEnd"/>
            <w:r>
              <w:t>)</w:t>
            </w:r>
          </w:p>
        </w:tc>
      </w:tr>
      <w:tr w:rsidR="0002650B" w:rsidRPr="009C134F" w14:paraId="33E88F83" w14:textId="77777777" w:rsidTr="00270A85">
        <w:tc>
          <w:tcPr>
            <w:tcW w:w="1565" w:type="dxa"/>
          </w:tcPr>
          <w:p w14:paraId="1A71755C" w14:textId="08CCCC07" w:rsidR="0002650B" w:rsidRPr="00377E57" w:rsidRDefault="0002650B" w:rsidP="007437B2">
            <w:pPr>
              <w:pStyle w:val="TableTextLeft"/>
              <w:spacing w:before="20" w:after="20"/>
              <w:rPr>
                <w:b/>
                <w:szCs w:val="18"/>
                <w:lang w:val="en-GB"/>
              </w:rPr>
            </w:pPr>
            <w:r>
              <w:rPr>
                <w:b/>
                <w:szCs w:val="18"/>
                <w:lang w:val="en-GB"/>
              </w:rPr>
              <w:t>CPD</w:t>
            </w:r>
          </w:p>
        </w:tc>
        <w:tc>
          <w:tcPr>
            <w:tcW w:w="7366" w:type="dxa"/>
          </w:tcPr>
          <w:p w14:paraId="0DAFFF79" w14:textId="0FB63544" w:rsidR="0002650B" w:rsidRPr="009C134F" w:rsidRDefault="0002650B" w:rsidP="007437B2">
            <w:pPr>
              <w:pStyle w:val="TableTextLeft"/>
              <w:spacing w:before="20" w:after="20"/>
            </w:pPr>
            <w:r>
              <w:t>Continuing Professional Development</w:t>
            </w:r>
          </w:p>
        </w:tc>
      </w:tr>
      <w:tr w:rsidR="009F5CD6" w:rsidRPr="009C134F" w14:paraId="72EA2E2A" w14:textId="77777777" w:rsidTr="00270A85">
        <w:tc>
          <w:tcPr>
            <w:tcW w:w="1565" w:type="dxa"/>
          </w:tcPr>
          <w:p w14:paraId="74086CD1" w14:textId="46F1A40F" w:rsidR="009F5CD6" w:rsidRPr="00377E57" w:rsidRDefault="009F5CD6" w:rsidP="007437B2">
            <w:pPr>
              <w:pStyle w:val="TableTextLeft"/>
              <w:spacing w:before="20" w:after="20"/>
              <w:rPr>
                <w:b/>
                <w:szCs w:val="18"/>
                <w:lang w:val="en-GB"/>
              </w:rPr>
            </w:pPr>
            <w:r w:rsidRPr="00377E57">
              <w:rPr>
                <w:b/>
                <w:szCs w:val="18"/>
                <w:lang w:val="en-GB"/>
              </w:rPr>
              <w:t>ERA</w:t>
            </w:r>
          </w:p>
        </w:tc>
        <w:tc>
          <w:tcPr>
            <w:tcW w:w="7366" w:type="dxa"/>
          </w:tcPr>
          <w:p w14:paraId="0243824B" w14:textId="12FED5E3" w:rsidR="009F5CD6" w:rsidRPr="009C134F" w:rsidRDefault="009F5CD6" w:rsidP="007437B2">
            <w:pPr>
              <w:pStyle w:val="TableTextLeft"/>
              <w:spacing w:before="20" w:after="20"/>
            </w:pPr>
            <w:r w:rsidRPr="009C134F">
              <w:t>External Reporting Australia</w:t>
            </w:r>
          </w:p>
        </w:tc>
      </w:tr>
      <w:tr w:rsidR="00350596" w:rsidRPr="009C134F" w14:paraId="34B8C003" w14:textId="77777777" w:rsidTr="00270A85">
        <w:tc>
          <w:tcPr>
            <w:tcW w:w="1565" w:type="dxa"/>
          </w:tcPr>
          <w:p w14:paraId="3D009980" w14:textId="77777777" w:rsidR="00350596" w:rsidRPr="00377E57" w:rsidRDefault="00350596" w:rsidP="007437B2">
            <w:pPr>
              <w:pStyle w:val="TableTextLeft"/>
              <w:spacing w:before="20" w:after="20"/>
              <w:rPr>
                <w:b/>
                <w:szCs w:val="18"/>
                <w:lang w:val="en-GB"/>
              </w:rPr>
            </w:pPr>
            <w:r w:rsidRPr="00377E57">
              <w:rPr>
                <w:b/>
                <w:szCs w:val="18"/>
                <w:lang w:val="en-GB"/>
              </w:rPr>
              <w:t>FRC</w:t>
            </w:r>
          </w:p>
        </w:tc>
        <w:tc>
          <w:tcPr>
            <w:tcW w:w="7366" w:type="dxa"/>
          </w:tcPr>
          <w:p w14:paraId="5B0D9FCF" w14:textId="77777777" w:rsidR="00350596" w:rsidRPr="009C134F" w:rsidRDefault="00350596" w:rsidP="007437B2">
            <w:pPr>
              <w:pStyle w:val="TableTextLeft"/>
              <w:spacing w:before="20" w:after="20"/>
            </w:pPr>
            <w:r w:rsidRPr="009C134F">
              <w:t>Financial Reporting Council</w:t>
            </w:r>
          </w:p>
        </w:tc>
      </w:tr>
      <w:tr w:rsidR="00F64B7F" w:rsidRPr="009C134F" w14:paraId="6C2EB7F0" w14:textId="77777777" w:rsidTr="00270A85">
        <w:tc>
          <w:tcPr>
            <w:tcW w:w="1565" w:type="dxa"/>
          </w:tcPr>
          <w:p w14:paraId="0145F029" w14:textId="5D133284" w:rsidR="00F64B7F" w:rsidRPr="00377E57" w:rsidRDefault="00F64B7F" w:rsidP="007437B2">
            <w:pPr>
              <w:pStyle w:val="TableTextLeft"/>
              <w:spacing w:before="20" w:after="20"/>
              <w:rPr>
                <w:b/>
                <w:szCs w:val="18"/>
                <w:lang w:val="en-GB"/>
              </w:rPr>
            </w:pPr>
            <w:r>
              <w:rPr>
                <w:b/>
                <w:szCs w:val="18"/>
                <w:lang w:val="en-GB"/>
              </w:rPr>
              <w:t>GHG</w:t>
            </w:r>
          </w:p>
        </w:tc>
        <w:tc>
          <w:tcPr>
            <w:tcW w:w="7366" w:type="dxa"/>
          </w:tcPr>
          <w:p w14:paraId="731AF4D0" w14:textId="627B27C9" w:rsidR="00F64B7F" w:rsidRPr="009C134F" w:rsidRDefault="00010E2F" w:rsidP="007437B2">
            <w:pPr>
              <w:pStyle w:val="TableTextLeft"/>
              <w:spacing w:before="20" w:after="20"/>
            </w:pPr>
            <w:r>
              <w:t>Greenhouse gas</w:t>
            </w:r>
          </w:p>
        </w:tc>
      </w:tr>
      <w:tr w:rsidR="00386E0C" w:rsidRPr="009C134F" w14:paraId="7146BBDF" w14:textId="77777777" w:rsidTr="00270A85">
        <w:tc>
          <w:tcPr>
            <w:tcW w:w="1565" w:type="dxa"/>
          </w:tcPr>
          <w:p w14:paraId="3FAF9B67" w14:textId="1B31D7AD" w:rsidR="00386E0C" w:rsidRPr="00377E57" w:rsidRDefault="00386E0C" w:rsidP="007437B2">
            <w:pPr>
              <w:pStyle w:val="TableTextLeft"/>
              <w:spacing w:before="20" w:after="20"/>
              <w:rPr>
                <w:b/>
                <w:szCs w:val="18"/>
                <w:lang w:val="en-GB"/>
              </w:rPr>
            </w:pPr>
            <w:r w:rsidRPr="00377E57">
              <w:rPr>
                <w:b/>
                <w:szCs w:val="18"/>
                <w:lang w:val="en-GB"/>
              </w:rPr>
              <w:t>H</w:t>
            </w:r>
            <w:proofErr w:type="spellStart"/>
            <w:r w:rsidRPr="00377E57">
              <w:rPr>
                <w:b/>
                <w:szCs w:val="18"/>
              </w:rPr>
              <w:t>oTARAC</w:t>
            </w:r>
            <w:proofErr w:type="spellEnd"/>
          </w:p>
        </w:tc>
        <w:tc>
          <w:tcPr>
            <w:tcW w:w="7366" w:type="dxa"/>
          </w:tcPr>
          <w:p w14:paraId="4EE99004" w14:textId="7CEB5897" w:rsidR="00386E0C" w:rsidRPr="009C134F" w:rsidRDefault="00DE06D8" w:rsidP="007437B2">
            <w:pPr>
              <w:pStyle w:val="TableTextLeft"/>
              <w:spacing w:before="20" w:after="20"/>
            </w:pPr>
            <w:r w:rsidRPr="009C134F">
              <w:t>Heads of Treasury Accounting and Reporting Advisory Committee</w:t>
            </w:r>
          </w:p>
        </w:tc>
      </w:tr>
      <w:tr w:rsidR="00350596" w:rsidRPr="009C134F" w14:paraId="0F1AC0CD" w14:textId="77777777" w:rsidTr="00270A85">
        <w:tc>
          <w:tcPr>
            <w:tcW w:w="1565" w:type="dxa"/>
          </w:tcPr>
          <w:p w14:paraId="65BCEB17" w14:textId="77777777" w:rsidR="00350596" w:rsidRPr="00377E57" w:rsidRDefault="00350596" w:rsidP="007437B2">
            <w:pPr>
              <w:pStyle w:val="TableTextLeft"/>
              <w:spacing w:before="20" w:after="20"/>
              <w:rPr>
                <w:b/>
                <w:szCs w:val="18"/>
                <w:lang w:val="en-GB"/>
              </w:rPr>
            </w:pPr>
            <w:r w:rsidRPr="00377E57">
              <w:rPr>
                <w:b/>
                <w:szCs w:val="18"/>
                <w:lang w:val="en-GB"/>
              </w:rPr>
              <w:t>IAASB</w:t>
            </w:r>
          </w:p>
        </w:tc>
        <w:tc>
          <w:tcPr>
            <w:tcW w:w="7366" w:type="dxa"/>
          </w:tcPr>
          <w:p w14:paraId="1B93C5DF" w14:textId="77777777" w:rsidR="00350596" w:rsidRPr="009C134F" w:rsidRDefault="00350596" w:rsidP="007437B2">
            <w:pPr>
              <w:pStyle w:val="TableTextLeft"/>
              <w:spacing w:before="20" w:after="20"/>
            </w:pPr>
            <w:r w:rsidRPr="009C134F">
              <w:t>International Auditing and Assurance Standards Board</w:t>
            </w:r>
          </w:p>
        </w:tc>
      </w:tr>
      <w:tr w:rsidR="003A475F" w:rsidRPr="009C134F" w14:paraId="46C0F658" w14:textId="77777777" w:rsidTr="00270A85">
        <w:tc>
          <w:tcPr>
            <w:tcW w:w="1565" w:type="dxa"/>
          </w:tcPr>
          <w:p w14:paraId="5B44F319" w14:textId="6759AABF" w:rsidR="003A475F" w:rsidRPr="00377E57" w:rsidRDefault="003A475F" w:rsidP="007437B2">
            <w:pPr>
              <w:pStyle w:val="TableTextLeft"/>
              <w:spacing w:before="20" w:after="20"/>
              <w:rPr>
                <w:b/>
                <w:szCs w:val="18"/>
                <w:lang w:val="en-GB"/>
              </w:rPr>
            </w:pPr>
            <w:r w:rsidRPr="00377E57">
              <w:rPr>
                <w:b/>
                <w:szCs w:val="18"/>
              </w:rPr>
              <w:t xml:space="preserve">IAP </w:t>
            </w:r>
          </w:p>
        </w:tc>
        <w:tc>
          <w:tcPr>
            <w:tcW w:w="7366" w:type="dxa"/>
          </w:tcPr>
          <w:p w14:paraId="7F2EF02D" w14:textId="7E12E0AB" w:rsidR="003A475F" w:rsidRPr="009C134F" w:rsidRDefault="003A475F" w:rsidP="007437B2">
            <w:pPr>
              <w:pStyle w:val="TableTextLeft"/>
              <w:spacing w:before="20" w:after="20"/>
            </w:pPr>
            <w:r w:rsidRPr="009C134F">
              <w:t>Implementation Advisory Panel</w:t>
            </w:r>
          </w:p>
        </w:tc>
      </w:tr>
      <w:tr w:rsidR="00350596" w:rsidRPr="009C134F" w14:paraId="74AFAFE1" w14:textId="77777777" w:rsidTr="00270A85">
        <w:tc>
          <w:tcPr>
            <w:tcW w:w="1565" w:type="dxa"/>
          </w:tcPr>
          <w:p w14:paraId="10632236" w14:textId="5A0945DA" w:rsidR="00350596" w:rsidRPr="00377E57" w:rsidRDefault="009F0CAE" w:rsidP="007437B2">
            <w:pPr>
              <w:pStyle w:val="TableTextLeft"/>
              <w:spacing w:before="20" w:after="20"/>
              <w:rPr>
                <w:b/>
                <w:szCs w:val="18"/>
                <w:lang w:val="en-GB"/>
              </w:rPr>
            </w:pPr>
            <w:r w:rsidRPr="00377E57">
              <w:rPr>
                <w:b/>
                <w:szCs w:val="18"/>
                <w:lang w:val="en-GB"/>
              </w:rPr>
              <w:t>IASB</w:t>
            </w:r>
          </w:p>
        </w:tc>
        <w:tc>
          <w:tcPr>
            <w:tcW w:w="7366" w:type="dxa"/>
          </w:tcPr>
          <w:p w14:paraId="46242BC3" w14:textId="2E071FCC" w:rsidR="00350596" w:rsidRPr="009C134F" w:rsidRDefault="00350596" w:rsidP="007437B2">
            <w:pPr>
              <w:pStyle w:val="TableTextLeft"/>
              <w:spacing w:before="20" w:after="20"/>
            </w:pPr>
            <w:r w:rsidRPr="009C134F">
              <w:t xml:space="preserve">International Accounting Standards </w:t>
            </w:r>
            <w:r w:rsidR="009F0CAE" w:rsidRPr="009C134F">
              <w:t>Board</w:t>
            </w:r>
          </w:p>
        </w:tc>
      </w:tr>
      <w:tr w:rsidR="00350596" w:rsidRPr="009C134F" w14:paraId="2BAE1F22" w14:textId="77777777" w:rsidTr="00270A85">
        <w:tc>
          <w:tcPr>
            <w:tcW w:w="1565" w:type="dxa"/>
          </w:tcPr>
          <w:p w14:paraId="12FB34FD" w14:textId="77777777" w:rsidR="00350596" w:rsidRPr="00377E57" w:rsidRDefault="00350596" w:rsidP="007437B2">
            <w:pPr>
              <w:pStyle w:val="TableTextLeft"/>
              <w:spacing w:before="20" w:after="20"/>
              <w:rPr>
                <w:b/>
                <w:szCs w:val="18"/>
                <w:lang w:val="en-GB"/>
              </w:rPr>
            </w:pPr>
            <w:r w:rsidRPr="00377E57">
              <w:rPr>
                <w:b/>
                <w:szCs w:val="18"/>
                <w:lang w:val="en-GB"/>
              </w:rPr>
              <w:t>IESBA</w:t>
            </w:r>
          </w:p>
        </w:tc>
        <w:tc>
          <w:tcPr>
            <w:tcW w:w="7366" w:type="dxa"/>
          </w:tcPr>
          <w:p w14:paraId="4A2C971D" w14:textId="77777777" w:rsidR="00350596" w:rsidRPr="009C134F" w:rsidRDefault="00350596" w:rsidP="007437B2">
            <w:pPr>
              <w:pStyle w:val="TableTextLeft"/>
              <w:spacing w:before="20" w:after="20"/>
            </w:pPr>
            <w:r w:rsidRPr="009C134F">
              <w:t>International Ethics Standards Board for Accountants</w:t>
            </w:r>
          </w:p>
        </w:tc>
      </w:tr>
      <w:tr w:rsidR="00F47FC4" w:rsidRPr="009C134F" w14:paraId="1CCBDE44" w14:textId="77777777" w:rsidTr="00270A85">
        <w:tc>
          <w:tcPr>
            <w:tcW w:w="1565" w:type="dxa"/>
          </w:tcPr>
          <w:p w14:paraId="7E2509E5" w14:textId="10F10584" w:rsidR="00F47FC4" w:rsidRPr="00377E57" w:rsidRDefault="00F47FC4" w:rsidP="007437B2">
            <w:pPr>
              <w:pStyle w:val="TableTextLeft"/>
              <w:spacing w:before="20" w:after="20"/>
              <w:rPr>
                <w:b/>
                <w:szCs w:val="18"/>
                <w:lang w:val="en-GB"/>
              </w:rPr>
            </w:pPr>
            <w:r w:rsidRPr="00377E57">
              <w:rPr>
                <w:b/>
                <w:szCs w:val="18"/>
                <w:lang w:val="en-GB"/>
              </w:rPr>
              <w:t>IFAC</w:t>
            </w:r>
          </w:p>
        </w:tc>
        <w:tc>
          <w:tcPr>
            <w:tcW w:w="7366" w:type="dxa"/>
          </w:tcPr>
          <w:p w14:paraId="6DF9A214" w14:textId="7CCE6E04" w:rsidR="00F47FC4" w:rsidRPr="009C134F" w:rsidRDefault="00F47FC4" w:rsidP="007437B2">
            <w:pPr>
              <w:pStyle w:val="TableTextLeft"/>
              <w:spacing w:before="20" w:after="20"/>
            </w:pPr>
            <w:r w:rsidRPr="009C134F">
              <w:t>International Federation of Accountants</w:t>
            </w:r>
          </w:p>
        </w:tc>
      </w:tr>
      <w:tr w:rsidR="00785006" w:rsidRPr="009C134F" w14:paraId="24DDF336" w14:textId="77777777" w:rsidTr="00270A85">
        <w:tc>
          <w:tcPr>
            <w:tcW w:w="1565" w:type="dxa"/>
          </w:tcPr>
          <w:p w14:paraId="7AB0D3C8" w14:textId="51BC06A6" w:rsidR="00785006" w:rsidRPr="00377E57" w:rsidRDefault="00785006" w:rsidP="007437B2">
            <w:pPr>
              <w:pStyle w:val="TableTextLeft"/>
              <w:spacing w:before="20" w:after="20"/>
              <w:rPr>
                <w:b/>
                <w:szCs w:val="18"/>
                <w:lang w:val="en-GB"/>
              </w:rPr>
            </w:pPr>
            <w:r>
              <w:rPr>
                <w:b/>
                <w:szCs w:val="18"/>
                <w:lang w:val="en-GB"/>
              </w:rPr>
              <w:t>IFASS</w:t>
            </w:r>
          </w:p>
        </w:tc>
        <w:tc>
          <w:tcPr>
            <w:tcW w:w="7366" w:type="dxa"/>
          </w:tcPr>
          <w:p w14:paraId="6CB98987" w14:textId="4F5ED460" w:rsidR="00785006" w:rsidRPr="009C134F" w:rsidRDefault="003F6F11" w:rsidP="007437B2">
            <w:pPr>
              <w:pStyle w:val="TableTextLeft"/>
              <w:spacing w:before="20" w:after="20"/>
            </w:pPr>
            <w:r w:rsidRPr="003F6F11">
              <w:t>International Forum of Accounting Standard Setters</w:t>
            </w:r>
          </w:p>
        </w:tc>
      </w:tr>
      <w:tr w:rsidR="00350596" w:rsidRPr="009C134F" w14:paraId="3ECCBE88" w14:textId="77777777" w:rsidTr="00270A85">
        <w:tc>
          <w:tcPr>
            <w:tcW w:w="1565" w:type="dxa"/>
          </w:tcPr>
          <w:p w14:paraId="51ED2EE5" w14:textId="77777777" w:rsidR="00350596" w:rsidRPr="00377E57" w:rsidRDefault="00350596" w:rsidP="007437B2">
            <w:pPr>
              <w:pStyle w:val="TableTextLeft"/>
              <w:spacing w:before="20" w:after="20"/>
              <w:rPr>
                <w:b/>
                <w:szCs w:val="18"/>
                <w:lang w:val="en-GB"/>
              </w:rPr>
            </w:pPr>
            <w:r w:rsidRPr="00377E57">
              <w:rPr>
                <w:b/>
                <w:szCs w:val="18"/>
                <w:lang w:val="en-GB"/>
              </w:rPr>
              <w:t>IFIAR</w:t>
            </w:r>
          </w:p>
        </w:tc>
        <w:tc>
          <w:tcPr>
            <w:tcW w:w="7366" w:type="dxa"/>
          </w:tcPr>
          <w:p w14:paraId="132CF557" w14:textId="77777777" w:rsidR="00350596" w:rsidRPr="009C134F" w:rsidRDefault="00350596" w:rsidP="007437B2">
            <w:pPr>
              <w:pStyle w:val="TableTextLeft"/>
              <w:spacing w:before="20" w:after="20"/>
            </w:pPr>
            <w:r w:rsidRPr="009C134F">
              <w:t>International Forum of Independent Audit Regulators</w:t>
            </w:r>
          </w:p>
        </w:tc>
      </w:tr>
      <w:tr w:rsidR="00DE06D8" w:rsidRPr="009C134F" w14:paraId="50FA3E72" w14:textId="77777777" w:rsidTr="00270A85">
        <w:tc>
          <w:tcPr>
            <w:tcW w:w="1565" w:type="dxa"/>
          </w:tcPr>
          <w:p w14:paraId="3AE4C57F" w14:textId="2A99EB61" w:rsidR="00DE06D8" w:rsidRPr="00377E57" w:rsidRDefault="00DE06D8" w:rsidP="007437B2">
            <w:pPr>
              <w:pStyle w:val="TableTextLeft"/>
              <w:spacing w:before="20" w:after="20"/>
              <w:rPr>
                <w:b/>
                <w:szCs w:val="18"/>
                <w:lang w:val="en-GB"/>
              </w:rPr>
            </w:pPr>
            <w:r w:rsidRPr="00377E57">
              <w:rPr>
                <w:b/>
                <w:szCs w:val="18"/>
                <w:lang w:val="en-GB"/>
              </w:rPr>
              <w:t>IFRS</w:t>
            </w:r>
          </w:p>
        </w:tc>
        <w:tc>
          <w:tcPr>
            <w:tcW w:w="7366" w:type="dxa"/>
          </w:tcPr>
          <w:p w14:paraId="75797E96" w14:textId="3F1260CB" w:rsidR="00DE06D8" w:rsidRPr="009C134F" w:rsidRDefault="00DE06D8" w:rsidP="007437B2">
            <w:pPr>
              <w:pStyle w:val="TableTextLeft"/>
              <w:spacing w:before="20" w:after="20"/>
            </w:pPr>
            <w:r w:rsidRPr="009C134F">
              <w:t>International Financial Reporting Standards</w:t>
            </w:r>
          </w:p>
        </w:tc>
      </w:tr>
      <w:tr w:rsidR="00350596" w:rsidRPr="009C134F" w14:paraId="27C167C9" w14:textId="77777777" w:rsidTr="00270A85">
        <w:tc>
          <w:tcPr>
            <w:tcW w:w="1565" w:type="dxa"/>
          </w:tcPr>
          <w:p w14:paraId="59424DAA" w14:textId="77777777" w:rsidR="00350596" w:rsidRPr="00377E57" w:rsidRDefault="00350596" w:rsidP="007437B2">
            <w:pPr>
              <w:pStyle w:val="TableTextLeft"/>
              <w:spacing w:before="20" w:after="20"/>
              <w:rPr>
                <w:b/>
                <w:szCs w:val="18"/>
                <w:lang w:val="en-GB"/>
              </w:rPr>
            </w:pPr>
            <w:r w:rsidRPr="00377E57">
              <w:rPr>
                <w:b/>
                <w:szCs w:val="18"/>
                <w:lang w:val="en-GB"/>
              </w:rPr>
              <w:t>IOSCO</w:t>
            </w:r>
          </w:p>
        </w:tc>
        <w:tc>
          <w:tcPr>
            <w:tcW w:w="7366" w:type="dxa"/>
          </w:tcPr>
          <w:p w14:paraId="5FAA6A6B" w14:textId="77777777" w:rsidR="00350596" w:rsidRPr="009C134F" w:rsidRDefault="00350596" w:rsidP="007437B2">
            <w:pPr>
              <w:pStyle w:val="TableTextLeft"/>
              <w:spacing w:before="20" w:after="20"/>
            </w:pPr>
            <w:r w:rsidRPr="009C134F">
              <w:t>International Organisation of Securities Commissions</w:t>
            </w:r>
          </w:p>
        </w:tc>
      </w:tr>
      <w:tr w:rsidR="00350596" w:rsidRPr="009C134F" w14:paraId="44DD3B78" w14:textId="77777777" w:rsidTr="00270A85">
        <w:tc>
          <w:tcPr>
            <w:tcW w:w="1565" w:type="dxa"/>
          </w:tcPr>
          <w:p w14:paraId="41B7467D" w14:textId="77777777" w:rsidR="00350596" w:rsidRPr="00377E57" w:rsidRDefault="00350596" w:rsidP="007437B2">
            <w:pPr>
              <w:pStyle w:val="TableTextLeft"/>
              <w:spacing w:before="20" w:after="20"/>
              <w:rPr>
                <w:b/>
                <w:szCs w:val="18"/>
                <w:lang w:val="en-GB"/>
              </w:rPr>
            </w:pPr>
            <w:r w:rsidRPr="00377E57">
              <w:rPr>
                <w:b/>
                <w:szCs w:val="18"/>
                <w:lang w:val="en-GB"/>
              </w:rPr>
              <w:t>IPA</w:t>
            </w:r>
          </w:p>
        </w:tc>
        <w:tc>
          <w:tcPr>
            <w:tcW w:w="7366" w:type="dxa"/>
          </w:tcPr>
          <w:p w14:paraId="2F17F34A" w14:textId="77777777" w:rsidR="00350596" w:rsidRPr="009C134F" w:rsidRDefault="00350596" w:rsidP="007437B2">
            <w:pPr>
              <w:pStyle w:val="TableTextLeft"/>
              <w:spacing w:before="20" w:after="20"/>
            </w:pPr>
            <w:r w:rsidRPr="009C134F">
              <w:t>Institute of Public Accountants</w:t>
            </w:r>
          </w:p>
        </w:tc>
      </w:tr>
      <w:tr w:rsidR="00350596" w:rsidRPr="009C134F" w14:paraId="7D710B20" w14:textId="77777777" w:rsidTr="00270A85">
        <w:tc>
          <w:tcPr>
            <w:tcW w:w="1565" w:type="dxa"/>
          </w:tcPr>
          <w:p w14:paraId="51672C21" w14:textId="77777777" w:rsidR="00350596" w:rsidRPr="00377E57" w:rsidRDefault="00350596" w:rsidP="007437B2">
            <w:pPr>
              <w:pStyle w:val="TableTextLeft"/>
              <w:spacing w:before="20" w:after="20"/>
              <w:rPr>
                <w:b/>
                <w:szCs w:val="18"/>
                <w:lang w:val="en-GB"/>
              </w:rPr>
            </w:pPr>
            <w:r w:rsidRPr="00377E57">
              <w:rPr>
                <w:b/>
                <w:szCs w:val="18"/>
                <w:lang w:val="en-GB"/>
              </w:rPr>
              <w:t>IPSASB</w:t>
            </w:r>
          </w:p>
        </w:tc>
        <w:tc>
          <w:tcPr>
            <w:tcW w:w="7366" w:type="dxa"/>
          </w:tcPr>
          <w:p w14:paraId="7E14C25B" w14:textId="5B8CB606" w:rsidR="00350596" w:rsidRPr="009C134F" w:rsidRDefault="00350596" w:rsidP="007437B2">
            <w:pPr>
              <w:pStyle w:val="TableTextLeft"/>
              <w:spacing w:before="20" w:after="20"/>
            </w:pPr>
            <w:r w:rsidRPr="009C134F">
              <w:t xml:space="preserve">International Public </w:t>
            </w:r>
            <w:r w:rsidR="009F0CAE" w:rsidRPr="009C134F">
              <w:t xml:space="preserve">Sector </w:t>
            </w:r>
            <w:r w:rsidRPr="009C134F">
              <w:t>Accounting Standards Board</w:t>
            </w:r>
          </w:p>
        </w:tc>
      </w:tr>
      <w:tr w:rsidR="00350596" w:rsidRPr="009C134F" w14:paraId="3A9D9EAD" w14:textId="77777777" w:rsidTr="00270A85">
        <w:tc>
          <w:tcPr>
            <w:tcW w:w="1565" w:type="dxa"/>
          </w:tcPr>
          <w:p w14:paraId="74C4C461" w14:textId="77777777" w:rsidR="00350596" w:rsidRPr="00377E57" w:rsidRDefault="00350596" w:rsidP="007437B2">
            <w:pPr>
              <w:pStyle w:val="TableTextLeft"/>
              <w:spacing w:before="20" w:after="20"/>
              <w:rPr>
                <w:b/>
                <w:szCs w:val="18"/>
                <w:lang w:val="en-GB"/>
              </w:rPr>
            </w:pPr>
            <w:r w:rsidRPr="00377E57">
              <w:rPr>
                <w:b/>
                <w:szCs w:val="18"/>
                <w:lang w:val="en-GB"/>
              </w:rPr>
              <w:t>ISA</w:t>
            </w:r>
          </w:p>
        </w:tc>
        <w:tc>
          <w:tcPr>
            <w:tcW w:w="7366" w:type="dxa"/>
          </w:tcPr>
          <w:p w14:paraId="3BAEC3E3" w14:textId="49168226" w:rsidR="00350596" w:rsidRPr="009C134F" w:rsidRDefault="00350596" w:rsidP="007437B2">
            <w:pPr>
              <w:pStyle w:val="TableTextLeft"/>
              <w:spacing w:before="20" w:after="20"/>
            </w:pPr>
            <w:r w:rsidRPr="009C134F">
              <w:t>International Standard on Auditing</w:t>
            </w:r>
          </w:p>
        </w:tc>
      </w:tr>
      <w:tr w:rsidR="006C7EF4" w:rsidRPr="009C134F" w14:paraId="4D5F89F0" w14:textId="77777777" w:rsidTr="00270A85">
        <w:tc>
          <w:tcPr>
            <w:tcW w:w="1565" w:type="dxa"/>
          </w:tcPr>
          <w:p w14:paraId="6A7198CD" w14:textId="21468768" w:rsidR="006C7EF4" w:rsidRPr="00377E57" w:rsidRDefault="006C7EF4" w:rsidP="007437B2">
            <w:pPr>
              <w:pStyle w:val="TableTextLeft"/>
              <w:spacing w:before="20" w:after="20"/>
              <w:rPr>
                <w:b/>
                <w:szCs w:val="18"/>
                <w:lang w:val="en-GB"/>
              </w:rPr>
            </w:pPr>
            <w:r w:rsidRPr="000D3F48">
              <w:rPr>
                <w:b/>
                <w:szCs w:val="18"/>
                <w:lang w:val="en-GB"/>
              </w:rPr>
              <w:t>I</w:t>
            </w:r>
            <w:r w:rsidRPr="000D3F48">
              <w:rPr>
                <w:b/>
                <w:color w:val="auto"/>
                <w:szCs w:val="18"/>
                <w:lang w:val="en-GB"/>
              </w:rPr>
              <w:t>SSB</w:t>
            </w:r>
          </w:p>
        </w:tc>
        <w:tc>
          <w:tcPr>
            <w:tcW w:w="7366" w:type="dxa"/>
          </w:tcPr>
          <w:p w14:paraId="22FFE0CB" w14:textId="7578E9D3" w:rsidR="006C7EF4" w:rsidRPr="009C134F" w:rsidRDefault="006C7EF4" w:rsidP="007437B2">
            <w:pPr>
              <w:pStyle w:val="TableTextLeft"/>
              <w:spacing w:before="20" w:after="20"/>
            </w:pPr>
            <w:r w:rsidRPr="009C134F">
              <w:t>International Sustainability Standards Board</w:t>
            </w:r>
          </w:p>
        </w:tc>
      </w:tr>
      <w:tr w:rsidR="00350596" w:rsidRPr="009C134F" w14:paraId="642A18E3" w14:textId="77777777" w:rsidTr="00270A85">
        <w:tc>
          <w:tcPr>
            <w:tcW w:w="1565" w:type="dxa"/>
          </w:tcPr>
          <w:p w14:paraId="4BDD2A10" w14:textId="77777777" w:rsidR="00350596" w:rsidRPr="00377E57" w:rsidRDefault="00350596" w:rsidP="007437B2">
            <w:pPr>
              <w:pStyle w:val="TableTextLeft"/>
              <w:spacing w:before="20" w:after="20"/>
              <w:rPr>
                <w:b/>
                <w:szCs w:val="18"/>
                <w:lang w:val="en-GB"/>
              </w:rPr>
            </w:pPr>
            <w:r w:rsidRPr="00377E57">
              <w:rPr>
                <w:b/>
                <w:szCs w:val="18"/>
                <w:lang w:val="en-GB"/>
              </w:rPr>
              <w:t>NZASB</w:t>
            </w:r>
          </w:p>
        </w:tc>
        <w:tc>
          <w:tcPr>
            <w:tcW w:w="7366" w:type="dxa"/>
          </w:tcPr>
          <w:p w14:paraId="7EA39222" w14:textId="77777777" w:rsidR="00350596" w:rsidRPr="009C134F" w:rsidRDefault="00350596" w:rsidP="007437B2">
            <w:pPr>
              <w:pStyle w:val="TableTextLeft"/>
              <w:spacing w:before="20" w:after="20"/>
            </w:pPr>
            <w:r w:rsidRPr="009C134F">
              <w:t>New Zealand Accounting Standards Board</w:t>
            </w:r>
          </w:p>
        </w:tc>
      </w:tr>
      <w:tr w:rsidR="00350596" w:rsidRPr="009C134F" w14:paraId="2F946E38" w14:textId="77777777" w:rsidTr="00270A85">
        <w:tc>
          <w:tcPr>
            <w:tcW w:w="1565" w:type="dxa"/>
          </w:tcPr>
          <w:p w14:paraId="3E09A3F1" w14:textId="77777777" w:rsidR="00350596" w:rsidRPr="00377E57" w:rsidRDefault="00350596" w:rsidP="007437B2">
            <w:pPr>
              <w:pStyle w:val="TableTextLeft"/>
              <w:spacing w:before="20" w:after="20"/>
              <w:rPr>
                <w:b/>
                <w:szCs w:val="18"/>
                <w:lang w:val="en-GB"/>
              </w:rPr>
            </w:pPr>
            <w:proofErr w:type="spellStart"/>
            <w:r w:rsidRPr="00377E57">
              <w:rPr>
                <w:b/>
                <w:szCs w:val="18"/>
                <w:lang w:val="en-GB"/>
              </w:rPr>
              <w:t>NZAuASB</w:t>
            </w:r>
            <w:proofErr w:type="spellEnd"/>
          </w:p>
        </w:tc>
        <w:tc>
          <w:tcPr>
            <w:tcW w:w="7366" w:type="dxa"/>
          </w:tcPr>
          <w:p w14:paraId="12E32879" w14:textId="0C0CB107" w:rsidR="00350596" w:rsidRPr="009C134F" w:rsidRDefault="00350596" w:rsidP="007437B2">
            <w:pPr>
              <w:pStyle w:val="TableTextLeft"/>
              <w:spacing w:before="20" w:after="20"/>
            </w:pPr>
            <w:r w:rsidRPr="009C134F">
              <w:t xml:space="preserve">New Zealand Auditing </w:t>
            </w:r>
            <w:r w:rsidR="00F86BF1" w:rsidRPr="009C134F">
              <w:t xml:space="preserve">and </w:t>
            </w:r>
            <w:r w:rsidRPr="009C134F">
              <w:t>Assurance Standards Board</w:t>
            </w:r>
          </w:p>
        </w:tc>
      </w:tr>
      <w:tr w:rsidR="00015123" w:rsidRPr="009C134F" w14:paraId="4D4ABACA" w14:textId="77777777" w:rsidTr="00270A85">
        <w:tc>
          <w:tcPr>
            <w:tcW w:w="1565" w:type="dxa"/>
          </w:tcPr>
          <w:p w14:paraId="5672A525" w14:textId="0AA7A94C" w:rsidR="00015123" w:rsidRPr="00377E57" w:rsidRDefault="00015123" w:rsidP="007437B2">
            <w:pPr>
              <w:pStyle w:val="TableTextLeft"/>
              <w:spacing w:before="20" w:after="20"/>
              <w:rPr>
                <w:rFonts w:eastAsia="Aptos"/>
                <w:b/>
                <w:kern w:val="2"/>
                <w:szCs w:val="18"/>
                <w14:ligatures w14:val="standardContextual"/>
              </w:rPr>
            </w:pPr>
            <w:r w:rsidRPr="00377E57">
              <w:rPr>
                <w:rFonts w:eastAsia="Aptos"/>
                <w:b/>
                <w:kern w:val="2"/>
                <w:szCs w:val="18"/>
                <w14:ligatures w14:val="standardContextual"/>
              </w:rPr>
              <w:t>PIR</w:t>
            </w:r>
          </w:p>
        </w:tc>
        <w:tc>
          <w:tcPr>
            <w:tcW w:w="7366" w:type="dxa"/>
          </w:tcPr>
          <w:p w14:paraId="07366844" w14:textId="33009EA6" w:rsidR="00015123" w:rsidRPr="009C134F" w:rsidRDefault="00015123" w:rsidP="007437B2">
            <w:pPr>
              <w:pStyle w:val="TableTextLeft"/>
              <w:spacing w:before="20" w:after="20"/>
              <w:rPr>
                <w:rFonts w:eastAsia="Aptos"/>
              </w:rPr>
            </w:pPr>
            <w:r w:rsidRPr="009C134F">
              <w:rPr>
                <w:rFonts w:eastAsia="Aptos"/>
              </w:rPr>
              <w:t xml:space="preserve">Post-implementation Review </w:t>
            </w:r>
          </w:p>
        </w:tc>
      </w:tr>
      <w:tr w:rsidR="008D5D97" w:rsidRPr="009C134F" w14:paraId="09783415" w14:textId="77777777" w:rsidTr="00270A85">
        <w:tc>
          <w:tcPr>
            <w:tcW w:w="1565" w:type="dxa"/>
          </w:tcPr>
          <w:p w14:paraId="52C5CE84" w14:textId="4E7F29E3" w:rsidR="008D5D97" w:rsidRPr="00377E57" w:rsidRDefault="008D5D97" w:rsidP="007437B2">
            <w:pPr>
              <w:pStyle w:val="TableTextLeft"/>
              <w:spacing w:before="20" w:after="20"/>
              <w:rPr>
                <w:b/>
                <w:szCs w:val="18"/>
                <w:lang w:val="en-GB"/>
              </w:rPr>
            </w:pPr>
            <w:r w:rsidRPr="00377E57">
              <w:rPr>
                <w:b/>
                <w:szCs w:val="18"/>
              </w:rPr>
              <w:t>PPC</w:t>
            </w:r>
          </w:p>
        </w:tc>
        <w:tc>
          <w:tcPr>
            <w:tcW w:w="7366" w:type="dxa"/>
          </w:tcPr>
          <w:p w14:paraId="09908CDA" w14:textId="51A505D4" w:rsidR="008D5D97" w:rsidRPr="009C134F" w:rsidRDefault="008D5D97" w:rsidP="007437B2">
            <w:pPr>
              <w:pStyle w:val="TableTextLeft"/>
              <w:spacing w:before="20" w:after="20"/>
            </w:pPr>
            <w:r w:rsidRPr="009C134F">
              <w:t xml:space="preserve">Public practice certificate </w:t>
            </w:r>
          </w:p>
        </w:tc>
      </w:tr>
      <w:tr w:rsidR="008C7303" w:rsidRPr="009C134F" w14:paraId="21B4A5BA" w14:textId="77777777" w:rsidTr="00270A85">
        <w:tc>
          <w:tcPr>
            <w:tcW w:w="1565" w:type="dxa"/>
          </w:tcPr>
          <w:p w14:paraId="152328AE" w14:textId="430099A2" w:rsidR="008C7303" w:rsidRPr="00377E57" w:rsidRDefault="008C7303" w:rsidP="007437B2">
            <w:pPr>
              <w:pStyle w:val="TableTextLeft"/>
              <w:spacing w:before="20" w:after="20"/>
              <w:rPr>
                <w:b/>
                <w:szCs w:val="18"/>
                <w:lang w:val="en-GB"/>
              </w:rPr>
            </w:pPr>
            <w:r w:rsidRPr="00377E57">
              <w:rPr>
                <w:b/>
                <w:szCs w:val="18"/>
                <w:lang w:val="en-GB"/>
              </w:rPr>
              <w:t>PSAG</w:t>
            </w:r>
          </w:p>
        </w:tc>
        <w:tc>
          <w:tcPr>
            <w:tcW w:w="7366" w:type="dxa"/>
          </w:tcPr>
          <w:p w14:paraId="00DC6252" w14:textId="18793F35" w:rsidR="008C7303" w:rsidRPr="009C134F" w:rsidRDefault="008C7303" w:rsidP="007437B2">
            <w:pPr>
              <w:pStyle w:val="TableTextLeft"/>
              <w:spacing w:before="20" w:after="20"/>
            </w:pPr>
            <w:r w:rsidRPr="009C134F">
              <w:t xml:space="preserve">Public Sector </w:t>
            </w:r>
            <w:r w:rsidR="000414AC" w:rsidRPr="009C134F">
              <w:t>Advisory</w:t>
            </w:r>
            <w:r w:rsidRPr="009C134F">
              <w:t xml:space="preserve"> Group</w:t>
            </w:r>
          </w:p>
        </w:tc>
      </w:tr>
      <w:tr w:rsidR="005D4000" w:rsidRPr="009C134F" w14:paraId="4EBB793A" w14:textId="77777777" w:rsidTr="00270A85">
        <w:tc>
          <w:tcPr>
            <w:tcW w:w="1565" w:type="dxa"/>
          </w:tcPr>
          <w:p w14:paraId="4801C1B8" w14:textId="588C0849" w:rsidR="005D4000" w:rsidRPr="00377E57" w:rsidRDefault="005D4000" w:rsidP="007437B2">
            <w:pPr>
              <w:pStyle w:val="TableTextLeft"/>
              <w:spacing w:before="20" w:after="20"/>
              <w:rPr>
                <w:b/>
                <w:szCs w:val="18"/>
                <w:lang w:val="en-GB"/>
              </w:rPr>
            </w:pPr>
            <w:r w:rsidRPr="00377E57">
              <w:rPr>
                <w:b/>
                <w:szCs w:val="18"/>
                <w:lang w:val="en-GB"/>
              </w:rPr>
              <w:t>QRP</w:t>
            </w:r>
          </w:p>
        </w:tc>
        <w:tc>
          <w:tcPr>
            <w:tcW w:w="7366" w:type="dxa"/>
          </w:tcPr>
          <w:p w14:paraId="06719706" w14:textId="35A4592B" w:rsidR="005D4000" w:rsidRPr="009C134F" w:rsidRDefault="005D4000" w:rsidP="007437B2">
            <w:pPr>
              <w:pStyle w:val="TableTextLeft"/>
              <w:spacing w:before="20" w:after="20"/>
            </w:pPr>
            <w:r w:rsidRPr="009C134F">
              <w:t>Quality Review Program</w:t>
            </w:r>
          </w:p>
        </w:tc>
      </w:tr>
      <w:tr w:rsidR="00377E57" w:rsidRPr="009C134F" w14:paraId="7A6E07DA" w14:textId="77777777" w:rsidTr="00270A85">
        <w:tc>
          <w:tcPr>
            <w:tcW w:w="1565" w:type="dxa"/>
          </w:tcPr>
          <w:p w14:paraId="354B74B4" w14:textId="41F9476C" w:rsidR="00377E57" w:rsidRPr="00377E57" w:rsidRDefault="00377E57" w:rsidP="007437B2">
            <w:pPr>
              <w:pStyle w:val="TableTextLeft"/>
              <w:spacing w:before="20" w:after="20"/>
              <w:rPr>
                <w:b/>
                <w:szCs w:val="18"/>
                <w:lang w:val="en-GB"/>
              </w:rPr>
            </w:pPr>
            <w:r w:rsidRPr="00377E57">
              <w:rPr>
                <w:b/>
                <w:szCs w:val="18"/>
                <w:lang w:val="en-GB"/>
              </w:rPr>
              <w:t>RSEs</w:t>
            </w:r>
          </w:p>
        </w:tc>
        <w:tc>
          <w:tcPr>
            <w:tcW w:w="7366" w:type="dxa"/>
          </w:tcPr>
          <w:p w14:paraId="2AC8F50F" w14:textId="3B2EC7D4" w:rsidR="00377E57" w:rsidRPr="009C134F" w:rsidRDefault="00377E57" w:rsidP="007437B2">
            <w:pPr>
              <w:pStyle w:val="TableTextLeft"/>
              <w:spacing w:before="20" w:after="20"/>
            </w:pPr>
            <w:r w:rsidRPr="00377E57">
              <w:t>Registrable Superannuation Entities</w:t>
            </w:r>
          </w:p>
        </w:tc>
      </w:tr>
      <w:tr w:rsidR="005829AB" w:rsidRPr="009C134F" w14:paraId="05AD9077" w14:textId="77777777" w:rsidTr="00270A85">
        <w:tc>
          <w:tcPr>
            <w:tcW w:w="1565" w:type="dxa"/>
          </w:tcPr>
          <w:p w14:paraId="4F0072D4" w14:textId="52B64799" w:rsidR="005829AB" w:rsidRPr="00377E57" w:rsidRDefault="005829AB" w:rsidP="007437B2">
            <w:pPr>
              <w:pStyle w:val="TableTextLeft"/>
              <w:spacing w:before="20" w:after="20"/>
              <w:rPr>
                <w:b/>
                <w:szCs w:val="18"/>
                <w:lang w:val="en-GB"/>
              </w:rPr>
            </w:pPr>
            <w:r w:rsidRPr="00377E57">
              <w:rPr>
                <w:b/>
                <w:szCs w:val="18"/>
                <w:lang w:val="en-GB"/>
              </w:rPr>
              <w:t>SSAF</w:t>
            </w:r>
          </w:p>
        </w:tc>
        <w:tc>
          <w:tcPr>
            <w:tcW w:w="7366" w:type="dxa"/>
          </w:tcPr>
          <w:p w14:paraId="5F42185D" w14:textId="2D66F9AF" w:rsidR="005829AB" w:rsidRPr="009C134F" w:rsidRDefault="005829AB" w:rsidP="007437B2">
            <w:pPr>
              <w:pStyle w:val="TableTextLeft"/>
              <w:spacing w:before="20" w:after="20"/>
            </w:pPr>
            <w:r w:rsidRPr="009C134F">
              <w:t>Sustainability Standards Advisory Forum</w:t>
            </w:r>
          </w:p>
        </w:tc>
      </w:tr>
      <w:tr w:rsidR="009B07A2" w:rsidRPr="009C134F" w14:paraId="5262CF78" w14:textId="77777777" w:rsidTr="00270A85">
        <w:tc>
          <w:tcPr>
            <w:tcW w:w="1565" w:type="dxa"/>
          </w:tcPr>
          <w:p w14:paraId="4702C69A" w14:textId="1689FE4D" w:rsidR="009B07A2" w:rsidRPr="00377E57" w:rsidRDefault="009B07A2" w:rsidP="007437B2">
            <w:pPr>
              <w:pStyle w:val="TableTextLeft"/>
              <w:spacing w:before="20" w:after="20"/>
              <w:rPr>
                <w:b/>
                <w:szCs w:val="18"/>
                <w:lang w:val="en-GB"/>
              </w:rPr>
            </w:pPr>
            <w:r>
              <w:rPr>
                <w:b/>
                <w:szCs w:val="18"/>
                <w:lang w:val="en-GB"/>
              </w:rPr>
              <w:t>TCFD</w:t>
            </w:r>
          </w:p>
        </w:tc>
        <w:tc>
          <w:tcPr>
            <w:tcW w:w="7366" w:type="dxa"/>
          </w:tcPr>
          <w:p w14:paraId="5089D2A4" w14:textId="303757E4" w:rsidR="009B07A2" w:rsidRPr="009C134F" w:rsidRDefault="00F64B7F" w:rsidP="007437B2">
            <w:pPr>
              <w:pStyle w:val="TableTextLeft"/>
              <w:spacing w:before="20" w:after="20"/>
            </w:pPr>
            <w:r w:rsidRPr="00F64B7F">
              <w:t>Task Force on Climate-related Financial Disclosures</w:t>
            </w:r>
          </w:p>
        </w:tc>
      </w:tr>
      <w:tr w:rsidR="00117551" w:rsidRPr="009C134F" w14:paraId="29711277" w14:textId="77777777" w:rsidTr="00270A85">
        <w:tc>
          <w:tcPr>
            <w:tcW w:w="1565" w:type="dxa"/>
          </w:tcPr>
          <w:p w14:paraId="3487394D" w14:textId="290237C4" w:rsidR="00117551" w:rsidRPr="00377E57" w:rsidRDefault="00117551" w:rsidP="007437B2">
            <w:pPr>
              <w:pStyle w:val="TableTextLeft"/>
              <w:spacing w:before="20" w:after="20"/>
              <w:rPr>
                <w:b/>
                <w:szCs w:val="18"/>
                <w:lang w:val="en-GB"/>
              </w:rPr>
            </w:pPr>
            <w:r w:rsidRPr="00377E57">
              <w:rPr>
                <w:b/>
                <w:szCs w:val="18"/>
                <w:lang w:val="en-GB"/>
              </w:rPr>
              <w:t>Treasury</w:t>
            </w:r>
          </w:p>
        </w:tc>
        <w:tc>
          <w:tcPr>
            <w:tcW w:w="7366" w:type="dxa"/>
          </w:tcPr>
          <w:p w14:paraId="42AE07E1" w14:textId="42E98F58" w:rsidR="00117551" w:rsidRPr="009C134F" w:rsidRDefault="00117551" w:rsidP="007437B2">
            <w:pPr>
              <w:pStyle w:val="TableTextLeft"/>
              <w:spacing w:before="20" w:after="20"/>
            </w:pPr>
            <w:r w:rsidRPr="009C134F">
              <w:t>The Treasury</w:t>
            </w:r>
          </w:p>
        </w:tc>
      </w:tr>
      <w:tr w:rsidR="007A18F5" w:rsidRPr="009C134F" w14:paraId="2C0045EE" w14:textId="77777777" w:rsidTr="00270A85">
        <w:tc>
          <w:tcPr>
            <w:tcW w:w="1565" w:type="dxa"/>
          </w:tcPr>
          <w:p w14:paraId="1C772C78" w14:textId="77777777" w:rsidR="007A18F5" w:rsidRPr="00377E57" w:rsidRDefault="007A18F5" w:rsidP="007437B2">
            <w:pPr>
              <w:pStyle w:val="TableTextLeft"/>
              <w:spacing w:before="20" w:after="20"/>
              <w:rPr>
                <w:b/>
                <w:szCs w:val="18"/>
                <w:lang w:val="en-GB"/>
              </w:rPr>
            </w:pPr>
            <w:r w:rsidRPr="00377E57">
              <w:rPr>
                <w:b/>
                <w:szCs w:val="18"/>
                <w:lang w:val="en-GB"/>
              </w:rPr>
              <w:t>XRB</w:t>
            </w:r>
          </w:p>
        </w:tc>
        <w:tc>
          <w:tcPr>
            <w:tcW w:w="7366" w:type="dxa"/>
          </w:tcPr>
          <w:p w14:paraId="22F1A980" w14:textId="77777777" w:rsidR="007A18F5" w:rsidRPr="009C134F" w:rsidRDefault="007A18F5" w:rsidP="007437B2">
            <w:pPr>
              <w:pStyle w:val="TableTextLeft"/>
              <w:spacing w:before="20" w:after="20"/>
            </w:pPr>
            <w:r w:rsidRPr="009C134F">
              <w:t>External Reporting Board of New Zealand</w:t>
            </w:r>
          </w:p>
        </w:tc>
      </w:tr>
    </w:tbl>
    <w:p w14:paraId="7A7682CB" w14:textId="098C82DF" w:rsidR="00AE2926" w:rsidRPr="007437B2" w:rsidRDefault="00AE2926" w:rsidP="007437B2">
      <w:pPr>
        <w:pStyle w:val="NoSpacing"/>
        <w:rPr>
          <w:sz w:val="4"/>
          <w:szCs w:val="4"/>
        </w:rPr>
      </w:pPr>
    </w:p>
    <w:sectPr w:rsidR="00AE2926" w:rsidRPr="007437B2" w:rsidSect="000B6784">
      <w:pgSz w:w="11906" w:h="16838" w:code="9"/>
      <w:pgMar w:top="1843" w:right="1418"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77EC9" w14:textId="77777777" w:rsidR="00560118" w:rsidRDefault="00560118" w:rsidP="00F50B02">
      <w:r>
        <w:separator/>
      </w:r>
    </w:p>
  </w:endnote>
  <w:endnote w:type="continuationSeparator" w:id="0">
    <w:p w14:paraId="0BD323B4" w14:textId="77777777" w:rsidR="00560118" w:rsidRDefault="00560118" w:rsidP="00F50B02">
      <w:r>
        <w:continuationSeparator/>
      </w:r>
    </w:p>
  </w:endnote>
  <w:endnote w:type="continuationNotice" w:id="1">
    <w:p w14:paraId="20B7A49A" w14:textId="77777777" w:rsidR="00560118" w:rsidRDefault="005601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Math"/>
    <w:charset w:val="00"/>
    <w:family w:val="roman"/>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ource Sans Pro Light">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345207"/>
      <w:docPartObj>
        <w:docPartGallery w:val="Page Numbers (Bottom of Page)"/>
        <w:docPartUnique/>
      </w:docPartObj>
    </w:sdtPr>
    <w:sdtEndPr>
      <w:rPr>
        <w:noProof/>
      </w:rPr>
    </w:sdtEndPr>
    <w:sdtContent>
      <w:p w14:paraId="6F24BF76" w14:textId="302E681F" w:rsidR="00C67571" w:rsidRPr="00B61409" w:rsidRDefault="00B61409" w:rsidP="00B61409">
        <w:pPr>
          <w:pStyle w:val="FooterOdd"/>
        </w:pPr>
        <w:r w:rsidRPr="00581046">
          <w:rPr>
            <w:lang w:val="en-GB"/>
          </w:rPr>
          <w:t>Financial Reporting Counci</w:t>
        </w:r>
        <w:r>
          <w:rPr>
            <w:lang w:val="en-GB"/>
          </w:rPr>
          <w:t>l</w:t>
        </w:r>
        <w:r>
          <w:tab/>
        </w:r>
        <w:fldSimple w:instr=" STYLEREF  &quot;Heading 1&quot;  \* MERGEFORMAT ">
          <w:r w:rsidR="002B5E12">
            <w:rPr>
              <w:noProof/>
            </w:rPr>
            <w:t>Contents</w:t>
          </w:r>
        </w:fldSimple>
        <w:r>
          <w:rPr>
            <w:noProof/>
          </w:rPr>
          <w:t xml:space="preserve"> </w:t>
        </w:r>
        <w:r>
          <w:t xml:space="preserve">| </w:t>
        </w:r>
        <w:r>
          <w:fldChar w:fldCharType="begin"/>
        </w:r>
        <w:r>
          <w:instrText xml:space="preserve"> PAGE   \* MERGEFORMAT </w:instrText>
        </w:r>
        <w:r>
          <w:fldChar w:fldCharType="separate"/>
        </w:r>
        <w: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9090556"/>
      <w:docPartObj>
        <w:docPartGallery w:val="Page Numbers (Bottom of Page)"/>
        <w:docPartUnique/>
      </w:docPartObj>
    </w:sdtPr>
    <w:sdtEndPr>
      <w:rPr>
        <w:noProof/>
      </w:rPr>
    </w:sdtEndPr>
    <w:sdtContent>
      <w:p w14:paraId="091D605C" w14:textId="1EEA515C" w:rsidR="00B61409" w:rsidRPr="00B61409" w:rsidRDefault="00B61409" w:rsidP="00B61409">
        <w:pPr>
          <w:pStyle w:val="FooterOdd"/>
        </w:pPr>
        <w:r w:rsidRPr="00581046">
          <w:rPr>
            <w:lang w:val="en-GB"/>
          </w:rPr>
          <w:t>Financial Reporting Counci</w:t>
        </w:r>
        <w:r>
          <w:rPr>
            <w:lang w:val="en-GB"/>
          </w:rPr>
          <w:t>l</w:t>
        </w:r>
        <w:r>
          <w:tab/>
        </w:r>
        <w:fldSimple w:instr=" STYLEREF  &quot;Heading 1&quot;  \* MERGEFORMAT ">
          <w:r w:rsidR="002B5E12">
            <w:rPr>
              <w:noProof/>
            </w:rPr>
            <w:t>Contents</w:t>
          </w:r>
        </w:fldSimple>
        <w:r>
          <w:rPr>
            <w:noProof/>
          </w:rPr>
          <w:t xml:space="preserve"> </w:t>
        </w:r>
        <w:r>
          <w:t xml:space="preserve">| </w:t>
        </w:r>
        <w:r>
          <w:fldChar w:fldCharType="begin"/>
        </w:r>
        <w:r>
          <w:instrText xml:space="preserve"> PAGE   \* MERGEFORMAT </w:instrText>
        </w:r>
        <w:r>
          <w:fldChar w:fldCharType="separate"/>
        </w:r>
        <w:r>
          <w:t>7</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049210"/>
      <w:docPartObj>
        <w:docPartGallery w:val="Page Numbers (Bottom of Page)"/>
        <w:docPartUnique/>
      </w:docPartObj>
    </w:sdtPr>
    <w:sdtEndPr>
      <w:rPr>
        <w:noProof/>
      </w:rPr>
    </w:sdtEndPr>
    <w:sdtContent>
      <w:p w14:paraId="7C5C85D3" w14:textId="444D9D59" w:rsidR="00B61409" w:rsidRPr="00B61409" w:rsidRDefault="00B61409" w:rsidP="006048B3">
        <w:pPr>
          <w:pStyle w:val="FooterOdd"/>
        </w:pPr>
        <w:r w:rsidRPr="00581046">
          <w:rPr>
            <w:lang w:val="en-GB"/>
          </w:rPr>
          <w:t>Financial Reporting Counci</w:t>
        </w:r>
        <w:r>
          <w:rPr>
            <w:lang w:val="en-GB"/>
          </w:rPr>
          <w:t>l: 2025–26 Annual Report</w:t>
        </w:r>
        <w:r>
          <w:tab/>
        </w:r>
        <w:fldSimple w:instr=" STYLEREF  &quot;Heading 1&quot;  \* MERGEFORMAT ">
          <w:r w:rsidR="00702D2A">
            <w:rPr>
              <w:noProof/>
            </w:rPr>
            <w:t>Oversight of Australian standard setting</w:t>
          </w:r>
        </w:fldSimple>
        <w:r>
          <w:rPr>
            <w:noProof/>
          </w:rPr>
          <w:t xml:space="preserve"> </w:t>
        </w:r>
        <w:r>
          <w:t xml:space="preserve">| </w:t>
        </w:r>
        <w:r>
          <w:fldChar w:fldCharType="begin"/>
        </w:r>
        <w:r>
          <w:instrText xml:space="preserve"> PAGE   \* MERGEFORMAT </w:instrText>
        </w:r>
        <w:r>
          <w:fldChar w:fldCharType="separate"/>
        </w:r>
        <w:r>
          <w:t>4</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7058041"/>
      <w:docPartObj>
        <w:docPartGallery w:val="Page Numbers (Bottom of Page)"/>
        <w:docPartUnique/>
      </w:docPartObj>
    </w:sdtPr>
    <w:sdtEndPr>
      <w:rPr>
        <w:noProof/>
      </w:rPr>
    </w:sdtEndPr>
    <w:sdtContent>
      <w:p w14:paraId="4FB94BBF" w14:textId="77777777" w:rsidR="002E0DC1" w:rsidRDefault="002E0DC1" w:rsidP="002E0DC1">
        <w:pPr>
          <w:pStyle w:val="FooterOdd"/>
        </w:pPr>
        <w:r w:rsidRPr="00581046">
          <w:rPr>
            <w:lang w:val="en-GB"/>
          </w:rPr>
          <w:t>Financial Reporting Counci</w:t>
        </w:r>
        <w:r>
          <w:rPr>
            <w:lang w:val="en-GB"/>
          </w:rPr>
          <w:t>l: 2025–26 Annual Report</w:t>
        </w:r>
        <w:r>
          <w:tab/>
          <w:t>Transmittal Letter</w:t>
        </w:r>
        <w:r>
          <w:rPr>
            <w:noProof/>
          </w:rPr>
          <w:t xml:space="preserve"> </w:t>
        </w:r>
        <w:r>
          <w:t xml:space="preserve">| </w:t>
        </w:r>
        <w:r>
          <w:fldChar w:fldCharType="begin"/>
        </w:r>
        <w:r>
          <w:instrText xml:space="preserve"> PAGE   \* MERGEFORMAT </w:instrText>
        </w:r>
        <w:r>
          <w:fldChar w:fldCharType="separate"/>
        </w:r>
        <w:r>
          <w:t>iv</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670113"/>
      <w:docPartObj>
        <w:docPartGallery w:val="Page Numbers (Bottom of Page)"/>
        <w:docPartUnique/>
      </w:docPartObj>
    </w:sdtPr>
    <w:sdtEndPr>
      <w:rPr>
        <w:noProof/>
      </w:rPr>
    </w:sdtEndPr>
    <w:sdtContent>
      <w:p w14:paraId="7F9DD5CB" w14:textId="3314B3BC" w:rsidR="00B61409" w:rsidRPr="00B61409" w:rsidRDefault="00B61409" w:rsidP="00B61409">
        <w:pPr>
          <w:pStyle w:val="FooterOdd"/>
        </w:pPr>
        <w:r w:rsidRPr="00581046">
          <w:rPr>
            <w:lang w:val="en-GB"/>
          </w:rPr>
          <w:t>Financial Reporting Counci</w:t>
        </w:r>
        <w:r>
          <w:rPr>
            <w:lang w:val="en-GB"/>
          </w:rPr>
          <w:t>l: 2025–26 Annual Report</w:t>
        </w:r>
        <w:r>
          <w:tab/>
        </w:r>
        <w:fldSimple w:instr=" STYLEREF  &quot;Heading 1&quot;  \* MERGEFORMAT ">
          <w:r w:rsidR="00702D2A">
            <w:rPr>
              <w:noProof/>
            </w:rPr>
            <w:t>Oversight of Australian standard setting</w:t>
          </w:r>
        </w:fldSimple>
        <w:r>
          <w:rPr>
            <w:noProof/>
          </w:rPr>
          <w:t xml:space="preserve"> </w:t>
        </w:r>
        <w:r>
          <w:t xml:space="preserve">| </w:t>
        </w:r>
        <w:r>
          <w:fldChar w:fldCharType="begin"/>
        </w:r>
        <w:r>
          <w:instrText xml:space="preserve"> PAGE   \* MERGEFORMAT </w:instrText>
        </w:r>
        <w:r>
          <w:fldChar w:fldCharType="separate"/>
        </w:r>
        <w: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83B04" w14:textId="77777777" w:rsidR="00560118" w:rsidRDefault="00560118" w:rsidP="00F50B02">
      <w:r>
        <w:separator/>
      </w:r>
    </w:p>
  </w:footnote>
  <w:footnote w:type="continuationSeparator" w:id="0">
    <w:p w14:paraId="4B71FA41" w14:textId="77777777" w:rsidR="00560118" w:rsidRDefault="00560118" w:rsidP="00F50B02">
      <w:r>
        <w:continuationSeparator/>
      </w:r>
    </w:p>
  </w:footnote>
  <w:footnote w:type="continuationNotice" w:id="1">
    <w:p w14:paraId="36F88FD4" w14:textId="77777777" w:rsidR="00560118" w:rsidRDefault="00560118"/>
  </w:footnote>
  <w:footnote w:id="2">
    <w:p w14:paraId="29BC6499" w14:textId="77777777" w:rsidR="00D64D22" w:rsidRPr="00D609D4" w:rsidRDefault="00D64D22" w:rsidP="00D609D4">
      <w:pPr>
        <w:pStyle w:val="FootnoteText"/>
        <w:rPr>
          <w:rStyle w:val="FootnoteReference"/>
          <w:sz w:val="20"/>
        </w:rPr>
      </w:pPr>
      <w:r w:rsidRPr="00D609D4">
        <w:rPr>
          <w:rStyle w:val="FootnoteReference"/>
          <w:sz w:val="20"/>
        </w:rPr>
        <w:footnoteRef/>
      </w:r>
      <w:r w:rsidRPr="00D609D4">
        <w:rPr>
          <w:rStyle w:val="FootnoteReference"/>
          <w:sz w:val="20"/>
        </w:rPr>
        <w:t xml:space="preserve"> </w:t>
      </w:r>
      <w:r w:rsidRPr="00D609D4">
        <w:tab/>
      </w:r>
      <w:r w:rsidRPr="00D609D4">
        <w:rPr>
          <w:rStyle w:val="FootnoteReference"/>
          <w:sz w:val="20"/>
        </w:rPr>
        <w:t xml:space="preserve">APES 320 </w:t>
      </w:r>
      <w:r w:rsidRPr="00D609D4">
        <w:rPr>
          <w:rStyle w:val="Emphasis"/>
        </w:rPr>
        <w:t>Quality Management for Firms that provide Non-Assurance Services</w:t>
      </w:r>
      <w:r w:rsidRPr="00D609D4">
        <w:rPr>
          <w:rStyle w:val="FootnoteReference"/>
          <w:sz w:val="20"/>
        </w:rPr>
        <w:t>.</w:t>
      </w:r>
    </w:p>
  </w:footnote>
  <w:footnote w:id="3">
    <w:p w14:paraId="3B6BFE0D" w14:textId="77777777" w:rsidR="00D64D22" w:rsidRPr="00D609D4" w:rsidRDefault="00D64D22" w:rsidP="00D609D4">
      <w:pPr>
        <w:pStyle w:val="FootnoteText"/>
      </w:pPr>
      <w:r w:rsidRPr="00D609D4">
        <w:rPr>
          <w:rStyle w:val="FootnoteReference"/>
          <w:sz w:val="20"/>
        </w:rPr>
        <w:footnoteRef/>
      </w:r>
      <w:r w:rsidRPr="00D609D4">
        <w:tab/>
      </w:r>
      <w:r w:rsidRPr="00D609D4">
        <w:rPr>
          <w:rStyle w:val="FootnoteReference"/>
          <w:sz w:val="20"/>
        </w:rPr>
        <w:t xml:space="preserve">APES 325 </w:t>
      </w:r>
      <w:r w:rsidRPr="00D609D4">
        <w:rPr>
          <w:rStyle w:val="Emphasis"/>
        </w:rPr>
        <w:t>Risk Management for Firms</w:t>
      </w:r>
      <w:r w:rsidRPr="00D609D4">
        <w:rPr>
          <w:rStyle w:val="FootnoteReference"/>
          <w:sz w:val="20"/>
        </w:rPr>
        <w:t>.</w:t>
      </w:r>
    </w:p>
  </w:footnote>
  <w:footnote w:id="4">
    <w:p w14:paraId="38FE029A" w14:textId="263AD4E8" w:rsidR="00D64D22" w:rsidRPr="001561B2" w:rsidRDefault="00D64D22" w:rsidP="00D609D4">
      <w:pPr>
        <w:pStyle w:val="FootnoteText"/>
      </w:pPr>
      <w:r w:rsidRPr="00D609D4">
        <w:rPr>
          <w:rStyle w:val="FootnoteReference"/>
          <w:sz w:val="20"/>
        </w:rPr>
        <w:footnoteRef/>
      </w:r>
      <w:r w:rsidRPr="00D609D4">
        <w:tab/>
      </w:r>
      <w:r w:rsidRPr="00D609D4">
        <w:rPr>
          <w:rStyle w:val="FootnoteReference"/>
          <w:sz w:val="20"/>
        </w:rPr>
        <w:t xml:space="preserve">ASQM 1 </w:t>
      </w:r>
      <w:r w:rsidRPr="00D609D4">
        <w:rPr>
          <w:rStyle w:val="Emphasis"/>
        </w:rPr>
        <w:t>Quality Management for Firms that Perform Audits or Reviews of Financial Reports and Other Financial Information, or Other Assurance or Related Services Engagements</w:t>
      </w:r>
      <w:r w:rsidRPr="00D609D4">
        <w:rPr>
          <w:rStyle w:val="FootnoteReference"/>
          <w:sz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10;&#10;Description automatically generated with medium confidence" style="width:104.4pt;height:15.6pt;visibility:visible" o:bullet="t">
        <v:imagedata r:id="rId1" o:title="Logo&#10;&#10;Description automatically generated with medium confidence"/>
      </v:shape>
    </w:pict>
  </w:numPicBullet>
  <w:abstractNum w:abstractNumId="0" w15:restartNumberingAfterBreak="0">
    <w:nsid w:val="04A2652E"/>
    <w:multiLevelType w:val="hybridMultilevel"/>
    <w:tmpl w:val="C7661EB2"/>
    <w:lvl w:ilvl="0" w:tplc="0B4478B8">
      <w:numFmt w:val="bullet"/>
      <w:lvlText w:val="•"/>
      <w:lvlJc w:val="left"/>
      <w:pPr>
        <w:ind w:left="720" w:hanging="360"/>
      </w:pPr>
      <w:rPr>
        <w:rFonts w:ascii="Times New Roman" w:hAnsi="Times New Roman" w:cs="Times New Roman" w:hint="default"/>
        <w:lang w:val="en-US" w:eastAsia="en-US" w:bidi="ar-SA"/>
      </w:rPr>
    </w:lvl>
    <w:lvl w:ilvl="1" w:tplc="66AA080E">
      <w:start w:val="1"/>
      <w:numFmt w:val="bullet"/>
      <w:lvlText w:val="o"/>
      <w:lvlJc w:val="left"/>
      <w:pPr>
        <w:ind w:left="1440" w:hanging="360"/>
      </w:pPr>
      <w:rPr>
        <w:rFonts w:ascii="Courier New" w:hAnsi="Courier New" w:hint="default"/>
      </w:rPr>
    </w:lvl>
    <w:lvl w:ilvl="2" w:tplc="71C06086">
      <w:start w:val="1"/>
      <w:numFmt w:val="bullet"/>
      <w:lvlText w:val=""/>
      <w:lvlJc w:val="left"/>
      <w:pPr>
        <w:ind w:left="2160" w:hanging="360"/>
      </w:pPr>
      <w:rPr>
        <w:rFonts w:ascii="Wingdings" w:hAnsi="Wingdings" w:hint="default"/>
      </w:rPr>
    </w:lvl>
    <w:lvl w:ilvl="3" w:tplc="90CAF77C">
      <w:start w:val="1"/>
      <w:numFmt w:val="bullet"/>
      <w:lvlText w:val=""/>
      <w:lvlJc w:val="left"/>
      <w:pPr>
        <w:ind w:left="2880" w:hanging="360"/>
      </w:pPr>
      <w:rPr>
        <w:rFonts w:ascii="Symbol" w:hAnsi="Symbol" w:hint="default"/>
      </w:rPr>
    </w:lvl>
    <w:lvl w:ilvl="4" w:tplc="10668E3A">
      <w:start w:val="1"/>
      <w:numFmt w:val="bullet"/>
      <w:lvlText w:val="o"/>
      <w:lvlJc w:val="left"/>
      <w:pPr>
        <w:ind w:left="3600" w:hanging="360"/>
      </w:pPr>
      <w:rPr>
        <w:rFonts w:ascii="Courier New" w:hAnsi="Courier New" w:hint="default"/>
      </w:rPr>
    </w:lvl>
    <w:lvl w:ilvl="5" w:tplc="DB9ED48A">
      <w:start w:val="1"/>
      <w:numFmt w:val="bullet"/>
      <w:lvlText w:val=""/>
      <w:lvlJc w:val="left"/>
      <w:pPr>
        <w:ind w:left="4320" w:hanging="360"/>
      </w:pPr>
      <w:rPr>
        <w:rFonts w:ascii="Wingdings" w:hAnsi="Wingdings" w:hint="default"/>
      </w:rPr>
    </w:lvl>
    <w:lvl w:ilvl="6" w:tplc="4636E0D4">
      <w:start w:val="1"/>
      <w:numFmt w:val="bullet"/>
      <w:lvlText w:val=""/>
      <w:lvlJc w:val="left"/>
      <w:pPr>
        <w:ind w:left="5040" w:hanging="360"/>
      </w:pPr>
      <w:rPr>
        <w:rFonts w:ascii="Symbol" w:hAnsi="Symbol" w:hint="default"/>
      </w:rPr>
    </w:lvl>
    <w:lvl w:ilvl="7" w:tplc="E3B08E84">
      <w:start w:val="1"/>
      <w:numFmt w:val="bullet"/>
      <w:lvlText w:val="o"/>
      <w:lvlJc w:val="left"/>
      <w:pPr>
        <w:ind w:left="5760" w:hanging="360"/>
      </w:pPr>
      <w:rPr>
        <w:rFonts w:ascii="Courier New" w:hAnsi="Courier New" w:hint="default"/>
      </w:rPr>
    </w:lvl>
    <w:lvl w:ilvl="8" w:tplc="F9CCBC18">
      <w:start w:val="1"/>
      <w:numFmt w:val="bullet"/>
      <w:lvlText w:val=""/>
      <w:lvlJc w:val="left"/>
      <w:pPr>
        <w:ind w:left="6480" w:hanging="360"/>
      </w:pPr>
      <w:rPr>
        <w:rFonts w:ascii="Wingdings" w:hAnsi="Wingdings" w:hint="default"/>
      </w:rPr>
    </w:lvl>
  </w:abstractNum>
  <w:abstractNum w:abstractNumId="1"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 w15:restartNumberingAfterBreak="0">
    <w:nsid w:val="08211BC9"/>
    <w:multiLevelType w:val="multilevel"/>
    <w:tmpl w:val="6994E542"/>
    <w:lvl w:ilvl="0">
      <w:start w:val="1"/>
      <w:numFmt w:val="bullet"/>
      <w:lvlText w:val="o"/>
      <w:lvlJc w:val="left"/>
      <w:pPr>
        <w:tabs>
          <w:tab w:val="num" w:pos="1216"/>
        </w:tabs>
        <w:ind w:left="1216" w:hanging="496"/>
      </w:pPr>
      <w:rPr>
        <w:rFonts w:ascii="Courier New" w:hAnsi="Courier New" w:cs="Courier New" w:hint="default"/>
      </w:rPr>
    </w:lvl>
    <w:lvl w:ilvl="1">
      <w:start w:val="1"/>
      <w:numFmt w:val="bullet"/>
      <w:lvlText w:val="–"/>
      <w:lvlJc w:val="left"/>
      <w:pPr>
        <w:tabs>
          <w:tab w:val="num" w:pos="1712"/>
        </w:tabs>
        <w:ind w:left="1712" w:hanging="496"/>
      </w:pPr>
      <w:rPr>
        <w:rFonts w:ascii="Times New Roman" w:hAnsi="Times New Roman" w:cs="Times New Roman"/>
      </w:rPr>
    </w:lvl>
    <w:lvl w:ilvl="2">
      <w:start w:val="1"/>
      <w:numFmt w:val="bullet"/>
      <w:lvlText w:val=":"/>
      <w:lvlJc w:val="left"/>
      <w:pPr>
        <w:tabs>
          <w:tab w:val="num" w:pos="2208"/>
        </w:tabs>
        <w:ind w:left="2208" w:hanging="496"/>
      </w:pPr>
      <w:rPr>
        <w:rFonts w:ascii="Times New Roman" w:hAnsi="Times New Roman" w:cs="Times New Roman"/>
      </w:r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 w15:restartNumberingAfterBreak="0">
    <w:nsid w:val="08F259B6"/>
    <w:multiLevelType w:val="multilevel"/>
    <w:tmpl w:val="C12676F2"/>
    <w:name w:val="StandardBulletedList"/>
    <w:lvl w:ilvl="0">
      <w:start w:val="1"/>
      <w:numFmt w:val="bullet"/>
      <w:lvlText w:val="•"/>
      <w:lvlJc w:val="left"/>
      <w:pPr>
        <w:tabs>
          <w:tab w:val="num" w:pos="567"/>
        </w:tabs>
        <w:ind w:left="567" w:hanging="567"/>
      </w:pPr>
      <w:rPr>
        <w:rFonts w:ascii="Times New Roman" w:hAnsi="Times New Roman" w:cs="Times New Roman"/>
      </w:rPr>
    </w:lvl>
    <w:lvl w:ilvl="1">
      <w:start w:val="1"/>
      <w:numFmt w:val="bullet"/>
      <w:lvlText w:val="–"/>
      <w:lvlJc w:val="left"/>
      <w:pPr>
        <w:tabs>
          <w:tab w:val="num" w:pos="1134"/>
        </w:tabs>
        <w:ind w:left="1134" w:hanging="567"/>
      </w:pPr>
      <w:rPr>
        <w:rFonts w:ascii="Times New Roman" w:hAnsi="Times New Roman" w:cs="Times New Roman"/>
      </w:rPr>
    </w:lvl>
    <w:lvl w:ilvl="2">
      <w:start w:val="1"/>
      <w:numFmt w:val="bullet"/>
      <w:lvlText w:val=":"/>
      <w:lvlJc w:val="left"/>
      <w:pPr>
        <w:tabs>
          <w:tab w:val="num" w:pos="1701"/>
        </w:tabs>
        <w:ind w:left="1701" w:hanging="567"/>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B8F13AF"/>
    <w:multiLevelType w:val="multilevel"/>
    <w:tmpl w:val="0C7091F8"/>
    <w:lvl w:ilvl="0">
      <w:start w:val="1"/>
      <w:numFmt w:val="lowerLetter"/>
      <w:lvlText w:val="%1."/>
      <w:lvlJc w:val="left"/>
      <w:pPr>
        <w:tabs>
          <w:tab w:val="num" w:pos="425"/>
        </w:tabs>
        <w:ind w:left="425"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653560"/>
    <w:multiLevelType w:val="multilevel"/>
    <w:tmpl w:val="72F8140E"/>
    <w:styleLink w:val="OutlineList"/>
    <w:lvl w:ilvl="0">
      <w:start w:val="1"/>
      <w:numFmt w:val="decimal"/>
      <w:pStyle w:val="OutlineNumbered1"/>
      <w:lvlText w:val="%1."/>
      <w:lvlJc w:val="left"/>
      <w:pPr>
        <w:tabs>
          <w:tab w:val="num" w:pos="851"/>
        </w:tabs>
        <w:ind w:left="851" w:hanging="851"/>
      </w:pPr>
      <w:rPr>
        <w:rFonts w:hint="default"/>
      </w:rPr>
    </w:lvl>
    <w:lvl w:ilvl="1">
      <w:start w:val="1"/>
      <w:numFmt w:val="decimal"/>
      <w:pStyle w:val="OutlineNumbered2"/>
      <w:lvlText w:val="%1.%2"/>
      <w:lvlJc w:val="left"/>
      <w:pPr>
        <w:tabs>
          <w:tab w:val="num" w:pos="1134"/>
        </w:tabs>
        <w:ind w:left="1134" w:hanging="1134"/>
      </w:pPr>
      <w:rPr>
        <w:rFonts w:hint="default"/>
      </w:rPr>
    </w:lvl>
    <w:lvl w:ilvl="2">
      <w:start w:val="1"/>
      <w:numFmt w:val="decimal"/>
      <w:pStyle w:val="OutlineNumbered3"/>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30A10DE"/>
    <w:multiLevelType w:val="hybridMultilevel"/>
    <w:tmpl w:val="9F7606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564F9D"/>
    <w:multiLevelType w:val="multilevel"/>
    <w:tmpl w:val="B0402706"/>
    <w:lvl w:ilvl="0">
      <w:start w:val="1"/>
      <w:numFmt w:val="bullet"/>
      <w:lvlRestart w:val="0"/>
      <w:pStyle w:val="Boxbullet"/>
      <w:lvlText w:val="•"/>
      <w:lvlJc w:val="left"/>
      <w:pPr>
        <w:tabs>
          <w:tab w:val="num" w:pos="283"/>
        </w:tabs>
        <w:ind w:left="284" w:hanging="284"/>
      </w:pPr>
      <w:rPr>
        <w:rFonts w:ascii="Times New Roman" w:hAnsi="Times New Roman" w:cs="Times New Roman" w:hint="default"/>
        <w:b w:val="0"/>
        <w:i w:val="0"/>
      </w:rPr>
    </w:lvl>
    <w:lvl w:ilvl="1">
      <w:start w:val="1"/>
      <w:numFmt w:val="bullet"/>
      <w:pStyle w:val="Boxdash"/>
      <w:lvlText w:val="–"/>
      <w:lvlJc w:val="left"/>
      <w:pPr>
        <w:tabs>
          <w:tab w:val="num" w:pos="567"/>
        </w:tabs>
        <w:ind w:left="568" w:hanging="284"/>
      </w:pPr>
      <w:rPr>
        <w:rFonts w:ascii="Times New Roman" w:hAnsi="Times New Roman" w:cs="Times New Roman" w:hint="default"/>
        <w:b w:val="0"/>
        <w:i w:val="0"/>
      </w:rPr>
    </w:lvl>
    <w:lvl w:ilvl="2">
      <w:start w:val="1"/>
      <w:numFmt w:val="bullet"/>
      <w:pStyle w:val="Boxdoubledot"/>
      <w:lvlText w:val=":"/>
      <w:lvlJc w:val="left"/>
      <w:pPr>
        <w:tabs>
          <w:tab w:val="num" w:pos="851"/>
        </w:tabs>
        <w:ind w:left="852" w:hanging="284"/>
      </w:pPr>
      <w:rPr>
        <w:rFonts w:ascii="Times New Roman" w:hAnsi="Times New Roman" w:cs="Times New Roman" w:hint="default"/>
        <w:b w:val="0"/>
        <w:i w:val="0"/>
      </w:rPr>
    </w:lvl>
    <w:lvl w:ilvl="3">
      <w:start w:val="1"/>
      <w:numFmt w:val="decimal"/>
      <w:lvlText w:val="(%4)"/>
      <w:lvlJc w:val="left"/>
      <w:pPr>
        <w:tabs>
          <w:tab w:val="num" w:pos="1135"/>
        </w:tabs>
        <w:ind w:left="1136" w:hanging="284"/>
      </w:pPr>
      <w:rPr>
        <w:rFonts w:hint="default"/>
        <w:b w:val="0"/>
        <w:i w:val="0"/>
      </w:rPr>
    </w:lvl>
    <w:lvl w:ilvl="4">
      <w:start w:val="1"/>
      <w:numFmt w:val="lowerLetter"/>
      <w:lvlText w:val="(%5)"/>
      <w:lvlJc w:val="left"/>
      <w:pPr>
        <w:tabs>
          <w:tab w:val="num" w:pos="1419"/>
        </w:tabs>
        <w:ind w:left="1420" w:hanging="284"/>
      </w:pPr>
      <w:rPr>
        <w:rFonts w:hint="default"/>
        <w:b w:val="0"/>
        <w:i w:val="0"/>
      </w:rPr>
    </w:lvl>
    <w:lvl w:ilvl="5">
      <w:start w:val="1"/>
      <w:numFmt w:val="lowerRoman"/>
      <w:lvlText w:val="(%6)"/>
      <w:lvlJc w:val="left"/>
      <w:pPr>
        <w:tabs>
          <w:tab w:val="num" w:pos="1703"/>
        </w:tabs>
        <w:ind w:left="1704" w:hanging="284"/>
      </w:pPr>
      <w:rPr>
        <w:rFonts w:hint="default"/>
        <w:b w:val="0"/>
        <w:i w:val="0"/>
      </w:rPr>
    </w:lvl>
    <w:lvl w:ilvl="6">
      <w:start w:val="1"/>
      <w:numFmt w:val="decimal"/>
      <w:lvlText w:val="%7."/>
      <w:lvlJc w:val="left"/>
      <w:pPr>
        <w:tabs>
          <w:tab w:val="num" w:pos="1987"/>
        </w:tabs>
        <w:ind w:left="1988" w:hanging="284"/>
      </w:pPr>
      <w:rPr>
        <w:rFonts w:hint="default"/>
        <w:b w:val="0"/>
        <w:i w:val="0"/>
      </w:rPr>
    </w:lvl>
    <w:lvl w:ilvl="7">
      <w:start w:val="1"/>
      <w:numFmt w:val="lowerLetter"/>
      <w:lvlText w:val="%8."/>
      <w:lvlJc w:val="left"/>
      <w:pPr>
        <w:tabs>
          <w:tab w:val="num" w:pos="2271"/>
        </w:tabs>
        <w:ind w:left="2272" w:hanging="284"/>
      </w:pPr>
      <w:rPr>
        <w:rFonts w:hint="default"/>
        <w:b w:val="0"/>
        <w:i w:val="0"/>
      </w:rPr>
    </w:lvl>
    <w:lvl w:ilvl="8">
      <w:start w:val="1"/>
      <w:numFmt w:val="lowerRoman"/>
      <w:lvlText w:val="%9."/>
      <w:lvlJc w:val="left"/>
      <w:pPr>
        <w:tabs>
          <w:tab w:val="num" w:pos="2555"/>
        </w:tabs>
        <w:ind w:left="2556" w:hanging="284"/>
      </w:pPr>
      <w:rPr>
        <w:rFonts w:hint="default"/>
        <w:b w:val="0"/>
        <w:i w:val="0"/>
      </w:rPr>
    </w:lvl>
  </w:abstractNum>
  <w:abstractNum w:abstractNumId="8" w15:restartNumberingAfterBreak="0">
    <w:nsid w:val="158D071C"/>
    <w:multiLevelType w:val="hybridMultilevel"/>
    <w:tmpl w:val="C3F2D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6C41031"/>
    <w:multiLevelType w:val="multilevel"/>
    <w:tmpl w:val="6FA0AEC2"/>
    <w:lvl w:ilvl="0">
      <w:start w:val="1"/>
      <w:numFmt w:val="bullet"/>
      <w:lvlText w:val="o"/>
      <w:lvlJc w:val="left"/>
      <w:pPr>
        <w:tabs>
          <w:tab w:val="num" w:pos="567"/>
        </w:tabs>
        <w:ind w:left="567" w:hanging="283"/>
      </w:pPr>
      <w:rPr>
        <w:rFonts w:ascii="Courier New" w:hAnsi="Courier New" w:cs="Courier New" w:hint="default"/>
        <w:b w:val="0"/>
        <w:i w:val="0"/>
      </w:rPr>
    </w:lvl>
    <w:lvl w:ilvl="1">
      <w:start w:val="1"/>
      <w:numFmt w:val="bullet"/>
      <w:lvlText w:val="–"/>
      <w:lvlJc w:val="left"/>
      <w:pPr>
        <w:tabs>
          <w:tab w:val="num" w:pos="851"/>
        </w:tabs>
        <w:ind w:left="851" w:hanging="284"/>
      </w:pPr>
      <w:rPr>
        <w:rFonts w:ascii="Times New Roman" w:hAnsi="Times New Roman" w:cs="Times New Roman" w:hint="default"/>
        <w:b w:val="0"/>
        <w:i w:val="0"/>
      </w:rPr>
    </w:lvl>
    <w:lvl w:ilvl="2">
      <w:start w:val="1"/>
      <w:numFmt w:val="bullet"/>
      <w:lvlText w:val=":"/>
      <w:lvlJc w:val="left"/>
      <w:pPr>
        <w:tabs>
          <w:tab w:val="num" w:pos="1134"/>
        </w:tabs>
        <w:ind w:left="1134" w:hanging="283"/>
      </w:pPr>
      <w:rPr>
        <w:rFonts w:ascii="Times New Roman" w:hAnsi="Times New Roman" w:cs="Times New Roman" w:hint="default"/>
        <w:b w:val="0"/>
        <w:i w:val="0"/>
      </w:rPr>
    </w:lvl>
    <w:lvl w:ilvl="3">
      <w:start w:val="1"/>
      <w:numFmt w:val="decimal"/>
      <w:lvlText w:val="(%4)"/>
      <w:lvlJc w:val="left"/>
      <w:pPr>
        <w:tabs>
          <w:tab w:val="num" w:pos="1724"/>
        </w:tabs>
        <w:ind w:left="1724" w:hanging="360"/>
      </w:pPr>
      <w:rPr>
        <w:rFonts w:hint="default"/>
        <w:b w:val="0"/>
        <w:i w:val="0"/>
      </w:rPr>
    </w:lvl>
    <w:lvl w:ilvl="4">
      <w:start w:val="1"/>
      <w:numFmt w:val="lowerLetter"/>
      <w:lvlText w:val="(%5)"/>
      <w:lvlJc w:val="left"/>
      <w:pPr>
        <w:tabs>
          <w:tab w:val="num" w:pos="2084"/>
        </w:tabs>
        <w:ind w:left="2084" w:hanging="360"/>
      </w:pPr>
      <w:rPr>
        <w:rFonts w:hint="default"/>
        <w:b w:val="0"/>
        <w:i w:val="0"/>
      </w:rPr>
    </w:lvl>
    <w:lvl w:ilvl="5">
      <w:start w:val="1"/>
      <w:numFmt w:val="lowerRoman"/>
      <w:lvlText w:val="(%6)"/>
      <w:lvlJc w:val="left"/>
      <w:pPr>
        <w:tabs>
          <w:tab w:val="num" w:pos="2444"/>
        </w:tabs>
        <w:ind w:left="2444" w:hanging="360"/>
      </w:pPr>
      <w:rPr>
        <w:rFonts w:hint="default"/>
        <w:b w:val="0"/>
        <w:i w:val="0"/>
      </w:rPr>
    </w:lvl>
    <w:lvl w:ilvl="6">
      <w:start w:val="1"/>
      <w:numFmt w:val="decimal"/>
      <w:lvlText w:val="%7."/>
      <w:lvlJc w:val="left"/>
      <w:pPr>
        <w:tabs>
          <w:tab w:val="num" w:pos="2804"/>
        </w:tabs>
        <w:ind w:left="2804" w:hanging="360"/>
      </w:pPr>
      <w:rPr>
        <w:rFonts w:hint="default"/>
        <w:b w:val="0"/>
        <w:i w:val="0"/>
      </w:rPr>
    </w:lvl>
    <w:lvl w:ilvl="7">
      <w:start w:val="1"/>
      <w:numFmt w:val="lowerLetter"/>
      <w:lvlText w:val="%8."/>
      <w:lvlJc w:val="left"/>
      <w:pPr>
        <w:tabs>
          <w:tab w:val="num" w:pos="3164"/>
        </w:tabs>
        <w:ind w:left="3164" w:hanging="360"/>
      </w:pPr>
      <w:rPr>
        <w:rFonts w:hint="default"/>
        <w:b w:val="0"/>
        <w:i w:val="0"/>
      </w:rPr>
    </w:lvl>
    <w:lvl w:ilvl="8">
      <w:start w:val="1"/>
      <w:numFmt w:val="lowerRoman"/>
      <w:lvlText w:val="%9."/>
      <w:lvlJc w:val="left"/>
      <w:pPr>
        <w:tabs>
          <w:tab w:val="num" w:pos="3524"/>
        </w:tabs>
        <w:ind w:left="3524" w:hanging="360"/>
      </w:pPr>
      <w:rPr>
        <w:rFonts w:hint="default"/>
        <w:b w:val="0"/>
        <w:i w:val="0"/>
      </w:rPr>
    </w:lvl>
  </w:abstractNum>
  <w:abstractNum w:abstractNumId="10" w15:restartNumberingAfterBreak="0">
    <w:nsid w:val="16CC4E5D"/>
    <w:multiLevelType w:val="multilevel"/>
    <w:tmpl w:val="D10E9CF6"/>
    <w:numStyleLink w:val="OneLevelList"/>
  </w:abstractNum>
  <w:abstractNum w:abstractNumId="11" w15:restartNumberingAfterBreak="0">
    <w:nsid w:val="17DF7717"/>
    <w:multiLevelType w:val="multilevel"/>
    <w:tmpl w:val="B91AC3AC"/>
    <w:lvl w:ilvl="0">
      <w:start w:val="1"/>
      <w:numFmt w:val="decimal"/>
      <w:pStyle w:val="Heading1Numbered"/>
      <w:lvlText w:val="%1."/>
      <w:lvlJc w:val="left"/>
      <w:pPr>
        <w:ind w:left="360" w:hanging="360"/>
      </w:pPr>
      <w:rPr>
        <w:rFonts w:hint="default"/>
      </w:rPr>
    </w:lvl>
    <w:lvl w:ilvl="1">
      <w:start w:val="1"/>
      <w:numFmt w:val="decimal"/>
      <w:pStyle w:val="Heading2Numbered"/>
      <w:lvlText w:val="%1.%2"/>
      <w:lvlJc w:val="left"/>
      <w:pPr>
        <w:ind w:left="720" w:hanging="360"/>
      </w:pPr>
      <w:rPr>
        <w:rFonts w:hint="default"/>
      </w:rPr>
    </w:lvl>
    <w:lvl w:ilvl="2">
      <w:start w:val="1"/>
      <w:numFmt w:val="decimal"/>
      <w:pStyle w:val="Heading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C8E24FF"/>
    <w:multiLevelType w:val="multilevel"/>
    <w:tmpl w:val="894EE29C"/>
    <w:name w:val="StandardNumberedList"/>
    <w:lvl w:ilvl="0">
      <w:start w:val="1"/>
      <w:numFmt w:val="decimal"/>
      <w:lvlText w:val="%1."/>
      <w:lvlJc w:val="left"/>
      <w:pPr>
        <w:tabs>
          <w:tab w:val="num" w:pos="779"/>
        </w:tabs>
        <w:ind w:left="779" w:hanging="496"/>
      </w:pPr>
      <w:rPr>
        <w:b w:val="0"/>
        <w:bCs/>
      </w:rPr>
    </w:lvl>
    <w:lvl w:ilvl="1">
      <w:start w:val="1"/>
      <w:numFmt w:val="decimal"/>
      <w:lvlText w:val="%1.%2."/>
      <w:lvlJc w:val="left"/>
      <w:pPr>
        <w:tabs>
          <w:tab w:val="num" w:pos="992"/>
        </w:tabs>
        <w:ind w:left="992" w:hanging="496"/>
      </w:pPr>
    </w:lvl>
    <w:lvl w:ilvl="2">
      <w:start w:val="1"/>
      <w:numFmt w:val="decimal"/>
      <w:lvlText w:val="%1.%2.%3."/>
      <w:lvlJc w:val="left"/>
      <w:pPr>
        <w:tabs>
          <w:tab w:val="num" w:pos="1488"/>
        </w:tabs>
        <w:ind w:left="1488" w:hanging="496"/>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CAA53CF"/>
    <w:multiLevelType w:val="hybridMultilevel"/>
    <w:tmpl w:val="33B869FA"/>
    <w:lvl w:ilvl="0" w:tplc="218EB686">
      <w:numFmt w:val="bullet"/>
      <w:pStyle w:val="ChartandTableNoteBullet"/>
      <w:lvlText w:val="•"/>
      <w:lvlJc w:val="left"/>
      <w:pPr>
        <w:ind w:left="644" w:hanging="360"/>
      </w:pPr>
      <w:rPr>
        <w:rFonts w:ascii="Times New Roman" w:hAnsi="Times New Roman" w:cs="Times New Roman" w:hint="default"/>
        <w:lang w:val="en-US" w:eastAsia="en-US" w:bidi="ar-SA"/>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4" w15:restartNumberingAfterBreak="0">
    <w:nsid w:val="21847491"/>
    <w:multiLevelType w:val="multilevel"/>
    <w:tmpl w:val="6F92BA82"/>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8" w:hanging="284"/>
      </w:pPr>
      <w:rPr>
        <w:rFonts w:ascii="Times New Roman" w:hAnsi="Times New Roman" w:cs="Times New Roman" w:hint="default"/>
      </w:rPr>
    </w:lvl>
    <w:lvl w:ilvl="2">
      <w:start w:val="1"/>
      <w:numFmt w:val="bulle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5" w15:restartNumberingAfterBreak="0">
    <w:nsid w:val="23ED049A"/>
    <w:multiLevelType w:val="hybridMultilevel"/>
    <w:tmpl w:val="4CFA8F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4755A49"/>
    <w:multiLevelType w:val="multilevel"/>
    <w:tmpl w:val="2E108CA4"/>
    <w:styleLink w:val="ChartsandtableFootnoteAlphaBullets"/>
    <w:lvl w:ilvl="0">
      <w:start w:val="1"/>
      <w:numFmt w:val="bullet"/>
      <w:lvlText w:val="•"/>
      <w:lvlJc w:val="left"/>
      <w:pPr>
        <w:ind w:left="284" w:hanging="284"/>
      </w:pPr>
      <w:rPr>
        <w:rFonts w:asciiTheme="minorHAnsi" w:hAnsiTheme="minorHAnsi" w:cs="Times New Roman" w:hint="default"/>
        <w:sz w:val="18"/>
      </w:rPr>
    </w:lvl>
    <w:lvl w:ilvl="1">
      <w:start w:val="1"/>
      <w:numFmt w:val="bullet"/>
      <w:lvlText w:val="–"/>
      <w:lvlJc w:val="left"/>
      <w:pPr>
        <w:ind w:left="568" w:hanging="284"/>
      </w:pPr>
      <w:rPr>
        <w:rFonts w:ascii="Times New Roman" w:hAnsi="Times New Roman" w:cs="Times New Roman" w:hint="default"/>
      </w:rPr>
    </w:lvl>
    <w:lvl w:ilvl="2">
      <w:start w:val="1"/>
      <w:numFmt w:val="bullet"/>
      <w:lvlText w:val=""/>
      <w:lvlJc w:val="left"/>
      <w:pPr>
        <w:ind w:left="928" w:hanging="360"/>
      </w:pPr>
      <w:rPr>
        <w:rFonts w:ascii="Symbol" w:hAnsi="Symbo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7" w15:restartNumberingAfterBreak="0">
    <w:nsid w:val="27440C8B"/>
    <w:multiLevelType w:val="multilevel"/>
    <w:tmpl w:val="9AFC5FD2"/>
    <w:lvl w:ilvl="0">
      <w:start w:val="1"/>
      <w:numFmt w:val="bullet"/>
      <w:lvlRestart w:val="0"/>
      <w:lvlText w:val="•"/>
      <w:lvlJc w:val="left"/>
      <w:pPr>
        <w:tabs>
          <w:tab w:val="num" w:pos="283"/>
        </w:tabs>
        <w:ind w:left="283" w:hanging="283"/>
      </w:pPr>
      <w:rPr>
        <w:rFonts w:ascii="Times New Roman" w:hAnsi="Times New Roman" w:cs="Times New Roman"/>
        <w:b w:val="0"/>
        <w:i w:val="0"/>
      </w:rPr>
    </w:lvl>
    <w:lvl w:ilvl="1">
      <w:start w:val="1"/>
      <w:numFmt w:val="bullet"/>
      <w:lvlText w:val="–"/>
      <w:lvlJc w:val="left"/>
      <w:pPr>
        <w:tabs>
          <w:tab w:val="num" w:pos="567"/>
        </w:tabs>
        <w:ind w:left="567" w:hanging="284"/>
      </w:pPr>
      <w:rPr>
        <w:rFonts w:ascii="Times New Roman" w:hAnsi="Times New Roman" w:cs="Times New Roman"/>
        <w:b w:val="0"/>
        <w:i w:val="0"/>
      </w:rPr>
    </w:lvl>
    <w:lvl w:ilvl="2">
      <w:start w:val="1"/>
      <w:numFmt w:val="bullet"/>
      <w:lvlText w:val=":"/>
      <w:lvlJc w:val="left"/>
      <w:pPr>
        <w:tabs>
          <w:tab w:val="num" w:pos="850"/>
        </w:tabs>
        <w:ind w:left="850" w:hanging="283"/>
      </w:pPr>
      <w:rPr>
        <w:rFonts w:ascii="Times New Roman" w:hAnsi="Times New Roman" w:cs="Times New Roman"/>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18" w15:restartNumberingAfterBreak="0">
    <w:nsid w:val="27826BF0"/>
    <w:multiLevelType w:val="multilevel"/>
    <w:tmpl w:val="6D0AA75C"/>
    <w:lvl w:ilvl="0">
      <w:start w:val="1"/>
      <w:numFmt w:val="lowerRoman"/>
      <w:lvlText w:val="%1."/>
      <w:lvlJc w:val="left"/>
      <w:pPr>
        <w:tabs>
          <w:tab w:val="num" w:pos="720"/>
        </w:tabs>
        <w:ind w:left="720" w:hanging="720"/>
      </w:pPr>
      <w:rPr>
        <w:rFonts w:hint="default"/>
      </w:rPr>
    </w:lvl>
    <w:lvl w:ilvl="1">
      <w:start w:val="1"/>
      <w:numFmt w:val="lowerLetter"/>
      <w:pStyle w:val="AlphaParagraph"/>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B8D7DA2"/>
    <w:multiLevelType w:val="hybridMultilevel"/>
    <w:tmpl w:val="1B20148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308C2710"/>
    <w:multiLevelType w:val="multilevel"/>
    <w:tmpl w:val="0D723674"/>
    <w:styleLink w:val="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lvlText w:val="–"/>
      <w:lvlJc w:val="left"/>
      <w:pPr>
        <w:tabs>
          <w:tab w:val="num" w:pos="567"/>
        </w:tabs>
        <w:ind w:left="567" w:hanging="284"/>
      </w:pPr>
      <w:rPr>
        <w:rFonts w:ascii="Times New Roman" w:hAnsi="Times New Roman" w:cs="Times New Roman" w:hint="default"/>
        <w:b w:val="0"/>
        <w:i w:val="0"/>
      </w:rPr>
    </w:lvl>
    <w:lvl w:ilvl="2">
      <w:start w:val="1"/>
      <w:numFmt w:val="bulle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1" w15:restartNumberingAfterBreak="0">
    <w:nsid w:val="30D46287"/>
    <w:multiLevelType w:val="hybridMultilevel"/>
    <w:tmpl w:val="32C4F51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31BC2D9A"/>
    <w:multiLevelType w:val="hybridMultilevel"/>
    <w:tmpl w:val="72C8EB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1EF577D"/>
    <w:multiLevelType w:val="hybridMultilevel"/>
    <w:tmpl w:val="49CA1762"/>
    <w:lvl w:ilvl="0" w:tplc="73E6BD10">
      <w:start w:val="1"/>
      <w:numFmt w:val="bullet"/>
      <w:lvlText w:val=""/>
      <w:lvlPicBulletId w:val="0"/>
      <w:lvlJc w:val="left"/>
      <w:pPr>
        <w:tabs>
          <w:tab w:val="num" w:pos="720"/>
        </w:tabs>
        <w:ind w:left="720" w:hanging="360"/>
      </w:pPr>
      <w:rPr>
        <w:rFonts w:ascii="Symbol" w:hAnsi="Symbol" w:hint="default"/>
      </w:rPr>
    </w:lvl>
    <w:lvl w:ilvl="1" w:tplc="9470300E" w:tentative="1">
      <w:start w:val="1"/>
      <w:numFmt w:val="bullet"/>
      <w:lvlText w:val=""/>
      <w:lvlJc w:val="left"/>
      <w:pPr>
        <w:tabs>
          <w:tab w:val="num" w:pos="1440"/>
        </w:tabs>
        <w:ind w:left="1440" w:hanging="360"/>
      </w:pPr>
      <w:rPr>
        <w:rFonts w:ascii="Symbol" w:hAnsi="Symbol" w:hint="default"/>
      </w:rPr>
    </w:lvl>
    <w:lvl w:ilvl="2" w:tplc="E56C24D0" w:tentative="1">
      <w:start w:val="1"/>
      <w:numFmt w:val="bullet"/>
      <w:lvlText w:val=""/>
      <w:lvlJc w:val="left"/>
      <w:pPr>
        <w:tabs>
          <w:tab w:val="num" w:pos="2160"/>
        </w:tabs>
        <w:ind w:left="2160" w:hanging="360"/>
      </w:pPr>
      <w:rPr>
        <w:rFonts w:ascii="Symbol" w:hAnsi="Symbol" w:hint="default"/>
      </w:rPr>
    </w:lvl>
    <w:lvl w:ilvl="3" w:tplc="9354613A" w:tentative="1">
      <w:start w:val="1"/>
      <w:numFmt w:val="bullet"/>
      <w:lvlText w:val=""/>
      <w:lvlJc w:val="left"/>
      <w:pPr>
        <w:tabs>
          <w:tab w:val="num" w:pos="2880"/>
        </w:tabs>
        <w:ind w:left="2880" w:hanging="360"/>
      </w:pPr>
      <w:rPr>
        <w:rFonts w:ascii="Symbol" w:hAnsi="Symbol" w:hint="default"/>
      </w:rPr>
    </w:lvl>
    <w:lvl w:ilvl="4" w:tplc="49326306" w:tentative="1">
      <w:start w:val="1"/>
      <w:numFmt w:val="bullet"/>
      <w:lvlText w:val=""/>
      <w:lvlJc w:val="left"/>
      <w:pPr>
        <w:tabs>
          <w:tab w:val="num" w:pos="3600"/>
        </w:tabs>
        <w:ind w:left="3600" w:hanging="360"/>
      </w:pPr>
      <w:rPr>
        <w:rFonts w:ascii="Symbol" w:hAnsi="Symbol" w:hint="default"/>
      </w:rPr>
    </w:lvl>
    <w:lvl w:ilvl="5" w:tplc="34667A02" w:tentative="1">
      <w:start w:val="1"/>
      <w:numFmt w:val="bullet"/>
      <w:lvlText w:val=""/>
      <w:lvlJc w:val="left"/>
      <w:pPr>
        <w:tabs>
          <w:tab w:val="num" w:pos="4320"/>
        </w:tabs>
        <w:ind w:left="4320" w:hanging="360"/>
      </w:pPr>
      <w:rPr>
        <w:rFonts w:ascii="Symbol" w:hAnsi="Symbol" w:hint="default"/>
      </w:rPr>
    </w:lvl>
    <w:lvl w:ilvl="6" w:tplc="03369734" w:tentative="1">
      <w:start w:val="1"/>
      <w:numFmt w:val="bullet"/>
      <w:lvlText w:val=""/>
      <w:lvlJc w:val="left"/>
      <w:pPr>
        <w:tabs>
          <w:tab w:val="num" w:pos="5040"/>
        </w:tabs>
        <w:ind w:left="5040" w:hanging="360"/>
      </w:pPr>
      <w:rPr>
        <w:rFonts w:ascii="Symbol" w:hAnsi="Symbol" w:hint="default"/>
      </w:rPr>
    </w:lvl>
    <w:lvl w:ilvl="7" w:tplc="282A4DD4" w:tentative="1">
      <w:start w:val="1"/>
      <w:numFmt w:val="bullet"/>
      <w:lvlText w:val=""/>
      <w:lvlJc w:val="left"/>
      <w:pPr>
        <w:tabs>
          <w:tab w:val="num" w:pos="5760"/>
        </w:tabs>
        <w:ind w:left="5760" w:hanging="360"/>
      </w:pPr>
      <w:rPr>
        <w:rFonts w:ascii="Symbol" w:hAnsi="Symbol" w:hint="default"/>
      </w:rPr>
    </w:lvl>
    <w:lvl w:ilvl="8" w:tplc="4D565DBE"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3238442C"/>
    <w:multiLevelType w:val="multilevel"/>
    <w:tmpl w:val="20C6D62C"/>
    <w:styleLink w:val="ChartandTableFootnoteAlphaList"/>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30C16AD"/>
    <w:multiLevelType w:val="multilevel"/>
    <w:tmpl w:val="D10E9CF6"/>
    <w:styleLink w:val="OneLevelList"/>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57C04C0"/>
    <w:multiLevelType w:val="multilevel"/>
    <w:tmpl w:val="ABF091E0"/>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lvlText w:val="o"/>
      <w:lvlJc w:val="left"/>
      <w:pPr>
        <w:ind w:left="643" w:hanging="360"/>
      </w:pPr>
      <w:rPr>
        <w:rFonts w:ascii="Courier New" w:hAnsi="Courier New" w:cs="Courier New" w:hint="default"/>
      </w:rPr>
    </w:lvl>
    <w:lvl w:ilvl="2">
      <w:start w:val="1"/>
      <w:numFmt w:val="bulle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7" w15:restartNumberingAfterBreak="0">
    <w:nsid w:val="35AC411C"/>
    <w:multiLevelType w:val="multilevel"/>
    <w:tmpl w:val="2E108CA4"/>
    <w:numStyleLink w:val="ChartsandtableFootnoteAlphaBullets"/>
  </w:abstractNum>
  <w:abstractNum w:abstractNumId="28" w15:restartNumberingAfterBreak="0">
    <w:nsid w:val="36D84782"/>
    <w:multiLevelType w:val="hybridMultilevel"/>
    <w:tmpl w:val="1D48DD36"/>
    <w:lvl w:ilvl="0" w:tplc="2EBC619E">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0107349"/>
    <w:multiLevelType w:val="multilevel"/>
    <w:tmpl w:val="2E108CA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8" w:hanging="284"/>
      </w:pPr>
      <w:rPr>
        <w:rFonts w:ascii="Times New Roman" w:hAnsi="Times New Roman" w:cs="Times New Roman" w:hint="default"/>
      </w:rPr>
    </w:lvl>
    <w:lvl w:ilvl="2">
      <w:start w:val="1"/>
      <w:numFmt w:val="bullet"/>
      <w:lvlText w:val=""/>
      <w:lvlJc w:val="left"/>
      <w:pPr>
        <w:ind w:left="928" w:hanging="360"/>
      </w:pPr>
      <w:rPr>
        <w:rFonts w:ascii="Symbol" w:hAnsi="Symbo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30" w15:restartNumberingAfterBreak="0">
    <w:nsid w:val="41AB11CF"/>
    <w:multiLevelType w:val="hybridMultilevel"/>
    <w:tmpl w:val="DF229E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4413C30"/>
    <w:multiLevelType w:val="multilevel"/>
    <w:tmpl w:val="A082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4B4627E"/>
    <w:multiLevelType w:val="hybridMultilevel"/>
    <w:tmpl w:val="7CB0F2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CE06931"/>
    <w:multiLevelType w:val="singleLevel"/>
    <w:tmpl w:val="36E09474"/>
    <w:lvl w:ilvl="0">
      <w:start w:val="1"/>
      <w:numFmt w:val="lowerLetter"/>
      <w:lvlText w:val="(%1)"/>
      <w:lvlJc w:val="left"/>
      <w:pPr>
        <w:ind w:left="360" w:hanging="360"/>
      </w:pPr>
      <w:rPr>
        <w:rFonts w:ascii="Arial" w:hAnsi="Arial" w:cs="Arial" w:hint="default"/>
        <w:b w:val="0"/>
        <w:i w:val="0"/>
        <w:sz w:val="16"/>
      </w:rPr>
    </w:lvl>
  </w:abstractNum>
  <w:abstractNum w:abstractNumId="34" w15:restartNumberingAfterBreak="0">
    <w:nsid w:val="4E0C6A69"/>
    <w:multiLevelType w:val="hybridMultilevel"/>
    <w:tmpl w:val="2B2CB46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5" w15:restartNumberingAfterBreak="0">
    <w:nsid w:val="5028565F"/>
    <w:multiLevelType w:val="hybridMultilevel"/>
    <w:tmpl w:val="8FC60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10D2021"/>
    <w:multiLevelType w:val="multilevel"/>
    <w:tmpl w:val="72F8140E"/>
    <w:numStyleLink w:val="OutlineList"/>
  </w:abstractNum>
  <w:abstractNum w:abstractNumId="37" w15:restartNumberingAfterBreak="0">
    <w:nsid w:val="524F7347"/>
    <w:multiLevelType w:val="hybridMultilevel"/>
    <w:tmpl w:val="53CE8F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55BC4924"/>
    <w:multiLevelType w:val="hybridMultilevel"/>
    <w:tmpl w:val="719E1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6D0351E"/>
    <w:multiLevelType w:val="multilevel"/>
    <w:tmpl w:val="DC1226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5EFF1E76"/>
    <w:multiLevelType w:val="multilevel"/>
    <w:tmpl w:val="D9FE9894"/>
    <w:lvl w:ilvl="0">
      <w:start w:val="1"/>
      <w:numFmt w:val="lowerRoman"/>
      <w:lvlText w:val="%1."/>
      <w:lvlJc w:val="righ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1F6D5A1"/>
    <w:multiLevelType w:val="hybridMultilevel"/>
    <w:tmpl w:val="1862BD18"/>
    <w:lvl w:ilvl="0" w:tplc="F20E9464">
      <w:start w:val="1"/>
      <w:numFmt w:val="bullet"/>
      <w:lvlText w:val="·"/>
      <w:lvlJc w:val="left"/>
      <w:pPr>
        <w:ind w:left="720" w:hanging="360"/>
      </w:pPr>
      <w:rPr>
        <w:rFonts w:ascii="Symbol" w:hAnsi="Symbol" w:hint="default"/>
      </w:rPr>
    </w:lvl>
    <w:lvl w:ilvl="1" w:tplc="4DC4B500">
      <w:start w:val="1"/>
      <w:numFmt w:val="bullet"/>
      <w:lvlText w:val="o"/>
      <w:lvlJc w:val="left"/>
      <w:pPr>
        <w:ind w:left="1440" w:hanging="360"/>
      </w:pPr>
      <w:rPr>
        <w:rFonts w:ascii="Courier New" w:hAnsi="Courier New" w:hint="default"/>
      </w:rPr>
    </w:lvl>
    <w:lvl w:ilvl="2" w:tplc="37983FD6">
      <w:start w:val="1"/>
      <w:numFmt w:val="bullet"/>
      <w:lvlText w:val=""/>
      <w:lvlJc w:val="left"/>
      <w:pPr>
        <w:ind w:left="2160" w:hanging="360"/>
      </w:pPr>
      <w:rPr>
        <w:rFonts w:ascii="Wingdings" w:hAnsi="Wingdings" w:hint="default"/>
      </w:rPr>
    </w:lvl>
    <w:lvl w:ilvl="3" w:tplc="5DAE6566">
      <w:start w:val="1"/>
      <w:numFmt w:val="bullet"/>
      <w:lvlText w:val=""/>
      <w:lvlJc w:val="left"/>
      <w:pPr>
        <w:ind w:left="2880" w:hanging="360"/>
      </w:pPr>
      <w:rPr>
        <w:rFonts w:ascii="Symbol" w:hAnsi="Symbol" w:hint="default"/>
      </w:rPr>
    </w:lvl>
    <w:lvl w:ilvl="4" w:tplc="8B9E99BE">
      <w:start w:val="1"/>
      <w:numFmt w:val="bullet"/>
      <w:lvlText w:val="o"/>
      <w:lvlJc w:val="left"/>
      <w:pPr>
        <w:ind w:left="3600" w:hanging="360"/>
      </w:pPr>
      <w:rPr>
        <w:rFonts w:ascii="Courier New" w:hAnsi="Courier New" w:hint="default"/>
      </w:rPr>
    </w:lvl>
    <w:lvl w:ilvl="5" w:tplc="AEFA5B76">
      <w:start w:val="1"/>
      <w:numFmt w:val="bullet"/>
      <w:lvlText w:val=""/>
      <w:lvlJc w:val="left"/>
      <w:pPr>
        <w:ind w:left="4320" w:hanging="360"/>
      </w:pPr>
      <w:rPr>
        <w:rFonts w:ascii="Wingdings" w:hAnsi="Wingdings" w:hint="default"/>
      </w:rPr>
    </w:lvl>
    <w:lvl w:ilvl="6" w:tplc="17825D62">
      <w:start w:val="1"/>
      <w:numFmt w:val="bullet"/>
      <w:lvlText w:val=""/>
      <w:lvlJc w:val="left"/>
      <w:pPr>
        <w:ind w:left="5040" w:hanging="360"/>
      </w:pPr>
      <w:rPr>
        <w:rFonts w:ascii="Symbol" w:hAnsi="Symbol" w:hint="default"/>
      </w:rPr>
    </w:lvl>
    <w:lvl w:ilvl="7" w:tplc="FA66A448">
      <w:start w:val="1"/>
      <w:numFmt w:val="bullet"/>
      <w:lvlText w:val="o"/>
      <w:lvlJc w:val="left"/>
      <w:pPr>
        <w:ind w:left="5760" w:hanging="360"/>
      </w:pPr>
      <w:rPr>
        <w:rFonts w:ascii="Courier New" w:hAnsi="Courier New" w:hint="default"/>
      </w:rPr>
    </w:lvl>
    <w:lvl w:ilvl="8" w:tplc="E6AAA128">
      <w:start w:val="1"/>
      <w:numFmt w:val="bullet"/>
      <w:lvlText w:val=""/>
      <w:lvlJc w:val="left"/>
      <w:pPr>
        <w:ind w:left="6480" w:hanging="360"/>
      </w:pPr>
      <w:rPr>
        <w:rFonts w:ascii="Wingdings" w:hAnsi="Wingdings" w:hint="default"/>
      </w:rPr>
    </w:lvl>
  </w:abstractNum>
  <w:abstractNum w:abstractNumId="42" w15:restartNumberingAfterBreak="0">
    <w:nsid w:val="68165842"/>
    <w:multiLevelType w:val="multilevel"/>
    <w:tmpl w:val="38AA1BD6"/>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lvlText w:val="o"/>
      <w:lvlJc w:val="left"/>
      <w:pPr>
        <w:ind w:left="643" w:hanging="360"/>
      </w:pPr>
      <w:rPr>
        <w:rFonts w:ascii="Courier New" w:hAnsi="Courier New" w:cs="Courier New" w:hint="default"/>
      </w:rPr>
    </w:lvl>
    <w:lvl w:ilvl="2">
      <w:start w:val="1"/>
      <w:numFmt w:val="bullet"/>
      <w:lvlText w:val="-"/>
      <w:lvlJc w:val="left"/>
      <w:pPr>
        <w:ind w:left="927" w:hanging="360"/>
      </w:pPr>
      <w:rPr>
        <w:rFonts w:ascii="Courier New" w:hAnsi="Courier New" w:hint="default"/>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43" w15:restartNumberingAfterBreak="0">
    <w:nsid w:val="6C181079"/>
    <w:multiLevelType w:val="multilevel"/>
    <w:tmpl w:val="92069C8C"/>
    <w:lvl w:ilvl="0">
      <w:start w:val="1"/>
      <w:numFmt w:val="bullet"/>
      <w:pStyle w:val="Bullet"/>
      <w:lvlText w:val="•"/>
      <w:lvlJc w:val="left"/>
      <w:pPr>
        <w:ind w:left="284" w:hanging="284"/>
      </w:pPr>
      <w:rPr>
        <w:rFonts w:ascii="Times New Roman" w:hAnsi="Times New Roman" w:cs="Times New Roman" w:hint="default"/>
      </w:rPr>
    </w:lvl>
    <w:lvl w:ilvl="1">
      <w:start w:val="1"/>
      <w:numFmt w:val="bullet"/>
      <w:pStyle w:val="Dash"/>
      <w:lvlText w:val="–"/>
      <w:lvlJc w:val="left"/>
      <w:pPr>
        <w:ind w:left="568" w:hanging="284"/>
      </w:pPr>
      <w:rPr>
        <w:rFonts w:ascii="Times New Roman" w:hAnsi="Times New Roman" w:cs="Times New Roman" w:hint="default"/>
      </w:rPr>
    </w:lvl>
    <w:lvl w:ilvl="2">
      <w:start w:val="1"/>
      <w:numFmt w:val="bullet"/>
      <w:pStyle w:val="DoubleDo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44" w15:restartNumberingAfterBreak="0">
    <w:nsid w:val="6E4B7105"/>
    <w:multiLevelType w:val="hybridMultilevel"/>
    <w:tmpl w:val="20442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E590D92"/>
    <w:multiLevelType w:val="hybridMultilevel"/>
    <w:tmpl w:val="97E83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7947FF"/>
    <w:multiLevelType w:val="hybridMultilevel"/>
    <w:tmpl w:val="906CFE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7" w15:restartNumberingAfterBreak="0">
    <w:nsid w:val="77A70C5A"/>
    <w:multiLevelType w:val="multilevel"/>
    <w:tmpl w:val="34C489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78D97B10"/>
    <w:multiLevelType w:val="hybridMultilevel"/>
    <w:tmpl w:val="B62C5F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D6B5224"/>
    <w:multiLevelType w:val="multilevel"/>
    <w:tmpl w:val="91FE60A6"/>
    <w:lvl w:ilvl="0">
      <w:start w:val="1"/>
      <w:numFmt w:val="bullet"/>
      <w:lvlText w:val="•"/>
      <w:lvlJc w:val="left"/>
      <w:pPr>
        <w:tabs>
          <w:tab w:val="num" w:pos="520"/>
        </w:tabs>
        <w:ind w:left="520" w:hanging="520"/>
      </w:pPr>
      <w:rPr>
        <w:rFonts w:ascii="Times New Roman" w:hAnsi="Times New Roman" w:cs="Times New Roman"/>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7EBF275E"/>
    <w:multiLevelType w:val="multilevel"/>
    <w:tmpl w:val="A6800B9E"/>
    <w:lvl w:ilvl="0">
      <w:start w:val="1"/>
      <w:numFmt w:val="decimal"/>
      <w:lvlRestart w:val="0"/>
      <w:lvlText w:val="%1."/>
      <w:lvlJc w:val="left"/>
      <w:pPr>
        <w:tabs>
          <w:tab w:val="num" w:pos="567"/>
        </w:tabs>
        <w:ind w:left="567" w:hanging="567"/>
      </w:pPr>
      <w:rPr>
        <w:rFonts w:hint="default"/>
        <w:b w:val="0"/>
        <w:i w:val="0"/>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984"/>
        </w:tabs>
        <w:ind w:left="1984" w:hanging="850"/>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51" w15:restartNumberingAfterBreak="0">
    <w:nsid w:val="7F2E57A2"/>
    <w:multiLevelType w:val="multilevel"/>
    <w:tmpl w:val="D1ECFDF4"/>
    <w:lvl w:ilvl="0">
      <w:start w:val="1"/>
      <w:numFmt w:val="decimal"/>
      <w:lvlRestart w:val="0"/>
      <w:suff w:val="nothing"/>
      <w:lvlText w:val=""/>
      <w:lvlJc w:val="left"/>
      <w:pPr>
        <w:ind w:left="0" w:firstLine="0"/>
      </w:pPr>
      <w:rPr>
        <w:rFonts w:ascii="Arial" w:hAnsi="Arial" w:cs="Arial"/>
        <w:b/>
        <w:i w:val="0"/>
        <w:color w:val="000080"/>
        <w:sz w:val="24"/>
      </w:rPr>
    </w:lvl>
    <w:lvl w:ilvl="1">
      <w:start w:val="1"/>
      <w:numFmt w:val="lowerLetter"/>
      <w:lvlText w:val="(%2)"/>
      <w:lvlJc w:val="left"/>
      <w:pPr>
        <w:tabs>
          <w:tab w:val="num" w:pos="992"/>
        </w:tabs>
        <w:ind w:left="992" w:hanging="425"/>
      </w:pPr>
      <w:rPr>
        <w:rFonts w:ascii="Arial" w:hAnsi="Arial" w:cs="Arial"/>
        <w:b/>
        <w:i w:val="0"/>
        <w:color w:val="235292"/>
        <w:sz w:val="22"/>
      </w:rPr>
    </w:lvl>
    <w:lvl w:ilvl="2">
      <w:start w:val="1"/>
      <w:numFmt w:val="decimal"/>
      <w:lvlText w:val="%3"/>
      <w:lvlJc w:val="left"/>
      <w:pPr>
        <w:tabs>
          <w:tab w:val="num" w:pos="1418"/>
        </w:tabs>
        <w:ind w:left="1418" w:hanging="426"/>
      </w:pPr>
      <w:rPr>
        <w:rFonts w:ascii="Times New Roman" w:hAnsi="Times New Roman" w:cs="Times New Roman"/>
        <w:b w:val="0"/>
        <w:i w:val="0"/>
        <w:color w:val="000000"/>
      </w:rPr>
    </w:lvl>
    <w:lvl w:ilvl="3">
      <w:start w:val="1"/>
      <w:numFmt w:val="decimal"/>
      <w:lvlText w:val="%4"/>
      <w:lvlJc w:val="left"/>
      <w:pPr>
        <w:tabs>
          <w:tab w:val="num" w:pos="2268"/>
        </w:tabs>
        <w:ind w:left="2268" w:hanging="567"/>
      </w:pPr>
      <w:rPr>
        <w:rFonts w:ascii="Times New Roman" w:hAnsi="Times New Roman" w:cs="Times New Roman"/>
        <w:b w:val="0"/>
        <w:i w:val="0"/>
        <w:color w:val="000000"/>
      </w:rPr>
    </w:lvl>
    <w:lvl w:ilvl="4">
      <w:start w:val="1"/>
      <w:numFmt w:val="decimal"/>
      <w:lvlText w:val="%5"/>
      <w:lvlJc w:val="left"/>
      <w:pPr>
        <w:tabs>
          <w:tab w:val="num" w:pos="2835"/>
        </w:tabs>
        <w:ind w:left="2835" w:hanging="567"/>
      </w:pPr>
      <w:rPr>
        <w:rFonts w:ascii="Times New Roman" w:hAnsi="Times New Roman" w:cs="Times New Roman"/>
        <w:b w:val="0"/>
        <w:i w:val="0"/>
        <w:color w:val="000000"/>
      </w:rPr>
    </w:lvl>
    <w:lvl w:ilvl="5">
      <w:start w:val="1"/>
      <w:numFmt w:val="decimal"/>
      <w:lvlText w:val="%6"/>
      <w:lvlJc w:val="left"/>
      <w:pPr>
        <w:tabs>
          <w:tab w:val="num" w:pos="3402"/>
        </w:tabs>
        <w:ind w:left="3402" w:hanging="567"/>
      </w:pPr>
      <w:rPr>
        <w:rFonts w:ascii="Times New Roman" w:hAnsi="Times New Roman" w:cs="Times New Roman"/>
        <w:b w:val="0"/>
        <w:i w:val="0"/>
        <w:color w:val="000000"/>
      </w:rPr>
    </w:lvl>
    <w:lvl w:ilvl="6">
      <w:start w:val="1"/>
      <w:numFmt w:val="decimal"/>
      <w:lvlText w:val="%7"/>
      <w:lvlJc w:val="left"/>
      <w:pPr>
        <w:tabs>
          <w:tab w:val="num" w:pos="3969"/>
        </w:tabs>
        <w:ind w:left="3969" w:hanging="567"/>
      </w:pPr>
      <w:rPr>
        <w:rFonts w:ascii="Times New Roman" w:hAnsi="Times New Roman" w:cs="Times New Roman"/>
        <w:b w:val="0"/>
        <w:i w:val="0"/>
        <w:color w:val="000000"/>
      </w:rPr>
    </w:lvl>
    <w:lvl w:ilvl="7">
      <w:start w:val="1"/>
      <w:numFmt w:val="decimal"/>
      <w:lvlText w:val="%8"/>
      <w:lvlJc w:val="left"/>
      <w:pPr>
        <w:tabs>
          <w:tab w:val="num" w:pos="4536"/>
        </w:tabs>
        <w:ind w:left="4536" w:hanging="567"/>
      </w:pPr>
      <w:rPr>
        <w:rFonts w:ascii="Times New Roman" w:hAnsi="Times New Roman" w:cs="Times New Roman"/>
        <w:b w:val="0"/>
        <w:i w:val="0"/>
        <w:color w:val="000000"/>
      </w:rPr>
    </w:lvl>
    <w:lvl w:ilvl="8">
      <w:start w:val="1"/>
      <w:numFmt w:val="decimal"/>
      <w:lvlText w:val="%9"/>
      <w:lvlJc w:val="left"/>
      <w:pPr>
        <w:tabs>
          <w:tab w:val="num" w:pos="5103"/>
        </w:tabs>
        <w:ind w:left="5103" w:hanging="567"/>
      </w:pPr>
      <w:rPr>
        <w:rFonts w:ascii="Times New Roman" w:hAnsi="Times New Roman" w:cs="Times New Roman"/>
        <w:b w:val="0"/>
        <w:i w:val="0"/>
        <w:color w:val="000000"/>
      </w:rPr>
    </w:lvl>
  </w:abstractNum>
  <w:num w:numId="1" w16cid:durableId="847064411">
    <w:abstractNumId w:val="3"/>
  </w:num>
  <w:num w:numId="2" w16cid:durableId="506554827">
    <w:abstractNumId w:val="31"/>
  </w:num>
  <w:num w:numId="3" w16cid:durableId="1773628790">
    <w:abstractNumId w:val="8"/>
  </w:num>
  <w:num w:numId="4" w16cid:durableId="1307050683">
    <w:abstractNumId w:val="46"/>
  </w:num>
  <w:num w:numId="5" w16cid:durableId="1509446909">
    <w:abstractNumId w:val="20"/>
  </w:num>
  <w:num w:numId="6" w16cid:durableId="230386874">
    <w:abstractNumId w:val="1"/>
  </w:num>
  <w:num w:numId="7" w16cid:durableId="929386739">
    <w:abstractNumId w:val="2"/>
  </w:num>
  <w:num w:numId="8" w16cid:durableId="2007052930">
    <w:abstractNumId w:val="26"/>
  </w:num>
  <w:num w:numId="9" w16cid:durableId="1459256639">
    <w:abstractNumId w:val="9"/>
  </w:num>
  <w:num w:numId="10" w16cid:durableId="890532382">
    <w:abstractNumId w:val="42"/>
  </w:num>
  <w:num w:numId="11" w16cid:durableId="1147892087">
    <w:abstractNumId w:val="30"/>
  </w:num>
  <w:num w:numId="12" w16cid:durableId="1754550055">
    <w:abstractNumId w:val="35"/>
  </w:num>
  <w:num w:numId="13" w16cid:durableId="1716855291">
    <w:abstractNumId w:val="25"/>
  </w:num>
  <w:num w:numId="14" w16cid:durableId="797724066">
    <w:abstractNumId w:val="5"/>
  </w:num>
  <w:num w:numId="15" w16cid:durableId="306596971">
    <w:abstractNumId w:val="36"/>
  </w:num>
  <w:num w:numId="16" w16cid:durableId="1739129519">
    <w:abstractNumId w:val="24"/>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7" w16cid:durableId="1043020558">
    <w:abstractNumId w:val="11"/>
  </w:num>
  <w:num w:numId="18" w16cid:durableId="832991063">
    <w:abstractNumId w:val="18"/>
  </w:num>
  <w:num w:numId="19" w16cid:durableId="143200778">
    <w:abstractNumId w:val="24"/>
  </w:num>
  <w:num w:numId="20" w16cid:durableId="1017973052">
    <w:abstractNumId w:val="7"/>
  </w:num>
  <w:num w:numId="21" w16cid:durableId="1534227257">
    <w:abstractNumId w:val="43"/>
  </w:num>
  <w:num w:numId="22" w16cid:durableId="123956092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9110180">
    <w:abstractNumId w:val="10"/>
  </w:num>
  <w:num w:numId="24" w16cid:durableId="1591279926">
    <w:abstractNumId w:val="4"/>
  </w:num>
  <w:num w:numId="25" w16cid:durableId="215508863">
    <w:abstractNumId w:val="50"/>
  </w:num>
  <w:num w:numId="26" w16cid:durableId="1757362042">
    <w:abstractNumId w:val="51"/>
  </w:num>
  <w:num w:numId="27" w16cid:durableId="353965158">
    <w:abstractNumId w:val="33"/>
  </w:num>
  <w:num w:numId="28" w16cid:durableId="77220001">
    <w:abstractNumId w:val="17"/>
  </w:num>
  <w:num w:numId="29" w16cid:durableId="626086807">
    <w:abstractNumId w:val="40"/>
  </w:num>
  <w:num w:numId="30" w16cid:durableId="2085910852">
    <w:abstractNumId w:val="4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96955640">
    <w:abstractNumId w:val="23"/>
  </w:num>
  <w:num w:numId="32" w16cid:durableId="525217854">
    <w:abstractNumId w:val="37"/>
  </w:num>
  <w:num w:numId="33" w16cid:durableId="1710757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98618205">
    <w:abstractNumId w:val="14"/>
  </w:num>
  <w:num w:numId="35" w16cid:durableId="37553539">
    <w:abstractNumId w:val="29"/>
  </w:num>
  <w:num w:numId="36" w16cid:durableId="1894735395">
    <w:abstractNumId w:val="16"/>
  </w:num>
  <w:num w:numId="37" w16cid:durableId="893276833">
    <w:abstractNumId w:val="27"/>
  </w:num>
  <w:num w:numId="38" w16cid:durableId="15861813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29237210">
    <w:abstractNumId w:val="22"/>
  </w:num>
  <w:num w:numId="40" w16cid:durableId="783312156">
    <w:abstractNumId w:val="15"/>
  </w:num>
  <w:num w:numId="41" w16cid:durableId="428738757">
    <w:abstractNumId w:val="13"/>
  </w:num>
  <w:num w:numId="42" w16cid:durableId="785853622">
    <w:abstractNumId w:val="41"/>
  </w:num>
  <w:num w:numId="43" w16cid:durableId="1807576359">
    <w:abstractNumId w:val="39"/>
  </w:num>
  <w:num w:numId="44" w16cid:durableId="1668633057">
    <w:abstractNumId w:val="0"/>
  </w:num>
  <w:num w:numId="45" w16cid:durableId="787045716">
    <w:abstractNumId w:val="28"/>
  </w:num>
  <w:num w:numId="46" w16cid:durableId="1120806455">
    <w:abstractNumId w:val="32"/>
  </w:num>
  <w:num w:numId="47" w16cid:durableId="739793411">
    <w:abstractNumId w:val="45"/>
  </w:num>
  <w:num w:numId="48" w16cid:durableId="1374650245">
    <w:abstractNumId w:val="38"/>
  </w:num>
  <w:num w:numId="49" w16cid:durableId="1309896481">
    <w:abstractNumId w:val="6"/>
  </w:num>
  <w:num w:numId="50" w16cid:durableId="1023048451">
    <w:abstractNumId w:val="48"/>
  </w:num>
  <w:num w:numId="51" w16cid:durableId="1156265027">
    <w:abstractNumId w:val="19"/>
  </w:num>
  <w:num w:numId="52" w16cid:durableId="1782218247">
    <w:abstractNumId w:val="21"/>
  </w:num>
  <w:num w:numId="53" w16cid:durableId="1350137542">
    <w:abstractNumId w:val="34"/>
  </w:num>
  <w:num w:numId="54" w16cid:durableId="293826967">
    <w:abstractNumId w:val="4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29"/>
    <w:rsid w:val="000003DD"/>
    <w:rsid w:val="00000662"/>
    <w:rsid w:val="00000AFC"/>
    <w:rsid w:val="00000BD2"/>
    <w:rsid w:val="00000D2E"/>
    <w:rsid w:val="00000D86"/>
    <w:rsid w:val="000015E6"/>
    <w:rsid w:val="00001697"/>
    <w:rsid w:val="0000179B"/>
    <w:rsid w:val="00002037"/>
    <w:rsid w:val="000020DF"/>
    <w:rsid w:val="00002345"/>
    <w:rsid w:val="0000279E"/>
    <w:rsid w:val="00002AA5"/>
    <w:rsid w:val="00002AC1"/>
    <w:rsid w:val="00002E5E"/>
    <w:rsid w:val="00002F56"/>
    <w:rsid w:val="00002FD4"/>
    <w:rsid w:val="00003059"/>
    <w:rsid w:val="00003220"/>
    <w:rsid w:val="0000361C"/>
    <w:rsid w:val="000038D0"/>
    <w:rsid w:val="00003A4B"/>
    <w:rsid w:val="00003CB4"/>
    <w:rsid w:val="00003D60"/>
    <w:rsid w:val="000040A1"/>
    <w:rsid w:val="000042E8"/>
    <w:rsid w:val="00004487"/>
    <w:rsid w:val="00004522"/>
    <w:rsid w:val="000045F8"/>
    <w:rsid w:val="000047A9"/>
    <w:rsid w:val="00004803"/>
    <w:rsid w:val="000048E5"/>
    <w:rsid w:val="000052C9"/>
    <w:rsid w:val="00005314"/>
    <w:rsid w:val="00005492"/>
    <w:rsid w:val="00005C7D"/>
    <w:rsid w:val="0000609F"/>
    <w:rsid w:val="000060DD"/>
    <w:rsid w:val="00006250"/>
    <w:rsid w:val="00006331"/>
    <w:rsid w:val="0000637E"/>
    <w:rsid w:val="000067DA"/>
    <w:rsid w:val="00006996"/>
    <w:rsid w:val="00006E8B"/>
    <w:rsid w:val="00007037"/>
    <w:rsid w:val="00007320"/>
    <w:rsid w:val="0000733C"/>
    <w:rsid w:val="00007604"/>
    <w:rsid w:val="000076BE"/>
    <w:rsid w:val="00007844"/>
    <w:rsid w:val="00007D3F"/>
    <w:rsid w:val="00007DE1"/>
    <w:rsid w:val="0001019F"/>
    <w:rsid w:val="000101F6"/>
    <w:rsid w:val="00010374"/>
    <w:rsid w:val="0001048A"/>
    <w:rsid w:val="00010B2B"/>
    <w:rsid w:val="00010BBF"/>
    <w:rsid w:val="00010C68"/>
    <w:rsid w:val="00010DE6"/>
    <w:rsid w:val="00010E2F"/>
    <w:rsid w:val="00010EB2"/>
    <w:rsid w:val="00011011"/>
    <w:rsid w:val="00011943"/>
    <w:rsid w:val="00011D33"/>
    <w:rsid w:val="00011E6B"/>
    <w:rsid w:val="00011F1B"/>
    <w:rsid w:val="00011F6C"/>
    <w:rsid w:val="000122DD"/>
    <w:rsid w:val="000123B5"/>
    <w:rsid w:val="00012414"/>
    <w:rsid w:val="000126D1"/>
    <w:rsid w:val="00012701"/>
    <w:rsid w:val="00012708"/>
    <w:rsid w:val="0001276E"/>
    <w:rsid w:val="00012778"/>
    <w:rsid w:val="00012787"/>
    <w:rsid w:val="0001295A"/>
    <w:rsid w:val="0001295F"/>
    <w:rsid w:val="00012AB0"/>
    <w:rsid w:val="00012ACA"/>
    <w:rsid w:val="00012C4C"/>
    <w:rsid w:val="00012C7A"/>
    <w:rsid w:val="00012F0E"/>
    <w:rsid w:val="00013451"/>
    <w:rsid w:val="0001363D"/>
    <w:rsid w:val="00013ADD"/>
    <w:rsid w:val="00013CDC"/>
    <w:rsid w:val="00013D68"/>
    <w:rsid w:val="00013FBA"/>
    <w:rsid w:val="0001408E"/>
    <w:rsid w:val="000143A5"/>
    <w:rsid w:val="000144B5"/>
    <w:rsid w:val="000144EC"/>
    <w:rsid w:val="00014771"/>
    <w:rsid w:val="00014779"/>
    <w:rsid w:val="000149C5"/>
    <w:rsid w:val="00014BFF"/>
    <w:rsid w:val="00014CC2"/>
    <w:rsid w:val="00014D95"/>
    <w:rsid w:val="00014E54"/>
    <w:rsid w:val="00015123"/>
    <w:rsid w:val="000157B0"/>
    <w:rsid w:val="0001584C"/>
    <w:rsid w:val="00015855"/>
    <w:rsid w:val="00015BAF"/>
    <w:rsid w:val="00015CFC"/>
    <w:rsid w:val="00015D0D"/>
    <w:rsid w:val="00015DEF"/>
    <w:rsid w:val="00015E9A"/>
    <w:rsid w:val="00015FD2"/>
    <w:rsid w:val="00016151"/>
    <w:rsid w:val="0001670C"/>
    <w:rsid w:val="0001701A"/>
    <w:rsid w:val="00017088"/>
    <w:rsid w:val="00017720"/>
    <w:rsid w:val="0001785A"/>
    <w:rsid w:val="00017919"/>
    <w:rsid w:val="000179FD"/>
    <w:rsid w:val="00017D4E"/>
    <w:rsid w:val="00017D85"/>
    <w:rsid w:val="000203BC"/>
    <w:rsid w:val="00020DBC"/>
    <w:rsid w:val="00020FB6"/>
    <w:rsid w:val="000210DA"/>
    <w:rsid w:val="000212B0"/>
    <w:rsid w:val="00021A1C"/>
    <w:rsid w:val="00022301"/>
    <w:rsid w:val="0002247F"/>
    <w:rsid w:val="0002256C"/>
    <w:rsid w:val="00022706"/>
    <w:rsid w:val="00023001"/>
    <w:rsid w:val="00023125"/>
    <w:rsid w:val="000235FF"/>
    <w:rsid w:val="0002387D"/>
    <w:rsid w:val="00023DC9"/>
    <w:rsid w:val="00024206"/>
    <w:rsid w:val="0002439F"/>
    <w:rsid w:val="0002447D"/>
    <w:rsid w:val="00024945"/>
    <w:rsid w:val="000249A0"/>
    <w:rsid w:val="00024A30"/>
    <w:rsid w:val="00024A66"/>
    <w:rsid w:val="00024C1A"/>
    <w:rsid w:val="00024D02"/>
    <w:rsid w:val="00024E1A"/>
    <w:rsid w:val="00025188"/>
    <w:rsid w:val="000253FA"/>
    <w:rsid w:val="00025409"/>
    <w:rsid w:val="00025970"/>
    <w:rsid w:val="00025BB1"/>
    <w:rsid w:val="00025E81"/>
    <w:rsid w:val="00025EB5"/>
    <w:rsid w:val="00025F9F"/>
    <w:rsid w:val="00026035"/>
    <w:rsid w:val="0002640A"/>
    <w:rsid w:val="0002650B"/>
    <w:rsid w:val="00027294"/>
    <w:rsid w:val="000272BE"/>
    <w:rsid w:val="0002732E"/>
    <w:rsid w:val="0002781D"/>
    <w:rsid w:val="0002798F"/>
    <w:rsid w:val="00027BD5"/>
    <w:rsid w:val="00027D58"/>
    <w:rsid w:val="00030037"/>
    <w:rsid w:val="0003008B"/>
    <w:rsid w:val="00030131"/>
    <w:rsid w:val="000302DD"/>
    <w:rsid w:val="0003036E"/>
    <w:rsid w:val="00030500"/>
    <w:rsid w:val="000305A6"/>
    <w:rsid w:val="00030692"/>
    <w:rsid w:val="0003073F"/>
    <w:rsid w:val="000308DF"/>
    <w:rsid w:val="00030BA4"/>
    <w:rsid w:val="00030BCF"/>
    <w:rsid w:val="00030DA3"/>
    <w:rsid w:val="00030E0C"/>
    <w:rsid w:val="00030F76"/>
    <w:rsid w:val="0003151B"/>
    <w:rsid w:val="000319C4"/>
    <w:rsid w:val="00031A30"/>
    <w:rsid w:val="00031B26"/>
    <w:rsid w:val="00031D59"/>
    <w:rsid w:val="000320C4"/>
    <w:rsid w:val="000324A5"/>
    <w:rsid w:val="00032680"/>
    <w:rsid w:val="00032695"/>
    <w:rsid w:val="0003279B"/>
    <w:rsid w:val="00032AEB"/>
    <w:rsid w:val="00032C88"/>
    <w:rsid w:val="00032D53"/>
    <w:rsid w:val="00032E91"/>
    <w:rsid w:val="00032F94"/>
    <w:rsid w:val="0003324A"/>
    <w:rsid w:val="00033335"/>
    <w:rsid w:val="0003370C"/>
    <w:rsid w:val="00033B5A"/>
    <w:rsid w:val="00033C1A"/>
    <w:rsid w:val="00033D4E"/>
    <w:rsid w:val="00033E9A"/>
    <w:rsid w:val="000345BE"/>
    <w:rsid w:val="00034A1B"/>
    <w:rsid w:val="00034A75"/>
    <w:rsid w:val="00034B45"/>
    <w:rsid w:val="00034B77"/>
    <w:rsid w:val="00034C6D"/>
    <w:rsid w:val="00034C6E"/>
    <w:rsid w:val="00034CFA"/>
    <w:rsid w:val="000350DF"/>
    <w:rsid w:val="000352C0"/>
    <w:rsid w:val="00035357"/>
    <w:rsid w:val="000354FD"/>
    <w:rsid w:val="00035599"/>
    <w:rsid w:val="00035744"/>
    <w:rsid w:val="00035B6D"/>
    <w:rsid w:val="00035D47"/>
    <w:rsid w:val="00035D6C"/>
    <w:rsid w:val="00035D92"/>
    <w:rsid w:val="000360CB"/>
    <w:rsid w:val="00036705"/>
    <w:rsid w:val="000368A3"/>
    <w:rsid w:val="00036B4D"/>
    <w:rsid w:val="00037320"/>
    <w:rsid w:val="00037866"/>
    <w:rsid w:val="0003794C"/>
    <w:rsid w:val="000379C5"/>
    <w:rsid w:val="00037A0E"/>
    <w:rsid w:val="00037BFC"/>
    <w:rsid w:val="00037E70"/>
    <w:rsid w:val="00037EF0"/>
    <w:rsid w:val="000400C1"/>
    <w:rsid w:val="00040604"/>
    <w:rsid w:val="00040A81"/>
    <w:rsid w:val="00040BAC"/>
    <w:rsid w:val="00040CB9"/>
    <w:rsid w:val="00040CD1"/>
    <w:rsid w:val="00040FD8"/>
    <w:rsid w:val="0004101A"/>
    <w:rsid w:val="0004103C"/>
    <w:rsid w:val="00041198"/>
    <w:rsid w:val="00041258"/>
    <w:rsid w:val="000412A6"/>
    <w:rsid w:val="000414A7"/>
    <w:rsid w:val="000414AC"/>
    <w:rsid w:val="000416A8"/>
    <w:rsid w:val="000418E9"/>
    <w:rsid w:val="00041C2C"/>
    <w:rsid w:val="00041CD6"/>
    <w:rsid w:val="00041E0D"/>
    <w:rsid w:val="00041EFD"/>
    <w:rsid w:val="00041FC4"/>
    <w:rsid w:val="000428B6"/>
    <w:rsid w:val="00042C66"/>
    <w:rsid w:val="00042E92"/>
    <w:rsid w:val="00043062"/>
    <w:rsid w:val="000434BD"/>
    <w:rsid w:val="00043533"/>
    <w:rsid w:val="000438D2"/>
    <w:rsid w:val="00043E62"/>
    <w:rsid w:val="00043F40"/>
    <w:rsid w:val="00044650"/>
    <w:rsid w:val="00044667"/>
    <w:rsid w:val="00044749"/>
    <w:rsid w:val="00045141"/>
    <w:rsid w:val="000451FD"/>
    <w:rsid w:val="000454C5"/>
    <w:rsid w:val="000454FB"/>
    <w:rsid w:val="00045514"/>
    <w:rsid w:val="00045541"/>
    <w:rsid w:val="000455B4"/>
    <w:rsid w:val="00045972"/>
    <w:rsid w:val="00045C34"/>
    <w:rsid w:val="000460A9"/>
    <w:rsid w:val="00046133"/>
    <w:rsid w:val="00046264"/>
    <w:rsid w:val="000463A7"/>
    <w:rsid w:val="000465B2"/>
    <w:rsid w:val="000465DF"/>
    <w:rsid w:val="00046EF6"/>
    <w:rsid w:val="00047301"/>
    <w:rsid w:val="000476F1"/>
    <w:rsid w:val="00047C58"/>
    <w:rsid w:val="00047D8A"/>
    <w:rsid w:val="00050064"/>
    <w:rsid w:val="000504BC"/>
    <w:rsid w:val="00050512"/>
    <w:rsid w:val="000508FB"/>
    <w:rsid w:val="00050910"/>
    <w:rsid w:val="00050981"/>
    <w:rsid w:val="000509A9"/>
    <w:rsid w:val="00050C1B"/>
    <w:rsid w:val="00050FD2"/>
    <w:rsid w:val="00051085"/>
    <w:rsid w:val="00052194"/>
    <w:rsid w:val="00052322"/>
    <w:rsid w:val="000523C6"/>
    <w:rsid w:val="000529E1"/>
    <w:rsid w:val="00052BC0"/>
    <w:rsid w:val="00052D94"/>
    <w:rsid w:val="00052DCF"/>
    <w:rsid w:val="0005300B"/>
    <w:rsid w:val="00053225"/>
    <w:rsid w:val="0005325C"/>
    <w:rsid w:val="000532CD"/>
    <w:rsid w:val="000532F7"/>
    <w:rsid w:val="0005359E"/>
    <w:rsid w:val="00053C99"/>
    <w:rsid w:val="00053DA0"/>
    <w:rsid w:val="00054057"/>
    <w:rsid w:val="000542FF"/>
    <w:rsid w:val="0005434A"/>
    <w:rsid w:val="00054384"/>
    <w:rsid w:val="0005441E"/>
    <w:rsid w:val="00054515"/>
    <w:rsid w:val="000545B7"/>
    <w:rsid w:val="0005467A"/>
    <w:rsid w:val="00054756"/>
    <w:rsid w:val="00054A4D"/>
    <w:rsid w:val="00054EA7"/>
    <w:rsid w:val="00054EB5"/>
    <w:rsid w:val="00054FD1"/>
    <w:rsid w:val="00055044"/>
    <w:rsid w:val="000552CC"/>
    <w:rsid w:val="000554F6"/>
    <w:rsid w:val="00055643"/>
    <w:rsid w:val="0005568E"/>
    <w:rsid w:val="00056223"/>
    <w:rsid w:val="00057167"/>
    <w:rsid w:val="000571C5"/>
    <w:rsid w:val="000572DB"/>
    <w:rsid w:val="0005742E"/>
    <w:rsid w:val="0005744E"/>
    <w:rsid w:val="000575B9"/>
    <w:rsid w:val="0005770F"/>
    <w:rsid w:val="00057ACC"/>
    <w:rsid w:val="00057C1A"/>
    <w:rsid w:val="00057E0F"/>
    <w:rsid w:val="00057F33"/>
    <w:rsid w:val="00057F4E"/>
    <w:rsid w:val="00057FDB"/>
    <w:rsid w:val="0006014B"/>
    <w:rsid w:val="00060172"/>
    <w:rsid w:val="00060413"/>
    <w:rsid w:val="00060530"/>
    <w:rsid w:val="00060544"/>
    <w:rsid w:val="000605E9"/>
    <w:rsid w:val="00060A7E"/>
    <w:rsid w:val="00060FA7"/>
    <w:rsid w:val="000611F0"/>
    <w:rsid w:val="0006197F"/>
    <w:rsid w:val="00061A4D"/>
    <w:rsid w:val="00061BBD"/>
    <w:rsid w:val="00062017"/>
    <w:rsid w:val="0006259A"/>
    <w:rsid w:val="000626DF"/>
    <w:rsid w:val="00062948"/>
    <w:rsid w:val="000629F4"/>
    <w:rsid w:val="00062B6D"/>
    <w:rsid w:val="000630A0"/>
    <w:rsid w:val="00063168"/>
    <w:rsid w:val="00063741"/>
    <w:rsid w:val="000638E2"/>
    <w:rsid w:val="00063D8E"/>
    <w:rsid w:val="00064481"/>
    <w:rsid w:val="00064590"/>
    <w:rsid w:val="000645F2"/>
    <w:rsid w:val="000650A1"/>
    <w:rsid w:val="000655F6"/>
    <w:rsid w:val="00065C46"/>
    <w:rsid w:val="00065CA8"/>
    <w:rsid w:val="00065D9B"/>
    <w:rsid w:val="000660CD"/>
    <w:rsid w:val="000661DC"/>
    <w:rsid w:val="00066290"/>
    <w:rsid w:val="000663DA"/>
    <w:rsid w:val="00066627"/>
    <w:rsid w:val="00066698"/>
    <w:rsid w:val="00066866"/>
    <w:rsid w:val="00066AE8"/>
    <w:rsid w:val="00066B14"/>
    <w:rsid w:val="00066C8F"/>
    <w:rsid w:val="00066D18"/>
    <w:rsid w:val="00066D8B"/>
    <w:rsid w:val="00066E9D"/>
    <w:rsid w:val="00067017"/>
    <w:rsid w:val="0006723D"/>
    <w:rsid w:val="00067CE7"/>
    <w:rsid w:val="00067D5B"/>
    <w:rsid w:val="00067E09"/>
    <w:rsid w:val="00067F4F"/>
    <w:rsid w:val="00070168"/>
    <w:rsid w:val="00070605"/>
    <w:rsid w:val="000709AB"/>
    <w:rsid w:val="00070CBF"/>
    <w:rsid w:val="00070E1C"/>
    <w:rsid w:val="00070F28"/>
    <w:rsid w:val="00071101"/>
    <w:rsid w:val="0007127A"/>
    <w:rsid w:val="000713BD"/>
    <w:rsid w:val="000715AC"/>
    <w:rsid w:val="000717FE"/>
    <w:rsid w:val="0007181B"/>
    <w:rsid w:val="000718E8"/>
    <w:rsid w:val="0007192C"/>
    <w:rsid w:val="00071A7E"/>
    <w:rsid w:val="00071C04"/>
    <w:rsid w:val="0007205B"/>
    <w:rsid w:val="00072406"/>
    <w:rsid w:val="00072427"/>
    <w:rsid w:val="00072AD9"/>
    <w:rsid w:val="00072CB2"/>
    <w:rsid w:val="00072E1C"/>
    <w:rsid w:val="000732DB"/>
    <w:rsid w:val="000735FD"/>
    <w:rsid w:val="00073AEB"/>
    <w:rsid w:val="00073D5D"/>
    <w:rsid w:val="00073FB2"/>
    <w:rsid w:val="0007408E"/>
    <w:rsid w:val="000745B1"/>
    <w:rsid w:val="00074694"/>
    <w:rsid w:val="0007472E"/>
    <w:rsid w:val="00074776"/>
    <w:rsid w:val="000748CC"/>
    <w:rsid w:val="00074923"/>
    <w:rsid w:val="00074934"/>
    <w:rsid w:val="00074BF1"/>
    <w:rsid w:val="00074CD9"/>
    <w:rsid w:val="00074DE0"/>
    <w:rsid w:val="00074EA3"/>
    <w:rsid w:val="0007539E"/>
    <w:rsid w:val="00075938"/>
    <w:rsid w:val="00075A3B"/>
    <w:rsid w:val="00075EDD"/>
    <w:rsid w:val="0007601A"/>
    <w:rsid w:val="00076030"/>
    <w:rsid w:val="0007608B"/>
    <w:rsid w:val="000764B1"/>
    <w:rsid w:val="0007656A"/>
    <w:rsid w:val="00076775"/>
    <w:rsid w:val="000769FE"/>
    <w:rsid w:val="00076A7C"/>
    <w:rsid w:val="00076D81"/>
    <w:rsid w:val="000773D2"/>
    <w:rsid w:val="0007793A"/>
    <w:rsid w:val="00077AFE"/>
    <w:rsid w:val="00077C17"/>
    <w:rsid w:val="00077C46"/>
    <w:rsid w:val="00077CAD"/>
    <w:rsid w:val="00077F67"/>
    <w:rsid w:val="00077FC9"/>
    <w:rsid w:val="00077FF0"/>
    <w:rsid w:val="0008033D"/>
    <w:rsid w:val="0008081D"/>
    <w:rsid w:val="00080EC1"/>
    <w:rsid w:val="00081032"/>
    <w:rsid w:val="0008109B"/>
    <w:rsid w:val="00081436"/>
    <w:rsid w:val="000814A0"/>
    <w:rsid w:val="00081591"/>
    <w:rsid w:val="000815A8"/>
    <w:rsid w:val="00081690"/>
    <w:rsid w:val="000818B6"/>
    <w:rsid w:val="00081EBF"/>
    <w:rsid w:val="00081F0E"/>
    <w:rsid w:val="00082239"/>
    <w:rsid w:val="000825E4"/>
    <w:rsid w:val="000825E9"/>
    <w:rsid w:val="00082C2F"/>
    <w:rsid w:val="00082C99"/>
    <w:rsid w:val="00082D33"/>
    <w:rsid w:val="000832E4"/>
    <w:rsid w:val="00083361"/>
    <w:rsid w:val="0008338F"/>
    <w:rsid w:val="00083398"/>
    <w:rsid w:val="00084037"/>
    <w:rsid w:val="000845E2"/>
    <w:rsid w:val="000846CC"/>
    <w:rsid w:val="00084E1F"/>
    <w:rsid w:val="00084EEE"/>
    <w:rsid w:val="000850F1"/>
    <w:rsid w:val="000852BA"/>
    <w:rsid w:val="00085451"/>
    <w:rsid w:val="00085827"/>
    <w:rsid w:val="000858F0"/>
    <w:rsid w:val="00085AFA"/>
    <w:rsid w:val="00085B53"/>
    <w:rsid w:val="00085D17"/>
    <w:rsid w:val="00085ED6"/>
    <w:rsid w:val="00085EF6"/>
    <w:rsid w:val="00086008"/>
    <w:rsid w:val="00086206"/>
    <w:rsid w:val="00086BAF"/>
    <w:rsid w:val="00086CC9"/>
    <w:rsid w:val="00087555"/>
    <w:rsid w:val="000878F8"/>
    <w:rsid w:val="00087C32"/>
    <w:rsid w:val="00087F56"/>
    <w:rsid w:val="000901F0"/>
    <w:rsid w:val="00090231"/>
    <w:rsid w:val="00090335"/>
    <w:rsid w:val="000904D8"/>
    <w:rsid w:val="000905FB"/>
    <w:rsid w:val="0009081D"/>
    <w:rsid w:val="00090B56"/>
    <w:rsid w:val="00090E79"/>
    <w:rsid w:val="00091124"/>
    <w:rsid w:val="000916C7"/>
    <w:rsid w:val="00091740"/>
    <w:rsid w:val="000919D2"/>
    <w:rsid w:val="00091DF9"/>
    <w:rsid w:val="0009209E"/>
    <w:rsid w:val="00092120"/>
    <w:rsid w:val="00092190"/>
    <w:rsid w:val="00092357"/>
    <w:rsid w:val="00092472"/>
    <w:rsid w:val="000925F1"/>
    <w:rsid w:val="0009280B"/>
    <w:rsid w:val="00092A74"/>
    <w:rsid w:val="00092F15"/>
    <w:rsid w:val="000930F7"/>
    <w:rsid w:val="00093243"/>
    <w:rsid w:val="00093462"/>
    <w:rsid w:val="000939FD"/>
    <w:rsid w:val="00093F27"/>
    <w:rsid w:val="00093FAF"/>
    <w:rsid w:val="0009414B"/>
    <w:rsid w:val="00094267"/>
    <w:rsid w:val="00094C71"/>
    <w:rsid w:val="00094CA0"/>
    <w:rsid w:val="00094D3A"/>
    <w:rsid w:val="00095147"/>
    <w:rsid w:val="00095225"/>
    <w:rsid w:val="000955AE"/>
    <w:rsid w:val="000955EB"/>
    <w:rsid w:val="00095782"/>
    <w:rsid w:val="00095874"/>
    <w:rsid w:val="00095A0B"/>
    <w:rsid w:val="00095D90"/>
    <w:rsid w:val="00095E93"/>
    <w:rsid w:val="00095ED6"/>
    <w:rsid w:val="00095EF0"/>
    <w:rsid w:val="0009619D"/>
    <w:rsid w:val="0009675D"/>
    <w:rsid w:val="00096C96"/>
    <w:rsid w:val="00096F46"/>
    <w:rsid w:val="000972DB"/>
    <w:rsid w:val="00097372"/>
    <w:rsid w:val="00097674"/>
    <w:rsid w:val="000976B0"/>
    <w:rsid w:val="000976CB"/>
    <w:rsid w:val="00097AB4"/>
    <w:rsid w:val="00097BE0"/>
    <w:rsid w:val="00097D09"/>
    <w:rsid w:val="00097F02"/>
    <w:rsid w:val="000A01B5"/>
    <w:rsid w:val="000A02B0"/>
    <w:rsid w:val="000A0420"/>
    <w:rsid w:val="000A0517"/>
    <w:rsid w:val="000A0A94"/>
    <w:rsid w:val="000A0B80"/>
    <w:rsid w:val="000A1243"/>
    <w:rsid w:val="000A14B8"/>
    <w:rsid w:val="000A14CD"/>
    <w:rsid w:val="000A1600"/>
    <w:rsid w:val="000A166B"/>
    <w:rsid w:val="000A19EA"/>
    <w:rsid w:val="000A2347"/>
    <w:rsid w:val="000A26B9"/>
    <w:rsid w:val="000A2754"/>
    <w:rsid w:val="000A27A8"/>
    <w:rsid w:val="000A2BDD"/>
    <w:rsid w:val="000A2BF6"/>
    <w:rsid w:val="000A2FC8"/>
    <w:rsid w:val="000A3218"/>
    <w:rsid w:val="000A3726"/>
    <w:rsid w:val="000A37AC"/>
    <w:rsid w:val="000A37F5"/>
    <w:rsid w:val="000A3890"/>
    <w:rsid w:val="000A3A26"/>
    <w:rsid w:val="000A3E91"/>
    <w:rsid w:val="000A4452"/>
    <w:rsid w:val="000A49A3"/>
    <w:rsid w:val="000A4E6C"/>
    <w:rsid w:val="000A5413"/>
    <w:rsid w:val="000A5552"/>
    <w:rsid w:val="000A5A47"/>
    <w:rsid w:val="000A5CFE"/>
    <w:rsid w:val="000A5F0E"/>
    <w:rsid w:val="000A5FAB"/>
    <w:rsid w:val="000A6241"/>
    <w:rsid w:val="000A66D0"/>
    <w:rsid w:val="000A66D6"/>
    <w:rsid w:val="000A6732"/>
    <w:rsid w:val="000A67CB"/>
    <w:rsid w:val="000A69FA"/>
    <w:rsid w:val="000A6B7C"/>
    <w:rsid w:val="000A6D67"/>
    <w:rsid w:val="000A723B"/>
    <w:rsid w:val="000A72CB"/>
    <w:rsid w:val="000A7387"/>
    <w:rsid w:val="000A73FE"/>
    <w:rsid w:val="000A750D"/>
    <w:rsid w:val="000A769C"/>
    <w:rsid w:val="000A780D"/>
    <w:rsid w:val="000A7E36"/>
    <w:rsid w:val="000B01BF"/>
    <w:rsid w:val="000B04B4"/>
    <w:rsid w:val="000B0A52"/>
    <w:rsid w:val="000B0B6F"/>
    <w:rsid w:val="000B0DA1"/>
    <w:rsid w:val="000B0E02"/>
    <w:rsid w:val="000B10B3"/>
    <w:rsid w:val="000B1635"/>
    <w:rsid w:val="000B16B3"/>
    <w:rsid w:val="000B17DA"/>
    <w:rsid w:val="000B18B0"/>
    <w:rsid w:val="000B1946"/>
    <w:rsid w:val="000B1974"/>
    <w:rsid w:val="000B260D"/>
    <w:rsid w:val="000B27BE"/>
    <w:rsid w:val="000B27F2"/>
    <w:rsid w:val="000B32EF"/>
    <w:rsid w:val="000B3346"/>
    <w:rsid w:val="000B3A31"/>
    <w:rsid w:val="000B44F3"/>
    <w:rsid w:val="000B49A6"/>
    <w:rsid w:val="000B4A35"/>
    <w:rsid w:val="000B4D40"/>
    <w:rsid w:val="000B4DC0"/>
    <w:rsid w:val="000B4E0F"/>
    <w:rsid w:val="000B4E2C"/>
    <w:rsid w:val="000B51C7"/>
    <w:rsid w:val="000B546C"/>
    <w:rsid w:val="000B5499"/>
    <w:rsid w:val="000B5CAB"/>
    <w:rsid w:val="000B5E27"/>
    <w:rsid w:val="000B6124"/>
    <w:rsid w:val="000B62E1"/>
    <w:rsid w:val="000B649E"/>
    <w:rsid w:val="000B66A2"/>
    <w:rsid w:val="000B6784"/>
    <w:rsid w:val="000B680B"/>
    <w:rsid w:val="000B6A3F"/>
    <w:rsid w:val="000B6E17"/>
    <w:rsid w:val="000B70C9"/>
    <w:rsid w:val="000B7351"/>
    <w:rsid w:val="000B771A"/>
    <w:rsid w:val="000B7955"/>
    <w:rsid w:val="000B7E95"/>
    <w:rsid w:val="000B7FC7"/>
    <w:rsid w:val="000C070C"/>
    <w:rsid w:val="000C0A08"/>
    <w:rsid w:val="000C0A57"/>
    <w:rsid w:val="000C0E94"/>
    <w:rsid w:val="000C14B7"/>
    <w:rsid w:val="000C173A"/>
    <w:rsid w:val="000C17D3"/>
    <w:rsid w:val="000C1B5D"/>
    <w:rsid w:val="000C1CE8"/>
    <w:rsid w:val="000C2BE1"/>
    <w:rsid w:val="000C2C43"/>
    <w:rsid w:val="000C2D96"/>
    <w:rsid w:val="000C2F8B"/>
    <w:rsid w:val="000C3421"/>
    <w:rsid w:val="000C3446"/>
    <w:rsid w:val="000C345C"/>
    <w:rsid w:val="000C370A"/>
    <w:rsid w:val="000C3C6B"/>
    <w:rsid w:val="000C4633"/>
    <w:rsid w:val="000C47F5"/>
    <w:rsid w:val="000C480C"/>
    <w:rsid w:val="000C48D4"/>
    <w:rsid w:val="000C4ECE"/>
    <w:rsid w:val="000C533D"/>
    <w:rsid w:val="000C541F"/>
    <w:rsid w:val="000C54AB"/>
    <w:rsid w:val="000C555E"/>
    <w:rsid w:val="000C55A1"/>
    <w:rsid w:val="000C614B"/>
    <w:rsid w:val="000C6258"/>
    <w:rsid w:val="000C633F"/>
    <w:rsid w:val="000C68FE"/>
    <w:rsid w:val="000C6B10"/>
    <w:rsid w:val="000C6BB8"/>
    <w:rsid w:val="000C6D92"/>
    <w:rsid w:val="000C6E42"/>
    <w:rsid w:val="000C705C"/>
    <w:rsid w:val="000C727E"/>
    <w:rsid w:val="000C744C"/>
    <w:rsid w:val="000C74A6"/>
    <w:rsid w:val="000C756F"/>
    <w:rsid w:val="000C7A70"/>
    <w:rsid w:val="000C7B0F"/>
    <w:rsid w:val="000C7B25"/>
    <w:rsid w:val="000C7DCF"/>
    <w:rsid w:val="000D0204"/>
    <w:rsid w:val="000D0B5F"/>
    <w:rsid w:val="000D0B61"/>
    <w:rsid w:val="000D0D65"/>
    <w:rsid w:val="000D10B2"/>
    <w:rsid w:val="000D12B2"/>
    <w:rsid w:val="000D1B00"/>
    <w:rsid w:val="000D1C4D"/>
    <w:rsid w:val="000D1EE1"/>
    <w:rsid w:val="000D1EE6"/>
    <w:rsid w:val="000D1F0A"/>
    <w:rsid w:val="000D1F53"/>
    <w:rsid w:val="000D1F64"/>
    <w:rsid w:val="000D215D"/>
    <w:rsid w:val="000D2168"/>
    <w:rsid w:val="000D25CB"/>
    <w:rsid w:val="000D3095"/>
    <w:rsid w:val="000D31E7"/>
    <w:rsid w:val="000D365F"/>
    <w:rsid w:val="000D372D"/>
    <w:rsid w:val="000D3907"/>
    <w:rsid w:val="000D3F48"/>
    <w:rsid w:val="000D3F8E"/>
    <w:rsid w:val="000D40E4"/>
    <w:rsid w:val="000D4229"/>
    <w:rsid w:val="000D449B"/>
    <w:rsid w:val="000D4854"/>
    <w:rsid w:val="000D48E1"/>
    <w:rsid w:val="000D49D5"/>
    <w:rsid w:val="000D4B87"/>
    <w:rsid w:val="000D4C26"/>
    <w:rsid w:val="000D4CE5"/>
    <w:rsid w:val="000D4ED6"/>
    <w:rsid w:val="000D56C6"/>
    <w:rsid w:val="000D57AB"/>
    <w:rsid w:val="000D57DC"/>
    <w:rsid w:val="000D593D"/>
    <w:rsid w:val="000D5A92"/>
    <w:rsid w:val="000D5B57"/>
    <w:rsid w:val="000D5B6A"/>
    <w:rsid w:val="000D5CCE"/>
    <w:rsid w:val="000D5D55"/>
    <w:rsid w:val="000D66CA"/>
    <w:rsid w:val="000D68DD"/>
    <w:rsid w:val="000D6AA5"/>
    <w:rsid w:val="000D6F5F"/>
    <w:rsid w:val="000D7067"/>
    <w:rsid w:val="000D7376"/>
    <w:rsid w:val="000D75F9"/>
    <w:rsid w:val="000D761D"/>
    <w:rsid w:val="000D76BD"/>
    <w:rsid w:val="000D788D"/>
    <w:rsid w:val="000D7BBA"/>
    <w:rsid w:val="000E013B"/>
    <w:rsid w:val="000E016D"/>
    <w:rsid w:val="000E040F"/>
    <w:rsid w:val="000E13E6"/>
    <w:rsid w:val="000E15B0"/>
    <w:rsid w:val="000E16A0"/>
    <w:rsid w:val="000E1CD8"/>
    <w:rsid w:val="000E1F55"/>
    <w:rsid w:val="000E1F7D"/>
    <w:rsid w:val="000E1FF9"/>
    <w:rsid w:val="000E20B7"/>
    <w:rsid w:val="000E21DC"/>
    <w:rsid w:val="000E2505"/>
    <w:rsid w:val="000E25CF"/>
    <w:rsid w:val="000E2704"/>
    <w:rsid w:val="000E2809"/>
    <w:rsid w:val="000E28EB"/>
    <w:rsid w:val="000E2917"/>
    <w:rsid w:val="000E2AE8"/>
    <w:rsid w:val="000E2B36"/>
    <w:rsid w:val="000E2C2C"/>
    <w:rsid w:val="000E2F03"/>
    <w:rsid w:val="000E32B2"/>
    <w:rsid w:val="000E3570"/>
    <w:rsid w:val="000E3626"/>
    <w:rsid w:val="000E382B"/>
    <w:rsid w:val="000E38DC"/>
    <w:rsid w:val="000E3BCF"/>
    <w:rsid w:val="000E42D6"/>
    <w:rsid w:val="000E4AD0"/>
    <w:rsid w:val="000E4F59"/>
    <w:rsid w:val="000E51F1"/>
    <w:rsid w:val="000E5324"/>
    <w:rsid w:val="000E564A"/>
    <w:rsid w:val="000E5884"/>
    <w:rsid w:val="000E593E"/>
    <w:rsid w:val="000E5E03"/>
    <w:rsid w:val="000E6354"/>
    <w:rsid w:val="000E64B6"/>
    <w:rsid w:val="000E6503"/>
    <w:rsid w:val="000E6A37"/>
    <w:rsid w:val="000E6B94"/>
    <w:rsid w:val="000E6C83"/>
    <w:rsid w:val="000E7524"/>
    <w:rsid w:val="000E7597"/>
    <w:rsid w:val="000E77E3"/>
    <w:rsid w:val="000E79C7"/>
    <w:rsid w:val="000E79D8"/>
    <w:rsid w:val="000E7BA7"/>
    <w:rsid w:val="000E7C01"/>
    <w:rsid w:val="000E7EA8"/>
    <w:rsid w:val="000F007B"/>
    <w:rsid w:val="000F0158"/>
    <w:rsid w:val="000F048E"/>
    <w:rsid w:val="000F0541"/>
    <w:rsid w:val="000F0D35"/>
    <w:rsid w:val="000F0E55"/>
    <w:rsid w:val="000F0FCE"/>
    <w:rsid w:val="000F164F"/>
    <w:rsid w:val="000F1BCE"/>
    <w:rsid w:val="000F1D3B"/>
    <w:rsid w:val="000F1EDA"/>
    <w:rsid w:val="000F206A"/>
    <w:rsid w:val="000F20B4"/>
    <w:rsid w:val="000F210F"/>
    <w:rsid w:val="000F216B"/>
    <w:rsid w:val="000F2217"/>
    <w:rsid w:val="000F2629"/>
    <w:rsid w:val="000F26BC"/>
    <w:rsid w:val="000F276E"/>
    <w:rsid w:val="000F30F4"/>
    <w:rsid w:val="000F3629"/>
    <w:rsid w:val="000F378A"/>
    <w:rsid w:val="000F3CC4"/>
    <w:rsid w:val="000F3CDE"/>
    <w:rsid w:val="000F4083"/>
    <w:rsid w:val="000F4543"/>
    <w:rsid w:val="000F4F37"/>
    <w:rsid w:val="000F52D2"/>
    <w:rsid w:val="000F54C5"/>
    <w:rsid w:val="000F5653"/>
    <w:rsid w:val="000F5883"/>
    <w:rsid w:val="000F60C2"/>
    <w:rsid w:val="000F6341"/>
    <w:rsid w:val="000F66C5"/>
    <w:rsid w:val="000F69C2"/>
    <w:rsid w:val="000F6A52"/>
    <w:rsid w:val="000F6C8B"/>
    <w:rsid w:val="000F6CA2"/>
    <w:rsid w:val="000F6E1B"/>
    <w:rsid w:val="000F71A5"/>
    <w:rsid w:val="000F72B4"/>
    <w:rsid w:val="000F7302"/>
    <w:rsid w:val="000F7381"/>
    <w:rsid w:val="000F7383"/>
    <w:rsid w:val="000F75C2"/>
    <w:rsid w:val="000F78CF"/>
    <w:rsid w:val="000F791B"/>
    <w:rsid w:val="000F7C1E"/>
    <w:rsid w:val="000F7D84"/>
    <w:rsid w:val="000F7DB2"/>
    <w:rsid w:val="00100016"/>
    <w:rsid w:val="0010019E"/>
    <w:rsid w:val="001001A4"/>
    <w:rsid w:val="0010020C"/>
    <w:rsid w:val="0010031E"/>
    <w:rsid w:val="001006BF"/>
    <w:rsid w:val="00100C55"/>
    <w:rsid w:val="00100CC9"/>
    <w:rsid w:val="0010114F"/>
    <w:rsid w:val="001011BF"/>
    <w:rsid w:val="00101472"/>
    <w:rsid w:val="00101817"/>
    <w:rsid w:val="0010184C"/>
    <w:rsid w:val="00101CE7"/>
    <w:rsid w:val="00101F67"/>
    <w:rsid w:val="0010212B"/>
    <w:rsid w:val="001023B7"/>
    <w:rsid w:val="001025A7"/>
    <w:rsid w:val="00102D3B"/>
    <w:rsid w:val="00102E50"/>
    <w:rsid w:val="001033D2"/>
    <w:rsid w:val="0010356E"/>
    <w:rsid w:val="00103AE8"/>
    <w:rsid w:val="00103AFB"/>
    <w:rsid w:val="00103D61"/>
    <w:rsid w:val="00104178"/>
    <w:rsid w:val="0010448B"/>
    <w:rsid w:val="00104A99"/>
    <w:rsid w:val="00104C68"/>
    <w:rsid w:val="00104E3D"/>
    <w:rsid w:val="0010502F"/>
    <w:rsid w:val="00105315"/>
    <w:rsid w:val="0010572A"/>
    <w:rsid w:val="00105C3E"/>
    <w:rsid w:val="00105D46"/>
    <w:rsid w:val="00105D62"/>
    <w:rsid w:val="00105F32"/>
    <w:rsid w:val="00105FFE"/>
    <w:rsid w:val="00106049"/>
    <w:rsid w:val="001063B3"/>
    <w:rsid w:val="001066C5"/>
    <w:rsid w:val="0010685D"/>
    <w:rsid w:val="00106C33"/>
    <w:rsid w:val="00106EC8"/>
    <w:rsid w:val="00106F28"/>
    <w:rsid w:val="00107CB9"/>
    <w:rsid w:val="00107E27"/>
    <w:rsid w:val="00107F98"/>
    <w:rsid w:val="00107FB0"/>
    <w:rsid w:val="00110190"/>
    <w:rsid w:val="001109B2"/>
    <w:rsid w:val="00110A6A"/>
    <w:rsid w:val="0011108F"/>
    <w:rsid w:val="00111166"/>
    <w:rsid w:val="00111902"/>
    <w:rsid w:val="001119D6"/>
    <w:rsid w:val="0011266A"/>
    <w:rsid w:val="00112681"/>
    <w:rsid w:val="001128A4"/>
    <w:rsid w:val="00112911"/>
    <w:rsid w:val="001132C8"/>
    <w:rsid w:val="00113560"/>
    <w:rsid w:val="001135EB"/>
    <w:rsid w:val="001136E0"/>
    <w:rsid w:val="0011378D"/>
    <w:rsid w:val="00113AD4"/>
    <w:rsid w:val="00113C55"/>
    <w:rsid w:val="00113D6A"/>
    <w:rsid w:val="00114217"/>
    <w:rsid w:val="00114285"/>
    <w:rsid w:val="0011430D"/>
    <w:rsid w:val="00114BF3"/>
    <w:rsid w:val="00114E56"/>
    <w:rsid w:val="00114FEF"/>
    <w:rsid w:val="00115250"/>
    <w:rsid w:val="00115297"/>
    <w:rsid w:val="00115345"/>
    <w:rsid w:val="00115479"/>
    <w:rsid w:val="001154DD"/>
    <w:rsid w:val="00115657"/>
    <w:rsid w:val="001157FB"/>
    <w:rsid w:val="00115FB2"/>
    <w:rsid w:val="00116A11"/>
    <w:rsid w:val="0011706C"/>
    <w:rsid w:val="001172DA"/>
    <w:rsid w:val="001173DA"/>
    <w:rsid w:val="00117551"/>
    <w:rsid w:val="0011758F"/>
    <w:rsid w:val="00117AB6"/>
    <w:rsid w:val="00117ADB"/>
    <w:rsid w:val="00117BAE"/>
    <w:rsid w:val="00117D32"/>
    <w:rsid w:val="00117D56"/>
    <w:rsid w:val="001203C2"/>
    <w:rsid w:val="001209AD"/>
    <w:rsid w:val="00121328"/>
    <w:rsid w:val="00121624"/>
    <w:rsid w:val="00121B9A"/>
    <w:rsid w:val="00121F1C"/>
    <w:rsid w:val="001222B1"/>
    <w:rsid w:val="00122311"/>
    <w:rsid w:val="00122354"/>
    <w:rsid w:val="0012254F"/>
    <w:rsid w:val="001228C7"/>
    <w:rsid w:val="001228E9"/>
    <w:rsid w:val="00122A7D"/>
    <w:rsid w:val="00122B95"/>
    <w:rsid w:val="00122BAD"/>
    <w:rsid w:val="00122BE4"/>
    <w:rsid w:val="00122CE3"/>
    <w:rsid w:val="00122EA3"/>
    <w:rsid w:val="00122F9A"/>
    <w:rsid w:val="001230DF"/>
    <w:rsid w:val="001230E7"/>
    <w:rsid w:val="0012316B"/>
    <w:rsid w:val="001231EB"/>
    <w:rsid w:val="001236C9"/>
    <w:rsid w:val="0012398A"/>
    <w:rsid w:val="00123A0A"/>
    <w:rsid w:val="00123A8B"/>
    <w:rsid w:val="00123C5A"/>
    <w:rsid w:val="00123CE1"/>
    <w:rsid w:val="00123DA2"/>
    <w:rsid w:val="00124267"/>
    <w:rsid w:val="001242B7"/>
    <w:rsid w:val="00124905"/>
    <w:rsid w:val="00124992"/>
    <w:rsid w:val="00124AF0"/>
    <w:rsid w:val="00124CE9"/>
    <w:rsid w:val="00124DDD"/>
    <w:rsid w:val="00124E03"/>
    <w:rsid w:val="00124EC2"/>
    <w:rsid w:val="00125823"/>
    <w:rsid w:val="001258B3"/>
    <w:rsid w:val="001258D6"/>
    <w:rsid w:val="00125B37"/>
    <w:rsid w:val="00125E8F"/>
    <w:rsid w:val="00126045"/>
    <w:rsid w:val="00126493"/>
    <w:rsid w:val="00126631"/>
    <w:rsid w:val="0012675B"/>
    <w:rsid w:val="001267D6"/>
    <w:rsid w:val="00126CCB"/>
    <w:rsid w:val="00126D5C"/>
    <w:rsid w:val="00126FC0"/>
    <w:rsid w:val="00127189"/>
    <w:rsid w:val="001273CF"/>
    <w:rsid w:val="001275DD"/>
    <w:rsid w:val="001275E1"/>
    <w:rsid w:val="00127AF3"/>
    <w:rsid w:val="00127EC8"/>
    <w:rsid w:val="00130161"/>
    <w:rsid w:val="001302CE"/>
    <w:rsid w:val="0013052F"/>
    <w:rsid w:val="0013067E"/>
    <w:rsid w:val="00130ABE"/>
    <w:rsid w:val="00130AE0"/>
    <w:rsid w:val="00130EEC"/>
    <w:rsid w:val="001313C2"/>
    <w:rsid w:val="001314CA"/>
    <w:rsid w:val="001315EA"/>
    <w:rsid w:val="001318CC"/>
    <w:rsid w:val="00131987"/>
    <w:rsid w:val="00131D89"/>
    <w:rsid w:val="00131F5B"/>
    <w:rsid w:val="001321C8"/>
    <w:rsid w:val="001323A8"/>
    <w:rsid w:val="001323D1"/>
    <w:rsid w:val="001327FE"/>
    <w:rsid w:val="00132998"/>
    <w:rsid w:val="00132C2C"/>
    <w:rsid w:val="00132E55"/>
    <w:rsid w:val="001331DE"/>
    <w:rsid w:val="00133476"/>
    <w:rsid w:val="001337D7"/>
    <w:rsid w:val="00133B21"/>
    <w:rsid w:val="00133F2D"/>
    <w:rsid w:val="00134ADF"/>
    <w:rsid w:val="00134B57"/>
    <w:rsid w:val="00134DB4"/>
    <w:rsid w:val="0013522E"/>
    <w:rsid w:val="00135726"/>
    <w:rsid w:val="00135A50"/>
    <w:rsid w:val="00135ACA"/>
    <w:rsid w:val="00135BA8"/>
    <w:rsid w:val="00135BEA"/>
    <w:rsid w:val="00135CC6"/>
    <w:rsid w:val="00135D12"/>
    <w:rsid w:val="00135FE6"/>
    <w:rsid w:val="00136371"/>
    <w:rsid w:val="001366D1"/>
    <w:rsid w:val="0013684F"/>
    <w:rsid w:val="00136B58"/>
    <w:rsid w:val="00136BB3"/>
    <w:rsid w:val="00137002"/>
    <w:rsid w:val="0013738B"/>
    <w:rsid w:val="00137571"/>
    <w:rsid w:val="00137BCB"/>
    <w:rsid w:val="00137E42"/>
    <w:rsid w:val="0014022F"/>
    <w:rsid w:val="00140253"/>
    <w:rsid w:val="001409F2"/>
    <w:rsid w:val="00140E02"/>
    <w:rsid w:val="0014131F"/>
    <w:rsid w:val="001415DC"/>
    <w:rsid w:val="001416B0"/>
    <w:rsid w:val="001417C4"/>
    <w:rsid w:val="00141B61"/>
    <w:rsid w:val="00141BE2"/>
    <w:rsid w:val="00141C2D"/>
    <w:rsid w:val="001421D4"/>
    <w:rsid w:val="001422DC"/>
    <w:rsid w:val="00142383"/>
    <w:rsid w:val="00142579"/>
    <w:rsid w:val="0014269B"/>
    <w:rsid w:val="001427EF"/>
    <w:rsid w:val="001428A2"/>
    <w:rsid w:val="00142BBA"/>
    <w:rsid w:val="001432DE"/>
    <w:rsid w:val="00143304"/>
    <w:rsid w:val="00143682"/>
    <w:rsid w:val="00143B6C"/>
    <w:rsid w:val="00143C9A"/>
    <w:rsid w:val="00143D03"/>
    <w:rsid w:val="00143D81"/>
    <w:rsid w:val="00143E0F"/>
    <w:rsid w:val="00143E32"/>
    <w:rsid w:val="00143E80"/>
    <w:rsid w:val="001447BA"/>
    <w:rsid w:val="00144983"/>
    <w:rsid w:val="0014505D"/>
    <w:rsid w:val="0014515E"/>
    <w:rsid w:val="00145BB0"/>
    <w:rsid w:val="00145BB5"/>
    <w:rsid w:val="00145D9A"/>
    <w:rsid w:val="00145E5B"/>
    <w:rsid w:val="00146B2E"/>
    <w:rsid w:val="00146EF1"/>
    <w:rsid w:val="00146F9A"/>
    <w:rsid w:val="0014727B"/>
    <w:rsid w:val="00147749"/>
    <w:rsid w:val="00147965"/>
    <w:rsid w:val="00147CE8"/>
    <w:rsid w:val="00147F1D"/>
    <w:rsid w:val="001501D5"/>
    <w:rsid w:val="00150CBC"/>
    <w:rsid w:val="00150DB1"/>
    <w:rsid w:val="00151352"/>
    <w:rsid w:val="0015135F"/>
    <w:rsid w:val="001514FB"/>
    <w:rsid w:val="00151771"/>
    <w:rsid w:val="001519E8"/>
    <w:rsid w:val="00151D28"/>
    <w:rsid w:val="00151DDD"/>
    <w:rsid w:val="00151F98"/>
    <w:rsid w:val="00152AA6"/>
    <w:rsid w:val="00152B33"/>
    <w:rsid w:val="00152E00"/>
    <w:rsid w:val="00153154"/>
    <w:rsid w:val="00153362"/>
    <w:rsid w:val="001539B8"/>
    <w:rsid w:val="00153A85"/>
    <w:rsid w:val="0015417C"/>
    <w:rsid w:val="0015446A"/>
    <w:rsid w:val="00154547"/>
    <w:rsid w:val="00154AB9"/>
    <w:rsid w:val="00154BE6"/>
    <w:rsid w:val="0015539E"/>
    <w:rsid w:val="00155412"/>
    <w:rsid w:val="001559A2"/>
    <w:rsid w:val="00155B25"/>
    <w:rsid w:val="00155C8E"/>
    <w:rsid w:val="00155E23"/>
    <w:rsid w:val="00155E67"/>
    <w:rsid w:val="00155FBD"/>
    <w:rsid w:val="0015619F"/>
    <w:rsid w:val="001561B2"/>
    <w:rsid w:val="00156331"/>
    <w:rsid w:val="00156944"/>
    <w:rsid w:val="001569AC"/>
    <w:rsid w:val="00156A62"/>
    <w:rsid w:val="00156E78"/>
    <w:rsid w:val="00156E7D"/>
    <w:rsid w:val="0015700B"/>
    <w:rsid w:val="00157340"/>
    <w:rsid w:val="0015745A"/>
    <w:rsid w:val="00157736"/>
    <w:rsid w:val="001577EE"/>
    <w:rsid w:val="001578A1"/>
    <w:rsid w:val="00157D88"/>
    <w:rsid w:val="00157EE0"/>
    <w:rsid w:val="00157F28"/>
    <w:rsid w:val="00157FF6"/>
    <w:rsid w:val="001601B8"/>
    <w:rsid w:val="001604BF"/>
    <w:rsid w:val="001605FA"/>
    <w:rsid w:val="00160EB3"/>
    <w:rsid w:val="00160F2E"/>
    <w:rsid w:val="00160FC4"/>
    <w:rsid w:val="00161078"/>
    <w:rsid w:val="001610DF"/>
    <w:rsid w:val="00161111"/>
    <w:rsid w:val="00161450"/>
    <w:rsid w:val="00161E71"/>
    <w:rsid w:val="00162169"/>
    <w:rsid w:val="00162233"/>
    <w:rsid w:val="001626A3"/>
    <w:rsid w:val="001628EF"/>
    <w:rsid w:val="0016290E"/>
    <w:rsid w:val="00162925"/>
    <w:rsid w:val="00162CBB"/>
    <w:rsid w:val="00162E53"/>
    <w:rsid w:val="00162F16"/>
    <w:rsid w:val="00162FBF"/>
    <w:rsid w:val="0016306D"/>
    <w:rsid w:val="0016307B"/>
    <w:rsid w:val="001638FB"/>
    <w:rsid w:val="00164682"/>
    <w:rsid w:val="00164772"/>
    <w:rsid w:val="00164A9C"/>
    <w:rsid w:val="00164D13"/>
    <w:rsid w:val="00164F19"/>
    <w:rsid w:val="00164FE0"/>
    <w:rsid w:val="00165299"/>
    <w:rsid w:val="00165783"/>
    <w:rsid w:val="00165A8F"/>
    <w:rsid w:val="00165AAE"/>
    <w:rsid w:val="00166128"/>
    <w:rsid w:val="0016633E"/>
    <w:rsid w:val="00166678"/>
    <w:rsid w:val="00166C86"/>
    <w:rsid w:val="00166E84"/>
    <w:rsid w:val="00167657"/>
    <w:rsid w:val="001676BD"/>
    <w:rsid w:val="001678E3"/>
    <w:rsid w:val="001678F2"/>
    <w:rsid w:val="00167969"/>
    <w:rsid w:val="00167BBC"/>
    <w:rsid w:val="00167D94"/>
    <w:rsid w:val="00170681"/>
    <w:rsid w:val="001706BC"/>
    <w:rsid w:val="00170818"/>
    <w:rsid w:val="001708CF"/>
    <w:rsid w:val="001709E1"/>
    <w:rsid w:val="00170D6A"/>
    <w:rsid w:val="0017126C"/>
    <w:rsid w:val="001712D9"/>
    <w:rsid w:val="00171901"/>
    <w:rsid w:val="00171920"/>
    <w:rsid w:val="001719BF"/>
    <w:rsid w:val="001719F4"/>
    <w:rsid w:val="00171B19"/>
    <w:rsid w:val="00171C62"/>
    <w:rsid w:val="00171D4F"/>
    <w:rsid w:val="00171EC7"/>
    <w:rsid w:val="00171F9A"/>
    <w:rsid w:val="001720A0"/>
    <w:rsid w:val="0017274A"/>
    <w:rsid w:val="001728A6"/>
    <w:rsid w:val="00172CE8"/>
    <w:rsid w:val="00172D5F"/>
    <w:rsid w:val="00172D68"/>
    <w:rsid w:val="00172E9F"/>
    <w:rsid w:val="00172F25"/>
    <w:rsid w:val="00172FC2"/>
    <w:rsid w:val="001735CC"/>
    <w:rsid w:val="00173924"/>
    <w:rsid w:val="00174085"/>
    <w:rsid w:val="0017456A"/>
    <w:rsid w:val="0017464B"/>
    <w:rsid w:val="001747AB"/>
    <w:rsid w:val="001748AC"/>
    <w:rsid w:val="00174929"/>
    <w:rsid w:val="00174E43"/>
    <w:rsid w:val="00174F9B"/>
    <w:rsid w:val="0017507C"/>
    <w:rsid w:val="001752D4"/>
    <w:rsid w:val="00175308"/>
    <w:rsid w:val="00175534"/>
    <w:rsid w:val="00175654"/>
    <w:rsid w:val="00175733"/>
    <w:rsid w:val="00175A58"/>
    <w:rsid w:val="00175B37"/>
    <w:rsid w:val="00175C43"/>
    <w:rsid w:val="00175E57"/>
    <w:rsid w:val="00175F28"/>
    <w:rsid w:val="00175F3F"/>
    <w:rsid w:val="001760E0"/>
    <w:rsid w:val="001760F6"/>
    <w:rsid w:val="00176192"/>
    <w:rsid w:val="0017631A"/>
    <w:rsid w:val="00176555"/>
    <w:rsid w:val="001765BE"/>
    <w:rsid w:val="00176A51"/>
    <w:rsid w:val="00176C7C"/>
    <w:rsid w:val="00176D59"/>
    <w:rsid w:val="00176DF5"/>
    <w:rsid w:val="00177001"/>
    <w:rsid w:val="001770D6"/>
    <w:rsid w:val="001771ED"/>
    <w:rsid w:val="0017767F"/>
    <w:rsid w:val="00177C24"/>
    <w:rsid w:val="00177C52"/>
    <w:rsid w:val="00177E3D"/>
    <w:rsid w:val="00180182"/>
    <w:rsid w:val="0018020A"/>
    <w:rsid w:val="00180480"/>
    <w:rsid w:val="0018048E"/>
    <w:rsid w:val="0018057A"/>
    <w:rsid w:val="001805B6"/>
    <w:rsid w:val="001806FB"/>
    <w:rsid w:val="00180906"/>
    <w:rsid w:val="00180923"/>
    <w:rsid w:val="00180DD7"/>
    <w:rsid w:val="001813AC"/>
    <w:rsid w:val="00181575"/>
    <w:rsid w:val="00181D4C"/>
    <w:rsid w:val="00181DF4"/>
    <w:rsid w:val="00181E0B"/>
    <w:rsid w:val="001820BE"/>
    <w:rsid w:val="0018257F"/>
    <w:rsid w:val="00182670"/>
    <w:rsid w:val="00182AA4"/>
    <w:rsid w:val="00182DB5"/>
    <w:rsid w:val="001830DC"/>
    <w:rsid w:val="00183850"/>
    <w:rsid w:val="00183938"/>
    <w:rsid w:val="00183B7E"/>
    <w:rsid w:val="00183C39"/>
    <w:rsid w:val="00183EEE"/>
    <w:rsid w:val="0018433C"/>
    <w:rsid w:val="00184474"/>
    <w:rsid w:val="00184657"/>
    <w:rsid w:val="001847EC"/>
    <w:rsid w:val="0018488E"/>
    <w:rsid w:val="00184A1E"/>
    <w:rsid w:val="00184AA6"/>
    <w:rsid w:val="00184BD4"/>
    <w:rsid w:val="00184FC2"/>
    <w:rsid w:val="001850DB"/>
    <w:rsid w:val="001851F5"/>
    <w:rsid w:val="00185333"/>
    <w:rsid w:val="001853BE"/>
    <w:rsid w:val="0018540E"/>
    <w:rsid w:val="0018570F"/>
    <w:rsid w:val="00185712"/>
    <w:rsid w:val="001857D8"/>
    <w:rsid w:val="00185C67"/>
    <w:rsid w:val="00185CED"/>
    <w:rsid w:val="001863A9"/>
    <w:rsid w:val="00186503"/>
    <w:rsid w:val="00186A88"/>
    <w:rsid w:val="00186AC9"/>
    <w:rsid w:val="00186D95"/>
    <w:rsid w:val="001871C2"/>
    <w:rsid w:val="0018733C"/>
    <w:rsid w:val="00187755"/>
    <w:rsid w:val="00187E9C"/>
    <w:rsid w:val="00187EA2"/>
    <w:rsid w:val="00187FB2"/>
    <w:rsid w:val="00190024"/>
    <w:rsid w:val="001900FE"/>
    <w:rsid w:val="0019016F"/>
    <w:rsid w:val="001904EC"/>
    <w:rsid w:val="001907A0"/>
    <w:rsid w:val="0019092B"/>
    <w:rsid w:val="00190C53"/>
    <w:rsid w:val="00190FEF"/>
    <w:rsid w:val="0019102C"/>
    <w:rsid w:val="0019120E"/>
    <w:rsid w:val="00191218"/>
    <w:rsid w:val="001917C3"/>
    <w:rsid w:val="00191A33"/>
    <w:rsid w:val="00191AF7"/>
    <w:rsid w:val="00191E4E"/>
    <w:rsid w:val="0019246D"/>
    <w:rsid w:val="001926E3"/>
    <w:rsid w:val="00192832"/>
    <w:rsid w:val="00192833"/>
    <w:rsid w:val="00192891"/>
    <w:rsid w:val="00192A0F"/>
    <w:rsid w:val="00192DDA"/>
    <w:rsid w:val="0019312B"/>
    <w:rsid w:val="00193259"/>
    <w:rsid w:val="00193365"/>
    <w:rsid w:val="001934B7"/>
    <w:rsid w:val="00193814"/>
    <w:rsid w:val="00193CFC"/>
    <w:rsid w:val="00193DCB"/>
    <w:rsid w:val="00193EF4"/>
    <w:rsid w:val="00193F12"/>
    <w:rsid w:val="001940A3"/>
    <w:rsid w:val="001941D6"/>
    <w:rsid w:val="001941DA"/>
    <w:rsid w:val="00194292"/>
    <w:rsid w:val="00194505"/>
    <w:rsid w:val="00194557"/>
    <w:rsid w:val="0019470A"/>
    <w:rsid w:val="001947CB"/>
    <w:rsid w:val="001949D4"/>
    <w:rsid w:val="00194A08"/>
    <w:rsid w:val="00194A84"/>
    <w:rsid w:val="00194F11"/>
    <w:rsid w:val="00194F50"/>
    <w:rsid w:val="00194F81"/>
    <w:rsid w:val="00194F8C"/>
    <w:rsid w:val="00195120"/>
    <w:rsid w:val="00195319"/>
    <w:rsid w:val="001953ED"/>
    <w:rsid w:val="00195D11"/>
    <w:rsid w:val="0019608F"/>
    <w:rsid w:val="0019619A"/>
    <w:rsid w:val="001964B9"/>
    <w:rsid w:val="00196559"/>
    <w:rsid w:val="00196A30"/>
    <w:rsid w:val="0019724F"/>
    <w:rsid w:val="00197453"/>
    <w:rsid w:val="00197B3F"/>
    <w:rsid w:val="00197E29"/>
    <w:rsid w:val="001A0465"/>
    <w:rsid w:val="001A04F3"/>
    <w:rsid w:val="001A0AA0"/>
    <w:rsid w:val="001A0BA3"/>
    <w:rsid w:val="001A1012"/>
    <w:rsid w:val="001A12B4"/>
    <w:rsid w:val="001A140F"/>
    <w:rsid w:val="001A1A29"/>
    <w:rsid w:val="001A1DB3"/>
    <w:rsid w:val="001A2370"/>
    <w:rsid w:val="001A27CB"/>
    <w:rsid w:val="001A28CF"/>
    <w:rsid w:val="001A2926"/>
    <w:rsid w:val="001A2B52"/>
    <w:rsid w:val="001A2B7D"/>
    <w:rsid w:val="001A2C37"/>
    <w:rsid w:val="001A34E6"/>
    <w:rsid w:val="001A36FB"/>
    <w:rsid w:val="001A3A6C"/>
    <w:rsid w:val="001A3CEC"/>
    <w:rsid w:val="001A41CD"/>
    <w:rsid w:val="001A41D9"/>
    <w:rsid w:val="001A4368"/>
    <w:rsid w:val="001A4860"/>
    <w:rsid w:val="001A494F"/>
    <w:rsid w:val="001A49ED"/>
    <w:rsid w:val="001A4D98"/>
    <w:rsid w:val="001A576D"/>
    <w:rsid w:val="001A57B3"/>
    <w:rsid w:val="001A5821"/>
    <w:rsid w:val="001A5825"/>
    <w:rsid w:val="001A5CE8"/>
    <w:rsid w:val="001A5FFA"/>
    <w:rsid w:val="001A621F"/>
    <w:rsid w:val="001A67C6"/>
    <w:rsid w:val="001A6846"/>
    <w:rsid w:val="001A6B0A"/>
    <w:rsid w:val="001A7117"/>
    <w:rsid w:val="001A7296"/>
    <w:rsid w:val="001A77AA"/>
    <w:rsid w:val="001A7A75"/>
    <w:rsid w:val="001A7ECB"/>
    <w:rsid w:val="001A7FEE"/>
    <w:rsid w:val="001B065E"/>
    <w:rsid w:val="001B094C"/>
    <w:rsid w:val="001B09D0"/>
    <w:rsid w:val="001B0AEE"/>
    <w:rsid w:val="001B0DA6"/>
    <w:rsid w:val="001B0F4E"/>
    <w:rsid w:val="001B12EB"/>
    <w:rsid w:val="001B1443"/>
    <w:rsid w:val="001B160B"/>
    <w:rsid w:val="001B17A2"/>
    <w:rsid w:val="001B192B"/>
    <w:rsid w:val="001B1A0C"/>
    <w:rsid w:val="001B1B52"/>
    <w:rsid w:val="001B1CE3"/>
    <w:rsid w:val="001B1F22"/>
    <w:rsid w:val="001B23F2"/>
    <w:rsid w:val="001B24E5"/>
    <w:rsid w:val="001B279C"/>
    <w:rsid w:val="001B29EA"/>
    <w:rsid w:val="001B2D63"/>
    <w:rsid w:val="001B2EF9"/>
    <w:rsid w:val="001B3589"/>
    <w:rsid w:val="001B3F30"/>
    <w:rsid w:val="001B3F9B"/>
    <w:rsid w:val="001B3FBC"/>
    <w:rsid w:val="001B4A38"/>
    <w:rsid w:val="001B5443"/>
    <w:rsid w:val="001B56DA"/>
    <w:rsid w:val="001B595B"/>
    <w:rsid w:val="001B59A5"/>
    <w:rsid w:val="001B5A21"/>
    <w:rsid w:val="001B5F0F"/>
    <w:rsid w:val="001B6287"/>
    <w:rsid w:val="001B62B5"/>
    <w:rsid w:val="001B713A"/>
    <w:rsid w:val="001B727D"/>
    <w:rsid w:val="001B741E"/>
    <w:rsid w:val="001B7D9C"/>
    <w:rsid w:val="001B7E51"/>
    <w:rsid w:val="001C04C3"/>
    <w:rsid w:val="001C059C"/>
    <w:rsid w:val="001C0730"/>
    <w:rsid w:val="001C0CE9"/>
    <w:rsid w:val="001C165A"/>
    <w:rsid w:val="001C1E18"/>
    <w:rsid w:val="001C2296"/>
    <w:rsid w:val="001C26CD"/>
    <w:rsid w:val="001C27D4"/>
    <w:rsid w:val="001C2E89"/>
    <w:rsid w:val="001C2EE2"/>
    <w:rsid w:val="001C31CF"/>
    <w:rsid w:val="001C34A5"/>
    <w:rsid w:val="001C3C20"/>
    <w:rsid w:val="001C3F3B"/>
    <w:rsid w:val="001C400F"/>
    <w:rsid w:val="001C4034"/>
    <w:rsid w:val="001C40AD"/>
    <w:rsid w:val="001C414D"/>
    <w:rsid w:val="001C41CA"/>
    <w:rsid w:val="001C435D"/>
    <w:rsid w:val="001C49C9"/>
    <w:rsid w:val="001C4C18"/>
    <w:rsid w:val="001C4E73"/>
    <w:rsid w:val="001C5793"/>
    <w:rsid w:val="001C5802"/>
    <w:rsid w:val="001C6261"/>
    <w:rsid w:val="001C6587"/>
    <w:rsid w:val="001C66C3"/>
    <w:rsid w:val="001C6B90"/>
    <w:rsid w:val="001C6C8F"/>
    <w:rsid w:val="001C6CB7"/>
    <w:rsid w:val="001C6FDB"/>
    <w:rsid w:val="001C7088"/>
    <w:rsid w:val="001C71C4"/>
    <w:rsid w:val="001C72F5"/>
    <w:rsid w:val="001C764B"/>
    <w:rsid w:val="001C7BC7"/>
    <w:rsid w:val="001C7BC9"/>
    <w:rsid w:val="001D0182"/>
    <w:rsid w:val="001D0483"/>
    <w:rsid w:val="001D04FE"/>
    <w:rsid w:val="001D11C6"/>
    <w:rsid w:val="001D123B"/>
    <w:rsid w:val="001D12E1"/>
    <w:rsid w:val="001D15B4"/>
    <w:rsid w:val="001D1BBF"/>
    <w:rsid w:val="001D1E50"/>
    <w:rsid w:val="001D1F31"/>
    <w:rsid w:val="001D2045"/>
    <w:rsid w:val="001D25FC"/>
    <w:rsid w:val="001D2A3F"/>
    <w:rsid w:val="001D2AB1"/>
    <w:rsid w:val="001D2B2E"/>
    <w:rsid w:val="001D2EA7"/>
    <w:rsid w:val="001D2FEF"/>
    <w:rsid w:val="001D3251"/>
    <w:rsid w:val="001D32B8"/>
    <w:rsid w:val="001D3830"/>
    <w:rsid w:val="001D383F"/>
    <w:rsid w:val="001D3EA8"/>
    <w:rsid w:val="001D4056"/>
    <w:rsid w:val="001D477F"/>
    <w:rsid w:val="001D481B"/>
    <w:rsid w:val="001D5339"/>
    <w:rsid w:val="001D5624"/>
    <w:rsid w:val="001D5755"/>
    <w:rsid w:val="001D58DA"/>
    <w:rsid w:val="001D5A59"/>
    <w:rsid w:val="001D605A"/>
    <w:rsid w:val="001D60E8"/>
    <w:rsid w:val="001D6C53"/>
    <w:rsid w:val="001D73F3"/>
    <w:rsid w:val="001D7BAE"/>
    <w:rsid w:val="001D7BD3"/>
    <w:rsid w:val="001E015E"/>
    <w:rsid w:val="001E02B8"/>
    <w:rsid w:val="001E077C"/>
    <w:rsid w:val="001E0D3C"/>
    <w:rsid w:val="001E0D93"/>
    <w:rsid w:val="001E1018"/>
    <w:rsid w:val="001E1630"/>
    <w:rsid w:val="001E18A2"/>
    <w:rsid w:val="001E1F99"/>
    <w:rsid w:val="001E1FCC"/>
    <w:rsid w:val="001E238E"/>
    <w:rsid w:val="001E250E"/>
    <w:rsid w:val="001E26C4"/>
    <w:rsid w:val="001E29A0"/>
    <w:rsid w:val="001E2A7E"/>
    <w:rsid w:val="001E2B5F"/>
    <w:rsid w:val="001E2F52"/>
    <w:rsid w:val="001E2FC3"/>
    <w:rsid w:val="001E33B7"/>
    <w:rsid w:val="001E3422"/>
    <w:rsid w:val="001E34CC"/>
    <w:rsid w:val="001E367C"/>
    <w:rsid w:val="001E3F55"/>
    <w:rsid w:val="001E4150"/>
    <w:rsid w:val="001E436B"/>
    <w:rsid w:val="001E4AD4"/>
    <w:rsid w:val="001E4B6F"/>
    <w:rsid w:val="001E4CCB"/>
    <w:rsid w:val="001E502D"/>
    <w:rsid w:val="001E515A"/>
    <w:rsid w:val="001E52DF"/>
    <w:rsid w:val="001E5543"/>
    <w:rsid w:val="001E5A40"/>
    <w:rsid w:val="001E5BBA"/>
    <w:rsid w:val="001E60E3"/>
    <w:rsid w:val="001E6210"/>
    <w:rsid w:val="001E6745"/>
    <w:rsid w:val="001E691E"/>
    <w:rsid w:val="001E696C"/>
    <w:rsid w:val="001E707A"/>
    <w:rsid w:val="001E71A5"/>
    <w:rsid w:val="001E71EB"/>
    <w:rsid w:val="001E7284"/>
    <w:rsid w:val="001E7A11"/>
    <w:rsid w:val="001E7A47"/>
    <w:rsid w:val="001E7A72"/>
    <w:rsid w:val="001E7ABA"/>
    <w:rsid w:val="001E7BA8"/>
    <w:rsid w:val="001E7C32"/>
    <w:rsid w:val="001E7F20"/>
    <w:rsid w:val="001E7F8E"/>
    <w:rsid w:val="001F05BD"/>
    <w:rsid w:val="001F05C5"/>
    <w:rsid w:val="001F092F"/>
    <w:rsid w:val="001F0CE9"/>
    <w:rsid w:val="001F0D43"/>
    <w:rsid w:val="001F0ED9"/>
    <w:rsid w:val="001F0F76"/>
    <w:rsid w:val="001F1262"/>
    <w:rsid w:val="001F12A1"/>
    <w:rsid w:val="001F1592"/>
    <w:rsid w:val="001F1766"/>
    <w:rsid w:val="001F1C72"/>
    <w:rsid w:val="001F1F61"/>
    <w:rsid w:val="001F212B"/>
    <w:rsid w:val="001F35AF"/>
    <w:rsid w:val="001F35FF"/>
    <w:rsid w:val="001F3EC9"/>
    <w:rsid w:val="001F41BE"/>
    <w:rsid w:val="001F41C7"/>
    <w:rsid w:val="001F41F0"/>
    <w:rsid w:val="001F4546"/>
    <w:rsid w:val="001F4921"/>
    <w:rsid w:val="001F4D39"/>
    <w:rsid w:val="001F4E9D"/>
    <w:rsid w:val="001F503A"/>
    <w:rsid w:val="001F5580"/>
    <w:rsid w:val="001F55D1"/>
    <w:rsid w:val="001F568D"/>
    <w:rsid w:val="001F56AB"/>
    <w:rsid w:val="001F5B8B"/>
    <w:rsid w:val="001F62AA"/>
    <w:rsid w:val="001F62C5"/>
    <w:rsid w:val="001F6C9F"/>
    <w:rsid w:val="001F70C8"/>
    <w:rsid w:val="001F7171"/>
    <w:rsid w:val="001F7596"/>
    <w:rsid w:val="001F766D"/>
    <w:rsid w:val="001F76C8"/>
    <w:rsid w:val="001F7751"/>
    <w:rsid w:val="001F798F"/>
    <w:rsid w:val="001F7D02"/>
    <w:rsid w:val="001F7D5C"/>
    <w:rsid w:val="001F7DB0"/>
    <w:rsid w:val="0020019A"/>
    <w:rsid w:val="00200362"/>
    <w:rsid w:val="00200443"/>
    <w:rsid w:val="002004E8"/>
    <w:rsid w:val="00200569"/>
    <w:rsid w:val="00200917"/>
    <w:rsid w:val="00200B8F"/>
    <w:rsid w:val="00200EBA"/>
    <w:rsid w:val="00200EE7"/>
    <w:rsid w:val="00200F17"/>
    <w:rsid w:val="002012CF"/>
    <w:rsid w:val="00201433"/>
    <w:rsid w:val="002016B4"/>
    <w:rsid w:val="00201756"/>
    <w:rsid w:val="00201910"/>
    <w:rsid w:val="00201DEB"/>
    <w:rsid w:val="00201E0E"/>
    <w:rsid w:val="00202083"/>
    <w:rsid w:val="002023F3"/>
    <w:rsid w:val="0020245B"/>
    <w:rsid w:val="00202C54"/>
    <w:rsid w:val="00202EC7"/>
    <w:rsid w:val="00202F22"/>
    <w:rsid w:val="00202F27"/>
    <w:rsid w:val="0020319A"/>
    <w:rsid w:val="0020325E"/>
    <w:rsid w:val="0020347F"/>
    <w:rsid w:val="0020389A"/>
    <w:rsid w:val="002038E9"/>
    <w:rsid w:val="002038FD"/>
    <w:rsid w:val="00203A68"/>
    <w:rsid w:val="00203B2D"/>
    <w:rsid w:val="00203C71"/>
    <w:rsid w:val="00204128"/>
    <w:rsid w:val="002043D6"/>
    <w:rsid w:val="002044CA"/>
    <w:rsid w:val="00204C10"/>
    <w:rsid w:val="00204DB9"/>
    <w:rsid w:val="00205581"/>
    <w:rsid w:val="0020578B"/>
    <w:rsid w:val="00205B42"/>
    <w:rsid w:val="00205E03"/>
    <w:rsid w:val="0020617E"/>
    <w:rsid w:val="002062BF"/>
    <w:rsid w:val="00206365"/>
    <w:rsid w:val="002063A9"/>
    <w:rsid w:val="002063FA"/>
    <w:rsid w:val="002066AD"/>
    <w:rsid w:val="002067D2"/>
    <w:rsid w:val="0020698C"/>
    <w:rsid w:val="002070C1"/>
    <w:rsid w:val="002071BF"/>
    <w:rsid w:val="00207538"/>
    <w:rsid w:val="00207A21"/>
    <w:rsid w:val="00207D0E"/>
    <w:rsid w:val="00210329"/>
    <w:rsid w:val="002104F6"/>
    <w:rsid w:val="002106B6"/>
    <w:rsid w:val="0021074B"/>
    <w:rsid w:val="00210A18"/>
    <w:rsid w:val="00210B33"/>
    <w:rsid w:val="00210EB1"/>
    <w:rsid w:val="00211612"/>
    <w:rsid w:val="00211C46"/>
    <w:rsid w:val="00211C99"/>
    <w:rsid w:val="00211CA7"/>
    <w:rsid w:val="00211E25"/>
    <w:rsid w:val="00212356"/>
    <w:rsid w:val="002125A1"/>
    <w:rsid w:val="002128DD"/>
    <w:rsid w:val="00212B22"/>
    <w:rsid w:val="002130A2"/>
    <w:rsid w:val="002133E7"/>
    <w:rsid w:val="002139C3"/>
    <w:rsid w:val="00213AAB"/>
    <w:rsid w:val="00213ADC"/>
    <w:rsid w:val="0021402C"/>
    <w:rsid w:val="002142F2"/>
    <w:rsid w:val="002144FC"/>
    <w:rsid w:val="00214507"/>
    <w:rsid w:val="00214C13"/>
    <w:rsid w:val="00214CD7"/>
    <w:rsid w:val="00214E1D"/>
    <w:rsid w:val="00215507"/>
    <w:rsid w:val="0021555F"/>
    <w:rsid w:val="00215C4F"/>
    <w:rsid w:val="00215C5F"/>
    <w:rsid w:val="0021618F"/>
    <w:rsid w:val="00216A41"/>
    <w:rsid w:val="00216C9C"/>
    <w:rsid w:val="00217F0A"/>
    <w:rsid w:val="00217F20"/>
    <w:rsid w:val="0022001F"/>
    <w:rsid w:val="00220305"/>
    <w:rsid w:val="002204E3"/>
    <w:rsid w:val="00220B4D"/>
    <w:rsid w:val="00220DB0"/>
    <w:rsid w:val="00221280"/>
    <w:rsid w:val="0022167C"/>
    <w:rsid w:val="00221B97"/>
    <w:rsid w:val="00221F54"/>
    <w:rsid w:val="0022206F"/>
    <w:rsid w:val="00222309"/>
    <w:rsid w:val="0022248F"/>
    <w:rsid w:val="002224B7"/>
    <w:rsid w:val="0022269F"/>
    <w:rsid w:val="00222789"/>
    <w:rsid w:val="002228EE"/>
    <w:rsid w:val="00222F1D"/>
    <w:rsid w:val="002231E1"/>
    <w:rsid w:val="0022323B"/>
    <w:rsid w:val="0022386B"/>
    <w:rsid w:val="00223C26"/>
    <w:rsid w:val="00223FDB"/>
    <w:rsid w:val="0022401E"/>
    <w:rsid w:val="002242F6"/>
    <w:rsid w:val="00224583"/>
    <w:rsid w:val="00224682"/>
    <w:rsid w:val="002249BE"/>
    <w:rsid w:val="00224A4F"/>
    <w:rsid w:val="00224D37"/>
    <w:rsid w:val="00224D8B"/>
    <w:rsid w:val="00224EAF"/>
    <w:rsid w:val="00225079"/>
    <w:rsid w:val="00225234"/>
    <w:rsid w:val="002255D9"/>
    <w:rsid w:val="002258BC"/>
    <w:rsid w:val="002258EA"/>
    <w:rsid w:val="002261BC"/>
    <w:rsid w:val="00226713"/>
    <w:rsid w:val="002267C5"/>
    <w:rsid w:val="002267DB"/>
    <w:rsid w:val="002269B0"/>
    <w:rsid w:val="00226A5A"/>
    <w:rsid w:val="002276F6"/>
    <w:rsid w:val="0022794D"/>
    <w:rsid w:val="00227B34"/>
    <w:rsid w:val="00227C85"/>
    <w:rsid w:val="00227FB8"/>
    <w:rsid w:val="002302A0"/>
    <w:rsid w:val="002302BA"/>
    <w:rsid w:val="002303A7"/>
    <w:rsid w:val="00230683"/>
    <w:rsid w:val="00230745"/>
    <w:rsid w:val="00230A33"/>
    <w:rsid w:val="00230A4E"/>
    <w:rsid w:val="00230A66"/>
    <w:rsid w:val="00230F54"/>
    <w:rsid w:val="002310C9"/>
    <w:rsid w:val="002315BE"/>
    <w:rsid w:val="002317D8"/>
    <w:rsid w:val="00231B40"/>
    <w:rsid w:val="00231EB0"/>
    <w:rsid w:val="002326DF"/>
    <w:rsid w:val="00232D8D"/>
    <w:rsid w:val="00233413"/>
    <w:rsid w:val="002338A8"/>
    <w:rsid w:val="002339A9"/>
    <w:rsid w:val="00233C5D"/>
    <w:rsid w:val="00233DDC"/>
    <w:rsid w:val="00234325"/>
    <w:rsid w:val="002347AA"/>
    <w:rsid w:val="00234A8A"/>
    <w:rsid w:val="00234C30"/>
    <w:rsid w:val="00234CB9"/>
    <w:rsid w:val="00235521"/>
    <w:rsid w:val="00235558"/>
    <w:rsid w:val="00235802"/>
    <w:rsid w:val="00235945"/>
    <w:rsid w:val="002359E3"/>
    <w:rsid w:val="00235B66"/>
    <w:rsid w:val="00235C54"/>
    <w:rsid w:val="00235E83"/>
    <w:rsid w:val="00235ED8"/>
    <w:rsid w:val="00236767"/>
    <w:rsid w:val="00236886"/>
    <w:rsid w:val="00236A91"/>
    <w:rsid w:val="00236DD5"/>
    <w:rsid w:val="00237602"/>
    <w:rsid w:val="00237711"/>
    <w:rsid w:val="0023776E"/>
    <w:rsid w:val="002379E7"/>
    <w:rsid w:val="00237C33"/>
    <w:rsid w:val="00237D2B"/>
    <w:rsid w:val="00237FDF"/>
    <w:rsid w:val="00237FED"/>
    <w:rsid w:val="0024012C"/>
    <w:rsid w:val="002401B5"/>
    <w:rsid w:val="0024024C"/>
    <w:rsid w:val="0024073A"/>
    <w:rsid w:val="00240B3F"/>
    <w:rsid w:val="00240B84"/>
    <w:rsid w:val="002411BA"/>
    <w:rsid w:val="00241311"/>
    <w:rsid w:val="002413E3"/>
    <w:rsid w:val="002416F4"/>
    <w:rsid w:val="002417F3"/>
    <w:rsid w:val="002418AD"/>
    <w:rsid w:val="00241E8F"/>
    <w:rsid w:val="002420A0"/>
    <w:rsid w:val="00242502"/>
    <w:rsid w:val="0024294C"/>
    <w:rsid w:val="00242998"/>
    <w:rsid w:val="00242ABF"/>
    <w:rsid w:val="00242B5A"/>
    <w:rsid w:val="00242D5B"/>
    <w:rsid w:val="00242E83"/>
    <w:rsid w:val="0024322E"/>
    <w:rsid w:val="00243674"/>
    <w:rsid w:val="002437AD"/>
    <w:rsid w:val="0024392F"/>
    <w:rsid w:val="00243ADA"/>
    <w:rsid w:val="00243E11"/>
    <w:rsid w:val="00244482"/>
    <w:rsid w:val="002447B0"/>
    <w:rsid w:val="002448A4"/>
    <w:rsid w:val="00244930"/>
    <w:rsid w:val="00244971"/>
    <w:rsid w:val="002449E9"/>
    <w:rsid w:val="00244BF3"/>
    <w:rsid w:val="00244FE3"/>
    <w:rsid w:val="00245090"/>
    <w:rsid w:val="002450A4"/>
    <w:rsid w:val="00245320"/>
    <w:rsid w:val="0024557B"/>
    <w:rsid w:val="00245641"/>
    <w:rsid w:val="0024571A"/>
    <w:rsid w:val="00245D16"/>
    <w:rsid w:val="00245E02"/>
    <w:rsid w:val="00245EEC"/>
    <w:rsid w:val="00245FD6"/>
    <w:rsid w:val="002460B8"/>
    <w:rsid w:val="002462BC"/>
    <w:rsid w:val="00246524"/>
    <w:rsid w:val="00246C45"/>
    <w:rsid w:val="00246DCE"/>
    <w:rsid w:val="00246F81"/>
    <w:rsid w:val="00247147"/>
    <w:rsid w:val="0024742C"/>
    <w:rsid w:val="00247456"/>
    <w:rsid w:val="00247D7D"/>
    <w:rsid w:val="002504A8"/>
    <w:rsid w:val="002505B6"/>
    <w:rsid w:val="00250E26"/>
    <w:rsid w:val="00250FF3"/>
    <w:rsid w:val="002511B9"/>
    <w:rsid w:val="002515AC"/>
    <w:rsid w:val="00251681"/>
    <w:rsid w:val="00251717"/>
    <w:rsid w:val="002518F4"/>
    <w:rsid w:val="00251BD2"/>
    <w:rsid w:val="00251D36"/>
    <w:rsid w:val="00251DC3"/>
    <w:rsid w:val="00251DD8"/>
    <w:rsid w:val="0025214F"/>
    <w:rsid w:val="0025221C"/>
    <w:rsid w:val="0025250C"/>
    <w:rsid w:val="00252543"/>
    <w:rsid w:val="002527D8"/>
    <w:rsid w:val="00252BDA"/>
    <w:rsid w:val="00252ED3"/>
    <w:rsid w:val="0025339A"/>
    <w:rsid w:val="0025350D"/>
    <w:rsid w:val="00253C5C"/>
    <w:rsid w:val="00253F4A"/>
    <w:rsid w:val="002541C0"/>
    <w:rsid w:val="00254523"/>
    <w:rsid w:val="0025465E"/>
    <w:rsid w:val="00254764"/>
    <w:rsid w:val="00254B18"/>
    <w:rsid w:val="00254B98"/>
    <w:rsid w:val="00254D72"/>
    <w:rsid w:val="00254D80"/>
    <w:rsid w:val="00254E12"/>
    <w:rsid w:val="002554AD"/>
    <w:rsid w:val="00255800"/>
    <w:rsid w:val="002558E6"/>
    <w:rsid w:val="00255DFE"/>
    <w:rsid w:val="00256360"/>
    <w:rsid w:val="002564B3"/>
    <w:rsid w:val="00256520"/>
    <w:rsid w:val="00256C48"/>
    <w:rsid w:val="00256EC4"/>
    <w:rsid w:val="00256F64"/>
    <w:rsid w:val="00257086"/>
    <w:rsid w:val="00257172"/>
    <w:rsid w:val="0025719F"/>
    <w:rsid w:val="002574FF"/>
    <w:rsid w:val="00260071"/>
    <w:rsid w:val="00260195"/>
    <w:rsid w:val="0026021C"/>
    <w:rsid w:val="00260252"/>
    <w:rsid w:val="002607AC"/>
    <w:rsid w:val="00260E5D"/>
    <w:rsid w:val="00261065"/>
    <w:rsid w:val="002610EC"/>
    <w:rsid w:val="0026116A"/>
    <w:rsid w:val="00261190"/>
    <w:rsid w:val="002612F5"/>
    <w:rsid w:val="0026132D"/>
    <w:rsid w:val="002614A8"/>
    <w:rsid w:val="00261713"/>
    <w:rsid w:val="00261BB3"/>
    <w:rsid w:val="00261C74"/>
    <w:rsid w:val="0026242A"/>
    <w:rsid w:val="00262808"/>
    <w:rsid w:val="00262862"/>
    <w:rsid w:val="00262C0F"/>
    <w:rsid w:val="00262CD3"/>
    <w:rsid w:val="00262DFA"/>
    <w:rsid w:val="00262F81"/>
    <w:rsid w:val="0026319D"/>
    <w:rsid w:val="00263736"/>
    <w:rsid w:val="00263B1B"/>
    <w:rsid w:val="00263B88"/>
    <w:rsid w:val="00263C83"/>
    <w:rsid w:val="00263DC0"/>
    <w:rsid w:val="00263FCA"/>
    <w:rsid w:val="0026417B"/>
    <w:rsid w:val="002642DE"/>
    <w:rsid w:val="00264A64"/>
    <w:rsid w:val="00264EF0"/>
    <w:rsid w:val="00265300"/>
    <w:rsid w:val="00265857"/>
    <w:rsid w:val="002658E5"/>
    <w:rsid w:val="00265914"/>
    <w:rsid w:val="00265DAA"/>
    <w:rsid w:val="002660B4"/>
    <w:rsid w:val="00266531"/>
    <w:rsid w:val="00267048"/>
    <w:rsid w:val="00267A40"/>
    <w:rsid w:val="00267E3F"/>
    <w:rsid w:val="00270019"/>
    <w:rsid w:val="0027001C"/>
    <w:rsid w:val="00270066"/>
    <w:rsid w:val="00270A85"/>
    <w:rsid w:val="00270B98"/>
    <w:rsid w:val="00270D52"/>
    <w:rsid w:val="00270DD3"/>
    <w:rsid w:val="00270FE8"/>
    <w:rsid w:val="00271016"/>
    <w:rsid w:val="002714E5"/>
    <w:rsid w:val="0027166A"/>
    <w:rsid w:val="00271866"/>
    <w:rsid w:val="00271A4A"/>
    <w:rsid w:val="00271ABD"/>
    <w:rsid w:val="00271B93"/>
    <w:rsid w:val="00271C6D"/>
    <w:rsid w:val="00272069"/>
    <w:rsid w:val="002726BE"/>
    <w:rsid w:val="0027283D"/>
    <w:rsid w:val="00272950"/>
    <w:rsid w:val="00272BCE"/>
    <w:rsid w:val="00273396"/>
    <w:rsid w:val="002734FE"/>
    <w:rsid w:val="00273794"/>
    <w:rsid w:val="0027385F"/>
    <w:rsid w:val="00273AB4"/>
    <w:rsid w:val="00273B84"/>
    <w:rsid w:val="00273C29"/>
    <w:rsid w:val="00273D09"/>
    <w:rsid w:val="00274030"/>
    <w:rsid w:val="00274394"/>
    <w:rsid w:val="00274615"/>
    <w:rsid w:val="00274C7A"/>
    <w:rsid w:val="00274E82"/>
    <w:rsid w:val="0027501D"/>
    <w:rsid w:val="002750E0"/>
    <w:rsid w:val="0027524F"/>
    <w:rsid w:val="002753A7"/>
    <w:rsid w:val="00275919"/>
    <w:rsid w:val="0027608E"/>
    <w:rsid w:val="00276175"/>
    <w:rsid w:val="002767DB"/>
    <w:rsid w:val="00276845"/>
    <w:rsid w:val="002769A2"/>
    <w:rsid w:val="00276C1B"/>
    <w:rsid w:val="00276F1F"/>
    <w:rsid w:val="00276FEE"/>
    <w:rsid w:val="002771F6"/>
    <w:rsid w:val="002772A0"/>
    <w:rsid w:val="0027763E"/>
    <w:rsid w:val="0027795B"/>
    <w:rsid w:val="00277A36"/>
    <w:rsid w:val="002801A9"/>
    <w:rsid w:val="0028059A"/>
    <w:rsid w:val="0028072D"/>
    <w:rsid w:val="00280776"/>
    <w:rsid w:val="00280B39"/>
    <w:rsid w:val="00280B83"/>
    <w:rsid w:val="0028135C"/>
    <w:rsid w:val="00281B1A"/>
    <w:rsid w:val="00281C94"/>
    <w:rsid w:val="00281EBD"/>
    <w:rsid w:val="00281FE3"/>
    <w:rsid w:val="002821BE"/>
    <w:rsid w:val="002821F2"/>
    <w:rsid w:val="0028224F"/>
    <w:rsid w:val="002826A4"/>
    <w:rsid w:val="00282841"/>
    <w:rsid w:val="00283092"/>
    <w:rsid w:val="002831AD"/>
    <w:rsid w:val="00283286"/>
    <w:rsid w:val="00283529"/>
    <w:rsid w:val="00283533"/>
    <w:rsid w:val="002835CE"/>
    <w:rsid w:val="0028362D"/>
    <w:rsid w:val="00283790"/>
    <w:rsid w:val="00283A77"/>
    <w:rsid w:val="00283D9E"/>
    <w:rsid w:val="00283F98"/>
    <w:rsid w:val="002840E9"/>
    <w:rsid w:val="00284AA4"/>
    <w:rsid w:val="00284B40"/>
    <w:rsid w:val="00284BF3"/>
    <w:rsid w:val="00284CBD"/>
    <w:rsid w:val="00284D35"/>
    <w:rsid w:val="00284FA0"/>
    <w:rsid w:val="002852B9"/>
    <w:rsid w:val="002852E2"/>
    <w:rsid w:val="00285605"/>
    <w:rsid w:val="0028560B"/>
    <w:rsid w:val="002858C0"/>
    <w:rsid w:val="00285A38"/>
    <w:rsid w:val="00285BF3"/>
    <w:rsid w:val="00285D5F"/>
    <w:rsid w:val="00286268"/>
    <w:rsid w:val="00286724"/>
    <w:rsid w:val="00286C33"/>
    <w:rsid w:val="00286DBF"/>
    <w:rsid w:val="00286FF5"/>
    <w:rsid w:val="002872E6"/>
    <w:rsid w:val="00287CD3"/>
    <w:rsid w:val="00287E51"/>
    <w:rsid w:val="00290327"/>
    <w:rsid w:val="0029034B"/>
    <w:rsid w:val="002904D0"/>
    <w:rsid w:val="00290EF3"/>
    <w:rsid w:val="00291012"/>
    <w:rsid w:val="00291191"/>
    <w:rsid w:val="00291258"/>
    <w:rsid w:val="00291473"/>
    <w:rsid w:val="00291B32"/>
    <w:rsid w:val="0029212E"/>
    <w:rsid w:val="00292181"/>
    <w:rsid w:val="00292199"/>
    <w:rsid w:val="00292512"/>
    <w:rsid w:val="00292569"/>
    <w:rsid w:val="00292AE3"/>
    <w:rsid w:val="00292B12"/>
    <w:rsid w:val="00292C5D"/>
    <w:rsid w:val="00292F14"/>
    <w:rsid w:val="00293038"/>
    <w:rsid w:val="002932D3"/>
    <w:rsid w:val="002934C4"/>
    <w:rsid w:val="0029363C"/>
    <w:rsid w:val="00293C29"/>
    <w:rsid w:val="00293CC2"/>
    <w:rsid w:val="00293DB2"/>
    <w:rsid w:val="002942C2"/>
    <w:rsid w:val="002943CF"/>
    <w:rsid w:val="0029461C"/>
    <w:rsid w:val="002947AE"/>
    <w:rsid w:val="00294E6C"/>
    <w:rsid w:val="00295192"/>
    <w:rsid w:val="00295441"/>
    <w:rsid w:val="00295774"/>
    <w:rsid w:val="0029588F"/>
    <w:rsid w:val="00295B99"/>
    <w:rsid w:val="00295C9C"/>
    <w:rsid w:val="00295D14"/>
    <w:rsid w:val="00295F62"/>
    <w:rsid w:val="00295FB4"/>
    <w:rsid w:val="00295FF6"/>
    <w:rsid w:val="0029625A"/>
    <w:rsid w:val="00296581"/>
    <w:rsid w:val="002965D2"/>
    <w:rsid w:val="00296EF8"/>
    <w:rsid w:val="002971AB"/>
    <w:rsid w:val="002971E8"/>
    <w:rsid w:val="002972B0"/>
    <w:rsid w:val="00297334"/>
    <w:rsid w:val="002973F1"/>
    <w:rsid w:val="00297778"/>
    <w:rsid w:val="00297AB7"/>
    <w:rsid w:val="00297BC8"/>
    <w:rsid w:val="00297FB4"/>
    <w:rsid w:val="002A043E"/>
    <w:rsid w:val="002A04C4"/>
    <w:rsid w:val="002A061E"/>
    <w:rsid w:val="002A07FA"/>
    <w:rsid w:val="002A08AE"/>
    <w:rsid w:val="002A0A02"/>
    <w:rsid w:val="002A0A8D"/>
    <w:rsid w:val="002A0EFE"/>
    <w:rsid w:val="002A1039"/>
    <w:rsid w:val="002A1161"/>
    <w:rsid w:val="002A13A3"/>
    <w:rsid w:val="002A1676"/>
    <w:rsid w:val="002A18CB"/>
    <w:rsid w:val="002A1D32"/>
    <w:rsid w:val="002A257C"/>
    <w:rsid w:val="002A274B"/>
    <w:rsid w:val="002A2BDC"/>
    <w:rsid w:val="002A2ED5"/>
    <w:rsid w:val="002A3157"/>
    <w:rsid w:val="002A3843"/>
    <w:rsid w:val="002A38A1"/>
    <w:rsid w:val="002A3982"/>
    <w:rsid w:val="002A3A4F"/>
    <w:rsid w:val="002A3B93"/>
    <w:rsid w:val="002A3F46"/>
    <w:rsid w:val="002A3F65"/>
    <w:rsid w:val="002A4290"/>
    <w:rsid w:val="002A4851"/>
    <w:rsid w:val="002A4B33"/>
    <w:rsid w:val="002A4C13"/>
    <w:rsid w:val="002A4D1C"/>
    <w:rsid w:val="002A4E75"/>
    <w:rsid w:val="002A5030"/>
    <w:rsid w:val="002A5159"/>
    <w:rsid w:val="002A51A0"/>
    <w:rsid w:val="002A5394"/>
    <w:rsid w:val="002A590B"/>
    <w:rsid w:val="002A5D1F"/>
    <w:rsid w:val="002A5E00"/>
    <w:rsid w:val="002A62BC"/>
    <w:rsid w:val="002A62C2"/>
    <w:rsid w:val="002A6757"/>
    <w:rsid w:val="002A68F5"/>
    <w:rsid w:val="002A6B34"/>
    <w:rsid w:val="002A6BC4"/>
    <w:rsid w:val="002A6F15"/>
    <w:rsid w:val="002A7043"/>
    <w:rsid w:val="002A724E"/>
    <w:rsid w:val="002A744A"/>
    <w:rsid w:val="002A765A"/>
    <w:rsid w:val="002A78CF"/>
    <w:rsid w:val="002A79B9"/>
    <w:rsid w:val="002A7B8D"/>
    <w:rsid w:val="002A7E10"/>
    <w:rsid w:val="002A7F54"/>
    <w:rsid w:val="002B008D"/>
    <w:rsid w:val="002B0095"/>
    <w:rsid w:val="002B03AD"/>
    <w:rsid w:val="002B055F"/>
    <w:rsid w:val="002B05F7"/>
    <w:rsid w:val="002B07F3"/>
    <w:rsid w:val="002B087A"/>
    <w:rsid w:val="002B0A6E"/>
    <w:rsid w:val="002B0B39"/>
    <w:rsid w:val="002B0B8A"/>
    <w:rsid w:val="002B1124"/>
    <w:rsid w:val="002B122D"/>
    <w:rsid w:val="002B1344"/>
    <w:rsid w:val="002B1712"/>
    <w:rsid w:val="002B1937"/>
    <w:rsid w:val="002B216D"/>
    <w:rsid w:val="002B23B2"/>
    <w:rsid w:val="002B26AB"/>
    <w:rsid w:val="002B26C2"/>
    <w:rsid w:val="002B2818"/>
    <w:rsid w:val="002B2B67"/>
    <w:rsid w:val="002B2C21"/>
    <w:rsid w:val="002B2C39"/>
    <w:rsid w:val="002B2CAF"/>
    <w:rsid w:val="002B2D13"/>
    <w:rsid w:val="002B2D84"/>
    <w:rsid w:val="002B2E87"/>
    <w:rsid w:val="002B3044"/>
    <w:rsid w:val="002B309A"/>
    <w:rsid w:val="002B3142"/>
    <w:rsid w:val="002B31AE"/>
    <w:rsid w:val="002B36D4"/>
    <w:rsid w:val="002B3801"/>
    <w:rsid w:val="002B3D32"/>
    <w:rsid w:val="002B414A"/>
    <w:rsid w:val="002B42D1"/>
    <w:rsid w:val="002B4579"/>
    <w:rsid w:val="002B457C"/>
    <w:rsid w:val="002B4A81"/>
    <w:rsid w:val="002B4CD8"/>
    <w:rsid w:val="002B4E99"/>
    <w:rsid w:val="002B4FC1"/>
    <w:rsid w:val="002B5215"/>
    <w:rsid w:val="002B58C9"/>
    <w:rsid w:val="002B59D7"/>
    <w:rsid w:val="002B5B5F"/>
    <w:rsid w:val="002B5C00"/>
    <w:rsid w:val="002B5C5D"/>
    <w:rsid w:val="002B5E12"/>
    <w:rsid w:val="002B5E5B"/>
    <w:rsid w:val="002B5EAA"/>
    <w:rsid w:val="002B5FDF"/>
    <w:rsid w:val="002B60EE"/>
    <w:rsid w:val="002B641D"/>
    <w:rsid w:val="002B642B"/>
    <w:rsid w:val="002B6781"/>
    <w:rsid w:val="002B6CCD"/>
    <w:rsid w:val="002B732C"/>
    <w:rsid w:val="002B74DE"/>
    <w:rsid w:val="002B753C"/>
    <w:rsid w:val="002B7586"/>
    <w:rsid w:val="002B76BC"/>
    <w:rsid w:val="002B7761"/>
    <w:rsid w:val="002B77E9"/>
    <w:rsid w:val="002B7CC0"/>
    <w:rsid w:val="002B7D58"/>
    <w:rsid w:val="002C022D"/>
    <w:rsid w:val="002C078A"/>
    <w:rsid w:val="002C0A9A"/>
    <w:rsid w:val="002C0DF2"/>
    <w:rsid w:val="002C0FF5"/>
    <w:rsid w:val="002C1827"/>
    <w:rsid w:val="002C1957"/>
    <w:rsid w:val="002C1D0D"/>
    <w:rsid w:val="002C1D79"/>
    <w:rsid w:val="002C1FFE"/>
    <w:rsid w:val="002C262B"/>
    <w:rsid w:val="002C2724"/>
    <w:rsid w:val="002C2ECE"/>
    <w:rsid w:val="002C2F2A"/>
    <w:rsid w:val="002C30AC"/>
    <w:rsid w:val="002C370A"/>
    <w:rsid w:val="002C3980"/>
    <w:rsid w:val="002C39B8"/>
    <w:rsid w:val="002C39D8"/>
    <w:rsid w:val="002C3D74"/>
    <w:rsid w:val="002C3E0C"/>
    <w:rsid w:val="002C3EFC"/>
    <w:rsid w:val="002C4097"/>
    <w:rsid w:val="002C4484"/>
    <w:rsid w:val="002C4862"/>
    <w:rsid w:val="002C49CF"/>
    <w:rsid w:val="002C4A44"/>
    <w:rsid w:val="002C4E75"/>
    <w:rsid w:val="002C4E7E"/>
    <w:rsid w:val="002C4FC9"/>
    <w:rsid w:val="002C501C"/>
    <w:rsid w:val="002C5106"/>
    <w:rsid w:val="002C5602"/>
    <w:rsid w:val="002C5741"/>
    <w:rsid w:val="002C575B"/>
    <w:rsid w:val="002C5A00"/>
    <w:rsid w:val="002C5DB1"/>
    <w:rsid w:val="002C5E77"/>
    <w:rsid w:val="002C6227"/>
    <w:rsid w:val="002C6239"/>
    <w:rsid w:val="002C6546"/>
    <w:rsid w:val="002C6F57"/>
    <w:rsid w:val="002C733C"/>
    <w:rsid w:val="002C7344"/>
    <w:rsid w:val="002C73C7"/>
    <w:rsid w:val="002C77D5"/>
    <w:rsid w:val="002C7A3B"/>
    <w:rsid w:val="002C7B3E"/>
    <w:rsid w:val="002C7D53"/>
    <w:rsid w:val="002D00E7"/>
    <w:rsid w:val="002D058A"/>
    <w:rsid w:val="002D0A64"/>
    <w:rsid w:val="002D0DD7"/>
    <w:rsid w:val="002D155D"/>
    <w:rsid w:val="002D1A3B"/>
    <w:rsid w:val="002D1AC8"/>
    <w:rsid w:val="002D1C3C"/>
    <w:rsid w:val="002D2287"/>
    <w:rsid w:val="002D262A"/>
    <w:rsid w:val="002D28EB"/>
    <w:rsid w:val="002D2CA9"/>
    <w:rsid w:val="002D2DC4"/>
    <w:rsid w:val="002D2F0E"/>
    <w:rsid w:val="002D30A5"/>
    <w:rsid w:val="002D3530"/>
    <w:rsid w:val="002D35D0"/>
    <w:rsid w:val="002D36F9"/>
    <w:rsid w:val="002D3976"/>
    <w:rsid w:val="002D3BD7"/>
    <w:rsid w:val="002D4038"/>
    <w:rsid w:val="002D4494"/>
    <w:rsid w:val="002D471F"/>
    <w:rsid w:val="002D474B"/>
    <w:rsid w:val="002D4809"/>
    <w:rsid w:val="002D4845"/>
    <w:rsid w:val="002D4A48"/>
    <w:rsid w:val="002D5331"/>
    <w:rsid w:val="002D534C"/>
    <w:rsid w:val="002D58ED"/>
    <w:rsid w:val="002D5C2B"/>
    <w:rsid w:val="002D5F8B"/>
    <w:rsid w:val="002D60BE"/>
    <w:rsid w:val="002D65CC"/>
    <w:rsid w:val="002D66BE"/>
    <w:rsid w:val="002D6799"/>
    <w:rsid w:val="002D691A"/>
    <w:rsid w:val="002D6C3C"/>
    <w:rsid w:val="002D6E4C"/>
    <w:rsid w:val="002D6F06"/>
    <w:rsid w:val="002D72BC"/>
    <w:rsid w:val="002D792F"/>
    <w:rsid w:val="002D7E6B"/>
    <w:rsid w:val="002E0DC1"/>
    <w:rsid w:val="002E0F26"/>
    <w:rsid w:val="002E186E"/>
    <w:rsid w:val="002E1BFD"/>
    <w:rsid w:val="002E1EDC"/>
    <w:rsid w:val="002E1FC1"/>
    <w:rsid w:val="002E2154"/>
    <w:rsid w:val="002E21A8"/>
    <w:rsid w:val="002E2967"/>
    <w:rsid w:val="002E2C04"/>
    <w:rsid w:val="002E2DF6"/>
    <w:rsid w:val="002E2DFB"/>
    <w:rsid w:val="002E3636"/>
    <w:rsid w:val="002E3695"/>
    <w:rsid w:val="002E3A83"/>
    <w:rsid w:val="002E3B53"/>
    <w:rsid w:val="002E3E13"/>
    <w:rsid w:val="002E3E37"/>
    <w:rsid w:val="002E4012"/>
    <w:rsid w:val="002E46B5"/>
    <w:rsid w:val="002E46E0"/>
    <w:rsid w:val="002E4C7D"/>
    <w:rsid w:val="002E4E80"/>
    <w:rsid w:val="002E4F17"/>
    <w:rsid w:val="002E51AE"/>
    <w:rsid w:val="002E5213"/>
    <w:rsid w:val="002E53B6"/>
    <w:rsid w:val="002E5594"/>
    <w:rsid w:val="002E55C7"/>
    <w:rsid w:val="002E571B"/>
    <w:rsid w:val="002E59D4"/>
    <w:rsid w:val="002E5AAF"/>
    <w:rsid w:val="002E5C33"/>
    <w:rsid w:val="002E61F6"/>
    <w:rsid w:val="002E62E4"/>
    <w:rsid w:val="002E661B"/>
    <w:rsid w:val="002E664A"/>
    <w:rsid w:val="002E6A67"/>
    <w:rsid w:val="002E6B73"/>
    <w:rsid w:val="002E6D95"/>
    <w:rsid w:val="002E6E72"/>
    <w:rsid w:val="002E6EA5"/>
    <w:rsid w:val="002E72A7"/>
    <w:rsid w:val="002E79B6"/>
    <w:rsid w:val="002E7D93"/>
    <w:rsid w:val="002E7F0A"/>
    <w:rsid w:val="002F03A4"/>
    <w:rsid w:val="002F0428"/>
    <w:rsid w:val="002F06F1"/>
    <w:rsid w:val="002F0782"/>
    <w:rsid w:val="002F0959"/>
    <w:rsid w:val="002F0A17"/>
    <w:rsid w:val="002F0B69"/>
    <w:rsid w:val="002F0E46"/>
    <w:rsid w:val="002F106D"/>
    <w:rsid w:val="002F11ED"/>
    <w:rsid w:val="002F1BB6"/>
    <w:rsid w:val="002F1BFE"/>
    <w:rsid w:val="002F1C25"/>
    <w:rsid w:val="002F1CD6"/>
    <w:rsid w:val="002F1D20"/>
    <w:rsid w:val="002F1DE7"/>
    <w:rsid w:val="002F217C"/>
    <w:rsid w:val="002F2299"/>
    <w:rsid w:val="002F240B"/>
    <w:rsid w:val="002F257B"/>
    <w:rsid w:val="002F2933"/>
    <w:rsid w:val="002F3184"/>
    <w:rsid w:val="002F3429"/>
    <w:rsid w:val="002F3990"/>
    <w:rsid w:val="002F3AF0"/>
    <w:rsid w:val="002F3DD3"/>
    <w:rsid w:val="002F3E02"/>
    <w:rsid w:val="002F3E12"/>
    <w:rsid w:val="002F3FA2"/>
    <w:rsid w:val="002F41A7"/>
    <w:rsid w:val="002F44CE"/>
    <w:rsid w:val="002F481F"/>
    <w:rsid w:val="002F4BE4"/>
    <w:rsid w:val="002F4E6A"/>
    <w:rsid w:val="002F5346"/>
    <w:rsid w:val="002F546F"/>
    <w:rsid w:val="002F558B"/>
    <w:rsid w:val="002F5AE6"/>
    <w:rsid w:val="002F5B83"/>
    <w:rsid w:val="002F5D90"/>
    <w:rsid w:val="002F63F6"/>
    <w:rsid w:val="002F64E4"/>
    <w:rsid w:val="002F6A1F"/>
    <w:rsid w:val="002F6A9C"/>
    <w:rsid w:val="002F6CD4"/>
    <w:rsid w:val="002F6D0E"/>
    <w:rsid w:val="002F7077"/>
    <w:rsid w:val="002F7224"/>
    <w:rsid w:val="002F74D6"/>
    <w:rsid w:val="002F7600"/>
    <w:rsid w:val="002F763B"/>
    <w:rsid w:val="002F780A"/>
    <w:rsid w:val="002F7D19"/>
    <w:rsid w:val="002F7E39"/>
    <w:rsid w:val="003000AE"/>
    <w:rsid w:val="00300623"/>
    <w:rsid w:val="00300C56"/>
    <w:rsid w:val="00300D12"/>
    <w:rsid w:val="003010AD"/>
    <w:rsid w:val="003011FD"/>
    <w:rsid w:val="003020D9"/>
    <w:rsid w:val="003024E7"/>
    <w:rsid w:val="00302544"/>
    <w:rsid w:val="00302677"/>
    <w:rsid w:val="003026CA"/>
    <w:rsid w:val="00302753"/>
    <w:rsid w:val="00302D7F"/>
    <w:rsid w:val="00303026"/>
    <w:rsid w:val="00303352"/>
    <w:rsid w:val="0030365D"/>
    <w:rsid w:val="00303AC6"/>
    <w:rsid w:val="00303C50"/>
    <w:rsid w:val="00303D5A"/>
    <w:rsid w:val="00303DFF"/>
    <w:rsid w:val="00303F1C"/>
    <w:rsid w:val="00303FF7"/>
    <w:rsid w:val="003042FD"/>
    <w:rsid w:val="00304AFD"/>
    <w:rsid w:val="00304B1A"/>
    <w:rsid w:val="00304D97"/>
    <w:rsid w:val="00304F9D"/>
    <w:rsid w:val="003059E5"/>
    <w:rsid w:val="00305F11"/>
    <w:rsid w:val="00306061"/>
    <w:rsid w:val="003061B1"/>
    <w:rsid w:val="003061C1"/>
    <w:rsid w:val="00306ACF"/>
    <w:rsid w:val="00306D3A"/>
    <w:rsid w:val="00307178"/>
    <w:rsid w:val="00307231"/>
    <w:rsid w:val="00307755"/>
    <w:rsid w:val="003079DA"/>
    <w:rsid w:val="00307A82"/>
    <w:rsid w:val="00307E41"/>
    <w:rsid w:val="00310009"/>
    <w:rsid w:val="0031027B"/>
    <w:rsid w:val="003105BF"/>
    <w:rsid w:val="003108F1"/>
    <w:rsid w:val="00310D4E"/>
    <w:rsid w:val="00311D3E"/>
    <w:rsid w:val="00311EA7"/>
    <w:rsid w:val="00311ED5"/>
    <w:rsid w:val="00312187"/>
    <w:rsid w:val="003124C3"/>
    <w:rsid w:val="00312691"/>
    <w:rsid w:val="003130EF"/>
    <w:rsid w:val="00313134"/>
    <w:rsid w:val="0031336A"/>
    <w:rsid w:val="00313947"/>
    <w:rsid w:val="00313B0E"/>
    <w:rsid w:val="00313B36"/>
    <w:rsid w:val="00313F74"/>
    <w:rsid w:val="00314119"/>
    <w:rsid w:val="00314ACD"/>
    <w:rsid w:val="00314B43"/>
    <w:rsid w:val="0031519E"/>
    <w:rsid w:val="003152ED"/>
    <w:rsid w:val="003154B9"/>
    <w:rsid w:val="003154CB"/>
    <w:rsid w:val="0031550D"/>
    <w:rsid w:val="003157A6"/>
    <w:rsid w:val="00315A3E"/>
    <w:rsid w:val="00315A53"/>
    <w:rsid w:val="00315F3A"/>
    <w:rsid w:val="0031617F"/>
    <w:rsid w:val="003163AF"/>
    <w:rsid w:val="00316747"/>
    <w:rsid w:val="00316E6F"/>
    <w:rsid w:val="00316FE9"/>
    <w:rsid w:val="003171EC"/>
    <w:rsid w:val="003178D4"/>
    <w:rsid w:val="00317A5C"/>
    <w:rsid w:val="00317B2A"/>
    <w:rsid w:val="003203A9"/>
    <w:rsid w:val="003204C0"/>
    <w:rsid w:val="003207BD"/>
    <w:rsid w:val="00320910"/>
    <w:rsid w:val="00320C11"/>
    <w:rsid w:val="00320C8E"/>
    <w:rsid w:val="00320E90"/>
    <w:rsid w:val="00320FB4"/>
    <w:rsid w:val="0032150C"/>
    <w:rsid w:val="003218B6"/>
    <w:rsid w:val="00321C48"/>
    <w:rsid w:val="00321E3C"/>
    <w:rsid w:val="00321E4E"/>
    <w:rsid w:val="00321F64"/>
    <w:rsid w:val="0032209E"/>
    <w:rsid w:val="00322227"/>
    <w:rsid w:val="00322917"/>
    <w:rsid w:val="00323305"/>
    <w:rsid w:val="00323428"/>
    <w:rsid w:val="00323636"/>
    <w:rsid w:val="00323843"/>
    <w:rsid w:val="003239C0"/>
    <w:rsid w:val="00323A89"/>
    <w:rsid w:val="00323AC1"/>
    <w:rsid w:val="00323DF2"/>
    <w:rsid w:val="003242CB"/>
    <w:rsid w:val="0032471F"/>
    <w:rsid w:val="00324D20"/>
    <w:rsid w:val="00324E74"/>
    <w:rsid w:val="00324F02"/>
    <w:rsid w:val="00324FD9"/>
    <w:rsid w:val="00325009"/>
    <w:rsid w:val="00325223"/>
    <w:rsid w:val="00325297"/>
    <w:rsid w:val="0032542F"/>
    <w:rsid w:val="00325881"/>
    <w:rsid w:val="00325B53"/>
    <w:rsid w:val="00325E00"/>
    <w:rsid w:val="00325F08"/>
    <w:rsid w:val="00326060"/>
    <w:rsid w:val="00326077"/>
    <w:rsid w:val="0032612B"/>
    <w:rsid w:val="00326145"/>
    <w:rsid w:val="003264E1"/>
    <w:rsid w:val="00326715"/>
    <w:rsid w:val="00326971"/>
    <w:rsid w:val="00326C2C"/>
    <w:rsid w:val="00327591"/>
    <w:rsid w:val="003275C6"/>
    <w:rsid w:val="003278EB"/>
    <w:rsid w:val="00327A74"/>
    <w:rsid w:val="00327A8C"/>
    <w:rsid w:val="00327B3E"/>
    <w:rsid w:val="00327B77"/>
    <w:rsid w:val="00327C42"/>
    <w:rsid w:val="00327C8B"/>
    <w:rsid w:val="00327F80"/>
    <w:rsid w:val="00330758"/>
    <w:rsid w:val="003309AD"/>
    <w:rsid w:val="00330B41"/>
    <w:rsid w:val="00330B7C"/>
    <w:rsid w:val="00330BAA"/>
    <w:rsid w:val="00330CD1"/>
    <w:rsid w:val="00330D76"/>
    <w:rsid w:val="00330F0A"/>
    <w:rsid w:val="00331316"/>
    <w:rsid w:val="00331318"/>
    <w:rsid w:val="003313F7"/>
    <w:rsid w:val="00331545"/>
    <w:rsid w:val="003315AF"/>
    <w:rsid w:val="003317B2"/>
    <w:rsid w:val="00331A9F"/>
    <w:rsid w:val="00331BD7"/>
    <w:rsid w:val="00331CEB"/>
    <w:rsid w:val="00331D2E"/>
    <w:rsid w:val="00331E2A"/>
    <w:rsid w:val="00331E64"/>
    <w:rsid w:val="003323EE"/>
    <w:rsid w:val="00332426"/>
    <w:rsid w:val="00332553"/>
    <w:rsid w:val="00332BE3"/>
    <w:rsid w:val="00333713"/>
    <w:rsid w:val="00333D88"/>
    <w:rsid w:val="00334025"/>
    <w:rsid w:val="00334370"/>
    <w:rsid w:val="003344A6"/>
    <w:rsid w:val="003345CA"/>
    <w:rsid w:val="00334DAE"/>
    <w:rsid w:val="00335291"/>
    <w:rsid w:val="00335842"/>
    <w:rsid w:val="00335A10"/>
    <w:rsid w:val="00335B4A"/>
    <w:rsid w:val="00335C05"/>
    <w:rsid w:val="00336200"/>
    <w:rsid w:val="0033623D"/>
    <w:rsid w:val="00336676"/>
    <w:rsid w:val="003367CE"/>
    <w:rsid w:val="00336887"/>
    <w:rsid w:val="00336D3F"/>
    <w:rsid w:val="00336D75"/>
    <w:rsid w:val="00336E41"/>
    <w:rsid w:val="00336FD9"/>
    <w:rsid w:val="00337090"/>
    <w:rsid w:val="003377AB"/>
    <w:rsid w:val="003377CD"/>
    <w:rsid w:val="00337855"/>
    <w:rsid w:val="00337A8D"/>
    <w:rsid w:val="00337B74"/>
    <w:rsid w:val="00337C29"/>
    <w:rsid w:val="00337EDD"/>
    <w:rsid w:val="00337FAD"/>
    <w:rsid w:val="00340440"/>
    <w:rsid w:val="00340C78"/>
    <w:rsid w:val="00341377"/>
    <w:rsid w:val="0034139B"/>
    <w:rsid w:val="003413EA"/>
    <w:rsid w:val="00341858"/>
    <w:rsid w:val="003419C5"/>
    <w:rsid w:val="00341C36"/>
    <w:rsid w:val="00342072"/>
    <w:rsid w:val="003421DD"/>
    <w:rsid w:val="003424DA"/>
    <w:rsid w:val="003424EF"/>
    <w:rsid w:val="003428F2"/>
    <w:rsid w:val="00343210"/>
    <w:rsid w:val="003433A0"/>
    <w:rsid w:val="00343633"/>
    <w:rsid w:val="0034374C"/>
    <w:rsid w:val="00343DF7"/>
    <w:rsid w:val="00343E1B"/>
    <w:rsid w:val="0034400C"/>
    <w:rsid w:val="00344453"/>
    <w:rsid w:val="003447AF"/>
    <w:rsid w:val="0034502E"/>
    <w:rsid w:val="00345206"/>
    <w:rsid w:val="0034522A"/>
    <w:rsid w:val="0034585A"/>
    <w:rsid w:val="00345BA4"/>
    <w:rsid w:val="00345E7E"/>
    <w:rsid w:val="003466B5"/>
    <w:rsid w:val="003467EC"/>
    <w:rsid w:val="0034680A"/>
    <w:rsid w:val="0034691E"/>
    <w:rsid w:val="003469A7"/>
    <w:rsid w:val="00347508"/>
    <w:rsid w:val="003476E4"/>
    <w:rsid w:val="003476F9"/>
    <w:rsid w:val="00347795"/>
    <w:rsid w:val="00347A9C"/>
    <w:rsid w:val="00347B2E"/>
    <w:rsid w:val="003500C9"/>
    <w:rsid w:val="003500F6"/>
    <w:rsid w:val="0035040B"/>
    <w:rsid w:val="00350596"/>
    <w:rsid w:val="00350BDF"/>
    <w:rsid w:val="00350BF7"/>
    <w:rsid w:val="00350EE2"/>
    <w:rsid w:val="00350F98"/>
    <w:rsid w:val="0035121E"/>
    <w:rsid w:val="0035139B"/>
    <w:rsid w:val="003518AB"/>
    <w:rsid w:val="003519B2"/>
    <w:rsid w:val="00351BF8"/>
    <w:rsid w:val="003522BB"/>
    <w:rsid w:val="0035269A"/>
    <w:rsid w:val="0035269B"/>
    <w:rsid w:val="003528ED"/>
    <w:rsid w:val="00352AF5"/>
    <w:rsid w:val="00352F4F"/>
    <w:rsid w:val="00352F51"/>
    <w:rsid w:val="003535F4"/>
    <w:rsid w:val="00353AC4"/>
    <w:rsid w:val="00353AF0"/>
    <w:rsid w:val="00353B6B"/>
    <w:rsid w:val="00353E29"/>
    <w:rsid w:val="0035408A"/>
    <w:rsid w:val="00354199"/>
    <w:rsid w:val="0035423F"/>
    <w:rsid w:val="0035460E"/>
    <w:rsid w:val="0035462B"/>
    <w:rsid w:val="003546E2"/>
    <w:rsid w:val="0035473D"/>
    <w:rsid w:val="003547BB"/>
    <w:rsid w:val="0035490D"/>
    <w:rsid w:val="00354C0D"/>
    <w:rsid w:val="00354CB6"/>
    <w:rsid w:val="00354FE4"/>
    <w:rsid w:val="003554E5"/>
    <w:rsid w:val="00355564"/>
    <w:rsid w:val="00355937"/>
    <w:rsid w:val="00355C5F"/>
    <w:rsid w:val="00355CFF"/>
    <w:rsid w:val="00355FAD"/>
    <w:rsid w:val="0035600F"/>
    <w:rsid w:val="0035613F"/>
    <w:rsid w:val="0035682E"/>
    <w:rsid w:val="00356B7D"/>
    <w:rsid w:val="00356F64"/>
    <w:rsid w:val="00357024"/>
    <w:rsid w:val="0035727A"/>
    <w:rsid w:val="0035755C"/>
    <w:rsid w:val="0035756D"/>
    <w:rsid w:val="003576A9"/>
    <w:rsid w:val="00357EED"/>
    <w:rsid w:val="00357F46"/>
    <w:rsid w:val="00360055"/>
    <w:rsid w:val="003601A5"/>
    <w:rsid w:val="003604D8"/>
    <w:rsid w:val="00360676"/>
    <w:rsid w:val="0036075A"/>
    <w:rsid w:val="0036081A"/>
    <w:rsid w:val="00360B85"/>
    <w:rsid w:val="00360BF2"/>
    <w:rsid w:val="00360D37"/>
    <w:rsid w:val="00360D99"/>
    <w:rsid w:val="00360E42"/>
    <w:rsid w:val="00361010"/>
    <w:rsid w:val="00361471"/>
    <w:rsid w:val="00361763"/>
    <w:rsid w:val="0036199A"/>
    <w:rsid w:val="00361B14"/>
    <w:rsid w:val="00361BC2"/>
    <w:rsid w:val="00362002"/>
    <w:rsid w:val="00362142"/>
    <w:rsid w:val="0036268A"/>
    <w:rsid w:val="0036273C"/>
    <w:rsid w:val="00362780"/>
    <w:rsid w:val="00362AA5"/>
    <w:rsid w:val="00362DD6"/>
    <w:rsid w:val="00362F60"/>
    <w:rsid w:val="003630EB"/>
    <w:rsid w:val="00363265"/>
    <w:rsid w:val="00363378"/>
    <w:rsid w:val="003635CF"/>
    <w:rsid w:val="00363799"/>
    <w:rsid w:val="003638AD"/>
    <w:rsid w:val="003638E4"/>
    <w:rsid w:val="003639CF"/>
    <w:rsid w:val="00363C7E"/>
    <w:rsid w:val="00363CA1"/>
    <w:rsid w:val="00363E05"/>
    <w:rsid w:val="00364012"/>
    <w:rsid w:val="003642BA"/>
    <w:rsid w:val="0036439A"/>
    <w:rsid w:val="003644ED"/>
    <w:rsid w:val="00364B90"/>
    <w:rsid w:val="00364E48"/>
    <w:rsid w:val="00364F9D"/>
    <w:rsid w:val="00365448"/>
    <w:rsid w:val="0036555F"/>
    <w:rsid w:val="003655C4"/>
    <w:rsid w:val="003655F5"/>
    <w:rsid w:val="00365735"/>
    <w:rsid w:val="00365AD4"/>
    <w:rsid w:val="00365BC0"/>
    <w:rsid w:val="003667A9"/>
    <w:rsid w:val="00366F78"/>
    <w:rsid w:val="00366F8B"/>
    <w:rsid w:val="00367595"/>
    <w:rsid w:val="0036791B"/>
    <w:rsid w:val="00367B64"/>
    <w:rsid w:val="00367C23"/>
    <w:rsid w:val="00367D15"/>
    <w:rsid w:val="003700C6"/>
    <w:rsid w:val="00370401"/>
    <w:rsid w:val="003707C5"/>
    <w:rsid w:val="003708D9"/>
    <w:rsid w:val="0037096E"/>
    <w:rsid w:val="00370B5B"/>
    <w:rsid w:val="00370D6E"/>
    <w:rsid w:val="0037106E"/>
    <w:rsid w:val="003710EE"/>
    <w:rsid w:val="0037133E"/>
    <w:rsid w:val="003717C5"/>
    <w:rsid w:val="00371878"/>
    <w:rsid w:val="00372380"/>
    <w:rsid w:val="00372622"/>
    <w:rsid w:val="003726A1"/>
    <w:rsid w:val="0037278A"/>
    <w:rsid w:val="003728C8"/>
    <w:rsid w:val="00372960"/>
    <w:rsid w:val="00372CDD"/>
    <w:rsid w:val="00372DC9"/>
    <w:rsid w:val="00372DFE"/>
    <w:rsid w:val="00372F73"/>
    <w:rsid w:val="00373182"/>
    <w:rsid w:val="003735D6"/>
    <w:rsid w:val="0037385F"/>
    <w:rsid w:val="00373AEF"/>
    <w:rsid w:val="00373C64"/>
    <w:rsid w:val="00373DA4"/>
    <w:rsid w:val="00373EE1"/>
    <w:rsid w:val="00373F8B"/>
    <w:rsid w:val="0037407C"/>
    <w:rsid w:val="0037425E"/>
    <w:rsid w:val="003745C2"/>
    <w:rsid w:val="00374ADF"/>
    <w:rsid w:val="00374C46"/>
    <w:rsid w:val="00374DD8"/>
    <w:rsid w:val="003751F3"/>
    <w:rsid w:val="00375211"/>
    <w:rsid w:val="003752C0"/>
    <w:rsid w:val="003756B3"/>
    <w:rsid w:val="00376426"/>
    <w:rsid w:val="00376560"/>
    <w:rsid w:val="0037669E"/>
    <w:rsid w:val="003766F6"/>
    <w:rsid w:val="00376CD9"/>
    <w:rsid w:val="00376DCA"/>
    <w:rsid w:val="00377863"/>
    <w:rsid w:val="00377915"/>
    <w:rsid w:val="00377B5C"/>
    <w:rsid w:val="00377BEC"/>
    <w:rsid w:val="00377E0E"/>
    <w:rsid w:val="00377E57"/>
    <w:rsid w:val="0038041B"/>
    <w:rsid w:val="00380502"/>
    <w:rsid w:val="0038055D"/>
    <w:rsid w:val="00380754"/>
    <w:rsid w:val="00380BD2"/>
    <w:rsid w:val="00380BEF"/>
    <w:rsid w:val="00380E7D"/>
    <w:rsid w:val="003812E9"/>
    <w:rsid w:val="0038191C"/>
    <w:rsid w:val="003819F7"/>
    <w:rsid w:val="00381B09"/>
    <w:rsid w:val="00381B2B"/>
    <w:rsid w:val="00381D6A"/>
    <w:rsid w:val="00381DAB"/>
    <w:rsid w:val="00381E48"/>
    <w:rsid w:val="00381EC7"/>
    <w:rsid w:val="00381F8F"/>
    <w:rsid w:val="00382A18"/>
    <w:rsid w:val="00382B1E"/>
    <w:rsid w:val="00382C8D"/>
    <w:rsid w:val="00382CEE"/>
    <w:rsid w:val="00382D4B"/>
    <w:rsid w:val="00382E6A"/>
    <w:rsid w:val="0038302D"/>
    <w:rsid w:val="00383092"/>
    <w:rsid w:val="003832C9"/>
    <w:rsid w:val="0038340B"/>
    <w:rsid w:val="00383961"/>
    <w:rsid w:val="003839AE"/>
    <w:rsid w:val="00383CB2"/>
    <w:rsid w:val="00383D6C"/>
    <w:rsid w:val="00383ECF"/>
    <w:rsid w:val="0038412B"/>
    <w:rsid w:val="00384149"/>
    <w:rsid w:val="003842C3"/>
    <w:rsid w:val="00384542"/>
    <w:rsid w:val="00384D12"/>
    <w:rsid w:val="00384E07"/>
    <w:rsid w:val="003859CA"/>
    <w:rsid w:val="00385B44"/>
    <w:rsid w:val="00385EA7"/>
    <w:rsid w:val="00385F8D"/>
    <w:rsid w:val="003863EF"/>
    <w:rsid w:val="003867D4"/>
    <w:rsid w:val="0038686A"/>
    <w:rsid w:val="00386C61"/>
    <w:rsid w:val="00386E0C"/>
    <w:rsid w:val="00386FC9"/>
    <w:rsid w:val="00386FF0"/>
    <w:rsid w:val="0038794B"/>
    <w:rsid w:val="00387A2C"/>
    <w:rsid w:val="00387AB4"/>
    <w:rsid w:val="00390238"/>
    <w:rsid w:val="0039029D"/>
    <w:rsid w:val="003908F4"/>
    <w:rsid w:val="00390DA5"/>
    <w:rsid w:val="0039103C"/>
    <w:rsid w:val="003910C3"/>
    <w:rsid w:val="00391132"/>
    <w:rsid w:val="003911C3"/>
    <w:rsid w:val="00391266"/>
    <w:rsid w:val="00391524"/>
    <w:rsid w:val="003916F2"/>
    <w:rsid w:val="00391C2C"/>
    <w:rsid w:val="00391F5A"/>
    <w:rsid w:val="0039208E"/>
    <w:rsid w:val="003921D5"/>
    <w:rsid w:val="0039234D"/>
    <w:rsid w:val="0039291C"/>
    <w:rsid w:val="00392A42"/>
    <w:rsid w:val="00392C2F"/>
    <w:rsid w:val="0039342F"/>
    <w:rsid w:val="00393431"/>
    <w:rsid w:val="003934B8"/>
    <w:rsid w:val="003936CB"/>
    <w:rsid w:val="003937F5"/>
    <w:rsid w:val="0039392B"/>
    <w:rsid w:val="00393B61"/>
    <w:rsid w:val="00393C99"/>
    <w:rsid w:val="00393D6A"/>
    <w:rsid w:val="00393ED9"/>
    <w:rsid w:val="00393F98"/>
    <w:rsid w:val="0039455B"/>
    <w:rsid w:val="003948AA"/>
    <w:rsid w:val="0039499E"/>
    <w:rsid w:val="00394D6D"/>
    <w:rsid w:val="00394E6F"/>
    <w:rsid w:val="00394E90"/>
    <w:rsid w:val="0039516E"/>
    <w:rsid w:val="003952AF"/>
    <w:rsid w:val="003952F1"/>
    <w:rsid w:val="00395633"/>
    <w:rsid w:val="0039574F"/>
    <w:rsid w:val="00395D7A"/>
    <w:rsid w:val="0039611E"/>
    <w:rsid w:val="003962A2"/>
    <w:rsid w:val="003963B2"/>
    <w:rsid w:val="00396725"/>
    <w:rsid w:val="003974AE"/>
    <w:rsid w:val="003975D8"/>
    <w:rsid w:val="00397BDC"/>
    <w:rsid w:val="00397C2D"/>
    <w:rsid w:val="003A047A"/>
    <w:rsid w:val="003A051F"/>
    <w:rsid w:val="003A06C4"/>
    <w:rsid w:val="003A09A8"/>
    <w:rsid w:val="003A0DC8"/>
    <w:rsid w:val="003A1231"/>
    <w:rsid w:val="003A13C0"/>
    <w:rsid w:val="003A1632"/>
    <w:rsid w:val="003A1639"/>
    <w:rsid w:val="003A195D"/>
    <w:rsid w:val="003A1D8E"/>
    <w:rsid w:val="003A1EE4"/>
    <w:rsid w:val="003A2330"/>
    <w:rsid w:val="003A2377"/>
    <w:rsid w:val="003A2620"/>
    <w:rsid w:val="003A2906"/>
    <w:rsid w:val="003A2959"/>
    <w:rsid w:val="003A2A45"/>
    <w:rsid w:val="003A2A62"/>
    <w:rsid w:val="003A2ACC"/>
    <w:rsid w:val="003A2CCF"/>
    <w:rsid w:val="003A2E2E"/>
    <w:rsid w:val="003A2FD2"/>
    <w:rsid w:val="003A31CE"/>
    <w:rsid w:val="003A32AB"/>
    <w:rsid w:val="003A34F3"/>
    <w:rsid w:val="003A36BC"/>
    <w:rsid w:val="003A3CE0"/>
    <w:rsid w:val="003A41A5"/>
    <w:rsid w:val="003A41D1"/>
    <w:rsid w:val="003A43B1"/>
    <w:rsid w:val="003A475F"/>
    <w:rsid w:val="003A4E61"/>
    <w:rsid w:val="003A5115"/>
    <w:rsid w:val="003A5D6D"/>
    <w:rsid w:val="003A5F76"/>
    <w:rsid w:val="003A618A"/>
    <w:rsid w:val="003A63DE"/>
    <w:rsid w:val="003A6466"/>
    <w:rsid w:val="003A6626"/>
    <w:rsid w:val="003A695A"/>
    <w:rsid w:val="003A6A7A"/>
    <w:rsid w:val="003A6CCF"/>
    <w:rsid w:val="003A6E21"/>
    <w:rsid w:val="003A6E97"/>
    <w:rsid w:val="003A702E"/>
    <w:rsid w:val="003A731E"/>
    <w:rsid w:val="003A733C"/>
    <w:rsid w:val="003A7745"/>
    <w:rsid w:val="003A782A"/>
    <w:rsid w:val="003A7B58"/>
    <w:rsid w:val="003A7C16"/>
    <w:rsid w:val="003B08BA"/>
    <w:rsid w:val="003B0AC3"/>
    <w:rsid w:val="003B0E85"/>
    <w:rsid w:val="003B135C"/>
    <w:rsid w:val="003B1927"/>
    <w:rsid w:val="003B1AC7"/>
    <w:rsid w:val="003B1AF5"/>
    <w:rsid w:val="003B1F31"/>
    <w:rsid w:val="003B2064"/>
    <w:rsid w:val="003B2168"/>
    <w:rsid w:val="003B283C"/>
    <w:rsid w:val="003B299A"/>
    <w:rsid w:val="003B2C42"/>
    <w:rsid w:val="003B2C6A"/>
    <w:rsid w:val="003B2D6D"/>
    <w:rsid w:val="003B2EA4"/>
    <w:rsid w:val="003B2F21"/>
    <w:rsid w:val="003B31C5"/>
    <w:rsid w:val="003B326A"/>
    <w:rsid w:val="003B33CB"/>
    <w:rsid w:val="003B34AA"/>
    <w:rsid w:val="003B3549"/>
    <w:rsid w:val="003B3807"/>
    <w:rsid w:val="003B3840"/>
    <w:rsid w:val="003B3DF0"/>
    <w:rsid w:val="003B3F55"/>
    <w:rsid w:val="003B3F6D"/>
    <w:rsid w:val="003B40B7"/>
    <w:rsid w:val="003B4264"/>
    <w:rsid w:val="003B4B7E"/>
    <w:rsid w:val="003B4FF2"/>
    <w:rsid w:val="003B50C8"/>
    <w:rsid w:val="003B544C"/>
    <w:rsid w:val="003B549B"/>
    <w:rsid w:val="003B65E6"/>
    <w:rsid w:val="003B673F"/>
    <w:rsid w:val="003B6753"/>
    <w:rsid w:val="003B6769"/>
    <w:rsid w:val="003B6A20"/>
    <w:rsid w:val="003B6C9E"/>
    <w:rsid w:val="003B6CD2"/>
    <w:rsid w:val="003B6DAB"/>
    <w:rsid w:val="003B7389"/>
    <w:rsid w:val="003B7962"/>
    <w:rsid w:val="003B7FCD"/>
    <w:rsid w:val="003C0193"/>
    <w:rsid w:val="003C0F34"/>
    <w:rsid w:val="003C1533"/>
    <w:rsid w:val="003C1591"/>
    <w:rsid w:val="003C1806"/>
    <w:rsid w:val="003C1BA3"/>
    <w:rsid w:val="003C1EAA"/>
    <w:rsid w:val="003C1FBD"/>
    <w:rsid w:val="003C2388"/>
    <w:rsid w:val="003C2747"/>
    <w:rsid w:val="003C2887"/>
    <w:rsid w:val="003C298A"/>
    <w:rsid w:val="003C2F49"/>
    <w:rsid w:val="003C36F5"/>
    <w:rsid w:val="003C3D35"/>
    <w:rsid w:val="003C3EE0"/>
    <w:rsid w:val="003C40F9"/>
    <w:rsid w:val="003C4130"/>
    <w:rsid w:val="003C4140"/>
    <w:rsid w:val="003C4B90"/>
    <w:rsid w:val="003C4FA5"/>
    <w:rsid w:val="003C570A"/>
    <w:rsid w:val="003C58DB"/>
    <w:rsid w:val="003C5C31"/>
    <w:rsid w:val="003C5E5E"/>
    <w:rsid w:val="003C62A2"/>
    <w:rsid w:val="003C6766"/>
    <w:rsid w:val="003C67A5"/>
    <w:rsid w:val="003C6C07"/>
    <w:rsid w:val="003C6FF4"/>
    <w:rsid w:val="003C7350"/>
    <w:rsid w:val="003C73E5"/>
    <w:rsid w:val="003C75B1"/>
    <w:rsid w:val="003C7893"/>
    <w:rsid w:val="003C7C0D"/>
    <w:rsid w:val="003D068F"/>
    <w:rsid w:val="003D093D"/>
    <w:rsid w:val="003D124C"/>
    <w:rsid w:val="003D1417"/>
    <w:rsid w:val="003D1437"/>
    <w:rsid w:val="003D1631"/>
    <w:rsid w:val="003D17FE"/>
    <w:rsid w:val="003D18E2"/>
    <w:rsid w:val="003D197E"/>
    <w:rsid w:val="003D1D0A"/>
    <w:rsid w:val="003D2782"/>
    <w:rsid w:val="003D27E2"/>
    <w:rsid w:val="003D280D"/>
    <w:rsid w:val="003D2E6D"/>
    <w:rsid w:val="003D3057"/>
    <w:rsid w:val="003D30DC"/>
    <w:rsid w:val="003D359C"/>
    <w:rsid w:val="003D37FA"/>
    <w:rsid w:val="003D40E7"/>
    <w:rsid w:val="003D411A"/>
    <w:rsid w:val="003D4249"/>
    <w:rsid w:val="003D4329"/>
    <w:rsid w:val="003D45A6"/>
    <w:rsid w:val="003D4619"/>
    <w:rsid w:val="003D483F"/>
    <w:rsid w:val="003D4B24"/>
    <w:rsid w:val="003D4DE2"/>
    <w:rsid w:val="003D4F71"/>
    <w:rsid w:val="003D507C"/>
    <w:rsid w:val="003D51F4"/>
    <w:rsid w:val="003D5603"/>
    <w:rsid w:val="003D58AB"/>
    <w:rsid w:val="003D5D5D"/>
    <w:rsid w:val="003D6117"/>
    <w:rsid w:val="003D6378"/>
    <w:rsid w:val="003D665D"/>
    <w:rsid w:val="003D68C3"/>
    <w:rsid w:val="003D6DB7"/>
    <w:rsid w:val="003D71A9"/>
    <w:rsid w:val="003D7783"/>
    <w:rsid w:val="003D78EB"/>
    <w:rsid w:val="003D7BF2"/>
    <w:rsid w:val="003D7D62"/>
    <w:rsid w:val="003E03A4"/>
    <w:rsid w:val="003E044F"/>
    <w:rsid w:val="003E0570"/>
    <w:rsid w:val="003E0604"/>
    <w:rsid w:val="003E0864"/>
    <w:rsid w:val="003E09C4"/>
    <w:rsid w:val="003E0ADA"/>
    <w:rsid w:val="003E137D"/>
    <w:rsid w:val="003E1473"/>
    <w:rsid w:val="003E15DB"/>
    <w:rsid w:val="003E1D7D"/>
    <w:rsid w:val="003E1D99"/>
    <w:rsid w:val="003E271D"/>
    <w:rsid w:val="003E278C"/>
    <w:rsid w:val="003E27D2"/>
    <w:rsid w:val="003E2818"/>
    <w:rsid w:val="003E2966"/>
    <w:rsid w:val="003E2CE8"/>
    <w:rsid w:val="003E2F5A"/>
    <w:rsid w:val="003E30BC"/>
    <w:rsid w:val="003E32D0"/>
    <w:rsid w:val="003E3A33"/>
    <w:rsid w:val="003E3A6B"/>
    <w:rsid w:val="003E3D95"/>
    <w:rsid w:val="003E4089"/>
    <w:rsid w:val="003E4280"/>
    <w:rsid w:val="003E442F"/>
    <w:rsid w:val="003E44AA"/>
    <w:rsid w:val="003E4855"/>
    <w:rsid w:val="003E4C65"/>
    <w:rsid w:val="003E55F9"/>
    <w:rsid w:val="003E565A"/>
    <w:rsid w:val="003E57FD"/>
    <w:rsid w:val="003E5899"/>
    <w:rsid w:val="003E59AA"/>
    <w:rsid w:val="003E59E0"/>
    <w:rsid w:val="003E5B71"/>
    <w:rsid w:val="003E5BB4"/>
    <w:rsid w:val="003E5CFD"/>
    <w:rsid w:val="003E6501"/>
    <w:rsid w:val="003E6553"/>
    <w:rsid w:val="003E69E1"/>
    <w:rsid w:val="003E6ABC"/>
    <w:rsid w:val="003E72AB"/>
    <w:rsid w:val="003E7372"/>
    <w:rsid w:val="003E74DF"/>
    <w:rsid w:val="003E75EF"/>
    <w:rsid w:val="003E75F2"/>
    <w:rsid w:val="003E78FD"/>
    <w:rsid w:val="003E7987"/>
    <w:rsid w:val="003E7A90"/>
    <w:rsid w:val="003E7BBD"/>
    <w:rsid w:val="003E7D52"/>
    <w:rsid w:val="003E7EFA"/>
    <w:rsid w:val="003E7F1B"/>
    <w:rsid w:val="003E7F50"/>
    <w:rsid w:val="003F0004"/>
    <w:rsid w:val="003F076C"/>
    <w:rsid w:val="003F0D0D"/>
    <w:rsid w:val="003F0DFB"/>
    <w:rsid w:val="003F0EE3"/>
    <w:rsid w:val="003F1438"/>
    <w:rsid w:val="003F1628"/>
    <w:rsid w:val="003F1632"/>
    <w:rsid w:val="003F1687"/>
    <w:rsid w:val="003F1D7A"/>
    <w:rsid w:val="003F1EE1"/>
    <w:rsid w:val="003F203B"/>
    <w:rsid w:val="003F2B17"/>
    <w:rsid w:val="003F2CB8"/>
    <w:rsid w:val="003F31C3"/>
    <w:rsid w:val="003F3463"/>
    <w:rsid w:val="003F3BBC"/>
    <w:rsid w:val="003F40F8"/>
    <w:rsid w:val="003F4594"/>
    <w:rsid w:val="003F4683"/>
    <w:rsid w:val="003F48B3"/>
    <w:rsid w:val="003F4A42"/>
    <w:rsid w:val="003F4D07"/>
    <w:rsid w:val="003F50CD"/>
    <w:rsid w:val="003F54DF"/>
    <w:rsid w:val="003F55AE"/>
    <w:rsid w:val="003F58C6"/>
    <w:rsid w:val="003F5915"/>
    <w:rsid w:val="003F5AD8"/>
    <w:rsid w:val="003F5CE7"/>
    <w:rsid w:val="003F5D08"/>
    <w:rsid w:val="003F61B9"/>
    <w:rsid w:val="003F6276"/>
    <w:rsid w:val="003F63AF"/>
    <w:rsid w:val="003F6A10"/>
    <w:rsid w:val="003F6A6A"/>
    <w:rsid w:val="003F6D02"/>
    <w:rsid w:val="003F6F11"/>
    <w:rsid w:val="003F7CAA"/>
    <w:rsid w:val="003F7E3F"/>
    <w:rsid w:val="003F7FA3"/>
    <w:rsid w:val="00400580"/>
    <w:rsid w:val="00400738"/>
    <w:rsid w:val="004007A7"/>
    <w:rsid w:val="00400946"/>
    <w:rsid w:val="00400A5F"/>
    <w:rsid w:val="00400B88"/>
    <w:rsid w:val="00401335"/>
    <w:rsid w:val="00401454"/>
    <w:rsid w:val="00401888"/>
    <w:rsid w:val="00401A00"/>
    <w:rsid w:val="00401B17"/>
    <w:rsid w:val="00401B6C"/>
    <w:rsid w:val="00401F07"/>
    <w:rsid w:val="00401FC8"/>
    <w:rsid w:val="004021C4"/>
    <w:rsid w:val="004021EA"/>
    <w:rsid w:val="00402A62"/>
    <w:rsid w:val="00402AF1"/>
    <w:rsid w:val="00402F68"/>
    <w:rsid w:val="00403095"/>
    <w:rsid w:val="0040320B"/>
    <w:rsid w:val="004036E9"/>
    <w:rsid w:val="00403D31"/>
    <w:rsid w:val="00403EE5"/>
    <w:rsid w:val="00404160"/>
    <w:rsid w:val="00404641"/>
    <w:rsid w:val="0040486C"/>
    <w:rsid w:val="0040487B"/>
    <w:rsid w:val="004049D2"/>
    <w:rsid w:val="00404B3B"/>
    <w:rsid w:val="00404BF7"/>
    <w:rsid w:val="004050CB"/>
    <w:rsid w:val="00405498"/>
    <w:rsid w:val="0040573E"/>
    <w:rsid w:val="00405A24"/>
    <w:rsid w:val="00405A7E"/>
    <w:rsid w:val="00405C8F"/>
    <w:rsid w:val="00405C96"/>
    <w:rsid w:val="00405EDD"/>
    <w:rsid w:val="00405FF5"/>
    <w:rsid w:val="00406247"/>
    <w:rsid w:val="004062ED"/>
    <w:rsid w:val="0040649B"/>
    <w:rsid w:val="00406500"/>
    <w:rsid w:val="0040665F"/>
    <w:rsid w:val="00406CF6"/>
    <w:rsid w:val="00406E1F"/>
    <w:rsid w:val="00406EEE"/>
    <w:rsid w:val="004074E0"/>
    <w:rsid w:val="00407FEF"/>
    <w:rsid w:val="00410043"/>
    <w:rsid w:val="0041016D"/>
    <w:rsid w:val="00410440"/>
    <w:rsid w:val="0041050F"/>
    <w:rsid w:val="00410567"/>
    <w:rsid w:val="0041057A"/>
    <w:rsid w:val="004105E7"/>
    <w:rsid w:val="00410637"/>
    <w:rsid w:val="004108A9"/>
    <w:rsid w:val="00410EE6"/>
    <w:rsid w:val="00410F5E"/>
    <w:rsid w:val="004114B6"/>
    <w:rsid w:val="004118BB"/>
    <w:rsid w:val="00411EA9"/>
    <w:rsid w:val="00411EAA"/>
    <w:rsid w:val="00412025"/>
    <w:rsid w:val="004120CA"/>
    <w:rsid w:val="00412428"/>
    <w:rsid w:val="00412554"/>
    <w:rsid w:val="0041274A"/>
    <w:rsid w:val="00412A85"/>
    <w:rsid w:val="00412B57"/>
    <w:rsid w:val="00412C69"/>
    <w:rsid w:val="0041371C"/>
    <w:rsid w:val="00413CD5"/>
    <w:rsid w:val="0041405B"/>
    <w:rsid w:val="00414163"/>
    <w:rsid w:val="00414809"/>
    <w:rsid w:val="00414B5D"/>
    <w:rsid w:val="00414D0E"/>
    <w:rsid w:val="00415071"/>
    <w:rsid w:val="00415374"/>
    <w:rsid w:val="00415384"/>
    <w:rsid w:val="0041543B"/>
    <w:rsid w:val="00415724"/>
    <w:rsid w:val="004157C8"/>
    <w:rsid w:val="0041596F"/>
    <w:rsid w:val="00415A18"/>
    <w:rsid w:val="00415AA7"/>
    <w:rsid w:val="0041612D"/>
    <w:rsid w:val="00416160"/>
    <w:rsid w:val="004163B0"/>
    <w:rsid w:val="004167B2"/>
    <w:rsid w:val="00416E1A"/>
    <w:rsid w:val="00416E9F"/>
    <w:rsid w:val="004170C6"/>
    <w:rsid w:val="00417733"/>
    <w:rsid w:val="00417B84"/>
    <w:rsid w:val="00417EB4"/>
    <w:rsid w:val="00417F2D"/>
    <w:rsid w:val="00420241"/>
    <w:rsid w:val="00420618"/>
    <w:rsid w:val="00420875"/>
    <w:rsid w:val="0042093A"/>
    <w:rsid w:val="004209F5"/>
    <w:rsid w:val="00420ACD"/>
    <w:rsid w:val="00420E2D"/>
    <w:rsid w:val="00421274"/>
    <w:rsid w:val="004213B2"/>
    <w:rsid w:val="0042169C"/>
    <w:rsid w:val="0042172C"/>
    <w:rsid w:val="0042188C"/>
    <w:rsid w:val="00421AAF"/>
    <w:rsid w:val="00421B42"/>
    <w:rsid w:val="00421D94"/>
    <w:rsid w:val="0042294E"/>
    <w:rsid w:val="00422A27"/>
    <w:rsid w:val="00422B44"/>
    <w:rsid w:val="00422BE6"/>
    <w:rsid w:val="00422DFB"/>
    <w:rsid w:val="00422E50"/>
    <w:rsid w:val="0042310D"/>
    <w:rsid w:val="00423198"/>
    <w:rsid w:val="00423388"/>
    <w:rsid w:val="004234A6"/>
    <w:rsid w:val="00423533"/>
    <w:rsid w:val="00423F27"/>
    <w:rsid w:val="004240B4"/>
    <w:rsid w:val="00424257"/>
    <w:rsid w:val="0042441D"/>
    <w:rsid w:val="00424600"/>
    <w:rsid w:val="004246A7"/>
    <w:rsid w:val="00424724"/>
    <w:rsid w:val="00424C93"/>
    <w:rsid w:val="00424D62"/>
    <w:rsid w:val="00425082"/>
    <w:rsid w:val="00425159"/>
    <w:rsid w:val="0042520B"/>
    <w:rsid w:val="0042521B"/>
    <w:rsid w:val="00425518"/>
    <w:rsid w:val="0042557A"/>
    <w:rsid w:val="00425701"/>
    <w:rsid w:val="00425A88"/>
    <w:rsid w:val="00425BB9"/>
    <w:rsid w:val="00425BF1"/>
    <w:rsid w:val="00425E64"/>
    <w:rsid w:val="00425F28"/>
    <w:rsid w:val="00426068"/>
    <w:rsid w:val="004262E4"/>
    <w:rsid w:val="004263D0"/>
    <w:rsid w:val="00426472"/>
    <w:rsid w:val="004264E9"/>
    <w:rsid w:val="00426652"/>
    <w:rsid w:val="00426D30"/>
    <w:rsid w:val="00426DFC"/>
    <w:rsid w:val="00427038"/>
    <w:rsid w:val="0042725F"/>
    <w:rsid w:val="004272B3"/>
    <w:rsid w:val="0042742D"/>
    <w:rsid w:val="004279D6"/>
    <w:rsid w:val="00427B2A"/>
    <w:rsid w:val="00427D46"/>
    <w:rsid w:val="00430050"/>
    <w:rsid w:val="00430098"/>
    <w:rsid w:val="00430224"/>
    <w:rsid w:val="00430525"/>
    <w:rsid w:val="004309C9"/>
    <w:rsid w:val="00430B72"/>
    <w:rsid w:val="00430E00"/>
    <w:rsid w:val="00430EA8"/>
    <w:rsid w:val="00430EAE"/>
    <w:rsid w:val="00430F5A"/>
    <w:rsid w:val="00431192"/>
    <w:rsid w:val="004312BF"/>
    <w:rsid w:val="0043133E"/>
    <w:rsid w:val="0043189D"/>
    <w:rsid w:val="004319EB"/>
    <w:rsid w:val="00431B2B"/>
    <w:rsid w:val="004324F9"/>
    <w:rsid w:val="00432677"/>
    <w:rsid w:val="0043271F"/>
    <w:rsid w:val="00432833"/>
    <w:rsid w:val="00432B55"/>
    <w:rsid w:val="00432DF9"/>
    <w:rsid w:val="00433443"/>
    <w:rsid w:val="004334FD"/>
    <w:rsid w:val="0043372E"/>
    <w:rsid w:val="004338B2"/>
    <w:rsid w:val="00433976"/>
    <w:rsid w:val="00433C64"/>
    <w:rsid w:val="00433EA7"/>
    <w:rsid w:val="00433ED0"/>
    <w:rsid w:val="00434147"/>
    <w:rsid w:val="00434207"/>
    <w:rsid w:val="00434460"/>
    <w:rsid w:val="00434DCA"/>
    <w:rsid w:val="00435E52"/>
    <w:rsid w:val="004360BC"/>
    <w:rsid w:val="0043621B"/>
    <w:rsid w:val="00436D46"/>
    <w:rsid w:val="00436D5A"/>
    <w:rsid w:val="00436DA5"/>
    <w:rsid w:val="00436DD3"/>
    <w:rsid w:val="00436E50"/>
    <w:rsid w:val="00437014"/>
    <w:rsid w:val="004374EC"/>
    <w:rsid w:val="0043758B"/>
    <w:rsid w:val="0043777A"/>
    <w:rsid w:val="004377DD"/>
    <w:rsid w:val="004405C6"/>
    <w:rsid w:val="00440723"/>
    <w:rsid w:val="004407AA"/>
    <w:rsid w:val="00440963"/>
    <w:rsid w:val="00440CD5"/>
    <w:rsid w:val="00440EEB"/>
    <w:rsid w:val="00441523"/>
    <w:rsid w:val="00441821"/>
    <w:rsid w:val="00442117"/>
    <w:rsid w:val="00442849"/>
    <w:rsid w:val="00442D8C"/>
    <w:rsid w:val="00442FA4"/>
    <w:rsid w:val="0044354A"/>
    <w:rsid w:val="00443A8D"/>
    <w:rsid w:val="00443C8F"/>
    <w:rsid w:val="004444C3"/>
    <w:rsid w:val="00444582"/>
    <w:rsid w:val="004445E0"/>
    <w:rsid w:val="00444717"/>
    <w:rsid w:val="0044476F"/>
    <w:rsid w:val="004447C8"/>
    <w:rsid w:val="00444C0D"/>
    <w:rsid w:val="00444D11"/>
    <w:rsid w:val="00444E39"/>
    <w:rsid w:val="00444FD2"/>
    <w:rsid w:val="00445007"/>
    <w:rsid w:val="004455C2"/>
    <w:rsid w:val="0044570D"/>
    <w:rsid w:val="00445731"/>
    <w:rsid w:val="00445C91"/>
    <w:rsid w:val="00445EEF"/>
    <w:rsid w:val="00445F82"/>
    <w:rsid w:val="004465E0"/>
    <w:rsid w:val="00446638"/>
    <w:rsid w:val="0044691F"/>
    <w:rsid w:val="00446B97"/>
    <w:rsid w:val="00446C50"/>
    <w:rsid w:val="004471C3"/>
    <w:rsid w:val="00447591"/>
    <w:rsid w:val="00447629"/>
    <w:rsid w:val="00447864"/>
    <w:rsid w:val="004479AD"/>
    <w:rsid w:val="00447B98"/>
    <w:rsid w:val="00447D1F"/>
    <w:rsid w:val="00447F7A"/>
    <w:rsid w:val="00450064"/>
    <w:rsid w:val="00450084"/>
    <w:rsid w:val="004500F4"/>
    <w:rsid w:val="00450406"/>
    <w:rsid w:val="004505C9"/>
    <w:rsid w:val="00450898"/>
    <w:rsid w:val="004509D1"/>
    <w:rsid w:val="00450ABF"/>
    <w:rsid w:val="00450B90"/>
    <w:rsid w:val="00450D7E"/>
    <w:rsid w:val="00451219"/>
    <w:rsid w:val="00451431"/>
    <w:rsid w:val="004515D8"/>
    <w:rsid w:val="0045166C"/>
    <w:rsid w:val="00451A4A"/>
    <w:rsid w:val="00451E87"/>
    <w:rsid w:val="00451E9C"/>
    <w:rsid w:val="00451FB8"/>
    <w:rsid w:val="00452D45"/>
    <w:rsid w:val="00453702"/>
    <w:rsid w:val="004538CC"/>
    <w:rsid w:val="00453AC1"/>
    <w:rsid w:val="00453B44"/>
    <w:rsid w:val="00453EF1"/>
    <w:rsid w:val="004540E7"/>
    <w:rsid w:val="004544DD"/>
    <w:rsid w:val="0045484D"/>
    <w:rsid w:val="00454B87"/>
    <w:rsid w:val="00454C5B"/>
    <w:rsid w:val="00454D62"/>
    <w:rsid w:val="00455762"/>
    <w:rsid w:val="00455763"/>
    <w:rsid w:val="00455C73"/>
    <w:rsid w:val="00455DFE"/>
    <w:rsid w:val="004560D3"/>
    <w:rsid w:val="00456594"/>
    <w:rsid w:val="004565AB"/>
    <w:rsid w:val="0045661F"/>
    <w:rsid w:val="004566FC"/>
    <w:rsid w:val="0045680D"/>
    <w:rsid w:val="00456CA5"/>
    <w:rsid w:val="00457118"/>
    <w:rsid w:val="004573D6"/>
    <w:rsid w:val="0045766C"/>
    <w:rsid w:val="004579DD"/>
    <w:rsid w:val="004601DB"/>
    <w:rsid w:val="004606CF"/>
    <w:rsid w:val="004606F7"/>
    <w:rsid w:val="004607F9"/>
    <w:rsid w:val="004608AC"/>
    <w:rsid w:val="00460DAE"/>
    <w:rsid w:val="00460E90"/>
    <w:rsid w:val="00460F4C"/>
    <w:rsid w:val="004610BB"/>
    <w:rsid w:val="00461128"/>
    <w:rsid w:val="004611B0"/>
    <w:rsid w:val="00461B5B"/>
    <w:rsid w:val="00461B74"/>
    <w:rsid w:val="00461C89"/>
    <w:rsid w:val="00461CE8"/>
    <w:rsid w:val="00461D89"/>
    <w:rsid w:val="00461DFB"/>
    <w:rsid w:val="00461EF2"/>
    <w:rsid w:val="00462448"/>
    <w:rsid w:val="004624D4"/>
    <w:rsid w:val="00462796"/>
    <w:rsid w:val="004629B9"/>
    <w:rsid w:val="00462DA8"/>
    <w:rsid w:val="004631D6"/>
    <w:rsid w:val="00463E31"/>
    <w:rsid w:val="00463EC5"/>
    <w:rsid w:val="00463F85"/>
    <w:rsid w:val="00463FCE"/>
    <w:rsid w:val="004645D5"/>
    <w:rsid w:val="004646DE"/>
    <w:rsid w:val="00464986"/>
    <w:rsid w:val="00464AAB"/>
    <w:rsid w:val="00464B39"/>
    <w:rsid w:val="00464C00"/>
    <w:rsid w:val="00464FA5"/>
    <w:rsid w:val="004653F9"/>
    <w:rsid w:val="0046541C"/>
    <w:rsid w:val="004657EF"/>
    <w:rsid w:val="00465C4B"/>
    <w:rsid w:val="004661B4"/>
    <w:rsid w:val="00466335"/>
    <w:rsid w:val="00466577"/>
    <w:rsid w:val="00466683"/>
    <w:rsid w:val="004667B8"/>
    <w:rsid w:val="0046691D"/>
    <w:rsid w:val="00466C0B"/>
    <w:rsid w:val="00466F57"/>
    <w:rsid w:val="00467554"/>
    <w:rsid w:val="00467601"/>
    <w:rsid w:val="0046779D"/>
    <w:rsid w:val="00467949"/>
    <w:rsid w:val="00467B2B"/>
    <w:rsid w:val="00467BFD"/>
    <w:rsid w:val="0047009E"/>
    <w:rsid w:val="004708D8"/>
    <w:rsid w:val="00470A54"/>
    <w:rsid w:val="00470EF7"/>
    <w:rsid w:val="00470F2D"/>
    <w:rsid w:val="00470F2F"/>
    <w:rsid w:val="00471098"/>
    <w:rsid w:val="004710E8"/>
    <w:rsid w:val="00471330"/>
    <w:rsid w:val="004713F2"/>
    <w:rsid w:val="0047159B"/>
    <w:rsid w:val="00471828"/>
    <w:rsid w:val="00471AFD"/>
    <w:rsid w:val="00471C81"/>
    <w:rsid w:val="00471E32"/>
    <w:rsid w:val="004721A2"/>
    <w:rsid w:val="004724D2"/>
    <w:rsid w:val="0047254F"/>
    <w:rsid w:val="004731F6"/>
    <w:rsid w:val="00473580"/>
    <w:rsid w:val="004736CE"/>
    <w:rsid w:val="00473A0C"/>
    <w:rsid w:val="00473C89"/>
    <w:rsid w:val="00473C98"/>
    <w:rsid w:val="00473F9A"/>
    <w:rsid w:val="00473FF7"/>
    <w:rsid w:val="0047438E"/>
    <w:rsid w:val="00474C5B"/>
    <w:rsid w:val="00474D6D"/>
    <w:rsid w:val="00474E91"/>
    <w:rsid w:val="00475112"/>
    <w:rsid w:val="004752DF"/>
    <w:rsid w:val="004753FB"/>
    <w:rsid w:val="004754C0"/>
    <w:rsid w:val="004754ED"/>
    <w:rsid w:val="00475907"/>
    <w:rsid w:val="00475BB7"/>
    <w:rsid w:val="00475C03"/>
    <w:rsid w:val="00475C58"/>
    <w:rsid w:val="00475F00"/>
    <w:rsid w:val="0047607C"/>
    <w:rsid w:val="0047619D"/>
    <w:rsid w:val="004762FE"/>
    <w:rsid w:val="00476483"/>
    <w:rsid w:val="0047652F"/>
    <w:rsid w:val="0047659E"/>
    <w:rsid w:val="004769A5"/>
    <w:rsid w:val="00476B88"/>
    <w:rsid w:val="00477363"/>
    <w:rsid w:val="004773F7"/>
    <w:rsid w:val="004774E8"/>
    <w:rsid w:val="00477506"/>
    <w:rsid w:val="00477967"/>
    <w:rsid w:val="00477CE1"/>
    <w:rsid w:val="00477F6B"/>
    <w:rsid w:val="00480081"/>
    <w:rsid w:val="0048054E"/>
    <w:rsid w:val="0048077D"/>
    <w:rsid w:val="00480A2A"/>
    <w:rsid w:val="00480B9E"/>
    <w:rsid w:val="00480EB9"/>
    <w:rsid w:val="00480EF1"/>
    <w:rsid w:val="00480EFE"/>
    <w:rsid w:val="00481150"/>
    <w:rsid w:val="00481490"/>
    <w:rsid w:val="004818F4"/>
    <w:rsid w:val="00481C37"/>
    <w:rsid w:val="00481E74"/>
    <w:rsid w:val="00481FCF"/>
    <w:rsid w:val="00482006"/>
    <w:rsid w:val="004822DC"/>
    <w:rsid w:val="0048233F"/>
    <w:rsid w:val="00482428"/>
    <w:rsid w:val="00482C98"/>
    <w:rsid w:val="004832FC"/>
    <w:rsid w:val="00483511"/>
    <w:rsid w:val="0048376C"/>
    <w:rsid w:val="00483916"/>
    <w:rsid w:val="00483CCF"/>
    <w:rsid w:val="00483E84"/>
    <w:rsid w:val="00483F03"/>
    <w:rsid w:val="00484177"/>
    <w:rsid w:val="00484429"/>
    <w:rsid w:val="00484909"/>
    <w:rsid w:val="00484AEF"/>
    <w:rsid w:val="00484BBE"/>
    <w:rsid w:val="00484BCE"/>
    <w:rsid w:val="0048509F"/>
    <w:rsid w:val="0048510F"/>
    <w:rsid w:val="00485183"/>
    <w:rsid w:val="004852B5"/>
    <w:rsid w:val="0048582E"/>
    <w:rsid w:val="00485C7F"/>
    <w:rsid w:val="00485CBC"/>
    <w:rsid w:val="00486448"/>
    <w:rsid w:val="0048653F"/>
    <w:rsid w:val="00486618"/>
    <w:rsid w:val="00486DCC"/>
    <w:rsid w:val="00486DF5"/>
    <w:rsid w:val="00487979"/>
    <w:rsid w:val="00487B1A"/>
    <w:rsid w:val="00487B2C"/>
    <w:rsid w:val="00487B9E"/>
    <w:rsid w:val="00487EB9"/>
    <w:rsid w:val="004903E4"/>
    <w:rsid w:val="00490483"/>
    <w:rsid w:val="004908C5"/>
    <w:rsid w:val="00490AD6"/>
    <w:rsid w:val="00490E22"/>
    <w:rsid w:val="00490FF3"/>
    <w:rsid w:val="004910A6"/>
    <w:rsid w:val="00491348"/>
    <w:rsid w:val="0049144E"/>
    <w:rsid w:val="00491650"/>
    <w:rsid w:val="004918B7"/>
    <w:rsid w:val="0049199F"/>
    <w:rsid w:val="00491AC1"/>
    <w:rsid w:val="00491B71"/>
    <w:rsid w:val="0049217E"/>
    <w:rsid w:val="004926B9"/>
    <w:rsid w:val="0049277F"/>
    <w:rsid w:val="00492885"/>
    <w:rsid w:val="00492E21"/>
    <w:rsid w:val="00492EE9"/>
    <w:rsid w:val="00493250"/>
    <w:rsid w:val="004935CF"/>
    <w:rsid w:val="004936B2"/>
    <w:rsid w:val="00493FF5"/>
    <w:rsid w:val="0049414A"/>
    <w:rsid w:val="0049441B"/>
    <w:rsid w:val="00494482"/>
    <w:rsid w:val="00494C1A"/>
    <w:rsid w:val="00494E4E"/>
    <w:rsid w:val="00494F08"/>
    <w:rsid w:val="0049505D"/>
    <w:rsid w:val="0049507D"/>
    <w:rsid w:val="004950A5"/>
    <w:rsid w:val="00495342"/>
    <w:rsid w:val="004954B2"/>
    <w:rsid w:val="004955F2"/>
    <w:rsid w:val="0049581C"/>
    <w:rsid w:val="0049597D"/>
    <w:rsid w:val="00495CA5"/>
    <w:rsid w:val="0049620D"/>
    <w:rsid w:val="0049658B"/>
    <w:rsid w:val="004967BF"/>
    <w:rsid w:val="004967EF"/>
    <w:rsid w:val="00496A66"/>
    <w:rsid w:val="00496A86"/>
    <w:rsid w:val="00496D09"/>
    <w:rsid w:val="00497508"/>
    <w:rsid w:val="004976F3"/>
    <w:rsid w:val="00497FE5"/>
    <w:rsid w:val="004A00A2"/>
    <w:rsid w:val="004A0154"/>
    <w:rsid w:val="004A02A5"/>
    <w:rsid w:val="004A0530"/>
    <w:rsid w:val="004A055D"/>
    <w:rsid w:val="004A0633"/>
    <w:rsid w:val="004A06DF"/>
    <w:rsid w:val="004A0883"/>
    <w:rsid w:val="004A0C4E"/>
    <w:rsid w:val="004A0C65"/>
    <w:rsid w:val="004A0DC3"/>
    <w:rsid w:val="004A1135"/>
    <w:rsid w:val="004A137A"/>
    <w:rsid w:val="004A1527"/>
    <w:rsid w:val="004A190F"/>
    <w:rsid w:val="004A211D"/>
    <w:rsid w:val="004A21A6"/>
    <w:rsid w:val="004A23EE"/>
    <w:rsid w:val="004A292E"/>
    <w:rsid w:val="004A2986"/>
    <w:rsid w:val="004A3644"/>
    <w:rsid w:val="004A36E9"/>
    <w:rsid w:val="004A3D3D"/>
    <w:rsid w:val="004A40BE"/>
    <w:rsid w:val="004A40D1"/>
    <w:rsid w:val="004A414D"/>
    <w:rsid w:val="004A42CD"/>
    <w:rsid w:val="004A44B4"/>
    <w:rsid w:val="004A44E8"/>
    <w:rsid w:val="004A4DB6"/>
    <w:rsid w:val="004A51F8"/>
    <w:rsid w:val="004A539C"/>
    <w:rsid w:val="004A580B"/>
    <w:rsid w:val="004A5972"/>
    <w:rsid w:val="004A5A3C"/>
    <w:rsid w:val="004A5BEE"/>
    <w:rsid w:val="004A5E9D"/>
    <w:rsid w:val="004A633A"/>
    <w:rsid w:val="004A6516"/>
    <w:rsid w:val="004A6708"/>
    <w:rsid w:val="004A6823"/>
    <w:rsid w:val="004A6859"/>
    <w:rsid w:val="004A68DD"/>
    <w:rsid w:val="004A6956"/>
    <w:rsid w:val="004A6BC8"/>
    <w:rsid w:val="004A6E2E"/>
    <w:rsid w:val="004A6E81"/>
    <w:rsid w:val="004A7103"/>
    <w:rsid w:val="004A734A"/>
    <w:rsid w:val="004A76EA"/>
    <w:rsid w:val="004A79CB"/>
    <w:rsid w:val="004A7A5A"/>
    <w:rsid w:val="004A7A8E"/>
    <w:rsid w:val="004A7F89"/>
    <w:rsid w:val="004B02CF"/>
    <w:rsid w:val="004B04C0"/>
    <w:rsid w:val="004B0611"/>
    <w:rsid w:val="004B074B"/>
    <w:rsid w:val="004B131E"/>
    <w:rsid w:val="004B137C"/>
    <w:rsid w:val="004B1622"/>
    <w:rsid w:val="004B1948"/>
    <w:rsid w:val="004B195D"/>
    <w:rsid w:val="004B19DA"/>
    <w:rsid w:val="004B19FD"/>
    <w:rsid w:val="004B1B2F"/>
    <w:rsid w:val="004B1CD5"/>
    <w:rsid w:val="004B1E6E"/>
    <w:rsid w:val="004B221A"/>
    <w:rsid w:val="004B2559"/>
    <w:rsid w:val="004B2AAE"/>
    <w:rsid w:val="004B2FC5"/>
    <w:rsid w:val="004B365E"/>
    <w:rsid w:val="004B3ACC"/>
    <w:rsid w:val="004B3F7D"/>
    <w:rsid w:val="004B4024"/>
    <w:rsid w:val="004B4234"/>
    <w:rsid w:val="004B433D"/>
    <w:rsid w:val="004B48F4"/>
    <w:rsid w:val="004B4966"/>
    <w:rsid w:val="004B4A59"/>
    <w:rsid w:val="004B4CCA"/>
    <w:rsid w:val="004B4D64"/>
    <w:rsid w:val="004B51C5"/>
    <w:rsid w:val="004B5AA8"/>
    <w:rsid w:val="004B6430"/>
    <w:rsid w:val="004B6596"/>
    <w:rsid w:val="004B68E9"/>
    <w:rsid w:val="004B6E47"/>
    <w:rsid w:val="004B7109"/>
    <w:rsid w:val="004B7A18"/>
    <w:rsid w:val="004B7A45"/>
    <w:rsid w:val="004B7A64"/>
    <w:rsid w:val="004B7CC3"/>
    <w:rsid w:val="004B7E18"/>
    <w:rsid w:val="004B7E1F"/>
    <w:rsid w:val="004B7E79"/>
    <w:rsid w:val="004C0516"/>
    <w:rsid w:val="004C097E"/>
    <w:rsid w:val="004C0B37"/>
    <w:rsid w:val="004C0DBC"/>
    <w:rsid w:val="004C13DB"/>
    <w:rsid w:val="004C1D9E"/>
    <w:rsid w:val="004C2500"/>
    <w:rsid w:val="004C25E2"/>
    <w:rsid w:val="004C261D"/>
    <w:rsid w:val="004C26EB"/>
    <w:rsid w:val="004C277A"/>
    <w:rsid w:val="004C285D"/>
    <w:rsid w:val="004C2C26"/>
    <w:rsid w:val="004C2DFA"/>
    <w:rsid w:val="004C3424"/>
    <w:rsid w:val="004C3765"/>
    <w:rsid w:val="004C378C"/>
    <w:rsid w:val="004C38C1"/>
    <w:rsid w:val="004C3918"/>
    <w:rsid w:val="004C3D90"/>
    <w:rsid w:val="004C425A"/>
    <w:rsid w:val="004C45E2"/>
    <w:rsid w:val="004C462F"/>
    <w:rsid w:val="004C48B3"/>
    <w:rsid w:val="004C4AA5"/>
    <w:rsid w:val="004C4EA7"/>
    <w:rsid w:val="004C5286"/>
    <w:rsid w:val="004C5472"/>
    <w:rsid w:val="004C55B9"/>
    <w:rsid w:val="004C5746"/>
    <w:rsid w:val="004C57CB"/>
    <w:rsid w:val="004C5DA5"/>
    <w:rsid w:val="004C60C3"/>
    <w:rsid w:val="004C694C"/>
    <w:rsid w:val="004C6952"/>
    <w:rsid w:val="004C6A10"/>
    <w:rsid w:val="004C6CE4"/>
    <w:rsid w:val="004C7041"/>
    <w:rsid w:val="004C7265"/>
    <w:rsid w:val="004C75E7"/>
    <w:rsid w:val="004C7AD2"/>
    <w:rsid w:val="004C7D3E"/>
    <w:rsid w:val="004D053E"/>
    <w:rsid w:val="004D0564"/>
    <w:rsid w:val="004D0612"/>
    <w:rsid w:val="004D0894"/>
    <w:rsid w:val="004D08EE"/>
    <w:rsid w:val="004D0A05"/>
    <w:rsid w:val="004D0F1B"/>
    <w:rsid w:val="004D0F97"/>
    <w:rsid w:val="004D0FD3"/>
    <w:rsid w:val="004D1293"/>
    <w:rsid w:val="004D160C"/>
    <w:rsid w:val="004D186E"/>
    <w:rsid w:val="004D1B2A"/>
    <w:rsid w:val="004D1C7F"/>
    <w:rsid w:val="004D1E33"/>
    <w:rsid w:val="004D2225"/>
    <w:rsid w:val="004D223E"/>
    <w:rsid w:val="004D22DC"/>
    <w:rsid w:val="004D268A"/>
    <w:rsid w:val="004D2A6C"/>
    <w:rsid w:val="004D305C"/>
    <w:rsid w:val="004D31CB"/>
    <w:rsid w:val="004D3CA2"/>
    <w:rsid w:val="004D3F7E"/>
    <w:rsid w:val="004D3FE5"/>
    <w:rsid w:val="004D42AE"/>
    <w:rsid w:val="004D4CE3"/>
    <w:rsid w:val="004D5323"/>
    <w:rsid w:val="004D5400"/>
    <w:rsid w:val="004D5464"/>
    <w:rsid w:val="004D579A"/>
    <w:rsid w:val="004D57AD"/>
    <w:rsid w:val="004D5962"/>
    <w:rsid w:val="004D5E36"/>
    <w:rsid w:val="004D5ED1"/>
    <w:rsid w:val="004D5FFD"/>
    <w:rsid w:val="004D625E"/>
    <w:rsid w:val="004D6462"/>
    <w:rsid w:val="004D64C0"/>
    <w:rsid w:val="004D6686"/>
    <w:rsid w:val="004D6953"/>
    <w:rsid w:val="004D6C66"/>
    <w:rsid w:val="004D6E2D"/>
    <w:rsid w:val="004D6F0D"/>
    <w:rsid w:val="004D6FC5"/>
    <w:rsid w:val="004D753F"/>
    <w:rsid w:val="004D7549"/>
    <w:rsid w:val="004D784E"/>
    <w:rsid w:val="004D78A3"/>
    <w:rsid w:val="004D78B1"/>
    <w:rsid w:val="004D7A39"/>
    <w:rsid w:val="004D7C13"/>
    <w:rsid w:val="004E0074"/>
    <w:rsid w:val="004E0B85"/>
    <w:rsid w:val="004E0D77"/>
    <w:rsid w:val="004E0DE1"/>
    <w:rsid w:val="004E10F1"/>
    <w:rsid w:val="004E15C9"/>
    <w:rsid w:val="004E19D3"/>
    <w:rsid w:val="004E1A9E"/>
    <w:rsid w:val="004E1B0D"/>
    <w:rsid w:val="004E1B52"/>
    <w:rsid w:val="004E1B97"/>
    <w:rsid w:val="004E1BD8"/>
    <w:rsid w:val="004E1DC7"/>
    <w:rsid w:val="004E1E0F"/>
    <w:rsid w:val="004E209C"/>
    <w:rsid w:val="004E20E9"/>
    <w:rsid w:val="004E2586"/>
    <w:rsid w:val="004E2E24"/>
    <w:rsid w:val="004E3101"/>
    <w:rsid w:val="004E3113"/>
    <w:rsid w:val="004E346B"/>
    <w:rsid w:val="004E3593"/>
    <w:rsid w:val="004E431C"/>
    <w:rsid w:val="004E4435"/>
    <w:rsid w:val="004E44D7"/>
    <w:rsid w:val="004E451E"/>
    <w:rsid w:val="004E4A48"/>
    <w:rsid w:val="004E4BBE"/>
    <w:rsid w:val="004E4DB8"/>
    <w:rsid w:val="004E4EF6"/>
    <w:rsid w:val="004E4F6D"/>
    <w:rsid w:val="004E5463"/>
    <w:rsid w:val="004E57FA"/>
    <w:rsid w:val="004E5AF7"/>
    <w:rsid w:val="004E6044"/>
    <w:rsid w:val="004E61F4"/>
    <w:rsid w:val="004E6226"/>
    <w:rsid w:val="004E6390"/>
    <w:rsid w:val="004E6DA9"/>
    <w:rsid w:val="004E6DFC"/>
    <w:rsid w:val="004E71A4"/>
    <w:rsid w:val="004E73A5"/>
    <w:rsid w:val="004E76A6"/>
    <w:rsid w:val="004E7A6F"/>
    <w:rsid w:val="004E7C9C"/>
    <w:rsid w:val="004E7DF9"/>
    <w:rsid w:val="004E7EFF"/>
    <w:rsid w:val="004F00A3"/>
    <w:rsid w:val="004F0919"/>
    <w:rsid w:val="004F0920"/>
    <w:rsid w:val="004F09A8"/>
    <w:rsid w:val="004F0B5F"/>
    <w:rsid w:val="004F0D04"/>
    <w:rsid w:val="004F0F09"/>
    <w:rsid w:val="004F1188"/>
    <w:rsid w:val="004F1204"/>
    <w:rsid w:val="004F135B"/>
    <w:rsid w:val="004F14A6"/>
    <w:rsid w:val="004F1F55"/>
    <w:rsid w:val="004F1F89"/>
    <w:rsid w:val="004F22BC"/>
    <w:rsid w:val="004F251A"/>
    <w:rsid w:val="004F2AC4"/>
    <w:rsid w:val="004F2AE4"/>
    <w:rsid w:val="004F2E01"/>
    <w:rsid w:val="004F2E91"/>
    <w:rsid w:val="004F2ECB"/>
    <w:rsid w:val="004F2F0F"/>
    <w:rsid w:val="004F2F66"/>
    <w:rsid w:val="004F325A"/>
    <w:rsid w:val="004F3373"/>
    <w:rsid w:val="004F3516"/>
    <w:rsid w:val="004F35E6"/>
    <w:rsid w:val="004F3782"/>
    <w:rsid w:val="004F379D"/>
    <w:rsid w:val="004F3C61"/>
    <w:rsid w:val="004F3F14"/>
    <w:rsid w:val="004F4174"/>
    <w:rsid w:val="004F43B1"/>
    <w:rsid w:val="004F44A0"/>
    <w:rsid w:val="004F44EC"/>
    <w:rsid w:val="004F4644"/>
    <w:rsid w:val="004F46A4"/>
    <w:rsid w:val="004F499B"/>
    <w:rsid w:val="004F499D"/>
    <w:rsid w:val="004F4A6C"/>
    <w:rsid w:val="004F4A80"/>
    <w:rsid w:val="004F4DDB"/>
    <w:rsid w:val="004F4E50"/>
    <w:rsid w:val="004F5362"/>
    <w:rsid w:val="004F545F"/>
    <w:rsid w:val="004F57B3"/>
    <w:rsid w:val="004F6075"/>
    <w:rsid w:val="004F63A3"/>
    <w:rsid w:val="004F655D"/>
    <w:rsid w:val="004F65DE"/>
    <w:rsid w:val="004F6605"/>
    <w:rsid w:val="004F67A1"/>
    <w:rsid w:val="004F6A0A"/>
    <w:rsid w:val="004F6BA6"/>
    <w:rsid w:val="004F6D65"/>
    <w:rsid w:val="004F6D6D"/>
    <w:rsid w:val="004F715A"/>
    <w:rsid w:val="004F752D"/>
    <w:rsid w:val="004F770C"/>
    <w:rsid w:val="004F772F"/>
    <w:rsid w:val="004F7A2B"/>
    <w:rsid w:val="004F7A9E"/>
    <w:rsid w:val="004F7C47"/>
    <w:rsid w:val="004F7E6F"/>
    <w:rsid w:val="0050038A"/>
    <w:rsid w:val="0050043B"/>
    <w:rsid w:val="00500EFE"/>
    <w:rsid w:val="0050100B"/>
    <w:rsid w:val="00501374"/>
    <w:rsid w:val="005015A9"/>
    <w:rsid w:val="00501A2C"/>
    <w:rsid w:val="00502040"/>
    <w:rsid w:val="005021AE"/>
    <w:rsid w:val="00502915"/>
    <w:rsid w:val="00502C05"/>
    <w:rsid w:val="00502EFA"/>
    <w:rsid w:val="00502F10"/>
    <w:rsid w:val="00502F13"/>
    <w:rsid w:val="005032B3"/>
    <w:rsid w:val="005033BB"/>
    <w:rsid w:val="005033EA"/>
    <w:rsid w:val="0050353E"/>
    <w:rsid w:val="00503D95"/>
    <w:rsid w:val="00503DA0"/>
    <w:rsid w:val="00503FEA"/>
    <w:rsid w:val="00504405"/>
    <w:rsid w:val="00504992"/>
    <w:rsid w:val="00504E24"/>
    <w:rsid w:val="00505195"/>
    <w:rsid w:val="00505385"/>
    <w:rsid w:val="005054B9"/>
    <w:rsid w:val="00505635"/>
    <w:rsid w:val="0050574F"/>
    <w:rsid w:val="005057FA"/>
    <w:rsid w:val="005059D8"/>
    <w:rsid w:val="00505D15"/>
    <w:rsid w:val="00505DD2"/>
    <w:rsid w:val="005071E4"/>
    <w:rsid w:val="00507209"/>
    <w:rsid w:val="00507221"/>
    <w:rsid w:val="00507259"/>
    <w:rsid w:val="00507A18"/>
    <w:rsid w:val="00507BE0"/>
    <w:rsid w:val="00507E2F"/>
    <w:rsid w:val="00510130"/>
    <w:rsid w:val="00510219"/>
    <w:rsid w:val="0051054E"/>
    <w:rsid w:val="00510991"/>
    <w:rsid w:val="00510B28"/>
    <w:rsid w:val="00510C67"/>
    <w:rsid w:val="00510C7C"/>
    <w:rsid w:val="00510E18"/>
    <w:rsid w:val="0051134B"/>
    <w:rsid w:val="005113E9"/>
    <w:rsid w:val="0051169A"/>
    <w:rsid w:val="005116C1"/>
    <w:rsid w:val="0051188E"/>
    <w:rsid w:val="005118E0"/>
    <w:rsid w:val="0051264F"/>
    <w:rsid w:val="005129A1"/>
    <w:rsid w:val="00512A18"/>
    <w:rsid w:val="00512C38"/>
    <w:rsid w:val="00512C9A"/>
    <w:rsid w:val="005132B2"/>
    <w:rsid w:val="005133C7"/>
    <w:rsid w:val="00513852"/>
    <w:rsid w:val="00513CFE"/>
    <w:rsid w:val="00514020"/>
    <w:rsid w:val="00514085"/>
    <w:rsid w:val="00514215"/>
    <w:rsid w:val="005142B7"/>
    <w:rsid w:val="00514D52"/>
    <w:rsid w:val="005155C3"/>
    <w:rsid w:val="00515702"/>
    <w:rsid w:val="005157AE"/>
    <w:rsid w:val="005159A0"/>
    <w:rsid w:val="00515AD2"/>
    <w:rsid w:val="00515E8F"/>
    <w:rsid w:val="005160F9"/>
    <w:rsid w:val="005161BE"/>
    <w:rsid w:val="0051643D"/>
    <w:rsid w:val="00516785"/>
    <w:rsid w:val="005167C5"/>
    <w:rsid w:val="005169FC"/>
    <w:rsid w:val="00516C88"/>
    <w:rsid w:val="00516F62"/>
    <w:rsid w:val="00516F91"/>
    <w:rsid w:val="005171A9"/>
    <w:rsid w:val="00517958"/>
    <w:rsid w:val="00517A0C"/>
    <w:rsid w:val="00517CD4"/>
    <w:rsid w:val="00517EEC"/>
    <w:rsid w:val="00520083"/>
    <w:rsid w:val="00520174"/>
    <w:rsid w:val="005202FE"/>
    <w:rsid w:val="0052054F"/>
    <w:rsid w:val="005209AD"/>
    <w:rsid w:val="00520B99"/>
    <w:rsid w:val="00520D0B"/>
    <w:rsid w:val="00521094"/>
    <w:rsid w:val="005213F5"/>
    <w:rsid w:val="005214BD"/>
    <w:rsid w:val="0052190F"/>
    <w:rsid w:val="00521CEF"/>
    <w:rsid w:val="00521E3C"/>
    <w:rsid w:val="00521F2C"/>
    <w:rsid w:val="00522137"/>
    <w:rsid w:val="00522190"/>
    <w:rsid w:val="005223C3"/>
    <w:rsid w:val="00522626"/>
    <w:rsid w:val="0052275D"/>
    <w:rsid w:val="00522AC3"/>
    <w:rsid w:val="00523201"/>
    <w:rsid w:val="005233B7"/>
    <w:rsid w:val="005238F8"/>
    <w:rsid w:val="0052396E"/>
    <w:rsid w:val="005246CE"/>
    <w:rsid w:val="0052477F"/>
    <w:rsid w:val="00524866"/>
    <w:rsid w:val="0052493B"/>
    <w:rsid w:val="00524D6D"/>
    <w:rsid w:val="00524E8A"/>
    <w:rsid w:val="0052514A"/>
    <w:rsid w:val="00525317"/>
    <w:rsid w:val="00525481"/>
    <w:rsid w:val="005254DC"/>
    <w:rsid w:val="005255CF"/>
    <w:rsid w:val="005257DE"/>
    <w:rsid w:val="00525F99"/>
    <w:rsid w:val="00526421"/>
    <w:rsid w:val="0052670F"/>
    <w:rsid w:val="00526753"/>
    <w:rsid w:val="00526891"/>
    <w:rsid w:val="00526AE0"/>
    <w:rsid w:val="00526B90"/>
    <w:rsid w:val="00526CA4"/>
    <w:rsid w:val="00526D05"/>
    <w:rsid w:val="00527087"/>
    <w:rsid w:val="00527235"/>
    <w:rsid w:val="00527B5C"/>
    <w:rsid w:val="00527B98"/>
    <w:rsid w:val="00527C81"/>
    <w:rsid w:val="00527CD7"/>
    <w:rsid w:val="00527CF5"/>
    <w:rsid w:val="00527E7E"/>
    <w:rsid w:val="005301BE"/>
    <w:rsid w:val="005303E3"/>
    <w:rsid w:val="00530658"/>
    <w:rsid w:val="005306CE"/>
    <w:rsid w:val="00530834"/>
    <w:rsid w:val="00530F26"/>
    <w:rsid w:val="00531068"/>
    <w:rsid w:val="00531131"/>
    <w:rsid w:val="0053124A"/>
    <w:rsid w:val="00531364"/>
    <w:rsid w:val="005314B0"/>
    <w:rsid w:val="005315A3"/>
    <w:rsid w:val="005315B5"/>
    <w:rsid w:val="0053163C"/>
    <w:rsid w:val="0053165B"/>
    <w:rsid w:val="005318BA"/>
    <w:rsid w:val="00531A4B"/>
    <w:rsid w:val="00531C11"/>
    <w:rsid w:val="00531C63"/>
    <w:rsid w:val="00531E99"/>
    <w:rsid w:val="00531F2D"/>
    <w:rsid w:val="00531F63"/>
    <w:rsid w:val="00531FA0"/>
    <w:rsid w:val="00531FBF"/>
    <w:rsid w:val="0053209E"/>
    <w:rsid w:val="005321F6"/>
    <w:rsid w:val="00532745"/>
    <w:rsid w:val="00532BDD"/>
    <w:rsid w:val="00532D1A"/>
    <w:rsid w:val="00532D27"/>
    <w:rsid w:val="00532EBE"/>
    <w:rsid w:val="00533104"/>
    <w:rsid w:val="005334AE"/>
    <w:rsid w:val="005338AD"/>
    <w:rsid w:val="00533945"/>
    <w:rsid w:val="0053396C"/>
    <w:rsid w:val="00533BD0"/>
    <w:rsid w:val="00533D72"/>
    <w:rsid w:val="0053409B"/>
    <w:rsid w:val="00534325"/>
    <w:rsid w:val="0053453E"/>
    <w:rsid w:val="00534D71"/>
    <w:rsid w:val="00534FB9"/>
    <w:rsid w:val="005350C9"/>
    <w:rsid w:val="00535107"/>
    <w:rsid w:val="005357B1"/>
    <w:rsid w:val="00535F85"/>
    <w:rsid w:val="00535F96"/>
    <w:rsid w:val="005361E4"/>
    <w:rsid w:val="0053643C"/>
    <w:rsid w:val="005366A5"/>
    <w:rsid w:val="005366FC"/>
    <w:rsid w:val="00536EB2"/>
    <w:rsid w:val="00536F68"/>
    <w:rsid w:val="00537119"/>
    <w:rsid w:val="00537373"/>
    <w:rsid w:val="00537561"/>
    <w:rsid w:val="0053769F"/>
    <w:rsid w:val="00537749"/>
    <w:rsid w:val="005378CE"/>
    <w:rsid w:val="005379AA"/>
    <w:rsid w:val="00537A3F"/>
    <w:rsid w:val="00537B73"/>
    <w:rsid w:val="005403C0"/>
    <w:rsid w:val="00540F52"/>
    <w:rsid w:val="005411B8"/>
    <w:rsid w:val="0054124B"/>
    <w:rsid w:val="00541460"/>
    <w:rsid w:val="0054177B"/>
    <w:rsid w:val="005418AD"/>
    <w:rsid w:val="00541D66"/>
    <w:rsid w:val="00541DDC"/>
    <w:rsid w:val="0054238D"/>
    <w:rsid w:val="00542A5F"/>
    <w:rsid w:val="00542A9B"/>
    <w:rsid w:val="00542D59"/>
    <w:rsid w:val="00543435"/>
    <w:rsid w:val="00544044"/>
    <w:rsid w:val="005442E3"/>
    <w:rsid w:val="005447C1"/>
    <w:rsid w:val="00544BFA"/>
    <w:rsid w:val="005451DA"/>
    <w:rsid w:val="0054522D"/>
    <w:rsid w:val="005454F1"/>
    <w:rsid w:val="00545D8E"/>
    <w:rsid w:val="00545DE7"/>
    <w:rsid w:val="00545FC8"/>
    <w:rsid w:val="005460CE"/>
    <w:rsid w:val="0054610A"/>
    <w:rsid w:val="0054643C"/>
    <w:rsid w:val="0054663E"/>
    <w:rsid w:val="00546784"/>
    <w:rsid w:val="00546A90"/>
    <w:rsid w:val="00546BCA"/>
    <w:rsid w:val="00546C27"/>
    <w:rsid w:val="00546D04"/>
    <w:rsid w:val="00546D9F"/>
    <w:rsid w:val="00546EFC"/>
    <w:rsid w:val="00546F47"/>
    <w:rsid w:val="00547C25"/>
    <w:rsid w:val="00547D74"/>
    <w:rsid w:val="0055033D"/>
    <w:rsid w:val="00550532"/>
    <w:rsid w:val="005506F3"/>
    <w:rsid w:val="00550A3A"/>
    <w:rsid w:val="00550B63"/>
    <w:rsid w:val="00550CB1"/>
    <w:rsid w:val="00550DCD"/>
    <w:rsid w:val="005512EF"/>
    <w:rsid w:val="00551D86"/>
    <w:rsid w:val="00551E05"/>
    <w:rsid w:val="0055251C"/>
    <w:rsid w:val="00552628"/>
    <w:rsid w:val="00552B8A"/>
    <w:rsid w:val="00552D08"/>
    <w:rsid w:val="005536A8"/>
    <w:rsid w:val="005539F5"/>
    <w:rsid w:val="00553AD5"/>
    <w:rsid w:val="00553C2E"/>
    <w:rsid w:val="00553E15"/>
    <w:rsid w:val="00553FAB"/>
    <w:rsid w:val="00554032"/>
    <w:rsid w:val="005542BE"/>
    <w:rsid w:val="00554585"/>
    <w:rsid w:val="0055459B"/>
    <w:rsid w:val="005545C7"/>
    <w:rsid w:val="005548D3"/>
    <w:rsid w:val="00554F3B"/>
    <w:rsid w:val="00554FB6"/>
    <w:rsid w:val="005550F5"/>
    <w:rsid w:val="00555C1F"/>
    <w:rsid w:val="00555CC4"/>
    <w:rsid w:val="00555D59"/>
    <w:rsid w:val="00555E22"/>
    <w:rsid w:val="00555EAB"/>
    <w:rsid w:val="00555FD6"/>
    <w:rsid w:val="00556155"/>
    <w:rsid w:val="005563B7"/>
    <w:rsid w:val="005564A0"/>
    <w:rsid w:val="005577FD"/>
    <w:rsid w:val="00557936"/>
    <w:rsid w:val="005579C9"/>
    <w:rsid w:val="00557A36"/>
    <w:rsid w:val="00557B06"/>
    <w:rsid w:val="00557CFA"/>
    <w:rsid w:val="005600A3"/>
    <w:rsid w:val="00560118"/>
    <w:rsid w:val="005603A6"/>
    <w:rsid w:val="00560C2D"/>
    <w:rsid w:val="00560D55"/>
    <w:rsid w:val="005619A0"/>
    <w:rsid w:val="00561C7F"/>
    <w:rsid w:val="00561EF9"/>
    <w:rsid w:val="005621CE"/>
    <w:rsid w:val="0056239B"/>
    <w:rsid w:val="00562D96"/>
    <w:rsid w:val="00562FDC"/>
    <w:rsid w:val="00563767"/>
    <w:rsid w:val="005637CD"/>
    <w:rsid w:val="005638E7"/>
    <w:rsid w:val="00563901"/>
    <w:rsid w:val="00563E02"/>
    <w:rsid w:val="00563FEF"/>
    <w:rsid w:val="0056402A"/>
    <w:rsid w:val="005640E3"/>
    <w:rsid w:val="00564180"/>
    <w:rsid w:val="0056422E"/>
    <w:rsid w:val="0056463E"/>
    <w:rsid w:val="00564661"/>
    <w:rsid w:val="00564791"/>
    <w:rsid w:val="00564FE9"/>
    <w:rsid w:val="00565964"/>
    <w:rsid w:val="00565E7D"/>
    <w:rsid w:val="00565F4B"/>
    <w:rsid w:val="00566510"/>
    <w:rsid w:val="0056652D"/>
    <w:rsid w:val="005665D5"/>
    <w:rsid w:val="005669F2"/>
    <w:rsid w:val="00566D94"/>
    <w:rsid w:val="00567028"/>
    <w:rsid w:val="005670FB"/>
    <w:rsid w:val="00567148"/>
    <w:rsid w:val="005677C5"/>
    <w:rsid w:val="005678BD"/>
    <w:rsid w:val="0057007C"/>
    <w:rsid w:val="005700C8"/>
    <w:rsid w:val="005705A5"/>
    <w:rsid w:val="005706F4"/>
    <w:rsid w:val="00570714"/>
    <w:rsid w:val="00570BF9"/>
    <w:rsid w:val="00570D29"/>
    <w:rsid w:val="00571094"/>
    <w:rsid w:val="0057110A"/>
    <w:rsid w:val="0057116A"/>
    <w:rsid w:val="005712AB"/>
    <w:rsid w:val="00571304"/>
    <w:rsid w:val="005715F6"/>
    <w:rsid w:val="005716D3"/>
    <w:rsid w:val="005719B8"/>
    <w:rsid w:val="00571C50"/>
    <w:rsid w:val="005723E8"/>
    <w:rsid w:val="00572A64"/>
    <w:rsid w:val="00572D0E"/>
    <w:rsid w:val="0057350C"/>
    <w:rsid w:val="00573666"/>
    <w:rsid w:val="0057370D"/>
    <w:rsid w:val="00573725"/>
    <w:rsid w:val="0057398B"/>
    <w:rsid w:val="00573A4F"/>
    <w:rsid w:val="00573C92"/>
    <w:rsid w:val="00573EE6"/>
    <w:rsid w:val="00573F85"/>
    <w:rsid w:val="0057430F"/>
    <w:rsid w:val="00574A6E"/>
    <w:rsid w:val="00574CBB"/>
    <w:rsid w:val="00574D3A"/>
    <w:rsid w:val="00574FEC"/>
    <w:rsid w:val="0057572A"/>
    <w:rsid w:val="00575752"/>
    <w:rsid w:val="00575926"/>
    <w:rsid w:val="005759FD"/>
    <w:rsid w:val="00575CAE"/>
    <w:rsid w:val="00576306"/>
    <w:rsid w:val="005766AE"/>
    <w:rsid w:val="00576874"/>
    <w:rsid w:val="005768C8"/>
    <w:rsid w:val="005769B8"/>
    <w:rsid w:val="00576CFE"/>
    <w:rsid w:val="00576E00"/>
    <w:rsid w:val="0057705B"/>
    <w:rsid w:val="0057729E"/>
    <w:rsid w:val="00577310"/>
    <w:rsid w:val="005775DF"/>
    <w:rsid w:val="005777D1"/>
    <w:rsid w:val="00577819"/>
    <w:rsid w:val="0057799F"/>
    <w:rsid w:val="00577EB7"/>
    <w:rsid w:val="00580039"/>
    <w:rsid w:val="0058022F"/>
    <w:rsid w:val="005802C8"/>
    <w:rsid w:val="00580346"/>
    <w:rsid w:val="005803C4"/>
    <w:rsid w:val="00580943"/>
    <w:rsid w:val="005809F8"/>
    <w:rsid w:val="00580ED7"/>
    <w:rsid w:val="00581004"/>
    <w:rsid w:val="00581075"/>
    <w:rsid w:val="005814DC"/>
    <w:rsid w:val="00581B62"/>
    <w:rsid w:val="00581B71"/>
    <w:rsid w:val="00581BA2"/>
    <w:rsid w:val="00581C6A"/>
    <w:rsid w:val="005822E5"/>
    <w:rsid w:val="005826DB"/>
    <w:rsid w:val="00582741"/>
    <w:rsid w:val="005829AB"/>
    <w:rsid w:val="005834B0"/>
    <w:rsid w:val="00583642"/>
    <w:rsid w:val="005838FF"/>
    <w:rsid w:val="00583984"/>
    <w:rsid w:val="00583A7E"/>
    <w:rsid w:val="00583C29"/>
    <w:rsid w:val="00583CAC"/>
    <w:rsid w:val="00583F62"/>
    <w:rsid w:val="00584078"/>
    <w:rsid w:val="0058461A"/>
    <w:rsid w:val="005849B4"/>
    <w:rsid w:val="00584E56"/>
    <w:rsid w:val="00584FB3"/>
    <w:rsid w:val="0058508E"/>
    <w:rsid w:val="00585228"/>
    <w:rsid w:val="005854F3"/>
    <w:rsid w:val="00585863"/>
    <w:rsid w:val="00585900"/>
    <w:rsid w:val="00585BB3"/>
    <w:rsid w:val="00585CB8"/>
    <w:rsid w:val="00586C6D"/>
    <w:rsid w:val="00586D42"/>
    <w:rsid w:val="00587189"/>
    <w:rsid w:val="00587562"/>
    <w:rsid w:val="0058767D"/>
    <w:rsid w:val="00590322"/>
    <w:rsid w:val="0059034A"/>
    <w:rsid w:val="005903F6"/>
    <w:rsid w:val="00590AEC"/>
    <w:rsid w:val="00590C42"/>
    <w:rsid w:val="00590D27"/>
    <w:rsid w:val="00591384"/>
    <w:rsid w:val="005916BB"/>
    <w:rsid w:val="005916DD"/>
    <w:rsid w:val="005917D4"/>
    <w:rsid w:val="0059182C"/>
    <w:rsid w:val="005918E3"/>
    <w:rsid w:val="00591A18"/>
    <w:rsid w:val="00591F5E"/>
    <w:rsid w:val="0059278B"/>
    <w:rsid w:val="00592837"/>
    <w:rsid w:val="0059289A"/>
    <w:rsid w:val="00592E78"/>
    <w:rsid w:val="00593000"/>
    <w:rsid w:val="005931B7"/>
    <w:rsid w:val="005934AF"/>
    <w:rsid w:val="00593963"/>
    <w:rsid w:val="005939F9"/>
    <w:rsid w:val="00593B02"/>
    <w:rsid w:val="00593E5A"/>
    <w:rsid w:val="00593F89"/>
    <w:rsid w:val="005941B8"/>
    <w:rsid w:val="005945C7"/>
    <w:rsid w:val="00594710"/>
    <w:rsid w:val="00594BE3"/>
    <w:rsid w:val="00594C56"/>
    <w:rsid w:val="005953A6"/>
    <w:rsid w:val="00595591"/>
    <w:rsid w:val="00595E2B"/>
    <w:rsid w:val="005960D3"/>
    <w:rsid w:val="00596631"/>
    <w:rsid w:val="00596812"/>
    <w:rsid w:val="005968CF"/>
    <w:rsid w:val="00596EFA"/>
    <w:rsid w:val="0059714E"/>
    <w:rsid w:val="005973C0"/>
    <w:rsid w:val="005975AF"/>
    <w:rsid w:val="005975B4"/>
    <w:rsid w:val="005975DF"/>
    <w:rsid w:val="00597C1A"/>
    <w:rsid w:val="00597C92"/>
    <w:rsid w:val="00597FCC"/>
    <w:rsid w:val="005A0091"/>
    <w:rsid w:val="005A0413"/>
    <w:rsid w:val="005A05EF"/>
    <w:rsid w:val="005A073A"/>
    <w:rsid w:val="005A0A51"/>
    <w:rsid w:val="005A0D12"/>
    <w:rsid w:val="005A0DB7"/>
    <w:rsid w:val="005A0DCE"/>
    <w:rsid w:val="005A0F2C"/>
    <w:rsid w:val="005A0F55"/>
    <w:rsid w:val="005A0FFA"/>
    <w:rsid w:val="005A105E"/>
    <w:rsid w:val="005A10E3"/>
    <w:rsid w:val="005A12A2"/>
    <w:rsid w:val="005A13A4"/>
    <w:rsid w:val="005A165E"/>
    <w:rsid w:val="005A16F5"/>
    <w:rsid w:val="005A1913"/>
    <w:rsid w:val="005A19A6"/>
    <w:rsid w:val="005A1D22"/>
    <w:rsid w:val="005A1F49"/>
    <w:rsid w:val="005A244C"/>
    <w:rsid w:val="005A2457"/>
    <w:rsid w:val="005A263A"/>
    <w:rsid w:val="005A2AFD"/>
    <w:rsid w:val="005A2B9C"/>
    <w:rsid w:val="005A2C8C"/>
    <w:rsid w:val="005A3578"/>
    <w:rsid w:val="005A37E6"/>
    <w:rsid w:val="005A38AB"/>
    <w:rsid w:val="005A3B52"/>
    <w:rsid w:val="005A4550"/>
    <w:rsid w:val="005A45F1"/>
    <w:rsid w:val="005A469F"/>
    <w:rsid w:val="005A4AD8"/>
    <w:rsid w:val="005A4FBC"/>
    <w:rsid w:val="005A5261"/>
    <w:rsid w:val="005A52FE"/>
    <w:rsid w:val="005A5489"/>
    <w:rsid w:val="005A54B1"/>
    <w:rsid w:val="005A57CD"/>
    <w:rsid w:val="005A582C"/>
    <w:rsid w:val="005A5B0B"/>
    <w:rsid w:val="005A5CF0"/>
    <w:rsid w:val="005A5D20"/>
    <w:rsid w:val="005A5E5A"/>
    <w:rsid w:val="005A5E8A"/>
    <w:rsid w:val="005A603F"/>
    <w:rsid w:val="005A6219"/>
    <w:rsid w:val="005A633E"/>
    <w:rsid w:val="005A6499"/>
    <w:rsid w:val="005A64D6"/>
    <w:rsid w:val="005A667A"/>
    <w:rsid w:val="005A688B"/>
    <w:rsid w:val="005A68C1"/>
    <w:rsid w:val="005A6AB0"/>
    <w:rsid w:val="005A72F2"/>
    <w:rsid w:val="005A7413"/>
    <w:rsid w:val="005A76E5"/>
    <w:rsid w:val="005A7732"/>
    <w:rsid w:val="005A7792"/>
    <w:rsid w:val="005A77A6"/>
    <w:rsid w:val="005A7AE1"/>
    <w:rsid w:val="005A7F05"/>
    <w:rsid w:val="005B03DD"/>
    <w:rsid w:val="005B0632"/>
    <w:rsid w:val="005B08C1"/>
    <w:rsid w:val="005B0B5B"/>
    <w:rsid w:val="005B0C6E"/>
    <w:rsid w:val="005B0CC5"/>
    <w:rsid w:val="005B0D8D"/>
    <w:rsid w:val="005B0FA9"/>
    <w:rsid w:val="005B1097"/>
    <w:rsid w:val="005B157C"/>
    <w:rsid w:val="005B165F"/>
    <w:rsid w:val="005B183D"/>
    <w:rsid w:val="005B1EA2"/>
    <w:rsid w:val="005B20E4"/>
    <w:rsid w:val="005B21C9"/>
    <w:rsid w:val="005B23BA"/>
    <w:rsid w:val="005B264B"/>
    <w:rsid w:val="005B27E4"/>
    <w:rsid w:val="005B28ED"/>
    <w:rsid w:val="005B2AC5"/>
    <w:rsid w:val="005B3123"/>
    <w:rsid w:val="005B356D"/>
    <w:rsid w:val="005B3B4C"/>
    <w:rsid w:val="005B41C3"/>
    <w:rsid w:val="005B458E"/>
    <w:rsid w:val="005B45A9"/>
    <w:rsid w:val="005B478B"/>
    <w:rsid w:val="005B48E3"/>
    <w:rsid w:val="005B49E4"/>
    <w:rsid w:val="005B5054"/>
    <w:rsid w:val="005B526C"/>
    <w:rsid w:val="005B53B8"/>
    <w:rsid w:val="005B5A38"/>
    <w:rsid w:val="005B5ABC"/>
    <w:rsid w:val="005B60EB"/>
    <w:rsid w:val="005B640B"/>
    <w:rsid w:val="005B652E"/>
    <w:rsid w:val="005B6BB0"/>
    <w:rsid w:val="005B6D09"/>
    <w:rsid w:val="005B7027"/>
    <w:rsid w:val="005B729B"/>
    <w:rsid w:val="005B7512"/>
    <w:rsid w:val="005B76D9"/>
    <w:rsid w:val="005B76DA"/>
    <w:rsid w:val="005B77A8"/>
    <w:rsid w:val="005B7957"/>
    <w:rsid w:val="005B7AA9"/>
    <w:rsid w:val="005B7B2C"/>
    <w:rsid w:val="005B7B89"/>
    <w:rsid w:val="005B7C6C"/>
    <w:rsid w:val="005B7D60"/>
    <w:rsid w:val="005B7F3C"/>
    <w:rsid w:val="005B7F43"/>
    <w:rsid w:val="005C00CA"/>
    <w:rsid w:val="005C03BF"/>
    <w:rsid w:val="005C06C7"/>
    <w:rsid w:val="005C0A7A"/>
    <w:rsid w:val="005C0B99"/>
    <w:rsid w:val="005C0DDF"/>
    <w:rsid w:val="005C0E52"/>
    <w:rsid w:val="005C0E5A"/>
    <w:rsid w:val="005C103A"/>
    <w:rsid w:val="005C119F"/>
    <w:rsid w:val="005C1251"/>
    <w:rsid w:val="005C1A47"/>
    <w:rsid w:val="005C1F99"/>
    <w:rsid w:val="005C20AF"/>
    <w:rsid w:val="005C20F5"/>
    <w:rsid w:val="005C2294"/>
    <w:rsid w:val="005C252C"/>
    <w:rsid w:val="005C254C"/>
    <w:rsid w:val="005C2A50"/>
    <w:rsid w:val="005C2B07"/>
    <w:rsid w:val="005C2B2C"/>
    <w:rsid w:val="005C2C11"/>
    <w:rsid w:val="005C2C5D"/>
    <w:rsid w:val="005C2DC0"/>
    <w:rsid w:val="005C3314"/>
    <w:rsid w:val="005C3926"/>
    <w:rsid w:val="005C3BBB"/>
    <w:rsid w:val="005C407F"/>
    <w:rsid w:val="005C4246"/>
    <w:rsid w:val="005C447E"/>
    <w:rsid w:val="005C448D"/>
    <w:rsid w:val="005C47BB"/>
    <w:rsid w:val="005C50E7"/>
    <w:rsid w:val="005C52A4"/>
    <w:rsid w:val="005C6355"/>
    <w:rsid w:val="005C6454"/>
    <w:rsid w:val="005C64B1"/>
    <w:rsid w:val="005C685D"/>
    <w:rsid w:val="005C6D4B"/>
    <w:rsid w:val="005C6D68"/>
    <w:rsid w:val="005C6EEB"/>
    <w:rsid w:val="005C6FCD"/>
    <w:rsid w:val="005C7555"/>
    <w:rsid w:val="005C7D64"/>
    <w:rsid w:val="005D015A"/>
    <w:rsid w:val="005D0204"/>
    <w:rsid w:val="005D03BF"/>
    <w:rsid w:val="005D0792"/>
    <w:rsid w:val="005D08ED"/>
    <w:rsid w:val="005D0B38"/>
    <w:rsid w:val="005D0D22"/>
    <w:rsid w:val="005D0F0F"/>
    <w:rsid w:val="005D16FF"/>
    <w:rsid w:val="005D18C1"/>
    <w:rsid w:val="005D1D4D"/>
    <w:rsid w:val="005D1D5E"/>
    <w:rsid w:val="005D1F7F"/>
    <w:rsid w:val="005D234F"/>
    <w:rsid w:val="005D2586"/>
    <w:rsid w:val="005D26F8"/>
    <w:rsid w:val="005D2B07"/>
    <w:rsid w:val="005D2BB3"/>
    <w:rsid w:val="005D317E"/>
    <w:rsid w:val="005D32C2"/>
    <w:rsid w:val="005D3377"/>
    <w:rsid w:val="005D337E"/>
    <w:rsid w:val="005D3404"/>
    <w:rsid w:val="005D3458"/>
    <w:rsid w:val="005D353B"/>
    <w:rsid w:val="005D36F0"/>
    <w:rsid w:val="005D373A"/>
    <w:rsid w:val="005D38D7"/>
    <w:rsid w:val="005D3975"/>
    <w:rsid w:val="005D3CEA"/>
    <w:rsid w:val="005D4000"/>
    <w:rsid w:val="005D414A"/>
    <w:rsid w:val="005D41CC"/>
    <w:rsid w:val="005D4A99"/>
    <w:rsid w:val="005D4C89"/>
    <w:rsid w:val="005D53C9"/>
    <w:rsid w:val="005D5747"/>
    <w:rsid w:val="005D576B"/>
    <w:rsid w:val="005D5891"/>
    <w:rsid w:val="005D5984"/>
    <w:rsid w:val="005D5FFE"/>
    <w:rsid w:val="005D6167"/>
    <w:rsid w:val="005D64BB"/>
    <w:rsid w:val="005D6EBB"/>
    <w:rsid w:val="005D6FC6"/>
    <w:rsid w:val="005D79E0"/>
    <w:rsid w:val="005E01B6"/>
    <w:rsid w:val="005E0412"/>
    <w:rsid w:val="005E0544"/>
    <w:rsid w:val="005E0793"/>
    <w:rsid w:val="005E08C0"/>
    <w:rsid w:val="005E0917"/>
    <w:rsid w:val="005E0C3B"/>
    <w:rsid w:val="005E0D10"/>
    <w:rsid w:val="005E0D40"/>
    <w:rsid w:val="005E0D5B"/>
    <w:rsid w:val="005E0ECE"/>
    <w:rsid w:val="005E12A8"/>
    <w:rsid w:val="005E16D5"/>
    <w:rsid w:val="005E186F"/>
    <w:rsid w:val="005E1879"/>
    <w:rsid w:val="005E1A80"/>
    <w:rsid w:val="005E1A97"/>
    <w:rsid w:val="005E1B2A"/>
    <w:rsid w:val="005E1C06"/>
    <w:rsid w:val="005E1F4E"/>
    <w:rsid w:val="005E20E1"/>
    <w:rsid w:val="005E237A"/>
    <w:rsid w:val="005E297F"/>
    <w:rsid w:val="005E2A19"/>
    <w:rsid w:val="005E2F7D"/>
    <w:rsid w:val="005E3215"/>
    <w:rsid w:val="005E3277"/>
    <w:rsid w:val="005E3896"/>
    <w:rsid w:val="005E3CD6"/>
    <w:rsid w:val="005E3EEC"/>
    <w:rsid w:val="005E3F84"/>
    <w:rsid w:val="005E3FCD"/>
    <w:rsid w:val="005E43E0"/>
    <w:rsid w:val="005E44E0"/>
    <w:rsid w:val="005E458E"/>
    <w:rsid w:val="005E4CF9"/>
    <w:rsid w:val="005E4DF2"/>
    <w:rsid w:val="005E4EC3"/>
    <w:rsid w:val="005E565E"/>
    <w:rsid w:val="005E5C7F"/>
    <w:rsid w:val="005E5EE1"/>
    <w:rsid w:val="005E61A5"/>
    <w:rsid w:val="005E6277"/>
    <w:rsid w:val="005E69EC"/>
    <w:rsid w:val="005E6AD0"/>
    <w:rsid w:val="005E7047"/>
    <w:rsid w:val="005E713A"/>
    <w:rsid w:val="005E7198"/>
    <w:rsid w:val="005E7345"/>
    <w:rsid w:val="005E7642"/>
    <w:rsid w:val="005E7815"/>
    <w:rsid w:val="005E78C3"/>
    <w:rsid w:val="005E7A08"/>
    <w:rsid w:val="005E7C39"/>
    <w:rsid w:val="005E7CA8"/>
    <w:rsid w:val="005E7D49"/>
    <w:rsid w:val="005F065C"/>
    <w:rsid w:val="005F0791"/>
    <w:rsid w:val="005F0884"/>
    <w:rsid w:val="005F094A"/>
    <w:rsid w:val="005F0CFB"/>
    <w:rsid w:val="005F0D4B"/>
    <w:rsid w:val="005F1A1F"/>
    <w:rsid w:val="005F1A9B"/>
    <w:rsid w:val="005F1AFD"/>
    <w:rsid w:val="005F2015"/>
    <w:rsid w:val="005F221A"/>
    <w:rsid w:val="005F23BF"/>
    <w:rsid w:val="005F24A7"/>
    <w:rsid w:val="005F24C7"/>
    <w:rsid w:val="005F3273"/>
    <w:rsid w:val="005F33D2"/>
    <w:rsid w:val="005F3745"/>
    <w:rsid w:val="005F3E23"/>
    <w:rsid w:val="005F4445"/>
    <w:rsid w:val="005F46E2"/>
    <w:rsid w:val="005F46E8"/>
    <w:rsid w:val="005F486D"/>
    <w:rsid w:val="005F4B61"/>
    <w:rsid w:val="005F4D17"/>
    <w:rsid w:val="005F4EED"/>
    <w:rsid w:val="005F523D"/>
    <w:rsid w:val="005F54EB"/>
    <w:rsid w:val="005F5895"/>
    <w:rsid w:val="005F5A90"/>
    <w:rsid w:val="005F5AFA"/>
    <w:rsid w:val="005F5E57"/>
    <w:rsid w:val="005F5E69"/>
    <w:rsid w:val="005F5E7A"/>
    <w:rsid w:val="005F60AF"/>
    <w:rsid w:val="005F6257"/>
    <w:rsid w:val="005F64B7"/>
    <w:rsid w:val="005F64C2"/>
    <w:rsid w:val="005F6698"/>
    <w:rsid w:val="005F6EDA"/>
    <w:rsid w:val="005F7722"/>
    <w:rsid w:val="005F7993"/>
    <w:rsid w:val="005F7B1F"/>
    <w:rsid w:val="005F7D45"/>
    <w:rsid w:val="00600155"/>
    <w:rsid w:val="0060020C"/>
    <w:rsid w:val="006002CA"/>
    <w:rsid w:val="006003FA"/>
    <w:rsid w:val="00600509"/>
    <w:rsid w:val="006009E7"/>
    <w:rsid w:val="00600A9B"/>
    <w:rsid w:val="00600B06"/>
    <w:rsid w:val="00601216"/>
    <w:rsid w:val="00601244"/>
    <w:rsid w:val="00601503"/>
    <w:rsid w:val="006015F1"/>
    <w:rsid w:val="00601AB5"/>
    <w:rsid w:val="00601B77"/>
    <w:rsid w:val="00601C9D"/>
    <w:rsid w:val="00601F4C"/>
    <w:rsid w:val="006020C7"/>
    <w:rsid w:val="0060215D"/>
    <w:rsid w:val="006021C7"/>
    <w:rsid w:val="006022BC"/>
    <w:rsid w:val="006028C2"/>
    <w:rsid w:val="00602E6C"/>
    <w:rsid w:val="006030BA"/>
    <w:rsid w:val="006030DA"/>
    <w:rsid w:val="00603204"/>
    <w:rsid w:val="00603457"/>
    <w:rsid w:val="006035A4"/>
    <w:rsid w:val="00603668"/>
    <w:rsid w:val="00603935"/>
    <w:rsid w:val="00603BEA"/>
    <w:rsid w:val="00603C82"/>
    <w:rsid w:val="00603F9D"/>
    <w:rsid w:val="0060409B"/>
    <w:rsid w:val="00604266"/>
    <w:rsid w:val="00604478"/>
    <w:rsid w:val="0060450E"/>
    <w:rsid w:val="00604517"/>
    <w:rsid w:val="00604520"/>
    <w:rsid w:val="006046F2"/>
    <w:rsid w:val="0060478F"/>
    <w:rsid w:val="006048B3"/>
    <w:rsid w:val="00604E15"/>
    <w:rsid w:val="00604E7D"/>
    <w:rsid w:val="00604FFD"/>
    <w:rsid w:val="006050D0"/>
    <w:rsid w:val="006053AA"/>
    <w:rsid w:val="006056B3"/>
    <w:rsid w:val="0060590F"/>
    <w:rsid w:val="00605CFC"/>
    <w:rsid w:val="00605D21"/>
    <w:rsid w:val="006065BB"/>
    <w:rsid w:val="006065D3"/>
    <w:rsid w:val="00606A92"/>
    <w:rsid w:val="00606BD4"/>
    <w:rsid w:val="00606D05"/>
    <w:rsid w:val="00606F9B"/>
    <w:rsid w:val="00607158"/>
    <w:rsid w:val="00607213"/>
    <w:rsid w:val="00607215"/>
    <w:rsid w:val="00607295"/>
    <w:rsid w:val="006074EB"/>
    <w:rsid w:val="00607712"/>
    <w:rsid w:val="00607D7D"/>
    <w:rsid w:val="00607E6B"/>
    <w:rsid w:val="00610A64"/>
    <w:rsid w:val="00610D14"/>
    <w:rsid w:val="00610F4C"/>
    <w:rsid w:val="00611094"/>
    <w:rsid w:val="006118C2"/>
    <w:rsid w:val="0061196C"/>
    <w:rsid w:val="00611F3E"/>
    <w:rsid w:val="006120C9"/>
    <w:rsid w:val="006120E2"/>
    <w:rsid w:val="006129A9"/>
    <w:rsid w:val="00612B23"/>
    <w:rsid w:val="00612B28"/>
    <w:rsid w:val="00612B9F"/>
    <w:rsid w:val="00612C61"/>
    <w:rsid w:val="00612F03"/>
    <w:rsid w:val="0061343A"/>
    <w:rsid w:val="006136D9"/>
    <w:rsid w:val="0061375D"/>
    <w:rsid w:val="006143A8"/>
    <w:rsid w:val="00614537"/>
    <w:rsid w:val="006146E6"/>
    <w:rsid w:val="00614768"/>
    <w:rsid w:val="00614C33"/>
    <w:rsid w:val="00614CF6"/>
    <w:rsid w:val="00614FF6"/>
    <w:rsid w:val="00615396"/>
    <w:rsid w:val="00615600"/>
    <w:rsid w:val="006156AF"/>
    <w:rsid w:val="006159DD"/>
    <w:rsid w:val="00615A34"/>
    <w:rsid w:val="006160A3"/>
    <w:rsid w:val="006167DA"/>
    <w:rsid w:val="006169CC"/>
    <w:rsid w:val="00616B53"/>
    <w:rsid w:val="006171F4"/>
    <w:rsid w:val="00617209"/>
    <w:rsid w:val="006174EF"/>
    <w:rsid w:val="006175E3"/>
    <w:rsid w:val="006177CD"/>
    <w:rsid w:val="0061785A"/>
    <w:rsid w:val="00617E13"/>
    <w:rsid w:val="00620313"/>
    <w:rsid w:val="0062044D"/>
    <w:rsid w:val="00620A43"/>
    <w:rsid w:val="00620B7E"/>
    <w:rsid w:val="00621009"/>
    <w:rsid w:val="00621092"/>
    <w:rsid w:val="00621311"/>
    <w:rsid w:val="0062164A"/>
    <w:rsid w:val="006216CA"/>
    <w:rsid w:val="00621766"/>
    <w:rsid w:val="00621B10"/>
    <w:rsid w:val="00621B19"/>
    <w:rsid w:val="00621C62"/>
    <w:rsid w:val="006220B7"/>
    <w:rsid w:val="006220EF"/>
    <w:rsid w:val="006221BD"/>
    <w:rsid w:val="006226CD"/>
    <w:rsid w:val="00622726"/>
    <w:rsid w:val="00622EC9"/>
    <w:rsid w:val="006230D4"/>
    <w:rsid w:val="00623988"/>
    <w:rsid w:val="00623AAC"/>
    <w:rsid w:val="00623D14"/>
    <w:rsid w:val="00623EA4"/>
    <w:rsid w:val="00623EB5"/>
    <w:rsid w:val="00624214"/>
    <w:rsid w:val="00624283"/>
    <w:rsid w:val="00624285"/>
    <w:rsid w:val="0062437C"/>
    <w:rsid w:val="006244BC"/>
    <w:rsid w:val="0062455A"/>
    <w:rsid w:val="00624F80"/>
    <w:rsid w:val="00624F85"/>
    <w:rsid w:val="00624F87"/>
    <w:rsid w:val="00625049"/>
    <w:rsid w:val="006250D3"/>
    <w:rsid w:val="00625462"/>
    <w:rsid w:val="006254C6"/>
    <w:rsid w:val="00625BE4"/>
    <w:rsid w:val="00625D0C"/>
    <w:rsid w:val="00625F00"/>
    <w:rsid w:val="00626068"/>
    <w:rsid w:val="00626249"/>
    <w:rsid w:val="006262B3"/>
    <w:rsid w:val="00626368"/>
    <w:rsid w:val="0062699C"/>
    <w:rsid w:val="006269BF"/>
    <w:rsid w:val="00626AD5"/>
    <w:rsid w:val="00626C1A"/>
    <w:rsid w:val="00627102"/>
    <w:rsid w:val="006272D8"/>
    <w:rsid w:val="00627563"/>
    <w:rsid w:val="00627BAE"/>
    <w:rsid w:val="00627DE1"/>
    <w:rsid w:val="00627E90"/>
    <w:rsid w:val="00627FDA"/>
    <w:rsid w:val="00630583"/>
    <w:rsid w:val="006308CA"/>
    <w:rsid w:val="006308D6"/>
    <w:rsid w:val="00630BEB"/>
    <w:rsid w:val="00630D15"/>
    <w:rsid w:val="00630F03"/>
    <w:rsid w:val="00631001"/>
    <w:rsid w:val="006313E0"/>
    <w:rsid w:val="006314E5"/>
    <w:rsid w:val="006315FB"/>
    <w:rsid w:val="006317C9"/>
    <w:rsid w:val="00631A42"/>
    <w:rsid w:val="006325DB"/>
    <w:rsid w:val="00632A66"/>
    <w:rsid w:val="00632AE9"/>
    <w:rsid w:val="00633094"/>
    <w:rsid w:val="006331BC"/>
    <w:rsid w:val="0063324E"/>
    <w:rsid w:val="00633402"/>
    <w:rsid w:val="0063381D"/>
    <w:rsid w:val="0063393C"/>
    <w:rsid w:val="00633975"/>
    <w:rsid w:val="00633A1A"/>
    <w:rsid w:val="00633FC6"/>
    <w:rsid w:val="0063419D"/>
    <w:rsid w:val="00634692"/>
    <w:rsid w:val="00634697"/>
    <w:rsid w:val="006349A4"/>
    <w:rsid w:val="00634EC0"/>
    <w:rsid w:val="00634F4D"/>
    <w:rsid w:val="0063507B"/>
    <w:rsid w:val="00635667"/>
    <w:rsid w:val="00635B19"/>
    <w:rsid w:val="00636010"/>
    <w:rsid w:val="00636292"/>
    <w:rsid w:val="006362E3"/>
    <w:rsid w:val="006363C4"/>
    <w:rsid w:val="0063657B"/>
    <w:rsid w:val="006365AE"/>
    <w:rsid w:val="00636838"/>
    <w:rsid w:val="00636A40"/>
    <w:rsid w:val="00636DD6"/>
    <w:rsid w:val="00636F25"/>
    <w:rsid w:val="00637038"/>
    <w:rsid w:val="00637042"/>
    <w:rsid w:val="006376AD"/>
    <w:rsid w:val="00637ED2"/>
    <w:rsid w:val="0064014D"/>
    <w:rsid w:val="006401BE"/>
    <w:rsid w:val="00640329"/>
    <w:rsid w:val="00640B67"/>
    <w:rsid w:val="00640CCF"/>
    <w:rsid w:val="0064135A"/>
    <w:rsid w:val="006413A5"/>
    <w:rsid w:val="00641522"/>
    <w:rsid w:val="00641896"/>
    <w:rsid w:val="00641C34"/>
    <w:rsid w:val="00641EE0"/>
    <w:rsid w:val="0064230D"/>
    <w:rsid w:val="0064242B"/>
    <w:rsid w:val="006426F7"/>
    <w:rsid w:val="00642721"/>
    <w:rsid w:val="00642A46"/>
    <w:rsid w:val="00642D02"/>
    <w:rsid w:val="00642DD3"/>
    <w:rsid w:val="00642E1C"/>
    <w:rsid w:val="006433E4"/>
    <w:rsid w:val="0064349D"/>
    <w:rsid w:val="006434C3"/>
    <w:rsid w:val="006437FD"/>
    <w:rsid w:val="0064391E"/>
    <w:rsid w:val="00643C97"/>
    <w:rsid w:val="00643F2C"/>
    <w:rsid w:val="00644058"/>
    <w:rsid w:val="00644412"/>
    <w:rsid w:val="00644544"/>
    <w:rsid w:val="006448CD"/>
    <w:rsid w:val="00644993"/>
    <w:rsid w:val="00644B8F"/>
    <w:rsid w:val="00645438"/>
    <w:rsid w:val="006454EE"/>
    <w:rsid w:val="0064585A"/>
    <w:rsid w:val="00645CE4"/>
    <w:rsid w:val="00646108"/>
    <w:rsid w:val="0064649C"/>
    <w:rsid w:val="00646546"/>
    <w:rsid w:val="00646D08"/>
    <w:rsid w:val="00647193"/>
    <w:rsid w:val="00647446"/>
    <w:rsid w:val="00647463"/>
    <w:rsid w:val="00647641"/>
    <w:rsid w:val="00647D17"/>
    <w:rsid w:val="00647ED0"/>
    <w:rsid w:val="00650038"/>
    <w:rsid w:val="0065003A"/>
    <w:rsid w:val="0065014C"/>
    <w:rsid w:val="0065034A"/>
    <w:rsid w:val="0065047B"/>
    <w:rsid w:val="0065089B"/>
    <w:rsid w:val="0065093F"/>
    <w:rsid w:val="00650B01"/>
    <w:rsid w:val="00650E3E"/>
    <w:rsid w:val="00651662"/>
    <w:rsid w:val="00651690"/>
    <w:rsid w:val="00651769"/>
    <w:rsid w:val="00651B66"/>
    <w:rsid w:val="00651D12"/>
    <w:rsid w:val="0065299F"/>
    <w:rsid w:val="00652A35"/>
    <w:rsid w:val="00652AC9"/>
    <w:rsid w:val="00652C4A"/>
    <w:rsid w:val="00652ED7"/>
    <w:rsid w:val="00652EE3"/>
    <w:rsid w:val="00653258"/>
    <w:rsid w:val="0065334B"/>
    <w:rsid w:val="0065339F"/>
    <w:rsid w:val="006533DF"/>
    <w:rsid w:val="006534F1"/>
    <w:rsid w:val="0065358D"/>
    <w:rsid w:val="00653662"/>
    <w:rsid w:val="00653984"/>
    <w:rsid w:val="00653E0E"/>
    <w:rsid w:val="0065409C"/>
    <w:rsid w:val="0065415B"/>
    <w:rsid w:val="00654858"/>
    <w:rsid w:val="00654A88"/>
    <w:rsid w:val="00654BE3"/>
    <w:rsid w:val="00654DB2"/>
    <w:rsid w:val="006554E7"/>
    <w:rsid w:val="0065591A"/>
    <w:rsid w:val="00655C32"/>
    <w:rsid w:val="00655EC5"/>
    <w:rsid w:val="00655EF4"/>
    <w:rsid w:val="0065621F"/>
    <w:rsid w:val="00656D63"/>
    <w:rsid w:val="0065700D"/>
    <w:rsid w:val="006570A9"/>
    <w:rsid w:val="0065711B"/>
    <w:rsid w:val="00657541"/>
    <w:rsid w:val="006577A3"/>
    <w:rsid w:val="0065789D"/>
    <w:rsid w:val="006579FC"/>
    <w:rsid w:val="00657A1A"/>
    <w:rsid w:val="00657BF5"/>
    <w:rsid w:val="00657DC7"/>
    <w:rsid w:val="00657F49"/>
    <w:rsid w:val="00657F4D"/>
    <w:rsid w:val="00660293"/>
    <w:rsid w:val="00660620"/>
    <w:rsid w:val="0066083A"/>
    <w:rsid w:val="006608FC"/>
    <w:rsid w:val="00660A2F"/>
    <w:rsid w:val="00660D57"/>
    <w:rsid w:val="00660EEA"/>
    <w:rsid w:val="00660F2D"/>
    <w:rsid w:val="00661084"/>
    <w:rsid w:val="00661244"/>
    <w:rsid w:val="006614D6"/>
    <w:rsid w:val="0066151F"/>
    <w:rsid w:val="0066177B"/>
    <w:rsid w:val="00661A0D"/>
    <w:rsid w:val="00661B82"/>
    <w:rsid w:val="00661C7C"/>
    <w:rsid w:val="0066203A"/>
    <w:rsid w:val="00662061"/>
    <w:rsid w:val="006620FD"/>
    <w:rsid w:val="00662165"/>
    <w:rsid w:val="006622B9"/>
    <w:rsid w:val="006624A3"/>
    <w:rsid w:val="0066258C"/>
    <w:rsid w:val="00662EAD"/>
    <w:rsid w:val="00662F6E"/>
    <w:rsid w:val="00663190"/>
    <w:rsid w:val="0066355D"/>
    <w:rsid w:val="006635DA"/>
    <w:rsid w:val="00663880"/>
    <w:rsid w:val="006639EF"/>
    <w:rsid w:val="00663FF1"/>
    <w:rsid w:val="006643A1"/>
    <w:rsid w:val="0066446B"/>
    <w:rsid w:val="00664821"/>
    <w:rsid w:val="00664824"/>
    <w:rsid w:val="0066482C"/>
    <w:rsid w:val="006649CF"/>
    <w:rsid w:val="00664BB7"/>
    <w:rsid w:val="00664C19"/>
    <w:rsid w:val="00664C7D"/>
    <w:rsid w:val="00664D11"/>
    <w:rsid w:val="00664E1F"/>
    <w:rsid w:val="00664E79"/>
    <w:rsid w:val="00665045"/>
    <w:rsid w:val="006658FD"/>
    <w:rsid w:val="006659FC"/>
    <w:rsid w:val="00665A3F"/>
    <w:rsid w:val="00665A62"/>
    <w:rsid w:val="00665C1B"/>
    <w:rsid w:val="00665C82"/>
    <w:rsid w:val="0066604A"/>
    <w:rsid w:val="006660F2"/>
    <w:rsid w:val="00666267"/>
    <w:rsid w:val="006663BC"/>
    <w:rsid w:val="006666B3"/>
    <w:rsid w:val="00666800"/>
    <w:rsid w:val="006669FA"/>
    <w:rsid w:val="00666B47"/>
    <w:rsid w:val="00666F39"/>
    <w:rsid w:val="00667BF3"/>
    <w:rsid w:val="00667D9A"/>
    <w:rsid w:val="00667F89"/>
    <w:rsid w:val="006700DB"/>
    <w:rsid w:val="006706E1"/>
    <w:rsid w:val="00670750"/>
    <w:rsid w:val="00670B2F"/>
    <w:rsid w:val="00670B30"/>
    <w:rsid w:val="00670D43"/>
    <w:rsid w:val="00670ECB"/>
    <w:rsid w:val="0067118A"/>
    <w:rsid w:val="00671881"/>
    <w:rsid w:val="00671957"/>
    <w:rsid w:val="00671B79"/>
    <w:rsid w:val="00671CF9"/>
    <w:rsid w:val="00671E20"/>
    <w:rsid w:val="00671F70"/>
    <w:rsid w:val="00671F7D"/>
    <w:rsid w:val="006722D3"/>
    <w:rsid w:val="006723A6"/>
    <w:rsid w:val="00672617"/>
    <w:rsid w:val="006728D5"/>
    <w:rsid w:val="00672A86"/>
    <w:rsid w:val="00672B7C"/>
    <w:rsid w:val="00673319"/>
    <w:rsid w:val="00673387"/>
    <w:rsid w:val="00673507"/>
    <w:rsid w:val="006735F4"/>
    <w:rsid w:val="00673A53"/>
    <w:rsid w:val="00673B3A"/>
    <w:rsid w:val="0067402D"/>
    <w:rsid w:val="00674362"/>
    <w:rsid w:val="006744C4"/>
    <w:rsid w:val="006747BA"/>
    <w:rsid w:val="0067485B"/>
    <w:rsid w:val="00674AA9"/>
    <w:rsid w:val="00674AB0"/>
    <w:rsid w:val="00674CE8"/>
    <w:rsid w:val="00674D76"/>
    <w:rsid w:val="00675201"/>
    <w:rsid w:val="00675ADE"/>
    <w:rsid w:val="00675AEE"/>
    <w:rsid w:val="00675CD6"/>
    <w:rsid w:val="00675EEA"/>
    <w:rsid w:val="00675F42"/>
    <w:rsid w:val="0067639D"/>
    <w:rsid w:val="0067670C"/>
    <w:rsid w:val="00676B1C"/>
    <w:rsid w:val="00676BCC"/>
    <w:rsid w:val="00676CBB"/>
    <w:rsid w:val="00676E47"/>
    <w:rsid w:val="00676EB2"/>
    <w:rsid w:val="0067706A"/>
    <w:rsid w:val="0067743E"/>
    <w:rsid w:val="00677467"/>
    <w:rsid w:val="00677655"/>
    <w:rsid w:val="0067781E"/>
    <w:rsid w:val="00677948"/>
    <w:rsid w:val="00677AE6"/>
    <w:rsid w:val="00677D36"/>
    <w:rsid w:val="00677E2C"/>
    <w:rsid w:val="00677E66"/>
    <w:rsid w:val="00677F7B"/>
    <w:rsid w:val="0068016E"/>
    <w:rsid w:val="006801D6"/>
    <w:rsid w:val="0068031B"/>
    <w:rsid w:val="0068085B"/>
    <w:rsid w:val="006809AD"/>
    <w:rsid w:val="00680C6C"/>
    <w:rsid w:val="00680E5E"/>
    <w:rsid w:val="00681084"/>
    <w:rsid w:val="0068108D"/>
    <w:rsid w:val="006812C8"/>
    <w:rsid w:val="0068181C"/>
    <w:rsid w:val="00681925"/>
    <w:rsid w:val="00681ED3"/>
    <w:rsid w:val="00682266"/>
    <w:rsid w:val="006823BB"/>
    <w:rsid w:val="006825D4"/>
    <w:rsid w:val="00682934"/>
    <w:rsid w:val="006829AE"/>
    <w:rsid w:val="006829B2"/>
    <w:rsid w:val="00682B8C"/>
    <w:rsid w:val="00682EFD"/>
    <w:rsid w:val="0068317F"/>
    <w:rsid w:val="0068323C"/>
    <w:rsid w:val="006832CE"/>
    <w:rsid w:val="00683576"/>
    <w:rsid w:val="00683597"/>
    <w:rsid w:val="00683B58"/>
    <w:rsid w:val="00683BAD"/>
    <w:rsid w:val="00683D4E"/>
    <w:rsid w:val="0068433C"/>
    <w:rsid w:val="0068450F"/>
    <w:rsid w:val="0068456B"/>
    <w:rsid w:val="006845DC"/>
    <w:rsid w:val="00684854"/>
    <w:rsid w:val="00684D57"/>
    <w:rsid w:val="00685093"/>
    <w:rsid w:val="00685641"/>
    <w:rsid w:val="00685815"/>
    <w:rsid w:val="0068586B"/>
    <w:rsid w:val="0068606E"/>
    <w:rsid w:val="0068614A"/>
    <w:rsid w:val="00686887"/>
    <w:rsid w:val="00686F3A"/>
    <w:rsid w:val="006870F3"/>
    <w:rsid w:val="00687124"/>
    <w:rsid w:val="00687416"/>
    <w:rsid w:val="0068751C"/>
    <w:rsid w:val="00687A1E"/>
    <w:rsid w:val="006902F1"/>
    <w:rsid w:val="00690A0D"/>
    <w:rsid w:val="00690ADF"/>
    <w:rsid w:val="00690B32"/>
    <w:rsid w:val="0069183F"/>
    <w:rsid w:val="00691B4C"/>
    <w:rsid w:val="00691BCD"/>
    <w:rsid w:val="00691C36"/>
    <w:rsid w:val="00691F5C"/>
    <w:rsid w:val="0069228D"/>
    <w:rsid w:val="00692478"/>
    <w:rsid w:val="00692646"/>
    <w:rsid w:val="0069269C"/>
    <w:rsid w:val="00692848"/>
    <w:rsid w:val="00692A5E"/>
    <w:rsid w:val="00692C73"/>
    <w:rsid w:val="00692ECB"/>
    <w:rsid w:val="006930B7"/>
    <w:rsid w:val="0069315A"/>
    <w:rsid w:val="006932BF"/>
    <w:rsid w:val="00693650"/>
    <w:rsid w:val="006936E6"/>
    <w:rsid w:val="00693707"/>
    <w:rsid w:val="00693938"/>
    <w:rsid w:val="00694195"/>
    <w:rsid w:val="006944F9"/>
    <w:rsid w:val="0069483F"/>
    <w:rsid w:val="00694890"/>
    <w:rsid w:val="00694C5A"/>
    <w:rsid w:val="00694E9C"/>
    <w:rsid w:val="00695054"/>
    <w:rsid w:val="0069585D"/>
    <w:rsid w:val="00695B22"/>
    <w:rsid w:val="00695BA5"/>
    <w:rsid w:val="0069615B"/>
    <w:rsid w:val="006961B7"/>
    <w:rsid w:val="006961BD"/>
    <w:rsid w:val="0069621C"/>
    <w:rsid w:val="00696A99"/>
    <w:rsid w:val="00696E6A"/>
    <w:rsid w:val="00696F2E"/>
    <w:rsid w:val="00696FC7"/>
    <w:rsid w:val="00697275"/>
    <w:rsid w:val="006972F0"/>
    <w:rsid w:val="00697711"/>
    <w:rsid w:val="00697E5D"/>
    <w:rsid w:val="006A0556"/>
    <w:rsid w:val="006A0700"/>
    <w:rsid w:val="006A0E3C"/>
    <w:rsid w:val="006A0ECC"/>
    <w:rsid w:val="006A1211"/>
    <w:rsid w:val="006A1403"/>
    <w:rsid w:val="006A1441"/>
    <w:rsid w:val="006A1697"/>
    <w:rsid w:val="006A1723"/>
    <w:rsid w:val="006A191D"/>
    <w:rsid w:val="006A1B24"/>
    <w:rsid w:val="006A1DD1"/>
    <w:rsid w:val="006A1F59"/>
    <w:rsid w:val="006A1FD7"/>
    <w:rsid w:val="006A2078"/>
    <w:rsid w:val="006A22B5"/>
    <w:rsid w:val="006A241E"/>
    <w:rsid w:val="006A26E2"/>
    <w:rsid w:val="006A2776"/>
    <w:rsid w:val="006A2B48"/>
    <w:rsid w:val="006A2CAE"/>
    <w:rsid w:val="006A2DBF"/>
    <w:rsid w:val="006A2E0C"/>
    <w:rsid w:val="006A2EB8"/>
    <w:rsid w:val="006A35EC"/>
    <w:rsid w:val="006A39E7"/>
    <w:rsid w:val="006A39ED"/>
    <w:rsid w:val="006A3D20"/>
    <w:rsid w:val="006A3D40"/>
    <w:rsid w:val="006A3FEF"/>
    <w:rsid w:val="006A44AD"/>
    <w:rsid w:val="006A46AB"/>
    <w:rsid w:val="006A4A21"/>
    <w:rsid w:val="006A4E7D"/>
    <w:rsid w:val="006A501C"/>
    <w:rsid w:val="006A5098"/>
    <w:rsid w:val="006A51AD"/>
    <w:rsid w:val="006A5385"/>
    <w:rsid w:val="006A545E"/>
    <w:rsid w:val="006A5604"/>
    <w:rsid w:val="006A5611"/>
    <w:rsid w:val="006A567A"/>
    <w:rsid w:val="006A59BE"/>
    <w:rsid w:val="006A5C31"/>
    <w:rsid w:val="006A653C"/>
    <w:rsid w:val="006A655D"/>
    <w:rsid w:val="006A66CB"/>
    <w:rsid w:val="006A670C"/>
    <w:rsid w:val="006A67FD"/>
    <w:rsid w:val="006A68D6"/>
    <w:rsid w:val="006A68DC"/>
    <w:rsid w:val="006A6A5B"/>
    <w:rsid w:val="006A6FFE"/>
    <w:rsid w:val="006A7934"/>
    <w:rsid w:val="006A7F14"/>
    <w:rsid w:val="006A7FBB"/>
    <w:rsid w:val="006A7FBC"/>
    <w:rsid w:val="006B01B5"/>
    <w:rsid w:val="006B0343"/>
    <w:rsid w:val="006B0655"/>
    <w:rsid w:val="006B0CFF"/>
    <w:rsid w:val="006B0DA2"/>
    <w:rsid w:val="006B0EBF"/>
    <w:rsid w:val="006B105D"/>
    <w:rsid w:val="006B10DC"/>
    <w:rsid w:val="006B14BB"/>
    <w:rsid w:val="006B183B"/>
    <w:rsid w:val="006B18BF"/>
    <w:rsid w:val="006B1A0C"/>
    <w:rsid w:val="006B1A22"/>
    <w:rsid w:val="006B1B94"/>
    <w:rsid w:val="006B1DE0"/>
    <w:rsid w:val="006B229E"/>
    <w:rsid w:val="006B2698"/>
    <w:rsid w:val="006B27BA"/>
    <w:rsid w:val="006B2C3A"/>
    <w:rsid w:val="006B2DD7"/>
    <w:rsid w:val="006B2F5E"/>
    <w:rsid w:val="006B2FF5"/>
    <w:rsid w:val="006B3041"/>
    <w:rsid w:val="006B31EC"/>
    <w:rsid w:val="006B330A"/>
    <w:rsid w:val="006B337A"/>
    <w:rsid w:val="006B37BD"/>
    <w:rsid w:val="006B3AEE"/>
    <w:rsid w:val="006B3B5F"/>
    <w:rsid w:val="006B3D4A"/>
    <w:rsid w:val="006B3DFF"/>
    <w:rsid w:val="006B3E87"/>
    <w:rsid w:val="006B3F66"/>
    <w:rsid w:val="006B3F74"/>
    <w:rsid w:val="006B406F"/>
    <w:rsid w:val="006B4454"/>
    <w:rsid w:val="006B4634"/>
    <w:rsid w:val="006B4659"/>
    <w:rsid w:val="006B482F"/>
    <w:rsid w:val="006B4FFA"/>
    <w:rsid w:val="006B5071"/>
    <w:rsid w:val="006B51DF"/>
    <w:rsid w:val="006B5348"/>
    <w:rsid w:val="006B53FF"/>
    <w:rsid w:val="006B5715"/>
    <w:rsid w:val="006B59BD"/>
    <w:rsid w:val="006B5B29"/>
    <w:rsid w:val="006B5D17"/>
    <w:rsid w:val="006B5FF1"/>
    <w:rsid w:val="006B6162"/>
    <w:rsid w:val="006B6453"/>
    <w:rsid w:val="006B6570"/>
    <w:rsid w:val="006B6B61"/>
    <w:rsid w:val="006B6B95"/>
    <w:rsid w:val="006B6DF9"/>
    <w:rsid w:val="006B73B9"/>
    <w:rsid w:val="006B7566"/>
    <w:rsid w:val="006B7734"/>
    <w:rsid w:val="006B7768"/>
    <w:rsid w:val="006B7C17"/>
    <w:rsid w:val="006B7C61"/>
    <w:rsid w:val="006B7FF7"/>
    <w:rsid w:val="006C090C"/>
    <w:rsid w:val="006C09D3"/>
    <w:rsid w:val="006C100C"/>
    <w:rsid w:val="006C1121"/>
    <w:rsid w:val="006C18F2"/>
    <w:rsid w:val="006C1B2B"/>
    <w:rsid w:val="006C1BB0"/>
    <w:rsid w:val="006C1F40"/>
    <w:rsid w:val="006C2517"/>
    <w:rsid w:val="006C25E0"/>
    <w:rsid w:val="006C2B94"/>
    <w:rsid w:val="006C2DBC"/>
    <w:rsid w:val="006C2EF8"/>
    <w:rsid w:val="006C2EF9"/>
    <w:rsid w:val="006C2F33"/>
    <w:rsid w:val="006C2FE9"/>
    <w:rsid w:val="006C3172"/>
    <w:rsid w:val="006C32A9"/>
    <w:rsid w:val="006C346A"/>
    <w:rsid w:val="006C3655"/>
    <w:rsid w:val="006C37D1"/>
    <w:rsid w:val="006C3A5F"/>
    <w:rsid w:val="006C3E23"/>
    <w:rsid w:val="006C3F5E"/>
    <w:rsid w:val="006C440F"/>
    <w:rsid w:val="006C4DC2"/>
    <w:rsid w:val="006C4EE0"/>
    <w:rsid w:val="006C51BC"/>
    <w:rsid w:val="006C560E"/>
    <w:rsid w:val="006C60B0"/>
    <w:rsid w:val="006C61D3"/>
    <w:rsid w:val="006C6911"/>
    <w:rsid w:val="006C6D62"/>
    <w:rsid w:val="006C7356"/>
    <w:rsid w:val="006C7EF4"/>
    <w:rsid w:val="006D049B"/>
    <w:rsid w:val="006D0818"/>
    <w:rsid w:val="006D092D"/>
    <w:rsid w:val="006D09B5"/>
    <w:rsid w:val="006D0A12"/>
    <w:rsid w:val="006D0DDF"/>
    <w:rsid w:val="006D0FEF"/>
    <w:rsid w:val="006D1060"/>
    <w:rsid w:val="006D1101"/>
    <w:rsid w:val="006D1619"/>
    <w:rsid w:val="006D16F7"/>
    <w:rsid w:val="006D1ABD"/>
    <w:rsid w:val="006D1E4B"/>
    <w:rsid w:val="006D2398"/>
    <w:rsid w:val="006D23A7"/>
    <w:rsid w:val="006D2451"/>
    <w:rsid w:val="006D282D"/>
    <w:rsid w:val="006D2B60"/>
    <w:rsid w:val="006D2CC6"/>
    <w:rsid w:val="006D2ECD"/>
    <w:rsid w:val="006D353B"/>
    <w:rsid w:val="006D3CEE"/>
    <w:rsid w:val="006D4198"/>
    <w:rsid w:val="006D44D0"/>
    <w:rsid w:val="006D489D"/>
    <w:rsid w:val="006D4B62"/>
    <w:rsid w:val="006D4E0D"/>
    <w:rsid w:val="006D5028"/>
    <w:rsid w:val="006D515D"/>
    <w:rsid w:val="006D5366"/>
    <w:rsid w:val="006D541C"/>
    <w:rsid w:val="006D54EE"/>
    <w:rsid w:val="006D55ED"/>
    <w:rsid w:val="006D596B"/>
    <w:rsid w:val="006D5B86"/>
    <w:rsid w:val="006D5CD3"/>
    <w:rsid w:val="006D5E14"/>
    <w:rsid w:val="006D5E35"/>
    <w:rsid w:val="006D5FD3"/>
    <w:rsid w:val="006D5FFE"/>
    <w:rsid w:val="006D603F"/>
    <w:rsid w:val="006D62E9"/>
    <w:rsid w:val="006D68D7"/>
    <w:rsid w:val="006D6988"/>
    <w:rsid w:val="006D6B17"/>
    <w:rsid w:val="006D6C9B"/>
    <w:rsid w:val="006D6EFA"/>
    <w:rsid w:val="006D758F"/>
    <w:rsid w:val="006D781A"/>
    <w:rsid w:val="006D799B"/>
    <w:rsid w:val="006D7AD5"/>
    <w:rsid w:val="006E05D8"/>
    <w:rsid w:val="006E0BB4"/>
    <w:rsid w:val="006E0D68"/>
    <w:rsid w:val="006E1152"/>
    <w:rsid w:val="006E1219"/>
    <w:rsid w:val="006E121D"/>
    <w:rsid w:val="006E12DF"/>
    <w:rsid w:val="006E162F"/>
    <w:rsid w:val="006E16F2"/>
    <w:rsid w:val="006E175B"/>
    <w:rsid w:val="006E216C"/>
    <w:rsid w:val="006E221F"/>
    <w:rsid w:val="006E2609"/>
    <w:rsid w:val="006E2C0F"/>
    <w:rsid w:val="006E2C92"/>
    <w:rsid w:val="006E2F05"/>
    <w:rsid w:val="006E32A2"/>
    <w:rsid w:val="006E32BD"/>
    <w:rsid w:val="006E3539"/>
    <w:rsid w:val="006E3717"/>
    <w:rsid w:val="006E3B62"/>
    <w:rsid w:val="006E3C3F"/>
    <w:rsid w:val="006E3D34"/>
    <w:rsid w:val="006E432C"/>
    <w:rsid w:val="006E4356"/>
    <w:rsid w:val="006E43F0"/>
    <w:rsid w:val="006E4591"/>
    <w:rsid w:val="006E4C79"/>
    <w:rsid w:val="006E4C98"/>
    <w:rsid w:val="006E4E0D"/>
    <w:rsid w:val="006E4F4A"/>
    <w:rsid w:val="006E5095"/>
    <w:rsid w:val="006E50B1"/>
    <w:rsid w:val="006E51B3"/>
    <w:rsid w:val="006E5231"/>
    <w:rsid w:val="006E548D"/>
    <w:rsid w:val="006E54A3"/>
    <w:rsid w:val="006E5962"/>
    <w:rsid w:val="006E5D7B"/>
    <w:rsid w:val="006E5E08"/>
    <w:rsid w:val="006E5ECD"/>
    <w:rsid w:val="006E5F79"/>
    <w:rsid w:val="006E5F7A"/>
    <w:rsid w:val="006E67A9"/>
    <w:rsid w:val="006E6930"/>
    <w:rsid w:val="006E6957"/>
    <w:rsid w:val="006E6CBC"/>
    <w:rsid w:val="006E6F86"/>
    <w:rsid w:val="006E6FFB"/>
    <w:rsid w:val="006E74A5"/>
    <w:rsid w:val="006E7707"/>
    <w:rsid w:val="006E777A"/>
    <w:rsid w:val="006E78BE"/>
    <w:rsid w:val="006F0033"/>
    <w:rsid w:val="006F012B"/>
    <w:rsid w:val="006F02BA"/>
    <w:rsid w:val="006F0426"/>
    <w:rsid w:val="006F0AE8"/>
    <w:rsid w:val="006F14C6"/>
    <w:rsid w:val="006F1954"/>
    <w:rsid w:val="006F20BA"/>
    <w:rsid w:val="006F21C6"/>
    <w:rsid w:val="006F22B3"/>
    <w:rsid w:val="006F247C"/>
    <w:rsid w:val="006F24F3"/>
    <w:rsid w:val="006F2732"/>
    <w:rsid w:val="006F2B65"/>
    <w:rsid w:val="006F2D40"/>
    <w:rsid w:val="006F2D9D"/>
    <w:rsid w:val="006F2EB8"/>
    <w:rsid w:val="006F331F"/>
    <w:rsid w:val="006F3469"/>
    <w:rsid w:val="006F3ACF"/>
    <w:rsid w:val="006F3CAC"/>
    <w:rsid w:val="006F3E0A"/>
    <w:rsid w:val="006F3F38"/>
    <w:rsid w:val="006F3FCA"/>
    <w:rsid w:val="006F4691"/>
    <w:rsid w:val="006F5195"/>
    <w:rsid w:val="006F5227"/>
    <w:rsid w:val="006F53EE"/>
    <w:rsid w:val="006F540F"/>
    <w:rsid w:val="006F5497"/>
    <w:rsid w:val="006F573F"/>
    <w:rsid w:val="006F5B87"/>
    <w:rsid w:val="006F5ED7"/>
    <w:rsid w:val="006F5F87"/>
    <w:rsid w:val="006F61E3"/>
    <w:rsid w:val="006F6226"/>
    <w:rsid w:val="006F62A2"/>
    <w:rsid w:val="006F658A"/>
    <w:rsid w:val="006F65EB"/>
    <w:rsid w:val="006F68D0"/>
    <w:rsid w:val="006F6D6F"/>
    <w:rsid w:val="006F73CC"/>
    <w:rsid w:val="006F7889"/>
    <w:rsid w:val="006F7904"/>
    <w:rsid w:val="006F792E"/>
    <w:rsid w:val="006F7BE8"/>
    <w:rsid w:val="006F7DA0"/>
    <w:rsid w:val="006F7E5A"/>
    <w:rsid w:val="00700104"/>
    <w:rsid w:val="00700385"/>
    <w:rsid w:val="007004BC"/>
    <w:rsid w:val="007005C9"/>
    <w:rsid w:val="00700A67"/>
    <w:rsid w:val="00700BE0"/>
    <w:rsid w:val="00700ECF"/>
    <w:rsid w:val="0070123A"/>
    <w:rsid w:val="00701FB5"/>
    <w:rsid w:val="00702161"/>
    <w:rsid w:val="00702596"/>
    <w:rsid w:val="007025D7"/>
    <w:rsid w:val="007025ED"/>
    <w:rsid w:val="00702747"/>
    <w:rsid w:val="00702750"/>
    <w:rsid w:val="0070282C"/>
    <w:rsid w:val="00702D2A"/>
    <w:rsid w:val="00702DA4"/>
    <w:rsid w:val="00702FF1"/>
    <w:rsid w:val="0070311A"/>
    <w:rsid w:val="0070321D"/>
    <w:rsid w:val="00703628"/>
    <w:rsid w:val="00703690"/>
    <w:rsid w:val="00703827"/>
    <w:rsid w:val="00703892"/>
    <w:rsid w:val="00703944"/>
    <w:rsid w:val="00703ABE"/>
    <w:rsid w:val="00703B20"/>
    <w:rsid w:val="00703C28"/>
    <w:rsid w:val="00703DA4"/>
    <w:rsid w:val="00703FAA"/>
    <w:rsid w:val="007040E6"/>
    <w:rsid w:val="007041CC"/>
    <w:rsid w:val="00704423"/>
    <w:rsid w:val="0070452F"/>
    <w:rsid w:val="0070457B"/>
    <w:rsid w:val="007051C5"/>
    <w:rsid w:val="007052E8"/>
    <w:rsid w:val="007054B3"/>
    <w:rsid w:val="0070597A"/>
    <w:rsid w:val="00705B8A"/>
    <w:rsid w:val="007060CF"/>
    <w:rsid w:val="007061EB"/>
    <w:rsid w:val="007064EB"/>
    <w:rsid w:val="00706516"/>
    <w:rsid w:val="007067E4"/>
    <w:rsid w:val="00706900"/>
    <w:rsid w:val="0070695A"/>
    <w:rsid w:val="00706C26"/>
    <w:rsid w:val="00706DD3"/>
    <w:rsid w:val="007071CC"/>
    <w:rsid w:val="00707650"/>
    <w:rsid w:val="00707BB5"/>
    <w:rsid w:val="00707D23"/>
    <w:rsid w:val="00707DAC"/>
    <w:rsid w:val="0071028F"/>
    <w:rsid w:val="0071035B"/>
    <w:rsid w:val="00710404"/>
    <w:rsid w:val="007106EF"/>
    <w:rsid w:val="0071076A"/>
    <w:rsid w:val="00710829"/>
    <w:rsid w:val="0071087E"/>
    <w:rsid w:val="00710909"/>
    <w:rsid w:val="007109E1"/>
    <w:rsid w:val="00710A22"/>
    <w:rsid w:val="00710AB2"/>
    <w:rsid w:val="00710D1E"/>
    <w:rsid w:val="00710D38"/>
    <w:rsid w:val="00710FA7"/>
    <w:rsid w:val="00710FAD"/>
    <w:rsid w:val="00711A57"/>
    <w:rsid w:val="00711B19"/>
    <w:rsid w:val="00711F68"/>
    <w:rsid w:val="007122DB"/>
    <w:rsid w:val="00712573"/>
    <w:rsid w:val="00712906"/>
    <w:rsid w:val="00712C58"/>
    <w:rsid w:val="007130C1"/>
    <w:rsid w:val="00713260"/>
    <w:rsid w:val="007137A6"/>
    <w:rsid w:val="00713B3D"/>
    <w:rsid w:val="0071408A"/>
    <w:rsid w:val="0071410C"/>
    <w:rsid w:val="0071434E"/>
    <w:rsid w:val="007143EE"/>
    <w:rsid w:val="0071443B"/>
    <w:rsid w:val="00714492"/>
    <w:rsid w:val="0071489B"/>
    <w:rsid w:val="00714966"/>
    <w:rsid w:val="00714B0A"/>
    <w:rsid w:val="00714DB8"/>
    <w:rsid w:val="007154A0"/>
    <w:rsid w:val="007159F8"/>
    <w:rsid w:val="00715CD1"/>
    <w:rsid w:val="00715E58"/>
    <w:rsid w:val="007160BE"/>
    <w:rsid w:val="007160D5"/>
    <w:rsid w:val="007163CF"/>
    <w:rsid w:val="0071642E"/>
    <w:rsid w:val="007167E0"/>
    <w:rsid w:val="0071681D"/>
    <w:rsid w:val="00716930"/>
    <w:rsid w:val="0071698A"/>
    <w:rsid w:val="00716A31"/>
    <w:rsid w:val="00716C12"/>
    <w:rsid w:val="007172D9"/>
    <w:rsid w:val="00717380"/>
    <w:rsid w:val="007176CD"/>
    <w:rsid w:val="007200D6"/>
    <w:rsid w:val="007202C1"/>
    <w:rsid w:val="0072098A"/>
    <w:rsid w:val="00720F80"/>
    <w:rsid w:val="00721070"/>
    <w:rsid w:val="0072133A"/>
    <w:rsid w:val="007216EA"/>
    <w:rsid w:val="00721879"/>
    <w:rsid w:val="00721D7C"/>
    <w:rsid w:val="00721E49"/>
    <w:rsid w:val="0072242D"/>
    <w:rsid w:val="007224AC"/>
    <w:rsid w:val="007225AA"/>
    <w:rsid w:val="00722791"/>
    <w:rsid w:val="00722908"/>
    <w:rsid w:val="0072296B"/>
    <w:rsid w:val="00722A86"/>
    <w:rsid w:val="00722AB0"/>
    <w:rsid w:val="00722F27"/>
    <w:rsid w:val="00723415"/>
    <w:rsid w:val="00723655"/>
    <w:rsid w:val="007236DD"/>
    <w:rsid w:val="0072432E"/>
    <w:rsid w:val="00724676"/>
    <w:rsid w:val="00724726"/>
    <w:rsid w:val="00724808"/>
    <w:rsid w:val="0072480E"/>
    <w:rsid w:val="00724976"/>
    <w:rsid w:val="0072499D"/>
    <w:rsid w:val="0072511B"/>
    <w:rsid w:val="00725194"/>
    <w:rsid w:val="00725246"/>
    <w:rsid w:val="007254BE"/>
    <w:rsid w:val="007258B7"/>
    <w:rsid w:val="00725969"/>
    <w:rsid w:val="00726788"/>
    <w:rsid w:val="00726ED4"/>
    <w:rsid w:val="007270D5"/>
    <w:rsid w:val="007272C7"/>
    <w:rsid w:val="00727933"/>
    <w:rsid w:val="00727A95"/>
    <w:rsid w:val="00730297"/>
    <w:rsid w:val="007303E1"/>
    <w:rsid w:val="007306BD"/>
    <w:rsid w:val="00730BA8"/>
    <w:rsid w:val="00731A7E"/>
    <w:rsid w:val="00731BFC"/>
    <w:rsid w:val="00731E72"/>
    <w:rsid w:val="00731EB4"/>
    <w:rsid w:val="00731FCC"/>
    <w:rsid w:val="007321C7"/>
    <w:rsid w:val="007322F5"/>
    <w:rsid w:val="007323C8"/>
    <w:rsid w:val="007324E1"/>
    <w:rsid w:val="007326E8"/>
    <w:rsid w:val="0073288E"/>
    <w:rsid w:val="00732CA0"/>
    <w:rsid w:val="00732DE0"/>
    <w:rsid w:val="00733013"/>
    <w:rsid w:val="00733115"/>
    <w:rsid w:val="00733143"/>
    <w:rsid w:val="0073331E"/>
    <w:rsid w:val="00733458"/>
    <w:rsid w:val="00733C3A"/>
    <w:rsid w:val="00734350"/>
    <w:rsid w:val="007347B7"/>
    <w:rsid w:val="00734F8F"/>
    <w:rsid w:val="00734FFB"/>
    <w:rsid w:val="00735EFA"/>
    <w:rsid w:val="00735FEB"/>
    <w:rsid w:val="00736472"/>
    <w:rsid w:val="00736507"/>
    <w:rsid w:val="00736613"/>
    <w:rsid w:val="007367B9"/>
    <w:rsid w:val="007367D3"/>
    <w:rsid w:val="00736A3F"/>
    <w:rsid w:val="00736B54"/>
    <w:rsid w:val="00736C65"/>
    <w:rsid w:val="0073702E"/>
    <w:rsid w:val="00737561"/>
    <w:rsid w:val="00737842"/>
    <w:rsid w:val="00737A28"/>
    <w:rsid w:val="00737B00"/>
    <w:rsid w:val="00737D89"/>
    <w:rsid w:val="00737EAA"/>
    <w:rsid w:val="00737FD9"/>
    <w:rsid w:val="00740289"/>
    <w:rsid w:val="007403A5"/>
    <w:rsid w:val="007403E8"/>
    <w:rsid w:val="0074058B"/>
    <w:rsid w:val="00740BC4"/>
    <w:rsid w:val="00740C21"/>
    <w:rsid w:val="00740E85"/>
    <w:rsid w:val="00741578"/>
    <w:rsid w:val="00741630"/>
    <w:rsid w:val="00741670"/>
    <w:rsid w:val="007416D6"/>
    <w:rsid w:val="007417C9"/>
    <w:rsid w:val="00741BFA"/>
    <w:rsid w:val="00741E1C"/>
    <w:rsid w:val="007422F3"/>
    <w:rsid w:val="0074272F"/>
    <w:rsid w:val="00742D13"/>
    <w:rsid w:val="00742E71"/>
    <w:rsid w:val="00742F86"/>
    <w:rsid w:val="00743021"/>
    <w:rsid w:val="0074305B"/>
    <w:rsid w:val="00743689"/>
    <w:rsid w:val="007437B2"/>
    <w:rsid w:val="00743856"/>
    <w:rsid w:val="00743913"/>
    <w:rsid w:val="00743F59"/>
    <w:rsid w:val="00744117"/>
    <w:rsid w:val="00744923"/>
    <w:rsid w:val="0074492A"/>
    <w:rsid w:val="00744F0F"/>
    <w:rsid w:val="007450D0"/>
    <w:rsid w:val="007452E6"/>
    <w:rsid w:val="00745326"/>
    <w:rsid w:val="0074539B"/>
    <w:rsid w:val="007455D5"/>
    <w:rsid w:val="00745646"/>
    <w:rsid w:val="007456EF"/>
    <w:rsid w:val="0074582A"/>
    <w:rsid w:val="00745E5D"/>
    <w:rsid w:val="00745EA6"/>
    <w:rsid w:val="007473AA"/>
    <w:rsid w:val="00747616"/>
    <w:rsid w:val="00747620"/>
    <w:rsid w:val="007478ED"/>
    <w:rsid w:val="00747C70"/>
    <w:rsid w:val="0075003C"/>
    <w:rsid w:val="00750299"/>
    <w:rsid w:val="00750516"/>
    <w:rsid w:val="00750616"/>
    <w:rsid w:val="00750A72"/>
    <w:rsid w:val="00750EFC"/>
    <w:rsid w:val="007513C4"/>
    <w:rsid w:val="00751400"/>
    <w:rsid w:val="00751802"/>
    <w:rsid w:val="00751AA8"/>
    <w:rsid w:val="00751AAA"/>
    <w:rsid w:val="00751BCB"/>
    <w:rsid w:val="00752003"/>
    <w:rsid w:val="007523A2"/>
    <w:rsid w:val="00752659"/>
    <w:rsid w:val="00752943"/>
    <w:rsid w:val="007529BD"/>
    <w:rsid w:val="00752AD3"/>
    <w:rsid w:val="00752DF8"/>
    <w:rsid w:val="00752EDE"/>
    <w:rsid w:val="00753003"/>
    <w:rsid w:val="007531B8"/>
    <w:rsid w:val="00753305"/>
    <w:rsid w:val="00753AA8"/>
    <w:rsid w:val="00753B87"/>
    <w:rsid w:val="00753F22"/>
    <w:rsid w:val="007541BA"/>
    <w:rsid w:val="00754468"/>
    <w:rsid w:val="00754514"/>
    <w:rsid w:val="007545A1"/>
    <w:rsid w:val="00754A1B"/>
    <w:rsid w:val="00754A50"/>
    <w:rsid w:val="00754F18"/>
    <w:rsid w:val="007550F8"/>
    <w:rsid w:val="00755244"/>
    <w:rsid w:val="007556CE"/>
    <w:rsid w:val="007559FD"/>
    <w:rsid w:val="00755A6F"/>
    <w:rsid w:val="00755CD0"/>
    <w:rsid w:val="00755D46"/>
    <w:rsid w:val="007560BA"/>
    <w:rsid w:val="007562F0"/>
    <w:rsid w:val="00756926"/>
    <w:rsid w:val="00756C92"/>
    <w:rsid w:val="00757598"/>
    <w:rsid w:val="00757A02"/>
    <w:rsid w:val="00757B30"/>
    <w:rsid w:val="00757F7F"/>
    <w:rsid w:val="00760356"/>
    <w:rsid w:val="00760585"/>
    <w:rsid w:val="00760709"/>
    <w:rsid w:val="0076084E"/>
    <w:rsid w:val="00760AC0"/>
    <w:rsid w:val="00760B3F"/>
    <w:rsid w:val="00760B97"/>
    <w:rsid w:val="00760F5B"/>
    <w:rsid w:val="00760F5F"/>
    <w:rsid w:val="00760FB8"/>
    <w:rsid w:val="00761327"/>
    <w:rsid w:val="0076164F"/>
    <w:rsid w:val="00761654"/>
    <w:rsid w:val="0076169E"/>
    <w:rsid w:val="00761727"/>
    <w:rsid w:val="0076173C"/>
    <w:rsid w:val="00761765"/>
    <w:rsid w:val="007617A3"/>
    <w:rsid w:val="00761874"/>
    <w:rsid w:val="00761D4A"/>
    <w:rsid w:val="00761E63"/>
    <w:rsid w:val="00762287"/>
    <w:rsid w:val="0076239B"/>
    <w:rsid w:val="007624DE"/>
    <w:rsid w:val="0076272E"/>
    <w:rsid w:val="0076297D"/>
    <w:rsid w:val="00762E0E"/>
    <w:rsid w:val="00762EE3"/>
    <w:rsid w:val="00763141"/>
    <w:rsid w:val="007635EF"/>
    <w:rsid w:val="00763684"/>
    <w:rsid w:val="007638C7"/>
    <w:rsid w:val="007638E8"/>
    <w:rsid w:val="00763BB0"/>
    <w:rsid w:val="00763D21"/>
    <w:rsid w:val="00763DA7"/>
    <w:rsid w:val="00763EF6"/>
    <w:rsid w:val="007640CC"/>
    <w:rsid w:val="007642AF"/>
    <w:rsid w:val="00764305"/>
    <w:rsid w:val="00764607"/>
    <w:rsid w:val="0076465B"/>
    <w:rsid w:val="007647CC"/>
    <w:rsid w:val="00764922"/>
    <w:rsid w:val="00764AA7"/>
    <w:rsid w:val="00764B26"/>
    <w:rsid w:val="00764C54"/>
    <w:rsid w:val="00764DF1"/>
    <w:rsid w:val="0076533B"/>
    <w:rsid w:val="0076567C"/>
    <w:rsid w:val="007656DE"/>
    <w:rsid w:val="00765811"/>
    <w:rsid w:val="00765996"/>
    <w:rsid w:val="00765C68"/>
    <w:rsid w:val="00765D78"/>
    <w:rsid w:val="00765EA9"/>
    <w:rsid w:val="00765F98"/>
    <w:rsid w:val="007668D6"/>
    <w:rsid w:val="00766C63"/>
    <w:rsid w:val="00766F18"/>
    <w:rsid w:val="00766FBE"/>
    <w:rsid w:val="0076726D"/>
    <w:rsid w:val="00767680"/>
    <w:rsid w:val="00767762"/>
    <w:rsid w:val="00767996"/>
    <w:rsid w:val="007700A9"/>
    <w:rsid w:val="00770171"/>
    <w:rsid w:val="00770415"/>
    <w:rsid w:val="0077088B"/>
    <w:rsid w:val="00770BD4"/>
    <w:rsid w:val="00771333"/>
    <w:rsid w:val="007717FA"/>
    <w:rsid w:val="00771CFC"/>
    <w:rsid w:val="00771FAB"/>
    <w:rsid w:val="0077202E"/>
    <w:rsid w:val="00772792"/>
    <w:rsid w:val="007728F8"/>
    <w:rsid w:val="0077293F"/>
    <w:rsid w:val="00772972"/>
    <w:rsid w:val="00772A36"/>
    <w:rsid w:val="00772AD0"/>
    <w:rsid w:val="00772BD5"/>
    <w:rsid w:val="007731D6"/>
    <w:rsid w:val="00773BF7"/>
    <w:rsid w:val="00773E66"/>
    <w:rsid w:val="007740D8"/>
    <w:rsid w:val="00774233"/>
    <w:rsid w:val="0077431D"/>
    <w:rsid w:val="00774460"/>
    <w:rsid w:val="00774680"/>
    <w:rsid w:val="007747C8"/>
    <w:rsid w:val="0077497E"/>
    <w:rsid w:val="00774B92"/>
    <w:rsid w:val="00774FE5"/>
    <w:rsid w:val="00775717"/>
    <w:rsid w:val="00775ADB"/>
    <w:rsid w:val="00775B83"/>
    <w:rsid w:val="00775FBE"/>
    <w:rsid w:val="0077617C"/>
    <w:rsid w:val="00776499"/>
    <w:rsid w:val="007764B8"/>
    <w:rsid w:val="007764ED"/>
    <w:rsid w:val="007765BB"/>
    <w:rsid w:val="00776803"/>
    <w:rsid w:val="00776E73"/>
    <w:rsid w:val="00776F02"/>
    <w:rsid w:val="00777004"/>
    <w:rsid w:val="007772DF"/>
    <w:rsid w:val="00777473"/>
    <w:rsid w:val="007774A5"/>
    <w:rsid w:val="00777D55"/>
    <w:rsid w:val="0078054A"/>
    <w:rsid w:val="007807DB"/>
    <w:rsid w:val="00780834"/>
    <w:rsid w:val="007808BF"/>
    <w:rsid w:val="0078126E"/>
    <w:rsid w:val="007815E9"/>
    <w:rsid w:val="007816C8"/>
    <w:rsid w:val="007817D9"/>
    <w:rsid w:val="00781A67"/>
    <w:rsid w:val="00781D15"/>
    <w:rsid w:val="00782099"/>
    <w:rsid w:val="00782141"/>
    <w:rsid w:val="007822D9"/>
    <w:rsid w:val="00782A21"/>
    <w:rsid w:val="00782A7B"/>
    <w:rsid w:val="00782B4C"/>
    <w:rsid w:val="00782B82"/>
    <w:rsid w:val="00782EFD"/>
    <w:rsid w:val="007830EE"/>
    <w:rsid w:val="0078328C"/>
    <w:rsid w:val="00783C65"/>
    <w:rsid w:val="0078411C"/>
    <w:rsid w:val="0078418A"/>
    <w:rsid w:val="00784667"/>
    <w:rsid w:val="00784776"/>
    <w:rsid w:val="00784B26"/>
    <w:rsid w:val="00784C0A"/>
    <w:rsid w:val="00784D09"/>
    <w:rsid w:val="00784D9F"/>
    <w:rsid w:val="00785006"/>
    <w:rsid w:val="007858B3"/>
    <w:rsid w:val="0078593A"/>
    <w:rsid w:val="00785B60"/>
    <w:rsid w:val="00785CAE"/>
    <w:rsid w:val="007862CF"/>
    <w:rsid w:val="0078675E"/>
    <w:rsid w:val="007867F6"/>
    <w:rsid w:val="00786BBD"/>
    <w:rsid w:val="00786CC0"/>
    <w:rsid w:val="00786F20"/>
    <w:rsid w:val="007870A9"/>
    <w:rsid w:val="0078745B"/>
    <w:rsid w:val="007876A3"/>
    <w:rsid w:val="007877A3"/>
    <w:rsid w:val="00787BFF"/>
    <w:rsid w:val="00787D67"/>
    <w:rsid w:val="00787E8E"/>
    <w:rsid w:val="00787FC7"/>
    <w:rsid w:val="00790909"/>
    <w:rsid w:val="00790A13"/>
    <w:rsid w:val="00790C18"/>
    <w:rsid w:val="0079137B"/>
    <w:rsid w:val="00791426"/>
    <w:rsid w:val="00791741"/>
    <w:rsid w:val="00791A41"/>
    <w:rsid w:val="00791AC8"/>
    <w:rsid w:val="00791B8E"/>
    <w:rsid w:val="00792953"/>
    <w:rsid w:val="00792956"/>
    <w:rsid w:val="00792DEE"/>
    <w:rsid w:val="00792EB1"/>
    <w:rsid w:val="00793C26"/>
    <w:rsid w:val="00793C2E"/>
    <w:rsid w:val="007941E3"/>
    <w:rsid w:val="00794308"/>
    <w:rsid w:val="007945C7"/>
    <w:rsid w:val="00794710"/>
    <w:rsid w:val="007949DA"/>
    <w:rsid w:val="007949FC"/>
    <w:rsid w:val="00794A8B"/>
    <w:rsid w:val="00794FEE"/>
    <w:rsid w:val="007950BD"/>
    <w:rsid w:val="0079534F"/>
    <w:rsid w:val="00795445"/>
    <w:rsid w:val="0079562D"/>
    <w:rsid w:val="007957F3"/>
    <w:rsid w:val="00795919"/>
    <w:rsid w:val="00795AF4"/>
    <w:rsid w:val="007960B8"/>
    <w:rsid w:val="0079670A"/>
    <w:rsid w:val="00796B20"/>
    <w:rsid w:val="00796BD3"/>
    <w:rsid w:val="00796C13"/>
    <w:rsid w:val="00796E5C"/>
    <w:rsid w:val="00796F69"/>
    <w:rsid w:val="00796F9A"/>
    <w:rsid w:val="007974BE"/>
    <w:rsid w:val="007975CB"/>
    <w:rsid w:val="00797700"/>
    <w:rsid w:val="007979A9"/>
    <w:rsid w:val="00797C5B"/>
    <w:rsid w:val="007A0606"/>
    <w:rsid w:val="007A07BD"/>
    <w:rsid w:val="007A0A19"/>
    <w:rsid w:val="007A0A7A"/>
    <w:rsid w:val="007A0B12"/>
    <w:rsid w:val="007A0BD7"/>
    <w:rsid w:val="007A0ECC"/>
    <w:rsid w:val="007A0EF0"/>
    <w:rsid w:val="007A0FBB"/>
    <w:rsid w:val="007A1075"/>
    <w:rsid w:val="007A1432"/>
    <w:rsid w:val="007A15F6"/>
    <w:rsid w:val="007A18F5"/>
    <w:rsid w:val="007A1BF1"/>
    <w:rsid w:val="007A20F7"/>
    <w:rsid w:val="007A23BF"/>
    <w:rsid w:val="007A24CA"/>
    <w:rsid w:val="007A2591"/>
    <w:rsid w:val="007A2896"/>
    <w:rsid w:val="007A39A9"/>
    <w:rsid w:val="007A39B7"/>
    <w:rsid w:val="007A3E84"/>
    <w:rsid w:val="007A3EA2"/>
    <w:rsid w:val="007A428A"/>
    <w:rsid w:val="007A42A0"/>
    <w:rsid w:val="007A42DB"/>
    <w:rsid w:val="007A430B"/>
    <w:rsid w:val="007A4312"/>
    <w:rsid w:val="007A43F5"/>
    <w:rsid w:val="007A46B0"/>
    <w:rsid w:val="007A4BD3"/>
    <w:rsid w:val="007A503D"/>
    <w:rsid w:val="007A510E"/>
    <w:rsid w:val="007A53DE"/>
    <w:rsid w:val="007A54C8"/>
    <w:rsid w:val="007A59FE"/>
    <w:rsid w:val="007A5A28"/>
    <w:rsid w:val="007A5C5B"/>
    <w:rsid w:val="007A5FCE"/>
    <w:rsid w:val="007A63FB"/>
    <w:rsid w:val="007A6565"/>
    <w:rsid w:val="007A6796"/>
    <w:rsid w:val="007A6854"/>
    <w:rsid w:val="007A6B2A"/>
    <w:rsid w:val="007A6D66"/>
    <w:rsid w:val="007A70FD"/>
    <w:rsid w:val="007A7278"/>
    <w:rsid w:val="007A7834"/>
    <w:rsid w:val="007A7DEA"/>
    <w:rsid w:val="007A7FCF"/>
    <w:rsid w:val="007B059B"/>
    <w:rsid w:val="007B05DF"/>
    <w:rsid w:val="007B0638"/>
    <w:rsid w:val="007B0ABA"/>
    <w:rsid w:val="007B0D2A"/>
    <w:rsid w:val="007B1436"/>
    <w:rsid w:val="007B14CE"/>
    <w:rsid w:val="007B17F4"/>
    <w:rsid w:val="007B1996"/>
    <w:rsid w:val="007B1F01"/>
    <w:rsid w:val="007B216E"/>
    <w:rsid w:val="007B2540"/>
    <w:rsid w:val="007B2819"/>
    <w:rsid w:val="007B2957"/>
    <w:rsid w:val="007B2DF9"/>
    <w:rsid w:val="007B3402"/>
    <w:rsid w:val="007B3495"/>
    <w:rsid w:val="007B35D5"/>
    <w:rsid w:val="007B3818"/>
    <w:rsid w:val="007B3923"/>
    <w:rsid w:val="007B3BF7"/>
    <w:rsid w:val="007B3DD6"/>
    <w:rsid w:val="007B475D"/>
    <w:rsid w:val="007B4BAE"/>
    <w:rsid w:val="007B4DB0"/>
    <w:rsid w:val="007B4F7B"/>
    <w:rsid w:val="007B5190"/>
    <w:rsid w:val="007B519E"/>
    <w:rsid w:val="007B52E5"/>
    <w:rsid w:val="007B53C7"/>
    <w:rsid w:val="007B555F"/>
    <w:rsid w:val="007B56C0"/>
    <w:rsid w:val="007B581C"/>
    <w:rsid w:val="007B5AF0"/>
    <w:rsid w:val="007B5CD1"/>
    <w:rsid w:val="007B5E2B"/>
    <w:rsid w:val="007B5EF3"/>
    <w:rsid w:val="007B65A6"/>
    <w:rsid w:val="007B66DC"/>
    <w:rsid w:val="007B6971"/>
    <w:rsid w:val="007B6B3F"/>
    <w:rsid w:val="007B6DA9"/>
    <w:rsid w:val="007B6EA7"/>
    <w:rsid w:val="007B6FA3"/>
    <w:rsid w:val="007B74E7"/>
    <w:rsid w:val="007B7772"/>
    <w:rsid w:val="007B79F0"/>
    <w:rsid w:val="007B7A73"/>
    <w:rsid w:val="007B7BA1"/>
    <w:rsid w:val="007B7BBA"/>
    <w:rsid w:val="007C012D"/>
    <w:rsid w:val="007C0171"/>
    <w:rsid w:val="007C09E8"/>
    <w:rsid w:val="007C0DAC"/>
    <w:rsid w:val="007C0EF7"/>
    <w:rsid w:val="007C0FF7"/>
    <w:rsid w:val="007C1A55"/>
    <w:rsid w:val="007C1C82"/>
    <w:rsid w:val="007C2230"/>
    <w:rsid w:val="007C230B"/>
    <w:rsid w:val="007C323C"/>
    <w:rsid w:val="007C32C3"/>
    <w:rsid w:val="007C32E5"/>
    <w:rsid w:val="007C3972"/>
    <w:rsid w:val="007C3EB5"/>
    <w:rsid w:val="007C3F02"/>
    <w:rsid w:val="007C47F9"/>
    <w:rsid w:val="007C4BCA"/>
    <w:rsid w:val="007C4C07"/>
    <w:rsid w:val="007C4CCA"/>
    <w:rsid w:val="007C5B15"/>
    <w:rsid w:val="007C60C9"/>
    <w:rsid w:val="007C61CD"/>
    <w:rsid w:val="007C6306"/>
    <w:rsid w:val="007C6374"/>
    <w:rsid w:val="007C6465"/>
    <w:rsid w:val="007C6658"/>
    <w:rsid w:val="007C6ACE"/>
    <w:rsid w:val="007C6B09"/>
    <w:rsid w:val="007C6B67"/>
    <w:rsid w:val="007C6C92"/>
    <w:rsid w:val="007C6F42"/>
    <w:rsid w:val="007C6F71"/>
    <w:rsid w:val="007C718E"/>
    <w:rsid w:val="007C7721"/>
    <w:rsid w:val="007C7740"/>
    <w:rsid w:val="007C79AF"/>
    <w:rsid w:val="007C7CA2"/>
    <w:rsid w:val="007C7DF1"/>
    <w:rsid w:val="007D0119"/>
    <w:rsid w:val="007D073A"/>
    <w:rsid w:val="007D0C21"/>
    <w:rsid w:val="007D0DEB"/>
    <w:rsid w:val="007D0FBD"/>
    <w:rsid w:val="007D1143"/>
    <w:rsid w:val="007D14FA"/>
    <w:rsid w:val="007D162A"/>
    <w:rsid w:val="007D192D"/>
    <w:rsid w:val="007D19F1"/>
    <w:rsid w:val="007D1B01"/>
    <w:rsid w:val="007D1DFE"/>
    <w:rsid w:val="007D20EB"/>
    <w:rsid w:val="007D22F0"/>
    <w:rsid w:val="007D2B3B"/>
    <w:rsid w:val="007D2DDD"/>
    <w:rsid w:val="007D3052"/>
    <w:rsid w:val="007D3078"/>
    <w:rsid w:val="007D308D"/>
    <w:rsid w:val="007D31A9"/>
    <w:rsid w:val="007D336D"/>
    <w:rsid w:val="007D34E8"/>
    <w:rsid w:val="007D353E"/>
    <w:rsid w:val="007D3822"/>
    <w:rsid w:val="007D3A5F"/>
    <w:rsid w:val="007D3C02"/>
    <w:rsid w:val="007D3CB6"/>
    <w:rsid w:val="007D4040"/>
    <w:rsid w:val="007D43B6"/>
    <w:rsid w:val="007D4509"/>
    <w:rsid w:val="007D4881"/>
    <w:rsid w:val="007D4C9B"/>
    <w:rsid w:val="007D4D30"/>
    <w:rsid w:val="007D5236"/>
    <w:rsid w:val="007D532D"/>
    <w:rsid w:val="007D53A1"/>
    <w:rsid w:val="007D559B"/>
    <w:rsid w:val="007D55D8"/>
    <w:rsid w:val="007D560C"/>
    <w:rsid w:val="007D56E2"/>
    <w:rsid w:val="007D583A"/>
    <w:rsid w:val="007D58BC"/>
    <w:rsid w:val="007D5B53"/>
    <w:rsid w:val="007D5D92"/>
    <w:rsid w:val="007D654C"/>
    <w:rsid w:val="007D6C8F"/>
    <w:rsid w:val="007D71C1"/>
    <w:rsid w:val="007D74F9"/>
    <w:rsid w:val="007D79C5"/>
    <w:rsid w:val="007D7A93"/>
    <w:rsid w:val="007D7BA9"/>
    <w:rsid w:val="007D7E45"/>
    <w:rsid w:val="007E0320"/>
    <w:rsid w:val="007E04FC"/>
    <w:rsid w:val="007E05C1"/>
    <w:rsid w:val="007E083C"/>
    <w:rsid w:val="007E08D0"/>
    <w:rsid w:val="007E0A14"/>
    <w:rsid w:val="007E0C78"/>
    <w:rsid w:val="007E0EB4"/>
    <w:rsid w:val="007E1C9E"/>
    <w:rsid w:val="007E1CA1"/>
    <w:rsid w:val="007E1D8E"/>
    <w:rsid w:val="007E1EC4"/>
    <w:rsid w:val="007E2326"/>
    <w:rsid w:val="007E238A"/>
    <w:rsid w:val="007E2660"/>
    <w:rsid w:val="007E28D8"/>
    <w:rsid w:val="007E2B21"/>
    <w:rsid w:val="007E308D"/>
    <w:rsid w:val="007E3227"/>
    <w:rsid w:val="007E3251"/>
    <w:rsid w:val="007E35E7"/>
    <w:rsid w:val="007E36D4"/>
    <w:rsid w:val="007E383B"/>
    <w:rsid w:val="007E39D3"/>
    <w:rsid w:val="007E3AB5"/>
    <w:rsid w:val="007E3DF3"/>
    <w:rsid w:val="007E407C"/>
    <w:rsid w:val="007E4658"/>
    <w:rsid w:val="007E4D34"/>
    <w:rsid w:val="007E4F57"/>
    <w:rsid w:val="007E543C"/>
    <w:rsid w:val="007E561D"/>
    <w:rsid w:val="007E5955"/>
    <w:rsid w:val="007E5FA6"/>
    <w:rsid w:val="007E5FB7"/>
    <w:rsid w:val="007E6097"/>
    <w:rsid w:val="007E634B"/>
    <w:rsid w:val="007E64C9"/>
    <w:rsid w:val="007E6A5A"/>
    <w:rsid w:val="007E6D59"/>
    <w:rsid w:val="007E6D76"/>
    <w:rsid w:val="007E6EBB"/>
    <w:rsid w:val="007E70A8"/>
    <w:rsid w:val="007E72C1"/>
    <w:rsid w:val="007E7A1D"/>
    <w:rsid w:val="007E7AEB"/>
    <w:rsid w:val="007E7D17"/>
    <w:rsid w:val="007F0085"/>
    <w:rsid w:val="007F00E3"/>
    <w:rsid w:val="007F019F"/>
    <w:rsid w:val="007F037A"/>
    <w:rsid w:val="007F0B99"/>
    <w:rsid w:val="007F0CBB"/>
    <w:rsid w:val="007F0E13"/>
    <w:rsid w:val="007F0F35"/>
    <w:rsid w:val="007F11EF"/>
    <w:rsid w:val="007F1325"/>
    <w:rsid w:val="007F1645"/>
    <w:rsid w:val="007F16E6"/>
    <w:rsid w:val="007F1C0A"/>
    <w:rsid w:val="007F1CC7"/>
    <w:rsid w:val="007F1D30"/>
    <w:rsid w:val="007F1EEC"/>
    <w:rsid w:val="007F1FC5"/>
    <w:rsid w:val="007F2BE2"/>
    <w:rsid w:val="007F2C2E"/>
    <w:rsid w:val="007F3373"/>
    <w:rsid w:val="007F349E"/>
    <w:rsid w:val="007F3573"/>
    <w:rsid w:val="007F3833"/>
    <w:rsid w:val="007F3BE9"/>
    <w:rsid w:val="007F420A"/>
    <w:rsid w:val="007F44C4"/>
    <w:rsid w:val="007F47CC"/>
    <w:rsid w:val="007F489C"/>
    <w:rsid w:val="007F4DA2"/>
    <w:rsid w:val="007F4FFD"/>
    <w:rsid w:val="007F5039"/>
    <w:rsid w:val="007F51CB"/>
    <w:rsid w:val="007F55E3"/>
    <w:rsid w:val="007F567C"/>
    <w:rsid w:val="007F585F"/>
    <w:rsid w:val="007F5864"/>
    <w:rsid w:val="007F5AF6"/>
    <w:rsid w:val="007F5B1A"/>
    <w:rsid w:val="007F5DEE"/>
    <w:rsid w:val="007F5F8D"/>
    <w:rsid w:val="007F6329"/>
    <w:rsid w:val="007F6833"/>
    <w:rsid w:val="007F685E"/>
    <w:rsid w:val="007F6F0C"/>
    <w:rsid w:val="007F6F54"/>
    <w:rsid w:val="007F7136"/>
    <w:rsid w:val="007F7376"/>
    <w:rsid w:val="007F74B2"/>
    <w:rsid w:val="007F767A"/>
    <w:rsid w:val="007F7E1D"/>
    <w:rsid w:val="007F7F79"/>
    <w:rsid w:val="008002D8"/>
    <w:rsid w:val="008002FC"/>
    <w:rsid w:val="0080068B"/>
    <w:rsid w:val="00800802"/>
    <w:rsid w:val="0080084D"/>
    <w:rsid w:val="008008DB"/>
    <w:rsid w:val="00800B00"/>
    <w:rsid w:val="00800F9C"/>
    <w:rsid w:val="00801367"/>
    <w:rsid w:val="0080152E"/>
    <w:rsid w:val="00801736"/>
    <w:rsid w:val="0080176C"/>
    <w:rsid w:val="008018A2"/>
    <w:rsid w:val="00801AB9"/>
    <w:rsid w:val="00801BC1"/>
    <w:rsid w:val="0080205C"/>
    <w:rsid w:val="0080231D"/>
    <w:rsid w:val="00802B1E"/>
    <w:rsid w:val="00802C66"/>
    <w:rsid w:val="00802ED5"/>
    <w:rsid w:val="00803110"/>
    <w:rsid w:val="00803802"/>
    <w:rsid w:val="008039FF"/>
    <w:rsid w:val="00804258"/>
    <w:rsid w:val="00804615"/>
    <w:rsid w:val="00804720"/>
    <w:rsid w:val="0080478D"/>
    <w:rsid w:val="008049F6"/>
    <w:rsid w:val="00805073"/>
    <w:rsid w:val="008058DA"/>
    <w:rsid w:val="00805A43"/>
    <w:rsid w:val="00805C96"/>
    <w:rsid w:val="00805E21"/>
    <w:rsid w:val="008061D0"/>
    <w:rsid w:val="008065FF"/>
    <w:rsid w:val="00806780"/>
    <w:rsid w:val="008067B0"/>
    <w:rsid w:val="00806ABE"/>
    <w:rsid w:val="00806CDC"/>
    <w:rsid w:val="00806F98"/>
    <w:rsid w:val="0080755E"/>
    <w:rsid w:val="00807904"/>
    <w:rsid w:val="00807E63"/>
    <w:rsid w:val="00807FA2"/>
    <w:rsid w:val="00810200"/>
    <w:rsid w:val="00810A55"/>
    <w:rsid w:val="00810D66"/>
    <w:rsid w:val="00810E4B"/>
    <w:rsid w:val="00811067"/>
    <w:rsid w:val="00811481"/>
    <w:rsid w:val="00811557"/>
    <w:rsid w:val="008117AD"/>
    <w:rsid w:val="008119C7"/>
    <w:rsid w:val="0081229A"/>
    <w:rsid w:val="00812304"/>
    <w:rsid w:val="00812402"/>
    <w:rsid w:val="00812502"/>
    <w:rsid w:val="00812D93"/>
    <w:rsid w:val="00812E30"/>
    <w:rsid w:val="0081326F"/>
    <w:rsid w:val="00813326"/>
    <w:rsid w:val="00813F0D"/>
    <w:rsid w:val="00814273"/>
    <w:rsid w:val="00814303"/>
    <w:rsid w:val="008146A5"/>
    <w:rsid w:val="008146E7"/>
    <w:rsid w:val="00814942"/>
    <w:rsid w:val="00814E11"/>
    <w:rsid w:val="00814EFD"/>
    <w:rsid w:val="008152B5"/>
    <w:rsid w:val="00815624"/>
    <w:rsid w:val="00815773"/>
    <w:rsid w:val="008157FA"/>
    <w:rsid w:val="00815A4D"/>
    <w:rsid w:val="00815C1F"/>
    <w:rsid w:val="00816036"/>
    <w:rsid w:val="008161A2"/>
    <w:rsid w:val="00816357"/>
    <w:rsid w:val="0081683F"/>
    <w:rsid w:val="00816877"/>
    <w:rsid w:val="00816BFC"/>
    <w:rsid w:val="00816C8C"/>
    <w:rsid w:val="008170D0"/>
    <w:rsid w:val="00817500"/>
    <w:rsid w:val="0081763A"/>
    <w:rsid w:val="00817895"/>
    <w:rsid w:val="00817A62"/>
    <w:rsid w:val="00817CC6"/>
    <w:rsid w:val="0082003C"/>
    <w:rsid w:val="00820380"/>
    <w:rsid w:val="00820BF2"/>
    <w:rsid w:val="00821283"/>
    <w:rsid w:val="008217D6"/>
    <w:rsid w:val="008218D2"/>
    <w:rsid w:val="00821B85"/>
    <w:rsid w:val="00821D23"/>
    <w:rsid w:val="00821E6B"/>
    <w:rsid w:val="0082236F"/>
    <w:rsid w:val="008223B9"/>
    <w:rsid w:val="008223EF"/>
    <w:rsid w:val="008224EF"/>
    <w:rsid w:val="00822681"/>
    <w:rsid w:val="008226CF"/>
    <w:rsid w:val="0082291D"/>
    <w:rsid w:val="00822EBD"/>
    <w:rsid w:val="008233E9"/>
    <w:rsid w:val="008235A1"/>
    <w:rsid w:val="008237C0"/>
    <w:rsid w:val="008237E2"/>
    <w:rsid w:val="00823BF8"/>
    <w:rsid w:val="00823F70"/>
    <w:rsid w:val="00824138"/>
    <w:rsid w:val="00824140"/>
    <w:rsid w:val="008245F4"/>
    <w:rsid w:val="00824D1C"/>
    <w:rsid w:val="00824D8D"/>
    <w:rsid w:val="00824DD1"/>
    <w:rsid w:val="00825178"/>
    <w:rsid w:val="00825443"/>
    <w:rsid w:val="00825743"/>
    <w:rsid w:val="008257A8"/>
    <w:rsid w:val="00825A13"/>
    <w:rsid w:val="00825D2A"/>
    <w:rsid w:val="0082616B"/>
    <w:rsid w:val="00826568"/>
    <w:rsid w:val="00826785"/>
    <w:rsid w:val="00826BA2"/>
    <w:rsid w:val="00826BB9"/>
    <w:rsid w:val="00826E2D"/>
    <w:rsid w:val="00827072"/>
    <w:rsid w:val="008273DC"/>
    <w:rsid w:val="0082746B"/>
    <w:rsid w:val="0082774E"/>
    <w:rsid w:val="008278CA"/>
    <w:rsid w:val="00827957"/>
    <w:rsid w:val="00827DBF"/>
    <w:rsid w:val="00827E3F"/>
    <w:rsid w:val="00830018"/>
    <w:rsid w:val="008301F1"/>
    <w:rsid w:val="008304A2"/>
    <w:rsid w:val="00830558"/>
    <w:rsid w:val="00830B82"/>
    <w:rsid w:val="00830BCC"/>
    <w:rsid w:val="00830DC5"/>
    <w:rsid w:val="00831250"/>
    <w:rsid w:val="008315A5"/>
    <w:rsid w:val="00831DC8"/>
    <w:rsid w:val="00832081"/>
    <w:rsid w:val="00832918"/>
    <w:rsid w:val="008329A4"/>
    <w:rsid w:val="0083305E"/>
    <w:rsid w:val="008330C8"/>
    <w:rsid w:val="00833154"/>
    <w:rsid w:val="008331F5"/>
    <w:rsid w:val="0083329A"/>
    <w:rsid w:val="00833394"/>
    <w:rsid w:val="00833404"/>
    <w:rsid w:val="00833613"/>
    <w:rsid w:val="008337F6"/>
    <w:rsid w:val="00834326"/>
    <w:rsid w:val="00834765"/>
    <w:rsid w:val="00834B2B"/>
    <w:rsid w:val="008354E1"/>
    <w:rsid w:val="00835823"/>
    <w:rsid w:val="0083589D"/>
    <w:rsid w:val="00835B23"/>
    <w:rsid w:val="00835BC0"/>
    <w:rsid w:val="00835BF6"/>
    <w:rsid w:val="008363F2"/>
    <w:rsid w:val="00836599"/>
    <w:rsid w:val="008369B5"/>
    <w:rsid w:val="00836A58"/>
    <w:rsid w:val="00836C8B"/>
    <w:rsid w:val="00836E11"/>
    <w:rsid w:val="008373CA"/>
    <w:rsid w:val="0083768C"/>
    <w:rsid w:val="0083786B"/>
    <w:rsid w:val="008378AC"/>
    <w:rsid w:val="008378C5"/>
    <w:rsid w:val="0083792E"/>
    <w:rsid w:val="008379D0"/>
    <w:rsid w:val="00837B51"/>
    <w:rsid w:val="00837DD6"/>
    <w:rsid w:val="00837E56"/>
    <w:rsid w:val="00840042"/>
    <w:rsid w:val="0084008E"/>
    <w:rsid w:val="0084015B"/>
    <w:rsid w:val="00840390"/>
    <w:rsid w:val="00840905"/>
    <w:rsid w:val="00840B6A"/>
    <w:rsid w:val="008410BD"/>
    <w:rsid w:val="008416B3"/>
    <w:rsid w:val="00841879"/>
    <w:rsid w:val="008418E3"/>
    <w:rsid w:val="00841A4C"/>
    <w:rsid w:val="00841C70"/>
    <w:rsid w:val="00841DEA"/>
    <w:rsid w:val="00841EB6"/>
    <w:rsid w:val="00842144"/>
    <w:rsid w:val="00842602"/>
    <w:rsid w:val="0084261D"/>
    <w:rsid w:val="008427A8"/>
    <w:rsid w:val="00842A92"/>
    <w:rsid w:val="00842BA6"/>
    <w:rsid w:val="00842CA9"/>
    <w:rsid w:val="00842DCA"/>
    <w:rsid w:val="00842FD3"/>
    <w:rsid w:val="008433D6"/>
    <w:rsid w:val="00843616"/>
    <w:rsid w:val="00843793"/>
    <w:rsid w:val="00843D3D"/>
    <w:rsid w:val="00843D94"/>
    <w:rsid w:val="00843E00"/>
    <w:rsid w:val="00843F19"/>
    <w:rsid w:val="00844215"/>
    <w:rsid w:val="008443A3"/>
    <w:rsid w:val="0084486E"/>
    <w:rsid w:val="00844ACF"/>
    <w:rsid w:val="00844F52"/>
    <w:rsid w:val="008451BE"/>
    <w:rsid w:val="008454B2"/>
    <w:rsid w:val="008454E4"/>
    <w:rsid w:val="0084550A"/>
    <w:rsid w:val="00845AD4"/>
    <w:rsid w:val="00845B5B"/>
    <w:rsid w:val="0084600A"/>
    <w:rsid w:val="008460AF"/>
    <w:rsid w:val="00846101"/>
    <w:rsid w:val="00846157"/>
    <w:rsid w:val="008461A5"/>
    <w:rsid w:val="008466A7"/>
    <w:rsid w:val="008476FF"/>
    <w:rsid w:val="00847AE4"/>
    <w:rsid w:val="00847D93"/>
    <w:rsid w:val="00850184"/>
    <w:rsid w:val="0085046D"/>
    <w:rsid w:val="00850AD3"/>
    <w:rsid w:val="00850B9F"/>
    <w:rsid w:val="00851299"/>
    <w:rsid w:val="008515A8"/>
    <w:rsid w:val="008517D1"/>
    <w:rsid w:val="00851C7B"/>
    <w:rsid w:val="00851F4D"/>
    <w:rsid w:val="00852054"/>
    <w:rsid w:val="00852249"/>
    <w:rsid w:val="0085242E"/>
    <w:rsid w:val="00852C0F"/>
    <w:rsid w:val="00853157"/>
    <w:rsid w:val="00853B62"/>
    <w:rsid w:val="00854E00"/>
    <w:rsid w:val="008552B8"/>
    <w:rsid w:val="0085586F"/>
    <w:rsid w:val="00855C14"/>
    <w:rsid w:val="0085632F"/>
    <w:rsid w:val="008569E0"/>
    <w:rsid w:val="00856D08"/>
    <w:rsid w:val="00856F6A"/>
    <w:rsid w:val="0085708F"/>
    <w:rsid w:val="0085727F"/>
    <w:rsid w:val="0085735C"/>
    <w:rsid w:val="008575BF"/>
    <w:rsid w:val="00860B73"/>
    <w:rsid w:val="00860D50"/>
    <w:rsid w:val="00861479"/>
    <w:rsid w:val="00861646"/>
    <w:rsid w:val="0086174A"/>
    <w:rsid w:val="008619DB"/>
    <w:rsid w:val="00861D97"/>
    <w:rsid w:val="00861F10"/>
    <w:rsid w:val="00861F6A"/>
    <w:rsid w:val="00862625"/>
    <w:rsid w:val="00862727"/>
    <w:rsid w:val="00862D9F"/>
    <w:rsid w:val="00862E11"/>
    <w:rsid w:val="0086328A"/>
    <w:rsid w:val="00863485"/>
    <w:rsid w:val="008637CC"/>
    <w:rsid w:val="008637CE"/>
    <w:rsid w:val="00863AB0"/>
    <w:rsid w:val="00863AB5"/>
    <w:rsid w:val="00863C68"/>
    <w:rsid w:val="00863E91"/>
    <w:rsid w:val="00864581"/>
    <w:rsid w:val="008646F1"/>
    <w:rsid w:val="00864831"/>
    <w:rsid w:val="00864856"/>
    <w:rsid w:val="00864DCD"/>
    <w:rsid w:val="00864E2C"/>
    <w:rsid w:val="00864F12"/>
    <w:rsid w:val="008651BB"/>
    <w:rsid w:val="00865316"/>
    <w:rsid w:val="0086572E"/>
    <w:rsid w:val="0086587B"/>
    <w:rsid w:val="0086587C"/>
    <w:rsid w:val="00865B96"/>
    <w:rsid w:val="00865EE1"/>
    <w:rsid w:val="0086618A"/>
    <w:rsid w:val="00866525"/>
    <w:rsid w:val="0086654A"/>
    <w:rsid w:val="008666DF"/>
    <w:rsid w:val="008669F9"/>
    <w:rsid w:val="00866BE7"/>
    <w:rsid w:val="00866C96"/>
    <w:rsid w:val="00866D12"/>
    <w:rsid w:val="00866DD5"/>
    <w:rsid w:val="00866EA8"/>
    <w:rsid w:val="008671A9"/>
    <w:rsid w:val="008673AD"/>
    <w:rsid w:val="008673B3"/>
    <w:rsid w:val="00867F8A"/>
    <w:rsid w:val="00867FA5"/>
    <w:rsid w:val="008701B3"/>
    <w:rsid w:val="008703B7"/>
    <w:rsid w:val="008704E1"/>
    <w:rsid w:val="008706DC"/>
    <w:rsid w:val="00870D77"/>
    <w:rsid w:val="00871B90"/>
    <w:rsid w:val="00871F27"/>
    <w:rsid w:val="00871FEB"/>
    <w:rsid w:val="008725FA"/>
    <w:rsid w:val="00872D53"/>
    <w:rsid w:val="00872EFB"/>
    <w:rsid w:val="00872FE1"/>
    <w:rsid w:val="00873540"/>
    <w:rsid w:val="008735DD"/>
    <w:rsid w:val="00873B4B"/>
    <w:rsid w:val="00873D22"/>
    <w:rsid w:val="00873E23"/>
    <w:rsid w:val="00873E2A"/>
    <w:rsid w:val="00873F93"/>
    <w:rsid w:val="008741A8"/>
    <w:rsid w:val="00874331"/>
    <w:rsid w:val="0087446B"/>
    <w:rsid w:val="00874491"/>
    <w:rsid w:val="008746EF"/>
    <w:rsid w:val="00874843"/>
    <w:rsid w:val="0087491D"/>
    <w:rsid w:val="0087516B"/>
    <w:rsid w:val="0087545C"/>
    <w:rsid w:val="0087597E"/>
    <w:rsid w:val="00875C73"/>
    <w:rsid w:val="00875CC9"/>
    <w:rsid w:val="00875EA2"/>
    <w:rsid w:val="00875EB7"/>
    <w:rsid w:val="00875F46"/>
    <w:rsid w:val="00876200"/>
    <w:rsid w:val="008765C8"/>
    <w:rsid w:val="00876749"/>
    <w:rsid w:val="00876910"/>
    <w:rsid w:val="00876A1B"/>
    <w:rsid w:val="0087705E"/>
    <w:rsid w:val="008772E3"/>
    <w:rsid w:val="00877548"/>
    <w:rsid w:val="008779AD"/>
    <w:rsid w:val="00877A2B"/>
    <w:rsid w:val="00877CCD"/>
    <w:rsid w:val="00877ED8"/>
    <w:rsid w:val="00880275"/>
    <w:rsid w:val="00880877"/>
    <w:rsid w:val="00880ECA"/>
    <w:rsid w:val="008810BD"/>
    <w:rsid w:val="008811D5"/>
    <w:rsid w:val="00881566"/>
    <w:rsid w:val="00881784"/>
    <w:rsid w:val="00881B08"/>
    <w:rsid w:val="00881CEA"/>
    <w:rsid w:val="008821D6"/>
    <w:rsid w:val="0088221B"/>
    <w:rsid w:val="008824D2"/>
    <w:rsid w:val="0088277D"/>
    <w:rsid w:val="00882832"/>
    <w:rsid w:val="00882BE3"/>
    <w:rsid w:val="00882FF8"/>
    <w:rsid w:val="008835D8"/>
    <w:rsid w:val="00883992"/>
    <w:rsid w:val="008839A8"/>
    <w:rsid w:val="00883D8F"/>
    <w:rsid w:val="00883FBE"/>
    <w:rsid w:val="00884327"/>
    <w:rsid w:val="0088462D"/>
    <w:rsid w:val="00884998"/>
    <w:rsid w:val="00884AA7"/>
    <w:rsid w:val="00884D3A"/>
    <w:rsid w:val="00884D8A"/>
    <w:rsid w:val="00884F26"/>
    <w:rsid w:val="00884F84"/>
    <w:rsid w:val="008851CE"/>
    <w:rsid w:val="008853B0"/>
    <w:rsid w:val="008861CE"/>
    <w:rsid w:val="008863E6"/>
    <w:rsid w:val="0088678D"/>
    <w:rsid w:val="008867A3"/>
    <w:rsid w:val="0088682A"/>
    <w:rsid w:val="008868F5"/>
    <w:rsid w:val="00886B63"/>
    <w:rsid w:val="0088718B"/>
    <w:rsid w:val="008872A6"/>
    <w:rsid w:val="008878FC"/>
    <w:rsid w:val="00887B64"/>
    <w:rsid w:val="00887C76"/>
    <w:rsid w:val="00890626"/>
    <w:rsid w:val="00890771"/>
    <w:rsid w:val="0089094C"/>
    <w:rsid w:val="00890A04"/>
    <w:rsid w:val="00890B72"/>
    <w:rsid w:val="00890BFF"/>
    <w:rsid w:val="00891125"/>
    <w:rsid w:val="00891317"/>
    <w:rsid w:val="008913D7"/>
    <w:rsid w:val="008913E0"/>
    <w:rsid w:val="00891515"/>
    <w:rsid w:val="00891C8D"/>
    <w:rsid w:val="00891D0D"/>
    <w:rsid w:val="00892D7D"/>
    <w:rsid w:val="0089350A"/>
    <w:rsid w:val="00893849"/>
    <w:rsid w:val="008944A1"/>
    <w:rsid w:val="008949D6"/>
    <w:rsid w:val="00894A5F"/>
    <w:rsid w:val="00894C38"/>
    <w:rsid w:val="00894D98"/>
    <w:rsid w:val="00894FBC"/>
    <w:rsid w:val="00895630"/>
    <w:rsid w:val="00895647"/>
    <w:rsid w:val="008957A5"/>
    <w:rsid w:val="00895C1A"/>
    <w:rsid w:val="0089609F"/>
    <w:rsid w:val="008964DB"/>
    <w:rsid w:val="0089653C"/>
    <w:rsid w:val="008966C0"/>
    <w:rsid w:val="00896767"/>
    <w:rsid w:val="008968A8"/>
    <w:rsid w:val="00896945"/>
    <w:rsid w:val="008969B2"/>
    <w:rsid w:val="00896C6D"/>
    <w:rsid w:val="00896DEB"/>
    <w:rsid w:val="008972C9"/>
    <w:rsid w:val="008972CA"/>
    <w:rsid w:val="00897336"/>
    <w:rsid w:val="00897344"/>
    <w:rsid w:val="00897354"/>
    <w:rsid w:val="00897BCA"/>
    <w:rsid w:val="00897D11"/>
    <w:rsid w:val="00897F61"/>
    <w:rsid w:val="008A09D3"/>
    <w:rsid w:val="008A0A0F"/>
    <w:rsid w:val="008A0B58"/>
    <w:rsid w:val="008A0E83"/>
    <w:rsid w:val="008A0EB9"/>
    <w:rsid w:val="008A1087"/>
    <w:rsid w:val="008A10A2"/>
    <w:rsid w:val="008A10E8"/>
    <w:rsid w:val="008A1E5C"/>
    <w:rsid w:val="008A1ED2"/>
    <w:rsid w:val="008A2082"/>
    <w:rsid w:val="008A2330"/>
    <w:rsid w:val="008A2393"/>
    <w:rsid w:val="008A259C"/>
    <w:rsid w:val="008A25AF"/>
    <w:rsid w:val="008A2602"/>
    <w:rsid w:val="008A267F"/>
    <w:rsid w:val="008A2A6F"/>
    <w:rsid w:val="008A2C9C"/>
    <w:rsid w:val="008A30DA"/>
    <w:rsid w:val="008A329E"/>
    <w:rsid w:val="008A34A3"/>
    <w:rsid w:val="008A37D2"/>
    <w:rsid w:val="008A3824"/>
    <w:rsid w:val="008A39E6"/>
    <w:rsid w:val="008A3C70"/>
    <w:rsid w:val="008A3C84"/>
    <w:rsid w:val="008A3E9F"/>
    <w:rsid w:val="008A4D2E"/>
    <w:rsid w:val="008A4D47"/>
    <w:rsid w:val="008A4DEF"/>
    <w:rsid w:val="008A50F3"/>
    <w:rsid w:val="008A5136"/>
    <w:rsid w:val="008A51E1"/>
    <w:rsid w:val="008A5670"/>
    <w:rsid w:val="008A57FE"/>
    <w:rsid w:val="008A5C3B"/>
    <w:rsid w:val="008A5EC0"/>
    <w:rsid w:val="008A5EDD"/>
    <w:rsid w:val="008A5F51"/>
    <w:rsid w:val="008A6901"/>
    <w:rsid w:val="008A6929"/>
    <w:rsid w:val="008A6D19"/>
    <w:rsid w:val="008A6D75"/>
    <w:rsid w:val="008A7033"/>
    <w:rsid w:val="008A75F6"/>
    <w:rsid w:val="008A7659"/>
    <w:rsid w:val="008A78E6"/>
    <w:rsid w:val="008B0050"/>
    <w:rsid w:val="008B097A"/>
    <w:rsid w:val="008B0E61"/>
    <w:rsid w:val="008B0E9C"/>
    <w:rsid w:val="008B11D4"/>
    <w:rsid w:val="008B1236"/>
    <w:rsid w:val="008B1571"/>
    <w:rsid w:val="008B1606"/>
    <w:rsid w:val="008B181A"/>
    <w:rsid w:val="008B1C47"/>
    <w:rsid w:val="008B20C9"/>
    <w:rsid w:val="008B2266"/>
    <w:rsid w:val="008B2899"/>
    <w:rsid w:val="008B2BAE"/>
    <w:rsid w:val="008B3107"/>
    <w:rsid w:val="008B319B"/>
    <w:rsid w:val="008B379A"/>
    <w:rsid w:val="008B3946"/>
    <w:rsid w:val="008B3C7D"/>
    <w:rsid w:val="008B420D"/>
    <w:rsid w:val="008B4288"/>
    <w:rsid w:val="008B46E7"/>
    <w:rsid w:val="008B4739"/>
    <w:rsid w:val="008B4A08"/>
    <w:rsid w:val="008B50F8"/>
    <w:rsid w:val="008B54D1"/>
    <w:rsid w:val="008B5589"/>
    <w:rsid w:val="008B5AE9"/>
    <w:rsid w:val="008B5C55"/>
    <w:rsid w:val="008B5C5E"/>
    <w:rsid w:val="008B637F"/>
    <w:rsid w:val="008B645B"/>
    <w:rsid w:val="008B671F"/>
    <w:rsid w:val="008B6A13"/>
    <w:rsid w:val="008B6EE9"/>
    <w:rsid w:val="008B7028"/>
    <w:rsid w:val="008B7AF1"/>
    <w:rsid w:val="008B7C8C"/>
    <w:rsid w:val="008C010C"/>
    <w:rsid w:val="008C048A"/>
    <w:rsid w:val="008C0A7C"/>
    <w:rsid w:val="008C0F7A"/>
    <w:rsid w:val="008C14A2"/>
    <w:rsid w:val="008C1544"/>
    <w:rsid w:val="008C15A8"/>
    <w:rsid w:val="008C15F2"/>
    <w:rsid w:val="008C16B8"/>
    <w:rsid w:val="008C19D4"/>
    <w:rsid w:val="008C1A19"/>
    <w:rsid w:val="008C1CBD"/>
    <w:rsid w:val="008C1E64"/>
    <w:rsid w:val="008C2882"/>
    <w:rsid w:val="008C2A5D"/>
    <w:rsid w:val="008C2AE0"/>
    <w:rsid w:val="008C2E5C"/>
    <w:rsid w:val="008C2F7E"/>
    <w:rsid w:val="008C319D"/>
    <w:rsid w:val="008C3ABB"/>
    <w:rsid w:val="008C3D0C"/>
    <w:rsid w:val="008C3D72"/>
    <w:rsid w:val="008C4144"/>
    <w:rsid w:val="008C51DB"/>
    <w:rsid w:val="008C5D2F"/>
    <w:rsid w:val="008C5ED1"/>
    <w:rsid w:val="008C618F"/>
    <w:rsid w:val="008C621C"/>
    <w:rsid w:val="008C671F"/>
    <w:rsid w:val="008C6A6F"/>
    <w:rsid w:val="008C6AEF"/>
    <w:rsid w:val="008C6BED"/>
    <w:rsid w:val="008C6D63"/>
    <w:rsid w:val="008C6E20"/>
    <w:rsid w:val="008C6F05"/>
    <w:rsid w:val="008C6F48"/>
    <w:rsid w:val="008C7303"/>
    <w:rsid w:val="008C7991"/>
    <w:rsid w:val="008C7A53"/>
    <w:rsid w:val="008D044B"/>
    <w:rsid w:val="008D0B3A"/>
    <w:rsid w:val="008D0DC1"/>
    <w:rsid w:val="008D0DCF"/>
    <w:rsid w:val="008D10D7"/>
    <w:rsid w:val="008D11C3"/>
    <w:rsid w:val="008D11FB"/>
    <w:rsid w:val="008D1AFA"/>
    <w:rsid w:val="008D1B52"/>
    <w:rsid w:val="008D1E4E"/>
    <w:rsid w:val="008D269A"/>
    <w:rsid w:val="008D32A1"/>
    <w:rsid w:val="008D3315"/>
    <w:rsid w:val="008D346E"/>
    <w:rsid w:val="008D35B4"/>
    <w:rsid w:val="008D374B"/>
    <w:rsid w:val="008D3AEB"/>
    <w:rsid w:val="008D3C3A"/>
    <w:rsid w:val="008D4831"/>
    <w:rsid w:val="008D4BA6"/>
    <w:rsid w:val="008D4F49"/>
    <w:rsid w:val="008D511C"/>
    <w:rsid w:val="008D5279"/>
    <w:rsid w:val="008D54C9"/>
    <w:rsid w:val="008D55BC"/>
    <w:rsid w:val="008D56D1"/>
    <w:rsid w:val="008D575A"/>
    <w:rsid w:val="008D5887"/>
    <w:rsid w:val="008D5C25"/>
    <w:rsid w:val="008D5D97"/>
    <w:rsid w:val="008D6097"/>
    <w:rsid w:val="008D60E9"/>
    <w:rsid w:val="008D61A8"/>
    <w:rsid w:val="008D63E6"/>
    <w:rsid w:val="008D64A0"/>
    <w:rsid w:val="008D67EB"/>
    <w:rsid w:val="008D68FE"/>
    <w:rsid w:val="008D6AAC"/>
    <w:rsid w:val="008D6BAD"/>
    <w:rsid w:val="008D6CC2"/>
    <w:rsid w:val="008D6F50"/>
    <w:rsid w:val="008D6F96"/>
    <w:rsid w:val="008D6FF1"/>
    <w:rsid w:val="008D72A4"/>
    <w:rsid w:val="008D72FD"/>
    <w:rsid w:val="008D764A"/>
    <w:rsid w:val="008D77BD"/>
    <w:rsid w:val="008D77EE"/>
    <w:rsid w:val="008D7A9B"/>
    <w:rsid w:val="008D7B54"/>
    <w:rsid w:val="008D7C05"/>
    <w:rsid w:val="008D7DAF"/>
    <w:rsid w:val="008D7DBF"/>
    <w:rsid w:val="008E0007"/>
    <w:rsid w:val="008E075D"/>
    <w:rsid w:val="008E0A0C"/>
    <w:rsid w:val="008E11EC"/>
    <w:rsid w:val="008E128C"/>
    <w:rsid w:val="008E1EA0"/>
    <w:rsid w:val="008E21BF"/>
    <w:rsid w:val="008E2518"/>
    <w:rsid w:val="008E2521"/>
    <w:rsid w:val="008E2573"/>
    <w:rsid w:val="008E26CC"/>
    <w:rsid w:val="008E27A4"/>
    <w:rsid w:val="008E2A80"/>
    <w:rsid w:val="008E3408"/>
    <w:rsid w:val="008E34BB"/>
    <w:rsid w:val="008E35DB"/>
    <w:rsid w:val="008E3BDC"/>
    <w:rsid w:val="008E3FEC"/>
    <w:rsid w:val="008E40B3"/>
    <w:rsid w:val="008E413A"/>
    <w:rsid w:val="008E4863"/>
    <w:rsid w:val="008E4E4A"/>
    <w:rsid w:val="008E5075"/>
    <w:rsid w:val="008E534B"/>
    <w:rsid w:val="008E53E0"/>
    <w:rsid w:val="008E5753"/>
    <w:rsid w:val="008E5810"/>
    <w:rsid w:val="008E5AC1"/>
    <w:rsid w:val="008E5B37"/>
    <w:rsid w:val="008E5FBA"/>
    <w:rsid w:val="008E606A"/>
    <w:rsid w:val="008E622E"/>
    <w:rsid w:val="008E6255"/>
    <w:rsid w:val="008E67BF"/>
    <w:rsid w:val="008E6ED5"/>
    <w:rsid w:val="008E7685"/>
    <w:rsid w:val="008E76D3"/>
    <w:rsid w:val="008E7795"/>
    <w:rsid w:val="008E7B43"/>
    <w:rsid w:val="008E7D60"/>
    <w:rsid w:val="008F006B"/>
    <w:rsid w:val="008F0451"/>
    <w:rsid w:val="008F0507"/>
    <w:rsid w:val="008F0800"/>
    <w:rsid w:val="008F09D2"/>
    <w:rsid w:val="008F0A6D"/>
    <w:rsid w:val="008F0C3F"/>
    <w:rsid w:val="008F0C65"/>
    <w:rsid w:val="008F0CFF"/>
    <w:rsid w:val="008F0D29"/>
    <w:rsid w:val="008F0F70"/>
    <w:rsid w:val="008F17AE"/>
    <w:rsid w:val="008F19CE"/>
    <w:rsid w:val="008F219A"/>
    <w:rsid w:val="008F2304"/>
    <w:rsid w:val="008F2445"/>
    <w:rsid w:val="008F260B"/>
    <w:rsid w:val="008F2C5F"/>
    <w:rsid w:val="008F3A31"/>
    <w:rsid w:val="008F3BC2"/>
    <w:rsid w:val="008F3C01"/>
    <w:rsid w:val="008F3EFE"/>
    <w:rsid w:val="008F4104"/>
    <w:rsid w:val="008F427F"/>
    <w:rsid w:val="008F4353"/>
    <w:rsid w:val="008F44BE"/>
    <w:rsid w:val="008F4617"/>
    <w:rsid w:val="008F4622"/>
    <w:rsid w:val="008F48A5"/>
    <w:rsid w:val="008F49C4"/>
    <w:rsid w:val="008F49CB"/>
    <w:rsid w:val="008F4AA9"/>
    <w:rsid w:val="008F4B21"/>
    <w:rsid w:val="008F507C"/>
    <w:rsid w:val="008F52D6"/>
    <w:rsid w:val="008F5563"/>
    <w:rsid w:val="008F59D2"/>
    <w:rsid w:val="008F5A49"/>
    <w:rsid w:val="008F5E0A"/>
    <w:rsid w:val="008F5E29"/>
    <w:rsid w:val="008F5F30"/>
    <w:rsid w:val="008F5FD6"/>
    <w:rsid w:val="008F5FF8"/>
    <w:rsid w:val="008F6141"/>
    <w:rsid w:val="008F6351"/>
    <w:rsid w:val="008F6614"/>
    <w:rsid w:val="008F69C1"/>
    <w:rsid w:val="008F6A7D"/>
    <w:rsid w:val="008F6A99"/>
    <w:rsid w:val="008F6BA6"/>
    <w:rsid w:val="008F6C51"/>
    <w:rsid w:val="008F6E1A"/>
    <w:rsid w:val="008F6F49"/>
    <w:rsid w:val="008F73CE"/>
    <w:rsid w:val="008F7459"/>
    <w:rsid w:val="008F7465"/>
    <w:rsid w:val="008F74C1"/>
    <w:rsid w:val="008F7AF3"/>
    <w:rsid w:val="008F7CEF"/>
    <w:rsid w:val="008F7F82"/>
    <w:rsid w:val="00900628"/>
    <w:rsid w:val="009008B4"/>
    <w:rsid w:val="0090117D"/>
    <w:rsid w:val="009012EF"/>
    <w:rsid w:val="00901311"/>
    <w:rsid w:val="009014D9"/>
    <w:rsid w:val="00901522"/>
    <w:rsid w:val="00901802"/>
    <w:rsid w:val="0090187C"/>
    <w:rsid w:val="009018F8"/>
    <w:rsid w:val="009019C3"/>
    <w:rsid w:val="00901A51"/>
    <w:rsid w:val="00901ABF"/>
    <w:rsid w:val="00901AE2"/>
    <w:rsid w:val="00901B3E"/>
    <w:rsid w:val="00901CAE"/>
    <w:rsid w:val="0090200E"/>
    <w:rsid w:val="00902030"/>
    <w:rsid w:val="00902104"/>
    <w:rsid w:val="00902423"/>
    <w:rsid w:val="009025D7"/>
    <w:rsid w:val="00902A41"/>
    <w:rsid w:val="00903192"/>
    <w:rsid w:val="009033C0"/>
    <w:rsid w:val="009035EE"/>
    <w:rsid w:val="00903A84"/>
    <w:rsid w:val="00903CCD"/>
    <w:rsid w:val="00903EC5"/>
    <w:rsid w:val="00903ED3"/>
    <w:rsid w:val="0090406F"/>
    <w:rsid w:val="00904179"/>
    <w:rsid w:val="00904794"/>
    <w:rsid w:val="00904DE8"/>
    <w:rsid w:val="00904F22"/>
    <w:rsid w:val="00904FCD"/>
    <w:rsid w:val="009051F2"/>
    <w:rsid w:val="00905281"/>
    <w:rsid w:val="00905383"/>
    <w:rsid w:val="0090579E"/>
    <w:rsid w:val="00905874"/>
    <w:rsid w:val="00905C43"/>
    <w:rsid w:val="00905FBF"/>
    <w:rsid w:val="00905FCF"/>
    <w:rsid w:val="0090636E"/>
    <w:rsid w:val="0090648A"/>
    <w:rsid w:val="00906721"/>
    <w:rsid w:val="009069E7"/>
    <w:rsid w:val="00906A03"/>
    <w:rsid w:val="00906BF4"/>
    <w:rsid w:val="00906E71"/>
    <w:rsid w:val="0090707F"/>
    <w:rsid w:val="009073AE"/>
    <w:rsid w:val="00907405"/>
    <w:rsid w:val="0090742B"/>
    <w:rsid w:val="00907A01"/>
    <w:rsid w:val="00907AB9"/>
    <w:rsid w:val="00907B29"/>
    <w:rsid w:val="00907C61"/>
    <w:rsid w:val="00907EA9"/>
    <w:rsid w:val="00907F42"/>
    <w:rsid w:val="00910211"/>
    <w:rsid w:val="0091050D"/>
    <w:rsid w:val="009106C6"/>
    <w:rsid w:val="00910808"/>
    <w:rsid w:val="00910C82"/>
    <w:rsid w:val="00911047"/>
    <w:rsid w:val="009110C2"/>
    <w:rsid w:val="009114B6"/>
    <w:rsid w:val="0091157C"/>
    <w:rsid w:val="00912738"/>
    <w:rsid w:val="00912764"/>
    <w:rsid w:val="00912B6D"/>
    <w:rsid w:val="00912CAE"/>
    <w:rsid w:val="00912DB8"/>
    <w:rsid w:val="00912FA7"/>
    <w:rsid w:val="00912FBC"/>
    <w:rsid w:val="00912FC7"/>
    <w:rsid w:val="0091301C"/>
    <w:rsid w:val="009131B7"/>
    <w:rsid w:val="00913453"/>
    <w:rsid w:val="0091378F"/>
    <w:rsid w:val="00913799"/>
    <w:rsid w:val="00913D92"/>
    <w:rsid w:val="0091406D"/>
    <w:rsid w:val="009148E7"/>
    <w:rsid w:val="00914F5E"/>
    <w:rsid w:val="00914FBD"/>
    <w:rsid w:val="00915149"/>
    <w:rsid w:val="009156BB"/>
    <w:rsid w:val="009159A9"/>
    <w:rsid w:val="00915AB3"/>
    <w:rsid w:val="00915B89"/>
    <w:rsid w:val="00915DD7"/>
    <w:rsid w:val="00915E3D"/>
    <w:rsid w:val="00915FE9"/>
    <w:rsid w:val="009164BE"/>
    <w:rsid w:val="009164CD"/>
    <w:rsid w:val="00916567"/>
    <w:rsid w:val="00916678"/>
    <w:rsid w:val="0091678E"/>
    <w:rsid w:val="00916878"/>
    <w:rsid w:val="00917856"/>
    <w:rsid w:val="009178E9"/>
    <w:rsid w:val="00917A3D"/>
    <w:rsid w:val="00917E1F"/>
    <w:rsid w:val="00917FB2"/>
    <w:rsid w:val="00920007"/>
    <w:rsid w:val="00920221"/>
    <w:rsid w:val="0092036D"/>
    <w:rsid w:val="00920743"/>
    <w:rsid w:val="009207DB"/>
    <w:rsid w:val="009207FF"/>
    <w:rsid w:val="009209CE"/>
    <w:rsid w:val="00920F58"/>
    <w:rsid w:val="0092101A"/>
    <w:rsid w:val="00921276"/>
    <w:rsid w:val="009212DA"/>
    <w:rsid w:val="00921405"/>
    <w:rsid w:val="009219CF"/>
    <w:rsid w:val="00921A73"/>
    <w:rsid w:val="009227CE"/>
    <w:rsid w:val="009228F2"/>
    <w:rsid w:val="009229C3"/>
    <w:rsid w:val="0092317C"/>
    <w:rsid w:val="009235AB"/>
    <w:rsid w:val="0092364C"/>
    <w:rsid w:val="00923918"/>
    <w:rsid w:val="00923CB8"/>
    <w:rsid w:val="00923EFE"/>
    <w:rsid w:val="00924162"/>
    <w:rsid w:val="00924327"/>
    <w:rsid w:val="009244D3"/>
    <w:rsid w:val="009249F5"/>
    <w:rsid w:val="00924D07"/>
    <w:rsid w:val="0092537C"/>
    <w:rsid w:val="009253CF"/>
    <w:rsid w:val="00925952"/>
    <w:rsid w:val="009259DD"/>
    <w:rsid w:val="00925A01"/>
    <w:rsid w:val="00925B3C"/>
    <w:rsid w:val="00925B52"/>
    <w:rsid w:val="00925C30"/>
    <w:rsid w:val="00925C35"/>
    <w:rsid w:val="00925C72"/>
    <w:rsid w:val="00925D69"/>
    <w:rsid w:val="00925EA8"/>
    <w:rsid w:val="009263F9"/>
    <w:rsid w:val="009264E0"/>
    <w:rsid w:val="009266E3"/>
    <w:rsid w:val="0092696B"/>
    <w:rsid w:val="00926BB2"/>
    <w:rsid w:val="00926E11"/>
    <w:rsid w:val="00927083"/>
    <w:rsid w:val="009272A7"/>
    <w:rsid w:val="0092754A"/>
    <w:rsid w:val="00927569"/>
    <w:rsid w:val="0092763A"/>
    <w:rsid w:val="00927885"/>
    <w:rsid w:val="009278C9"/>
    <w:rsid w:val="00927DC9"/>
    <w:rsid w:val="00927E23"/>
    <w:rsid w:val="00927E8C"/>
    <w:rsid w:val="00930102"/>
    <w:rsid w:val="009303B3"/>
    <w:rsid w:val="00930514"/>
    <w:rsid w:val="00930976"/>
    <w:rsid w:val="00930B75"/>
    <w:rsid w:val="00930DB8"/>
    <w:rsid w:val="00930E12"/>
    <w:rsid w:val="009311A8"/>
    <w:rsid w:val="009317BD"/>
    <w:rsid w:val="00931821"/>
    <w:rsid w:val="009318A2"/>
    <w:rsid w:val="009319DF"/>
    <w:rsid w:val="00931AF7"/>
    <w:rsid w:val="00932447"/>
    <w:rsid w:val="0093257C"/>
    <w:rsid w:val="00932855"/>
    <w:rsid w:val="00932924"/>
    <w:rsid w:val="00932C68"/>
    <w:rsid w:val="00933008"/>
    <w:rsid w:val="00933247"/>
    <w:rsid w:val="00933687"/>
    <w:rsid w:val="009337DC"/>
    <w:rsid w:val="0093437B"/>
    <w:rsid w:val="00934636"/>
    <w:rsid w:val="009353A6"/>
    <w:rsid w:val="0093542F"/>
    <w:rsid w:val="00935C60"/>
    <w:rsid w:val="00935DC0"/>
    <w:rsid w:val="00936895"/>
    <w:rsid w:val="00936974"/>
    <w:rsid w:val="00936AE8"/>
    <w:rsid w:val="00936D1B"/>
    <w:rsid w:val="00936FA2"/>
    <w:rsid w:val="00936FB4"/>
    <w:rsid w:val="00937007"/>
    <w:rsid w:val="0093754D"/>
    <w:rsid w:val="00937B90"/>
    <w:rsid w:val="00937BC2"/>
    <w:rsid w:val="00937C20"/>
    <w:rsid w:val="00937D76"/>
    <w:rsid w:val="00940000"/>
    <w:rsid w:val="00940003"/>
    <w:rsid w:val="00940077"/>
    <w:rsid w:val="00940283"/>
    <w:rsid w:val="0094076E"/>
    <w:rsid w:val="00940929"/>
    <w:rsid w:val="00940A70"/>
    <w:rsid w:val="00940AE1"/>
    <w:rsid w:val="00940B7D"/>
    <w:rsid w:val="00941473"/>
    <w:rsid w:val="0094160F"/>
    <w:rsid w:val="00941694"/>
    <w:rsid w:val="009417C6"/>
    <w:rsid w:val="009419E3"/>
    <w:rsid w:val="00941C60"/>
    <w:rsid w:val="00941FC6"/>
    <w:rsid w:val="009426FA"/>
    <w:rsid w:val="00942818"/>
    <w:rsid w:val="00942A62"/>
    <w:rsid w:val="00942D32"/>
    <w:rsid w:val="00942D3F"/>
    <w:rsid w:val="0094309D"/>
    <w:rsid w:val="00943153"/>
    <w:rsid w:val="009431A0"/>
    <w:rsid w:val="009434E1"/>
    <w:rsid w:val="0094374B"/>
    <w:rsid w:val="00943A08"/>
    <w:rsid w:val="00943BB9"/>
    <w:rsid w:val="00943C50"/>
    <w:rsid w:val="00943D6F"/>
    <w:rsid w:val="00943FC2"/>
    <w:rsid w:val="00943FC8"/>
    <w:rsid w:val="00944743"/>
    <w:rsid w:val="00944745"/>
    <w:rsid w:val="00944D0D"/>
    <w:rsid w:val="00944F07"/>
    <w:rsid w:val="009450CD"/>
    <w:rsid w:val="0094546F"/>
    <w:rsid w:val="00945B6C"/>
    <w:rsid w:val="00945BA0"/>
    <w:rsid w:val="00946112"/>
    <w:rsid w:val="0094630A"/>
    <w:rsid w:val="009463A6"/>
    <w:rsid w:val="0094655F"/>
    <w:rsid w:val="00946576"/>
    <w:rsid w:val="0094682C"/>
    <w:rsid w:val="00946E32"/>
    <w:rsid w:val="0094774E"/>
    <w:rsid w:val="00947914"/>
    <w:rsid w:val="00947A87"/>
    <w:rsid w:val="00950027"/>
    <w:rsid w:val="009502FA"/>
    <w:rsid w:val="009503A1"/>
    <w:rsid w:val="00950431"/>
    <w:rsid w:val="009504A7"/>
    <w:rsid w:val="009511F7"/>
    <w:rsid w:val="00951270"/>
    <w:rsid w:val="009512DE"/>
    <w:rsid w:val="00951BA9"/>
    <w:rsid w:val="009524A6"/>
    <w:rsid w:val="00952699"/>
    <w:rsid w:val="00952720"/>
    <w:rsid w:val="00952785"/>
    <w:rsid w:val="009527A2"/>
    <w:rsid w:val="00952877"/>
    <w:rsid w:val="0095297C"/>
    <w:rsid w:val="00953523"/>
    <w:rsid w:val="00953791"/>
    <w:rsid w:val="00953FCC"/>
    <w:rsid w:val="009540C1"/>
    <w:rsid w:val="00954252"/>
    <w:rsid w:val="009543D4"/>
    <w:rsid w:val="009547D1"/>
    <w:rsid w:val="00954AA7"/>
    <w:rsid w:val="00954B08"/>
    <w:rsid w:val="00954B31"/>
    <w:rsid w:val="00954DDC"/>
    <w:rsid w:val="009550F5"/>
    <w:rsid w:val="0095550A"/>
    <w:rsid w:val="009555F8"/>
    <w:rsid w:val="009556AC"/>
    <w:rsid w:val="009557FA"/>
    <w:rsid w:val="00955B29"/>
    <w:rsid w:val="00955B50"/>
    <w:rsid w:val="00955D96"/>
    <w:rsid w:val="00955E4F"/>
    <w:rsid w:val="00955EE6"/>
    <w:rsid w:val="00955FF1"/>
    <w:rsid w:val="0095613A"/>
    <w:rsid w:val="0095616C"/>
    <w:rsid w:val="00956200"/>
    <w:rsid w:val="0095629F"/>
    <w:rsid w:val="009566E7"/>
    <w:rsid w:val="00956A2E"/>
    <w:rsid w:val="00956B9D"/>
    <w:rsid w:val="00956BC0"/>
    <w:rsid w:val="00956C71"/>
    <w:rsid w:val="009572BA"/>
    <w:rsid w:val="00957CAA"/>
    <w:rsid w:val="00957EEF"/>
    <w:rsid w:val="00957F8C"/>
    <w:rsid w:val="0096112E"/>
    <w:rsid w:val="00961349"/>
    <w:rsid w:val="009616AB"/>
    <w:rsid w:val="00961A9D"/>
    <w:rsid w:val="00961D69"/>
    <w:rsid w:val="00961D8F"/>
    <w:rsid w:val="00961E80"/>
    <w:rsid w:val="009621B4"/>
    <w:rsid w:val="00962589"/>
    <w:rsid w:val="009625D6"/>
    <w:rsid w:val="00962865"/>
    <w:rsid w:val="009629CD"/>
    <w:rsid w:val="00962B26"/>
    <w:rsid w:val="00962BE2"/>
    <w:rsid w:val="00962FA5"/>
    <w:rsid w:val="00963032"/>
    <w:rsid w:val="00963170"/>
    <w:rsid w:val="0096331F"/>
    <w:rsid w:val="009633B4"/>
    <w:rsid w:val="00963491"/>
    <w:rsid w:val="0096364F"/>
    <w:rsid w:val="00963798"/>
    <w:rsid w:val="00963A88"/>
    <w:rsid w:val="00963C96"/>
    <w:rsid w:val="009641B1"/>
    <w:rsid w:val="00964448"/>
    <w:rsid w:val="00964531"/>
    <w:rsid w:val="00964752"/>
    <w:rsid w:val="00964905"/>
    <w:rsid w:val="00964AFE"/>
    <w:rsid w:val="00964F9C"/>
    <w:rsid w:val="0096578B"/>
    <w:rsid w:val="00965FC9"/>
    <w:rsid w:val="0096658B"/>
    <w:rsid w:val="00966AD8"/>
    <w:rsid w:val="00966CF8"/>
    <w:rsid w:val="00967235"/>
    <w:rsid w:val="0096749A"/>
    <w:rsid w:val="009676F9"/>
    <w:rsid w:val="009679E7"/>
    <w:rsid w:val="00967B1A"/>
    <w:rsid w:val="00967D11"/>
    <w:rsid w:val="00967DCE"/>
    <w:rsid w:val="00967F67"/>
    <w:rsid w:val="0097018B"/>
    <w:rsid w:val="0097019F"/>
    <w:rsid w:val="00970292"/>
    <w:rsid w:val="00970573"/>
    <w:rsid w:val="0097067D"/>
    <w:rsid w:val="00970822"/>
    <w:rsid w:val="00970B61"/>
    <w:rsid w:val="00970D63"/>
    <w:rsid w:val="00970DAE"/>
    <w:rsid w:val="00970DFF"/>
    <w:rsid w:val="00970E8A"/>
    <w:rsid w:val="00970EAE"/>
    <w:rsid w:val="00970F64"/>
    <w:rsid w:val="00971116"/>
    <w:rsid w:val="00971251"/>
    <w:rsid w:val="00971477"/>
    <w:rsid w:val="0097159D"/>
    <w:rsid w:val="00971769"/>
    <w:rsid w:val="009718D7"/>
    <w:rsid w:val="00971913"/>
    <w:rsid w:val="00972087"/>
    <w:rsid w:val="009722E6"/>
    <w:rsid w:val="009727A0"/>
    <w:rsid w:val="00972B12"/>
    <w:rsid w:val="00972B14"/>
    <w:rsid w:val="00972E80"/>
    <w:rsid w:val="00972F7D"/>
    <w:rsid w:val="00973069"/>
    <w:rsid w:val="00973521"/>
    <w:rsid w:val="00973B79"/>
    <w:rsid w:val="00973D3B"/>
    <w:rsid w:val="00973DA7"/>
    <w:rsid w:val="00973DFD"/>
    <w:rsid w:val="00973EC2"/>
    <w:rsid w:val="0097432B"/>
    <w:rsid w:val="009748C8"/>
    <w:rsid w:val="00974901"/>
    <w:rsid w:val="00974A27"/>
    <w:rsid w:val="00974C67"/>
    <w:rsid w:val="00974D23"/>
    <w:rsid w:val="00974EF2"/>
    <w:rsid w:val="00975343"/>
    <w:rsid w:val="00975565"/>
    <w:rsid w:val="00975CAA"/>
    <w:rsid w:val="00975D77"/>
    <w:rsid w:val="00975D8C"/>
    <w:rsid w:val="0097625A"/>
    <w:rsid w:val="009762AC"/>
    <w:rsid w:val="00976883"/>
    <w:rsid w:val="009769FF"/>
    <w:rsid w:val="00976A89"/>
    <w:rsid w:val="00976B43"/>
    <w:rsid w:val="00976F7C"/>
    <w:rsid w:val="009774D1"/>
    <w:rsid w:val="009774DF"/>
    <w:rsid w:val="00977848"/>
    <w:rsid w:val="009778A0"/>
    <w:rsid w:val="00977CC4"/>
    <w:rsid w:val="00977E25"/>
    <w:rsid w:val="009802C0"/>
    <w:rsid w:val="0098035A"/>
    <w:rsid w:val="009805B1"/>
    <w:rsid w:val="00980D4A"/>
    <w:rsid w:val="00980D70"/>
    <w:rsid w:val="00980EFB"/>
    <w:rsid w:val="009810EB"/>
    <w:rsid w:val="009812B1"/>
    <w:rsid w:val="00981571"/>
    <w:rsid w:val="00981A12"/>
    <w:rsid w:val="00981AFE"/>
    <w:rsid w:val="00981C23"/>
    <w:rsid w:val="00981CAB"/>
    <w:rsid w:val="00981F5D"/>
    <w:rsid w:val="00982217"/>
    <w:rsid w:val="0098222A"/>
    <w:rsid w:val="00982777"/>
    <w:rsid w:val="00982911"/>
    <w:rsid w:val="00982B96"/>
    <w:rsid w:val="00982CF9"/>
    <w:rsid w:val="00983536"/>
    <w:rsid w:val="0098354B"/>
    <w:rsid w:val="009836C1"/>
    <w:rsid w:val="009836D9"/>
    <w:rsid w:val="00983935"/>
    <w:rsid w:val="00983E3A"/>
    <w:rsid w:val="00983EEC"/>
    <w:rsid w:val="00983F9E"/>
    <w:rsid w:val="0098429B"/>
    <w:rsid w:val="00984496"/>
    <w:rsid w:val="009844E1"/>
    <w:rsid w:val="0098456D"/>
    <w:rsid w:val="00984805"/>
    <w:rsid w:val="00984A6F"/>
    <w:rsid w:val="00984A7B"/>
    <w:rsid w:val="00984F17"/>
    <w:rsid w:val="009859CE"/>
    <w:rsid w:val="00985E28"/>
    <w:rsid w:val="00985E92"/>
    <w:rsid w:val="009862A6"/>
    <w:rsid w:val="00986342"/>
    <w:rsid w:val="009866C0"/>
    <w:rsid w:val="00986795"/>
    <w:rsid w:val="00986DDC"/>
    <w:rsid w:val="00986F0E"/>
    <w:rsid w:val="0098705E"/>
    <w:rsid w:val="009878FB"/>
    <w:rsid w:val="00987C53"/>
    <w:rsid w:val="00987E16"/>
    <w:rsid w:val="0099042C"/>
    <w:rsid w:val="009904AA"/>
    <w:rsid w:val="00990550"/>
    <w:rsid w:val="0099057B"/>
    <w:rsid w:val="0099063B"/>
    <w:rsid w:val="009906D1"/>
    <w:rsid w:val="0099080C"/>
    <w:rsid w:val="00990971"/>
    <w:rsid w:val="00990E42"/>
    <w:rsid w:val="009910AC"/>
    <w:rsid w:val="009915A6"/>
    <w:rsid w:val="0099172E"/>
    <w:rsid w:val="0099188D"/>
    <w:rsid w:val="009919FE"/>
    <w:rsid w:val="00991DC0"/>
    <w:rsid w:val="009920D9"/>
    <w:rsid w:val="00992184"/>
    <w:rsid w:val="00992599"/>
    <w:rsid w:val="009925E2"/>
    <w:rsid w:val="0099282D"/>
    <w:rsid w:val="0099352B"/>
    <w:rsid w:val="00993553"/>
    <w:rsid w:val="00993632"/>
    <w:rsid w:val="0099367C"/>
    <w:rsid w:val="00993A04"/>
    <w:rsid w:val="00993E36"/>
    <w:rsid w:val="00993E93"/>
    <w:rsid w:val="00993EAC"/>
    <w:rsid w:val="009942E4"/>
    <w:rsid w:val="00994345"/>
    <w:rsid w:val="009945A9"/>
    <w:rsid w:val="009947E4"/>
    <w:rsid w:val="00994B40"/>
    <w:rsid w:val="00994EDF"/>
    <w:rsid w:val="009952AA"/>
    <w:rsid w:val="00995477"/>
    <w:rsid w:val="00995A68"/>
    <w:rsid w:val="00995C4D"/>
    <w:rsid w:val="009960A7"/>
    <w:rsid w:val="00996122"/>
    <w:rsid w:val="009961CC"/>
    <w:rsid w:val="009961D8"/>
    <w:rsid w:val="00996296"/>
    <w:rsid w:val="009966BA"/>
    <w:rsid w:val="009967D8"/>
    <w:rsid w:val="00996D3C"/>
    <w:rsid w:val="0099707E"/>
    <w:rsid w:val="00997377"/>
    <w:rsid w:val="00997BBB"/>
    <w:rsid w:val="00997FEE"/>
    <w:rsid w:val="009A00AC"/>
    <w:rsid w:val="009A0418"/>
    <w:rsid w:val="009A053C"/>
    <w:rsid w:val="009A1393"/>
    <w:rsid w:val="009A1A3F"/>
    <w:rsid w:val="009A1AEC"/>
    <w:rsid w:val="009A2345"/>
    <w:rsid w:val="009A2373"/>
    <w:rsid w:val="009A2516"/>
    <w:rsid w:val="009A298E"/>
    <w:rsid w:val="009A3017"/>
    <w:rsid w:val="009A3162"/>
    <w:rsid w:val="009A34A7"/>
    <w:rsid w:val="009A3B33"/>
    <w:rsid w:val="009A3D6E"/>
    <w:rsid w:val="009A3E36"/>
    <w:rsid w:val="009A4340"/>
    <w:rsid w:val="009A4643"/>
    <w:rsid w:val="009A4A51"/>
    <w:rsid w:val="009A4B4C"/>
    <w:rsid w:val="009A4BDF"/>
    <w:rsid w:val="009A4D38"/>
    <w:rsid w:val="009A4D3C"/>
    <w:rsid w:val="009A4E6D"/>
    <w:rsid w:val="009A4F77"/>
    <w:rsid w:val="009A514B"/>
    <w:rsid w:val="009A5178"/>
    <w:rsid w:val="009A53A0"/>
    <w:rsid w:val="009A57C8"/>
    <w:rsid w:val="009A581C"/>
    <w:rsid w:val="009A5BA2"/>
    <w:rsid w:val="009A60A8"/>
    <w:rsid w:val="009A60E5"/>
    <w:rsid w:val="009A6349"/>
    <w:rsid w:val="009A6467"/>
    <w:rsid w:val="009A69A4"/>
    <w:rsid w:val="009A7002"/>
    <w:rsid w:val="009A7084"/>
    <w:rsid w:val="009A7087"/>
    <w:rsid w:val="009A7207"/>
    <w:rsid w:val="009A746A"/>
    <w:rsid w:val="009A78E8"/>
    <w:rsid w:val="009A7AA7"/>
    <w:rsid w:val="009A7D13"/>
    <w:rsid w:val="009A7D6E"/>
    <w:rsid w:val="009A7FC5"/>
    <w:rsid w:val="009B0274"/>
    <w:rsid w:val="009B02DC"/>
    <w:rsid w:val="009B033A"/>
    <w:rsid w:val="009B03AE"/>
    <w:rsid w:val="009B03EB"/>
    <w:rsid w:val="009B07A2"/>
    <w:rsid w:val="009B0803"/>
    <w:rsid w:val="009B1790"/>
    <w:rsid w:val="009B1DFF"/>
    <w:rsid w:val="009B1E19"/>
    <w:rsid w:val="009B1E6E"/>
    <w:rsid w:val="009B2BC3"/>
    <w:rsid w:val="009B2E62"/>
    <w:rsid w:val="009B2E66"/>
    <w:rsid w:val="009B307D"/>
    <w:rsid w:val="009B3481"/>
    <w:rsid w:val="009B3484"/>
    <w:rsid w:val="009B35C4"/>
    <w:rsid w:val="009B39E9"/>
    <w:rsid w:val="009B3C91"/>
    <w:rsid w:val="009B3D42"/>
    <w:rsid w:val="009B3F55"/>
    <w:rsid w:val="009B418F"/>
    <w:rsid w:val="009B4223"/>
    <w:rsid w:val="009B42EC"/>
    <w:rsid w:val="009B4E54"/>
    <w:rsid w:val="009B4F64"/>
    <w:rsid w:val="009B5001"/>
    <w:rsid w:val="009B58B2"/>
    <w:rsid w:val="009B5AD7"/>
    <w:rsid w:val="009B5CBF"/>
    <w:rsid w:val="009B644D"/>
    <w:rsid w:val="009B6A2D"/>
    <w:rsid w:val="009B6C18"/>
    <w:rsid w:val="009B7049"/>
    <w:rsid w:val="009B7475"/>
    <w:rsid w:val="009B7822"/>
    <w:rsid w:val="009B7BD6"/>
    <w:rsid w:val="009B7C1E"/>
    <w:rsid w:val="009B7EBF"/>
    <w:rsid w:val="009B7FA3"/>
    <w:rsid w:val="009C04DB"/>
    <w:rsid w:val="009C0787"/>
    <w:rsid w:val="009C0B4E"/>
    <w:rsid w:val="009C0BD6"/>
    <w:rsid w:val="009C0DB6"/>
    <w:rsid w:val="009C0EF4"/>
    <w:rsid w:val="009C12B6"/>
    <w:rsid w:val="009C134F"/>
    <w:rsid w:val="009C14F6"/>
    <w:rsid w:val="009C19B6"/>
    <w:rsid w:val="009C1E90"/>
    <w:rsid w:val="009C1F41"/>
    <w:rsid w:val="009C1F6D"/>
    <w:rsid w:val="009C216C"/>
    <w:rsid w:val="009C22F8"/>
    <w:rsid w:val="009C243E"/>
    <w:rsid w:val="009C2775"/>
    <w:rsid w:val="009C2979"/>
    <w:rsid w:val="009C2AD3"/>
    <w:rsid w:val="009C2C67"/>
    <w:rsid w:val="009C32EA"/>
    <w:rsid w:val="009C33F3"/>
    <w:rsid w:val="009C3AF0"/>
    <w:rsid w:val="009C3F12"/>
    <w:rsid w:val="009C3FAD"/>
    <w:rsid w:val="009C428B"/>
    <w:rsid w:val="009C46DD"/>
    <w:rsid w:val="009C48D1"/>
    <w:rsid w:val="009C4CF4"/>
    <w:rsid w:val="009C5017"/>
    <w:rsid w:val="009C56FC"/>
    <w:rsid w:val="009C58D8"/>
    <w:rsid w:val="009C5D97"/>
    <w:rsid w:val="009C5FCA"/>
    <w:rsid w:val="009C65B2"/>
    <w:rsid w:val="009C6A33"/>
    <w:rsid w:val="009C6D63"/>
    <w:rsid w:val="009C7082"/>
    <w:rsid w:val="009C726D"/>
    <w:rsid w:val="009C7400"/>
    <w:rsid w:val="009C75CC"/>
    <w:rsid w:val="009C783D"/>
    <w:rsid w:val="009C7919"/>
    <w:rsid w:val="009C7AB1"/>
    <w:rsid w:val="009D03B4"/>
    <w:rsid w:val="009D0724"/>
    <w:rsid w:val="009D0A95"/>
    <w:rsid w:val="009D0C9B"/>
    <w:rsid w:val="009D12D3"/>
    <w:rsid w:val="009D143F"/>
    <w:rsid w:val="009D14B2"/>
    <w:rsid w:val="009D15E8"/>
    <w:rsid w:val="009D1C45"/>
    <w:rsid w:val="009D217A"/>
    <w:rsid w:val="009D26CA"/>
    <w:rsid w:val="009D2711"/>
    <w:rsid w:val="009D2948"/>
    <w:rsid w:val="009D2D36"/>
    <w:rsid w:val="009D315A"/>
    <w:rsid w:val="009D377F"/>
    <w:rsid w:val="009D3A80"/>
    <w:rsid w:val="009D3DA4"/>
    <w:rsid w:val="009D3DB9"/>
    <w:rsid w:val="009D3E82"/>
    <w:rsid w:val="009D40FF"/>
    <w:rsid w:val="009D424B"/>
    <w:rsid w:val="009D4272"/>
    <w:rsid w:val="009D47B1"/>
    <w:rsid w:val="009D48FC"/>
    <w:rsid w:val="009D5296"/>
    <w:rsid w:val="009D5A17"/>
    <w:rsid w:val="009D5F61"/>
    <w:rsid w:val="009D5F8E"/>
    <w:rsid w:val="009D6058"/>
    <w:rsid w:val="009D74EF"/>
    <w:rsid w:val="009D7962"/>
    <w:rsid w:val="009E0535"/>
    <w:rsid w:val="009E05BE"/>
    <w:rsid w:val="009E0720"/>
    <w:rsid w:val="009E084F"/>
    <w:rsid w:val="009E0919"/>
    <w:rsid w:val="009E0BA5"/>
    <w:rsid w:val="009E0E94"/>
    <w:rsid w:val="009E10D6"/>
    <w:rsid w:val="009E11B2"/>
    <w:rsid w:val="009E11F3"/>
    <w:rsid w:val="009E128A"/>
    <w:rsid w:val="009E1353"/>
    <w:rsid w:val="009E13C3"/>
    <w:rsid w:val="009E177D"/>
    <w:rsid w:val="009E1A52"/>
    <w:rsid w:val="009E2007"/>
    <w:rsid w:val="009E204A"/>
    <w:rsid w:val="009E2238"/>
    <w:rsid w:val="009E25C1"/>
    <w:rsid w:val="009E2B7F"/>
    <w:rsid w:val="009E31A8"/>
    <w:rsid w:val="009E33F2"/>
    <w:rsid w:val="009E3528"/>
    <w:rsid w:val="009E370F"/>
    <w:rsid w:val="009E3A01"/>
    <w:rsid w:val="009E3B01"/>
    <w:rsid w:val="009E41EB"/>
    <w:rsid w:val="009E42A3"/>
    <w:rsid w:val="009E4531"/>
    <w:rsid w:val="009E5012"/>
    <w:rsid w:val="009E5694"/>
    <w:rsid w:val="009E5758"/>
    <w:rsid w:val="009E5A01"/>
    <w:rsid w:val="009E5B18"/>
    <w:rsid w:val="009E5C3B"/>
    <w:rsid w:val="009E60A0"/>
    <w:rsid w:val="009E611D"/>
    <w:rsid w:val="009E6217"/>
    <w:rsid w:val="009E647F"/>
    <w:rsid w:val="009E6D64"/>
    <w:rsid w:val="009E7314"/>
    <w:rsid w:val="009E7A07"/>
    <w:rsid w:val="009E7E51"/>
    <w:rsid w:val="009F068D"/>
    <w:rsid w:val="009F06C8"/>
    <w:rsid w:val="009F0818"/>
    <w:rsid w:val="009F0A31"/>
    <w:rsid w:val="009F0A86"/>
    <w:rsid w:val="009F0AA7"/>
    <w:rsid w:val="009F0BFD"/>
    <w:rsid w:val="009F0CAE"/>
    <w:rsid w:val="009F104C"/>
    <w:rsid w:val="009F1338"/>
    <w:rsid w:val="009F1651"/>
    <w:rsid w:val="009F16D0"/>
    <w:rsid w:val="009F1788"/>
    <w:rsid w:val="009F1A07"/>
    <w:rsid w:val="009F1CB6"/>
    <w:rsid w:val="009F1CE6"/>
    <w:rsid w:val="009F2BDF"/>
    <w:rsid w:val="009F2BF6"/>
    <w:rsid w:val="009F2DCA"/>
    <w:rsid w:val="009F2E60"/>
    <w:rsid w:val="009F30F5"/>
    <w:rsid w:val="009F31EC"/>
    <w:rsid w:val="009F3444"/>
    <w:rsid w:val="009F395E"/>
    <w:rsid w:val="009F3C47"/>
    <w:rsid w:val="009F3C5E"/>
    <w:rsid w:val="009F3DAD"/>
    <w:rsid w:val="009F421D"/>
    <w:rsid w:val="009F46F1"/>
    <w:rsid w:val="009F4D23"/>
    <w:rsid w:val="009F4E50"/>
    <w:rsid w:val="009F4FAE"/>
    <w:rsid w:val="009F505D"/>
    <w:rsid w:val="009F51F9"/>
    <w:rsid w:val="009F5416"/>
    <w:rsid w:val="009F54F4"/>
    <w:rsid w:val="009F5B03"/>
    <w:rsid w:val="009F5CD6"/>
    <w:rsid w:val="009F655A"/>
    <w:rsid w:val="009F6744"/>
    <w:rsid w:val="009F6750"/>
    <w:rsid w:val="009F6775"/>
    <w:rsid w:val="009F68F6"/>
    <w:rsid w:val="009F6D31"/>
    <w:rsid w:val="009F6E60"/>
    <w:rsid w:val="009F6EA8"/>
    <w:rsid w:val="009F70AC"/>
    <w:rsid w:val="009F7238"/>
    <w:rsid w:val="009F73A2"/>
    <w:rsid w:val="009F76D0"/>
    <w:rsid w:val="009F7C76"/>
    <w:rsid w:val="00A001F9"/>
    <w:rsid w:val="00A003E0"/>
    <w:rsid w:val="00A00A3C"/>
    <w:rsid w:val="00A00C7A"/>
    <w:rsid w:val="00A00DB2"/>
    <w:rsid w:val="00A00DBB"/>
    <w:rsid w:val="00A00DF3"/>
    <w:rsid w:val="00A01010"/>
    <w:rsid w:val="00A012C0"/>
    <w:rsid w:val="00A013FF"/>
    <w:rsid w:val="00A01A0D"/>
    <w:rsid w:val="00A021E2"/>
    <w:rsid w:val="00A022D4"/>
    <w:rsid w:val="00A02465"/>
    <w:rsid w:val="00A024B9"/>
    <w:rsid w:val="00A032AD"/>
    <w:rsid w:val="00A03863"/>
    <w:rsid w:val="00A03A69"/>
    <w:rsid w:val="00A03C7F"/>
    <w:rsid w:val="00A0428E"/>
    <w:rsid w:val="00A0430F"/>
    <w:rsid w:val="00A04866"/>
    <w:rsid w:val="00A049DF"/>
    <w:rsid w:val="00A04BE6"/>
    <w:rsid w:val="00A04C0D"/>
    <w:rsid w:val="00A04E81"/>
    <w:rsid w:val="00A05062"/>
    <w:rsid w:val="00A05436"/>
    <w:rsid w:val="00A05890"/>
    <w:rsid w:val="00A058EA"/>
    <w:rsid w:val="00A05AC2"/>
    <w:rsid w:val="00A05AF2"/>
    <w:rsid w:val="00A05DCA"/>
    <w:rsid w:val="00A0613D"/>
    <w:rsid w:val="00A0646E"/>
    <w:rsid w:val="00A06D59"/>
    <w:rsid w:val="00A06E1F"/>
    <w:rsid w:val="00A0715D"/>
    <w:rsid w:val="00A074E3"/>
    <w:rsid w:val="00A07601"/>
    <w:rsid w:val="00A077CA"/>
    <w:rsid w:val="00A07B9B"/>
    <w:rsid w:val="00A07D83"/>
    <w:rsid w:val="00A07D8E"/>
    <w:rsid w:val="00A10011"/>
    <w:rsid w:val="00A100BA"/>
    <w:rsid w:val="00A10424"/>
    <w:rsid w:val="00A10773"/>
    <w:rsid w:val="00A109EB"/>
    <w:rsid w:val="00A10C65"/>
    <w:rsid w:val="00A10F65"/>
    <w:rsid w:val="00A11463"/>
    <w:rsid w:val="00A11807"/>
    <w:rsid w:val="00A119AF"/>
    <w:rsid w:val="00A11A5C"/>
    <w:rsid w:val="00A11C82"/>
    <w:rsid w:val="00A11E2E"/>
    <w:rsid w:val="00A11F78"/>
    <w:rsid w:val="00A1201D"/>
    <w:rsid w:val="00A1211F"/>
    <w:rsid w:val="00A12884"/>
    <w:rsid w:val="00A1299D"/>
    <w:rsid w:val="00A131DE"/>
    <w:rsid w:val="00A136EC"/>
    <w:rsid w:val="00A13794"/>
    <w:rsid w:val="00A13890"/>
    <w:rsid w:val="00A13AC7"/>
    <w:rsid w:val="00A13EC3"/>
    <w:rsid w:val="00A14131"/>
    <w:rsid w:val="00A14449"/>
    <w:rsid w:val="00A1464C"/>
    <w:rsid w:val="00A147F5"/>
    <w:rsid w:val="00A14A93"/>
    <w:rsid w:val="00A14ACE"/>
    <w:rsid w:val="00A14B5C"/>
    <w:rsid w:val="00A14C66"/>
    <w:rsid w:val="00A1514E"/>
    <w:rsid w:val="00A15248"/>
    <w:rsid w:val="00A15730"/>
    <w:rsid w:val="00A157D9"/>
    <w:rsid w:val="00A15908"/>
    <w:rsid w:val="00A15A4B"/>
    <w:rsid w:val="00A15AEC"/>
    <w:rsid w:val="00A15B9D"/>
    <w:rsid w:val="00A16004"/>
    <w:rsid w:val="00A162F3"/>
    <w:rsid w:val="00A168B5"/>
    <w:rsid w:val="00A16903"/>
    <w:rsid w:val="00A169A1"/>
    <w:rsid w:val="00A1713B"/>
    <w:rsid w:val="00A1726D"/>
    <w:rsid w:val="00A173CD"/>
    <w:rsid w:val="00A174CA"/>
    <w:rsid w:val="00A1798A"/>
    <w:rsid w:val="00A17FCA"/>
    <w:rsid w:val="00A200CB"/>
    <w:rsid w:val="00A200D3"/>
    <w:rsid w:val="00A200E7"/>
    <w:rsid w:val="00A201C0"/>
    <w:rsid w:val="00A20323"/>
    <w:rsid w:val="00A20405"/>
    <w:rsid w:val="00A20455"/>
    <w:rsid w:val="00A206F2"/>
    <w:rsid w:val="00A208C8"/>
    <w:rsid w:val="00A2104E"/>
    <w:rsid w:val="00A210AA"/>
    <w:rsid w:val="00A214B1"/>
    <w:rsid w:val="00A2162D"/>
    <w:rsid w:val="00A21675"/>
    <w:rsid w:val="00A2186C"/>
    <w:rsid w:val="00A21AD9"/>
    <w:rsid w:val="00A21B3A"/>
    <w:rsid w:val="00A21F83"/>
    <w:rsid w:val="00A2283B"/>
    <w:rsid w:val="00A22CF8"/>
    <w:rsid w:val="00A22FE3"/>
    <w:rsid w:val="00A23205"/>
    <w:rsid w:val="00A232AF"/>
    <w:rsid w:val="00A235E5"/>
    <w:rsid w:val="00A236E3"/>
    <w:rsid w:val="00A23726"/>
    <w:rsid w:val="00A23897"/>
    <w:rsid w:val="00A24292"/>
    <w:rsid w:val="00A244C1"/>
    <w:rsid w:val="00A245A3"/>
    <w:rsid w:val="00A245EE"/>
    <w:rsid w:val="00A245F2"/>
    <w:rsid w:val="00A247C9"/>
    <w:rsid w:val="00A251C7"/>
    <w:rsid w:val="00A25259"/>
    <w:rsid w:val="00A25416"/>
    <w:rsid w:val="00A25648"/>
    <w:rsid w:val="00A259A4"/>
    <w:rsid w:val="00A25B47"/>
    <w:rsid w:val="00A25E67"/>
    <w:rsid w:val="00A25F96"/>
    <w:rsid w:val="00A26010"/>
    <w:rsid w:val="00A261B7"/>
    <w:rsid w:val="00A26804"/>
    <w:rsid w:val="00A26B90"/>
    <w:rsid w:val="00A26E6F"/>
    <w:rsid w:val="00A26FCA"/>
    <w:rsid w:val="00A270BB"/>
    <w:rsid w:val="00A27234"/>
    <w:rsid w:val="00A27D9A"/>
    <w:rsid w:val="00A3017E"/>
    <w:rsid w:val="00A30221"/>
    <w:rsid w:val="00A302A6"/>
    <w:rsid w:val="00A3048D"/>
    <w:rsid w:val="00A304A7"/>
    <w:rsid w:val="00A3082C"/>
    <w:rsid w:val="00A3099A"/>
    <w:rsid w:val="00A309EE"/>
    <w:rsid w:val="00A30FF0"/>
    <w:rsid w:val="00A31093"/>
    <w:rsid w:val="00A314BD"/>
    <w:rsid w:val="00A31528"/>
    <w:rsid w:val="00A31A7A"/>
    <w:rsid w:val="00A3203A"/>
    <w:rsid w:val="00A320CD"/>
    <w:rsid w:val="00A321DC"/>
    <w:rsid w:val="00A322AE"/>
    <w:rsid w:val="00A32941"/>
    <w:rsid w:val="00A32E2F"/>
    <w:rsid w:val="00A32F69"/>
    <w:rsid w:val="00A33496"/>
    <w:rsid w:val="00A33A97"/>
    <w:rsid w:val="00A33B7B"/>
    <w:rsid w:val="00A33D41"/>
    <w:rsid w:val="00A33FCA"/>
    <w:rsid w:val="00A34017"/>
    <w:rsid w:val="00A3425B"/>
    <w:rsid w:val="00A34270"/>
    <w:rsid w:val="00A342AC"/>
    <w:rsid w:val="00A34342"/>
    <w:rsid w:val="00A3444A"/>
    <w:rsid w:val="00A345CA"/>
    <w:rsid w:val="00A34917"/>
    <w:rsid w:val="00A34D61"/>
    <w:rsid w:val="00A34D6B"/>
    <w:rsid w:val="00A34F71"/>
    <w:rsid w:val="00A35018"/>
    <w:rsid w:val="00A35153"/>
    <w:rsid w:val="00A35AB5"/>
    <w:rsid w:val="00A35B5A"/>
    <w:rsid w:val="00A366C7"/>
    <w:rsid w:val="00A367A9"/>
    <w:rsid w:val="00A3753E"/>
    <w:rsid w:val="00A375E1"/>
    <w:rsid w:val="00A3760E"/>
    <w:rsid w:val="00A376B7"/>
    <w:rsid w:val="00A37BBF"/>
    <w:rsid w:val="00A37FA9"/>
    <w:rsid w:val="00A4015B"/>
    <w:rsid w:val="00A407FA"/>
    <w:rsid w:val="00A40800"/>
    <w:rsid w:val="00A40E9A"/>
    <w:rsid w:val="00A413E0"/>
    <w:rsid w:val="00A4199B"/>
    <w:rsid w:val="00A41A75"/>
    <w:rsid w:val="00A41AB8"/>
    <w:rsid w:val="00A41D00"/>
    <w:rsid w:val="00A421CB"/>
    <w:rsid w:val="00A42425"/>
    <w:rsid w:val="00A42805"/>
    <w:rsid w:val="00A4293C"/>
    <w:rsid w:val="00A42A2C"/>
    <w:rsid w:val="00A42B55"/>
    <w:rsid w:val="00A42C06"/>
    <w:rsid w:val="00A42D05"/>
    <w:rsid w:val="00A43133"/>
    <w:rsid w:val="00A43143"/>
    <w:rsid w:val="00A435D7"/>
    <w:rsid w:val="00A43945"/>
    <w:rsid w:val="00A43C1E"/>
    <w:rsid w:val="00A43DD4"/>
    <w:rsid w:val="00A43E48"/>
    <w:rsid w:val="00A441CE"/>
    <w:rsid w:val="00A4453F"/>
    <w:rsid w:val="00A44821"/>
    <w:rsid w:val="00A44935"/>
    <w:rsid w:val="00A44A17"/>
    <w:rsid w:val="00A44CA5"/>
    <w:rsid w:val="00A453A2"/>
    <w:rsid w:val="00A45663"/>
    <w:rsid w:val="00A45C02"/>
    <w:rsid w:val="00A45E42"/>
    <w:rsid w:val="00A460DF"/>
    <w:rsid w:val="00A464B1"/>
    <w:rsid w:val="00A46DA1"/>
    <w:rsid w:val="00A471A4"/>
    <w:rsid w:val="00A471D4"/>
    <w:rsid w:val="00A47B47"/>
    <w:rsid w:val="00A47C33"/>
    <w:rsid w:val="00A47C66"/>
    <w:rsid w:val="00A47D2C"/>
    <w:rsid w:val="00A47D47"/>
    <w:rsid w:val="00A505D7"/>
    <w:rsid w:val="00A506B6"/>
    <w:rsid w:val="00A50A3E"/>
    <w:rsid w:val="00A50A41"/>
    <w:rsid w:val="00A50ECA"/>
    <w:rsid w:val="00A5115C"/>
    <w:rsid w:val="00A5126B"/>
    <w:rsid w:val="00A51416"/>
    <w:rsid w:val="00A51503"/>
    <w:rsid w:val="00A51678"/>
    <w:rsid w:val="00A51947"/>
    <w:rsid w:val="00A519BF"/>
    <w:rsid w:val="00A51B81"/>
    <w:rsid w:val="00A5200B"/>
    <w:rsid w:val="00A5212F"/>
    <w:rsid w:val="00A5213E"/>
    <w:rsid w:val="00A52621"/>
    <w:rsid w:val="00A52675"/>
    <w:rsid w:val="00A526AE"/>
    <w:rsid w:val="00A527A5"/>
    <w:rsid w:val="00A529F8"/>
    <w:rsid w:val="00A5303E"/>
    <w:rsid w:val="00A53539"/>
    <w:rsid w:val="00A535D7"/>
    <w:rsid w:val="00A54076"/>
    <w:rsid w:val="00A54C8B"/>
    <w:rsid w:val="00A55583"/>
    <w:rsid w:val="00A5558E"/>
    <w:rsid w:val="00A557EE"/>
    <w:rsid w:val="00A55BE9"/>
    <w:rsid w:val="00A56202"/>
    <w:rsid w:val="00A56262"/>
    <w:rsid w:val="00A56576"/>
    <w:rsid w:val="00A56632"/>
    <w:rsid w:val="00A5673A"/>
    <w:rsid w:val="00A56858"/>
    <w:rsid w:val="00A5687F"/>
    <w:rsid w:val="00A56B9E"/>
    <w:rsid w:val="00A572C2"/>
    <w:rsid w:val="00A57374"/>
    <w:rsid w:val="00A5747A"/>
    <w:rsid w:val="00A574D7"/>
    <w:rsid w:val="00A57711"/>
    <w:rsid w:val="00A57CA0"/>
    <w:rsid w:val="00A57F5B"/>
    <w:rsid w:val="00A6088B"/>
    <w:rsid w:val="00A608B6"/>
    <w:rsid w:val="00A60A25"/>
    <w:rsid w:val="00A60A42"/>
    <w:rsid w:val="00A60D8C"/>
    <w:rsid w:val="00A60EF5"/>
    <w:rsid w:val="00A614CA"/>
    <w:rsid w:val="00A61593"/>
    <w:rsid w:val="00A615D2"/>
    <w:rsid w:val="00A6185C"/>
    <w:rsid w:val="00A61E7D"/>
    <w:rsid w:val="00A62139"/>
    <w:rsid w:val="00A6247E"/>
    <w:rsid w:val="00A62513"/>
    <w:rsid w:val="00A6254D"/>
    <w:rsid w:val="00A6264A"/>
    <w:rsid w:val="00A6279D"/>
    <w:rsid w:val="00A6292B"/>
    <w:rsid w:val="00A62B08"/>
    <w:rsid w:val="00A63115"/>
    <w:rsid w:val="00A631BB"/>
    <w:rsid w:val="00A635CF"/>
    <w:rsid w:val="00A637D4"/>
    <w:rsid w:val="00A637EA"/>
    <w:rsid w:val="00A638DF"/>
    <w:rsid w:val="00A638FF"/>
    <w:rsid w:val="00A63D14"/>
    <w:rsid w:val="00A64263"/>
    <w:rsid w:val="00A64285"/>
    <w:rsid w:val="00A6428F"/>
    <w:rsid w:val="00A64632"/>
    <w:rsid w:val="00A64B9F"/>
    <w:rsid w:val="00A64CD8"/>
    <w:rsid w:val="00A64D5A"/>
    <w:rsid w:val="00A64D88"/>
    <w:rsid w:val="00A64DB7"/>
    <w:rsid w:val="00A65095"/>
    <w:rsid w:val="00A658CB"/>
    <w:rsid w:val="00A65A3C"/>
    <w:rsid w:val="00A661A4"/>
    <w:rsid w:val="00A66380"/>
    <w:rsid w:val="00A663F8"/>
    <w:rsid w:val="00A6648E"/>
    <w:rsid w:val="00A667E5"/>
    <w:rsid w:val="00A66900"/>
    <w:rsid w:val="00A669A0"/>
    <w:rsid w:val="00A669DE"/>
    <w:rsid w:val="00A66AC5"/>
    <w:rsid w:val="00A66EB8"/>
    <w:rsid w:val="00A6732A"/>
    <w:rsid w:val="00A676F9"/>
    <w:rsid w:val="00A67A0D"/>
    <w:rsid w:val="00A67C1B"/>
    <w:rsid w:val="00A67D1F"/>
    <w:rsid w:val="00A67FDB"/>
    <w:rsid w:val="00A7087E"/>
    <w:rsid w:val="00A709B0"/>
    <w:rsid w:val="00A70A95"/>
    <w:rsid w:val="00A70E73"/>
    <w:rsid w:val="00A7123A"/>
    <w:rsid w:val="00A7126F"/>
    <w:rsid w:val="00A71501"/>
    <w:rsid w:val="00A72510"/>
    <w:rsid w:val="00A72818"/>
    <w:rsid w:val="00A72D66"/>
    <w:rsid w:val="00A72FF5"/>
    <w:rsid w:val="00A73216"/>
    <w:rsid w:val="00A73637"/>
    <w:rsid w:val="00A73914"/>
    <w:rsid w:val="00A73A20"/>
    <w:rsid w:val="00A73DB3"/>
    <w:rsid w:val="00A74024"/>
    <w:rsid w:val="00A748DA"/>
    <w:rsid w:val="00A74C51"/>
    <w:rsid w:val="00A74FA3"/>
    <w:rsid w:val="00A7511B"/>
    <w:rsid w:val="00A75445"/>
    <w:rsid w:val="00A755D3"/>
    <w:rsid w:val="00A75B27"/>
    <w:rsid w:val="00A75D04"/>
    <w:rsid w:val="00A75DCF"/>
    <w:rsid w:val="00A760C7"/>
    <w:rsid w:val="00A7645A"/>
    <w:rsid w:val="00A769DE"/>
    <w:rsid w:val="00A76F6D"/>
    <w:rsid w:val="00A774AF"/>
    <w:rsid w:val="00A7773C"/>
    <w:rsid w:val="00A778B5"/>
    <w:rsid w:val="00A77A15"/>
    <w:rsid w:val="00A8023B"/>
    <w:rsid w:val="00A8034F"/>
    <w:rsid w:val="00A803D7"/>
    <w:rsid w:val="00A80B6C"/>
    <w:rsid w:val="00A80DA5"/>
    <w:rsid w:val="00A8121D"/>
    <w:rsid w:val="00A8134E"/>
    <w:rsid w:val="00A815B0"/>
    <w:rsid w:val="00A81633"/>
    <w:rsid w:val="00A81A1A"/>
    <w:rsid w:val="00A81B48"/>
    <w:rsid w:val="00A81C51"/>
    <w:rsid w:val="00A81C76"/>
    <w:rsid w:val="00A81D15"/>
    <w:rsid w:val="00A81EA1"/>
    <w:rsid w:val="00A82090"/>
    <w:rsid w:val="00A8233B"/>
    <w:rsid w:val="00A82484"/>
    <w:rsid w:val="00A825F1"/>
    <w:rsid w:val="00A82F50"/>
    <w:rsid w:val="00A831E8"/>
    <w:rsid w:val="00A835F6"/>
    <w:rsid w:val="00A83A5C"/>
    <w:rsid w:val="00A83B8F"/>
    <w:rsid w:val="00A83C91"/>
    <w:rsid w:val="00A8411B"/>
    <w:rsid w:val="00A841B3"/>
    <w:rsid w:val="00A844ED"/>
    <w:rsid w:val="00A84564"/>
    <w:rsid w:val="00A84798"/>
    <w:rsid w:val="00A84C63"/>
    <w:rsid w:val="00A8508E"/>
    <w:rsid w:val="00A85C93"/>
    <w:rsid w:val="00A85E72"/>
    <w:rsid w:val="00A86E02"/>
    <w:rsid w:val="00A87151"/>
    <w:rsid w:val="00A87BB1"/>
    <w:rsid w:val="00A87D8E"/>
    <w:rsid w:val="00A87DC1"/>
    <w:rsid w:val="00A90133"/>
    <w:rsid w:val="00A90C57"/>
    <w:rsid w:val="00A91122"/>
    <w:rsid w:val="00A9116F"/>
    <w:rsid w:val="00A91615"/>
    <w:rsid w:val="00A9188E"/>
    <w:rsid w:val="00A918A3"/>
    <w:rsid w:val="00A91EF3"/>
    <w:rsid w:val="00A91F5D"/>
    <w:rsid w:val="00A92025"/>
    <w:rsid w:val="00A921D8"/>
    <w:rsid w:val="00A921F6"/>
    <w:rsid w:val="00A92DE9"/>
    <w:rsid w:val="00A93225"/>
    <w:rsid w:val="00A934AE"/>
    <w:rsid w:val="00A934B8"/>
    <w:rsid w:val="00A936F2"/>
    <w:rsid w:val="00A93B3D"/>
    <w:rsid w:val="00A93BFD"/>
    <w:rsid w:val="00A93D4C"/>
    <w:rsid w:val="00A93D71"/>
    <w:rsid w:val="00A94360"/>
    <w:rsid w:val="00A946E5"/>
    <w:rsid w:val="00A9470E"/>
    <w:rsid w:val="00A9484E"/>
    <w:rsid w:val="00A94AE0"/>
    <w:rsid w:val="00A94FAE"/>
    <w:rsid w:val="00A95164"/>
    <w:rsid w:val="00A95B23"/>
    <w:rsid w:val="00A95FF4"/>
    <w:rsid w:val="00A96304"/>
    <w:rsid w:val="00A966AB"/>
    <w:rsid w:val="00A966DA"/>
    <w:rsid w:val="00A96BCE"/>
    <w:rsid w:val="00A96CAC"/>
    <w:rsid w:val="00A97053"/>
    <w:rsid w:val="00A97107"/>
    <w:rsid w:val="00A974B5"/>
    <w:rsid w:val="00A97837"/>
    <w:rsid w:val="00A97A31"/>
    <w:rsid w:val="00A97CA1"/>
    <w:rsid w:val="00A97E05"/>
    <w:rsid w:val="00AA0067"/>
    <w:rsid w:val="00AA057C"/>
    <w:rsid w:val="00AA07F7"/>
    <w:rsid w:val="00AA0806"/>
    <w:rsid w:val="00AA0845"/>
    <w:rsid w:val="00AA0950"/>
    <w:rsid w:val="00AA096E"/>
    <w:rsid w:val="00AA0E6B"/>
    <w:rsid w:val="00AA0EAF"/>
    <w:rsid w:val="00AA0F0F"/>
    <w:rsid w:val="00AA103F"/>
    <w:rsid w:val="00AA17D5"/>
    <w:rsid w:val="00AA1AD4"/>
    <w:rsid w:val="00AA1FF2"/>
    <w:rsid w:val="00AA20F0"/>
    <w:rsid w:val="00AA22DB"/>
    <w:rsid w:val="00AA2D01"/>
    <w:rsid w:val="00AA3065"/>
    <w:rsid w:val="00AA345D"/>
    <w:rsid w:val="00AA35E1"/>
    <w:rsid w:val="00AA3604"/>
    <w:rsid w:val="00AA362E"/>
    <w:rsid w:val="00AA3892"/>
    <w:rsid w:val="00AA393A"/>
    <w:rsid w:val="00AA422D"/>
    <w:rsid w:val="00AA4480"/>
    <w:rsid w:val="00AA454F"/>
    <w:rsid w:val="00AA467D"/>
    <w:rsid w:val="00AA4779"/>
    <w:rsid w:val="00AA4DC3"/>
    <w:rsid w:val="00AA4F0B"/>
    <w:rsid w:val="00AA4FA0"/>
    <w:rsid w:val="00AA52D6"/>
    <w:rsid w:val="00AA5388"/>
    <w:rsid w:val="00AA5945"/>
    <w:rsid w:val="00AA59BD"/>
    <w:rsid w:val="00AA5A8A"/>
    <w:rsid w:val="00AA5CC1"/>
    <w:rsid w:val="00AA5F92"/>
    <w:rsid w:val="00AA606E"/>
    <w:rsid w:val="00AA61AE"/>
    <w:rsid w:val="00AA6717"/>
    <w:rsid w:val="00AA6721"/>
    <w:rsid w:val="00AA675D"/>
    <w:rsid w:val="00AA6959"/>
    <w:rsid w:val="00AA7068"/>
    <w:rsid w:val="00AA7263"/>
    <w:rsid w:val="00AA7266"/>
    <w:rsid w:val="00AA72DC"/>
    <w:rsid w:val="00AA77B9"/>
    <w:rsid w:val="00AA790D"/>
    <w:rsid w:val="00AA7E26"/>
    <w:rsid w:val="00AB058A"/>
    <w:rsid w:val="00AB0786"/>
    <w:rsid w:val="00AB084A"/>
    <w:rsid w:val="00AB0984"/>
    <w:rsid w:val="00AB0A0D"/>
    <w:rsid w:val="00AB0F6D"/>
    <w:rsid w:val="00AB1845"/>
    <w:rsid w:val="00AB1992"/>
    <w:rsid w:val="00AB1BF5"/>
    <w:rsid w:val="00AB1F09"/>
    <w:rsid w:val="00AB230A"/>
    <w:rsid w:val="00AB2424"/>
    <w:rsid w:val="00AB27DB"/>
    <w:rsid w:val="00AB2854"/>
    <w:rsid w:val="00AB29CF"/>
    <w:rsid w:val="00AB2A4E"/>
    <w:rsid w:val="00AB2B57"/>
    <w:rsid w:val="00AB3312"/>
    <w:rsid w:val="00AB3C83"/>
    <w:rsid w:val="00AB3F09"/>
    <w:rsid w:val="00AB41EA"/>
    <w:rsid w:val="00AB4334"/>
    <w:rsid w:val="00AB470D"/>
    <w:rsid w:val="00AB4A01"/>
    <w:rsid w:val="00AB4BE2"/>
    <w:rsid w:val="00AB4DFB"/>
    <w:rsid w:val="00AB534E"/>
    <w:rsid w:val="00AB5669"/>
    <w:rsid w:val="00AB579F"/>
    <w:rsid w:val="00AB5855"/>
    <w:rsid w:val="00AB5AAD"/>
    <w:rsid w:val="00AB62E0"/>
    <w:rsid w:val="00AB6344"/>
    <w:rsid w:val="00AB6395"/>
    <w:rsid w:val="00AB6C36"/>
    <w:rsid w:val="00AB700F"/>
    <w:rsid w:val="00AB7209"/>
    <w:rsid w:val="00AB794A"/>
    <w:rsid w:val="00AB7B3F"/>
    <w:rsid w:val="00AB7B71"/>
    <w:rsid w:val="00AB7C63"/>
    <w:rsid w:val="00AB7ED1"/>
    <w:rsid w:val="00AB7FC4"/>
    <w:rsid w:val="00AC0190"/>
    <w:rsid w:val="00AC02D0"/>
    <w:rsid w:val="00AC0A79"/>
    <w:rsid w:val="00AC0B01"/>
    <w:rsid w:val="00AC0F31"/>
    <w:rsid w:val="00AC19AC"/>
    <w:rsid w:val="00AC1B28"/>
    <w:rsid w:val="00AC1BDA"/>
    <w:rsid w:val="00AC1CFF"/>
    <w:rsid w:val="00AC1FF3"/>
    <w:rsid w:val="00AC2249"/>
    <w:rsid w:val="00AC30A9"/>
    <w:rsid w:val="00AC32A1"/>
    <w:rsid w:val="00AC35EC"/>
    <w:rsid w:val="00AC3685"/>
    <w:rsid w:val="00AC3963"/>
    <w:rsid w:val="00AC3A28"/>
    <w:rsid w:val="00AC3C8C"/>
    <w:rsid w:val="00AC3F72"/>
    <w:rsid w:val="00AC4094"/>
    <w:rsid w:val="00AC4869"/>
    <w:rsid w:val="00AC48AC"/>
    <w:rsid w:val="00AC4ADD"/>
    <w:rsid w:val="00AC4C86"/>
    <w:rsid w:val="00AC4EF0"/>
    <w:rsid w:val="00AC4F29"/>
    <w:rsid w:val="00AC52B6"/>
    <w:rsid w:val="00AC536B"/>
    <w:rsid w:val="00AC5479"/>
    <w:rsid w:val="00AC5AA7"/>
    <w:rsid w:val="00AC60ED"/>
    <w:rsid w:val="00AC6354"/>
    <w:rsid w:val="00AC6690"/>
    <w:rsid w:val="00AC6D5F"/>
    <w:rsid w:val="00AC7202"/>
    <w:rsid w:val="00AC728A"/>
    <w:rsid w:val="00AC74B0"/>
    <w:rsid w:val="00AC7766"/>
    <w:rsid w:val="00AC78C6"/>
    <w:rsid w:val="00AC78F2"/>
    <w:rsid w:val="00AC7ACA"/>
    <w:rsid w:val="00AC7C10"/>
    <w:rsid w:val="00AC7D20"/>
    <w:rsid w:val="00AC7DCA"/>
    <w:rsid w:val="00AC7DCF"/>
    <w:rsid w:val="00AC7E43"/>
    <w:rsid w:val="00AD038A"/>
    <w:rsid w:val="00AD03CD"/>
    <w:rsid w:val="00AD061A"/>
    <w:rsid w:val="00AD096A"/>
    <w:rsid w:val="00AD0CE2"/>
    <w:rsid w:val="00AD0E1A"/>
    <w:rsid w:val="00AD1122"/>
    <w:rsid w:val="00AD118B"/>
    <w:rsid w:val="00AD122C"/>
    <w:rsid w:val="00AD18A7"/>
    <w:rsid w:val="00AD1A28"/>
    <w:rsid w:val="00AD1B4D"/>
    <w:rsid w:val="00AD1CBE"/>
    <w:rsid w:val="00AD1E06"/>
    <w:rsid w:val="00AD1E35"/>
    <w:rsid w:val="00AD2025"/>
    <w:rsid w:val="00AD2217"/>
    <w:rsid w:val="00AD237A"/>
    <w:rsid w:val="00AD2451"/>
    <w:rsid w:val="00AD2574"/>
    <w:rsid w:val="00AD2DAB"/>
    <w:rsid w:val="00AD2FAB"/>
    <w:rsid w:val="00AD3626"/>
    <w:rsid w:val="00AD3EDB"/>
    <w:rsid w:val="00AD3EEC"/>
    <w:rsid w:val="00AD3F34"/>
    <w:rsid w:val="00AD4040"/>
    <w:rsid w:val="00AD440B"/>
    <w:rsid w:val="00AD4D85"/>
    <w:rsid w:val="00AD5197"/>
    <w:rsid w:val="00AD51DB"/>
    <w:rsid w:val="00AD590F"/>
    <w:rsid w:val="00AD5A8C"/>
    <w:rsid w:val="00AD5C49"/>
    <w:rsid w:val="00AD5D4B"/>
    <w:rsid w:val="00AD6142"/>
    <w:rsid w:val="00AD648F"/>
    <w:rsid w:val="00AD656E"/>
    <w:rsid w:val="00AD65C5"/>
    <w:rsid w:val="00AD65E2"/>
    <w:rsid w:val="00AD6E09"/>
    <w:rsid w:val="00AD6F2A"/>
    <w:rsid w:val="00AD7353"/>
    <w:rsid w:val="00AD73CC"/>
    <w:rsid w:val="00AD73E5"/>
    <w:rsid w:val="00AD7568"/>
    <w:rsid w:val="00AD7954"/>
    <w:rsid w:val="00AD7E8F"/>
    <w:rsid w:val="00AE04C3"/>
    <w:rsid w:val="00AE0582"/>
    <w:rsid w:val="00AE0603"/>
    <w:rsid w:val="00AE0ACD"/>
    <w:rsid w:val="00AE105A"/>
    <w:rsid w:val="00AE1162"/>
    <w:rsid w:val="00AE1170"/>
    <w:rsid w:val="00AE1423"/>
    <w:rsid w:val="00AE1496"/>
    <w:rsid w:val="00AE1687"/>
    <w:rsid w:val="00AE16C2"/>
    <w:rsid w:val="00AE16CA"/>
    <w:rsid w:val="00AE22D1"/>
    <w:rsid w:val="00AE23F4"/>
    <w:rsid w:val="00AE2440"/>
    <w:rsid w:val="00AE2467"/>
    <w:rsid w:val="00AE26E5"/>
    <w:rsid w:val="00AE274A"/>
    <w:rsid w:val="00AE2926"/>
    <w:rsid w:val="00AE2B28"/>
    <w:rsid w:val="00AE2D1E"/>
    <w:rsid w:val="00AE2D9D"/>
    <w:rsid w:val="00AE2E47"/>
    <w:rsid w:val="00AE3226"/>
    <w:rsid w:val="00AE33CA"/>
    <w:rsid w:val="00AE33F0"/>
    <w:rsid w:val="00AE3811"/>
    <w:rsid w:val="00AE3CE7"/>
    <w:rsid w:val="00AE420A"/>
    <w:rsid w:val="00AE453E"/>
    <w:rsid w:val="00AE45EF"/>
    <w:rsid w:val="00AE4710"/>
    <w:rsid w:val="00AE4715"/>
    <w:rsid w:val="00AE4A8B"/>
    <w:rsid w:val="00AE4FC8"/>
    <w:rsid w:val="00AE579D"/>
    <w:rsid w:val="00AE5823"/>
    <w:rsid w:val="00AE595B"/>
    <w:rsid w:val="00AE5FB1"/>
    <w:rsid w:val="00AE5FBA"/>
    <w:rsid w:val="00AE5FD0"/>
    <w:rsid w:val="00AE627D"/>
    <w:rsid w:val="00AE6715"/>
    <w:rsid w:val="00AE69F9"/>
    <w:rsid w:val="00AE6A2F"/>
    <w:rsid w:val="00AE6B6F"/>
    <w:rsid w:val="00AE6BC3"/>
    <w:rsid w:val="00AE6BE6"/>
    <w:rsid w:val="00AE6D6B"/>
    <w:rsid w:val="00AE70C5"/>
    <w:rsid w:val="00AE7371"/>
    <w:rsid w:val="00AE739C"/>
    <w:rsid w:val="00AE7500"/>
    <w:rsid w:val="00AE7593"/>
    <w:rsid w:val="00AE76AF"/>
    <w:rsid w:val="00AE7981"/>
    <w:rsid w:val="00AE7E8A"/>
    <w:rsid w:val="00AE7F20"/>
    <w:rsid w:val="00AF018B"/>
    <w:rsid w:val="00AF06CB"/>
    <w:rsid w:val="00AF0A06"/>
    <w:rsid w:val="00AF0AE5"/>
    <w:rsid w:val="00AF0C3E"/>
    <w:rsid w:val="00AF0EE2"/>
    <w:rsid w:val="00AF120F"/>
    <w:rsid w:val="00AF1340"/>
    <w:rsid w:val="00AF1792"/>
    <w:rsid w:val="00AF1987"/>
    <w:rsid w:val="00AF1A9E"/>
    <w:rsid w:val="00AF1BFE"/>
    <w:rsid w:val="00AF1C2E"/>
    <w:rsid w:val="00AF1E89"/>
    <w:rsid w:val="00AF2025"/>
    <w:rsid w:val="00AF2120"/>
    <w:rsid w:val="00AF22CE"/>
    <w:rsid w:val="00AF2377"/>
    <w:rsid w:val="00AF2427"/>
    <w:rsid w:val="00AF2E83"/>
    <w:rsid w:val="00AF3141"/>
    <w:rsid w:val="00AF3A37"/>
    <w:rsid w:val="00AF3C48"/>
    <w:rsid w:val="00AF3C9F"/>
    <w:rsid w:val="00AF3D10"/>
    <w:rsid w:val="00AF3D86"/>
    <w:rsid w:val="00AF3D94"/>
    <w:rsid w:val="00AF4028"/>
    <w:rsid w:val="00AF43B5"/>
    <w:rsid w:val="00AF4536"/>
    <w:rsid w:val="00AF46D2"/>
    <w:rsid w:val="00AF4780"/>
    <w:rsid w:val="00AF4981"/>
    <w:rsid w:val="00AF4B72"/>
    <w:rsid w:val="00AF4C6D"/>
    <w:rsid w:val="00AF500A"/>
    <w:rsid w:val="00AF533F"/>
    <w:rsid w:val="00AF5446"/>
    <w:rsid w:val="00AF54D1"/>
    <w:rsid w:val="00AF5A7D"/>
    <w:rsid w:val="00AF5C9F"/>
    <w:rsid w:val="00AF5E8A"/>
    <w:rsid w:val="00AF6637"/>
    <w:rsid w:val="00AF684D"/>
    <w:rsid w:val="00AF69E1"/>
    <w:rsid w:val="00AF6CB7"/>
    <w:rsid w:val="00AF6EE7"/>
    <w:rsid w:val="00AF7143"/>
    <w:rsid w:val="00AF7199"/>
    <w:rsid w:val="00AF71A0"/>
    <w:rsid w:val="00AF736E"/>
    <w:rsid w:val="00AF75C1"/>
    <w:rsid w:val="00AF7671"/>
    <w:rsid w:val="00AF78D9"/>
    <w:rsid w:val="00AF7A69"/>
    <w:rsid w:val="00AF7B42"/>
    <w:rsid w:val="00AF7C09"/>
    <w:rsid w:val="00AF7C0F"/>
    <w:rsid w:val="00AF7DE2"/>
    <w:rsid w:val="00B00037"/>
    <w:rsid w:val="00B0019B"/>
    <w:rsid w:val="00B004CE"/>
    <w:rsid w:val="00B00A26"/>
    <w:rsid w:val="00B00C5C"/>
    <w:rsid w:val="00B01082"/>
    <w:rsid w:val="00B01583"/>
    <w:rsid w:val="00B015A7"/>
    <w:rsid w:val="00B015C8"/>
    <w:rsid w:val="00B018F5"/>
    <w:rsid w:val="00B0192E"/>
    <w:rsid w:val="00B02066"/>
    <w:rsid w:val="00B0238C"/>
    <w:rsid w:val="00B026DD"/>
    <w:rsid w:val="00B026FA"/>
    <w:rsid w:val="00B02757"/>
    <w:rsid w:val="00B02819"/>
    <w:rsid w:val="00B02A08"/>
    <w:rsid w:val="00B02B90"/>
    <w:rsid w:val="00B02E23"/>
    <w:rsid w:val="00B037BE"/>
    <w:rsid w:val="00B03945"/>
    <w:rsid w:val="00B03BF3"/>
    <w:rsid w:val="00B03DEE"/>
    <w:rsid w:val="00B04228"/>
    <w:rsid w:val="00B0427F"/>
    <w:rsid w:val="00B042DF"/>
    <w:rsid w:val="00B04366"/>
    <w:rsid w:val="00B0439D"/>
    <w:rsid w:val="00B047AB"/>
    <w:rsid w:val="00B049A9"/>
    <w:rsid w:val="00B04A81"/>
    <w:rsid w:val="00B04DD9"/>
    <w:rsid w:val="00B04F91"/>
    <w:rsid w:val="00B05085"/>
    <w:rsid w:val="00B055D2"/>
    <w:rsid w:val="00B055DD"/>
    <w:rsid w:val="00B05603"/>
    <w:rsid w:val="00B05694"/>
    <w:rsid w:val="00B05D12"/>
    <w:rsid w:val="00B05FD8"/>
    <w:rsid w:val="00B06243"/>
    <w:rsid w:val="00B06284"/>
    <w:rsid w:val="00B06362"/>
    <w:rsid w:val="00B06964"/>
    <w:rsid w:val="00B069A1"/>
    <w:rsid w:val="00B06CC7"/>
    <w:rsid w:val="00B07014"/>
    <w:rsid w:val="00B070BE"/>
    <w:rsid w:val="00B07144"/>
    <w:rsid w:val="00B0793C"/>
    <w:rsid w:val="00B07A60"/>
    <w:rsid w:val="00B07DB2"/>
    <w:rsid w:val="00B1007B"/>
    <w:rsid w:val="00B106C1"/>
    <w:rsid w:val="00B10802"/>
    <w:rsid w:val="00B108A8"/>
    <w:rsid w:val="00B10CE0"/>
    <w:rsid w:val="00B1103B"/>
    <w:rsid w:val="00B119C5"/>
    <w:rsid w:val="00B11CCC"/>
    <w:rsid w:val="00B11CEC"/>
    <w:rsid w:val="00B121A0"/>
    <w:rsid w:val="00B12295"/>
    <w:rsid w:val="00B1236D"/>
    <w:rsid w:val="00B12749"/>
    <w:rsid w:val="00B12BF0"/>
    <w:rsid w:val="00B12CD2"/>
    <w:rsid w:val="00B12E14"/>
    <w:rsid w:val="00B131DC"/>
    <w:rsid w:val="00B132AA"/>
    <w:rsid w:val="00B133F9"/>
    <w:rsid w:val="00B13C4E"/>
    <w:rsid w:val="00B13C7C"/>
    <w:rsid w:val="00B13D3F"/>
    <w:rsid w:val="00B140AE"/>
    <w:rsid w:val="00B14131"/>
    <w:rsid w:val="00B141A1"/>
    <w:rsid w:val="00B141C6"/>
    <w:rsid w:val="00B144E4"/>
    <w:rsid w:val="00B14663"/>
    <w:rsid w:val="00B148A8"/>
    <w:rsid w:val="00B14A2C"/>
    <w:rsid w:val="00B150FD"/>
    <w:rsid w:val="00B151AC"/>
    <w:rsid w:val="00B151CB"/>
    <w:rsid w:val="00B153D2"/>
    <w:rsid w:val="00B15635"/>
    <w:rsid w:val="00B158D7"/>
    <w:rsid w:val="00B15DD4"/>
    <w:rsid w:val="00B15EB0"/>
    <w:rsid w:val="00B1607A"/>
    <w:rsid w:val="00B1624D"/>
    <w:rsid w:val="00B16983"/>
    <w:rsid w:val="00B1698F"/>
    <w:rsid w:val="00B16F55"/>
    <w:rsid w:val="00B175B4"/>
    <w:rsid w:val="00B1797C"/>
    <w:rsid w:val="00B17F9B"/>
    <w:rsid w:val="00B20122"/>
    <w:rsid w:val="00B2019F"/>
    <w:rsid w:val="00B2027F"/>
    <w:rsid w:val="00B204FE"/>
    <w:rsid w:val="00B209FF"/>
    <w:rsid w:val="00B20C32"/>
    <w:rsid w:val="00B20E57"/>
    <w:rsid w:val="00B21365"/>
    <w:rsid w:val="00B21514"/>
    <w:rsid w:val="00B215D7"/>
    <w:rsid w:val="00B216B2"/>
    <w:rsid w:val="00B217FE"/>
    <w:rsid w:val="00B21B82"/>
    <w:rsid w:val="00B22082"/>
    <w:rsid w:val="00B220FC"/>
    <w:rsid w:val="00B22585"/>
    <w:rsid w:val="00B225A4"/>
    <w:rsid w:val="00B22927"/>
    <w:rsid w:val="00B22AFF"/>
    <w:rsid w:val="00B22F90"/>
    <w:rsid w:val="00B23247"/>
    <w:rsid w:val="00B23384"/>
    <w:rsid w:val="00B235D2"/>
    <w:rsid w:val="00B23C07"/>
    <w:rsid w:val="00B23CC8"/>
    <w:rsid w:val="00B23D3B"/>
    <w:rsid w:val="00B23DDE"/>
    <w:rsid w:val="00B242B0"/>
    <w:rsid w:val="00B242D7"/>
    <w:rsid w:val="00B24369"/>
    <w:rsid w:val="00B244E6"/>
    <w:rsid w:val="00B244EE"/>
    <w:rsid w:val="00B24643"/>
    <w:rsid w:val="00B2489E"/>
    <w:rsid w:val="00B24A07"/>
    <w:rsid w:val="00B24E43"/>
    <w:rsid w:val="00B24FD5"/>
    <w:rsid w:val="00B25064"/>
    <w:rsid w:val="00B25101"/>
    <w:rsid w:val="00B25555"/>
    <w:rsid w:val="00B25D8D"/>
    <w:rsid w:val="00B25DE7"/>
    <w:rsid w:val="00B2602A"/>
    <w:rsid w:val="00B26079"/>
    <w:rsid w:val="00B2608A"/>
    <w:rsid w:val="00B2611D"/>
    <w:rsid w:val="00B2612D"/>
    <w:rsid w:val="00B26209"/>
    <w:rsid w:val="00B26AE0"/>
    <w:rsid w:val="00B26F10"/>
    <w:rsid w:val="00B27434"/>
    <w:rsid w:val="00B27564"/>
    <w:rsid w:val="00B27633"/>
    <w:rsid w:val="00B27819"/>
    <w:rsid w:val="00B279AE"/>
    <w:rsid w:val="00B27ADC"/>
    <w:rsid w:val="00B27DA3"/>
    <w:rsid w:val="00B3004E"/>
    <w:rsid w:val="00B3054E"/>
    <w:rsid w:val="00B305AC"/>
    <w:rsid w:val="00B3071F"/>
    <w:rsid w:val="00B309D0"/>
    <w:rsid w:val="00B30DF8"/>
    <w:rsid w:val="00B313FF"/>
    <w:rsid w:val="00B314DE"/>
    <w:rsid w:val="00B316F6"/>
    <w:rsid w:val="00B316FC"/>
    <w:rsid w:val="00B31867"/>
    <w:rsid w:val="00B31935"/>
    <w:rsid w:val="00B3193B"/>
    <w:rsid w:val="00B31968"/>
    <w:rsid w:val="00B31CEF"/>
    <w:rsid w:val="00B31D93"/>
    <w:rsid w:val="00B31F3D"/>
    <w:rsid w:val="00B31FCF"/>
    <w:rsid w:val="00B32154"/>
    <w:rsid w:val="00B32E52"/>
    <w:rsid w:val="00B336D0"/>
    <w:rsid w:val="00B336FD"/>
    <w:rsid w:val="00B3373A"/>
    <w:rsid w:val="00B339C5"/>
    <w:rsid w:val="00B33A29"/>
    <w:rsid w:val="00B33B16"/>
    <w:rsid w:val="00B33BCB"/>
    <w:rsid w:val="00B33CBD"/>
    <w:rsid w:val="00B33D72"/>
    <w:rsid w:val="00B33F34"/>
    <w:rsid w:val="00B3423E"/>
    <w:rsid w:val="00B34E29"/>
    <w:rsid w:val="00B3590A"/>
    <w:rsid w:val="00B35C7D"/>
    <w:rsid w:val="00B35D8B"/>
    <w:rsid w:val="00B36213"/>
    <w:rsid w:val="00B36340"/>
    <w:rsid w:val="00B36601"/>
    <w:rsid w:val="00B36A7B"/>
    <w:rsid w:val="00B36E5D"/>
    <w:rsid w:val="00B36F7B"/>
    <w:rsid w:val="00B36FDA"/>
    <w:rsid w:val="00B370AA"/>
    <w:rsid w:val="00B370FC"/>
    <w:rsid w:val="00B376D8"/>
    <w:rsid w:val="00B37721"/>
    <w:rsid w:val="00B37979"/>
    <w:rsid w:val="00B37EAA"/>
    <w:rsid w:val="00B37ED7"/>
    <w:rsid w:val="00B401A8"/>
    <w:rsid w:val="00B4028D"/>
    <w:rsid w:val="00B4070D"/>
    <w:rsid w:val="00B40802"/>
    <w:rsid w:val="00B4091E"/>
    <w:rsid w:val="00B40936"/>
    <w:rsid w:val="00B40C14"/>
    <w:rsid w:val="00B41063"/>
    <w:rsid w:val="00B410BD"/>
    <w:rsid w:val="00B4126D"/>
    <w:rsid w:val="00B412FD"/>
    <w:rsid w:val="00B413C8"/>
    <w:rsid w:val="00B41410"/>
    <w:rsid w:val="00B41605"/>
    <w:rsid w:val="00B41816"/>
    <w:rsid w:val="00B41B01"/>
    <w:rsid w:val="00B41DFB"/>
    <w:rsid w:val="00B41E6E"/>
    <w:rsid w:val="00B41F56"/>
    <w:rsid w:val="00B42046"/>
    <w:rsid w:val="00B422AE"/>
    <w:rsid w:val="00B4295C"/>
    <w:rsid w:val="00B42983"/>
    <w:rsid w:val="00B431F9"/>
    <w:rsid w:val="00B43204"/>
    <w:rsid w:val="00B43480"/>
    <w:rsid w:val="00B436E5"/>
    <w:rsid w:val="00B43832"/>
    <w:rsid w:val="00B43A95"/>
    <w:rsid w:val="00B43B18"/>
    <w:rsid w:val="00B43F03"/>
    <w:rsid w:val="00B44187"/>
    <w:rsid w:val="00B44B2B"/>
    <w:rsid w:val="00B44BCD"/>
    <w:rsid w:val="00B44D4D"/>
    <w:rsid w:val="00B44DB2"/>
    <w:rsid w:val="00B44F75"/>
    <w:rsid w:val="00B4546C"/>
    <w:rsid w:val="00B4555A"/>
    <w:rsid w:val="00B45614"/>
    <w:rsid w:val="00B45C84"/>
    <w:rsid w:val="00B46059"/>
    <w:rsid w:val="00B469B4"/>
    <w:rsid w:val="00B469B9"/>
    <w:rsid w:val="00B46BB0"/>
    <w:rsid w:val="00B46CD0"/>
    <w:rsid w:val="00B46DDF"/>
    <w:rsid w:val="00B46E88"/>
    <w:rsid w:val="00B46FB6"/>
    <w:rsid w:val="00B47264"/>
    <w:rsid w:val="00B479E1"/>
    <w:rsid w:val="00B50024"/>
    <w:rsid w:val="00B503BA"/>
    <w:rsid w:val="00B507DB"/>
    <w:rsid w:val="00B50B2E"/>
    <w:rsid w:val="00B5104F"/>
    <w:rsid w:val="00B5184D"/>
    <w:rsid w:val="00B518E1"/>
    <w:rsid w:val="00B519E2"/>
    <w:rsid w:val="00B51DF4"/>
    <w:rsid w:val="00B520AF"/>
    <w:rsid w:val="00B52183"/>
    <w:rsid w:val="00B524B5"/>
    <w:rsid w:val="00B5267E"/>
    <w:rsid w:val="00B52833"/>
    <w:rsid w:val="00B52923"/>
    <w:rsid w:val="00B529D9"/>
    <w:rsid w:val="00B52C0E"/>
    <w:rsid w:val="00B52D23"/>
    <w:rsid w:val="00B53100"/>
    <w:rsid w:val="00B53282"/>
    <w:rsid w:val="00B5341C"/>
    <w:rsid w:val="00B5344E"/>
    <w:rsid w:val="00B537E9"/>
    <w:rsid w:val="00B53855"/>
    <w:rsid w:val="00B53B30"/>
    <w:rsid w:val="00B53B3C"/>
    <w:rsid w:val="00B53E4E"/>
    <w:rsid w:val="00B53EE2"/>
    <w:rsid w:val="00B53F78"/>
    <w:rsid w:val="00B54008"/>
    <w:rsid w:val="00B541F9"/>
    <w:rsid w:val="00B5564E"/>
    <w:rsid w:val="00B556CA"/>
    <w:rsid w:val="00B55B55"/>
    <w:rsid w:val="00B55B7E"/>
    <w:rsid w:val="00B55BE2"/>
    <w:rsid w:val="00B55F64"/>
    <w:rsid w:val="00B5630D"/>
    <w:rsid w:val="00B56648"/>
    <w:rsid w:val="00B569B3"/>
    <w:rsid w:val="00B56C5A"/>
    <w:rsid w:val="00B570DE"/>
    <w:rsid w:val="00B57184"/>
    <w:rsid w:val="00B574F5"/>
    <w:rsid w:val="00B5766D"/>
    <w:rsid w:val="00B57717"/>
    <w:rsid w:val="00B5799B"/>
    <w:rsid w:val="00B579CC"/>
    <w:rsid w:val="00B57B71"/>
    <w:rsid w:val="00B57DEB"/>
    <w:rsid w:val="00B60017"/>
    <w:rsid w:val="00B600A9"/>
    <w:rsid w:val="00B60454"/>
    <w:rsid w:val="00B60773"/>
    <w:rsid w:val="00B60B96"/>
    <w:rsid w:val="00B60D03"/>
    <w:rsid w:val="00B6126D"/>
    <w:rsid w:val="00B612A5"/>
    <w:rsid w:val="00B61377"/>
    <w:rsid w:val="00B613A6"/>
    <w:rsid w:val="00B613CF"/>
    <w:rsid w:val="00B61409"/>
    <w:rsid w:val="00B6171A"/>
    <w:rsid w:val="00B61829"/>
    <w:rsid w:val="00B620A8"/>
    <w:rsid w:val="00B62339"/>
    <w:rsid w:val="00B62625"/>
    <w:rsid w:val="00B62734"/>
    <w:rsid w:val="00B6279D"/>
    <w:rsid w:val="00B629F8"/>
    <w:rsid w:val="00B62B46"/>
    <w:rsid w:val="00B62C10"/>
    <w:rsid w:val="00B631B5"/>
    <w:rsid w:val="00B632C1"/>
    <w:rsid w:val="00B63424"/>
    <w:rsid w:val="00B6374D"/>
    <w:rsid w:val="00B63F1C"/>
    <w:rsid w:val="00B640B7"/>
    <w:rsid w:val="00B6423D"/>
    <w:rsid w:val="00B64497"/>
    <w:rsid w:val="00B6457E"/>
    <w:rsid w:val="00B646B4"/>
    <w:rsid w:val="00B64A41"/>
    <w:rsid w:val="00B64A97"/>
    <w:rsid w:val="00B64C77"/>
    <w:rsid w:val="00B64D1F"/>
    <w:rsid w:val="00B65702"/>
    <w:rsid w:val="00B65705"/>
    <w:rsid w:val="00B6578A"/>
    <w:rsid w:val="00B65817"/>
    <w:rsid w:val="00B65C01"/>
    <w:rsid w:val="00B6630C"/>
    <w:rsid w:val="00B663E0"/>
    <w:rsid w:val="00B663F5"/>
    <w:rsid w:val="00B66419"/>
    <w:rsid w:val="00B66457"/>
    <w:rsid w:val="00B6674E"/>
    <w:rsid w:val="00B66757"/>
    <w:rsid w:val="00B667EF"/>
    <w:rsid w:val="00B669AD"/>
    <w:rsid w:val="00B66B6B"/>
    <w:rsid w:val="00B66BB5"/>
    <w:rsid w:val="00B66EBB"/>
    <w:rsid w:val="00B67268"/>
    <w:rsid w:val="00B675CE"/>
    <w:rsid w:val="00B67752"/>
    <w:rsid w:val="00B679E3"/>
    <w:rsid w:val="00B67B5F"/>
    <w:rsid w:val="00B67B75"/>
    <w:rsid w:val="00B701D1"/>
    <w:rsid w:val="00B702EE"/>
    <w:rsid w:val="00B7031C"/>
    <w:rsid w:val="00B704E5"/>
    <w:rsid w:val="00B70502"/>
    <w:rsid w:val="00B7056B"/>
    <w:rsid w:val="00B70B2A"/>
    <w:rsid w:val="00B70C91"/>
    <w:rsid w:val="00B70E8A"/>
    <w:rsid w:val="00B70E9D"/>
    <w:rsid w:val="00B70F17"/>
    <w:rsid w:val="00B7111D"/>
    <w:rsid w:val="00B714C9"/>
    <w:rsid w:val="00B721D9"/>
    <w:rsid w:val="00B72410"/>
    <w:rsid w:val="00B724A0"/>
    <w:rsid w:val="00B7256D"/>
    <w:rsid w:val="00B7267E"/>
    <w:rsid w:val="00B7284D"/>
    <w:rsid w:val="00B729C4"/>
    <w:rsid w:val="00B72B1D"/>
    <w:rsid w:val="00B72EE8"/>
    <w:rsid w:val="00B735D5"/>
    <w:rsid w:val="00B73943"/>
    <w:rsid w:val="00B739BE"/>
    <w:rsid w:val="00B73ABC"/>
    <w:rsid w:val="00B73DD1"/>
    <w:rsid w:val="00B74002"/>
    <w:rsid w:val="00B7402F"/>
    <w:rsid w:val="00B740B2"/>
    <w:rsid w:val="00B7483E"/>
    <w:rsid w:val="00B7491B"/>
    <w:rsid w:val="00B74A44"/>
    <w:rsid w:val="00B74F4B"/>
    <w:rsid w:val="00B75351"/>
    <w:rsid w:val="00B753F2"/>
    <w:rsid w:val="00B75644"/>
    <w:rsid w:val="00B75A42"/>
    <w:rsid w:val="00B764DA"/>
    <w:rsid w:val="00B768BB"/>
    <w:rsid w:val="00B76F96"/>
    <w:rsid w:val="00B76FB2"/>
    <w:rsid w:val="00B77050"/>
    <w:rsid w:val="00B77053"/>
    <w:rsid w:val="00B77280"/>
    <w:rsid w:val="00B77360"/>
    <w:rsid w:val="00B774E6"/>
    <w:rsid w:val="00B778A8"/>
    <w:rsid w:val="00B778C0"/>
    <w:rsid w:val="00B77C58"/>
    <w:rsid w:val="00B77D4F"/>
    <w:rsid w:val="00B77E43"/>
    <w:rsid w:val="00B8044E"/>
    <w:rsid w:val="00B80468"/>
    <w:rsid w:val="00B8079E"/>
    <w:rsid w:val="00B80A93"/>
    <w:rsid w:val="00B810A4"/>
    <w:rsid w:val="00B81320"/>
    <w:rsid w:val="00B816C5"/>
    <w:rsid w:val="00B817FC"/>
    <w:rsid w:val="00B81B2A"/>
    <w:rsid w:val="00B81B2C"/>
    <w:rsid w:val="00B81EC5"/>
    <w:rsid w:val="00B8207C"/>
    <w:rsid w:val="00B8214F"/>
    <w:rsid w:val="00B82A66"/>
    <w:rsid w:val="00B82CB9"/>
    <w:rsid w:val="00B82CF5"/>
    <w:rsid w:val="00B82F10"/>
    <w:rsid w:val="00B831B4"/>
    <w:rsid w:val="00B8354E"/>
    <w:rsid w:val="00B83C4B"/>
    <w:rsid w:val="00B83FAF"/>
    <w:rsid w:val="00B841EE"/>
    <w:rsid w:val="00B8473B"/>
    <w:rsid w:val="00B849EA"/>
    <w:rsid w:val="00B84A98"/>
    <w:rsid w:val="00B8515A"/>
    <w:rsid w:val="00B85260"/>
    <w:rsid w:val="00B85343"/>
    <w:rsid w:val="00B85704"/>
    <w:rsid w:val="00B85A89"/>
    <w:rsid w:val="00B85AA0"/>
    <w:rsid w:val="00B85ABB"/>
    <w:rsid w:val="00B85AD9"/>
    <w:rsid w:val="00B85F55"/>
    <w:rsid w:val="00B85F98"/>
    <w:rsid w:val="00B8606E"/>
    <w:rsid w:val="00B8631F"/>
    <w:rsid w:val="00B86709"/>
    <w:rsid w:val="00B86821"/>
    <w:rsid w:val="00B8698B"/>
    <w:rsid w:val="00B86B03"/>
    <w:rsid w:val="00B86B84"/>
    <w:rsid w:val="00B86DBD"/>
    <w:rsid w:val="00B86E20"/>
    <w:rsid w:val="00B870B5"/>
    <w:rsid w:val="00B87167"/>
    <w:rsid w:val="00B872E4"/>
    <w:rsid w:val="00B873AE"/>
    <w:rsid w:val="00B875C6"/>
    <w:rsid w:val="00B8777C"/>
    <w:rsid w:val="00B879A0"/>
    <w:rsid w:val="00B87BD9"/>
    <w:rsid w:val="00B901E3"/>
    <w:rsid w:val="00B9039A"/>
    <w:rsid w:val="00B9083A"/>
    <w:rsid w:val="00B909C4"/>
    <w:rsid w:val="00B90BD6"/>
    <w:rsid w:val="00B90EB6"/>
    <w:rsid w:val="00B91338"/>
    <w:rsid w:val="00B9137A"/>
    <w:rsid w:val="00B91517"/>
    <w:rsid w:val="00B9175D"/>
    <w:rsid w:val="00B917FD"/>
    <w:rsid w:val="00B91C60"/>
    <w:rsid w:val="00B91D7B"/>
    <w:rsid w:val="00B91E02"/>
    <w:rsid w:val="00B91F57"/>
    <w:rsid w:val="00B92C24"/>
    <w:rsid w:val="00B92CBD"/>
    <w:rsid w:val="00B930C4"/>
    <w:rsid w:val="00B93171"/>
    <w:rsid w:val="00B933B1"/>
    <w:rsid w:val="00B935CD"/>
    <w:rsid w:val="00B93684"/>
    <w:rsid w:val="00B93D48"/>
    <w:rsid w:val="00B941EC"/>
    <w:rsid w:val="00B9425C"/>
    <w:rsid w:val="00B946E5"/>
    <w:rsid w:val="00B94E06"/>
    <w:rsid w:val="00B9518F"/>
    <w:rsid w:val="00B95599"/>
    <w:rsid w:val="00B95866"/>
    <w:rsid w:val="00B95AE7"/>
    <w:rsid w:val="00B960C1"/>
    <w:rsid w:val="00B960E8"/>
    <w:rsid w:val="00B9627D"/>
    <w:rsid w:val="00B9638D"/>
    <w:rsid w:val="00B96824"/>
    <w:rsid w:val="00B968DB"/>
    <w:rsid w:val="00B96BA4"/>
    <w:rsid w:val="00B96C2B"/>
    <w:rsid w:val="00B96CE3"/>
    <w:rsid w:val="00B96D43"/>
    <w:rsid w:val="00B96DA3"/>
    <w:rsid w:val="00B96DD4"/>
    <w:rsid w:val="00B96DE0"/>
    <w:rsid w:val="00B96EDB"/>
    <w:rsid w:val="00B97075"/>
    <w:rsid w:val="00B9783B"/>
    <w:rsid w:val="00B97C3F"/>
    <w:rsid w:val="00B97D3F"/>
    <w:rsid w:val="00B97FC5"/>
    <w:rsid w:val="00B97FD5"/>
    <w:rsid w:val="00BA0419"/>
    <w:rsid w:val="00BA088A"/>
    <w:rsid w:val="00BA0C88"/>
    <w:rsid w:val="00BA11F7"/>
    <w:rsid w:val="00BA13DC"/>
    <w:rsid w:val="00BA1724"/>
    <w:rsid w:val="00BA1879"/>
    <w:rsid w:val="00BA1E9D"/>
    <w:rsid w:val="00BA1F02"/>
    <w:rsid w:val="00BA203E"/>
    <w:rsid w:val="00BA208F"/>
    <w:rsid w:val="00BA25D7"/>
    <w:rsid w:val="00BA2616"/>
    <w:rsid w:val="00BA2703"/>
    <w:rsid w:val="00BA284C"/>
    <w:rsid w:val="00BA290B"/>
    <w:rsid w:val="00BA2953"/>
    <w:rsid w:val="00BA2CB9"/>
    <w:rsid w:val="00BA2D39"/>
    <w:rsid w:val="00BA2E57"/>
    <w:rsid w:val="00BA305D"/>
    <w:rsid w:val="00BA3522"/>
    <w:rsid w:val="00BA37D9"/>
    <w:rsid w:val="00BA38F7"/>
    <w:rsid w:val="00BA3BF4"/>
    <w:rsid w:val="00BA4006"/>
    <w:rsid w:val="00BA414A"/>
    <w:rsid w:val="00BA4154"/>
    <w:rsid w:val="00BA4211"/>
    <w:rsid w:val="00BA477C"/>
    <w:rsid w:val="00BA4B5A"/>
    <w:rsid w:val="00BA4B7F"/>
    <w:rsid w:val="00BA4BA0"/>
    <w:rsid w:val="00BA4CCD"/>
    <w:rsid w:val="00BA4DB2"/>
    <w:rsid w:val="00BA4ECE"/>
    <w:rsid w:val="00BA4F25"/>
    <w:rsid w:val="00BA4F71"/>
    <w:rsid w:val="00BA53A0"/>
    <w:rsid w:val="00BA5476"/>
    <w:rsid w:val="00BA564C"/>
    <w:rsid w:val="00BA58AE"/>
    <w:rsid w:val="00BA59C1"/>
    <w:rsid w:val="00BA5A29"/>
    <w:rsid w:val="00BA5EB9"/>
    <w:rsid w:val="00BA67F5"/>
    <w:rsid w:val="00BA6992"/>
    <w:rsid w:val="00BA6A25"/>
    <w:rsid w:val="00BA6B77"/>
    <w:rsid w:val="00BA6E77"/>
    <w:rsid w:val="00BA72BF"/>
    <w:rsid w:val="00BA77A0"/>
    <w:rsid w:val="00BA7BA0"/>
    <w:rsid w:val="00BA7BBC"/>
    <w:rsid w:val="00BA7D5B"/>
    <w:rsid w:val="00BA7E29"/>
    <w:rsid w:val="00BA7F6A"/>
    <w:rsid w:val="00BB0230"/>
    <w:rsid w:val="00BB0766"/>
    <w:rsid w:val="00BB0C9D"/>
    <w:rsid w:val="00BB0CDA"/>
    <w:rsid w:val="00BB16D1"/>
    <w:rsid w:val="00BB177C"/>
    <w:rsid w:val="00BB213C"/>
    <w:rsid w:val="00BB2278"/>
    <w:rsid w:val="00BB23F2"/>
    <w:rsid w:val="00BB24C9"/>
    <w:rsid w:val="00BB2A13"/>
    <w:rsid w:val="00BB2C80"/>
    <w:rsid w:val="00BB33FA"/>
    <w:rsid w:val="00BB3548"/>
    <w:rsid w:val="00BB368D"/>
    <w:rsid w:val="00BB373A"/>
    <w:rsid w:val="00BB3CF4"/>
    <w:rsid w:val="00BB3EA5"/>
    <w:rsid w:val="00BB40F6"/>
    <w:rsid w:val="00BB418B"/>
    <w:rsid w:val="00BB43CE"/>
    <w:rsid w:val="00BB43E7"/>
    <w:rsid w:val="00BB447E"/>
    <w:rsid w:val="00BB4631"/>
    <w:rsid w:val="00BB4A0F"/>
    <w:rsid w:val="00BB4D7A"/>
    <w:rsid w:val="00BB4D8D"/>
    <w:rsid w:val="00BB4E1B"/>
    <w:rsid w:val="00BB4FDE"/>
    <w:rsid w:val="00BB5110"/>
    <w:rsid w:val="00BB520B"/>
    <w:rsid w:val="00BB5301"/>
    <w:rsid w:val="00BB5305"/>
    <w:rsid w:val="00BB539B"/>
    <w:rsid w:val="00BB54C5"/>
    <w:rsid w:val="00BB596D"/>
    <w:rsid w:val="00BB5BBB"/>
    <w:rsid w:val="00BB5D52"/>
    <w:rsid w:val="00BB5E1E"/>
    <w:rsid w:val="00BB5E4B"/>
    <w:rsid w:val="00BB6077"/>
    <w:rsid w:val="00BB76F1"/>
    <w:rsid w:val="00BB7955"/>
    <w:rsid w:val="00BB7A1F"/>
    <w:rsid w:val="00BB7AF2"/>
    <w:rsid w:val="00BB7AF6"/>
    <w:rsid w:val="00BB7E4C"/>
    <w:rsid w:val="00BC00A4"/>
    <w:rsid w:val="00BC083E"/>
    <w:rsid w:val="00BC0921"/>
    <w:rsid w:val="00BC0D02"/>
    <w:rsid w:val="00BC0D1C"/>
    <w:rsid w:val="00BC0DF8"/>
    <w:rsid w:val="00BC1337"/>
    <w:rsid w:val="00BC1413"/>
    <w:rsid w:val="00BC16AD"/>
    <w:rsid w:val="00BC1CEB"/>
    <w:rsid w:val="00BC1D4E"/>
    <w:rsid w:val="00BC2183"/>
    <w:rsid w:val="00BC2614"/>
    <w:rsid w:val="00BC2B95"/>
    <w:rsid w:val="00BC2DBD"/>
    <w:rsid w:val="00BC324A"/>
    <w:rsid w:val="00BC3319"/>
    <w:rsid w:val="00BC376B"/>
    <w:rsid w:val="00BC3814"/>
    <w:rsid w:val="00BC3B16"/>
    <w:rsid w:val="00BC3B64"/>
    <w:rsid w:val="00BC3EFB"/>
    <w:rsid w:val="00BC41AC"/>
    <w:rsid w:val="00BC41FC"/>
    <w:rsid w:val="00BC4346"/>
    <w:rsid w:val="00BC437B"/>
    <w:rsid w:val="00BC4790"/>
    <w:rsid w:val="00BC479B"/>
    <w:rsid w:val="00BC4BFC"/>
    <w:rsid w:val="00BC4CA5"/>
    <w:rsid w:val="00BC4F40"/>
    <w:rsid w:val="00BC5367"/>
    <w:rsid w:val="00BC53DC"/>
    <w:rsid w:val="00BC56FA"/>
    <w:rsid w:val="00BC5811"/>
    <w:rsid w:val="00BC5F22"/>
    <w:rsid w:val="00BC60BD"/>
    <w:rsid w:val="00BC649A"/>
    <w:rsid w:val="00BC654D"/>
    <w:rsid w:val="00BC6604"/>
    <w:rsid w:val="00BC6AA4"/>
    <w:rsid w:val="00BC70CB"/>
    <w:rsid w:val="00BC71BE"/>
    <w:rsid w:val="00BC723C"/>
    <w:rsid w:val="00BC72A8"/>
    <w:rsid w:val="00BC7A91"/>
    <w:rsid w:val="00BC7DC0"/>
    <w:rsid w:val="00BC7EED"/>
    <w:rsid w:val="00BD0202"/>
    <w:rsid w:val="00BD05EC"/>
    <w:rsid w:val="00BD08A9"/>
    <w:rsid w:val="00BD0B2C"/>
    <w:rsid w:val="00BD0C4C"/>
    <w:rsid w:val="00BD0F1C"/>
    <w:rsid w:val="00BD0F1F"/>
    <w:rsid w:val="00BD1008"/>
    <w:rsid w:val="00BD15DE"/>
    <w:rsid w:val="00BD18CB"/>
    <w:rsid w:val="00BD199A"/>
    <w:rsid w:val="00BD19CB"/>
    <w:rsid w:val="00BD1BE6"/>
    <w:rsid w:val="00BD1D43"/>
    <w:rsid w:val="00BD1FFB"/>
    <w:rsid w:val="00BD2160"/>
    <w:rsid w:val="00BD233F"/>
    <w:rsid w:val="00BD262D"/>
    <w:rsid w:val="00BD275F"/>
    <w:rsid w:val="00BD27FC"/>
    <w:rsid w:val="00BD28CF"/>
    <w:rsid w:val="00BD2903"/>
    <w:rsid w:val="00BD2A5C"/>
    <w:rsid w:val="00BD2CB5"/>
    <w:rsid w:val="00BD2DDC"/>
    <w:rsid w:val="00BD300E"/>
    <w:rsid w:val="00BD32EE"/>
    <w:rsid w:val="00BD3665"/>
    <w:rsid w:val="00BD38B0"/>
    <w:rsid w:val="00BD3AF0"/>
    <w:rsid w:val="00BD3B87"/>
    <w:rsid w:val="00BD3CA4"/>
    <w:rsid w:val="00BD414D"/>
    <w:rsid w:val="00BD42E2"/>
    <w:rsid w:val="00BD42FE"/>
    <w:rsid w:val="00BD43FD"/>
    <w:rsid w:val="00BD4466"/>
    <w:rsid w:val="00BD4513"/>
    <w:rsid w:val="00BD45C8"/>
    <w:rsid w:val="00BD45F0"/>
    <w:rsid w:val="00BD4A9E"/>
    <w:rsid w:val="00BD4BE9"/>
    <w:rsid w:val="00BD4F6A"/>
    <w:rsid w:val="00BD537C"/>
    <w:rsid w:val="00BD54C9"/>
    <w:rsid w:val="00BD5AC8"/>
    <w:rsid w:val="00BD6094"/>
    <w:rsid w:val="00BD665B"/>
    <w:rsid w:val="00BD678A"/>
    <w:rsid w:val="00BD68A7"/>
    <w:rsid w:val="00BD6A9D"/>
    <w:rsid w:val="00BD6CAC"/>
    <w:rsid w:val="00BD6CD8"/>
    <w:rsid w:val="00BD7D43"/>
    <w:rsid w:val="00BD7E22"/>
    <w:rsid w:val="00BE0044"/>
    <w:rsid w:val="00BE0255"/>
    <w:rsid w:val="00BE03D6"/>
    <w:rsid w:val="00BE0529"/>
    <w:rsid w:val="00BE0927"/>
    <w:rsid w:val="00BE0956"/>
    <w:rsid w:val="00BE0C0E"/>
    <w:rsid w:val="00BE1052"/>
    <w:rsid w:val="00BE12D8"/>
    <w:rsid w:val="00BE1308"/>
    <w:rsid w:val="00BE1C0D"/>
    <w:rsid w:val="00BE212D"/>
    <w:rsid w:val="00BE243E"/>
    <w:rsid w:val="00BE25E8"/>
    <w:rsid w:val="00BE28A8"/>
    <w:rsid w:val="00BE2A05"/>
    <w:rsid w:val="00BE2C38"/>
    <w:rsid w:val="00BE2C93"/>
    <w:rsid w:val="00BE304D"/>
    <w:rsid w:val="00BE3067"/>
    <w:rsid w:val="00BE3552"/>
    <w:rsid w:val="00BE35E6"/>
    <w:rsid w:val="00BE368E"/>
    <w:rsid w:val="00BE36DC"/>
    <w:rsid w:val="00BE398A"/>
    <w:rsid w:val="00BE3E10"/>
    <w:rsid w:val="00BE3F6E"/>
    <w:rsid w:val="00BE4486"/>
    <w:rsid w:val="00BE450C"/>
    <w:rsid w:val="00BE47A1"/>
    <w:rsid w:val="00BE4B47"/>
    <w:rsid w:val="00BE4CA7"/>
    <w:rsid w:val="00BE4DD1"/>
    <w:rsid w:val="00BE4E1C"/>
    <w:rsid w:val="00BE5116"/>
    <w:rsid w:val="00BE5272"/>
    <w:rsid w:val="00BE54EA"/>
    <w:rsid w:val="00BE561E"/>
    <w:rsid w:val="00BE5765"/>
    <w:rsid w:val="00BE5B54"/>
    <w:rsid w:val="00BE61F3"/>
    <w:rsid w:val="00BE644B"/>
    <w:rsid w:val="00BE64DF"/>
    <w:rsid w:val="00BE6609"/>
    <w:rsid w:val="00BE6878"/>
    <w:rsid w:val="00BE6AEF"/>
    <w:rsid w:val="00BE6D51"/>
    <w:rsid w:val="00BE6E28"/>
    <w:rsid w:val="00BE6F35"/>
    <w:rsid w:val="00BE7425"/>
    <w:rsid w:val="00BE7437"/>
    <w:rsid w:val="00BE7712"/>
    <w:rsid w:val="00BE7831"/>
    <w:rsid w:val="00BE79A5"/>
    <w:rsid w:val="00BF010E"/>
    <w:rsid w:val="00BF037E"/>
    <w:rsid w:val="00BF070D"/>
    <w:rsid w:val="00BF0CB8"/>
    <w:rsid w:val="00BF0F2A"/>
    <w:rsid w:val="00BF0F40"/>
    <w:rsid w:val="00BF105C"/>
    <w:rsid w:val="00BF10E7"/>
    <w:rsid w:val="00BF1132"/>
    <w:rsid w:val="00BF1177"/>
    <w:rsid w:val="00BF1772"/>
    <w:rsid w:val="00BF17A7"/>
    <w:rsid w:val="00BF18A7"/>
    <w:rsid w:val="00BF19B1"/>
    <w:rsid w:val="00BF1AEC"/>
    <w:rsid w:val="00BF1D69"/>
    <w:rsid w:val="00BF208E"/>
    <w:rsid w:val="00BF21B8"/>
    <w:rsid w:val="00BF2C42"/>
    <w:rsid w:val="00BF3321"/>
    <w:rsid w:val="00BF3B93"/>
    <w:rsid w:val="00BF3BEC"/>
    <w:rsid w:val="00BF3F24"/>
    <w:rsid w:val="00BF3FC4"/>
    <w:rsid w:val="00BF3FED"/>
    <w:rsid w:val="00BF4213"/>
    <w:rsid w:val="00BF425F"/>
    <w:rsid w:val="00BF4660"/>
    <w:rsid w:val="00BF4680"/>
    <w:rsid w:val="00BF4773"/>
    <w:rsid w:val="00BF477B"/>
    <w:rsid w:val="00BF4835"/>
    <w:rsid w:val="00BF48C3"/>
    <w:rsid w:val="00BF4991"/>
    <w:rsid w:val="00BF4ACD"/>
    <w:rsid w:val="00BF4B92"/>
    <w:rsid w:val="00BF4EAB"/>
    <w:rsid w:val="00BF4F11"/>
    <w:rsid w:val="00BF4F35"/>
    <w:rsid w:val="00BF4F36"/>
    <w:rsid w:val="00BF50E1"/>
    <w:rsid w:val="00BF53F7"/>
    <w:rsid w:val="00BF5814"/>
    <w:rsid w:val="00BF5958"/>
    <w:rsid w:val="00BF5C33"/>
    <w:rsid w:val="00BF5D73"/>
    <w:rsid w:val="00BF6057"/>
    <w:rsid w:val="00BF644A"/>
    <w:rsid w:val="00BF6AAD"/>
    <w:rsid w:val="00BF6C9C"/>
    <w:rsid w:val="00BF70B4"/>
    <w:rsid w:val="00BF7847"/>
    <w:rsid w:val="00BF7BD5"/>
    <w:rsid w:val="00BF7C6B"/>
    <w:rsid w:val="00BF7CDF"/>
    <w:rsid w:val="00BF7E74"/>
    <w:rsid w:val="00C00133"/>
    <w:rsid w:val="00C001AB"/>
    <w:rsid w:val="00C0064E"/>
    <w:rsid w:val="00C00675"/>
    <w:rsid w:val="00C006CD"/>
    <w:rsid w:val="00C0096C"/>
    <w:rsid w:val="00C0097D"/>
    <w:rsid w:val="00C00EB7"/>
    <w:rsid w:val="00C0102F"/>
    <w:rsid w:val="00C011ED"/>
    <w:rsid w:val="00C0130D"/>
    <w:rsid w:val="00C017B8"/>
    <w:rsid w:val="00C018EB"/>
    <w:rsid w:val="00C0197C"/>
    <w:rsid w:val="00C01E5B"/>
    <w:rsid w:val="00C020C6"/>
    <w:rsid w:val="00C02998"/>
    <w:rsid w:val="00C02BDD"/>
    <w:rsid w:val="00C02F73"/>
    <w:rsid w:val="00C02FBB"/>
    <w:rsid w:val="00C02FE5"/>
    <w:rsid w:val="00C030C3"/>
    <w:rsid w:val="00C031EF"/>
    <w:rsid w:val="00C035BD"/>
    <w:rsid w:val="00C03624"/>
    <w:rsid w:val="00C03668"/>
    <w:rsid w:val="00C037DB"/>
    <w:rsid w:val="00C03B4E"/>
    <w:rsid w:val="00C03F02"/>
    <w:rsid w:val="00C04068"/>
    <w:rsid w:val="00C0427E"/>
    <w:rsid w:val="00C046FB"/>
    <w:rsid w:val="00C0477C"/>
    <w:rsid w:val="00C04780"/>
    <w:rsid w:val="00C04A88"/>
    <w:rsid w:val="00C04BB9"/>
    <w:rsid w:val="00C04CFE"/>
    <w:rsid w:val="00C04FBF"/>
    <w:rsid w:val="00C0504C"/>
    <w:rsid w:val="00C05439"/>
    <w:rsid w:val="00C05703"/>
    <w:rsid w:val="00C05979"/>
    <w:rsid w:val="00C06082"/>
    <w:rsid w:val="00C06355"/>
    <w:rsid w:val="00C06512"/>
    <w:rsid w:val="00C06544"/>
    <w:rsid w:val="00C0669A"/>
    <w:rsid w:val="00C06BF6"/>
    <w:rsid w:val="00C06C24"/>
    <w:rsid w:val="00C0791A"/>
    <w:rsid w:val="00C07A5F"/>
    <w:rsid w:val="00C07C49"/>
    <w:rsid w:val="00C07CE8"/>
    <w:rsid w:val="00C07D10"/>
    <w:rsid w:val="00C07E4C"/>
    <w:rsid w:val="00C07FF6"/>
    <w:rsid w:val="00C1014C"/>
    <w:rsid w:val="00C101A2"/>
    <w:rsid w:val="00C101F5"/>
    <w:rsid w:val="00C1021D"/>
    <w:rsid w:val="00C105FE"/>
    <w:rsid w:val="00C10B8B"/>
    <w:rsid w:val="00C10E64"/>
    <w:rsid w:val="00C11249"/>
    <w:rsid w:val="00C1133D"/>
    <w:rsid w:val="00C1151C"/>
    <w:rsid w:val="00C11602"/>
    <w:rsid w:val="00C11695"/>
    <w:rsid w:val="00C1183C"/>
    <w:rsid w:val="00C11B2D"/>
    <w:rsid w:val="00C11E92"/>
    <w:rsid w:val="00C121D3"/>
    <w:rsid w:val="00C122B8"/>
    <w:rsid w:val="00C12394"/>
    <w:rsid w:val="00C12A67"/>
    <w:rsid w:val="00C12ECE"/>
    <w:rsid w:val="00C12F60"/>
    <w:rsid w:val="00C13161"/>
    <w:rsid w:val="00C13189"/>
    <w:rsid w:val="00C131CD"/>
    <w:rsid w:val="00C1341D"/>
    <w:rsid w:val="00C134CF"/>
    <w:rsid w:val="00C135E8"/>
    <w:rsid w:val="00C13B4B"/>
    <w:rsid w:val="00C13C60"/>
    <w:rsid w:val="00C13CFC"/>
    <w:rsid w:val="00C13F2A"/>
    <w:rsid w:val="00C14076"/>
    <w:rsid w:val="00C140F2"/>
    <w:rsid w:val="00C14419"/>
    <w:rsid w:val="00C1441C"/>
    <w:rsid w:val="00C144C1"/>
    <w:rsid w:val="00C144FC"/>
    <w:rsid w:val="00C14C07"/>
    <w:rsid w:val="00C14FF4"/>
    <w:rsid w:val="00C150F4"/>
    <w:rsid w:val="00C15810"/>
    <w:rsid w:val="00C15A5B"/>
    <w:rsid w:val="00C15AF5"/>
    <w:rsid w:val="00C164B1"/>
    <w:rsid w:val="00C166F3"/>
    <w:rsid w:val="00C169D0"/>
    <w:rsid w:val="00C16C6B"/>
    <w:rsid w:val="00C16CCA"/>
    <w:rsid w:val="00C16CDB"/>
    <w:rsid w:val="00C16E28"/>
    <w:rsid w:val="00C16E75"/>
    <w:rsid w:val="00C171B2"/>
    <w:rsid w:val="00C176BF"/>
    <w:rsid w:val="00C17AF7"/>
    <w:rsid w:val="00C20B50"/>
    <w:rsid w:val="00C20D2D"/>
    <w:rsid w:val="00C20EE3"/>
    <w:rsid w:val="00C20F0D"/>
    <w:rsid w:val="00C20FC3"/>
    <w:rsid w:val="00C2157E"/>
    <w:rsid w:val="00C2172B"/>
    <w:rsid w:val="00C21900"/>
    <w:rsid w:val="00C21ADF"/>
    <w:rsid w:val="00C21CBF"/>
    <w:rsid w:val="00C21E75"/>
    <w:rsid w:val="00C220A7"/>
    <w:rsid w:val="00C221CC"/>
    <w:rsid w:val="00C225C5"/>
    <w:rsid w:val="00C2264A"/>
    <w:rsid w:val="00C22C28"/>
    <w:rsid w:val="00C22C9C"/>
    <w:rsid w:val="00C22E41"/>
    <w:rsid w:val="00C2316A"/>
    <w:rsid w:val="00C23358"/>
    <w:rsid w:val="00C23736"/>
    <w:rsid w:val="00C23773"/>
    <w:rsid w:val="00C238A1"/>
    <w:rsid w:val="00C23BD5"/>
    <w:rsid w:val="00C23C8E"/>
    <w:rsid w:val="00C23D7B"/>
    <w:rsid w:val="00C24043"/>
    <w:rsid w:val="00C24146"/>
    <w:rsid w:val="00C2423E"/>
    <w:rsid w:val="00C24391"/>
    <w:rsid w:val="00C244FA"/>
    <w:rsid w:val="00C24658"/>
    <w:rsid w:val="00C249AD"/>
    <w:rsid w:val="00C24AF2"/>
    <w:rsid w:val="00C251E9"/>
    <w:rsid w:val="00C25954"/>
    <w:rsid w:val="00C25C20"/>
    <w:rsid w:val="00C25CCA"/>
    <w:rsid w:val="00C265B1"/>
    <w:rsid w:val="00C26627"/>
    <w:rsid w:val="00C26BE2"/>
    <w:rsid w:val="00C26D5D"/>
    <w:rsid w:val="00C26E1A"/>
    <w:rsid w:val="00C26F78"/>
    <w:rsid w:val="00C270FA"/>
    <w:rsid w:val="00C2727D"/>
    <w:rsid w:val="00C274AB"/>
    <w:rsid w:val="00C2783C"/>
    <w:rsid w:val="00C279C5"/>
    <w:rsid w:val="00C27A39"/>
    <w:rsid w:val="00C27C27"/>
    <w:rsid w:val="00C30533"/>
    <w:rsid w:val="00C305B1"/>
    <w:rsid w:val="00C306EB"/>
    <w:rsid w:val="00C30C38"/>
    <w:rsid w:val="00C30EC7"/>
    <w:rsid w:val="00C310BC"/>
    <w:rsid w:val="00C31150"/>
    <w:rsid w:val="00C31281"/>
    <w:rsid w:val="00C31493"/>
    <w:rsid w:val="00C316B0"/>
    <w:rsid w:val="00C31981"/>
    <w:rsid w:val="00C31C0D"/>
    <w:rsid w:val="00C32334"/>
    <w:rsid w:val="00C32D0D"/>
    <w:rsid w:val="00C32D4F"/>
    <w:rsid w:val="00C32E27"/>
    <w:rsid w:val="00C32F24"/>
    <w:rsid w:val="00C330F0"/>
    <w:rsid w:val="00C332C5"/>
    <w:rsid w:val="00C3360C"/>
    <w:rsid w:val="00C33681"/>
    <w:rsid w:val="00C33A4F"/>
    <w:rsid w:val="00C33AA8"/>
    <w:rsid w:val="00C33C03"/>
    <w:rsid w:val="00C33C59"/>
    <w:rsid w:val="00C33EF7"/>
    <w:rsid w:val="00C34016"/>
    <w:rsid w:val="00C3409E"/>
    <w:rsid w:val="00C3466D"/>
    <w:rsid w:val="00C3483F"/>
    <w:rsid w:val="00C34C50"/>
    <w:rsid w:val="00C34E2F"/>
    <w:rsid w:val="00C354C3"/>
    <w:rsid w:val="00C35667"/>
    <w:rsid w:val="00C359EA"/>
    <w:rsid w:val="00C35AD9"/>
    <w:rsid w:val="00C35EC9"/>
    <w:rsid w:val="00C35F27"/>
    <w:rsid w:val="00C3631B"/>
    <w:rsid w:val="00C3650D"/>
    <w:rsid w:val="00C36569"/>
    <w:rsid w:val="00C3656D"/>
    <w:rsid w:val="00C36859"/>
    <w:rsid w:val="00C36BE2"/>
    <w:rsid w:val="00C376EB"/>
    <w:rsid w:val="00C378EE"/>
    <w:rsid w:val="00C37A4A"/>
    <w:rsid w:val="00C37AC2"/>
    <w:rsid w:val="00C37BFF"/>
    <w:rsid w:val="00C37D77"/>
    <w:rsid w:val="00C37F86"/>
    <w:rsid w:val="00C40443"/>
    <w:rsid w:val="00C404CF"/>
    <w:rsid w:val="00C40B90"/>
    <w:rsid w:val="00C40BD0"/>
    <w:rsid w:val="00C40D96"/>
    <w:rsid w:val="00C413A0"/>
    <w:rsid w:val="00C414A2"/>
    <w:rsid w:val="00C417BF"/>
    <w:rsid w:val="00C417DF"/>
    <w:rsid w:val="00C41820"/>
    <w:rsid w:val="00C41993"/>
    <w:rsid w:val="00C4245A"/>
    <w:rsid w:val="00C425C5"/>
    <w:rsid w:val="00C425DC"/>
    <w:rsid w:val="00C42A9F"/>
    <w:rsid w:val="00C42B64"/>
    <w:rsid w:val="00C42BD5"/>
    <w:rsid w:val="00C430C9"/>
    <w:rsid w:val="00C43414"/>
    <w:rsid w:val="00C43539"/>
    <w:rsid w:val="00C436D9"/>
    <w:rsid w:val="00C439E3"/>
    <w:rsid w:val="00C43F8E"/>
    <w:rsid w:val="00C444A1"/>
    <w:rsid w:val="00C44788"/>
    <w:rsid w:val="00C44845"/>
    <w:rsid w:val="00C44ACE"/>
    <w:rsid w:val="00C44E9A"/>
    <w:rsid w:val="00C44F0F"/>
    <w:rsid w:val="00C44F34"/>
    <w:rsid w:val="00C44F99"/>
    <w:rsid w:val="00C451DA"/>
    <w:rsid w:val="00C45246"/>
    <w:rsid w:val="00C453A2"/>
    <w:rsid w:val="00C45B3F"/>
    <w:rsid w:val="00C45C74"/>
    <w:rsid w:val="00C46074"/>
    <w:rsid w:val="00C46392"/>
    <w:rsid w:val="00C4641E"/>
    <w:rsid w:val="00C467F4"/>
    <w:rsid w:val="00C477C4"/>
    <w:rsid w:val="00C478A5"/>
    <w:rsid w:val="00C47AA8"/>
    <w:rsid w:val="00C5071F"/>
    <w:rsid w:val="00C5078F"/>
    <w:rsid w:val="00C508C5"/>
    <w:rsid w:val="00C50B92"/>
    <w:rsid w:val="00C50BEA"/>
    <w:rsid w:val="00C51077"/>
    <w:rsid w:val="00C515A2"/>
    <w:rsid w:val="00C515E7"/>
    <w:rsid w:val="00C51659"/>
    <w:rsid w:val="00C519E9"/>
    <w:rsid w:val="00C51BCB"/>
    <w:rsid w:val="00C51CC6"/>
    <w:rsid w:val="00C51EBD"/>
    <w:rsid w:val="00C52186"/>
    <w:rsid w:val="00C52551"/>
    <w:rsid w:val="00C52600"/>
    <w:rsid w:val="00C5282C"/>
    <w:rsid w:val="00C528C5"/>
    <w:rsid w:val="00C52BA1"/>
    <w:rsid w:val="00C52D0E"/>
    <w:rsid w:val="00C532C9"/>
    <w:rsid w:val="00C538AD"/>
    <w:rsid w:val="00C53953"/>
    <w:rsid w:val="00C53A21"/>
    <w:rsid w:val="00C53C0D"/>
    <w:rsid w:val="00C53CCA"/>
    <w:rsid w:val="00C53CE9"/>
    <w:rsid w:val="00C53E3D"/>
    <w:rsid w:val="00C54550"/>
    <w:rsid w:val="00C54604"/>
    <w:rsid w:val="00C54AD2"/>
    <w:rsid w:val="00C54D2A"/>
    <w:rsid w:val="00C54D83"/>
    <w:rsid w:val="00C55023"/>
    <w:rsid w:val="00C55630"/>
    <w:rsid w:val="00C556FE"/>
    <w:rsid w:val="00C5582A"/>
    <w:rsid w:val="00C55C27"/>
    <w:rsid w:val="00C55D81"/>
    <w:rsid w:val="00C55D9A"/>
    <w:rsid w:val="00C55E7C"/>
    <w:rsid w:val="00C55EFE"/>
    <w:rsid w:val="00C562B5"/>
    <w:rsid w:val="00C56575"/>
    <w:rsid w:val="00C569B3"/>
    <w:rsid w:val="00C56C09"/>
    <w:rsid w:val="00C56C39"/>
    <w:rsid w:val="00C56D6F"/>
    <w:rsid w:val="00C574CE"/>
    <w:rsid w:val="00C6013E"/>
    <w:rsid w:val="00C6054E"/>
    <w:rsid w:val="00C606C9"/>
    <w:rsid w:val="00C60B38"/>
    <w:rsid w:val="00C60EF0"/>
    <w:rsid w:val="00C61677"/>
    <w:rsid w:val="00C618AC"/>
    <w:rsid w:val="00C620E6"/>
    <w:rsid w:val="00C62117"/>
    <w:rsid w:val="00C623EC"/>
    <w:rsid w:val="00C62608"/>
    <w:rsid w:val="00C626C0"/>
    <w:rsid w:val="00C627BA"/>
    <w:rsid w:val="00C62E47"/>
    <w:rsid w:val="00C62FDA"/>
    <w:rsid w:val="00C6308E"/>
    <w:rsid w:val="00C630F4"/>
    <w:rsid w:val="00C631B7"/>
    <w:rsid w:val="00C63203"/>
    <w:rsid w:val="00C6335A"/>
    <w:rsid w:val="00C6367D"/>
    <w:rsid w:val="00C6378A"/>
    <w:rsid w:val="00C63BCF"/>
    <w:rsid w:val="00C63C08"/>
    <w:rsid w:val="00C64429"/>
    <w:rsid w:val="00C64442"/>
    <w:rsid w:val="00C645A2"/>
    <w:rsid w:val="00C64673"/>
    <w:rsid w:val="00C64A4D"/>
    <w:rsid w:val="00C64B37"/>
    <w:rsid w:val="00C64D83"/>
    <w:rsid w:val="00C64F34"/>
    <w:rsid w:val="00C65074"/>
    <w:rsid w:val="00C652DB"/>
    <w:rsid w:val="00C6536F"/>
    <w:rsid w:val="00C655C5"/>
    <w:rsid w:val="00C657F1"/>
    <w:rsid w:val="00C65974"/>
    <w:rsid w:val="00C65D52"/>
    <w:rsid w:val="00C6612D"/>
    <w:rsid w:val="00C66350"/>
    <w:rsid w:val="00C66986"/>
    <w:rsid w:val="00C66DD3"/>
    <w:rsid w:val="00C6711C"/>
    <w:rsid w:val="00C6722F"/>
    <w:rsid w:val="00C67379"/>
    <w:rsid w:val="00C67571"/>
    <w:rsid w:val="00C67933"/>
    <w:rsid w:val="00C67D61"/>
    <w:rsid w:val="00C67DE1"/>
    <w:rsid w:val="00C7019B"/>
    <w:rsid w:val="00C704FF"/>
    <w:rsid w:val="00C707B4"/>
    <w:rsid w:val="00C70A29"/>
    <w:rsid w:val="00C70CF6"/>
    <w:rsid w:val="00C70E41"/>
    <w:rsid w:val="00C71218"/>
    <w:rsid w:val="00C7146F"/>
    <w:rsid w:val="00C71509"/>
    <w:rsid w:val="00C71EE8"/>
    <w:rsid w:val="00C721DD"/>
    <w:rsid w:val="00C72422"/>
    <w:rsid w:val="00C725A8"/>
    <w:rsid w:val="00C72840"/>
    <w:rsid w:val="00C72BA0"/>
    <w:rsid w:val="00C73D23"/>
    <w:rsid w:val="00C73DFB"/>
    <w:rsid w:val="00C73F60"/>
    <w:rsid w:val="00C746A9"/>
    <w:rsid w:val="00C749D2"/>
    <w:rsid w:val="00C74B42"/>
    <w:rsid w:val="00C74BC8"/>
    <w:rsid w:val="00C74CD2"/>
    <w:rsid w:val="00C74F9F"/>
    <w:rsid w:val="00C75076"/>
    <w:rsid w:val="00C7510A"/>
    <w:rsid w:val="00C75192"/>
    <w:rsid w:val="00C75472"/>
    <w:rsid w:val="00C7566B"/>
    <w:rsid w:val="00C758DF"/>
    <w:rsid w:val="00C7592F"/>
    <w:rsid w:val="00C75A33"/>
    <w:rsid w:val="00C75F24"/>
    <w:rsid w:val="00C760B0"/>
    <w:rsid w:val="00C7664A"/>
    <w:rsid w:val="00C76664"/>
    <w:rsid w:val="00C76A8A"/>
    <w:rsid w:val="00C76B4B"/>
    <w:rsid w:val="00C76B61"/>
    <w:rsid w:val="00C76D53"/>
    <w:rsid w:val="00C76FD2"/>
    <w:rsid w:val="00C771F0"/>
    <w:rsid w:val="00C773CF"/>
    <w:rsid w:val="00C801E6"/>
    <w:rsid w:val="00C80373"/>
    <w:rsid w:val="00C806A7"/>
    <w:rsid w:val="00C806D7"/>
    <w:rsid w:val="00C8096A"/>
    <w:rsid w:val="00C80E36"/>
    <w:rsid w:val="00C80E5B"/>
    <w:rsid w:val="00C80F39"/>
    <w:rsid w:val="00C81395"/>
    <w:rsid w:val="00C813AF"/>
    <w:rsid w:val="00C81616"/>
    <w:rsid w:val="00C81766"/>
    <w:rsid w:val="00C81B28"/>
    <w:rsid w:val="00C81D27"/>
    <w:rsid w:val="00C81F21"/>
    <w:rsid w:val="00C81F53"/>
    <w:rsid w:val="00C8212A"/>
    <w:rsid w:val="00C822AC"/>
    <w:rsid w:val="00C82489"/>
    <w:rsid w:val="00C82569"/>
    <w:rsid w:val="00C82627"/>
    <w:rsid w:val="00C826E2"/>
    <w:rsid w:val="00C83214"/>
    <w:rsid w:val="00C83B8D"/>
    <w:rsid w:val="00C83E26"/>
    <w:rsid w:val="00C83EE0"/>
    <w:rsid w:val="00C84023"/>
    <w:rsid w:val="00C8417E"/>
    <w:rsid w:val="00C842EB"/>
    <w:rsid w:val="00C84305"/>
    <w:rsid w:val="00C84379"/>
    <w:rsid w:val="00C8449C"/>
    <w:rsid w:val="00C845CD"/>
    <w:rsid w:val="00C8462F"/>
    <w:rsid w:val="00C84779"/>
    <w:rsid w:val="00C8489B"/>
    <w:rsid w:val="00C84C3F"/>
    <w:rsid w:val="00C84C57"/>
    <w:rsid w:val="00C84C9E"/>
    <w:rsid w:val="00C852A6"/>
    <w:rsid w:val="00C853D4"/>
    <w:rsid w:val="00C855DA"/>
    <w:rsid w:val="00C85827"/>
    <w:rsid w:val="00C859AE"/>
    <w:rsid w:val="00C85D06"/>
    <w:rsid w:val="00C85D6A"/>
    <w:rsid w:val="00C85D88"/>
    <w:rsid w:val="00C86078"/>
    <w:rsid w:val="00C8638C"/>
    <w:rsid w:val="00C8657F"/>
    <w:rsid w:val="00C86724"/>
    <w:rsid w:val="00C86852"/>
    <w:rsid w:val="00C86AC4"/>
    <w:rsid w:val="00C86D9C"/>
    <w:rsid w:val="00C86F55"/>
    <w:rsid w:val="00C86F82"/>
    <w:rsid w:val="00C871AF"/>
    <w:rsid w:val="00C871CC"/>
    <w:rsid w:val="00C877C0"/>
    <w:rsid w:val="00C87860"/>
    <w:rsid w:val="00C879A1"/>
    <w:rsid w:val="00C87A6A"/>
    <w:rsid w:val="00C87C17"/>
    <w:rsid w:val="00C87ED3"/>
    <w:rsid w:val="00C87F5A"/>
    <w:rsid w:val="00C90258"/>
    <w:rsid w:val="00C9065F"/>
    <w:rsid w:val="00C90A36"/>
    <w:rsid w:val="00C90B28"/>
    <w:rsid w:val="00C90C13"/>
    <w:rsid w:val="00C90D80"/>
    <w:rsid w:val="00C90F83"/>
    <w:rsid w:val="00C9103D"/>
    <w:rsid w:val="00C91361"/>
    <w:rsid w:val="00C9136F"/>
    <w:rsid w:val="00C91AA5"/>
    <w:rsid w:val="00C91ED8"/>
    <w:rsid w:val="00C91FD4"/>
    <w:rsid w:val="00C9248F"/>
    <w:rsid w:val="00C92962"/>
    <w:rsid w:val="00C93009"/>
    <w:rsid w:val="00C9339A"/>
    <w:rsid w:val="00C9386E"/>
    <w:rsid w:val="00C93893"/>
    <w:rsid w:val="00C939AE"/>
    <w:rsid w:val="00C93A87"/>
    <w:rsid w:val="00C93B44"/>
    <w:rsid w:val="00C93BE8"/>
    <w:rsid w:val="00C93E2B"/>
    <w:rsid w:val="00C93ED0"/>
    <w:rsid w:val="00C93EF2"/>
    <w:rsid w:val="00C9438C"/>
    <w:rsid w:val="00C9478D"/>
    <w:rsid w:val="00C948A7"/>
    <w:rsid w:val="00C948C4"/>
    <w:rsid w:val="00C94B36"/>
    <w:rsid w:val="00C95306"/>
    <w:rsid w:val="00C9591C"/>
    <w:rsid w:val="00C95CBC"/>
    <w:rsid w:val="00C95CDE"/>
    <w:rsid w:val="00C96056"/>
    <w:rsid w:val="00C96195"/>
    <w:rsid w:val="00C96266"/>
    <w:rsid w:val="00C96308"/>
    <w:rsid w:val="00C963DD"/>
    <w:rsid w:val="00C964B8"/>
    <w:rsid w:val="00C96687"/>
    <w:rsid w:val="00C968E1"/>
    <w:rsid w:val="00C96ABD"/>
    <w:rsid w:val="00C96B31"/>
    <w:rsid w:val="00C96BEF"/>
    <w:rsid w:val="00C96C48"/>
    <w:rsid w:val="00C96D88"/>
    <w:rsid w:val="00C96DB4"/>
    <w:rsid w:val="00C9788A"/>
    <w:rsid w:val="00C97B55"/>
    <w:rsid w:val="00C97C37"/>
    <w:rsid w:val="00C97FE6"/>
    <w:rsid w:val="00CA0177"/>
    <w:rsid w:val="00CA01DC"/>
    <w:rsid w:val="00CA046C"/>
    <w:rsid w:val="00CA0719"/>
    <w:rsid w:val="00CA0762"/>
    <w:rsid w:val="00CA077E"/>
    <w:rsid w:val="00CA0DE2"/>
    <w:rsid w:val="00CA0E12"/>
    <w:rsid w:val="00CA0EED"/>
    <w:rsid w:val="00CA100C"/>
    <w:rsid w:val="00CA14E9"/>
    <w:rsid w:val="00CA16F4"/>
    <w:rsid w:val="00CA19DF"/>
    <w:rsid w:val="00CA206F"/>
    <w:rsid w:val="00CA22B8"/>
    <w:rsid w:val="00CA231B"/>
    <w:rsid w:val="00CA27ED"/>
    <w:rsid w:val="00CA2BC1"/>
    <w:rsid w:val="00CA3098"/>
    <w:rsid w:val="00CA316B"/>
    <w:rsid w:val="00CA367B"/>
    <w:rsid w:val="00CA37D3"/>
    <w:rsid w:val="00CA386E"/>
    <w:rsid w:val="00CA3C0F"/>
    <w:rsid w:val="00CA3EDF"/>
    <w:rsid w:val="00CA3FFF"/>
    <w:rsid w:val="00CA408D"/>
    <w:rsid w:val="00CA41F2"/>
    <w:rsid w:val="00CA4301"/>
    <w:rsid w:val="00CA4A7E"/>
    <w:rsid w:val="00CA4BDB"/>
    <w:rsid w:val="00CA4EAD"/>
    <w:rsid w:val="00CA4ECE"/>
    <w:rsid w:val="00CA4F32"/>
    <w:rsid w:val="00CA518C"/>
    <w:rsid w:val="00CA52E4"/>
    <w:rsid w:val="00CA540A"/>
    <w:rsid w:val="00CA54A8"/>
    <w:rsid w:val="00CA5CFC"/>
    <w:rsid w:val="00CA6C58"/>
    <w:rsid w:val="00CA6C85"/>
    <w:rsid w:val="00CA6C8B"/>
    <w:rsid w:val="00CA7249"/>
    <w:rsid w:val="00CA7699"/>
    <w:rsid w:val="00CA7A12"/>
    <w:rsid w:val="00CA7B3B"/>
    <w:rsid w:val="00CA7BFA"/>
    <w:rsid w:val="00CA7DF9"/>
    <w:rsid w:val="00CA7F00"/>
    <w:rsid w:val="00CA7F33"/>
    <w:rsid w:val="00CB0141"/>
    <w:rsid w:val="00CB04CA"/>
    <w:rsid w:val="00CB0594"/>
    <w:rsid w:val="00CB0624"/>
    <w:rsid w:val="00CB086E"/>
    <w:rsid w:val="00CB0D4F"/>
    <w:rsid w:val="00CB10D3"/>
    <w:rsid w:val="00CB1236"/>
    <w:rsid w:val="00CB123A"/>
    <w:rsid w:val="00CB1300"/>
    <w:rsid w:val="00CB1864"/>
    <w:rsid w:val="00CB18D4"/>
    <w:rsid w:val="00CB197D"/>
    <w:rsid w:val="00CB20DF"/>
    <w:rsid w:val="00CB21A4"/>
    <w:rsid w:val="00CB22A1"/>
    <w:rsid w:val="00CB2428"/>
    <w:rsid w:val="00CB2775"/>
    <w:rsid w:val="00CB2A94"/>
    <w:rsid w:val="00CB2CC0"/>
    <w:rsid w:val="00CB2E0E"/>
    <w:rsid w:val="00CB302B"/>
    <w:rsid w:val="00CB30A4"/>
    <w:rsid w:val="00CB32A0"/>
    <w:rsid w:val="00CB32F8"/>
    <w:rsid w:val="00CB3818"/>
    <w:rsid w:val="00CB3A57"/>
    <w:rsid w:val="00CB3B82"/>
    <w:rsid w:val="00CB3BA1"/>
    <w:rsid w:val="00CB3D75"/>
    <w:rsid w:val="00CB41F6"/>
    <w:rsid w:val="00CB4217"/>
    <w:rsid w:val="00CB4309"/>
    <w:rsid w:val="00CB4626"/>
    <w:rsid w:val="00CB4B37"/>
    <w:rsid w:val="00CB4C7D"/>
    <w:rsid w:val="00CB51E9"/>
    <w:rsid w:val="00CB5321"/>
    <w:rsid w:val="00CB5540"/>
    <w:rsid w:val="00CB56E7"/>
    <w:rsid w:val="00CB59C3"/>
    <w:rsid w:val="00CB59EF"/>
    <w:rsid w:val="00CB5D1F"/>
    <w:rsid w:val="00CB60FE"/>
    <w:rsid w:val="00CB622F"/>
    <w:rsid w:val="00CB6568"/>
    <w:rsid w:val="00CB65C4"/>
    <w:rsid w:val="00CB660F"/>
    <w:rsid w:val="00CB67BD"/>
    <w:rsid w:val="00CB67DF"/>
    <w:rsid w:val="00CB6A48"/>
    <w:rsid w:val="00CB6BD5"/>
    <w:rsid w:val="00CB6C46"/>
    <w:rsid w:val="00CB6F6F"/>
    <w:rsid w:val="00CB702D"/>
    <w:rsid w:val="00CB7693"/>
    <w:rsid w:val="00CB7C46"/>
    <w:rsid w:val="00CB7D4B"/>
    <w:rsid w:val="00CC0077"/>
    <w:rsid w:val="00CC0206"/>
    <w:rsid w:val="00CC0472"/>
    <w:rsid w:val="00CC04ED"/>
    <w:rsid w:val="00CC0522"/>
    <w:rsid w:val="00CC0882"/>
    <w:rsid w:val="00CC08E3"/>
    <w:rsid w:val="00CC0AD0"/>
    <w:rsid w:val="00CC0AEA"/>
    <w:rsid w:val="00CC0BB3"/>
    <w:rsid w:val="00CC0C55"/>
    <w:rsid w:val="00CC0E38"/>
    <w:rsid w:val="00CC0E53"/>
    <w:rsid w:val="00CC0FDF"/>
    <w:rsid w:val="00CC113F"/>
    <w:rsid w:val="00CC146B"/>
    <w:rsid w:val="00CC1564"/>
    <w:rsid w:val="00CC187D"/>
    <w:rsid w:val="00CC1A35"/>
    <w:rsid w:val="00CC1E90"/>
    <w:rsid w:val="00CC2312"/>
    <w:rsid w:val="00CC23F2"/>
    <w:rsid w:val="00CC27A8"/>
    <w:rsid w:val="00CC27EA"/>
    <w:rsid w:val="00CC389A"/>
    <w:rsid w:val="00CC3D20"/>
    <w:rsid w:val="00CC460C"/>
    <w:rsid w:val="00CC47BE"/>
    <w:rsid w:val="00CC4A39"/>
    <w:rsid w:val="00CC5655"/>
    <w:rsid w:val="00CC5EEF"/>
    <w:rsid w:val="00CC5F54"/>
    <w:rsid w:val="00CC667E"/>
    <w:rsid w:val="00CC6916"/>
    <w:rsid w:val="00CC6A68"/>
    <w:rsid w:val="00CC6BC0"/>
    <w:rsid w:val="00CC6C03"/>
    <w:rsid w:val="00CC712B"/>
    <w:rsid w:val="00CC71E7"/>
    <w:rsid w:val="00CC7373"/>
    <w:rsid w:val="00CC74F8"/>
    <w:rsid w:val="00CC78F1"/>
    <w:rsid w:val="00CC79EA"/>
    <w:rsid w:val="00CC7A88"/>
    <w:rsid w:val="00CD015E"/>
    <w:rsid w:val="00CD047B"/>
    <w:rsid w:val="00CD0516"/>
    <w:rsid w:val="00CD0C23"/>
    <w:rsid w:val="00CD1717"/>
    <w:rsid w:val="00CD1BB3"/>
    <w:rsid w:val="00CD20FF"/>
    <w:rsid w:val="00CD2BB8"/>
    <w:rsid w:val="00CD3052"/>
    <w:rsid w:val="00CD325E"/>
    <w:rsid w:val="00CD3312"/>
    <w:rsid w:val="00CD34B3"/>
    <w:rsid w:val="00CD3835"/>
    <w:rsid w:val="00CD392C"/>
    <w:rsid w:val="00CD39EE"/>
    <w:rsid w:val="00CD40E5"/>
    <w:rsid w:val="00CD4170"/>
    <w:rsid w:val="00CD49D5"/>
    <w:rsid w:val="00CD4AD6"/>
    <w:rsid w:val="00CD4B08"/>
    <w:rsid w:val="00CD4BBC"/>
    <w:rsid w:val="00CD4C40"/>
    <w:rsid w:val="00CD5267"/>
    <w:rsid w:val="00CD572D"/>
    <w:rsid w:val="00CD5B23"/>
    <w:rsid w:val="00CD5BF8"/>
    <w:rsid w:val="00CD5C79"/>
    <w:rsid w:val="00CD60A5"/>
    <w:rsid w:val="00CD61F0"/>
    <w:rsid w:val="00CD6B44"/>
    <w:rsid w:val="00CD6BF6"/>
    <w:rsid w:val="00CD6F94"/>
    <w:rsid w:val="00CD6FFD"/>
    <w:rsid w:val="00CD735D"/>
    <w:rsid w:val="00CD7622"/>
    <w:rsid w:val="00CD776C"/>
    <w:rsid w:val="00CD7BE9"/>
    <w:rsid w:val="00CD7D83"/>
    <w:rsid w:val="00CE00A3"/>
    <w:rsid w:val="00CE01BB"/>
    <w:rsid w:val="00CE01C5"/>
    <w:rsid w:val="00CE027D"/>
    <w:rsid w:val="00CE051A"/>
    <w:rsid w:val="00CE10CE"/>
    <w:rsid w:val="00CE151F"/>
    <w:rsid w:val="00CE177D"/>
    <w:rsid w:val="00CE1F64"/>
    <w:rsid w:val="00CE2331"/>
    <w:rsid w:val="00CE2FB5"/>
    <w:rsid w:val="00CE332B"/>
    <w:rsid w:val="00CE346C"/>
    <w:rsid w:val="00CE36D4"/>
    <w:rsid w:val="00CE3A47"/>
    <w:rsid w:val="00CE3A99"/>
    <w:rsid w:val="00CE3B94"/>
    <w:rsid w:val="00CE3F1F"/>
    <w:rsid w:val="00CE40A6"/>
    <w:rsid w:val="00CE41FA"/>
    <w:rsid w:val="00CE425C"/>
    <w:rsid w:val="00CE426D"/>
    <w:rsid w:val="00CE42E4"/>
    <w:rsid w:val="00CE46A4"/>
    <w:rsid w:val="00CE48F4"/>
    <w:rsid w:val="00CE49AA"/>
    <w:rsid w:val="00CE4B43"/>
    <w:rsid w:val="00CE4CF0"/>
    <w:rsid w:val="00CE4D7A"/>
    <w:rsid w:val="00CE4F4F"/>
    <w:rsid w:val="00CE5255"/>
    <w:rsid w:val="00CE5319"/>
    <w:rsid w:val="00CE532A"/>
    <w:rsid w:val="00CE546F"/>
    <w:rsid w:val="00CE5752"/>
    <w:rsid w:val="00CE5897"/>
    <w:rsid w:val="00CE5E03"/>
    <w:rsid w:val="00CE6852"/>
    <w:rsid w:val="00CE695F"/>
    <w:rsid w:val="00CE6F70"/>
    <w:rsid w:val="00CE7293"/>
    <w:rsid w:val="00CE763D"/>
    <w:rsid w:val="00CE7A9D"/>
    <w:rsid w:val="00CE7ABB"/>
    <w:rsid w:val="00CE7C46"/>
    <w:rsid w:val="00CE7E55"/>
    <w:rsid w:val="00CE7F1E"/>
    <w:rsid w:val="00CE7F47"/>
    <w:rsid w:val="00CF0146"/>
    <w:rsid w:val="00CF0236"/>
    <w:rsid w:val="00CF0423"/>
    <w:rsid w:val="00CF0FCF"/>
    <w:rsid w:val="00CF189F"/>
    <w:rsid w:val="00CF1A74"/>
    <w:rsid w:val="00CF1C34"/>
    <w:rsid w:val="00CF1DD3"/>
    <w:rsid w:val="00CF2064"/>
    <w:rsid w:val="00CF22AC"/>
    <w:rsid w:val="00CF29B5"/>
    <w:rsid w:val="00CF2D36"/>
    <w:rsid w:val="00CF2EEB"/>
    <w:rsid w:val="00CF3176"/>
    <w:rsid w:val="00CF3917"/>
    <w:rsid w:val="00CF3977"/>
    <w:rsid w:val="00CF3DDC"/>
    <w:rsid w:val="00CF3FBB"/>
    <w:rsid w:val="00CF412A"/>
    <w:rsid w:val="00CF416F"/>
    <w:rsid w:val="00CF43F1"/>
    <w:rsid w:val="00CF49DC"/>
    <w:rsid w:val="00CF4AE7"/>
    <w:rsid w:val="00CF4C98"/>
    <w:rsid w:val="00CF4D65"/>
    <w:rsid w:val="00CF4E05"/>
    <w:rsid w:val="00CF4E8F"/>
    <w:rsid w:val="00CF50DA"/>
    <w:rsid w:val="00CF52D9"/>
    <w:rsid w:val="00CF536F"/>
    <w:rsid w:val="00CF5574"/>
    <w:rsid w:val="00CF57C7"/>
    <w:rsid w:val="00CF58CD"/>
    <w:rsid w:val="00CF5D5A"/>
    <w:rsid w:val="00CF5F72"/>
    <w:rsid w:val="00CF5FC0"/>
    <w:rsid w:val="00CF6111"/>
    <w:rsid w:val="00CF63C0"/>
    <w:rsid w:val="00CF64B8"/>
    <w:rsid w:val="00CF6521"/>
    <w:rsid w:val="00CF67E3"/>
    <w:rsid w:val="00CF6940"/>
    <w:rsid w:val="00CF6D1D"/>
    <w:rsid w:val="00CF6FC5"/>
    <w:rsid w:val="00CF716A"/>
    <w:rsid w:val="00CF7320"/>
    <w:rsid w:val="00CF744B"/>
    <w:rsid w:val="00CF75FD"/>
    <w:rsid w:val="00CF79E3"/>
    <w:rsid w:val="00D00095"/>
    <w:rsid w:val="00D004C9"/>
    <w:rsid w:val="00D00B6F"/>
    <w:rsid w:val="00D00BBE"/>
    <w:rsid w:val="00D00DFF"/>
    <w:rsid w:val="00D01208"/>
    <w:rsid w:val="00D0146C"/>
    <w:rsid w:val="00D01507"/>
    <w:rsid w:val="00D015FA"/>
    <w:rsid w:val="00D017CD"/>
    <w:rsid w:val="00D020FA"/>
    <w:rsid w:val="00D0217D"/>
    <w:rsid w:val="00D0265B"/>
    <w:rsid w:val="00D028C0"/>
    <w:rsid w:val="00D02B8F"/>
    <w:rsid w:val="00D02C68"/>
    <w:rsid w:val="00D02CF8"/>
    <w:rsid w:val="00D02F86"/>
    <w:rsid w:val="00D0303D"/>
    <w:rsid w:val="00D0317F"/>
    <w:rsid w:val="00D031DC"/>
    <w:rsid w:val="00D0337E"/>
    <w:rsid w:val="00D034F0"/>
    <w:rsid w:val="00D03D63"/>
    <w:rsid w:val="00D03E52"/>
    <w:rsid w:val="00D03F33"/>
    <w:rsid w:val="00D03FCE"/>
    <w:rsid w:val="00D04073"/>
    <w:rsid w:val="00D04446"/>
    <w:rsid w:val="00D04747"/>
    <w:rsid w:val="00D04791"/>
    <w:rsid w:val="00D04832"/>
    <w:rsid w:val="00D0492E"/>
    <w:rsid w:val="00D04CC5"/>
    <w:rsid w:val="00D051C7"/>
    <w:rsid w:val="00D0524E"/>
    <w:rsid w:val="00D05406"/>
    <w:rsid w:val="00D05B24"/>
    <w:rsid w:val="00D05BDD"/>
    <w:rsid w:val="00D05CB7"/>
    <w:rsid w:val="00D05E14"/>
    <w:rsid w:val="00D05E23"/>
    <w:rsid w:val="00D061F1"/>
    <w:rsid w:val="00D06AB4"/>
    <w:rsid w:val="00D06B0B"/>
    <w:rsid w:val="00D06BBC"/>
    <w:rsid w:val="00D07510"/>
    <w:rsid w:val="00D07657"/>
    <w:rsid w:val="00D07711"/>
    <w:rsid w:val="00D07858"/>
    <w:rsid w:val="00D07865"/>
    <w:rsid w:val="00D07C99"/>
    <w:rsid w:val="00D07D39"/>
    <w:rsid w:val="00D07E17"/>
    <w:rsid w:val="00D102A7"/>
    <w:rsid w:val="00D10573"/>
    <w:rsid w:val="00D1070D"/>
    <w:rsid w:val="00D108E1"/>
    <w:rsid w:val="00D109B4"/>
    <w:rsid w:val="00D10A28"/>
    <w:rsid w:val="00D10ACD"/>
    <w:rsid w:val="00D10B16"/>
    <w:rsid w:val="00D10B8F"/>
    <w:rsid w:val="00D10C27"/>
    <w:rsid w:val="00D10CA1"/>
    <w:rsid w:val="00D10F90"/>
    <w:rsid w:val="00D10FB1"/>
    <w:rsid w:val="00D1156F"/>
    <w:rsid w:val="00D1158F"/>
    <w:rsid w:val="00D11682"/>
    <w:rsid w:val="00D11A62"/>
    <w:rsid w:val="00D11C4B"/>
    <w:rsid w:val="00D12203"/>
    <w:rsid w:val="00D125A9"/>
    <w:rsid w:val="00D12BF5"/>
    <w:rsid w:val="00D12ECC"/>
    <w:rsid w:val="00D13054"/>
    <w:rsid w:val="00D13097"/>
    <w:rsid w:val="00D13159"/>
    <w:rsid w:val="00D13162"/>
    <w:rsid w:val="00D13216"/>
    <w:rsid w:val="00D1361D"/>
    <w:rsid w:val="00D136C8"/>
    <w:rsid w:val="00D13776"/>
    <w:rsid w:val="00D13DC1"/>
    <w:rsid w:val="00D13DEB"/>
    <w:rsid w:val="00D13E14"/>
    <w:rsid w:val="00D140DF"/>
    <w:rsid w:val="00D141BF"/>
    <w:rsid w:val="00D142F7"/>
    <w:rsid w:val="00D143DE"/>
    <w:rsid w:val="00D1451A"/>
    <w:rsid w:val="00D146AC"/>
    <w:rsid w:val="00D146D3"/>
    <w:rsid w:val="00D148ED"/>
    <w:rsid w:val="00D14A97"/>
    <w:rsid w:val="00D14B82"/>
    <w:rsid w:val="00D14CF6"/>
    <w:rsid w:val="00D15535"/>
    <w:rsid w:val="00D15723"/>
    <w:rsid w:val="00D15D23"/>
    <w:rsid w:val="00D15F30"/>
    <w:rsid w:val="00D1633E"/>
    <w:rsid w:val="00D165A0"/>
    <w:rsid w:val="00D168A5"/>
    <w:rsid w:val="00D169E3"/>
    <w:rsid w:val="00D16CAD"/>
    <w:rsid w:val="00D16D3F"/>
    <w:rsid w:val="00D16DA0"/>
    <w:rsid w:val="00D16F4C"/>
    <w:rsid w:val="00D172DC"/>
    <w:rsid w:val="00D174D7"/>
    <w:rsid w:val="00D178FA"/>
    <w:rsid w:val="00D17959"/>
    <w:rsid w:val="00D179F6"/>
    <w:rsid w:val="00D17A3E"/>
    <w:rsid w:val="00D17A4B"/>
    <w:rsid w:val="00D20013"/>
    <w:rsid w:val="00D201A0"/>
    <w:rsid w:val="00D20323"/>
    <w:rsid w:val="00D20395"/>
    <w:rsid w:val="00D20520"/>
    <w:rsid w:val="00D205CD"/>
    <w:rsid w:val="00D20716"/>
    <w:rsid w:val="00D20A29"/>
    <w:rsid w:val="00D210D2"/>
    <w:rsid w:val="00D21150"/>
    <w:rsid w:val="00D21259"/>
    <w:rsid w:val="00D219A6"/>
    <w:rsid w:val="00D21A0D"/>
    <w:rsid w:val="00D21B43"/>
    <w:rsid w:val="00D2214D"/>
    <w:rsid w:val="00D222AE"/>
    <w:rsid w:val="00D22494"/>
    <w:rsid w:val="00D229A2"/>
    <w:rsid w:val="00D229BA"/>
    <w:rsid w:val="00D22B3B"/>
    <w:rsid w:val="00D22D15"/>
    <w:rsid w:val="00D23017"/>
    <w:rsid w:val="00D236DC"/>
    <w:rsid w:val="00D23A52"/>
    <w:rsid w:val="00D23B94"/>
    <w:rsid w:val="00D23DC6"/>
    <w:rsid w:val="00D23E51"/>
    <w:rsid w:val="00D240CE"/>
    <w:rsid w:val="00D2416B"/>
    <w:rsid w:val="00D243E7"/>
    <w:rsid w:val="00D247CF"/>
    <w:rsid w:val="00D249D7"/>
    <w:rsid w:val="00D24B93"/>
    <w:rsid w:val="00D2504B"/>
    <w:rsid w:val="00D25590"/>
    <w:rsid w:val="00D25B42"/>
    <w:rsid w:val="00D26644"/>
    <w:rsid w:val="00D26648"/>
    <w:rsid w:val="00D266EF"/>
    <w:rsid w:val="00D26DF5"/>
    <w:rsid w:val="00D2706C"/>
    <w:rsid w:val="00D27418"/>
    <w:rsid w:val="00D27556"/>
    <w:rsid w:val="00D2755C"/>
    <w:rsid w:val="00D27977"/>
    <w:rsid w:val="00D279B9"/>
    <w:rsid w:val="00D27AA7"/>
    <w:rsid w:val="00D27B41"/>
    <w:rsid w:val="00D3053E"/>
    <w:rsid w:val="00D30FAF"/>
    <w:rsid w:val="00D31024"/>
    <w:rsid w:val="00D3130A"/>
    <w:rsid w:val="00D31532"/>
    <w:rsid w:val="00D31805"/>
    <w:rsid w:val="00D31839"/>
    <w:rsid w:val="00D31992"/>
    <w:rsid w:val="00D31A40"/>
    <w:rsid w:val="00D31B23"/>
    <w:rsid w:val="00D31B4F"/>
    <w:rsid w:val="00D31D9E"/>
    <w:rsid w:val="00D31DAB"/>
    <w:rsid w:val="00D31ECF"/>
    <w:rsid w:val="00D31F9C"/>
    <w:rsid w:val="00D31FD1"/>
    <w:rsid w:val="00D3218A"/>
    <w:rsid w:val="00D321EE"/>
    <w:rsid w:val="00D32591"/>
    <w:rsid w:val="00D325AF"/>
    <w:rsid w:val="00D32B24"/>
    <w:rsid w:val="00D3360A"/>
    <w:rsid w:val="00D33665"/>
    <w:rsid w:val="00D336D0"/>
    <w:rsid w:val="00D339F1"/>
    <w:rsid w:val="00D33D88"/>
    <w:rsid w:val="00D33FD0"/>
    <w:rsid w:val="00D341A0"/>
    <w:rsid w:val="00D3424B"/>
    <w:rsid w:val="00D344FA"/>
    <w:rsid w:val="00D34682"/>
    <w:rsid w:val="00D347E1"/>
    <w:rsid w:val="00D34807"/>
    <w:rsid w:val="00D34AB0"/>
    <w:rsid w:val="00D34C0A"/>
    <w:rsid w:val="00D34E87"/>
    <w:rsid w:val="00D35211"/>
    <w:rsid w:val="00D3521E"/>
    <w:rsid w:val="00D3554B"/>
    <w:rsid w:val="00D355BE"/>
    <w:rsid w:val="00D35763"/>
    <w:rsid w:val="00D35978"/>
    <w:rsid w:val="00D365D5"/>
    <w:rsid w:val="00D36960"/>
    <w:rsid w:val="00D3698B"/>
    <w:rsid w:val="00D36EF0"/>
    <w:rsid w:val="00D3723B"/>
    <w:rsid w:val="00D373AB"/>
    <w:rsid w:val="00D376E8"/>
    <w:rsid w:val="00D3776C"/>
    <w:rsid w:val="00D3787F"/>
    <w:rsid w:val="00D37BC3"/>
    <w:rsid w:val="00D37C53"/>
    <w:rsid w:val="00D400AB"/>
    <w:rsid w:val="00D40493"/>
    <w:rsid w:val="00D404D9"/>
    <w:rsid w:val="00D40630"/>
    <w:rsid w:val="00D409B8"/>
    <w:rsid w:val="00D4115C"/>
    <w:rsid w:val="00D4145D"/>
    <w:rsid w:val="00D41810"/>
    <w:rsid w:val="00D41829"/>
    <w:rsid w:val="00D41C6C"/>
    <w:rsid w:val="00D420B4"/>
    <w:rsid w:val="00D421EA"/>
    <w:rsid w:val="00D42509"/>
    <w:rsid w:val="00D42558"/>
    <w:rsid w:val="00D42870"/>
    <w:rsid w:val="00D42BA3"/>
    <w:rsid w:val="00D42C0D"/>
    <w:rsid w:val="00D42D69"/>
    <w:rsid w:val="00D43382"/>
    <w:rsid w:val="00D4359B"/>
    <w:rsid w:val="00D43693"/>
    <w:rsid w:val="00D438D6"/>
    <w:rsid w:val="00D43966"/>
    <w:rsid w:val="00D4409F"/>
    <w:rsid w:val="00D4415C"/>
    <w:rsid w:val="00D447ED"/>
    <w:rsid w:val="00D44C37"/>
    <w:rsid w:val="00D44C70"/>
    <w:rsid w:val="00D44D2B"/>
    <w:rsid w:val="00D44DEE"/>
    <w:rsid w:val="00D4556E"/>
    <w:rsid w:val="00D45684"/>
    <w:rsid w:val="00D4578A"/>
    <w:rsid w:val="00D4582B"/>
    <w:rsid w:val="00D45915"/>
    <w:rsid w:val="00D45A45"/>
    <w:rsid w:val="00D45AEB"/>
    <w:rsid w:val="00D45D47"/>
    <w:rsid w:val="00D46275"/>
    <w:rsid w:val="00D462C9"/>
    <w:rsid w:val="00D462D0"/>
    <w:rsid w:val="00D46785"/>
    <w:rsid w:val="00D467E2"/>
    <w:rsid w:val="00D46939"/>
    <w:rsid w:val="00D46EC9"/>
    <w:rsid w:val="00D473E4"/>
    <w:rsid w:val="00D474B5"/>
    <w:rsid w:val="00D4761A"/>
    <w:rsid w:val="00D47BEA"/>
    <w:rsid w:val="00D50610"/>
    <w:rsid w:val="00D5068F"/>
    <w:rsid w:val="00D50A32"/>
    <w:rsid w:val="00D50B6C"/>
    <w:rsid w:val="00D50C74"/>
    <w:rsid w:val="00D51143"/>
    <w:rsid w:val="00D51166"/>
    <w:rsid w:val="00D514AD"/>
    <w:rsid w:val="00D51CD9"/>
    <w:rsid w:val="00D51CF9"/>
    <w:rsid w:val="00D51D46"/>
    <w:rsid w:val="00D51F01"/>
    <w:rsid w:val="00D51F5E"/>
    <w:rsid w:val="00D51FBE"/>
    <w:rsid w:val="00D5208A"/>
    <w:rsid w:val="00D5255E"/>
    <w:rsid w:val="00D527AF"/>
    <w:rsid w:val="00D529DD"/>
    <w:rsid w:val="00D52A24"/>
    <w:rsid w:val="00D52BB2"/>
    <w:rsid w:val="00D530FF"/>
    <w:rsid w:val="00D5371E"/>
    <w:rsid w:val="00D537EA"/>
    <w:rsid w:val="00D53C5B"/>
    <w:rsid w:val="00D53DD6"/>
    <w:rsid w:val="00D54180"/>
    <w:rsid w:val="00D54533"/>
    <w:rsid w:val="00D548A9"/>
    <w:rsid w:val="00D5494F"/>
    <w:rsid w:val="00D54A8B"/>
    <w:rsid w:val="00D54D81"/>
    <w:rsid w:val="00D54F0E"/>
    <w:rsid w:val="00D54F78"/>
    <w:rsid w:val="00D54FAC"/>
    <w:rsid w:val="00D55102"/>
    <w:rsid w:val="00D551D0"/>
    <w:rsid w:val="00D55B03"/>
    <w:rsid w:val="00D55B45"/>
    <w:rsid w:val="00D56194"/>
    <w:rsid w:val="00D565C4"/>
    <w:rsid w:val="00D56871"/>
    <w:rsid w:val="00D568D4"/>
    <w:rsid w:val="00D56911"/>
    <w:rsid w:val="00D5699A"/>
    <w:rsid w:val="00D56CC5"/>
    <w:rsid w:val="00D576E9"/>
    <w:rsid w:val="00D579B8"/>
    <w:rsid w:val="00D600DB"/>
    <w:rsid w:val="00D603EA"/>
    <w:rsid w:val="00D60752"/>
    <w:rsid w:val="00D609D4"/>
    <w:rsid w:val="00D609FE"/>
    <w:rsid w:val="00D60DB9"/>
    <w:rsid w:val="00D611BE"/>
    <w:rsid w:val="00D611DF"/>
    <w:rsid w:val="00D61657"/>
    <w:rsid w:val="00D61A0A"/>
    <w:rsid w:val="00D61A25"/>
    <w:rsid w:val="00D621C6"/>
    <w:rsid w:val="00D6245E"/>
    <w:rsid w:val="00D62532"/>
    <w:rsid w:val="00D6268E"/>
    <w:rsid w:val="00D628BB"/>
    <w:rsid w:val="00D62994"/>
    <w:rsid w:val="00D629E1"/>
    <w:rsid w:val="00D62ABD"/>
    <w:rsid w:val="00D62ADB"/>
    <w:rsid w:val="00D62FF2"/>
    <w:rsid w:val="00D6311E"/>
    <w:rsid w:val="00D63556"/>
    <w:rsid w:val="00D63A77"/>
    <w:rsid w:val="00D63BA2"/>
    <w:rsid w:val="00D63F45"/>
    <w:rsid w:val="00D641F3"/>
    <w:rsid w:val="00D643F6"/>
    <w:rsid w:val="00D64561"/>
    <w:rsid w:val="00D645DC"/>
    <w:rsid w:val="00D648DD"/>
    <w:rsid w:val="00D64BEA"/>
    <w:rsid w:val="00D64C62"/>
    <w:rsid w:val="00D64D22"/>
    <w:rsid w:val="00D64D53"/>
    <w:rsid w:val="00D65672"/>
    <w:rsid w:val="00D657B8"/>
    <w:rsid w:val="00D657C5"/>
    <w:rsid w:val="00D65E59"/>
    <w:rsid w:val="00D66047"/>
    <w:rsid w:val="00D6658E"/>
    <w:rsid w:val="00D666D2"/>
    <w:rsid w:val="00D66ADC"/>
    <w:rsid w:val="00D66BB6"/>
    <w:rsid w:val="00D66D19"/>
    <w:rsid w:val="00D67133"/>
    <w:rsid w:val="00D677EA"/>
    <w:rsid w:val="00D67921"/>
    <w:rsid w:val="00D67ACD"/>
    <w:rsid w:val="00D67D4D"/>
    <w:rsid w:val="00D67F92"/>
    <w:rsid w:val="00D7006D"/>
    <w:rsid w:val="00D700D0"/>
    <w:rsid w:val="00D70634"/>
    <w:rsid w:val="00D7079F"/>
    <w:rsid w:val="00D70ACF"/>
    <w:rsid w:val="00D70CE8"/>
    <w:rsid w:val="00D70D1D"/>
    <w:rsid w:val="00D70E9C"/>
    <w:rsid w:val="00D70ED9"/>
    <w:rsid w:val="00D70FB7"/>
    <w:rsid w:val="00D712A1"/>
    <w:rsid w:val="00D716A6"/>
    <w:rsid w:val="00D7171B"/>
    <w:rsid w:val="00D71A78"/>
    <w:rsid w:val="00D71C1C"/>
    <w:rsid w:val="00D71F9E"/>
    <w:rsid w:val="00D72076"/>
    <w:rsid w:val="00D7268F"/>
    <w:rsid w:val="00D7279B"/>
    <w:rsid w:val="00D727DF"/>
    <w:rsid w:val="00D72C70"/>
    <w:rsid w:val="00D72EF9"/>
    <w:rsid w:val="00D736F5"/>
    <w:rsid w:val="00D73A4D"/>
    <w:rsid w:val="00D74192"/>
    <w:rsid w:val="00D74266"/>
    <w:rsid w:val="00D742D2"/>
    <w:rsid w:val="00D744AA"/>
    <w:rsid w:val="00D74D4F"/>
    <w:rsid w:val="00D74F36"/>
    <w:rsid w:val="00D7507F"/>
    <w:rsid w:val="00D751A2"/>
    <w:rsid w:val="00D75202"/>
    <w:rsid w:val="00D75672"/>
    <w:rsid w:val="00D75708"/>
    <w:rsid w:val="00D75E05"/>
    <w:rsid w:val="00D75E78"/>
    <w:rsid w:val="00D75F36"/>
    <w:rsid w:val="00D76298"/>
    <w:rsid w:val="00D76343"/>
    <w:rsid w:val="00D76E1A"/>
    <w:rsid w:val="00D7704D"/>
    <w:rsid w:val="00D77136"/>
    <w:rsid w:val="00D77227"/>
    <w:rsid w:val="00D774D5"/>
    <w:rsid w:val="00D7783F"/>
    <w:rsid w:val="00D77A82"/>
    <w:rsid w:val="00D77E29"/>
    <w:rsid w:val="00D77E46"/>
    <w:rsid w:val="00D80418"/>
    <w:rsid w:val="00D806F7"/>
    <w:rsid w:val="00D8070D"/>
    <w:rsid w:val="00D80B67"/>
    <w:rsid w:val="00D8101C"/>
    <w:rsid w:val="00D810CD"/>
    <w:rsid w:val="00D814ED"/>
    <w:rsid w:val="00D8153E"/>
    <w:rsid w:val="00D8172B"/>
    <w:rsid w:val="00D819D8"/>
    <w:rsid w:val="00D819DA"/>
    <w:rsid w:val="00D81DCC"/>
    <w:rsid w:val="00D8210F"/>
    <w:rsid w:val="00D821E0"/>
    <w:rsid w:val="00D8235E"/>
    <w:rsid w:val="00D829B5"/>
    <w:rsid w:val="00D82C3A"/>
    <w:rsid w:val="00D831BD"/>
    <w:rsid w:val="00D831D6"/>
    <w:rsid w:val="00D833D9"/>
    <w:rsid w:val="00D83587"/>
    <w:rsid w:val="00D8367D"/>
    <w:rsid w:val="00D84008"/>
    <w:rsid w:val="00D8455E"/>
    <w:rsid w:val="00D84A42"/>
    <w:rsid w:val="00D84BFF"/>
    <w:rsid w:val="00D84D27"/>
    <w:rsid w:val="00D85019"/>
    <w:rsid w:val="00D851A3"/>
    <w:rsid w:val="00D853BB"/>
    <w:rsid w:val="00D85A2B"/>
    <w:rsid w:val="00D85CE9"/>
    <w:rsid w:val="00D86484"/>
    <w:rsid w:val="00D867B0"/>
    <w:rsid w:val="00D86A53"/>
    <w:rsid w:val="00D86CDB"/>
    <w:rsid w:val="00D86D67"/>
    <w:rsid w:val="00D87109"/>
    <w:rsid w:val="00D8748B"/>
    <w:rsid w:val="00D8784D"/>
    <w:rsid w:val="00D878B3"/>
    <w:rsid w:val="00D878D3"/>
    <w:rsid w:val="00D87A8F"/>
    <w:rsid w:val="00D87BB7"/>
    <w:rsid w:val="00D87C75"/>
    <w:rsid w:val="00D90325"/>
    <w:rsid w:val="00D9036B"/>
    <w:rsid w:val="00D9083E"/>
    <w:rsid w:val="00D90CF2"/>
    <w:rsid w:val="00D90DBD"/>
    <w:rsid w:val="00D9100B"/>
    <w:rsid w:val="00D91191"/>
    <w:rsid w:val="00D91276"/>
    <w:rsid w:val="00D912D7"/>
    <w:rsid w:val="00D9187E"/>
    <w:rsid w:val="00D91DF0"/>
    <w:rsid w:val="00D9207D"/>
    <w:rsid w:val="00D9229B"/>
    <w:rsid w:val="00D927C4"/>
    <w:rsid w:val="00D92AE8"/>
    <w:rsid w:val="00D92B69"/>
    <w:rsid w:val="00D92D93"/>
    <w:rsid w:val="00D930A0"/>
    <w:rsid w:val="00D932F3"/>
    <w:rsid w:val="00D93499"/>
    <w:rsid w:val="00D934CC"/>
    <w:rsid w:val="00D93635"/>
    <w:rsid w:val="00D940A4"/>
    <w:rsid w:val="00D940E5"/>
    <w:rsid w:val="00D9415C"/>
    <w:rsid w:val="00D942F5"/>
    <w:rsid w:val="00D94474"/>
    <w:rsid w:val="00D94861"/>
    <w:rsid w:val="00D94B53"/>
    <w:rsid w:val="00D94E48"/>
    <w:rsid w:val="00D94FBB"/>
    <w:rsid w:val="00D951CE"/>
    <w:rsid w:val="00D95399"/>
    <w:rsid w:val="00D957D1"/>
    <w:rsid w:val="00D95C10"/>
    <w:rsid w:val="00D95CC7"/>
    <w:rsid w:val="00D95FC5"/>
    <w:rsid w:val="00D961A2"/>
    <w:rsid w:val="00D966D0"/>
    <w:rsid w:val="00D96822"/>
    <w:rsid w:val="00D96833"/>
    <w:rsid w:val="00D96B91"/>
    <w:rsid w:val="00D97044"/>
    <w:rsid w:val="00D9719A"/>
    <w:rsid w:val="00D97CE4"/>
    <w:rsid w:val="00D97D17"/>
    <w:rsid w:val="00D97F02"/>
    <w:rsid w:val="00DA0024"/>
    <w:rsid w:val="00DA014B"/>
    <w:rsid w:val="00DA0980"/>
    <w:rsid w:val="00DA0A34"/>
    <w:rsid w:val="00DA0C9A"/>
    <w:rsid w:val="00DA1168"/>
    <w:rsid w:val="00DA1589"/>
    <w:rsid w:val="00DA1954"/>
    <w:rsid w:val="00DA1CF2"/>
    <w:rsid w:val="00DA208D"/>
    <w:rsid w:val="00DA2264"/>
    <w:rsid w:val="00DA261F"/>
    <w:rsid w:val="00DA2786"/>
    <w:rsid w:val="00DA2976"/>
    <w:rsid w:val="00DA2B82"/>
    <w:rsid w:val="00DA3648"/>
    <w:rsid w:val="00DA43F1"/>
    <w:rsid w:val="00DA4423"/>
    <w:rsid w:val="00DA474D"/>
    <w:rsid w:val="00DA482A"/>
    <w:rsid w:val="00DA48A9"/>
    <w:rsid w:val="00DA5367"/>
    <w:rsid w:val="00DA558B"/>
    <w:rsid w:val="00DA5601"/>
    <w:rsid w:val="00DA5750"/>
    <w:rsid w:val="00DA58D5"/>
    <w:rsid w:val="00DA5ACB"/>
    <w:rsid w:val="00DA5CAE"/>
    <w:rsid w:val="00DA5DD2"/>
    <w:rsid w:val="00DA601B"/>
    <w:rsid w:val="00DA650B"/>
    <w:rsid w:val="00DA65CA"/>
    <w:rsid w:val="00DA6605"/>
    <w:rsid w:val="00DA67C3"/>
    <w:rsid w:val="00DA6AE9"/>
    <w:rsid w:val="00DA70DD"/>
    <w:rsid w:val="00DA7138"/>
    <w:rsid w:val="00DA72A8"/>
    <w:rsid w:val="00DA74A0"/>
    <w:rsid w:val="00DA74B8"/>
    <w:rsid w:val="00DA7631"/>
    <w:rsid w:val="00DA764C"/>
    <w:rsid w:val="00DA77E2"/>
    <w:rsid w:val="00DA7910"/>
    <w:rsid w:val="00DA7B6E"/>
    <w:rsid w:val="00DA7DEE"/>
    <w:rsid w:val="00DA7E51"/>
    <w:rsid w:val="00DB011F"/>
    <w:rsid w:val="00DB0574"/>
    <w:rsid w:val="00DB09EC"/>
    <w:rsid w:val="00DB0BA0"/>
    <w:rsid w:val="00DB0C08"/>
    <w:rsid w:val="00DB0F37"/>
    <w:rsid w:val="00DB1B94"/>
    <w:rsid w:val="00DB1F17"/>
    <w:rsid w:val="00DB2000"/>
    <w:rsid w:val="00DB2326"/>
    <w:rsid w:val="00DB24AC"/>
    <w:rsid w:val="00DB2593"/>
    <w:rsid w:val="00DB25FF"/>
    <w:rsid w:val="00DB2F01"/>
    <w:rsid w:val="00DB3213"/>
    <w:rsid w:val="00DB3382"/>
    <w:rsid w:val="00DB359B"/>
    <w:rsid w:val="00DB3857"/>
    <w:rsid w:val="00DB39B6"/>
    <w:rsid w:val="00DB3DD5"/>
    <w:rsid w:val="00DB4242"/>
    <w:rsid w:val="00DB42AF"/>
    <w:rsid w:val="00DB45E4"/>
    <w:rsid w:val="00DB4963"/>
    <w:rsid w:val="00DB4C6C"/>
    <w:rsid w:val="00DB5420"/>
    <w:rsid w:val="00DB558F"/>
    <w:rsid w:val="00DB569F"/>
    <w:rsid w:val="00DB587E"/>
    <w:rsid w:val="00DB59BE"/>
    <w:rsid w:val="00DB5B30"/>
    <w:rsid w:val="00DB5C03"/>
    <w:rsid w:val="00DB5C11"/>
    <w:rsid w:val="00DB5C3E"/>
    <w:rsid w:val="00DB5C7B"/>
    <w:rsid w:val="00DB5F54"/>
    <w:rsid w:val="00DB6486"/>
    <w:rsid w:val="00DB650C"/>
    <w:rsid w:val="00DB68A5"/>
    <w:rsid w:val="00DB69D7"/>
    <w:rsid w:val="00DB6CCA"/>
    <w:rsid w:val="00DB6DC4"/>
    <w:rsid w:val="00DB6E1E"/>
    <w:rsid w:val="00DB6E9D"/>
    <w:rsid w:val="00DB7134"/>
    <w:rsid w:val="00DB714B"/>
    <w:rsid w:val="00DB72C8"/>
    <w:rsid w:val="00DB737F"/>
    <w:rsid w:val="00DB7395"/>
    <w:rsid w:val="00DB752F"/>
    <w:rsid w:val="00DB767A"/>
    <w:rsid w:val="00DB7A31"/>
    <w:rsid w:val="00DB7C7E"/>
    <w:rsid w:val="00DB7CB2"/>
    <w:rsid w:val="00DB7ECA"/>
    <w:rsid w:val="00DB7F93"/>
    <w:rsid w:val="00DC006E"/>
    <w:rsid w:val="00DC0298"/>
    <w:rsid w:val="00DC0327"/>
    <w:rsid w:val="00DC037E"/>
    <w:rsid w:val="00DC0613"/>
    <w:rsid w:val="00DC0622"/>
    <w:rsid w:val="00DC0779"/>
    <w:rsid w:val="00DC09BB"/>
    <w:rsid w:val="00DC0DF0"/>
    <w:rsid w:val="00DC0EAE"/>
    <w:rsid w:val="00DC1045"/>
    <w:rsid w:val="00DC10B8"/>
    <w:rsid w:val="00DC149F"/>
    <w:rsid w:val="00DC1B20"/>
    <w:rsid w:val="00DC1D3F"/>
    <w:rsid w:val="00DC1EA0"/>
    <w:rsid w:val="00DC20A9"/>
    <w:rsid w:val="00DC218D"/>
    <w:rsid w:val="00DC23F1"/>
    <w:rsid w:val="00DC260D"/>
    <w:rsid w:val="00DC2651"/>
    <w:rsid w:val="00DC2B75"/>
    <w:rsid w:val="00DC2FB5"/>
    <w:rsid w:val="00DC3054"/>
    <w:rsid w:val="00DC3720"/>
    <w:rsid w:val="00DC3AF6"/>
    <w:rsid w:val="00DC3CB4"/>
    <w:rsid w:val="00DC3DA7"/>
    <w:rsid w:val="00DC3E47"/>
    <w:rsid w:val="00DC429C"/>
    <w:rsid w:val="00DC4357"/>
    <w:rsid w:val="00DC485F"/>
    <w:rsid w:val="00DC4949"/>
    <w:rsid w:val="00DC4A3F"/>
    <w:rsid w:val="00DC4A40"/>
    <w:rsid w:val="00DC57E5"/>
    <w:rsid w:val="00DC580C"/>
    <w:rsid w:val="00DC5FAA"/>
    <w:rsid w:val="00DC6161"/>
    <w:rsid w:val="00DC6184"/>
    <w:rsid w:val="00DC62EA"/>
    <w:rsid w:val="00DC6873"/>
    <w:rsid w:val="00DC68C6"/>
    <w:rsid w:val="00DC6A7D"/>
    <w:rsid w:val="00DC6D45"/>
    <w:rsid w:val="00DC70F6"/>
    <w:rsid w:val="00DC779A"/>
    <w:rsid w:val="00DC7F8D"/>
    <w:rsid w:val="00DC7FD6"/>
    <w:rsid w:val="00DD005E"/>
    <w:rsid w:val="00DD03E8"/>
    <w:rsid w:val="00DD08B0"/>
    <w:rsid w:val="00DD095B"/>
    <w:rsid w:val="00DD09C3"/>
    <w:rsid w:val="00DD11AB"/>
    <w:rsid w:val="00DD1418"/>
    <w:rsid w:val="00DD1486"/>
    <w:rsid w:val="00DD15B8"/>
    <w:rsid w:val="00DD15D2"/>
    <w:rsid w:val="00DD18C1"/>
    <w:rsid w:val="00DD2131"/>
    <w:rsid w:val="00DD2173"/>
    <w:rsid w:val="00DD2767"/>
    <w:rsid w:val="00DD2BA9"/>
    <w:rsid w:val="00DD2D06"/>
    <w:rsid w:val="00DD2FBD"/>
    <w:rsid w:val="00DD333B"/>
    <w:rsid w:val="00DD336C"/>
    <w:rsid w:val="00DD33DA"/>
    <w:rsid w:val="00DD3D7E"/>
    <w:rsid w:val="00DD3E17"/>
    <w:rsid w:val="00DD3FE4"/>
    <w:rsid w:val="00DD4061"/>
    <w:rsid w:val="00DD40C3"/>
    <w:rsid w:val="00DD437E"/>
    <w:rsid w:val="00DD4469"/>
    <w:rsid w:val="00DD46CB"/>
    <w:rsid w:val="00DD4E0C"/>
    <w:rsid w:val="00DD4FB8"/>
    <w:rsid w:val="00DD515A"/>
    <w:rsid w:val="00DD5379"/>
    <w:rsid w:val="00DD53DC"/>
    <w:rsid w:val="00DD55BA"/>
    <w:rsid w:val="00DD5699"/>
    <w:rsid w:val="00DD574A"/>
    <w:rsid w:val="00DD5766"/>
    <w:rsid w:val="00DD5C89"/>
    <w:rsid w:val="00DD5C9A"/>
    <w:rsid w:val="00DD5D56"/>
    <w:rsid w:val="00DD60C3"/>
    <w:rsid w:val="00DD631D"/>
    <w:rsid w:val="00DD6440"/>
    <w:rsid w:val="00DD6910"/>
    <w:rsid w:val="00DD6930"/>
    <w:rsid w:val="00DD6AC5"/>
    <w:rsid w:val="00DD6BAF"/>
    <w:rsid w:val="00DD6CA6"/>
    <w:rsid w:val="00DD70AE"/>
    <w:rsid w:val="00DD7307"/>
    <w:rsid w:val="00DD76AC"/>
    <w:rsid w:val="00DD7B85"/>
    <w:rsid w:val="00DD7C41"/>
    <w:rsid w:val="00DE037D"/>
    <w:rsid w:val="00DE0621"/>
    <w:rsid w:val="00DE06D8"/>
    <w:rsid w:val="00DE074A"/>
    <w:rsid w:val="00DE0DCE"/>
    <w:rsid w:val="00DE1183"/>
    <w:rsid w:val="00DE121F"/>
    <w:rsid w:val="00DE1235"/>
    <w:rsid w:val="00DE12E8"/>
    <w:rsid w:val="00DE15BB"/>
    <w:rsid w:val="00DE1623"/>
    <w:rsid w:val="00DE1727"/>
    <w:rsid w:val="00DE172C"/>
    <w:rsid w:val="00DE1984"/>
    <w:rsid w:val="00DE1A56"/>
    <w:rsid w:val="00DE1CA8"/>
    <w:rsid w:val="00DE1D51"/>
    <w:rsid w:val="00DE21FC"/>
    <w:rsid w:val="00DE2442"/>
    <w:rsid w:val="00DE25C9"/>
    <w:rsid w:val="00DE2989"/>
    <w:rsid w:val="00DE2CF9"/>
    <w:rsid w:val="00DE2EEE"/>
    <w:rsid w:val="00DE32C3"/>
    <w:rsid w:val="00DE350E"/>
    <w:rsid w:val="00DE373D"/>
    <w:rsid w:val="00DE3A19"/>
    <w:rsid w:val="00DE3B59"/>
    <w:rsid w:val="00DE3B92"/>
    <w:rsid w:val="00DE41C0"/>
    <w:rsid w:val="00DE42E7"/>
    <w:rsid w:val="00DE43BB"/>
    <w:rsid w:val="00DE4691"/>
    <w:rsid w:val="00DE4705"/>
    <w:rsid w:val="00DE48AF"/>
    <w:rsid w:val="00DE4A2E"/>
    <w:rsid w:val="00DE4B52"/>
    <w:rsid w:val="00DE4C65"/>
    <w:rsid w:val="00DE4F75"/>
    <w:rsid w:val="00DE57F1"/>
    <w:rsid w:val="00DE5C19"/>
    <w:rsid w:val="00DE5D7C"/>
    <w:rsid w:val="00DE6202"/>
    <w:rsid w:val="00DE65B2"/>
    <w:rsid w:val="00DE6A96"/>
    <w:rsid w:val="00DE6B69"/>
    <w:rsid w:val="00DE6EC4"/>
    <w:rsid w:val="00DE756C"/>
    <w:rsid w:val="00DE7856"/>
    <w:rsid w:val="00DE7AFC"/>
    <w:rsid w:val="00DF0661"/>
    <w:rsid w:val="00DF08E5"/>
    <w:rsid w:val="00DF0AA6"/>
    <w:rsid w:val="00DF0AAD"/>
    <w:rsid w:val="00DF1681"/>
    <w:rsid w:val="00DF1AD3"/>
    <w:rsid w:val="00DF1C1E"/>
    <w:rsid w:val="00DF1ED9"/>
    <w:rsid w:val="00DF2009"/>
    <w:rsid w:val="00DF2053"/>
    <w:rsid w:val="00DF249C"/>
    <w:rsid w:val="00DF24C9"/>
    <w:rsid w:val="00DF2D8C"/>
    <w:rsid w:val="00DF311F"/>
    <w:rsid w:val="00DF32B4"/>
    <w:rsid w:val="00DF3392"/>
    <w:rsid w:val="00DF38B1"/>
    <w:rsid w:val="00DF3B39"/>
    <w:rsid w:val="00DF3CC3"/>
    <w:rsid w:val="00DF40A4"/>
    <w:rsid w:val="00DF4161"/>
    <w:rsid w:val="00DF4197"/>
    <w:rsid w:val="00DF4305"/>
    <w:rsid w:val="00DF4433"/>
    <w:rsid w:val="00DF45E7"/>
    <w:rsid w:val="00DF472F"/>
    <w:rsid w:val="00DF47E8"/>
    <w:rsid w:val="00DF4BB1"/>
    <w:rsid w:val="00DF4BEB"/>
    <w:rsid w:val="00DF4CD0"/>
    <w:rsid w:val="00DF51FC"/>
    <w:rsid w:val="00DF52FB"/>
    <w:rsid w:val="00DF5325"/>
    <w:rsid w:val="00DF5326"/>
    <w:rsid w:val="00DF54DE"/>
    <w:rsid w:val="00DF558B"/>
    <w:rsid w:val="00DF5884"/>
    <w:rsid w:val="00DF5B67"/>
    <w:rsid w:val="00DF5BB0"/>
    <w:rsid w:val="00DF5DC3"/>
    <w:rsid w:val="00DF64EE"/>
    <w:rsid w:val="00DF6877"/>
    <w:rsid w:val="00DF6A72"/>
    <w:rsid w:val="00DF6C9E"/>
    <w:rsid w:val="00DF6CF7"/>
    <w:rsid w:val="00DF6FB6"/>
    <w:rsid w:val="00DF758D"/>
    <w:rsid w:val="00DF781D"/>
    <w:rsid w:val="00DF7D8C"/>
    <w:rsid w:val="00DF7EE5"/>
    <w:rsid w:val="00DF7F79"/>
    <w:rsid w:val="00E002A3"/>
    <w:rsid w:val="00E004D5"/>
    <w:rsid w:val="00E006EA"/>
    <w:rsid w:val="00E00ABF"/>
    <w:rsid w:val="00E01188"/>
    <w:rsid w:val="00E012CF"/>
    <w:rsid w:val="00E013F1"/>
    <w:rsid w:val="00E01990"/>
    <w:rsid w:val="00E023C9"/>
    <w:rsid w:val="00E025DA"/>
    <w:rsid w:val="00E025EA"/>
    <w:rsid w:val="00E02D41"/>
    <w:rsid w:val="00E036D5"/>
    <w:rsid w:val="00E03C24"/>
    <w:rsid w:val="00E03ED8"/>
    <w:rsid w:val="00E040AA"/>
    <w:rsid w:val="00E041EF"/>
    <w:rsid w:val="00E042E2"/>
    <w:rsid w:val="00E04430"/>
    <w:rsid w:val="00E0457D"/>
    <w:rsid w:val="00E045A1"/>
    <w:rsid w:val="00E045B6"/>
    <w:rsid w:val="00E04774"/>
    <w:rsid w:val="00E04B57"/>
    <w:rsid w:val="00E04C1A"/>
    <w:rsid w:val="00E04EB2"/>
    <w:rsid w:val="00E04FA2"/>
    <w:rsid w:val="00E051B4"/>
    <w:rsid w:val="00E06044"/>
    <w:rsid w:val="00E06230"/>
    <w:rsid w:val="00E063A8"/>
    <w:rsid w:val="00E064AD"/>
    <w:rsid w:val="00E06569"/>
    <w:rsid w:val="00E06831"/>
    <w:rsid w:val="00E06B27"/>
    <w:rsid w:val="00E06B62"/>
    <w:rsid w:val="00E06CD7"/>
    <w:rsid w:val="00E070B8"/>
    <w:rsid w:val="00E07752"/>
    <w:rsid w:val="00E0790B"/>
    <w:rsid w:val="00E07B02"/>
    <w:rsid w:val="00E07C37"/>
    <w:rsid w:val="00E07D12"/>
    <w:rsid w:val="00E07F9F"/>
    <w:rsid w:val="00E10A68"/>
    <w:rsid w:val="00E10CD7"/>
    <w:rsid w:val="00E10D6E"/>
    <w:rsid w:val="00E10FA2"/>
    <w:rsid w:val="00E11093"/>
    <w:rsid w:val="00E11154"/>
    <w:rsid w:val="00E1120C"/>
    <w:rsid w:val="00E11494"/>
    <w:rsid w:val="00E11723"/>
    <w:rsid w:val="00E11CCB"/>
    <w:rsid w:val="00E11D3C"/>
    <w:rsid w:val="00E11D71"/>
    <w:rsid w:val="00E12467"/>
    <w:rsid w:val="00E12761"/>
    <w:rsid w:val="00E1287E"/>
    <w:rsid w:val="00E12CD8"/>
    <w:rsid w:val="00E12CEF"/>
    <w:rsid w:val="00E12F1E"/>
    <w:rsid w:val="00E132B4"/>
    <w:rsid w:val="00E132E1"/>
    <w:rsid w:val="00E1336E"/>
    <w:rsid w:val="00E13AFF"/>
    <w:rsid w:val="00E142B2"/>
    <w:rsid w:val="00E1473E"/>
    <w:rsid w:val="00E14F2A"/>
    <w:rsid w:val="00E14F57"/>
    <w:rsid w:val="00E15197"/>
    <w:rsid w:val="00E15AC7"/>
    <w:rsid w:val="00E15AEF"/>
    <w:rsid w:val="00E15B65"/>
    <w:rsid w:val="00E15C57"/>
    <w:rsid w:val="00E1655D"/>
    <w:rsid w:val="00E16785"/>
    <w:rsid w:val="00E1679F"/>
    <w:rsid w:val="00E167BA"/>
    <w:rsid w:val="00E16871"/>
    <w:rsid w:val="00E16E47"/>
    <w:rsid w:val="00E16E82"/>
    <w:rsid w:val="00E1726F"/>
    <w:rsid w:val="00E17A89"/>
    <w:rsid w:val="00E17FC5"/>
    <w:rsid w:val="00E201E6"/>
    <w:rsid w:val="00E20335"/>
    <w:rsid w:val="00E20795"/>
    <w:rsid w:val="00E2085D"/>
    <w:rsid w:val="00E208B9"/>
    <w:rsid w:val="00E21600"/>
    <w:rsid w:val="00E216D5"/>
    <w:rsid w:val="00E21737"/>
    <w:rsid w:val="00E2179F"/>
    <w:rsid w:val="00E21BD9"/>
    <w:rsid w:val="00E220E2"/>
    <w:rsid w:val="00E225B7"/>
    <w:rsid w:val="00E2283B"/>
    <w:rsid w:val="00E22988"/>
    <w:rsid w:val="00E22B16"/>
    <w:rsid w:val="00E22CFE"/>
    <w:rsid w:val="00E230A9"/>
    <w:rsid w:val="00E23502"/>
    <w:rsid w:val="00E235C3"/>
    <w:rsid w:val="00E23ADD"/>
    <w:rsid w:val="00E23D1C"/>
    <w:rsid w:val="00E24154"/>
    <w:rsid w:val="00E2436B"/>
    <w:rsid w:val="00E24704"/>
    <w:rsid w:val="00E24B35"/>
    <w:rsid w:val="00E24D23"/>
    <w:rsid w:val="00E250C1"/>
    <w:rsid w:val="00E252AA"/>
    <w:rsid w:val="00E25794"/>
    <w:rsid w:val="00E25C08"/>
    <w:rsid w:val="00E25E0B"/>
    <w:rsid w:val="00E260E1"/>
    <w:rsid w:val="00E2641A"/>
    <w:rsid w:val="00E26446"/>
    <w:rsid w:val="00E26554"/>
    <w:rsid w:val="00E26652"/>
    <w:rsid w:val="00E2697D"/>
    <w:rsid w:val="00E26AD5"/>
    <w:rsid w:val="00E26B56"/>
    <w:rsid w:val="00E26C89"/>
    <w:rsid w:val="00E2734D"/>
    <w:rsid w:val="00E278CE"/>
    <w:rsid w:val="00E278EB"/>
    <w:rsid w:val="00E306FA"/>
    <w:rsid w:val="00E30741"/>
    <w:rsid w:val="00E30885"/>
    <w:rsid w:val="00E308D8"/>
    <w:rsid w:val="00E30B68"/>
    <w:rsid w:val="00E30CD7"/>
    <w:rsid w:val="00E30FCD"/>
    <w:rsid w:val="00E31049"/>
    <w:rsid w:val="00E3110F"/>
    <w:rsid w:val="00E31147"/>
    <w:rsid w:val="00E3175C"/>
    <w:rsid w:val="00E31954"/>
    <w:rsid w:val="00E31E79"/>
    <w:rsid w:val="00E31EE7"/>
    <w:rsid w:val="00E31F2D"/>
    <w:rsid w:val="00E31FAB"/>
    <w:rsid w:val="00E32168"/>
    <w:rsid w:val="00E321AC"/>
    <w:rsid w:val="00E32489"/>
    <w:rsid w:val="00E328D4"/>
    <w:rsid w:val="00E32D30"/>
    <w:rsid w:val="00E332ED"/>
    <w:rsid w:val="00E3380F"/>
    <w:rsid w:val="00E33829"/>
    <w:rsid w:val="00E33B65"/>
    <w:rsid w:val="00E33E45"/>
    <w:rsid w:val="00E3438C"/>
    <w:rsid w:val="00E3494E"/>
    <w:rsid w:val="00E34CFC"/>
    <w:rsid w:val="00E34E9E"/>
    <w:rsid w:val="00E34EC0"/>
    <w:rsid w:val="00E35213"/>
    <w:rsid w:val="00E354C7"/>
    <w:rsid w:val="00E35ACD"/>
    <w:rsid w:val="00E364A6"/>
    <w:rsid w:val="00E3664D"/>
    <w:rsid w:val="00E367FC"/>
    <w:rsid w:val="00E3686A"/>
    <w:rsid w:val="00E36CBD"/>
    <w:rsid w:val="00E36CF4"/>
    <w:rsid w:val="00E36E80"/>
    <w:rsid w:val="00E36FD4"/>
    <w:rsid w:val="00E3728C"/>
    <w:rsid w:val="00E37411"/>
    <w:rsid w:val="00E376C7"/>
    <w:rsid w:val="00E376E8"/>
    <w:rsid w:val="00E37B21"/>
    <w:rsid w:val="00E37DDF"/>
    <w:rsid w:val="00E37F19"/>
    <w:rsid w:val="00E37FE7"/>
    <w:rsid w:val="00E40104"/>
    <w:rsid w:val="00E40229"/>
    <w:rsid w:val="00E40347"/>
    <w:rsid w:val="00E403DF"/>
    <w:rsid w:val="00E405C0"/>
    <w:rsid w:val="00E4072A"/>
    <w:rsid w:val="00E4081F"/>
    <w:rsid w:val="00E40BAF"/>
    <w:rsid w:val="00E40F31"/>
    <w:rsid w:val="00E410C4"/>
    <w:rsid w:val="00E41221"/>
    <w:rsid w:val="00E41489"/>
    <w:rsid w:val="00E41806"/>
    <w:rsid w:val="00E41960"/>
    <w:rsid w:val="00E41B19"/>
    <w:rsid w:val="00E41DF8"/>
    <w:rsid w:val="00E41F19"/>
    <w:rsid w:val="00E42076"/>
    <w:rsid w:val="00E42678"/>
    <w:rsid w:val="00E42971"/>
    <w:rsid w:val="00E42B22"/>
    <w:rsid w:val="00E42C90"/>
    <w:rsid w:val="00E42F77"/>
    <w:rsid w:val="00E42FCB"/>
    <w:rsid w:val="00E42FF9"/>
    <w:rsid w:val="00E432D0"/>
    <w:rsid w:val="00E433F8"/>
    <w:rsid w:val="00E43473"/>
    <w:rsid w:val="00E43908"/>
    <w:rsid w:val="00E43BE0"/>
    <w:rsid w:val="00E43D00"/>
    <w:rsid w:val="00E44465"/>
    <w:rsid w:val="00E44486"/>
    <w:rsid w:val="00E44491"/>
    <w:rsid w:val="00E444B4"/>
    <w:rsid w:val="00E44BA6"/>
    <w:rsid w:val="00E44CDF"/>
    <w:rsid w:val="00E45047"/>
    <w:rsid w:val="00E4555D"/>
    <w:rsid w:val="00E4563E"/>
    <w:rsid w:val="00E45A67"/>
    <w:rsid w:val="00E45C7F"/>
    <w:rsid w:val="00E45F87"/>
    <w:rsid w:val="00E46239"/>
    <w:rsid w:val="00E46464"/>
    <w:rsid w:val="00E466C5"/>
    <w:rsid w:val="00E46A01"/>
    <w:rsid w:val="00E46BA4"/>
    <w:rsid w:val="00E46C6B"/>
    <w:rsid w:val="00E46CF2"/>
    <w:rsid w:val="00E46F37"/>
    <w:rsid w:val="00E47123"/>
    <w:rsid w:val="00E47618"/>
    <w:rsid w:val="00E47AD4"/>
    <w:rsid w:val="00E47BD6"/>
    <w:rsid w:val="00E47C3F"/>
    <w:rsid w:val="00E47C45"/>
    <w:rsid w:val="00E47CBB"/>
    <w:rsid w:val="00E47D39"/>
    <w:rsid w:val="00E47DF0"/>
    <w:rsid w:val="00E47EFC"/>
    <w:rsid w:val="00E47FDE"/>
    <w:rsid w:val="00E47FF0"/>
    <w:rsid w:val="00E50381"/>
    <w:rsid w:val="00E505F3"/>
    <w:rsid w:val="00E50711"/>
    <w:rsid w:val="00E50814"/>
    <w:rsid w:val="00E50835"/>
    <w:rsid w:val="00E50CBB"/>
    <w:rsid w:val="00E50D37"/>
    <w:rsid w:val="00E50EA7"/>
    <w:rsid w:val="00E5150B"/>
    <w:rsid w:val="00E5158E"/>
    <w:rsid w:val="00E51A5A"/>
    <w:rsid w:val="00E51CD8"/>
    <w:rsid w:val="00E51EB3"/>
    <w:rsid w:val="00E52010"/>
    <w:rsid w:val="00E52282"/>
    <w:rsid w:val="00E522B5"/>
    <w:rsid w:val="00E525C9"/>
    <w:rsid w:val="00E53859"/>
    <w:rsid w:val="00E53BFF"/>
    <w:rsid w:val="00E53D81"/>
    <w:rsid w:val="00E53DEF"/>
    <w:rsid w:val="00E53EEE"/>
    <w:rsid w:val="00E5407A"/>
    <w:rsid w:val="00E5423F"/>
    <w:rsid w:val="00E547A8"/>
    <w:rsid w:val="00E547C6"/>
    <w:rsid w:val="00E54837"/>
    <w:rsid w:val="00E54B37"/>
    <w:rsid w:val="00E54D77"/>
    <w:rsid w:val="00E54EAF"/>
    <w:rsid w:val="00E550A1"/>
    <w:rsid w:val="00E5545C"/>
    <w:rsid w:val="00E55620"/>
    <w:rsid w:val="00E55AEF"/>
    <w:rsid w:val="00E55F78"/>
    <w:rsid w:val="00E560AA"/>
    <w:rsid w:val="00E561CA"/>
    <w:rsid w:val="00E56575"/>
    <w:rsid w:val="00E5661B"/>
    <w:rsid w:val="00E56A5B"/>
    <w:rsid w:val="00E57197"/>
    <w:rsid w:val="00E575E0"/>
    <w:rsid w:val="00E57835"/>
    <w:rsid w:val="00E57AAC"/>
    <w:rsid w:val="00E57D9C"/>
    <w:rsid w:val="00E57DD9"/>
    <w:rsid w:val="00E57E72"/>
    <w:rsid w:val="00E6010C"/>
    <w:rsid w:val="00E60358"/>
    <w:rsid w:val="00E605F5"/>
    <w:rsid w:val="00E60AF4"/>
    <w:rsid w:val="00E60E47"/>
    <w:rsid w:val="00E61029"/>
    <w:rsid w:val="00E61285"/>
    <w:rsid w:val="00E613E4"/>
    <w:rsid w:val="00E614C7"/>
    <w:rsid w:val="00E617CD"/>
    <w:rsid w:val="00E61A56"/>
    <w:rsid w:val="00E61CB6"/>
    <w:rsid w:val="00E6205F"/>
    <w:rsid w:val="00E62482"/>
    <w:rsid w:val="00E6272F"/>
    <w:rsid w:val="00E6277C"/>
    <w:rsid w:val="00E62C30"/>
    <w:rsid w:val="00E62CC4"/>
    <w:rsid w:val="00E62EA5"/>
    <w:rsid w:val="00E62FC5"/>
    <w:rsid w:val="00E62FDC"/>
    <w:rsid w:val="00E634BD"/>
    <w:rsid w:val="00E636D0"/>
    <w:rsid w:val="00E6370F"/>
    <w:rsid w:val="00E63B92"/>
    <w:rsid w:val="00E63C83"/>
    <w:rsid w:val="00E6420E"/>
    <w:rsid w:val="00E642AC"/>
    <w:rsid w:val="00E644D1"/>
    <w:rsid w:val="00E644F4"/>
    <w:rsid w:val="00E6454E"/>
    <w:rsid w:val="00E64F99"/>
    <w:rsid w:val="00E64FAA"/>
    <w:rsid w:val="00E65126"/>
    <w:rsid w:val="00E6550C"/>
    <w:rsid w:val="00E65747"/>
    <w:rsid w:val="00E657AF"/>
    <w:rsid w:val="00E65CFA"/>
    <w:rsid w:val="00E65E9C"/>
    <w:rsid w:val="00E660DB"/>
    <w:rsid w:val="00E661C7"/>
    <w:rsid w:val="00E6628F"/>
    <w:rsid w:val="00E665EF"/>
    <w:rsid w:val="00E66770"/>
    <w:rsid w:val="00E6679A"/>
    <w:rsid w:val="00E667D2"/>
    <w:rsid w:val="00E667E0"/>
    <w:rsid w:val="00E669BD"/>
    <w:rsid w:val="00E66DCC"/>
    <w:rsid w:val="00E67893"/>
    <w:rsid w:val="00E67DFA"/>
    <w:rsid w:val="00E70145"/>
    <w:rsid w:val="00E702E7"/>
    <w:rsid w:val="00E70663"/>
    <w:rsid w:val="00E70D1A"/>
    <w:rsid w:val="00E70F5A"/>
    <w:rsid w:val="00E70FA1"/>
    <w:rsid w:val="00E71290"/>
    <w:rsid w:val="00E71790"/>
    <w:rsid w:val="00E71D42"/>
    <w:rsid w:val="00E71F7B"/>
    <w:rsid w:val="00E72144"/>
    <w:rsid w:val="00E726CD"/>
    <w:rsid w:val="00E72C39"/>
    <w:rsid w:val="00E72D35"/>
    <w:rsid w:val="00E731AE"/>
    <w:rsid w:val="00E73322"/>
    <w:rsid w:val="00E73368"/>
    <w:rsid w:val="00E73B44"/>
    <w:rsid w:val="00E73B93"/>
    <w:rsid w:val="00E73BB6"/>
    <w:rsid w:val="00E73C6B"/>
    <w:rsid w:val="00E740C4"/>
    <w:rsid w:val="00E7457B"/>
    <w:rsid w:val="00E74F8D"/>
    <w:rsid w:val="00E74FD9"/>
    <w:rsid w:val="00E752B2"/>
    <w:rsid w:val="00E75364"/>
    <w:rsid w:val="00E75369"/>
    <w:rsid w:val="00E75554"/>
    <w:rsid w:val="00E755C7"/>
    <w:rsid w:val="00E756D0"/>
    <w:rsid w:val="00E75CEB"/>
    <w:rsid w:val="00E762BD"/>
    <w:rsid w:val="00E763DA"/>
    <w:rsid w:val="00E7648B"/>
    <w:rsid w:val="00E76A21"/>
    <w:rsid w:val="00E76FAE"/>
    <w:rsid w:val="00E76FD4"/>
    <w:rsid w:val="00E77213"/>
    <w:rsid w:val="00E77216"/>
    <w:rsid w:val="00E77918"/>
    <w:rsid w:val="00E7792C"/>
    <w:rsid w:val="00E77985"/>
    <w:rsid w:val="00E77B2E"/>
    <w:rsid w:val="00E77D51"/>
    <w:rsid w:val="00E77F2B"/>
    <w:rsid w:val="00E77FA9"/>
    <w:rsid w:val="00E77FEE"/>
    <w:rsid w:val="00E80171"/>
    <w:rsid w:val="00E8053B"/>
    <w:rsid w:val="00E8076E"/>
    <w:rsid w:val="00E80987"/>
    <w:rsid w:val="00E80AF0"/>
    <w:rsid w:val="00E80B34"/>
    <w:rsid w:val="00E80F27"/>
    <w:rsid w:val="00E80F6A"/>
    <w:rsid w:val="00E80FD3"/>
    <w:rsid w:val="00E81654"/>
    <w:rsid w:val="00E816F1"/>
    <w:rsid w:val="00E8191C"/>
    <w:rsid w:val="00E81CA9"/>
    <w:rsid w:val="00E8212C"/>
    <w:rsid w:val="00E82173"/>
    <w:rsid w:val="00E8225D"/>
    <w:rsid w:val="00E82426"/>
    <w:rsid w:val="00E82521"/>
    <w:rsid w:val="00E8273C"/>
    <w:rsid w:val="00E828E9"/>
    <w:rsid w:val="00E82DCD"/>
    <w:rsid w:val="00E82E32"/>
    <w:rsid w:val="00E82EC0"/>
    <w:rsid w:val="00E83375"/>
    <w:rsid w:val="00E834A1"/>
    <w:rsid w:val="00E83A05"/>
    <w:rsid w:val="00E83BF9"/>
    <w:rsid w:val="00E84151"/>
    <w:rsid w:val="00E84876"/>
    <w:rsid w:val="00E84ADE"/>
    <w:rsid w:val="00E8509E"/>
    <w:rsid w:val="00E85260"/>
    <w:rsid w:val="00E861DC"/>
    <w:rsid w:val="00E863D8"/>
    <w:rsid w:val="00E867A2"/>
    <w:rsid w:val="00E86B15"/>
    <w:rsid w:val="00E86DBB"/>
    <w:rsid w:val="00E8759E"/>
    <w:rsid w:val="00E87638"/>
    <w:rsid w:val="00E87766"/>
    <w:rsid w:val="00E87AD7"/>
    <w:rsid w:val="00E87F2A"/>
    <w:rsid w:val="00E87F8F"/>
    <w:rsid w:val="00E9056B"/>
    <w:rsid w:val="00E90996"/>
    <w:rsid w:val="00E90B4B"/>
    <w:rsid w:val="00E90C7B"/>
    <w:rsid w:val="00E90E07"/>
    <w:rsid w:val="00E91031"/>
    <w:rsid w:val="00E911EE"/>
    <w:rsid w:val="00E9181A"/>
    <w:rsid w:val="00E91883"/>
    <w:rsid w:val="00E91999"/>
    <w:rsid w:val="00E919B2"/>
    <w:rsid w:val="00E91BED"/>
    <w:rsid w:val="00E91E2A"/>
    <w:rsid w:val="00E921E3"/>
    <w:rsid w:val="00E926C7"/>
    <w:rsid w:val="00E92823"/>
    <w:rsid w:val="00E92BD5"/>
    <w:rsid w:val="00E92CCF"/>
    <w:rsid w:val="00E92E2E"/>
    <w:rsid w:val="00E92E34"/>
    <w:rsid w:val="00E92FAA"/>
    <w:rsid w:val="00E930F3"/>
    <w:rsid w:val="00E93261"/>
    <w:rsid w:val="00E932A1"/>
    <w:rsid w:val="00E93612"/>
    <w:rsid w:val="00E93A99"/>
    <w:rsid w:val="00E93C4E"/>
    <w:rsid w:val="00E9404D"/>
    <w:rsid w:val="00E940C6"/>
    <w:rsid w:val="00E9426E"/>
    <w:rsid w:val="00E945B2"/>
    <w:rsid w:val="00E9479B"/>
    <w:rsid w:val="00E94B55"/>
    <w:rsid w:val="00E9542A"/>
    <w:rsid w:val="00E9592B"/>
    <w:rsid w:val="00E95EF7"/>
    <w:rsid w:val="00E95FC9"/>
    <w:rsid w:val="00E967CD"/>
    <w:rsid w:val="00E96998"/>
    <w:rsid w:val="00E969DB"/>
    <w:rsid w:val="00E96A01"/>
    <w:rsid w:val="00E96B50"/>
    <w:rsid w:val="00E96D30"/>
    <w:rsid w:val="00E96F40"/>
    <w:rsid w:val="00E97042"/>
    <w:rsid w:val="00E971DA"/>
    <w:rsid w:val="00E97240"/>
    <w:rsid w:val="00E97256"/>
    <w:rsid w:val="00E97713"/>
    <w:rsid w:val="00E97A94"/>
    <w:rsid w:val="00E97CDE"/>
    <w:rsid w:val="00E97F13"/>
    <w:rsid w:val="00EA0136"/>
    <w:rsid w:val="00EA06D9"/>
    <w:rsid w:val="00EA074D"/>
    <w:rsid w:val="00EA0AEA"/>
    <w:rsid w:val="00EA0D78"/>
    <w:rsid w:val="00EA0E11"/>
    <w:rsid w:val="00EA12EF"/>
    <w:rsid w:val="00EA1520"/>
    <w:rsid w:val="00EA15AB"/>
    <w:rsid w:val="00EA1A30"/>
    <w:rsid w:val="00EA1BFD"/>
    <w:rsid w:val="00EA1C67"/>
    <w:rsid w:val="00EA1F13"/>
    <w:rsid w:val="00EA1F57"/>
    <w:rsid w:val="00EA243F"/>
    <w:rsid w:val="00EA24AD"/>
    <w:rsid w:val="00EA272F"/>
    <w:rsid w:val="00EA280E"/>
    <w:rsid w:val="00EA2C6A"/>
    <w:rsid w:val="00EA327A"/>
    <w:rsid w:val="00EA345C"/>
    <w:rsid w:val="00EA3464"/>
    <w:rsid w:val="00EA35F8"/>
    <w:rsid w:val="00EA393D"/>
    <w:rsid w:val="00EA3CC8"/>
    <w:rsid w:val="00EA3F57"/>
    <w:rsid w:val="00EA4003"/>
    <w:rsid w:val="00EA40D9"/>
    <w:rsid w:val="00EA4206"/>
    <w:rsid w:val="00EA42FC"/>
    <w:rsid w:val="00EA4463"/>
    <w:rsid w:val="00EA4465"/>
    <w:rsid w:val="00EA45A5"/>
    <w:rsid w:val="00EA4A4F"/>
    <w:rsid w:val="00EA4C10"/>
    <w:rsid w:val="00EA4C89"/>
    <w:rsid w:val="00EA4D60"/>
    <w:rsid w:val="00EA4FC1"/>
    <w:rsid w:val="00EA526B"/>
    <w:rsid w:val="00EA56D4"/>
    <w:rsid w:val="00EA56F8"/>
    <w:rsid w:val="00EA5B01"/>
    <w:rsid w:val="00EA6342"/>
    <w:rsid w:val="00EA64E2"/>
    <w:rsid w:val="00EA6D3D"/>
    <w:rsid w:val="00EA7115"/>
    <w:rsid w:val="00EA7795"/>
    <w:rsid w:val="00EA7A4D"/>
    <w:rsid w:val="00EA7C1B"/>
    <w:rsid w:val="00EB00FF"/>
    <w:rsid w:val="00EB018E"/>
    <w:rsid w:val="00EB01D9"/>
    <w:rsid w:val="00EB02A5"/>
    <w:rsid w:val="00EB0531"/>
    <w:rsid w:val="00EB05FE"/>
    <w:rsid w:val="00EB08C8"/>
    <w:rsid w:val="00EB0B5F"/>
    <w:rsid w:val="00EB0CF2"/>
    <w:rsid w:val="00EB0DAF"/>
    <w:rsid w:val="00EB0EDE"/>
    <w:rsid w:val="00EB1326"/>
    <w:rsid w:val="00EB149D"/>
    <w:rsid w:val="00EB1A0D"/>
    <w:rsid w:val="00EB1A12"/>
    <w:rsid w:val="00EB1FDA"/>
    <w:rsid w:val="00EB2180"/>
    <w:rsid w:val="00EB221E"/>
    <w:rsid w:val="00EB24B8"/>
    <w:rsid w:val="00EB27BD"/>
    <w:rsid w:val="00EB29D4"/>
    <w:rsid w:val="00EB2A31"/>
    <w:rsid w:val="00EB2C05"/>
    <w:rsid w:val="00EB344E"/>
    <w:rsid w:val="00EB3575"/>
    <w:rsid w:val="00EB3A28"/>
    <w:rsid w:val="00EB3BEB"/>
    <w:rsid w:val="00EB432F"/>
    <w:rsid w:val="00EB44ED"/>
    <w:rsid w:val="00EB48A3"/>
    <w:rsid w:val="00EB4DB0"/>
    <w:rsid w:val="00EB4FCE"/>
    <w:rsid w:val="00EB50AD"/>
    <w:rsid w:val="00EB5152"/>
    <w:rsid w:val="00EB525B"/>
    <w:rsid w:val="00EB56E4"/>
    <w:rsid w:val="00EB5A91"/>
    <w:rsid w:val="00EB60D6"/>
    <w:rsid w:val="00EB648D"/>
    <w:rsid w:val="00EB6553"/>
    <w:rsid w:val="00EB662D"/>
    <w:rsid w:val="00EB6A99"/>
    <w:rsid w:val="00EB6B69"/>
    <w:rsid w:val="00EB6F01"/>
    <w:rsid w:val="00EB6F0F"/>
    <w:rsid w:val="00EB71F8"/>
    <w:rsid w:val="00EB74B5"/>
    <w:rsid w:val="00EB779E"/>
    <w:rsid w:val="00EB7A5B"/>
    <w:rsid w:val="00EB7B0A"/>
    <w:rsid w:val="00EC0009"/>
    <w:rsid w:val="00EC0322"/>
    <w:rsid w:val="00EC0552"/>
    <w:rsid w:val="00EC0823"/>
    <w:rsid w:val="00EC097D"/>
    <w:rsid w:val="00EC0AC7"/>
    <w:rsid w:val="00EC0CDF"/>
    <w:rsid w:val="00EC0DDA"/>
    <w:rsid w:val="00EC0FEA"/>
    <w:rsid w:val="00EC10CB"/>
    <w:rsid w:val="00EC12A9"/>
    <w:rsid w:val="00EC1730"/>
    <w:rsid w:val="00EC1CE2"/>
    <w:rsid w:val="00EC1FD3"/>
    <w:rsid w:val="00EC25BF"/>
    <w:rsid w:val="00EC26E8"/>
    <w:rsid w:val="00EC2789"/>
    <w:rsid w:val="00EC2AD2"/>
    <w:rsid w:val="00EC2C2E"/>
    <w:rsid w:val="00EC2E0A"/>
    <w:rsid w:val="00EC2F60"/>
    <w:rsid w:val="00EC30BB"/>
    <w:rsid w:val="00EC3226"/>
    <w:rsid w:val="00EC33EE"/>
    <w:rsid w:val="00EC3644"/>
    <w:rsid w:val="00EC3835"/>
    <w:rsid w:val="00EC3B0C"/>
    <w:rsid w:val="00EC3CA4"/>
    <w:rsid w:val="00EC3DA5"/>
    <w:rsid w:val="00EC3E05"/>
    <w:rsid w:val="00EC411D"/>
    <w:rsid w:val="00EC445F"/>
    <w:rsid w:val="00EC46D2"/>
    <w:rsid w:val="00EC479E"/>
    <w:rsid w:val="00EC48AB"/>
    <w:rsid w:val="00EC51E5"/>
    <w:rsid w:val="00EC52F5"/>
    <w:rsid w:val="00EC54FE"/>
    <w:rsid w:val="00EC5980"/>
    <w:rsid w:val="00EC5A31"/>
    <w:rsid w:val="00EC5A8D"/>
    <w:rsid w:val="00EC5D45"/>
    <w:rsid w:val="00EC6091"/>
    <w:rsid w:val="00EC6782"/>
    <w:rsid w:val="00EC6C18"/>
    <w:rsid w:val="00EC6C8A"/>
    <w:rsid w:val="00EC6D51"/>
    <w:rsid w:val="00EC6DA9"/>
    <w:rsid w:val="00EC72EB"/>
    <w:rsid w:val="00EC7348"/>
    <w:rsid w:val="00EC76C6"/>
    <w:rsid w:val="00EC7ED8"/>
    <w:rsid w:val="00ED01C4"/>
    <w:rsid w:val="00ED0201"/>
    <w:rsid w:val="00ED04BF"/>
    <w:rsid w:val="00ED0703"/>
    <w:rsid w:val="00ED0709"/>
    <w:rsid w:val="00ED0BFD"/>
    <w:rsid w:val="00ED10EF"/>
    <w:rsid w:val="00ED126D"/>
    <w:rsid w:val="00ED1356"/>
    <w:rsid w:val="00ED1B22"/>
    <w:rsid w:val="00ED1F95"/>
    <w:rsid w:val="00ED2285"/>
    <w:rsid w:val="00ED251B"/>
    <w:rsid w:val="00ED2930"/>
    <w:rsid w:val="00ED2D81"/>
    <w:rsid w:val="00ED37A7"/>
    <w:rsid w:val="00ED3906"/>
    <w:rsid w:val="00ED404D"/>
    <w:rsid w:val="00ED41C5"/>
    <w:rsid w:val="00ED420A"/>
    <w:rsid w:val="00ED4381"/>
    <w:rsid w:val="00ED44AA"/>
    <w:rsid w:val="00ED4981"/>
    <w:rsid w:val="00ED4B2C"/>
    <w:rsid w:val="00ED4C31"/>
    <w:rsid w:val="00ED4CCA"/>
    <w:rsid w:val="00ED50C6"/>
    <w:rsid w:val="00ED522F"/>
    <w:rsid w:val="00ED5336"/>
    <w:rsid w:val="00ED58ED"/>
    <w:rsid w:val="00ED5B85"/>
    <w:rsid w:val="00ED5DB3"/>
    <w:rsid w:val="00ED5FD8"/>
    <w:rsid w:val="00ED61DF"/>
    <w:rsid w:val="00ED63AB"/>
    <w:rsid w:val="00ED63C8"/>
    <w:rsid w:val="00ED6AA1"/>
    <w:rsid w:val="00ED6CB3"/>
    <w:rsid w:val="00ED6DC9"/>
    <w:rsid w:val="00ED6DD2"/>
    <w:rsid w:val="00ED72EA"/>
    <w:rsid w:val="00ED7650"/>
    <w:rsid w:val="00ED7BC5"/>
    <w:rsid w:val="00ED7FCB"/>
    <w:rsid w:val="00EE06BE"/>
    <w:rsid w:val="00EE0871"/>
    <w:rsid w:val="00EE0880"/>
    <w:rsid w:val="00EE0A8F"/>
    <w:rsid w:val="00EE0B85"/>
    <w:rsid w:val="00EE0D5F"/>
    <w:rsid w:val="00EE0EC3"/>
    <w:rsid w:val="00EE0FA8"/>
    <w:rsid w:val="00EE10C1"/>
    <w:rsid w:val="00EE1289"/>
    <w:rsid w:val="00EE133F"/>
    <w:rsid w:val="00EE146D"/>
    <w:rsid w:val="00EE14E8"/>
    <w:rsid w:val="00EE15C7"/>
    <w:rsid w:val="00EE15C9"/>
    <w:rsid w:val="00EE1626"/>
    <w:rsid w:val="00EE1753"/>
    <w:rsid w:val="00EE1755"/>
    <w:rsid w:val="00EE182A"/>
    <w:rsid w:val="00EE194D"/>
    <w:rsid w:val="00EE1D0F"/>
    <w:rsid w:val="00EE1E25"/>
    <w:rsid w:val="00EE2098"/>
    <w:rsid w:val="00EE2183"/>
    <w:rsid w:val="00EE2317"/>
    <w:rsid w:val="00EE233C"/>
    <w:rsid w:val="00EE2348"/>
    <w:rsid w:val="00EE2696"/>
    <w:rsid w:val="00EE290F"/>
    <w:rsid w:val="00EE2EC4"/>
    <w:rsid w:val="00EE3467"/>
    <w:rsid w:val="00EE3847"/>
    <w:rsid w:val="00EE38FF"/>
    <w:rsid w:val="00EE3996"/>
    <w:rsid w:val="00EE3A69"/>
    <w:rsid w:val="00EE3A8F"/>
    <w:rsid w:val="00EE3C2F"/>
    <w:rsid w:val="00EE3E2D"/>
    <w:rsid w:val="00EE3FA0"/>
    <w:rsid w:val="00EE4177"/>
    <w:rsid w:val="00EE47AF"/>
    <w:rsid w:val="00EE4908"/>
    <w:rsid w:val="00EE4AB4"/>
    <w:rsid w:val="00EE4AD3"/>
    <w:rsid w:val="00EE4BD6"/>
    <w:rsid w:val="00EE4C89"/>
    <w:rsid w:val="00EE4CDC"/>
    <w:rsid w:val="00EE4D11"/>
    <w:rsid w:val="00EE4D6A"/>
    <w:rsid w:val="00EE5312"/>
    <w:rsid w:val="00EE5454"/>
    <w:rsid w:val="00EE5636"/>
    <w:rsid w:val="00EE57E6"/>
    <w:rsid w:val="00EE61F9"/>
    <w:rsid w:val="00EE6822"/>
    <w:rsid w:val="00EE68DA"/>
    <w:rsid w:val="00EE6E06"/>
    <w:rsid w:val="00EE6E10"/>
    <w:rsid w:val="00EE74E9"/>
    <w:rsid w:val="00EE75C6"/>
    <w:rsid w:val="00EE75E1"/>
    <w:rsid w:val="00EE76FC"/>
    <w:rsid w:val="00EE7939"/>
    <w:rsid w:val="00EE7A5A"/>
    <w:rsid w:val="00EE7A94"/>
    <w:rsid w:val="00EE7BF5"/>
    <w:rsid w:val="00EF006B"/>
    <w:rsid w:val="00EF03F3"/>
    <w:rsid w:val="00EF076B"/>
    <w:rsid w:val="00EF07B8"/>
    <w:rsid w:val="00EF0828"/>
    <w:rsid w:val="00EF0881"/>
    <w:rsid w:val="00EF0C65"/>
    <w:rsid w:val="00EF0CFC"/>
    <w:rsid w:val="00EF0F4F"/>
    <w:rsid w:val="00EF124B"/>
    <w:rsid w:val="00EF129A"/>
    <w:rsid w:val="00EF1A5A"/>
    <w:rsid w:val="00EF1F98"/>
    <w:rsid w:val="00EF204A"/>
    <w:rsid w:val="00EF23A5"/>
    <w:rsid w:val="00EF246C"/>
    <w:rsid w:val="00EF2BD7"/>
    <w:rsid w:val="00EF3258"/>
    <w:rsid w:val="00EF3719"/>
    <w:rsid w:val="00EF3886"/>
    <w:rsid w:val="00EF3984"/>
    <w:rsid w:val="00EF3C09"/>
    <w:rsid w:val="00EF3D7B"/>
    <w:rsid w:val="00EF3E35"/>
    <w:rsid w:val="00EF3F89"/>
    <w:rsid w:val="00EF40B9"/>
    <w:rsid w:val="00EF4BA0"/>
    <w:rsid w:val="00EF4D72"/>
    <w:rsid w:val="00EF4E17"/>
    <w:rsid w:val="00EF5032"/>
    <w:rsid w:val="00EF565A"/>
    <w:rsid w:val="00EF5695"/>
    <w:rsid w:val="00EF581F"/>
    <w:rsid w:val="00EF5907"/>
    <w:rsid w:val="00EF600A"/>
    <w:rsid w:val="00EF632C"/>
    <w:rsid w:val="00EF6387"/>
    <w:rsid w:val="00EF646B"/>
    <w:rsid w:val="00EF647D"/>
    <w:rsid w:val="00EF6527"/>
    <w:rsid w:val="00EF659C"/>
    <w:rsid w:val="00EF661C"/>
    <w:rsid w:val="00EF68E7"/>
    <w:rsid w:val="00EF694F"/>
    <w:rsid w:val="00EF6AA3"/>
    <w:rsid w:val="00EF7234"/>
    <w:rsid w:val="00EF736E"/>
    <w:rsid w:val="00EF7C19"/>
    <w:rsid w:val="00EF7CF0"/>
    <w:rsid w:val="00EF7D7F"/>
    <w:rsid w:val="00F001BE"/>
    <w:rsid w:val="00F002D2"/>
    <w:rsid w:val="00F00516"/>
    <w:rsid w:val="00F007BC"/>
    <w:rsid w:val="00F00877"/>
    <w:rsid w:val="00F009ED"/>
    <w:rsid w:val="00F00A8E"/>
    <w:rsid w:val="00F00FC4"/>
    <w:rsid w:val="00F01146"/>
    <w:rsid w:val="00F0117F"/>
    <w:rsid w:val="00F01316"/>
    <w:rsid w:val="00F015A9"/>
    <w:rsid w:val="00F015D6"/>
    <w:rsid w:val="00F01852"/>
    <w:rsid w:val="00F0187A"/>
    <w:rsid w:val="00F01C9A"/>
    <w:rsid w:val="00F01FA2"/>
    <w:rsid w:val="00F02374"/>
    <w:rsid w:val="00F0299B"/>
    <w:rsid w:val="00F02A42"/>
    <w:rsid w:val="00F02A74"/>
    <w:rsid w:val="00F02B37"/>
    <w:rsid w:val="00F030E5"/>
    <w:rsid w:val="00F03111"/>
    <w:rsid w:val="00F032FB"/>
    <w:rsid w:val="00F034B4"/>
    <w:rsid w:val="00F036AA"/>
    <w:rsid w:val="00F03B28"/>
    <w:rsid w:val="00F03D6B"/>
    <w:rsid w:val="00F040C8"/>
    <w:rsid w:val="00F04426"/>
    <w:rsid w:val="00F04AB0"/>
    <w:rsid w:val="00F04DA3"/>
    <w:rsid w:val="00F04EE0"/>
    <w:rsid w:val="00F0512D"/>
    <w:rsid w:val="00F0516F"/>
    <w:rsid w:val="00F056EC"/>
    <w:rsid w:val="00F05E2D"/>
    <w:rsid w:val="00F061F9"/>
    <w:rsid w:val="00F06309"/>
    <w:rsid w:val="00F063F1"/>
    <w:rsid w:val="00F06760"/>
    <w:rsid w:val="00F068DE"/>
    <w:rsid w:val="00F06B16"/>
    <w:rsid w:val="00F06CAC"/>
    <w:rsid w:val="00F0715F"/>
    <w:rsid w:val="00F07923"/>
    <w:rsid w:val="00F07958"/>
    <w:rsid w:val="00F07B2A"/>
    <w:rsid w:val="00F07D5D"/>
    <w:rsid w:val="00F1020A"/>
    <w:rsid w:val="00F1032B"/>
    <w:rsid w:val="00F103BE"/>
    <w:rsid w:val="00F10598"/>
    <w:rsid w:val="00F105B9"/>
    <w:rsid w:val="00F105D3"/>
    <w:rsid w:val="00F106DE"/>
    <w:rsid w:val="00F10964"/>
    <w:rsid w:val="00F10B2C"/>
    <w:rsid w:val="00F10BFD"/>
    <w:rsid w:val="00F10CC5"/>
    <w:rsid w:val="00F10E1E"/>
    <w:rsid w:val="00F118F5"/>
    <w:rsid w:val="00F11D22"/>
    <w:rsid w:val="00F11D75"/>
    <w:rsid w:val="00F11DEB"/>
    <w:rsid w:val="00F11E0F"/>
    <w:rsid w:val="00F11E32"/>
    <w:rsid w:val="00F11E7B"/>
    <w:rsid w:val="00F11F5D"/>
    <w:rsid w:val="00F12057"/>
    <w:rsid w:val="00F12156"/>
    <w:rsid w:val="00F12213"/>
    <w:rsid w:val="00F125DE"/>
    <w:rsid w:val="00F127BB"/>
    <w:rsid w:val="00F128FC"/>
    <w:rsid w:val="00F12A4C"/>
    <w:rsid w:val="00F12C1E"/>
    <w:rsid w:val="00F13B35"/>
    <w:rsid w:val="00F13FCC"/>
    <w:rsid w:val="00F1412A"/>
    <w:rsid w:val="00F14185"/>
    <w:rsid w:val="00F146D1"/>
    <w:rsid w:val="00F1490E"/>
    <w:rsid w:val="00F1514E"/>
    <w:rsid w:val="00F15619"/>
    <w:rsid w:val="00F159D7"/>
    <w:rsid w:val="00F1633B"/>
    <w:rsid w:val="00F1638D"/>
    <w:rsid w:val="00F1639B"/>
    <w:rsid w:val="00F163A1"/>
    <w:rsid w:val="00F16B3B"/>
    <w:rsid w:val="00F17009"/>
    <w:rsid w:val="00F170F1"/>
    <w:rsid w:val="00F17404"/>
    <w:rsid w:val="00F1758B"/>
    <w:rsid w:val="00F175B4"/>
    <w:rsid w:val="00F17B40"/>
    <w:rsid w:val="00F17D6A"/>
    <w:rsid w:val="00F200EB"/>
    <w:rsid w:val="00F20161"/>
    <w:rsid w:val="00F202A5"/>
    <w:rsid w:val="00F2062B"/>
    <w:rsid w:val="00F20868"/>
    <w:rsid w:val="00F20A0D"/>
    <w:rsid w:val="00F20A21"/>
    <w:rsid w:val="00F20AD2"/>
    <w:rsid w:val="00F20C1E"/>
    <w:rsid w:val="00F20D06"/>
    <w:rsid w:val="00F20D65"/>
    <w:rsid w:val="00F2115C"/>
    <w:rsid w:val="00F21D63"/>
    <w:rsid w:val="00F21F34"/>
    <w:rsid w:val="00F222BE"/>
    <w:rsid w:val="00F222EB"/>
    <w:rsid w:val="00F2253D"/>
    <w:rsid w:val="00F22767"/>
    <w:rsid w:val="00F228C7"/>
    <w:rsid w:val="00F22B31"/>
    <w:rsid w:val="00F22B9E"/>
    <w:rsid w:val="00F22E89"/>
    <w:rsid w:val="00F22F03"/>
    <w:rsid w:val="00F22F56"/>
    <w:rsid w:val="00F2313E"/>
    <w:rsid w:val="00F23226"/>
    <w:rsid w:val="00F23429"/>
    <w:rsid w:val="00F2374D"/>
    <w:rsid w:val="00F2385A"/>
    <w:rsid w:val="00F2392E"/>
    <w:rsid w:val="00F24423"/>
    <w:rsid w:val="00F247CB"/>
    <w:rsid w:val="00F24ABA"/>
    <w:rsid w:val="00F24BA6"/>
    <w:rsid w:val="00F24D78"/>
    <w:rsid w:val="00F24DD5"/>
    <w:rsid w:val="00F24E07"/>
    <w:rsid w:val="00F25028"/>
    <w:rsid w:val="00F25752"/>
    <w:rsid w:val="00F257CB"/>
    <w:rsid w:val="00F259A0"/>
    <w:rsid w:val="00F25AFA"/>
    <w:rsid w:val="00F25EF0"/>
    <w:rsid w:val="00F26399"/>
    <w:rsid w:val="00F266C1"/>
    <w:rsid w:val="00F26706"/>
    <w:rsid w:val="00F26887"/>
    <w:rsid w:val="00F26CA4"/>
    <w:rsid w:val="00F2726A"/>
    <w:rsid w:val="00F274A5"/>
    <w:rsid w:val="00F27597"/>
    <w:rsid w:val="00F27634"/>
    <w:rsid w:val="00F27E99"/>
    <w:rsid w:val="00F30326"/>
    <w:rsid w:val="00F308DF"/>
    <w:rsid w:val="00F30913"/>
    <w:rsid w:val="00F30B33"/>
    <w:rsid w:val="00F30B44"/>
    <w:rsid w:val="00F30E6A"/>
    <w:rsid w:val="00F30F73"/>
    <w:rsid w:val="00F31580"/>
    <w:rsid w:val="00F31770"/>
    <w:rsid w:val="00F3191C"/>
    <w:rsid w:val="00F31AFE"/>
    <w:rsid w:val="00F31CCB"/>
    <w:rsid w:val="00F31D1B"/>
    <w:rsid w:val="00F31DE5"/>
    <w:rsid w:val="00F31E3C"/>
    <w:rsid w:val="00F31F39"/>
    <w:rsid w:val="00F32095"/>
    <w:rsid w:val="00F320B4"/>
    <w:rsid w:val="00F32233"/>
    <w:rsid w:val="00F32616"/>
    <w:rsid w:val="00F32A30"/>
    <w:rsid w:val="00F32C36"/>
    <w:rsid w:val="00F33405"/>
    <w:rsid w:val="00F3353C"/>
    <w:rsid w:val="00F33A8E"/>
    <w:rsid w:val="00F33C80"/>
    <w:rsid w:val="00F3403A"/>
    <w:rsid w:val="00F343F7"/>
    <w:rsid w:val="00F347BF"/>
    <w:rsid w:val="00F34989"/>
    <w:rsid w:val="00F34B0F"/>
    <w:rsid w:val="00F34D7B"/>
    <w:rsid w:val="00F352FF"/>
    <w:rsid w:val="00F353A4"/>
    <w:rsid w:val="00F355DE"/>
    <w:rsid w:val="00F35A23"/>
    <w:rsid w:val="00F35ADC"/>
    <w:rsid w:val="00F35BBA"/>
    <w:rsid w:val="00F35C28"/>
    <w:rsid w:val="00F36181"/>
    <w:rsid w:val="00F36362"/>
    <w:rsid w:val="00F36652"/>
    <w:rsid w:val="00F368E4"/>
    <w:rsid w:val="00F368FE"/>
    <w:rsid w:val="00F36C8E"/>
    <w:rsid w:val="00F36E7B"/>
    <w:rsid w:val="00F36F69"/>
    <w:rsid w:val="00F37206"/>
    <w:rsid w:val="00F37322"/>
    <w:rsid w:val="00F37AA8"/>
    <w:rsid w:val="00F37E1E"/>
    <w:rsid w:val="00F37E48"/>
    <w:rsid w:val="00F37EE1"/>
    <w:rsid w:val="00F40162"/>
    <w:rsid w:val="00F40CB7"/>
    <w:rsid w:val="00F41072"/>
    <w:rsid w:val="00F410A1"/>
    <w:rsid w:val="00F4189F"/>
    <w:rsid w:val="00F41AB6"/>
    <w:rsid w:val="00F41F65"/>
    <w:rsid w:val="00F42327"/>
    <w:rsid w:val="00F42B8D"/>
    <w:rsid w:val="00F42D24"/>
    <w:rsid w:val="00F42FE8"/>
    <w:rsid w:val="00F43573"/>
    <w:rsid w:val="00F43970"/>
    <w:rsid w:val="00F43A1B"/>
    <w:rsid w:val="00F43A2F"/>
    <w:rsid w:val="00F43D8D"/>
    <w:rsid w:val="00F44233"/>
    <w:rsid w:val="00F4462A"/>
    <w:rsid w:val="00F44820"/>
    <w:rsid w:val="00F44845"/>
    <w:rsid w:val="00F44C67"/>
    <w:rsid w:val="00F44EFF"/>
    <w:rsid w:val="00F45478"/>
    <w:rsid w:val="00F45673"/>
    <w:rsid w:val="00F45729"/>
    <w:rsid w:val="00F45DCF"/>
    <w:rsid w:val="00F45FBA"/>
    <w:rsid w:val="00F45FD6"/>
    <w:rsid w:val="00F45FDA"/>
    <w:rsid w:val="00F468EB"/>
    <w:rsid w:val="00F46CD1"/>
    <w:rsid w:val="00F47049"/>
    <w:rsid w:val="00F47314"/>
    <w:rsid w:val="00F4747A"/>
    <w:rsid w:val="00F47800"/>
    <w:rsid w:val="00F47A03"/>
    <w:rsid w:val="00F47FC4"/>
    <w:rsid w:val="00F50277"/>
    <w:rsid w:val="00F502ED"/>
    <w:rsid w:val="00F506A9"/>
    <w:rsid w:val="00F50B02"/>
    <w:rsid w:val="00F5112D"/>
    <w:rsid w:val="00F51165"/>
    <w:rsid w:val="00F5149F"/>
    <w:rsid w:val="00F51561"/>
    <w:rsid w:val="00F515FE"/>
    <w:rsid w:val="00F51722"/>
    <w:rsid w:val="00F51AF6"/>
    <w:rsid w:val="00F51ED3"/>
    <w:rsid w:val="00F52C23"/>
    <w:rsid w:val="00F52D12"/>
    <w:rsid w:val="00F52D7B"/>
    <w:rsid w:val="00F52ECA"/>
    <w:rsid w:val="00F5334E"/>
    <w:rsid w:val="00F535B6"/>
    <w:rsid w:val="00F53971"/>
    <w:rsid w:val="00F53991"/>
    <w:rsid w:val="00F53A4E"/>
    <w:rsid w:val="00F53BDF"/>
    <w:rsid w:val="00F53EA9"/>
    <w:rsid w:val="00F54503"/>
    <w:rsid w:val="00F5466F"/>
    <w:rsid w:val="00F54BAF"/>
    <w:rsid w:val="00F54C5A"/>
    <w:rsid w:val="00F54CEB"/>
    <w:rsid w:val="00F550C2"/>
    <w:rsid w:val="00F551D0"/>
    <w:rsid w:val="00F5572E"/>
    <w:rsid w:val="00F559F4"/>
    <w:rsid w:val="00F55A93"/>
    <w:rsid w:val="00F55BBA"/>
    <w:rsid w:val="00F55C53"/>
    <w:rsid w:val="00F55F70"/>
    <w:rsid w:val="00F5608E"/>
    <w:rsid w:val="00F560E8"/>
    <w:rsid w:val="00F567C9"/>
    <w:rsid w:val="00F5682B"/>
    <w:rsid w:val="00F56E4C"/>
    <w:rsid w:val="00F570F3"/>
    <w:rsid w:val="00F5713D"/>
    <w:rsid w:val="00F571BA"/>
    <w:rsid w:val="00F575AE"/>
    <w:rsid w:val="00F57653"/>
    <w:rsid w:val="00F57A0B"/>
    <w:rsid w:val="00F57B52"/>
    <w:rsid w:val="00F60255"/>
    <w:rsid w:val="00F603DB"/>
    <w:rsid w:val="00F605BE"/>
    <w:rsid w:val="00F605CA"/>
    <w:rsid w:val="00F6062A"/>
    <w:rsid w:val="00F607EC"/>
    <w:rsid w:val="00F60ED6"/>
    <w:rsid w:val="00F610B6"/>
    <w:rsid w:val="00F613D1"/>
    <w:rsid w:val="00F61ADE"/>
    <w:rsid w:val="00F61E44"/>
    <w:rsid w:val="00F61EB8"/>
    <w:rsid w:val="00F61F05"/>
    <w:rsid w:val="00F620D5"/>
    <w:rsid w:val="00F6233C"/>
    <w:rsid w:val="00F6241E"/>
    <w:rsid w:val="00F62706"/>
    <w:rsid w:val="00F62A75"/>
    <w:rsid w:val="00F62A97"/>
    <w:rsid w:val="00F631B5"/>
    <w:rsid w:val="00F6340E"/>
    <w:rsid w:val="00F640A0"/>
    <w:rsid w:val="00F6445F"/>
    <w:rsid w:val="00F644C9"/>
    <w:rsid w:val="00F64949"/>
    <w:rsid w:val="00F64B32"/>
    <w:rsid w:val="00F64B6E"/>
    <w:rsid w:val="00F64B7F"/>
    <w:rsid w:val="00F64DCC"/>
    <w:rsid w:val="00F64E5B"/>
    <w:rsid w:val="00F64FEB"/>
    <w:rsid w:val="00F6588F"/>
    <w:rsid w:val="00F658D3"/>
    <w:rsid w:val="00F659C4"/>
    <w:rsid w:val="00F661CD"/>
    <w:rsid w:val="00F662CB"/>
    <w:rsid w:val="00F6649D"/>
    <w:rsid w:val="00F66625"/>
    <w:rsid w:val="00F6699A"/>
    <w:rsid w:val="00F66C21"/>
    <w:rsid w:val="00F67054"/>
    <w:rsid w:val="00F67575"/>
    <w:rsid w:val="00F7014D"/>
    <w:rsid w:val="00F701E1"/>
    <w:rsid w:val="00F70512"/>
    <w:rsid w:val="00F70614"/>
    <w:rsid w:val="00F707F3"/>
    <w:rsid w:val="00F708F5"/>
    <w:rsid w:val="00F70BE7"/>
    <w:rsid w:val="00F70C80"/>
    <w:rsid w:val="00F70C8B"/>
    <w:rsid w:val="00F70DC8"/>
    <w:rsid w:val="00F70E72"/>
    <w:rsid w:val="00F7114E"/>
    <w:rsid w:val="00F71773"/>
    <w:rsid w:val="00F71AE1"/>
    <w:rsid w:val="00F71B7A"/>
    <w:rsid w:val="00F720AC"/>
    <w:rsid w:val="00F7211C"/>
    <w:rsid w:val="00F7238A"/>
    <w:rsid w:val="00F72617"/>
    <w:rsid w:val="00F7270B"/>
    <w:rsid w:val="00F728B3"/>
    <w:rsid w:val="00F72998"/>
    <w:rsid w:val="00F73052"/>
    <w:rsid w:val="00F73651"/>
    <w:rsid w:val="00F7399D"/>
    <w:rsid w:val="00F73DBC"/>
    <w:rsid w:val="00F73F42"/>
    <w:rsid w:val="00F74004"/>
    <w:rsid w:val="00F74202"/>
    <w:rsid w:val="00F742CE"/>
    <w:rsid w:val="00F74334"/>
    <w:rsid w:val="00F748FE"/>
    <w:rsid w:val="00F74A44"/>
    <w:rsid w:val="00F74B74"/>
    <w:rsid w:val="00F74E51"/>
    <w:rsid w:val="00F74E66"/>
    <w:rsid w:val="00F74E7A"/>
    <w:rsid w:val="00F74F6F"/>
    <w:rsid w:val="00F7508F"/>
    <w:rsid w:val="00F751BC"/>
    <w:rsid w:val="00F75235"/>
    <w:rsid w:val="00F75272"/>
    <w:rsid w:val="00F75869"/>
    <w:rsid w:val="00F75E1D"/>
    <w:rsid w:val="00F7660E"/>
    <w:rsid w:val="00F76E97"/>
    <w:rsid w:val="00F76F5A"/>
    <w:rsid w:val="00F775D1"/>
    <w:rsid w:val="00F77692"/>
    <w:rsid w:val="00F77731"/>
    <w:rsid w:val="00F77ABD"/>
    <w:rsid w:val="00F77B4A"/>
    <w:rsid w:val="00F77FEF"/>
    <w:rsid w:val="00F801E6"/>
    <w:rsid w:val="00F80204"/>
    <w:rsid w:val="00F802B4"/>
    <w:rsid w:val="00F80637"/>
    <w:rsid w:val="00F807C0"/>
    <w:rsid w:val="00F807F4"/>
    <w:rsid w:val="00F80B6F"/>
    <w:rsid w:val="00F80BAD"/>
    <w:rsid w:val="00F80C00"/>
    <w:rsid w:val="00F80DF3"/>
    <w:rsid w:val="00F80F2C"/>
    <w:rsid w:val="00F8106D"/>
    <w:rsid w:val="00F81234"/>
    <w:rsid w:val="00F813EC"/>
    <w:rsid w:val="00F81DDA"/>
    <w:rsid w:val="00F82049"/>
    <w:rsid w:val="00F82308"/>
    <w:rsid w:val="00F8241A"/>
    <w:rsid w:val="00F826F6"/>
    <w:rsid w:val="00F82722"/>
    <w:rsid w:val="00F827C8"/>
    <w:rsid w:val="00F82A24"/>
    <w:rsid w:val="00F82B8E"/>
    <w:rsid w:val="00F82CF3"/>
    <w:rsid w:val="00F82D9F"/>
    <w:rsid w:val="00F82DBC"/>
    <w:rsid w:val="00F830E4"/>
    <w:rsid w:val="00F833E6"/>
    <w:rsid w:val="00F833FF"/>
    <w:rsid w:val="00F83507"/>
    <w:rsid w:val="00F83557"/>
    <w:rsid w:val="00F836EE"/>
    <w:rsid w:val="00F83788"/>
    <w:rsid w:val="00F8395C"/>
    <w:rsid w:val="00F83F72"/>
    <w:rsid w:val="00F843A2"/>
    <w:rsid w:val="00F84507"/>
    <w:rsid w:val="00F8484B"/>
    <w:rsid w:val="00F84A0C"/>
    <w:rsid w:val="00F84C69"/>
    <w:rsid w:val="00F84DAC"/>
    <w:rsid w:val="00F851CB"/>
    <w:rsid w:val="00F851DD"/>
    <w:rsid w:val="00F8532D"/>
    <w:rsid w:val="00F85891"/>
    <w:rsid w:val="00F85BD6"/>
    <w:rsid w:val="00F85C19"/>
    <w:rsid w:val="00F85D6C"/>
    <w:rsid w:val="00F85E4F"/>
    <w:rsid w:val="00F86446"/>
    <w:rsid w:val="00F86607"/>
    <w:rsid w:val="00F86A19"/>
    <w:rsid w:val="00F86A74"/>
    <w:rsid w:val="00F86BF1"/>
    <w:rsid w:val="00F86F86"/>
    <w:rsid w:val="00F870F8"/>
    <w:rsid w:val="00F8714D"/>
    <w:rsid w:val="00F87294"/>
    <w:rsid w:val="00F87402"/>
    <w:rsid w:val="00F877EE"/>
    <w:rsid w:val="00F9012C"/>
    <w:rsid w:val="00F9013E"/>
    <w:rsid w:val="00F903AE"/>
    <w:rsid w:val="00F906E3"/>
    <w:rsid w:val="00F90995"/>
    <w:rsid w:val="00F90AD5"/>
    <w:rsid w:val="00F90D6E"/>
    <w:rsid w:val="00F9159C"/>
    <w:rsid w:val="00F916CD"/>
    <w:rsid w:val="00F918DE"/>
    <w:rsid w:val="00F91B11"/>
    <w:rsid w:val="00F91B72"/>
    <w:rsid w:val="00F9213C"/>
    <w:rsid w:val="00F9234F"/>
    <w:rsid w:val="00F9240C"/>
    <w:rsid w:val="00F924DF"/>
    <w:rsid w:val="00F92608"/>
    <w:rsid w:val="00F92DA7"/>
    <w:rsid w:val="00F932C5"/>
    <w:rsid w:val="00F93376"/>
    <w:rsid w:val="00F9360C"/>
    <w:rsid w:val="00F937BA"/>
    <w:rsid w:val="00F937DC"/>
    <w:rsid w:val="00F93EAB"/>
    <w:rsid w:val="00F941FA"/>
    <w:rsid w:val="00F9430D"/>
    <w:rsid w:val="00F945DA"/>
    <w:rsid w:val="00F949E1"/>
    <w:rsid w:val="00F94B37"/>
    <w:rsid w:val="00F94E0B"/>
    <w:rsid w:val="00F950B9"/>
    <w:rsid w:val="00F95227"/>
    <w:rsid w:val="00F9527D"/>
    <w:rsid w:val="00F9532A"/>
    <w:rsid w:val="00F95734"/>
    <w:rsid w:val="00F9580D"/>
    <w:rsid w:val="00F95A73"/>
    <w:rsid w:val="00F95CA3"/>
    <w:rsid w:val="00F960F7"/>
    <w:rsid w:val="00F962BB"/>
    <w:rsid w:val="00F962CB"/>
    <w:rsid w:val="00F9688B"/>
    <w:rsid w:val="00F96BD3"/>
    <w:rsid w:val="00F97032"/>
    <w:rsid w:val="00F9724F"/>
    <w:rsid w:val="00F9731B"/>
    <w:rsid w:val="00F9752F"/>
    <w:rsid w:val="00F97D89"/>
    <w:rsid w:val="00F97E14"/>
    <w:rsid w:val="00F97E1E"/>
    <w:rsid w:val="00FA0064"/>
    <w:rsid w:val="00FA09B0"/>
    <w:rsid w:val="00FA09E1"/>
    <w:rsid w:val="00FA0AAD"/>
    <w:rsid w:val="00FA0BDB"/>
    <w:rsid w:val="00FA0C29"/>
    <w:rsid w:val="00FA0C43"/>
    <w:rsid w:val="00FA108F"/>
    <w:rsid w:val="00FA15D0"/>
    <w:rsid w:val="00FA16EA"/>
    <w:rsid w:val="00FA197D"/>
    <w:rsid w:val="00FA1AAD"/>
    <w:rsid w:val="00FA1C4E"/>
    <w:rsid w:val="00FA1DDD"/>
    <w:rsid w:val="00FA2262"/>
    <w:rsid w:val="00FA2785"/>
    <w:rsid w:val="00FA296B"/>
    <w:rsid w:val="00FA3377"/>
    <w:rsid w:val="00FA3411"/>
    <w:rsid w:val="00FA3893"/>
    <w:rsid w:val="00FA449E"/>
    <w:rsid w:val="00FA477C"/>
    <w:rsid w:val="00FA4C74"/>
    <w:rsid w:val="00FA534E"/>
    <w:rsid w:val="00FA5500"/>
    <w:rsid w:val="00FA556D"/>
    <w:rsid w:val="00FA59E0"/>
    <w:rsid w:val="00FA5A96"/>
    <w:rsid w:val="00FA5C36"/>
    <w:rsid w:val="00FA5E33"/>
    <w:rsid w:val="00FA607A"/>
    <w:rsid w:val="00FA620E"/>
    <w:rsid w:val="00FA623A"/>
    <w:rsid w:val="00FA63B9"/>
    <w:rsid w:val="00FA649A"/>
    <w:rsid w:val="00FA6EDD"/>
    <w:rsid w:val="00FA7111"/>
    <w:rsid w:val="00FA7127"/>
    <w:rsid w:val="00FA757E"/>
    <w:rsid w:val="00FA7B60"/>
    <w:rsid w:val="00FA7D3F"/>
    <w:rsid w:val="00FB01DC"/>
    <w:rsid w:val="00FB030D"/>
    <w:rsid w:val="00FB0771"/>
    <w:rsid w:val="00FB0DDE"/>
    <w:rsid w:val="00FB100A"/>
    <w:rsid w:val="00FB128D"/>
    <w:rsid w:val="00FB131A"/>
    <w:rsid w:val="00FB134C"/>
    <w:rsid w:val="00FB13BD"/>
    <w:rsid w:val="00FB14CC"/>
    <w:rsid w:val="00FB15D2"/>
    <w:rsid w:val="00FB1690"/>
    <w:rsid w:val="00FB1A7A"/>
    <w:rsid w:val="00FB1A95"/>
    <w:rsid w:val="00FB1AA6"/>
    <w:rsid w:val="00FB23FF"/>
    <w:rsid w:val="00FB260F"/>
    <w:rsid w:val="00FB26AA"/>
    <w:rsid w:val="00FB296A"/>
    <w:rsid w:val="00FB2C03"/>
    <w:rsid w:val="00FB2CF2"/>
    <w:rsid w:val="00FB2DF4"/>
    <w:rsid w:val="00FB3019"/>
    <w:rsid w:val="00FB32EE"/>
    <w:rsid w:val="00FB34CB"/>
    <w:rsid w:val="00FB3644"/>
    <w:rsid w:val="00FB37D7"/>
    <w:rsid w:val="00FB3F22"/>
    <w:rsid w:val="00FB424E"/>
    <w:rsid w:val="00FB4662"/>
    <w:rsid w:val="00FB46E3"/>
    <w:rsid w:val="00FB4935"/>
    <w:rsid w:val="00FB4A03"/>
    <w:rsid w:val="00FB4A15"/>
    <w:rsid w:val="00FB4B11"/>
    <w:rsid w:val="00FB4B5B"/>
    <w:rsid w:val="00FB4B97"/>
    <w:rsid w:val="00FB4DF7"/>
    <w:rsid w:val="00FB4FB4"/>
    <w:rsid w:val="00FB5290"/>
    <w:rsid w:val="00FB52E6"/>
    <w:rsid w:val="00FB54D8"/>
    <w:rsid w:val="00FB54DB"/>
    <w:rsid w:val="00FB558F"/>
    <w:rsid w:val="00FB570B"/>
    <w:rsid w:val="00FB5943"/>
    <w:rsid w:val="00FB5A1C"/>
    <w:rsid w:val="00FB5F00"/>
    <w:rsid w:val="00FB600B"/>
    <w:rsid w:val="00FB60B9"/>
    <w:rsid w:val="00FB657B"/>
    <w:rsid w:val="00FB68A7"/>
    <w:rsid w:val="00FB6923"/>
    <w:rsid w:val="00FB6B01"/>
    <w:rsid w:val="00FB6BEF"/>
    <w:rsid w:val="00FB72D5"/>
    <w:rsid w:val="00FB738D"/>
    <w:rsid w:val="00FB7AD9"/>
    <w:rsid w:val="00FB7C2A"/>
    <w:rsid w:val="00FB7CE7"/>
    <w:rsid w:val="00FB7EBD"/>
    <w:rsid w:val="00FC0001"/>
    <w:rsid w:val="00FC04B3"/>
    <w:rsid w:val="00FC060E"/>
    <w:rsid w:val="00FC072E"/>
    <w:rsid w:val="00FC0CE2"/>
    <w:rsid w:val="00FC0E0B"/>
    <w:rsid w:val="00FC11B9"/>
    <w:rsid w:val="00FC144D"/>
    <w:rsid w:val="00FC1542"/>
    <w:rsid w:val="00FC1BD0"/>
    <w:rsid w:val="00FC1BEF"/>
    <w:rsid w:val="00FC1E42"/>
    <w:rsid w:val="00FC2673"/>
    <w:rsid w:val="00FC27E3"/>
    <w:rsid w:val="00FC2CA2"/>
    <w:rsid w:val="00FC2E0C"/>
    <w:rsid w:val="00FC2FB9"/>
    <w:rsid w:val="00FC32FB"/>
    <w:rsid w:val="00FC33BA"/>
    <w:rsid w:val="00FC3605"/>
    <w:rsid w:val="00FC374C"/>
    <w:rsid w:val="00FC388D"/>
    <w:rsid w:val="00FC39DB"/>
    <w:rsid w:val="00FC3B14"/>
    <w:rsid w:val="00FC3B3E"/>
    <w:rsid w:val="00FC3CF8"/>
    <w:rsid w:val="00FC3DA4"/>
    <w:rsid w:val="00FC44FD"/>
    <w:rsid w:val="00FC453B"/>
    <w:rsid w:val="00FC4AC6"/>
    <w:rsid w:val="00FC52B9"/>
    <w:rsid w:val="00FC5465"/>
    <w:rsid w:val="00FC5496"/>
    <w:rsid w:val="00FC5617"/>
    <w:rsid w:val="00FC568C"/>
    <w:rsid w:val="00FC5740"/>
    <w:rsid w:val="00FC58F8"/>
    <w:rsid w:val="00FC5B61"/>
    <w:rsid w:val="00FC63B1"/>
    <w:rsid w:val="00FC6B17"/>
    <w:rsid w:val="00FC6C9E"/>
    <w:rsid w:val="00FC711D"/>
    <w:rsid w:val="00FC73F0"/>
    <w:rsid w:val="00FC74B1"/>
    <w:rsid w:val="00FC77B3"/>
    <w:rsid w:val="00FC7902"/>
    <w:rsid w:val="00FD0649"/>
    <w:rsid w:val="00FD0873"/>
    <w:rsid w:val="00FD11FB"/>
    <w:rsid w:val="00FD1525"/>
    <w:rsid w:val="00FD1570"/>
    <w:rsid w:val="00FD1627"/>
    <w:rsid w:val="00FD1795"/>
    <w:rsid w:val="00FD1877"/>
    <w:rsid w:val="00FD1A46"/>
    <w:rsid w:val="00FD1C49"/>
    <w:rsid w:val="00FD1D9E"/>
    <w:rsid w:val="00FD1E65"/>
    <w:rsid w:val="00FD1F8C"/>
    <w:rsid w:val="00FD1FC1"/>
    <w:rsid w:val="00FD2106"/>
    <w:rsid w:val="00FD23C8"/>
    <w:rsid w:val="00FD26D3"/>
    <w:rsid w:val="00FD2AD3"/>
    <w:rsid w:val="00FD3045"/>
    <w:rsid w:val="00FD35BF"/>
    <w:rsid w:val="00FD39ED"/>
    <w:rsid w:val="00FD3AA3"/>
    <w:rsid w:val="00FD3D27"/>
    <w:rsid w:val="00FD4147"/>
    <w:rsid w:val="00FD414F"/>
    <w:rsid w:val="00FD42CA"/>
    <w:rsid w:val="00FD43D9"/>
    <w:rsid w:val="00FD444F"/>
    <w:rsid w:val="00FD48C1"/>
    <w:rsid w:val="00FD4B6E"/>
    <w:rsid w:val="00FD4C2D"/>
    <w:rsid w:val="00FD4D2F"/>
    <w:rsid w:val="00FD4E16"/>
    <w:rsid w:val="00FD5079"/>
    <w:rsid w:val="00FD51ED"/>
    <w:rsid w:val="00FD5232"/>
    <w:rsid w:val="00FD5B8A"/>
    <w:rsid w:val="00FD5C15"/>
    <w:rsid w:val="00FD5DDC"/>
    <w:rsid w:val="00FD6113"/>
    <w:rsid w:val="00FD637E"/>
    <w:rsid w:val="00FD6453"/>
    <w:rsid w:val="00FD69AD"/>
    <w:rsid w:val="00FD6C92"/>
    <w:rsid w:val="00FD70D7"/>
    <w:rsid w:val="00FD72E9"/>
    <w:rsid w:val="00FD7321"/>
    <w:rsid w:val="00FD76D5"/>
    <w:rsid w:val="00FD76FE"/>
    <w:rsid w:val="00FD7BA0"/>
    <w:rsid w:val="00FD7BA5"/>
    <w:rsid w:val="00FD7CC7"/>
    <w:rsid w:val="00FD7D80"/>
    <w:rsid w:val="00FE0840"/>
    <w:rsid w:val="00FE08C1"/>
    <w:rsid w:val="00FE0A4F"/>
    <w:rsid w:val="00FE0B45"/>
    <w:rsid w:val="00FE0DC5"/>
    <w:rsid w:val="00FE0EB8"/>
    <w:rsid w:val="00FE108F"/>
    <w:rsid w:val="00FE1BC5"/>
    <w:rsid w:val="00FE1D49"/>
    <w:rsid w:val="00FE206D"/>
    <w:rsid w:val="00FE2265"/>
    <w:rsid w:val="00FE22E0"/>
    <w:rsid w:val="00FE22FF"/>
    <w:rsid w:val="00FE27DD"/>
    <w:rsid w:val="00FE2DC5"/>
    <w:rsid w:val="00FE38CF"/>
    <w:rsid w:val="00FE3F90"/>
    <w:rsid w:val="00FE42A3"/>
    <w:rsid w:val="00FE4B31"/>
    <w:rsid w:val="00FE4BB4"/>
    <w:rsid w:val="00FE4D5C"/>
    <w:rsid w:val="00FE4E42"/>
    <w:rsid w:val="00FE4EBF"/>
    <w:rsid w:val="00FE50A1"/>
    <w:rsid w:val="00FE53B6"/>
    <w:rsid w:val="00FE5934"/>
    <w:rsid w:val="00FE5BAA"/>
    <w:rsid w:val="00FE5CE2"/>
    <w:rsid w:val="00FE5D68"/>
    <w:rsid w:val="00FE623F"/>
    <w:rsid w:val="00FE6410"/>
    <w:rsid w:val="00FE6B94"/>
    <w:rsid w:val="00FE6FE4"/>
    <w:rsid w:val="00FE71CA"/>
    <w:rsid w:val="00FE729C"/>
    <w:rsid w:val="00FE73E2"/>
    <w:rsid w:val="00FF0256"/>
    <w:rsid w:val="00FF0C1A"/>
    <w:rsid w:val="00FF10BF"/>
    <w:rsid w:val="00FF12DD"/>
    <w:rsid w:val="00FF1A41"/>
    <w:rsid w:val="00FF1D80"/>
    <w:rsid w:val="00FF1E70"/>
    <w:rsid w:val="00FF21B0"/>
    <w:rsid w:val="00FF2614"/>
    <w:rsid w:val="00FF2CB0"/>
    <w:rsid w:val="00FF2D64"/>
    <w:rsid w:val="00FF30D0"/>
    <w:rsid w:val="00FF3540"/>
    <w:rsid w:val="00FF362C"/>
    <w:rsid w:val="00FF38AD"/>
    <w:rsid w:val="00FF407D"/>
    <w:rsid w:val="00FF40EF"/>
    <w:rsid w:val="00FF46A3"/>
    <w:rsid w:val="00FF49CA"/>
    <w:rsid w:val="00FF4AF4"/>
    <w:rsid w:val="00FF51C2"/>
    <w:rsid w:val="00FF52A1"/>
    <w:rsid w:val="00FF52AC"/>
    <w:rsid w:val="00FF52BE"/>
    <w:rsid w:val="00FF5502"/>
    <w:rsid w:val="00FF581D"/>
    <w:rsid w:val="00FF5BAE"/>
    <w:rsid w:val="00FF5EE3"/>
    <w:rsid w:val="00FF604A"/>
    <w:rsid w:val="00FF6452"/>
    <w:rsid w:val="00FF67F3"/>
    <w:rsid w:val="00FF69FF"/>
    <w:rsid w:val="00FF6C70"/>
    <w:rsid w:val="00FF6F8F"/>
    <w:rsid w:val="00FF778A"/>
    <w:rsid w:val="00FF799D"/>
    <w:rsid w:val="00FF79EB"/>
    <w:rsid w:val="00FF7A47"/>
    <w:rsid w:val="01469D3F"/>
    <w:rsid w:val="02B96E1A"/>
    <w:rsid w:val="039A21C9"/>
    <w:rsid w:val="03ED03B4"/>
    <w:rsid w:val="0461D70D"/>
    <w:rsid w:val="04BAAA1E"/>
    <w:rsid w:val="05A39E98"/>
    <w:rsid w:val="0829E990"/>
    <w:rsid w:val="08A912E8"/>
    <w:rsid w:val="08CC5AFC"/>
    <w:rsid w:val="08F1BF4E"/>
    <w:rsid w:val="09EF9EAA"/>
    <w:rsid w:val="0B81099D"/>
    <w:rsid w:val="0B8330C2"/>
    <w:rsid w:val="0BDBC1F1"/>
    <w:rsid w:val="0CB55567"/>
    <w:rsid w:val="0D290D04"/>
    <w:rsid w:val="0DE6F584"/>
    <w:rsid w:val="0E29930A"/>
    <w:rsid w:val="0EE1B724"/>
    <w:rsid w:val="0F0E40C3"/>
    <w:rsid w:val="0FCEB8CE"/>
    <w:rsid w:val="0FDAFE8F"/>
    <w:rsid w:val="0FF9E45A"/>
    <w:rsid w:val="1336CFC5"/>
    <w:rsid w:val="13413A7F"/>
    <w:rsid w:val="13D57851"/>
    <w:rsid w:val="16940298"/>
    <w:rsid w:val="179F0486"/>
    <w:rsid w:val="17AE144E"/>
    <w:rsid w:val="186D23AD"/>
    <w:rsid w:val="197D8007"/>
    <w:rsid w:val="19DD61AE"/>
    <w:rsid w:val="19FDB921"/>
    <w:rsid w:val="1A41B1CC"/>
    <w:rsid w:val="1B567A91"/>
    <w:rsid w:val="1BD98678"/>
    <w:rsid w:val="1CEDD5A3"/>
    <w:rsid w:val="1E08379F"/>
    <w:rsid w:val="1EA8BD29"/>
    <w:rsid w:val="1EB23E46"/>
    <w:rsid w:val="20403330"/>
    <w:rsid w:val="2075D8AD"/>
    <w:rsid w:val="2086CDAA"/>
    <w:rsid w:val="21270BD6"/>
    <w:rsid w:val="21286234"/>
    <w:rsid w:val="215E5D93"/>
    <w:rsid w:val="22423265"/>
    <w:rsid w:val="22BC4F4A"/>
    <w:rsid w:val="244C0539"/>
    <w:rsid w:val="274BDC71"/>
    <w:rsid w:val="27DD7928"/>
    <w:rsid w:val="27ECC415"/>
    <w:rsid w:val="27F095EB"/>
    <w:rsid w:val="288BDF8A"/>
    <w:rsid w:val="2951C83C"/>
    <w:rsid w:val="2A5DF3B5"/>
    <w:rsid w:val="2B3A8F88"/>
    <w:rsid w:val="2C116C0B"/>
    <w:rsid w:val="2CC44216"/>
    <w:rsid w:val="2D3A18A0"/>
    <w:rsid w:val="2D7E81B1"/>
    <w:rsid w:val="2E8F868C"/>
    <w:rsid w:val="31348CD8"/>
    <w:rsid w:val="31A332B1"/>
    <w:rsid w:val="31BC8311"/>
    <w:rsid w:val="342A2223"/>
    <w:rsid w:val="3438DE1E"/>
    <w:rsid w:val="348C2846"/>
    <w:rsid w:val="3597E477"/>
    <w:rsid w:val="35C234AA"/>
    <w:rsid w:val="36B9812A"/>
    <w:rsid w:val="36D42CD9"/>
    <w:rsid w:val="39F5D045"/>
    <w:rsid w:val="3B177A7B"/>
    <w:rsid w:val="3B648877"/>
    <w:rsid w:val="3BC4B557"/>
    <w:rsid w:val="3CF01A20"/>
    <w:rsid w:val="3F406ED7"/>
    <w:rsid w:val="3F770F37"/>
    <w:rsid w:val="3FF6A565"/>
    <w:rsid w:val="401DEC30"/>
    <w:rsid w:val="40CD4BCA"/>
    <w:rsid w:val="412938D4"/>
    <w:rsid w:val="41629F04"/>
    <w:rsid w:val="420FF13A"/>
    <w:rsid w:val="44085D14"/>
    <w:rsid w:val="4436DBEC"/>
    <w:rsid w:val="4475626F"/>
    <w:rsid w:val="45622655"/>
    <w:rsid w:val="45DE9B80"/>
    <w:rsid w:val="46FD2E89"/>
    <w:rsid w:val="470DB468"/>
    <w:rsid w:val="47C79BDD"/>
    <w:rsid w:val="489ED7AF"/>
    <w:rsid w:val="48D8ABB2"/>
    <w:rsid w:val="48E5850C"/>
    <w:rsid w:val="4BC4BA70"/>
    <w:rsid w:val="4C0B58B5"/>
    <w:rsid w:val="4C38E51E"/>
    <w:rsid w:val="4D11B343"/>
    <w:rsid w:val="4D7AEDF0"/>
    <w:rsid w:val="4E08D3CF"/>
    <w:rsid w:val="4E56FEC8"/>
    <w:rsid w:val="5098A3F9"/>
    <w:rsid w:val="518FFCEC"/>
    <w:rsid w:val="5198DC07"/>
    <w:rsid w:val="54F5536A"/>
    <w:rsid w:val="562BB750"/>
    <w:rsid w:val="56853C50"/>
    <w:rsid w:val="5721A552"/>
    <w:rsid w:val="57A02B06"/>
    <w:rsid w:val="583FB2C2"/>
    <w:rsid w:val="5841867F"/>
    <w:rsid w:val="5847A8C8"/>
    <w:rsid w:val="5B46D38F"/>
    <w:rsid w:val="5BCD75C8"/>
    <w:rsid w:val="5BDCFC36"/>
    <w:rsid w:val="5C2D410F"/>
    <w:rsid w:val="5CDC03A5"/>
    <w:rsid w:val="5D4F74F5"/>
    <w:rsid w:val="5E10D304"/>
    <w:rsid w:val="5E28E910"/>
    <w:rsid w:val="5E595FCA"/>
    <w:rsid w:val="5E6E735C"/>
    <w:rsid w:val="5FE44AE8"/>
    <w:rsid w:val="60A755D3"/>
    <w:rsid w:val="61CAA579"/>
    <w:rsid w:val="6234ADFB"/>
    <w:rsid w:val="629675CE"/>
    <w:rsid w:val="62E80F13"/>
    <w:rsid w:val="638639BE"/>
    <w:rsid w:val="6392CF90"/>
    <w:rsid w:val="63A4FE66"/>
    <w:rsid w:val="66009959"/>
    <w:rsid w:val="6678E097"/>
    <w:rsid w:val="67368ED7"/>
    <w:rsid w:val="6808F7D0"/>
    <w:rsid w:val="68962A72"/>
    <w:rsid w:val="692998FA"/>
    <w:rsid w:val="69300448"/>
    <w:rsid w:val="6994B570"/>
    <w:rsid w:val="69C7B918"/>
    <w:rsid w:val="6BACB42A"/>
    <w:rsid w:val="6D30B9EE"/>
    <w:rsid w:val="6E879983"/>
    <w:rsid w:val="6EB0CFED"/>
    <w:rsid w:val="6EFDD1DD"/>
    <w:rsid w:val="6F99E0AD"/>
    <w:rsid w:val="6FE00084"/>
    <w:rsid w:val="6FF63BDB"/>
    <w:rsid w:val="70C771F8"/>
    <w:rsid w:val="71AE412A"/>
    <w:rsid w:val="724B9CBD"/>
    <w:rsid w:val="73D3ADE0"/>
    <w:rsid w:val="74668C98"/>
    <w:rsid w:val="7577E9F7"/>
    <w:rsid w:val="759F1B46"/>
    <w:rsid w:val="77C4D985"/>
    <w:rsid w:val="784ADA76"/>
    <w:rsid w:val="788E9267"/>
    <w:rsid w:val="7907F8A7"/>
    <w:rsid w:val="799D7436"/>
    <w:rsid w:val="79A08C3C"/>
    <w:rsid w:val="7A203904"/>
    <w:rsid w:val="7A3A9D05"/>
    <w:rsid w:val="7B6E41D9"/>
    <w:rsid w:val="7DC02B32"/>
    <w:rsid w:val="7E229951"/>
    <w:rsid w:val="7F48A734"/>
    <w:rsid w:val="7F6EABF1"/>
    <w:rsid w:val="7F7B02BE"/>
    <w:rsid w:val="7FDB991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06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nion Pro" w:eastAsia="Times New Roman" w:hAnsi="Minion Pro" w:cs="Minion Pro"/>
        <w:color w:val="000000"/>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C63"/>
    <w:pPr>
      <w:spacing w:before="120" w:after="120"/>
    </w:pPr>
    <w:rPr>
      <w:rFonts w:ascii="Calibri Light" w:hAnsi="Calibri Light" w:cs="Times New Roman"/>
      <w:color w:val="auto"/>
      <w:sz w:val="22"/>
      <w:szCs w:val="20"/>
    </w:rPr>
  </w:style>
  <w:style w:type="paragraph" w:styleId="Heading1">
    <w:name w:val="heading 1"/>
    <w:basedOn w:val="HeadingBase"/>
    <w:next w:val="Normal"/>
    <w:link w:val="Heading1Char"/>
    <w:qFormat/>
    <w:rsid w:val="003466B5"/>
    <w:pPr>
      <w:spacing w:after="360" w:line="460" w:lineRule="exact"/>
      <w:outlineLvl w:val="0"/>
    </w:pPr>
    <w:rPr>
      <w:b/>
      <w:bCs w:val="0"/>
      <w:color w:val="157EB9" w:themeColor="accent3"/>
      <w:sz w:val="44"/>
    </w:rPr>
  </w:style>
  <w:style w:type="paragraph" w:styleId="Heading2">
    <w:name w:val="heading 2"/>
    <w:basedOn w:val="HeadingBase"/>
    <w:next w:val="Normal"/>
    <w:link w:val="Heading2Char"/>
    <w:qFormat/>
    <w:rsid w:val="00531C63"/>
    <w:pPr>
      <w:spacing w:before="360" w:line="460" w:lineRule="exact"/>
      <w:outlineLvl w:val="1"/>
    </w:pPr>
    <w:rPr>
      <w:bCs w:val="0"/>
      <w:iCs/>
      <w:color w:val="2C384A" w:themeColor="accent1"/>
      <w:sz w:val="36"/>
      <w:szCs w:val="28"/>
    </w:rPr>
  </w:style>
  <w:style w:type="paragraph" w:styleId="Heading3">
    <w:name w:val="heading 3"/>
    <w:basedOn w:val="HeadingBase"/>
    <w:next w:val="Normal"/>
    <w:link w:val="Heading3Char"/>
    <w:qFormat/>
    <w:rsid w:val="00015CFC"/>
    <w:pPr>
      <w:spacing w:before="320" w:after="0" w:line="276" w:lineRule="auto"/>
      <w:outlineLvl w:val="2"/>
    </w:pPr>
    <w:rPr>
      <w:b/>
      <w:bCs w:val="0"/>
      <w:color w:val="157EB9" w:themeColor="accent3"/>
      <w:sz w:val="28"/>
      <w:szCs w:val="26"/>
    </w:rPr>
  </w:style>
  <w:style w:type="paragraph" w:styleId="Heading4">
    <w:name w:val="heading 4"/>
    <w:basedOn w:val="HeadingBase"/>
    <w:next w:val="Normal"/>
    <w:link w:val="Heading4Char"/>
    <w:qFormat/>
    <w:rsid w:val="00531C63"/>
    <w:pPr>
      <w:spacing w:before="280" w:after="0" w:line="276" w:lineRule="auto"/>
      <w:outlineLvl w:val="3"/>
    </w:pPr>
    <w:rPr>
      <w:rFonts w:ascii="Calibri Light" w:hAnsi="Calibri Light"/>
      <w:bCs w:val="0"/>
      <w:color w:val="007A88" w:themeColor="accent2"/>
      <w:sz w:val="24"/>
      <w:szCs w:val="26"/>
    </w:rPr>
  </w:style>
  <w:style w:type="paragraph" w:styleId="Heading5">
    <w:name w:val="heading 5"/>
    <w:basedOn w:val="HeadingBase"/>
    <w:next w:val="Normal"/>
    <w:link w:val="Heading5Char"/>
    <w:rsid w:val="00531C63"/>
    <w:pPr>
      <w:spacing w:before="240" w:after="0" w:line="276" w:lineRule="auto"/>
      <w:outlineLvl w:val="4"/>
    </w:pPr>
    <w:rPr>
      <w:rFonts w:asciiTheme="majorHAnsi" w:hAnsiTheme="majorHAnsi"/>
      <w:b/>
      <w:bCs w:val="0"/>
      <w:iCs/>
      <w:color w:val="000000" w:themeColor="text1"/>
      <w:sz w:val="22"/>
    </w:rPr>
  </w:style>
  <w:style w:type="paragraph" w:styleId="Heading6">
    <w:name w:val="heading 6"/>
    <w:basedOn w:val="HeadingBase"/>
    <w:next w:val="Normal"/>
    <w:link w:val="Heading6Char"/>
    <w:rsid w:val="00531C63"/>
    <w:pPr>
      <w:spacing w:before="120" w:after="0" w:line="276" w:lineRule="auto"/>
      <w:outlineLvl w:val="5"/>
    </w:pPr>
    <w:rPr>
      <w:rFonts w:ascii="Calibri Light" w:hAnsi="Calibri Light"/>
      <w:bCs w:val="0"/>
      <w:color w:val="000000" w:themeColor="text1"/>
      <w:sz w:val="22"/>
      <w:szCs w:val="22"/>
    </w:rPr>
  </w:style>
  <w:style w:type="paragraph" w:styleId="Heading7">
    <w:name w:val="heading 7"/>
    <w:basedOn w:val="Normal"/>
    <w:next w:val="Normal"/>
    <w:link w:val="Heading7Char"/>
    <w:uiPriority w:val="9"/>
    <w:semiHidden/>
    <w:unhideWhenUsed/>
    <w:qFormat/>
    <w:rsid w:val="0009675D"/>
    <w:pPr>
      <w:keepNext/>
      <w:keepLines/>
      <w:spacing w:before="40" w:after="0"/>
      <w:outlineLvl w:val="6"/>
    </w:pPr>
    <w:rPr>
      <w:rFonts w:asciiTheme="majorHAnsi" w:eastAsiaTheme="majorEastAsia" w:hAnsiTheme="majorHAnsi" w:cstheme="majorBidi"/>
      <w:i/>
      <w:iCs/>
      <w:color w:val="161B24" w:themeColor="accent1" w:themeShade="7F"/>
    </w:rPr>
  </w:style>
  <w:style w:type="paragraph" w:styleId="Heading8">
    <w:name w:val="heading 8"/>
    <w:basedOn w:val="Normal"/>
    <w:next w:val="Normal"/>
    <w:link w:val="Heading8Char"/>
    <w:uiPriority w:val="9"/>
    <w:semiHidden/>
    <w:unhideWhenUsed/>
    <w:qFormat/>
    <w:rsid w:val="0009675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9675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DefaultTable">
    <w:name w:val="Default Table"/>
    <w:qFormat/>
    <w:tblPr>
      <w:tblInd w:w="0" w:type="dxa"/>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531C63"/>
    <w:rPr>
      <w:rFonts w:ascii="Calibri" w:hAnsi="Calibri"/>
      <w:sz w:val="20"/>
    </w:rPr>
  </w:style>
  <w:style w:type="character" w:customStyle="1" w:styleId="CommentTextChar">
    <w:name w:val="Comment Text Char"/>
    <w:basedOn w:val="DefaultParagraphFont"/>
    <w:link w:val="CommentText"/>
    <w:uiPriority w:val="99"/>
    <w:rsid w:val="00531C63"/>
    <w:rPr>
      <w:rFonts w:ascii="Calibri" w:hAnsi="Calibri" w:cs="Times New Roman"/>
      <w:color w:val="auto"/>
      <w:sz w:val="20"/>
      <w:szCs w:val="20"/>
    </w:rPr>
  </w:style>
  <w:style w:type="character" w:styleId="CommentReference">
    <w:name w:val="annotation reference"/>
    <w:basedOn w:val="DefaultParagraphFont"/>
    <w:uiPriority w:val="99"/>
    <w:semiHidden/>
    <w:unhideWhenUsed/>
    <w:rsid w:val="00531C63"/>
    <w:rPr>
      <w:sz w:val="16"/>
      <w:szCs w:val="16"/>
    </w:rPr>
  </w:style>
  <w:style w:type="paragraph" w:styleId="BalloonText">
    <w:name w:val="Balloon Text"/>
    <w:basedOn w:val="Normal"/>
    <w:link w:val="BalloonTextChar"/>
    <w:uiPriority w:val="99"/>
    <w:semiHidden/>
    <w:unhideWhenUsed/>
    <w:rsid w:val="00531C63"/>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C63"/>
    <w:rPr>
      <w:rFonts w:ascii="Tahoma" w:hAnsi="Tahoma" w:cs="Tahoma"/>
      <w:color w:val="auto"/>
      <w:sz w:val="16"/>
      <w:szCs w:val="16"/>
    </w:rPr>
  </w:style>
  <w:style w:type="paragraph" w:styleId="CommentSubject">
    <w:name w:val="annotation subject"/>
    <w:basedOn w:val="CommentText"/>
    <w:next w:val="CommentText"/>
    <w:link w:val="CommentSubjectChar"/>
    <w:uiPriority w:val="99"/>
    <w:semiHidden/>
    <w:unhideWhenUsed/>
    <w:rsid w:val="00AA7068"/>
    <w:rPr>
      <w:b/>
      <w:bCs/>
    </w:rPr>
  </w:style>
  <w:style w:type="character" w:customStyle="1" w:styleId="CommentSubjectChar">
    <w:name w:val="Comment Subject Char"/>
    <w:basedOn w:val="CommentTextChar"/>
    <w:link w:val="CommentSubject"/>
    <w:uiPriority w:val="99"/>
    <w:semiHidden/>
    <w:rsid w:val="00AA7068"/>
    <w:rPr>
      <w:rFonts w:ascii="Calibri" w:hAnsi="Calibri" w:cs="Times New Roman"/>
      <w:b/>
      <w:bCs/>
      <w:color w:val="auto"/>
      <w:sz w:val="20"/>
      <w:szCs w:val="20"/>
    </w:rPr>
  </w:style>
  <w:style w:type="table" w:styleId="TableGrid">
    <w:name w:val="Table Grid"/>
    <w:basedOn w:val="TableNormal"/>
    <w:rsid w:val="00531C63"/>
    <w:pPr>
      <w:spacing w:before="40" w:after="40"/>
    </w:pPr>
    <w:rPr>
      <w:rFonts w:ascii="Calibri Light" w:hAnsi="Calibri Light" w:cs="Times New Roman"/>
      <w:color w:val="auto"/>
      <w:sz w:val="18"/>
      <w:szCs w:val="20"/>
    </w:rPr>
    <w:tblPr/>
    <w:tcPr>
      <w:shd w:val="clear" w:color="auto" w:fill="auto"/>
    </w:tcPr>
    <w:tblStylePr w:type="firstRow">
      <w:pPr>
        <w:wordWrap/>
        <w:spacing w:beforeLines="0" w:before="40" w:beforeAutospacing="0" w:afterLines="0" w:after="40" w:afterAutospacing="0"/>
        <w:jc w:val="left"/>
      </w:pPr>
      <w:rPr>
        <w:rFonts w:ascii="Calibri Light" w:hAnsi="Calibri Light"/>
        <w:b/>
        <w:color w:val="2C384A" w:themeColor="accent1"/>
        <w:sz w:val="20"/>
      </w:rPr>
      <w:tblPr/>
      <w:tcPr>
        <w:shd w:val="clear" w:color="auto" w:fill="EEEEEE" w:themeFill="background2"/>
      </w:tcPr>
    </w:tblStylePr>
  </w:style>
  <w:style w:type="paragraph" w:customStyle="1" w:styleId="Bullet">
    <w:name w:val="Bullet"/>
    <w:basedOn w:val="Normal"/>
    <w:link w:val="BulletChar"/>
    <w:qFormat/>
    <w:rsid w:val="00531C63"/>
    <w:pPr>
      <w:numPr>
        <w:numId w:val="21"/>
      </w:numPr>
      <w:tabs>
        <w:tab w:val="left" w:pos="720"/>
      </w:tabs>
    </w:pPr>
    <w:rPr>
      <w:color w:val="000000"/>
    </w:rPr>
  </w:style>
  <w:style w:type="character" w:customStyle="1" w:styleId="BulletChar">
    <w:name w:val="Bullet Char"/>
    <w:basedOn w:val="DefaultParagraphFont"/>
    <w:link w:val="Bullet"/>
    <w:rsid w:val="00531C63"/>
    <w:rPr>
      <w:rFonts w:ascii="Calibri Light" w:hAnsi="Calibri Light" w:cs="Times New Roman"/>
      <w:sz w:val="22"/>
      <w:szCs w:val="20"/>
    </w:rPr>
  </w:style>
  <w:style w:type="paragraph" w:customStyle="1" w:styleId="Dash">
    <w:name w:val="Dash"/>
    <w:basedOn w:val="Normal"/>
    <w:link w:val="DashChar"/>
    <w:uiPriority w:val="99"/>
    <w:qFormat/>
    <w:rsid w:val="00531C63"/>
    <w:pPr>
      <w:numPr>
        <w:ilvl w:val="1"/>
        <w:numId w:val="21"/>
      </w:numPr>
    </w:pPr>
    <w:rPr>
      <w:color w:val="000000"/>
    </w:rPr>
  </w:style>
  <w:style w:type="character" w:customStyle="1" w:styleId="DashChar">
    <w:name w:val="Dash Char"/>
    <w:basedOn w:val="DefaultParagraphFont"/>
    <w:link w:val="Dash"/>
    <w:uiPriority w:val="99"/>
    <w:rsid w:val="00531C63"/>
    <w:rPr>
      <w:rFonts w:ascii="Calibri Light" w:hAnsi="Calibri Light" w:cs="Times New Roman"/>
      <w:sz w:val="22"/>
      <w:szCs w:val="20"/>
    </w:rPr>
  </w:style>
  <w:style w:type="paragraph" w:customStyle="1" w:styleId="DoubleDot">
    <w:name w:val="Double Dot"/>
    <w:basedOn w:val="Normal"/>
    <w:link w:val="DoubleDotChar"/>
    <w:uiPriority w:val="99"/>
    <w:qFormat/>
    <w:rsid w:val="00531C63"/>
    <w:pPr>
      <w:numPr>
        <w:ilvl w:val="2"/>
        <w:numId w:val="21"/>
      </w:numPr>
      <w:ind w:left="851"/>
    </w:pPr>
    <w:rPr>
      <w:color w:val="000000"/>
    </w:rPr>
  </w:style>
  <w:style w:type="character" w:customStyle="1" w:styleId="DoubleDotChar">
    <w:name w:val="Double Dot Char"/>
    <w:basedOn w:val="DefaultParagraphFont"/>
    <w:link w:val="DoubleDot"/>
    <w:uiPriority w:val="99"/>
    <w:rsid w:val="00531C63"/>
    <w:rPr>
      <w:rFonts w:ascii="Calibri Light" w:hAnsi="Calibri Light" w:cs="Times New Roman"/>
      <w:sz w:val="22"/>
      <w:szCs w:val="20"/>
    </w:rPr>
  </w:style>
  <w:style w:type="paragraph" w:styleId="Revision">
    <w:name w:val="Revision"/>
    <w:hidden/>
    <w:uiPriority w:val="99"/>
    <w:semiHidden/>
    <w:rsid w:val="00F032FB"/>
  </w:style>
  <w:style w:type="paragraph" w:customStyle="1" w:styleId="OutlineNumbered1">
    <w:name w:val="Outline Numbered 1"/>
    <w:basedOn w:val="Normal"/>
    <w:link w:val="OutlineNumbered1Char"/>
    <w:rsid w:val="00531C63"/>
    <w:pPr>
      <w:numPr>
        <w:numId w:val="15"/>
      </w:numPr>
      <w:spacing w:before="0"/>
    </w:pPr>
  </w:style>
  <w:style w:type="character" w:customStyle="1" w:styleId="OutlineNumbered1Char">
    <w:name w:val="Outline Numbered 1 Char"/>
    <w:basedOn w:val="DefaultParagraphFont"/>
    <w:link w:val="OutlineNumbered1"/>
    <w:rsid w:val="00641522"/>
    <w:rPr>
      <w:rFonts w:ascii="Calibri Light" w:hAnsi="Calibri Light" w:cs="Times New Roman"/>
      <w:color w:val="auto"/>
      <w:sz w:val="22"/>
      <w:szCs w:val="20"/>
    </w:rPr>
  </w:style>
  <w:style w:type="paragraph" w:customStyle="1" w:styleId="OutlineNumbered2">
    <w:name w:val="Outline Numbered 2"/>
    <w:basedOn w:val="Normal"/>
    <w:link w:val="OutlineNumbered2Char"/>
    <w:rsid w:val="00531C63"/>
    <w:pPr>
      <w:numPr>
        <w:ilvl w:val="1"/>
        <w:numId w:val="15"/>
      </w:numPr>
      <w:spacing w:before="0"/>
    </w:pPr>
  </w:style>
  <w:style w:type="character" w:customStyle="1" w:styleId="OutlineNumbered2Char">
    <w:name w:val="Outline Numbered 2 Char"/>
    <w:basedOn w:val="DefaultParagraphFont"/>
    <w:link w:val="OutlineNumbered2"/>
    <w:rsid w:val="00641522"/>
    <w:rPr>
      <w:rFonts w:ascii="Calibri Light" w:hAnsi="Calibri Light" w:cs="Times New Roman"/>
      <w:color w:val="auto"/>
      <w:sz w:val="22"/>
      <w:szCs w:val="20"/>
    </w:rPr>
  </w:style>
  <w:style w:type="paragraph" w:customStyle="1" w:styleId="OutlineNumbered3">
    <w:name w:val="Outline Numbered 3"/>
    <w:basedOn w:val="Normal"/>
    <w:link w:val="OutlineNumbered3Char"/>
    <w:rsid w:val="00531C63"/>
    <w:pPr>
      <w:numPr>
        <w:ilvl w:val="2"/>
        <w:numId w:val="15"/>
      </w:numPr>
      <w:spacing w:before="0"/>
    </w:pPr>
  </w:style>
  <w:style w:type="character" w:customStyle="1" w:styleId="OutlineNumbered3Char">
    <w:name w:val="Outline Numbered 3 Char"/>
    <w:basedOn w:val="DefaultParagraphFont"/>
    <w:link w:val="OutlineNumbered3"/>
    <w:rsid w:val="00641522"/>
    <w:rPr>
      <w:rFonts w:ascii="Calibri Light" w:hAnsi="Calibri Light" w:cs="Times New Roman"/>
      <w:color w:val="auto"/>
      <w:sz w:val="22"/>
      <w:szCs w:val="20"/>
    </w:rPr>
  </w:style>
  <w:style w:type="paragraph" w:customStyle="1" w:styleId="TableTextLeft">
    <w:name w:val="Table Text Left"/>
    <w:basedOn w:val="TableTextRight"/>
    <w:rsid w:val="00531C63"/>
    <w:pPr>
      <w:jc w:val="left"/>
    </w:pPr>
  </w:style>
  <w:style w:type="paragraph" w:customStyle="1" w:styleId="NoNumPlain1">
    <w:name w:val="NoNum Plain1"/>
    <w:basedOn w:val="Normal"/>
    <w:uiPriority w:val="2"/>
    <w:qFormat/>
    <w:rsid w:val="009C0DB6"/>
    <w:pPr>
      <w:spacing w:after="240"/>
    </w:pPr>
    <w:rPr>
      <w:rFonts w:ascii="Times New Roman" w:hAnsi="Times New Roman"/>
      <w:lang w:eastAsia="en-US"/>
    </w:rPr>
  </w:style>
  <w:style w:type="paragraph" w:styleId="NormalWeb">
    <w:name w:val="Normal (Web)"/>
    <w:basedOn w:val="Normal"/>
    <w:uiPriority w:val="99"/>
    <w:unhideWhenUsed/>
    <w:rsid w:val="0016633E"/>
    <w:pPr>
      <w:spacing w:after="150" w:line="312" w:lineRule="atLeast"/>
    </w:pPr>
    <w:rPr>
      <w:rFonts w:ascii="Times New Roman" w:hAnsi="Times New Roman"/>
      <w:szCs w:val="24"/>
    </w:rPr>
  </w:style>
  <w:style w:type="paragraph" w:customStyle="1" w:styleId="Crest">
    <w:name w:val="Crest"/>
    <w:basedOn w:val="Normal"/>
    <w:rsid w:val="002B3D32"/>
    <w:pPr>
      <w:tabs>
        <w:tab w:val="center" w:pos="4820"/>
      </w:tabs>
      <w:jc w:val="center"/>
    </w:pPr>
    <w:rPr>
      <w:rFonts w:ascii="Helvetica" w:hAnsi="Helvetica" w:cs="Helvetica"/>
      <w:sz w:val="48"/>
      <w:szCs w:val="48"/>
    </w:rPr>
  </w:style>
  <w:style w:type="paragraph" w:customStyle="1" w:styleId="SingleParagraph">
    <w:name w:val="Single Paragraph"/>
    <w:basedOn w:val="Normal"/>
    <w:next w:val="Normal"/>
    <w:link w:val="SingleParagraphChar"/>
    <w:rsid w:val="00531C63"/>
    <w:pPr>
      <w:spacing w:before="0" w:after="0"/>
    </w:pPr>
  </w:style>
  <w:style w:type="paragraph" w:customStyle="1" w:styleId="TableGraphic">
    <w:name w:val="Table Graphic"/>
    <w:basedOn w:val="HeadingBase"/>
    <w:next w:val="Normal"/>
    <w:rsid w:val="00531C63"/>
    <w:pPr>
      <w:spacing w:after="0"/>
    </w:pPr>
  </w:style>
  <w:style w:type="paragraph" w:styleId="BodyText">
    <w:name w:val="Body Text"/>
    <w:basedOn w:val="Normal"/>
    <w:link w:val="BodyTextChar"/>
    <w:uiPriority w:val="1"/>
    <w:qFormat/>
    <w:rsid w:val="00C67571"/>
    <w:pPr>
      <w:widowControl w:val="0"/>
      <w:autoSpaceDE w:val="0"/>
      <w:autoSpaceDN w:val="0"/>
    </w:pPr>
    <w:rPr>
      <w:rFonts w:ascii="Calibri" w:eastAsia="Calibri" w:hAnsi="Calibri" w:cs="Calibri"/>
      <w:sz w:val="20"/>
      <w:lang w:val="en-US" w:eastAsia="en-US"/>
    </w:rPr>
  </w:style>
  <w:style w:type="character" w:customStyle="1" w:styleId="BodyTextChar">
    <w:name w:val="Body Text Char"/>
    <w:basedOn w:val="DefaultParagraphFont"/>
    <w:link w:val="BodyText"/>
    <w:uiPriority w:val="1"/>
    <w:rsid w:val="00C67571"/>
    <w:rPr>
      <w:rFonts w:ascii="Calibri" w:eastAsia="Calibri" w:hAnsi="Calibri" w:cs="Calibri"/>
      <w:color w:val="auto"/>
      <w:sz w:val="20"/>
      <w:lang w:val="en-US" w:eastAsia="en-US"/>
    </w:rPr>
  </w:style>
  <w:style w:type="character" w:customStyle="1" w:styleId="Heading2Char">
    <w:name w:val="Heading 2 Char"/>
    <w:basedOn w:val="DefaultParagraphFont"/>
    <w:link w:val="Heading2"/>
    <w:rsid w:val="00531C63"/>
    <w:rPr>
      <w:rFonts w:ascii="Calibri" w:hAnsi="Calibri" w:cs="Arial"/>
      <w:iCs/>
      <w:color w:val="2C384A" w:themeColor="accent1"/>
      <w:kern w:val="32"/>
      <w:sz w:val="36"/>
      <w:szCs w:val="28"/>
    </w:rPr>
  </w:style>
  <w:style w:type="paragraph" w:styleId="ListParagraph">
    <w:name w:val="List Paragraph"/>
    <w:basedOn w:val="Normal"/>
    <w:uiPriority w:val="34"/>
    <w:rsid w:val="00531C63"/>
    <w:pPr>
      <w:ind w:left="720"/>
      <w:contextualSpacing/>
    </w:pPr>
  </w:style>
  <w:style w:type="character" w:customStyle="1" w:styleId="Heading4Char">
    <w:name w:val="Heading 4 Char"/>
    <w:basedOn w:val="DefaultParagraphFont"/>
    <w:link w:val="Heading4"/>
    <w:rsid w:val="00531C63"/>
    <w:rPr>
      <w:rFonts w:ascii="Calibri Light" w:hAnsi="Calibri Light" w:cs="Arial"/>
      <w:color w:val="007A88" w:themeColor="accent2"/>
      <w:kern w:val="32"/>
      <w:szCs w:val="26"/>
    </w:rPr>
  </w:style>
  <w:style w:type="character" w:customStyle="1" w:styleId="Heading3Char">
    <w:name w:val="Heading 3 Char"/>
    <w:basedOn w:val="DefaultParagraphFont"/>
    <w:link w:val="Heading3"/>
    <w:rsid w:val="00015CFC"/>
    <w:rPr>
      <w:rFonts w:ascii="Calibri" w:hAnsi="Calibri" w:cs="Arial"/>
      <w:b/>
      <w:color w:val="157EB9" w:themeColor="accent3"/>
      <w:kern w:val="32"/>
      <w:sz w:val="28"/>
      <w:szCs w:val="26"/>
    </w:rPr>
  </w:style>
  <w:style w:type="character" w:customStyle="1" w:styleId="Heading1Char">
    <w:name w:val="Heading 1 Char"/>
    <w:basedOn w:val="DefaultParagraphFont"/>
    <w:link w:val="Heading1"/>
    <w:rsid w:val="003466B5"/>
    <w:rPr>
      <w:rFonts w:ascii="Calibri" w:hAnsi="Calibri" w:cs="Arial"/>
      <w:b/>
      <w:color w:val="157EB9" w:themeColor="accent3"/>
      <w:kern w:val="32"/>
      <w:sz w:val="44"/>
      <w:szCs w:val="36"/>
    </w:rPr>
  </w:style>
  <w:style w:type="character" w:customStyle="1" w:styleId="Heading5Char">
    <w:name w:val="Heading 5 Char"/>
    <w:basedOn w:val="DefaultParagraphFont"/>
    <w:link w:val="Heading5"/>
    <w:rsid w:val="00531C63"/>
    <w:rPr>
      <w:rFonts w:asciiTheme="majorHAnsi" w:hAnsiTheme="majorHAnsi" w:cs="Arial"/>
      <w:b/>
      <w:iCs/>
      <w:color w:val="000000" w:themeColor="text1"/>
      <w:kern w:val="32"/>
      <w:sz w:val="22"/>
      <w:szCs w:val="36"/>
    </w:rPr>
  </w:style>
  <w:style w:type="paragraph" w:styleId="TOC1">
    <w:name w:val="toc 1"/>
    <w:basedOn w:val="Normal"/>
    <w:next w:val="Normal"/>
    <w:uiPriority w:val="39"/>
    <w:rsid w:val="00531C63"/>
    <w:pPr>
      <w:keepNext/>
      <w:tabs>
        <w:tab w:val="right" w:leader="dot" w:pos="9072"/>
      </w:tabs>
      <w:spacing w:before="180" w:after="0"/>
      <w:ind w:right="-2"/>
    </w:pPr>
    <w:rPr>
      <w:b/>
      <w:noProof/>
      <w:color w:val="2C384A" w:themeColor="accent1"/>
      <w:szCs w:val="22"/>
    </w:rPr>
  </w:style>
  <w:style w:type="paragraph" w:styleId="TOC2">
    <w:name w:val="toc 2"/>
    <w:basedOn w:val="Normal"/>
    <w:next w:val="Normal"/>
    <w:uiPriority w:val="39"/>
    <w:rsid w:val="00015CFC"/>
    <w:pPr>
      <w:keepNext/>
      <w:tabs>
        <w:tab w:val="right" w:leader="dot" w:pos="9072"/>
      </w:tabs>
      <w:spacing w:before="40" w:after="20"/>
      <w:ind w:right="-2"/>
    </w:pPr>
    <w:rPr>
      <w:noProof/>
      <w:color w:val="000000" w:themeColor="text1"/>
    </w:rPr>
  </w:style>
  <w:style w:type="paragraph" w:customStyle="1" w:styleId="TableParagraph">
    <w:name w:val="Table Paragraph"/>
    <w:basedOn w:val="Normal"/>
    <w:uiPriority w:val="1"/>
    <w:qFormat/>
    <w:rsid w:val="00C67571"/>
    <w:pPr>
      <w:widowControl w:val="0"/>
      <w:autoSpaceDE w:val="0"/>
      <w:autoSpaceDN w:val="0"/>
      <w:spacing w:before="74"/>
      <w:ind w:left="113"/>
    </w:pPr>
    <w:rPr>
      <w:rFonts w:ascii="Calibri" w:eastAsia="Calibri" w:hAnsi="Calibri" w:cs="Calibri"/>
      <w:szCs w:val="22"/>
      <w:lang w:val="en-US" w:eastAsia="en-US"/>
    </w:rPr>
  </w:style>
  <w:style w:type="paragraph" w:styleId="Header">
    <w:name w:val="header"/>
    <w:basedOn w:val="Normal"/>
    <w:link w:val="HeaderChar"/>
    <w:uiPriority w:val="99"/>
    <w:unhideWhenUsed/>
    <w:rsid w:val="00531C63"/>
    <w:pPr>
      <w:keepNext/>
      <w:spacing w:before="0" w:after="0"/>
      <w:jc w:val="right"/>
    </w:pPr>
    <w:rPr>
      <w:color w:val="004A7F"/>
      <w:sz w:val="20"/>
    </w:rPr>
  </w:style>
  <w:style w:type="character" w:customStyle="1" w:styleId="HeaderChar">
    <w:name w:val="Header Char"/>
    <w:basedOn w:val="DefaultParagraphFont"/>
    <w:link w:val="Header"/>
    <w:uiPriority w:val="99"/>
    <w:rsid w:val="00531C63"/>
    <w:rPr>
      <w:rFonts w:ascii="Calibri Light" w:hAnsi="Calibri Light" w:cs="Times New Roman"/>
      <w:color w:val="004A7F"/>
      <w:sz w:val="20"/>
      <w:szCs w:val="20"/>
    </w:rPr>
  </w:style>
  <w:style w:type="paragraph" w:styleId="Footer">
    <w:name w:val="footer"/>
    <w:basedOn w:val="Normal"/>
    <w:link w:val="FooterChar"/>
    <w:unhideWhenUsed/>
    <w:rsid w:val="00531C63"/>
    <w:pPr>
      <w:tabs>
        <w:tab w:val="center" w:pos="4513"/>
        <w:tab w:val="right" w:pos="9026"/>
      </w:tabs>
      <w:spacing w:before="0" w:after="0"/>
      <w:jc w:val="center"/>
    </w:pPr>
    <w:rPr>
      <w:color w:val="002C47"/>
      <w:sz w:val="20"/>
    </w:rPr>
  </w:style>
  <w:style w:type="character" w:customStyle="1" w:styleId="FooterChar">
    <w:name w:val="Footer Char"/>
    <w:basedOn w:val="DefaultParagraphFont"/>
    <w:link w:val="Footer"/>
    <w:rsid w:val="00531C63"/>
    <w:rPr>
      <w:rFonts w:ascii="Calibri Light" w:hAnsi="Calibri Light" w:cs="Times New Roman"/>
      <w:color w:val="002C47"/>
      <w:sz w:val="20"/>
      <w:szCs w:val="20"/>
    </w:rPr>
  </w:style>
  <w:style w:type="paragraph" w:customStyle="1" w:styleId="subsection">
    <w:name w:val="subsection"/>
    <w:basedOn w:val="Normal"/>
    <w:rsid w:val="009D5F61"/>
    <w:pPr>
      <w:spacing w:before="100" w:beforeAutospacing="1" w:after="100" w:afterAutospacing="1"/>
    </w:pPr>
    <w:rPr>
      <w:rFonts w:ascii="Times New Roman" w:hAnsi="Times New Roman"/>
      <w:szCs w:val="24"/>
    </w:rPr>
  </w:style>
  <w:style w:type="paragraph" w:customStyle="1" w:styleId="paragraph">
    <w:name w:val="paragraph"/>
    <w:basedOn w:val="Normal"/>
    <w:rsid w:val="009D5F61"/>
    <w:pPr>
      <w:spacing w:before="100" w:beforeAutospacing="1" w:after="100" w:afterAutospacing="1"/>
    </w:pPr>
    <w:rPr>
      <w:rFonts w:ascii="Times New Roman" w:hAnsi="Times New Roman"/>
      <w:szCs w:val="24"/>
    </w:rPr>
  </w:style>
  <w:style w:type="paragraph" w:customStyle="1" w:styleId="paragraphsub">
    <w:name w:val="paragraphsub"/>
    <w:basedOn w:val="Normal"/>
    <w:rsid w:val="009D5F61"/>
    <w:pPr>
      <w:spacing w:before="100" w:beforeAutospacing="1" w:after="100" w:afterAutospacing="1"/>
    </w:pPr>
    <w:rPr>
      <w:rFonts w:ascii="Times New Roman" w:hAnsi="Times New Roman"/>
      <w:szCs w:val="24"/>
    </w:rPr>
  </w:style>
  <w:style w:type="paragraph" w:customStyle="1" w:styleId="subsectionhead">
    <w:name w:val="subsectionhead"/>
    <w:basedOn w:val="Normal"/>
    <w:rsid w:val="009D5F61"/>
    <w:pPr>
      <w:spacing w:before="100" w:beforeAutospacing="1" w:after="100" w:afterAutospacing="1"/>
    </w:pPr>
    <w:rPr>
      <w:rFonts w:ascii="Times New Roman" w:hAnsi="Times New Roman"/>
      <w:szCs w:val="24"/>
    </w:rPr>
  </w:style>
  <w:style w:type="character" w:styleId="Emphasis">
    <w:name w:val="Emphasis"/>
    <w:basedOn w:val="DefaultParagraphFont"/>
    <w:uiPriority w:val="20"/>
    <w:rsid w:val="00531C63"/>
    <w:rPr>
      <w:i/>
      <w:iCs/>
    </w:rPr>
  </w:style>
  <w:style w:type="character" w:styleId="Strong">
    <w:name w:val="Strong"/>
    <w:basedOn w:val="DefaultParagraphFont"/>
    <w:qFormat/>
    <w:rsid w:val="00531C63"/>
    <w:rPr>
      <w:b/>
      <w:bCs/>
    </w:rPr>
  </w:style>
  <w:style w:type="paragraph" w:customStyle="1" w:styleId="Default">
    <w:name w:val="Default"/>
    <w:rsid w:val="0007608B"/>
    <w:pPr>
      <w:autoSpaceDE w:val="0"/>
      <w:autoSpaceDN w:val="0"/>
      <w:adjustRightInd w:val="0"/>
    </w:pPr>
    <w:rPr>
      <w:rFonts w:ascii="Calibri" w:hAnsi="Calibri" w:cs="Calibri"/>
    </w:rPr>
  </w:style>
  <w:style w:type="character" w:styleId="Hyperlink">
    <w:name w:val="Hyperlink"/>
    <w:basedOn w:val="DefaultParagraphFont"/>
    <w:uiPriority w:val="99"/>
    <w:rsid w:val="003B2C42"/>
    <w:rPr>
      <w:color w:val="157EB9" w:themeColor="accent3"/>
      <w:u w:val="single"/>
    </w:rPr>
  </w:style>
  <w:style w:type="character" w:styleId="UnresolvedMention">
    <w:name w:val="Unresolved Mention"/>
    <w:basedOn w:val="DefaultParagraphFont"/>
    <w:uiPriority w:val="99"/>
    <w:semiHidden/>
    <w:unhideWhenUsed/>
    <w:rsid w:val="00E40F31"/>
    <w:rPr>
      <w:color w:val="605E5C"/>
      <w:shd w:val="clear" w:color="auto" w:fill="E1DFDD"/>
    </w:rPr>
  </w:style>
  <w:style w:type="character" w:styleId="FollowedHyperlink">
    <w:name w:val="FollowedHyperlink"/>
    <w:basedOn w:val="DefaultParagraphFont"/>
    <w:uiPriority w:val="99"/>
    <w:semiHidden/>
    <w:unhideWhenUsed/>
    <w:rsid w:val="00E40F31"/>
    <w:rPr>
      <w:color w:val="157EB9" w:themeColor="followedHyperlink"/>
      <w:u w:val="single"/>
    </w:rPr>
  </w:style>
  <w:style w:type="paragraph" w:styleId="FootnoteText">
    <w:name w:val="footnote text"/>
    <w:basedOn w:val="Normal"/>
    <w:link w:val="FootnoteTextChar"/>
    <w:uiPriority w:val="99"/>
    <w:rsid w:val="00531C63"/>
    <w:pPr>
      <w:spacing w:before="0" w:after="0"/>
      <w:ind w:left="397" w:hanging="397"/>
    </w:pPr>
    <w:rPr>
      <w:sz w:val="20"/>
    </w:rPr>
  </w:style>
  <w:style w:type="character" w:customStyle="1" w:styleId="FootnoteTextChar">
    <w:name w:val="Footnote Text Char"/>
    <w:basedOn w:val="DefaultParagraphFont"/>
    <w:link w:val="FootnoteText"/>
    <w:uiPriority w:val="99"/>
    <w:rsid w:val="00531C63"/>
    <w:rPr>
      <w:rFonts w:ascii="Calibri Light" w:hAnsi="Calibri Light" w:cs="Times New Roman"/>
      <w:color w:val="auto"/>
      <w:sz w:val="20"/>
      <w:szCs w:val="20"/>
    </w:rPr>
  </w:style>
  <w:style w:type="character" w:styleId="FootnoteReference">
    <w:name w:val="footnote reference"/>
    <w:basedOn w:val="DefaultParagraphFont"/>
    <w:uiPriority w:val="99"/>
    <w:rsid w:val="00531C63"/>
    <w:rPr>
      <w:sz w:val="18"/>
    </w:rPr>
  </w:style>
  <w:style w:type="table" w:styleId="GridTable3-Accent1">
    <w:name w:val="Grid Table 3 Accent 1"/>
    <w:basedOn w:val="TableNormal"/>
    <w:uiPriority w:val="48"/>
    <w:rsid w:val="004515D8"/>
    <w:rPr>
      <w:rFonts w:asciiTheme="minorHAnsi" w:eastAsiaTheme="minorHAnsi" w:hAnsiTheme="minorHAnsi" w:cstheme="minorBidi"/>
      <w:color w:val="auto"/>
      <w:sz w:val="22"/>
      <w:szCs w:val="22"/>
      <w:lang w:eastAsia="en-US"/>
    </w:rPr>
    <w:tblPr>
      <w:tblStyleRowBandSize w:val="1"/>
      <w:tblStyleColBandSize w:val="1"/>
      <w:tblInd w:w="0" w:type="nil"/>
      <w:tblBorders>
        <w:top w:val="single" w:sz="4" w:space="0" w:color="6B83A7" w:themeColor="accent1" w:themeTint="99"/>
        <w:left w:val="single" w:sz="4" w:space="0" w:color="6B83A7" w:themeColor="accent1" w:themeTint="99"/>
        <w:bottom w:val="single" w:sz="4" w:space="0" w:color="6B83A7" w:themeColor="accent1" w:themeTint="99"/>
        <w:right w:val="single" w:sz="4" w:space="0" w:color="6B83A7" w:themeColor="accent1" w:themeTint="99"/>
        <w:insideH w:val="single" w:sz="4" w:space="0" w:color="6B83A7" w:themeColor="accent1" w:themeTint="99"/>
        <w:insideV w:val="single" w:sz="4" w:space="0" w:color="6B83A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DD5E1" w:themeFill="accent1" w:themeFillTint="33"/>
      </w:tcPr>
    </w:tblStylePr>
    <w:tblStylePr w:type="band1Horz">
      <w:tblPr/>
      <w:tcPr>
        <w:shd w:val="clear" w:color="auto" w:fill="CDD5E1" w:themeFill="accent1" w:themeFillTint="33"/>
      </w:tcPr>
    </w:tblStylePr>
    <w:tblStylePr w:type="neCell">
      <w:tblPr/>
      <w:tcPr>
        <w:tcBorders>
          <w:bottom w:val="single" w:sz="4" w:space="0" w:color="6B83A7" w:themeColor="accent1" w:themeTint="99"/>
        </w:tcBorders>
      </w:tcPr>
    </w:tblStylePr>
    <w:tblStylePr w:type="nwCell">
      <w:tblPr/>
      <w:tcPr>
        <w:tcBorders>
          <w:bottom w:val="single" w:sz="4" w:space="0" w:color="6B83A7" w:themeColor="accent1" w:themeTint="99"/>
        </w:tcBorders>
      </w:tcPr>
    </w:tblStylePr>
    <w:tblStylePr w:type="seCell">
      <w:tblPr/>
      <w:tcPr>
        <w:tcBorders>
          <w:top w:val="single" w:sz="4" w:space="0" w:color="6B83A7" w:themeColor="accent1" w:themeTint="99"/>
        </w:tcBorders>
      </w:tcPr>
    </w:tblStylePr>
    <w:tblStylePr w:type="swCell">
      <w:tblPr/>
      <w:tcPr>
        <w:tcBorders>
          <w:top w:val="single" w:sz="4" w:space="0" w:color="6B83A7" w:themeColor="accent1" w:themeTint="99"/>
        </w:tcBorders>
      </w:tcPr>
    </w:tblStylePr>
  </w:style>
  <w:style w:type="character" w:customStyle="1" w:styleId="ui-provider">
    <w:name w:val="ui-provider"/>
    <w:basedOn w:val="DefaultParagraphFont"/>
    <w:rsid w:val="00A50ECA"/>
  </w:style>
  <w:style w:type="paragraph" w:styleId="TOCHeading">
    <w:name w:val="TOC Heading"/>
    <w:basedOn w:val="Heading1"/>
    <w:next w:val="Normal"/>
    <w:uiPriority w:val="39"/>
    <w:unhideWhenUsed/>
    <w:qFormat/>
    <w:rsid w:val="00CB7C46"/>
    <w:pPr>
      <w:keepLines/>
      <w:spacing w:before="240" w:line="259" w:lineRule="auto"/>
      <w:outlineLvl w:val="9"/>
    </w:pPr>
    <w:rPr>
      <w:rFonts w:asciiTheme="minorHAnsi" w:eastAsiaTheme="majorEastAsia" w:hAnsiTheme="minorHAnsi" w:cstheme="majorBidi"/>
      <w:color w:val="5F5F5F" w:themeColor="text2"/>
      <w:szCs w:val="32"/>
    </w:rPr>
  </w:style>
  <w:style w:type="character" w:customStyle="1" w:styleId="normaltextrun">
    <w:name w:val="normaltextrun"/>
    <w:basedOn w:val="DefaultParagraphFont"/>
    <w:rsid w:val="00BA2616"/>
  </w:style>
  <w:style w:type="paragraph" w:styleId="EndnoteText">
    <w:name w:val="endnote text"/>
    <w:basedOn w:val="Normal"/>
    <w:link w:val="EndnoteTextChar"/>
    <w:uiPriority w:val="99"/>
    <w:semiHidden/>
    <w:unhideWhenUsed/>
    <w:rsid w:val="006D282D"/>
    <w:rPr>
      <w:sz w:val="20"/>
    </w:rPr>
  </w:style>
  <w:style w:type="character" w:customStyle="1" w:styleId="EndnoteTextChar">
    <w:name w:val="Endnote Text Char"/>
    <w:basedOn w:val="DefaultParagraphFont"/>
    <w:link w:val="EndnoteText"/>
    <w:uiPriority w:val="99"/>
    <w:semiHidden/>
    <w:rsid w:val="006D282D"/>
    <w:rPr>
      <w:sz w:val="20"/>
    </w:rPr>
  </w:style>
  <w:style w:type="character" w:styleId="EndnoteReference">
    <w:name w:val="endnote reference"/>
    <w:basedOn w:val="DefaultParagraphFont"/>
    <w:uiPriority w:val="99"/>
    <w:semiHidden/>
    <w:unhideWhenUsed/>
    <w:rsid w:val="006D282D"/>
    <w:rPr>
      <w:vertAlign w:val="superscript"/>
    </w:rPr>
  </w:style>
  <w:style w:type="character" w:customStyle="1" w:styleId="eop">
    <w:name w:val="eop"/>
    <w:basedOn w:val="DefaultParagraphFont"/>
    <w:rsid w:val="00E9404D"/>
  </w:style>
  <w:style w:type="paragraph" w:customStyle="1" w:styleId="TableText">
    <w:name w:val="Table Text"/>
    <w:basedOn w:val="Normal"/>
    <w:qFormat/>
    <w:rsid w:val="00930E12"/>
    <w:pPr>
      <w:suppressAutoHyphens/>
      <w:spacing w:before="60" w:after="60"/>
    </w:pPr>
    <w:rPr>
      <w:rFonts w:asciiTheme="minorHAnsi" w:eastAsiaTheme="minorHAnsi" w:hAnsiTheme="minorHAnsi" w:cstheme="minorBidi"/>
      <w:sz w:val="18"/>
      <w:szCs w:val="22"/>
      <w:lang w:eastAsia="en-US"/>
    </w:rPr>
  </w:style>
  <w:style w:type="numbering" w:customStyle="1" w:styleId="BulletedList">
    <w:name w:val="Bulleted List"/>
    <w:uiPriority w:val="99"/>
    <w:rsid w:val="00531C63"/>
    <w:pPr>
      <w:numPr>
        <w:numId w:val="5"/>
      </w:numPr>
    </w:pPr>
  </w:style>
  <w:style w:type="numbering" w:customStyle="1" w:styleId="BoxBulletedList">
    <w:name w:val="Box Bulleted List"/>
    <w:uiPriority w:val="99"/>
    <w:rsid w:val="00531C63"/>
    <w:pPr>
      <w:numPr>
        <w:numId w:val="6"/>
      </w:numPr>
    </w:pPr>
  </w:style>
  <w:style w:type="paragraph" w:customStyle="1" w:styleId="ParaPlain">
    <w:name w:val="ParaPlain"/>
    <w:basedOn w:val="Normal"/>
    <w:link w:val="ParaPlainChar"/>
    <w:qFormat/>
    <w:rsid w:val="009527A2"/>
    <w:pPr>
      <w:spacing w:after="240" w:line="240" w:lineRule="exact"/>
    </w:pPr>
    <w:rPr>
      <w:rFonts w:ascii="Arial" w:eastAsia="SimSun" w:hAnsi="Arial"/>
      <w:sz w:val="20"/>
      <w:szCs w:val="24"/>
      <w:lang w:eastAsia="en-US"/>
    </w:rPr>
  </w:style>
  <w:style w:type="character" w:customStyle="1" w:styleId="ParaPlainChar">
    <w:name w:val="ParaPlain Char"/>
    <w:basedOn w:val="DefaultParagraphFont"/>
    <w:link w:val="ParaPlain"/>
    <w:rsid w:val="009527A2"/>
    <w:rPr>
      <w:rFonts w:ascii="Arial" w:eastAsia="SimSun" w:hAnsi="Arial" w:cs="Times New Roman"/>
      <w:color w:val="auto"/>
      <w:sz w:val="20"/>
      <w:szCs w:val="24"/>
      <w:lang w:eastAsia="en-US"/>
    </w:rPr>
  </w:style>
  <w:style w:type="character" w:styleId="Mention">
    <w:name w:val="Mention"/>
    <w:basedOn w:val="DefaultParagraphFont"/>
    <w:uiPriority w:val="99"/>
    <w:unhideWhenUsed/>
    <w:rsid w:val="00FB23FF"/>
    <w:rPr>
      <w:color w:val="2B579A"/>
      <w:shd w:val="clear" w:color="auto" w:fill="E1DFDD"/>
    </w:rPr>
  </w:style>
  <w:style w:type="character" w:customStyle="1" w:styleId="Heading6Char">
    <w:name w:val="Heading 6 Char"/>
    <w:basedOn w:val="DefaultParagraphFont"/>
    <w:link w:val="Heading6"/>
    <w:rsid w:val="00531C63"/>
    <w:rPr>
      <w:rFonts w:ascii="Calibri Light" w:hAnsi="Calibri Light" w:cs="Arial"/>
      <w:color w:val="000000" w:themeColor="text1"/>
      <w:kern w:val="32"/>
      <w:sz w:val="22"/>
      <w:szCs w:val="22"/>
    </w:rPr>
  </w:style>
  <w:style w:type="paragraph" w:customStyle="1" w:styleId="ChartGraphic">
    <w:name w:val="Chart Graphic"/>
    <w:basedOn w:val="Normal"/>
    <w:next w:val="Normal"/>
    <w:rsid w:val="00531C63"/>
    <w:pPr>
      <w:keepNext/>
      <w:spacing w:before="0" w:after="0"/>
      <w:jc w:val="center"/>
    </w:pPr>
    <w:rPr>
      <w:color w:val="004A7F"/>
      <w:sz w:val="20"/>
    </w:rPr>
  </w:style>
  <w:style w:type="paragraph" w:customStyle="1" w:styleId="AlphaParagraph">
    <w:name w:val="Alpha Paragraph"/>
    <w:basedOn w:val="Normal"/>
    <w:qFormat/>
    <w:rsid w:val="00531C63"/>
    <w:pPr>
      <w:numPr>
        <w:ilvl w:val="1"/>
        <w:numId w:val="18"/>
      </w:numPr>
      <w:spacing w:before="0"/>
    </w:pPr>
  </w:style>
  <w:style w:type="paragraph" w:customStyle="1" w:styleId="BoxHeading">
    <w:name w:val="Box Heading"/>
    <w:basedOn w:val="Normal"/>
    <w:next w:val="Normal"/>
    <w:rsid w:val="00531C63"/>
    <w:pPr>
      <w:keepNext/>
      <w:spacing w:before="240"/>
    </w:pPr>
    <w:rPr>
      <w:b/>
      <w:color w:val="2C384A" w:themeColor="accent1"/>
      <w:sz w:val="26"/>
      <w:szCs w:val="26"/>
    </w:rPr>
  </w:style>
  <w:style w:type="paragraph" w:customStyle="1" w:styleId="BoxText">
    <w:name w:val="Box Text"/>
    <w:basedOn w:val="Normal"/>
    <w:link w:val="BoxTextChar"/>
    <w:rsid w:val="00531C63"/>
  </w:style>
  <w:style w:type="paragraph" w:customStyle="1" w:styleId="ChartandTableFootnoteAlpha">
    <w:name w:val="Chart and Table Footnote Alpha"/>
    <w:rsid w:val="00FA2785"/>
    <w:pPr>
      <w:numPr>
        <w:numId w:val="19"/>
      </w:numPr>
      <w:spacing w:before="60"/>
    </w:pPr>
    <w:rPr>
      <w:rFonts w:asciiTheme="minorHAnsi" w:hAnsiTheme="minorHAnsi" w:cs="Times New Roman"/>
      <w:sz w:val="18"/>
      <w:szCs w:val="16"/>
    </w:rPr>
  </w:style>
  <w:style w:type="paragraph" w:customStyle="1" w:styleId="ChartMainHeading">
    <w:name w:val="Chart Main Heading"/>
    <w:basedOn w:val="TableMainHeading"/>
    <w:next w:val="ChartGraphic"/>
    <w:rsid w:val="00531C63"/>
    <w:pPr>
      <w:jc w:val="center"/>
    </w:pPr>
  </w:style>
  <w:style w:type="paragraph" w:customStyle="1" w:styleId="ChartorTableNote">
    <w:name w:val="Chart or Table Note"/>
    <w:next w:val="Normal"/>
    <w:rsid w:val="00FA2785"/>
    <w:pPr>
      <w:spacing w:before="60"/>
      <w:jc w:val="both"/>
    </w:pPr>
    <w:rPr>
      <w:rFonts w:asciiTheme="minorHAnsi" w:hAnsiTheme="minorHAnsi" w:cs="Times New Roman"/>
      <w:sz w:val="18"/>
      <w:szCs w:val="20"/>
    </w:rPr>
  </w:style>
  <w:style w:type="paragraph" w:customStyle="1" w:styleId="ChartSecondHeading">
    <w:name w:val="Chart Second Heading"/>
    <w:basedOn w:val="TableSecondHeading"/>
    <w:next w:val="ChartGraphic"/>
    <w:rsid w:val="00531C63"/>
    <w:pPr>
      <w:jc w:val="center"/>
    </w:pPr>
    <w:rPr>
      <w:b w:val="0"/>
      <w:bCs/>
    </w:rPr>
  </w:style>
  <w:style w:type="paragraph" w:customStyle="1" w:styleId="ReportDate">
    <w:name w:val="Report Date"/>
    <w:basedOn w:val="Normal"/>
    <w:link w:val="ReportDateChar"/>
    <w:rsid w:val="00531C63"/>
    <w:pPr>
      <w:keepNext/>
      <w:spacing w:before="0" w:after="360"/>
    </w:pPr>
    <w:rPr>
      <w:color w:val="90B6F0"/>
      <w:sz w:val="32"/>
    </w:rPr>
  </w:style>
  <w:style w:type="paragraph" w:customStyle="1" w:styleId="TableMainHeading">
    <w:name w:val="Table Main Heading"/>
    <w:basedOn w:val="Heading3"/>
    <w:next w:val="Normal"/>
    <w:rsid w:val="00C04A88"/>
    <w:pPr>
      <w:keepLines/>
      <w:spacing w:before="120" w:after="120" w:line="240" w:lineRule="auto"/>
      <w:ind w:left="1134" w:hanging="1134"/>
    </w:pPr>
    <w:rPr>
      <w:b w:val="0"/>
      <w:color w:val="000000" w:themeColor="text1"/>
      <w:sz w:val="26"/>
    </w:rPr>
  </w:style>
  <w:style w:type="paragraph" w:customStyle="1" w:styleId="FooterEven">
    <w:name w:val="Footer Even"/>
    <w:basedOn w:val="Footer"/>
    <w:rsid w:val="00531C63"/>
    <w:pPr>
      <w:keepNext/>
      <w:tabs>
        <w:tab w:val="clear" w:pos="4513"/>
        <w:tab w:val="clear" w:pos="9026"/>
        <w:tab w:val="right" w:pos="9072"/>
      </w:tabs>
      <w:jc w:val="left"/>
    </w:pPr>
    <w:rPr>
      <w:noProof/>
      <w:color w:val="2C384A" w:themeColor="accent1"/>
    </w:rPr>
  </w:style>
  <w:style w:type="paragraph" w:customStyle="1" w:styleId="FooterOdd">
    <w:name w:val="Footer Odd"/>
    <w:basedOn w:val="Footer"/>
    <w:rsid w:val="00531C63"/>
    <w:pPr>
      <w:keepNext/>
      <w:tabs>
        <w:tab w:val="clear" w:pos="4513"/>
        <w:tab w:val="clear" w:pos="9026"/>
        <w:tab w:val="right" w:pos="9072"/>
      </w:tabs>
      <w:jc w:val="right"/>
    </w:pPr>
    <w:rPr>
      <w:color w:val="2C384A" w:themeColor="accent1"/>
    </w:rPr>
  </w:style>
  <w:style w:type="paragraph" w:customStyle="1" w:styleId="TableSecondHeading">
    <w:name w:val="Table Second Heading"/>
    <w:basedOn w:val="Normal"/>
    <w:next w:val="Normal"/>
    <w:rsid w:val="00531C63"/>
    <w:pPr>
      <w:keepNext/>
      <w:spacing w:before="0" w:after="20"/>
    </w:pPr>
    <w:rPr>
      <w:b/>
      <w:color w:val="004A7F"/>
    </w:rPr>
  </w:style>
  <w:style w:type="paragraph" w:customStyle="1" w:styleId="TableColumnHeadingCentred">
    <w:name w:val="Table Column Heading Centred"/>
    <w:basedOn w:val="TableTextLeft"/>
    <w:rsid w:val="00015CFC"/>
    <w:pPr>
      <w:jc w:val="center"/>
    </w:pPr>
    <w:rPr>
      <w:b/>
      <w:color w:val="000000" w:themeColor="text1"/>
      <w:sz w:val="20"/>
    </w:rPr>
  </w:style>
  <w:style w:type="paragraph" w:customStyle="1" w:styleId="TableColumnHeadingLeft">
    <w:name w:val="Table Column Heading Left"/>
    <w:basedOn w:val="TableTextLeft"/>
    <w:rsid w:val="00015CFC"/>
    <w:rPr>
      <w:b/>
      <w:color w:val="000000" w:themeColor="text1"/>
      <w:sz w:val="20"/>
    </w:rPr>
  </w:style>
  <w:style w:type="paragraph" w:customStyle="1" w:styleId="TableColumnHeadingRight">
    <w:name w:val="Table Column Heading Right"/>
    <w:basedOn w:val="TableTextLeft"/>
    <w:rsid w:val="00531C63"/>
    <w:pPr>
      <w:jc w:val="right"/>
    </w:pPr>
    <w:rPr>
      <w:b/>
      <w:color w:val="2C384A" w:themeColor="accent1"/>
      <w:sz w:val="20"/>
    </w:rPr>
  </w:style>
  <w:style w:type="paragraph" w:customStyle="1" w:styleId="TableTextCentered">
    <w:name w:val="Table Text Centered"/>
    <w:basedOn w:val="TableTextRight"/>
    <w:rsid w:val="00015CFC"/>
    <w:pPr>
      <w:jc w:val="center"/>
    </w:pPr>
    <w:rPr>
      <w:color w:val="000000" w:themeColor="text1"/>
    </w:rPr>
  </w:style>
  <w:style w:type="paragraph" w:customStyle="1" w:styleId="TableTextRight">
    <w:name w:val="Table Text Right"/>
    <w:basedOn w:val="Normal"/>
    <w:rsid w:val="00531C63"/>
    <w:pPr>
      <w:spacing w:before="40" w:after="40"/>
      <w:jc w:val="right"/>
    </w:pPr>
    <w:rPr>
      <w:color w:val="000000"/>
      <w:sz w:val="18"/>
    </w:rPr>
  </w:style>
  <w:style w:type="paragraph" w:styleId="TOC3">
    <w:name w:val="toc 3"/>
    <w:basedOn w:val="Normal"/>
    <w:next w:val="Normal"/>
    <w:uiPriority w:val="39"/>
    <w:rsid w:val="00531C63"/>
    <w:pPr>
      <w:tabs>
        <w:tab w:val="right" w:leader="dot" w:pos="9072"/>
      </w:tabs>
      <w:spacing w:before="20" w:after="0"/>
      <w:ind w:left="284" w:right="-2"/>
    </w:pPr>
    <w:rPr>
      <w:rFonts w:cs="Calibri"/>
      <w:noProof/>
    </w:rPr>
  </w:style>
  <w:style w:type="numbering" w:customStyle="1" w:styleId="OutlineList">
    <w:name w:val="OutlineList"/>
    <w:uiPriority w:val="99"/>
    <w:rsid w:val="00531C63"/>
    <w:pPr>
      <w:numPr>
        <w:numId w:val="14"/>
      </w:numPr>
    </w:pPr>
  </w:style>
  <w:style w:type="numbering" w:customStyle="1" w:styleId="OneLevelList">
    <w:name w:val="OneLevelList"/>
    <w:uiPriority w:val="99"/>
    <w:rsid w:val="00531C63"/>
    <w:pPr>
      <w:numPr>
        <w:numId w:val="13"/>
      </w:numPr>
    </w:pPr>
  </w:style>
  <w:style w:type="numbering" w:customStyle="1" w:styleId="ChartandTableFootnoteAlphaList">
    <w:name w:val="ChartandTableFootnoteAlphaList"/>
    <w:uiPriority w:val="99"/>
    <w:rsid w:val="00531C63"/>
    <w:pPr>
      <w:numPr>
        <w:numId w:val="19"/>
      </w:numPr>
    </w:pPr>
  </w:style>
  <w:style w:type="paragraph" w:customStyle="1" w:styleId="Heading1Numbered">
    <w:name w:val="Heading 1 Numbered"/>
    <w:basedOn w:val="Heading1"/>
    <w:next w:val="Normal"/>
    <w:rsid w:val="00531C63"/>
    <w:pPr>
      <w:numPr>
        <w:numId w:val="17"/>
      </w:numPr>
    </w:pPr>
  </w:style>
  <w:style w:type="character" w:customStyle="1" w:styleId="SingleParagraphChar">
    <w:name w:val="Single Paragraph Char"/>
    <w:basedOn w:val="DefaultParagraphFont"/>
    <w:link w:val="SingleParagraph"/>
    <w:rsid w:val="00531C63"/>
    <w:rPr>
      <w:rFonts w:ascii="Calibri Light" w:hAnsi="Calibri Light" w:cs="Times New Roman"/>
      <w:color w:val="auto"/>
      <w:sz w:val="22"/>
      <w:szCs w:val="20"/>
    </w:rPr>
  </w:style>
  <w:style w:type="paragraph" w:customStyle="1" w:styleId="Heading2Numbered">
    <w:name w:val="Heading 2 Numbered"/>
    <w:basedOn w:val="Heading2"/>
    <w:next w:val="Normal"/>
    <w:rsid w:val="00531C63"/>
    <w:pPr>
      <w:numPr>
        <w:ilvl w:val="1"/>
        <w:numId w:val="17"/>
      </w:numPr>
      <w:ind w:left="284" w:hanging="284"/>
    </w:pPr>
  </w:style>
  <w:style w:type="paragraph" w:customStyle="1" w:styleId="Heading3Numbered">
    <w:name w:val="Heading 3 Numbered"/>
    <w:basedOn w:val="Heading3"/>
    <w:rsid w:val="00531C63"/>
    <w:pPr>
      <w:numPr>
        <w:ilvl w:val="2"/>
        <w:numId w:val="17"/>
      </w:numPr>
      <w:ind w:left="284" w:hanging="284"/>
    </w:pPr>
  </w:style>
  <w:style w:type="paragraph" w:styleId="Title">
    <w:name w:val="Title"/>
    <w:basedOn w:val="Normal"/>
    <w:next w:val="Normal"/>
    <w:link w:val="TitleChar"/>
    <w:uiPriority w:val="10"/>
    <w:rsid w:val="006E3717"/>
    <w:pPr>
      <w:spacing w:before="0" w:after="300"/>
      <w:contextualSpacing/>
    </w:pPr>
    <w:rPr>
      <w:rFonts w:eastAsiaTheme="majorEastAsia" w:cstheme="majorBidi"/>
      <w:b/>
      <w:color w:val="FFFFFF" w:themeColor="background1"/>
      <w:spacing w:val="5"/>
      <w:kern w:val="28"/>
      <w:sz w:val="92"/>
      <w:szCs w:val="92"/>
    </w:rPr>
  </w:style>
  <w:style w:type="character" w:customStyle="1" w:styleId="TitleChar">
    <w:name w:val="Title Char"/>
    <w:basedOn w:val="DefaultParagraphFont"/>
    <w:link w:val="Title"/>
    <w:uiPriority w:val="10"/>
    <w:rsid w:val="006E3717"/>
    <w:rPr>
      <w:rFonts w:ascii="Calibri Light" w:eastAsiaTheme="majorEastAsia" w:hAnsi="Calibri Light" w:cstheme="majorBidi"/>
      <w:b/>
      <w:color w:val="FFFFFF" w:themeColor="background1"/>
      <w:spacing w:val="5"/>
      <w:kern w:val="28"/>
      <w:sz w:val="92"/>
      <w:szCs w:val="92"/>
    </w:rPr>
  </w:style>
  <w:style w:type="paragraph" w:styleId="Subtitle">
    <w:name w:val="Subtitle"/>
    <w:basedOn w:val="Normal"/>
    <w:next w:val="Normal"/>
    <w:link w:val="SubtitleChar"/>
    <w:uiPriority w:val="11"/>
    <w:rsid w:val="00531C63"/>
    <w:pPr>
      <w:numPr>
        <w:ilvl w:val="1"/>
      </w:numPr>
    </w:pPr>
    <w:rPr>
      <w:rFonts w:eastAsiaTheme="majorEastAsia" w:cstheme="majorBidi"/>
      <w:iCs/>
      <w:color w:val="EEEEEE"/>
      <w:sz w:val="44"/>
      <w:szCs w:val="44"/>
    </w:rPr>
  </w:style>
  <w:style w:type="character" w:customStyle="1" w:styleId="SubtitleChar">
    <w:name w:val="Subtitle Char"/>
    <w:basedOn w:val="DefaultParagraphFont"/>
    <w:link w:val="Subtitle"/>
    <w:uiPriority w:val="11"/>
    <w:rsid w:val="00531C63"/>
    <w:rPr>
      <w:rFonts w:ascii="Calibri Light" w:eastAsiaTheme="majorEastAsia" w:hAnsi="Calibri Light" w:cstheme="majorBidi"/>
      <w:iCs/>
      <w:color w:val="EEEEEE"/>
      <w:sz w:val="44"/>
      <w:szCs w:val="44"/>
    </w:rPr>
  </w:style>
  <w:style w:type="character" w:styleId="SubtleEmphasis">
    <w:name w:val="Subtle Emphasis"/>
    <w:basedOn w:val="DefaultParagraphFont"/>
    <w:uiPriority w:val="19"/>
    <w:rsid w:val="00531C63"/>
    <w:rPr>
      <w:i/>
      <w:iCs/>
      <w:color w:val="808080" w:themeColor="text1" w:themeTint="7F"/>
    </w:rPr>
  </w:style>
  <w:style w:type="character" w:styleId="PlaceholderText">
    <w:name w:val="Placeholder Text"/>
    <w:basedOn w:val="DefaultParagraphFont"/>
    <w:uiPriority w:val="99"/>
    <w:semiHidden/>
    <w:rsid w:val="00531C63"/>
    <w:rPr>
      <w:color w:val="808080"/>
    </w:rPr>
  </w:style>
  <w:style w:type="paragraph" w:customStyle="1" w:styleId="AppendixHeading">
    <w:name w:val="Appendix Heading"/>
    <w:basedOn w:val="Heading1"/>
    <w:next w:val="Normal"/>
    <w:rsid w:val="00531C63"/>
  </w:style>
  <w:style w:type="paragraph" w:customStyle="1" w:styleId="HeadingBase">
    <w:name w:val="Heading Base"/>
    <w:rsid w:val="00531C63"/>
    <w:pPr>
      <w:keepNext/>
      <w:spacing w:after="120"/>
    </w:pPr>
    <w:rPr>
      <w:rFonts w:ascii="Calibri" w:hAnsi="Calibri" w:cs="Arial"/>
      <w:bCs/>
      <w:color w:val="002C4A"/>
      <w:kern w:val="32"/>
      <w:sz w:val="48"/>
      <w:szCs w:val="36"/>
    </w:rPr>
  </w:style>
  <w:style w:type="character" w:customStyle="1" w:styleId="ReportDateChar">
    <w:name w:val="Report Date Char"/>
    <w:basedOn w:val="DefaultParagraphFont"/>
    <w:link w:val="ReportDate"/>
    <w:rsid w:val="00531C63"/>
    <w:rPr>
      <w:rFonts w:ascii="Calibri Light" w:hAnsi="Calibri Light" w:cs="Times New Roman"/>
      <w:color w:val="90B6F0"/>
      <w:sz w:val="32"/>
      <w:szCs w:val="20"/>
    </w:rPr>
  </w:style>
  <w:style w:type="paragraph" w:customStyle="1" w:styleId="NotesHeading">
    <w:name w:val="Notes Heading"/>
    <w:basedOn w:val="Normal"/>
    <w:rsid w:val="00531C63"/>
    <w:pPr>
      <w:keepNext/>
      <w:spacing w:before="240" w:after="360"/>
      <w:jc w:val="center"/>
    </w:pPr>
    <w:rPr>
      <w:rFonts w:ascii="Century Gothic" w:hAnsi="Century Gothic"/>
      <w:smallCaps/>
      <w:color w:val="5F5F5F" w:themeColor="text2"/>
      <w:sz w:val="36"/>
      <w:szCs w:val="36"/>
    </w:rPr>
  </w:style>
  <w:style w:type="paragraph" w:customStyle="1" w:styleId="TableTextIndented">
    <w:name w:val="Table Text Indented"/>
    <w:basedOn w:val="TableTextLeft"/>
    <w:rsid w:val="00531C63"/>
    <w:pPr>
      <w:ind w:left="284"/>
    </w:pPr>
  </w:style>
  <w:style w:type="paragraph" w:customStyle="1" w:styleId="TableHeadingContinued">
    <w:name w:val="Table Heading Continued"/>
    <w:basedOn w:val="TableMainHeading"/>
    <w:next w:val="TableGraphic"/>
    <w:rsid w:val="00531C63"/>
  </w:style>
  <w:style w:type="paragraph" w:customStyle="1" w:styleId="HeaderEven">
    <w:name w:val="Header Even"/>
    <w:basedOn w:val="Header"/>
    <w:qFormat/>
    <w:rsid w:val="00531C63"/>
    <w:pPr>
      <w:jc w:val="left"/>
    </w:pPr>
    <w:rPr>
      <w:color w:val="002C47"/>
    </w:rPr>
  </w:style>
  <w:style w:type="paragraph" w:customStyle="1" w:styleId="HeaderOdd">
    <w:name w:val="Header Odd"/>
    <w:basedOn w:val="Header"/>
    <w:qFormat/>
    <w:rsid w:val="00531C63"/>
    <w:rPr>
      <w:color w:val="002C47"/>
    </w:rPr>
  </w:style>
  <w:style w:type="character" w:customStyle="1" w:styleId="BoxTextChar">
    <w:name w:val="Box Text Char"/>
    <w:basedOn w:val="DefaultParagraphFont"/>
    <w:link w:val="BoxText"/>
    <w:locked/>
    <w:rsid w:val="00531C63"/>
    <w:rPr>
      <w:rFonts w:ascii="Calibri Light" w:hAnsi="Calibri Light" w:cs="Times New Roman"/>
      <w:color w:val="auto"/>
      <w:sz w:val="22"/>
      <w:szCs w:val="20"/>
    </w:rPr>
  </w:style>
  <w:style w:type="paragraph" w:customStyle="1" w:styleId="Boxbullet">
    <w:name w:val="Box bullet"/>
    <w:basedOn w:val="Bullet"/>
    <w:rsid w:val="00531C63"/>
    <w:pPr>
      <w:numPr>
        <w:numId w:val="33"/>
      </w:numPr>
      <w:tabs>
        <w:tab w:val="clear" w:pos="283"/>
        <w:tab w:val="num" w:pos="284"/>
        <w:tab w:val="num" w:pos="520"/>
      </w:tabs>
      <w:spacing w:before="60"/>
    </w:pPr>
    <w:rPr>
      <w:color w:val="0D0D0D" w:themeColor="text1" w:themeTint="F2"/>
    </w:rPr>
  </w:style>
  <w:style w:type="paragraph" w:customStyle="1" w:styleId="Boxdash">
    <w:name w:val="Box dash"/>
    <w:basedOn w:val="Dash"/>
    <w:rsid w:val="00531C63"/>
    <w:pPr>
      <w:numPr>
        <w:numId w:val="33"/>
      </w:numPr>
      <w:tabs>
        <w:tab w:val="clear" w:pos="567"/>
        <w:tab w:val="num" w:pos="1040"/>
      </w:tabs>
      <w:spacing w:before="60" w:after="0" w:line="276" w:lineRule="auto"/>
    </w:pPr>
    <w:rPr>
      <w:rFonts w:eastAsiaTheme="minorHAnsi"/>
      <w:color w:val="0D0D0D" w:themeColor="text1" w:themeTint="F2"/>
      <w:lang w:eastAsia="en-US"/>
    </w:rPr>
  </w:style>
  <w:style w:type="paragraph" w:customStyle="1" w:styleId="Boxdoubledot">
    <w:name w:val="Box double dot"/>
    <w:basedOn w:val="DoubleDot"/>
    <w:rsid w:val="00531C63"/>
    <w:pPr>
      <w:numPr>
        <w:numId w:val="33"/>
      </w:numPr>
      <w:tabs>
        <w:tab w:val="clear" w:pos="851"/>
        <w:tab w:val="left" w:pos="567"/>
        <w:tab w:val="num" w:pos="1560"/>
      </w:tabs>
      <w:spacing w:before="60" w:after="0" w:line="276" w:lineRule="auto"/>
    </w:pPr>
    <w:rPr>
      <w:rFonts w:eastAsiaTheme="minorHAnsi"/>
      <w:color w:val="0D0D0D" w:themeColor="text1" w:themeTint="F2"/>
      <w:lang w:eastAsia="en-US"/>
    </w:rPr>
  </w:style>
  <w:style w:type="paragraph" w:customStyle="1" w:styleId="Instructions">
    <w:name w:val="Instructions"/>
    <w:basedOn w:val="Normal"/>
    <w:uiPriority w:val="1"/>
    <w:qFormat/>
    <w:rsid w:val="00531C63"/>
    <w:pPr>
      <w:shd w:val="clear" w:color="auto" w:fill="FFFF00"/>
      <w:ind w:left="170" w:hanging="170"/>
    </w:pPr>
    <w:rPr>
      <w:rFonts w:asciiTheme="minorHAnsi" w:hAnsiTheme="minorHAnsi"/>
      <w:sz w:val="20"/>
      <w:szCs w:val="24"/>
    </w:rPr>
  </w:style>
  <w:style w:type="paragraph" w:customStyle="1" w:styleId="SecurityClassificationHeader">
    <w:name w:val="Security Classification Header"/>
    <w:link w:val="SecurityClassificationHeaderChar"/>
    <w:rsid w:val="00531C63"/>
    <w:pPr>
      <w:spacing w:before="360" w:after="60" w:line="259" w:lineRule="auto"/>
      <w:jc w:val="center"/>
    </w:pPr>
    <w:rPr>
      <w:rFonts w:ascii="Calibri" w:hAnsi="Calibri" w:cs="Calibri"/>
      <w:b/>
      <w:color w:val="FF0000"/>
      <w:sz w:val="20"/>
      <w:szCs w:val="20"/>
    </w:rPr>
  </w:style>
  <w:style w:type="character" w:customStyle="1" w:styleId="SecurityClassificationHeaderChar">
    <w:name w:val="Security Classification Header Char"/>
    <w:basedOn w:val="HeaderChar"/>
    <w:link w:val="SecurityClassificationHeader"/>
    <w:rsid w:val="00531C63"/>
    <w:rPr>
      <w:rFonts w:ascii="Calibri" w:hAnsi="Calibri" w:cs="Calibri"/>
      <w:b/>
      <w:color w:val="FF0000"/>
      <w:sz w:val="20"/>
      <w:szCs w:val="20"/>
    </w:rPr>
  </w:style>
  <w:style w:type="paragraph" w:customStyle="1" w:styleId="SecurityClassificationFooter">
    <w:name w:val="Security Classification Footer"/>
    <w:link w:val="SecurityClassificationFooterChar"/>
    <w:rsid w:val="00531C63"/>
    <w:pPr>
      <w:spacing w:before="360" w:after="60" w:line="259" w:lineRule="auto"/>
      <w:jc w:val="center"/>
    </w:pPr>
    <w:rPr>
      <w:rFonts w:ascii="Calibri" w:hAnsi="Calibri" w:cs="Calibri"/>
      <w:b/>
      <w:color w:val="FF0000"/>
      <w:sz w:val="20"/>
      <w:szCs w:val="20"/>
    </w:rPr>
  </w:style>
  <w:style w:type="character" w:customStyle="1" w:styleId="SecurityClassificationFooterChar">
    <w:name w:val="Security Classification Footer Char"/>
    <w:basedOn w:val="HeaderChar"/>
    <w:link w:val="SecurityClassificationFooter"/>
    <w:rsid w:val="00531C63"/>
    <w:rPr>
      <w:rFonts w:ascii="Calibri" w:hAnsi="Calibri" w:cs="Calibri"/>
      <w:b/>
      <w:color w:val="FF0000"/>
      <w:sz w:val="20"/>
      <w:szCs w:val="20"/>
    </w:rPr>
  </w:style>
  <w:style w:type="paragraph" w:customStyle="1" w:styleId="DLMSecurityHeader">
    <w:name w:val="DLM Security Header"/>
    <w:link w:val="DLMSecurityHeaderChar"/>
    <w:rsid w:val="00531C63"/>
    <w:pPr>
      <w:spacing w:before="60" w:after="240" w:line="259" w:lineRule="auto"/>
      <w:jc w:val="center"/>
    </w:pPr>
    <w:rPr>
      <w:rFonts w:ascii="Calibri" w:hAnsi="Calibri" w:cs="Calibri"/>
      <w:b/>
      <w:color w:val="FF0000"/>
      <w:sz w:val="20"/>
      <w:szCs w:val="20"/>
    </w:rPr>
  </w:style>
  <w:style w:type="character" w:customStyle="1" w:styleId="DLMSecurityHeaderChar">
    <w:name w:val="DLM Security Header Char"/>
    <w:basedOn w:val="HeaderChar"/>
    <w:link w:val="DLMSecurityHeader"/>
    <w:rsid w:val="00531C63"/>
    <w:rPr>
      <w:rFonts w:ascii="Calibri" w:hAnsi="Calibri" w:cs="Calibri"/>
      <w:b/>
      <w:color w:val="FF0000"/>
      <w:sz w:val="20"/>
      <w:szCs w:val="20"/>
    </w:rPr>
  </w:style>
  <w:style w:type="paragraph" w:customStyle="1" w:styleId="DLMSecurityFooter">
    <w:name w:val="DLM Security Footer"/>
    <w:link w:val="DLMSecurityFooterChar"/>
    <w:rsid w:val="00531C63"/>
    <w:pPr>
      <w:spacing w:before="240" w:after="60" w:line="259" w:lineRule="auto"/>
      <w:jc w:val="center"/>
    </w:pPr>
    <w:rPr>
      <w:rFonts w:ascii="Calibri" w:hAnsi="Calibri" w:cs="Calibri"/>
      <w:b/>
      <w:color w:val="FF0000"/>
      <w:sz w:val="20"/>
      <w:szCs w:val="20"/>
    </w:rPr>
  </w:style>
  <w:style w:type="character" w:customStyle="1" w:styleId="DLMSecurityFooterChar">
    <w:name w:val="DLM Security Footer Char"/>
    <w:basedOn w:val="HeaderChar"/>
    <w:link w:val="DLMSecurityFooter"/>
    <w:rsid w:val="00531C63"/>
    <w:rPr>
      <w:rFonts w:ascii="Calibri" w:hAnsi="Calibri" w:cs="Calibri"/>
      <w:b/>
      <w:color w:val="FF0000"/>
      <w:sz w:val="20"/>
      <w:szCs w:val="20"/>
    </w:rPr>
  </w:style>
  <w:style w:type="numbering" w:customStyle="1" w:styleId="ChartsandtableFootnoteAlphaBullets">
    <w:name w:val="Charts and table Footnote Alpha Bullets"/>
    <w:basedOn w:val="NoList"/>
    <w:uiPriority w:val="99"/>
    <w:rsid w:val="00BE5272"/>
    <w:pPr>
      <w:numPr>
        <w:numId w:val="36"/>
      </w:numPr>
    </w:pPr>
  </w:style>
  <w:style w:type="paragraph" w:styleId="NoSpacing">
    <w:name w:val="No Spacing"/>
    <w:uiPriority w:val="1"/>
    <w:qFormat/>
    <w:rsid w:val="008B11D4"/>
    <w:rPr>
      <w:rFonts w:ascii="Calibri Light" w:hAnsi="Calibri Light" w:cs="Times New Roman"/>
      <w:color w:val="auto"/>
      <w:sz w:val="22"/>
      <w:szCs w:val="20"/>
    </w:rPr>
  </w:style>
  <w:style w:type="paragraph" w:customStyle="1" w:styleId="ChartandTableNoteBullet">
    <w:name w:val="Chart and Table Note Bullet"/>
    <w:qFormat/>
    <w:rsid w:val="00FA2785"/>
    <w:pPr>
      <w:numPr>
        <w:numId w:val="41"/>
      </w:numPr>
      <w:spacing w:before="60"/>
      <w:ind w:left="511" w:hanging="227"/>
    </w:pPr>
    <w:rPr>
      <w:rFonts w:asciiTheme="minorHAnsi" w:hAnsiTheme="minorHAnsi" w:cs="Times New Roman"/>
      <w:sz w:val="18"/>
      <w:szCs w:val="16"/>
      <w:lang w:val="en-GB"/>
    </w:rPr>
  </w:style>
  <w:style w:type="character" w:styleId="BookTitle">
    <w:name w:val="Book Title"/>
    <w:basedOn w:val="DefaultParagraphFont"/>
    <w:uiPriority w:val="33"/>
    <w:qFormat/>
    <w:rsid w:val="0009675D"/>
    <w:rPr>
      <w:b/>
      <w:bCs/>
      <w:i/>
      <w:iCs/>
      <w:spacing w:val="5"/>
    </w:rPr>
  </w:style>
  <w:style w:type="paragraph" w:styleId="Caption">
    <w:name w:val="caption"/>
    <w:basedOn w:val="Normal"/>
    <w:next w:val="Normal"/>
    <w:uiPriority w:val="35"/>
    <w:semiHidden/>
    <w:unhideWhenUsed/>
    <w:qFormat/>
    <w:rsid w:val="0009675D"/>
    <w:pPr>
      <w:spacing w:before="0" w:after="200"/>
    </w:pPr>
    <w:rPr>
      <w:i/>
      <w:iCs/>
      <w:color w:val="5F5F5F" w:themeColor="text2"/>
      <w:sz w:val="18"/>
      <w:szCs w:val="18"/>
    </w:rPr>
  </w:style>
  <w:style w:type="character" w:customStyle="1" w:styleId="Heading7Char">
    <w:name w:val="Heading 7 Char"/>
    <w:basedOn w:val="DefaultParagraphFont"/>
    <w:link w:val="Heading7"/>
    <w:uiPriority w:val="9"/>
    <w:semiHidden/>
    <w:rsid w:val="0009675D"/>
    <w:rPr>
      <w:rFonts w:asciiTheme="majorHAnsi" w:eastAsiaTheme="majorEastAsia" w:hAnsiTheme="majorHAnsi" w:cstheme="majorBidi"/>
      <w:i/>
      <w:iCs/>
      <w:color w:val="161B24" w:themeColor="accent1" w:themeShade="7F"/>
      <w:sz w:val="22"/>
      <w:szCs w:val="20"/>
    </w:rPr>
  </w:style>
  <w:style w:type="character" w:customStyle="1" w:styleId="Heading8Char">
    <w:name w:val="Heading 8 Char"/>
    <w:basedOn w:val="DefaultParagraphFont"/>
    <w:link w:val="Heading8"/>
    <w:uiPriority w:val="9"/>
    <w:semiHidden/>
    <w:rsid w:val="0009675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9675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9675D"/>
    <w:rPr>
      <w:i/>
      <w:iCs/>
      <w:color w:val="2C384A" w:themeColor="accent1"/>
    </w:rPr>
  </w:style>
  <w:style w:type="paragraph" w:styleId="IntenseQuote">
    <w:name w:val="Intense Quote"/>
    <w:basedOn w:val="Normal"/>
    <w:next w:val="Normal"/>
    <w:link w:val="IntenseQuoteChar"/>
    <w:uiPriority w:val="30"/>
    <w:qFormat/>
    <w:rsid w:val="0009675D"/>
    <w:pPr>
      <w:pBdr>
        <w:top w:val="single" w:sz="4" w:space="10" w:color="2C384A" w:themeColor="accent1"/>
        <w:bottom w:val="single" w:sz="4" w:space="10" w:color="2C384A" w:themeColor="accent1"/>
      </w:pBdr>
      <w:spacing w:before="360" w:after="360"/>
      <w:ind w:left="864" w:right="864"/>
      <w:jc w:val="center"/>
    </w:pPr>
    <w:rPr>
      <w:i/>
      <w:iCs/>
      <w:color w:val="2C384A" w:themeColor="accent1"/>
    </w:rPr>
  </w:style>
  <w:style w:type="character" w:customStyle="1" w:styleId="IntenseQuoteChar">
    <w:name w:val="Intense Quote Char"/>
    <w:basedOn w:val="DefaultParagraphFont"/>
    <w:link w:val="IntenseQuote"/>
    <w:uiPriority w:val="30"/>
    <w:rsid w:val="0009675D"/>
    <w:rPr>
      <w:rFonts w:ascii="Calibri Light" w:hAnsi="Calibri Light" w:cs="Times New Roman"/>
      <w:i/>
      <w:iCs/>
      <w:color w:val="2C384A" w:themeColor="accent1"/>
      <w:sz w:val="22"/>
      <w:szCs w:val="20"/>
    </w:rPr>
  </w:style>
  <w:style w:type="character" w:styleId="IntenseReference">
    <w:name w:val="Intense Reference"/>
    <w:basedOn w:val="DefaultParagraphFont"/>
    <w:uiPriority w:val="32"/>
    <w:qFormat/>
    <w:rsid w:val="0009675D"/>
    <w:rPr>
      <w:b/>
      <w:bCs/>
      <w:smallCaps/>
      <w:color w:val="2C384A" w:themeColor="accent1"/>
      <w:spacing w:val="5"/>
    </w:rPr>
  </w:style>
  <w:style w:type="paragraph" w:styleId="Quote">
    <w:name w:val="Quote"/>
    <w:basedOn w:val="Normal"/>
    <w:next w:val="Normal"/>
    <w:link w:val="QuoteChar"/>
    <w:uiPriority w:val="29"/>
    <w:qFormat/>
    <w:rsid w:val="0009675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9675D"/>
    <w:rPr>
      <w:rFonts w:ascii="Calibri Light" w:hAnsi="Calibri Light" w:cs="Times New Roman"/>
      <w:i/>
      <w:iCs/>
      <w:color w:val="404040" w:themeColor="text1" w:themeTint="BF"/>
      <w:sz w:val="22"/>
      <w:szCs w:val="20"/>
    </w:rPr>
  </w:style>
  <w:style w:type="character" w:styleId="SubtleReference">
    <w:name w:val="Subtle Reference"/>
    <w:basedOn w:val="DefaultParagraphFont"/>
    <w:uiPriority w:val="31"/>
    <w:qFormat/>
    <w:rsid w:val="0009675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5140">
      <w:bodyDiv w:val="1"/>
      <w:marLeft w:val="0"/>
      <w:marRight w:val="0"/>
      <w:marTop w:val="0"/>
      <w:marBottom w:val="0"/>
      <w:divBdr>
        <w:top w:val="none" w:sz="0" w:space="0" w:color="auto"/>
        <w:left w:val="none" w:sz="0" w:space="0" w:color="auto"/>
        <w:bottom w:val="none" w:sz="0" w:space="0" w:color="auto"/>
        <w:right w:val="none" w:sz="0" w:space="0" w:color="auto"/>
      </w:divBdr>
    </w:div>
    <w:div w:id="68967788">
      <w:bodyDiv w:val="1"/>
      <w:marLeft w:val="0"/>
      <w:marRight w:val="0"/>
      <w:marTop w:val="0"/>
      <w:marBottom w:val="0"/>
      <w:divBdr>
        <w:top w:val="none" w:sz="0" w:space="0" w:color="auto"/>
        <w:left w:val="none" w:sz="0" w:space="0" w:color="auto"/>
        <w:bottom w:val="none" w:sz="0" w:space="0" w:color="auto"/>
        <w:right w:val="none" w:sz="0" w:space="0" w:color="auto"/>
      </w:divBdr>
    </w:div>
    <w:div w:id="129520673">
      <w:bodyDiv w:val="1"/>
      <w:marLeft w:val="0"/>
      <w:marRight w:val="0"/>
      <w:marTop w:val="0"/>
      <w:marBottom w:val="0"/>
      <w:divBdr>
        <w:top w:val="none" w:sz="0" w:space="0" w:color="auto"/>
        <w:left w:val="none" w:sz="0" w:space="0" w:color="auto"/>
        <w:bottom w:val="none" w:sz="0" w:space="0" w:color="auto"/>
        <w:right w:val="none" w:sz="0" w:space="0" w:color="auto"/>
      </w:divBdr>
    </w:div>
    <w:div w:id="200824455">
      <w:bodyDiv w:val="1"/>
      <w:marLeft w:val="0"/>
      <w:marRight w:val="0"/>
      <w:marTop w:val="0"/>
      <w:marBottom w:val="0"/>
      <w:divBdr>
        <w:top w:val="none" w:sz="0" w:space="0" w:color="auto"/>
        <w:left w:val="none" w:sz="0" w:space="0" w:color="auto"/>
        <w:bottom w:val="none" w:sz="0" w:space="0" w:color="auto"/>
        <w:right w:val="none" w:sz="0" w:space="0" w:color="auto"/>
      </w:divBdr>
    </w:div>
    <w:div w:id="203566373">
      <w:bodyDiv w:val="1"/>
      <w:marLeft w:val="0"/>
      <w:marRight w:val="0"/>
      <w:marTop w:val="0"/>
      <w:marBottom w:val="0"/>
      <w:divBdr>
        <w:top w:val="none" w:sz="0" w:space="0" w:color="auto"/>
        <w:left w:val="none" w:sz="0" w:space="0" w:color="auto"/>
        <w:bottom w:val="none" w:sz="0" w:space="0" w:color="auto"/>
        <w:right w:val="none" w:sz="0" w:space="0" w:color="auto"/>
      </w:divBdr>
    </w:div>
    <w:div w:id="204291739">
      <w:bodyDiv w:val="1"/>
      <w:marLeft w:val="0"/>
      <w:marRight w:val="0"/>
      <w:marTop w:val="0"/>
      <w:marBottom w:val="0"/>
      <w:divBdr>
        <w:top w:val="none" w:sz="0" w:space="0" w:color="auto"/>
        <w:left w:val="none" w:sz="0" w:space="0" w:color="auto"/>
        <w:bottom w:val="none" w:sz="0" w:space="0" w:color="auto"/>
        <w:right w:val="none" w:sz="0" w:space="0" w:color="auto"/>
      </w:divBdr>
    </w:div>
    <w:div w:id="224342027">
      <w:bodyDiv w:val="1"/>
      <w:marLeft w:val="0"/>
      <w:marRight w:val="0"/>
      <w:marTop w:val="0"/>
      <w:marBottom w:val="0"/>
      <w:divBdr>
        <w:top w:val="none" w:sz="0" w:space="0" w:color="auto"/>
        <w:left w:val="none" w:sz="0" w:space="0" w:color="auto"/>
        <w:bottom w:val="none" w:sz="0" w:space="0" w:color="auto"/>
        <w:right w:val="none" w:sz="0" w:space="0" w:color="auto"/>
      </w:divBdr>
    </w:div>
    <w:div w:id="258225469">
      <w:bodyDiv w:val="1"/>
      <w:marLeft w:val="0"/>
      <w:marRight w:val="0"/>
      <w:marTop w:val="0"/>
      <w:marBottom w:val="0"/>
      <w:divBdr>
        <w:top w:val="none" w:sz="0" w:space="0" w:color="auto"/>
        <w:left w:val="none" w:sz="0" w:space="0" w:color="auto"/>
        <w:bottom w:val="none" w:sz="0" w:space="0" w:color="auto"/>
        <w:right w:val="none" w:sz="0" w:space="0" w:color="auto"/>
      </w:divBdr>
    </w:div>
    <w:div w:id="263850124">
      <w:bodyDiv w:val="1"/>
      <w:marLeft w:val="0"/>
      <w:marRight w:val="0"/>
      <w:marTop w:val="0"/>
      <w:marBottom w:val="0"/>
      <w:divBdr>
        <w:top w:val="none" w:sz="0" w:space="0" w:color="auto"/>
        <w:left w:val="none" w:sz="0" w:space="0" w:color="auto"/>
        <w:bottom w:val="none" w:sz="0" w:space="0" w:color="auto"/>
        <w:right w:val="none" w:sz="0" w:space="0" w:color="auto"/>
      </w:divBdr>
    </w:div>
    <w:div w:id="315230231">
      <w:bodyDiv w:val="1"/>
      <w:marLeft w:val="0"/>
      <w:marRight w:val="0"/>
      <w:marTop w:val="0"/>
      <w:marBottom w:val="0"/>
      <w:divBdr>
        <w:top w:val="none" w:sz="0" w:space="0" w:color="auto"/>
        <w:left w:val="none" w:sz="0" w:space="0" w:color="auto"/>
        <w:bottom w:val="none" w:sz="0" w:space="0" w:color="auto"/>
        <w:right w:val="none" w:sz="0" w:space="0" w:color="auto"/>
      </w:divBdr>
    </w:div>
    <w:div w:id="357123300">
      <w:bodyDiv w:val="1"/>
      <w:marLeft w:val="0"/>
      <w:marRight w:val="0"/>
      <w:marTop w:val="0"/>
      <w:marBottom w:val="0"/>
      <w:divBdr>
        <w:top w:val="none" w:sz="0" w:space="0" w:color="auto"/>
        <w:left w:val="none" w:sz="0" w:space="0" w:color="auto"/>
        <w:bottom w:val="none" w:sz="0" w:space="0" w:color="auto"/>
        <w:right w:val="none" w:sz="0" w:space="0" w:color="auto"/>
      </w:divBdr>
    </w:div>
    <w:div w:id="365644664">
      <w:bodyDiv w:val="1"/>
      <w:marLeft w:val="0"/>
      <w:marRight w:val="0"/>
      <w:marTop w:val="0"/>
      <w:marBottom w:val="0"/>
      <w:divBdr>
        <w:top w:val="none" w:sz="0" w:space="0" w:color="auto"/>
        <w:left w:val="none" w:sz="0" w:space="0" w:color="auto"/>
        <w:bottom w:val="none" w:sz="0" w:space="0" w:color="auto"/>
        <w:right w:val="none" w:sz="0" w:space="0" w:color="auto"/>
      </w:divBdr>
    </w:div>
    <w:div w:id="378937054">
      <w:bodyDiv w:val="1"/>
      <w:marLeft w:val="0"/>
      <w:marRight w:val="0"/>
      <w:marTop w:val="0"/>
      <w:marBottom w:val="0"/>
      <w:divBdr>
        <w:top w:val="none" w:sz="0" w:space="0" w:color="auto"/>
        <w:left w:val="none" w:sz="0" w:space="0" w:color="auto"/>
        <w:bottom w:val="none" w:sz="0" w:space="0" w:color="auto"/>
        <w:right w:val="none" w:sz="0" w:space="0" w:color="auto"/>
      </w:divBdr>
    </w:div>
    <w:div w:id="383409541">
      <w:bodyDiv w:val="1"/>
      <w:marLeft w:val="0"/>
      <w:marRight w:val="0"/>
      <w:marTop w:val="0"/>
      <w:marBottom w:val="0"/>
      <w:divBdr>
        <w:top w:val="none" w:sz="0" w:space="0" w:color="auto"/>
        <w:left w:val="none" w:sz="0" w:space="0" w:color="auto"/>
        <w:bottom w:val="none" w:sz="0" w:space="0" w:color="auto"/>
        <w:right w:val="none" w:sz="0" w:space="0" w:color="auto"/>
      </w:divBdr>
    </w:div>
    <w:div w:id="397901396">
      <w:bodyDiv w:val="1"/>
      <w:marLeft w:val="0"/>
      <w:marRight w:val="0"/>
      <w:marTop w:val="0"/>
      <w:marBottom w:val="0"/>
      <w:divBdr>
        <w:top w:val="none" w:sz="0" w:space="0" w:color="auto"/>
        <w:left w:val="none" w:sz="0" w:space="0" w:color="auto"/>
        <w:bottom w:val="none" w:sz="0" w:space="0" w:color="auto"/>
        <w:right w:val="none" w:sz="0" w:space="0" w:color="auto"/>
      </w:divBdr>
    </w:div>
    <w:div w:id="441650836">
      <w:bodyDiv w:val="1"/>
      <w:marLeft w:val="0"/>
      <w:marRight w:val="0"/>
      <w:marTop w:val="0"/>
      <w:marBottom w:val="0"/>
      <w:divBdr>
        <w:top w:val="none" w:sz="0" w:space="0" w:color="auto"/>
        <w:left w:val="none" w:sz="0" w:space="0" w:color="auto"/>
        <w:bottom w:val="none" w:sz="0" w:space="0" w:color="auto"/>
        <w:right w:val="none" w:sz="0" w:space="0" w:color="auto"/>
      </w:divBdr>
    </w:div>
    <w:div w:id="461968252">
      <w:bodyDiv w:val="1"/>
      <w:marLeft w:val="0"/>
      <w:marRight w:val="0"/>
      <w:marTop w:val="0"/>
      <w:marBottom w:val="0"/>
      <w:divBdr>
        <w:top w:val="none" w:sz="0" w:space="0" w:color="auto"/>
        <w:left w:val="none" w:sz="0" w:space="0" w:color="auto"/>
        <w:bottom w:val="none" w:sz="0" w:space="0" w:color="auto"/>
        <w:right w:val="none" w:sz="0" w:space="0" w:color="auto"/>
      </w:divBdr>
    </w:div>
    <w:div w:id="470027532">
      <w:bodyDiv w:val="1"/>
      <w:marLeft w:val="0"/>
      <w:marRight w:val="0"/>
      <w:marTop w:val="0"/>
      <w:marBottom w:val="0"/>
      <w:divBdr>
        <w:top w:val="none" w:sz="0" w:space="0" w:color="auto"/>
        <w:left w:val="none" w:sz="0" w:space="0" w:color="auto"/>
        <w:bottom w:val="none" w:sz="0" w:space="0" w:color="auto"/>
        <w:right w:val="none" w:sz="0" w:space="0" w:color="auto"/>
      </w:divBdr>
    </w:div>
    <w:div w:id="483590833">
      <w:bodyDiv w:val="1"/>
      <w:marLeft w:val="0"/>
      <w:marRight w:val="0"/>
      <w:marTop w:val="0"/>
      <w:marBottom w:val="0"/>
      <w:divBdr>
        <w:top w:val="none" w:sz="0" w:space="0" w:color="auto"/>
        <w:left w:val="none" w:sz="0" w:space="0" w:color="auto"/>
        <w:bottom w:val="none" w:sz="0" w:space="0" w:color="auto"/>
        <w:right w:val="none" w:sz="0" w:space="0" w:color="auto"/>
      </w:divBdr>
    </w:div>
    <w:div w:id="491290054">
      <w:bodyDiv w:val="1"/>
      <w:marLeft w:val="0"/>
      <w:marRight w:val="0"/>
      <w:marTop w:val="0"/>
      <w:marBottom w:val="0"/>
      <w:divBdr>
        <w:top w:val="none" w:sz="0" w:space="0" w:color="auto"/>
        <w:left w:val="none" w:sz="0" w:space="0" w:color="auto"/>
        <w:bottom w:val="none" w:sz="0" w:space="0" w:color="auto"/>
        <w:right w:val="none" w:sz="0" w:space="0" w:color="auto"/>
      </w:divBdr>
    </w:div>
    <w:div w:id="498276005">
      <w:bodyDiv w:val="1"/>
      <w:marLeft w:val="0"/>
      <w:marRight w:val="0"/>
      <w:marTop w:val="0"/>
      <w:marBottom w:val="0"/>
      <w:divBdr>
        <w:top w:val="none" w:sz="0" w:space="0" w:color="auto"/>
        <w:left w:val="none" w:sz="0" w:space="0" w:color="auto"/>
        <w:bottom w:val="none" w:sz="0" w:space="0" w:color="auto"/>
        <w:right w:val="none" w:sz="0" w:space="0" w:color="auto"/>
      </w:divBdr>
    </w:div>
    <w:div w:id="521355807">
      <w:bodyDiv w:val="1"/>
      <w:marLeft w:val="0"/>
      <w:marRight w:val="0"/>
      <w:marTop w:val="0"/>
      <w:marBottom w:val="0"/>
      <w:divBdr>
        <w:top w:val="none" w:sz="0" w:space="0" w:color="auto"/>
        <w:left w:val="none" w:sz="0" w:space="0" w:color="auto"/>
        <w:bottom w:val="none" w:sz="0" w:space="0" w:color="auto"/>
        <w:right w:val="none" w:sz="0" w:space="0" w:color="auto"/>
      </w:divBdr>
    </w:div>
    <w:div w:id="542983137">
      <w:bodyDiv w:val="1"/>
      <w:marLeft w:val="0"/>
      <w:marRight w:val="0"/>
      <w:marTop w:val="0"/>
      <w:marBottom w:val="0"/>
      <w:divBdr>
        <w:top w:val="none" w:sz="0" w:space="0" w:color="auto"/>
        <w:left w:val="none" w:sz="0" w:space="0" w:color="auto"/>
        <w:bottom w:val="none" w:sz="0" w:space="0" w:color="auto"/>
        <w:right w:val="none" w:sz="0" w:space="0" w:color="auto"/>
      </w:divBdr>
    </w:div>
    <w:div w:id="569081490">
      <w:bodyDiv w:val="1"/>
      <w:marLeft w:val="0"/>
      <w:marRight w:val="0"/>
      <w:marTop w:val="0"/>
      <w:marBottom w:val="0"/>
      <w:divBdr>
        <w:top w:val="none" w:sz="0" w:space="0" w:color="auto"/>
        <w:left w:val="none" w:sz="0" w:space="0" w:color="auto"/>
        <w:bottom w:val="none" w:sz="0" w:space="0" w:color="auto"/>
        <w:right w:val="none" w:sz="0" w:space="0" w:color="auto"/>
      </w:divBdr>
    </w:div>
    <w:div w:id="584612664">
      <w:bodyDiv w:val="1"/>
      <w:marLeft w:val="0"/>
      <w:marRight w:val="0"/>
      <w:marTop w:val="0"/>
      <w:marBottom w:val="0"/>
      <w:divBdr>
        <w:top w:val="none" w:sz="0" w:space="0" w:color="auto"/>
        <w:left w:val="none" w:sz="0" w:space="0" w:color="auto"/>
        <w:bottom w:val="none" w:sz="0" w:space="0" w:color="auto"/>
        <w:right w:val="none" w:sz="0" w:space="0" w:color="auto"/>
      </w:divBdr>
    </w:div>
    <w:div w:id="605188821">
      <w:bodyDiv w:val="1"/>
      <w:marLeft w:val="0"/>
      <w:marRight w:val="0"/>
      <w:marTop w:val="0"/>
      <w:marBottom w:val="0"/>
      <w:divBdr>
        <w:top w:val="none" w:sz="0" w:space="0" w:color="auto"/>
        <w:left w:val="none" w:sz="0" w:space="0" w:color="auto"/>
        <w:bottom w:val="none" w:sz="0" w:space="0" w:color="auto"/>
        <w:right w:val="none" w:sz="0" w:space="0" w:color="auto"/>
      </w:divBdr>
    </w:div>
    <w:div w:id="608436379">
      <w:bodyDiv w:val="1"/>
      <w:marLeft w:val="0"/>
      <w:marRight w:val="0"/>
      <w:marTop w:val="0"/>
      <w:marBottom w:val="0"/>
      <w:divBdr>
        <w:top w:val="none" w:sz="0" w:space="0" w:color="auto"/>
        <w:left w:val="none" w:sz="0" w:space="0" w:color="auto"/>
        <w:bottom w:val="none" w:sz="0" w:space="0" w:color="auto"/>
        <w:right w:val="none" w:sz="0" w:space="0" w:color="auto"/>
      </w:divBdr>
    </w:div>
    <w:div w:id="614022281">
      <w:bodyDiv w:val="1"/>
      <w:marLeft w:val="0"/>
      <w:marRight w:val="0"/>
      <w:marTop w:val="0"/>
      <w:marBottom w:val="0"/>
      <w:divBdr>
        <w:top w:val="none" w:sz="0" w:space="0" w:color="auto"/>
        <w:left w:val="none" w:sz="0" w:space="0" w:color="auto"/>
        <w:bottom w:val="none" w:sz="0" w:space="0" w:color="auto"/>
        <w:right w:val="none" w:sz="0" w:space="0" w:color="auto"/>
      </w:divBdr>
    </w:div>
    <w:div w:id="652637022">
      <w:bodyDiv w:val="1"/>
      <w:marLeft w:val="0"/>
      <w:marRight w:val="0"/>
      <w:marTop w:val="0"/>
      <w:marBottom w:val="0"/>
      <w:divBdr>
        <w:top w:val="none" w:sz="0" w:space="0" w:color="auto"/>
        <w:left w:val="none" w:sz="0" w:space="0" w:color="auto"/>
        <w:bottom w:val="none" w:sz="0" w:space="0" w:color="auto"/>
        <w:right w:val="none" w:sz="0" w:space="0" w:color="auto"/>
      </w:divBdr>
    </w:div>
    <w:div w:id="683288204">
      <w:bodyDiv w:val="1"/>
      <w:marLeft w:val="0"/>
      <w:marRight w:val="0"/>
      <w:marTop w:val="0"/>
      <w:marBottom w:val="0"/>
      <w:divBdr>
        <w:top w:val="none" w:sz="0" w:space="0" w:color="auto"/>
        <w:left w:val="none" w:sz="0" w:space="0" w:color="auto"/>
        <w:bottom w:val="none" w:sz="0" w:space="0" w:color="auto"/>
        <w:right w:val="none" w:sz="0" w:space="0" w:color="auto"/>
      </w:divBdr>
    </w:div>
    <w:div w:id="692651072">
      <w:bodyDiv w:val="1"/>
      <w:marLeft w:val="0"/>
      <w:marRight w:val="0"/>
      <w:marTop w:val="0"/>
      <w:marBottom w:val="0"/>
      <w:divBdr>
        <w:top w:val="none" w:sz="0" w:space="0" w:color="auto"/>
        <w:left w:val="none" w:sz="0" w:space="0" w:color="auto"/>
        <w:bottom w:val="none" w:sz="0" w:space="0" w:color="auto"/>
        <w:right w:val="none" w:sz="0" w:space="0" w:color="auto"/>
      </w:divBdr>
    </w:div>
    <w:div w:id="702635882">
      <w:bodyDiv w:val="1"/>
      <w:marLeft w:val="0"/>
      <w:marRight w:val="0"/>
      <w:marTop w:val="0"/>
      <w:marBottom w:val="0"/>
      <w:divBdr>
        <w:top w:val="none" w:sz="0" w:space="0" w:color="auto"/>
        <w:left w:val="none" w:sz="0" w:space="0" w:color="auto"/>
        <w:bottom w:val="none" w:sz="0" w:space="0" w:color="auto"/>
        <w:right w:val="none" w:sz="0" w:space="0" w:color="auto"/>
      </w:divBdr>
    </w:div>
    <w:div w:id="713846812">
      <w:bodyDiv w:val="1"/>
      <w:marLeft w:val="0"/>
      <w:marRight w:val="0"/>
      <w:marTop w:val="0"/>
      <w:marBottom w:val="0"/>
      <w:divBdr>
        <w:top w:val="none" w:sz="0" w:space="0" w:color="auto"/>
        <w:left w:val="none" w:sz="0" w:space="0" w:color="auto"/>
        <w:bottom w:val="none" w:sz="0" w:space="0" w:color="auto"/>
        <w:right w:val="none" w:sz="0" w:space="0" w:color="auto"/>
      </w:divBdr>
    </w:div>
    <w:div w:id="718744061">
      <w:bodyDiv w:val="1"/>
      <w:marLeft w:val="0"/>
      <w:marRight w:val="0"/>
      <w:marTop w:val="0"/>
      <w:marBottom w:val="0"/>
      <w:divBdr>
        <w:top w:val="none" w:sz="0" w:space="0" w:color="auto"/>
        <w:left w:val="none" w:sz="0" w:space="0" w:color="auto"/>
        <w:bottom w:val="none" w:sz="0" w:space="0" w:color="auto"/>
        <w:right w:val="none" w:sz="0" w:space="0" w:color="auto"/>
      </w:divBdr>
    </w:div>
    <w:div w:id="741755098">
      <w:bodyDiv w:val="1"/>
      <w:marLeft w:val="0"/>
      <w:marRight w:val="0"/>
      <w:marTop w:val="0"/>
      <w:marBottom w:val="0"/>
      <w:divBdr>
        <w:top w:val="none" w:sz="0" w:space="0" w:color="auto"/>
        <w:left w:val="none" w:sz="0" w:space="0" w:color="auto"/>
        <w:bottom w:val="none" w:sz="0" w:space="0" w:color="auto"/>
        <w:right w:val="none" w:sz="0" w:space="0" w:color="auto"/>
      </w:divBdr>
    </w:div>
    <w:div w:id="742217295">
      <w:bodyDiv w:val="1"/>
      <w:marLeft w:val="0"/>
      <w:marRight w:val="0"/>
      <w:marTop w:val="0"/>
      <w:marBottom w:val="0"/>
      <w:divBdr>
        <w:top w:val="none" w:sz="0" w:space="0" w:color="auto"/>
        <w:left w:val="none" w:sz="0" w:space="0" w:color="auto"/>
        <w:bottom w:val="none" w:sz="0" w:space="0" w:color="auto"/>
        <w:right w:val="none" w:sz="0" w:space="0" w:color="auto"/>
      </w:divBdr>
    </w:div>
    <w:div w:id="800348351">
      <w:bodyDiv w:val="1"/>
      <w:marLeft w:val="0"/>
      <w:marRight w:val="0"/>
      <w:marTop w:val="0"/>
      <w:marBottom w:val="0"/>
      <w:divBdr>
        <w:top w:val="none" w:sz="0" w:space="0" w:color="auto"/>
        <w:left w:val="none" w:sz="0" w:space="0" w:color="auto"/>
        <w:bottom w:val="none" w:sz="0" w:space="0" w:color="auto"/>
        <w:right w:val="none" w:sz="0" w:space="0" w:color="auto"/>
      </w:divBdr>
    </w:div>
    <w:div w:id="826360373">
      <w:bodyDiv w:val="1"/>
      <w:marLeft w:val="0"/>
      <w:marRight w:val="0"/>
      <w:marTop w:val="0"/>
      <w:marBottom w:val="0"/>
      <w:divBdr>
        <w:top w:val="none" w:sz="0" w:space="0" w:color="auto"/>
        <w:left w:val="none" w:sz="0" w:space="0" w:color="auto"/>
        <w:bottom w:val="none" w:sz="0" w:space="0" w:color="auto"/>
        <w:right w:val="none" w:sz="0" w:space="0" w:color="auto"/>
      </w:divBdr>
    </w:div>
    <w:div w:id="840899032">
      <w:bodyDiv w:val="1"/>
      <w:marLeft w:val="0"/>
      <w:marRight w:val="0"/>
      <w:marTop w:val="0"/>
      <w:marBottom w:val="0"/>
      <w:divBdr>
        <w:top w:val="none" w:sz="0" w:space="0" w:color="auto"/>
        <w:left w:val="none" w:sz="0" w:space="0" w:color="auto"/>
        <w:bottom w:val="none" w:sz="0" w:space="0" w:color="auto"/>
        <w:right w:val="none" w:sz="0" w:space="0" w:color="auto"/>
      </w:divBdr>
    </w:div>
    <w:div w:id="889877066">
      <w:bodyDiv w:val="1"/>
      <w:marLeft w:val="0"/>
      <w:marRight w:val="0"/>
      <w:marTop w:val="0"/>
      <w:marBottom w:val="0"/>
      <w:divBdr>
        <w:top w:val="none" w:sz="0" w:space="0" w:color="auto"/>
        <w:left w:val="none" w:sz="0" w:space="0" w:color="auto"/>
        <w:bottom w:val="none" w:sz="0" w:space="0" w:color="auto"/>
        <w:right w:val="none" w:sz="0" w:space="0" w:color="auto"/>
      </w:divBdr>
    </w:div>
    <w:div w:id="893125625">
      <w:bodyDiv w:val="1"/>
      <w:marLeft w:val="0"/>
      <w:marRight w:val="0"/>
      <w:marTop w:val="0"/>
      <w:marBottom w:val="0"/>
      <w:divBdr>
        <w:top w:val="none" w:sz="0" w:space="0" w:color="auto"/>
        <w:left w:val="none" w:sz="0" w:space="0" w:color="auto"/>
        <w:bottom w:val="none" w:sz="0" w:space="0" w:color="auto"/>
        <w:right w:val="none" w:sz="0" w:space="0" w:color="auto"/>
      </w:divBdr>
    </w:div>
    <w:div w:id="955140389">
      <w:bodyDiv w:val="1"/>
      <w:marLeft w:val="0"/>
      <w:marRight w:val="0"/>
      <w:marTop w:val="0"/>
      <w:marBottom w:val="0"/>
      <w:divBdr>
        <w:top w:val="none" w:sz="0" w:space="0" w:color="auto"/>
        <w:left w:val="none" w:sz="0" w:space="0" w:color="auto"/>
        <w:bottom w:val="none" w:sz="0" w:space="0" w:color="auto"/>
        <w:right w:val="none" w:sz="0" w:space="0" w:color="auto"/>
      </w:divBdr>
    </w:div>
    <w:div w:id="974140256">
      <w:bodyDiv w:val="1"/>
      <w:marLeft w:val="0"/>
      <w:marRight w:val="0"/>
      <w:marTop w:val="0"/>
      <w:marBottom w:val="0"/>
      <w:divBdr>
        <w:top w:val="none" w:sz="0" w:space="0" w:color="auto"/>
        <w:left w:val="none" w:sz="0" w:space="0" w:color="auto"/>
        <w:bottom w:val="none" w:sz="0" w:space="0" w:color="auto"/>
        <w:right w:val="none" w:sz="0" w:space="0" w:color="auto"/>
      </w:divBdr>
    </w:div>
    <w:div w:id="1006520164">
      <w:bodyDiv w:val="1"/>
      <w:marLeft w:val="0"/>
      <w:marRight w:val="0"/>
      <w:marTop w:val="0"/>
      <w:marBottom w:val="0"/>
      <w:divBdr>
        <w:top w:val="none" w:sz="0" w:space="0" w:color="auto"/>
        <w:left w:val="none" w:sz="0" w:space="0" w:color="auto"/>
        <w:bottom w:val="none" w:sz="0" w:space="0" w:color="auto"/>
        <w:right w:val="none" w:sz="0" w:space="0" w:color="auto"/>
      </w:divBdr>
    </w:div>
    <w:div w:id="1011226533">
      <w:bodyDiv w:val="1"/>
      <w:marLeft w:val="0"/>
      <w:marRight w:val="0"/>
      <w:marTop w:val="0"/>
      <w:marBottom w:val="0"/>
      <w:divBdr>
        <w:top w:val="none" w:sz="0" w:space="0" w:color="auto"/>
        <w:left w:val="none" w:sz="0" w:space="0" w:color="auto"/>
        <w:bottom w:val="none" w:sz="0" w:space="0" w:color="auto"/>
        <w:right w:val="none" w:sz="0" w:space="0" w:color="auto"/>
      </w:divBdr>
    </w:div>
    <w:div w:id="1020594842">
      <w:bodyDiv w:val="1"/>
      <w:marLeft w:val="0"/>
      <w:marRight w:val="0"/>
      <w:marTop w:val="0"/>
      <w:marBottom w:val="0"/>
      <w:divBdr>
        <w:top w:val="none" w:sz="0" w:space="0" w:color="auto"/>
        <w:left w:val="none" w:sz="0" w:space="0" w:color="auto"/>
        <w:bottom w:val="none" w:sz="0" w:space="0" w:color="auto"/>
        <w:right w:val="none" w:sz="0" w:space="0" w:color="auto"/>
      </w:divBdr>
    </w:div>
    <w:div w:id="1084449522">
      <w:bodyDiv w:val="1"/>
      <w:marLeft w:val="0"/>
      <w:marRight w:val="0"/>
      <w:marTop w:val="0"/>
      <w:marBottom w:val="0"/>
      <w:divBdr>
        <w:top w:val="none" w:sz="0" w:space="0" w:color="auto"/>
        <w:left w:val="none" w:sz="0" w:space="0" w:color="auto"/>
        <w:bottom w:val="none" w:sz="0" w:space="0" w:color="auto"/>
        <w:right w:val="none" w:sz="0" w:space="0" w:color="auto"/>
      </w:divBdr>
    </w:div>
    <w:div w:id="1101149632">
      <w:bodyDiv w:val="1"/>
      <w:marLeft w:val="0"/>
      <w:marRight w:val="0"/>
      <w:marTop w:val="0"/>
      <w:marBottom w:val="0"/>
      <w:divBdr>
        <w:top w:val="none" w:sz="0" w:space="0" w:color="auto"/>
        <w:left w:val="none" w:sz="0" w:space="0" w:color="auto"/>
        <w:bottom w:val="none" w:sz="0" w:space="0" w:color="auto"/>
        <w:right w:val="none" w:sz="0" w:space="0" w:color="auto"/>
      </w:divBdr>
    </w:div>
    <w:div w:id="1140070667">
      <w:bodyDiv w:val="1"/>
      <w:marLeft w:val="0"/>
      <w:marRight w:val="0"/>
      <w:marTop w:val="0"/>
      <w:marBottom w:val="0"/>
      <w:divBdr>
        <w:top w:val="none" w:sz="0" w:space="0" w:color="auto"/>
        <w:left w:val="none" w:sz="0" w:space="0" w:color="auto"/>
        <w:bottom w:val="none" w:sz="0" w:space="0" w:color="auto"/>
        <w:right w:val="none" w:sz="0" w:space="0" w:color="auto"/>
      </w:divBdr>
    </w:div>
    <w:div w:id="1141460756">
      <w:bodyDiv w:val="1"/>
      <w:marLeft w:val="0"/>
      <w:marRight w:val="0"/>
      <w:marTop w:val="0"/>
      <w:marBottom w:val="0"/>
      <w:divBdr>
        <w:top w:val="none" w:sz="0" w:space="0" w:color="auto"/>
        <w:left w:val="none" w:sz="0" w:space="0" w:color="auto"/>
        <w:bottom w:val="none" w:sz="0" w:space="0" w:color="auto"/>
        <w:right w:val="none" w:sz="0" w:space="0" w:color="auto"/>
      </w:divBdr>
    </w:div>
    <w:div w:id="1181891660">
      <w:bodyDiv w:val="1"/>
      <w:marLeft w:val="0"/>
      <w:marRight w:val="0"/>
      <w:marTop w:val="0"/>
      <w:marBottom w:val="0"/>
      <w:divBdr>
        <w:top w:val="none" w:sz="0" w:space="0" w:color="auto"/>
        <w:left w:val="none" w:sz="0" w:space="0" w:color="auto"/>
        <w:bottom w:val="none" w:sz="0" w:space="0" w:color="auto"/>
        <w:right w:val="none" w:sz="0" w:space="0" w:color="auto"/>
      </w:divBdr>
    </w:div>
    <w:div w:id="1198813301">
      <w:bodyDiv w:val="1"/>
      <w:marLeft w:val="0"/>
      <w:marRight w:val="0"/>
      <w:marTop w:val="0"/>
      <w:marBottom w:val="0"/>
      <w:divBdr>
        <w:top w:val="none" w:sz="0" w:space="0" w:color="auto"/>
        <w:left w:val="none" w:sz="0" w:space="0" w:color="auto"/>
        <w:bottom w:val="none" w:sz="0" w:space="0" w:color="auto"/>
        <w:right w:val="none" w:sz="0" w:space="0" w:color="auto"/>
      </w:divBdr>
    </w:div>
    <w:div w:id="1208183806">
      <w:bodyDiv w:val="1"/>
      <w:marLeft w:val="0"/>
      <w:marRight w:val="0"/>
      <w:marTop w:val="0"/>
      <w:marBottom w:val="0"/>
      <w:divBdr>
        <w:top w:val="none" w:sz="0" w:space="0" w:color="auto"/>
        <w:left w:val="none" w:sz="0" w:space="0" w:color="auto"/>
        <w:bottom w:val="none" w:sz="0" w:space="0" w:color="auto"/>
        <w:right w:val="none" w:sz="0" w:space="0" w:color="auto"/>
      </w:divBdr>
    </w:div>
    <w:div w:id="1216503984">
      <w:bodyDiv w:val="1"/>
      <w:marLeft w:val="0"/>
      <w:marRight w:val="0"/>
      <w:marTop w:val="0"/>
      <w:marBottom w:val="0"/>
      <w:divBdr>
        <w:top w:val="none" w:sz="0" w:space="0" w:color="auto"/>
        <w:left w:val="none" w:sz="0" w:space="0" w:color="auto"/>
        <w:bottom w:val="none" w:sz="0" w:space="0" w:color="auto"/>
        <w:right w:val="none" w:sz="0" w:space="0" w:color="auto"/>
      </w:divBdr>
    </w:div>
    <w:div w:id="1219441757">
      <w:bodyDiv w:val="1"/>
      <w:marLeft w:val="0"/>
      <w:marRight w:val="0"/>
      <w:marTop w:val="0"/>
      <w:marBottom w:val="0"/>
      <w:divBdr>
        <w:top w:val="none" w:sz="0" w:space="0" w:color="auto"/>
        <w:left w:val="none" w:sz="0" w:space="0" w:color="auto"/>
        <w:bottom w:val="none" w:sz="0" w:space="0" w:color="auto"/>
        <w:right w:val="none" w:sz="0" w:space="0" w:color="auto"/>
      </w:divBdr>
    </w:div>
    <w:div w:id="1269241755">
      <w:bodyDiv w:val="1"/>
      <w:marLeft w:val="0"/>
      <w:marRight w:val="0"/>
      <w:marTop w:val="0"/>
      <w:marBottom w:val="0"/>
      <w:divBdr>
        <w:top w:val="none" w:sz="0" w:space="0" w:color="auto"/>
        <w:left w:val="none" w:sz="0" w:space="0" w:color="auto"/>
        <w:bottom w:val="none" w:sz="0" w:space="0" w:color="auto"/>
        <w:right w:val="none" w:sz="0" w:space="0" w:color="auto"/>
      </w:divBdr>
    </w:div>
    <w:div w:id="1285454806">
      <w:bodyDiv w:val="1"/>
      <w:marLeft w:val="0"/>
      <w:marRight w:val="0"/>
      <w:marTop w:val="0"/>
      <w:marBottom w:val="0"/>
      <w:divBdr>
        <w:top w:val="none" w:sz="0" w:space="0" w:color="auto"/>
        <w:left w:val="none" w:sz="0" w:space="0" w:color="auto"/>
        <w:bottom w:val="none" w:sz="0" w:space="0" w:color="auto"/>
        <w:right w:val="none" w:sz="0" w:space="0" w:color="auto"/>
      </w:divBdr>
    </w:div>
    <w:div w:id="1301110870">
      <w:bodyDiv w:val="1"/>
      <w:marLeft w:val="0"/>
      <w:marRight w:val="0"/>
      <w:marTop w:val="0"/>
      <w:marBottom w:val="0"/>
      <w:divBdr>
        <w:top w:val="none" w:sz="0" w:space="0" w:color="auto"/>
        <w:left w:val="none" w:sz="0" w:space="0" w:color="auto"/>
        <w:bottom w:val="none" w:sz="0" w:space="0" w:color="auto"/>
        <w:right w:val="none" w:sz="0" w:space="0" w:color="auto"/>
      </w:divBdr>
    </w:div>
    <w:div w:id="1301695338">
      <w:bodyDiv w:val="1"/>
      <w:marLeft w:val="0"/>
      <w:marRight w:val="0"/>
      <w:marTop w:val="0"/>
      <w:marBottom w:val="0"/>
      <w:divBdr>
        <w:top w:val="none" w:sz="0" w:space="0" w:color="auto"/>
        <w:left w:val="none" w:sz="0" w:space="0" w:color="auto"/>
        <w:bottom w:val="none" w:sz="0" w:space="0" w:color="auto"/>
        <w:right w:val="none" w:sz="0" w:space="0" w:color="auto"/>
      </w:divBdr>
    </w:div>
    <w:div w:id="1327511021">
      <w:bodyDiv w:val="1"/>
      <w:marLeft w:val="0"/>
      <w:marRight w:val="0"/>
      <w:marTop w:val="0"/>
      <w:marBottom w:val="0"/>
      <w:divBdr>
        <w:top w:val="none" w:sz="0" w:space="0" w:color="auto"/>
        <w:left w:val="none" w:sz="0" w:space="0" w:color="auto"/>
        <w:bottom w:val="none" w:sz="0" w:space="0" w:color="auto"/>
        <w:right w:val="none" w:sz="0" w:space="0" w:color="auto"/>
      </w:divBdr>
    </w:div>
    <w:div w:id="1330329442">
      <w:bodyDiv w:val="1"/>
      <w:marLeft w:val="0"/>
      <w:marRight w:val="0"/>
      <w:marTop w:val="0"/>
      <w:marBottom w:val="0"/>
      <w:divBdr>
        <w:top w:val="none" w:sz="0" w:space="0" w:color="auto"/>
        <w:left w:val="none" w:sz="0" w:space="0" w:color="auto"/>
        <w:bottom w:val="none" w:sz="0" w:space="0" w:color="auto"/>
        <w:right w:val="none" w:sz="0" w:space="0" w:color="auto"/>
      </w:divBdr>
    </w:div>
    <w:div w:id="1353804875">
      <w:bodyDiv w:val="1"/>
      <w:marLeft w:val="0"/>
      <w:marRight w:val="0"/>
      <w:marTop w:val="0"/>
      <w:marBottom w:val="0"/>
      <w:divBdr>
        <w:top w:val="none" w:sz="0" w:space="0" w:color="auto"/>
        <w:left w:val="none" w:sz="0" w:space="0" w:color="auto"/>
        <w:bottom w:val="none" w:sz="0" w:space="0" w:color="auto"/>
        <w:right w:val="none" w:sz="0" w:space="0" w:color="auto"/>
      </w:divBdr>
    </w:div>
    <w:div w:id="1384131853">
      <w:bodyDiv w:val="1"/>
      <w:marLeft w:val="0"/>
      <w:marRight w:val="0"/>
      <w:marTop w:val="0"/>
      <w:marBottom w:val="0"/>
      <w:divBdr>
        <w:top w:val="none" w:sz="0" w:space="0" w:color="auto"/>
        <w:left w:val="none" w:sz="0" w:space="0" w:color="auto"/>
        <w:bottom w:val="none" w:sz="0" w:space="0" w:color="auto"/>
        <w:right w:val="none" w:sz="0" w:space="0" w:color="auto"/>
      </w:divBdr>
    </w:div>
    <w:div w:id="1402674436">
      <w:bodyDiv w:val="1"/>
      <w:marLeft w:val="0"/>
      <w:marRight w:val="0"/>
      <w:marTop w:val="0"/>
      <w:marBottom w:val="0"/>
      <w:divBdr>
        <w:top w:val="none" w:sz="0" w:space="0" w:color="auto"/>
        <w:left w:val="none" w:sz="0" w:space="0" w:color="auto"/>
        <w:bottom w:val="none" w:sz="0" w:space="0" w:color="auto"/>
        <w:right w:val="none" w:sz="0" w:space="0" w:color="auto"/>
      </w:divBdr>
    </w:div>
    <w:div w:id="1463113449">
      <w:bodyDiv w:val="1"/>
      <w:marLeft w:val="0"/>
      <w:marRight w:val="0"/>
      <w:marTop w:val="0"/>
      <w:marBottom w:val="0"/>
      <w:divBdr>
        <w:top w:val="none" w:sz="0" w:space="0" w:color="auto"/>
        <w:left w:val="none" w:sz="0" w:space="0" w:color="auto"/>
        <w:bottom w:val="none" w:sz="0" w:space="0" w:color="auto"/>
        <w:right w:val="none" w:sz="0" w:space="0" w:color="auto"/>
      </w:divBdr>
    </w:div>
    <w:div w:id="1465000760">
      <w:bodyDiv w:val="1"/>
      <w:marLeft w:val="0"/>
      <w:marRight w:val="0"/>
      <w:marTop w:val="0"/>
      <w:marBottom w:val="0"/>
      <w:divBdr>
        <w:top w:val="none" w:sz="0" w:space="0" w:color="auto"/>
        <w:left w:val="none" w:sz="0" w:space="0" w:color="auto"/>
        <w:bottom w:val="none" w:sz="0" w:space="0" w:color="auto"/>
        <w:right w:val="none" w:sz="0" w:space="0" w:color="auto"/>
      </w:divBdr>
    </w:div>
    <w:div w:id="1490976548">
      <w:bodyDiv w:val="1"/>
      <w:marLeft w:val="0"/>
      <w:marRight w:val="0"/>
      <w:marTop w:val="0"/>
      <w:marBottom w:val="0"/>
      <w:divBdr>
        <w:top w:val="none" w:sz="0" w:space="0" w:color="auto"/>
        <w:left w:val="none" w:sz="0" w:space="0" w:color="auto"/>
        <w:bottom w:val="none" w:sz="0" w:space="0" w:color="auto"/>
        <w:right w:val="none" w:sz="0" w:space="0" w:color="auto"/>
      </w:divBdr>
    </w:div>
    <w:div w:id="1495607816">
      <w:bodyDiv w:val="1"/>
      <w:marLeft w:val="0"/>
      <w:marRight w:val="0"/>
      <w:marTop w:val="0"/>
      <w:marBottom w:val="0"/>
      <w:divBdr>
        <w:top w:val="none" w:sz="0" w:space="0" w:color="auto"/>
        <w:left w:val="none" w:sz="0" w:space="0" w:color="auto"/>
        <w:bottom w:val="none" w:sz="0" w:space="0" w:color="auto"/>
        <w:right w:val="none" w:sz="0" w:space="0" w:color="auto"/>
      </w:divBdr>
    </w:div>
    <w:div w:id="1512989750">
      <w:bodyDiv w:val="1"/>
      <w:marLeft w:val="0"/>
      <w:marRight w:val="0"/>
      <w:marTop w:val="0"/>
      <w:marBottom w:val="0"/>
      <w:divBdr>
        <w:top w:val="none" w:sz="0" w:space="0" w:color="auto"/>
        <w:left w:val="none" w:sz="0" w:space="0" w:color="auto"/>
        <w:bottom w:val="none" w:sz="0" w:space="0" w:color="auto"/>
        <w:right w:val="none" w:sz="0" w:space="0" w:color="auto"/>
      </w:divBdr>
    </w:div>
    <w:div w:id="1535725764">
      <w:bodyDiv w:val="1"/>
      <w:marLeft w:val="0"/>
      <w:marRight w:val="0"/>
      <w:marTop w:val="0"/>
      <w:marBottom w:val="0"/>
      <w:divBdr>
        <w:top w:val="none" w:sz="0" w:space="0" w:color="auto"/>
        <w:left w:val="none" w:sz="0" w:space="0" w:color="auto"/>
        <w:bottom w:val="none" w:sz="0" w:space="0" w:color="auto"/>
        <w:right w:val="none" w:sz="0" w:space="0" w:color="auto"/>
      </w:divBdr>
    </w:div>
    <w:div w:id="1541821043">
      <w:bodyDiv w:val="1"/>
      <w:marLeft w:val="0"/>
      <w:marRight w:val="0"/>
      <w:marTop w:val="0"/>
      <w:marBottom w:val="0"/>
      <w:divBdr>
        <w:top w:val="none" w:sz="0" w:space="0" w:color="auto"/>
        <w:left w:val="none" w:sz="0" w:space="0" w:color="auto"/>
        <w:bottom w:val="none" w:sz="0" w:space="0" w:color="auto"/>
        <w:right w:val="none" w:sz="0" w:space="0" w:color="auto"/>
      </w:divBdr>
    </w:div>
    <w:div w:id="1568875721">
      <w:bodyDiv w:val="1"/>
      <w:marLeft w:val="0"/>
      <w:marRight w:val="0"/>
      <w:marTop w:val="0"/>
      <w:marBottom w:val="0"/>
      <w:divBdr>
        <w:top w:val="none" w:sz="0" w:space="0" w:color="auto"/>
        <w:left w:val="none" w:sz="0" w:space="0" w:color="auto"/>
        <w:bottom w:val="none" w:sz="0" w:space="0" w:color="auto"/>
        <w:right w:val="none" w:sz="0" w:space="0" w:color="auto"/>
      </w:divBdr>
    </w:div>
    <w:div w:id="1592229430">
      <w:bodyDiv w:val="1"/>
      <w:marLeft w:val="0"/>
      <w:marRight w:val="0"/>
      <w:marTop w:val="0"/>
      <w:marBottom w:val="0"/>
      <w:divBdr>
        <w:top w:val="none" w:sz="0" w:space="0" w:color="auto"/>
        <w:left w:val="none" w:sz="0" w:space="0" w:color="auto"/>
        <w:bottom w:val="none" w:sz="0" w:space="0" w:color="auto"/>
        <w:right w:val="none" w:sz="0" w:space="0" w:color="auto"/>
      </w:divBdr>
    </w:div>
    <w:div w:id="1603563357">
      <w:bodyDiv w:val="1"/>
      <w:marLeft w:val="0"/>
      <w:marRight w:val="0"/>
      <w:marTop w:val="0"/>
      <w:marBottom w:val="0"/>
      <w:divBdr>
        <w:top w:val="none" w:sz="0" w:space="0" w:color="auto"/>
        <w:left w:val="none" w:sz="0" w:space="0" w:color="auto"/>
        <w:bottom w:val="none" w:sz="0" w:space="0" w:color="auto"/>
        <w:right w:val="none" w:sz="0" w:space="0" w:color="auto"/>
      </w:divBdr>
    </w:div>
    <w:div w:id="1634796598">
      <w:bodyDiv w:val="1"/>
      <w:marLeft w:val="0"/>
      <w:marRight w:val="0"/>
      <w:marTop w:val="0"/>
      <w:marBottom w:val="0"/>
      <w:divBdr>
        <w:top w:val="none" w:sz="0" w:space="0" w:color="auto"/>
        <w:left w:val="none" w:sz="0" w:space="0" w:color="auto"/>
        <w:bottom w:val="none" w:sz="0" w:space="0" w:color="auto"/>
        <w:right w:val="none" w:sz="0" w:space="0" w:color="auto"/>
      </w:divBdr>
    </w:div>
    <w:div w:id="1671250784">
      <w:bodyDiv w:val="1"/>
      <w:marLeft w:val="0"/>
      <w:marRight w:val="0"/>
      <w:marTop w:val="0"/>
      <w:marBottom w:val="0"/>
      <w:divBdr>
        <w:top w:val="none" w:sz="0" w:space="0" w:color="auto"/>
        <w:left w:val="none" w:sz="0" w:space="0" w:color="auto"/>
        <w:bottom w:val="none" w:sz="0" w:space="0" w:color="auto"/>
        <w:right w:val="none" w:sz="0" w:space="0" w:color="auto"/>
      </w:divBdr>
    </w:div>
    <w:div w:id="1728989104">
      <w:bodyDiv w:val="1"/>
      <w:marLeft w:val="0"/>
      <w:marRight w:val="0"/>
      <w:marTop w:val="0"/>
      <w:marBottom w:val="0"/>
      <w:divBdr>
        <w:top w:val="none" w:sz="0" w:space="0" w:color="auto"/>
        <w:left w:val="none" w:sz="0" w:space="0" w:color="auto"/>
        <w:bottom w:val="none" w:sz="0" w:space="0" w:color="auto"/>
        <w:right w:val="none" w:sz="0" w:space="0" w:color="auto"/>
      </w:divBdr>
    </w:div>
    <w:div w:id="1790473665">
      <w:bodyDiv w:val="1"/>
      <w:marLeft w:val="0"/>
      <w:marRight w:val="0"/>
      <w:marTop w:val="0"/>
      <w:marBottom w:val="0"/>
      <w:divBdr>
        <w:top w:val="none" w:sz="0" w:space="0" w:color="auto"/>
        <w:left w:val="none" w:sz="0" w:space="0" w:color="auto"/>
        <w:bottom w:val="none" w:sz="0" w:space="0" w:color="auto"/>
        <w:right w:val="none" w:sz="0" w:space="0" w:color="auto"/>
      </w:divBdr>
    </w:div>
    <w:div w:id="1795825748">
      <w:bodyDiv w:val="1"/>
      <w:marLeft w:val="0"/>
      <w:marRight w:val="0"/>
      <w:marTop w:val="0"/>
      <w:marBottom w:val="0"/>
      <w:divBdr>
        <w:top w:val="none" w:sz="0" w:space="0" w:color="auto"/>
        <w:left w:val="none" w:sz="0" w:space="0" w:color="auto"/>
        <w:bottom w:val="none" w:sz="0" w:space="0" w:color="auto"/>
        <w:right w:val="none" w:sz="0" w:space="0" w:color="auto"/>
      </w:divBdr>
    </w:div>
    <w:div w:id="1840542628">
      <w:bodyDiv w:val="1"/>
      <w:marLeft w:val="0"/>
      <w:marRight w:val="0"/>
      <w:marTop w:val="0"/>
      <w:marBottom w:val="0"/>
      <w:divBdr>
        <w:top w:val="none" w:sz="0" w:space="0" w:color="auto"/>
        <w:left w:val="none" w:sz="0" w:space="0" w:color="auto"/>
        <w:bottom w:val="none" w:sz="0" w:space="0" w:color="auto"/>
        <w:right w:val="none" w:sz="0" w:space="0" w:color="auto"/>
      </w:divBdr>
    </w:div>
    <w:div w:id="1895504851">
      <w:bodyDiv w:val="1"/>
      <w:marLeft w:val="0"/>
      <w:marRight w:val="0"/>
      <w:marTop w:val="0"/>
      <w:marBottom w:val="0"/>
      <w:divBdr>
        <w:top w:val="none" w:sz="0" w:space="0" w:color="auto"/>
        <w:left w:val="none" w:sz="0" w:space="0" w:color="auto"/>
        <w:bottom w:val="none" w:sz="0" w:space="0" w:color="auto"/>
        <w:right w:val="none" w:sz="0" w:space="0" w:color="auto"/>
      </w:divBdr>
    </w:div>
    <w:div w:id="1897547575">
      <w:bodyDiv w:val="1"/>
      <w:marLeft w:val="0"/>
      <w:marRight w:val="0"/>
      <w:marTop w:val="0"/>
      <w:marBottom w:val="0"/>
      <w:divBdr>
        <w:top w:val="none" w:sz="0" w:space="0" w:color="auto"/>
        <w:left w:val="none" w:sz="0" w:space="0" w:color="auto"/>
        <w:bottom w:val="none" w:sz="0" w:space="0" w:color="auto"/>
        <w:right w:val="none" w:sz="0" w:space="0" w:color="auto"/>
      </w:divBdr>
    </w:div>
    <w:div w:id="1909802517">
      <w:bodyDiv w:val="1"/>
      <w:marLeft w:val="0"/>
      <w:marRight w:val="0"/>
      <w:marTop w:val="0"/>
      <w:marBottom w:val="0"/>
      <w:divBdr>
        <w:top w:val="none" w:sz="0" w:space="0" w:color="auto"/>
        <w:left w:val="none" w:sz="0" w:space="0" w:color="auto"/>
        <w:bottom w:val="none" w:sz="0" w:space="0" w:color="auto"/>
        <w:right w:val="none" w:sz="0" w:space="0" w:color="auto"/>
      </w:divBdr>
    </w:div>
    <w:div w:id="1932661383">
      <w:bodyDiv w:val="1"/>
      <w:marLeft w:val="0"/>
      <w:marRight w:val="0"/>
      <w:marTop w:val="0"/>
      <w:marBottom w:val="0"/>
      <w:divBdr>
        <w:top w:val="none" w:sz="0" w:space="0" w:color="auto"/>
        <w:left w:val="none" w:sz="0" w:space="0" w:color="auto"/>
        <w:bottom w:val="none" w:sz="0" w:space="0" w:color="auto"/>
        <w:right w:val="none" w:sz="0" w:space="0" w:color="auto"/>
      </w:divBdr>
      <w:divsChild>
        <w:div w:id="780799774">
          <w:marLeft w:val="0"/>
          <w:marRight w:val="0"/>
          <w:marTop w:val="0"/>
          <w:marBottom w:val="0"/>
          <w:divBdr>
            <w:top w:val="none" w:sz="0" w:space="0" w:color="auto"/>
            <w:left w:val="none" w:sz="0" w:space="0" w:color="auto"/>
            <w:bottom w:val="none" w:sz="0" w:space="0" w:color="auto"/>
            <w:right w:val="none" w:sz="0" w:space="0" w:color="auto"/>
          </w:divBdr>
          <w:divsChild>
            <w:div w:id="1732121542">
              <w:marLeft w:val="375"/>
              <w:marRight w:val="375"/>
              <w:marTop w:val="0"/>
              <w:marBottom w:val="0"/>
              <w:divBdr>
                <w:top w:val="none" w:sz="0" w:space="0" w:color="auto"/>
                <w:left w:val="none" w:sz="0" w:space="0" w:color="auto"/>
                <w:bottom w:val="none" w:sz="0" w:space="0" w:color="auto"/>
                <w:right w:val="none" w:sz="0" w:space="0" w:color="auto"/>
              </w:divBdr>
              <w:divsChild>
                <w:div w:id="2083216350">
                  <w:marLeft w:val="0"/>
                  <w:marRight w:val="0"/>
                  <w:marTop w:val="0"/>
                  <w:marBottom w:val="0"/>
                  <w:divBdr>
                    <w:top w:val="none" w:sz="0" w:space="0" w:color="auto"/>
                    <w:left w:val="none" w:sz="0" w:space="0" w:color="auto"/>
                    <w:bottom w:val="none" w:sz="0" w:space="0" w:color="auto"/>
                    <w:right w:val="none" w:sz="0" w:space="0" w:color="auto"/>
                  </w:divBdr>
                  <w:divsChild>
                    <w:div w:id="171338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212434">
      <w:bodyDiv w:val="1"/>
      <w:marLeft w:val="0"/>
      <w:marRight w:val="0"/>
      <w:marTop w:val="0"/>
      <w:marBottom w:val="0"/>
      <w:divBdr>
        <w:top w:val="none" w:sz="0" w:space="0" w:color="auto"/>
        <w:left w:val="none" w:sz="0" w:space="0" w:color="auto"/>
        <w:bottom w:val="none" w:sz="0" w:space="0" w:color="auto"/>
        <w:right w:val="none" w:sz="0" w:space="0" w:color="auto"/>
      </w:divBdr>
    </w:div>
    <w:div w:id="1960526221">
      <w:bodyDiv w:val="1"/>
      <w:marLeft w:val="0"/>
      <w:marRight w:val="0"/>
      <w:marTop w:val="0"/>
      <w:marBottom w:val="0"/>
      <w:divBdr>
        <w:top w:val="none" w:sz="0" w:space="0" w:color="auto"/>
        <w:left w:val="none" w:sz="0" w:space="0" w:color="auto"/>
        <w:bottom w:val="none" w:sz="0" w:space="0" w:color="auto"/>
        <w:right w:val="none" w:sz="0" w:space="0" w:color="auto"/>
      </w:divBdr>
    </w:div>
    <w:div w:id="1977486009">
      <w:bodyDiv w:val="1"/>
      <w:marLeft w:val="0"/>
      <w:marRight w:val="0"/>
      <w:marTop w:val="0"/>
      <w:marBottom w:val="0"/>
      <w:divBdr>
        <w:top w:val="none" w:sz="0" w:space="0" w:color="auto"/>
        <w:left w:val="none" w:sz="0" w:space="0" w:color="auto"/>
        <w:bottom w:val="none" w:sz="0" w:space="0" w:color="auto"/>
        <w:right w:val="none" w:sz="0" w:space="0" w:color="auto"/>
      </w:divBdr>
    </w:div>
    <w:div w:id="1985618664">
      <w:bodyDiv w:val="1"/>
      <w:marLeft w:val="0"/>
      <w:marRight w:val="0"/>
      <w:marTop w:val="0"/>
      <w:marBottom w:val="0"/>
      <w:divBdr>
        <w:top w:val="none" w:sz="0" w:space="0" w:color="auto"/>
        <w:left w:val="none" w:sz="0" w:space="0" w:color="auto"/>
        <w:bottom w:val="none" w:sz="0" w:space="0" w:color="auto"/>
        <w:right w:val="none" w:sz="0" w:space="0" w:color="auto"/>
      </w:divBdr>
    </w:div>
    <w:div w:id="1994941331">
      <w:bodyDiv w:val="1"/>
      <w:marLeft w:val="0"/>
      <w:marRight w:val="0"/>
      <w:marTop w:val="0"/>
      <w:marBottom w:val="0"/>
      <w:divBdr>
        <w:top w:val="none" w:sz="0" w:space="0" w:color="auto"/>
        <w:left w:val="none" w:sz="0" w:space="0" w:color="auto"/>
        <w:bottom w:val="none" w:sz="0" w:space="0" w:color="auto"/>
        <w:right w:val="none" w:sz="0" w:space="0" w:color="auto"/>
      </w:divBdr>
    </w:div>
    <w:div w:id="2008556882">
      <w:bodyDiv w:val="1"/>
      <w:marLeft w:val="0"/>
      <w:marRight w:val="0"/>
      <w:marTop w:val="0"/>
      <w:marBottom w:val="0"/>
      <w:divBdr>
        <w:top w:val="none" w:sz="0" w:space="0" w:color="auto"/>
        <w:left w:val="none" w:sz="0" w:space="0" w:color="auto"/>
        <w:bottom w:val="none" w:sz="0" w:space="0" w:color="auto"/>
        <w:right w:val="none" w:sz="0" w:space="0" w:color="auto"/>
      </w:divBdr>
    </w:div>
    <w:div w:id="2008971666">
      <w:bodyDiv w:val="1"/>
      <w:marLeft w:val="0"/>
      <w:marRight w:val="0"/>
      <w:marTop w:val="0"/>
      <w:marBottom w:val="0"/>
      <w:divBdr>
        <w:top w:val="none" w:sz="0" w:space="0" w:color="auto"/>
        <w:left w:val="none" w:sz="0" w:space="0" w:color="auto"/>
        <w:bottom w:val="none" w:sz="0" w:space="0" w:color="auto"/>
        <w:right w:val="none" w:sz="0" w:space="0" w:color="auto"/>
      </w:divBdr>
    </w:div>
    <w:div w:id="2028870024">
      <w:bodyDiv w:val="1"/>
      <w:marLeft w:val="0"/>
      <w:marRight w:val="0"/>
      <w:marTop w:val="0"/>
      <w:marBottom w:val="0"/>
      <w:divBdr>
        <w:top w:val="none" w:sz="0" w:space="0" w:color="auto"/>
        <w:left w:val="none" w:sz="0" w:space="0" w:color="auto"/>
        <w:bottom w:val="none" w:sz="0" w:space="0" w:color="auto"/>
        <w:right w:val="none" w:sz="0" w:space="0" w:color="auto"/>
      </w:divBdr>
    </w:div>
    <w:div w:id="2116905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reativecommons.org/licenses/by/4.0/"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3.wmf"/><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4.0/legalcode" TargetMode="External"/><Relationship Id="rId5" Type="http://schemas.openxmlformats.org/officeDocument/2006/relationships/footnotes" Target="footnotes.xml"/><Relationship Id="rId15" Type="http://schemas.openxmlformats.org/officeDocument/2006/relationships/hyperlink" Target="mailto:media@treasury.gov.au" TargetMode="External"/><Relationship Id="rId10" Type="http://schemas.openxmlformats.org/officeDocument/2006/relationships/hyperlink" Target="https://creativecommons.org/licenses/by/4.0/"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pmc.gov.au/government/commonwealth-coat-arms"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Financial Reporting Council">
      <a:dk1>
        <a:sysClr val="windowText" lastClr="000000"/>
      </a:dk1>
      <a:lt1>
        <a:sysClr val="window" lastClr="FFFFFF"/>
      </a:lt1>
      <a:dk2>
        <a:srgbClr val="5F5F5F"/>
      </a:dk2>
      <a:lt2>
        <a:srgbClr val="EEEEEE"/>
      </a:lt2>
      <a:accent1>
        <a:srgbClr val="2C384A"/>
      </a:accent1>
      <a:accent2>
        <a:srgbClr val="007A88"/>
      </a:accent2>
      <a:accent3>
        <a:srgbClr val="157EB9"/>
      </a:accent3>
      <a:accent4>
        <a:srgbClr val="CFDBEC"/>
      </a:accent4>
      <a:accent5>
        <a:srgbClr val="EAEEF6"/>
      </a:accent5>
      <a:accent6>
        <a:srgbClr val="4288BF"/>
      </a:accent6>
      <a:hlink>
        <a:srgbClr val="3A6FAF"/>
      </a:hlink>
      <a:folHlink>
        <a:srgbClr val="157EB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13776</Words>
  <Characters>81559</Characters>
  <Application>Microsoft Office Word</Application>
  <DocSecurity>0</DocSecurity>
  <Lines>1599</Lines>
  <Paragraphs>1036</Paragraphs>
  <ScaleCrop>false</ScaleCrop>
  <HeadingPairs>
    <vt:vector size="2" baseType="variant">
      <vt:variant>
        <vt:lpstr>Title</vt:lpstr>
      </vt:variant>
      <vt:variant>
        <vt:i4>1</vt:i4>
      </vt:variant>
    </vt:vector>
  </HeadingPairs>
  <TitlesOfParts>
    <vt:vector size="1" baseType="lpstr">
      <vt:lpstr>2025–26 Annual Report</vt:lpstr>
    </vt:vector>
  </TitlesOfParts>
  <Company/>
  <LinksUpToDate>false</LinksUpToDate>
  <CharactersWithSpaces>94299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 Annual Report</dc:title>
  <dc:subject/>
  <dc:creator>Financial Reporting Council</dc:creator>
  <cp:keywords/>
  <dc:description/>
  <cp:lastModifiedBy/>
  <cp:revision>1</cp:revision>
  <dcterms:created xsi:type="dcterms:W3CDTF">2026-10-25T23:22:00Z</dcterms:created>
  <dcterms:modified xsi:type="dcterms:W3CDTF">2026-10-25T23:22:00Z</dcterms:modified>
  <cp:category/>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2026-10-25T23:22:33Z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ec6900c9-5d91-4a24-87af-d657fc28a64b</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