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555D" w14:textId="77777777" w:rsidR="00AA4A02" w:rsidRDefault="00960F31">
      <w:pPr>
        <w:ind w:left="852"/>
        <w:rPr>
          <w:sz w:val="20"/>
        </w:rPr>
      </w:pPr>
      <w:r>
        <w:rPr>
          <w:noProof/>
          <w:sz w:val="20"/>
        </w:rPr>
        <w:drawing>
          <wp:inline distT="0" distB="0" distL="0" distR="0" wp14:anchorId="1E805F0F" wp14:editId="1E805F10">
            <wp:extent cx="2399831" cy="5283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399831" cy="528351"/>
                    </a:xfrm>
                    <a:prstGeom prst="rect">
                      <a:avLst/>
                    </a:prstGeom>
                  </pic:spPr>
                </pic:pic>
              </a:graphicData>
            </a:graphic>
          </wp:inline>
        </w:drawing>
      </w:r>
    </w:p>
    <w:p w14:paraId="1E80555E" w14:textId="77777777" w:rsidR="00AA4A02" w:rsidRDefault="00AA4A02">
      <w:pPr>
        <w:pStyle w:val="BodyText"/>
        <w:rPr>
          <w:sz w:val="72"/>
        </w:rPr>
      </w:pPr>
    </w:p>
    <w:p w14:paraId="1E80555F" w14:textId="77777777" w:rsidR="00AA4A02" w:rsidRDefault="00AA4A02">
      <w:pPr>
        <w:pStyle w:val="BodyText"/>
        <w:rPr>
          <w:sz w:val="72"/>
        </w:rPr>
      </w:pPr>
    </w:p>
    <w:p w14:paraId="1E805560" w14:textId="77777777" w:rsidR="00AA4A02" w:rsidRDefault="00AA4A02">
      <w:pPr>
        <w:pStyle w:val="BodyText"/>
        <w:rPr>
          <w:sz w:val="72"/>
        </w:rPr>
      </w:pPr>
    </w:p>
    <w:p w14:paraId="1E805561" w14:textId="77777777" w:rsidR="00AA4A02" w:rsidRDefault="00AA4A02">
      <w:pPr>
        <w:pStyle w:val="BodyText"/>
        <w:rPr>
          <w:sz w:val="72"/>
        </w:rPr>
      </w:pPr>
    </w:p>
    <w:p w14:paraId="1E805562" w14:textId="77777777" w:rsidR="00AA4A02" w:rsidRDefault="00AA4A02">
      <w:pPr>
        <w:pStyle w:val="BodyText"/>
        <w:spacing w:before="746"/>
        <w:rPr>
          <w:sz w:val="72"/>
        </w:rPr>
      </w:pPr>
    </w:p>
    <w:p w14:paraId="1E805563" w14:textId="77777777" w:rsidR="00AA4A02" w:rsidRDefault="00960F31">
      <w:pPr>
        <w:pStyle w:val="Title"/>
      </w:pPr>
      <w:bookmarkStart w:id="0" w:name="Cover_and_contents_page_-_public"/>
      <w:bookmarkEnd w:id="0"/>
      <w:r>
        <w:t>118</w:t>
      </w:r>
      <w:r>
        <w:rPr>
          <w:vertAlign w:val="superscript"/>
        </w:rPr>
        <w:t>th</w:t>
      </w:r>
      <w:r>
        <w:t xml:space="preserve"> FRC meeting 5 June 2026</w:t>
      </w:r>
      <w:r>
        <w:rPr>
          <w:spacing w:val="80"/>
        </w:rPr>
        <w:t xml:space="preserve"> </w:t>
      </w:r>
      <w:r>
        <w:t>Public papers</w:t>
      </w:r>
    </w:p>
    <w:p w14:paraId="1E805564" w14:textId="77777777" w:rsidR="00AA4A02" w:rsidRDefault="00AA4A02">
      <w:pPr>
        <w:pStyle w:val="Title"/>
        <w:sectPr w:rsidR="00AA4A02">
          <w:type w:val="continuous"/>
          <w:pgSz w:w="11910" w:h="16840"/>
          <w:pgMar w:top="700" w:right="566" w:bottom="280" w:left="566" w:header="720" w:footer="720" w:gutter="0"/>
          <w:cols w:space="720"/>
        </w:sectPr>
      </w:pPr>
    </w:p>
    <w:p w14:paraId="1E805565" w14:textId="77777777" w:rsidR="00AA4A02" w:rsidRDefault="00AA4A02">
      <w:pPr>
        <w:pStyle w:val="BodyText"/>
        <w:spacing w:before="3"/>
        <w:rPr>
          <w:rFonts w:ascii="Calibri Light"/>
          <w:sz w:val="9"/>
        </w:rPr>
      </w:pPr>
    </w:p>
    <w:p w14:paraId="1E805566" w14:textId="77777777" w:rsidR="00AA4A02" w:rsidRDefault="00AA4A02">
      <w:pPr>
        <w:pStyle w:val="BodyText"/>
        <w:rPr>
          <w:rFonts w:ascii="Calibri Light"/>
          <w:sz w:val="9"/>
        </w:rPr>
        <w:sectPr w:rsidR="00AA4A02">
          <w:headerReference w:type="default" r:id="rId8"/>
          <w:footerReference w:type="default" r:id="rId9"/>
          <w:pgSz w:w="11910" w:h="16840"/>
          <w:pgMar w:top="1820" w:right="566" w:bottom="940" w:left="566" w:header="0" w:footer="755" w:gutter="0"/>
          <w:cols w:space="720"/>
        </w:sectPr>
      </w:pPr>
    </w:p>
    <w:p w14:paraId="1E805567" w14:textId="77777777" w:rsidR="00AA4A02" w:rsidRDefault="00AA4A02">
      <w:pPr>
        <w:pStyle w:val="BodyText"/>
        <w:rPr>
          <w:rFonts w:ascii="Calibri Light"/>
          <w:sz w:val="29"/>
        </w:rPr>
      </w:pPr>
    </w:p>
    <w:p w14:paraId="1E805568" w14:textId="77777777" w:rsidR="00AA4A02" w:rsidRDefault="00AA4A02">
      <w:pPr>
        <w:pStyle w:val="BodyText"/>
        <w:spacing w:before="190"/>
        <w:rPr>
          <w:rFonts w:ascii="Calibri Light"/>
          <w:sz w:val="29"/>
        </w:rPr>
      </w:pPr>
    </w:p>
    <w:p w14:paraId="1E805569" w14:textId="77777777" w:rsidR="00AA4A02" w:rsidRDefault="00960F31">
      <w:pPr>
        <w:pStyle w:val="Heading2"/>
        <w:ind w:left="852"/>
        <w:jc w:val="left"/>
      </w:pPr>
      <w:bookmarkStart w:id="1" w:name="1B_Attendees_and_Apologies"/>
      <w:bookmarkStart w:id="2" w:name="Item_1b"/>
      <w:bookmarkStart w:id="3" w:name="Attendees_and_Apologies"/>
      <w:bookmarkEnd w:id="1"/>
      <w:bookmarkEnd w:id="2"/>
      <w:bookmarkEnd w:id="3"/>
      <w:r>
        <w:rPr>
          <w:smallCaps/>
          <w:color w:val="585858"/>
        </w:rPr>
        <w:t>Attendees</w:t>
      </w:r>
      <w:r>
        <w:rPr>
          <w:smallCaps/>
          <w:color w:val="585858"/>
          <w:spacing w:val="-5"/>
        </w:rPr>
        <w:t xml:space="preserve"> </w:t>
      </w:r>
      <w:r>
        <w:rPr>
          <w:smallCaps/>
          <w:color w:val="585858"/>
        </w:rPr>
        <w:t>and</w:t>
      </w:r>
      <w:r>
        <w:rPr>
          <w:smallCaps/>
          <w:color w:val="585858"/>
          <w:spacing w:val="-4"/>
        </w:rPr>
        <w:t xml:space="preserve"> </w:t>
      </w:r>
      <w:r>
        <w:rPr>
          <w:smallCaps/>
          <w:color w:val="585858"/>
          <w:spacing w:val="-2"/>
        </w:rPr>
        <w:t>Apologies</w:t>
      </w:r>
    </w:p>
    <w:p w14:paraId="1E80556A" w14:textId="77777777" w:rsidR="00AA4A02" w:rsidRDefault="00AA4A02">
      <w:pPr>
        <w:pStyle w:val="BodyText"/>
        <w:spacing w:before="19"/>
        <w:rPr>
          <w:rFonts w:ascii="Calibri"/>
          <w:b/>
          <w:sz w:val="29"/>
        </w:rPr>
      </w:pPr>
    </w:p>
    <w:p w14:paraId="1E80556B" w14:textId="77777777" w:rsidR="00AA4A02" w:rsidRDefault="00960F31">
      <w:pPr>
        <w:ind w:left="852"/>
        <w:rPr>
          <w:rFonts w:ascii="Calibri"/>
          <w:sz w:val="24"/>
        </w:rPr>
      </w:pPr>
      <w:r>
        <w:rPr>
          <w:rFonts w:ascii="Calibri"/>
          <w:sz w:val="24"/>
        </w:rPr>
        <w:t>The</w:t>
      </w:r>
      <w:r>
        <w:rPr>
          <w:rFonts w:ascii="Calibri"/>
          <w:spacing w:val="-1"/>
          <w:sz w:val="24"/>
        </w:rPr>
        <w:t xml:space="preserve"> </w:t>
      </w:r>
      <w:r>
        <w:rPr>
          <w:rFonts w:ascii="Calibri"/>
          <w:sz w:val="24"/>
        </w:rPr>
        <w:t>attendees</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apologies</w:t>
      </w:r>
      <w:r>
        <w:rPr>
          <w:rFonts w:ascii="Calibri"/>
          <w:spacing w:val="-2"/>
          <w:sz w:val="24"/>
        </w:rPr>
        <w:t xml:space="preserve"> </w:t>
      </w:r>
      <w:r>
        <w:rPr>
          <w:rFonts w:ascii="Calibri"/>
          <w:sz w:val="24"/>
        </w:rPr>
        <w:t>for</w:t>
      </w:r>
      <w:r>
        <w:rPr>
          <w:rFonts w:ascii="Calibri"/>
          <w:spacing w:val="-3"/>
          <w:sz w:val="24"/>
        </w:rPr>
        <w:t xml:space="preserve"> </w:t>
      </w:r>
      <w:r>
        <w:rPr>
          <w:rFonts w:ascii="Calibri"/>
          <w:sz w:val="24"/>
        </w:rPr>
        <w:t>this</w:t>
      </w:r>
      <w:r>
        <w:rPr>
          <w:rFonts w:ascii="Calibri"/>
          <w:spacing w:val="-2"/>
          <w:sz w:val="24"/>
        </w:rPr>
        <w:t xml:space="preserve"> </w:t>
      </w:r>
      <w:r>
        <w:rPr>
          <w:rFonts w:ascii="Calibri"/>
          <w:sz w:val="24"/>
        </w:rPr>
        <w:t>meeting</w:t>
      </w:r>
      <w:r>
        <w:rPr>
          <w:rFonts w:ascii="Calibri"/>
          <w:spacing w:val="-1"/>
          <w:sz w:val="24"/>
        </w:rPr>
        <w:t xml:space="preserve"> </w:t>
      </w:r>
      <w:r>
        <w:rPr>
          <w:rFonts w:ascii="Calibri"/>
          <w:sz w:val="24"/>
        </w:rPr>
        <w:t>are</w:t>
      </w:r>
      <w:r>
        <w:rPr>
          <w:rFonts w:ascii="Calibri"/>
          <w:spacing w:val="-6"/>
          <w:sz w:val="24"/>
        </w:rPr>
        <w:t xml:space="preserve"> </w:t>
      </w:r>
      <w:r>
        <w:rPr>
          <w:rFonts w:ascii="Calibri"/>
          <w:sz w:val="24"/>
        </w:rPr>
        <w:t>listed</w:t>
      </w:r>
      <w:r>
        <w:rPr>
          <w:rFonts w:ascii="Calibri"/>
          <w:spacing w:val="-2"/>
          <w:sz w:val="24"/>
        </w:rPr>
        <w:t xml:space="preserve"> below.</w:t>
      </w:r>
    </w:p>
    <w:p w14:paraId="1E80556C" w14:textId="77777777" w:rsidR="00AA4A02" w:rsidRDefault="00960F31">
      <w:pPr>
        <w:pStyle w:val="Heading2"/>
        <w:spacing w:before="27" w:line="439" w:lineRule="exact"/>
        <w:ind w:right="848"/>
      </w:pPr>
      <w:r>
        <w:rPr>
          <w:b w:val="0"/>
        </w:rPr>
        <w:br w:type="column"/>
      </w:r>
      <w:r>
        <w:rPr>
          <w:smallCaps/>
          <w:color w:val="585858"/>
        </w:rPr>
        <w:t>Item</w:t>
      </w:r>
      <w:r>
        <w:rPr>
          <w:smallCaps/>
          <w:color w:val="585858"/>
          <w:spacing w:val="-1"/>
        </w:rPr>
        <w:t xml:space="preserve"> </w:t>
      </w:r>
      <w:r>
        <w:rPr>
          <w:smallCaps/>
          <w:color w:val="585858"/>
          <w:spacing w:val="-5"/>
        </w:rPr>
        <w:t>1b</w:t>
      </w:r>
    </w:p>
    <w:p w14:paraId="1E80556D" w14:textId="77777777" w:rsidR="00AA4A02" w:rsidRDefault="00960F31">
      <w:pPr>
        <w:spacing w:line="390" w:lineRule="exact"/>
        <w:ind w:right="850"/>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56E" w14:textId="77777777" w:rsidR="00AA4A02" w:rsidRDefault="00AA4A02">
      <w:pPr>
        <w:spacing w:line="390" w:lineRule="exact"/>
        <w:jc w:val="right"/>
        <w:rPr>
          <w:rFonts w:ascii="Calibri"/>
          <w:b/>
          <w:sz w:val="32"/>
        </w:rPr>
        <w:sectPr w:rsidR="00AA4A02">
          <w:type w:val="continuous"/>
          <w:pgSz w:w="11910" w:h="16840"/>
          <w:pgMar w:top="700" w:right="566" w:bottom="280" w:left="566" w:header="0" w:footer="755" w:gutter="0"/>
          <w:cols w:num="2" w:space="720" w:equalWidth="0">
            <w:col w:w="6975" w:space="592"/>
            <w:col w:w="3211"/>
          </w:cols>
        </w:sectPr>
      </w:pPr>
    </w:p>
    <w:p w14:paraId="1E80556F" w14:textId="77777777" w:rsidR="00AA4A02" w:rsidRDefault="00AA4A02">
      <w:pPr>
        <w:pStyle w:val="BodyText"/>
        <w:spacing w:before="128"/>
        <w:rPr>
          <w:rFonts w:ascii="Calibri"/>
          <w:b/>
          <w:sz w:val="20"/>
        </w:rPr>
      </w:pPr>
    </w:p>
    <w:p w14:paraId="1E805570" w14:textId="77777777" w:rsidR="00AA4A02" w:rsidRDefault="00960F31">
      <w:pPr>
        <w:ind w:left="852"/>
        <w:rPr>
          <w:rFonts w:ascii="Calibri"/>
          <w:sz w:val="20"/>
        </w:rPr>
      </w:pPr>
      <w:r>
        <w:rPr>
          <w:rFonts w:ascii="Calibri"/>
          <w:noProof/>
          <w:sz w:val="20"/>
        </w:rPr>
        <mc:AlternateContent>
          <mc:Choice Requires="wps">
            <w:drawing>
              <wp:inline distT="0" distB="0" distL="0" distR="0" wp14:anchorId="1E805F11" wp14:editId="1E805F12">
                <wp:extent cx="5753100" cy="486409"/>
                <wp:effectExtent l="9525" t="0" r="0" b="889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486409"/>
                        </a:xfrm>
                        <a:prstGeom prst="rect">
                          <a:avLst/>
                        </a:prstGeom>
                        <a:solidFill>
                          <a:srgbClr val="E0EFFF"/>
                        </a:solidFill>
                        <a:ln w="6108">
                          <a:solidFill>
                            <a:srgbClr val="2E5395"/>
                          </a:solidFill>
                          <a:prstDash val="solid"/>
                        </a:ln>
                      </wps:spPr>
                      <wps:txbx>
                        <w:txbxContent>
                          <w:p w14:paraId="1E80605B" w14:textId="77777777" w:rsidR="00AA4A02" w:rsidRDefault="00960F31">
                            <w:pPr>
                              <w:spacing w:before="40"/>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5C" w14:textId="77777777" w:rsidR="00AA4A02" w:rsidRDefault="00960F31">
                            <w:pPr>
                              <w:numPr>
                                <w:ilvl w:val="0"/>
                                <w:numId w:val="63"/>
                              </w:numPr>
                              <w:tabs>
                                <w:tab w:val="left" w:pos="549"/>
                              </w:tabs>
                              <w:spacing w:before="40"/>
                              <w:ind w:hanging="422"/>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2"/>
                                <w:sz w:val="24"/>
                              </w:rPr>
                              <w:t>note.</w:t>
                            </w:r>
                          </w:p>
                        </w:txbxContent>
                      </wps:txbx>
                      <wps:bodyPr wrap="square" lIns="0" tIns="0" rIns="0" bIns="0" rtlCol="0">
                        <a:noAutofit/>
                      </wps:bodyPr>
                    </wps:wsp>
                  </a:graphicData>
                </a:graphic>
              </wp:inline>
            </w:drawing>
          </mc:Choice>
          <mc:Fallback>
            <w:pict>
              <v:shapetype w14:anchorId="1E805F11" id="_x0000_t202" coordsize="21600,21600" o:spt="202" path="m,l,21600r21600,l21600,xe">
                <v:stroke joinstyle="miter"/>
                <v:path gradientshapeok="t" o:connecttype="rect"/>
              </v:shapetype>
              <v:shape id="Textbox 4" o:spid="_x0000_s1026" type="#_x0000_t202" style="width:453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" fillcolor="#e0efff" strokecolor="#2e5395" strokeweight=".16967mm">
                <v:path arrowok="t"/>
                <v:textbox inset="0,0,0,0">
                  <w:txbxContent>
                    <w:p w14:paraId="1E80605B" w14:textId="77777777" w:rsidR="00AA4A02" w:rsidRDefault="00960F31">
                      <w:pPr>
                        <w:spacing w:before="40"/>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5C" w14:textId="77777777" w:rsidR="00AA4A02" w:rsidRDefault="00960F31">
                      <w:pPr>
                        <w:numPr>
                          <w:ilvl w:val="0"/>
                          <w:numId w:val="63"/>
                        </w:numPr>
                        <w:tabs>
                          <w:tab w:val="left" w:pos="549"/>
                        </w:tabs>
                        <w:spacing w:before="40"/>
                        <w:ind w:hanging="422"/>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2"/>
                          <w:sz w:val="24"/>
                        </w:rPr>
                        <w:t>note.</w:t>
                      </w:r>
                    </w:p>
                  </w:txbxContent>
                </v:textbox>
                <w10:anchorlock/>
              </v:shape>
            </w:pict>
          </mc:Fallback>
        </mc:AlternateContent>
      </w:r>
    </w:p>
    <w:p w14:paraId="1E805571" w14:textId="77777777" w:rsidR="00AA4A02" w:rsidRDefault="00AA4A02">
      <w:pPr>
        <w:pStyle w:val="BodyText"/>
        <w:spacing w:before="7"/>
        <w:rPr>
          <w:rFonts w:ascii="Calibri"/>
          <w:b/>
          <w:sz w:val="17"/>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3"/>
      </w:tblGrid>
      <w:tr w:rsidR="00AA4A02" w14:paraId="1E805574" w14:textId="77777777">
        <w:trPr>
          <w:trHeight w:val="268"/>
        </w:trPr>
        <w:tc>
          <w:tcPr>
            <w:tcW w:w="4531" w:type="dxa"/>
            <w:shd w:val="clear" w:color="auto" w:fill="F1F1F1"/>
          </w:tcPr>
          <w:p w14:paraId="1E805572" w14:textId="77777777" w:rsidR="00AA4A02" w:rsidRDefault="00960F31">
            <w:pPr>
              <w:pStyle w:val="TableParagraph"/>
              <w:spacing w:line="248" w:lineRule="exact"/>
              <w:rPr>
                <w:rFonts w:ascii="Calibri" w:hAnsi="Calibri"/>
                <w:b/>
              </w:rPr>
            </w:pPr>
            <w:r>
              <w:rPr>
                <w:rFonts w:ascii="Calibri" w:hAnsi="Calibri"/>
                <w:b/>
              </w:rPr>
              <w:t>Participants</w:t>
            </w:r>
            <w:r>
              <w:rPr>
                <w:rFonts w:ascii="Calibri" w:hAnsi="Calibri"/>
                <w:b/>
                <w:spacing w:val="-5"/>
              </w:rPr>
              <w:t xml:space="preserve"> </w:t>
            </w:r>
            <w:r>
              <w:rPr>
                <w:rFonts w:ascii="Calibri" w:hAnsi="Calibri"/>
                <w:b/>
              </w:rPr>
              <w:t>–</w:t>
            </w:r>
            <w:r>
              <w:rPr>
                <w:rFonts w:ascii="Calibri" w:hAnsi="Calibri"/>
                <w:b/>
                <w:spacing w:val="-3"/>
              </w:rPr>
              <w:t xml:space="preserve"> </w:t>
            </w:r>
            <w:r>
              <w:rPr>
                <w:rFonts w:ascii="Calibri" w:hAnsi="Calibri"/>
                <w:b/>
              </w:rPr>
              <w:t>FRC</w:t>
            </w:r>
            <w:r>
              <w:rPr>
                <w:rFonts w:ascii="Calibri" w:hAnsi="Calibri"/>
                <w:b/>
                <w:spacing w:val="-3"/>
              </w:rPr>
              <w:t xml:space="preserve"> </w:t>
            </w:r>
            <w:r>
              <w:rPr>
                <w:rFonts w:ascii="Calibri" w:hAnsi="Calibri"/>
                <w:b/>
                <w:spacing w:val="-2"/>
              </w:rPr>
              <w:t>members</w:t>
            </w:r>
          </w:p>
        </w:tc>
        <w:tc>
          <w:tcPr>
            <w:tcW w:w="4533" w:type="dxa"/>
            <w:shd w:val="clear" w:color="auto" w:fill="F1F1F1"/>
          </w:tcPr>
          <w:p w14:paraId="1E805573" w14:textId="77777777" w:rsidR="00AA4A02" w:rsidRDefault="00960F31">
            <w:pPr>
              <w:pStyle w:val="TableParagraph"/>
              <w:spacing w:line="248" w:lineRule="exact"/>
              <w:rPr>
                <w:rFonts w:ascii="Calibri"/>
                <w:b/>
              </w:rPr>
            </w:pPr>
            <w:r>
              <w:rPr>
                <w:rFonts w:ascii="Calibri"/>
                <w:b/>
                <w:spacing w:val="-2"/>
              </w:rPr>
              <w:t>Organisation</w:t>
            </w:r>
          </w:p>
        </w:tc>
      </w:tr>
      <w:tr w:rsidR="00AA4A02" w14:paraId="1E805577" w14:textId="77777777">
        <w:trPr>
          <w:trHeight w:val="268"/>
        </w:trPr>
        <w:tc>
          <w:tcPr>
            <w:tcW w:w="4531" w:type="dxa"/>
          </w:tcPr>
          <w:p w14:paraId="1E805575" w14:textId="77777777" w:rsidR="00AA4A02" w:rsidRDefault="00960F31">
            <w:pPr>
              <w:pStyle w:val="TableParagraph"/>
              <w:spacing w:line="248" w:lineRule="exact"/>
              <w:rPr>
                <w:rFonts w:ascii="Calibri"/>
              </w:rPr>
            </w:pPr>
            <w:r>
              <w:rPr>
                <w:rFonts w:ascii="Calibri"/>
              </w:rPr>
              <w:t>Andrew</w:t>
            </w:r>
            <w:r>
              <w:rPr>
                <w:rFonts w:ascii="Calibri"/>
                <w:spacing w:val="-5"/>
              </w:rPr>
              <w:t xml:space="preserve"> </w:t>
            </w:r>
            <w:r>
              <w:rPr>
                <w:rFonts w:ascii="Calibri"/>
                <w:spacing w:val="-2"/>
              </w:rPr>
              <w:t>Mills</w:t>
            </w:r>
          </w:p>
        </w:tc>
        <w:tc>
          <w:tcPr>
            <w:tcW w:w="4533" w:type="dxa"/>
          </w:tcPr>
          <w:p w14:paraId="1E805576" w14:textId="77777777" w:rsidR="00AA4A02" w:rsidRDefault="00960F31">
            <w:pPr>
              <w:pStyle w:val="TableParagraph"/>
              <w:spacing w:line="248" w:lineRule="exact"/>
              <w:rPr>
                <w:rFonts w:ascii="Calibri"/>
              </w:rPr>
            </w:pPr>
            <w:r>
              <w:rPr>
                <w:rFonts w:ascii="Calibri"/>
                <w:spacing w:val="-2"/>
              </w:rPr>
              <w:t>Chair</w:t>
            </w:r>
          </w:p>
        </w:tc>
      </w:tr>
      <w:tr w:rsidR="00AA4A02" w14:paraId="1E80557A" w14:textId="77777777">
        <w:trPr>
          <w:trHeight w:val="268"/>
        </w:trPr>
        <w:tc>
          <w:tcPr>
            <w:tcW w:w="4531" w:type="dxa"/>
          </w:tcPr>
          <w:p w14:paraId="1E805578" w14:textId="77777777" w:rsidR="00AA4A02" w:rsidRDefault="00960F31">
            <w:pPr>
              <w:pStyle w:val="TableParagraph"/>
              <w:spacing w:line="248" w:lineRule="exact"/>
              <w:rPr>
                <w:rFonts w:ascii="Calibri"/>
              </w:rPr>
            </w:pPr>
            <w:r>
              <w:rPr>
                <w:rFonts w:ascii="Calibri"/>
              </w:rPr>
              <w:t>Keith</w:t>
            </w:r>
            <w:r>
              <w:rPr>
                <w:rFonts w:ascii="Calibri"/>
                <w:spacing w:val="-6"/>
              </w:rPr>
              <w:t xml:space="preserve"> </w:t>
            </w:r>
            <w:r>
              <w:rPr>
                <w:rFonts w:ascii="Calibri"/>
              </w:rPr>
              <w:t>Kendall</w:t>
            </w:r>
            <w:r>
              <w:rPr>
                <w:rFonts w:ascii="Calibri"/>
                <w:spacing w:val="-3"/>
              </w:rPr>
              <w:t xml:space="preserve"> </w:t>
            </w:r>
            <w:r>
              <w:rPr>
                <w:rFonts w:ascii="Calibri"/>
              </w:rPr>
              <w:t>(virtual</w:t>
            </w:r>
            <w:r>
              <w:rPr>
                <w:rFonts w:ascii="Calibri"/>
                <w:spacing w:val="-4"/>
              </w:rPr>
              <w:t xml:space="preserve"> </w:t>
            </w:r>
            <w:r>
              <w:rPr>
                <w:rFonts w:ascii="Calibri"/>
                <w:spacing w:val="-2"/>
              </w:rPr>
              <w:t>attendee)</w:t>
            </w:r>
          </w:p>
        </w:tc>
        <w:tc>
          <w:tcPr>
            <w:tcW w:w="4533" w:type="dxa"/>
          </w:tcPr>
          <w:p w14:paraId="1E805579" w14:textId="77777777" w:rsidR="00AA4A02" w:rsidRDefault="00960F31">
            <w:pPr>
              <w:pStyle w:val="TableParagraph"/>
              <w:spacing w:line="248" w:lineRule="exact"/>
              <w:rPr>
                <w:rFonts w:ascii="Calibri"/>
              </w:rPr>
            </w:pPr>
            <w:r>
              <w:rPr>
                <w:rFonts w:ascii="Calibri"/>
              </w:rPr>
              <w:t>AASB</w:t>
            </w:r>
            <w:r>
              <w:rPr>
                <w:rFonts w:ascii="Calibri"/>
                <w:spacing w:val="-3"/>
              </w:rPr>
              <w:t xml:space="preserve"> </w:t>
            </w:r>
            <w:r>
              <w:rPr>
                <w:rFonts w:ascii="Calibri"/>
                <w:spacing w:val="-2"/>
              </w:rPr>
              <w:t>Chair</w:t>
            </w:r>
          </w:p>
        </w:tc>
      </w:tr>
      <w:tr w:rsidR="00AA4A02" w14:paraId="1E80557D" w14:textId="77777777">
        <w:trPr>
          <w:trHeight w:val="268"/>
        </w:trPr>
        <w:tc>
          <w:tcPr>
            <w:tcW w:w="4531" w:type="dxa"/>
          </w:tcPr>
          <w:p w14:paraId="1E80557B" w14:textId="77777777" w:rsidR="00AA4A02" w:rsidRDefault="00960F31">
            <w:pPr>
              <w:pStyle w:val="TableParagraph"/>
              <w:spacing w:line="248" w:lineRule="exact"/>
              <w:rPr>
                <w:rFonts w:ascii="Calibri"/>
              </w:rPr>
            </w:pPr>
            <w:r>
              <w:rPr>
                <w:rFonts w:ascii="Calibri"/>
              </w:rPr>
              <w:t>Doug</w:t>
            </w:r>
            <w:r>
              <w:rPr>
                <w:rFonts w:ascii="Calibri"/>
                <w:spacing w:val="-1"/>
              </w:rPr>
              <w:t xml:space="preserve"> </w:t>
            </w:r>
            <w:r>
              <w:rPr>
                <w:rFonts w:ascii="Calibri"/>
                <w:spacing w:val="-2"/>
              </w:rPr>
              <w:t>Niven</w:t>
            </w:r>
          </w:p>
        </w:tc>
        <w:tc>
          <w:tcPr>
            <w:tcW w:w="4533" w:type="dxa"/>
          </w:tcPr>
          <w:p w14:paraId="1E80557C" w14:textId="77777777" w:rsidR="00AA4A02" w:rsidRDefault="00960F31">
            <w:pPr>
              <w:pStyle w:val="TableParagraph"/>
              <w:spacing w:line="248" w:lineRule="exact"/>
              <w:rPr>
                <w:rFonts w:ascii="Calibri"/>
              </w:rPr>
            </w:pPr>
            <w:r>
              <w:rPr>
                <w:rFonts w:ascii="Calibri"/>
              </w:rPr>
              <w:t>AUASB</w:t>
            </w:r>
            <w:r>
              <w:rPr>
                <w:rFonts w:ascii="Calibri"/>
                <w:spacing w:val="-4"/>
              </w:rPr>
              <w:t xml:space="preserve"> </w:t>
            </w:r>
            <w:r>
              <w:rPr>
                <w:rFonts w:ascii="Calibri"/>
                <w:spacing w:val="-2"/>
              </w:rPr>
              <w:t>Chair</w:t>
            </w:r>
          </w:p>
        </w:tc>
      </w:tr>
      <w:tr w:rsidR="00AA4A02" w14:paraId="1E805580" w14:textId="77777777">
        <w:trPr>
          <w:trHeight w:val="268"/>
        </w:trPr>
        <w:tc>
          <w:tcPr>
            <w:tcW w:w="4531" w:type="dxa"/>
          </w:tcPr>
          <w:p w14:paraId="1E80557E" w14:textId="77777777" w:rsidR="00AA4A02" w:rsidRDefault="00960F31">
            <w:pPr>
              <w:pStyle w:val="TableParagraph"/>
              <w:spacing w:line="248" w:lineRule="exact"/>
              <w:rPr>
                <w:rFonts w:ascii="Calibri"/>
              </w:rPr>
            </w:pPr>
            <w:r>
              <w:rPr>
                <w:rFonts w:ascii="Calibri"/>
              </w:rPr>
              <w:t>Rachel</w:t>
            </w:r>
            <w:r>
              <w:rPr>
                <w:rFonts w:ascii="Calibri"/>
                <w:spacing w:val="-4"/>
              </w:rPr>
              <w:t xml:space="preserve"> </w:t>
            </w:r>
            <w:r>
              <w:rPr>
                <w:rFonts w:ascii="Calibri"/>
                <w:spacing w:val="-2"/>
              </w:rPr>
              <w:t>Grimes</w:t>
            </w:r>
          </w:p>
        </w:tc>
        <w:tc>
          <w:tcPr>
            <w:tcW w:w="4533" w:type="dxa"/>
          </w:tcPr>
          <w:p w14:paraId="1E80557F" w14:textId="77777777" w:rsidR="00AA4A02" w:rsidRDefault="00AA4A02">
            <w:pPr>
              <w:pStyle w:val="TableParagraph"/>
              <w:ind w:left="0"/>
              <w:rPr>
                <w:sz w:val="18"/>
              </w:rPr>
            </w:pPr>
          </w:p>
        </w:tc>
      </w:tr>
      <w:tr w:rsidR="00AA4A02" w14:paraId="1E805583" w14:textId="77777777">
        <w:trPr>
          <w:trHeight w:val="268"/>
        </w:trPr>
        <w:tc>
          <w:tcPr>
            <w:tcW w:w="4531" w:type="dxa"/>
          </w:tcPr>
          <w:p w14:paraId="1E805581" w14:textId="77777777" w:rsidR="00AA4A02" w:rsidRDefault="00960F31">
            <w:pPr>
              <w:pStyle w:val="TableParagraph"/>
              <w:spacing w:line="248" w:lineRule="exact"/>
              <w:rPr>
                <w:rFonts w:ascii="Calibri"/>
              </w:rPr>
            </w:pPr>
            <w:r>
              <w:rPr>
                <w:rFonts w:ascii="Calibri"/>
              </w:rPr>
              <w:t>Pru</w:t>
            </w:r>
            <w:r>
              <w:rPr>
                <w:rFonts w:ascii="Calibri"/>
                <w:spacing w:val="-3"/>
              </w:rPr>
              <w:t xml:space="preserve"> </w:t>
            </w:r>
            <w:r>
              <w:rPr>
                <w:rFonts w:ascii="Calibri"/>
                <w:spacing w:val="-2"/>
              </w:rPr>
              <w:t>Bennett</w:t>
            </w:r>
          </w:p>
        </w:tc>
        <w:tc>
          <w:tcPr>
            <w:tcW w:w="4533" w:type="dxa"/>
          </w:tcPr>
          <w:p w14:paraId="1E805582" w14:textId="77777777" w:rsidR="00AA4A02" w:rsidRDefault="00AA4A02">
            <w:pPr>
              <w:pStyle w:val="TableParagraph"/>
              <w:ind w:left="0"/>
              <w:rPr>
                <w:sz w:val="18"/>
              </w:rPr>
            </w:pPr>
          </w:p>
        </w:tc>
      </w:tr>
      <w:tr w:rsidR="00AA4A02" w14:paraId="1E805586" w14:textId="77777777">
        <w:trPr>
          <w:trHeight w:val="268"/>
        </w:trPr>
        <w:tc>
          <w:tcPr>
            <w:tcW w:w="4531" w:type="dxa"/>
          </w:tcPr>
          <w:p w14:paraId="1E805584" w14:textId="77777777" w:rsidR="00AA4A02" w:rsidRDefault="00960F31">
            <w:pPr>
              <w:pStyle w:val="TableParagraph"/>
              <w:spacing w:line="248" w:lineRule="exact"/>
              <w:rPr>
                <w:rFonts w:ascii="Calibri"/>
              </w:rPr>
            </w:pPr>
            <w:r>
              <w:rPr>
                <w:rFonts w:ascii="Calibri"/>
              </w:rPr>
              <w:t>Alison</w:t>
            </w:r>
            <w:r>
              <w:rPr>
                <w:rFonts w:ascii="Calibri"/>
                <w:spacing w:val="-3"/>
              </w:rPr>
              <w:t xml:space="preserve"> </w:t>
            </w:r>
            <w:r>
              <w:rPr>
                <w:rFonts w:ascii="Calibri"/>
                <w:spacing w:val="-2"/>
              </w:rPr>
              <w:t>White</w:t>
            </w:r>
          </w:p>
        </w:tc>
        <w:tc>
          <w:tcPr>
            <w:tcW w:w="4533" w:type="dxa"/>
          </w:tcPr>
          <w:p w14:paraId="1E805585" w14:textId="77777777" w:rsidR="00AA4A02" w:rsidRDefault="00AA4A02">
            <w:pPr>
              <w:pStyle w:val="TableParagraph"/>
              <w:ind w:left="0"/>
              <w:rPr>
                <w:sz w:val="18"/>
              </w:rPr>
            </w:pPr>
          </w:p>
        </w:tc>
      </w:tr>
      <w:tr w:rsidR="00AA4A02" w14:paraId="1E805589" w14:textId="77777777">
        <w:trPr>
          <w:trHeight w:val="268"/>
        </w:trPr>
        <w:tc>
          <w:tcPr>
            <w:tcW w:w="4531" w:type="dxa"/>
          </w:tcPr>
          <w:p w14:paraId="1E805587" w14:textId="77777777" w:rsidR="00AA4A02" w:rsidRDefault="00960F31">
            <w:pPr>
              <w:pStyle w:val="TableParagraph"/>
              <w:spacing w:line="248" w:lineRule="exact"/>
              <w:rPr>
                <w:rFonts w:ascii="Calibri"/>
              </w:rPr>
            </w:pPr>
            <w:r>
              <w:rPr>
                <w:rFonts w:ascii="Calibri"/>
              </w:rPr>
              <w:t>Emma</w:t>
            </w:r>
            <w:r>
              <w:rPr>
                <w:rFonts w:ascii="Calibri"/>
                <w:spacing w:val="-1"/>
              </w:rPr>
              <w:t xml:space="preserve"> </w:t>
            </w:r>
            <w:r>
              <w:rPr>
                <w:rFonts w:ascii="Calibri"/>
                <w:spacing w:val="-4"/>
              </w:rPr>
              <w:t>Herd</w:t>
            </w:r>
          </w:p>
        </w:tc>
        <w:tc>
          <w:tcPr>
            <w:tcW w:w="4533" w:type="dxa"/>
          </w:tcPr>
          <w:p w14:paraId="1E805588" w14:textId="77777777" w:rsidR="00AA4A02" w:rsidRDefault="00AA4A02">
            <w:pPr>
              <w:pStyle w:val="TableParagraph"/>
              <w:ind w:left="0"/>
              <w:rPr>
                <w:sz w:val="18"/>
              </w:rPr>
            </w:pPr>
          </w:p>
        </w:tc>
      </w:tr>
      <w:tr w:rsidR="00AA4A02" w14:paraId="1E80558C" w14:textId="77777777">
        <w:trPr>
          <w:trHeight w:val="268"/>
        </w:trPr>
        <w:tc>
          <w:tcPr>
            <w:tcW w:w="4531" w:type="dxa"/>
          </w:tcPr>
          <w:p w14:paraId="1E80558A" w14:textId="77777777" w:rsidR="00AA4A02" w:rsidRDefault="00960F31">
            <w:pPr>
              <w:pStyle w:val="TableParagraph"/>
              <w:spacing w:line="248" w:lineRule="exact"/>
              <w:rPr>
                <w:rFonts w:ascii="Calibri"/>
              </w:rPr>
            </w:pPr>
            <w:r>
              <w:rPr>
                <w:rFonts w:ascii="Calibri"/>
              </w:rPr>
              <w:t>Amy</w:t>
            </w:r>
            <w:r>
              <w:rPr>
                <w:rFonts w:ascii="Calibri"/>
                <w:spacing w:val="-1"/>
              </w:rPr>
              <w:t xml:space="preserve"> </w:t>
            </w:r>
            <w:r>
              <w:rPr>
                <w:rFonts w:ascii="Calibri"/>
                <w:spacing w:val="-5"/>
              </w:rPr>
              <w:t>Fox</w:t>
            </w:r>
          </w:p>
        </w:tc>
        <w:tc>
          <w:tcPr>
            <w:tcW w:w="4533" w:type="dxa"/>
          </w:tcPr>
          <w:p w14:paraId="1E80558B" w14:textId="77777777" w:rsidR="00AA4A02" w:rsidRDefault="00AA4A02">
            <w:pPr>
              <w:pStyle w:val="TableParagraph"/>
              <w:ind w:left="0"/>
              <w:rPr>
                <w:sz w:val="18"/>
              </w:rPr>
            </w:pPr>
          </w:p>
        </w:tc>
      </w:tr>
    </w:tbl>
    <w:p w14:paraId="1E80558D" w14:textId="77777777" w:rsidR="00AA4A02" w:rsidRDefault="00AA4A02">
      <w:pPr>
        <w:pStyle w:val="BodyText"/>
        <w:spacing w:before="3" w:after="1"/>
        <w:rPr>
          <w:rFonts w:ascii="Calibri"/>
          <w:b/>
          <w:sz w:val="2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3"/>
      </w:tblGrid>
      <w:tr w:rsidR="00AA4A02" w14:paraId="1E805590" w14:textId="77777777">
        <w:trPr>
          <w:trHeight w:val="268"/>
        </w:trPr>
        <w:tc>
          <w:tcPr>
            <w:tcW w:w="4531" w:type="dxa"/>
            <w:shd w:val="clear" w:color="auto" w:fill="F1F1F1"/>
          </w:tcPr>
          <w:p w14:paraId="1E80558E" w14:textId="77777777" w:rsidR="00AA4A02" w:rsidRDefault="00960F31">
            <w:pPr>
              <w:pStyle w:val="TableParagraph"/>
              <w:spacing w:line="248" w:lineRule="exact"/>
              <w:rPr>
                <w:rFonts w:ascii="Calibri"/>
                <w:b/>
              </w:rPr>
            </w:pPr>
            <w:r>
              <w:rPr>
                <w:rFonts w:ascii="Calibri"/>
                <w:b/>
                <w:spacing w:val="-2"/>
              </w:rPr>
              <w:t>Guests</w:t>
            </w:r>
          </w:p>
        </w:tc>
        <w:tc>
          <w:tcPr>
            <w:tcW w:w="4533" w:type="dxa"/>
            <w:shd w:val="clear" w:color="auto" w:fill="F1F1F1"/>
          </w:tcPr>
          <w:p w14:paraId="1E80558F" w14:textId="77777777" w:rsidR="00AA4A02" w:rsidRDefault="00960F31">
            <w:pPr>
              <w:pStyle w:val="TableParagraph"/>
              <w:spacing w:line="248" w:lineRule="exact"/>
              <w:rPr>
                <w:rFonts w:ascii="Calibri"/>
                <w:b/>
              </w:rPr>
            </w:pPr>
            <w:r>
              <w:rPr>
                <w:rFonts w:ascii="Calibri"/>
                <w:b/>
                <w:spacing w:val="-2"/>
              </w:rPr>
              <w:t>Organisation</w:t>
            </w:r>
          </w:p>
        </w:tc>
      </w:tr>
      <w:tr w:rsidR="00AA4A02" w14:paraId="1E805593" w14:textId="77777777">
        <w:trPr>
          <w:trHeight w:val="268"/>
        </w:trPr>
        <w:tc>
          <w:tcPr>
            <w:tcW w:w="4531" w:type="dxa"/>
          </w:tcPr>
          <w:p w14:paraId="1E805591" w14:textId="77777777" w:rsidR="00AA4A02" w:rsidRDefault="00960F31">
            <w:pPr>
              <w:pStyle w:val="TableParagraph"/>
              <w:spacing w:line="248" w:lineRule="exact"/>
              <w:rPr>
                <w:rFonts w:ascii="Calibri"/>
              </w:rPr>
            </w:pPr>
            <w:r>
              <w:rPr>
                <w:rFonts w:ascii="Calibri"/>
              </w:rPr>
              <w:t>John</w:t>
            </w:r>
            <w:r>
              <w:rPr>
                <w:rFonts w:ascii="Calibri"/>
                <w:spacing w:val="-2"/>
              </w:rPr>
              <w:t xml:space="preserve"> Kensington</w:t>
            </w:r>
          </w:p>
        </w:tc>
        <w:tc>
          <w:tcPr>
            <w:tcW w:w="4533" w:type="dxa"/>
          </w:tcPr>
          <w:p w14:paraId="1E805592" w14:textId="77777777" w:rsidR="00AA4A02" w:rsidRDefault="00960F31">
            <w:pPr>
              <w:pStyle w:val="TableParagraph"/>
              <w:spacing w:line="248" w:lineRule="exact"/>
              <w:rPr>
                <w:rFonts w:ascii="Calibri"/>
              </w:rPr>
            </w:pPr>
            <w:r>
              <w:rPr>
                <w:rFonts w:ascii="Calibri"/>
              </w:rPr>
              <w:t>XRB</w:t>
            </w:r>
            <w:r>
              <w:rPr>
                <w:rFonts w:ascii="Calibri"/>
                <w:spacing w:val="-1"/>
              </w:rPr>
              <w:t xml:space="preserve"> </w:t>
            </w:r>
            <w:r>
              <w:rPr>
                <w:rFonts w:ascii="Calibri"/>
              </w:rPr>
              <w:t>(for</w:t>
            </w:r>
            <w:r>
              <w:rPr>
                <w:rFonts w:ascii="Calibri"/>
                <w:spacing w:val="-3"/>
              </w:rPr>
              <w:t xml:space="preserve"> </w:t>
            </w:r>
            <w:r>
              <w:rPr>
                <w:rFonts w:ascii="Calibri"/>
              </w:rPr>
              <w:t xml:space="preserve">XRB </w:t>
            </w:r>
            <w:r>
              <w:rPr>
                <w:rFonts w:ascii="Calibri"/>
                <w:spacing w:val="-2"/>
              </w:rPr>
              <w:t>update)</w:t>
            </w:r>
          </w:p>
        </w:tc>
      </w:tr>
      <w:tr w:rsidR="00AA4A02" w14:paraId="1E805596" w14:textId="77777777">
        <w:trPr>
          <w:trHeight w:val="268"/>
        </w:trPr>
        <w:tc>
          <w:tcPr>
            <w:tcW w:w="4531" w:type="dxa"/>
          </w:tcPr>
          <w:p w14:paraId="1E805594" w14:textId="77777777" w:rsidR="00AA4A02" w:rsidRDefault="00960F31">
            <w:pPr>
              <w:pStyle w:val="TableParagraph"/>
              <w:spacing w:line="248" w:lineRule="exact"/>
              <w:rPr>
                <w:rFonts w:ascii="Calibri"/>
              </w:rPr>
            </w:pPr>
            <w:r>
              <w:rPr>
                <w:rFonts w:ascii="Calibri"/>
              </w:rPr>
              <w:t>Jacqueline</w:t>
            </w:r>
            <w:r>
              <w:rPr>
                <w:rFonts w:ascii="Calibri"/>
                <w:spacing w:val="-6"/>
              </w:rPr>
              <w:t xml:space="preserve"> </w:t>
            </w:r>
            <w:r>
              <w:rPr>
                <w:rFonts w:ascii="Calibri"/>
                <w:spacing w:val="-2"/>
              </w:rPr>
              <w:t>Cheyne</w:t>
            </w:r>
          </w:p>
        </w:tc>
        <w:tc>
          <w:tcPr>
            <w:tcW w:w="4533" w:type="dxa"/>
          </w:tcPr>
          <w:p w14:paraId="1E805595" w14:textId="77777777" w:rsidR="00AA4A02" w:rsidRDefault="00960F31">
            <w:pPr>
              <w:pStyle w:val="TableParagraph"/>
              <w:spacing w:line="248" w:lineRule="exact"/>
              <w:rPr>
                <w:rFonts w:ascii="Calibri"/>
              </w:rPr>
            </w:pPr>
            <w:r>
              <w:rPr>
                <w:rFonts w:ascii="Calibri"/>
                <w:spacing w:val="-5"/>
              </w:rPr>
              <w:t>XRB</w:t>
            </w:r>
          </w:p>
        </w:tc>
      </w:tr>
      <w:tr w:rsidR="00AA4A02" w14:paraId="1E805599" w14:textId="77777777">
        <w:trPr>
          <w:trHeight w:val="268"/>
        </w:trPr>
        <w:tc>
          <w:tcPr>
            <w:tcW w:w="4531" w:type="dxa"/>
          </w:tcPr>
          <w:p w14:paraId="1E805597" w14:textId="77777777" w:rsidR="00AA4A02" w:rsidRDefault="00960F31">
            <w:pPr>
              <w:pStyle w:val="TableParagraph"/>
              <w:spacing w:line="248" w:lineRule="exact"/>
              <w:rPr>
                <w:rFonts w:ascii="Calibri"/>
              </w:rPr>
            </w:pPr>
            <w:r>
              <w:rPr>
                <w:rFonts w:ascii="Calibri"/>
              </w:rPr>
              <w:t>Charis</w:t>
            </w:r>
            <w:r>
              <w:rPr>
                <w:rFonts w:ascii="Calibri"/>
                <w:spacing w:val="-5"/>
              </w:rPr>
              <w:t xml:space="preserve"> </w:t>
            </w:r>
            <w:r>
              <w:rPr>
                <w:rFonts w:ascii="Calibri"/>
                <w:spacing w:val="-2"/>
              </w:rPr>
              <w:t>Halliday</w:t>
            </w:r>
          </w:p>
        </w:tc>
        <w:tc>
          <w:tcPr>
            <w:tcW w:w="4533" w:type="dxa"/>
          </w:tcPr>
          <w:p w14:paraId="1E805598" w14:textId="77777777" w:rsidR="00AA4A02" w:rsidRDefault="00960F31">
            <w:pPr>
              <w:pStyle w:val="TableParagraph"/>
              <w:spacing w:line="248" w:lineRule="exact"/>
              <w:rPr>
                <w:rFonts w:ascii="Calibri"/>
              </w:rPr>
            </w:pPr>
            <w:r>
              <w:rPr>
                <w:rFonts w:ascii="Calibri"/>
                <w:spacing w:val="-4"/>
              </w:rPr>
              <w:t>AASB</w:t>
            </w:r>
          </w:p>
        </w:tc>
      </w:tr>
      <w:tr w:rsidR="00AA4A02" w14:paraId="1E80559C" w14:textId="77777777">
        <w:trPr>
          <w:trHeight w:val="270"/>
        </w:trPr>
        <w:tc>
          <w:tcPr>
            <w:tcW w:w="4531" w:type="dxa"/>
          </w:tcPr>
          <w:p w14:paraId="1E80559A" w14:textId="77777777" w:rsidR="00AA4A02" w:rsidRDefault="00960F31">
            <w:pPr>
              <w:pStyle w:val="TableParagraph"/>
              <w:spacing w:line="251" w:lineRule="exact"/>
              <w:rPr>
                <w:rFonts w:ascii="Calibri"/>
              </w:rPr>
            </w:pPr>
            <w:r>
              <w:rPr>
                <w:rFonts w:ascii="Calibri"/>
              </w:rPr>
              <w:t>Nick</w:t>
            </w:r>
            <w:r>
              <w:rPr>
                <w:rFonts w:ascii="Calibri"/>
                <w:spacing w:val="-2"/>
              </w:rPr>
              <w:t xml:space="preserve"> </w:t>
            </w:r>
            <w:r>
              <w:rPr>
                <w:rFonts w:ascii="Calibri"/>
              </w:rPr>
              <w:t>Dent</w:t>
            </w:r>
            <w:r>
              <w:rPr>
                <w:rFonts w:ascii="Calibri"/>
                <w:spacing w:val="-2"/>
              </w:rPr>
              <w:t xml:space="preserve"> (virtual)</w:t>
            </w:r>
          </w:p>
        </w:tc>
        <w:tc>
          <w:tcPr>
            <w:tcW w:w="4533" w:type="dxa"/>
          </w:tcPr>
          <w:p w14:paraId="1E80559B" w14:textId="77777777" w:rsidR="00AA4A02" w:rsidRDefault="00960F31">
            <w:pPr>
              <w:pStyle w:val="TableParagraph"/>
              <w:spacing w:line="251" w:lineRule="exact"/>
              <w:rPr>
                <w:rFonts w:ascii="Calibri"/>
              </w:rPr>
            </w:pPr>
            <w:r>
              <w:rPr>
                <w:rFonts w:ascii="Calibri"/>
              </w:rPr>
              <w:t>Department</w:t>
            </w:r>
            <w:r>
              <w:rPr>
                <w:rFonts w:ascii="Calibri"/>
                <w:spacing w:val="-3"/>
              </w:rPr>
              <w:t xml:space="preserve"> </w:t>
            </w:r>
            <w:r>
              <w:rPr>
                <w:rFonts w:ascii="Calibri"/>
              </w:rPr>
              <w:t>of</w:t>
            </w:r>
            <w:r>
              <w:rPr>
                <w:rFonts w:ascii="Calibri"/>
                <w:spacing w:val="-5"/>
              </w:rPr>
              <w:t xml:space="preserve"> </w:t>
            </w:r>
            <w:r>
              <w:rPr>
                <w:rFonts w:ascii="Calibri"/>
                <w:spacing w:val="-2"/>
              </w:rPr>
              <w:t>Finance</w:t>
            </w:r>
          </w:p>
        </w:tc>
      </w:tr>
    </w:tbl>
    <w:p w14:paraId="1E80559D" w14:textId="77777777" w:rsidR="00AA4A02" w:rsidRDefault="00AA4A02">
      <w:pPr>
        <w:pStyle w:val="BodyText"/>
        <w:spacing w:before="1" w:after="1"/>
        <w:rPr>
          <w:rFonts w:ascii="Calibri"/>
          <w:b/>
          <w:sz w:val="12"/>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3"/>
      </w:tblGrid>
      <w:tr w:rsidR="00AA4A02" w14:paraId="1E8055A0" w14:textId="77777777">
        <w:trPr>
          <w:trHeight w:val="537"/>
        </w:trPr>
        <w:tc>
          <w:tcPr>
            <w:tcW w:w="4531" w:type="dxa"/>
            <w:shd w:val="clear" w:color="auto" w:fill="F1F1F1"/>
          </w:tcPr>
          <w:p w14:paraId="1E80559E" w14:textId="77777777" w:rsidR="00AA4A02" w:rsidRDefault="00960F31">
            <w:pPr>
              <w:pStyle w:val="TableParagraph"/>
              <w:spacing w:line="268" w:lineRule="exact"/>
              <w:rPr>
                <w:rFonts w:ascii="Calibri"/>
                <w:b/>
              </w:rPr>
            </w:pPr>
            <w:r>
              <w:rPr>
                <w:rFonts w:ascii="Calibri"/>
                <w:b/>
                <w:spacing w:val="-2"/>
              </w:rPr>
              <w:t>Observers</w:t>
            </w:r>
          </w:p>
        </w:tc>
        <w:tc>
          <w:tcPr>
            <w:tcW w:w="4533" w:type="dxa"/>
            <w:shd w:val="clear" w:color="auto" w:fill="F1F1F1"/>
          </w:tcPr>
          <w:p w14:paraId="1E80559F" w14:textId="77777777" w:rsidR="00AA4A02" w:rsidRDefault="00960F31">
            <w:pPr>
              <w:pStyle w:val="TableParagraph"/>
              <w:spacing w:line="268" w:lineRule="exact"/>
              <w:rPr>
                <w:rFonts w:ascii="Calibri"/>
                <w:b/>
              </w:rPr>
            </w:pPr>
            <w:r>
              <w:rPr>
                <w:rFonts w:ascii="Calibri"/>
                <w:b/>
                <w:spacing w:val="-2"/>
              </w:rPr>
              <w:t>Organisation</w:t>
            </w:r>
          </w:p>
        </w:tc>
      </w:tr>
      <w:tr w:rsidR="00AA4A02" w14:paraId="1E8055A3" w14:textId="77777777">
        <w:trPr>
          <w:trHeight w:val="268"/>
        </w:trPr>
        <w:tc>
          <w:tcPr>
            <w:tcW w:w="4531" w:type="dxa"/>
          </w:tcPr>
          <w:p w14:paraId="1E8055A1" w14:textId="77777777" w:rsidR="00AA4A02" w:rsidRDefault="00960F31">
            <w:pPr>
              <w:pStyle w:val="TableParagraph"/>
              <w:spacing w:line="248" w:lineRule="exact"/>
              <w:rPr>
                <w:rFonts w:ascii="Calibri"/>
              </w:rPr>
            </w:pPr>
            <w:r>
              <w:rPr>
                <w:rFonts w:ascii="Calibri"/>
              </w:rPr>
              <w:t>Michael</w:t>
            </w:r>
            <w:r>
              <w:rPr>
                <w:rFonts w:ascii="Calibri"/>
                <w:spacing w:val="-6"/>
              </w:rPr>
              <w:t xml:space="preserve"> </w:t>
            </w:r>
            <w:r>
              <w:rPr>
                <w:rFonts w:ascii="Calibri"/>
                <w:spacing w:val="-2"/>
              </w:rPr>
              <w:t>Latchford</w:t>
            </w:r>
          </w:p>
        </w:tc>
        <w:tc>
          <w:tcPr>
            <w:tcW w:w="4533" w:type="dxa"/>
          </w:tcPr>
          <w:p w14:paraId="1E8055A2" w14:textId="77777777" w:rsidR="00AA4A02" w:rsidRDefault="00960F31">
            <w:pPr>
              <w:pStyle w:val="TableParagraph"/>
              <w:spacing w:line="248" w:lineRule="exact"/>
              <w:rPr>
                <w:rFonts w:ascii="Calibri"/>
              </w:rPr>
            </w:pPr>
            <w:r>
              <w:rPr>
                <w:rFonts w:ascii="Calibri"/>
              </w:rPr>
              <w:t>FRC</w:t>
            </w:r>
            <w:r>
              <w:rPr>
                <w:rFonts w:ascii="Calibri"/>
                <w:spacing w:val="-1"/>
              </w:rPr>
              <w:t xml:space="preserve"> </w:t>
            </w:r>
            <w:r>
              <w:rPr>
                <w:rFonts w:ascii="Calibri"/>
                <w:spacing w:val="-2"/>
              </w:rPr>
              <w:t>Secretariat</w:t>
            </w:r>
          </w:p>
        </w:tc>
      </w:tr>
      <w:tr w:rsidR="00AA4A02" w14:paraId="1E8055A6" w14:textId="77777777">
        <w:trPr>
          <w:trHeight w:val="268"/>
        </w:trPr>
        <w:tc>
          <w:tcPr>
            <w:tcW w:w="4531" w:type="dxa"/>
          </w:tcPr>
          <w:p w14:paraId="1E8055A4" w14:textId="77777777" w:rsidR="00AA4A02" w:rsidRDefault="00960F31">
            <w:pPr>
              <w:pStyle w:val="TableParagraph"/>
              <w:spacing w:line="248" w:lineRule="exact"/>
              <w:rPr>
                <w:rFonts w:ascii="Calibri"/>
              </w:rPr>
            </w:pPr>
            <w:r>
              <w:rPr>
                <w:rFonts w:ascii="Calibri"/>
              </w:rPr>
              <w:t>Zahia</w:t>
            </w:r>
            <w:r>
              <w:rPr>
                <w:rFonts w:ascii="Calibri"/>
                <w:spacing w:val="-4"/>
              </w:rPr>
              <w:t xml:space="preserve"> </w:t>
            </w:r>
            <w:r>
              <w:rPr>
                <w:rFonts w:ascii="Calibri"/>
                <w:spacing w:val="-2"/>
              </w:rPr>
              <w:t>Aicken</w:t>
            </w:r>
          </w:p>
        </w:tc>
        <w:tc>
          <w:tcPr>
            <w:tcW w:w="4533" w:type="dxa"/>
          </w:tcPr>
          <w:p w14:paraId="1E8055A5" w14:textId="77777777" w:rsidR="00AA4A02" w:rsidRDefault="00960F31">
            <w:pPr>
              <w:pStyle w:val="TableParagraph"/>
              <w:spacing w:line="248" w:lineRule="exact"/>
              <w:rPr>
                <w:rFonts w:ascii="Calibri"/>
              </w:rPr>
            </w:pPr>
            <w:r>
              <w:rPr>
                <w:rFonts w:ascii="Calibri"/>
              </w:rPr>
              <w:t>FRC</w:t>
            </w:r>
            <w:r>
              <w:rPr>
                <w:rFonts w:ascii="Calibri"/>
                <w:spacing w:val="-1"/>
              </w:rPr>
              <w:t xml:space="preserve"> </w:t>
            </w:r>
            <w:r>
              <w:rPr>
                <w:rFonts w:ascii="Calibri"/>
                <w:spacing w:val="-2"/>
              </w:rPr>
              <w:t>Secretariat</w:t>
            </w:r>
          </w:p>
        </w:tc>
      </w:tr>
      <w:tr w:rsidR="00AA4A02" w14:paraId="1E8055A9" w14:textId="77777777">
        <w:trPr>
          <w:trHeight w:val="268"/>
        </w:trPr>
        <w:tc>
          <w:tcPr>
            <w:tcW w:w="4531" w:type="dxa"/>
          </w:tcPr>
          <w:p w14:paraId="1E8055A7" w14:textId="77777777" w:rsidR="00AA4A02" w:rsidRDefault="00960F31">
            <w:pPr>
              <w:pStyle w:val="TableParagraph"/>
              <w:spacing w:line="248" w:lineRule="exact"/>
              <w:rPr>
                <w:rFonts w:ascii="Calibri"/>
              </w:rPr>
            </w:pPr>
            <w:r>
              <w:rPr>
                <w:rFonts w:ascii="Calibri"/>
              </w:rPr>
              <w:t>Kim</w:t>
            </w:r>
            <w:r>
              <w:rPr>
                <w:rFonts w:ascii="Calibri"/>
                <w:spacing w:val="-2"/>
              </w:rPr>
              <w:t xml:space="preserve"> Demarte</w:t>
            </w:r>
          </w:p>
        </w:tc>
        <w:tc>
          <w:tcPr>
            <w:tcW w:w="4533" w:type="dxa"/>
          </w:tcPr>
          <w:p w14:paraId="1E8055A8" w14:textId="77777777" w:rsidR="00AA4A02" w:rsidRDefault="00960F31">
            <w:pPr>
              <w:pStyle w:val="TableParagraph"/>
              <w:spacing w:line="248" w:lineRule="exact"/>
              <w:rPr>
                <w:rFonts w:ascii="Calibri"/>
              </w:rPr>
            </w:pPr>
            <w:r>
              <w:rPr>
                <w:rFonts w:ascii="Calibri"/>
                <w:spacing w:val="-2"/>
              </w:rPr>
              <w:t>Treasury</w:t>
            </w:r>
          </w:p>
        </w:tc>
      </w:tr>
    </w:tbl>
    <w:p w14:paraId="1E8055AA" w14:textId="77777777" w:rsidR="00AA4A02" w:rsidRDefault="00AA4A02">
      <w:pPr>
        <w:pStyle w:val="BodyText"/>
        <w:spacing w:after="1"/>
        <w:rPr>
          <w:rFonts w:ascii="Calibri"/>
          <w:b/>
          <w:sz w:val="12"/>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3"/>
      </w:tblGrid>
      <w:tr w:rsidR="00AA4A02" w14:paraId="1E8055AD" w14:textId="77777777">
        <w:trPr>
          <w:trHeight w:val="268"/>
        </w:trPr>
        <w:tc>
          <w:tcPr>
            <w:tcW w:w="4531" w:type="dxa"/>
            <w:shd w:val="clear" w:color="auto" w:fill="F1F1F1"/>
          </w:tcPr>
          <w:p w14:paraId="1E8055AB" w14:textId="77777777" w:rsidR="00AA4A02" w:rsidRDefault="00960F31">
            <w:pPr>
              <w:pStyle w:val="TableParagraph"/>
              <w:spacing w:line="248" w:lineRule="exact"/>
              <w:rPr>
                <w:rFonts w:ascii="Calibri"/>
                <w:b/>
              </w:rPr>
            </w:pPr>
            <w:r>
              <w:rPr>
                <w:rFonts w:ascii="Calibri"/>
                <w:b/>
                <w:spacing w:val="-2"/>
              </w:rPr>
              <w:t>Apologies</w:t>
            </w:r>
          </w:p>
        </w:tc>
        <w:tc>
          <w:tcPr>
            <w:tcW w:w="4533" w:type="dxa"/>
            <w:shd w:val="clear" w:color="auto" w:fill="F1F1F1"/>
          </w:tcPr>
          <w:p w14:paraId="1E8055AC" w14:textId="77777777" w:rsidR="00AA4A02" w:rsidRDefault="00960F31">
            <w:pPr>
              <w:pStyle w:val="TableParagraph"/>
              <w:spacing w:line="248" w:lineRule="exact"/>
              <w:rPr>
                <w:rFonts w:ascii="Calibri"/>
                <w:b/>
              </w:rPr>
            </w:pPr>
            <w:r>
              <w:rPr>
                <w:rFonts w:ascii="Calibri"/>
                <w:b/>
                <w:spacing w:val="-2"/>
              </w:rPr>
              <w:t>Organisation</w:t>
            </w:r>
          </w:p>
        </w:tc>
      </w:tr>
      <w:tr w:rsidR="00AA4A02" w14:paraId="1E8055B0" w14:textId="77777777">
        <w:trPr>
          <w:trHeight w:val="268"/>
        </w:trPr>
        <w:tc>
          <w:tcPr>
            <w:tcW w:w="4531" w:type="dxa"/>
          </w:tcPr>
          <w:p w14:paraId="1E8055AE" w14:textId="77777777" w:rsidR="00AA4A02" w:rsidRDefault="00960F31">
            <w:pPr>
              <w:pStyle w:val="TableParagraph"/>
              <w:spacing w:line="248" w:lineRule="exact"/>
              <w:rPr>
                <w:rFonts w:ascii="Calibri"/>
              </w:rPr>
            </w:pPr>
            <w:r>
              <w:rPr>
                <w:rFonts w:ascii="Calibri"/>
              </w:rPr>
              <w:t>Justin</w:t>
            </w:r>
            <w:r>
              <w:rPr>
                <w:rFonts w:ascii="Calibri"/>
                <w:spacing w:val="-4"/>
              </w:rPr>
              <w:t xml:space="preserve"> </w:t>
            </w:r>
            <w:r>
              <w:rPr>
                <w:rFonts w:ascii="Calibri"/>
                <w:spacing w:val="-2"/>
              </w:rPr>
              <w:t>Williams</w:t>
            </w:r>
          </w:p>
        </w:tc>
        <w:tc>
          <w:tcPr>
            <w:tcW w:w="4533" w:type="dxa"/>
          </w:tcPr>
          <w:p w14:paraId="1E8055AF" w14:textId="77777777" w:rsidR="00AA4A02" w:rsidRDefault="00960F31">
            <w:pPr>
              <w:pStyle w:val="TableParagraph"/>
              <w:spacing w:line="248" w:lineRule="exact"/>
              <w:rPr>
                <w:rFonts w:ascii="Calibri"/>
              </w:rPr>
            </w:pPr>
            <w:r>
              <w:rPr>
                <w:rFonts w:ascii="Calibri"/>
                <w:spacing w:val="-2"/>
              </w:rPr>
              <w:t>AASB/AUASB</w:t>
            </w:r>
          </w:p>
        </w:tc>
      </w:tr>
    </w:tbl>
    <w:p w14:paraId="1E8055B1" w14:textId="77777777" w:rsidR="00AA4A02" w:rsidRDefault="00AA4A02">
      <w:pPr>
        <w:pStyle w:val="TableParagraph"/>
        <w:spacing w:line="248" w:lineRule="exact"/>
        <w:rPr>
          <w:rFonts w:ascii="Calibri"/>
        </w:rPr>
        <w:sectPr w:rsidR="00AA4A02">
          <w:type w:val="continuous"/>
          <w:pgSz w:w="11910" w:h="16840"/>
          <w:pgMar w:top="700" w:right="566" w:bottom="280" w:left="566" w:header="0" w:footer="755" w:gutter="0"/>
          <w:cols w:space="720"/>
        </w:sectPr>
      </w:pPr>
    </w:p>
    <w:p w14:paraId="1E8055B2" w14:textId="77777777" w:rsidR="00AA4A02" w:rsidRDefault="00AA4A02">
      <w:pPr>
        <w:pStyle w:val="BodyText"/>
        <w:rPr>
          <w:rFonts w:ascii="Calibri"/>
          <w:b/>
          <w:sz w:val="20"/>
        </w:rPr>
      </w:pPr>
    </w:p>
    <w:p w14:paraId="1E8055B3" w14:textId="77777777" w:rsidR="00AA4A02" w:rsidRDefault="00AA4A02">
      <w:pPr>
        <w:pStyle w:val="BodyText"/>
        <w:spacing w:before="66"/>
        <w:rPr>
          <w:rFonts w:ascii="Calibri"/>
          <w:b/>
          <w:sz w:val="20"/>
        </w:rPr>
      </w:pPr>
    </w:p>
    <w:p w14:paraId="1E8055B4" w14:textId="77777777" w:rsidR="00AA4A02" w:rsidRDefault="00AA4A02">
      <w:pPr>
        <w:pStyle w:val="BodyText"/>
        <w:rPr>
          <w:rFonts w:ascii="Calibri"/>
          <w:b/>
          <w:sz w:val="20"/>
        </w:rPr>
        <w:sectPr w:rsidR="00AA4A02">
          <w:pgSz w:w="11910" w:h="16840"/>
          <w:pgMar w:top="1820" w:right="566" w:bottom="940" w:left="566" w:header="0" w:footer="755" w:gutter="0"/>
          <w:cols w:space="720"/>
        </w:sectPr>
      </w:pPr>
    </w:p>
    <w:p w14:paraId="1E8055B5" w14:textId="77777777" w:rsidR="00AA4A02" w:rsidRDefault="00AA4A02">
      <w:pPr>
        <w:pStyle w:val="BodyText"/>
        <w:rPr>
          <w:rFonts w:ascii="Calibri"/>
          <w:b/>
          <w:sz w:val="29"/>
        </w:rPr>
      </w:pPr>
    </w:p>
    <w:p w14:paraId="1E8055B6" w14:textId="77777777" w:rsidR="00AA4A02" w:rsidRDefault="00AA4A02">
      <w:pPr>
        <w:pStyle w:val="BodyText"/>
        <w:spacing w:before="147"/>
        <w:rPr>
          <w:rFonts w:ascii="Calibri"/>
          <w:b/>
          <w:sz w:val="29"/>
        </w:rPr>
      </w:pPr>
    </w:p>
    <w:p w14:paraId="1E8055B7" w14:textId="77777777" w:rsidR="00AA4A02" w:rsidRDefault="00960F31">
      <w:pPr>
        <w:pStyle w:val="Heading2"/>
        <w:ind w:left="852"/>
        <w:jc w:val="left"/>
      </w:pPr>
      <w:bookmarkStart w:id="4" w:name="1C_Declarations_of_Interest"/>
      <w:bookmarkStart w:id="5" w:name="Item_1c"/>
      <w:bookmarkStart w:id="6" w:name="Declarations_of_Interest"/>
      <w:bookmarkEnd w:id="4"/>
      <w:bookmarkEnd w:id="5"/>
      <w:bookmarkEnd w:id="6"/>
      <w:r>
        <w:rPr>
          <w:smallCaps/>
          <w:color w:val="585858"/>
        </w:rPr>
        <w:t>Declarations</w:t>
      </w:r>
      <w:r>
        <w:rPr>
          <w:smallCaps/>
          <w:color w:val="585858"/>
          <w:spacing w:val="-5"/>
        </w:rPr>
        <w:t xml:space="preserve"> </w:t>
      </w:r>
      <w:r>
        <w:rPr>
          <w:smallCaps/>
          <w:color w:val="585858"/>
        </w:rPr>
        <w:t>of</w:t>
      </w:r>
      <w:r>
        <w:rPr>
          <w:smallCaps/>
          <w:color w:val="585858"/>
          <w:spacing w:val="-5"/>
        </w:rPr>
        <w:t xml:space="preserve"> </w:t>
      </w:r>
      <w:r>
        <w:rPr>
          <w:smallCaps/>
          <w:color w:val="585858"/>
          <w:spacing w:val="-2"/>
        </w:rPr>
        <w:t>Interest</w:t>
      </w:r>
    </w:p>
    <w:p w14:paraId="1E8055B8" w14:textId="77777777" w:rsidR="00AA4A02" w:rsidRDefault="00960F31">
      <w:pPr>
        <w:spacing w:before="27" w:line="438" w:lineRule="exact"/>
        <w:ind w:right="850"/>
        <w:jc w:val="right"/>
        <w:rPr>
          <w:rFonts w:ascii="Calibri"/>
          <w:b/>
          <w:sz w:val="36"/>
        </w:rPr>
      </w:pPr>
      <w:r>
        <w:br w:type="column"/>
      </w:r>
      <w:r>
        <w:rPr>
          <w:rFonts w:ascii="Calibri"/>
          <w:b/>
          <w:smallCaps/>
          <w:color w:val="585858"/>
          <w:sz w:val="36"/>
        </w:rPr>
        <w:t>Item</w:t>
      </w:r>
      <w:r>
        <w:rPr>
          <w:rFonts w:ascii="Calibri"/>
          <w:b/>
          <w:smallCaps/>
          <w:color w:val="585858"/>
          <w:spacing w:val="-1"/>
          <w:sz w:val="36"/>
        </w:rPr>
        <w:t xml:space="preserve"> </w:t>
      </w:r>
      <w:r>
        <w:rPr>
          <w:rFonts w:ascii="Calibri"/>
          <w:b/>
          <w:smallCaps/>
          <w:color w:val="585858"/>
          <w:spacing w:val="-5"/>
          <w:sz w:val="36"/>
        </w:rPr>
        <w:t>1c</w:t>
      </w:r>
    </w:p>
    <w:p w14:paraId="1E8055B9" w14:textId="77777777" w:rsidR="00AA4A02" w:rsidRDefault="00960F31">
      <w:pPr>
        <w:spacing w:line="389" w:lineRule="exact"/>
        <w:ind w:right="851"/>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5BA" w14:textId="77777777" w:rsidR="00AA4A02" w:rsidRDefault="00AA4A02">
      <w:pPr>
        <w:spacing w:line="389" w:lineRule="exact"/>
        <w:jc w:val="right"/>
        <w:rPr>
          <w:rFonts w:ascii="Calibri"/>
          <w:b/>
          <w:sz w:val="32"/>
        </w:rPr>
        <w:sectPr w:rsidR="00AA4A02">
          <w:type w:val="continuous"/>
          <w:pgSz w:w="11910" w:h="16840"/>
          <w:pgMar w:top="700" w:right="566" w:bottom="280" w:left="566" w:header="0" w:footer="755" w:gutter="0"/>
          <w:cols w:num="2" w:space="720" w:equalWidth="0">
            <w:col w:w="4416" w:space="3151"/>
            <w:col w:w="3211"/>
          </w:cols>
        </w:sectPr>
      </w:pPr>
    </w:p>
    <w:p w14:paraId="1E8055BB" w14:textId="77777777" w:rsidR="00AA4A02" w:rsidRDefault="00AA4A02">
      <w:pPr>
        <w:pStyle w:val="BodyText"/>
        <w:spacing w:before="117" w:after="1"/>
        <w:rPr>
          <w:rFonts w:ascii="Calibri"/>
          <w:b/>
          <w:sz w:val="20"/>
        </w:rPr>
      </w:pPr>
    </w:p>
    <w:p w14:paraId="1E8055BC" w14:textId="77777777" w:rsidR="00AA4A02" w:rsidRDefault="00960F31">
      <w:pPr>
        <w:ind w:left="852"/>
        <w:rPr>
          <w:rFonts w:ascii="Calibri"/>
          <w:sz w:val="20"/>
        </w:rPr>
      </w:pPr>
      <w:r>
        <w:rPr>
          <w:rFonts w:ascii="Calibri"/>
          <w:noProof/>
          <w:sz w:val="20"/>
        </w:rPr>
        <mc:AlternateContent>
          <mc:Choice Requires="wps">
            <w:drawing>
              <wp:inline distT="0" distB="0" distL="0" distR="0" wp14:anchorId="1E805F13" wp14:editId="1E805F14">
                <wp:extent cx="5753100" cy="1273175"/>
                <wp:effectExtent l="9525" t="0" r="0" b="317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273175"/>
                        </a:xfrm>
                        <a:prstGeom prst="rect">
                          <a:avLst/>
                        </a:prstGeom>
                        <a:solidFill>
                          <a:srgbClr val="E0EFFF"/>
                        </a:solidFill>
                        <a:ln w="6108">
                          <a:solidFill>
                            <a:srgbClr val="2E5395"/>
                          </a:solidFill>
                          <a:prstDash val="solid"/>
                        </a:ln>
                      </wps:spPr>
                      <wps:txbx>
                        <w:txbxContent>
                          <w:p w14:paraId="1E80605D" w14:textId="77777777" w:rsidR="00AA4A02" w:rsidRDefault="00960F31">
                            <w:pPr>
                              <w:spacing w:line="342" w:lineRule="exact"/>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5E" w14:textId="77777777" w:rsidR="00AA4A02" w:rsidRDefault="00960F31">
                            <w:pPr>
                              <w:spacing w:before="118"/>
                              <w:ind w:left="103"/>
                              <w:rPr>
                                <w:rFonts w:ascii="Calibri"/>
                                <w:color w:val="000000"/>
                                <w:sz w:val="24"/>
                              </w:rPr>
                            </w:pPr>
                            <w:r>
                              <w:rPr>
                                <w:rFonts w:ascii="Calibri"/>
                                <w:color w:val="000000"/>
                                <w:sz w:val="24"/>
                              </w:rPr>
                              <w:t>FRC members</w:t>
                            </w:r>
                            <w:r>
                              <w:rPr>
                                <w:rFonts w:ascii="Calibri"/>
                                <w:color w:val="000000"/>
                                <w:spacing w:val="-2"/>
                                <w:sz w:val="24"/>
                              </w:rPr>
                              <w:t xml:space="preserve"> </w:t>
                            </w:r>
                            <w:r>
                              <w:rPr>
                                <w:rFonts w:ascii="Calibri"/>
                                <w:color w:val="000000"/>
                                <w:spacing w:val="-5"/>
                                <w:sz w:val="24"/>
                              </w:rPr>
                              <w:t>to:</w:t>
                            </w:r>
                          </w:p>
                          <w:p w14:paraId="1E80605F" w14:textId="77777777" w:rsidR="00AA4A02" w:rsidRDefault="00960F31">
                            <w:pPr>
                              <w:numPr>
                                <w:ilvl w:val="0"/>
                                <w:numId w:val="62"/>
                              </w:numPr>
                              <w:tabs>
                                <w:tab w:val="left" w:pos="530"/>
                              </w:tabs>
                              <w:spacing w:before="120"/>
                              <w:ind w:right="334"/>
                              <w:rPr>
                                <w:rFonts w:ascii="Calibri"/>
                                <w:color w:val="000000"/>
                                <w:sz w:val="24"/>
                              </w:rPr>
                            </w:pPr>
                            <w:r>
                              <w:rPr>
                                <w:rFonts w:ascii="Calibri"/>
                                <w:color w:val="000000"/>
                                <w:sz w:val="24"/>
                              </w:rPr>
                              <w:t>declare</w:t>
                            </w:r>
                            <w:r>
                              <w:rPr>
                                <w:rFonts w:ascii="Calibri"/>
                                <w:color w:val="000000"/>
                                <w:spacing w:val="-2"/>
                                <w:sz w:val="24"/>
                              </w:rPr>
                              <w:t xml:space="preserve"> </w:t>
                            </w:r>
                            <w:r>
                              <w:rPr>
                                <w:rFonts w:ascii="Calibri"/>
                                <w:color w:val="000000"/>
                                <w:sz w:val="24"/>
                              </w:rPr>
                              <w:t>any</w:t>
                            </w:r>
                            <w:r>
                              <w:rPr>
                                <w:rFonts w:ascii="Calibri"/>
                                <w:color w:val="000000"/>
                                <w:spacing w:val="-3"/>
                                <w:sz w:val="24"/>
                              </w:rPr>
                              <w:t xml:space="preserve"> </w:t>
                            </w:r>
                            <w:r>
                              <w:rPr>
                                <w:rFonts w:ascii="Calibri"/>
                                <w:color w:val="000000"/>
                                <w:sz w:val="24"/>
                              </w:rPr>
                              <w:t>interest</w:t>
                            </w:r>
                            <w:r>
                              <w:rPr>
                                <w:rFonts w:ascii="Calibri"/>
                                <w:color w:val="000000"/>
                                <w:spacing w:val="-4"/>
                                <w:sz w:val="24"/>
                              </w:rPr>
                              <w:t xml:space="preserve"> </w:t>
                            </w:r>
                            <w:r>
                              <w:rPr>
                                <w:rFonts w:ascii="Calibri"/>
                                <w:color w:val="000000"/>
                                <w:sz w:val="24"/>
                              </w:rPr>
                              <w:t>that</w:t>
                            </w:r>
                            <w:r>
                              <w:rPr>
                                <w:rFonts w:ascii="Calibri"/>
                                <w:color w:val="000000"/>
                                <w:spacing w:val="-4"/>
                                <w:sz w:val="24"/>
                              </w:rPr>
                              <w:t xml:space="preserve"> </w:t>
                            </w:r>
                            <w:r>
                              <w:rPr>
                                <w:rFonts w:ascii="Calibri"/>
                                <w:color w:val="000000"/>
                                <w:sz w:val="24"/>
                              </w:rPr>
                              <w:t>may</w:t>
                            </w:r>
                            <w:r>
                              <w:rPr>
                                <w:rFonts w:ascii="Calibri"/>
                                <w:color w:val="000000"/>
                                <w:spacing w:val="-3"/>
                                <w:sz w:val="24"/>
                              </w:rPr>
                              <w:t xml:space="preserve"> </w:t>
                            </w:r>
                            <w:r>
                              <w:rPr>
                                <w:rFonts w:ascii="Calibri"/>
                                <w:color w:val="000000"/>
                                <w:sz w:val="24"/>
                              </w:rPr>
                              <w:t>be</w:t>
                            </w:r>
                            <w:r>
                              <w:rPr>
                                <w:rFonts w:ascii="Calibri"/>
                                <w:color w:val="000000"/>
                                <w:spacing w:val="-4"/>
                                <w:sz w:val="24"/>
                              </w:rPr>
                              <w:t xml:space="preserve"> </w:t>
                            </w:r>
                            <w:r>
                              <w:rPr>
                                <w:rFonts w:ascii="Calibri"/>
                                <w:color w:val="000000"/>
                                <w:sz w:val="24"/>
                              </w:rPr>
                              <w:t>relevant</w:t>
                            </w:r>
                            <w:r>
                              <w:rPr>
                                <w:rFonts w:ascii="Calibri"/>
                                <w:color w:val="000000"/>
                                <w:spacing w:val="-1"/>
                                <w:sz w:val="24"/>
                              </w:rPr>
                              <w:t xml:space="preserve"> </w:t>
                            </w:r>
                            <w:r>
                              <w:rPr>
                                <w:rFonts w:ascii="Calibri"/>
                                <w:color w:val="000000"/>
                                <w:sz w:val="24"/>
                              </w:rPr>
                              <w:t>(having</w:t>
                            </w:r>
                            <w:r>
                              <w:rPr>
                                <w:rFonts w:ascii="Calibri"/>
                                <w:color w:val="000000"/>
                                <w:spacing w:val="-5"/>
                                <w:sz w:val="24"/>
                              </w:rPr>
                              <w:t xml:space="preserve"> </w:t>
                            </w:r>
                            <w:r>
                              <w:rPr>
                                <w:rFonts w:ascii="Calibri"/>
                                <w:color w:val="000000"/>
                                <w:sz w:val="24"/>
                              </w:rPr>
                              <w:t>regard</w:t>
                            </w:r>
                            <w:r>
                              <w:rPr>
                                <w:rFonts w:ascii="Calibri"/>
                                <w:color w:val="000000"/>
                                <w:spacing w:val="-4"/>
                                <w:sz w:val="24"/>
                              </w:rPr>
                              <w:t xml:space="preserve"> </w:t>
                            </w:r>
                            <w:r>
                              <w:rPr>
                                <w:rFonts w:ascii="Calibri"/>
                                <w:color w:val="000000"/>
                                <w:sz w:val="24"/>
                              </w:rPr>
                              <w:t>to</w:t>
                            </w:r>
                            <w:r>
                              <w:rPr>
                                <w:rFonts w:ascii="Calibri"/>
                                <w:color w:val="000000"/>
                                <w:spacing w:val="-4"/>
                                <w:sz w:val="24"/>
                              </w:rPr>
                              <w:t xml:space="preserve"> </w:t>
                            </w:r>
                            <w:r>
                              <w:rPr>
                                <w:rFonts w:ascii="Calibri"/>
                                <w:color w:val="000000"/>
                                <w:sz w:val="24"/>
                              </w:rPr>
                              <w:t>the</w:t>
                            </w:r>
                            <w:r>
                              <w:rPr>
                                <w:rFonts w:ascii="Calibri"/>
                                <w:color w:val="000000"/>
                                <w:spacing w:val="-2"/>
                                <w:sz w:val="24"/>
                              </w:rPr>
                              <w:t xml:space="preserve"> </w:t>
                            </w:r>
                            <w:r>
                              <w:rPr>
                                <w:rFonts w:ascii="Calibri"/>
                                <w:color w:val="000000"/>
                                <w:sz w:val="24"/>
                              </w:rPr>
                              <w:t>meeting</w:t>
                            </w:r>
                            <w:r>
                              <w:rPr>
                                <w:rFonts w:ascii="Calibri"/>
                                <w:color w:val="000000"/>
                                <w:spacing w:val="-3"/>
                                <w:sz w:val="24"/>
                              </w:rPr>
                              <w:t xml:space="preserve"> </w:t>
                            </w:r>
                            <w:r>
                              <w:rPr>
                                <w:rFonts w:ascii="Calibri"/>
                                <w:color w:val="000000"/>
                                <w:sz w:val="24"/>
                              </w:rPr>
                              <w:t>agenda</w:t>
                            </w:r>
                            <w:r>
                              <w:rPr>
                                <w:rFonts w:ascii="Calibri"/>
                                <w:color w:val="000000"/>
                                <w:spacing w:val="-5"/>
                                <w:sz w:val="24"/>
                              </w:rPr>
                              <w:t xml:space="preserve"> </w:t>
                            </w:r>
                            <w:r>
                              <w:rPr>
                                <w:rFonts w:ascii="Calibri"/>
                                <w:color w:val="000000"/>
                                <w:sz w:val="24"/>
                              </w:rPr>
                              <w:t>and functions of the FRC)</w:t>
                            </w:r>
                          </w:p>
                          <w:p w14:paraId="1E806060" w14:textId="77777777" w:rsidR="00AA4A02" w:rsidRDefault="00960F31">
                            <w:pPr>
                              <w:numPr>
                                <w:ilvl w:val="0"/>
                                <w:numId w:val="62"/>
                              </w:numPr>
                              <w:tabs>
                                <w:tab w:val="left" w:pos="530"/>
                              </w:tabs>
                              <w:spacing w:before="120"/>
                              <w:ind w:hanging="427"/>
                              <w:rPr>
                                <w:rFonts w:ascii="Calibri"/>
                                <w:color w:val="000000"/>
                                <w:sz w:val="24"/>
                              </w:rPr>
                            </w:pPr>
                            <w:r>
                              <w:rPr>
                                <w:rFonts w:ascii="Calibri"/>
                                <w:color w:val="000000"/>
                                <w:sz w:val="24"/>
                              </w:rPr>
                              <w:t>confirm</w:t>
                            </w:r>
                            <w:r>
                              <w:rPr>
                                <w:rFonts w:ascii="Calibri"/>
                                <w:color w:val="000000"/>
                                <w:spacing w:val="-6"/>
                                <w:sz w:val="24"/>
                              </w:rPr>
                              <w:t xml:space="preserve"> </w:t>
                            </w:r>
                            <w:r>
                              <w:rPr>
                                <w:rFonts w:ascii="Calibri"/>
                                <w:color w:val="000000"/>
                                <w:sz w:val="24"/>
                              </w:rPr>
                              <w:t>the accuracy</w:t>
                            </w:r>
                            <w:r>
                              <w:rPr>
                                <w:rFonts w:ascii="Calibri"/>
                                <w:color w:val="000000"/>
                                <w:spacing w:val="-2"/>
                                <w:sz w:val="24"/>
                              </w:rPr>
                              <w:t xml:space="preserve"> </w:t>
                            </w:r>
                            <w:r>
                              <w:rPr>
                                <w:rFonts w:ascii="Calibri"/>
                                <w:color w:val="000000"/>
                                <w:sz w:val="24"/>
                              </w:rPr>
                              <w:t>of</w:t>
                            </w:r>
                            <w:r>
                              <w:rPr>
                                <w:rFonts w:ascii="Calibri"/>
                                <w:color w:val="000000"/>
                                <w:spacing w:val="-2"/>
                                <w:sz w:val="24"/>
                              </w:rPr>
                              <w:t xml:space="preserve"> </w:t>
                            </w:r>
                            <w:r>
                              <w:rPr>
                                <w:rFonts w:ascii="Calibri"/>
                                <w:color w:val="000000"/>
                                <w:sz w:val="24"/>
                              </w:rPr>
                              <w:t>the</w:t>
                            </w:r>
                            <w:r>
                              <w:rPr>
                                <w:rFonts w:ascii="Calibri"/>
                                <w:color w:val="000000"/>
                                <w:spacing w:val="-1"/>
                                <w:sz w:val="24"/>
                              </w:rPr>
                              <w:t xml:space="preserve"> </w:t>
                            </w:r>
                            <w:r>
                              <w:rPr>
                                <w:rFonts w:ascii="Calibri"/>
                                <w:color w:val="000000"/>
                                <w:sz w:val="24"/>
                              </w:rPr>
                              <w:t>attached</w:t>
                            </w:r>
                            <w:r>
                              <w:rPr>
                                <w:rFonts w:ascii="Calibri"/>
                                <w:color w:val="000000"/>
                                <w:spacing w:val="-2"/>
                                <w:sz w:val="24"/>
                              </w:rPr>
                              <w:t xml:space="preserve"> </w:t>
                            </w:r>
                            <w:r>
                              <w:rPr>
                                <w:rFonts w:ascii="Calibri"/>
                                <w:color w:val="000000"/>
                                <w:sz w:val="24"/>
                              </w:rPr>
                              <w:t>Declarations</w:t>
                            </w:r>
                            <w:r>
                              <w:rPr>
                                <w:rFonts w:ascii="Calibri"/>
                                <w:color w:val="000000"/>
                                <w:spacing w:val="-2"/>
                                <w:sz w:val="24"/>
                              </w:rPr>
                              <w:t xml:space="preserve"> </w:t>
                            </w:r>
                            <w:r>
                              <w:rPr>
                                <w:rFonts w:ascii="Calibri"/>
                                <w:color w:val="000000"/>
                                <w:sz w:val="24"/>
                              </w:rPr>
                              <w:t>of</w:t>
                            </w:r>
                            <w:r>
                              <w:rPr>
                                <w:rFonts w:ascii="Calibri"/>
                                <w:color w:val="000000"/>
                                <w:spacing w:val="-2"/>
                                <w:sz w:val="24"/>
                              </w:rPr>
                              <w:t xml:space="preserve"> Interest.</w:t>
                            </w:r>
                          </w:p>
                        </w:txbxContent>
                      </wps:txbx>
                      <wps:bodyPr wrap="square" lIns="0" tIns="0" rIns="0" bIns="0" rtlCol="0">
                        <a:noAutofit/>
                      </wps:bodyPr>
                    </wps:wsp>
                  </a:graphicData>
                </a:graphic>
              </wp:inline>
            </w:drawing>
          </mc:Choice>
          <mc:Fallback>
            <w:pict>
              <v:shape w14:anchorId="1E805F13" id="Textbox 5" o:spid="_x0000_s1027" type="#_x0000_t202" style="width:453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" fillcolor="#e0efff" strokecolor="#2e5395" strokeweight=".16967mm">
                <v:path arrowok="t"/>
                <v:textbox inset="0,0,0,0">
                  <w:txbxContent>
                    <w:p w14:paraId="1E80605D" w14:textId="77777777" w:rsidR="00AA4A02" w:rsidRDefault="00960F31">
                      <w:pPr>
                        <w:spacing w:line="342" w:lineRule="exact"/>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5E" w14:textId="77777777" w:rsidR="00AA4A02" w:rsidRDefault="00960F31">
                      <w:pPr>
                        <w:spacing w:before="118"/>
                        <w:ind w:left="103"/>
                        <w:rPr>
                          <w:rFonts w:ascii="Calibri"/>
                          <w:color w:val="000000"/>
                          <w:sz w:val="24"/>
                        </w:rPr>
                      </w:pPr>
                      <w:r>
                        <w:rPr>
                          <w:rFonts w:ascii="Calibri"/>
                          <w:color w:val="000000"/>
                          <w:sz w:val="24"/>
                        </w:rPr>
                        <w:t>FRC members</w:t>
                      </w:r>
                      <w:r>
                        <w:rPr>
                          <w:rFonts w:ascii="Calibri"/>
                          <w:color w:val="000000"/>
                          <w:spacing w:val="-2"/>
                          <w:sz w:val="24"/>
                        </w:rPr>
                        <w:t xml:space="preserve"> </w:t>
                      </w:r>
                      <w:r>
                        <w:rPr>
                          <w:rFonts w:ascii="Calibri"/>
                          <w:color w:val="000000"/>
                          <w:spacing w:val="-5"/>
                          <w:sz w:val="24"/>
                        </w:rPr>
                        <w:t>to:</w:t>
                      </w:r>
                    </w:p>
                    <w:p w14:paraId="1E80605F" w14:textId="77777777" w:rsidR="00AA4A02" w:rsidRDefault="00960F31">
                      <w:pPr>
                        <w:numPr>
                          <w:ilvl w:val="0"/>
                          <w:numId w:val="62"/>
                        </w:numPr>
                        <w:tabs>
                          <w:tab w:val="left" w:pos="530"/>
                        </w:tabs>
                        <w:spacing w:before="120"/>
                        <w:ind w:right="334"/>
                        <w:rPr>
                          <w:rFonts w:ascii="Calibri"/>
                          <w:color w:val="000000"/>
                          <w:sz w:val="24"/>
                        </w:rPr>
                      </w:pPr>
                      <w:r>
                        <w:rPr>
                          <w:rFonts w:ascii="Calibri"/>
                          <w:color w:val="000000"/>
                          <w:sz w:val="24"/>
                        </w:rPr>
                        <w:t>declare</w:t>
                      </w:r>
                      <w:r>
                        <w:rPr>
                          <w:rFonts w:ascii="Calibri"/>
                          <w:color w:val="000000"/>
                          <w:spacing w:val="-2"/>
                          <w:sz w:val="24"/>
                        </w:rPr>
                        <w:t xml:space="preserve"> </w:t>
                      </w:r>
                      <w:r>
                        <w:rPr>
                          <w:rFonts w:ascii="Calibri"/>
                          <w:color w:val="000000"/>
                          <w:sz w:val="24"/>
                        </w:rPr>
                        <w:t>any</w:t>
                      </w:r>
                      <w:r>
                        <w:rPr>
                          <w:rFonts w:ascii="Calibri"/>
                          <w:color w:val="000000"/>
                          <w:spacing w:val="-3"/>
                          <w:sz w:val="24"/>
                        </w:rPr>
                        <w:t xml:space="preserve"> </w:t>
                      </w:r>
                      <w:r>
                        <w:rPr>
                          <w:rFonts w:ascii="Calibri"/>
                          <w:color w:val="000000"/>
                          <w:sz w:val="24"/>
                        </w:rPr>
                        <w:t>interest</w:t>
                      </w:r>
                      <w:r>
                        <w:rPr>
                          <w:rFonts w:ascii="Calibri"/>
                          <w:color w:val="000000"/>
                          <w:spacing w:val="-4"/>
                          <w:sz w:val="24"/>
                        </w:rPr>
                        <w:t xml:space="preserve"> </w:t>
                      </w:r>
                      <w:r>
                        <w:rPr>
                          <w:rFonts w:ascii="Calibri"/>
                          <w:color w:val="000000"/>
                          <w:sz w:val="24"/>
                        </w:rPr>
                        <w:t>that</w:t>
                      </w:r>
                      <w:r>
                        <w:rPr>
                          <w:rFonts w:ascii="Calibri"/>
                          <w:color w:val="000000"/>
                          <w:spacing w:val="-4"/>
                          <w:sz w:val="24"/>
                        </w:rPr>
                        <w:t xml:space="preserve"> </w:t>
                      </w:r>
                      <w:r>
                        <w:rPr>
                          <w:rFonts w:ascii="Calibri"/>
                          <w:color w:val="000000"/>
                          <w:sz w:val="24"/>
                        </w:rPr>
                        <w:t>may</w:t>
                      </w:r>
                      <w:r>
                        <w:rPr>
                          <w:rFonts w:ascii="Calibri"/>
                          <w:color w:val="000000"/>
                          <w:spacing w:val="-3"/>
                          <w:sz w:val="24"/>
                        </w:rPr>
                        <w:t xml:space="preserve"> </w:t>
                      </w:r>
                      <w:r>
                        <w:rPr>
                          <w:rFonts w:ascii="Calibri"/>
                          <w:color w:val="000000"/>
                          <w:sz w:val="24"/>
                        </w:rPr>
                        <w:t>be</w:t>
                      </w:r>
                      <w:r>
                        <w:rPr>
                          <w:rFonts w:ascii="Calibri"/>
                          <w:color w:val="000000"/>
                          <w:spacing w:val="-4"/>
                          <w:sz w:val="24"/>
                        </w:rPr>
                        <w:t xml:space="preserve"> </w:t>
                      </w:r>
                      <w:r>
                        <w:rPr>
                          <w:rFonts w:ascii="Calibri"/>
                          <w:color w:val="000000"/>
                          <w:sz w:val="24"/>
                        </w:rPr>
                        <w:t>relevant</w:t>
                      </w:r>
                      <w:r>
                        <w:rPr>
                          <w:rFonts w:ascii="Calibri"/>
                          <w:color w:val="000000"/>
                          <w:spacing w:val="-1"/>
                          <w:sz w:val="24"/>
                        </w:rPr>
                        <w:t xml:space="preserve"> </w:t>
                      </w:r>
                      <w:r>
                        <w:rPr>
                          <w:rFonts w:ascii="Calibri"/>
                          <w:color w:val="000000"/>
                          <w:sz w:val="24"/>
                        </w:rPr>
                        <w:t>(having</w:t>
                      </w:r>
                      <w:r>
                        <w:rPr>
                          <w:rFonts w:ascii="Calibri"/>
                          <w:color w:val="000000"/>
                          <w:spacing w:val="-5"/>
                          <w:sz w:val="24"/>
                        </w:rPr>
                        <w:t xml:space="preserve"> </w:t>
                      </w:r>
                      <w:r>
                        <w:rPr>
                          <w:rFonts w:ascii="Calibri"/>
                          <w:color w:val="000000"/>
                          <w:sz w:val="24"/>
                        </w:rPr>
                        <w:t>regard</w:t>
                      </w:r>
                      <w:r>
                        <w:rPr>
                          <w:rFonts w:ascii="Calibri"/>
                          <w:color w:val="000000"/>
                          <w:spacing w:val="-4"/>
                          <w:sz w:val="24"/>
                        </w:rPr>
                        <w:t xml:space="preserve"> </w:t>
                      </w:r>
                      <w:r>
                        <w:rPr>
                          <w:rFonts w:ascii="Calibri"/>
                          <w:color w:val="000000"/>
                          <w:sz w:val="24"/>
                        </w:rPr>
                        <w:t>to</w:t>
                      </w:r>
                      <w:r>
                        <w:rPr>
                          <w:rFonts w:ascii="Calibri"/>
                          <w:color w:val="000000"/>
                          <w:spacing w:val="-4"/>
                          <w:sz w:val="24"/>
                        </w:rPr>
                        <w:t xml:space="preserve"> </w:t>
                      </w:r>
                      <w:r>
                        <w:rPr>
                          <w:rFonts w:ascii="Calibri"/>
                          <w:color w:val="000000"/>
                          <w:sz w:val="24"/>
                        </w:rPr>
                        <w:t>the</w:t>
                      </w:r>
                      <w:r>
                        <w:rPr>
                          <w:rFonts w:ascii="Calibri"/>
                          <w:color w:val="000000"/>
                          <w:spacing w:val="-2"/>
                          <w:sz w:val="24"/>
                        </w:rPr>
                        <w:t xml:space="preserve"> </w:t>
                      </w:r>
                      <w:r>
                        <w:rPr>
                          <w:rFonts w:ascii="Calibri"/>
                          <w:color w:val="000000"/>
                          <w:sz w:val="24"/>
                        </w:rPr>
                        <w:t>meeting</w:t>
                      </w:r>
                      <w:r>
                        <w:rPr>
                          <w:rFonts w:ascii="Calibri"/>
                          <w:color w:val="000000"/>
                          <w:spacing w:val="-3"/>
                          <w:sz w:val="24"/>
                        </w:rPr>
                        <w:t xml:space="preserve"> </w:t>
                      </w:r>
                      <w:r>
                        <w:rPr>
                          <w:rFonts w:ascii="Calibri"/>
                          <w:color w:val="000000"/>
                          <w:sz w:val="24"/>
                        </w:rPr>
                        <w:t>agenda</w:t>
                      </w:r>
                      <w:r>
                        <w:rPr>
                          <w:rFonts w:ascii="Calibri"/>
                          <w:color w:val="000000"/>
                          <w:spacing w:val="-5"/>
                          <w:sz w:val="24"/>
                        </w:rPr>
                        <w:t xml:space="preserve"> </w:t>
                      </w:r>
                      <w:r>
                        <w:rPr>
                          <w:rFonts w:ascii="Calibri"/>
                          <w:color w:val="000000"/>
                          <w:sz w:val="24"/>
                        </w:rPr>
                        <w:t>and functions of the FRC)</w:t>
                      </w:r>
                    </w:p>
                    <w:p w14:paraId="1E806060" w14:textId="77777777" w:rsidR="00AA4A02" w:rsidRDefault="00960F31">
                      <w:pPr>
                        <w:numPr>
                          <w:ilvl w:val="0"/>
                          <w:numId w:val="62"/>
                        </w:numPr>
                        <w:tabs>
                          <w:tab w:val="left" w:pos="530"/>
                        </w:tabs>
                        <w:spacing w:before="120"/>
                        <w:ind w:hanging="427"/>
                        <w:rPr>
                          <w:rFonts w:ascii="Calibri"/>
                          <w:color w:val="000000"/>
                          <w:sz w:val="24"/>
                        </w:rPr>
                      </w:pPr>
                      <w:r>
                        <w:rPr>
                          <w:rFonts w:ascii="Calibri"/>
                          <w:color w:val="000000"/>
                          <w:sz w:val="24"/>
                        </w:rPr>
                        <w:t>confirm</w:t>
                      </w:r>
                      <w:r>
                        <w:rPr>
                          <w:rFonts w:ascii="Calibri"/>
                          <w:color w:val="000000"/>
                          <w:spacing w:val="-6"/>
                          <w:sz w:val="24"/>
                        </w:rPr>
                        <w:t xml:space="preserve"> </w:t>
                      </w:r>
                      <w:r>
                        <w:rPr>
                          <w:rFonts w:ascii="Calibri"/>
                          <w:color w:val="000000"/>
                          <w:sz w:val="24"/>
                        </w:rPr>
                        <w:t>the accuracy</w:t>
                      </w:r>
                      <w:r>
                        <w:rPr>
                          <w:rFonts w:ascii="Calibri"/>
                          <w:color w:val="000000"/>
                          <w:spacing w:val="-2"/>
                          <w:sz w:val="24"/>
                        </w:rPr>
                        <w:t xml:space="preserve"> </w:t>
                      </w:r>
                      <w:r>
                        <w:rPr>
                          <w:rFonts w:ascii="Calibri"/>
                          <w:color w:val="000000"/>
                          <w:sz w:val="24"/>
                        </w:rPr>
                        <w:t>of</w:t>
                      </w:r>
                      <w:r>
                        <w:rPr>
                          <w:rFonts w:ascii="Calibri"/>
                          <w:color w:val="000000"/>
                          <w:spacing w:val="-2"/>
                          <w:sz w:val="24"/>
                        </w:rPr>
                        <w:t xml:space="preserve"> </w:t>
                      </w:r>
                      <w:r>
                        <w:rPr>
                          <w:rFonts w:ascii="Calibri"/>
                          <w:color w:val="000000"/>
                          <w:sz w:val="24"/>
                        </w:rPr>
                        <w:t>the</w:t>
                      </w:r>
                      <w:r>
                        <w:rPr>
                          <w:rFonts w:ascii="Calibri"/>
                          <w:color w:val="000000"/>
                          <w:spacing w:val="-1"/>
                          <w:sz w:val="24"/>
                        </w:rPr>
                        <w:t xml:space="preserve"> </w:t>
                      </w:r>
                      <w:r>
                        <w:rPr>
                          <w:rFonts w:ascii="Calibri"/>
                          <w:color w:val="000000"/>
                          <w:sz w:val="24"/>
                        </w:rPr>
                        <w:t>attached</w:t>
                      </w:r>
                      <w:r>
                        <w:rPr>
                          <w:rFonts w:ascii="Calibri"/>
                          <w:color w:val="000000"/>
                          <w:spacing w:val="-2"/>
                          <w:sz w:val="24"/>
                        </w:rPr>
                        <w:t xml:space="preserve"> </w:t>
                      </w:r>
                      <w:r>
                        <w:rPr>
                          <w:rFonts w:ascii="Calibri"/>
                          <w:color w:val="000000"/>
                          <w:sz w:val="24"/>
                        </w:rPr>
                        <w:t>Declarations</w:t>
                      </w:r>
                      <w:r>
                        <w:rPr>
                          <w:rFonts w:ascii="Calibri"/>
                          <w:color w:val="000000"/>
                          <w:spacing w:val="-2"/>
                          <w:sz w:val="24"/>
                        </w:rPr>
                        <w:t xml:space="preserve"> </w:t>
                      </w:r>
                      <w:r>
                        <w:rPr>
                          <w:rFonts w:ascii="Calibri"/>
                          <w:color w:val="000000"/>
                          <w:sz w:val="24"/>
                        </w:rPr>
                        <w:t>of</w:t>
                      </w:r>
                      <w:r>
                        <w:rPr>
                          <w:rFonts w:ascii="Calibri"/>
                          <w:color w:val="000000"/>
                          <w:spacing w:val="-2"/>
                          <w:sz w:val="24"/>
                        </w:rPr>
                        <w:t xml:space="preserve"> Interest.</w:t>
                      </w:r>
                    </w:p>
                  </w:txbxContent>
                </v:textbox>
                <w10:anchorlock/>
              </v:shape>
            </w:pict>
          </mc:Fallback>
        </mc:AlternateContent>
      </w:r>
    </w:p>
    <w:p w14:paraId="1E8055BD" w14:textId="77777777" w:rsidR="00AA4A02" w:rsidRDefault="00960F31">
      <w:pPr>
        <w:spacing w:before="255"/>
        <w:ind w:left="852"/>
        <w:rPr>
          <w:rFonts w:ascii="Calibri" w:hAnsi="Calibri"/>
          <w:sz w:val="24"/>
        </w:rPr>
      </w:pPr>
      <w:r>
        <w:rPr>
          <w:rFonts w:ascii="Calibri" w:hAnsi="Calibri"/>
          <w:sz w:val="24"/>
        </w:rPr>
        <w:t>Attached</w:t>
      </w:r>
      <w:r>
        <w:rPr>
          <w:rFonts w:ascii="Calibri" w:hAnsi="Calibri"/>
          <w:spacing w:val="-3"/>
          <w:sz w:val="24"/>
        </w:rPr>
        <w:t xml:space="preserve"> </w:t>
      </w:r>
      <w:r>
        <w:rPr>
          <w:rFonts w:ascii="Calibri" w:hAnsi="Calibri"/>
          <w:sz w:val="24"/>
        </w:rPr>
        <w:t>are</w:t>
      </w:r>
      <w:r>
        <w:rPr>
          <w:rFonts w:ascii="Calibri" w:hAnsi="Calibri"/>
          <w:spacing w:val="-1"/>
          <w:sz w:val="24"/>
        </w:rPr>
        <w:t xml:space="preserve"> </w:t>
      </w:r>
      <w:r>
        <w:rPr>
          <w:rFonts w:ascii="Calibri" w:hAnsi="Calibri"/>
          <w:sz w:val="24"/>
        </w:rPr>
        <w:t>members’</w:t>
      </w:r>
      <w:r>
        <w:rPr>
          <w:rFonts w:ascii="Calibri" w:hAnsi="Calibri"/>
          <w:spacing w:val="-3"/>
          <w:sz w:val="24"/>
        </w:rPr>
        <w:t xml:space="preserve"> </w:t>
      </w:r>
      <w:r>
        <w:rPr>
          <w:rFonts w:ascii="Calibri" w:hAnsi="Calibri"/>
          <w:sz w:val="24"/>
        </w:rPr>
        <w:t>declarations</w:t>
      </w:r>
      <w:r>
        <w:rPr>
          <w:rFonts w:ascii="Calibri" w:hAnsi="Calibri"/>
          <w:spacing w:val="-4"/>
          <w:sz w:val="24"/>
        </w:rPr>
        <w:t xml:space="preserve"> </w:t>
      </w:r>
      <w:r>
        <w:rPr>
          <w:rFonts w:ascii="Calibri" w:hAnsi="Calibri"/>
          <w:sz w:val="24"/>
        </w:rPr>
        <w:t>of</w:t>
      </w:r>
      <w:r>
        <w:rPr>
          <w:rFonts w:ascii="Calibri" w:hAnsi="Calibri"/>
          <w:spacing w:val="-2"/>
          <w:sz w:val="24"/>
        </w:rPr>
        <w:t xml:space="preserve"> interest.</w:t>
      </w:r>
    </w:p>
    <w:p w14:paraId="1E8055BE" w14:textId="77777777" w:rsidR="00AA4A02" w:rsidRDefault="00AA4A02">
      <w:pPr>
        <w:rPr>
          <w:rFonts w:ascii="Calibri" w:hAnsi="Calibri"/>
          <w:sz w:val="24"/>
        </w:rPr>
        <w:sectPr w:rsidR="00AA4A02">
          <w:type w:val="continuous"/>
          <w:pgSz w:w="11910" w:h="16840"/>
          <w:pgMar w:top="700" w:right="566" w:bottom="280" w:left="566" w:header="0" w:footer="755" w:gutter="0"/>
          <w:cols w:space="720"/>
        </w:sectPr>
      </w:pPr>
    </w:p>
    <w:p w14:paraId="1E8055BF" w14:textId="77777777" w:rsidR="00AA4A02" w:rsidRDefault="00960F31">
      <w:pPr>
        <w:pStyle w:val="Heading8"/>
        <w:spacing w:before="39"/>
        <w:ind w:left="0" w:right="2"/>
        <w:jc w:val="center"/>
      </w:pPr>
      <w:r>
        <w:lastRenderedPageBreak/>
        <w:t>FINANCIAL</w:t>
      </w:r>
      <w:r>
        <w:rPr>
          <w:spacing w:val="-2"/>
        </w:rPr>
        <w:t xml:space="preserve"> </w:t>
      </w:r>
      <w:r>
        <w:t>REPORTING</w:t>
      </w:r>
      <w:r>
        <w:rPr>
          <w:spacing w:val="-3"/>
        </w:rPr>
        <w:t xml:space="preserve"> </w:t>
      </w:r>
      <w:r>
        <w:t>COUNCIL</w:t>
      </w:r>
      <w:r>
        <w:rPr>
          <w:spacing w:val="-2"/>
        </w:rPr>
        <w:t xml:space="preserve"> </w:t>
      </w:r>
      <w:r>
        <w:t>–</w:t>
      </w:r>
      <w:r>
        <w:rPr>
          <w:spacing w:val="-1"/>
        </w:rPr>
        <w:t xml:space="preserve"> </w:t>
      </w:r>
      <w:r>
        <w:t>REGISTER</w:t>
      </w:r>
      <w:r>
        <w:rPr>
          <w:spacing w:val="-5"/>
        </w:rPr>
        <w:t xml:space="preserve"> </w:t>
      </w:r>
      <w:r>
        <w:t>OF</w:t>
      </w:r>
      <w:r>
        <w:rPr>
          <w:spacing w:val="-3"/>
        </w:rPr>
        <w:t xml:space="preserve"> </w:t>
      </w:r>
      <w:r>
        <w:rPr>
          <w:spacing w:val="-2"/>
        </w:rPr>
        <w:t>INTERESTS</w:t>
      </w:r>
    </w:p>
    <w:p w14:paraId="1E8055C0" w14:textId="77777777" w:rsidR="00AA4A02" w:rsidRDefault="00960F31">
      <w:pPr>
        <w:ind w:left="2" w:right="2"/>
        <w:jc w:val="center"/>
        <w:rPr>
          <w:rFonts w:ascii="Calibri"/>
          <w:sz w:val="24"/>
        </w:rPr>
      </w:pPr>
      <w:r>
        <w:rPr>
          <w:rFonts w:ascii="Calibri"/>
          <w:sz w:val="24"/>
        </w:rPr>
        <w:t>as</w:t>
      </w:r>
      <w:r>
        <w:rPr>
          <w:rFonts w:ascii="Calibri"/>
          <w:spacing w:val="-2"/>
          <w:sz w:val="24"/>
        </w:rPr>
        <w:t xml:space="preserve"> </w:t>
      </w:r>
      <w:r>
        <w:rPr>
          <w:rFonts w:ascii="Calibri"/>
          <w:sz w:val="24"/>
        </w:rPr>
        <w:t>at</w:t>
      </w:r>
      <w:r>
        <w:rPr>
          <w:rFonts w:ascii="Calibri"/>
          <w:spacing w:val="-1"/>
          <w:sz w:val="24"/>
        </w:rPr>
        <w:t xml:space="preserve"> </w:t>
      </w:r>
      <w:r>
        <w:rPr>
          <w:rFonts w:ascii="Calibri"/>
          <w:sz w:val="24"/>
        </w:rPr>
        <w:t>29</w:t>
      </w:r>
      <w:r>
        <w:rPr>
          <w:rFonts w:ascii="Calibri"/>
          <w:spacing w:val="-1"/>
          <w:sz w:val="24"/>
        </w:rPr>
        <w:t xml:space="preserve"> </w:t>
      </w:r>
      <w:r>
        <w:rPr>
          <w:rFonts w:ascii="Calibri"/>
          <w:sz w:val="24"/>
        </w:rPr>
        <w:t>May</w:t>
      </w:r>
      <w:r>
        <w:rPr>
          <w:rFonts w:ascii="Calibri"/>
          <w:spacing w:val="1"/>
          <w:sz w:val="24"/>
        </w:rPr>
        <w:t xml:space="preserve"> </w:t>
      </w:r>
      <w:r>
        <w:rPr>
          <w:rFonts w:ascii="Calibri"/>
          <w:spacing w:val="-4"/>
          <w:sz w:val="24"/>
        </w:rPr>
        <w:t>2026</w:t>
      </w:r>
    </w:p>
    <w:p w14:paraId="1E8055C1" w14:textId="77777777" w:rsidR="00AA4A02" w:rsidRDefault="00AA4A02">
      <w:pPr>
        <w:pStyle w:val="BodyText"/>
        <w:spacing w:before="8"/>
        <w:rPr>
          <w:rFonts w:ascii="Calibri"/>
          <w:sz w:val="19"/>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834"/>
        <w:gridCol w:w="2836"/>
        <w:gridCol w:w="2834"/>
      </w:tblGrid>
      <w:tr w:rsidR="00AA4A02" w14:paraId="1E8055C6" w14:textId="77777777">
        <w:trPr>
          <w:trHeight w:val="937"/>
        </w:trPr>
        <w:tc>
          <w:tcPr>
            <w:tcW w:w="1980" w:type="dxa"/>
          </w:tcPr>
          <w:p w14:paraId="1E8055C2" w14:textId="77777777" w:rsidR="00AA4A02" w:rsidRDefault="00960F31">
            <w:pPr>
              <w:pStyle w:val="TableParagraph"/>
              <w:spacing w:line="292" w:lineRule="exact"/>
              <w:rPr>
                <w:rFonts w:ascii="Calibri"/>
                <w:b/>
                <w:sz w:val="24"/>
              </w:rPr>
            </w:pPr>
            <w:r>
              <w:rPr>
                <w:rFonts w:ascii="Calibri"/>
                <w:b/>
                <w:sz w:val="24"/>
              </w:rPr>
              <w:t xml:space="preserve">FRC </w:t>
            </w:r>
            <w:r>
              <w:rPr>
                <w:rFonts w:ascii="Calibri"/>
                <w:b/>
                <w:spacing w:val="-2"/>
                <w:sz w:val="24"/>
              </w:rPr>
              <w:t>Member</w:t>
            </w:r>
          </w:p>
        </w:tc>
        <w:tc>
          <w:tcPr>
            <w:tcW w:w="2834" w:type="dxa"/>
          </w:tcPr>
          <w:p w14:paraId="1E8055C3" w14:textId="77777777" w:rsidR="00AA4A02" w:rsidRDefault="00960F31">
            <w:pPr>
              <w:pStyle w:val="TableParagraph"/>
              <w:ind w:right="110"/>
              <w:rPr>
                <w:rFonts w:ascii="Calibri"/>
                <w:b/>
                <w:sz w:val="24"/>
              </w:rPr>
            </w:pPr>
            <w:r>
              <w:rPr>
                <w:rFonts w:ascii="Calibri"/>
                <w:b/>
                <w:sz w:val="24"/>
              </w:rPr>
              <w:t>Stakeholder /</w:t>
            </w:r>
            <w:r>
              <w:rPr>
                <w:rFonts w:ascii="Calibri"/>
                <w:b/>
                <w:spacing w:val="40"/>
                <w:sz w:val="24"/>
              </w:rPr>
              <w:t xml:space="preserve"> </w:t>
            </w:r>
            <w:r>
              <w:rPr>
                <w:rFonts w:ascii="Calibri"/>
                <w:b/>
                <w:sz w:val="24"/>
              </w:rPr>
              <w:t>Professional / Organisational</w:t>
            </w:r>
            <w:r>
              <w:rPr>
                <w:rFonts w:ascii="Calibri"/>
                <w:b/>
                <w:spacing w:val="-14"/>
                <w:sz w:val="24"/>
              </w:rPr>
              <w:t xml:space="preserve"> </w:t>
            </w:r>
            <w:r>
              <w:rPr>
                <w:rFonts w:ascii="Calibri"/>
                <w:b/>
                <w:sz w:val="24"/>
              </w:rPr>
              <w:t>Affiliations</w:t>
            </w:r>
          </w:p>
        </w:tc>
        <w:tc>
          <w:tcPr>
            <w:tcW w:w="2836" w:type="dxa"/>
          </w:tcPr>
          <w:p w14:paraId="1E8055C4" w14:textId="77777777" w:rsidR="00AA4A02" w:rsidRDefault="00960F31">
            <w:pPr>
              <w:pStyle w:val="TableParagraph"/>
              <w:ind w:left="108" w:right="161"/>
              <w:rPr>
                <w:rFonts w:ascii="Calibri"/>
                <w:b/>
                <w:sz w:val="24"/>
              </w:rPr>
            </w:pPr>
            <w:r>
              <w:rPr>
                <w:rFonts w:ascii="Calibri"/>
                <w:b/>
                <w:sz w:val="24"/>
              </w:rPr>
              <w:t>Employment</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Other Positions Held</w:t>
            </w:r>
          </w:p>
        </w:tc>
        <w:tc>
          <w:tcPr>
            <w:tcW w:w="2834" w:type="dxa"/>
          </w:tcPr>
          <w:p w14:paraId="1E8055C5" w14:textId="77777777" w:rsidR="00AA4A02" w:rsidRDefault="00960F31">
            <w:pPr>
              <w:pStyle w:val="TableParagraph"/>
              <w:spacing w:line="292" w:lineRule="exact"/>
              <w:ind w:left="109"/>
              <w:rPr>
                <w:rFonts w:ascii="Calibri"/>
                <w:b/>
                <w:sz w:val="24"/>
              </w:rPr>
            </w:pPr>
            <w:r>
              <w:rPr>
                <w:rFonts w:ascii="Calibri"/>
                <w:b/>
                <w:sz w:val="24"/>
              </w:rPr>
              <w:t>Other</w:t>
            </w:r>
            <w:r>
              <w:rPr>
                <w:rFonts w:ascii="Calibri"/>
                <w:b/>
                <w:spacing w:val="-2"/>
                <w:sz w:val="24"/>
              </w:rPr>
              <w:t xml:space="preserve"> Interests</w:t>
            </w:r>
          </w:p>
        </w:tc>
      </w:tr>
      <w:tr w:rsidR="00AA4A02" w14:paraId="1E8055E3" w14:textId="77777777">
        <w:trPr>
          <w:trHeight w:val="8164"/>
        </w:trPr>
        <w:tc>
          <w:tcPr>
            <w:tcW w:w="1980" w:type="dxa"/>
          </w:tcPr>
          <w:p w14:paraId="1E8055C7" w14:textId="77777777" w:rsidR="00AA4A02" w:rsidRDefault="00960F31">
            <w:pPr>
              <w:pStyle w:val="TableParagraph"/>
              <w:spacing w:before="1"/>
              <w:rPr>
                <w:rFonts w:ascii="Calibri"/>
                <w:sz w:val="24"/>
              </w:rPr>
            </w:pPr>
            <w:r>
              <w:rPr>
                <w:rFonts w:ascii="Calibri"/>
                <w:sz w:val="24"/>
              </w:rPr>
              <w:t>Mr</w:t>
            </w:r>
            <w:r>
              <w:rPr>
                <w:rFonts w:ascii="Calibri"/>
                <w:spacing w:val="-1"/>
                <w:sz w:val="24"/>
              </w:rPr>
              <w:t xml:space="preserve"> </w:t>
            </w:r>
            <w:r>
              <w:rPr>
                <w:rFonts w:ascii="Calibri"/>
                <w:sz w:val="24"/>
              </w:rPr>
              <w:t>Andrew</w:t>
            </w:r>
            <w:r>
              <w:rPr>
                <w:rFonts w:ascii="Calibri"/>
                <w:spacing w:val="-1"/>
                <w:sz w:val="24"/>
              </w:rPr>
              <w:t xml:space="preserve"> </w:t>
            </w:r>
            <w:r>
              <w:rPr>
                <w:rFonts w:ascii="Calibri"/>
                <w:spacing w:val="-2"/>
                <w:sz w:val="24"/>
              </w:rPr>
              <w:t>Mills</w:t>
            </w:r>
          </w:p>
        </w:tc>
        <w:tc>
          <w:tcPr>
            <w:tcW w:w="2834" w:type="dxa"/>
          </w:tcPr>
          <w:p w14:paraId="1E8055C8" w14:textId="77777777" w:rsidR="00AA4A02" w:rsidRDefault="00960F31">
            <w:pPr>
              <w:pStyle w:val="TableParagraph"/>
              <w:spacing w:before="1"/>
              <w:ind w:right="110"/>
              <w:rPr>
                <w:rFonts w:ascii="Calibri"/>
                <w:sz w:val="24"/>
              </w:rPr>
            </w:pPr>
            <w:r>
              <w:rPr>
                <w:rFonts w:ascii="Calibri"/>
                <w:sz w:val="24"/>
              </w:rPr>
              <w:t>Graduate member, Australian</w:t>
            </w:r>
            <w:r>
              <w:rPr>
                <w:rFonts w:ascii="Calibri"/>
                <w:spacing w:val="-14"/>
                <w:sz w:val="24"/>
              </w:rPr>
              <w:t xml:space="preserve"> </w:t>
            </w:r>
            <w:r>
              <w:rPr>
                <w:rFonts w:ascii="Calibri"/>
                <w:sz w:val="24"/>
              </w:rPr>
              <w:t>Institute</w:t>
            </w:r>
            <w:r>
              <w:rPr>
                <w:rFonts w:ascii="Calibri"/>
                <w:spacing w:val="-14"/>
                <w:sz w:val="24"/>
              </w:rPr>
              <w:t xml:space="preserve"> </w:t>
            </w:r>
            <w:r>
              <w:rPr>
                <w:rFonts w:ascii="Calibri"/>
                <w:sz w:val="24"/>
              </w:rPr>
              <w:t>of Company Directors</w:t>
            </w:r>
          </w:p>
          <w:p w14:paraId="1E8055C9" w14:textId="77777777" w:rsidR="00AA4A02" w:rsidRDefault="00AA4A02">
            <w:pPr>
              <w:pStyle w:val="TableParagraph"/>
              <w:spacing w:before="120"/>
              <w:ind w:left="0"/>
              <w:rPr>
                <w:rFonts w:ascii="Calibri"/>
                <w:sz w:val="24"/>
              </w:rPr>
            </w:pPr>
          </w:p>
          <w:p w14:paraId="1E8055CA" w14:textId="77777777" w:rsidR="00AA4A02" w:rsidRDefault="00960F31">
            <w:pPr>
              <w:pStyle w:val="TableParagraph"/>
              <w:ind w:right="352"/>
              <w:rPr>
                <w:rFonts w:ascii="Calibri"/>
                <w:sz w:val="24"/>
              </w:rPr>
            </w:pPr>
            <w:r>
              <w:rPr>
                <w:rFonts w:ascii="Calibri"/>
                <w:sz w:val="24"/>
              </w:rPr>
              <w:t>Chartered</w:t>
            </w:r>
            <w:r>
              <w:rPr>
                <w:rFonts w:ascii="Calibri"/>
                <w:spacing w:val="-14"/>
                <w:sz w:val="24"/>
              </w:rPr>
              <w:t xml:space="preserve"> </w:t>
            </w:r>
            <w:r>
              <w:rPr>
                <w:rFonts w:ascii="Calibri"/>
                <w:sz w:val="24"/>
              </w:rPr>
              <w:t>Tax</w:t>
            </w:r>
            <w:r>
              <w:rPr>
                <w:rFonts w:ascii="Calibri"/>
                <w:spacing w:val="-14"/>
                <w:sz w:val="24"/>
              </w:rPr>
              <w:t xml:space="preserve"> </w:t>
            </w:r>
            <w:r>
              <w:rPr>
                <w:rFonts w:ascii="Calibri"/>
                <w:sz w:val="24"/>
              </w:rPr>
              <w:t>Advisor, The</w:t>
            </w:r>
            <w:r>
              <w:rPr>
                <w:rFonts w:ascii="Calibri"/>
                <w:spacing w:val="-2"/>
                <w:sz w:val="24"/>
              </w:rPr>
              <w:t xml:space="preserve"> </w:t>
            </w:r>
            <w:r>
              <w:rPr>
                <w:rFonts w:ascii="Calibri"/>
                <w:sz w:val="24"/>
              </w:rPr>
              <w:t>Tax</w:t>
            </w:r>
            <w:r>
              <w:rPr>
                <w:rFonts w:ascii="Calibri"/>
                <w:spacing w:val="-1"/>
                <w:sz w:val="24"/>
              </w:rPr>
              <w:t xml:space="preserve"> </w:t>
            </w:r>
            <w:r>
              <w:rPr>
                <w:rFonts w:ascii="Calibri"/>
                <w:sz w:val="24"/>
              </w:rPr>
              <w:t>Institute</w:t>
            </w:r>
            <w:r>
              <w:rPr>
                <w:rFonts w:ascii="Calibri"/>
                <w:spacing w:val="-1"/>
                <w:sz w:val="24"/>
              </w:rPr>
              <w:t xml:space="preserve"> </w:t>
            </w:r>
            <w:r>
              <w:rPr>
                <w:rFonts w:ascii="Calibri"/>
                <w:spacing w:val="-2"/>
                <w:sz w:val="24"/>
              </w:rPr>
              <w:t>(Life)</w:t>
            </w:r>
          </w:p>
          <w:p w14:paraId="1E8055CB" w14:textId="77777777" w:rsidR="00AA4A02" w:rsidRDefault="00AA4A02">
            <w:pPr>
              <w:pStyle w:val="TableParagraph"/>
              <w:spacing w:before="119"/>
              <w:ind w:left="0"/>
              <w:rPr>
                <w:rFonts w:ascii="Calibri"/>
                <w:sz w:val="24"/>
              </w:rPr>
            </w:pPr>
          </w:p>
          <w:p w14:paraId="1E8055CC" w14:textId="77777777" w:rsidR="00AA4A02" w:rsidRDefault="00960F31">
            <w:pPr>
              <w:pStyle w:val="TableParagraph"/>
              <w:rPr>
                <w:rFonts w:ascii="Calibri"/>
                <w:sz w:val="24"/>
              </w:rPr>
            </w:pPr>
            <w:r>
              <w:rPr>
                <w:rFonts w:ascii="Calibri"/>
                <w:sz w:val="24"/>
              </w:rPr>
              <w:t>Fellow,</w:t>
            </w:r>
            <w:r>
              <w:rPr>
                <w:rFonts w:ascii="Calibri"/>
                <w:spacing w:val="-3"/>
                <w:sz w:val="24"/>
              </w:rPr>
              <w:t xml:space="preserve"> </w:t>
            </w:r>
            <w:r>
              <w:rPr>
                <w:rFonts w:ascii="Calibri"/>
                <w:sz w:val="24"/>
              </w:rPr>
              <w:t>CPA</w:t>
            </w:r>
            <w:r>
              <w:rPr>
                <w:rFonts w:ascii="Calibri"/>
                <w:spacing w:val="1"/>
                <w:sz w:val="24"/>
              </w:rPr>
              <w:t xml:space="preserve"> </w:t>
            </w:r>
            <w:r>
              <w:rPr>
                <w:rFonts w:ascii="Calibri"/>
                <w:spacing w:val="-2"/>
                <w:sz w:val="24"/>
              </w:rPr>
              <w:t>Australia</w:t>
            </w:r>
          </w:p>
          <w:p w14:paraId="1E8055CD" w14:textId="77777777" w:rsidR="00AA4A02" w:rsidRDefault="00AA4A02">
            <w:pPr>
              <w:pStyle w:val="TableParagraph"/>
              <w:spacing w:before="120"/>
              <w:ind w:left="0"/>
              <w:rPr>
                <w:rFonts w:ascii="Calibri"/>
                <w:sz w:val="24"/>
              </w:rPr>
            </w:pPr>
          </w:p>
          <w:p w14:paraId="1E8055CE" w14:textId="77777777" w:rsidR="00AA4A02" w:rsidRDefault="00960F31">
            <w:pPr>
              <w:pStyle w:val="TableParagraph"/>
              <w:rPr>
                <w:rFonts w:ascii="Calibri"/>
                <w:sz w:val="24"/>
              </w:rPr>
            </w:pPr>
            <w:r>
              <w:rPr>
                <w:rFonts w:ascii="Calibri"/>
                <w:sz w:val="24"/>
              </w:rPr>
              <w:t>Fellow,</w:t>
            </w:r>
            <w:r>
              <w:rPr>
                <w:rFonts w:ascii="Calibri"/>
                <w:spacing w:val="-14"/>
                <w:sz w:val="24"/>
              </w:rPr>
              <w:t xml:space="preserve"> </w:t>
            </w:r>
            <w:r>
              <w:rPr>
                <w:rFonts w:ascii="Calibri"/>
                <w:sz w:val="24"/>
              </w:rPr>
              <w:t>Australian</w:t>
            </w:r>
            <w:r>
              <w:rPr>
                <w:rFonts w:ascii="Calibri"/>
                <w:spacing w:val="-14"/>
                <w:sz w:val="24"/>
              </w:rPr>
              <w:t xml:space="preserve"> </w:t>
            </w:r>
            <w:r>
              <w:rPr>
                <w:rFonts w:ascii="Calibri"/>
                <w:sz w:val="24"/>
              </w:rPr>
              <w:t>Institute of Governance</w:t>
            </w:r>
          </w:p>
        </w:tc>
        <w:tc>
          <w:tcPr>
            <w:tcW w:w="2836" w:type="dxa"/>
          </w:tcPr>
          <w:p w14:paraId="1E8055CF" w14:textId="77777777" w:rsidR="00AA4A02" w:rsidRDefault="00960F31">
            <w:pPr>
              <w:pStyle w:val="TableParagraph"/>
              <w:spacing w:before="1"/>
              <w:ind w:left="108" w:right="161"/>
              <w:rPr>
                <w:rFonts w:ascii="Calibri"/>
                <w:sz w:val="24"/>
              </w:rPr>
            </w:pPr>
            <w:r>
              <w:rPr>
                <w:rFonts w:ascii="Calibri"/>
                <w:sz w:val="24"/>
              </w:rPr>
              <w:t>Principal</w:t>
            </w:r>
            <w:r>
              <w:rPr>
                <w:rFonts w:ascii="Calibri"/>
                <w:spacing w:val="-14"/>
                <w:sz w:val="24"/>
              </w:rPr>
              <w:t xml:space="preserve"> </w:t>
            </w:r>
            <w:r>
              <w:rPr>
                <w:rFonts w:ascii="Calibri"/>
                <w:sz w:val="24"/>
              </w:rPr>
              <w:t>Fellow/Associate Professor, University of Melbourne Law School</w:t>
            </w:r>
          </w:p>
          <w:p w14:paraId="1E8055D0" w14:textId="77777777" w:rsidR="00AA4A02" w:rsidRDefault="00AA4A02">
            <w:pPr>
              <w:pStyle w:val="TableParagraph"/>
              <w:spacing w:before="120"/>
              <w:ind w:left="0"/>
              <w:rPr>
                <w:rFonts w:ascii="Calibri"/>
                <w:sz w:val="24"/>
              </w:rPr>
            </w:pPr>
          </w:p>
          <w:p w14:paraId="1E8055D1" w14:textId="77777777" w:rsidR="00AA4A02" w:rsidRDefault="00960F31">
            <w:pPr>
              <w:pStyle w:val="TableParagraph"/>
              <w:ind w:left="108" w:right="161"/>
              <w:rPr>
                <w:rFonts w:ascii="Calibri"/>
                <w:sz w:val="24"/>
              </w:rPr>
            </w:pPr>
            <w:r>
              <w:rPr>
                <w:rFonts w:ascii="Calibri"/>
                <w:sz w:val="24"/>
              </w:rPr>
              <w:t>Chair,</w:t>
            </w:r>
            <w:r>
              <w:rPr>
                <w:rFonts w:ascii="Calibri"/>
                <w:spacing w:val="-14"/>
                <w:sz w:val="24"/>
              </w:rPr>
              <w:t xml:space="preserve"> </w:t>
            </w:r>
            <w:r>
              <w:rPr>
                <w:rFonts w:ascii="Calibri"/>
                <w:sz w:val="24"/>
              </w:rPr>
              <w:t>NSW</w:t>
            </w:r>
            <w:r>
              <w:rPr>
                <w:rFonts w:ascii="Calibri"/>
                <w:spacing w:val="-14"/>
                <w:sz w:val="24"/>
              </w:rPr>
              <w:t xml:space="preserve"> </w:t>
            </w:r>
            <w:r>
              <w:rPr>
                <w:rFonts w:ascii="Calibri"/>
                <w:sz w:val="24"/>
              </w:rPr>
              <w:t>Independent Planning Commission</w:t>
            </w:r>
          </w:p>
          <w:p w14:paraId="1E8055D2" w14:textId="77777777" w:rsidR="00AA4A02" w:rsidRDefault="00AA4A02">
            <w:pPr>
              <w:pStyle w:val="TableParagraph"/>
              <w:spacing w:before="119"/>
              <w:ind w:left="0"/>
              <w:rPr>
                <w:rFonts w:ascii="Calibri"/>
                <w:sz w:val="24"/>
              </w:rPr>
            </w:pPr>
          </w:p>
          <w:p w14:paraId="1E8055D3" w14:textId="77777777" w:rsidR="00AA4A02" w:rsidRDefault="00960F31">
            <w:pPr>
              <w:pStyle w:val="TableParagraph"/>
              <w:ind w:left="108" w:right="161"/>
              <w:rPr>
                <w:rFonts w:ascii="Calibri"/>
                <w:sz w:val="24"/>
              </w:rPr>
            </w:pPr>
            <w:r>
              <w:rPr>
                <w:rFonts w:ascii="Calibri"/>
                <w:sz w:val="24"/>
              </w:rPr>
              <w:t>Member,</w:t>
            </w:r>
            <w:r>
              <w:rPr>
                <w:rFonts w:ascii="Calibri"/>
                <w:spacing w:val="-12"/>
                <w:sz w:val="24"/>
              </w:rPr>
              <w:t xml:space="preserve"> </w:t>
            </w:r>
            <w:r>
              <w:rPr>
                <w:rFonts w:ascii="Calibri"/>
                <w:sz w:val="24"/>
              </w:rPr>
              <w:t>The</w:t>
            </w:r>
            <w:r>
              <w:rPr>
                <w:rFonts w:ascii="Calibri"/>
                <w:spacing w:val="-12"/>
                <w:sz w:val="24"/>
              </w:rPr>
              <w:t xml:space="preserve"> </w:t>
            </w:r>
            <w:r>
              <w:rPr>
                <w:rFonts w:ascii="Calibri"/>
                <w:sz w:val="24"/>
              </w:rPr>
              <w:t>Board</w:t>
            </w:r>
            <w:r>
              <w:rPr>
                <w:rFonts w:ascii="Calibri"/>
                <w:spacing w:val="-14"/>
                <w:sz w:val="24"/>
              </w:rPr>
              <w:t xml:space="preserve"> </w:t>
            </w:r>
            <w:r>
              <w:rPr>
                <w:rFonts w:ascii="Calibri"/>
                <w:sz w:val="24"/>
              </w:rPr>
              <w:t xml:space="preserve">of </w:t>
            </w:r>
            <w:r>
              <w:rPr>
                <w:rFonts w:ascii="Calibri"/>
                <w:spacing w:val="-2"/>
                <w:sz w:val="24"/>
              </w:rPr>
              <w:t>Taxation</w:t>
            </w:r>
          </w:p>
          <w:p w14:paraId="1E8055D4" w14:textId="77777777" w:rsidR="00AA4A02" w:rsidRDefault="00AA4A02">
            <w:pPr>
              <w:pStyle w:val="TableParagraph"/>
              <w:spacing w:before="120"/>
              <w:ind w:left="0"/>
              <w:rPr>
                <w:rFonts w:ascii="Calibri"/>
                <w:sz w:val="24"/>
              </w:rPr>
            </w:pPr>
          </w:p>
          <w:p w14:paraId="1E8055D5" w14:textId="77777777" w:rsidR="00AA4A02" w:rsidRDefault="00960F31">
            <w:pPr>
              <w:pStyle w:val="TableParagraph"/>
              <w:ind w:left="108" w:right="161"/>
              <w:rPr>
                <w:rFonts w:ascii="Calibri"/>
                <w:sz w:val="24"/>
              </w:rPr>
            </w:pPr>
            <w:r>
              <w:rPr>
                <w:rFonts w:ascii="Calibri"/>
                <w:sz w:val="24"/>
              </w:rPr>
              <w:t>Member, External Reporting</w:t>
            </w:r>
            <w:r>
              <w:rPr>
                <w:rFonts w:ascii="Calibri"/>
                <w:spacing w:val="-14"/>
                <w:sz w:val="24"/>
              </w:rPr>
              <w:t xml:space="preserve"> </w:t>
            </w:r>
            <w:r>
              <w:rPr>
                <w:rFonts w:ascii="Calibri"/>
                <w:sz w:val="24"/>
              </w:rPr>
              <w:t>Board</w:t>
            </w:r>
            <w:r>
              <w:rPr>
                <w:rFonts w:ascii="Calibri"/>
                <w:spacing w:val="-14"/>
                <w:sz w:val="24"/>
              </w:rPr>
              <w:t xml:space="preserve"> </w:t>
            </w:r>
            <w:r>
              <w:rPr>
                <w:rFonts w:ascii="Calibri"/>
                <w:sz w:val="24"/>
              </w:rPr>
              <w:t>(NZ)</w:t>
            </w:r>
          </w:p>
          <w:p w14:paraId="1E8055D6" w14:textId="77777777" w:rsidR="00AA4A02" w:rsidRDefault="00AA4A02">
            <w:pPr>
              <w:pStyle w:val="TableParagraph"/>
              <w:spacing w:before="119"/>
              <w:ind w:left="0"/>
              <w:rPr>
                <w:rFonts w:ascii="Calibri"/>
                <w:sz w:val="24"/>
              </w:rPr>
            </w:pPr>
          </w:p>
          <w:p w14:paraId="1E8055D7" w14:textId="77777777" w:rsidR="00AA4A02" w:rsidRDefault="00960F31">
            <w:pPr>
              <w:pStyle w:val="TableParagraph"/>
              <w:ind w:left="108"/>
              <w:rPr>
                <w:rFonts w:ascii="Calibri"/>
                <w:sz w:val="24"/>
              </w:rPr>
            </w:pPr>
            <w:r>
              <w:rPr>
                <w:rFonts w:ascii="Calibri"/>
                <w:sz w:val="24"/>
              </w:rPr>
              <w:t>Member,</w:t>
            </w:r>
            <w:r>
              <w:rPr>
                <w:rFonts w:ascii="Calibri"/>
                <w:spacing w:val="-13"/>
                <w:sz w:val="24"/>
              </w:rPr>
              <w:t xml:space="preserve"> </w:t>
            </w:r>
            <w:r>
              <w:rPr>
                <w:rFonts w:ascii="Calibri"/>
                <w:sz w:val="24"/>
              </w:rPr>
              <w:t>Tax</w:t>
            </w:r>
            <w:r>
              <w:rPr>
                <w:rFonts w:ascii="Calibri"/>
                <w:spacing w:val="-14"/>
                <w:sz w:val="24"/>
              </w:rPr>
              <w:t xml:space="preserve"> </w:t>
            </w:r>
            <w:r>
              <w:rPr>
                <w:rFonts w:ascii="Calibri"/>
                <w:sz w:val="24"/>
              </w:rPr>
              <w:t>and</w:t>
            </w:r>
            <w:r>
              <w:rPr>
                <w:rFonts w:ascii="Calibri"/>
                <w:spacing w:val="-10"/>
                <w:sz w:val="24"/>
              </w:rPr>
              <w:t xml:space="preserve"> </w:t>
            </w:r>
            <w:r>
              <w:rPr>
                <w:rFonts w:ascii="Calibri"/>
                <w:sz w:val="24"/>
              </w:rPr>
              <w:t xml:space="preserve">Transfer Policy Institute Advisory </w:t>
            </w:r>
            <w:r>
              <w:rPr>
                <w:rFonts w:ascii="Calibri"/>
                <w:spacing w:val="-2"/>
                <w:sz w:val="24"/>
              </w:rPr>
              <w:t>Board</w:t>
            </w:r>
          </w:p>
          <w:p w14:paraId="1E8055D8" w14:textId="77777777" w:rsidR="00AA4A02" w:rsidRDefault="00AA4A02">
            <w:pPr>
              <w:pStyle w:val="TableParagraph"/>
              <w:spacing w:before="122"/>
              <w:ind w:left="0"/>
              <w:rPr>
                <w:rFonts w:ascii="Calibri"/>
                <w:sz w:val="24"/>
              </w:rPr>
            </w:pPr>
          </w:p>
          <w:p w14:paraId="1E8055D9" w14:textId="77777777" w:rsidR="00AA4A02" w:rsidRDefault="00960F31">
            <w:pPr>
              <w:pStyle w:val="TableParagraph"/>
              <w:ind w:left="108"/>
              <w:rPr>
                <w:rFonts w:ascii="Calibri"/>
                <w:sz w:val="24"/>
              </w:rPr>
            </w:pPr>
            <w:r>
              <w:rPr>
                <w:rFonts w:ascii="Calibri"/>
                <w:sz w:val="24"/>
              </w:rPr>
              <w:t>Member, Melbourne Law School</w:t>
            </w:r>
            <w:r>
              <w:rPr>
                <w:rFonts w:ascii="Calibri"/>
                <w:spacing w:val="-13"/>
                <w:sz w:val="24"/>
              </w:rPr>
              <w:t xml:space="preserve"> </w:t>
            </w:r>
            <w:r>
              <w:rPr>
                <w:rFonts w:ascii="Calibri"/>
                <w:sz w:val="24"/>
              </w:rPr>
              <w:t>Tax</w:t>
            </w:r>
            <w:r>
              <w:rPr>
                <w:rFonts w:ascii="Calibri"/>
                <w:spacing w:val="-13"/>
                <w:sz w:val="24"/>
              </w:rPr>
              <w:t xml:space="preserve"> </w:t>
            </w:r>
            <w:r>
              <w:rPr>
                <w:rFonts w:ascii="Calibri"/>
                <w:sz w:val="24"/>
              </w:rPr>
              <w:t>Advisory</w:t>
            </w:r>
            <w:r>
              <w:rPr>
                <w:rFonts w:ascii="Calibri"/>
                <w:spacing w:val="-13"/>
                <w:sz w:val="24"/>
              </w:rPr>
              <w:t xml:space="preserve"> </w:t>
            </w:r>
            <w:r>
              <w:rPr>
                <w:rFonts w:ascii="Calibri"/>
                <w:sz w:val="24"/>
              </w:rPr>
              <w:t>Board</w:t>
            </w:r>
          </w:p>
          <w:p w14:paraId="1E8055DA" w14:textId="77777777" w:rsidR="00AA4A02" w:rsidRDefault="00AA4A02">
            <w:pPr>
              <w:pStyle w:val="TableParagraph"/>
              <w:spacing w:before="119"/>
              <w:ind w:left="0"/>
              <w:rPr>
                <w:rFonts w:ascii="Calibri"/>
                <w:sz w:val="24"/>
              </w:rPr>
            </w:pPr>
          </w:p>
          <w:p w14:paraId="1E8055DB" w14:textId="77777777" w:rsidR="00AA4A02" w:rsidRDefault="00960F31">
            <w:pPr>
              <w:pStyle w:val="TableParagraph"/>
              <w:ind w:left="108"/>
              <w:rPr>
                <w:rFonts w:ascii="Calibri"/>
                <w:sz w:val="24"/>
              </w:rPr>
            </w:pPr>
            <w:r>
              <w:rPr>
                <w:rFonts w:ascii="Calibri"/>
                <w:sz w:val="24"/>
              </w:rPr>
              <w:t>Executive Committee Member, International Fiscal</w:t>
            </w:r>
            <w:r>
              <w:rPr>
                <w:rFonts w:ascii="Calibri"/>
                <w:spacing w:val="-14"/>
                <w:sz w:val="24"/>
              </w:rPr>
              <w:t xml:space="preserve"> </w:t>
            </w:r>
            <w:r>
              <w:rPr>
                <w:rFonts w:ascii="Calibri"/>
                <w:sz w:val="24"/>
              </w:rPr>
              <w:t>Association</w:t>
            </w:r>
            <w:r>
              <w:rPr>
                <w:rFonts w:ascii="Calibri"/>
                <w:spacing w:val="-14"/>
                <w:sz w:val="24"/>
              </w:rPr>
              <w:t xml:space="preserve"> </w:t>
            </w:r>
            <w:r>
              <w:rPr>
                <w:rFonts w:ascii="Calibri"/>
                <w:sz w:val="24"/>
              </w:rPr>
              <w:t xml:space="preserve">Australia </w:t>
            </w:r>
            <w:r>
              <w:rPr>
                <w:rFonts w:ascii="Calibri"/>
                <w:spacing w:val="-2"/>
                <w:sz w:val="24"/>
              </w:rPr>
              <w:t>Branch</w:t>
            </w:r>
          </w:p>
        </w:tc>
        <w:tc>
          <w:tcPr>
            <w:tcW w:w="2834" w:type="dxa"/>
          </w:tcPr>
          <w:p w14:paraId="1E8055DC" w14:textId="77777777" w:rsidR="00AA4A02" w:rsidRDefault="00960F31">
            <w:pPr>
              <w:pStyle w:val="TableParagraph"/>
              <w:spacing w:before="1"/>
              <w:ind w:left="109" w:right="110"/>
              <w:rPr>
                <w:rFonts w:ascii="Calibri"/>
                <w:sz w:val="24"/>
              </w:rPr>
            </w:pPr>
            <w:r>
              <w:rPr>
                <w:rFonts w:ascii="Calibri"/>
                <w:sz w:val="24"/>
              </w:rPr>
              <w:t>Director and Secretary, Ajay</w:t>
            </w:r>
            <w:r>
              <w:rPr>
                <w:rFonts w:ascii="Calibri"/>
                <w:spacing w:val="-12"/>
                <w:sz w:val="24"/>
              </w:rPr>
              <w:t xml:space="preserve"> </w:t>
            </w:r>
            <w:r>
              <w:rPr>
                <w:rFonts w:ascii="Calibri"/>
                <w:sz w:val="24"/>
              </w:rPr>
              <w:t>Investments</w:t>
            </w:r>
            <w:r>
              <w:rPr>
                <w:rFonts w:ascii="Calibri"/>
                <w:spacing w:val="-14"/>
                <w:sz w:val="24"/>
              </w:rPr>
              <w:t xml:space="preserve"> </w:t>
            </w:r>
            <w:r>
              <w:rPr>
                <w:rFonts w:ascii="Calibri"/>
                <w:sz w:val="24"/>
              </w:rPr>
              <w:t>Pty</w:t>
            </w:r>
            <w:r>
              <w:rPr>
                <w:rFonts w:ascii="Calibri"/>
                <w:spacing w:val="-12"/>
                <w:sz w:val="24"/>
              </w:rPr>
              <w:t xml:space="preserve"> </w:t>
            </w:r>
            <w:r>
              <w:rPr>
                <w:rFonts w:ascii="Calibri"/>
                <w:sz w:val="24"/>
              </w:rPr>
              <w:t>Ltd</w:t>
            </w:r>
          </w:p>
          <w:p w14:paraId="1E8055DD" w14:textId="77777777" w:rsidR="00AA4A02" w:rsidRDefault="00AA4A02">
            <w:pPr>
              <w:pStyle w:val="TableParagraph"/>
              <w:spacing w:before="120"/>
              <w:ind w:left="0"/>
              <w:rPr>
                <w:rFonts w:ascii="Calibri"/>
                <w:sz w:val="24"/>
              </w:rPr>
            </w:pPr>
          </w:p>
          <w:p w14:paraId="1E8055DE" w14:textId="77777777" w:rsidR="00AA4A02" w:rsidRDefault="00960F31">
            <w:pPr>
              <w:pStyle w:val="TableParagraph"/>
              <w:ind w:left="109" w:right="604"/>
              <w:rPr>
                <w:rFonts w:ascii="Calibri"/>
                <w:sz w:val="24"/>
              </w:rPr>
            </w:pPr>
            <w:r>
              <w:rPr>
                <w:rFonts w:ascii="Calibri"/>
                <w:sz w:val="24"/>
              </w:rPr>
              <w:t>Member of Ajay Superannuation</w:t>
            </w:r>
            <w:r>
              <w:rPr>
                <w:rFonts w:ascii="Calibri"/>
                <w:spacing w:val="-14"/>
                <w:sz w:val="24"/>
              </w:rPr>
              <w:t xml:space="preserve"> </w:t>
            </w:r>
            <w:r>
              <w:rPr>
                <w:rFonts w:ascii="Calibri"/>
                <w:sz w:val="24"/>
              </w:rPr>
              <w:t xml:space="preserve">Fund (SMSF) that holds interests in listed securities and PE </w:t>
            </w:r>
            <w:r>
              <w:rPr>
                <w:rFonts w:ascii="Calibri"/>
                <w:spacing w:val="-2"/>
                <w:sz w:val="24"/>
              </w:rPr>
              <w:t>partnerships</w:t>
            </w:r>
          </w:p>
          <w:p w14:paraId="1E8055DF" w14:textId="77777777" w:rsidR="00AA4A02" w:rsidRDefault="00AA4A02">
            <w:pPr>
              <w:pStyle w:val="TableParagraph"/>
              <w:spacing w:before="119"/>
              <w:ind w:left="0"/>
              <w:rPr>
                <w:rFonts w:ascii="Calibri"/>
                <w:sz w:val="24"/>
              </w:rPr>
            </w:pPr>
          </w:p>
          <w:p w14:paraId="1E8055E0" w14:textId="77777777" w:rsidR="00AA4A02" w:rsidRDefault="00960F31">
            <w:pPr>
              <w:pStyle w:val="TableParagraph"/>
              <w:ind w:left="109"/>
              <w:rPr>
                <w:rFonts w:ascii="Calibri"/>
                <w:sz w:val="24"/>
              </w:rPr>
            </w:pPr>
            <w:r>
              <w:rPr>
                <w:rFonts w:ascii="Calibri"/>
                <w:sz w:val="24"/>
              </w:rPr>
              <w:t>Son</w:t>
            </w:r>
            <w:r>
              <w:rPr>
                <w:rFonts w:ascii="Calibri"/>
                <w:spacing w:val="-1"/>
                <w:sz w:val="24"/>
              </w:rPr>
              <w:t xml:space="preserve"> </w:t>
            </w:r>
            <w:r>
              <w:rPr>
                <w:rFonts w:ascii="Calibri"/>
                <w:sz w:val="24"/>
              </w:rPr>
              <w:t>is</w:t>
            </w:r>
            <w:r>
              <w:rPr>
                <w:rFonts w:ascii="Calibri"/>
                <w:spacing w:val="-3"/>
                <w:sz w:val="24"/>
              </w:rPr>
              <w:t xml:space="preserve"> </w:t>
            </w:r>
            <w:r>
              <w:rPr>
                <w:rFonts w:ascii="Calibri"/>
                <w:sz w:val="24"/>
              </w:rPr>
              <w:t>Director,</w:t>
            </w:r>
            <w:r>
              <w:rPr>
                <w:rFonts w:ascii="Calibri"/>
                <w:spacing w:val="-2"/>
                <w:sz w:val="24"/>
              </w:rPr>
              <w:t xml:space="preserve"> </w:t>
            </w:r>
            <w:r>
              <w:rPr>
                <w:rFonts w:ascii="Calibri"/>
                <w:spacing w:val="-5"/>
                <w:sz w:val="24"/>
              </w:rPr>
              <w:t>EY</w:t>
            </w:r>
          </w:p>
          <w:p w14:paraId="1E8055E1" w14:textId="77777777" w:rsidR="00AA4A02" w:rsidRDefault="00AA4A02">
            <w:pPr>
              <w:pStyle w:val="TableParagraph"/>
              <w:spacing w:before="119"/>
              <w:ind w:left="0"/>
              <w:rPr>
                <w:rFonts w:ascii="Calibri"/>
                <w:sz w:val="24"/>
              </w:rPr>
            </w:pPr>
          </w:p>
          <w:p w14:paraId="1E8055E2" w14:textId="77777777" w:rsidR="00AA4A02" w:rsidRDefault="00960F31">
            <w:pPr>
              <w:pStyle w:val="TableParagraph"/>
              <w:ind w:left="109" w:right="798"/>
              <w:rPr>
                <w:rFonts w:ascii="Calibri"/>
                <w:sz w:val="24"/>
              </w:rPr>
            </w:pPr>
            <w:r>
              <w:rPr>
                <w:rFonts w:ascii="Calibri"/>
                <w:sz w:val="24"/>
              </w:rPr>
              <w:t>QANTAS</w:t>
            </w:r>
            <w:r>
              <w:rPr>
                <w:rFonts w:ascii="Calibri"/>
                <w:spacing w:val="-14"/>
                <w:sz w:val="24"/>
              </w:rPr>
              <w:t xml:space="preserve"> </w:t>
            </w:r>
            <w:r>
              <w:rPr>
                <w:rFonts w:ascii="Calibri"/>
                <w:sz w:val="24"/>
              </w:rPr>
              <w:t xml:space="preserve">Chairmans </w:t>
            </w:r>
            <w:r>
              <w:rPr>
                <w:rFonts w:ascii="Calibri"/>
                <w:spacing w:val="-2"/>
                <w:sz w:val="24"/>
              </w:rPr>
              <w:t>Lounge</w:t>
            </w:r>
          </w:p>
        </w:tc>
      </w:tr>
      <w:tr w:rsidR="00AA4A02" w14:paraId="1E8055F6" w14:textId="77777777">
        <w:trPr>
          <w:trHeight w:val="3928"/>
        </w:trPr>
        <w:tc>
          <w:tcPr>
            <w:tcW w:w="1980" w:type="dxa"/>
          </w:tcPr>
          <w:p w14:paraId="1E8055E4" w14:textId="77777777" w:rsidR="00AA4A02" w:rsidRDefault="00960F31">
            <w:pPr>
              <w:pStyle w:val="TableParagraph"/>
              <w:spacing w:line="292" w:lineRule="exact"/>
              <w:rPr>
                <w:rFonts w:ascii="Calibri"/>
                <w:sz w:val="24"/>
              </w:rPr>
            </w:pPr>
            <w:r>
              <w:rPr>
                <w:rFonts w:ascii="Calibri"/>
                <w:sz w:val="24"/>
              </w:rPr>
              <w:t>Dr Keith</w:t>
            </w:r>
            <w:r>
              <w:rPr>
                <w:rFonts w:ascii="Calibri"/>
                <w:spacing w:val="-1"/>
                <w:sz w:val="24"/>
              </w:rPr>
              <w:t xml:space="preserve"> </w:t>
            </w:r>
            <w:r>
              <w:rPr>
                <w:rFonts w:ascii="Calibri"/>
                <w:spacing w:val="-2"/>
                <w:sz w:val="24"/>
              </w:rPr>
              <w:t>Kendall</w:t>
            </w:r>
          </w:p>
        </w:tc>
        <w:tc>
          <w:tcPr>
            <w:tcW w:w="2834" w:type="dxa"/>
          </w:tcPr>
          <w:p w14:paraId="1E8055E5" w14:textId="77777777" w:rsidR="00AA4A02" w:rsidRDefault="00960F31">
            <w:pPr>
              <w:pStyle w:val="TableParagraph"/>
              <w:ind w:right="110"/>
              <w:rPr>
                <w:rFonts w:ascii="Calibri"/>
                <w:sz w:val="24"/>
              </w:rPr>
            </w:pPr>
            <w:r>
              <w:rPr>
                <w:rFonts w:ascii="Calibri"/>
                <w:sz w:val="24"/>
              </w:rPr>
              <w:t>Member,</w:t>
            </w:r>
            <w:r>
              <w:rPr>
                <w:rFonts w:ascii="Calibri"/>
                <w:spacing w:val="-14"/>
                <w:sz w:val="24"/>
              </w:rPr>
              <w:t xml:space="preserve"> </w:t>
            </w:r>
            <w:r>
              <w:rPr>
                <w:rFonts w:ascii="Calibri"/>
                <w:sz w:val="24"/>
              </w:rPr>
              <w:t>New</w:t>
            </w:r>
            <w:r>
              <w:rPr>
                <w:rFonts w:ascii="Calibri"/>
                <w:spacing w:val="-14"/>
                <w:sz w:val="24"/>
              </w:rPr>
              <w:t xml:space="preserve"> </w:t>
            </w:r>
            <w:r>
              <w:rPr>
                <w:rFonts w:ascii="Calibri"/>
                <w:sz w:val="24"/>
              </w:rPr>
              <w:t xml:space="preserve">Zealand Accounting Standards </w:t>
            </w:r>
            <w:r>
              <w:rPr>
                <w:rFonts w:ascii="Calibri"/>
                <w:spacing w:val="-2"/>
                <w:sz w:val="24"/>
              </w:rPr>
              <w:t>Board</w:t>
            </w:r>
          </w:p>
          <w:p w14:paraId="1E8055E6" w14:textId="77777777" w:rsidR="00AA4A02" w:rsidRDefault="00AA4A02">
            <w:pPr>
              <w:pStyle w:val="TableParagraph"/>
              <w:spacing w:before="121"/>
              <w:ind w:left="0"/>
              <w:rPr>
                <w:rFonts w:ascii="Calibri"/>
                <w:sz w:val="24"/>
              </w:rPr>
            </w:pPr>
          </w:p>
          <w:p w14:paraId="1E8055E7" w14:textId="77777777" w:rsidR="00AA4A02" w:rsidRDefault="00960F31">
            <w:pPr>
              <w:pStyle w:val="TableParagraph"/>
              <w:ind w:right="352"/>
              <w:rPr>
                <w:rFonts w:ascii="Calibri"/>
                <w:sz w:val="24"/>
              </w:rPr>
            </w:pPr>
            <w:r>
              <w:rPr>
                <w:rFonts w:ascii="Calibri"/>
                <w:sz w:val="24"/>
              </w:rPr>
              <w:t>Chartered</w:t>
            </w:r>
            <w:r>
              <w:rPr>
                <w:rFonts w:ascii="Calibri"/>
                <w:spacing w:val="-14"/>
                <w:sz w:val="24"/>
              </w:rPr>
              <w:t xml:space="preserve"> </w:t>
            </w:r>
            <w:r>
              <w:rPr>
                <w:rFonts w:ascii="Calibri"/>
                <w:sz w:val="24"/>
              </w:rPr>
              <w:t>Tax</w:t>
            </w:r>
            <w:r>
              <w:rPr>
                <w:rFonts w:ascii="Calibri"/>
                <w:spacing w:val="-14"/>
                <w:sz w:val="24"/>
              </w:rPr>
              <w:t xml:space="preserve"> </w:t>
            </w:r>
            <w:r>
              <w:rPr>
                <w:rFonts w:ascii="Calibri"/>
                <w:sz w:val="24"/>
              </w:rPr>
              <w:t>Advisor, The Tax Institute</w:t>
            </w:r>
          </w:p>
          <w:p w14:paraId="1E8055E8" w14:textId="77777777" w:rsidR="00AA4A02" w:rsidRDefault="00AA4A02">
            <w:pPr>
              <w:pStyle w:val="TableParagraph"/>
              <w:spacing w:before="119"/>
              <w:ind w:left="0"/>
              <w:rPr>
                <w:rFonts w:ascii="Calibri"/>
                <w:sz w:val="24"/>
              </w:rPr>
            </w:pPr>
          </w:p>
          <w:p w14:paraId="1E8055E9" w14:textId="77777777" w:rsidR="00AA4A02" w:rsidRDefault="00960F31">
            <w:pPr>
              <w:pStyle w:val="TableParagraph"/>
              <w:spacing w:line="578" w:lineRule="auto"/>
              <w:ind w:right="352"/>
              <w:rPr>
                <w:rFonts w:ascii="Calibri"/>
                <w:sz w:val="24"/>
              </w:rPr>
            </w:pPr>
            <w:r>
              <w:rPr>
                <w:rFonts w:ascii="Calibri"/>
                <w:sz w:val="24"/>
              </w:rPr>
              <w:t>Member, CA ANZ Fellow,</w:t>
            </w:r>
            <w:r>
              <w:rPr>
                <w:rFonts w:ascii="Calibri"/>
                <w:spacing w:val="-14"/>
                <w:sz w:val="24"/>
              </w:rPr>
              <w:t xml:space="preserve"> </w:t>
            </w:r>
            <w:r>
              <w:rPr>
                <w:rFonts w:ascii="Calibri"/>
                <w:sz w:val="24"/>
              </w:rPr>
              <w:t>CPA</w:t>
            </w:r>
            <w:r>
              <w:rPr>
                <w:rFonts w:ascii="Calibri"/>
                <w:spacing w:val="-14"/>
                <w:sz w:val="24"/>
              </w:rPr>
              <w:t xml:space="preserve"> </w:t>
            </w:r>
            <w:r>
              <w:rPr>
                <w:rFonts w:ascii="Calibri"/>
                <w:sz w:val="24"/>
              </w:rPr>
              <w:t>Australia</w:t>
            </w:r>
          </w:p>
        </w:tc>
        <w:tc>
          <w:tcPr>
            <w:tcW w:w="2836" w:type="dxa"/>
          </w:tcPr>
          <w:p w14:paraId="1E8055EA" w14:textId="77777777" w:rsidR="00AA4A02" w:rsidRDefault="00960F31">
            <w:pPr>
              <w:pStyle w:val="TableParagraph"/>
              <w:ind w:left="108" w:right="161"/>
              <w:rPr>
                <w:rFonts w:ascii="Calibri"/>
                <w:sz w:val="24"/>
              </w:rPr>
            </w:pPr>
            <w:r>
              <w:rPr>
                <w:rFonts w:ascii="Calibri"/>
                <w:sz w:val="24"/>
              </w:rPr>
              <w:t>Chair</w:t>
            </w:r>
            <w:r>
              <w:rPr>
                <w:rFonts w:ascii="Calibri"/>
                <w:spacing w:val="-13"/>
                <w:sz w:val="24"/>
              </w:rPr>
              <w:t xml:space="preserve"> </w:t>
            </w:r>
            <w:r>
              <w:rPr>
                <w:rFonts w:ascii="Calibri"/>
                <w:sz w:val="24"/>
              </w:rPr>
              <w:t>and</w:t>
            </w:r>
            <w:r>
              <w:rPr>
                <w:rFonts w:ascii="Calibri"/>
                <w:spacing w:val="-13"/>
                <w:sz w:val="24"/>
              </w:rPr>
              <w:t xml:space="preserve"> </w:t>
            </w:r>
            <w:r>
              <w:rPr>
                <w:rFonts w:ascii="Calibri"/>
                <w:sz w:val="24"/>
              </w:rPr>
              <w:t>CEO,</w:t>
            </w:r>
            <w:r>
              <w:rPr>
                <w:rFonts w:ascii="Calibri"/>
                <w:spacing w:val="-13"/>
                <w:sz w:val="24"/>
              </w:rPr>
              <w:t xml:space="preserve"> </w:t>
            </w:r>
            <w:r>
              <w:rPr>
                <w:rFonts w:ascii="Calibri"/>
                <w:sz w:val="24"/>
              </w:rPr>
              <w:t xml:space="preserve">Australian Accounting Standards </w:t>
            </w:r>
            <w:r>
              <w:rPr>
                <w:rFonts w:ascii="Calibri"/>
                <w:spacing w:val="-2"/>
                <w:sz w:val="24"/>
              </w:rPr>
              <w:t>Board</w:t>
            </w:r>
          </w:p>
          <w:p w14:paraId="1E8055EB" w14:textId="77777777" w:rsidR="00AA4A02" w:rsidRDefault="00AA4A02">
            <w:pPr>
              <w:pStyle w:val="TableParagraph"/>
              <w:spacing w:before="121"/>
              <w:ind w:left="0"/>
              <w:rPr>
                <w:rFonts w:ascii="Calibri"/>
                <w:sz w:val="24"/>
              </w:rPr>
            </w:pPr>
          </w:p>
          <w:p w14:paraId="1E8055EC" w14:textId="77777777" w:rsidR="00AA4A02" w:rsidRDefault="00960F31">
            <w:pPr>
              <w:pStyle w:val="TableParagraph"/>
              <w:ind w:left="108" w:right="403"/>
              <w:rPr>
                <w:rFonts w:ascii="Calibri"/>
                <w:sz w:val="24"/>
              </w:rPr>
            </w:pPr>
            <w:r>
              <w:rPr>
                <w:rFonts w:ascii="Calibri"/>
                <w:sz w:val="24"/>
              </w:rPr>
              <w:t>Chair, Asian-Oceanian Standard-Setters</w:t>
            </w:r>
            <w:r>
              <w:rPr>
                <w:rFonts w:ascii="Calibri"/>
                <w:spacing w:val="-14"/>
                <w:sz w:val="24"/>
              </w:rPr>
              <w:t xml:space="preserve"> </w:t>
            </w:r>
            <w:r>
              <w:rPr>
                <w:rFonts w:ascii="Calibri"/>
                <w:sz w:val="24"/>
              </w:rPr>
              <w:t xml:space="preserve">Group </w:t>
            </w:r>
            <w:r>
              <w:rPr>
                <w:rFonts w:ascii="Calibri"/>
                <w:spacing w:val="-2"/>
                <w:sz w:val="24"/>
              </w:rPr>
              <w:t>(AOSSG)</w:t>
            </w:r>
          </w:p>
          <w:p w14:paraId="1E8055ED" w14:textId="77777777" w:rsidR="00AA4A02" w:rsidRDefault="00AA4A02">
            <w:pPr>
              <w:pStyle w:val="TableParagraph"/>
              <w:spacing w:before="119"/>
              <w:ind w:left="0"/>
              <w:rPr>
                <w:rFonts w:ascii="Calibri"/>
                <w:sz w:val="24"/>
              </w:rPr>
            </w:pPr>
          </w:p>
          <w:p w14:paraId="1E8055EE" w14:textId="77777777" w:rsidR="00AA4A02" w:rsidRDefault="00960F31">
            <w:pPr>
              <w:pStyle w:val="TableParagraph"/>
              <w:ind w:left="108" w:right="161"/>
              <w:rPr>
                <w:rFonts w:ascii="Calibri"/>
                <w:sz w:val="24"/>
              </w:rPr>
            </w:pPr>
            <w:r>
              <w:rPr>
                <w:rFonts w:ascii="Calibri"/>
                <w:sz w:val="24"/>
              </w:rPr>
              <w:t>Co-Chair, International Forum of Accounting Standard</w:t>
            </w:r>
            <w:r>
              <w:rPr>
                <w:rFonts w:ascii="Calibri"/>
                <w:spacing w:val="-14"/>
                <w:sz w:val="24"/>
              </w:rPr>
              <w:t xml:space="preserve"> </w:t>
            </w:r>
            <w:r>
              <w:rPr>
                <w:rFonts w:ascii="Calibri"/>
                <w:sz w:val="24"/>
              </w:rPr>
              <w:t>Setters</w:t>
            </w:r>
            <w:r>
              <w:rPr>
                <w:rFonts w:ascii="Calibri"/>
                <w:spacing w:val="-14"/>
                <w:sz w:val="24"/>
              </w:rPr>
              <w:t xml:space="preserve"> </w:t>
            </w:r>
            <w:r>
              <w:rPr>
                <w:rFonts w:ascii="Calibri"/>
                <w:sz w:val="24"/>
              </w:rPr>
              <w:t>(IFASS)</w:t>
            </w:r>
          </w:p>
        </w:tc>
        <w:tc>
          <w:tcPr>
            <w:tcW w:w="2834" w:type="dxa"/>
          </w:tcPr>
          <w:p w14:paraId="1E8055EF" w14:textId="77777777" w:rsidR="00AA4A02" w:rsidRDefault="00960F31">
            <w:pPr>
              <w:pStyle w:val="TableParagraph"/>
              <w:spacing w:line="242" w:lineRule="auto"/>
              <w:ind w:left="109" w:right="110"/>
              <w:rPr>
                <w:rFonts w:ascii="Calibri"/>
                <w:sz w:val="24"/>
              </w:rPr>
            </w:pPr>
            <w:r>
              <w:rPr>
                <w:rFonts w:ascii="Calibri"/>
                <w:spacing w:val="-2"/>
                <w:sz w:val="24"/>
              </w:rPr>
              <w:t>Director/shareholder/ beneficiary:</w:t>
            </w:r>
          </w:p>
          <w:p w14:paraId="1E8055F0" w14:textId="77777777" w:rsidR="00AA4A02" w:rsidRDefault="00960F31">
            <w:pPr>
              <w:pStyle w:val="TableParagraph"/>
              <w:numPr>
                <w:ilvl w:val="0"/>
                <w:numId w:val="61"/>
              </w:numPr>
              <w:tabs>
                <w:tab w:val="left" w:pos="828"/>
              </w:tabs>
              <w:spacing w:before="57"/>
              <w:ind w:left="828" w:hanging="359"/>
              <w:rPr>
                <w:rFonts w:ascii="Calibri" w:hAnsi="Calibri"/>
                <w:sz w:val="24"/>
              </w:rPr>
            </w:pPr>
            <w:r>
              <w:rPr>
                <w:rFonts w:ascii="Calibri" w:hAnsi="Calibri"/>
                <w:sz w:val="24"/>
              </w:rPr>
              <w:t>Cuffe</w:t>
            </w:r>
            <w:r>
              <w:rPr>
                <w:rFonts w:ascii="Calibri" w:hAnsi="Calibri"/>
                <w:spacing w:val="-1"/>
                <w:sz w:val="24"/>
              </w:rPr>
              <w:t xml:space="preserve"> </w:t>
            </w:r>
            <w:r>
              <w:rPr>
                <w:rFonts w:ascii="Calibri" w:hAnsi="Calibri"/>
                <w:sz w:val="24"/>
              </w:rPr>
              <w:t>Walk</w:t>
            </w:r>
            <w:r>
              <w:rPr>
                <w:rFonts w:ascii="Calibri" w:hAnsi="Calibri"/>
                <w:spacing w:val="-1"/>
                <w:sz w:val="24"/>
              </w:rPr>
              <w:t xml:space="preserve"> </w:t>
            </w:r>
            <w:r>
              <w:rPr>
                <w:rFonts w:ascii="Calibri" w:hAnsi="Calibri"/>
                <w:sz w:val="24"/>
              </w:rPr>
              <w:t>Pty</w:t>
            </w:r>
            <w:r>
              <w:rPr>
                <w:rFonts w:ascii="Calibri" w:hAnsi="Calibri"/>
                <w:spacing w:val="1"/>
                <w:sz w:val="24"/>
              </w:rPr>
              <w:t xml:space="preserve"> </w:t>
            </w:r>
            <w:r>
              <w:rPr>
                <w:rFonts w:ascii="Calibri" w:hAnsi="Calibri"/>
                <w:spacing w:val="-5"/>
                <w:sz w:val="24"/>
              </w:rPr>
              <w:t>Ltd</w:t>
            </w:r>
          </w:p>
          <w:p w14:paraId="1E8055F1" w14:textId="77777777" w:rsidR="00AA4A02" w:rsidRDefault="00960F31">
            <w:pPr>
              <w:pStyle w:val="TableParagraph"/>
              <w:numPr>
                <w:ilvl w:val="0"/>
                <w:numId w:val="61"/>
              </w:numPr>
              <w:tabs>
                <w:tab w:val="left" w:pos="829"/>
              </w:tabs>
              <w:spacing w:before="56"/>
              <w:ind w:right="120"/>
              <w:rPr>
                <w:rFonts w:ascii="Calibri" w:hAnsi="Calibri"/>
                <w:sz w:val="24"/>
              </w:rPr>
            </w:pPr>
            <w:r>
              <w:rPr>
                <w:rFonts w:ascii="Calibri" w:hAnsi="Calibri"/>
                <w:sz w:val="24"/>
              </w:rPr>
              <w:t>Kendall</w:t>
            </w:r>
            <w:r>
              <w:rPr>
                <w:rFonts w:ascii="Calibri" w:hAnsi="Calibri"/>
                <w:spacing w:val="-14"/>
                <w:sz w:val="24"/>
              </w:rPr>
              <w:t xml:space="preserve"> </w:t>
            </w:r>
            <w:r>
              <w:rPr>
                <w:rFonts w:ascii="Calibri" w:hAnsi="Calibri"/>
                <w:sz w:val="24"/>
              </w:rPr>
              <w:t>Control</w:t>
            </w:r>
            <w:r>
              <w:rPr>
                <w:rFonts w:ascii="Calibri" w:hAnsi="Calibri"/>
                <w:spacing w:val="-14"/>
                <w:sz w:val="24"/>
              </w:rPr>
              <w:t xml:space="preserve"> </w:t>
            </w:r>
            <w:r>
              <w:rPr>
                <w:rFonts w:ascii="Calibri" w:hAnsi="Calibri"/>
                <w:sz w:val="24"/>
              </w:rPr>
              <w:t xml:space="preserve">Pty </w:t>
            </w:r>
            <w:r>
              <w:rPr>
                <w:rFonts w:ascii="Calibri" w:hAnsi="Calibri"/>
                <w:spacing w:val="-4"/>
                <w:sz w:val="24"/>
              </w:rPr>
              <w:t>Ltd</w:t>
            </w:r>
          </w:p>
          <w:p w14:paraId="1E8055F2" w14:textId="77777777" w:rsidR="00AA4A02" w:rsidRDefault="00960F31">
            <w:pPr>
              <w:pStyle w:val="TableParagraph"/>
              <w:numPr>
                <w:ilvl w:val="0"/>
                <w:numId w:val="61"/>
              </w:numPr>
              <w:tabs>
                <w:tab w:val="left" w:pos="829"/>
              </w:tabs>
              <w:spacing w:before="59" w:line="242" w:lineRule="auto"/>
              <w:ind w:right="709"/>
              <w:rPr>
                <w:rFonts w:ascii="Calibri" w:hAnsi="Calibri"/>
                <w:sz w:val="24"/>
              </w:rPr>
            </w:pPr>
            <w:r>
              <w:rPr>
                <w:rFonts w:ascii="Calibri" w:hAnsi="Calibri"/>
                <w:sz w:val="24"/>
              </w:rPr>
              <w:t>The Kendall Control</w:t>
            </w:r>
            <w:r>
              <w:rPr>
                <w:rFonts w:ascii="Calibri" w:hAnsi="Calibri"/>
                <w:spacing w:val="-14"/>
                <w:sz w:val="24"/>
              </w:rPr>
              <w:t xml:space="preserve"> </w:t>
            </w:r>
            <w:r>
              <w:rPr>
                <w:rFonts w:ascii="Calibri" w:hAnsi="Calibri"/>
                <w:sz w:val="24"/>
              </w:rPr>
              <w:t>Trust</w:t>
            </w:r>
          </w:p>
          <w:p w14:paraId="1E8055F3" w14:textId="77777777" w:rsidR="00AA4A02" w:rsidRDefault="00960F31">
            <w:pPr>
              <w:pStyle w:val="TableParagraph"/>
              <w:numPr>
                <w:ilvl w:val="0"/>
                <w:numId w:val="61"/>
              </w:numPr>
              <w:tabs>
                <w:tab w:val="left" w:pos="829"/>
              </w:tabs>
              <w:spacing w:before="56"/>
              <w:ind w:right="291"/>
              <w:rPr>
                <w:rFonts w:ascii="Calibri" w:hAnsi="Calibri"/>
                <w:sz w:val="24"/>
              </w:rPr>
            </w:pPr>
            <w:r>
              <w:rPr>
                <w:rFonts w:ascii="Calibri" w:hAnsi="Calibri"/>
                <w:sz w:val="24"/>
              </w:rPr>
              <w:t>The</w:t>
            </w:r>
            <w:r>
              <w:rPr>
                <w:rFonts w:ascii="Calibri" w:hAnsi="Calibri"/>
                <w:spacing w:val="-14"/>
                <w:sz w:val="24"/>
              </w:rPr>
              <w:t xml:space="preserve"> </w:t>
            </w:r>
            <w:r>
              <w:rPr>
                <w:rFonts w:ascii="Calibri" w:hAnsi="Calibri"/>
                <w:sz w:val="24"/>
              </w:rPr>
              <w:t>Keith</w:t>
            </w:r>
            <w:r>
              <w:rPr>
                <w:rFonts w:ascii="Calibri" w:hAnsi="Calibri"/>
                <w:spacing w:val="-14"/>
                <w:sz w:val="24"/>
              </w:rPr>
              <w:t xml:space="preserve"> </w:t>
            </w:r>
            <w:r>
              <w:rPr>
                <w:rFonts w:ascii="Calibri" w:hAnsi="Calibri"/>
                <w:sz w:val="24"/>
              </w:rPr>
              <w:t>Kendall Family Trust</w:t>
            </w:r>
          </w:p>
          <w:p w14:paraId="1E8055F4" w14:textId="77777777" w:rsidR="00AA4A02" w:rsidRDefault="00AA4A02">
            <w:pPr>
              <w:pStyle w:val="TableParagraph"/>
              <w:spacing w:before="101"/>
              <w:ind w:left="0"/>
              <w:rPr>
                <w:rFonts w:ascii="Calibri"/>
                <w:sz w:val="24"/>
              </w:rPr>
            </w:pPr>
          </w:p>
          <w:p w14:paraId="1E8055F5" w14:textId="77777777" w:rsidR="00AA4A02" w:rsidRDefault="00960F31">
            <w:pPr>
              <w:pStyle w:val="TableParagraph"/>
              <w:spacing w:before="1" w:line="290" w:lineRule="atLeast"/>
              <w:ind w:left="109" w:right="643"/>
              <w:rPr>
                <w:rFonts w:ascii="Calibri"/>
                <w:sz w:val="24"/>
              </w:rPr>
            </w:pPr>
            <w:r>
              <w:rPr>
                <w:rFonts w:ascii="Calibri"/>
                <w:sz w:val="24"/>
              </w:rPr>
              <w:t>Member,</w:t>
            </w:r>
            <w:r>
              <w:rPr>
                <w:rFonts w:ascii="Calibri"/>
                <w:spacing w:val="-14"/>
                <w:sz w:val="24"/>
              </w:rPr>
              <w:t xml:space="preserve"> </w:t>
            </w:r>
            <w:r>
              <w:rPr>
                <w:rFonts w:ascii="Calibri"/>
                <w:sz w:val="24"/>
              </w:rPr>
              <w:t>Investment Committee, Royal</w:t>
            </w:r>
          </w:p>
        </w:tc>
      </w:tr>
    </w:tbl>
    <w:p w14:paraId="1E8055F7" w14:textId="77777777" w:rsidR="00AA4A02" w:rsidRDefault="00AA4A02">
      <w:pPr>
        <w:pStyle w:val="TableParagraph"/>
        <w:spacing w:line="290" w:lineRule="atLeast"/>
        <w:rPr>
          <w:rFonts w:ascii="Calibri"/>
          <w:sz w:val="24"/>
        </w:rPr>
        <w:sectPr w:rsidR="00AA4A02">
          <w:headerReference w:type="default" r:id="rId10"/>
          <w:footerReference w:type="default" r:id="rId11"/>
          <w:pgSz w:w="11910" w:h="16840"/>
          <w:pgMar w:top="1360" w:right="566" w:bottom="1240" w:left="566" w:header="0" w:footer="1048" w:gutter="0"/>
          <w:pgNumType w:start="2"/>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834"/>
        <w:gridCol w:w="2836"/>
        <w:gridCol w:w="2834"/>
      </w:tblGrid>
      <w:tr w:rsidR="00AA4A02" w14:paraId="1E8055FC" w14:textId="77777777">
        <w:trPr>
          <w:trHeight w:val="938"/>
        </w:trPr>
        <w:tc>
          <w:tcPr>
            <w:tcW w:w="1980" w:type="dxa"/>
          </w:tcPr>
          <w:p w14:paraId="1E8055F8" w14:textId="77777777" w:rsidR="00AA4A02" w:rsidRDefault="00960F31">
            <w:pPr>
              <w:pStyle w:val="TableParagraph"/>
              <w:spacing w:line="292" w:lineRule="exact"/>
              <w:rPr>
                <w:rFonts w:ascii="Calibri"/>
                <w:b/>
                <w:sz w:val="24"/>
              </w:rPr>
            </w:pPr>
            <w:r>
              <w:rPr>
                <w:rFonts w:ascii="Calibri"/>
                <w:b/>
                <w:sz w:val="24"/>
              </w:rPr>
              <w:lastRenderedPageBreak/>
              <w:t xml:space="preserve">FRC </w:t>
            </w:r>
            <w:r>
              <w:rPr>
                <w:rFonts w:ascii="Calibri"/>
                <w:b/>
                <w:spacing w:val="-2"/>
                <w:sz w:val="24"/>
              </w:rPr>
              <w:t>Member</w:t>
            </w:r>
          </w:p>
        </w:tc>
        <w:tc>
          <w:tcPr>
            <w:tcW w:w="2834" w:type="dxa"/>
          </w:tcPr>
          <w:p w14:paraId="1E8055F9" w14:textId="77777777" w:rsidR="00AA4A02" w:rsidRDefault="00960F31">
            <w:pPr>
              <w:pStyle w:val="TableParagraph"/>
              <w:ind w:right="110"/>
              <w:rPr>
                <w:rFonts w:ascii="Calibri"/>
                <w:b/>
                <w:sz w:val="24"/>
              </w:rPr>
            </w:pPr>
            <w:r>
              <w:rPr>
                <w:rFonts w:ascii="Calibri"/>
                <w:b/>
                <w:sz w:val="24"/>
              </w:rPr>
              <w:t>Stakeholder /</w:t>
            </w:r>
            <w:r>
              <w:rPr>
                <w:rFonts w:ascii="Calibri"/>
                <w:b/>
                <w:spacing w:val="40"/>
                <w:sz w:val="24"/>
              </w:rPr>
              <w:t xml:space="preserve"> </w:t>
            </w:r>
            <w:r>
              <w:rPr>
                <w:rFonts w:ascii="Calibri"/>
                <w:b/>
                <w:sz w:val="24"/>
              </w:rPr>
              <w:t>Professional / Organisational</w:t>
            </w:r>
            <w:r>
              <w:rPr>
                <w:rFonts w:ascii="Calibri"/>
                <w:b/>
                <w:spacing w:val="-14"/>
                <w:sz w:val="24"/>
              </w:rPr>
              <w:t xml:space="preserve"> </w:t>
            </w:r>
            <w:r>
              <w:rPr>
                <w:rFonts w:ascii="Calibri"/>
                <w:b/>
                <w:sz w:val="24"/>
              </w:rPr>
              <w:t>Affiliations</w:t>
            </w:r>
          </w:p>
        </w:tc>
        <w:tc>
          <w:tcPr>
            <w:tcW w:w="2836" w:type="dxa"/>
          </w:tcPr>
          <w:p w14:paraId="1E8055FA" w14:textId="77777777" w:rsidR="00AA4A02" w:rsidRDefault="00960F31">
            <w:pPr>
              <w:pStyle w:val="TableParagraph"/>
              <w:ind w:left="108" w:right="161"/>
              <w:rPr>
                <w:rFonts w:ascii="Calibri"/>
                <w:b/>
                <w:sz w:val="24"/>
              </w:rPr>
            </w:pPr>
            <w:r>
              <w:rPr>
                <w:rFonts w:ascii="Calibri"/>
                <w:b/>
                <w:sz w:val="24"/>
              </w:rPr>
              <w:t>Employment</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Other Positions Held</w:t>
            </w:r>
          </w:p>
        </w:tc>
        <w:tc>
          <w:tcPr>
            <w:tcW w:w="2834" w:type="dxa"/>
          </w:tcPr>
          <w:p w14:paraId="1E8055FB" w14:textId="77777777" w:rsidR="00AA4A02" w:rsidRDefault="00960F31">
            <w:pPr>
              <w:pStyle w:val="TableParagraph"/>
              <w:spacing w:line="292" w:lineRule="exact"/>
              <w:ind w:left="109"/>
              <w:rPr>
                <w:rFonts w:ascii="Calibri"/>
                <w:b/>
                <w:sz w:val="24"/>
              </w:rPr>
            </w:pPr>
            <w:r>
              <w:rPr>
                <w:rFonts w:ascii="Calibri"/>
                <w:b/>
                <w:sz w:val="24"/>
              </w:rPr>
              <w:t>Other</w:t>
            </w:r>
            <w:r>
              <w:rPr>
                <w:rFonts w:ascii="Calibri"/>
                <w:b/>
                <w:spacing w:val="-2"/>
                <w:sz w:val="24"/>
              </w:rPr>
              <w:t xml:space="preserve"> Interests</w:t>
            </w:r>
          </w:p>
        </w:tc>
      </w:tr>
      <w:tr w:rsidR="00AA4A02" w14:paraId="1E805603" w14:textId="77777777">
        <w:trPr>
          <w:trHeight w:val="1645"/>
        </w:trPr>
        <w:tc>
          <w:tcPr>
            <w:tcW w:w="1980" w:type="dxa"/>
          </w:tcPr>
          <w:p w14:paraId="1E8055FD" w14:textId="77777777" w:rsidR="00AA4A02" w:rsidRDefault="00AA4A02">
            <w:pPr>
              <w:pStyle w:val="TableParagraph"/>
              <w:ind w:left="0"/>
              <w:rPr>
                <w:sz w:val="24"/>
              </w:rPr>
            </w:pPr>
          </w:p>
        </w:tc>
        <w:tc>
          <w:tcPr>
            <w:tcW w:w="2834" w:type="dxa"/>
          </w:tcPr>
          <w:p w14:paraId="1E8055FE" w14:textId="77777777" w:rsidR="00AA4A02" w:rsidRDefault="00960F31">
            <w:pPr>
              <w:pStyle w:val="TableParagraph"/>
              <w:ind w:right="657"/>
              <w:jc w:val="both"/>
              <w:rPr>
                <w:rFonts w:ascii="Calibri"/>
                <w:sz w:val="24"/>
              </w:rPr>
            </w:pPr>
            <w:r>
              <w:rPr>
                <w:rFonts w:ascii="Calibri"/>
                <w:sz w:val="24"/>
              </w:rPr>
              <w:t>Graduate,</w:t>
            </w:r>
            <w:r>
              <w:rPr>
                <w:rFonts w:ascii="Calibri"/>
                <w:spacing w:val="-1"/>
                <w:sz w:val="24"/>
              </w:rPr>
              <w:t xml:space="preserve"> </w:t>
            </w:r>
            <w:r>
              <w:rPr>
                <w:rFonts w:ascii="Calibri"/>
                <w:sz w:val="24"/>
              </w:rPr>
              <w:t>Australian Institute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 xml:space="preserve">Company </w:t>
            </w:r>
            <w:r>
              <w:rPr>
                <w:rFonts w:ascii="Calibri"/>
                <w:spacing w:val="-2"/>
                <w:sz w:val="24"/>
              </w:rPr>
              <w:t>Directors</w:t>
            </w:r>
          </w:p>
        </w:tc>
        <w:tc>
          <w:tcPr>
            <w:tcW w:w="2836" w:type="dxa"/>
          </w:tcPr>
          <w:p w14:paraId="1E8055FF" w14:textId="77777777" w:rsidR="00AA4A02" w:rsidRDefault="00960F31">
            <w:pPr>
              <w:pStyle w:val="TableParagraph"/>
              <w:ind w:left="108" w:right="161"/>
              <w:rPr>
                <w:rFonts w:ascii="Calibri"/>
                <w:sz w:val="24"/>
              </w:rPr>
            </w:pPr>
            <w:r>
              <w:rPr>
                <w:rFonts w:ascii="Calibri"/>
                <w:sz w:val="24"/>
              </w:rPr>
              <w:t>Treasurer,</w:t>
            </w:r>
            <w:r>
              <w:rPr>
                <w:rFonts w:ascii="Calibri"/>
                <w:spacing w:val="-14"/>
                <w:sz w:val="24"/>
              </w:rPr>
              <w:t xml:space="preserve"> </w:t>
            </w:r>
            <w:r>
              <w:rPr>
                <w:rFonts w:ascii="Calibri"/>
                <w:sz w:val="24"/>
              </w:rPr>
              <w:t>Samuel</w:t>
            </w:r>
            <w:r>
              <w:rPr>
                <w:rFonts w:ascii="Calibri"/>
                <w:spacing w:val="-14"/>
                <w:sz w:val="24"/>
              </w:rPr>
              <w:t xml:space="preserve"> </w:t>
            </w:r>
            <w:r>
              <w:rPr>
                <w:rFonts w:ascii="Calibri"/>
                <w:sz w:val="24"/>
              </w:rPr>
              <w:t xml:space="preserve">Griffith </w:t>
            </w:r>
            <w:r>
              <w:rPr>
                <w:rFonts w:ascii="Calibri"/>
                <w:spacing w:val="-2"/>
                <w:sz w:val="24"/>
              </w:rPr>
              <w:t>Society</w:t>
            </w:r>
          </w:p>
          <w:p w14:paraId="1E805600" w14:textId="77777777" w:rsidR="00AA4A02" w:rsidRDefault="00AA4A02">
            <w:pPr>
              <w:pStyle w:val="TableParagraph"/>
              <w:spacing w:before="121"/>
              <w:ind w:left="0"/>
              <w:rPr>
                <w:rFonts w:ascii="Calibri"/>
                <w:sz w:val="24"/>
              </w:rPr>
            </w:pPr>
          </w:p>
          <w:p w14:paraId="1E805601" w14:textId="77777777" w:rsidR="00AA4A02" w:rsidRDefault="00960F31">
            <w:pPr>
              <w:pStyle w:val="TableParagraph"/>
              <w:ind w:left="108" w:right="161"/>
              <w:rPr>
                <w:rFonts w:ascii="Calibri"/>
                <w:sz w:val="24"/>
              </w:rPr>
            </w:pPr>
            <w:r>
              <w:rPr>
                <w:rFonts w:ascii="Calibri"/>
                <w:sz w:val="24"/>
              </w:rPr>
              <w:t>Finance</w:t>
            </w:r>
            <w:r>
              <w:rPr>
                <w:rFonts w:ascii="Calibri"/>
                <w:spacing w:val="-14"/>
                <w:sz w:val="24"/>
              </w:rPr>
              <w:t xml:space="preserve"> </w:t>
            </w:r>
            <w:r>
              <w:rPr>
                <w:rFonts w:ascii="Calibri"/>
                <w:sz w:val="24"/>
              </w:rPr>
              <w:t>Director,</w:t>
            </w:r>
            <w:r>
              <w:rPr>
                <w:rFonts w:ascii="Calibri"/>
                <w:spacing w:val="-14"/>
                <w:sz w:val="24"/>
              </w:rPr>
              <w:t xml:space="preserve"> </w:t>
            </w:r>
            <w:r>
              <w:rPr>
                <w:rFonts w:ascii="Calibri"/>
                <w:sz w:val="24"/>
              </w:rPr>
              <w:t xml:space="preserve">Rugby </w:t>
            </w:r>
            <w:r>
              <w:rPr>
                <w:rFonts w:ascii="Calibri"/>
                <w:spacing w:val="-2"/>
                <w:sz w:val="24"/>
              </w:rPr>
              <w:t>Victoria</w:t>
            </w:r>
          </w:p>
        </w:tc>
        <w:tc>
          <w:tcPr>
            <w:tcW w:w="2834" w:type="dxa"/>
          </w:tcPr>
          <w:p w14:paraId="1E805602" w14:textId="77777777" w:rsidR="00AA4A02" w:rsidRDefault="00960F31">
            <w:pPr>
              <w:pStyle w:val="TableParagraph"/>
              <w:ind w:left="109" w:right="110"/>
              <w:rPr>
                <w:rFonts w:ascii="Calibri"/>
                <w:sz w:val="24"/>
              </w:rPr>
            </w:pPr>
            <w:r>
              <w:rPr>
                <w:rFonts w:ascii="Calibri"/>
                <w:sz w:val="24"/>
              </w:rPr>
              <w:t>Historical</w:t>
            </w:r>
            <w:r>
              <w:rPr>
                <w:rFonts w:ascii="Calibri"/>
                <w:spacing w:val="-14"/>
                <w:sz w:val="24"/>
              </w:rPr>
              <w:t xml:space="preserve"> </w:t>
            </w:r>
            <w:r>
              <w:rPr>
                <w:rFonts w:ascii="Calibri"/>
                <w:sz w:val="24"/>
              </w:rPr>
              <w:t>Society</w:t>
            </w:r>
            <w:r>
              <w:rPr>
                <w:rFonts w:ascii="Calibri"/>
                <w:spacing w:val="-14"/>
                <w:sz w:val="24"/>
              </w:rPr>
              <w:t xml:space="preserve"> </w:t>
            </w:r>
            <w:r>
              <w:rPr>
                <w:rFonts w:ascii="Calibri"/>
                <w:sz w:val="24"/>
              </w:rPr>
              <w:t xml:space="preserve">of </w:t>
            </w:r>
            <w:r>
              <w:rPr>
                <w:rFonts w:ascii="Calibri"/>
                <w:spacing w:val="-2"/>
                <w:sz w:val="24"/>
              </w:rPr>
              <w:t>Victoria</w:t>
            </w:r>
          </w:p>
        </w:tc>
      </w:tr>
      <w:tr w:rsidR="00AA4A02" w14:paraId="1E80560C" w14:textId="77777777">
        <w:trPr>
          <w:trHeight w:val="2229"/>
        </w:trPr>
        <w:tc>
          <w:tcPr>
            <w:tcW w:w="1980" w:type="dxa"/>
          </w:tcPr>
          <w:p w14:paraId="1E805604" w14:textId="77777777" w:rsidR="00AA4A02" w:rsidRDefault="00960F31">
            <w:pPr>
              <w:pStyle w:val="TableParagraph"/>
              <w:spacing w:line="292" w:lineRule="exact"/>
              <w:rPr>
                <w:rFonts w:ascii="Calibri"/>
                <w:sz w:val="24"/>
              </w:rPr>
            </w:pPr>
            <w:r>
              <w:rPr>
                <w:rFonts w:ascii="Calibri"/>
                <w:sz w:val="24"/>
              </w:rPr>
              <w:t>Mr</w:t>
            </w:r>
            <w:r>
              <w:rPr>
                <w:rFonts w:ascii="Calibri"/>
                <w:spacing w:val="1"/>
                <w:sz w:val="24"/>
              </w:rPr>
              <w:t xml:space="preserve"> </w:t>
            </w:r>
            <w:r>
              <w:rPr>
                <w:rFonts w:ascii="Calibri"/>
                <w:sz w:val="24"/>
              </w:rPr>
              <w:t>Doug</w:t>
            </w:r>
            <w:r>
              <w:rPr>
                <w:rFonts w:ascii="Calibri"/>
                <w:spacing w:val="-2"/>
                <w:sz w:val="24"/>
              </w:rPr>
              <w:t xml:space="preserve"> Niven</w:t>
            </w:r>
          </w:p>
        </w:tc>
        <w:tc>
          <w:tcPr>
            <w:tcW w:w="2834" w:type="dxa"/>
          </w:tcPr>
          <w:p w14:paraId="1E805605" w14:textId="77777777" w:rsidR="00AA4A02" w:rsidRDefault="00960F31">
            <w:pPr>
              <w:pStyle w:val="TableParagraph"/>
              <w:ind w:right="110"/>
              <w:rPr>
                <w:rFonts w:ascii="Calibri"/>
                <w:sz w:val="24"/>
              </w:rPr>
            </w:pPr>
            <w:r>
              <w:rPr>
                <w:rFonts w:ascii="Calibri"/>
                <w:sz w:val="24"/>
              </w:rPr>
              <w:t>Fellow, Chartered Accountants</w:t>
            </w:r>
            <w:r>
              <w:rPr>
                <w:rFonts w:ascii="Calibri"/>
                <w:spacing w:val="-14"/>
                <w:sz w:val="24"/>
              </w:rPr>
              <w:t xml:space="preserve"> </w:t>
            </w:r>
            <w:r>
              <w:rPr>
                <w:rFonts w:ascii="Calibri"/>
                <w:sz w:val="24"/>
              </w:rPr>
              <w:t>Australia</w:t>
            </w:r>
            <w:r>
              <w:rPr>
                <w:rFonts w:ascii="Calibri"/>
                <w:spacing w:val="-14"/>
                <w:sz w:val="24"/>
              </w:rPr>
              <w:t xml:space="preserve"> </w:t>
            </w:r>
            <w:r>
              <w:rPr>
                <w:rFonts w:ascii="Calibri"/>
                <w:sz w:val="24"/>
              </w:rPr>
              <w:t>and New Zealand</w:t>
            </w:r>
          </w:p>
          <w:p w14:paraId="1E805606" w14:textId="77777777" w:rsidR="00AA4A02" w:rsidRDefault="00AA4A02">
            <w:pPr>
              <w:pStyle w:val="TableParagraph"/>
              <w:spacing w:before="118"/>
              <w:ind w:left="0"/>
              <w:rPr>
                <w:rFonts w:ascii="Calibri"/>
                <w:sz w:val="24"/>
              </w:rPr>
            </w:pPr>
          </w:p>
          <w:p w14:paraId="1E805607" w14:textId="77777777" w:rsidR="00AA4A02" w:rsidRDefault="00960F31">
            <w:pPr>
              <w:pStyle w:val="TableParagraph"/>
              <w:ind w:right="417"/>
              <w:jc w:val="both"/>
              <w:rPr>
                <w:rFonts w:ascii="Calibri"/>
                <w:sz w:val="24"/>
              </w:rPr>
            </w:pPr>
            <w:r>
              <w:rPr>
                <w:rFonts w:ascii="Calibri"/>
                <w:sz w:val="24"/>
              </w:rPr>
              <w:t>Member, New Zealand Auditing</w:t>
            </w:r>
            <w:r>
              <w:rPr>
                <w:rFonts w:ascii="Calibri"/>
                <w:spacing w:val="-14"/>
                <w:sz w:val="24"/>
              </w:rPr>
              <w:t xml:space="preserve"> </w:t>
            </w:r>
            <w:r>
              <w:rPr>
                <w:rFonts w:ascii="Calibri"/>
                <w:sz w:val="24"/>
              </w:rPr>
              <w:t>and</w:t>
            </w:r>
            <w:r>
              <w:rPr>
                <w:rFonts w:ascii="Calibri"/>
                <w:spacing w:val="-14"/>
                <w:sz w:val="24"/>
              </w:rPr>
              <w:t xml:space="preserve"> </w:t>
            </w:r>
            <w:r>
              <w:rPr>
                <w:rFonts w:ascii="Calibri"/>
                <w:sz w:val="24"/>
              </w:rPr>
              <w:t>Assurance Standards Board</w:t>
            </w:r>
          </w:p>
        </w:tc>
        <w:tc>
          <w:tcPr>
            <w:tcW w:w="2836" w:type="dxa"/>
          </w:tcPr>
          <w:p w14:paraId="1E805608" w14:textId="77777777" w:rsidR="00AA4A02" w:rsidRDefault="00960F31">
            <w:pPr>
              <w:pStyle w:val="TableParagraph"/>
              <w:ind w:left="108" w:right="161"/>
              <w:rPr>
                <w:rFonts w:ascii="Calibri"/>
                <w:sz w:val="24"/>
              </w:rPr>
            </w:pPr>
            <w:r>
              <w:rPr>
                <w:rFonts w:ascii="Calibri"/>
                <w:sz w:val="24"/>
              </w:rPr>
              <w:t>Chair and CEO, Auditing and</w:t>
            </w:r>
            <w:r>
              <w:rPr>
                <w:rFonts w:ascii="Calibri"/>
                <w:spacing w:val="-14"/>
                <w:sz w:val="24"/>
              </w:rPr>
              <w:t xml:space="preserve"> </w:t>
            </w:r>
            <w:r>
              <w:rPr>
                <w:rFonts w:ascii="Calibri"/>
                <w:sz w:val="24"/>
              </w:rPr>
              <w:t>Assurance</w:t>
            </w:r>
            <w:r>
              <w:rPr>
                <w:rFonts w:ascii="Calibri"/>
                <w:spacing w:val="-14"/>
                <w:sz w:val="24"/>
              </w:rPr>
              <w:t xml:space="preserve"> </w:t>
            </w:r>
            <w:r>
              <w:rPr>
                <w:rFonts w:ascii="Calibri"/>
                <w:sz w:val="24"/>
              </w:rPr>
              <w:t xml:space="preserve">Standards </w:t>
            </w:r>
            <w:r>
              <w:rPr>
                <w:rFonts w:ascii="Calibri"/>
                <w:spacing w:val="-2"/>
                <w:sz w:val="24"/>
              </w:rPr>
              <w:t>Board</w:t>
            </w:r>
          </w:p>
          <w:p w14:paraId="1E805609" w14:textId="77777777" w:rsidR="00AA4A02" w:rsidRDefault="00AA4A02">
            <w:pPr>
              <w:pStyle w:val="TableParagraph"/>
              <w:spacing w:before="118"/>
              <w:ind w:left="0"/>
              <w:rPr>
                <w:rFonts w:ascii="Calibri"/>
                <w:sz w:val="24"/>
              </w:rPr>
            </w:pPr>
          </w:p>
          <w:p w14:paraId="1E80560A" w14:textId="77777777" w:rsidR="00AA4A02" w:rsidRDefault="00960F31">
            <w:pPr>
              <w:pStyle w:val="TableParagraph"/>
              <w:ind w:left="108"/>
              <w:rPr>
                <w:rFonts w:ascii="Calibri"/>
                <w:sz w:val="24"/>
              </w:rPr>
            </w:pPr>
            <w:r>
              <w:rPr>
                <w:rFonts w:ascii="Calibri"/>
                <w:sz w:val="24"/>
              </w:rPr>
              <w:t>Member,</w:t>
            </w:r>
            <w:r>
              <w:rPr>
                <w:rFonts w:ascii="Calibri"/>
                <w:spacing w:val="-12"/>
                <w:sz w:val="24"/>
              </w:rPr>
              <w:t xml:space="preserve"> </w:t>
            </w:r>
            <w:r>
              <w:rPr>
                <w:rFonts w:ascii="Calibri"/>
                <w:sz w:val="24"/>
              </w:rPr>
              <w:t>IAASB</w:t>
            </w:r>
            <w:r>
              <w:rPr>
                <w:rFonts w:ascii="Calibri"/>
                <w:spacing w:val="-13"/>
                <w:sz w:val="24"/>
              </w:rPr>
              <w:t xml:space="preserve"> </w:t>
            </w:r>
            <w:r>
              <w:rPr>
                <w:rFonts w:ascii="Calibri"/>
                <w:sz w:val="24"/>
              </w:rPr>
              <w:t>and</w:t>
            </w:r>
            <w:r>
              <w:rPr>
                <w:rFonts w:ascii="Calibri"/>
                <w:spacing w:val="-14"/>
                <w:sz w:val="24"/>
              </w:rPr>
              <w:t xml:space="preserve"> </w:t>
            </w:r>
            <w:r>
              <w:rPr>
                <w:rFonts w:ascii="Calibri"/>
                <w:sz w:val="24"/>
              </w:rPr>
              <w:t xml:space="preserve">IESBA Stakeholder Advisory </w:t>
            </w:r>
            <w:r>
              <w:rPr>
                <w:rFonts w:ascii="Calibri"/>
                <w:spacing w:val="-2"/>
                <w:sz w:val="24"/>
              </w:rPr>
              <w:t>Council</w:t>
            </w:r>
          </w:p>
        </w:tc>
        <w:tc>
          <w:tcPr>
            <w:tcW w:w="2834" w:type="dxa"/>
          </w:tcPr>
          <w:p w14:paraId="1E80560B" w14:textId="77777777" w:rsidR="00AA4A02" w:rsidRDefault="00960F31">
            <w:pPr>
              <w:pStyle w:val="TableParagraph"/>
              <w:spacing w:line="292" w:lineRule="exact"/>
              <w:ind w:left="109"/>
              <w:rPr>
                <w:rFonts w:ascii="Calibri"/>
                <w:sz w:val="24"/>
              </w:rPr>
            </w:pPr>
            <w:r>
              <w:rPr>
                <w:rFonts w:ascii="Calibri"/>
                <w:spacing w:val="-5"/>
                <w:sz w:val="24"/>
              </w:rPr>
              <w:t>Nil</w:t>
            </w:r>
          </w:p>
        </w:tc>
      </w:tr>
      <w:tr w:rsidR="00AA4A02" w14:paraId="1E80561E" w14:textId="77777777">
        <w:trPr>
          <w:trHeight w:val="7578"/>
        </w:trPr>
        <w:tc>
          <w:tcPr>
            <w:tcW w:w="1980" w:type="dxa"/>
          </w:tcPr>
          <w:p w14:paraId="1E80560D" w14:textId="77777777" w:rsidR="00AA4A02" w:rsidRDefault="00960F31">
            <w:pPr>
              <w:pStyle w:val="TableParagraph"/>
              <w:spacing w:before="1"/>
              <w:rPr>
                <w:rFonts w:ascii="Calibri"/>
                <w:sz w:val="24"/>
              </w:rPr>
            </w:pPr>
            <w:r>
              <w:rPr>
                <w:rFonts w:ascii="Calibri"/>
                <w:sz w:val="24"/>
              </w:rPr>
              <w:t>Ms</w:t>
            </w:r>
            <w:r>
              <w:rPr>
                <w:rFonts w:ascii="Calibri"/>
                <w:spacing w:val="-2"/>
                <w:sz w:val="24"/>
              </w:rPr>
              <w:t xml:space="preserve"> </w:t>
            </w:r>
            <w:r>
              <w:rPr>
                <w:rFonts w:ascii="Calibri"/>
                <w:sz w:val="24"/>
              </w:rPr>
              <w:t>Emma</w:t>
            </w:r>
            <w:r>
              <w:rPr>
                <w:rFonts w:ascii="Calibri"/>
                <w:spacing w:val="-1"/>
                <w:sz w:val="24"/>
              </w:rPr>
              <w:t xml:space="preserve"> </w:t>
            </w:r>
            <w:r>
              <w:rPr>
                <w:rFonts w:ascii="Calibri"/>
                <w:spacing w:val="-4"/>
                <w:sz w:val="24"/>
              </w:rPr>
              <w:t>Herd</w:t>
            </w:r>
          </w:p>
        </w:tc>
        <w:tc>
          <w:tcPr>
            <w:tcW w:w="2834" w:type="dxa"/>
          </w:tcPr>
          <w:p w14:paraId="1E80560E" w14:textId="77777777" w:rsidR="00AA4A02" w:rsidRDefault="00960F31">
            <w:pPr>
              <w:pStyle w:val="TableParagraph"/>
              <w:spacing w:before="1"/>
              <w:ind w:right="110"/>
              <w:rPr>
                <w:rFonts w:ascii="Calibri"/>
                <w:sz w:val="24"/>
              </w:rPr>
            </w:pPr>
            <w:r>
              <w:rPr>
                <w:rFonts w:ascii="Calibri"/>
                <w:sz w:val="24"/>
              </w:rPr>
              <w:t>Fellow, Chartered Accountants</w:t>
            </w:r>
            <w:r>
              <w:rPr>
                <w:rFonts w:ascii="Calibri"/>
                <w:spacing w:val="-14"/>
                <w:sz w:val="24"/>
              </w:rPr>
              <w:t xml:space="preserve"> </w:t>
            </w:r>
            <w:r>
              <w:rPr>
                <w:rFonts w:ascii="Calibri"/>
                <w:sz w:val="24"/>
              </w:rPr>
              <w:t>Australia</w:t>
            </w:r>
            <w:r>
              <w:rPr>
                <w:rFonts w:ascii="Calibri"/>
                <w:spacing w:val="-14"/>
                <w:sz w:val="24"/>
              </w:rPr>
              <w:t xml:space="preserve"> </w:t>
            </w:r>
            <w:r>
              <w:rPr>
                <w:rFonts w:ascii="Calibri"/>
                <w:sz w:val="24"/>
              </w:rPr>
              <w:t>and New Zealand</w:t>
            </w:r>
          </w:p>
        </w:tc>
        <w:tc>
          <w:tcPr>
            <w:tcW w:w="2836" w:type="dxa"/>
          </w:tcPr>
          <w:p w14:paraId="1E80560F" w14:textId="77777777" w:rsidR="00AA4A02" w:rsidRDefault="00960F31">
            <w:pPr>
              <w:pStyle w:val="TableParagraph"/>
              <w:spacing w:before="1"/>
              <w:ind w:left="108" w:right="182"/>
              <w:rPr>
                <w:rFonts w:ascii="Calibri"/>
                <w:sz w:val="24"/>
              </w:rPr>
            </w:pPr>
            <w:r>
              <w:rPr>
                <w:rFonts w:ascii="Calibri"/>
                <w:sz w:val="24"/>
              </w:rPr>
              <w:t>Partner, Climate Change and Sustainability Services,</w:t>
            </w:r>
            <w:r>
              <w:rPr>
                <w:rFonts w:ascii="Calibri"/>
                <w:spacing w:val="-13"/>
                <w:sz w:val="24"/>
              </w:rPr>
              <w:t xml:space="preserve"> </w:t>
            </w:r>
            <w:r>
              <w:rPr>
                <w:rFonts w:ascii="Calibri"/>
                <w:sz w:val="24"/>
              </w:rPr>
              <w:t>Ernst</w:t>
            </w:r>
            <w:r>
              <w:rPr>
                <w:rFonts w:ascii="Calibri"/>
                <w:spacing w:val="-12"/>
                <w:sz w:val="24"/>
              </w:rPr>
              <w:t xml:space="preserve"> </w:t>
            </w:r>
            <w:r>
              <w:rPr>
                <w:rFonts w:ascii="Calibri"/>
                <w:sz w:val="24"/>
              </w:rPr>
              <w:t>and</w:t>
            </w:r>
            <w:r>
              <w:rPr>
                <w:rFonts w:ascii="Calibri"/>
                <w:spacing w:val="-14"/>
                <w:sz w:val="24"/>
              </w:rPr>
              <w:t xml:space="preserve"> </w:t>
            </w:r>
            <w:r>
              <w:rPr>
                <w:rFonts w:ascii="Calibri"/>
                <w:sz w:val="24"/>
              </w:rPr>
              <w:t xml:space="preserve">Young </w:t>
            </w:r>
            <w:r>
              <w:rPr>
                <w:rFonts w:ascii="Calibri"/>
                <w:spacing w:val="-2"/>
                <w:sz w:val="24"/>
              </w:rPr>
              <w:t>Oceania</w:t>
            </w:r>
          </w:p>
          <w:p w14:paraId="1E805610" w14:textId="77777777" w:rsidR="00AA4A02" w:rsidRDefault="00AA4A02">
            <w:pPr>
              <w:pStyle w:val="TableParagraph"/>
              <w:spacing w:before="119"/>
              <w:ind w:left="0"/>
              <w:rPr>
                <w:rFonts w:ascii="Calibri"/>
                <w:sz w:val="24"/>
              </w:rPr>
            </w:pPr>
          </w:p>
          <w:p w14:paraId="1E805611" w14:textId="77777777" w:rsidR="00AA4A02" w:rsidRDefault="00960F31">
            <w:pPr>
              <w:pStyle w:val="TableParagraph"/>
              <w:spacing w:before="1"/>
              <w:ind w:left="108" w:right="161"/>
              <w:rPr>
                <w:rFonts w:ascii="Calibri"/>
                <w:sz w:val="24"/>
              </w:rPr>
            </w:pPr>
            <w:r>
              <w:rPr>
                <w:rFonts w:ascii="Calibri"/>
                <w:sz w:val="24"/>
              </w:rPr>
              <w:t>Member, Queensland Land</w:t>
            </w:r>
            <w:r>
              <w:rPr>
                <w:rFonts w:ascii="Calibri"/>
                <w:spacing w:val="-14"/>
                <w:sz w:val="24"/>
              </w:rPr>
              <w:t xml:space="preserve"> </w:t>
            </w:r>
            <w:r>
              <w:rPr>
                <w:rFonts w:ascii="Calibri"/>
                <w:sz w:val="24"/>
              </w:rPr>
              <w:t>Restoration</w:t>
            </w:r>
            <w:r>
              <w:rPr>
                <w:rFonts w:ascii="Calibri"/>
                <w:spacing w:val="-14"/>
                <w:sz w:val="24"/>
              </w:rPr>
              <w:t xml:space="preserve"> </w:t>
            </w:r>
            <w:r>
              <w:rPr>
                <w:rFonts w:ascii="Calibri"/>
                <w:sz w:val="24"/>
              </w:rPr>
              <w:t>Fund Investment Panel</w:t>
            </w:r>
          </w:p>
          <w:p w14:paraId="1E805612" w14:textId="77777777" w:rsidR="00AA4A02" w:rsidRDefault="00AA4A02">
            <w:pPr>
              <w:pStyle w:val="TableParagraph"/>
              <w:spacing w:before="119"/>
              <w:ind w:left="0"/>
              <w:rPr>
                <w:rFonts w:ascii="Calibri"/>
                <w:sz w:val="24"/>
              </w:rPr>
            </w:pPr>
          </w:p>
          <w:p w14:paraId="1E805613" w14:textId="77777777" w:rsidR="00AA4A02" w:rsidRDefault="00960F31">
            <w:pPr>
              <w:pStyle w:val="TableParagraph"/>
              <w:ind w:left="108" w:right="161"/>
              <w:rPr>
                <w:rFonts w:ascii="Calibri"/>
                <w:sz w:val="24"/>
              </w:rPr>
            </w:pPr>
            <w:r>
              <w:rPr>
                <w:rFonts w:ascii="Calibri"/>
                <w:sz w:val="24"/>
              </w:rPr>
              <w:t>Member,</w:t>
            </w:r>
            <w:r>
              <w:rPr>
                <w:rFonts w:ascii="Calibri"/>
                <w:spacing w:val="-14"/>
                <w:sz w:val="24"/>
              </w:rPr>
              <w:t xml:space="preserve"> </w:t>
            </w:r>
            <w:r>
              <w:rPr>
                <w:rFonts w:ascii="Calibri"/>
                <w:sz w:val="24"/>
              </w:rPr>
              <w:t>Green</w:t>
            </w:r>
            <w:r>
              <w:rPr>
                <w:rFonts w:ascii="Calibri"/>
                <w:spacing w:val="-14"/>
                <w:sz w:val="24"/>
              </w:rPr>
              <w:t xml:space="preserve"> </w:t>
            </w:r>
            <w:r>
              <w:rPr>
                <w:rFonts w:ascii="Calibri"/>
                <w:sz w:val="24"/>
              </w:rPr>
              <w:t>Building Council of Australia (GBCA) Green Star Advisory Board</w:t>
            </w:r>
          </w:p>
        </w:tc>
        <w:tc>
          <w:tcPr>
            <w:tcW w:w="2834" w:type="dxa"/>
          </w:tcPr>
          <w:p w14:paraId="1E805614" w14:textId="77777777" w:rsidR="00AA4A02" w:rsidRDefault="00960F31">
            <w:pPr>
              <w:pStyle w:val="TableParagraph"/>
              <w:spacing w:before="1"/>
              <w:ind w:left="109"/>
              <w:rPr>
                <w:rFonts w:ascii="Calibri"/>
                <w:sz w:val="24"/>
              </w:rPr>
            </w:pPr>
            <w:r>
              <w:rPr>
                <w:rFonts w:ascii="Calibri"/>
                <w:sz w:val="24"/>
              </w:rPr>
              <w:t>Director, EMLH</w:t>
            </w:r>
            <w:r>
              <w:rPr>
                <w:rFonts w:ascii="Calibri"/>
                <w:spacing w:val="-1"/>
                <w:sz w:val="24"/>
              </w:rPr>
              <w:t xml:space="preserve"> </w:t>
            </w:r>
            <w:r>
              <w:rPr>
                <w:rFonts w:ascii="Calibri"/>
                <w:sz w:val="24"/>
              </w:rPr>
              <w:t>Pty</w:t>
            </w:r>
            <w:r>
              <w:rPr>
                <w:rFonts w:ascii="Calibri"/>
                <w:spacing w:val="-3"/>
                <w:sz w:val="24"/>
              </w:rPr>
              <w:t xml:space="preserve"> </w:t>
            </w:r>
            <w:r>
              <w:rPr>
                <w:rFonts w:ascii="Calibri"/>
                <w:spacing w:val="-5"/>
                <w:sz w:val="24"/>
              </w:rPr>
              <w:t>Ltd</w:t>
            </w:r>
          </w:p>
          <w:p w14:paraId="1E805615" w14:textId="77777777" w:rsidR="00AA4A02" w:rsidRDefault="00960F31">
            <w:pPr>
              <w:pStyle w:val="TableParagraph"/>
              <w:spacing w:before="240"/>
              <w:ind w:left="109" w:right="110"/>
              <w:rPr>
                <w:rFonts w:ascii="Calibri"/>
                <w:sz w:val="24"/>
              </w:rPr>
            </w:pPr>
            <w:r>
              <w:rPr>
                <w:rFonts w:ascii="Calibri"/>
                <w:sz w:val="24"/>
              </w:rPr>
              <w:t>Former CEO of Investor Group</w:t>
            </w:r>
            <w:r>
              <w:rPr>
                <w:rFonts w:ascii="Calibri"/>
                <w:spacing w:val="-13"/>
                <w:sz w:val="24"/>
              </w:rPr>
              <w:t xml:space="preserve"> </w:t>
            </w:r>
            <w:r>
              <w:rPr>
                <w:rFonts w:ascii="Calibri"/>
                <w:sz w:val="24"/>
              </w:rPr>
              <w:t>on</w:t>
            </w:r>
            <w:r>
              <w:rPr>
                <w:rFonts w:ascii="Calibri"/>
                <w:spacing w:val="-13"/>
                <w:sz w:val="24"/>
              </w:rPr>
              <w:t xml:space="preserve"> </w:t>
            </w:r>
            <w:r>
              <w:rPr>
                <w:rFonts w:ascii="Calibri"/>
                <w:sz w:val="24"/>
              </w:rPr>
              <w:t>Climate</w:t>
            </w:r>
            <w:r>
              <w:rPr>
                <w:rFonts w:ascii="Calibri"/>
                <w:spacing w:val="-13"/>
                <w:sz w:val="24"/>
              </w:rPr>
              <w:t xml:space="preserve"> </w:t>
            </w:r>
            <w:r>
              <w:rPr>
                <w:rFonts w:ascii="Calibri"/>
                <w:sz w:val="24"/>
              </w:rPr>
              <w:t>Change</w:t>
            </w:r>
          </w:p>
          <w:p w14:paraId="1E805616" w14:textId="77777777" w:rsidR="00AA4A02" w:rsidRDefault="00AA4A02">
            <w:pPr>
              <w:pStyle w:val="TableParagraph"/>
              <w:spacing w:before="120"/>
              <w:ind w:left="0"/>
              <w:rPr>
                <w:rFonts w:ascii="Calibri"/>
                <w:sz w:val="24"/>
              </w:rPr>
            </w:pPr>
          </w:p>
          <w:p w14:paraId="1E805617" w14:textId="77777777" w:rsidR="00AA4A02" w:rsidRDefault="00960F31">
            <w:pPr>
              <w:pStyle w:val="TableParagraph"/>
              <w:ind w:left="109" w:right="110"/>
              <w:rPr>
                <w:rFonts w:ascii="Calibri"/>
                <w:sz w:val="24"/>
              </w:rPr>
            </w:pPr>
            <w:r>
              <w:rPr>
                <w:rFonts w:ascii="Calibri"/>
                <w:sz w:val="24"/>
              </w:rPr>
              <w:t>Former Environment Commissioner with the Greater</w:t>
            </w:r>
            <w:r>
              <w:rPr>
                <w:rFonts w:ascii="Calibri"/>
                <w:spacing w:val="-14"/>
                <w:sz w:val="24"/>
              </w:rPr>
              <w:t xml:space="preserve"> </w:t>
            </w:r>
            <w:r>
              <w:rPr>
                <w:rFonts w:ascii="Calibri"/>
                <w:sz w:val="24"/>
              </w:rPr>
              <w:t>Cities</w:t>
            </w:r>
            <w:r>
              <w:rPr>
                <w:rFonts w:ascii="Calibri"/>
                <w:spacing w:val="-14"/>
                <w:sz w:val="24"/>
              </w:rPr>
              <w:t xml:space="preserve"> </w:t>
            </w:r>
            <w:r>
              <w:rPr>
                <w:rFonts w:ascii="Calibri"/>
                <w:sz w:val="24"/>
              </w:rPr>
              <w:t>Commission</w:t>
            </w:r>
          </w:p>
          <w:p w14:paraId="1E805618" w14:textId="77777777" w:rsidR="00AA4A02" w:rsidRDefault="00AA4A02">
            <w:pPr>
              <w:pStyle w:val="TableParagraph"/>
              <w:spacing w:before="119"/>
              <w:ind w:left="0"/>
              <w:rPr>
                <w:rFonts w:ascii="Calibri"/>
                <w:sz w:val="24"/>
              </w:rPr>
            </w:pPr>
          </w:p>
          <w:p w14:paraId="1E805619" w14:textId="77777777" w:rsidR="00AA4A02" w:rsidRDefault="00960F31">
            <w:pPr>
              <w:pStyle w:val="TableParagraph"/>
              <w:ind w:left="109" w:right="352"/>
              <w:rPr>
                <w:rFonts w:ascii="Calibri"/>
                <w:sz w:val="24"/>
              </w:rPr>
            </w:pPr>
            <w:r>
              <w:rPr>
                <w:rFonts w:ascii="Calibri"/>
                <w:sz w:val="24"/>
              </w:rPr>
              <w:t>Former Head of Sustainability and Executive Director at Westpac</w:t>
            </w:r>
            <w:r>
              <w:rPr>
                <w:rFonts w:ascii="Calibri"/>
                <w:spacing w:val="-14"/>
                <w:sz w:val="24"/>
              </w:rPr>
              <w:t xml:space="preserve"> </w:t>
            </w:r>
            <w:r>
              <w:rPr>
                <w:rFonts w:ascii="Calibri"/>
                <w:sz w:val="24"/>
              </w:rPr>
              <w:t xml:space="preserve">Institutional </w:t>
            </w:r>
            <w:r>
              <w:rPr>
                <w:rFonts w:ascii="Calibri"/>
                <w:spacing w:val="-4"/>
                <w:sz w:val="24"/>
              </w:rPr>
              <w:t>Bank</w:t>
            </w:r>
          </w:p>
          <w:p w14:paraId="1E80561A" w14:textId="77777777" w:rsidR="00AA4A02" w:rsidRDefault="00AA4A02">
            <w:pPr>
              <w:pStyle w:val="TableParagraph"/>
              <w:spacing w:before="121"/>
              <w:ind w:left="0"/>
              <w:rPr>
                <w:rFonts w:ascii="Calibri"/>
                <w:sz w:val="24"/>
              </w:rPr>
            </w:pPr>
          </w:p>
          <w:p w14:paraId="1E80561B" w14:textId="77777777" w:rsidR="00AA4A02" w:rsidRDefault="00960F31">
            <w:pPr>
              <w:pStyle w:val="TableParagraph"/>
              <w:ind w:left="109" w:right="110"/>
              <w:rPr>
                <w:rFonts w:ascii="Calibri"/>
                <w:sz w:val="24"/>
              </w:rPr>
            </w:pPr>
            <w:r>
              <w:rPr>
                <w:rFonts w:ascii="Calibri"/>
                <w:sz w:val="24"/>
              </w:rPr>
              <w:t>Former Board Member, Carbon</w:t>
            </w:r>
            <w:r>
              <w:rPr>
                <w:rFonts w:ascii="Calibri"/>
                <w:spacing w:val="-2"/>
                <w:sz w:val="24"/>
              </w:rPr>
              <w:t xml:space="preserve"> </w:t>
            </w:r>
            <w:r>
              <w:rPr>
                <w:rFonts w:ascii="Calibri"/>
                <w:sz w:val="24"/>
              </w:rPr>
              <w:t>Market</w:t>
            </w:r>
            <w:r>
              <w:rPr>
                <w:rFonts w:ascii="Calibri"/>
                <w:spacing w:val="-1"/>
                <w:sz w:val="24"/>
              </w:rPr>
              <w:t xml:space="preserve"> </w:t>
            </w:r>
            <w:r>
              <w:rPr>
                <w:rFonts w:ascii="Calibri"/>
                <w:spacing w:val="-2"/>
                <w:sz w:val="24"/>
              </w:rPr>
              <w:t>Institute</w:t>
            </w:r>
          </w:p>
          <w:p w14:paraId="1E80561C" w14:textId="77777777" w:rsidR="00AA4A02" w:rsidRDefault="00AA4A02">
            <w:pPr>
              <w:pStyle w:val="TableParagraph"/>
              <w:spacing w:before="120"/>
              <w:ind w:left="0"/>
              <w:rPr>
                <w:rFonts w:ascii="Calibri"/>
                <w:sz w:val="24"/>
              </w:rPr>
            </w:pPr>
          </w:p>
          <w:p w14:paraId="1E80561D" w14:textId="77777777" w:rsidR="00AA4A02" w:rsidRDefault="00960F31">
            <w:pPr>
              <w:pStyle w:val="TableParagraph"/>
              <w:ind w:left="109" w:right="138"/>
              <w:rPr>
                <w:rFonts w:ascii="Calibri"/>
                <w:sz w:val="24"/>
              </w:rPr>
            </w:pPr>
            <w:r>
              <w:rPr>
                <w:rFonts w:ascii="Calibri"/>
                <w:sz w:val="24"/>
              </w:rPr>
              <w:t>Former Co-Chair, Australian Sustainable Finance Institute Taxonomy Technical Expert</w:t>
            </w:r>
            <w:r>
              <w:rPr>
                <w:rFonts w:ascii="Calibri"/>
                <w:spacing w:val="-14"/>
                <w:sz w:val="24"/>
              </w:rPr>
              <w:t xml:space="preserve"> </w:t>
            </w:r>
            <w:r>
              <w:rPr>
                <w:rFonts w:ascii="Calibri"/>
                <w:sz w:val="24"/>
              </w:rPr>
              <w:t>Group</w:t>
            </w:r>
            <w:r>
              <w:rPr>
                <w:rFonts w:ascii="Calibri"/>
                <w:spacing w:val="-11"/>
                <w:sz w:val="24"/>
              </w:rPr>
              <w:t xml:space="preserve"> </w:t>
            </w:r>
            <w:r>
              <w:rPr>
                <w:rFonts w:ascii="Calibri"/>
                <w:sz w:val="24"/>
              </w:rPr>
              <w:t>(ASFI</w:t>
            </w:r>
            <w:r>
              <w:rPr>
                <w:rFonts w:ascii="Calibri"/>
                <w:spacing w:val="-14"/>
                <w:sz w:val="24"/>
              </w:rPr>
              <w:t xml:space="preserve"> </w:t>
            </w:r>
            <w:r>
              <w:rPr>
                <w:rFonts w:ascii="Calibri"/>
                <w:sz w:val="24"/>
              </w:rPr>
              <w:t>TTEG)</w:t>
            </w:r>
          </w:p>
        </w:tc>
      </w:tr>
    </w:tbl>
    <w:p w14:paraId="1E80561F" w14:textId="77777777" w:rsidR="00AA4A02" w:rsidRDefault="00AA4A02">
      <w:pPr>
        <w:pStyle w:val="TableParagraph"/>
        <w:rPr>
          <w:rFonts w:ascii="Calibri"/>
          <w:sz w:val="24"/>
        </w:rPr>
        <w:sectPr w:rsidR="00AA4A02">
          <w:headerReference w:type="default" r:id="rId12"/>
          <w:footerReference w:type="default" r:id="rId13"/>
          <w:pgSz w:w="11910" w:h="16840"/>
          <w:pgMar w:top="1380" w:right="566" w:bottom="1240" w:left="566" w:header="0" w:footer="1048"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834"/>
        <w:gridCol w:w="2836"/>
        <w:gridCol w:w="2834"/>
      </w:tblGrid>
      <w:tr w:rsidR="00AA4A02" w14:paraId="1E805624" w14:textId="77777777">
        <w:trPr>
          <w:trHeight w:val="938"/>
        </w:trPr>
        <w:tc>
          <w:tcPr>
            <w:tcW w:w="1980" w:type="dxa"/>
          </w:tcPr>
          <w:p w14:paraId="1E805620" w14:textId="77777777" w:rsidR="00AA4A02" w:rsidRDefault="00960F31">
            <w:pPr>
              <w:pStyle w:val="TableParagraph"/>
              <w:spacing w:line="292" w:lineRule="exact"/>
              <w:rPr>
                <w:rFonts w:ascii="Calibri"/>
                <w:b/>
                <w:sz w:val="24"/>
              </w:rPr>
            </w:pPr>
            <w:r>
              <w:rPr>
                <w:rFonts w:ascii="Calibri"/>
                <w:b/>
                <w:sz w:val="24"/>
              </w:rPr>
              <w:lastRenderedPageBreak/>
              <w:t xml:space="preserve">FRC </w:t>
            </w:r>
            <w:r>
              <w:rPr>
                <w:rFonts w:ascii="Calibri"/>
                <w:b/>
                <w:spacing w:val="-2"/>
                <w:sz w:val="24"/>
              </w:rPr>
              <w:t>Member</w:t>
            </w:r>
          </w:p>
        </w:tc>
        <w:tc>
          <w:tcPr>
            <w:tcW w:w="2834" w:type="dxa"/>
          </w:tcPr>
          <w:p w14:paraId="1E805621" w14:textId="77777777" w:rsidR="00AA4A02" w:rsidRDefault="00960F31">
            <w:pPr>
              <w:pStyle w:val="TableParagraph"/>
              <w:ind w:right="110"/>
              <w:rPr>
                <w:rFonts w:ascii="Calibri"/>
                <w:b/>
                <w:sz w:val="24"/>
              </w:rPr>
            </w:pPr>
            <w:r>
              <w:rPr>
                <w:rFonts w:ascii="Calibri"/>
                <w:b/>
                <w:sz w:val="24"/>
              </w:rPr>
              <w:t>Stakeholder /</w:t>
            </w:r>
            <w:r>
              <w:rPr>
                <w:rFonts w:ascii="Calibri"/>
                <w:b/>
                <w:spacing w:val="40"/>
                <w:sz w:val="24"/>
              </w:rPr>
              <w:t xml:space="preserve"> </w:t>
            </w:r>
            <w:r>
              <w:rPr>
                <w:rFonts w:ascii="Calibri"/>
                <w:b/>
                <w:sz w:val="24"/>
              </w:rPr>
              <w:t>Professional / Organisational</w:t>
            </w:r>
            <w:r>
              <w:rPr>
                <w:rFonts w:ascii="Calibri"/>
                <w:b/>
                <w:spacing w:val="-14"/>
                <w:sz w:val="24"/>
              </w:rPr>
              <w:t xml:space="preserve"> </w:t>
            </w:r>
            <w:r>
              <w:rPr>
                <w:rFonts w:ascii="Calibri"/>
                <w:b/>
                <w:sz w:val="24"/>
              </w:rPr>
              <w:t>Affiliations</w:t>
            </w:r>
          </w:p>
        </w:tc>
        <w:tc>
          <w:tcPr>
            <w:tcW w:w="2836" w:type="dxa"/>
          </w:tcPr>
          <w:p w14:paraId="1E805622" w14:textId="77777777" w:rsidR="00AA4A02" w:rsidRDefault="00960F31">
            <w:pPr>
              <w:pStyle w:val="TableParagraph"/>
              <w:ind w:left="108" w:right="161"/>
              <w:rPr>
                <w:rFonts w:ascii="Calibri"/>
                <w:b/>
                <w:sz w:val="24"/>
              </w:rPr>
            </w:pPr>
            <w:r>
              <w:rPr>
                <w:rFonts w:ascii="Calibri"/>
                <w:b/>
                <w:sz w:val="24"/>
              </w:rPr>
              <w:t>Employment</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Other Positions Held</w:t>
            </w:r>
          </w:p>
        </w:tc>
        <w:tc>
          <w:tcPr>
            <w:tcW w:w="2834" w:type="dxa"/>
          </w:tcPr>
          <w:p w14:paraId="1E805623" w14:textId="77777777" w:rsidR="00AA4A02" w:rsidRDefault="00960F31">
            <w:pPr>
              <w:pStyle w:val="TableParagraph"/>
              <w:spacing w:line="292" w:lineRule="exact"/>
              <w:ind w:left="109"/>
              <w:rPr>
                <w:rFonts w:ascii="Calibri"/>
                <w:b/>
                <w:sz w:val="24"/>
              </w:rPr>
            </w:pPr>
            <w:r>
              <w:rPr>
                <w:rFonts w:ascii="Calibri"/>
                <w:b/>
                <w:sz w:val="24"/>
              </w:rPr>
              <w:t>Other</w:t>
            </w:r>
            <w:r>
              <w:rPr>
                <w:rFonts w:ascii="Calibri"/>
                <w:b/>
                <w:spacing w:val="-2"/>
                <w:sz w:val="24"/>
              </w:rPr>
              <w:t xml:space="preserve"> Interests</w:t>
            </w:r>
          </w:p>
        </w:tc>
      </w:tr>
      <w:tr w:rsidR="00AA4A02" w14:paraId="1E80562B" w14:textId="77777777">
        <w:trPr>
          <w:trHeight w:val="580"/>
        </w:trPr>
        <w:tc>
          <w:tcPr>
            <w:tcW w:w="1980" w:type="dxa"/>
            <w:tcBorders>
              <w:bottom w:val="nil"/>
            </w:tcBorders>
          </w:tcPr>
          <w:p w14:paraId="1E805625" w14:textId="77777777" w:rsidR="00AA4A02" w:rsidRDefault="00960F31">
            <w:pPr>
              <w:pStyle w:val="TableParagraph"/>
              <w:spacing w:line="292" w:lineRule="exact"/>
              <w:rPr>
                <w:rFonts w:ascii="Calibri"/>
                <w:sz w:val="24"/>
              </w:rPr>
            </w:pPr>
            <w:r>
              <w:rPr>
                <w:rFonts w:ascii="Calibri"/>
                <w:sz w:val="24"/>
              </w:rPr>
              <w:t>Ms</w:t>
            </w:r>
            <w:r>
              <w:rPr>
                <w:rFonts w:ascii="Calibri"/>
                <w:spacing w:val="-1"/>
                <w:sz w:val="24"/>
              </w:rPr>
              <w:t xml:space="preserve"> </w:t>
            </w:r>
            <w:r>
              <w:rPr>
                <w:rFonts w:ascii="Calibri"/>
                <w:sz w:val="24"/>
              </w:rPr>
              <w:t>Pru</w:t>
            </w:r>
            <w:r>
              <w:rPr>
                <w:rFonts w:ascii="Calibri"/>
                <w:spacing w:val="1"/>
                <w:sz w:val="24"/>
              </w:rPr>
              <w:t xml:space="preserve"> </w:t>
            </w:r>
            <w:r>
              <w:rPr>
                <w:rFonts w:ascii="Calibri"/>
                <w:spacing w:val="-2"/>
                <w:sz w:val="24"/>
              </w:rPr>
              <w:t>Bennett</w:t>
            </w:r>
          </w:p>
        </w:tc>
        <w:tc>
          <w:tcPr>
            <w:tcW w:w="2834" w:type="dxa"/>
            <w:tcBorders>
              <w:bottom w:val="nil"/>
            </w:tcBorders>
          </w:tcPr>
          <w:p w14:paraId="1E805626" w14:textId="77777777" w:rsidR="00AA4A02" w:rsidRDefault="00960F31">
            <w:pPr>
              <w:pStyle w:val="TableParagraph"/>
              <w:spacing w:line="292" w:lineRule="exact"/>
              <w:rPr>
                <w:rFonts w:ascii="Calibri"/>
                <w:sz w:val="24"/>
              </w:rPr>
            </w:pPr>
            <w:r>
              <w:rPr>
                <w:rFonts w:ascii="Calibri"/>
                <w:sz w:val="24"/>
              </w:rPr>
              <w:t>Fellow</w:t>
            </w:r>
            <w:r>
              <w:rPr>
                <w:rFonts w:ascii="Calibri"/>
                <w:spacing w:val="-3"/>
                <w:sz w:val="24"/>
              </w:rPr>
              <w:t xml:space="preserve"> </w:t>
            </w:r>
            <w:r>
              <w:rPr>
                <w:rFonts w:ascii="Calibri"/>
                <w:sz w:val="24"/>
              </w:rPr>
              <w:t>Institute</w:t>
            </w:r>
            <w:r>
              <w:rPr>
                <w:rFonts w:ascii="Calibri"/>
                <w:spacing w:val="-2"/>
                <w:sz w:val="24"/>
              </w:rPr>
              <w:t xml:space="preserve"> </w:t>
            </w:r>
            <w:r>
              <w:rPr>
                <w:rFonts w:ascii="Calibri"/>
                <w:spacing w:val="-5"/>
                <w:sz w:val="24"/>
              </w:rPr>
              <w:t>of</w:t>
            </w:r>
          </w:p>
          <w:p w14:paraId="1E805627" w14:textId="77777777" w:rsidR="00AA4A02" w:rsidRDefault="00960F31">
            <w:pPr>
              <w:pStyle w:val="TableParagraph"/>
              <w:spacing w:line="268" w:lineRule="exact"/>
              <w:rPr>
                <w:rFonts w:ascii="Calibri"/>
                <w:sz w:val="24"/>
              </w:rPr>
            </w:pPr>
            <w:r>
              <w:rPr>
                <w:rFonts w:ascii="Calibri"/>
                <w:sz w:val="24"/>
              </w:rPr>
              <w:t>Chartered</w:t>
            </w:r>
            <w:r>
              <w:rPr>
                <w:rFonts w:ascii="Calibri"/>
                <w:spacing w:val="1"/>
                <w:sz w:val="24"/>
              </w:rPr>
              <w:t xml:space="preserve"> </w:t>
            </w:r>
            <w:r>
              <w:rPr>
                <w:rFonts w:ascii="Calibri"/>
                <w:spacing w:val="-2"/>
                <w:sz w:val="24"/>
              </w:rPr>
              <w:t>Accountants</w:t>
            </w:r>
          </w:p>
        </w:tc>
        <w:tc>
          <w:tcPr>
            <w:tcW w:w="2836" w:type="dxa"/>
            <w:tcBorders>
              <w:bottom w:val="nil"/>
            </w:tcBorders>
          </w:tcPr>
          <w:p w14:paraId="1E805628" w14:textId="77777777" w:rsidR="00AA4A02" w:rsidRDefault="00960F31">
            <w:pPr>
              <w:pStyle w:val="TableParagraph"/>
              <w:spacing w:line="292" w:lineRule="exact"/>
              <w:ind w:left="108"/>
              <w:rPr>
                <w:rFonts w:ascii="Calibri"/>
                <w:sz w:val="24"/>
              </w:rPr>
            </w:pPr>
            <w:r>
              <w:rPr>
                <w:rFonts w:ascii="Calibri"/>
                <w:sz w:val="24"/>
              </w:rPr>
              <w:t>Partner,</w:t>
            </w:r>
            <w:r>
              <w:rPr>
                <w:rFonts w:ascii="Calibri"/>
                <w:spacing w:val="-4"/>
                <w:sz w:val="24"/>
              </w:rPr>
              <w:t xml:space="preserve"> </w:t>
            </w:r>
            <w:r>
              <w:rPr>
                <w:rFonts w:ascii="Calibri"/>
                <w:sz w:val="24"/>
              </w:rPr>
              <w:t>Brunswick</w:t>
            </w:r>
            <w:r>
              <w:rPr>
                <w:rFonts w:ascii="Calibri"/>
                <w:spacing w:val="-2"/>
                <w:sz w:val="24"/>
              </w:rPr>
              <w:t xml:space="preserve"> </w:t>
            </w:r>
            <w:r>
              <w:rPr>
                <w:rFonts w:ascii="Calibri"/>
                <w:spacing w:val="-4"/>
                <w:sz w:val="24"/>
              </w:rPr>
              <w:t>Group</w:t>
            </w:r>
          </w:p>
        </w:tc>
        <w:tc>
          <w:tcPr>
            <w:tcW w:w="2834" w:type="dxa"/>
            <w:tcBorders>
              <w:bottom w:val="nil"/>
            </w:tcBorders>
          </w:tcPr>
          <w:p w14:paraId="1E805629" w14:textId="77777777" w:rsidR="00AA4A02" w:rsidRDefault="00960F31">
            <w:pPr>
              <w:pStyle w:val="TableParagraph"/>
              <w:spacing w:line="292" w:lineRule="exact"/>
              <w:ind w:left="109"/>
              <w:rPr>
                <w:rFonts w:ascii="Calibri"/>
                <w:sz w:val="24"/>
              </w:rPr>
            </w:pPr>
            <w:r>
              <w:rPr>
                <w:rFonts w:ascii="Calibri"/>
                <w:sz w:val="24"/>
              </w:rPr>
              <w:t>Director</w:t>
            </w:r>
            <w:r>
              <w:rPr>
                <w:rFonts w:ascii="Calibri"/>
                <w:spacing w:val="-2"/>
                <w:sz w:val="24"/>
              </w:rPr>
              <w:t xml:space="preserve"> </w:t>
            </w:r>
            <w:r>
              <w:rPr>
                <w:rFonts w:ascii="Calibri"/>
                <w:sz w:val="24"/>
              </w:rPr>
              <w:t>of Bened</w:t>
            </w:r>
            <w:r>
              <w:rPr>
                <w:rFonts w:ascii="Calibri"/>
                <w:spacing w:val="-2"/>
                <w:sz w:val="24"/>
              </w:rPr>
              <w:t xml:space="preserve"> </w:t>
            </w:r>
            <w:r>
              <w:rPr>
                <w:rFonts w:ascii="Calibri"/>
                <w:spacing w:val="-5"/>
                <w:sz w:val="24"/>
              </w:rPr>
              <w:t>Pty</w:t>
            </w:r>
          </w:p>
          <w:p w14:paraId="1E80562A" w14:textId="77777777" w:rsidR="00AA4A02" w:rsidRDefault="00960F31">
            <w:pPr>
              <w:pStyle w:val="TableParagraph"/>
              <w:spacing w:line="268" w:lineRule="exact"/>
              <w:ind w:left="109"/>
              <w:rPr>
                <w:rFonts w:ascii="Calibri"/>
                <w:sz w:val="24"/>
              </w:rPr>
            </w:pPr>
            <w:r>
              <w:rPr>
                <w:rFonts w:ascii="Calibri"/>
                <w:spacing w:val="-2"/>
                <w:sz w:val="24"/>
              </w:rPr>
              <w:t>Limited</w:t>
            </w:r>
          </w:p>
        </w:tc>
      </w:tr>
      <w:tr w:rsidR="00AA4A02" w14:paraId="1E805639" w14:textId="77777777">
        <w:trPr>
          <w:trHeight w:val="3796"/>
        </w:trPr>
        <w:tc>
          <w:tcPr>
            <w:tcW w:w="1980" w:type="dxa"/>
            <w:tcBorders>
              <w:top w:val="nil"/>
              <w:bottom w:val="nil"/>
            </w:tcBorders>
          </w:tcPr>
          <w:p w14:paraId="1E80562C" w14:textId="77777777" w:rsidR="00AA4A02" w:rsidRDefault="00AA4A02">
            <w:pPr>
              <w:pStyle w:val="TableParagraph"/>
              <w:ind w:left="0"/>
              <w:rPr>
                <w:sz w:val="24"/>
              </w:rPr>
            </w:pPr>
          </w:p>
        </w:tc>
        <w:tc>
          <w:tcPr>
            <w:tcW w:w="2834" w:type="dxa"/>
            <w:tcBorders>
              <w:top w:val="nil"/>
              <w:bottom w:val="nil"/>
            </w:tcBorders>
          </w:tcPr>
          <w:p w14:paraId="1E80562D" w14:textId="77777777" w:rsidR="00AA4A02" w:rsidRDefault="00AA4A02">
            <w:pPr>
              <w:pStyle w:val="TableParagraph"/>
              <w:spacing w:before="126"/>
              <w:ind w:left="0"/>
              <w:rPr>
                <w:rFonts w:ascii="Calibri"/>
                <w:sz w:val="24"/>
              </w:rPr>
            </w:pPr>
          </w:p>
          <w:p w14:paraId="1E80562E" w14:textId="77777777" w:rsidR="00AA4A02" w:rsidRDefault="00960F31">
            <w:pPr>
              <w:pStyle w:val="TableParagraph"/>
              <w:ind w:right="110"/>
              <w:rPr>
                <w:rFonts w:ascii="Calibri"/>
                <w:sz w:val="24"/>
              </w:rPr>
            </w:pPr>
            <w:r>
              <w:rPr>
                <w:rFonts w:ascii="Calibri"/>
                <w:sz w:val="24"/>
              </w:rPr>
              <w:t>Graduate Member Australian</w:t>
            </w:r>
            <w:r>
              <w:rPr>
                <w:rFonts w:ascii="Calibri"/>
                <w:spacing w:val="-14"/>
                <w:sz w:val="24"/>
              </w:rPr>
              <w:t xml:space="preserve"> </w:t>
            </w:r>
            <w:r>
              <w:rPr>
                <w:rFonts w:ascii="Calibri"/>
                <w:sz w:val="24"/>
              </w:rPr>
              <w:t>Institute</w:t>
            </w:r>
            <w:r>
              <w:rPr>
                <w:rFonts w:ascii="Calibri"/>
                <w:spacing w:val="-14"/>
                <w:sz w:val="24"/>
              </w:rPr>
              <w:t xml:space="preserve"> </w:t>
            </w:r>
            <w:r>
              <w:rPr>
                <w:rFonts w:ascii="Calibri"/>
                <w:sz w:val="24"/>
              </w:rPr>
              <w:t>of Company Directors</w:t>
            </w:r>
          </w:p>
          <w:p w14:paraId="1E80562F" w14:textId="77777777" w:rsidR="00AA4A02" w:rsidRDefault="00AA4A02">
            <w:pPr>
              <w:pStyle w:val="TableParagraph"/>
              <w:spacing w:before="119"/>
              <w:ind w:left="0"/>
              <w:rPr>
                <w:rFonts w:ascii="Calibri"/>
                <w:sz w:val="24"/>
              </w:rPr>
            </w:pPr>
          </w:p>
          <w:p w14:paraId="1E805630" w14:textId="77777777" w:rsidR="00AA4A02" w:rsidRDefault="00960F31">
            <w:pPr>
              <w:pStyle w:val="TableParagraph"/>
              <w:spacing w:before="1"/>
              <w:ind w:right="110"/>
              <w:rPr>
                <w:rFonts w:ascii="Calibri"/>
                <w:sz w:val="24"/>
              </w:rPr>
            </w:pPr>
            <w:r>
              <w:rPr>
                <w:rFonts w:ascii="Calibri"/>
                <w:sz w:val="24"/>
              </w:rPr>
              <w:t>Member Singapore Institute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 xml:space="preserve">Company </w:t>
            </w:r>
            <w:r>
              <w:rPr>
                <w:rFonts w:ascii="Calibri"/>
                <w:spacing w:val="-2"/>
                <w:sz w:val="24"/>
              </w:rPr>
              <w:t>Directors</w:t>
            </w:r>
          </w:p>
        </w:tc>
        <w:tc>
          <w:tcPr>
            <w:tcW w:w="2836" w:type="dxa"/>
            <w:tcBorders>
              <w:top w:val="nil"/>
              <w:bottom w:val="nil"/>
            </w:tcBorders>
          </w:tcPr>
          <w:p w14:paraId="1E805631" w14:textId="77777777" w:rsidR="00AA4A02" w:rsidRDefault="00960F31">
            <w:pPr>
              <w:pStyle w:val="TableParagraph"/>
              <w:spacing w:line="244" w:lineRule="exact"/>
              <w:ind w:left="108"/>
              <w:rPr>
                <w:rFonts w:ascii="Calibri"/>
                <w:sz w:val="24"/>
              </w:rPr>
            </w:pPr>
            <w:r>
              <w:rPr>
                <w:rFonts w:ascii="Calibri"/>
                <w:sz w:val="24"/>
              </w:rPr>
              <w:t>Member of</w:t>
            </w:r>
            <w:r>
              <w:rPr>
                <w:rFonts w:ascii="Calibri"/>
                <w:spacing w:val="-1"/>
                <w:sz w:val="24"/>
              </w:rPr>
              <w:t xml:space="preserve"> </w:t>
            </w:r>
            <w:r>
              <w:rPr>
                <w:rFonts w:ascii="Calibri"/>
                <w:sz w:val="24"/>
              </w:rPr>
              <w:t>the</w:t>
            </w:r>
            <w:r>
              <w:rPr>
                <w:rFonts w:ascii="Calibri"/>
                <w:spacing w:val="-1"/>
                <w:sz w:val="24"/>
              </w:rPr>
              <w:t xml:space="preserve"> </w:t>
            </w:r>
            <w:r>
              <w:rPr>
                <w:rFonts w:ascii="Calibri"/>
                <w:spacing w:val="-2"/>
                <w:sz w:val="24"/>
              </w:rPr>
              <w:t>Advisory</w:t>
            </w:r>
          </w:p>
          <w:p w14:paraId="1E805632" w14:textId="77777777" w:rsidR="00AA4A02" w:rsidRDefault="00960F31">
            <w:pPr>
              <w:pStyle w:val="TableParagraph"/>
              <w:spacing w:before="2"/>
              <w:ind w:left="108" w:right="161"/>
              <w:rPr>
                <w:rFonts w:ascii="Calibri"/>
                <w:sz w:val="24"/>
              </w:rPr>
            </w:pPr>
            <w:r>
              <w:rPr>
                <w:rFonts w:ascii="Calibri"/>
                <w:sz w:val="24"/>
              </w:rPr>
              <w:t>Council</w:t>
            </w:r>
            <w:r>
              <w:rPr>
                <w:rFonts w:ascii="Calibri"/>
                <w:spacing w:val="-13"/>
                <w:sz w:val="24"/>
              </w:rPr>
              <w:t xml:space="preserve"> </w:t>
            </w:r>
            <w:r>
              <w:rPr>
                <w:rFonts w:ascii="Calibri"/>
                <w:sz w:val="24"/>
              </w:rPr>
              <w:t>for</w:t>
            </w:r>
            <w:r>
              <w:rPr>
                <w:rFonts w:ascii="Calibri"/>
                <w:spacing w:val="-11"/>
                <w:sz w:val="24"/>
              </w:rPr>
              <w:t xml:space="preserve"> </w:t>
            </w:r>
            <w:r>
              <w:rPr>
                <w:rFonts w:ascii="Calibri"/>
                <w:sz w:val="24"/>
              </w:rPr>
              <w:t>Oasis</w:t>
            </w:r>
            <w:r>
              <w:rPr>
                <w:rFonts w:ascii="Calibri"/>
                <w:spacing w:val="-12"/>
                <w:sz w:val="24"/>
              </w:rPr>
              <w:t xml:space="preserve"> </w:t>
            </w:r>
            <w:r>
              <w:rPr>
                <w:rFonts w:ascii="Calibri"/>
                <w:sz w:val="24"/>
              </w:rPr>
              <w:t>Capital Hong Kong</w:t>
            </w:r>
          </w:p>
          <w:p w14:paraId="1E805633" w14:textId="77777777" w:rsidR="00AA4A02" w:rsidRDefault="00960F31">
            <w:pPr>
              <w:pStyle w:val="TableParagraph"/>
              <w:spacing w:before="240"/>
              <w:ind w:left="108" w:right="514"/>
              <w:rPr>
                <w:rFonts w:ascii="Calibri"/>
                <w:sz w:val="24"/>
              </w:rPr>
            </w:pPr>
            <w:r>
              <w:rPr>
                <w:rFonts w:ascii="Calibri"/>
                <w:sz w:val="24"/>
              </w:rPr>
              <w:t>Member of the Sustainability</w:t>
            </w:r>
            <w:r>
              <w:rPr>
                <w:rFonts w:ascii="Calibri"/>
                <w:spacing w:val="-14"/>
                <w:sz w:val="24"/>
              </w:rPr>
              <w:t xml:space="preserve"> </w:t>
            </w:r>
            <w:r>
              <w:rPr>
                <w:rFonts w:ascii="Calibri"/>
                <w:sz w:val="24"/>
              </w:rPr>
              <w:t>Advisory Council for Link REIT</w:t>
            </w:r>
          </w:p>
          <w:p w14:paraId="1E805634" w14:textId="77777777" w:rsidR="00AA4A02" w:rsidRDefault="00960F31">
            <w:pPr>
              <w:pStyle w:val="TableParagraph"/>
              <w:spacing w:before="239"/>
              <w:ind w:left="108" w:right="161"/>
              <w:rPr>
                <w:rFonts w:ascii="Calibri"/>
                <w:sz w:val="24"/>
              </w:rPr>
            </w:pPr>
            <w:r>
              <w:rPr>
                <w:rFonts w:ascii="Calibri"/>
                <w:sz w:val="24"/>
              </w:rPr>
              <w:t>Member of the Advisory Council</w:t>
            </w:r>
            <w:r>
              <w:rPr>
                <w:rFonts w:ascii="Calibri"/>
                <w:spacing w:val="-8"/>
                <w:sz w:val="24"/>
              </w:rPr>
              <w:t xml:space="preserve"> </w:t>
            </w:r>
            <w:r>
              <w:rPr>
                <w:rFonts w:ascii="Calibri"/>
                <w:sz w:val="24"/>
              </w:rPr>
              <w:t>of</w:t>
            </w:r>
            <w:r>
              <w:rPr>
                <w:rFonts w:ascii="Calibri"/>
                <w:spacing w:val="-10"/>
                <w:sz w:val="24"/>
              </w:rPr>
              <w:t xml:space="preserve"> </w:t>
            </w:r>
            <w:r>
              <w:rPr>
                <w:rFonts w:ascii="Calibri"/>
                <w:sz w:val="24"/>
              </w:rPr>
              <w:t>the</w:t>
            </w:r>
            <w:r>
              <w:rPr>
                <w:rFonts w:ascii="Calibri"/>
                <w:spacing w:val="-10"/>
                <w:sz w:val="24"/>
              </w:rPr>
              <w:t xml:space="preserve"> </w:t>
            </w:r>
            <w:r>
              <w:rPr>
                <w:rFonts w:ascii="Calibri"/>
                <w:sz w:val="24"/>
              </w:rPr>
              <w:t>Hong</w:t>
            </w:r>
            <w:r>
              <w:rPr>
                <w:rFonts w:ascii="Calibri"/>
                <w:spacing w:val="-10"/>
                <w:sz w:val="24"/>
              </w:rPr>
              <w:t xml:space="preserve"> </w:t>
            </w:r>
            <w:r>
              <w:rPr>
                <w:rFonts w:ascii="Calibri"/>
                <w:sz w:val="24"/>
              </w:rPr>
              <w:t xml:space="preserve">Kong Corporate Governance Institute Sustainability </w:t>
            </w:r>
            <w:r>
              <w:rPr>
                <w:rFonts w:ascii="Calibri"/>
                <w:spacing w:val="-2"/>
                <w:sz w:val="24"/>
              </w:rPr>
              <w:t>Academy</w:t>
            </w:r>
          </w:p>
        </w:tc>
        <w:tc>
          <w:tcPr>
            <w:tcW w:w="2834" w:type="dxa"/>
            <w:tcBorders>
              <w:top w:val="nil"/>
              <w:bottom w:val="nil"/>
            </w:tcBorders>
          </w:tcPr>
          <w:p w14:paraId="1E805635" w14:textId="77777777" w:rsidR="00AA4A02" w:rsidRDefault="00AA4A02">
            <w:pPr>
              <w:pStyle w:val="TableParagraph"/>
              <w:spacing w:before="126"/>
              <w:ind w:left="0"/>
              <w:rPr>
                <w:rFonts w:ascii="Calibri"/>
                <w:sz w:val="24"/>
              </w:rPr>
            </w:pPr>
          </w:p>
          <w:p w14:paraId="1E805636" w14:textId="77777777" w:rsidR="00AA4A02" w:rsidRDefault="00960F31">
            <w:pPr>
              <w:pStyle w:val="TableParagraph"/>
              <w:ind w:left="109" w:right="110"/>
              <w:rPr>
                <w:rFonts w:ascii="Calibri"/>
                <w:sz w:val="24"/>
              </w:rPr>
            </w:pPr>
            <w:r>
              <w:rPr>
                <w:rFonts w:ascii="Calibri"/>
                <w:sz w:val="24"/>
              </w:rPr>
              <w:t>Director</w:t>
            </w:r>
            <w:r>
              <w:rPr>
                <w:rFonts w:ascii="Calibri"/>
                <w:spacing w:val="-10"/>
                <w:sz w:val="24"/>
              </w:rPr>
              <w:t xml:space="preserve"> </w:t>
            </w:r>
            <w:r>
              <w:rPr>
                <w:rFonts w:ascii="Calibri"/>
                <w:sz w:val="24"/>
              </w:rPr>
              <w:t>of</w:t>
            </w:r>
            <w:r>
              <w:rPr>
                <w:rFonts w:ascii="Calibri"/>
                <w:spacing w:val="-12"/>
                <w:sz w:val="24"/>
              </w:rPr>
              <w:t xml:space="preserve"> </w:t>
            </w:r>
            <w:r>
              <w:rPr>
                <w:rFonts w:ascii="Calibri"/>
                <w:sz w:val="24"/>
              </w:rPr>
              <w:t>Milliam</w:t>
            </w:r>
            <w:r>
              <w:rPr>
                <w:rFonts w:ascii="Calibri"/>
                <w:spacing w:val="-13"/>
                <w:sz w:val="24"/>
              </w:rPr>
              <w:t xml:space="preserve"> </w:t>
            </w:r>
            <w:r>
              <w:rPr>
                <w:rFonts w:ascii="Calibri"/>
                <w:sz w:val="24"/>
              </w:rPr>
              <w:t xml:space="preserve">Pty </w:t>
            </w:r>
            <w:r>
              <w:rPr>
                <w:rFonts w:ascii="Calibri"/>
                <w:spacing w:val="-2"/>
                <w:sz w:val="24"/>
              </w:rPr>
              <w:t>Limited</w:t>
            </w:r>
          </w:p>
          <w:p w14:paraId="1E805637" w14:textId="77777777" w:rsidR="00AA4A02" w:rsidRDefault="00AA4A02">
            <w:pPr>
              <w:pStyle w:val="TableParagraph"/>
              <w:spacing w:before="120"/>
              <w:ind w:left="0"/>
              <w:rPr>
                <w:rFonts w:ascii="Calibri"/>
                <w:sz w:val="24"/>
              </w:rPr>
            </w:pPr>
          </w:p>
          <w:p w14:paraId="1E805638" w14:textId="77777777" w:rsidR="00AA4A02" w:rsidRDefault="00960F31">
            <w:pPr>
              <w:pStyle w:val="TableParagraph"/>
              <w:ind w:left="109" w:right="110"/>
              <w:rPr>
                <w:rFonts w:ascii="Calibri"/>
                <w:sz w:val="24"/>
              </w:rPr>
            </w:pPr>
            <w:r>
              <w:rPr>
                <w:rFonts w:ascii="Calibri"/>
                <w:sz w:val="24"/>
              </w:rPr>
              <w:t>Director</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Brunswick Advisory Pty Limited</w:t>
            </w:r>
          </w:p>
        </w:tc>
      </w:tr>
      <w:tr w:rsidR="00AA4A02" w14:paraId="1E80563E" w14:textId="77777777">
        <w:trPr>
          <w:trHeight w:val="1206"/>
        </w:trPr>
        <w:tc>
          <w:tcPr>
            <w:tcW w:w="1980" w:type="dxa"/>
            <w:tcBorders>
              <w:top w:val="nil"/>
              <w:bottom w:val="nil"/>
            </w:tcBorders>
          </w:tcPr>
          <w:p w14:paraId="1E80563A" w14:textId="77777777" w:rsidR="00AA4A02" w:rsidRDefault="00AA4A02">
            <w:pPr>
              <w:pStyle w:val="TableParagraph"/>
              <w:ind w:left="0"/>
              <w:rPr>
                <w:sz w:val="24"/>
              </w:rPr>
            </w:pPr>
          </w:p>
        </w:tc>
        <w:tc>
          <w:tcPr>
            <w:tcW w:w="2834" w:type="dxa"/>
            <w:tcBorders>
              <w:top w:val="nil"/>
              <w:bottom w:val="nil"/>
            </w:tcBorders>
          </w:tcPr>
          <w:p w14:paraId="1E80563B" w14:textId="77777777" w:rsidR="00AA4A02" w:rsidRDefault="00AA4A02">
            <w:pPr>
              <w:pStyle w:val="TableParagraph"/>
              <w:ind w:left="0"/>
              <w:rPr>
                <w:sz w:val="24"/>
              </w:rPr>
            </w:pPr>
          </w:p>
        </w:tc>
        <w:tc>
          <w:tcPr>
            <w:tcW w:w="2836" w:type="dxa"/>
            <w:tcBorders>
              <w:top w:val="nil"/>
              <w:bottom w:val="nil"/>
            </w:tcBorders>
          </w:tcPr>
          <w:p w14:paraId="1E80563C" w14:textId="77777777" w:rsidR="00AA4A02" w:rsidRDefault="00960F31">
            <w:pPr>
              <w:pStyle w:val="TableParagraph"/>
              <w:spacing w:before="98"/>
              <w:ind w:left="108" w:right="493"/>
              <w:jc w:val="both"/>
              <w:rPr>
                <w:rFonts w:ascii="Calibri"/>
                <w:sz w:val="24"/>
              </w:rPr>
            </w:pPr>
            <w:r>
              <w:rPr>
                <w:rFonts w:ascii="Calibri"/>
                <w:sz w:val="24"/>
              </w:rPr>
              <w:t>Council</w:t>
            </w:r>
            <w:r>
              <w:rPr>
                <w:rFonts w:ascii="Calibri"/>
                <w:spacing w:val="-10"/>
                <w:sz w:val="24"/>
              </w:rPr>
              <w:t xml:space="preserve"> </w:t>
            </w:r>
            <w:r>
              <w:rPr>
                <w:rFonts w:ascii="Calibri"/>
                <w:sz w:val="24"/>
              </w:rPr>
              <w:t>Member</w:t>
            </w:r>
            <w:r>
              <w:rPr>
                <w:rFonts w:ascii="Calibri"/>
                <w:spacing w:val="-7"/>
                <w:sz w:val="24"/>
              </w:rPr>
              <w:t xml:space="preserve"> </w:t>
            </w:r>
            <w:r>
              <w:rPr>
                <w:rFonts w:ascii="Calibri"/>
                <w:sz w:val="24"/>
              </w:rPr>
              <w:t>Asian Corporate</w:t>
            </w:r>
            <w:r>
              <w:rPr>
                <w:rFonts w:ascii="Calibri"/>
                <w:spacing w:val="-14"/>
                <w:sz w:val="24"/>
              </w:rPr>
              <w:t xml:space="preserve"> </w:t>
            </w:r>
            <w:r>
              <w:rPr>
                <w:rFonts w:ascii="Calibri"/>
                <w:sz w:val="24"/>
              </w:rPr>
              <w:t xml:space="preserve">Governance </w:t>
            </w:r>
            <w:r>
              <w:rPr>
                <w:rFonts w:ascii="Calibri"/>
                <w:spacing w:val="-2"/>
                <w:sz w:val="24"/>
              </w:rPr>
              <w:t>Association</w:t>
            </w:r>
          </w:p>
        </w:tc>
        <w:tc>
          <w:tcPr>
            <w:tcW w:w="2834" w:type="dxa"/>
            <w:tcBorders>
              <w:top w:val="nil"/>
              <w:bottom w:val="nil"/>
            </w:tcBorders>
          </w:tcPr>
          <w:p w14:paraId="1E80563D" w14:textId="77777777" w:rsidR="00AA4A02" w:rsidRDefault="00AA4A02">
            <w:pPr>
              <w:pStyle w:val="TableParagraph"/>
              <w:ind w:left="0"/>
              <w:rPr>
                <w:sz w:val="24"/>
              </w:rPr>
            </w:pPr>
          </w:p>
        </w:tc>
      </w:tr>
      <w:tr w:rsidR="00AA4A02" w14:paraId="1E805643" w14:textId="77777777">
        <w:trPr>
          <w:trHeight w:val="1769"/>
        </w:trPr>
        <w:tc>
          <w:tcPr>
            <w:tcW w:w="1980" w:type="dxa"/>
            <w:tcBorders>
              <w:top w:val="nil"/>
            </w:tcBorders>
          </w:tcPr>
          <w:p w14:paraId="1E80563F" w14:textId="77777777" w:rsidR="00AA4A02" w:rsidRDefault="00AA4A02">
            <w:pPr>
              <w:pStyle w:val="TableParagraph"/>
              <w:ind w:left="0"/>
              <w:rPr>
                <w:sz w:val="24"/>
              </w:rPr>
            </w:pPr>
          </w:p>
        </w:tc>
        <w:tc>
          <w:tcPr>
            <w:tcW w:w="2834" w:type="dxa"/>
            <w:tcBorders>
              <w:top w:val="nil"/>
            </w:tcBorders>
          </w:tcPr>
          <w:p w14:paraId="1E805640" w14:textId="77777777" w:rsidR="00AA4A02" w:rsidRDefault="00AA4A02">
            <w:pPr>
              <w:pStyle w:val="TableParagraph"/>
              <w:ind w:left="0"/>
              <w:rPr>
                <w:sz w:val="24"/>
              </w:rPr>
            </w:pPr>
          </w:p>
        </w:tc>
        <w:tc>
          <w:tcPr>
            <w:tcW w:w="2836" w:type="dxa"/>
            <w:tcBorders>
              <w:top w:val="nil"/>
            </w:tcBorders>
          </w:tcPr>
          <w:p w14:paraId="1E805641" w14:textId="77777777" w:rsidR="00AA4A02" w:rsidRDefault="00960F31">
            <w:pPr>
              <w:pStyle w:val="TableParagraph"/>
              <w:spacing w:before="185"/>
              <w:ind w:left="108"/>
              <w:rPr>
                <w:rFonts w:ascii="Calibri"/>
                <w:sz w:val="24"/>
              </w:rPr>
            </w:pPr>
            <w:r>
              <w:rPr>
                <w:rFonts w:ascii="Calibri"/>
                <w:color w:val="061128"/>
                <w:sz w:val="24"/>
              </w:rPr>
              <w:t>Member of Deakin University Integrated Reporting</w:t>
            </w:r>
            <w:r>
              <w:rPr>
                <w:rFonts w:ascii="Calibri"/>
                <w:color w:val="061128"/>
                <w:spacing w:val="-14"/>
                <w:sz w:val="24"/>
              </w:rPr>
              <w:t xml:space="preserve"> </w:t>
            </w:r>
            <w:r>
              <w:rPr>
                <w:rFonts w:ascii="Calibri"/>
                <w:color w:val="061128"/>
                <w:sz w:val="24"/>
              </w:rPr>
              <w:t>Centre</w:t>
            </w:r>
            <w:r>
              <w:rPr>
                <w:rFonts w:ascii="Calibri"/>
                <w:color w:val="061128"/>
                <w:spacing w:val="-14"/>
                <w:sz w:val="24"/>
              </w:rPr>
              <w:t xml:space="preserve"> </w:t>
            </w:r>
            <w:r>
              <w:rPr>
                <w:rFonts w:ascii="Calibri"/>
                <w:color w:val="061128"/>
                <w:sz w:val="24"/>
              </w:rPr>
              <w:t xml:space="preserve">Advisory </w:t>
            </w:r>
            <w:r>
              <w:rPr>
                <w:rFonts w:ascii="Calibri"/>
                <w:color w:val="061128"/>
                <w:spacing w:val="-2"/>
                <w:sz w:val="24"/>
              </w:rPr>
              <w:t>Board</w:t>
            </w:r>
          </w:p>
        </w:tc>
        <w:tc>
          <w:tcPr>
            <w:tcW w:w="2834" w:type="dxa"/>
            <w:tcBorders>
              <w:top w:val="nil"/>
            </w:tcBorders>
          </w:tcPr>
          <w:p w14:paraId="1E805642" w14:textId="77777777" w:rsidR="00AA4A02" w:rsidRDefault="00AA4A02">
            <w:pPr>
              <w:pStyle w:val="TableParagraph"/>
              <w:ind w:left="0"/>
              <w:rPr>
                <w:sz w:val="24"/>
              </w:rPr>
            </w:pPr>
          </w:p>
        </w:tc>
      </w:tr>
      <w:tr w:rsidR="00AA4A02" w14:paraId="1E80564C" w14:textId="77777777">
        <w:trPr>
          <w:trHeight w:val="2378"/>
        </w:trPr>
        <w:tc>
          <w:tcPr>
            <w:tcW w:w="1980" w:type="dxa"/>
            <w:tcBorders>
              <w:bottom w:val="nil"/>
            </w:tcBorders>
          </w:tcPr>
          <w:p w14:paraId="1E805644" w14:textId="77777777" w:rsidR="00AA4A02" w:rsidRDefault="00960F31">
            <w:pPr>
              <w:pStyle w:val="TableParagraph"/>
              <w:rPr>
                <w:rFonts w:ascii="Calibri"/>
                <w:sz w:val="24"/>
              </w:rPr>
            </w:pPr>
            <w:r>
              <w:rPr>
                <w:rFonts w:ascii="Calibri"/>
                <w:sz w:val="24"/>
              </w:rPr>
              <w:t>Ms</w:t>
            </w:r>
            <w:r>
              <w:rPr>
                <w:rFonts w:ascii="Calibri"/>
                <w:spacing w:val="-14"/>
                <w:sz w:val="24"/>
              </w:rPr>
              <w:t xml:space="preserve"> </w:t>
            </w:r>
            <w:r>
              <w:rPr>
                <w:rFonts w:ascii="Calibri"/>
                <w:sz w:val="24"/>
              </w:rPr>
              <w:t>Rachel</w:t>
            </w:r>
            <w:r>
              <w:rPr>
                <w:rFonts w:ascii="Calibri"/>
                <w:spacing w:val="-14"/>
                <w:sz w:val="24"/>
              </w:rPr>
              <w:t xml:space="preserve"> </w:t>
            </w:r>
            <w:r>
              <w:rPr>
                <w:rFonts w:ascii="Calibri"/>
                <w:sz w:val="24"/>
              </w:rPr>
              <w:t xml:space="preserve">Grimes </w:t>
            </w:r>
            <w:r>
              <w:rPr>
                <w:rFonts w:ascii="Calibri"/>
                <w:spacing w:val="-6"/>
                <w:sz w:val="24"/>
              </w:rPr>
              <w:t>AM</w:t>
            </w:r>
          </w:p>
        </w:tc>
        <w:tc>
          <w:tcPr>
            <w:tcW w:w="2834" w:type="dxa"/>
            <w:tcBorders>
              <w:bottom w:val="nil"/>
            </w:tcBorders>
          </w:tcPr>
          <w:p w14:paraId="1E805645" w14:textId="77777777" w:rsidR="00AA4A02" w:rsidRDefault="00960F31">
            <w:pPr>
              <w:pStyle w:val="TableParagraph"/>
              <w:ind w:right="657"/>
              <w:jc w:val="both"/>
              <w:rPr>
                <w:rFonts w:ascii="Calibri"/>
                <w:sz w:val="24"/>
              </w:rPr>
            </w:pPr>
            <w:r>
              <w:rPr>
                <w:rFonts w:ascii="Calibri"/>
                <w:sz w:val="24"/>
              </w:rPr>
              <w:t>Graduate,</w:t>
            </w:r>
            <w:r>
              <w:rPr>
                <w:rFonts w:ascii="Calibri"/>
                <w:spacing w:val="-1"/>
                <w:sz w:val="24"/>
              </w:rPr>
              <w:t xml:space="preserve"> </w:t>
            </w:r>
            <w:r>
              <w:rPr>
                <w:rFonts w:ascii="Calibri"/>
                <w:sz w:val="24"/>
              </w:rPr>
              <w:t>Australian Institute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 xml:space="preserve">Company </w:t>
            </w:r>
            <w:r>
              <w:rPr>
                <w:rFonts w:ascii="Calibri"/>
                <w:spacing w:val="-2"/>
                <w:sz w:val="24"/>
              </w:rPr>
              <w:t>Directors</w:t>
            </w:r>
          </w:p>
          <w:p w14:paraId="1E805646" w14:textId="77777777" w:rsidR="00AA4A02" w:rsidRDefault="00AA4A02">
            <w:pPr>
              <w:pStyle w:val="TableParagraph"/>
              <w:spacing w:before="118"/>
              <w:ind w:left="0"/>
              <w:rPr>
                <w:rFonts w:ascii="Calibri"/>
                <w:sz w:val="24"/>
              </w:rPr>
            </w:pPr>
          </w:p>
          <w:p w14:paraId="1E805647" w14:textId="77777777" w:rsidR="00AA4A02" w:rsidRDefault="00960F31">
            <w:pPr>
              <w:pStyle w:val="TableParagraph"/>
              <w:ind w:right="110"/>
              <w:rPr>
                <w:rFonts w:ascii="Calibri"/>
                <w:sz w:val="24"/>
              </w:rPr>
            </w:pPr>
            <w:r>
              <w:rPr>
                <w:rFonts w:ascii="Calibri"/>
                <w:sz w:val="24"/>
              </w:rPr>
              <w:t>Fellow, Chartered Accountants</w:t>
            </w:r>
            <w:r>
              <w:rPr>
                <w:rFonts w:ascii="Calibri"/>
                <w:spacing w:val="-14"/>
                <w:sz w:val="24"/>
              </w:rPr>
              <w:t xml:space="preserve"> </w:t>
            </w:r>
            <w:r>
              <w:rPr>
                <w:rFonts w:ascii="Calibri"/>
                <w:sz w:val="24"/>
              </w:rPr>
              <w:t>Australia</w:t>
            </w:r>
            <w:r>
              <w:rPr>
                <w:rFonts w:ascii="Calibri"/>
                <w:spacing w:val="-14"/>
                <w:sz w:val="24"/>
              </w:rPr>
              <w:t xml:space="preserve"> </w:t>
            </w:r>
            <w:r>
              <w:rPr>
                <w:rFonts w:ascii="Calibri"/>
                <w:sz w:val="24"/>
              </w:rPr>
              <w:t>and New Zealand (CAANZ)</w:t>
            </w:r>
          </w:p>
        </w:tc>
        <w:tc>
          <w:tcPr>
            <w:tcW w:w="2836" w:type="dxa"/>
            <w:tcBorders>
              <w:bottom w:val="nil"/>
            </w:tcBorders>
          </w:tcPr>
          <w:p w14:paraId="1E805648" w14:textId="77777777" w:rsidR="00AA4A02" w:rsidRDefault="00960F31">
            <w:pPr>
              <w:pStyle w:val="TableParagraph"/>
              <w:spacing w:line="292" w:lineRule="exact"/>
              <w:ind w:left="108"/>
              <w:rPr>
                <w:rFonts w:ascii="Calibri"/>
                <w:sz w:val="24"/>
              </w:rPr>
            </w:pPr>
            <w:r>
              <w:rPr>
                <w:rFonts w:ascii="Calibri"/>
                <w:sz w:val="24"/>
              </w:rPr>
              <w:t>Director,</w:t>
            </w:r>
            <w:r>
              <w:rPr>
                <w:rFonts w:ascii="Calibri"/>
                <w:spacing w:val="-1"/>
                <w:sz w:val="24"/>
              </w:rPr>
              <w:t xml:space="preserve"> </w:t>
            </w:r>
            <w:r>
              <w:rPr>
                <w:rFonts w:ascii="Calibri"/>
                <w:sz w:val="24"/>
              </w:rPr>
              <w:t>Hub24</w:t>
            </w:r>
            <w:r>
              <w:rPr>
                <w:rFonts w:ascii="Calibri"/>
                <w:spacing w:val="-2"/>
                <w:sz w:val="24"/>
              </w:rPr>
              <w:t xml:space="preserve"> Limited</w:t>
            </w:r>
          </w:p>
          <w:p w14:paraId="1E805649" w14:textId="77777777" w:rsidR="00AA4A02" w:rsidRDefault="00960F31">
            <w:pPr>
              <w:pStyle w:val="TableParagraph"/>
              <w:spacing w:before="240"/>
              <w:ind w:left="108" w:right="161"/>
              <w:rPr>
                <w:rFonts w:ascii="Calibri"/>
                <w:sz w:val="24"/>
              </w:rPr>
            </w:pPr>
            <w:r>
              <w:rPr>
                <w:rFonts w:ascii="Calibri"/>
                <w:sz w:val="24"/>
              </w:rPr>
              <w:t>Director, Australian Payments</w:t>
            </w:r>
            <w:r>
              <w:rPr>
                <w:rFonts w:ascii="Calibri"/>
                <w:spacing w:val="-14"/>
                <w:sz w:val="24"/>
              </w:rPr>
              <w:t xml:space="preserve"> </w:t>
            </w:r>
            <w:r>
              <w:rPr>
                <w:rFonts w:ascii="Calibri"/>
                <w:sz w:val="24"/>
              </w:rPr>
              <w:t>Plus</w:t>
            </w:r>
            <w:r>
              <w:rPr>
                <w:rFonts w:ascii="Calibri"/>
                <w:spacing w:val="-14"/>
                <w:sz w:val="24"/>
              </w:rPr>
              <w:t xml:space="preserve"> </w:t>
            </w:r>
            <w:r>
              <w:rPr>
                <w:rFonts w:ascii="Calibri"/>
                <w:sz w:val="24"/>
              </w:rPr>
              <w:t>Limited</w:t>
            </w:r>
          </w:p>
          <w:p w14:paraId="1E80564A" w14:textId="77777777" w:rsidR="00AA4A02" w:rsidRDefault="00960F31">
            <w:pPr>
              <w:pStyle w:val="TableParagraph"/>
              <w:spacing w:before="239"/>
              <w:ind w:left="108" w:right="131"/>
              <w:rPr>
                <w:rFonts w:ascii="Calibri"/>
                <w:sz w:val="24"/>
              </w:rPr>
            </w:pPr>
            <w:r>
              <w:rPr>
                <w:rFonts w:ascii="Calibri"/>
                <w:sz w:val="24"/>
              </w:rPr>
              <w:t>Director</w:t>
            </w:r>
            <w:r>
              <w:rPr>
                <w:rFonts w:ascii="Calibri"/>
                <w:spacing w:val="-11"/>
                <w:sz w:val="24"/>
              </w:rPr>
              <w:t xml:space="preserve"> </w:t>
            </w:r>
            <w:r>
              <w:rPr>
                <w:rFonts w:ascii="Calibri"/>
                <w:sz w:val="24"/>
              </w:rPr>
              <w:t>of</w:t>
            </w:r>
            <w:r>
              <w:rPr>
                <w:rFonts w:ascii="Calibri"/>
                <w:spacing w:val="-13"/>
                <w:sz w:val="24"/>
              </w:rPr>
              <w:t xml:space="preserve"> </w:t>
            </w:r>
            <w:r>
              <w:rPr>
                <w:rFonts w:ascii="Calibri"/>
                <w:sz w:val="24"/>
              </w:rPr>
              <w:t>the</w:t>
            </w:r>
            <w:r>
              <w:rPr>
                <w:rFonts w:ascii="Calibri"/>
                <w:spacing w:val="-13"/>
                <w:sz w:val="24"/>
              </w:rPr>
              <w:t xml:space="preserve"> </w:t>
            </w:r>
            <w:r>
              <w:rPr>
                <w:rFonts w:ascii="Calibri"/>
                <w:sz w:val="24"/>
              </w:rPr>
              <w:t>Accounting Professional Standards and Ethics Board (APESB)</w:t>
            </w:r>
          </w:p>
        </w:tc>
        <w:tc>
          <w:tcPr>
            <w:tcW w:w="2834" w:type="dxa"/>
            <w:tcBorders>
              <w:bottom w:val="nil"/>
            </w:tcBorders>
          </w:tcPr>
          <w:p w14:paraId="1E80564B" w14:textId="77777777" w:rsidR="00AA4A02" w:rsidRDefault="00960F31">
            <w:pPr>
              <w:pStyle w:val="TableParagraph"/>
              <w:ind w:left="109" w:right="138"/>
              <w:rPr>
                <w:rFonts w:ascii="Calibri"/>
                <w:sz w:val="24"/>
              </w:rPr>
            </w:pPr>
            <w:r>
              <w:rPr>
                <w:rFonts w:ascii="Calibri"/>
                <w:sz w:val="24"/>
              </w:rPr>
              <w:t>Trustee of P Grimes Employee</w:t>
            </w:r>
            <w:r>
              <w:rPr>
                <w:rFonts w:ascii="Calibri"/>
                <w:spacing w:val="-14"/>
                <w:sz w:val="24"/>
              </w:rPr>
              <w:t xml:space="preserve"> </w:t>
            </w:r>
            <w:r>
              <w:rPr>
                <w:rFonts w:ascii="Calibri"/>
                <w:sz w:val="24"/>
              </w:rPr>
              <w:t>Provident</w:t>
            </w:r>
            <w:r>
              <w:rPr>
                <w:rFonts w:ascii="Calibri"/>
                <w:spacing w:val="-14"/>
                <w:sz w:val="24"/>
              </w:rPr>
              <w:t xml:space="preserve"> </w:t>
            </w:r>
            <w:r>
              <w:rPr>
                <w:rFonts w:ascii="Calibri"/>
                <w:sz w:val="24"/>
              </w:rPr>
              <w:t>Fund (Family SMSF owns Aust and International managed</w:t>
            </w:r>
            <w:r>
              <w:rPr>
                <w:rFonts w:ascii="Calibri"/>
                <w:spacing w:val="-14"/>
                <w:sz w:val="24"/>
              </w:rPr>
              <w:t xml:space="preserve"> </w:t>
            </w:r>
            <w:r>
              <w:rPr>
                <w:rFonts w:ascii="Calibri"/>
                <w:sz w:val="24"/>
              </w:rPr>
              <w:t>funds</w:t>
            </w:r>
            <w:r>
              <w:rPr>
                <w:rFonts w:ascii="Calibri"/>
                <w:spacing w:val="-13"/>
                <w:sz w:val="24"/>
              </w:rPr>
              <w:t xml:space="preserve"> </w:t>
            </w:r>
            <w:r>
              <w:rPr>
                <w:rFonts w:ascii="Calibri"/>
                <w:sz w:val="24"/>
              </w:rPr>
              <w:t>and</w:t>
            </w:r>
            <w:r>
              <w:rPr>
                <w:rFonts w:ascii="Calibri"/>
                <w:spacing w:val="-12"/>
                <w:sz w:val="24"/>
              </w:rPr>
              <w:t xml:space="preserve"> </w:t>
            </w:r>
            <w:r>
              <w:rPr>
                <w:rFonts w:ascii="Calibri"/>
                <w:sz w:val="24"/>
              </w:rPr>
              <w:t xml:space="preserve">listed </w:t>
            </w:r>
            <w:r>
              <w:rPr>
                <w:rFonts w:ascii="Calibri"/>
                <w:spacing w:val="-2"/>
                <w:sz w:val="24"/>
              </w:rPr>
              <w:t>shares)</w:t>
            </w:r>
          </w:p>
        </w:tc>
      </w:tr>
      <w:tr w:rsidR="00AA4A02" w14:paraId="1E805651" w14:textId="77777777">
        <w:trPr>
          <w:trHeight w:val="1173"/>
        </w:trPr>
        <w:tc>
          <w:tcPr>
            <w:tcW w:w="1980" w:type="dxa"/>
            <w:tcBorders>
              <w:top w:val="nil"/>
              <w:bottom w:val="nil"/>
            </w:tcBorders>
          </w:tcPr>
          <w:p w14:paraId="1E80564D" w14:textId="77777777" w:rsidR="00AA4A02" w:rsidRDefault="00AA4A02">
            <w:pPr>
              <w:pStyle w:val="TableParagraph"/>
              <w:ind w:left="0"/>
              <w:rPr>
                <w:sz w:val="24"/>
              </w:rPr>
            </w:pPr>
          </w:p>
        </w:tc>
        <w:tc>
          <w:tcPr>
            <w:tcW w:w="2834" w:type="dxa"/>
            <w:tcBorders>
              <w:top w:val="nil"/>
              <w:bottom w:val="nil"/>
            </w:tcBorders>
          </w:tcPr>
          <w:p w14:paraId="1E80564E" w14:textId="77777777" w:rsidR="00AA4A02" w:rsidRDefault="00960F31">
            <w:pPr>
              <w:pStyle w:val="TableParagraph"/>
              <w:spacing w:before="206"/>
              <w:ind w:right="110"/>
              <w:rPr>
                <w:rFonts w:ascii="Calibri"/>
                <w:sz w:val="24"/>
              </w:rPr>
            </w:pPr>
            <w:r>
              <w:rPr>
                <w:rFonts w:ascii="Calibri"/>
                <w:sz w:val="24"/>
              </w:rPr>
              <w:t>Fellow,</w:t>
            </w:r>
            <w:r>
              <w:rPr>
                <w:rFonts w:ascii="Calibri"/>
                <w:spacing w:val="-14"/>
                <w:sz w:val="24"/>
              </w:rPr>
              <w:t xml:space="preserve"> </w:t>
            </w:r>
            <w:r>
              <w:rPr>
                <w:rFonts w:ascii="Calibri"/>
                <w:sz w:val="24"/>
              </w:rPr>
              <w:t>Certified</w:t>
            </w:r>
            <w:r>
              <w:rPr>
                <w:rFonts w:ascii="Calibri"/>
                <w:spacing w:val="-14"/>
                <w:sz w:val="24"/>
              </w:rPr>
              <w:t xml:space="preserve"> </w:t>
            </w:r>
            <w:r>
              <w:rPr>
                <w:rFonts w:ascii="Calibri"/>
                <w:sz w:val="24"/>
              </w:rPr>
              <w:t xml:space="preserve">Practising Accountant Australia </w:t>
            </w:r>
            <w:r>
              <w:rPr>
                <w:rFonts w:ascii="Calibri"/>
                <w:spacing w:val="-2"/>
                <w:sz w:val="24"/>
              </w:rPr>
              <w:t>(CPAA)</w:t>
            </w:r>
          </w:p>
        </w:tc>
        <w:tc>
          <w:tcPr>
            <w:tcW w:w="2836" w:type="dxa"/>
            <w:tcBorders>
              <w:top w:val="nil"/>
              <w:bottom w:val="nil"/>
            </w:tcBorders>
          </w:tcPr>
          <w:p w14:paraId="1E80564F" w14:textId="77777777" w:rsidR="00AA4A02" w:rsidRDefault="00960F31">
            <w:pPr>
              <w:pStyle w:val="TableParagraph"/>
              <w:spacing w:before="98"/>
              <w:ind w:left="108" w:right="161"/>
              <w:rPr>
                <w:rFonts w:ascii="Calibri"/>
                <w:sz w:val="24"/>
              </w:rPr>
            </w:pPr>
            <w:r>
              <w:rPr>
                <w:rFonts w:ascii="Calibri"/>
                <w:sz w:val="24"/>
              </w:rPr>
              <w:t>Chair</w:t>
            </w:r>
            <w:r>
              <w:rPr>
                <w:rFonts w:ascii="Calibri"/>
                <w:spacing w:val="-12"/>
                <w:sz w:val="24"/>
              </w:rPr>
              <w:t xml:space="preserve"> </w:t>
            </w:r>
            <w:r>
              <w:rPr>
                <w:rFonts w:ascii="Calibri"/>
                <w:sz w:val="24"/>
              </w:rPr>
              <w:t>of</w:t>
            </w:r>
            <w:r>
              <w:rPr>
                <w:rFonts w:ascii="Calibri"/>
                <w:spacing w:val="-11"/>
                <w:sz w:val="24"/>
              </w:rPr>
              <w:t xml:space="preserve"> </w:t>
            </w:r>
            <w:r>
              <w:rPr>
                <w:rFonts w:ascii="Calibri"/>
                <w:sz w:val="24"/>
              </w:rPr>
              <w:t>Surfing</w:t>
            </w:r>
            <w:r>
              <w:rPr>
                <w:rFonts w:ascii="Calibri"/>
                <w:spacing w:val="-13"/>
                <w:sz w:val="24"/>
              </w:rPr>
              <w:t xml:space="preserve"> </w:t>
            </w:r>
            <w:r>
              <w:rPr>
                <w:rFonts w:ascii="Calibri"/>
                <w:sz w:val="24"/>
              </w:rPr>
              <w:t xml:space="preserve">Australia Finance and Risk </w:t>
            </w:r>
            <w:r>
              <w:rPr>
                <w:rFonts w:ascii="Calibri"/>
                <w:spacing w:val="-2"/>
                <w:sz w:val="24"/>
              </w:rPr>
              <w:t>Committee</w:t>
            </w:r>
          </w:p>
        </w:tc>
        <w:tc>
          <w:tcPr>
            <w:tcW w:w="2834" w:type="dxa"/>
            <w:tcBorders>
              <w:top w:val="nil"/>
              <w:bottom w:val="nil"/>
            </w:tcBorders>
          </w:tcPr>
          <w:p w14:paraId="1E805650" w14:textId="77777777" w:rsidR="00AA4A02" w:rsidRDefault="00AA4A02">
            <w:pPr>
              <w:pStyle w:val="TableParagraph"/>
              <w:ind w:left="0"/>
              <w:rPr>
                <w:sz w:val="24"/>
              </w:rPr>
            </w:pPr>
          </w:p>
        </w:tc>
      </w:tr>
      <w:tr w:rsidR="00AA4A02" w14:paraId="1E805658" w14:textId="77777777">
        <w:trPr>
          <w:trHeight w:val="1675"/>
        </w:trPr>
        <w:tc>
          <w:tcPr>
            <w:tcW w:w="1980" w:type="dxa"/>
            <w:tcBorders>
              <w:top w:val="nil"/>
            </w:tcBorders>
          </w:tcPr>
          <w:p w14:paraId="1E805652" w14:textId="77777777" w:rsidR="00AA4A02" w:rsidRDefault="00AA4A02">
            <w:pPr>
              <w:pStyle w:val="TableParagraph"/>
              <w:ind w:left="0"/>
              <w:rPr>
                <w:sz w:val="24"/>
              </w:rPr>
            </w:pPr>
          </w:p>
        </w:tc>
        <w:tc>
          <w:tcPr>
            <w:tcW w:w="2834" w:type="dxa"/>
            <w:tcBorders>
              <w:top w:val="nil"/>
            </w:tcBorders>
          </w:tcPr>
          <w:p w14:paraId="1E805653" w14:textId="77777777" w:rsidR="00AA4A02" w:rsidRDefault="00AA4A02">
            <w:pPr>
              <w:pStyle w:val="TableParagraph"/>
              <w:spacing w:before="30"/>
              <w:ind w:left="0"/>
              <w:rPr>
                <w:rFonts w:ascii="Calibri"/>
                <w:sz w:val="24"/>
              </w:rPr>
            </w:pPr>
          </w:p>
          <w:p w14:paraId="1E805654" w14:textId="77777777" w:rsidR="00AA4A02" w:rsidRDefault="00960F31">
            <w:pPr>
              <w:pStyle w:val="TableParagraph"/>
              <w:ind w:right="586"/>
              <w:rPr>
                <w:rFonts w:ascii="Calibri"/>
                <w:sz w:val="24"/>
              </w:rPr>
            </w:pPr>
            <w:r>
              <w:rPr>
                <w:rFonts w:ascii="Calibri"/>
                <w:sz w:val="24"/>
              </w:rPr>
              <w:t>Fellow, Institute of Practising</w:t>
            </w:r>
            <w:r>
              <w:rPr>
                <w:rFonts w:ascii="Calibri"/>
                <w:spacing w:val="-14"/>
                <w:sz w:val="24"/>
              </w:rPr>
              <w:t xml:space="preserve"> </w:t>
            </w:r>
            <w:r>
              <w:rPr>
                <w:rFonts w:ascii="Calibri"/>
                <w:sz w:val="24"/>
              </w:rPr>
              <w:t xml:space="preserve">Accountant </w:t>
            </w:r>
            <w:r>
              <w:rPr>
                <w:rFonts w:ascii="Calibri"/>
                <w:spacing w:val="-2"/>
                <w:sz w:val="24"/>
              </w:rPr>
              <w:t>(IPA)</w:t>
            </w:r>
          </w:p>
        </w:tc>
        <w:tc>
          <w:tcPr>
            <w:tcW w:w="2836" w:type="dxa"/>
            <w:tcBorders>
              <w:top w:val="nil"/>
            </w:tcBorders>
          </w:tcPr>
          <w:p w14:paraId="1E805655" w14:textId="77777777" w:rsidR="00AA4A02" w:rsidRDefault="00960F31">
            <w:pPr>
              <w:pStyle w:val="TableParagraph"/>
              <w:spacing w:before="45"/>
              <w:ind w:left="108"/>
              <w:rPr>
                <w:rFonts w:ascii="Calibri"/>
                <w:sz w:val="24"/>
              </w:rPr>
            </w:pPr>
            <w:r>
              <w:rPr>
                <w:rFonts w:ascii="Calibri"/>
                <w:sz w:val="24"/>
              </w:rPr>
              <w:t>Director,</w:t>
            </w:r>
            <w:r>
              <w:rPr>
                <w:rFonts w:ascii="Calibri"/>
                <w:spacing w:val="-13"/>
                <w:sz w:val="24"/>
              </w:rPr>
              <w:t xml:space="preserve"> </w:t>
            </w:r>
            <w:r>
              <w:rPr>
                <w:rFonts w:ascii="Calibri"/>
                <w:sz w:val="24"/>
              </w:rPr>
              <w:t>Angus</w:t>
            </w:r>
            <w:r>
              <w:rPr>
                <w:rFonts w:ascii="Calibri"/>
                <w:spacing w:val="-14"/>
                <w:sz w:val="24"/>
              </w:rPr>
              <w:t xml:space="preserve"> </w:t>
            </w:r>
            <w:r>
              <w:rPr>
                <w:rFonts w:ascii="Calibri"/>
                <w:sz w:val="24"/>
              </w:rPr>
              <w:t>Knight</w:t>
            </w:r>
            <w:r>
              <w:rPr>
                <w:rFonts w:ascii="Calibri"/>
                <w:spacing w:val="-12"/>
                <w:sz w:val="24"/>
              </w:rPr>
              <w:t xml:space="preserve"> </w:t>
            </w:r>
            <w:r>
              <w:rPr>
                <w:rFonts w:ascii="Calibri"/>
                <w:sz w:val="24"/>
              </w:rPr>
              <w:t xml:space="preserve">Pty </w:t>
            </w:r>
            <w:r>
              <w:rPr>
                <w:rFonts w:ascii="Calibri"/>
                <w:spacing w:val="-4"/>
                <w:sz w:val="24"/>
              </w:rPr>
              <w:t>Ltd</w:t>
            </w:r>
          </w:p>
          <w:p w14:paraId="1E805656" w14:textId="77777777" w:rsidR="00AA4A02" w:rsidRDefault="00960F31">
            <w:pPr>
              <w:pStyle w:val="TableParagraph"/>
              <w:spacing w:before="239"/>
              <w:ind w:left="141" w:right="182" w:hanging="34"/>
              <w:rPr>
                <w:rFonts w:ascii="Calibri"/>
                <w:sz w:val="24"/>
              </w:rPr>
            </w:pPr>
            <w:r>
              <w:rPr>
                <w:rFonts w:ascii="Calibri"/>
                <w:sz w:val="24"/>
              </w:rPr>
              <w:t>Member</w:t>
            </w:r>
            <w:r>
              <w:rPr>
                <w:rFonts w:ascii="Calibri"/>
                <w:spacing w:val="-8"/>
                <w:sz w:val="24"/>
              </w:rPr>
              <w:t xml:space="preserve"> </w:t>
            </w:r>
            <w:r>
              <w:rPr>
                <w:rFonts w:ascii="Calibri"/>
                <w:sz w:val="24"/>
              </w:rPr>
              <w:t>of</w:t>
            </w:r>
            <w:r>
              <w:rPr>
                <w:rFonts w:ascii="Calibri"/>
                <w:spacing w:val="-9"/>
                <w:sz w:val="24"/>
              </w:rPr>
              <w:t xml:space="preserve"> </w:t>
            </w:r>
            <w:r>
              <w:rPr>
                <w:rFonts w:ascii="Calibri"/>
                <w:sz w:val="24"/>
              </w:rPr>
              <w:t>the</w:t>
            </w:r>
            <w:r>
              <w:rPr>
                <w:rFonts w:ascii="Calibri"/>
                <w:spacing w:val="-10"/>
                <w:sz w:val="24"/>
              </w:rPr>
              <w:t xml:space="preserve"> </w:t>
            </w:r>
            <w:r>
              <w:rPr>
                <w:rFonts w:ascii="Calibri"/>
                <w:sz w:val="24"/>
              </w:rPr>
              <w:t>Board</w:t>
            </w:r>
            <w:r>
              <w:rPr>
                <w:rFonts w:ascii="Calibri"/>
                <w:spacing w:val="-9"/>
                <w:sz w:val="24"/>
              </w:rPr>
              <w:t xml:space="preserve"> </w:t>
            </w:r>
            <w:r>
              <w:rPr>
                <w:rFonts w:ascii="Calibri"/>
                <w:sz w:val="24"/>
              </w:rPr>
              <w:t>of L1 Group Limited</w:t>
            </w:r>
          </w:p>
        </w:tc>
        <w:tc>
          <w:tcPr>
            <w:tcW w:w="2834" w:type="dxa"/>
            <w:tcBorders>
              <w:top w:val="nil"/>
            </w:tcBorders>
          </w:tcPr>
          <w:p w14:paraId="1E805657" w14:textId="77777777" w:rsidR="00AA4A02" w:rsidRDefault="00AA4A02">
            <w:pPr>
              <w:pStyle w:val="TableParagraph"/>
              <w:ind w:left="0"/>
              <w:rPr>
                <w:sz w:val="24"/>
              </w:rPr>
            </w:pPr>
          </w:p>
        </w:tc>
      </w:tr>
    </w:tbl>
    <w:p w14:paraId="1E805659" w14:textId="77777777" w:rsidR="00AA4A02" w:rsidRDefault="00AA4A02">
      <w:pPr>
        <w:pStyle w:val="TableParagraph"/>
        <w:rPr>
          <w:sz w:val="24"/>
        </w:rPr>
        <w:sectPr w:rsidR="00AA4A02">
          <w:headerReference w:type="default" r:id="rId14"/>
          <w:footerReference w:type="default" r:id="rId15"/>
          <w:pgSz w:w="11910" w:h="16840"/>
          <w:pgMar w:top="1380" w:right="566" w:bottom="1240" w:left="566" w:header="0" w:footer="1048"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834"/>
        <w:gridCol w:w="2836"/>
        <w:gridCol w:w="2834"/>
      </w:tblGrid>
      <w:tr w:rsidR="00AA4A02" w14:paraId="1E80565E" w14:textId="77777777">
        <w:trPr>
          <w:trHeight w:val="938"/>
        </w:trPr>
        <w:tc>
          <w:tcPr>
            <w:tcW w:w="1980" w:type="dxa"/>
          </w:tcPr>
          <w:p w14:paraId="1E80565A" w14:textId="77777777" w:rsidR="00AA4A02" w:rsidRDefault="00960F31">
            <w:pPr>
              <w:pStyle w:val="TableParagraph"/>
              <w:spacing w:line="292" w:lineRule="exact"/>
              <w:rPr>
                <w:rFonts w:ascii="Calibri"/>
                <w:b/>
                <w:sz w:val="24"/>
              </w:rPr>
            </w:pPr>
            <w:r>
              <w:rPr>
                <w:rFonts w:ascii="Calibri"/>
                <w:b/>
                <w:sz w:val="24"/>
              </w:rPr>
              <w:lastRenderedPageBreak/>
              <w:t xml:space="preserve">FRC </w:t>
            </w:r>
            <w:r>
              <w:rPr>
                <w:rFonts w:ascii="Calibri"/>
                <w:b/>
                <w:spacing w:val="-2"/>
                <w:sz w:val="24"/>
              </w:rPr>
              <w:t>Member</w:t>
            </w:r>
          </w:p>
        </w:tc>
        <w:tc>
          <w:tcPr>
            <w:tcW w:w="2834" w:type="dxa"/>
          </w:tcPr>
          <w:p w14:paraId="1E80565B" w14:textId="77777777" w:rsidR="00AA4A02" w:rsidRDefault="00960F31">
            <w:pPr>
              <w:pStyle w:val="TableParagraph"/>
              <w:ind w:right="110"/>
              <w:rPr>
                <w:rFonts w:ascii="Calibri"/>
                <w:b/>
                <w:sz w:val="24"/>
              </w:rPr>
            </w:pPr>
            <w:r>
              <w:rPr>
                <w:rFonts w:ascii="Calibri"/>
                <w:b/>
                <w:sz w:val="24"/>
              </w:rPr>
              <w:t>Stakeholder /</w:t>
            </w:r>
            <w:r>
              <w:rPr>
                <w:rFonts w:ascii="Calibri"/>
                <w:b/>
                <w:spacing w:val="40"/>
                <w:sz w:val="24"/>
              </w:rPr>
              <w:t xml:space="preserve"> </w:t>
            </w:r>
            <w:r>
              <w:rPr>
                <w:rFonts w:ascii="Calibri"/>
                <w:b/>
                <w:sz w:val="24"/>
              </w:rPr>
              <w:t>Professional / Organisational</w:t>
            </w:r>
            <w:r>
              <w:rPr>
                <w:rFonts w:ascii="Calibri"/>
                <w:b/>
                <w:spacing w:val="-14"/>
                <w:sz w:val="24"/>
              </w:rPr>
              <w:t xml:space="preserve"> </w:t>
            </w:r>
            <w:r>
              <w:rPr>
                <w:rFonts w:ascii="Calibri"/>
                <w:b/>
                <w:sz w:val="24"/>
              </w:rPr>
              <w:t>Affiliations</w:t>
            </w:r>
          </w:p>
        </w:tc>
        <w:tc>
          <w:tcPr>
            <w:tcW w:w="2836" w:type="dxa"/>
          </w:tcPr>
          <w:p w14:paraId="1E80565C" w14:textId="77777777" w:rsidR="00AA4A02" w:rsidRDefault="00960F31">
            <w:pPr>
              <w:pStyle w:val="TableParagraph"/>
              <w:ind w:left="108" w:right="161"/>
              <w:rPr>
                <w:rFonts w:ascii="Calibri"/>
                <w:b/>
                <w:sz w:val="24"/>
              </w:rPr>
            </w:pPr>
            <w:r>
              <w:rPr>
                <w:rFonts w:ascii="Calibri"/>
                <w:b/>
                <w:sz w:val="24"/>
              </w:rPr>
              <w:t>Employment</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Other Positions Held</w:t>
            </w:r>
          </w:p>
        </w:tc>
        <w:tc>
          <w:tcPr>
            <w:tcW w:w="2834" w:type="dxa"/>
          </w:tcPr>
          <w:p w14:paraId="1E80565D" w14:textId="77777777" w:rsidR="00AA4A02" w:rsidRDefault="00960F31">
            <w:pPr>
              <w:pStyle w:val="TableParagraph"/>
              <w:spacing w:line="292" w:lineRule="exact"/>
              <w:ind w:left="109"/>
              <w:rPr>
                <w:rFonts w:ascii="Calibri"/>
                <w:b/>
                <w:sz w:val="24"/>
              </w:rPr>
            </w:pPr>
            <w:r>
              <w:rPr>
                <w:rFonts w:ascii="Calibri"/>
                <w:b/>
                <w:sz w:val="24"/>
              </w:rPr>
              <w:t>Other</w:t>
            </w:r>
            <w:r>
              <w:rPr>
                <w:rFonts w:ascii="Calibri"/>
                <w:b/>
                <w:spacing w:val="-2"/>
                <w:sz w:val="24"/>
              </w:rPr>
              <w:t xml:space="preserve"> Interests</w:t>
            </w:r>
          </w:p>
        </w:tc>
      </w:tr>
      <w:tr w:rsidR="00AA4A02" w14:paraId="1E805666" w14:textId="77777777">
        <w:trPr>
          <w:trHeight w:val="4528"/>
        </w:trPr>
        <w:tc>
          <w:tcPr>
            <w:tcW w:w="1980" w:type="dxa"/>
          </w:tcPr>
          <w:p w14:paraId="1E80565F" w14:textId="77777777" w:rsidR="00AA4A02" w:rsidRDefault="00AA4A02">
            <w:pPr>
              <w:pStyle w:val="TableParagraph"/>
              <w:ind w:left="0"/>
              <w:rPr>
                <w:sz w:val="24"/>
              </w:rPr>
            </w:pPr>
          </w:p>
        </w:tc>
        <w:tc>
          <w:tcPr>
            <w:tcW w:w="2834" w:type="dxa"/>
          </w:tcPr>
          <w:p w14:paraId="1E805660" w14:textId="77777777" w:rsidR="00AA4A02" w:rsidRDefault="00AA4A02">
            <w:pPr>
              <w:pStyle w:val="TableParagraph"/>
              <w:ind w:left="0"/>
              <w:rPr>
                <w:sz w:val="24"/>
              </w:rPr>
            </w:pPr>
          </w:p>
        </w:tc>
        <w:tc>
          <w:tcPr>
            <w:tcW w:w="2836" w:type="dxa"/>
          </w:tcPr>
          <w:p w14:paraId="1E805661" w14:textId="77777777" w:rsidR="00AA4A02" w:rsidRDefault="00960F31">
            <w:pPr>
              <w:pStyle w:val="TableParagraph"/>
              <w:ind w:left="141" w:right="161" w:hanging="34"/>
              <w:rPr>
                <w:rFonts w:ascii="Calibri"/>
                <w:sz w:val="24"/>
              </w:rPr>
            </w:pPr>
            <w:r>
              <w:rPr>
                <w:rFonts w:ascii="Calibri"/>
                <w:sz w:val="24"/>
              </w:rPr>
              <w:t>Member of the Board of DigiCo</w:t>
            </w:r>
            <w:r>
              <w:rPr>
                <w:rFonts w:ascii="Calibri"/>
                <w:spacing w:val="-14"/>
                <w:sz w:val="24"/>
              </w:rPr>
              <w:t xml:space="preserve"> </w:t>
            </w:r>
            <w:r>
              <w:rPr>
                <w:rFonts w:ascii="Calibri"/>
                <w:sz w:val="24"/>
              </w:rPr>
              <w:t>Infrastructure</w:t>
            </w:r>
            <w:r>
              <w:rPr>
                <w:rFonts w:ascii="Calibri"/>
                <w:spacing w:val="-14"/>
                <w:sz w:val="24"/>
              </w:rPr>
              <w:t xml:space="preserve"> </w:t>
            </w:r>
            <w:r>
              <w:rPr>
                <w:rFonts w:ascii="Calibri"/>
                <w:sz w:val="24"/>
              </w:rPr>
              <w:t>REIT</w:t>
            </w:r>
          </w:p>
          <w:p w14:paraId="1E805662" w14:textId="77777777" w:rsidR="00AA4A02" w:rsidRDefault="00960F31">
            <w:pPr>
              <w:pStyle w:val="TableParagraph"/>
              <w:spacing w:before="121"/>
              <w:ind w:left="141" w:right="131" w:hanging="34"/>
              <w:rPr>
                <w:rFonts w:ascii="Calibri"/>
                <w:sz w:val="24"/>
              </w:rPr>
            </w:pPr>
            <w:r>
              <w:rPr>
                <w:rFonts w:ascii="Calibri"/>
                <w:sz w:val="24"/>
              </w:rPr>
              <w:t>Member of the Boards of HMC</w:t>
            </w:r>
            <w:r>
              <w:rPr>
                <w:rFonts w:ascii="Calibri"/>
                <w:spacing w:val="-11"/>
                <w:sz w:val="24"/>
              </w:rPr>
              <w:t xml:space="preserve"> </w:t>
            </w:r>
            <w:r>
              <w:rPr>
                <w:rFonts w:ascii="Calibri"/>
                <w:sz w:val="24"/>
              </w:rPr>
              <w:t>Capital</w:t>
            </w:r>
            <w:r>
              <w:rPr>
                <w:rFonts w:ascii="Calibri"/>
                <w:spacing w:val="-13"/>
                <w:sz w:val="24"/>
              </w:rPr>
              <w:t xml:space="preserve"> </w:t>
            </w:r>
            <w:r>
              <w:rPr>
                <w:rFonts w:ascii="Calibri"/>
                <w:sz w:val="24"/>
              </w:rPr>
              <w:t>Partners</w:t>
            </w:r>
            <w:r>
              <w:rPr>
                <w:rFonts w:ascii="Calibri"/>
                <w:spacing w:val="-13"/>
                <w:sz w:val="24"/>
              </w:rPr>
              <w:t xml:space="preserve"> </w:t>
            </w:r>
            <w:r>
              <w:rPr>
                <w:rFonts w:ascii="Calibri"/>
                <w:sz w:val="24"/>
              </w:rPr>
              <w:t>No1 Pty Ltd, HMC Capital Partners No.2 Pty Ltd, HMC Capital Partners No.3 Pty Ltd</w:t>
            </w:r>
          </w:p>
          <w:p w14:paraId="1E805663" w14:textId="77777777" w:rsidR="00AA4A02" w:rsidRDefault="00AA4A02">
            <w:pPr>
              <w:pStyle w:val="TableParagraph"/>
              <w:spacing w:before="239"/>
              <w:ind w:left="0"/>
              <w:rPr>
                <w:rFonts w:ascii="Calibri"/>
                <w:sz w:val="24"/>
              </w:rPr>
            </w:pPr>
          </w:p>
          <w:p w14:paraId="1E805664" w14:textId="77777777" w:rsidR="00AA4A02" w:rsidRDefault="00960F31">
            <w:pPr>
              <w:pStyle w:val="TableParagraph"/>
              <w:ind w:left="108" w:right="161"/>
              <w:rPr>
                <w:rFonts w:ascii="Calibri"/>
                <w:sz w:val="24"/>
              </w:rPr>
            </w:pPr>
            <w:r>
              <w:rPr>
                <w:rFonts w:ascii="Calibri"/>
                <w:sz w:val="24"/>
              </w:rPr>
              <w:t>Chair</w:t>
            </w:r>
            <w:r>
              <w:rPr>
                <w:rFonts w:ascii="Calibri"/>
                <w:spacing w:val="-9"/>
                <w:sz w:val="24"/>
              </w:rPr>
              <w:t xml:space="preserve"> </w:t>
            </w:r>
            <w:r>
              <w:rPr>
                <w:rFonts w:ascii="Calibri"/>
                <w:sz w:val="24"/>
              </w:rPr>
              <w:t>of</w:t>
            </w:r>
            <w:r>
              <w:rPr>
                <w:rFonts w:ascii="Calibri"/>
                <w:spacing w:val="-9"/>
                <w:sz w:val="24"/>
              </w:rPr>
              <w:t xml:space="preserve"> </w:t>
            </w:r>
            <w:r>
              <w:rPr>
                <w:rFonts w:ascii="Calibri"/>
                <w:sz w:val="24"/>
              </w:rPr>
              <w:t>ASX</w:t>
            </w:r>
            <w:r>
              <w:rPr>
                <w:rFonts w:ascii="Calibri"/>
                <w:spacing w:val="-12"/>
                <w:sz w:val="24"/>
              </w:rPr>
              <w:t xml:space="preserve"> </w:t>
            </w:r>
            <w:r>
              <w:rPr>
                <w:rFonts w:ascii="Calibri"/>
                <w:sz w:val="24"/>
              </w:rPr>
              <w:t>listed</w:t>
            </w:r>
            <w:r>
              <w:rPr>
                <w:rFonts w:ascii="Calibri"/>
                <w:spacing w:val="-9"/>
                <w:sz w:val="24"/>
              </w:rPr>
              <w:t xml:space="preserve"> </w:t>
            </w:r>
            <w:r>
              <w:rPr>
                <w:rFonts w:ascii="Calibri"/>
                <w:sz w:val="24"/>
              </w:rPr>
              <w:t>Global Long Short Fund Limited (ASX Code GLS)</w:t>
            </w:r>
          </w:p>
        </w:tc>
        <w:tc>
          <w:tcPr>
            <w:tcW w:w="2834" w:type="dxa"/>
          </w:tcPr>
          <w:p w14:paraId="1E805665" w14:textId="77777777" w:rsidR="00AA4A02" w:rsidRDefault="00AA4A02">
            <w:pPr>
              <w:pStyle w:val="TableParagraph"/>
              <w:ind w:left="0"/>
              <w:rPr>
                <w:sz w:val="24"/>
              </w:rPr>
            </w:pPr>
          </w:p>
        </w:tc>
      </w:tr>
      <w:tr w:rsidR="00AA4A02" w14:paraId="1E80566F" w14:textId="77777777">
        <w:trPr>
          <w:trHeight w:val="4468"/>
        </w:trPr>
        <w:tc>
          <w:tcPr>
            <w:tcW w:w="1980" w:type="dxa"/>
          </w:tcPr>
          <w:p w14:paraId="1E805667" w14:textId="77777777" w:rsidR="00AA4A02" w:rsidRDefault="00960F31">
            <w:pPr>
              <w:pStyle w:val="TableParagraph"/>
              <w:spacing w:line="292" w:lineRule="exact"/>
              <w:rPr>
                <w:rFonts w:ascii="Calibri"/>
                <w:sz w:val="24"/>
              </w:rPr>
            </w:pPr>
            <w:r>
              <w:rPr>
                <w:rFonts w:ascii="Calibri"/>
                <w:sz w:val="24"/>
              </w:rPr>
              <w:t>Ms Amy</w:t>
            </w:r>
            <w:r>
              <w:rPr>
                <w:rFonts w:ascii="Calibri"/>
                <w:spacing w:val="1"/>
                <w:sz w:val="24"/>
              </w:rPr>
              <w:t xml:space="preserve"> </w:t>
            </w:r>
            <w:r>
              <w:rPr>
                <w:rFonts w:ascii="Calibri"/>
                <w:spacing w:val="-5"/>
                <w:sz w:val="24"/>
              </w:rPr>
              <w:t>Fox</w:t>
            </w:r>
          </w:p>
        </w:tc>
        <w:tc>
          <w:tcPr>
            <w:tcW w:w="2834" w:type="dxa"/>
          </w:tcPr>
          <w:p w14:paraId="1E805668" w14:textId="77777777" w:rsidR="00AA4A02" w:rsidRDefault="00960F31">
            <w:pPr>
              <w:pStyle w:val="TableParagraph"/>
              <w:spacing w:line="292" w:lineRule="exact"/>
              <w:rPr>
                <w:rFonts w:ascii="Calibri"/>
                <w:sz w:val="24"/>
              </w:rPr>
            </w:pPr>
            <w:r>
              <w:rPr>
                <w:rFonts w:ascii="Calibri"/>
                <w:sz w:val="24"/>
              </w:rPr>
              <w:t>Fellow,</w:t>
            </w:r>
            <w:r>
              <w:rPr>
                <w:rFonts w:ascii="Calibri"/>
                <w:spacing w:val="-2"/>
                <w:sz w:val="24"/>
              </w:rPr>
              <w:t xml:space="preserve"> </w:t>
            </w:r>
            <w:r>
              <w:rPr>
                <w:rFonts w:ascii="Calibri"/>
                <w:sz w:val="24"/>
              </w:rPr>
              <w:t>CPA</w:t>
            </w:r>
            <w:r>
              <w:rPr>
                <w:rFonts w:ascii="Calibri"/>
                <w:spacing w:val="1"/>
                <w:sz w:val="24"/>
              </w:rPr>
              <w:t xml:space="preserve"> </w:t>
            </w:r>
            <w:r>
              <w:rPr>
                <w:rFonts w:ascii="Calibri"/>
                <w:spacing w:val="-2"/>
                <w:sz w:val="24"/>
              </w:rPr>
              <w:t>Australia</w:t>
            </w:r>
          </w:p>
          <w:p w14:paraId="1E805669" w14:textId="77777777" w:rsidR="00AA4A02" w:rsidRDefault="00AA4A02">
            <w:pPr>
              <w:pStyle w:val="TableParagraph"/>
              <w:spacing w:before="122"/>
              <w:ind w:left="0"/>
              <w:rPr>
                <w:rFonts w:ascii="Calibri"/>
                <w:sz w:val="24"/>
              </w:rPr>
            </w:pPr>
          </w:p>
          <w:p w14:paraId="1E80566A" w14:textId="77777777" w:rsidR="00AA4A02" w:rsidRDefault="00960F31">
            <w:pPr>
              <w:pStyle w:val="TableParagraph"/>
              <w:ind w:right="577"/>
              <w:rPr>
                <w:rFonts w:ascii="Calibri"/>
                <w:sz w:val="24"/>
              </w:rPr>
            </w:pPr>
            <w:r>
              <w:rPr>
                <w:rFonts w:ascii="Calibri"/>
                <w:sz w:val="24"/>
              </w:rPr>
              <w:t>Fellow, Chartered Accountants</w:t>
            </w:r>
            <w:r>
              <w:rPr>
                <w:rFonts w:ascii="Calibri"/>
                <w:spacing w:val="-14"/>
                <w:sz w:val="24"/>
              </w:rPr>
              <w:t xml:space="preserve"> </w:t>
            </w:r>
            <w:r>
              <w:rPr>
                <w:rFonts w:ascii="Calibri"/>
                <w:sz w:val="24"/>
              </w:rPr>
              <w:t>Australia New Zealand</w:t>
            </w:r>
          </w:p>
          <w:p w14:paraId="1E80566B" w14:textId="77777777" w:rsidR="00AA4A02" w:rsidRDefault="00AA4A02">
            <w:pPr>
              <w:pStyle w:val="TableParagraph"/>
              <w:spacing w:before="119"/>
              <w:ind w:left="0"/>
              <w:rPr>
                <w:rFonts w:ascii="Calibri"/>
                <w:sz w:val="24"/>
              </w:rPr>
            </w:pPr>
          </w:p>
          <w:p w14:paraId="1E80566C" w14:textId="77777777" w:rsidR="00AA4A02" w:rsidRDefault="00960F31">
            <w:pPr>
              <w:pStyle w:val="TableParagraph"/>
              <w:ind w:right="657"/>
              <w:jc w:val="both"/>
              <w:rPr>
                <w:rFonts w:ascii="Calibri"/>
                <w:sz w:val="24"/>
              </w:rPr>
            </w:pPr>
            <w:r>
              <w:rPr>
                <w:rFonts w:ascii="Calibri"/>
                <w:sz w:val="24"/>
              </w:rPr>
              <w:t>Graduate,</w:t>
            </w:r>
            <w:r>
              <w:rPr>
                <w:rFonts w:ascii="Calibri"/>
                <w:spacing w:val="-1"/>
                <w:sz w:val="24"/>
              </w:rPr>
              <w:t xml:space="preserve"> </w:t>
            </w:r>
            <w:r>
              <w:rPr>
                <w:rFonts w:ascii="Calibri"/>
                <w:sz w:val="24"/>
              </w:rPr>
              <w:t>Australian Institute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 xml:space="preserve">Company </w:t>
            </w:r>
            <w:r>
              <w:rPr>
                <w:rFonts w:ascii="Calibri"/>
                <w:spacing w:val="-2"/>
                <w:sz w:val="24"/>
              </w:rPr>
              <w:t>Directors</w:t>
            </w:r>
          </w:p>
        </w:tc>
        <w:tc>
          <w:tcPr>
            <w:tcW w:w="2836" w:type="dxa"/>
          </w:tcPr>
          <w:p w14:paraId="1E80566D" w14:textId="77777777" w:rsidR="00AA4A02" w:rsidRDefault="00960F31">
            <w:pPr>
              <w:pStyle w:val="TableParagraph"/>
              <w:spacing w:line="242" w:lineRule="auto"/>
              <w:ind w:left="108" w:right="161"/>
              <w:rPr>
                <w:rFonts w:ascii="Calibri"/>
                <w:sz w:val="24"/>
              </w:rPr>
            </w:pPr>
            <w:r>
              <w:rPr>
                <w:rFonts w:ascii="Calibri"/>
                <w:sz w:val="24"/>
              </w:rPr>
              <w:t>Department</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 xml:space="preserve">Finance, Australian </w:t>
            </w:r>
            <w:r>
              <w:rPr>
                <w:rFonts w:ascii="Calibri"/>
                <w:spacing w:val="-2"/>
                <w:sz w:val="24"/>
              </w:rPr>
              <w:t>Government</w:t>
            </w:r>
          </w:p>
        </w:tc>
        <w:tc>
          <w:tcPr>
            <w:tcW w:w="2834" w:type="dxa"/>
          </w:tcPr>
          <w:p w14:paraId="1E80566E" w14:textId="77777777" w:rsidR="00AA4A02" w:rsidRDefault="00960F31">
            <w:pPr>
              <w:pStyle w:val="TableParagraph"/>
              <w:spacing w:line="292" w:lineRule="exact"/>
              <w:ind w:left="109"/>
              <w:rPr>
                <w:rFonts w:ascii="Calibri"/>
                <w:sz w:val="24"/>
              </w:rPr>
            </w:pPr>
            <w:r>
              <w:rPr>
                <w:rFonts w:ascii="Calibri"/>
                <w:spacing w:val="-5"/>
                <w:sz w:val="24"/>
              </w:rPr>
              <w:t>Nil</w:t>
            </w:r>
          </w:p>
        </w:tc>
      </w:tr>
    </w:tbl>
    <w:p w14:paraId="1E805670" w14:textId="77777777" w:rsidR="00AA4A02" w:rsidRDefault="00AA4A02">
      <w:pPr>
        <w:pStyle w:val="TableParagraph"/>
        <w:spacing w:line="292" w:lineRule="exact"/>
        <w:rPr>
          <w:rFonts w:ascii="Calibri"/>
          <w:sz w:val="24"/>
        </w:rPr>
        <w:sectPr w:rsidR="00AA4A02">
          <w:headerReference w:type="default" r:id="rId16"/>
          <w:footerReference w:type="default" r:id="rId17"/>
          <w:pgSz w:w="11910" w:h="16840"/>
          <w:pgMar w:top="1380" w:right="566" w:bottom="1240" w:left="566" w:header="0" w:footer="1048"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834"/>
        <w:gridCol w:w="2836"/>
        <w:gridCol w:w="2834"/>
      </w:tblGrid>
      <w:tr w:rsidR="00AA4A02" w14:paraId="1E805675" w14:textId="77777777">
        <w:trPr>
          <w:trHeight w:val="938"/>
        </w:trPr>
        <w:tc>
          <w:tcPr>
            <w:tcW w:w="1980" w:type="dxa"/>
          </w:tcPr>
          <w:p w14:paraId="1E805671" w14:textId="77777777" w:rsidR="00AA4A02" w:rsidRDefault="00960F31">
            <w:pPr>
              <w:pStyle w:val="TableParagraph"/>
              <w:spacing w:line="292" w:lineRule="exact"/>
              <w:rPr>
                <w:rFonts w:ascii="Calibri"/>
                <w:b/>
                <w:sz w:val="24"/>
              </w:rPr>
            </w:pPr>
            <w:r>
              <w:rPr>
                <w:rFonts w:ascii="Calibri"/>
                <w:b/>
                <w:sz w:val="24"/>
              </w:rPr>
              <w:lastRenderedPageBreak/>
              <w:t xml:space="preserve">FRC </w:t>
            </w:r>
            <w:r>
              <w:rPr>
                <w:rFonts w:ascii="Calibri"/>
                <w:b/>
                <w:spacing w:val="-2"/>
                <w:sz w:val="24"/>
              </w:rPr>
              <w:t>Member</w:t>
            </w:r>
          </w:p>
        </w:tc>
        <w:tc>
          <w:tcPr>
            <w:tcW w:w="2834" w:type="dxa"/>
          </w:tcPr>
          <w:p w14:paraId="1E805672" w14:textId="77777777" w:rsidR="00AA4A02" w:rsidRDefault="00960F31">
            <w:pPr>
              <w:pStyle w:val="TableParagraph"/>
              <w:ind w:right="110"/>
              <w:rPr>
                <w:rFonts w:ascii="Calibri"/>
                <w:b/>
                <w:sz w:val="24"/>
              </w:rPr>
            </w:pPr>
            <w:r>
              <w:rPr>
                <w:rFonts w:ascii="Calibri"/>
                <w:b/>
                <w:sz w:val="24"/>
              </w:rPr>
              <w:t>Stakeholder /</w:t>
            </w:r>
            <w:r>
              <w:rPr>
                <w:rFonts w:ascii="Calibri"/>
                <w:b/>
                <w:spacing w:val="40"/>
                <w:sz w:val="24"/>
              </w:rPr>
              <w:t xml:space="preserve"> </w:t>
            </w:r>
            <w:r>
              <w:rPr>
                <w:rFonts w:ascii="Calibri"/>
                <w:b/>
                <w:sz w:val="24"/>
              </w:rPr>
              <w:t>Professional / Organisational</w:t>
            </w:r>
            <w:r>
              <w:rPr>
                <w:rFonts w:ascii="Calibri"/>
                <w:b/>
                <w:spacing w:val="-14"/>
                <w:sz w:val="24"/>
              </w:rPr>
              <w:t xml:space="preserve"> </w:t>
            </w:r>
            <w:r>
              <w:rPr>
                <w:rFonts w:ascii="Calibri"/>
                <w:b/>
                <w:sz w:val="24"/>
              </w:rPr>
              <w:t>Affiliations</w:t>
            </w:r>
          </w:p>
        </w:tc>
        <w:tc>
          <w:tcPr>
            <w:tcW w:w="2836" w:type="dxa"/>
          </w:tcPr>
          <w:p w14:paraId="1E805673" w14:textId="77777777" w:rsidR="00AA4A02" w:rsidRDefault="00960F31">
            <w:pPr>
              <w:pStyle w:val="TableParagraph"/>
              <w:ind w:left="108" w:right="161"/>
              <w:rPr>
                <w:rFonts w:ascii="Calibri"/>
                <w:b/>
                <w:sz w:val="24"/>
              </w:rPr>
            </w:pPr>
            <w:r>
              <w:rPr>
                <w:rFonts w:ascii="Calibri"/>
                <w:b/>
                <w:sz w:val="24"/>
              </w:rPr>
              <w:t>Employment</w:t>
            </w:r>
            <w:r>
              <w:rPr>
                <w:rFonts w:ascii="Calibri"/>
                <w:b/>
                <w:spacing w:val="-14"/>
                <w:sz w:val="24"/>
              </w:rPr>
              <w:t xml:space="preserve"> </w:t>
            </w:r>
            <w:r>
              <w:rPr>
                <w:rFonts w:ascii="Calibri"/>
                <w:b/>
                <w:sz w:val="24"/>
              </w:rPr>
              <w:t>/</w:t>
            </w:r>
            <w:r>
              <w:rPr>
                <w:rFonts w:ascii="Calibri"/>
                <w:b/>
                <w:spacing w:val="-14"/>
                <w:sz w:val="24"/>
              </w:rPr>
              <w:t xml:space="preserve"> </w:t>
            </w:r>
            <w:r>
              <w:rPr>
                <w:rFonts w:ascii="Calibri"/>
                <w:b/>
                <w:sz w:val="24"/>
              </w:rPr>
              <w:t>Other Positions Held</w:t>
            </w:r>
          </w:p>
        </w:tc>
        <w:tc>
          <w:tcPr>
            <w:tcW w:w="2834" w:type="dxa"/>
          </w:tcPr>
          <w:p w14:paraId="1E805674" w14:textId="77777777" w:rsidR="00AA4A02" w:rsidRDefault="00960F31">
            <w:pPr>
              <w:pStyle w:val="TableParagraph"/>
              <w:spacing w:line="292" w:lineRule="exact"/>
              <w:ind w:left="109"/>
              <w:rPr>
                <w:rFonts w:ascii="Calibri"/>
                <w:b/>
                <w:sz w:val="24"/>
              </w:rPr>
            </w:pPr>
            <w:r>
              <w:rPr>
                <w:rFonts w:ascii="Calibri"/>
                <w:b/>
                <w:sz w:val="24"/>
              </w:rPr>
              <w:t>Other</w:t>
            </w:r>
            <w:r>
              <w:rPr>
                <w:rFonts w:ascii="Calibri"/>
                <w:b/>
                <w:spacing w:val="-2"/>
                <w:sz w:val="24"/>
              </w:rPr>
              <w:t xml:space="preserve"> Interests</w:t>
            </w:r>
          </w:p>
        </w:tc>
      </w:tr>
      <w:tr w:rsidR="00AA4A02" w14:paraId="1E80567D" w14:textId="77777777">
        <w:trPr>
          <w:trHeight w:val="4293"/>
        </w:trPr>
        <w:tc>
          <w:tcPr>
            <w:tcW w:w="1980" w:type="dxa"/>
          </w:tcPr>
          <w:p w14:paraId="1E805676" w14:textId="77777777" w:rsidR="00AA4A02" w:rsidRDefault="00960F31">
            <w:pPr>
              <w:pStyle w:val="TableParagraph"/>
              <w:spacing w:line="292" w:lineRule="exact"/>
              <w:rPr>
                <w:rFonts w:ascii="Calibri"/>
                <w:sz w:val="24"/>
              </w:rPr>
            </w:pPr>
            <w:r>
              <w:rPr>
                <w:rFonts w:ascii="Calibri"/>
                <w:sz w:val="24"/>
              </w:rPr>
              <w:t>Ms</w:t>
            </w:r>
            <w:r>
              <w:rPr>
                <w:rFonts w:ascii="Calibri"/>
                <w:spacing w:val="-3"/>
                <w:sz w:val="24"/>
              </w:rPr>
              <w:t xml:space="preserve"> </w:t>
            </w:r>
            <w:r>
              <w:rPr>
                <w:rFonts w:ascii="Calibri"/>
                <w:sz w:val="24"/>
              </w:rPr>
              <w:t>Alison</w:t>
            </w:r>
            <w:r>
              <w:rPr>
                <w:rFonts w:ascii="Calibri"/>
                <w:spacing w:val="1"/>
                <w:sz w:val="24"/>
              </w:rPr>
              <w:t xml:space="preserve"> </w:t>
            </w:r>
            <w:r>
              <w:rPr>
                <w:rFonts w:ascii="Calibri"/>
                <w:spacing w:val="-4"/>
                <w:sz w:val="24"/>
              </w:rPr>
              <w:t>White</w:t>
            </w:r>
          </w:p>
        </w:tc>
        <w:tc>
          <w:tcPr>
            <w:tcW w:w="2834" w:type="dxa"/>
          </w:tcPr>
          <w:p w14:paraId="1E805677" w14:textId="77777777" w:rsidR="00AA4A02" w:rsidRDefault="00960F31">
            <w:pPr>
              <w:pStyle w:val="TableParagraph"/>
              <w:spacing w:line="292" w:lineRule="exact"/>
              <w:rPr>
                <w:rFonts w:ascii="Calibri"/>
                <w:sz w:val="24"/>
              </w:rPr>
            </w:pPr>
            <w:r>
              <w:rPr>
                <w:rFonts w:ascii="Calibri"/>
                <w:spacing w:val="-2"/>
                <w:sz w:val="24"/>
              </w:rPr>
              <w:t>Deloitte</w:t>
            </w:r>
          </w:p>
        </w:tc>
        <w:tc>
          <w:tcPr>
            <w:tcW w:w="2836" w:type="dxa"/>
          </w:tcPr>
          <w:p w14:paraId="1E805678" w14:textId="77777777" w:rsidR="00AA4A02" w:rsidRDefault="00960F31">
            <w:pPr>
              <w:pStyle w:val="TableParagraph"/>
              <w:ind w:left="108"/>
              <w:rPr>
                <w:rFonts w:ascii="Calibri"/>
                <w:sz w:val="24"/>
              </w:rPr>
            </w:pPr>
            <w:r>
              <w:rPr>
                <w:rFonts w:ascii="Calibri"/>
                <w:sz w:val="24"/>
              </w:rPr>
              <w:t>Partner, Assurance &amp; Advisory;</w:t>
            </w:r>
            <w:r>
              <w:rPr>
                <w:rFonts w:ascii="Calibri"/>
                <w:spacing w:val="-14"/>
                <w:sz w:val="24"/>
              </w:rPr>
              <w:t xml:space="preserve"> </w:t>
            </w:r>
            <w:r>
              <w:rPr>
                <w:rFonts w:ascii="Calibri"/>
                <w:sz w:val="24"/>
              </w:rPr>
              <w:t>National</w:t>
            </w:r>
            <w:r>
              <w:rPr>
                <w:rFonts w:ascii="Calibri"/>
                <w:spacing w:val="-14"/>
                <w:sz w:val="24"/>
              </w:rPr>
              <w:t xml:space="preserve"> </w:t>
            </w:r>
            <w:r>
              <w:rPr>
                <w:rFonts w:ascii="Calibri"/>
                <w:sz w:val="24"/>
              </w:rPr>
              <w:t xml:space="preserve">Leader: Accounting &amp; Corporate </w:t>
            </w:r>
            <w:r>
              <w:rPr>
                <w:rFonts w:ascii="Calibri"/>
                <w:spacing w:val="-2"/>
                <w:sz w:val="24"/>
              </w:rPr>
              <w:t>Reporting</w:t>
            </w:r>
          </w:p>
          <w:p w14:paraId="1E805679" w14:textId="77777777" w:rsidR="00AA4A02" w:rsidRDefault="00AA4A02">
            <w:pPr>
              <w:pStyle w:val="TableParagraph"/>
              <w:ind w:left="0"/>
              <w:rPr>
                <w:rFonts w:ascii="Calibri"/>
                <w:sz w:val="24"/>
              </w:rPr>
            </w:pPr>
          </w:p>
          <w:p w14:paraId="1E80567A" w14:textId="77777777" w:rsidR="00AA4A02" w:rsidRDefault="00960F31">
            <w:pPr>
              <w:pStyle w:val="TableParagraph"/>
              <w:spacing w:before="1"/>
              <w:ind w:left="108"/>
              <w:rPr>
                <w:rFonts w:ascii="Calibri"/>
                <w:sz w:val="24"/>
              </w:rPr>
            </w:pPr>
            <w:r>
              <w:rPr>
                <w:rFonts w:ascii="Calibri"/>
                <w:sz w:val="24"/>
              </w:rPr>
              <w:t>Member,</w:t>
            </w:r>
            <w:r>
              <w:rPr>
                <w:rFonts w:ascii="Calibri"/>
                <w:spacing w:val="-14"/>
                <w:sz w:val="24"/>
              </w:rPr>
              <w:t xml:space="preserve"> </w:t>
            </w:r>
            <w:r>
              <w:rPr>
                <w:rFonts w:ascii="Calibri"/>
                <w:sz w:val="24"/>
              </w:rPr>
              <w:t>Property</w:t>
            </w:r>
            <w:r>
              <w:rPr>
                <w:rFonts w:ascii="Calibri"/>
                <w:spacing w:val="-14"/>
                <w:sz w:val="24"/>
              </w:rPr>
              <w:t xml:space="preserve"> </w:t>
            </w:r>
            <w:r>
              <w:rPr>
                <w:rFonts w:ascii="Calibri"/>
                <w:sz w:val="24"/>
              </w:rPr>
              <w:t xml:space="preserve">Council of Australia National </w:t>
            </w:r>
            <w:r>
              <w:rPr>
                <w:rFonts w:ascii="Calibri"/>
                <w:spacing w:val="-2"/>
                <w:sz w:val="24"/>
              </w:rPr>
              <w:t>Roundtable</w:t>
            </w:r>
          </w:p>
          <w:p w14:paraId="1E80567B" w14:textId="77777777" w:rsidR="00AA4A02" w:rsidRDefault="00960F31">
            <w:pPr>
              <w:pStyle w:val="TableParagraph"/>
              <w:spacing w:before="268"/>
              <w:ind w:left="108" w:right="161"/>
              <w:rPr>
                <w:rFonts w:ascii="Calibri" w:hAnsi="Calibri"/>
                <w:sz w:val="24"/>
              </w:rPr>
            </w:pPr>
            <w:r>
              <w:rPr>
                <w:rFonts w:ascii="Calibri" w:hAnsi="Calibri"/>
                <w:sz w:val="24"/>
              </w:rPr>
              <w:t>Member,</w:t>
            </w:r>
            <w:r>
              <w:rPr>
                <w:rFonts w:ascii="Calibri" w:hAnsi="Calibri"/>
                <w:spacing w:val="-13"/>
                <w:sz w:val="24"/>
              </w:rPr>
              <w:t xml:space="preserve"> </w:t>
            </w:r>
            <w:r>
              <w:rPr>
                <w:rFonts w:ascii="Calibri" w:hAnsi="Calibri"/>
                <w:sz w:val="24"/>
              </w:rPr>
              <w:t>Board</w:t>
            </w:r>
            <w:r>
              <w:rPr>
                <w:rFonts w:ascii="Calibri" w:hAnsi="Calibri"/>
                <w:spacing w:val="-12"/>
                <w:sz w:val="24"/>
              </w:rPr>
              <w:t xml:space="preserve"> </w:t>
            </w:r>
            <w:r>
              <w:rPr>
                <w:rFonts w:ascii="Calibri" w:hAnsi="Calibri"/>
                <w:sz w:val="24"/>
              </w:rPr>
              <w:t>of</w:t>
            </w:r>
            <w:r>
              <w:rPr>
                <w:rFonts w:ascii="Calibri" w:hAnsi="Calibri"/>
                <w:spacing w:val="-12"/>
                <w:sz w:val="24"/>
              </w:rPr>
              <w:t xml:space="preserve"> </w:t>
            </w:r>
            <w:r>
              <w:rPr>
                <w:rFonts w:ascii="Calibri" w:hAnsi="Calibri"/>
                <w:sz w:val="24"/>
              </w:rPr>
              <w:t>Advice of The University of Sydney – Discipline of Accounting, Governance and Regulation</w:t>
            </w:r>
          </w:p>
        </w:tc>
        <w:tc>
          <w:tcPr>
            <w:tcW w:w="2834" w:type="dxa"/>
          </w:tcPr>
          <w:p w14:paraId="1E80567C" w14:textId="77777777" w:rsidR="00AA4A02" w:rsidRDefault="00AA4A02">
            <w:pPr>
              <w:pStyle w:val="TableParagraph"/>
              <w:ind w:left="0"/>
              <w:rPr>
                <w:sz w:val="24"/>
              </w:rPr>
            </w:pPr>
          </w:p>
        </w:tc>
      </w:tr>
    </w:tbl>
    <w:p w14:paraId="1E80567E" w14:textId="77777777" w:rsidR="00AA4A02" w:rsidRDefault="00AA4A02">
      <w:pPr>
        <w:pStyle w:val="TableParagraph"/>
        <w:rPr>
          <w:sz w:val="24"/>
        </w:rPr>
        <w:sectPr w:rsidR="00AA4A02">
          <w:headerReference w:type="default" r:id="rId18"/>
          <w:footerReference w:type="default" r:id="rId19"/>
          <w:pgSz w:w="11910" w:h="16840"/>
          <w:pgMar w:top="1380" w:right="566" w:bottom="1240" w:left="566" w:header="0" w:footer="1048" w:gutter="0"/>
          <w:cols w:space="720"/>
        </w:sectPr>
      </w:pPr>
    </w:p>
    <w:p w14:paraId="1E80567F" w14:textId="77777777" w:rsidR="00AA4A02" w:rsidRDefault="00960F31">
      <w:pPr>
        <w:pStyle w:val="Heading2"/>
        <w:spacing w:before="127"/>
        <w:ind w:right="850"/>
      </w:pPr>
      <w:bookmarkStart w:id="7" w:name="2_Nominations_Committee_update_"/>
      <w:bookmarkStart w:id="8" w:name="Item_2"/>
      <w:bookmarkEnd w:id="7"/>
      <w:bookmarkEnd w:id="8"/>
      <w:r>
        <w:rPr>
          <w:smallCaps/>
          <w:color w:val="585858"/>
        </w:rPr>
        <w:lastRenderedPageBreak/>
        <w:t>Item</w:t>
      </w:r>
      <w:r>
        <w:rPr>
          <w:smallCaps/>
          <w:color w:val="585858"/>
          <w:spacing w:val="-1"/>
        </w:rPr>
        <w:t xml:space="preserve"> </w:t>
      </w:r>
      <w:r>
        <w:rPr>
          <w:smallCaps/>
          <w:color w:val="585858"/>
          <w:spacing w:val="-10"/>
        </w:rPr>
        <w:t>2</w:t>
      </w:r>
    </w:p>
    <w:p w14:paraId="1E805680" w14:textId="77777777" w:rsidR="00AA4A02" w:rsidRDefault="00960F31">
      <w:pPr>
        <w:spacing w:before="120"/>
        <w:ind w:right="850"/>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681" w14:textId="77777777" w:rsidR="00AA4A02" w:rsidRDefault="00960F31">
      <w:pPr>
        <w:pStyle w:val="Heading2"/>
        <w:spacing w:before="301"/>
        <w:ind w:left="852"/>
        <w:jc w:val="left"/>
      </w:pPr>
      <w:bookmarkStart w:id="9" w:name="Nominations_Committee_update"/>
      <w:bookmarkEnd w:id="9"/>
      <w:r>
        <w:rPr>
          <w:smallCaps/>
          <w:color w:val="585858"/>
        </w:rPr>
        <w:t>Nominations</w:t>
      </w:r>
      <w:r>
        <w:rPr>
          <w:smallCaps/>
          <w:color w:val="585858"/>
          <w:spacing w:val="-6"/>
        </w:rPr>
        <w:t xml:space="preserve"> </w:t>
      </w:r>
      <w:r>
        <w:rPr>
          <w:smallCaps/>
          <w:color w:val="585858"/>
        </w:rPr>
        <w:t>Committee</w:t>
      </w:r>
      <w:r>
        <w:rPr>
          <w:smallCaps/>
          <w:color w:val="585858"/>
          <w:spacing w:val="-6"/>
        </w:rPr>
        <w:t xml:space="preserve"> </w:t>
      </w:r>
      <w:r>
        <w:rPr>
          <w:smallCaps/>
          <w:color w:val="585858"/>
          <w:spacing w:val="-2"/>
        </w:rPr>
        <w:t>update</w:t>
      </w:r>
    </w:p>
    <w:p w14:paraId="1E805682" w14:textId="77777777" w:rsidR="00AA4A02" w:rsidRDefault="00960F31">
      <w:pPr>
        <w:pStyle w:val="BodyText"/>
        <w:spacing w:before="90"/>
        <w:rPr>
          <w:rFonts w:ascii="Calibri"/>
          <w:b/>
          <w:sz w:val="20"/>
        </w:rPr>
      </w:pPr>
      <w:r>
        <w:rPr>
          <w:rFonts w:ascii="Calibri"/>
          <w:b/>
          <w:noProof/>
          <w:sz w:val="20"/>
        </w:rPr>
        <mc:AlternateContent>
          <mc:Choice Requires="wps">
            <w:drawing>
              <wp:anchor distT="0" distB="0" distL="0" distR="0" simplePos="0" relativeHeight="487588864" behindDoc="1" locked="0" layoutInCell="1" allowOverlap="1" wp14:anchorId="1E805F15" wp14:editId="1E805F16">
                <wp:simplePos x="0" y="0"/>
                <wp:positionH relativeFrom="page">
                  <wp:posOffset>830580</wp:posOffset>
                </wp:positionH>
                <wp:positionV relativeFrom="paragraph">
                  <wp:posOffset>229665</wp:posOffset>
                </wp:positionV>
                <wp:extent cx="5899785" cy="95567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955675"/>
                        </a:xfrm>
                        <a:prstGeom prst="rect">
                          <a:avLst/>
                        </a:prstGeom>
                        <a:solidFill>
                          <a:srgbClr val="E0EFFF"/>
                        </a:solidFill>
                        <a:ln w="3035">
                          <a:solidFill>
                            <a:srgbClr val="2E5395"/>
                          </a:solidFill>
                          <a:prstDash val="solid"/>
                        </a:ln>
                      </wps:spPr>
                      <wps:txbx>
                        <w:txbxContent>
                          <w:p w14:paraId="1E806061"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2" w14:textId="77777777" w:rsidR="00AA4A02" w:rsidRDefault="00960F31">
                            <w:pPr>
                              <w:numPr>
                                <w:ilvl w:val="0"/>
                                <w:numId w:val="60"/>
                              </w:numPr>
                              <w:tabs>
                                <w:tab w:val="left" w:pos="535"/>
                              </w:tabs>
                              <w:spacing w:before="119"/>
                              <w:ind w:right="402"/>
                              <w:rPr>
                                <w:rFonts w:ascii="Calibri"/>
                                <w:color w:val="000000"/>
                                <w:sz w:val="24"/>
                              </w:rPr>
                            </w:pPr>
                            <w:r>
                              <w:rPr>
                                <w:rFonts w:ascii="Calibri"/>
                                <w:color w:val="000000"/>
                                <w:sz w:val="24"/>
                              </w:rPr>
                              <w:t>Nominations</w:t>
                            </w:r>
                            <w:r>
                              <w:rPr>
                                <w:rFonts w:ascii="Calibri"/>
                                <w:color w:val="000000"/>
                                <w:spacing w:val="-3"/>
                                <w:sz w:val="24"/>
                              </w:rPr>
                              <w:t xml:space="preserve"> </w:t>
                            </w:r>
                            <w:r>
                              <w:rPr>
                                <w:rFonts w:ascii="Calibri"/>
                                <w:color w:val="000000"/>
                                <w:sz w:val="24"/>
                              </w:rPr>
                              <w:t>Committee</w:t>
                            </w:r>
                            <w:r>
                              <w:rPr>
                                <w:rFonts w:ascii="Calibri"/>
                                <w:color w:val="000000"/>
                                <w:spacing w:val="-4"/>
                                <w:sz w:val="24"/>
                              </w:rPr>
                              <w:t xml:space="preserve"> </w:t>
                            </w:r>
                            <w:r>
                              <w:rPr>
                                <w:rFonts w:ascii="Calibri"/>
                                <w:color w:val="000000"/>
                                <w:sz w:val="24"/>
                              </w:rPr>
                              <w:t>Chair,</w:t>
                            </w:r>
                            <w:r>
                              <w:rPr>
                                <w:rFonts w:ascii="Calibri"/>
                                <w:color w:val="000000"/>
                                <w:spacing w:val="-2"/>
                                <w:sz w:val="24"/>
                              </w:rPr>
                              <w:t xml:space="preserve"> </w:t>
                            </w:r>
                            <w:r>
                              <w:rPr>
                                <w:rFonts w:ascii="Calibri"/>
                                <w:color w:val="000000"/>
                                <w:sz w:val="24"/>
                              </w:rPr>
                              <w:t>Rachel</w:t>
                            </w:r>
                            <w:r>
                              <w:rPr>
                                <w:rFonts w:ascii="Calibri"/>
                                <w:color w:val="000000"/>
                                <w:spacing w:val="-2"/>
                                <w:sz w:val="24"/>
                              </w:rPr>
                              <w:t xml:space="preserve"> </w:t>
                            </w:r>
                            <w:r>
                              <w:rPr>
                                <w:rFonts w:ascii="Calibri"/>
                                <w:color w:val="000000"/>
                                <w:sz w:val="24"/>
                              </w:rPr>
                              <w:t>Grimes</w:t>
                            </w:r>
                            <w:r>
                              <w:rPr>
                                <w:rFonts w:ascii="Calibri"/>
                                <w:color w:val="000000"/>
                                <w:spacing w:val="-3"/>
                                <w:sz w:val="24"/>
                              </w:rPr>
                              <w:t xml:space="preserve"> </w:t>
                            </w:r>
                            <w:r>
                              <w:rPr>
                                <w:rFonts w:ascii="Calibri"/>
                                <w:color w:val="000000"/>
                                <w:sz w:val="24"/>
                              </w:rPr>
                              <w:t>AM</w:t>
                            </w:r>
                            <w:r>
                              <w:rPr>
                                <w:rFonts w:ascii="Calibri"/>
                                <w:color w:val="000000"/>
                                <w:spacing w:val="-4"/>
                                <w:sz w:val="24"/>
                              </w:rPr>
                              <w:t xml:space="preserve"> </w:t>
                            </w:r>
                            <w:r>
                              <w:rPr>
                                <w:rFonts w:ascii="Calibri"/>
                                <w:color w:val="000000"/>
                                <w:sz w:val="24"/>
                              </w:rPr>
                              <w:t>to</w:t>
                            </w:r>
                            <w:r>
                              <w:rPr>
                                <w:rFonts w:ascii="Calibri"/>
                                <w:color w:val="000000"/>
                                <w:spacing w:val="-4"/>
                                <w:sz w:val="24"/>
                              </w:rPr>
                              <w:t xml:space="preserve"> </w:t>
                            </w:r>
                            <w:r>
                              <w:rPr>
                                <w:rFonts w:ascii="Calibri"/>
                                <w:color w:val="000000"/>
                                <w:sz w:val="24"/>
                              </w:rPr>
                              <w:t>give</w:t>
                            </w:r>
                            <w:r>
                              <w:rPr>
                                <w:rFonts w:ascii="Calibri"/>
                                <w:color w:val="000000"/>
                                <w:spacing w:val="-2"/>
                                <w:sz w:val="24"/>
                              </w:rPr>
                              <w:t xml:space="preserve"> </w:t>
                            </w:r>
                            <w:r>
                              <w:rPr>
                                <w:rFonts w:ascii="Calibri"/>
                                <w:color w:val="000000"/>
                                <w:sz w:val="24"/>
                              </w:rPr>
                              <w:t>verbal</w:t>
                            </w:r>
                            <w:r>
                              <w:rPr>
                                <w:rFonts w:ascii="Calibri"/>
                                <w:color w:val="000000"/>
                                <w:spacing w:val="-5"/>
                                <w:sz w:val="24"/>
                              </w:rPr>
                              <w:t xml:space="preserve"> </w:t>
                            </w:r>
                            <w:r>
                              <w:rPr>
                                <w:rFonts w:ascii="Calibri"/>
                                <w:color w:val="000000"/>
                                <w:sz w:val="24"/>
                              </w:rPr>
                              <w:t>update</w:t>
                            </w:r>
                            <w:r>
                              <w:rPr>
                                <w:rFonts w:ascii="Calibri"/>
                                <w:color w:val="000000"/>
                                <w:spacing w:val="-4"/>
                                <w:sz w:val="24"/>
                              </w:rPr>
                              <w:t xml:space="preserve"> </w:t>
                            </w:r>
                            <w:r>
                              <w:rPr>
                                <w:rFonts w:ascii="Calibri"/>
                                <w:color w:val="000000"/>
                                <w:sz w:val="24"/>
                              </w:rPr>
                              <w:t>and</w:t>
                            </w:r>
                            <w:r>
                              <w:rPr>
                                <w:rFonts w:ascii="Calibri"/>
                                <w:color w:val="000000"/>
                                <w:spacing w:val="-1"/>
                                <w:sz w:val="24"/>
                              </w:rPr>
                              <w:t xml:space="preserve"> </w:t>
                            </w:r>
                            <w:r>
                              <w:rPr>
                                <w:rFonts w:ascii="Calibri"/>
                                <w:color w:val="000000"/>
                                <w:sz w:val="24"/>
                              </w:rPr>
                              <w:t>table</w:t>
                            </w:r>
                            <w:r>
                              <w:rPr>
                                <w:rFonts w:ascii="Calibri"/>
                                <w:color w:val="000000"/>
                                <w:spacing w:val="-4"/>
                                <w:sz w:val="24"/>
                              </w:rPr>
                              <w:t xml:space="preserve"> </w:t>
                            </w:r>
                            <w:r>
                              <w:rPr>
                                <w:rFonts w:ascii="Calibri"/>
                                <w:color w:val="000000"/>
                                <w:sz w:val="24"/>
                              </w:rPr>
                              <w:t>the below information on short-term extensions to AASB and AUASB members.</w:t>
                            </w:r>
                          </w:p>
                        </w:txbxContent>
                      </wps:txbx>
                      <wps:bodyPr wrap="square" lIns="0" tIns="0" rIns="0" bIns="0" rtlCol="0">
                        <a:noAutofit/>
                      </wps:bodyPr>
                    </wps:wsp>
                  </a:graphicData>
                </a:graphic>
              </wp:anchor>
            </w:drawing>
          </mc:Choice>
          <mc:Fallback>
            <w:pict>
              <v:shape w14:anchorId="1E805F15" id="Textbox 13" o:spid="_x0000_s1028" type="#_x0000_t202" style="position:absolute;margin-left:65.4pt;margin-top:18.1pt;width:464.55pt;height:75.2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" fillcolor="#e0efff" strokecolor="#2e5395" strokeweight=".08431mm">
                <v:path arrowok="t"/>
                <v:textbox inset="0,0,0,0">
                  <w:txbxContent>
                    <w:p w14:paraId="1E806061"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2" w14:textId="77777777" w:rsidR="00AA4A02" w:rsidRDefault="00960F31">
                      <w:pPr>
                        <w:numPr>
                          <w:ilvl w:val="0"/>
                          <w:numId w:val="60"/>
                        </w:numPr>
                        <w:tabs>
                          <w:tab w:val="left" w:pos="535"/>
                        </w:tabs>
                        <w:spacing w:before="119"/>
                        <w:ind w:right="402"/>
                        <w:rPr>
                          <w:rFonts w:ascii="Calibri"/>
                          <w:color w:val="000000"/>
                          <w:sz w:val="24"/>
                        </w:rPr>
                      </w:pPr>
                      <w:r>
                        <w:rPr>
                          <w:rFonts w:ascii="Calibri"/>
                          <w:color w:val="000000"/>
                          <w:sz w:val="24"/>
                        </w:rPr>
                        <w:t>Nominations</w:t>
                      </w:r>
                      <w:r>
                        <w:rPr>
                          <w:rFonts w:ascii="Calibri"/>
                          <w:color w:val="000000"/>
                          <w:spacing w:val="-3"/>
                          <w:sz w:val="24"/>
                        </w:rPr>
                        <w:t xml:space="preserve"> </w:t>
                      </w:r>
                      <w:r>
                        <w:rPr>
                          <w:rFonts w:ascii="Calibri"/>
                          <w:color w:val="000000"/>
                          <w:sz w:val="24"/>
                        </w:rPr>
                        <w:t>Committee</w:t>
                      </w:r>
                      <w:r>
                        <w:rPr>
                          <w:rFonts w:ascii="Calibri"/>
                          <w:color w:val="000000"/>
                          <w:spacing w:val="-4"/>
                          <w:sz w:val="24"/>
                        </w:rPr>
                        <w:t xml:space="preserve"> </w:t>
                      </w:r>
                      <w:r>
                        <w:rPr>
                          <w:rFonts w:ascii="Calibri"/>
                          <w:color w:val="000000"/>
                          <w:sz w:val="24"/>
                        </w:rPr>
                        <w:t>Chair,</w:t>
                      </w:r>
                      <w:r>
                        <w:rPr>
                          <w:rFonts w:ascii="Calibri"/>
                          <w:color w:val="000000"/>
                          <w:spacing w:val="-2"/>
                          <w:sz w:val="24"/>
                        </w:rPr>
                        <w:t xml:space="preserve"> </w:t>
                      </w:r>
                      <w:r>
                        <w:rPr>
                          <w:rFonts w:ascii="Calibri"/>
                          <w:color w:val="000000"/>
                          <w:sz w:val="24"/>
                        </w:rPr>
                        <w:t>Rachel</w:t>
                      </w:r>
                      <w:r>
                        <w:rPr>
                          <w:rFonts w:ascii="Calibri"/>
                          <w:color w:val="000000"/>
                          <w:spacing w:val="-2"/>
                          <w:sz w:val="24"/>
                        </w:rPr>
                        <w:t xml:space="preserve"> </w:t>
                      </w:r>
                      <w:r>
                        <w:rPr>
                          <w:rFonts w:ascii="Calibri"/>
                          <w:color w:val="000000"/>
                          <w:sz w:val="24"/>
                        </w:rPr>
                        <w:t>Grimes</w:t>
                      </w:r>
                      <w:r>
                        <w:rPr>
                          <w:rFonts w:ascii="Calibri"/>
                          <w:color w:val="000000"/>
                          <w:spacing w:val="-3"/>
                          <w:sz w:val="24"/>
                        </w:rPr>
                        <w:t xml:space="preserve"> </w:t>
                      </w:r>
                      <w:r>
                        <w:rPr>
                          <w:rFonts w:ascii="Calibri"/>
                          <w:color w:val="000000"/>
                          <w:sz w:val="24"/>
                        </w:rPr>
                        <w:t>AM</w:t>
                      </w:r>
                      <w:r>
                        <w:rPr>
                          <w:rFonts w:ascii="Calibri"/>
                          <w:color w:val="000000"/>
                          <w:spacing w:val="-4"/>
                          <w:sz w:val="24"/>
                        </w:rPr>
                        <w:t xml:space="preserve"> </w:t>
                      </w:r>
                      <w:r>
                        <w:rPr>
                          <w:rFonts w:ascii="Calibri"/>
                          <w:color w:val="000000"/>
                          <w:sz w:val="24"/>
                        </w:rPr>
                        <w:t>to</w:t>
                      </w:r>
                      <w:r>
                        <w:rPr>
                          <w:rFonts w:ascii="Calibri"/>
                          <w:color w:val="000000"/>
                          <w:spacing w:val="-4"/>
                          <w:sz w:val="24"/>
                        </w:rPr>
                        <w:t xml:space="preserve"> </w:t>
                      </w:r>
                      <w:r>
                        <w:rPr>
                          <w:rFonts w:ascii="Calibri"/>
                          <w:color w:val="000000"/>
                          <w:sz w:val="24"/>
                        </w:rPr>
                        <w:t>give</w:t>
                      </w:r>
                      <w:r>
                        <w:rPr>
                          <w:rFonts w:ascii="Calibri"/>
                          <w:color w:val="000000"/>
                          <w:spacing w:val="-2"/>
                          <w:sz w:val="24"/>
                        </w:rPr>
                        <w:t xml:space="preserve"> </w:t>
                      </w:r>
                      <w:r>
                        <w:rPr>
                          <w:rFonts w:ascii="Calibri"/>
                          <w:color w:val="000000"/>
                          <w:sz w:val="24"/>
                        </w:rPr>
                        <w:t>verbal</w:t>
                      </w:r>
                      <w:r>
                        <w:rPr>
                          <w:rFonts w:ascii="Calibri"/>
                          <w:color w:val="000000"/>
                          <w:spacing w:val="-5"/>
                          <w:sz w:val="24"/>
                        </w:rPr>
                        <w:t xml:space="preserve"> </w:t>
                      </w:r>
                      <w:r>
                        <w:rPr>
                          <w:rFonts w:ascii="Calibri"/>
                          <w:color w:val="000000"/>
                          <w:sz w:val="24"/>
                        </w:rPr>
                        <w:t>update</w:t>
                      </w:r>
                      <w:r>
                        <w:rPr>
                          <w:rFonts w:ascii="Calibri"/>
                          <w:color w:val="000000"/>
                          <w:spacing w:val="-4"/>
                          <w:sz w:val="24"/>
                        </w:rPr>
                        <w:t xml:space="preserve"> </w:t>
                      </w:r>
                      <w:r>
                        <w:rPr>
                          <w:rFonts w:ascii="Calibri"/>
                          <w:color w:val="000000"/>
                          <w:sz w:val="24"/>
                        </w:rPr>
                        <w:t>and</w:t>
                      </w:r>
                      <w:r>
                        <w:rPr>
                          <w:rFonts w:ascii="Calibri"/>
                          <w:color w:val="000000"/>
                          <w:spacing w:val="-1"/>
                          <w:sz w:val="24"/>
                        </w:rPr>
                        <w:t xml:space="preserve"> </w:t>
                      </w:r>
                      <w:r>
                        <w:rPr>
                          <w:rFonts w:ascii="Calibri"/>
                          <w:color w:val="000000"/>
                          <w:sz w:val="24"/>
                        </w:rPr>
                        <w:t>table</w:t>
                      </w:r>
                      <w:r>
                        <w:rPr>
                          <w:rFonts w:ascii="Calibri"/>
                          <w:color w:val="000000"/>
                          <w:spacing w:val="-4"/>
                          <w:sz w:val="24"/>
                        </w:rPr>
                        <w:t xml:space="preserve"> </w:t>
                      </w:r>
                      <w:r>
                        <w:rPr>
                          <w:rFonts w:ascii="Calibri"/>
                          <w:color w:val="000000"/>
                          <w:sz w:val="24"/>
                        </w:rPr>
                        <w:t>the below information on short-term extensions to AASB and AUASB members.</w:t>
                      </w:r>
                    </w:p>
                  </w:txbxContent>
                </v:textbox>
                <w10:wrap type="topAndBottom" anchorx="page"/>
              </v:shape>
            </w:pict>
          </mc:Fallback>
        </mc:AlternateContent>
      </w:r>
    </w:p>
    <w:p w14:paraId="1E805683" w14:textId="77777777" w:rsidR="00AA4A02" w:rsidRDefault="00960F31">
      <w:pPr>
        <w:spacing w:before="242"/>
        <w:ind w:left="852"/>
        <w:rPr>
          <w:rFonts w:ascii="Calibri"/>
          <w:sz w:val="24"/>
        </w:rPr>
      </w:pPr>
      <w:r>
        <w:rPr>
          <w:rFonts w:ascii="Calibri"/>
          <w:sz w:val="24"/>
        </w:rPr>
        <w:t>The</w:t>
      </w:r>
      <w:r>
        <w:rPr>
          <w:rFonts w:ascii="Calibri"/>
          <w:spacing w:val="-3"/>
          <w:sz w:val="24"/>
        </w:rPr>
        <w:t xml:space="preserve"> </w:t>
      </w:r>
      <w:r>
        <w:rPr>
          <w:rFonts w:ascii="Calibri"/>
          <w:sz w:val="24"/>
        </w:rPr>
        <w:t>below information</w:t>
      </w:r>
      <w:r>
        <w:rPr>
          <w:rFonts w:ascii="Calibri"/>
          <w:spacing w:val="-2"/>
          <w:sz w:val="24"/>
        </w:rPr>
        <w:t xml:space="preserve"> </w:t>
      </w:r>
      <w:r>
        <w:rPr>
          <w:rFonts w:ascii="Calibri"/>
          <w:sz w:val="24"/>
        </w:rPr>
        <w:t>is</w:t>
      </w:r>
      <w:r>
        <w:rPr>
          <w:rFonts w:ascii="Calibri"/>
          <w:spacing w:val="-1"/>
          <w:sz w:val="24"/>
        </w:rPr>
        <w:t xml:space="preserve"> </w:t>
      </w:r>
      <w:r>
        <w:rPr>
          <w:rFonts w:ascii="Calibri"/>
          <w:spacing w:val="-2"/>
          <w:sz w:val="24"/>
        </w:rPr>
        <w:t>tabled.</w:t>
      </w:r>
    </w:p>
    <w:p w14:paraId="1E805684" w14:textId="77777777" w:rsidR="00AA4A02" w:rsidRDefault="00960F31">
      <w:pPr>
        <w:spacing w:before="239"/>
        <w:ind w:left="852" w:right="840"/>
        <w:rPr>
          <w:rFonts w:ascii="Calibri"/>
          <w:sz w:val="24"/>
        </w:rPr>
      </w:pPr>
      <w:r>
        <w:rPr>
          <w:rFonts w:ascii="Calibri"/>
          <w:sz w:val="24"/>
        </w:rPr>
        <w:t>On 22</w:t>
      </w:r>
      <w:r>
        <w:rPr>
          <w:rFonts w:ascii="Calibri"/>
          <w:spacing w:val="-3"/>
          <w:sz w:val="24"/>
        </w:rPr>
        <w:t xml:space="preserve"> </w:t>
      </w:r>
      <w:r>
        <w:rPr>
          <w:rFonts w:ascii="Calibri"/>
          <w:sz w:val="24"/>
        </w:rPr>
        <w:t>April</w:t>
      </w:r>
      <w:r>
        <w:rPr>
          <w:rFonts w:ascii="Calibri"/>
          <w:spacing w:val="-3"/>
          <w:sz w:val="24"/>
        </w:rPr>
        <w:t xml:space="preserve"> </w:t>
      </w:r>
      <w:r>
        <w:rPr>
          <w:rFonts w:ascii="Calibri"/>
          <w:sz w:val="24"/>
        </w:rPr>
        <w:t>2026,</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full</w:t>
      </w:r>
      <w:r>
        <w:rPr>
          <w:rFonts w:ascii="Calibri"/>
          <w:spacing w:val="-4"/>
          <w:sz w:val="24"/>
        </w:rPr>
        <w:t xml:space="preserve"> </w:t>
      </w:r>
      <w:r>
        <w:rPr>
          <w:rFonts w:ascii="Calibri"/>
          <w:sz w:val="24"/>
        </w:rPr>
        <w:t>FRC</w:t>
      </w:r>
      <w:r>
        <w:rPr>
          <w:rFonts w:ascii="Calibri"/>
          <w:spacing w:val="-2"/>
          <w:sz w:val="24"/>
        </w:rPr>
        <w:t xml:space="preserve"> </w:t>
      </w:r>
      <w:r>
        <w:rPr>
          <w:rFonts w:ascii="Calibri"/>
          <w:sz w:val="24"/>
        </w:rPr>
        <w:t>approved</w:t>
      </w:r>
      <w:r>
        <w:rPr>
          <w:rFonts w:ascii="Calibri"/>
          <w:spacing w:val="-3"/>
          <w:sz w:val="24"/>
        </w:rPr>
        <w:t xml:space="preserve"> </w:t>
      </w:r>
      <w:r>
        <w:rPr>
          <w:rFonts w:ascii="Calibri"/>
          <w:sz w:val="24"/>
        </w:rPr>
        <w:t>amendments</w:t>
      </w:r>
      <w:r>
        <w:rPr>
          <w:rFonts w:ascii="Calibri"/>
          <w:spacing w:val="-4"/>
          <w:sz w:val="24"/>
        </w:rPr>
        <w:t xml:space="preserve"> </w:t>
      </w:r>
      <w:r>
        <w:rPr>
          <w:rFonts w:ascii="Calibri"/>
          <w:sz w:val="24"/>
        </w:rPr>
        <w:t>to</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NC</w:t>
      </w:r>
      <w:r>
        <w:rPr>
          <w:rFonts w:ascii="Calibri"/>
          <w:spacing w:val="-3"/>
          <w:sz w:val="24"/>
        </w:rPr>
        <w:t xml:space="preserve"> </w:t>
      </w:r>
      <w:r>
        <w:rPr>
          <w:rFonts w:ascii="Calibri"/>
          <w:sz w:val="24"/>
        </w:rPr>
        <w:t>Charter,</w:t>
      </w:r>
      <w:r>
        <w:rPr>
          <w:rFonts w:ascii="Calibri"/>
          <w:spacing w:val="-1"/>
          <w:sz w:val="24"/>
        </w:rPr>
        <w:t xml:space="preserve"> </w:t>
      </w:r>
      <w:r>
        <w:rPr>
          <w:rFonts w:ascii="Calibri"/>
          <w:sz w:val="24"/>
        </w:rPr>
        <w:t>allowing</w:t>
      </w:r>
      <w:r>
        <w:rPr>
          <w:rFonts w:ascii="Calibri"/>
          <w:spacing w:val="-4"/>
          <w:sz w:val="24"/>
        </w:rPr>
        <w:t xml:space="preserve"> </w:t>
      </w:r>
      <w:r>
        <w:rPr>
          <w:rFonts w:ascii="Calibri"/>
          <w:sz w:val="24"/>
        </w:rPr>
        <w:t>short-term (4 month) extensions of current AASB and AUASB members while legislation is before the Parliament to merge the financial reporting bodies.</w:t>
      </w:r>
    </w:p>
    <w:p w14:paraId="1E805685" w14:textId="77777777" w:rsidR="00AA4A02" w:rsidRDefault="00960F31">
      <w:pPr>
        <w:spacing w:before="242"/>
        <w:ind w:left="852" w:right="840"/>
        <w:rPr>
          <w:rFonts w:ascii="Calibri"/>
          <w:sz w:val="24"/>
        </w:rPr>
      </w:pPr>
      <w:r>
        <w:rPr>
          <w:rFonts w:ascii="Calibri"/>
          <w:sz w:val="24"/>
        </w:rPr>
        <w:t>On 25 May 2026, the full FRC approved the extensions of the below AASB and AUASB members for a term of 1 July 2026 to 31 October 2026 in response to out-of-session resolutions.</w:t>
      </w:r>
      <w:r>
        <w:rPr>
          <w:rFonts w:ascii="Calibri"/>
          <w:spacing w:val="-3"/>
          <w:sz w:val="24"/>
        </w:rPr>
        <w:t xml:space="preserve"> </w:t>
      </w:r>
      <w:r>
        <w:rPr>
          <w:rFonts w:ascii="Calibri"/>
          <w:sz w:val="24"/>
        </w:rPr>
        <w:t>On</w:t>
      </w:r>
      <w:r>
        <w:rPr>
          <w:rFonts w:ascii="Calibri"/>
          <w:spacing w:val="-1"/>
          <w:sz w:val="24"/>
        </w:rPr>
        <w:t xml:space="preserve"> </w:t>
      </w:r>
      <w:r>
        <w:rPr>
          <w:rFonts w:ascii="Calibri"/>
          <w:sz w:val="24"/>
        </w:rPr>
        <w:t>29</w:t>
      </w:r>
      <w:r>
        <w:rPr>
          <w:rFonts w:ascii="Calibri"/>
          <w:spacing w:val="-2"/>
          <w:sz w:val="24"/>
        </w:rPr>
        <w:t xml:space="preserve"> </w:t>
      </w:r>
      <w:r>
        <w:rPr>
          <w:rFonts w:ascii="Calibri"/>
          <w:sz w:val="24"/>
        </w:rPr>
        <w:t>May</w:t>
      </w:r>
      <w:r>
        <w:rPr>
          <w:rFonts w:ascii="Calibri"/>
          <w:spacing w:val="-3"/>
          <w:sz w:val="24"/>
        </w:rPr>
        <w:t xml:space="preserve"> </w:t>
      </w:r>
      <w:r>
        <w:rPr>
          <w:rFonts w:ascii="Calibri"/>
          <w:sz w:val="24"/>
        </w:rPr>
        <w:t>2026,</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FRC</w:t>
      </w:r>
      <w:r>
        <w:rPr>
          <w:rFonts w:ascii="Calibri"/>
          <w:spacing w:val="-3"/>
          <w:sz w:val="24"/>
        </w:rPr>
        <w:t xml:space="preserve"> </w:t>
      </w:r>
      <w:r>
        <w:rPr>
          <w:rFonts w:ascii="Calibri"/>
          <w:sz w:val="24"/>
        </w:rPr>
        <w:t>Chair</w:t>
      </w:r>
      <w:r>
        <w:rPr>
          <w:rFonts w:ascii="Calibri"/>
          <w:spacing w:val="-5"/>
          <w:sz w:val="24"/>
        </w:rPr>
        <w:t xml:space="preserve"> </w:t>
      </w:r>
      <w:r>
        <w:rPr>
          <w:rFonts w:ascii="Calibri"/>
          <w:sz w:val="24"/>
        </w:rPr>
        <w:t>signed</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relevant</w:t>
      </w:r>
      <w:r>
        <w:rPr>
          <w:rFonts w:ascii="Calibri"/>
          <w:spacing w:val="-1"/>
          <w:sz w:val="24"/>
        </w:rPr>
        <w:t xml:space="preserve"> </w:t>
      </w:r>
      <w:r>
        <w:rPr>
          <w:rFonts w:ascii="Calibri"/>
          <w:sz w:val="24"/>
        </w:rPr>
        <w:t>instruments</w:t>
      </w:r>
      <w:r>
        <w:rPr>
          <w:rFonts w:ascii="Calibri"/>
          <w:spacing w:val="-3"/>
          <w:sz w:val="24"/>
        </w:rPr>
        <w:t xml:space="preserve"> </w:t>
      </w:r>
      <w:r>
        <w:rPr>
          <w:rFonts w:ascii="Calibri"/>
          <w:sz w:val="24"/>
        </w:rPr>
        <w:t>of</w:t>
      </w:r>
      <w:r>
        <w:rPr>
          <w:rFonts w:ascii="Calibri"/>
          <w:spacing w:val="-1"/>
          <w:sz w:val="24"/>
        </w:rPr>
        <w:t xml:space="preserve"> </w:t>
      </w:r>
      <w:r>
        <w:rPr>
          <w:rFonts w:ascii="Calibri"/>
          <w:sz w:val="24"/>
        </w:rPr>
        <w:t>appointment to give effect to the approval.</w:t>
      </w:r>
    </w:p>
    <w:p w14:paraId="1E805686" w14:textId="77777777" w:rsidR="00AA4A02" w:rsidRDefault="00960F31">
      <w:pPr>
        <w:pStyle w:val="Heading8"/>
      </w:pPr>
      <w:r>
        <w:rPr>
          <w:spacing w:val="-4"/>
        </w:rPr>
        <w:t>AASB</w:t>
      </w:r>
    </w:p>
    <w:p w14:paraId="1E805687" w14:textId="77777777" w:rsidR="00AA4A02" w:rsidRDefault="00960F31">
      <w:pPr>
        <w:pStyle w:val="ListParagraph"/>
        <w:numPr>
          <w:ilvl w:val="0"/>
          <w:numId w:val="59"/>
        </w:numPr>
        <w:tabs>
          <w:tab w:val="left" w:pos="1418"/>
        </w:tabs>
        <w:spacing w:before="0"/>
        <w:ind w:hanging="566"/>
        <w:rPr>
          <w:rFonts w:ascii="Calibri" w:hAnsi="Calibri"/>
          <w:sz w:val="24"/>
        </w:rPr>
      </w:pPr>
      <w:r>
        <w:rPr>
          <w:rFonts w:ascii="Calibri" w:hAnsi="Calibri"/>
          <w:sz w:val="24"/>
        </w:rPr>
        <w:t>Ms Liza</w:t>
      </w:r>
      <w:r>
        <w:rPr>
          <w:rFonts w:ascii="Calibri" w:hAnsi="Calibri"/>
          <w:spacing w:val="-1"/>
          <w:sz w:val="24"/>
        </w:rPr>
        <w:t xml:space="preserve"> </w:t>
      </w:r>
      <w:r>
        <w:rPr>
          <w:rFonts w:ascii="Calibri" w:hAnsi="Calibri"/>
          <w:spacing w:val="-2"/>
          <w:sz w:val="24"/>
        </w:rPr>
        <w:t>Maimone</w:t>
      </w:r>
    </w:p>
    <w:p w14:paraId="1E805688" w14:textId="77777777" w:rsidR="00AA4A02" w:rsidRDefault="00960F31">
      <w:pPr>
        <w:pStyle w:val="ListParagraph"/>
        <w:numPr>
          <w:ilvl w:val="0"/>
          <w:numId w:val="59"/>
        </w:numPr>
        <w:tabs>
          <w:tab w:val="left" w:pos="1418"/>
        </w:tabs>
        <w:spacing w:before="119"/>
        <w:ind w:hanging="566"/>
        <w:rPr>
          <w:rFonts w:ascii="Calibri" w:hAnsi="Calibri"/>
          <w:sz w:val="24"/>
        </w:rPr>
      </w:pPr>
      <w:r>
        <w:rPr>
          <w:rFonts w:ascii="Calibri" w:hAnsi="Calibri"/>
          <w:sz w:val="24"/>
        </w:rPr>
        <w:t>Prof</w:t>
      </w:r>
      <w:r>
        <w:rPr>
          <w:rFonts w:ascii="Calibri" w:hAnsi="Calibri"/>
          <w:spacing w:val="-2"/>
          <w:sz w:val="24"/>
        </w:rPr>
        <w:t xml:space="preserve"> </w:t>
      </w:r>
      <w:r>
        <w:rPr>
          <w:rFonts w:ascii="Calibri" w:hAnsi="Calibri"/>
          <w:sz w:val="24"/>
        </w:rPr>
        <w:t>Stephen</w:t>
      </w:r>
      <w:r>
        <w:rPr>
          <w:rFonts w:ascii="Calibri" w:hAnsi="Calibri"/>
          <w:spacing w:val="-2"/>
          <w:sz w:val="24"/>
        </w:rPr>
        <w:t xml:space="preserve"> Taylor</w:t>
      </w:r>
    </w:p>
    <w:p w14:paraId="1E805689"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 David</w:t>
      </w:r>
      <w:r>
        <w:rPr>
          <w:rFonts w:ascii="Calibri" w:hAnsi="Calibri"/>
          <w:spacing w:val="1"/>
          <w:sz w:val="24"/>
        </w:rPr>
        <w:t xml:space="preserve"> </w:t>
      </w:r>
      <w:r>
        <w:rPr>
          <w:rFonts w:ascii="Calibri" w:hAnsi="Calibri"/>
          <w:spacing w:val="-2"/>
          <w:sz w:val="24"/>
        </w:rPr>
        <w:t>Holland</w:t>
      </w:r>
    </w:p>
    <w:p w14:paraId="1E80568A"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 Adrian</w:t>
      </w:r>
      <w:r>
        <w:rPr>
          <w:rFonts w:ascii="Calibri" w:hAnsi="Calibri"/>
          <w:spacing w:val="-1"/>
          <w:sz w:val="24"/>
        </w:rPr>
        <w:t xml:space="preserve"> </w:t>
      </w:r>
      <w:r>
        <w:rPr>
          <w:rFonts w:ascii="Calibri" w:hAnsi="Calibri"/>
          <w:spacing w:val="-4"/>
          <w:sz w:val="24"/>
        </w:rPr>
        <w:t>King</w:t>
      </w:r>
    </w:p>
    <w:p w14:paraId="1E80568B"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w:t>
      </w:r>
      <w:r>
        <w:rPr>
          <w:rFonts w:ascii="Calibri" w:hAnsi="Calibri"/>
          <w:spacing w:val="-2"/>
          <w:sz w:val="24"/>
        </w:rPr>
        <w:t xml:space="preserve"> </w:t>
      </w:r>
      <w:r>
        <w:rPr>
          <w:rFonts w:ascii="Calibri" w:hAnsi="Calibri"/>
          <w:sz w:val="24"/>
        </w:rPr>
        <w:t xml:space="preserve">Mathew </w:t>
      </w:r>
      <w:r>
        <w:rPr>
          <w:rFonts w:ascii="Calibri" w:hAnsi="Calibri"/>
          <w:spacing w:val="-2"/>
          <w:sz w:val="24"/>
        </w:rPr>
        <w:t>Nelson</w:t>
      </w:r>
    </w:p>
    <w:p w14:paraId="1E80568C"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w:t>
      </w:r>
      <w:r>
        <w:rPr>
          <w:rFonts w:ascii="Calibri" w:hAnsi="Calibri"/>
          <w:spacing w:val="1"/>
          <w:sz w:val="24"/>
        </w:rPr>
        <w:t xml:space="preserve"> </w:t>
      </w:r>
      <w:r>
        <w:rPr>
          <w:rFonts w:ascii="Calibri" w:hAnsi="Calibri"/>
          <w:sz w:val="24"/>
        </w:rPr>
        <w:t xml:space="preserve">Toby </w:t>
      </w:r>
      <w:r>
        <w:rPr>
          <w:rFonts w:ascii="Calibri" w:hAnsi="Calibri"/>
          <w:spacing w:val="-2"/>
          <w:sz w:val="24"/>
        </w:rPr>
        <w:t>Langley</w:t>
      </w:r>
    </w:p>
    <w:p w14:paraId="1E80568D" w14:textId="77777777" w:rsidR="00AA4A02" w:rsidRDefault="00960F31">
      <w:pPr>
        <w:pStyle w:val="ListParagraph"/>
        <w:numPr>
          <w:ilvl w:val="0"/>
          <w:numId w:val="59"/>
        </w:numPr>
        <w:tabs>
          <w:tab w:val="left" w:pos="1418"/>
        </w:tabs>
        <w:spacing w:before="119"/>
        <w:ind w:hanging="566"/>
        <w:rPr>
          <w:rFonts w:ascii="Calibri" w:hAnsi="Calibri"/>
          <w:sz w:val="24"/>
        </w:rPr>
      </w:pPr>
      <w:r>
        <w:rPr>
          <w:rFonts w:ascii="Calibri" w:hAnsi="Calibri"/>
          <w:sz w:val="24"/>
        </w:rPr>
        <w:t>Ms</w:t>
      </w:r>
      <w:r>
        <w:rPr>
          <w:rFonts w:ascii="Calibri" w:hAnsi="Calibri"/>
          <w:spacing w:val="-1"/>
          <w:sz w:val="24"/>
        </w:rPr>
        <w:t xml:space="preserve"> </w:t>
      </w:r>
      <w:r>
        <w:rPr>
          <w:rFonts w:ascii="Calibri" w:hAnsi="Calibri"/>
          <w:sz w:val="24"/>
        </w:rPr>
        <w:t>Carolyn</w:t>
      </w:r>
      <w:r>
        <w:rPr>
          <w:rFonts w:ascii="Calibri" w:hAnsi="Calibri"/>
          <w:spacing w:val="-1"/>
          <w:sz w:val="24"/>
        </w:rPr>
        <w:t xml:space="preserve"> </w:t>
      </w:r>
      <w:r>
        <w:rPr>
          <w:rFonts w:ascii="Calibri" w:hAnsi="Calibri"/>
          <w:spacing w:val="-2"/>
          <w:sz w:val="24"/>
        </w:rPr>
        <w:t>Cordery</w:t>
      </w:r>
    </w:p>
    <w:p w14:paraId="1E80568E"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Prof</w:t>
      </w:r>
      <w:r>
        <w:rPr>
          <w:rFonts w:ascii="Calibri" w:hAnsi="Calibri"/>
          <w:spacing w:val="-2"/>
          <w:sz w:val="24"/>
        </w:rPr>
        <w:t xml:space="preserve"> </w:t>
      </w:r>
      <w:r>
        <w:rPr>
          <w:rFonts w:ascii="Calibri" w:hAnsi="Calibri"/>
          <w:sz w:val="24"/>
        </w:rPr>
        <w:t>Dean</w:t>
      </w:r>
      <w:r>
        <w:rPr>
          <w:rFonts w:ascii="Calibri" w:hAnsi="Calibri"/>
          <w:spacing w:val="1"/>
          <w:sz w:val="24"/>
        </w:rPr>
        <w:t xml:space="preserve"> </w:t>
      </w:r>
      <w:r>
        <w:rPr>
          <w:rFonts w:ascii="Calibri" w:hAnsi="Calibri"/>
          <w:spacing w:val="-2"/>
          <w:sz w:val="24"/>
        </w:rPr>
        <w:t>Hanlon</w:t>
      </w:r>
    </w:p>
    <w:p w14:paraId="1E80568F" w14:textId="77777777" w:rsidR="00AA4A02" w:rsidRDefault="00960F31">
      <w:pPr>
        <w:pStyle w:val="ListParagraph"/>
        <w:numPr>
          <w:ilvl w:val="0"/>
          <w:numId w:val="59"/>
        </w:numPr>
        <w:tabs>
          <w:tab w:val="left" w:pos="1418"/>
        </w:tabs>
        <w:spacing w:before="123"/>
        <w:ind w:hanging="566"/>
        <w:rPr>
          <w:rFonts w:ascii="Calibri" w:hAnsi="Calibri"/>
          <w:sz w:val="24"/>
        </w:rPr>
      </w:pPr>
      <w:r>
        <w:rPr>
          <w:rFonts w:ascii="Calibri" w:hAnsi="Calibri"/>
          <w:sz w:val="24"/>
        </w:rPr>
        <w:t>Ms</w:t>
      </w:r>
      <w:r>
        <w:rPr>
          <w:rFonts w:ascii="Calibri" w:hAnsi="Calibri"/>
          <w:spacing w:val="-1"/>
          <w:sz w:val="24"/>
        </w:rPr>
        <w:t xml:space="preserve"> </w:t>
      </w:r>
      <w:r>
        <w:rPr>
          <w:rFonts w:ascii="Calibri" w:hAnsi="Calibri"/>
          <w:sz w:val="24"/>
        </w:rPr>
        <w:t xml:space="preserve">Caroline </w:t>
      </w:r>
      <w:r>
        <w:rPr>
          <w:rFonts w:ascii="Calibri" w:hAnsi="Calibri"/>
          <w:spacing w:val="-2"/>
          <w:sz w:val="24"/>
        </w:rPr>
        <w:t>Spencer</w:t>
      </w:r>
    </w:p>
    <w:p w14:paraId="1E805690" w14:textId="77777777" w:rsidR="00AA4A02" w:rsidRDefault="00960F31">
      <w:pPr>
        <w:pStyle w:val="ListParagraph"/>
        <w:numPr>
          <w:ilvl w:val="0"/>
          <w:numId w:val="59"/>
        </w:numPr>
        <w:tabs>
          <w:tab w:val="left" w:pos="1418"/>
        </w:tabs>
        <w:spacing w:before="119"/>
        <w:ind w:hanging="566"/>
        <w:rPr>
          <w:rFonts w:ascii="Calibri" w:hAnsi="Calibri"/>
          <w:sz w:val="24"/>
        </w:rPr>
      </w:pPr>
      <w:r>
        <w:rPr>
          <w:rFonts w:ascii="Calibri" w:hAnsi="Calibri"/>
          <w:sz w:val="24"/>
        </w:rPr>
        <w:t>Ms Moana</w:t>
      </w:r>
      <w:r>
        <w:rPr>
          <w:rFonts w:ascii="Calibri" w:hAnsi="Calibri"/>
          <w:spacing w:val="-2"/>
          <w:sz w:val="24"/>
        </w:rPr>
        <w:t xml:space="preserve"> Overton</w:t>
      </w:r>
    </w:p>
    <w:p w14:paraId="1E805691"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 Sean</w:t>
      </w:r>
      <w:r>
        <w:rPr>
          <w:rFonts w:ascii="Calibri" w:hAnsi="Calibri"/>
          <w:spacing w:val="1"/>
          <w:sz w:val="24"/>
        </w:rPr>
        <w:t xml:space="preserve"> </w:t>
      </w:r>
      <w:r>
        <w:rPr>
          <w:rFonts w:ascii="Calibri" w:hAnsi="Calibri"/>
          <w:spacing w:val="-2"/>
          <w:sz w:val="24"/>
        </w:rPr>
        <w:t>Osborn</w:t>
      </w:r>
    </w:p>
    <w:p w14:paraId="1E805692"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Ms</w:t>
      </w:r>
      <w:r>
        <w:rPr>
          <w:rFonts w:ascii="Calibri" w:hAnsi="Calibri"/>
          <w:spacing w:val="-1"/>
          <w:sz w:val="24"/>
        </w:rPr>
        <w:t xml:space="preserve"> </w:t>
      </w:r>
      <w:r>
        <w:rPr>
          <w:rFonts w:ascii="Calibri" w:hAnsi="Calibri"/>
          <w:sz w:val="24"/>
        </w:rPr>
        <w:t>Rebecca</w:t>
      </w:r>
      <w:r>
        <w:rPr>
          <w:rFonts w:ascii="Calibri" w:hAnsi="Calibri"/>
          <w:spacing w:val="1"/>
          <w:sz w:val="24"/>
        </w:rPr>
        <w:t xml:space="preserve"> </w:t>
      </w:r>
      <w:r>
        <w:rPr>
          <w:rFonts w:ascii="Calibri" w:hAnsi="Calibri"/>
          <w:spacing w:val="-2"/>
          <w:sz w:val="24"/>
        </w:rPr>
        <w:t>Gordon</w:t>
      </w:r>
    </w:p>
    <w:p w14:paraId="1E805693" w14:textId="77777777" w:rsidR="00AA4A02" w:rsidRDefault="00960F31">
      <w:pPr>
        <w:pStyle w:val="Heading8"/>
      </w:pPr>
      <w:r>
        <w:rPr>
          <w:spacing w:val="-2"/>
        </w:rPr>
        <w:t>AUASB</w:t>
      </w:r>
    </w:p>
    <w:p w14:paraId="1E805694" w14:textId="77777777" w:rsidR="00AA4A02" w:rsidRDefault="00960F31">
      <w:pPr>
        <w:pStyle w:val="ListParagraph"/>
        <w:numPr>
          <w:ilvl w:val="0"/>
          <w:numId w:val="59"/>
        </w:numPr>
        <w:tabs>
          <w:tab w:val="left" w:pos="1418"/>
        </w:tabs>
        <w:spacing w:before="0"/>
        <w:ind w:hanging="566"/>
        <w:rPr>
          <w:rFonts w:ascii="Calibri" w:hAnsi="Calibri"/>
          <w:sz w:val="24"/>
        </w:rPr>
      </w:pPr>
      <w:r>
        <w:rPr>
          <w:rFonts w:ascii="Calibri" w:hAnsi="Calibri"/>
          <w:sz w:val="24"/>
        </w:rPr>
        <w:t>Ms</w:t>
      </w:r>
      <w:r>
        <w:rPr>
          <w:rFonts w:ascii="Calibri" w:hAnsi="Calibri"/>
          <w:spacing w:val="-1"/>
          <w:sz w:val="24"/>
        </w:rPr>
        <w:t xml:space="preserve"> </w:t>
      </w:r>
      <w:r>
        <w:rPr>
          <w:rFonts w:ascii="Calibri" w:hAnsi="Calibri"/>
          <w:sz w:val="24"/>
        </w:rPr>
        <w:t>Jennifer</w:t>
      </w:r>
      <w:r>
        <w:rPr>
          <w:rFonts w:ascii="Calibri" w:hAnsi="Calibri"/>
          <w:spacing w:val="-2"/>
          <w:sz w:val="24"/>
        </w:rPr>
        <w:t xml:space="preserve"> Travers</w:t>
      </w:r>
    </w:p>
    <w:p w14:paraId="1E805695" w14:textId="77777777" w:rsidR="00AA4A02" w:rsidRDefault="00960F31">
      <w:pPr>
        <w:pStyle w:val="ListParagraph"/>
        <w:numPr>
          <w:ilvl w:val="0"/>
          <w:numId w:val="59"/>
        </w:numPr>
        <w:tabs>
          <w:tab w:val="left" w:pos="1418"/>
        </w:tabs>
        <w:spacing w:before="119"/>
        <w:ind w:hanging="566"/>
        <w:rPr>
          <w:rFonts w:ascii="Calibri" w:hAnsi="Calibri"/>
          <w:sz w:val="24"/>
        </w:rPr>
      </w:pPr>
      <w:r>
        <w:rPr>
          <w:rFonts w:ascii="Calibri" w:hAnsi="Calibri"/>
          <w:sz w:val="24"/>
        </w:rPr>
        <w:t>Ms Joanne</w:t>
      </w:r>
      <w:r>
        <w:rPr>
          <w:rFonts w:ascii="Calibri" w:hAnsi="Calibri"/>
          <w:spacing w:val="-1"/>
          <w:sz w:val="24"/>
        </w:rPr>
        <w:t xml:space="preserve"> </w:t>
      </w:r>
      <w:r>
        <w:rPr>
          <w:rFonts w:ascii="Calibri" w:hAnsi="Calibri"/>
          <w:spacing w:val="-2"/>
          <w:sz w:val="24"/>
        </w:rPr>
        <w:t>Lonergan</w:t>
      </w:r>
    </w:p>
    <w:p w14:paraId="1E805696" w14:textId="77777777" w:rsidR="00AA4A02" w:rsidRDefault="00AA4A02">
      <w:pPr>
        <w:pStyle w:val="ListParagraph"/>
        <w:rPr>
          <w:rFonts w:ascii="Calibri" w:hAnsi="Calibri"/>
          <w:sz w:val="24"/>
        </w:rPr>
        <w:sectPr w:rsidR="00AA4A02">
          <w:headerReference w:type="default" r:id="rId20"/>
          <w:footerReference w:type="default" r:id="rId21"/>
          <w:pgSz w:w="11910" w:h="16840"/>
          <w:pgMar w:top="1820" w:right="566" w:bottom="1320" w:left="566" w:header="0" w:footer="1125" w:gutter="0"/>
          <w:pgNumType w:start="1"/>
          <w:cols w:space="720"/>
        </w:sectPr>
      </w:pPr>
    </w:p>
    <w:p w14:paraId="1E805697" w14:textId="77777777" w:rsidR="00AA4A02" w:rsidRDefault="00960F31">
      <w:pPr>
        <w:pStyle w:val="ListParagraph"/>
        <w:numPr>
          <w:ilvl w:val="0"/>
          <w:numId w:val="59"/>
        </w:numPr>
        <w:tabs>
          <w:tab w:val="left" w:pos="1418"/>
        </w:tabs>
        <w:spacing w:before="6"/>
        <w:ind w:hanging="566"/>
        <w:rPr>
          <w:rFonts w:ascii="Calibri" w:hAnsi="Calibri"/>
          <w:sz w:val="24"/>
        </w:rPr>
      </w:pPr>
      <w:r>
        <w:rPr>
          <w:rFonts w:ascii="Calibri" w:hAnsi="Calibri"/>
          <w:sz w:val="24"/>
        </w:rPr>
        <w:lastRenderedPageBreak/>
        <w:t xml:space="preserve">Mr Graeme </w:t>
      </w:r>
      <w:r>
        <w:rPr>
          <w:rFonts w:ascii="Calibri" w:hAnsi="Calibri"/>
          <w:spacing w:val="-2"/>
          <w:sz w:val="24"/>
        </w:rPr>
        <w:t>Pinfold</w:t>
      </w:r>
    </w:p>
    <w:p w14:paraId="1E805698"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w:t>
      </w:r>
      <w:r>
        <w:rPr>
          <w:rFonts w:ascii="Calibri" w:hAnsi="Calibri"/>
          <w:spacing w:val="-2"/>
          <w:sz w:val="24"/>
        </w:rPr>
        <w:t xml:space="preserve"> </w:t>
      </w:r>
      <w:r>
        <w:rPr>
          <w:rFonts w:ascii="Calibri" w:hAnsi="Calibri"/>
          <w:sz w:val="24"/>
        </w:rPr>
        <w:t>Jason</w:t>
      </w:r>
      <w:r>
        <w:rPr>
          <w:rFonts w:ascii="Calibri" w:hAnsi="Calibri"/>
          <w:spacing w:val="1"/>
          <w:sz w:val="24"/>
        </w:rPr>
        <w:t xml:space="preserve"> </w:t>
      </w:r>
      <w:r>
        <w:rPr>
          <w:rFonts w:ascii="Calibri" w:hAnsi="Calibri"/>
          <w:spacing w:val="-2"/>
          <w:sz w:val="24"/>
        </w:rPr>
        <w:t>Thorne</w:t>
      </w:r>
    </w:p>
    <w:p w14:paraId="1E805699"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w:t>
      </w:r>
      <w:r>
        <w:rPr>
          <w:rFonts w:ascii="Calibri" w:hAnsi="Calibri"/>
          <w:spacing w:val="1"/>
          <w:sz w:val="24"/>
        </w:rPr>
        <w:t xml:space="preserve"> </w:t>
      </w:r>
      <w:r>
        <w:rPr>
          <w:rFonts w:ascii="Calibri" w:hAnsi="Calibri"/>
          <w:sz w:val="24"/>
        </w:rPr>
        <w:t>Chi</w:t>
      </w:r>
      <w:r>
        <w:rPr>
          <w:rFonts w:ascii="Calibri" w:hAnsi="Calibri"/>
          <w:spacing w:val="-1"/>
          <w:sz w:val="24"/>
        </w:rPr>
        <w:t xml:space="preserve"> </w:t>
      </w:r>
      <w:r>
        <w:rPr>
          <w:rFonts w:ascii="Calibri" w:hAnsi="Calibri"/>
          <w:spacing w:val="-5"/>
          <w:sz w:val="24"/>
        </w:rPr>
        <w:t>Woo</w:t>
      </w:r>
    </w:p>
    <w:p w14:paraId="1E80569A"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 Terence</w:t>
      </w:r>
      <w:r>
        <w:rPr>
          <w:rFonts w:ascii="Calibri" w:hAnsi="Calibri"/>
          <w:spacing w:val="-1"/>
          <w:sz w:val="24"/>
        </w:rPr>
        <w:t xml:space="preserve"> </w:t>
      </w:r>
      <w:r>
        <w:rPr>
          <w:rFonts w:ascii="Calibri" w:hAnsi="Calibri"/>
          <w:spacing w:val="-2"/>
          <w:sz w:val="24"/>
        </w:rPr>
        <w:t>Jeyaretnam</w:t>
      </w:r>
    </w:p>
    <w:p w14:paraId="1E80569B"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w:t>
      </w:r>
      <w:r>
        <w:rPr>
          <w:rFonts w:ascii="Calibri" w:hAnsi="Calibri"/>
          <w:spacing w:val="-1"/>
          <w:sz w:val="24"/>
        </w:rPr>
        <w:t xml:space="preserve"> </w:t>
      </w:r>
      <w:r>
        <w:rPr>
          <w:rFonts w:ascii="Calibri" w:hAnsi="Calibri"/>
          <w:sz w:val="24"/>
        </w:rPr>
        <w:t>Andrew</w:t>
      </w:r>
      <w:r>
        <w:rPr>
          <w:rFonts w:ascii="Calibri" w:hAnsi="Calibri"/>
          <w:spacing w:val="-1"/>
          <w:sz w:val="24"/>
        </w:rPr>
        <w:t xml:space="preserve"> </w:t>
      </w:r>
      <w:r>
        <w:rPr>
          <w:rFonts w:ascii="Calibri" w:hAnsi="Calibri"/>
          <w:spacing w:val="-2"/>
          <w:sz w:val="24"/>
        </w:rPr>
        <w:t>Porter</w:t>
      </w:r>
    </w:p>
    <w:p w14:paraId="1E80569C" w14:textId="77777777" w:rsidR="00AA4A02" w:rsidRDefault="00960F31">
      <w:pPr>
        <w:pStyle w:val="ListParagraph"/>
        <w:numPr>
          <w:ilvl w:val="0"/>
          <w:numId w:val="59"/>
        </w:numPr>
        <w:tabs>
          <w:tab w:val="left" w:pos="1418"/>
        </w:tabs>
        <w:spacing w:before="120"/>
        <w:ind w:hanging="566"/>
        <w:rPr>
          <w:rFonts w:ascii="Calibri" w:hAnsi="Calibri"/>
          <w:sz w:val="24"/>
        </w:rPr>
      </w:pPr>
      <w:r>
        <w:rPr>
          <w:rFonts w:ascii="Calibri" w:hAnsi="Calibri"/>
          <w:sz w:val="24"/>
        </w:rPr>
        <w:t>Mr Noel</w:t>
      </w:r>
      <w:r>
        <w:rPr>
          <w:rFonts w:ascii="Calibri" w:hAnsi="Calibri"/>
          <w:spacing w:val="1"/>
          <w:sz w:val="24"/>
        </w:rPr>
        <w:t xml:space="preserve"> </w:t>
      </w:r>
      <w:r>
        <w:rPr>
          <w:rFonts w:ascii="Calibri" w:hAnsi="Calibri"/>
          <w:spacing w:val="-2"/>
          <w:sz w:val="24"/>
        </w:rPr>
        <w:t>Harding</w:t>
      </w:r>
    </w:p>
    <w:p w14:paraId="1E80569D" w14:textId="77777777" w:rsidR="00AA4A02" w:rsidRDefault="00960F31">
      <w:pPr>
        <w:pStyle w:val="ListParagraph"/>
        <w:numPr>
          <w:ilvl w:val="0"/>
          <w:numId w:val="59"/>
        </w:numPr>
        <w:tabs>
          <w:tab w:val="left" w:pos="1418"/>
        </w:tabs>
        <w:spacing w:before="119"/>
        <w:ind w:hanging="566"/>
        <w:rPr>
          <w:rFonts w:ascii="Calibri" w:hAnsi="Calibri"/>
          <w:sz w:val="24"/>
        </w:rPr>
      </w:pPr>
      <w:r>
        <w:rPr>
          <w:rFonts w:ascii="Calibri" w:hAnsi="Calibri"/>
          <w:sz w:val="24"/>
        </w:rPr>
        <w:t>Ms</w:t>
      </w:r>
      <w:r>
        <w:rPr>
          <w:rFonts w:ascii="Calibri" w:hAnsi="Calibri"/>
          <w:spacing w:val="-3"/>
          <w:sz w:val="24"/>
        </w:rPr>
        <w:t xml:space="preserve"> </w:t>
      </w:r>
      <w:r>
        <w:rPr>
          <w:rFonts w:ascii="Calibri" w:hAnsi="Calibri"/>
          <w:sz w:val="24"/>
        </w:rPr>
        <w:t>Merilyn</w:t>
      </w:r>
      <w:r>
        <w:rPr>
          <w:rFonts w:ascii="Calibri" w:hAnsi="Calibri"/>
          <w:spacing w:val="1"/>
          <w:sz w:val="24"/>
        </w:rPr>
        <w:t xml:space="preserve"> </w:t>
      </w:r>
      <w:r>
        <w:rPr>
          <w:rFonts w:ascii="Calibri" w:hAnsi="Calibri"/>
          <w:spacing w:val="-4"/>
          <w:sz w:val="24"/>
        </w:rPr>
        <w:t>Gwan</w:t>
      </w:r>
    </w:p>
    <w:p w14:paraId="1E80569E" w14:textId="77777777" w:rsidR="00AA4A02" w:rsidRDefault="00AA4A02">
      <w:pPr>
        <w:pStyle w:val="ListParagraph"/>
        <w:rPr>
          <w:rFonts w:ascii="Calibri" w:hAnsi="Calibri"/>
          <w:sz w:val="24"/>
        </w:rPr>
        <w:sectPr w:rsidR="00AA4A02">
          <w:pgSz w:w="11910" w:h="16840"/>
          <w:pgMar w:top="1820" w:right="566" w:bottom="1320" w:left="566" w:header="0" w:footer="1125" w:gutter="0"/>
          <w:cols w:space="720"/>
        </w:sectPr>
      </w:pPr>
    </w:p>
    <w:p w14:paraId="1E80569F" w14:textId="77777777" w:rsidR="00AA4A02" w:rsidRDefault="00AA4A02">
      <w:pPr>
        <w:pStyle w:val="BodyText"/>
        <w:rPr>
          <w:rFonts w:ascii="Calibri"/>
          <w:sz w:val="29"/>
        </w:rPr>
      </w:pPr>
    </w:p>
    <w:p w14:paraId="1E8056A0" w14:textId="77777777" w:rsidR="00AA4A02" w:rsidRDefault="00AA4A02">
      <w:pPr>
        <w:pStyle w:val="BodyText"/>
        <w:rPr>
          <w:rFonts w:ascii="Calibri"/>
          <w:sz w:val="29"/>
        </w:rPr>
      </w:pPr>
    </w:p>
    <w:p w14:paraId="1E8056A1" w14:textId="77777777" w:rsidR="00AA4A02" w:rsidRDefault="00AA4A02">
      <w:pPr>
        <w:pStyle w:val="BodyText"/>
        <w:spacing w:before="67"/>
        <w:rPr>
          <w:rFonts w:ascii="Calibri"/>
          <w:sz w:val="29"/>
        </w:rPr>
      </w:pPr>
    </w:p>
    <w:p w14:paraId="1E8056A2" w14:textId="77777777" w:rsidR="00AA4A02" w:rsidRDefault="00960F31">
      <w:pPr>
        <w:pStyle w:val="Heading2"/>
        <w:ind w:right="850"/>
      </w:pPr>
      <w:bookmarkStart w:id="10" w:name="3A_Member_Reflections"/>
      <w:bookmarkStart w:id="11" w:name="Item_3A"/>
      <w:bookmarkEnd w:id="10"/>
      <w:bookmarkEnd w:id="11"/>
      <w:r>
        <w:rPr>
          <w:smallCaps/>
          <w:color w:val="585858"/>
        </w:rPr>
        <w:t>Item</w:t>
      </w:r>
      <w:r>
        <w:rPr>
          <w:smallCaps/>
          <w:color w:val="585858"/>
          <w:spacing w:val="-1"/>
        </w:rPr>
        <w:t xml:space="preserve"> </w:t>
      </w:r>
      <w:r>
        <w:rPr>
          <w:smallCaps/>
          <w:color w:val="585858"/>
          <w:spacing w:val="-5"/>
        </w:rPr>
        <w:t>3A</w:t>
      </w:r>
    </w:p>
    <w:p w14:paraId="1E8056A3" w14:textId="77777777" w:rsidR="00AA4A02" w:rsidRDefault="00960F31">
      <w:pPr>
        <w:spacing w:before="119"/>
        <w:ind w:right="850"/>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6A4" w14:textId="77777777" w:rsidR="00AA4A02" w:rsidRDefault="00960F31">
      <w:pPr>
        <w:pStyle w:val="Heading2"/>
        <w:spacing w:before="301"/>
        <w:ind w:left="852"/>
        <w:jc w:val="left"/>
      </w:pPr>
      <w:bookmarkStart w:id="12" w:name="Member_Reflections"/>
      <w:bookmarkEnd w:id="12"/>
      <w:r>
        <w:rPr>
          <w:smallCaps/>
          <w:color w:val="585858"/>
        </w:rPr>
        <w:t>Member</w:t>
      </w:r>
      <w:r>
        <w:rPr>
          <w:smallCaps/>
          <w:color w:val="585858"/>
          <w:spacing w:val="-3"/>
        </w:rPr>
        <w:t xml:space="preserve"> </w:t>
      </w:r>
      <w:r>
        <w:rPr>
          <w:smallCaps/>
          <w:color w:val="585858"/>
          <w:spacing w:val="-2"/>
        </w:rPr>
        <w:t>Reflections</w:t>
      </w:r>
    </w:p>
    <w:p w14:paraId="1E8056A5" w14:textId="77777777" w:rsidR="00AA4A02" w:rsidRDefault="00960F31">
      <w:pPr>
        <w:pStyle w:val="BodyText"/>
        <w:spacing w:before="90"/>
        <w:rPr>
          <w:rFonts w:ascii="Calibri"/>
          <w:b/>
          <w:sz w:val="20"/>
        </w:rPr>
      </w:pPr>
      <w:r>
        <w:rPr>
          <w:rFonts w:ascii="Calibri"/>
          <w:b/>
          <w:noProof/>
          <w:sz w:val="20"/>
        </w:rPr>
        <mc:AlternateContent>
          <mc:Choice Requires="wps">
            <w:drawing>
              <wp:anchor distT="0" distB="0" distL="0" distR="0" simplePos="0" relativeHeight="487589376" behindDoc="1" locked="0" layoutInCell="1" allowOverlap="1" wp14:anchorId="1E805F17" wp14:editId="1E805F18">
                <wp:simplePos x="0" y="0"/>
                <wp:positionH relativeFrom="page">
                  <wp:posOffset>830580</wp:posOffset>
                </wp:positionH>
                <wp:positionV relativeFrom="paragraph">
                  <wp:posOffset>229912</wp:posOffset>
                </wp:positionV>
                <wp:extent cx="5899785" cy="76962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769620"/>
                        </a:xfrm>
                        <a:prstGeom prst="rect">
                          <a:avLst/>
                        </a:prstGeom>
                        <a:solidFill>
                          <a:srgbClr val="E0EFFF"/>
                        </a:solidFill>
                        <a:ln w="3035">
                          <a:solidFill>
                            <a:srgbClr val="2E5395"/>
                          </a:solidFill>
                          <a:prstDash val="solid"/>
                        </a:ln>
                      </wps:spPr>
                      <wps:txbx>
                        <w:txbxContent>
                          <w:p w14:paraId="1E806063"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4" w14:textId="77777777" w:rsidR="00AA4A02" w:rsidRDefault="00960F31">
                            <w:pPr>
                              <w:numPr>
                                <w:ilvl w:val="0"/>
                                <w:numId w:val="58"/>
                              </w:numPr>
                              <w:tabs>
                                <w:tab w:val="left" w:pos="535"/>
                              </w:tabs>
                              <w:spacing w:before="116"/>
                              <w:ind w:hanging="4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z w:val="24"/>
                              </w:rPr>
                              <w:t>note</w:t>
                            </w:r>
                            <w:r>
                              <w:rPr>
                                <w:rFonts w:ascii="Calibri"/>
                                <w:color w:val="000000"/>
                                <w:spacing w:val="-3"/>
                                <w:sz w:val="24"/>
                              </w:rPr>
                              <w:t xml:space="preserve"> </w:t>
                            </w:r>
                            <w:r>
                              <w:rPr>
                                <w:rFonts w:ascii="Calibri"/>
                                <w:color w:val="000000"/>
                                <w:sz w:val="24"/>
                              </w:rPr>
                              <w:t>contemporary</w:t>
                            </w:r>
                            <w:r>
                              <w:rPr>
                                <w:rFonts w:ascii="Calibri"/>
                                <w:color w:val="000000"/>
                                <w:spacing w:val="-1"/>
                                <w:sz w:val="24"/>
                              </w:rPr>
                              <w:t xml:space="preserve"> </w:t>
                            </w:r>
                            <w:r>
                              <w:rPr>
                                <w:rFonts w:ascii="Calibri"/>
                                <w:color w:val="000000"/>
                                <w:sz w:val="24"/>
                              </w:rPr>
                              <w:t>and</w:t>
                            </w:r>
                            <w:r>
                              <w:rPr>
                                <w:rFonts w:ascii="Calibri"/>
                                <w:color w:val="000000"/>
                                <w:spacing w:val="-3"/>
                                <w:sz w:val="24"/>
                              </w:rPr>
                              <w:t xml:space="preserve"> </w:t>
                            </w:r>
                            <w:r>
                              <w:rPr>
                                <w:rFonts w:ascii="Calibri"/>
                                <w:color w:val="000000"/>
                                <w:sz w:val="24"/>
                              </w:rPr>
                              <w:t>relevant</w:t>
                            </w:r>
                            <w:r>
                              <w:rPr>
                                <w:rFonts w:ascii="Calibri"/>
                                <w:color w:val="000000"/>
                                <w:spacing w:val="-2"/>
                                <w:sz w:val="24"/>
                              </w:rPr>
                              <w:t xml:space="preserve"> matters.</w:t>
                            </w:r>
                          </w:p>
                        </w:txbxContent>
                      </wps:txbx>
                      <wps:bodyPr wrap="square" lIns="0" tIns="0" rIns="0" bIns="0" rtlCol="0">
                        <a:noAutofit/>
                      </wps:bodyPr>
                    </wps:wsp>
                  </a:graphicData>
                </a:graphic>
              </wp:anchor>
            </w:drawing>
          </mc:Choice>
          <mc:Fallback>
            <w:pict>
              <v:shape w14:anchorId="1E805F17" id="Textbox 17" o:spid="_x0000_s1029" type="#_x0000_t202" style="position:absolute;margin-left:65.4pt;margin-top:18.1pt;width:464.55pt;height:60.6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" fillcolor="#e0efff" strokecolor="#2e5395" strokeweight=".08431mm">
                <v:path arrowok="t"/>
                <v:textbox inset="0,0,0,0">
                  <w:txbxContent>
                    <w:p w14:paraId="1E806063"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4" w14:textId="77777777" w:rsidR="00AA4A02" w:rsidRDefault="00960F31">
                      <w:pPr>
                        <w:numPr>
                          <w:ilvl w:val="0"/>
                          <w:numId w:val="58"/>
                        </w:numPr>
                        <w:tabs>
                          <w:tab w:val="left" w:pos="535"/>
                        </w:tabs>
                        <w:spacing w:before="116"/>
                        <w:ind w:hanging="4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z w:val="24"/>
                        </w:rPr>
                        <w:t>note</w:t>
                      </w:r>
                      <w:r>
                        <w:rPr>
                          <w:rFonts w:ascii="Calibri"/>
                          <w:color w:val="000000"/>
                          <w:spacing w:val="-3"/>
                          <w:sz w:val="24"/>
                        </w:rPr>
                        <w:t xml:space="preserve"> </w:t>
                      </w:r>
                      <w:r>
                        <w:rPr>
                          <w:rFonts w:ascii="Calibri"/>
                          <w:color w:val="000000"/>
                          <w:sz w:val="24"/>
                        </w:rPr>
                        <w:t>contemporary</w:t>
                      </w:r>
                      <w:r>
                        <w:rPr>
                          <w:rFonts w:ascii="Calibri"/>
                          <w:color w:val="000000"/>
                          <w:spacing w:val="-1"/>
                          <w:sz w:val="24"/>
                        </w:rPr>
                        <w:t xml:space="preserve"> </w:t>
                      </w:r>
                      <w:r>
                        <w:rPr>
                          <w:rFonts w:ascii="Calibri"/>
                          <w:color w:val="000000"/>
                          <w:sz w:val="24"/>
                        </w:rPr>
                        <w:t>and</w:t>
                      </w:r>
                      <w:r>
                        <w:rPr>
                          <w:rFonts w:ascii="Calibri"/>
                          <w:color w:val="000000"/>
                          <w:spacing w:val="-3"/>
                          <w:sz w:val="24"/>
                        </w:rPr>
                        <w:t xml:space="preserve"> </w:t>
                      </w:r>
                      <w:r>
                        <w:rPr>
                          <w:rFonts w:ascii="Calibri"/>
                          <w:color w:val="000000"/>
                          <w:sz w:val="24"/>
                        </w:rPr>
                        <w:t>relevant</w:t>
                      </w:r>
                      <w:r>
                        <w:rPr>
                          <w:rFonts w:ascii="Calibri"/>
                          <w:color w:val="000000"/>
                          <w:spacing w:val="-2"/>
                          <w:sz w:val="24"/>
                        </w:rPr>
                        <w:t xml:space="preserve"> matters.</w:t>
                      </w:r>
                    </w:p>
                  </w:txbxContent>
                </v:textbox>
                <w10:wrap type="topAndBottom" anchorx="page"/>
              </v:shape>
            </w:pict>
          </mc:Fallback>
        </mc:AlternateContent>
      </w:r>
    </w:p>
    <w:p w14:paraId="1E8056A6" w14:textId="77777777" w:rsidR="00AA4A02" w:rsidRDefault="00960F31">
      <w:pPr>
        <w:spacing w:before="122"/>
        <w:ind w:left="852" w:right="840"/>
        <w:rPr>
          <w:rFonts w:ascii="Calibri"/>
          <w:sz w:val="24"/>
        </w:rPr>
      </w:pPr>
      <w:r>
        <w:rPr>
          <w:rFonts w:ascii="Calibri"/>
          <w:sz w:val="24"/>
        </w:rPr>
        <w:t>Members</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update</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FRC</w:t>
      </w:r>
      <w:r>
        <w:rPr>
          <w:rFonts w:ascii="Calibri"/>
          <w:spacing w:val="-2"/>
          <w:sz w:val="24"/>
        </w:rPr>
        <w:t xml:space="preserve"> </w:t>
      </w:r>
      <w:r>
        <w:rPr>
          <w:rFonts w:ascii="Calibri"/>
          <w:sz w:val="24"/>
        </w:rPr>
        <w:t>with</w:t>
      </w:r>
      <w:r>
        <w:rPr>
          <w:rFonts w:ascii="Calibri"/>
          <w:spacing w:val="-3"/>
          <w:sz w:val="24"/>
        </w:rPr>
        <w:t xml:space="preserve"> </w:t>
      </w:r>
      <w:r>
        <w:rPr>
          <w:rFonts w:ascii="Calibri"/>
          <w:sz w:val="24"/>
        </w:rPr>
        <w:t>contemporary</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relevant matters</w:t>
      </w:r>
      <w:r>
        <w:rPr>
          <w:rFonts w:ascii="Calibri"/>
          <w:spacing w:val="-4"/>
          <w:sz w:val="24"/>
        </w:rPr>
        <w:t xml:space="preserve"> </w:t>
      </w:r>
      <w:r>
        <w:rPr>
          <w:rFonts w:ascii="Calibri"/>
          <w:sz w:val="24"/>
        </w:rPr>
        <w:t>from</w:t>
      </w:r>
      <w:r>
        <w:rPr>
          <w:rFonts w:ascii="Calibri"/>
          <w:spacing w:val="-1"/>
          <w:sz w:val="24"/>
        </w:rPr>
        <w:t xml:space="preserve"> </w:t>
      </w:r>
      <w:r>
        <w:rPr>
          <w:rFonts w:ascii="Calibri"/>
          <w:sz w:val="24"/>
        </w:rPr>
        <w:t>their</w:t>
      </w:r>
      <w:r>
        <w:rPr>
          <w:rFonts w:ascii="Calibri"/>
          <w:spacing w:val="-4"/>
          <w:sz w:val="24"/>
        </w:rPr>
        <w:t xml:space="preserve"> </w:t>
      </w:r>
      <w:r>
        <w:rPr>
          <w:rFonts w:ascii="Calibri"/>
          <w:sz w:val="24"/>
        </w:rPr>
        <w:t>fields</w:t>
      </w:r>
      <w:r>
        <w:rPr>
          <w:rFonts w:ascii="Calibri"/>
          <w:spacing w:val="-2"/>
          <w:sz w:val="24"/>
        </w:rPr>
        <w:t xml:space="preserve"> </w:t>
      </w:r>
      <w:r>
        <w:rPr>
          <w:rFonts w:ascii="Calibri"/>
          <w:sz w:val="24"/>
        </w:rPr>
        <w:t>of expertise including domestic and international events that may impact the Australian external reporting space.</w:t>
      </w:r>
    </w:p>
    <w:p w14:paraId="1E8056A7" w14:textId="77777777" w:rsidR="00AA4A02" w:rsidRDefault="00AA4A02">
      <w:pPr>
        <w:rPr>
          <w:rFonts w:ascii="Calibri"/>
          <w:sz w:val="24"/>
        </w:rPr>
        <w:sectPr w:rsidR="00AA4A02">
          <w:headerReference w:type="default" r:id="rId22"/>
          <w:footerReference w:type="default" r:id="rId23"/>
          <w:pgSz w:w="11910" w:h="16840"/>
          <w:pgMar w:top="1820" w:right="566" w:bottom="1000" w:left="566" w:header="0" w:footer="803" w:gutter="0"/>
          <w:cols w:space="720"/>
        </w:sectPr>
      </w:pPr>
    </w:p>
    <w:p w14:paraId="1E8056A8" w14:textId="77777777" w:rsidR="00AA4A02" w:rsidRDefault="00AA4A02">
      <w:pPr>
        <w:pStyle w:val="BodyText"/>
        <w:rPr>
          <w:rFonts w:ascii="Calibri"/>
          <w:sz w:val="29"/>
        </w:rPr>
      </w:pPr>
    </w:p>
    <w:p w14:paraId="1E8056A9" w14:textId="77777777" w:rsidR="00AA4A02" w:rsidRDefault="00AA4A02">
      <w:pPr>
        <w:pStyle w:val="BodyText"/>
        <w:rPr>
          <w:rFonts w:ascii="Calibri"/>
          <w:sz w:val="29"/>
        </w:rPr>
      </w:pPr>
    </w:p>
    <w:p w14:paraId="1E8056AA" w14:textId="77777777" w:rsidR="00AA4A02" w:rsidRDefault="00AA4A02">
      <w:pPr>
        <w:pStyle w:val="BodyText"/>
        <w:spacing w:before="67"/>
        <w:rPr>
          <w:rFonts w:ascii="Calibri"/>
          <w:sz w:val="29"/>
        </w:rPr>
      </w:pPr>
    </w:p>
    <w:p w14:paraId="1E8056AB" w14:textId="77777777" w:rsidR="00AA4A02" w:rsidRDefault="00960F31">
      <w:pPr>
        <w:pStyle w:val="Heading2"/>
        <w:ind w:right="850"/>
      </w:pPr>
      <w:bookmarkStart w:id="13" w:name="3B_XRB_update"/>
      <w:bookmarkStart w:id="14" w:name="Item_3B"/>
      <w:bookmarkEnd w:id="13"/>
      <w:bookmarkEnd w:id="14"/>
      <w:r>
        <w:rPr>
          <w:smallCaps/>
          <w:color w:val="585858"/>
        </w:rPr>
        <w:t>Item</w:t>
      </w:r>
      <w:r>
        <w:rPr>
          <w:smallCaps/>
          <w:color w:val="585858"/>
          <w:spacing w:val="-1"/>
        </w:rPr>
        <w:t xml:space="preserve"> </w:t>
      </w:r>
      <w:r>
        <w:rPr>
          <w:smallCaps/>
          <w:color w:val="585858"/>
          <w:spacing w:val="-5"/>
        </w:rPr>
        <w:t>3B</w:t>
      </w:r>
    </w:p>
    <w:p w14:paraId="1E8056AC" w14:textId="77777777" w:rsidR="00AA4A02" w:rsidRDefault="00960F31">
      <w:pPr>
        <w:spacing w:before="119"/>
        <w:ind w:right="850"/>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6AD" w14:textId="77777777" w:rsidR="00AA4A02" w:rsidRDefault="00960F31">
      <w:pPr>
        <w:spacing w:before="301"/>
        <w:ind w:left="852"/>
        <w:rPr>
          <w:rFonts w:ascii="Calibri"/>
          <w:b/>
          <w:sz w:val="29"/>
        </w:rPr>
      </w:pPr>
      <w:bookmarkStart w:id="15" w:name="XRB_update"/>
      <w:bookmarkEnd w:id="15"/>
      <w:r>
        <w:rPr>
          <w:rFonts w:ascii="Calibri"/>
          <w:b/>
          <w:color w:val="585858"/>
          <w:sz w:val="36"/>
        </w:rPr>
        <w:t>XRB</w:t>
      </w:r>
      <w:r>
        <w:rPr>
          <w:rFonts w:ascii="Calibri"/>
          <w:b/>
          <w:color w:val="585858"/>
          <w:spacing w:val="-18"/>
          <w:sz w:val="36"/>
        </w:rPr>
        <w:t xml:space="preserve"> </w:t>
      </w:r>
      <w:r>
        <w:rPr>
          <w:rFonts w:ascii="Calibri"/>
          <w:b/>
          <w:color w:val="585858"/>
          <w:spacing w:val="-2"/>
          <w:sz w:val="29"/>
        </w:rPr>
        <w:t>UPDATE</w:t>
      </w:r>
    </w:p>
    <w:p w14:paraId="1E8056AE" w14:textId="77777777" w:rsidR="00AA4A02" w:rsidRDefault="00960F31">
      <w:pPr>
        <w:pStyle w:val="BodyText"/>
        <w:spacing w:before="90"/>
        <w:rPr>
          <w:rFonts w:ascii="Calibri"/>
          <w:b/>
          <w:sz w:val="20"/>
        </w:rPr>
      </w:pPr>
      <w:r>
        <w:rPr>
          <w:rFonts w:ascii="Calibri"/>
          <w:b/>
          <w:noProof/>
          <w:sz w:val="20"/>
        </w:rPr>
        <mc:AlternateContent>
          <mc:Choice Requires="wps">
            <w:drawing>
              <wp:anchor distT="0" distB="0" distL="0" distR="0" simplePos="0" relativeHeight="487589888" behindDoc="1" locked="0" layoutInCell="1" allowOverlap="1" wp14:anchorId="1E805F19" wp14:editId="1E805F1A">
                <wp:simplePos x="0" y="0"/>
                <wp:positionH relativeFrom="page">
                  <wp:posOffset>830580</wp:posOffset>
                </wp:positionH>
                <wp:positionV relativeFrom="paragraph">
                  <wp:posOffset>229912</wp:posOffset>
                </wp:positionV>
                <wp:extent cx="5899785" cy="76962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769620"/>
                        </a:xfrm>
                        <a:prstGeom prst="rect">
                          <a:avLst/>
                        </a:prstGeom>
                        <a:solidFill>
                          <a:srgbClr val="E0EFFF"/>
                        </a:solidFill>
                        <a:ln w="3035">
                          <a:solidFill>
                            <a:srgbClr val="2E5395"/>
                          </a:solidFill>
                          <a:prstDash val="solid"/>
                        </a:ln>
                      </wps:spPr>
                      <wps:txbx>
                        <w:txbxContent>
                          <w:p w14:paraId="1E806065"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6" w14:textId="77777777" w:rsidR="00AA4A02" w:rsidRDefault="00960F31">
                            <w:pPr>
                              <w:numPr>
                                <w:ilvl w:val="0"/>
                                <w:numId w:val="57"/>
                              </w:numPr>
                              <w:tabs>
                                <w:tab w:val="left" w:pos="535"/>
                              </w:tabs>
                              <w:spacing w:before="116"/>
                              <w:ind w:hanging="427"/>
                              <w:rPr>
                                <w:rFonts w:ascii="Calibri"/>
                                <w:color w:val="000000"/>
                                <w:sz w:val="24"/>
                              </w:rPr>
                            </w:pPr>
                            <w:r>
                              <w:rPr>
                                <w:rFonts w:ascii="Calibri"/>
                                <w:color w:val="000000"/>
                                <w:sz w:val="24"/>
                              </w:rPr>
                              <w:t>Members</w:t>
                            </w:r>
                            <w:r>
                              <w:rPr>
                                <w:rFonts w:ascii="Calibri"/>
                                <w:color w:val="000000"/>
                                <w:spacing w:val="-4"/>
                                <w:sz w:val="24"/>
                              </w:rPr>
                              <w:t xml:space="preserve"> </w:t>
                            </w:r>
                            <w:r>
                              <w:rPr>
                                <w:rFonts w:ascii="Calibri"/>
                                <w:color w:val="000000"/>
                                <w:sz w:val="24"/>
                              </w:rPr>
                              <w:t>to</w:t>
                            </w:r>
                            <w:r>
                              <w:rPr>
                                <w:rFonts w:ascii="Calibri"/>
                                <w:color w:val="000000"/>
                                <w:spacing w:val="-2"/>
                                <w:sz w:val="24"/>
                              </w:rPr>
                              <w:t xml:space="preserve"> </w:t>
                            </w:r>
                            <w:r>
                              <w:rPr>
                                <w:rFonts w:ascii="Calibri"/>
                                <w:color w:val="000000"/>
                                <w:sz w:val="24"/>
                              </w:rPr>
                              <w:t>note verbal</w:t>
                            </w:r>
                            <w:r>
                              <w:rPr>
                                <w:rFonts w:ascii="Calibri"/>
                                <w:color w:val="000000"/>
                                <w:spacing w:val="-3"/>
                                <w:sz w:val="24"/>
                              </w:rPr>
                              <w:t xml:space="preserve"> </w:t>
                            </w:r>
                            <w:r>
                              <w:rPr>
                                <w:rFonts w:ascii="Calibri"/>
                                <w:color w:val="000000"/>
                                <w:sz w:val="24"/>
                              </w:rPr>
                              <w:t>update</w:t>
                            </w:r>
                            <w:r>
                              <w:rPr>
                                <w:rFonts w:ascii="Calibri"/>
                                <w:color w:val="000000"/>
                                <w:spacing w:val="-2"/>
                                <w:sz w:val="24"/>
                              </w:rPr>
                              <w:t xml:space="preserve"> </w:t>
                            </w:r>
                            <w:r>
                              <w:rPr>
                                <w:rFonts w:ascii="Calibri"/>
                                <w:color w:val="000000"/>
                                <w:sz w:val="24"/>
                              </w:rPr>
                              <w:t>from XRB</w:t>
                            </w:r>
                            <w:r>
                              <w:rPr>
                                <w:rFonts w:ascii="Calibri"/>
                                <w:color w:val="000000"/>
                                <w:spacing w:val="-1"/>
                                <w:sz w:val="24"/>
                              </w:rPr>
                              <w:t xml:space="preserve"> </w:t>
                            </w:r>
                            <w:r>
                              <w:rPr>
                                <w:rFonts w:ascii="Calibri"/>
                                <w:color w:val="000000"/>
                                <w:sz w:val="24"/>
                              </w:rPr>
                              <w:t>Chair,</w:t>
                            </w:r>
                            <w:r>
                              <w:rPr>
                                <w:rFonts w:ascii="Calibri"/>
                                <w:color w:val="000000"/>
                                <w:spacing w:val="-3"/>
                                <w:sz w:val="24"/>
                              </w:rPr>
                              <w:t xml:space="preserve"> </w:t>
                            </w:r>
                            <w:r>
                              <w:rPr>
                                <w:rFonts w:ascii="Calibri"/>
                                <w:color w:val="000000"/>
                                <w:sz w:val="24"/>
                              </w:rPr>
                              <w:t>John</w:t>
                            </w:r>
                            <w:r>
                              <w:rPr>
                                <w:rFonts w:ascii="Calibri"/>
                                <w:color w:val="000000"/>
                                <w:spacing w:val="-2"/>
                                <w:sz w:val="24"/>
                              </w:rPr>
                              <w:t xml:space="preserve"> Kensington.</w:t>
                            </w:r>
                          </w:p>
                        </w:txbxContent>
                      </wps:txbx>
                      <wps:bodyPr wrap="square" lIns="0" tIns="0" rIns="0" bIns="0" rtlCol="0">
                        <a:noAutofit/>
                      </wps:bodyPr>
                    </wps:wsp>
                  </a:graphicData>
                </a:graphic>
              </wp:anchor>
            </w:drawing>
          </mc:Choice>
          <mc:Fallback>
            <w:pict>
              <v:shape w14:anchorId="1E805F19" id="Textbox 18" o:spid="_x0000_s1030" type="#_x0000_t202" style="position:absolute;margin-left:65.4pt;margin-top:18.1pt;width:464.55pt;height:60.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" fillcolor="#e0efff" strokecolor="#2e5395" strokeweight=".08431mm">
                <v:path arrowok="t"/>
                <v:textbox inset="0,0,0,0">
                  <w:txbxContent>
                    <w:p w14:paraId="1E806065"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6" w14:textId="77777777" w:rsidR="00AA4A02" w:rsidRDefault="00960F31">
                      <w:pPr>
                        <w:numPr>
                          <w:ilvl w:val="0"/>
                          <w:numId w:val="57"/>
                        </w:numPr>
                        <w:tabs>
                          <w:tab w:val="left" w:pos="535"/>
                        </w:tabs>
                        <w:spacing w:before="116"/>
                        <w:ind w:hanging="427"/>
                        <w:rPr>
                          <w:rFonts w:ascii="Calibri"/>
                          <w:color w:val="000000"/>
                          <w:sz w:val="24"/>
                        </w:rPr>
                      </w:pPr>
                      <w:r>
                        <w:rPr>
                          <w:rFonts w:ascii="Calibri"/>
                          <w:color w:val="000000"/>
                          <w:sz w:val="24"/>
                        </w:rPr>
                        <w:t>Members</w:t>
                      </w:r>
                      <w:r>
                        <w:rPr>
                          <w:rFonts w:ascii="Calibri"/>
                          <w:color w:val="000000"/>
                          <w:spacing w:val="-4"/>
                          <w:sz w:val="24"/>
                        </w:rPr>
                        <w:t xml:space="preserve"> </w:t>
                      </w:r>
                      <w:r>
                        <w:rPr>
                          <w:rFonts w:ascii="Calibri"/>
                          <w:color w:val="000000"/>
                          <w:sz w:val="24"/>
                        </w:rPr>
                        <w:t>to</w:t>
                      </w:r>
                      <w:r>
                        <w:rPr>
                          <w:rFonts w:ascii="Calibri"/>
                          <w:color w:val="000000"/>
                          <w:spacing w:val="-2"/>
                          <w:sz w:val="24"/>
                        </w:rPr>
                        <w:t xml:space="preserve"> </w:t>
                      </w:r>
                      <w:r>
                        <w:rPr>
                          <w:rFonts w:ascii="Calibri"/>
                          <w:color w:val="000000"/>
                          <w:sz w:val="24"/>
                        </w:rPr>
                        <w:t>note verbal</w:t>
                      </w:r>
                      <w:r>
                        <w:rPr>
                          <w:rFonts w:ascii="Calibri"/>
                          <w:color w:val="000000"/>
                          <w:spacing w:val="-3"/>
                          <w:sz w:val="24"/>
                        </w:rPr>
                        <w:t xml:space="preserve"> </w:t>
                      </w:r>
                      <w:r>
                        <w:rPr>
                          <w:rFonts w:ascii="Calibri"/>
                          <w:color w:val="000000"/>
                          <w:sz w:val="24"/>
                        </w:rPr>
                        <w:t>update</w:t>
                      </w:r>
                      <w:r>
                        <w:rPr>
                          <w:rFonts w:ascii="Calibri"/>
                          <w:color w:val="000000"/>
                          <w:spacing w:val="-2"/>
                          <w:sz w:val="24"/>
                        </w:rPr>
                        <w:t xml:space="preserve"> </w:t>
                      </w:r>
                      <w:r>
                        <w:rPr>
                          <w:rFonts w:ascii="Calibri"/>
                          <w:color w:val="000000"/>
                          <w:sz w:val="24"/>
                        </w:rPr>
                        <w:t>from XRB</w:t>
                      </w:r>
                      <w:r>
                        <w:rPr>
                          <w:rFonts w:ascii="Calibri"/>
                          <w:color w:val="000000"/>
                          <w:spacing w:val="-1"/>
                          <w:sz w:val="24"/>
                        </w:rPr>
                        <w:t xml:space="preserve"> </w:t>
                      </w:r>
                      <w:r>
                        <w:rPr>
                          <w:rFonts w:ascii="Calibri"/>
                          <w:color w:val="000000"/>
                          <w:sz w:val="24"/>
                        </w:rPr>
                        <w:t>Chair,</w:t>
                      </w:r>
                      <w:r>
                        <w:rPr>
                          <w:rFonts w:ascii="Calibri"/>
                          <w:color w:val="000000"/>
                          <w:spacing w:val="-3"/>
                          <w:sz w:val="24"/>
                        </w:rPr>
                        <w:t xml:space="preserve"> </w:t>
                      </w:r>
                      <w:r>
                        <w:rPr>
                          <w:rFonts w:ascii="Calibri"/>
                          <w:color w:val="000000"/>
                          <w:sz w:val="24"/>
                        </w:rPr>
                        <w:t>John</w:t>
                      </w:r>
                      <w:r>
                        <w:rPr>
                          <w:rFonts w:ascii="Calibri"/>
                          <w:color w:val="000000"/>
                          <w:spacing w:val="-2"/>
                          <w:sz w:val="24"/>
                        </w:rPr>
                        <w:t xml:space="preserve"> Kensington.</w:t>
                      </w:r>
                    </w:p>
                  </w:txbxContent>
                </v:textbox>
                <w10:wrap type="topAndBottom" anchorx="page"/>
              </v:shape>
            </w:pict>
          </mc:Fallback>
        </mc:AlternateContent>
      </w:r>
    </w:p>
    <w:p w14:paraId="1E8056AF" w14:textId="77777777" w:rsidR="00AA4A02" w:rsidRDefault="00960F31">
      <w:pPr>
        <w:spacing w:before="122"/>
        <w:ind w:left="852"/>
        <w:rPr>
          <w:rFonts w:ascii="Calibri"/>
          <w:sz w:val="24"/>
        </w:rPr>
      </w:pPr>
      <w:r>
        <w:rPr>
          <w:rFonts w:ascii="Calibri"/>
          <w:sz w:val="24"/>
        </w:rPr>
        <w:t>For</w:t>
      </w:r>
      <w:r>
        <w:rPr>
          <w:rFonts w:ascii="Calibri"/>
          <w:spacing w:val="-1"/>
          <w:sz w:val="24"/>
        </w:rPr>
        <w:t xml:space="preserve"> </w:t>
      </w:r>
      <w:r>
        <w:rPr>
          <w:rFonts w:ascii="Calibri"/>
          <w:sz w:val="24"/>
        </w:rPr>
        <w:t>members:</w:t>
      </w:r>
      <w:r>
        <w:rPr>
          <w:rFonts w:ascii="Calibri"/>
          <w:spacing w:val="-2"/>
          <w:sz w:val="24"/>
        </w:rPr>
        <w:t xml:space="preserve"> </w:t>
      </w:r>
      <w:r>
        <w:rPr>
          <w:rFonts w:ascii="Calibri"/>
          <w:sz w:val="24"/>
        </w:rPr>
        <w:t>XRB</w:t>
      </w:r>
      <w:r>
        <w:rPr>
          <w:rFonts w:ascii="Calibri"/>
          <w:spacing w:val="-1"/>
          <w:sz w:val="24"/>
        </w:rPr>
        <w:t xml:space="preserve"> </w:t>
      </w:r>
      <w:r>
        <w:rPr>
          <w:rFonts w:ascii="Calibri"/>
          <w:sz w:val="24"/>
        </w:rPr>
        <w:t>Chair</w:t>
      </w:r>
      <w:r>
        <w:rPr>
          <w:rFonts w:ascii="Calibri"/>
          <w:spacing w:val="-3"/>
          <w:sz w:val="24"/>
        </w:rPr>
        <w:t xml:space="preserve"> </w:t>
      </w:r>
      <w:r>
        <w:rPr>
          <w:rFonts w:ascii="Calibri"/>
          <w:sz w:val="24"/>
        </w:rPr>
        <w:t xml:space="preserve">report </w:t>
      </w:r>
      <w:r>
        <w:rPr>
          <w:rFonts w:ascii="Calibri"/>
          <w:spacing w:val="-2"/>
          <w:sz w:val="24"/>
        </w:rPr>
        <w:t>attached.</w:t>
      </w:r>
    </w:p>
    <w:p w14:paraId="1E8056B0" w14:textId="77777777" w:rsidR="00AA4A02" w:rsidRDefault="00AA4A02">
      <w:pPr>
        <w:rPr>
          <w:rFonts w:ascii="Calibri"/>
          <w:sz w:val="24"/>
        </w:rPr>
        <w:sectPr w:rsidR="00AA4A02">
          <w:pgSz w:w="11910" w:h="16840"/>
          <w:pgMar w:top="1820" w:right="566" w:bottom="1000" w:left="566" w:header="0" w:footer="803" w:gutter="0"/>
          <w:cols w:space="720"/>
        </w:sectPr>
      </w:pPr>
    </w:p>
    <w:p w14:paraId="1E8056B1" w14:textId="77777777" w:rsidR="00AA4A02" w:rsidRDefault="00960F31">
      <w:pPr>
        <w:pStyle w:val="BodyText"/>
        <w:rPr>
          <w:rFonts w:ascii="Calibri"/>
          <w:sz w:val="29"/>
        </w:rPr>
      </w:pPr>
      <w:r>
        <w:rPr>
          <w:rFonts w:ascii="Calibri"/>
          <w:noProof/>
          <w:sz w:val="29"/>
        </w:rPr>
        <w:lastRenderedPageBreak/>
        <w:drawing>
          <wp:anchor distT="0" distB="0" distL="0" distR="0" simplePos="0" relativeHeight="15731712" behindDoc="0" locked="0" layoutInCell="1" allowOverlap="1" wp14:anchorId="1E805F1B" wp14:editId="1E805F1C">
            <wp:simplePos x="0" y="0"/>
            <wp:positionH relativeFrom="page">
              <wp:posOffset>0</wp:posOffset>
            </wp:positionH>
            <wp:positionV relativeFrom="page">
              <wp:posOffset>0</wp:posOffset>
            </wp:positionV>
            <wp:extent cx="7560564" cy="1163956"/>
            <wp:effectExtent l="0" t="0" r="0" b="0"/>
            <wp:wrapNone/>
            <wp:docPr id="19" name="Image 19" descr="A blue surface with a square patter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blue surface with a square pattern "/>
                    <pic:cNvPicPr/>
                  </pic:nvPicPr>
                  <pic:blipFill>
                    <a:blip r:embed="rId24" cstate="print"/>
                    <a:stretch>
                      <a:fillRect/>
                    </a:stretch>
                  </pic:blipFill>
                  <pic:spPr>
                    <a:xfrm>
                      <a:off x="0" y="0"/>
                      <a:ext cx="7560564" cy="1163956"/>
                    </a:xfrm>
                    <a:prstGeom prst="rect">
                      <a:avLst/>
                    </a:prstGeom>
                  </pic:spPr>
                </pic:pic>
              </a:graphicData>
            </a:graphic>
          </wp:anchor>
        </w:drawing>
      </w:r>
    </w:p>
    <w:p w14:paraId="1E8056B2" w14:textId="77777777" w:rsidR="00AA4A02" w:rsidRDefault="00AA4A02">
      <w:pPr>
        <w:pStyle w:val="BodyText"/>
        <w:rPr>
          <w:rFonts w:ascii="Calibri"/>
          <w:sz w:val="29"/>
        </w:rPr>
      </w:pPr>
    </w:p>
    <w:p w14:paraId="1E8056B3" w14:textId="77777777" w:rsidR="00AA4A02" w:rsidRDefault="00AA4A02">
      <w:pPr>
        <w:pStyle w:val="BodyText"/>
        <w:rPr>
          <w:rFonts w:ascii="Calibri"/>
          <w:sz w:val="29"/>
        </w:rPr>
      </w:pPr>
    </w:p>
    <w:p w14:paraId="1E8056B4" w14:textId="77777777" w:rsidR="00AA4A02" w:rsidRDefault="00AA4A02">
      <w:pPr>
        <w:pStyle w:val="BodyText"/>
        <w:rPr>
          <w:rFonts w:ascii="Calibri"/>
          <w:sz w:val="29"/>
        </w:rPr>
      </w:pPr>
    </w:p>
    <w:p w14:paraId="1E8056B5" w14:textId="77777777" w:rsidR="00AA4A02" w:rsidRDefault="00AA4A02">
      <w:pPr>
        <w:pStyle w:val="BodyText"/>
        <w:spacing w:before="283"/>
        <w:rPr>
          <w:rFonts w:ascii="Calibri"/>
          <w:sz w:val="29"/>
        </w:rPr>
      </w:pPr>
    </w:p>
    <w:p w14:paraId="1E8056B6" w14:textId="77777777" w:rsidR="00AA4A02" w:rsidRDefault="00960F31">
      <w:pPr>
        <w:pStyle w:val="Heading2"/>
        <w:ind w:right="871"/>
      </w:pPr>
      <w:bookmarkStart w:id="16" w:name="4_Overview_of_AASB_and_AUASB_consultativ"/>
      <w:bookmarkStart w:id="17" w:name="Item_4"/>
      <w:bookmarkEnd w:id="16"/>
      <w:bookmarkEnd w:id="17"/>
      <w:r>
        <w:rPr>
          <w:smallCaps/>
          <w:color w:val="585858"/>
        </w:rPr>
        <w:t>Item</w:t>
      </w:r>
      <w:r>
        <w:rPr>
          <w:smallCaps/>
          <w:color w:val="585858"/>
          <w:spacing w:val="-1"/>
        </w:rPr>
        <w:t xml:space="preserve"> </w:t>
      </w:r>
      <w:r>
        <w:rPr>
          <w:smallCaps/>
          <w:color w:val="585858"/>
          <w:spacing w:val="-10"/>
        </w:rPr>
        <w:t>4</w:t>
      </w:r>
    </w:p>
    <w:p w14:paraId="1E8056B7" w14:textId="77777777" w:rsidR="00AA4A02" w:rsidRDefault="00960F31">
      <w:pPr>
        <w:spacing w:before="119"/>
        <w:ind w:right="872"/>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6B8" w14:textId="77777777" w:rsidR="00AA4A02" w:rsidRDefault="00960F31">
      <w:pPr>
        <w:pStyle w:val="Heading2"/>
        <w:spacing w:before="301" w:line="276" w:lineRule="auto"/>
        <w:ind w:left="874" w:hanging="1"/>
        <w:jc w:val="left"/>
      </w:pPr>
      <w:bookmarkStart w:id="18" w:name="Overview_of_AASB_and_AUASB_consultative_"/>
      <w:bookmarkEnd w:id="18"/>
      <w:r>
        <w:rPr>
          <w:smallCaps/>
          <w:color w:val="585858"/>
        </w:rPr>
        <w:t>Overview of AASB</w:t>
      </w:r>
      <w:r>
        <w:rPr>
          <w:smallCaps/>
          <w:color w:val="585858"/>
          <w:spacing w:val="-18"/>
        </w:rPr>
        <w:t xml:space="preserve"> </w:t>
      </w:r>
      <w:r>
        <w:rPr>
          <w:smallCaps/>
          <w:color w:val="585858"/>
        </w:rPr>
        <w:t>and</w:t>
      </w:r>
      <w:r>
        <w:rPr>
          <w:smallCaps/>
          <w:color w:val="585858"/>
          <w:spacing w:val="-1"/>
        </w:rPr>
        <w:t xml:space="preserve"> </w:t>
      </w:r>
      <w:r>
        <w:rPr>
          <w:smallCaps/>
          <w:color w:val="585858"/>
        </w:rPr>
        <w:t>AUASB</w:t>
      </w:r>
      <w:r>
        <w:rPr>
          <w:smallCaps/>
          <w:color w:val="585858"/>
          <w:spacing w:val="-18"/>
        </w:rPr>
        <w:t xml:space="preserve"> </w:t>
      </w:r>
      <w:r>
        <w:rPr>
          <w:smallCaps/>
          <w:color w:val="585858"/>
        </w:rPr>
        <w:t>consultative processes</w:t>
      </w:r>
      <w:r>
        <w:rPr>
          <w:smallCaps/>
          <w:color w:val="585858"/>
          <w:spacing w:val="-1"/>
        </w:rPr>
        <w:t xml:space="preserve"> </w:t>
      </w:r>
      <w:r>
        <w:rPr>
          <w:smallCaps/>
          <w:color w:val="585858"/>
        </w:rPr>
        <w:t>and</w:t>
      </w:r>
      <w:r>
        <w:rPr>
          <w:smallCaps/>
          <w:color w:val="585858"/>
          <w:spacing w:val="-1"/>
        </w:rPr>
        <w:t xml:space="preserve"> </w:t>
      </w:r>
      <w:r>
        <w:rPr>
          <w:smallCaps/>
          <w:color w:val="585858"/>
        </w:rPr>
        <w:t>due process framework</w:t>
      </w:r>
    </w:p>
    <w:p w14:paraId="1E8056B9" w14:textId="77777777" w:rsidR="00AA4A02" w:rsidRDefault="00960F31">
      <w:pPr>
        <w:pStyle w:val="BodyText"/>
        <w:spacing w:before="57"/>
        <w:rPr>
          <w:rFonts w:ascii="Calibri"/>
          <w:b/>
          <w:sz w:val="20"/>
        </w:rPr>
      </w:pPr>
      <w:r>
        <w:rPr>
          <w:rFonts w:ascii="Calibri"/>
          <w:b/>
          <w:noProof/>
          <w:sz w:val="20"/>
        </w:rPr>
        <mc:AlternateContent>
          <mc:Choice Requires="wps">
            <w:drawing>
              <wp:anchor distT="0" distB="0" distL="0" distR="0" simplePos="0" relativeHeight="487590400" behindDoc="1" locked="0" layoutInCell="1" allowOverlap="1" wp14:anchorId="1E805F1D" wp14:editId="1E805F1E">
                <wp:simplePos x="0" y="0"/>
                <wp:positionH relativeFrom="page">
                  <wp:posOffset>844296</wp:posOffset>
                </wp:positionH>
                <wp:positionV relativeFrom="paragraph">
                  <wp:posOffset>208557</wp:posOffset>
                </wp:positionV>
                <wp:extent cx="5872480" cy="69342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2480" cy="693420"/>
                        </a:xfrm>
                        <a:prstGeom prst="rect">
                          <a:avLst/>
                        </a:prstGeom>
                        <a:solidFill>
                          <a:srgbClr val="E0EFFF"/>
                        </a:solidFill>
                        <a:ln w="3035">
                          <a:solidFill>
                            <a:srgbClr val="365F91"/>
                          </a:solidFill>
                          <a:prstDash val="solid"/>
                        </a:ln>
                      </wps:spPr>
                      <wps:txbx>
                        <w:txbxContent>
                          <w:p w14:paraId="1E806067"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8" w14:textId="77777777" w:rsidR="00AA4A02" w:rsidRDefault="00960F31">
                            <w:pPr>
                              <w:numPr>
                                <w:ilvl w:val="0"/>
                                <w:numId w:val="56"/>
                              </w:numPr>
                              <w:tabs>
                                <w:tab w:val="left" w:pos="535"/>
                              </w:tabs>
                              <w:spacing w:before="119"/>
                              <w:ind w:right="170"/>
                              <w:rPr>
                                <w:rFonts w:ascii="Calibri"/>
                                <w:color w:val="000000"/>
                                <w:sz w:val="24"/>
                              </w:rPr>
                            </w:pPr>
                            <w:r>
                              <w:rPr>
                                <w:rFonts w:ascii="Calibri"/>
                                <w:color w:val="000000"/>
                                <w:sz w:val="24"/>
                              </w:rPr>
                              <w:t>FRC</w:t>
                            </w:r>
                            <w:r>
                              <w:rPr>
                                <w:rFonts w:ascii="Calibri"/>
                                <w:color w:val="000000"/>
                                <w:spacing w:val="-3"/>
                                <w:sz w:val="24"/>
                              </w:rPr>
                              <w:t xml:space="preserve"> </w:t>
                            </w:r>
                            <w:r>
                              <w:rPr>
                                <w:rFonts w:ascii="Calibri"/>
                                <w:color w:val="000000"/>
                                <w:sz w:val="24"/>
                              </w:rPr>
                              <w:t>to</w:t>
                            </w:r>
                            <w:r>
                              <w:rPr>
                                <w:rFonts w:ascii="Calibri"/>
                                <w:color w:val="000000"/>
                                <w:spacing w:val="-2"/>
                                <w:sz w:val="24"/>
                              </w:rPr>
                              <w:t xml:space="preserve"> </w:t>
                            </w:r>
                            <w:r>
                              <w:rPr>
                                <w:rFonts w:ascii="Calibri"/>
                                <w:color w:val="000000"/>
                                <w:sz w:val="24"/>
                              </w:rPr>
                              <w:t>note</w:t>
                            </w:r>
                            <w:r>
                              <w:rPr>
                                <w:rFonts w:ascii="Calibri"/>
                                <w:color w:val="000000"/>
                                <w:spacing w:val="-4"/>
                                <w:sz w:val="24"/>
                              </w:rPr>
                              <w:t xml:space="preserve"> </w:t>
                            </w:r>
                            <w:r>
                              <w:rPr>
                                <w:rFonts w:ascii="Calibri"/>
                                <w:color w:val="000000"/>
                                <w:sz w:val="24"/>
                              </w:rPr>
                              <w:t>verbal</w:t>
                            </w:r>
                            <w:r>
                              <w:rPr>
                                <w:rFonts w:ascii="Calibri"/>
                                <w:color w:val="000000"/>
                                <w:spacing w:val="-2"/>
                                <w:sz w:val="24"/>
                              </w:rPr>
                              <w:t xml:space="preserve"> </w:t>
                            </w:r>
                            <w:r>
                              <w:rPr>
                                <w:rFonts w:ascii="Calibri"/>
                                <w:color w:val="000000"/>
                                <w:sz w:val="24"/>
                              </w:rPr>
                              <w:t>update</w:t>
                            </w:r>
                            <w:r>
                              <w:rPr>
                                <w:rFonts w:ascii="Calibri"/>
                                <w:color w:val="000000"/>
                                <w:spacing w:val="-2"/>
                                <w:sz w:val="24"/>
                              </w:rPr>
                              <w:t xml:space="preserve"> </w:t>
                            </w:r>
                            <w:r>
                              <w:rPr>
                                <w:rFonts w:ascii="Calibri"/>
                                <w:color w:val="000000"/>
                                <w:sz w:val="24"/>
                              </w:rPr>
                              <w:t>from</w:t>
                            </w:r>
                            <w:r>
                              <w:rPr>
                                <w:rFonts w:ascii="Calibri"/>
                                <w:color w:val="000000"/>
                                <w:spacing w:val="-2"/>
                                <w:sz w:val="24"/>
                              </w:rPr>
                              <w:t xml:space="preserve"> </w:t>
                            </w:r>
                            <w:r>
                              <w:rPr>
                                <w:rFonts w:ascii="Calibri"/>
                                <w:color w:val="000000"/>
                                <w:sz w:val="24"/>
                              </w:rPr>
                              <w:t>AASB</w:t>
                            </w:r>
                            <w:r>
                              <w:rPr>
                                <w:rFonts w:ascii="Calibri"/>
                                <w:color w:val="000000"/>
                                <w:spacing w:val="-3"/>
                                <w:sz w:val="24"/>
                              </w:rPr>
                              <w:t xml:space="preserve"> </w:t>
                            </w:r>
                            <w:r>
                              <w:rPr>
                                <w:rFonts w:ascii="Calibri"/>
                                <w:color w:val="000000"/>
                                <w:sz w:val="24"/>
                              </w:rPr>
                              <w:t>and</w:t>
                            </w:r>
                            <w:r>
                              <w:rPr>
                                <w:rFonts w:ascii="Calibri"/>
                                <w:color w:val="000000"/>
                                <w:spacing w:val="-4"/>
                                <w:sz w:val="24"/>
                              </w:rPr>
                              <w:t xml:space="preserve"> </w:t>
                            </w:r>
                            <w:r>
                              <w:rPr>
                                <w:rFonts w:ascii="Calibri"/>
                                <w:color w:val="000000"/>
                                <w:sz w:val="24"/>
                              </w:rPr>
                              <w:t>AUASB</w:t>
                            </w:r>
                            <w:r>
                              <w:rPr>
                                <w:rFonts w:ascii="Calibri"/>
                                <w:color w:val="000000"/>
                                <w:spacing w:val="-6"/>
                                <w:sz w:val="24"/>
                              </w:rPr>
                              <w:t xml:space="preserve"> </w:t>
                            </w:r>
                            <w:r>
                              <w:rPr>
                                <w:rFonts w:ascii="Calibri"/>
                                <w:color w:val="000000"/>
                                <w:sz w:val="24"/>
                              </w:rPr>
                              <w:t>Chairs</w:t>
                            </w:r>
                            <w:r>
                              <w:rPr>
                                <w:rFonts w:ascii="Calibri"/>
                                <w:color w:val="000000"/>
                                <w:spacing w:val="-3"/>
                                <w:sz w:val="24"/>
                              </w:rPr>
                              <w:t xml:space="preserve"> </w:t>
                            </w:r>
                            <w:r>
                              <w:rPr>
                                <w:rFonts w:ascii="Calibri"/>
                                <w:color w:val="000000"/>
                                <w:sz w:val="24"/>
                              </w:rPr>
                              <w:t>on</w:t>
                            </w:r>
                            <w:r>
                              <w:rPr>
                                <w:rFonts w:ascii="Calibri"/>
                                <w:color w:val="000000"/>
                                <w:spacing w:val="-4"/>
                                <w:sz w:val="24"/>
                              </w:rPr>
                              <w:t xml:space="preserve"> </w:t>
                            </w:r>
                            <w:r>
                              <w:rPr>
                                <w:rFonts w:ascii="Calibri"/>
                                <w:color w:val="000000"/>
                                <w:sz w:val="24"/>
                              </w:rPr>
                              <w:t>their</w:t>
                            </w:r>
                            <w:r>
                              <w:rPr>
                                <w:rFonts w:ascii="Calibri"/>
                                <w:color w:val="000000"/>
                                <w:spacing w:val="-5"/>
                                <w:sz w:val="24"/>
                              </w:rPr>
                              <w:t xml:space="preserve"> </w:t>
                            </w:r>
                            <w:r>
                              <w:rPr>
                                <w:rFonts w:ascii="Calibri"/>
                                <w:color w:val="000000"/>
                                <w:sz w:val="24"/>
                              </w:rPr>
                              <w:t>consultative</w:t>
                            </w:r>
                            <w:r>
                              <w:rPr>
                                <w:rFonts w:ascii="Calibri"/>
                                <w:color w:val="000000"/>
                                <w:spacing w:val="-2"/>
                                <w:sz w:val="24"/>
                              </w:rPr>
                              <w:t xml:space="preserve"> </w:t>
                            </w:r>
                            <w:r>
                              <w:rPr>
                                <w:rFonts w:ascii="Calibri"/>
                                <w:color w:val="000000"/>
                                <w:sz w:val="24"/>
                              </w:rPr>
                              <w:t>processes and due process frameworks.</w:t>
                            </w:r>
                          </w:p>
                        </w:txbxContent>
                      </wps:txbx>
                      <wps:bodyPr wrap="square" lIns="0" tIns="0" rIns="0" bIns="0" rtlCol="0">
                        <a:noAutofit/>
                      </wps:bodyPr>
                    </wps:wsp>
                  </a:graphicData>
                </a:graphic>
              </wp:anchor>
            </w:drawing>
          </mc:Choice>
          <mc:Fallback>
            <w:pict>
              <v:shape w14:anchorId="1E805F1D" id="Textbox 20" o:spid="_x0000_s1031" type="#_x0000_t202" style="position:absolute;margin-left:66.5pt;margin-top:16.4pt;width:462.4pt;height:54.6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" fillcolor="#e0efff" strokecolor="#365f91" strokeweight=".08431mm">
                <v:path arrowok="t"/>
                <v:textbox inset="0,0,0,0">
                  <w:txbxContent>
                    <w:p w14:paraId="1E806067"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68" w14:textId="77777777" w:rsidR="00AA4A02" w:rsidRDefault="00960F31">
                      <w:pPr>
                        <w:numPr>
                          <w:ilvl w:val="0"/>
                          <w:numId w:val="56"/>
                        </w:numPr>
                        <w:tabs>
                          <w:tab w:val="left" w:pos="535"/>
                        </w:tabs>
                        <w:spacing w:before="119"/>
                        <w:ind w:right="170"/>
                        <w:rPr>
                          <w:rFonts w:ascii="Calibri"/>
                          <w:color w:val="000000"/>
                          <w:sz w:val="24"/>
                        </w:rPr>
                      </w:pPr>
                      <w:r>
                        <w:rPr>
                          <w:rFonts w:ascii="Calibri"/>
                          <w:color w:val="000000"/>
                          <w:sz w:val="24"/>
                        </w:rPr>
                        <w:t>FRC</w:t>
                      </w:r>
                      <w:r>
                        <w:rPr>
                          <w:rFonts w:ascii="Calibri"/>
                          <w:color w:val="000000"/>
                          <w:spacing w:val="-3"/>
                          <w:sz w:val="24"/>
                        </w:rPr>
                        <w:t xml:space="preserve"> </w:t>
                      </w:r>
                      <w:r>
                        <w:rPr>
                          <w:rFonts w:ascii="Calibri"/>
                          <w:color w:val="000000"/>
                          <w:sz w:val="24"/>
                        </w:rPr>
                        <w:t>to</w:t>
                      </w:r>
                      <w:r>
                        <w:rPr>
                          <w:rFonts w:ascii="Calibri"/>
                          <w:color w:val="000000"/>
                          <w:spacing w:val="-2"/>
                          <w:sz w:val="24"/>
                        </w:rPr>
                        <w:t xml:space="preserve"> </w:t>
                      </w:r>
                      <w:r>
                        <w:rPr>
                          <w:rFonts w:ascii="Calibri"/>
                          <w:color w:val="000000"/>
                          <w:sz w:val="24"/>
                        </w:rPr>
                        <w:t>note</w:t>
                      </w:r>
                      <w:r>
                        <w:rPr>
                          <w:rFonts w:ascii="Calibri"/>
                          <w:color w:val="000000"/>
                          <w:spacing w:val="-4"/>
                          <w:sz w:val="24"/>
                        </w:rPr>
                        <w:t xml:space="preserve"> </w:t>
                      </w:r>
                      <w:r>
                        <w:rPr>
                          <w:rFonts w:ascii="Calibri"/>
                          <w:color w:val="000000"/>
                          <w:sz w:val="24"/>
                        </w:rPr>
                        <w:t>verbal</w:t>
                      </w:r>
                      <w:r>
                        <w:rPr>
                          <w:rFonts w:ascii="Calibri"/>
                          <w:color w:val="000000"/>
                          <w:spacing w:val="-2"/>
                          <w:sz w:val="24"/>
                        </w:rPr>
                        <w:t xml:space="preserve"> </w:t>
                      </w:r>
                      <w:r>
                        <w:rPr>
                          <w:rFonts w:ascii="Calibri"/>
                          <w:color w:val="000000"/>
                          <w:sz w:val="24"/>
                        </w:rPr>
                        <w:t>update</w:t>
                      </w:r>
                      <w:r>
                        <w:rPr>
                          <w:rFonts w:ascii="Calibri"/>
                          <w:color w:val="000000"/>
                          <w:spacing w:val="-2"/>
                          <w:sz w:val="24"/>
                        </w:rPr>
                        <w:t xml:space="preserve"> </w:t>
                      </w:r>
                      <w:r>
                        <w:rPr>
                          <w:rFonts w:ascii="Calibri"/>
                          <w:color w:val="000000"/>
                          <w:sz w:val="24"/>
                        </w:rPr>
                        <w:t>from</w:t>
                      </w:r>
                      <w:r>
                        <w:rPr>
                          <w:rFonts w:ascii="Calibri"/>
                          <w:color w:val="000000"/>
                          <w:spacing w:val="-2"/>
                          <w:sz w:val="24"/>
                        </w:rPr>
                        <w:t xml:space="preserve"> </w:t>
                      </w:r>
                      <w:r>
                        <w:rPr>
                          <w:rFonts w:ascii="Calibri"/>
                          <w:color w:val="000000"/>
                          <w:sz w:val="24"/>
                        </w:rPr>
                        <w:t>AASB</w:t>
                      </w:r>
                      <w:r>
                        <w:rPr>
                          <w:rFonts w:ascii="Calibri"/>
                          <w:color w:val="000000"/>
                          <w:spacing w:val="-3"/>
                          <w:sz w:val="24"/>
                        </w:rPr>
                        <w:t xml:space="preserve"> </w:t>
                      </w:r>
                      <w:r>
                        <w:rPr>
                          <w:rFonts w:ascii="Calibri"/>
                          <w:color w:val="000000"/>
                          <w:sz w:val="24"/>
                        </w:rPr>
                        <w:t>and</w:t>
                      </w:r>
                      <w:r>
                        <w:rPr>
                          <w:rFonts w:ascii="Calibri"/>
                          <w:color w:val="000000"/>
                          <w:spacing w:val="-4"/>
                          <w:sz w:val="24"/>
                        </w:rPr>
                        <w:t xml:space="preserve"> </w:t>
                      </w:r>
                      <w:r>
                        <w:rPr>
                          <w:rFonts w:ascii="Calibri"/>
                          <w:color w:val="000000"/>
                          <w:sz w:val="24"/>
                        </w:rPr>
                        <w:t>AUASB</w:t>
                      </w:r>
                      <w:r>
                        <w:rPr>
                          <w:rFonts w:ascii="Calibri"/>
                          <w:color w:val="000000"/>
                          <w:spacing w:val="-6"/>
                          <w:sz w:val="24"/>
                        </w:rPr>
                        <w:t xml:space="preserve"> </w:t>
                      </w:r>
                      <w:r>
                        <w:rPr>
                          <w:rFonts w:ascii="Calibri"/>
                          <w:color w:val="000000"/>
                          <w:sz w:val="24"/>
                        </w:rPr>
                        <w:t>Chairs</w:t>
                      </w:r>
                      <w:r>
                        <w:rPr>
                          <w:rFonts w:ascii="Calibri"/>
                          <w:color w:val="000000"/>
                          <w:spacing w:val="-3"/>
                          <w:sz w:val="24"/>
                        </w:rPr>
                        <w:t xml:space="preserve"> </w:t>
                      </w:r>
                      <w:r>
                        <w:rPr>
                          <w:rFonts w:ascii="Calibri"/>
                          <w:color w:val="000000"/>
                          <w:sz w:val="24"/>
                        </w:rPr>
                        <w:t>on</w:t>
                      </w:r>
                      <w:r>
                        <w:rPr>
                          <w:rFonts w:ascii="Calibri"/>
                          <w:color w:val="000000"/>
                          <w:spacing w:val="-4"/>
                          <w:sz w:val="24"/>
                        </w:rPr>
                        <w:t xml:space="preserve"> </w:t>
                      </w:r>
                      <w:r>
                        <w:rPr>
                          <w:rFonts w:ascii="Calibri"/>
                          <w:color w:val="000000"/>
                          <w:sz w:val="24"/>
                        </w:rPr>
                        <w:t>their</w:t>
                      </w:r>
                      <w:r>
                        <w:rPr>
                          <w:rFonts w:ascii="Calibri"/>
                          <w:color w:val="000000"/>
                          <w:spacing w:val="-5"/>
                          <w:sz w:val="24"/>
                        </w:rPr>
                        <w:t xml:space="preserve"> </w:t>
                      </w:r>
                      <w:r>
                        <w:rPr>
                          <w:rFonts w:ascii="Calibri"/>
                          <w:color w:val="000000"/>
                          <w:sz w:val="24"/>
                        </w:rPr>
                        <w:t>consultative</w:t>
                      </w:r>
                      <w:r>
                        <w:rPr>
                          <w:rFonts w:ascii="Calibri"/>
                          <w:color w:val="000000"/>
                          <w:spacing w:val="-2"/>
                          <w:sz w:val="24"/>
                        </w:rPr>
                        <w:t xml:space="preserve"> </w:t>
                      </w:r>
                      <w:r>
                        <w:rPr>
                          <w:rFonts w:ascii="Calibri"/>
                          <w:color w:val="000000"/>
                          <w:sz w:val="24"/>
                        </w:rPr>
                        <w:t>processes and due process frameworks.</w:t>
                      </w:r>
                    </w:p>
                  </w:txbxContent>
                </v:textbox>
                <w10:wrap type="topAndBottom" anchorx="page"/>
              </v:shape>
            </w:pict>
          </mc:Fallback>
        </mc:AlternateContent>
      </w:r>
    </w:p>
    <w:p w14:paraId="1E8056BA" w14:textId="77777777" w:rsidR="00AA4A02" w:rsidRDefault="00AA4A02">
      <w:pPr>
        <w:pStyle w:val="BodyText"/>
        <w:spacing w:before="121"/>
        <w:rPr>
          <w:rFonts w:ascii="Calibri"/>
          <w:b/>
          <w:sz w:val="24"/>
        </w:rPr>
      </w:pPr>
    </w:p>
    <w:p w14:paraId="1E8056BB" w14:textId="77777777" w:rsidR="00AA4A02" w:rsidRDefault="00960F31">
      <w:pPr>
        <w:ind w:left="874"/>
        <w:rPr>
          <w:rFonts w:ascii="Calibri"/>
          <w:sz w:val="24"/>
        </w:rPr>
      </w:pPr>
      <w:r>
        <w:rPr>
          <w:rFonts w:ascii="Calibri"/>
          <w:spacing w:val="-2"/>
          <w:sz w:val="24"/>
        </w:rPr>
        <w:t>Attachments</w:t>
      </w:r>
    </w:p>
    <w:p w14:paraId="1E8056BC" w14:textId="77777777" w:rsidR="00AA4A02" w:rsidRDefault="00960F31">
      <w:pPr>
        <w:spacing w:before="240"/>
        <w:ind w:left="873" w:right="840"/>
        <w:rPr>
          <w:rFonts w:ascii="Calibri"/>
          <w:sz w:val="24"/>
        </w:rPr>
      </w:pPr>
      <w:r>
        <w:rPr>
          <w:rFonts w:ascii="Calibri"/>
          <w:sz w:val="24"/>
        </w:rPr>
        <w:t>A:</w:t>
      </w:r>
      <w:r>
        <w:rPr>
          <w:rFonts w:ascii="Calibri"/>
          <w:spacing w:val="-1"/>
          <w:sz w:val="24"/>
        </w:rPr>
        <w:t xml:space="preserve"> </w:t>
      </w:r>
      <w:r>
        <w:rPr>
          <w:rFonts w:ascii="Calibri"/>
          <w:sz w:val="24"/>
        </w:rPr>
        <w:t>AASB</w:t>
      </w:r>
      <w:r>
        <w:rPr>
          <w:rFonts w:ascii="Calibri"/>
          <w:spacing w:val="-5"/>
          <w:sz w:val="24"/>
        </w:rPr>
        <w:t xml:space="preserve"> </w:t>
      </w:r>
      <w:r>
        <w:rPr>
          <w:rFonts w:ascii="Calibri"/>
          <w:sz w:val="24"/>
        </w:rPr>
        <w:t>document</w:t>
      </w:r>
      <w:r>
        <w:rPr>
          <w:rFonts w:ascii="Calibri"/>
          <w:spacing w:val="-3"/>
          <w:sz w:val="24"/>
        </w:rPr>
        <w:t xml:space="preserve"> </w:t>
      </w:r>
      <w:r>
        <w:rPr>
          <w:rFonts w:ascii="Calibri"/>
          <w:sz w:val="24"/>
        </w:rPr>
        <w:t>completion checklist.</w:t>
      </w:r>
      <w:r>
        <w:rPr>
          <w:rFonts w:ascii="Calibri"/>
          <w:spacing w:val="-5"/>
          <w:sz w:val="24"/>
        </w:rPr>
        <w:t xml:space="preserve"> </w:t>
      </w:r>
      <w:r>
        <w:rPr>
          <w:rFonts w:ascii="Calibri"/>
          <w:sz w:val="24"/>
        </w:rPr>
        <w:t>This</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completed</w:t>
      </w:r>
      <w:r>
        <w:rPr>
          <w:rFonts w:ascii="Calibri"/>
          <w:spacing w:val="-3"/>
          <w:sz w:val="24"/>
        </w:rPr>
        <w:t xml:space="preserve"> </w:t>
      </w:r>
      <w:r>
        <w:rPr>
          <w:rFonts w:ascii="Calibri"/>
          <w:sz w:val="24"/>
        </w:rPr>
        <w:t>example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documentation that is generated to ensure Due Process has been adhered to. This documentation is completed for all AASB projects.</w:t>
      </w:r>
    </w:p>
    <w:p w14:paraId="1E8056BD" w14:textId="77777777" w:rsidR="00AA4A02" w:rsidRDefault="00960F31">
      <w:pPr>
        <w:spacing w:before="242"/>
        <w:ind w:left="873"/>
        <w:rPr>
          <w:rFonts w:ascii="Calibri"/>
          <w:sz w:val="24"/>
        </w:rPr>
      </w:pPr>
      <w:r>
        <w:rPr>
          <w:rFonts w:ascii="Calibri"/>
          <w:sz w:val="24"/>
        </w:rPr>
        <w:t>B:</w:t>
      </w:r>
      <w:r>
        <w:rPr>
          <w:rFonts w:ascii="Calibri"/>
          <w:spacing w:val="-2"/>
          <w:sz w:val="24"/>
        </w:rPr>
        <w:t xml:space="preserve"> </w:t>
      </w:r>
      <w:r>
        <w:rPr>
          <w:rFonts w:ascii="Calibri"/>
          <w:sz w:val="24"/>
        </w:rPr>
        <w:t>AUASB</w:t>
      </w:r>
      <w:r>
        <w:rPr>
          <w:rFonts w:ascii="Calibri"/>
          <w:spacing w:val="-2"/>
          <w:sz w:val="24"/>
        </w:rPr>
        <w:t xml:space="preserve"> </w:t>
      </w:r>
      <w:r>
        <w:rPr>
          <w:rFonts w:ascii="Calibri"/>
          <w:sz w:val="24"/>
        </w:rPr>
        <w:t>Due</w:t>
      </w:r>
      <w:r>
        <w:rPr>
          <w:rFonts w:ascii="Calibri"/>
          <w:spacing w:val="-1"/>
          <w:sz w:val="24"/>
        </w:rPr>
        <w:t xml:space="preserve"> </w:t>
      </w:r>
      <w:r>
        <w:rPr>
          <w:rFonts w:ascii="Calibri"/>
          <w:sz w:val="24"/>
        </w:rPr>
        <w:t>Process</w:t>
      </w:r>
      <w:r>
        <w:rPr>
          <w:rFonts w:ascii="Calibri"/>
          <w:spacing w:val="-2"/>
          <w:sz w:val="24"/>
        </w:rPr>
        <w:t xml:space="preserve"> </w:t>
      </w:r>
      <w:r>
        <w:rPr>
          <w:rFonts w:ascii="Calibri"/>
          <w:sz w:val="24"/>
        </w:rPr>
        <w:t>Framework</w:t>
      </w:r>
      <w:r>
        <w:rPr>
          <w:rFonts w:ascii="Calibri"/>
          <w:spacing w:val="-4"/>
          <w:sz w:val="24"/>
        </w:rPr>
        <w:t xml:space="preserve"> </w:t>
      </w:r>
      <w:r>
        <w:rPr>
          <w:rFonts w:ascii="Calibri"/>
          <w:spacing w:val="-2"/>
          <w:sz w:val="24"/>
        </w:rPr>
        <w:t>overview.</w:t>
      </w:r>
    </w:p>
    <w:p w14:paraId="1E8056BE" w14:textId="77777777" w:rsidR="00AA4A02" w:rsidRDefault="00960F31">
      <w:pPr>
        <w:spacing w:before="240"/>
        <w:ind w:left="873"/>
        <w:rPr>
          <w:rFonts w:ascii="Calibri"/>
          <w:sz w:val="24"/>
        </w:rPr>
      </w:pPr>
      <w:r>
        <w:rPr>
          <w:rFonts w:ascii="Calibri"/>
          <w:sz w:val="24"/>
        </w:rPr>
        <w:t>C:</w:t>
      </w:r>
      <w:r>
        <w:rPr>
          <w:rFonts w:ascii="Calibri"/>
          <w:spacing w:val="-4"/>
          <w:sz w:val="24"/>
        </w:rPr>
        <w:t xml:space="preserve"> </w:t>
      </w:r>
      <w:r>
        <w:rPr>
          <w:rFonts w:ascii="Calibri"/>
          <w:sz w:val="24"/>
        </w:rPr>
        <w:t>AASB</w:t>
      </w:r>
      <w:r>
        <w:rPr>
          <w:rFonts w:ascii="Calibri"/>
          <w:spacing w:val="-3"/>
          <w:sz w:val="24"/>
        </w:rPr>
        <w:t xml:space="preserve"> </w:t>
      </w:r>
      <w:r>
        <w:rPr>
          <w:rFonts w:ascii="Calibri"/>
          <w:sz w:val="24"/>
        </w:rPr>
        <w:t>AUASB</w:t>
      </w:r>
      <w:r>
        <w:rPr>
          <w:rFonts w:ascii="Calibri"/>
          <w:spacing w:val="-2"/>
          <w:sz w:val="24"/>
        </w:rPr>
        <w:t xml:space="preserve"> </w:t>
      </w:r>
      <w:r>
        <w:rPr>
          <w:rFonts w:ascii="Calibri"/>
          <w:sz w:val="24"/>
        </w:rPr>
        <w:t>Due</w:t>
      </w:r>
      <w:r>
        <w:rPr>
          <w:rFonts w:ascii="Calibri"/>
          <w:spacing w:val="-3"/>
          <w:sz w:val="24"/>
        </w:rPr>
        <w:t xml:space="preserve"> </w:t>
      </w:r>
      <w:r>
        <w:rPr>
          <w:rFonts w:ascii="Calibri"/>
          <w:sz w:val="24"/>
        </w:rPr>
        <w:t>Process</w:t>
      </w:r>
      <w:r>
        <w:rPr>
          <w:rFonts w:ascii="Calibri"/>
          <w:spacing w:val="-2"/>
          <w:sz w:val="24"/>
        </w:rPr>
        <w:t xml:space="preserve"> </w:t>
      </w:r>
      <w:r>
        <w:rPr>
          <w:rFonts w:ascii="Calibri"/>
          <w:sz w:val="24"/>
        </w:rPr>
        <w:t>Framework</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setting</w:t>
      </w:r>
      <w:r>
        <w:rPr>
          <w:rFonts w:ascii="Calibri"/>
          <w:spacing w:val="-2"/>
          <w:sz w:val="24"/>
        </w:rPr>
        <w:t xml:space="preserve"> standards.</w:t>
      </w:r>
    </w:p>
    <w:p w14:paraId="1E8056BF" w14:textId="77777777" w:rsidR="00AA4A02" w:rsidRDefault="00960F31">
      <w:pPr>
        <w:spacing w:before="240"/>
        <w:ind w:left="873" w:right="974"/>
        <w:rPr>
          <w:rFonts w:ascii="Calibri"/>
          <w:sz w:val="24"/>
        </w:rPr>
      </w:pPr>
      <w:r>
        <w:rPr>
          <w:rFonts w:ascii="Calibri"/>
          <w:sz w:val="24"/>
        </w:rPr>
        <w:t>D:</w:t>
      </w:r>
      <w:r>
        <w:rPr>
          <w:rFonts w:ascii="Calibri"/>
          <w:spacing w:val="40"/>
          <w:sz w:val="24"/>
        </w:rPr>
        <w:t xml:space="preserve"> </w:t>
      </w:r>
      <w:r>
        <w:rPr>
          <w:rFonts w:ascii="Calibri"/>
          <w:sz w:val="24"/>
        </w:rPr>
        <w:t>Due</w:t>
      </w:r>
      <w:r>
        <w:rPr>
          <w:rFonts w:ascii="Calibri"/>
          <w:spacing w:val="-3"/>
          <w:sz w:val="24"/>
        </w:rPr>
        <w:t xml:space="preserve"> </w:t>
      </w:r>
      <w:r>
        <w:rPr>
          <w:rFonts w:ascii="Calibri"/>
          <w:sz w:val="24"/>
        </w:rPr>
        <w:t>Process</w:t>
      </w:r>
      <w:r>
        <w:rPr>
          <w:rFonts w:ascii="Calibri"/>
          <w:spacing w:val="-3"/>
          <w:sz w:val="24"/>
        </w:rPr>
        <w:t xml:space="preserve"> </w:t>
      </w:r>
      <w:r>
        <w:rPr>
          <w:rFonts w:ascii="Calibri"/>
          <w:sz w:val="24"/>
        </w:rPr>
        <w:t>Framework</w:t>
      </w:r>
      <w:r>
        <w:rPr>
          <w:rFonts w:ascii="Calibri"/>
          <w:spacing w:val="-4"/>
          <w:sz w:val="24"/>
        </w:rPr>
        <w:t xml:space="preserve"> </w:t>
      </w:r>
      <w:r>
        <w:rPr>
          <w:rFonts w:ascii="Calibri"/>
          <w:sz w:val="24"/>
        </w:rPr>
        <w:t>for</w:t>
      </w:r>
      <w:r>
        <w:rPr>
          <w:rFonts w:ascii="Calibri"/>
          <w:spacing w:val="-5"/>
          <w:sz w:val="24"/>
        </w:rPr>
        <w:t xml:space="preserve"> </w:t>
      </w:r>
      <w:r>
        <w:rPr>
          <w:rFonts w:ascii="Calibri"/>
          <w:sz w:val="24"/>
        </w:rPr>
        <w:t>Developing,</w:t>
      </w:r>
      <w:r>
        <w:rPr>
          <w:rFonts w:ascii="Calibri"/>
          <w:spacing w:val="-3"/>
          <w:sz w:val="24"/>
        </w:rPr>
        <w:t xml:space="preserve"> </w:t>
      </w:r>
      <w:r>
        <w:rPr>
          <w:rFonts w:ascii="Calibri"/>
          <w:sz w:val="24"/>
        </w:rPr>
        <w:t>Issuing</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Maintaining</w:t>
      </w:r>
      <w:r>
        <w:rPr>
          <w:rFonts w:ascii="Calibri"/>
          <w:spacing w:val="-3"/>
          <w:sz w:val="24"/>
        </w:rPr>
        <w:t xml:space="preserve"> </w:t>
      </w:r>
      <w:r>
        <w:rPr>
          <w:rFonts w:ascii="Calibri"/>
          <w:sz w:val="24"/>
        </w:rPr>
        <w:t>AUASB Pronouncements and Other Publications.</w:t>
      </w:r>
    </w:p>
    <w:p w14:paraId="1E8056C0" w14:textId="77777777" w:rsidR="00AA4A02" w:rsidRDefault="00AA4A02">
      <w:pPr>
        <w:rPr>
          <w:rFonts w:ascii="Calibri"/>
          <w:sz w:val="24"/>
        </w:rPr>
        <w:sectPr w:rsidR="00AA4A02">
          <w:headerReference w:type="default" r:id="rId25"/>
          <w:footerReference w:type="default" r:id="rId26"/>
          <w:pgSz w:w="11910" w:h="16840"/>
          <w:pgMar w:top="0" w:right="566" w:bottom="280" w:left="566" w:header="0" w:footer="0" w:gutter="0"/>
          <w:cols w:space="720"/>
        </w:sectPr>
      </w:pPr>
    </w:p>
    <w:p w14:paraId="1E8056C1" w14:textId="77777777" w:rsidR="00AA4A02" w:rsidRDefault="00AA4A02">
      <w:pPr>
        <w:pStyle w:val="BodyText"/>
        <w:rPr>
          <w:rFonts w:ascii="Calibri"/>
          <w:sz w:val="52"/>
        </w:rPr>
      </w:pPr>
    </w:p>
    <w:p w14:paraId="1E8056C2" w14:textId="77777777" w:rsidR="00AA4A02" w:rsidRDefault="00AA4A02">
      <w:pPr>
        <w:pStyle w:val="BodyText"/>
        <w:spacing w:before="224"/>
        <w:rPr>
          <w:rFonts w:ascii="Calibri"/>
          <w:sz w:val="52"/>
        </w:rPr>
      </w:pPr>
    </w:p>
    <w:p w14:paraId="1E8056C3" w14:textId="77777777" w:rsidR="00AA4A02" w:rsidRDefault="00960F31">
      <w:pPr>
        <w:ind w:left="141" w:right="2319"/>
        <w:rPr>
          <w:sz w:val="52"/>
        </w:rPr>
      </w:pPr>
      <w:bookmarkStart w:id="19" w:name="4_-_AASB_Due_Process_Framework_09-19"/>
      <w:bookmarkEnd w:id="19"/>
      <w:r>
        <w:rPr>
          <w:sz w:val="52"/>
        </w:rPr>
        <w:t>AASB</w:t>
      </w:r>
      <w:r>
        <w:rPr>
          <w:spacing w:val="-18"/>
          <w:sz w:val="52"/>
        </w:rPr>
        <w:t xml:space="preserve"> </w:t>
      </w:r>
      <w:r>
        <w:rPr>
          <w:sz w:val="52"/>
        </w:rPr>
        <w:t>Due</w:t>
      </w:r>
      <w:r>
        <w:rPr>
          <w:spacing w:val="-13"/>
          <w:sz w:val="52"/>
        </w:rPr>
        <w:t xml:space="preserve"> </w:t>
      </w:r>
      <w:r>
        <w:rPr>
          <w:sz w:val="52"/>
        </w:rPr>
        <w:t>Process</w:t>
      </w:r>
      <w:r>
        <w:rPr>
          <w:spacing w:val="-12"/>
          <w:sz w:val="52"/>
        </w:rPr>
        <w:t xml:space="preserve"> </w:t>
      </w:r>
      <w:r>
        <w:rPr>
          <w:sz w:val="52"/>
        </w:rPr>
        <w:t>Framework for Setting Standards</w:t>
      </w:r>
    </w:p>
    <w:p w14:paraId="1E8056C4" w14:textId="77777777" w:rsidR="00AA4A02" w:rsidRDefault="00AA4A02">
      <w:pPr>
        <w:pStyle w:val="BodyText"/>
        <w:rPr>
          <w:sz w:val="36"/>
        </w:rPr>
      </w:pPr>
    </w:p>
    <w:p w14:paraId="1E8056C5" w14:textId="77777777" w:rsidR="00AA4A02" w:rsidRDefault="00AA4A02">
      <w:pPr>
        <w:pStyle w:val="BodyText"/>
        <w:rPr>
          <w:sz w:val="36"/>
        </w:rPr>
      </w:pPr>
    </w:p>
    <w:p w14:paraId="1E8056C6" w14:textId="77777777" w:rsidR="00AA4A02" w:rsidRDefault="00AA4A02">
      <w:pPr>
        <w:pStyle w:val="BodyText"/>
        <w:rPr>
          <w:sz w:val="36"/>
        </w:rPr>
      </w:pPr>
    </w:p>
    <w:p w14:paraId="1E8056C7" w14:textId="77777777" w:rsidR="00AA4A02" w:rsidRDefault="00AA4A02">
      <w:pPr>
        <w:pStyle w:val="BodyText"/>
        <w:rPr>
          <w:sz w:val="36"/>
        </w:rPr>
      </w:pPr>
    </w:p>
    <w:p w14:paraId="1E8056C8" w14:textId="77777777" w:rsidR="00AA4A02" w:rsidRDefault="00AA4A02">
      <w:pPr>
        <w:pStyle w:val="BodyText"/>
        <w:rPr>
          <w:sz w:val="36"/>
        </w:rPr>
      </w:pPr>
    </w:p>
    <w:p w14:paraId="1E8056C9" w14:textId="77777777" w:rsidR="00AA4A02" w:rsidRDefault="00AA4A02">
      <w:pPr>
        <w:pStyle w:val="BodyText"/>
        <w:rPr>
          <w:sz w:val="36"/>
        </w:rPr>
      </w:pPr>
    </w:p>
    <w:p w14:paraId="1E8056CA" w14:textId="77777777" w:rsidR="00AA4A02" w:rsidRDefault="00AA4A02">
      <w:pPr>
        <w:pStyle w:val="BodyText"/>
        <w:rPr>
          <w:sz w:val="36"/>
        </w:rPr>
      </w:pPr>
    </w:p>
    <w:p w14:paraId="1E8056CB" w14:textId="77777777" w:rsidR="00AA4A02" w:rsidRDefault="00AA4A02">
      <w:pPr>
        <w:pStyle w:val="BodyText"/>
        <w:rPr>
          <w:sz w:val="36"/>
        </w:rPr>
      </w:pPr>
    </w:p>
    <w:p w14:paraId="1E8056CC" w14:textId="77777777" w:rsidR="00AA4A02" w:rsidRDefault="00AA4A02">
      <w:pPr>
        <w:pStyle w:val="BodyText"/>
        <w:rPr>
          <w:sz w:val="36"/>
        </w:rPr>
      </w:pPr>
    </w:p>
    <w:p w14:paraId="1E8056CD" w14:textId="77777777" w:rsidR="00AA4A02" w:rsidRDefault="00AA4A02">
      <w:pPr>
        <w:pStyle w:val="BodyText"/>
        <w:rPr>
          <w:sz w:val="36"/>
        </w:rPr>
      </w:pPr>
    </w:p>
    <w:p w14:paraId="1E8056CE" w14:textId="77777777" w:rsidR="00AA4A02" w:rsidRDefault="00AA4A02">
      <w:pPr>
        <w:pStyle w:val="BodyText"/>
        <w:rPr>
          <w:sz w:val="36"/>
        </w:rPr>
      </w:pPr>
    </w:p>
    <w:p w14:paraId="1E8056CF" w14:textId="77777777" w:rsidR="00AA4A02" w:rsidRDefault="00AA4A02">
      <w:pPr>
        <w:pStyle w:val="BodyText"/>
        <w:rPr>
          <w:sz w:val="36"/>
        </w:rPr>
      </w:pPr>
    </w:p>
    <w:p w14:paraId="1E8056D0" w14:textId="77777777" w:rsidR="00AA4A02" w:rsidRDefault="00AA4A02">
      <w:pPr>
        <w:pStyle w:val="BodyText"/>
        <w:rPr>
          <w:sz w:val="36"/>
        </w:rPr>
      </w:pPr>
    </w:p>
    <w:p w14:paraId="1E8056D1" w14:textId="77777777" w:rsidR="00AA4A02" w:rsidRDefault="00AA4A02">
      <w:pPr>
        <w:pStyle w:val="BodyText"/>
        <w:rPr>
          <w:sz w:val="36"/>
        </w:rPr>
      </w:pPr>
    </w:p>
    <w:p w14:paraId="1E8056D2" w14:textId="77777777" w:rsidR="00AA4A02" w:rsidRDefault="00AA4A02">
      <w:pPr>
        <w:pStyle w:val="BodyText"/>
        <w:rPr>
          <w:sz w:val="36"/>
        </w:rPr>
      </w:pPr>
    </w:p>
    <w:p w14:paraId="1E8056D3" w14:textId="77777777" w:rsidR="00AA4A02" w:rsidRDefault="00AA4A02">
      <w:pPr>
        <w:pStyle w:val="BodyText"/>
        <w:rPr>
          <w:sz w:val="36"/>
        </w:rPr>
      </w:pPr>
    </w:p>
    <w:p w14:paraId="1E8056D4" w14:textId="77777777" w:rsidR="00AA4A02" w:rsidRDefault="00AA4A02">
      <w:pPr>
        <w:pStyle w:val="BodyText"/>
        <w:rPr>
          <w:sz w:val="36"/>
        </w:rPr>
      </w:pPr>
    </w:p>
    <w:p w14:paraId="1E8056D5" w14:textId="77777777" w:rsidR="00AA4A02" w:rsidRDefault="00AA4A02">
      <w:pPr>
        <w:pStyle w:val="BodyText"/>
        <w:rPr>
          <w:sz w:val="36"/>
        </w:rPr>
      </w:pPr>
    </w:p>
    <w:p w14:paraId="1E8056D6" w14:textId="77777777" w:rsidR="00AA4A02" w:rsidRDefault="00AA4A02">
      <w:pPr>
        <w:pStyle w:val="BodyText"/>
        <w:rPr>
          <w:sz w:val="36"/>
        </w:rPr>
      </w:pPr>
    </w:p>
    <w:p w14:paraId="1E8056D7" w14:textId="77777777" w:rsidR="00AA4A02" w:rsidRDefault="00AA4A02">
      <w:pPr>
        <w:pStyle w:val="BodyText"/>
        <w:rPr>
          <w:sz w:val="36"/>
        </w:rPr>
      </w:pPr>
    </w:p>
    <w:p w14:paraId="1E8056D8" w14:textId="77777777" w:rsidR="00AA4A02" w:rsidRDefault="00AA4A02">
      <w:pPr>
        <w:pStyle w:val="BodyText"/>
        <w:rPr>
          <w:sz w:val="36"/>
        </w:rPr>
      </w:pPr>
    </w:p>
    <w:p w14:paraId="1E8056D9" w14:textId="77777777" w:rsidR="00AA4A02" w:rsidRDefault="00AA4A02">
      <w:pPr>
        <w:pStyle w:val="BodyText"/>
        <w:rPr>
          <w:sz w:val="36"/>
        </w:rPr>
      </w:pPr>
    </w:p>
    <w:p w14:paraId="1E8056DA" w14:textId="77777777" w:rsidR="00AA4A02" w:rsidRDefault="00AA4A02">
      <w:pPr>
        <w:pStyle w:val="BodyText"/>
        <w:spacing w:before="356"/>
        <w:rPr>
          <w:sz w:val="36"/>
        </w:rPr>
      </w:pPr>
    </w:p>
    <w:p w14:paraId="1E8056DB" w14:textId="77777777" w:rsidR="00AA4A02" w:rsidRDefault="00960F31">
      <w:pPr>
        <w:ind w:right="420"/>
        <w:jc w:val="right"/>
        <w:rPr>
          <w:sz w:val="36"/>
        </w:rPr>
      </w:pPr>
      <w:r>
        <w:rPr>
          <w:sz w:val="36"/>
        </w:rPr>
        <w:t>September</w:t>
      </w:r>
      <w:r>
        <w:rPr>
          <w:spacing w:val="1"/>
          <w:sz w:val="36"/>
        </w:rPr>
        <w:t xml:space="preserve"> </w:t>
      </w:r>
      <w:r>
        <w:rPr>
          <w:spacing w:val="-4"/>
          <w:sz w:val="36"/>
        </w:rPr>
        <w:t>2019</w:t>
      </w:r>
    </w:p>
    <w:p w14:paraId="1E8056DC" w14:textId="77777777" w:rsidR="00AA4A02" w:rsidRDefault="00AA4A02">
      <w:pPr>
        <w:jc w:val="right"/>
        <w:rPr>
          <w:sz w:val="36"/>
        </w:rPr>
        <w:sectPr w:rsidR="00AA4A02">
          <w:headerReference w:type="default" r:id="rId27"/>
          <w:footerReference w:type="default" r:id="rId28"/>
          <w:pgSz w:w="11900" w:h="16840"/>
          <w:pgMar w:top="1600" w:right="992" w:bottom="280" w:left="1275" w:header="652" w:footer="0" w:gutter="0"/>
          <w:cols w:space="720"/>
        </w:sectPr>
      </w:pPr>
    </w:p>
    <w:p w14:paraId="1E8056DD" w14:textId="77777777" w:rsidR="00AA4A02" w:rsidRDefault="00960F31">
      <w:pPr>
        <w:pStyle w:val="Heading6"/>
        <w:tabs>
          <w:tab w:val="left" w:pos="8631"/>
        </w:tabs>
        <w:spacing w:before="321"/>
        <w:ind w:left="141" w:firstLine="0"/>
      </w:pPr>
      <w:r>
        <w:rPr>
          <w:spacing w:val="-2"/>
        </w:rPr>
        <w:lastRenderedPageBreak/>
        <w:t>Contents</w:t>
      </w:r>
      <w:r>
        <w:tab/>
      </w:r>
      <w:r>
        <w:rPr>
          <w:spacing w:val="-4"/>
        </w:rPr>
        <w:t>Page</w:t>
      </w:r>
    </w:p>
    <w:p w14:paraId="1E8056DE" w14:textId="77777777" w:rsidR="00AA4A02" w:rsidRDefault="00960F31">
      <w:pPr>
        <w:pStyle w:val="ListParagraph"/>
        <w:numPr>
          <w:ilvl w:val="0"/>
          <w:numId w:val="55"/>
        </w:numPr>
        <w:tabs>
          <w:tab w:val="left" w:pos="583"/>
          <w:tab w:val="right" w:leader="dot" w:pos="9188"/>
        </w:tabs>
        <w:spacing w:before="296"/>
        <w:ind w:hanging="442"/>
        <w:rPr>
          <w:sz w:val="24"/>
        </w:rPr>
      </w:pPr>
      <w:hyperlink w:anchor="_TOC_250030" w:history="1">
        <w:r>
          <w:rPr>
            <w:sz w:val="24"/>
          </w:rPr>
          <w:t>Purpose</w:t>
        </w:r>
        <w:r>
          <w:rPr>
            <w:spacing w:val="-1"/>
            <w:sz w:val="24"/>
          </w:rPr>
          <w:t xml:space="preserve"> </w:t>
        </w:r>
        <w:r>
          <w:rPr>
            <w:sz w:val="24"/>
          </w:rPr>
          <w:t>of</w:t>
        </w:r>
        <w:r>
          <w:rPr>
            <w:spacing w:val="2"/>
            <w:sz w:val="24"/>
          </w:rPr>
          <w:t xml:space="preserve"> </w:t>
        </w:r>
        <w:r>
          <w:rPr>
            <w:sz w:val="24"/>
          </w:rPr>
          <w:t>the</w:t>
        </w:r>
        <w:r>
          <w:rPr>
            <w:spacing w:val="-5"/>
            <w:sz w:val="24"/>
          </w:rPr>
          <w:t xml:space="preserve"> </w:t>
        </w:r>
        <w:r>
          <w:rPr>
            <w:sz w:val="24"/>
          </w:rPr>
          <w:t>AASB</w:t>
        </w:r>
        <w:r>
          <w:rPr>
            <w:spacing w:val="-1"/>
            <w:sz w:val="24"/>
          </w:rPr>
          <w:t xml:space="preserve"> </w:t>
        </w:r>
        <w:r>
          <w:rPr>
            <w:sz w:val="24"/>
          </w:rPr>
          <w:t>Due</w:t>
        </w:r>
        <w:r>
          <w:rPr>
            <w:spacing w:val="-1"/>
            <w:sz w:val="24"/>
          </w:rPr>
          <w:t xml:space="preserve"> </w:t>
        </w:r>
        <w:r>
          <w:rPr>
            <w:sz w:val="24"/>
          </w:rPr>
          <w:t>Process</w:t>
        </w:r>
        <w:r>
          <w:rPr>
            <w:spacing w:val="-2"/>
            <w:sz w:val="24"/>
          </w:rPr>
          <w:t xml:space="preserve"> </w:t>
        </w:r>
        <w:r>
          <w:rPr>
            <w:sz w:val="24"/>
          </w:rPr>
          <w:t>Framework</w:t>
        </w:r>
        <w:r>
          <w:rPr>
            <w:spacing w:val="1"/>
            <w:sz w:val="24"/>
          </w:rPr>
          <w:t xml:space="preserve"> </w:t>
        </w:r>
        <w:r>
          <w:rPr>
            <w:sz w:val="24"/>
          </w:rPr>
          <w:t>for</w:t>
        </w:r>
        <w:r>
          <w:rPr>
            <w:spacing w:val="-3"/>
            <w:sz w:val="24"/>
          </w:rPr>
          <w:t xml:space="preserve"> </w:t>
        </w:r>
        <w:r>
          <w:rPr>
            <w:sz w:val="24"/>
          </w:rPr>
          <w:t>Setting</w:t>
        </w:r>
        <w:r>
          <w:rPr>
            <w:spacing w:val="3"/>
            <w:sz w:val="24"/>
          </w:rPr>
          <w:t xml:space="preserve"> </w:t>
        </w:r>
        <w:r>
          <w:rPr>
            <w:spacing w:val="-2"/>
            <w:sz w:val="24"/>
          </w:rPr>
          <w:t>Standards</w:t>
        </w:r>
        <w:r>
          <w:rPr>
            <w:sz w:val="24"/>
          </w:rPr>
          <w:tab/>
        </w:r>
        <w:r>
          <w:rPr>
            <w:spacing w:val="-10"/>
            <w:sz w:val="24"/>
          </w:rPr>
          <w:t>3</w:t>
        </w:r>
      </w:hyperlink>
    </w:p>
    <w:p w14:paraId="1E8056DF" w14:textId="77777777" w:rsidR="00AA4A02" w:rsidRDefault="00960F31">
      <w:pPr>
        <w:pStyle w:val="ListParagraph"/>
        <w:numPr>
          <w:ilvl w:val="0"/>
          <w:numId w:val="55"/>
        </w:numPr>
        <w:tabs>
          <w:tab w:val="left" w:pos="583"/>
          <w:tab w:val="right" w:leader="dot" w:pos="9188"/>
        </w:tabs>
        <w:spacing w:before="99"/>
        <w:ind w:hanging="442"/>
        <w:rPr>
          <w:sz w:val="24"/>
        </w:rPr>
      </w:pPr>
      <w:hyperlink w:anchor="_TOC_250029" w:history="1">
        <w:r>
          <w:rPr>
            <w:sz w:val="24"/>
          </w:rPr>
          <w:t>AASB’s</w:t>
        </w:r>
        <w:r>
          <w:rPr>
            <w:spacing w:val="-5"/>
            <w:sz w:val="24"/>
          </w:rPr>
          <w:t xml:space="preserve"> </w:t>
        </w:r>
        <w:r>
          <w:rPr>
            <w:sz w:val="24"/>
          </w:rPr>
          <w:t>Legislative</w:t>
        </w:r>
        <w:r>
          <w:rPr>
            <w:spacing w:val="-2"/>
            <w:sz w:val="24"/>
          </w:rPr>
          <w:t xml:space="preserve"> Requirements</w:t>
        </w:r>
        <w:r>
          <w:rPr>
            <w:sz w:val="24"/>
          </w:rPr>
          <w:tab/>
        </w:r>
        <w:r>
          <w:rPr>
            <w:spacing w:val="-10"/>
            <w:sz w:val="24"/>
          </w:rPr>
          <w:t>4</w:t>
        </w:r>
      </w:hyperlink>
    </w:p>
    <w:p w14:paraId="1E8056E0" w14:textId="77777777" w:rsidR="00AA4A02" w:rsidRDefault="00960F31">
      <w:pPr>
        <w:pStyle w:val="ListParagraph"/>
        <w:numPr>
          <w:ilvl w:val="0"/>
          <w:numId w:val="55"/>
        </w:numPr>
        <w:tabs>
          <w:tab w:val="left" w:pos="583"/>
          <w:tab w:val="right" w:leader="dot" w:pos="9188"/>
        </w:tabs>
        <w:spacing w:before="98"/>
        <w:ind w:hanging="442"/>
        <w:rPr>
          <w:sz w:val="24"/>
        </w:rPr>
      </w:pPr>
      <w:hyperlink w:anchor="_TOC_250028" w:history="1">
        <w:r>
          <w:rPr>
            <w:sz w:val="24"/>
          </w:rPr>
          <w:t>Types</w:t>
        </w:r>
        <w:r>
          <w:rPr>
            <w:spacing w:val="-2"/>
            <w:sz w:val="24"/>
          </w:rPr>
          <w:t xml:space="preserve"> </w:t>
        </w:r>
        <w:r>
          <w:rPr>
            <w:sz w:val="24"/>
          </w:rPr>
          <w:t>of</w:t>
        </w:r>
        <w:r>
          <w:rPr>
            <w:spacing w:val="2"/>
            <w:sz w:val="24"/>
          </w:rPr>
          <w:t xml:space="preserve"> </w:t>
        </w:r>
        <w:r>
          <w:rPr>
            <w:sz w:val="24"/>
          </w:rPr>
          <w:t>Pronouncements</w:t>
        </w:r>
        <w:r>
          <w:rPr>
            <w:spacing w:val="-1"/>
            <w:sz w:val="24"/>
          </w:rPr>
          <w:t xml:space="preserve"> </w:t>
        </w:r>
        <w:r>
          <w:rPr>
            <w:sz w:val="24"/>
          </w:rPr>
          <w:t>Issued by the</w:t>
        </w:r>
        <w:r>
          <w:rPr>
            <w:spacing w:val="1"/>
            <w:sz w:val="24"/>
          </w:rPr>
          <w:t xml:space="preserve"> </w:t>
        </w:r>
        <w:r>
          <w:rPr>
            <w:spacing w:val="-4"/>
            <w:sz w:val="24"/>
          </w:rPr>
          <w:t>AASB</w:t>
        </w:r>
        <w:r>
          <w:rPr>
            <w:sz w:val="24"/>
          </w:rPr>
          <w:tab/>
        </w:r>
        <w:r>
          <w:rPr>
            <w:spacing w:val="-10"/>
            <w:sz w:val="24"/>
          </w:rPr>
          <w:t>5</w:t>
        </w:r>
      </w:hyperlink>
    </w:p>
    <w:p w14:paraId="1E8056E1" w14:textId="77777777" w:rsidR="00AA4A02" w:rsidRDefault="00960F31">
      <w:pPr>
        <w:pStyle w:val="ListParagraph"/>
        <w:numPr>
          <w:ilvl w:val="0"/>
          <w:numId w:val="55"/>
        </w:numPr>
        <w:tabs>
          <w:tab w:val="left" w:pos="583"/>
          <w:tab w:val="right" w:leader="dot" w:pos="9188"/>
        </w:tabs>
        <w:spacing w:before="99"/>
        <w:ind w:hanging="442"/>
        <w:rPr>
          <w:sz w:val="24"/>
        </w:rPr>
      </w:pPr>
      <w:hyperlink w:anchor="_TOC_250027" w:history="1">
        <w:r>
          <w:rPr>
            <w:sz w:val="24"/>
          </w:rPr>
          <w:t>Principles</w:t>
        </w:r>
        <w:r>
          <w:rPr>
            <w:spacing w:val="-3"/>
            <w:sz w:val="24"/>
          </w:rPr>
          <w:t xml:space="preserve"> </w:t>
        </w:r>
        <w:r>
          <w:rPr>
            <w:sz w:val="24"/>
          </w:rPr>
          <w:t>for</w:t>
        </w:r>
        <w:r>
          <w:rPr>
            <w:spacing w:val="-3"/>
            <w:sz w:val="24"/>
          </w:rPr>
          <w:t xml:space="preserve"> </w:t>
        </w:r>
        <w:r>
          <w:rPr>
            <w:sz w:val="24"/>
          </w:rPr>
          <w:t>Due</w:t>
        </w:r>
        <w:r>
          <w:rPr>
            <w:spacing w:val="-3"/>
            <w:sz w:val="24"/>
          </w:rPr>
          <w:t xml:space="preserve"> </w:t>
        </w:r>
        <w:r>
          <w:rPr>
            <w:sz w:val="24"/>
          </w:rPr>
          <w:t>Process</w:t>
        </w:r>
        <w:r>
          <w:rPr>
            <w:spacing w:val="-1"/>
            <w:sz w:val="24"/>
          </w:rPr>
          <w:t xml:space="preserve"> </w:t>
        </w:r>
        <w:r>
          <w:rPr>
            <w:sz w:val="24"/>
          </w:rPr>
          <w:t>in</w:t>
        </w:r>
        <w:r>
          <w:rPr>
            <w:spacing w:val="-1"/>
            <w:sz w:val="24"/>
          </w:rPr>
          <w:t xml:space="preserve"> </w:t>
        </w:r>
        <w:r>
          <w:rPr>
            <w:sz w:val="24"/>
          </w:rPr>
          <w:t>Developing Standards,</w:t>
        </w:r>
        <w:r>
          <w:rPr>
            <w:spacing w:val="3"/>
            <w:sz w:val="24"/>
          </w:rPr>
          <w:t xml:space="preserve"> </w:t>
        </w:r>
        <w:r>
          <w:rPr>
            <w:sz w:val="24"/>
          </w:rPr>
          <w:t>Interpretations</w:t>
        </w:r>
        <w:r>
          <w:rPr>
            <w:spacing w:val="-1"/>
            <w:sz w:val="24"/>
          </w:rPr>
          <w:t xml:space="preserve"> </w:t>
        </w:r>
        <w:r>
          <w:rPr>
            <w:sz w:val="24"/>
          </w:rPr>
          <w:t xml:space="preserve">and </w:t>
        </w:r>
        <w:r>
          <w:rPr>
            <w:spacing w:val="-2"/>
            <w:sz w:val="24"/>
          </w:rPr>
          <w:t>Guidance</w:t>
        </w:r>
        <w:r>
          <w:rPr>
            <w:sz w:val="24"/>
          </w:rPr>
          <w:tab/>
        </w:r>
        <w:r>
          <w:rPr>
            <w:spacing w:val="-10"/>
            <w:sz w:val="24"/>
          </w:rPr>
          <w:t>7</w:t>
        </w:r>
      </w:hyperlink>
    </w:p>
    <w:p w14:paraId="1E8056E2" w14:textId="77777777" w:rsidR="00AA4A02" w:rsidRDefault="00960F31">
      <w:pPr>
        <w:pStyle w:val="ListParagraph"/>
        <w:numPr>
          <w:ilvl w:val="0"/>
          <w:numId w:val="55"/>
        </w:numPr>
        <w:tabs>
          <w:tab w:val="left" w:pos="583"/>
          <w:tab w:val="right" w:leader="dot" w:pos="9188"/>
        </w:tabs>
        <w:spacing w:before="103"/>
        <w:ind w:hanging="442"/>
        <w:rPr>
          <w:sz w:val="24"/>
        </w:rPr>
      </w:pPr>
      <w:hyperlink w:anchor="_TOC_250026" w:history="1">
        <w:r>
          <w:rPr>
            <w:sz w:val="24"/>
          </w:rPr>
          <w:t>Strategic</w:t>
        </w:r>
        <w:r>
          <w:rPr>
            <w:spacing w:val="1"/>
            <w:sz w:val="24"/>
          </w:rPr>
          <w:t xml:space="preserve"> </w:t>
        </w:r>
        <w:r>
          <w:rPr>
            <w:sz w:val="24"/>
          </w:rPr>
          <w:t xml:space="preserve">International </w:t>
        </w:r>
        <w:r>
          <w:rPr>
            <w:spacing w:val="-2"/>
            <w:sz w:val="24"/>
          </w:rPr>
          <w:t>Influence</w:t>
        </w:r>
        <w:r>
          <w:rPr>
            <w:sz w:val="24"/>
          </w:rPr>
          <w:tab/>
        </w:r>
        <w:r>
          <w:rPr>
            <w:spacing w:val="-10"/>
            <w:sz w:val="24"/>
          </w:rPr>
          <w:t>8</w:t>
        </w:r>
      </w:hyperlink>
    </w:p>
    <w:p w14:paraId="1E8056E3" w14:textId="77777777" w:rsidR="00AA4A02" w:rsidRDefault="00960F31">
      <w:pPr>
        <w:pStyle w:val="ListParagraph"/>
        <w:numPr>
          <w:ilvl w:val="0"/>
          <w:numId w:val="55"/>
        </w:numPr>
        <w:tabs>
          <w:tab w:val="left" w:pos="583"/>
          <w:tab w:val="right" w:leader="dot" w:pos="9188"/>
        </w:tabs>
        <w:spacing w:before="99"/>
        <w:ind w:hanging="442"/>
        <w:rPr>
          <w:sz w:val="24"/>
        </w:rPr>
      </w:pPr>
      <w:hyperlink w:anchor="_TOC_250025" w:history="1">
        <w:r>
          <w:rPr>
            <w:sz w:val="24"/>
          </w:rPr>
          <w:t>Appropriate</w:t>
        </w:r>
        <w:r>
          <w:rPr>
            <w:spacing w:val="-1"/>
            <w:sz w:val="24"/>
          </w:rPr>
          <w:t xml:space="preserve"> </w:t>
        </w:r>
        <w:r>
          <w:rPr>
            <w:sz w:val="24"/>
          </w:rPr>
          <w:t>Consultation</w:t>
        </w:r>
        <w:r>
          <w:rPr>
            <w:spacing w:val="1"/>
            <w:sz w:val="24"/>
          </w:rPr>
          <w:t xml:space="preserve"> </w:t>
        </w:r>
        <w:r>
          <w:rPr>
            <w:sz w:val="24"/>
          </w:rPr>
          <w:t>(RIS</w:t>
        </w:r>
        <w:r>
          <w:rPr>
            <w:spacing w:val="-3"/>
            <w:sz w:val="24"/>
          </w:rPr>
          <w:t xml:space="preserve"> </w:t>
        </w:r>
        <w:r>
          <w:rPr>
            <w:sz w:val="24"/>
          </w:rPr>
          <w:t>question</w:t>
        </w:r>
        <w:r>
          <w:rPr>
            <w:spacing w:val="1"/>
            <w:sz w:val="24"/>
          </w:rPr>
          <w:t xml:space="preserve"> </w:t>
        </w:r>
        <w:r>
          <w:rPr>
            <w:spacing w:val="-5"/>
            <w:sz w:val="24"/>
          </w:rPr>
          <w:t>5)</w:t>
        </w:r>
        <w:r>
          <w:rPr>
            <w:sz w:val="24"/>
          </w:rPr>
          <w:tab/>
        </w:r>
        <w:r>
          <w:rPr>
            <w:spacing w:val="-5"/>
            <w:sz w:val="24"/>
          </w:rPr>
          <w:t>10</w:t>
        </w:r>
      </w:hyperlink>
    </w:p>
    <w:p w14:paraId="1E8056E4" w14:textId="77777777" w:rsidR="00AA4A02" w:rsidRDefault="00960F31">
      <w:pPr>
        <w:pStyle w:val="ListParagraph"/>
        <w:numPr>
          <w:ilvl w:val="0"/>
          <w:numId w:val="55"/>
        </w:numPr>
        <w:tabs>
          <w:tab w:val="left" w:pos="583"/>
          <w:tab w:val="right" w:leader="dot" w:pos="9188"/>
        </w:tabs>
        <w:spacing w:before="98"/>
        <w:ind w:hanging="442"/>
        <w:rPr>
          <w:sz w:val="24"/>
        </w:rPr>
      </w:pPr>
      <w:hyperlink w:anchor="_TOC_250024" w:history="1">
        <w:r>
          <w:rPr>
            <w:sz w:val="24"/>
          </w:rPr>
          <w:t>The</w:t>
        </w:r>
        <w:r>
          <w:rPr>
            <w:spacing w:val="-2"/>
            <w:sz w:val="24"/>
          </w:rPr>
          <w:t xml:space="preserve"> </w:t>
        </w:r>
        <w:r>
          <w:rPr>
            <w:sz w:val="24"/>
          </w:rPr>
          <w:t>Standard-Setting</w:t>
        </w:r>
        <w:r>
          <w:rPr>
            <w:spacing w:val="1"/>
            <w:sz w:val="24"/>
          </w:rPr>
          <w:t xml:space="preserve"> </w:t>
        </w:r>
        <w:r>
          <w:rPr>
            <w:spacing w:val="-2"/>
            <w:sz w:val="24"/>
          </w:rPr>
          <w:t>Process</w:t>
        </w:r>
        <w:r>
          <w:rPr>
            <w:sz w:val="24"/>
          </w:rPr>
          <w:tab/>
        </w:r>
        <w:r>
          <w:rPr>
            <w:spacing w:val="-5"/>
            <w:sz w:val="24"/>
          </w:rPr>
          <w:t>13</w:t>
        </w:r>
      </w:hyperlink>
    </w:p>
    <w:p w14:paraId="1E8056E5" w14:textId="77777777" w:rsidR="00AA4A02" w:rsidRDefault="00960F31">
      <w:pPr>
        <w:pStyle w:val="ListParagraph"/>
        <w:numPr>
          <w:ilvl w:val="0"/>
          <w:numId w:val="55"/>
        </w:numPr>
        <w:tabs>
          <w:tab w:val="left" w:pos="583"/>
          <w:tab w:val="right" w:leader="dot" w:pos="9188"/>
        </w:tabs>
        <w:spacing w:before="103"/>
        <w:ind w:hanging="442"/>
        <w:rPr>
          <w:sz w:val="24"/>
        </w:rPr>
      </w:pPr>
      <w:hyperlink w:anchor="_TOC_250023" w:history="1">
        <w:r>
          <w:rPr>
            <w:spacing w:val="-2"/>
            <w:sz w:val="24"/>
          </w:rPr>
          <w:t>Interpretations</w:t>
        </w:r>
        <w:r>
          <w:rPr>
            <w:sz w:val="24"/>
          </w:rPr>
          <w:tab/>
        </w:r>
        <w:r>
          <w:rPr>
            <w:spacing w:val="-5"/>
            <w:sz w:val="24"/>
          </w:rPr>
          <w:t>24</w:t>
        </w:r>
      </w:hyperlink>
    </w:p>
    <w:p w14:paraId="1E8056E6" w14:textId="77777777" w:rsidR="00AA4A02" w:rsidRDefault="00960F31">
      <w:pPr>
        <w:pStyle w:val="ListParagraph"/>
        <w:numPr>
          <w:ilvl w:val="0"/>
          <w:numId w:val="55"/>
        </w:numPr>
        <w:tabs>
          <w:tab w:val="left" w:pos="583"/>
          <w:tab w:val="right" w:leader="dot" w:pos="9188"/>
        </w:tabs>
        <w:spacing w:before="99"/>
        <w:ind w:hanging="442"/>
        <w:rPr>
          <w:sz w:val="24"/>
        </w:rPr>
      </w:pPr>
      <w:hyperlink w:anchor="_TOC_250022" w:history="1">
        <w:r>
          <w:rPr>
            <w:sz w:val="24"/>
          </w:rPr>
          <w:t xml:space="preserve">Supporting Consistent </w:t>
        </w:r>
        <w:r>
          <w:rPr>
            <w:spacing w:val="-2"/>
            <w:sz w:val="24"/>
          </w:rPr>
          <w:t>Application</w:t>
        </w:r>
        <w:r>
          <w:rPr>
            <w:sz w:val="24"/>
          </w:rPr>
          <w:tab/>
        </w:r>
        <w:r>
          <w:rPr>
            <w:spacing w:val="-5"/>
            <w:sz w:val="24"/>
          </w:rPr>
          <w:t>25</w:t>
        </w:r>
      </w:hyperlink>
    </w:p>
    <w:p w14:paraId="1E8056E7" w14:textId="77777777" w:rsidR="00AA4A02" w:rsidRDefault="00960F31">
      <w:pPr>
        <w:pStyle w:val="ListParagraph"/>
        <w:numPr>
          <w:ilvl w:val="0"/>
          <w:numId w:val="55"/>
        </w:numPr>
        <w:tabs>
          <w:tab w:val="left" w:pos="583"/>
          <w:tab w:val="right" w:leader="dot" w:pos="9188"/>
        </w:tabs>
        <w:spacing w:before="99"/>
        <w:ind w:hanging="442"/>
        <w:rPr>
          <w:sz w:val="24"/>
        </w:rPr>
      </w:pPr>
      <w:hyperlink w:anchor="_TOC_250021" w:history="1">
        <w:r>
          <w:rPr>
            <w:spacing w:val="-2"/>
            <w:sz w:val="24"/>
          </w:rPr>
          <w:t>Other</w:t>
        </w:r>
        <w:r>
          <w:rPr>
            <w:sz w:val="24"/>
          </w:rPr>
          <w:tab/>
        </w:r>
        <w:r>
          <w:rPr>
            <w:spacing w:val="-5"/>
            <w:sz w:val="24"/>
          </w:rPr>
          <w:t>27</w:t>
        </w:r>
      </w:hyperlink>
    </w:p>
    <w:p w14:paraId="1E8056E8" w14:textId="77777777" w:rsidR="00AA4A02" w:rsidRDefault="00960F31">
      <w:pPr>
        <w:pStyle w:val="ListParagraph"/>
        <w:numPr>
          <w:ilvl w:val="0"/>
          <w:numId w:val="55"/>
        </w:numPr>
        <w:tabs>
          <w:tab w:val="left" w:pos="583"/>
          <w:tab w:val="right" w:leader="dot" w:pos="9188"/>
        </w:tabs>
        <w:spacing w:before="103"/>
        <w:ind w:hanging="442"/>
        <w:rPr>
          <w:sz w:val="24"/>
        </w:rPr>
      </w:pPr>
      <w:hyperlink w:anchor="_TOC_250020" w:history="1">
        <w:r>
          <w:rPr>
            <w:sz w:val="24"/>
          </w:rPr>
          <w:t>Protocols</w:t>
        </w:r>
        <w:r>
          <w:rPr>
            <w:spacing w:val="-1"/>
            <w:sz w:val="24"/>
          </w:rPr>
          <w:t xml:space="preserve"> </w:t>
        </w:r>
        <w:r>
          <w:rPr>
            <w:sz w:val="24"/>
          </w:rPr>
          <w:t>for</w:t>
        </w:r>
        <w:r>
          <w:rPr>
            <w:spacing w:val="-2"/>
            <w:sz w:val="24"/>
          </w:rPr>
          <w:t xml:space="preserve"> </w:t>
        </w:r>
        <w:r>
          <w:rPr>
            <w:sz w:val="24"/>
          </w:rPr>
          <w:t>Perceived</w:t>
        </w:r>
        <w:r>
          <w:rPr>
            <w:spacing w:val="2"/>
            <w:sz w:val="24"/>
          </w:rPr>
          <w:t xml:space="preserve"> </w:t>
        </w:r>
        <w:r>
          <w:rPr>
            <w:sz w:val="24"/>
          </w:rPr>
          <w:t>Breaches</w:t>
        </w:r>
        <w:r>
          <w:rPr>
            <w:spacing w:val="-1"/>
            <w:sz w:val="24"/>
          </w:rPr>
          <w:t xml:space="preserve"> </w:t>
        </w:r>
        <w:r>
          <w:rPr>
            <w:sz w:val="24"/>
          </w:rPr>
          <w:t>of</w:t>
        </w:r>
        <w:r>
          <w:rPr>
            <w:spacing w:val="3"/>
            <w:sz w:val="24"/>
          </w:rPr>
          <w:t xml:space="preserve"> </w:t>
        </w:r>
        <w:r>
          <w:rPr>
            <w:sz w:val="24"/>
          </w:rPr>
          <w:t>Due</w:t>
        </w:r>
        <w:r>
          <w:rPr>
            <w:spacing w:val="-4"/>
            <w:sz w:val="24"/>
          </w:rPr>
          <w:t xml:space="preserve"> </w:t>
        </w:r>
        <w:r>
          <w:rPr>
            <w:spacing w:val="-2"/>
            <w:sz w:val="24"/>
          </w:rPr>
          <w:t>Process</w:t>
        </w:r>
        <w:r>
          <w:rPr>
            <w:sz w:val="24"/>
          </w:rPr>
          <w:tab/>
        </w:r>
        <w:r>
          <w:rPr>
            <w:spacing w:val="-5"/>
            <w:sz w:val="24"/>
          </w:rPr>
          <w:t>27</w:t>
        </w:r>
      </w:hyperlink>
    </w:p>
    <w:p w14:paraId="1E8056E9" w14:textId="77777777" w:rsidR="00AA4A02" w:rsidRDefault="00AA4A02">
      <w:pPr>
        <w:pStyle w:val="ListParagraph"/>
        <w:rPr>
          <w:sz w:val="24"/>
        </w:rPr>
        <w:sectPr w:rsidR="00AA4A02">
          <w:headerReference w:type="default" r:id="rId29"/>
          <w:footerReference w:type="default" r:id="rId30"/>
          <w:pgSz w:w="11900" w:h="16840"/>
          <w:pgMar w:top="1600" w:right="992" w:bottom="920" w:left="1275" w:header="652" w:footer="724" w:gutter="0"/>
          <w:pgNumType w:start="2"/>
          <w:cols w:space="720"/>
        </w:sectPr>
      </w:pPr>
    </w:p>
    <w:p w14:paraId="1E8056EA" w14:textId="77777777" w:rsidR="00AA4A02" w:rsidRDefault="00960F31">
      <w:pPr>
        <w:pStyle w:val="Heading6"/>
        <w:numPr>
          <w:ilvl w:val="0"/>
          <w:numId w:val="54"/>
        </w:numPr>
        <w:tabs>
          <w:tab w:val="left" w:pos="852"/>
        </w:tabs>
        <w:spacing w:before="81"/>
      </w:pPr>
      <w:bookmarkStart w:id="20" w:name="_TOC_250030"/>
      <w:r>
        <w:lastRenderedPageBreak/>
        <w:t>Purpose</w:t>
      </w:r>
      <w:r>
        <w:rPr>
          <w:spacing w:val="-5"/>
        </w:rPr>
        <w:t xml:space="preserve"> </w:t>
      </w:r>
      <w:r>
        <w:t>of</w:t>
      </w:r>
      <w:r>
        <w:rPr>
          <w:spacing w:val="-8"/>
        </w:rPr>
        <w:t xml:space="preserve"> </w:t>
      </w:r>
      <w:r>
        <w:t>the</w:t>
      </w:r>
      <w:r>
        <w:rPr>
          <w:spacing w:val="-6"/>
        </w:rPr>
        <w:t xml:space="preserve"> </w:t>
      </w:r>
      <w:r>
        <w:t>AASB</w:t>
      </w:r>
      <w:r>
        <w:rPr>
          <w:spacing w:val="-4"/>
        </w:rPr>
        <w:t xml:space="preserve"> </w:t>
      </w:r>
      <w:r>
        <w:t>Due</w:t>
      </w:r>
      <w:r>
        <w:rPr>
          <w:spacing w:val="-7"/>
        </w:rPr>
        <w:t xml:space="preserve"> </w:t>
      </w:r>
      <w:r>
        <w:t>Process</w:t>
      </w:r>
      <w:r>
        <w:rPr>
          <w:spacing w:val="-3"/>
        </w:rPr>
        <w:t xml:space="preserve"> </w:t>
      </w:r>
      <w:r>
        <w:t>Framework</w:t>
      </w:r>
      <w:r>
        <w:rPr>
          <w:spacing w:val="-6"/>
        </w:rPr>
        <w:t xml:space="preserve"> </w:t>
      </w:r>
      <w:r>
        <w:t>for</w:t>
      </w:r>
      <w:r>
        <w:rPr>
          <w:spacing w:val="-5"/>
        </w:rPr>
        <w:t xml:space="preserve"> </w:t>
      </w:r>
      <w:r>
        <w:t>Setting</w:t>
      </w:r>
      <w:r>
        <w:rPr>
          <w:spacing w:val="-7"/>
        </w:rPr>
        <w:t xml:space="preserve"> </w:t>
      </w:r>
      <w:bookmarkEnd w:id="20"/>
      <w:r>
        <w:rPr>
          <w:spacing w:val="-2"/>
        </w:rPr>
        <w:t>Standards</w:t>
      </w:r>
    </w:p>
    <w:p w14:paraId="1E8056EB" w14:textId="77777777" w:rsidR="00AA4A02" w:rsidRDefault="00960F31">
      <w:pPr>
        <w:pStyle w:val="ListParagraph"/>
        <w:numPr>
          <w:ilvl w:val="1"/>
          <w:numId w:val="54"/>
        </w:numPr>
        <w:tabs>
          <w:tab w:val="left" w:pos="852"/>
        </w:tabs>
        <w:spacing w:before="277"/>
        <w:ind w:right="439"/>
        <w:rPr>
          <w:sz w:val="24"/>
        </w:rPr>
      </w:pPr>
      <w:r>
        <w:rPr>
          <w:sz w:val="24"/>
        </w:rPr>
        <w:t>This Due Process Framework sets out the minimum steps the Australian Accounting Standards Board (AASB) must take to ensure that the accounting and external reporting</w:t>
      </w:r>
      <w:r>
        <w:rPr>
          <w:spacing w:val="-2"/>
          <w:sz w:val="24"/>
        </w:rPr>
        <w:t xml:space="preserve"> </w:t>
      </w:r>
      <w:r>
        <w:rPr>
          <w:sz w:val="24"/>
        </w:rPr>
        <w:t>standards</w:t>
      </w:r>
      <w:r>
        <w:rPr>
          <w:spacing w:val="-4"/>
          <w:sz w:val="24"/>
        </w:rPr>
        <w:t xml:space="preserve"> </w:t>
      </w:r>
      <w:r>
        <w:rPr>
          <w:sz w:val="24"/>
        </w:rPr>
        <w:t>and</w:t>
      </w:r>
      <w:r>
        <w:rPr>
          <w:spacing w:val="-3"/>
          <w:sz w:val="24"/>
        </w:rPr>
        <w:t xml:space="preserve"> </w:t>
      </w:r>
      <w:r>
        <w:rPr>
          <w:sz w:val="24"/>
        </w:rPr>
        <w:t>guidance</w:t>
      </w:r>
      <w:r>
        <w:rPr>
          <w:spacing w:val="-4"/>
          <w:sz w:val="24"/>
        </w:rPr>
        <w:t xml:space="preserve"> </w:t>
      </w:r>
      <w:r>
        <w:rPr>
          <w:sz w:val="24"/>
        </w:rPr>
        <w:t>it</w:t>
      </w:r>
      <w:r>
        <w:rPr>
          <w:spacing w:val="-3"/>
          <w:sz w:val="24"/>
        </w:rPr>
        <w:t xml:space="preserve"> </w:t>
      </w:r>
      <w:r>
        <w:rPr>
          <w:sz w:val="24"/>
        </w:rPr>
        <w:t>develops,</w:t>
      </w:r>
      <w:r>
        <w:rPr>
          <w:spacing w:val="-1"/>
          <w:sz w:val="24"/>
        </w:rPr>
        <w:t xml:space="preserve"> </w:t>
      </w:r>
      <w:r>
        <w:rPr>
          <w:sz w:val="24"/>
        </w:rPr>
        <w:t>issues</w:t>
      </w:r>
      <w:r>
        <w:rPr>
          <w:spacing w:val="-5"/>
          <w:sz w:val="24"/>
        </w:rPr>
        <w:t xml:space="preserve"> </w:t>
      </w:r>
      <w:r>
        <w:rPr>
          <w:sz w:val="24"/>
        </w:rPr>
        <w:t>and</w:t>
      </w:r>
      <w:r>
        <w:rPr>
          <w:spacing w:val="-2"/>
          <w:sz w:val="24"/>
        </w:rPr>
        <w:t xml:space="preserve"> </w:t>
      </w:r>
      <w:r>
        <w:rPr>
          <w:sz w:val="24"/>
        </w:rPr>
        <w:t>maintains</w:t>
      </w:r>
      <w:r>
        <w:rPr>
          <w:spacing w:val="-5"/>
          <w:sz w:val="24"/>
        </w:rPr>
        <w:t xml:space="preserve"> </w:t>
      </w:r>
      <w:r>
        <w:rPr>
          <w:sz w:val="24"/>
        </w:rPr>
        <w:t>are</w:t>
      </w:r>
      <w:r>
        <w:rPr>
          <w:spacing w:val="-3"/>
          <w:sz w:val="24"/>
        </w:rPr>
        <w:t xml:space="preserve"> </w:t>
      </w:r>
      <w:r>
        <w:rPr>
          <w:sz w:val="24"/>
        </w:rPr>
        <w:t>principle-based, meet</w:t>
      </w:r>
      <w:r>
        <w:rPr>
          <w:spacing w:val="-1"/>
          <w:sz w:val="24"/>
        </w:rPr>
        <w:t xml:space="preserve"> </w:t>
      </w:r>
      <w:r>
        <w:rPr>
          <w:sz w:val="24"/>
        </w:rPr>
        <w:t>the</w:t>
      </w:r>
      <w:r>
        <w:rPr>
          <w:spacing w:val="-2"/>
          <w:sz w:val="24"/>
        </w:rPr>
        <w:t xml:space="preserve"> </w:t>
      </w:r>
      <w:r>
        <w:rPr>
          <w:sz w:val="24"/>
        </w:rPr>
        <w:t>needs</w:t>
      </w:r>
      <w:r>
        <w:rPr>
          <w:spacing w:val="-4"/>
          <w:sz w:val="24"/>
        </w:rPr>
        <w:t xml:space="preserve"> </w:t>
      </w:r>
      <w:r>
        <w:rPr>
          <w:sz w:val="24"/>
        </w:rPr>
        <w:t>of external</w:t>
      </w:r>
      <w:r>
        <w:rPr>
          <w:spacing w:val="-5"/>
          <w:sz w:val="24"/>
        </w:rPr>
        <w:t xml:space="preserve"> </w:t>
      </w:r>
      <w:r>
        <w:rPr>
          <w:sz w:val="24"/>
        </w:rPr>
        <w:t>report</w:t>
      </w:r>
      <w:r>
        <w:rPr>
          <w:spacing w:val="-5"/>
          <w:sz w:val="24"/>
        </w:rPr>
        <w:t xml:space="preserve"> </w:t>
      </w:r>
      <w:r>
        <w:rPr>
          <w:sz w:val="24"/>
        </w:rPr>
        <w:t>users</w:t>
      </w:r>
      <w:r>
        <w:rPr>
          <w:spacing w:val="-4"/>
          <w:sz w:val="24"/>
        </w:rPr>
        <w:t xml:space="preserve"> </w:t>
      </w:r>
      <w:r>
        <w:rPr>
          <w:sz w:val="24"/>
        </w:rPr>
        <w:t>and</w:t>
      </w:r>
      <w:r>
        <w:rPr>
          <w:spacing w:val="-2"/>
          <w:sz w:val="24"/>
        </w:rPr>
        <w:t xml:space="preserve"> </w:t>
      </w:r>
      <w:r>
        <w:rPr>
          <w:sz w:val="24"/>
        </w:rPr>
        <w:t>are</w:t>
      </w:r>
      <w:r>
        <w:rPr>
          <w:spacing w:val="-8"/>
          <w:sz w:val="24"/>
        </w:rPr>
        <w:t xml:space="preserve"> </w:t>
      </w:r>
      <w:r>
        <w:rPr>
          <w:sz w:val="24"/>
        </w:rPr>
        <w:t>capable</w:t>
      </w:r>
      <w:r>
        <w:rPr>
          <w:spacing w:val="-2"/>
          <w:sz w:val="24"/>
        </w:rPr>
        <w:t xml:space="preserve"> </w:t>
      </w:r>
      <w:r>
        <w:rPr>
          <w:sz w:val="24"/>
        </w:rPr>
        <w:t>of being</w:t>
      </w:r>
      <w:r>
        <w:rPr>
          <w:spacing w:val="-6"/>
          <w:sz w:val="24"/>
        </w:rPr>
        <w:t xml:space="preserve"> </w:t>
      </w:r>
      <w:r>
        <w:rPr>
          <w:sz w:val="24"/>
        </w:rPr>
        <w:t>assured</w:t>
      </w:r>
      <w:r>
        <w:rPr>
          <w:spacing w:val="-1"/>
          <w:sz w:val="24"/>
        </w:rPr>
        <w:t xml:space="preserve"> </w:t>
      </w:r>
      <w:r>
        <w:rPr>
          <w:sz w:val="24"/>
        </w:rPr>
        <w:t>and</w:t>
      </w:r>
      <w:r>
        <w:rPr>
          <w:spacing w:val="-2"/>
          <w:sz w:val="24"/>
        </w:rPr>
        <w:t xml:space="preserve"> </w:t>
      </w:r>
      <w:r>
        <w:rPr>
          <w:sz w:val="24"/>
        </w:rPr>
        <w:t>enforced.</w:t>
      </w:r>
      <w:r>
        <w:rPr>
          <w:sz w:val="24"/>
          <w:vertAlign w:val="superscript"/>
        </w:rPr>
        <w:t>1</w:t>
      </w:r>
    </w:p>
    <w:p w14:paraId="1E8056EC" w14:textId="77777777" w:rsidR="00AA4A02" w:rsidRDefault="00960F31">
      <w:pPr>
        <w:pStyle w:val="ListParagraph"/>
        <w:numPr>
          <w:ilvl w:val="1"/>
          <w:numId w:val="54"/>
        </w:numPr>
        <w:tabs>
          <w:tab w:val="left" w:pos="852"/>
        </w:tabs>
        <w:spacing w:before="240" w:line="242" w:lineRule="auto"/>
        <w:ind w:right="724"/>
        <w:rPr>
          <w:sz w:val="24"/>
        </w:rPr>
      </w:pPr>
      <w:r>
        <w:rPr>
          <w:color w:val="242424"/>
          <w:sz w:val="24"/>
        </w:rPr>
        <w:t>In</w:t>
      </w:r>
      <w:r>
        <w:rPr>
          <w:color w:val="242424"/>
          <w:spacing w:val="-3"/>
          <w:sz w:val="24"/>
        </w:rPr>
        <w:t xml:space="preserve"> </w:t>
      </w:r>
      <w:r>
        <w:rPr>
          <w:color w:val="242424"/>
          <w:sz w:val="24"/>
        </w:rPr>
        <w:t>accordance</w:t>
      </w:r>
      <w:r>
        <w:rPr>
          <w:color w:val="242424"/>
          <w:spacing w:val="-3"/>
          <w:sz w:val="24"/>
        </w:rPr>
        <w:t xml:space="preserve"> </w:t>
      </w:r>
      <w:r>
        <w:rPr>
          <w:color w:val="242424"/>
          <w:sz w:val="24"/>
        </w:rPr>
        <w:t>with</w:t>
      </w:r>
      <w:r>
        <w:rPr>
          <w:color w:val="242424"/>
          <w:spacing w:val="-2"/>
          <w:sz w:val="24"/>
        </w:rPr>
        <w:t xml:space="preserve"> </w:t>
      </w:r>
      <w:r>
        <w:rPr>
          <w:color w:val="242424"/>
          <w:sz w:val="24"/>
        </w:rPr>
        <w:t>the</w:t>
      </w:r>
      <w:r>
        <w:rPr>
          <w:color w:val="242424"/>
          <w:spacing w:val="-7"/>
          <w:sz w:val="24"/>
        </w:rPr>
        <w:t xml:space="preserve"> </w:t>
      </w:r>
      <w:r>
        <w:rPr>
          <w:color w:val="242424"/>
          <w:sz w:val="24"/>
        </w:rPr>
        <w:t>Financial</w:t>
      </w:r>
      <w:r>
        <w:rPr>
          <w:color w:val="242424"/>
          <w:spacing w:val="-2"/>
          <w:sz w:val="24"/>
        </w:rPr>
        <w:t xml:space="preserve"> </w:t>
      </w:r>
      <w:r>
        <w:rPr>
          <w:color w:val="242424"/>
          <w:sz w:val="24"/>
        </w:rPr>
        <w:t>Reporting</w:t>
      </w:r>
      <w:r>
        <w:rPr>
          <w:color w:val="242424"/>
          <w:spacing w:val="-7"/>
          <w:sz w:val="24"/>
        </w:rPr>
        <w:t xml:space="preserve"> </w:t>
      </w:r>
      <w:r>
        <w:rPr>
          <w:color w:val="242424"/>
          <w:sz w:val="24"/>
        </w:rPr>
        <w:t>Council’s</w:t>
      </w:r>
      <w:r>
        <w:rPr>
          <w:color w:val="242424"/>
          <w:spacing w:val="-5"/>
          <w:sz w:val="24"/>
        </w:rPr>
        <w:t xml:space="preserve"> </w:t>
      </w:r>
      <w:r>
        <w:rPr>
          <w:color w:val="242424"/>
          <w:sz w:val="24"/>
        </w:rPr>
        <w:t>broad</w:t>
      </w:r>
      <w:r>
        <w:rPr>
          <w:color w:val="242424"/>
          <w:spacing w:val="-2"/>
          <w:sz w:val="24"/>
        </w:rPr>
        <w:t xml:space="preserve"> </w:t>
      </w:r>
      <w:r>
        <w:rPr>
          <w:color w:val="242424"/>
          <w:sz w:val="24"/>
        </w:rPr>
        <w:t>strategic</w:t>
      </w:r>
      <w:r>
        <w:rPr>
          <w:color w:val="242424"/>
          <w:spacing w:val="-3"/>
          <w:sz w:val="24"/>
        </w:rPr>
        <w:t xml:space="preserve"> </w:t>
      </w:r>
      <w:r>
        <w:rPr>
          <w:color w:val="242424"/>
          <w:sz w:val="24"/>
        </w:rPr>
        <w:t>directions, the AASB sets standards that:</w:t>
      </w:r>
    </w:p>
    <w:p w14:paraId="1E8056ED" w14:textId="77777777" w:rsidR="00AA4A02" w:rsidRDefault="00960F31">
      <w:pPr>
        <w:pStyle w:val="ListParagraph"/>
        <w:numPr>
          <w:ilvl w:val="2"/>
          <w:numId w:val="54"/>
        </w:numPr>
        <w:tabs>
          <w:tab w:val="left" w:pos="1558"/>
        </w:tabs>
        <w:spacing w:before="235" w:line="242" w:lineRule="auto"/>
        <w:ind w:right="1403"/>
        <w:rPr>
          <w:sz w:val="24"/>
        </w:rPr>
      </w:pPr>
      <w:r>
        <w:rPr>
          <w:sz w:val="24"/>
        </w:rPr>
        <w:t>enable</w:t>
      </w:r>
      <w:r>
        <w:rPr>
          <w:spacing w:val="-5"/>
          <w:sz w:val="24"/>
        </w:rPr>
        <w:t xml:space="preserve"> </w:t>
      </w:r>
      <w:r>
        <w:rPr>
          <w:sz w:val="24"/>
        </w:rPr>
        <w:t>‘publicly</w:t>
      </w:r>
      <w:r>
        <w:rPr>
          <w:spacing w:val="-4"/>
          <w:sz w:val="24"/>
        </w:rPr>
        <w:t xml:space="preserve"> </w:t>
      </w:r>
      <w:r>
        <w:rPr>
          <w:sz w:val="24"/>
        </w:rPr>
        <w:t>accountable’</w:t>
      </w:r>
      <w:r>
        <w:rPr>
          <w:spacing w:val="-3"/>
          <w:sz w:val="24"/>
        </w:rPr>
        <w:t xml:space="preserve"> </w:t>
      </w:r>
      <w:r>
        <w:rPr>
          <w:sz w:val="24"/>
        </w:rPr>
        <w:t>private</w:t>
      </w:r>
      <w:r>
        <w:rPr>
          <w:spacing w:val="-5"/>
          <w:sz w:val="24"/>
        </w:rPr>
        <w:t xml:space="preserve"> </w:t>
      </w:r>
      <w:r>
        <w:rPr>
          <w:sz w:val="24"/>
        </w:rPr>
        <w:t>sector</w:t>
      </w:r>
      <w:r>
        <w:rPr>
          <w:spacing w:val="-3"/>
          <w:sz w:val="24"/>
        </w:rPr>
        <w:t xml:space="preserve"> </w:t>
      </w:r>
      <w:r>
        <w:rPr>
          <w:sz w:val="24"/>
        </w:rPr>
        <w:t>entities</w:t>
      </w:r>
      <w:r>
        <w:rPr>
          <w:spacing w:val="-5"/>
          <w:sz w:val="24"/>
        </w:rPr>
        <w:t xml:space="preserve"> </w:t>
      </w:r>
      <w:r>
        <w:rPr>
          <w:sz w:val="24"/>
        </w:rPr>
        <w:t>to</w:t>
      </w:r>
      <w:r>
        <w:rPr>
          <w:spacing w:val="-5"/>
          <w:sz w:val="24"/>
        </w:rPr>
        <w:t xml:space="preserve"> </w:t>
      </w:r>
      <w:r>
        <w:rPr>
          <w:sz w:val="24"/>
        </w:rPr>
        <w:t>maintain</w:t>
      </w:r>
      <w:r>
        <w:rPr>
          <w:spacing w:val="-8"/>
          <w:sz w:val="24"/>
        </w:rPr>
        <w:t xml:space="preserve"> </w:t>
      </w:r>
      <w:r>
        <w:rPr>
          <w:sz w:val="24"/>
        </w:rPr>
        <w:t>IFRS compliance; and</w:t>
      </w:r>
    </w:p>
    <w:p w14:paraId="1E8056EE" w14:textId="77777777" w:rsidR="00AA4A02" w:rsidRDefault="00960F31">
      <w:pPr>
        <w:pStyle w:val="ListParagraph"/>
        <w:numPr>
          <w:ilvl w:val="2"/>
          <w:numId w:val="54"/>
        </w:numPr>
        <w:tabs>
          <w:tab w:val="left" w:pos="1558"/>
        </w:tabs>
        <w:spacing w:before="235" w:line="242" w:lineRule="auto"/>
        <w:ind w:right="774"/>
        <w:rPr>
          <w:sz w:val="24"/>
        </w:rPr>
      </w:pPr>
      <w:r>
        <w:rPr>
          <w:color w:val="242424"/>
          <w:sz w:val="24"/>
        </w:rPr>
        <w:t>for</w:t>
      </w:r>
      <w:r>
        <w:rPr>
          <w:color w:val="242424"/>
          <w:spacing w:val="-2"/>
          <w:sz w:val="24"/>
        </w:rPr>
        <w:t xml:space="preserve"> </w:t>
      </w:r>
      <w:r>
        <w:rPr>
          <w:color w:val="242424"/>
          <w:sz w:val="24"/>
        </w:rPr>
        <w:t>others,</w:t>
      </w:r>
      <w:r>
        <w:rPr>
          <w:color w:val="242424"/>
          <w:spacing w:val="-1"/>
          <w:sz w:val="24"/>
        </w:rPr>
        <w:t xml:space="preserve"> </w:t>
      </w:r>
      <w:r>
        <w:rPr>
          <w:color w:val="242424"/>
          <w:sz w:val="24"/>
        </w:rPr>
        <w:t>use</w:t>
      </w:r>
      <w:r>
        <w:rPr>
          <w:color w:val="242424"/>
          <w:spacing w:val="-3"/>
          <w:sz w:val="24"/>
        </w:rPr>
        <w:t xml:space="preserve"> </w:t>
      </w:r>
      <w:r>
        <w:rPr>
          <w:color w:val="242424"/>
          <w:sz w:val="24"/>
        </w:rPr>
        <w:t>IFRS</w:t>
      </w:r>
      <w:r>
        <w:rPr>
          <w:color w:val="242424"/>
          <w:spacing w:val="-7"/>
          <w:sz w:val="24"/>
        </w:rPr>
        <w:t xml:space="preserve"> </w:t>
      </w:r>
      <w:r>
        <w:rPr>
          <w:color w:val="242424"/>
          <w:sz w:val="24"/>
        </w:rPr>
        <w:t>Standards</w:t>
      </w:r>
      <w:r>
        <w:rPr>
          <w:color w:val="242424"/>
          <w:spacing w:val="-4"/>
          <w:sz w:val="24"/>
        </w:rPr>
        <w:t xml:space="preserve"> </w:t>
      </w:r>
      <w:r>
        <w:rPr>
          <w:color w:val="242424"/>
          <w:sz w:val="24"/>
        </w:rPr>
        <w:t>(where</w:t>
      </w:r>
      <w:r>
        <w:rPr>
          <w:color w:val="242424"/>
          <w:spacing w:val="-3"/>
          <w:sz w:val="24"/>
        </w:rPr>
        <w:t xml:space="preserve"> </w:t>
      </w:r>
      <w:r>
        <w:rPr>
          <w:color w:val="242424"/>
          <w:sz w:val="24"/>
        </w:rPr>
        <w:t>they</w:t>
      </w:r>
      <w:r>
        <w:rPr>
          <w:color w:val="242424"/>
          <w:spacing w:val="-3"/>
          <w:sz w:val="24"/>
        </w:rPr>
        <w:t xml:space="preserve"> </w:t>
      </w:r>
      <w:r>
        <w:rPr>
          <w:color w:val="242424"/>
          <w:sz w:val="24"/>
        </w:rPr>
        <w:t>exist),</w:t>
      </w:r>
      <w:r>
        <w:rPr>
          <w:color w:val="242424"/>
          <w:spacing w:val="-5"/>
          <w:sz w:val="24"/>
        </w:rPr>
        <w:t xml:space="preserve"> </w:t>
      </w:r>
      <w:r>
        <w:rPr>
          <w:color w:val="242424"/>
          <w:sz w:val="24"/>
        </w:rPr>
        <w:t>and</w:t>
      </w:r>
      <w:r>
        <w:rPr>
          <w:color w:val="242424"/>
          <w:spacing w:val="-3"/>
          <w:sz w:val="24"/>
        </w:rPr>
        <w:t xml:space="preserve"> </w:t>
      </w:r>
      <w:r>
        <w:rPr>
          <w:color w:val="242424"/>
          <w:sz w:val="24"/>
        </w:rPr>
        <w:t>transaction</w:t>
      </w:r>
      <w:r>
        <w:rPr>
          <w:color w:val="242424"/>
          <w:spacing w:val="-3"/>
          <w:sz w:val="24"/>
        </w:rPr>
        <w:t xml:space="preserve"> </w:t>
      </w:r>
      <w:r>
        <w:rPr>
          <w:color w:val="242424"/>
          <w:sz w:val="24"/>
        </w:rPr>
        <w:t xml:space="preserve">neutrality (modified as necessary), or develop Australian-specific standards and </w:t>
      </w:r>
      <w:r>
        <w:rPr>
          <w:color w:val="242424"/>
          <w:spacing w:val="-2"/>
          <w:sz w:val="24"/>
        </w:rPr>
        <w:t>guidance.</w:t>
      </w:r>
    </w:p>
    <w:p w14:paraId="1E8056EF" w14:textId="77777777" w:rsidR="00AA4A02" w:rsidRDefault="00960F31">
      <w:pPr>
        <w:pStyle w:val="ListParagraph"/>
        <w:numPr>
          <w:ilvl w:val="1"/>
          <w:numId w:val="54"/>
        </w:numPr>
        <w:tabs>
          <w:tab w:val="left" w:pos="852"/>
        </w:tabs>
        <w:spacing w:before="230" w:line="242" w:lineRule="auto"/>
        <w:ind w:right="470"/>
        <w:rPr>
          <w:sz w:val="24"/>
        </w:rPr>
      </w:pPr>
      <w:r>
        <w:rPr>
          <w:sz w:val="24"/>
        </w:rPr>
        <w:t>The Due Process Framework covers Australian Standards based on the International Accounting</w:t>
      </w:r>
      <w:r>
        <w:rPr>
          <w:spacing w:val="-3"/>
          <w:sz w:val="24"/>
        </w:rPr>
        <w:t xml:space="preserve"> </w:t>
      </w:r>
      <w:r>
        <w:rPr>
          <w:sz w:val="24"/>
        </w:rPr>
        <w:t>Standards</w:t>
      </w:r>
      <w:r>
        <w:rPr>
          <w:spacing w:val="-5"/>
          <w:sz w:val="24"/>
        </w:rPr>
        <w:t xml:space="preserve"> </w:t>
      </w:r>
      <w:r>
        <w:rPr>
          <w:sz w:val="24"/>
        </w:rPr>
        <w:t>Board</w:t>
      </w:r>
      <w:r>
        <w:rPr>
          <w:spacing w:val="-4"/>
          <w:sz w:val="24"/>
        </w:rPr>
        <w:t xml:space="preserve"> </w:t>
      </w:r>
      <w:r>
        <w:rPr>
          <w:sz w:val="24"/>
        </w:rPr>
        <w:t>(IASB)</w:t>
      </w:r>
      <w:r>
        <w:rPr>
          <w:spacing w:val="-2"/>
          <w:sz w:val="24"/>
        </w:rPr>
        <w:t xml:space="preserve"> </w:t>
      </w:r>
      <w:r>
        <w:rPr>
          <w:sz w:val="24"/>
        </w:rPr>
        <w:t>Standards</w:t>
      </w:r>
      <w:r>
        <w:rPr>
          <w:spacing w:val="-6"/>
          <w:sz w:val="24"/>
        </w:rPr>
        <w:t xml:space="preserve"> </w:t>
      </w:r>
      <w:r>
        <w:rPr>
          <w:sz w:val="24"/>
        </w:rPr>
        <w:t>(IFRS</w:t>
      </w:r>
      <w:r>
        <w:rPr>
          <w:spacing w:val="-3"/>
          <w:sz w:val="24"/>
        </w:rPr>
        <w:t xml:space="preserve"> </w:t>
      </w:r>
      <w:r>
        <w:rPr>
          <w:sz w:val="24"/>
        </w:rPr>
        <w:t>Standards)</w:t>
      </w:r>
      <w:r>
        <w:rPr>
          <w:spacing w:val="-1"/>
          <w:sz w:val="24"/>
        </w:rPr>
        <w:t xml:space="preserve"> </w:t>
      </w:r>
      <w:r>
        <w:rPr>
          <w:sz w:val="24"/>
        </w:rPr>
        <w:t>and</w:t>
      </w:r>
      <w:r>
        <w:rPr>
          <w:spacing w:val="-4"/>
          <w:sz w:val="24"/>
        </w:rPr>
        <w:t xml:space="preserve"> </w:t>
      </w:r>
      <w:r>
        <w:rPr>
          <w:sz w:val="24"/>
        </w:rPr>
        <w:t>those</w:t>
      </w:r>
      <w:r>
        <w:rPr>
          <w:spacing w:val="-5"/>
          <w:sz w:val="24"/>
        </w:rPr>
        <w:t xml:space="preserve"> </w:t>
      </w:r>
      <w:r>
        <w:rPr>
          <w:sz w:val="24"/>
        </w:rPr>
        <w:t xml:space="preserve">developed </w:t>
      </w:r>
      <w:r>
        <w:rPr>
          <w:spacing w:val="-2"/>
          <w:sz w:val="24"/>
        </w:rPr>
        <w:t>domestically.</w:t>
      </w:r>
    </w:p>
    <w:p w14:paraId="1E8056F0" w14:textId="77777777" w:rsidR="00AA4A02" w:rsidRDefault="00960F31">
      <w:pPr>
        <w:pStyle w:val="ListParagraph"/>
        <w:numPr>
          <w:ilvl w:val="1"/>
          <w:numId w:val="54"/>
        </w:numPr>
        <w:tabs>
          <w:tab w:val="left" w:pos="852"/>
        </w:tabs>
        <w:spacing w:before="234"/>
        <w:ind w:right="469"/>
        <w:rPr>
          <w:sz w:val="24"/>
        </w:rPr>
      </w:pPr>
      <w:r>
        <w:rPr>
          <w:sz w:val="24"/>
        </w:rPr>
        <w:t xml:space="preserve">The AASB Due Process Framework operates in conjunction with the </w:t>
      </w:r>
      <w:r>
        <w:rPr>
          <w:i/>
          <w:sz w:val="24"/>
        </w:rPr>
        <w:t xml:space="preserve">AASB and AUASB Board Charter </w:t>
      </w:r>
      <w:r>
        <w:rPr>
          <w:sz w:val="24"/>
        </w:rPr>
        <w:t>(Charter),</w:t>
      </w:r>
      <w:r>
        <w:rPr>
          <w:sz w:val="24"/>
          <w:vertAlign w:val="superscript"/>
        </w:rPr>
        <w:t>2</w:t>
      </w:r>
      <w:r>
        <w:rPr>
          <w:sz w:val="24"/>
        </w:rPr>
        <w:t xml:space="preserve"> </w:t>
      </w:r>
      <w:r>
        <w:rPr>
          <w:i/>
          <w:sz w:val="24"/>
        </w:rPr>
        <w:t>The AASB’s For-Profit Entity Standard-Setting Framework</w:t>
      </w:r>
      <w:r>
        <w:rPr>
          <w:sz w:val="24"/>
          <w:vertAlign w:val="superscript"/>
        </w:rPr>
        <w:t>3</w:t>
      </w:r>
      <w:r>
        <w:rPr>
          <w:spacing w:val="-1"/>
          <w:sz w:val="24"/>
        </w:rPr>
        <w:t xml:space="preserve"> </w:t>
      </w:r>
      <w:r>
        <w:rPr>
          <w:sz w:val="24"/>
        </w:rPr>
        <w:t>and</w:t>
      </w:r>
      <w:r>
        <w:rPr>
          <w:spacing w:val="-3"/>
          <w:sz w:val="24"/>
        </w:rPr>
        <w:t xml:space="preserve"> </w:t>
      </w:r>
      <w:r>
        <w:rPr>
          <w:i/>
          <w:sz w:val="24"/>
        </w:rPr>
        <w:t>The</w:t>
      </w:r>
      <w:r>
        <w:rPr>
          <w:i/>
          <w:spacing w:val="-7"/>
          <w:sz w:val="24"/>
        </w:rPr>
        <w:t xml:space="preserve"> </w:t>
      </w:r>
      <w:r>
        <w:rPr>
          <w:i/>
          <w:sz w:val="24"/>
        </w:rPr>
        <w:t>AASB’s</w:t>
      </w:r>
      <w:r>
        <w:rPr>
          <w:i/>
          <w:spacing w:val="-5"/>
          <w:sz w:val="24"/>
        </w:rPr>
        <w:t xml:space="preserve"> </w:t>
      </w:r>
      <w:r>
        <w:rPr>
          <w:i/>
          <w:sz w:val="24"/>
        </w:rPr>
        <w:t>Not-for-Profit</w:t>
      </w:r>
      <w:r>
        <w:rPr>
          <w:i/>
          <w:spacing w:val="-6"/>
          <w:sz w:val="24"/>
        </w:rPr>
        <w:t xml:space="preserve"> </w:t>
      </w:r>
      <w:r>
        <w:rPr>
          <w:i/>
          <w:sz w:val="24"/>
        </w:rPr>
        <w:t>Entity</w:t>
      </w:r>
      <w:r>
        <w:rPr>
          <w:i/>
          <w:spacing w:val="-7"/>
          <w:sz w:val="24"/>
        </w:rPr>
        <w:t xml:space="preserve"> </w:t>
      </w:r>
      <w:r>
        <w:rPr>
          <w:i/>
          <w:sz w:val="24"/>
        </w:rPr>
        <w:t>Standard-Setting</w:t>
      </w:r>
      <w:r>
        <w:rPr>
          <w:i/>
          <w:spacing w:val="-2"/>
          <w:sz w:val="24"/>
        </w:rPr>
        <w:t xml:space="preserve"> </w:t>
      </w:r>
      <w:r>
        <w:rPr>
          <w:i/>
          <w:sz w:val="24"/>
        </w:rPr>
        <w:t>Framework</w:t>
      </w:r>
      <w:r>
        <w:rPr>
          <w:sz w:val="24"/>
        </w:rPr>
        <w:t>.</w:t>
      </w:r>
      <w:r>
        <w:rPr>
          <w:sz w:val="24"/>
          <w:vertAlign w:val="superscript"/>
        </w:rPr>
        <w:t>4</w:t>
      </w:r>
      <w:r>
        <w:rPr>
          <w:spacing w:val="-1"/>
          <w:sz w:val="24"/>
        </w:rPr>
        <w:t xml:space="preserve"> </w:t>
      </w:r>
      <w:r>
        <w:rPr>
          <w:sz w:val="24"/>
        </w:rPr>
        <w:t>The Standard-Setting Frameworks set out the principles to determine the content of standards, and the Due Process Framework sets out principles for how the standards are set.</w:t>
      </w:r>
    </w:p>
    <w:p w14:paraId="1E8056F1" w14:textId="77777777" w:rsidR="00AA4A02" w:rsidRDefault="00960F31">
      <w:pPr>
        <w:pStyle w:val="ListParagraph"/>
        <w:numPr>
          <w:ilvl w:val="1"/>
          <w:numId w:val="54"/>
        </w:numPr>
        <w:tabs>
          <w:tab w:val="left" w:pos="852"/>
        </w:tabs>
        <w:spacing w:before="241" w:line="242" w:lineRule="auto"/>
        <w:ind w:right="561"/>
        <w:rPr>
          <w:sz w:val="24"/>
        </w:rPr>
      </w:pPr>
      <w:r>
        <w:rPr>
          <w:sz w:val="24"/>
        </w:rPr>
        <w:t>The</w:t>
      </w:r>
      <w:r>
        <w:rPr>
          <w:spacing w:val="-3"/>
          <w:sz w:val="24"/>
        </w:rPr>
        <w:t xml:space="preserve"> </w:t>
      </w:r>
      <w:r>
        <w:rPr>
          <w:sz w:val="24"/>
        </w:rPr>
        <w:t>Due</w:t>
      </w:r>
      <w:r>
        <w:rPr>
          <w:spacing w:val="-3"/>
          <w:sz w:val="24"/>
        </w:rPr>
        <w:t xml:space="preserve"> </w:t>
      </w:r>
      <w:r>
        <w:rPr>
          <w:sz w:val="24"/>
        </w:rPr>
        <w:t>Process</w:t>
      </w:r>
      <w:r>
        <w:rPr>
          <w:spacing w:val="-4"/>
          <w:sz w:val="24"/>
        </w:rPr>
        <w:t xml:space="preserve"> </w:t>
      </w:r>
      <w:r>
        <w:rPr>
          <w:sz w:val="24"/>
        </w:rPr>
        <w:t>Framework</w:t>
      </w:r>
      <w:r>
        <w:rPr>
          <w:spacing w:val="-1"/>
          <w:sz w:val="24"/>
        </w:rPr>
        <w:t xml:space="preserve"> </w:t>
      </w:r>
      <w:r>
        <w:rPr>
          <w:sz w:val="24"/>
        </w:rPr>
        <w:t>is</w:t>
      </w:r>
      <w:r>
        <w:rPr>
          <w:spacing w:val="-4"/>
          <w:sz w:val="24"/>
        </w:rPr>
        <w:t xml:space="preserve"> </w:t>
      </w:r>
      <w:r>
        <w:rPr>
          <w:sz w:val="24"/>
        </w:rPr>
        <w:t>depicted</w:t>
      </w:r>
      <w:r>
        <w:rPr>
          <w:spacing w:val="-2"/>
          <w:sz w:val="24"/>
        </w:rPr>
        <w:t xml:space="preserve"> </w:t>
      </w:r>
      <w:r>
        <w:rPr>
          <w:sz w:val="24"/>
        </w:rPr>
        <w:t>below</w:t>
      </w:r>
      <w:r>
        <w:rPr>
          <w:spacing w:val="-2"/>
          <w:sz w:val="24"/>
        </w:rPr>
        <w:t xml:space="preserve"> </w:t>
      </w:r>
      <w:r>
        <w:rPr>
          <w:sz w:val="24"/>
        </w:rPr>
        <w:t>and</w:t>
      </w:r>
      <w:r>
        <w:rPr>
          <w:spacing w:val="-2"/>
          <w:sz w:val="24"/>
        </w:rPr>
        <w:t xml:space="preserve"> </w:t>
      </w:r>
      <w:r>
        <w:rPr>
          <w:sz w:val="24"/>
        </w:rPr>
        <w:t>follows</w:t>
      </w:r>
      <w:r>
        <w:rPr>
          <w:spacing w:val="-4"/>
          <w:sz w:val="24"/>
        </w:rPr>
        <w:t xml:space="preserve"> </w:t>
      </w:r>
      <w:r>
        <w:rPr>
          <w:sz w:val="24"/>
        </w:rPr>
        <w:t>the</w:t>
      </w:r>
      <w:r>
        <w:rPr>
          <w:spacing w:val="-2"/>
          <w:sz w:val="24"/>
        </w:rPr>
        <w:t xml:space="preserve"> </w:t>
      </w:r>
      <w:r>
        <w:rPr>
          <w:sz w:val="24"/>
        </w:rPr>
        <w:t>principles</w:t>
      </w:r>
      <w:r>
        <w:rPr>
          <w:spacing w:val="-4"/>
          <w:sz w:val="24"/>
        </w:rPr>
        <w:t xml:space="preserve"> </w:t>
      </w:r>
      <w:r>
        <w:rPr>
          <w:sz w:val="24"/>
        </w:rPr>
        <w:t>of</w:t>
      </w:r>
      <w:r>
        <w:rPr>
          <w:spacing w:val="-5"/>
          <w:sz w:val="24"/>
        </w:rPr>
        <w:t xml:space="preserve"> </w:t>
      </w:r>
      <w:r>
        <w:rPr>
          <w:sz w:val="24"/>
        </w:rPr>
        <w:t>strategic international influence, transparency, appropriate consultation and accountability.</w:t>
      </w:r>
    </w:p>
    <w:p w14:paraId="1E8056F2" w14:textId="77777777" w:rsidR="00AA4A02" w:rsidRDefault="00AA4A02">
      <w:pPr>
        <w:pStyle w:val="BodyText"/>
        <w:rPr>
          <w:sz w:val="20"/>
        </w:rPr>
      </w:pPr>
    </w:p>
    <w:p w14:paraId="1E8056F3" w14:textId="77777777" w:rsidR="00AA4A02" w:rsidRDefault="00AA4A02">
      <w:pPr>
        <w:pStyle w:val="BodyText"/>
        <w:rPr>
          <w:sz w:val="20"/>
        </w:rPr>
      </w:pPr>
    </w:p>
    <w:p w14:paraId="1E8056F4" w14:textId="77777777" w:rsidR="00AA4A02" w:rsidRDefault="00AA4A02">
      <w:pPr>
        <w:pStyle w:val="BodyText"/>
        <w:rPr>
          <w:sz w:val="20"/>
        </w:rPr>
      </w:pPr>
    </w:p>
    <w:p w14:paraId="1E8056F5" w14:textId="77777777" w:rsidR="00AA4A02" w:rsidRDefault="00AA4A02">
      <w:pPr>
        <w:pStyle w:val="BodyText"/>
        <w:rPr>
          <w:sz w:val="20"/>
        </w:rPr>
      </w:pPr>
    </w:p>
    <w:p w14:paraId="1E8056F6" w14:textId="77777777" w:rsidR="00AA4A02" w:rsidRDefault="00AA4A02">
      <w:pPr>
        <w:pStyle w:val="BodyText"/>
        <w:rPr>
          <w:sz w:val="20"/>
        </w:rPr>
      </w:pPr>
    </w:p>
    <w:p w14:paraId="1E8056F7" w14:textId="77777777" w:rsidR="00AA4A02" w:rsidRDefault="00AA4A02">
      <w:pPr>
        <w:pStyle w:val="BodyText"/>
        <w:rPr>
          <w:sz w:val="20"/>
        </w:rPr>
      </w:pPr>
    </w:p>
    <w:p w14:paraId="1E8056F8" w14:textId="77777777" w:rsidR="00AA4A02" w:rsidRDefault="00AA4A02">
      <w:pPr>
        <w:pStyle w:val="BodyText"/>
        <w:rPr>
          <w:sz w:val="20"/>
        </w:rPr>
      </w:pPr>
    </w:p>
    <w:p w14:paraId="1E8056F9" w14:textId="77777777" w:rsidR="00AA4A02" w:rsidRDefault="00AA4A02">
      <w:pPr>
        <w:pStyle w:val="BodyText"/>
        <w:rPr>
          <w:sz w:val="20"/>
        </w:rPr>
      </w:pPr>
    </w:p>
    <w:p w14:paraId="1E8056FA" w14:textId="77777777" w:rsidR="00AA4A02" w:rsidRDefault="00AA4A02">
      <w:pPr>
        <w:pStyle w:val="BodyText"/>
        <w:rPr>
          <w:sz w:val="20"/>
        </w:rPr>
      </w:pPr>
    </w:p>
    <w:p w14:paraId="1E8056FB" w14:textId="77777777" w:rsidR="00AA4A02" w:rsidRDefault="00AA4A02">
      <w:pPr>
        <w:pStyle w:val="BodyText"/>
        <w:rPr>
          <w:sz w:val="20"/>
        </w:rPr>
      </w:pPr>
    </w:p>
    <w:p w14:paraId="1E8056FC" w14:textId="77777777" w:rsidR="00AA4A02" w:rsidRDefault="00AA4A02">
      <w:pPr>
        <w:pStyle w:val="BodyText"/>
        <w:rPr>
          <w:sz w:val="20"/>
        </w:rPr>
      </w:pPr>
    </w:p>
    <w:p w14:paraId="1E8056FD" w14:textId="77777777" w:rsidR="00AA4A02" w:rsidRDefault="00AA4A02">
      <w:pPr>
        <w:pStyle w:val="BodyText"/>
        <w:rPr>
          <w:sz w:val="20"/>
        </w:rPr>
      </w:pPr>
    </w:p>
    <w:p w14:paraId="1E8056FE" w14:textId="77777777" w:rsidR="00AA4A02" w:rsidRDefault="00AA4A02">
      <w:pPr>
        <w:pStyle w:val="BodyText"/>
        <w:rPr>
          <w:sz w:val="20"/>
        </w:rPr>
      </w:pPr>
    </w:p>
    <w:p w14:paraId="1E8056FF" w14:textId="77777777" w:rsidR="00AA4A02" w:rsidRDefault="00AA4A02">
      <w:pPr>
        <w:pStyle w:val="BodyText"/>
        <w:rPr>
          <w:sz w:val="20"/>
        </w:rPr>
      </w:pPr>
    </w:p>
    <w:p w14:paraId="1E805700" w14:textId="77777777" w:rsidR="00AA4A02" w:rsidRDefault="00AA4A02">
      <w:pPr>
        <w:pStyle w:val="BodyText"/>
        <w:rPr>
          <w:sz w:val="20"/>
        </w:rPr>
      </w:pPr>
    </w:p>
    <w:p w14:paraId="1E805701" w14:textId="77777777" w:rsidR="00AA4A02" w:rsidRDefault="00AA4A02">
      <w:pPr>
        <w:pStyle w:val="BodyText"/>
        <w:rPr>
          <w:sz w:val="20"/>
        </w:rPr>
      </w:pPr>
    </w:p>
    <w:p w14:paraId="1E805702" w14:textId="77777777" w:rsidR="00AA4A02" w:rsidRDefault="00AA4A02">
      <w:pPr>
        <w:pStyle w:val="BodyText"/>
        <w:rPr>
          <w:sz w:val="20"/>
        </w:rPr>
      </w:pPr>
    </w:p>
    <w:p w14:paraId="1E805703" w14:textId="77777777" w:rsidR="00AA4A02" w:rsidRDefault="00AA4A02">
      <w:pPr>
        <w:pStyle w:val="BodyText"/>
        <w:rPr>
          <w:sz w:val="20"/>
        </w:rPr>
      </w:pPr>
    </w:p>
    <w:p w14:paraId="1E805704" w14:textId="77777777" w:rsidR="00AA4A02" w:rsidRDefault="00960F31">
      <w:pPr>
        <w:pStyle w:val="BodyText"/>
        <w:spacing w:before="180"/>
        <w:rPr>
          <w:sz w:val="20"/>
        </w:rPr>
      </w:pPr>
      <w:r>
        <w:rPr>
          <w:noProof/>
          <w:sz w:val="20"/>
        </w:rPr>
        <mc:AlternateContent>
          <mc:Choice Requires="wps">
            <w:drawing>
              <wp:anchor distT="0" distB="0" distL="0" distR="0" simplePos="0" relativeHeight="487591424" behindDoc="1" locked="0" layoutInCell="1" allowOverlap="1" wp14:anchorId="1E805F1F" wp14:editId="1E805F20">
                <wp:simplePos x="0" y="0"/>
                <wp:positionH relativeFrom="page">
                  <wp:posOffset>899464</wp:posOffset>
                </wp:positionH>
                <wp:positionV relativeFrom="paragraph">
                  <wp:posOffset>275745</wp:posOffset>
                </wp:positionV>
                <wp:extent cx="183007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93064" id="Graphic 25" o:spid="_x0000_s1026" style="position:absolute;margin-left:70.8pt;margin-top:21.7pt;width:144.1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" path="m1829689,l,,,6095r1829689,l1829689,xe" fillcolor="black" stroked="f">
                <v:path arrowok="t"/>
                <w10:wrap type="topAndBottom" anchorx="page"/>
              </v:shape>
            </w:pict>
          </mc:Fallback>
        </mc:AlternateContent>
      </w:r>
    </w:p>
    <w:p w14:paraId="1E805705" w14:textId="77777777" w:rsidR="00AA4A02" w:rsidRDefault="00960F31">
      <w:pPr>
        <w:pStyle w:val="ListParagraph"/>
        <w:numPr>
          <w:ilvl w:val="0"/>
          <w:numId w:val="53"/>
        </w:numPr>
        <w:tabs>
          <w:tab w:val="left" w:pos="482"/>
        </w:tabs>
        <w:spacing w:before="106"/>
        <w:ind w:hanging="341"/>
        <w:rPr>
          <w:sz w:val="20"/>
        </w:rPr>
      </w:pPr>
      <w:r>
        <w:rPr>
          <w:sz w:val="20"/>
        </w:rPr>
        <w:t>See</w:t>
      </w:r>
      <w:r>
        <w:rPr>
          <w:spacing w:val="-7"/>
          <w:sz w:val="20"/>
        </w:rPr>
        <w:t xml:space="preserve"> </w:t>
      </w:r>
      <w:r>
        <w:rPr>
          <w:sz w:val="20"/>
        </w:rPr>
        <w:t>the</w:t>
      </w:r>
      <w:r>
        <w:rPr>
          <w:spacing w:val="-3"/>
          <w:sz w:val="20"/>
        </w:rPr>
        <w:t xml:space="preserve"> </w:t>
      </w:r>
      <w:hyperlink r:id="rId31">
        <w:r>
          <w:rPr>
            <w:sz w:val="20"/>
            <w:u w:val="single"/>
          </w:rPr>
          <w:t>AASB</w:t>
        </w:r>
        <w:r>
          <w:rPr>
            <w:spacing w:val="-7"/>
            <w:sz w:val="20"/>
            <w:u w:val="single"/>
          </w:rPr>
          <w:t xml:space="preserve"> </w:t>
        </w:r>
        <w:r>
          <w:rPr>
            <w:sz w:val="20"/>
            <w:u w:val="single"/>
          </w:rPr>
          <w:t>and</w:t>
        </w:r>
        <w:r>
          <w:rPr>
            <w:spacing w:val="-8"/>
            <w:sz w:val="20"/>
            <w:u w:val="single"/>
          </w:rPr>
          <w:t xml:space="preserve"> </w:t>
        </w:r>
        <w:r>
          <w:rPr>
            <w:sz w:val="20"/>
            <w:u w:val="single"/>
          </w:rPr>
          <w:t>AUASB</w:t>
        </w:r>
        <w:r>
          <w:rPr>
            <w:spacing w:val="-3"/>
            <w:sz w:val="20"/>
            <w:u w:val="single"/>
          </w:rPr>
          <w:t xml:space="preserve"> </w:t>
        </w:r>
        <w:r>
          <w:rPr>
            <w:sz w:val="20"/>
            <w:u w:val="single"/>
          </w:rPr>
          <w:t>Strategy</w:t>
        </w:r>
        <w:r>
          <w:rPr>
            <w:spacing w:val="-3"/>
            <w:sz w:val="20"/>
            <w:u w:val="single"/>
          </w:rPr>
          <w:t xml:space="preserve"> </w:t>
        </w:r>
        <w:r>
          <w:rPr>
            <w:sz w:val="20"/>
            <w:u w:val="single"/>
          </w:rPr>
          <w:t>2017-</w:t>
        </w:r>
        <w:r>
          <w:rPr>
            <w:spacing w:val="-4"/>
            <w:sz w:val="20"/>
            <w:u w:val="single"/>
          </w:rPr>
          <w:t>2021</w:t>
        </w:r>
        <w:r>
          <w:rPr>
            <w:spacing w:val="-4"/>
            <w:sz w:val="20"/>
          </w:rPr>
          <w:t>.</w:t>
        </w:r>
      </w:hyperlink>
    </w:p>
    <w:p w14:paraId="1E805706" w14:textId="77777777" w:rsidR="00AA4A02" w:rsidRDefault="00960F31">
      <w:pPr>
        <w:pStyle w:val="ListParagraph"/>
        <w:numPr>
          <w:ilvl w:val="0"/>
          <w:numId w:val="53"/>
        </w:numPr>
        <w:tabs>
          <w:tab w:val="left" w:pos="482"/>
        </w:tabs>
        <w:spacing w:before="0"/>
        <w:ind w:hanging="341"/>
        <w:rPr>
          <w:sz w:val="20"/>
        </w:rPr>
      </w:pPr>
      <w:r>
        <w:rPr>
          <w:sz w:val="20"/>
        </w:rPr>
        <w:t>See</w:t>
      </w:r>
      <w:r>
        <w:rPr>
          <w:spacing w:val="-4"/>
          <w:sz w:val="20"/>
        </w:rPr>
        <w:t xml:space="preserve"> </w:t>
      </w:r>
      <w:r>
        <w:rPr>
          <w:sz w:val="20"/>
        </w:rPr>
        <w:t>the</w:t>
      </w:r>
      <w:r>
        <w:rPr>
          <w:spacing w:val="-3"/>
          <w:sz w:val="20"/>
        </w:rPr>
        <w:t xml:space="preserve"> </w:t>
      </w:r>
      <w:r>
        <w:rPr>
          <w:i/>
          <w:sz w:val="20"/>
        </w:rPr>
        <w:t>AASB</w:t>
      </w:r>
      <w:r>
        <w:rPr>
          <w:i/>
          <w:spacing w:val="-3"/>
          <w:sz w:val="20"/>
        </w:rPr>
        <w:t xml:space="preserve"> </w:t>
      </w:r>
      <w:r>
        <w:rPr>
          <w:i/>
          <w:sz w:val="20"/>
        </w:rPr>
        <w:t>and</w:t>
      </w:r>
      <w:r>
        <w:rPr>
          <w:i/>
          <w:spacing w:val="-4"/>
          <w:sz w:val="20"/>
        </w:rPr>
        <w:t xml:space="preserve"> </w:t>
      </w:r>
      <w:r>
        <w:rPr>
          <w:i/>
          <w:sz w:val="20"/>
        </w:rPr>
        <w:t>AUASB</w:t>
      </w:r>
      <w:r>
        <w:rPr>
          <w:i/>
          <w:spacing w:val="-7"/>
          <w:sz w:val="20"/>
        </w:rPr>
        <w:t xml:space="preserve"> </w:t>
      </w:r>
      <w:r>
        <w:rPr>
          <w:i/>
          <w:sz w:val="20"/>
        </w:rPr>
        <w:t>Board</w:t>
      </w:r>
      <w:r>
        <w:rPr>
          <w:i/>
          <w:spacing w:val="-4"/>
          <w:sz w:val="20"/>
        </w:rPr>
        <w:t xml:space="preserve"> </w:t>
      </w:r>
      <w:r>
        <w:rPr>
          <w:i/>
          <w:spacing w:val="-2"/>
          <w:sz w:val="20"/>
        </w:rPr>
        <w:t>Charter</w:t>
      </w:r>
      <w:r>
        <w:rPr>
          <w:spacing w:val="-2"/>
          <w:sz w:val="20"/>
        </w:rPr>
        <w:t>.</w:t>
      </w:r>
    </w:p>
    <w:p w14:paraId="1E805707" w14:textId="77777777" w:rsidR="00AA4A02" w:rsidRDefault="00960F31">
      <w:pPr>
        <w:pStyle w:val="ListParagraph"/>
        <w:numPr>
          <w:ilvl w:val="0"/>
          <w:numId w:val="53"/>
        </w:numPr>
        <w:tabs>
          <w:tab w:val="left" w:pos="482"/>
        </w:tabs>
        <w:spacing w:before="1"/>
        <w:ind w:hanging="341"/>
        <w:rPr>
          <w:sz w:val="20"/>
        </w:rPr>
      </w:pPr>
      <w:r>
        <w:rPr>
          <w:sz w:val="20"/>
        </w:rPr>
        <w:t>See</w:t>
      </w:r>
      <w:r>
        <w:rPr>
          <w:spacing w:val="-4"/>
          <w:sz w:val="20"/>
        </w:rPr>
        <w:t xml:space="preserve"> </w:t>
      </w:r>
      <w:hyperlink r:id="rId32">
        <w:r>
          <w:rPr>
            <w:i/>
            <w:sz w:val="20"/>
            <w:u w:val="single"/>
          </w:rPr>
          <w:t>The</w:t>
        </w:r>
        <w:r>
          <w:rPr>
            <w:i/>
            <w:spacing w:val="-9"/>
            <w:sz w:val="20"/>
            <w:u w:val="single"/>
          </w:rPr>
          <w:t xml:space="preserve"> </w:t>
        </w:r>
        <w:r>
          <w:rPr>
            <w:i/>
            <w:sz w:val="20"/>
            <w:u w:val="single"/>
          </w:rPr>
          <w:t>AASB’s</w:t>
        </w:r>
        <w:r>
          <w:rPr>
            <w:i/>
            <w:spacing w:val="-10"/>
            <w:sz w:val="20"/>
            <w:u w:val="single"/>
          </w:rPr>
          <w:t xml:space="preserve"> </w:t>
        </w:r>
        <w:r>
          <w:rPr>
            <w:i/>
            <w:sz w:val="20"/>
            <w:u w:val="single"/>
          </w:rPr>
          <w:t>For-Profit</w:t>
        </w:r>
        <w:r>
          <w:rPr>
            <w:i/>
            <w:spacing w:val="-7"/>
            <w:sz w:val="20"/>
            <w:u w:val="single"/>
          </w:rPr>
          <w:t xml:space="preserve"> </w:t>
        </w:r>
        <w:r>
          <w:rPr>
            <w:i/>
            <w:sz w:val="20"/>
            <w:u w:val="single"/>
          </w:rPr>
          <w:t>Entity</w:t>
        </w:r>
        <w:r>
          <w:rPr>
            <w:i/>
            <w:spacing w:val="-7"/>
            <w:sz w:val="20"/>
            <w:u w:val="single"/>
          </w:rPr>
          <w:t xml:space="preserve"> </w:t>
        </w:r>
        <w:r>
          <w:rPr>
            <w:i/>
            <w:sz w:val="20"/>
            <w:u w:val="single"/>
          </w:rPr>
          <w:t>Standard-Setting</w:t>
        </w:r>
        <w:r>
          <w:rPr>
            <w:i/>
            <w:spacing w:val="-9"/>
            <w:sz w:val="20"/>
            <w:u w:val="single"/>
          </w:rPr>
          <w:t xml:space="preserve"> </w:t>
        </w:r>
        <w:r>
          <w:rPr>
            <w:i/>
            <w:spacing w:val="-2"/>
            <w:sz w:val="20"/>
            <w:u w:val="single"/>
          </w:rPr>
          <w:t>Framework</w:t>
        </w:r>
        <w:r>
          <w:rPr>
            <w:spacing w:val="-2"/>
            <w:sz w:val="20"/>
          </w:rPr>
          <w:t>.</w:t>
        </w:r>
      </w:hyperlink>
    </w:p>
    <w:p w14:paraId="1E805708" w14:textId="77777777" w:rsidR="00AA4A02" w:rsidRDefault="00960F31">
      <w:pPr>
        <w:pStyle w:val="ListParagraph"/>
        <w:numPr>
          <w:ilvl w:val="0"/>
          <w:numId w:val="53"/>
        </w:numPr>
        <w:tabs>
          <w:tab w:val="left" w:pos="482"/>
        </w:tabs>
        <w:spacing w:before="0"/>
        <w:ind w:hanging="341"/>
        <w:rPr>
          <w:sz w:val="20"/>
        </w:rPr>
      </w:pPr>
      <w:r>
        <w:rPr>
          <w:sz w:val="20"/>
        </w:rPr>
        <w:t>See</w:t>
      </w:r>
      <w:r>
        <w:rPr>
          <w:spacing w:val="-5"/>
          <w:sz w:val="20"/>
        </w:rPr>
        <w:t xml:space="preserve"> </w:t>
      </w:r>
      <w:hyperlink r:id="rId33">
        <w:r>
          <w:rPr>
            <w:i/>
            <w:sz w:val="20"/>
            <w:u w:val="single"/>
          </w:rPr>
          <w:t>The</w:t>
        </w:r>
        <w:r>
          <w:rPr>
            <w:i/>
            <w:spacing w:val="-8"/>
            <w:sz w:val="20"/>
            <w:u w:val="single"/>
          </w:rPr>
          <w:t xml:space="preserve"> </w:t>
        </w:r>
        <w:r>
          <w:rPr>
            <w:i/>
            <w:sz w:val="20"/>
            <w:u w:val="single"/>
          </w:rPr>
          <w:t>AASB’s</w:t>
        </w:r>
        <w:r>
          <w:rPr>
            <w:i/>
            <w:spacing w:val="-10"/>
            <w:sz w:val="20"/>
            <w:u w:val="single"/>
          </w:rPr>
          <w:t xml:space="preserve"> </w:t>
        </w:r>
        <w:r>
          <w:rPr>
            <w:i/>
            <w:sz w:val="20"/>
            <w:u w:val="single"/>
          </w:rPr>
          <w:t>Not-for-Profit</w:t>
        </w:r>
        <w:r>
          <w:rPr>
            <w:i/>
            <w:spacing w:val="-8"/>
            <w:sz w:val="20"/>
            <w:u w:val="single"/>
          </w:rPr>
          <w:t xml:space="preserve"> </w:t>
        </w:r>
        <w:r>
          <w:rPr>
            <w:i/>
            <w:sz w:val="20"/>
            <w:u w:val="single"/>
          </w:rPr>
          <w:t>Entity</w:t>
        </w:r>
        <w:r>
          <w:rPr>
            <w:i/>
            <w:spacing w:val="-7"/>
            <w:sz w:val="20"/>
            <w:u w:val="single"/>
          </w:rPr>
          <w:t xml:space="preserve"> </w:t>
        </w:r>
        <w:r>
          <w:rPr>
            <w:i/>
            <w:sz w:val="20"/>
            <w:u w:val="single"/>
          </w:rPr>
          <w:t>Standard-Setting</w:t>
        </w:r>
        <w:r>
          <w:rPr>
            <w:i/>
            <w:spacing w:val="-12"/>
            <w:sz w:val="20"/>
            <w:u w:val="single"/>
          </w:rPr>
          <w:t xml:space="preserve"> </w:t>
        </w:r>
        <w:r>
          <w:rPr>
            <w:i/>
            <w:spacing w:val="-2"/>
            <w:sz w:val="20"/>
            <w:u w:val="single"/>
          </w:rPr>
          <w:t>Framework</w:t>
        </w:r>
        <w:r>
          <w:rPr>
            <w:spacing w:val="-2"/>
            <w:sz w:val="20"/>
          </w:rPr>
          <w:t>.</w:t>
        </w:r>
      </w:hyperlink>
    </w:p>
    <w:p w14:paraId="1E805709"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0A" w14:textId="77777777" w:rsidR="00AA4A02" w:rsidRDefault="00AA4A02">
      <w:pPr>
        <w:pStyle w:val="BodyText"/>
        <w:spacing w:before="11"/>
        <w:rPr>
          <w:sz w:val="18"/>
        </w:rPr>
      </w:pPr>
    </w:p>
    <w:p w14:paraId="1E80570B" w14:textId="77777777" w:rsidR="00AA4A02" w:rsidRDefault="00960F31">
      <w:pPr>
        <w:ind w:left="852"/>
        <w:rPr>
          <w:sz w:val="20"/>
        </w:rPr>
      </w:pPr>
      <w:r>
        <w:rPr>
          <w:noProof/>
          <w:sz w:val="20"/>
        </w:rPr>
        <w:drawing>
          <wp:inline distT="0" distB="0" distL="0" distR="0" wp14:anchorId="1E805F21" wp14:editId="1E805F22">
            <wp:extent cx="5040220" cy="4015644"/>
            <wp:effectExtent l="0" t="0" r="0" b="0"/>
            <wp:docPr id="26" name="Image 26" descr="AASB Due Process Framework for setting stand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ASB Due Process Framework for setting standards"/>
                    <pic:cNvPicPr/>
                  </pic:nvPicPr>
                  <pic:blipFill>
                    <a:blip r:embed="rId34" cstate="print"/>
                    <a:stretch>
                      <a:fillRect/>
                    </a:stretch>
                  </pic:blipFill>
                  <pic:spPr>
                    <a:xfrm>
                      <a:off x="0" y="0"/>
                      <a:ext cx="5040220" cy="4015644"/>
                    </a:xfrm>
                    <a:prstGeom prst="rect">
                      <a:avLst/>
                    </a:prstGeom>
                  </pic:spPr>
                </pic:pic>
              </a:graphicData>
            </a:graphic>
          </wp:inline>
        </w:drawing>
      </w:r>
    </w:p>
    <w:p w14:paraId="1E80570C" w14:textId="77777777" w:rsidR="00AA4A02" w:rsidRDefault="00AA4A02">
      <w:pPr>
        <w:pStyle w:val="BodyText"/>
        <w:spacing w:before="203"/>
        <w:rPr>
          <w:sz w:val="28"/>
        </w:rPr>
      </w:pPr>
    </w:p>
    <w:p w14:paraId="1E80570D" w14:textId="77777777" w:rsidR="00AA4A02" w:rsidRDefault="00960F31">
      <w:pPr>
        <w:pStyle w:val="Heading6"/>
        <w:numPr>
          <w:ilvl w:val="0"/>
          <w:numId w:val="54"/>
        </w:numPr>
        <w:tabs>
          <w:tab w:val="left" w:pos="852"/>
        </w:tabs>
      </w:pPr>
      <w:bookmarkStart w:id="21" w:name="_TOC_250029"/>
      <w:r>
        <w:t>AASB’s</w:t>
      </w:r>
      <w:r>
        <w:rPr>
          <w:spacing w:val="-9"/>
        </w:rPr>
        <w:t xml:space="preserve"> </w:t>
      </w:r>
      <w:r>
        <w:t>Legislative</w:t>
      </w:r>
      <w:r>
        <w:rPr>
          <w:spacing w:val="-10"/>
        </w:rPr>
        <w:t xml:space="preserve"> </w:t>
      </w:r>
      <w:bookmarkEnd w:id="21"/>
      <w:r>
        <w:rPr>
          <w:spacing w:val="-2"/>
        </w:rPr>
        <w:t>Requirements</w:t>
      </w:r>
    </w:p>
    <w:p w14:paraId="1E80570E" w14:textId="77777777" w:rsidR="00AA4A02" w:rsidRDefault="00960F31">
      <w:pPr>
        <w:pStyle w:val="ListParagraph"/>
        <w:numPr>
          <w:ilvl w:val="1"/>
          <w:numId w:val="54"/>
        </w:numPr>
        <w:tabs>
          <w:tab w:val="left" w:pos="852"/>
        </w:tabs>
        <w:spacing w:before="277" w:line="242" w:lineRule="auto"/>
        <w:ind w:right="443"/>
        <w:rPr>
          <w:sz w:val="24"/>
        </w:rPr>
      </w:pPr>
      <w:r>
        <w:rPr>
          <w:sz w:val="24"/>
        </w:rPr>
        <w:t>Part</w:t>
      </w:r>
      <w:r>
        <w:rPr>
          <w:spacing w:val="-2"/>
          <w:sz w:val="24"/>
        </w:rPr>
        <w:t xml:space="preserve"> </w:t>
      </w:r>
      <w:r>
        <w:rPr>
          <w:sz w:val="24"/>
        </w:rPr>
        <w:t>12</w:t>
      </w:r>
      <w:r>
        <w:rPr>
          <w:spacing w:val="-3"/>
          <w:sz w:val="24"/>
        </w:rPr>
        <w:t xml:space="preserve"> </w:t>
      </w:r>
      <w:r>
        <w:rPr>
          <w:sz w:val="24"/>
        </w:rPr>
        <w:t>of</w:t>
      </w:r>
      <w:r>
        <w:rPr>
          <w:spacing w:val="-1"/>
          <w:sz w:val="24"/>
        </w:rPr>
        <w:t xml:space="preserve"> </w:t>
      </w:r>
      <w:r>
        <w:rPr>
          <w:sz w:val="24"/>
        </w:rPr>
        <w:t>the</w:t>
      </w:r>
      <w:r>
        <w:rPr>
          <w:spacing w:val="-8"/>
          <w:sz w:val="24"/>
        </w:rPr>
        <w:t xml:space="preserve"> </w:t>
      </w:r>
      <w:r>
        <w:rPr>
          <w:i/>
          <w:sz w:val="24"/>
        </w:rPr>
        <w:t>Australian</w:t>
      </w:r>
      <w:r>
        <w:rPr>
          <w:i/>
          <w:spacing w:val="-2"/>
          <w:sz w:val="24"/>
        </w:rPr>
        <w:t xml:space="preserve"> </w:t>
      </w:r>
      <w:r>
        <w:rPr>
          <w:i/>
          <w:sz w:val="24"/>
        </w:rPr>
        <w:t>Securities</w:t>
      </w:r>
      <w:r>
        <w:rPr>
          <w:i/>
          <w:spacing w:val="-5"/>
          <w:sz w:val="24"/>
        </w:rPr>
        <w:t xml:space="preserve"> </w:t>
      </w:r>
      <w:r>
        <w:rPr>
          <w:i/>
          <w:sz w:val="24"/>
        </w:rPr>
        <w:t>and</w:t>
      </w:r>
      <w:r>
        <w:rPr>
          <w:i/>
          <w:spacing w:val="-3"/>
          <w:sz w:val="24"/>
        </w:rPr>
        <w:t xml:space="preserve"> </w:t>
      </w:r>
      <w:r>
        <w:rPr>
          <w:i/>
          <w:sz w:val="24"/>
        </w:rPr>
        <w:t>Investments</w:t>
      </w:r>
      <w:r>
        <w:rPr>
          <w:i/>
          <w:spacing w:val="-5"/>
          <w:sz w:val="24"/>
        </w:rPr>
        <w:t xml:space="preserve"> </w:t>
      </w:r>
      <w:r>
        <w:rPr>
          <w:i/>
          <w:sz w:val="24"/>
        </w:rPr>
        <w:t>Commission</w:t>
      </w:r>
      <w:r>
        <w:rPr>
          <w:i/>
          <w:spacing w:val="-2"/>
          <w:sz w:val="24"/>
        </w:rPr>
        <w:t xml:space="preserve"> </w:t>
      </w:r>
      <w:r>
        <w:rPr>
          <w:i/>
          <w:sz w:val="24"/>
        </w:rPr>
        <w:t>Act</w:t>
      </w:r>
      <w:r>
        <w:rPr>
          <w:i/>
          <w:spacing w:val="-2"/>
          <w:sz w:val="24"/>
        </w:rPr>
        <w:t xml:space="preserve"> </w:t>
      </w:r>
      <w:r>
        <w:rPr>
          <w:i/>
          <w:sz w:val="24"/>
        </w:rPr>
        <w:t>2001</w:t>
      </w:r>
      <w:r>
        <w:rPr>
          <w:i/>
          <w:spacing w:val="-3"/>
          <w:sz w:val="24"/>
        </w:rPr>
        <w:t xml:space="preserve"> </w:t>
      </w:r>
      <w:r>
        <w:rPr>
          <w:sz w:val="24"/>
        </w:rPr>
        <w:t>(ASIC</w:t>
      </w:r>
      <w:r>
        <w:rPr>
          <w:spacing w:val="-4"/>
          <w:sz w:val="24"/>
        </w:rPr>
        <w:t xml:space="preserve"> </w:t>
      </w:r>
      <w:r>
        <w:rPr>
          <w:sz w:val="24"/>
        </w:rPr>
        <w:t>Act) requires the AASB when making and formulating accounting standards to:</w:t>
      </w:r>
    </w:p>
    <w:p w14:paraId="1E80570F" w14:textId="77777777" w:rsidR="00AA4A02" w:rsidRDefault="00960F31">
      <w:pPr>
        <w:pStyle w:val="ListParagraph"/>
        <w:numPr>
          <w:ilvl w:val="2"/>
          <w:numId w:val="54"/>
        </w:numPr>
        <w:tabs>
          <w:tab w:val="left" w:pos="1557"/>
        </w:tabs>
        <w:spacing w:before="239"/>
        <w:ind w:left="1557" w:hanging="705"/>
        <w:rPr>
          <w:sz w:val="24"/>
        </w:rPr>
      </w:pPr>
      <w:r>
        <w:rPr>
          <w:sz w:val="24"/>
        </w:rPr>
        <w:t>comply</w:t>
      </w:r>
      <w:r>
        <w:rPr>
          <w:spacing w:val="-1"/>
          <w:sz w:val="24"/>
        </w:rPr>
        <w:t xml:space="preserve"> </w:t>
      </w:r>
      <w:r>
        <w:rPr>
          <w:sz w:val="24"/>
        </w:rPr>
        <w:t>with</w:t>
      </w:r>
      <w:r>
        <w:rPr>
          <w:spacing w:val="1"/>
          <w:sz w:val="24"/>
        </w:rPr>
        <w:t xml:space="preserve"> </w:t>
      </w:r>
      <w:r>
        <w:rPr>
          <w:sz w:val="24"/>
        </w:rPr>
        <w:t>the</w:t>
      </w:r>
      <w:r>
        <w:rPr>
          <w:spacing w:val="-5"/>
          <w:sz w:val="24"/>
        </w:rPr>
        <w:t xml:space="preserve"> </w:t>
      </w:r>
      <w:r>
        <w:rPr>
          <w:sz w:val="24"/>
        </w:rPr>
        <w:t>Financial</w:t>
      </w:r>
      <w:r>
        <w:rPr>
          <w:spacing w:val="1"/>
          <w:sz w:val="24"/>
        </w:rPr>
        <w:t xml:space="preserve"> </w:t>
      </w:r>
      <w:r>
        <w:rPr>
          <w:sz w:val="24"/>
        </w:rPr>
        <w:t>Reporting</w:t>
      </w:r>
      <w:r>
        <w:rPr>
          <w:spacing w:val="-4"/>
          <w:sz w:val="24"/>
        </w:rPr>
        <w:t xml:space="preserve"> </w:t>
      </w:r>
      <w:r>
        <w:rPr>
          <w:sz w:val="24"/>
        </w:rPr>
        <w:t>Council’s</w:t>
      </w:r>
      <w:r>
        <w:rPr>
          <w:spacing w:val="-2"/>
          <w:sz w:val="24"/>
        </w:rPr>
        <w:t xml:space="preserve"> </w:t>
      </w:r>
      <w:r>
        <w:rPr>
          <w:sz w:val="24"/>
        </w:rPr>
        <w:t>broad</w:t>
      </w:r>
      <w:r>
        <w:rPr>
          <w:spacing w:val="1"/>
          <w:sz w:val="24"/>
        </w:rPr>
        <w:t xml:space="preserve"> </w:t>
      </w:r>
      <w:r>
        <w:rPr>
          <w:sz w:val="24"/>
        </w:rPr>
        <w:t>strategic</w:t>
      </w:r>
      <w:r>
        <w:rPr>
          <w:spacing w:val="1"/>
          <w:sz w:val="24"/>
        </w:rPr>
        <w:t xml:space="preserve"> </w:t>
      </w:r>
      <w:r>
        <w:rPr>
          <w:spacing w:val="-2"/>
          <w:sz w:val="24"/>
        </w:rPr>
        <w:t>directions:</w:t>
      </w:r>
      <w:r>
        <w:rPr>
          <w:spacing w:val="-2"/>
          <w:sz w:val="24"/>
          <w:vertAlign w:val="superscript"/>
        </w:rPr>
        <w:t>5</w:t>
      </w:r>
    </w:p>
    <w:p w14:paraId="1E805710" w14:textId="77777777" w:rsidR="00AA4A02" w:rsidRDefault="00960F31">
      <w:pPr>
        <w:pStyle w:val="ListParagraph"/>
        <w:numPr>
          <w:ilvl w:val="3"/>
          <w:numId w:val="54"/>
        </w:numPr>
        <w:tabs>
          <w:tab w:val="left" w:pos="2266"/>
          <w:tab w:val="left" w:pos="2268"/>
        </w:tabs>
        <w:spacing w:before="234"/>
        <w:ind w:right="457"/>
        <w:jc w:val="both"/>
        <w:rPr>
          <w:sz w:val="24"/>
        </w:rPr>
      </w:pPr>
      <w:r>
        <w:rPr>
          <w:sz w:val="24"/>
        </w:rPr>
        <w:t>work towards the adoption</w:t>
      </w:r>
      <w:r>
        <w:rPr>
          <w:spacing w:val="-2"/>
          <w:sz w:val="24"/>
        </w:rPr>
        <w:t xml:space="preserve"> </w:t>
      </w:r>
      <w:r>
        <w:rPr>
          <w:sz w:val="24"/>
        </w:rPr>
        <w:t>of accounting standards that are</w:t>
      </w:r>
      <w:r>
        <w:rPr>
          <w:spacing w:val="-3"/>
          <w:sz w:val="24"/>
        </w:rPr>
        <w:t xml:space="preserve"> </w:t>
      </w:r>
      <w:r>
        <w:rPr>
          <w:sz w:val="24"/>
        </w:rPr>
        <w:t>the same as those</w:t>
      </w:r>
      <w:r>
        <w:rPr>
          <w:spacing w:val="-3"/>
          <w:sz w:val="24"/>
        </w:rPr>
        <w:t xml:space="preserve"> </w:t>
      </w:r>
      <w:r>
        <w:rPr>
          <w:sz w:val="24"/>
        </w:rPr>
        <w:t>issued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IASB,</w:t>
      </w:r>
      <w:r>
        <w:rPr>
          <w:spacing w:val="-4"/>
          <w:sz w:val="24"/>
        </w:rPr>
        <w:t xml:space="preserve"> </w:t>
      </w:r>
      <w:r>
        <w:rPr>
          <w:sz w:val="24"/>
        </w:rPr>
        <w:t>for</w:t>
      </w:r>
      <w:r>
        <w:rPr>
          <w:spacing w:val="-5"/>
          <w:sz w:val="24"/>
        </w:rPr>
        <w:t xml:space="preserve"> </w:t>
      </w:r>
      <w:r>
        <w:rPr>
          <w:sz w:val="24"/>
        </w:rPr>
        <w:t>Corporations</w:t>
      </w:r>
      <w:r>
        <w:rPr>
          <w:spacing w:val="-4"/>
          <w:sz w:val="24"/>
        </w:rPr>
        <w:t xml:space="preserve"> </w:t>
      </w:r>
      <w:r>
        <w:rPr>
          <w:sz w:val="24"/>
        </w:rPr>
        <w:t>Act</w:t>
      </w:r>
      <w:r>
        <w:rPr>
          <w:spacing w:val="-6"/>
          <w:sz w:val="24"/>
        </w:rPr>
        <w:t xml:space="preserve"> </w:t>
      </w:r>
      <w:r>
        <w:rPr>
          <w:sz w:val="24"/>
        </w:rPr>
        <w:t>entities</w:t>
      </w:r>
      <w:r>
        <w:rPr>
          <w:spacing w:val="-4"/>
          <w:sz w:val="24"/>
        </w:rPr>
        <w:t xml:space="preserve"> </w:t>
      </w:r>
      <w:r>
        <w:rPr>
          <w:sz w:val="24"/>
        </w:rPr>
        <w:t>with</w:t>
      </w:r>
      <w:r>
        <w:rPr>
          <w:spacing w:val="-3"/>
          <w:sz w:val="24"/>
        </w:rPr>
        <w:t xml:space="preserve"> </w:t>
      </w:r>
      <w:r>
        <w:rPr>
          <w:sz w:val="24"/>
        </w:rPr>
        <w:t>accounting periods beginning on or after 1 January 2005 (Direction approved</w:t>
      </w:r>
    </w:p>
    <w:p w14:paraId="1E805711" w14:textId="77777777" w:rsidR="00AA4A02" w:rsidRDefault="00960F31">
      <w:pPr>
        <w:spacing w:before="2"/>
        <w:ind w:left="2268"/>
        <w:jc w:val="both"/>
        <w:rPr>
          <w:sz w:val="24"/>
        </w:rPr>
      </w:pPr>
      <w:r>
        <w:rPr>
          <w:sz w:val="24"/>
        </w:rPr>
        <w:t>5 September</w:t>
      </w:r>
      <w:r>
        <w:rPr>
          <w:spacing w:val="2"/>
          <w:sz w:val="24"/>
        </w:rPr>
        <w:t xml:space="preserve"> </w:t>
      </w:r>
      <w:r>
        <w:rPr>
          <w:sz w:val="24"/>
        </w:rPr>
        <w:t>2002);</w:t>
      </w:r>
      <w:r>
        <w:rPr>
          <w:spacing w:val="2"/>
          <w:sz w:val="24"/>
        </w:rPr>
        <w:t xml:space="preserve"> </w:t>
      </w:r>
      <w:r>
        <w:rPr>
          <w:spacing w:val="-5"/>
          <w:sz w:val="24"/>
        </w:rPr>
        <w:t>and</w:t>
      </w:r>
    </w:p>
    <w:p w14:paraId="1E805712" w14:textId="77777777" w:rsidR="00AA4A02" w:rsidRDefault="00960F31">
      <w:pPr>
        <w:pStyle w:val="ListParagraph"/>
        <w:numPr>
          <w:ilvl w:val="3"/>
          <w:numId w:val="54"/>
        </w:numPr>
        <w:tabs>
          <w:tab w:val="left" w:pos="2268"/>
        </w:tabs>
        <w:spacing w:before="238"/>
        <w:ind w:right="595"/>
        <w:rPr>
          <w:sz w:val="24"/>
        </w:rPr>
      </w:pPr>
      <w:r>
        <w:rPr>
          <w:sz w:val="24"/>
        </w:rPr>
        <w:t>pursue</w:t>
      </w:r>
      <w:r>
        <w:rPr>
          <w:spacing w:val="-3"/>
          <w:sz w:val="24"/>
        </w:rPr>
        <w:t xml:space="preserve"> </w:t>
      </w:r>
      <w:r>
        <w:rPr>
          <w:sz w:val="24"/>
        </w:rPr>
        <w:t>the</w:t>
      </w:r>
      <w:r>
        <w:rPr>
          <w:spacing w:val="-3"/>
          <w:sz w:val="24"/>
        </w:rPr>
        <w:t xml:space="preserve"> </w:t>
      </w:r>
      <w:r>
        <w:rPr>
          <w:sz w:val="24"/>
        </w:rPr>
        <w:t>harmonisation</w:t>
      </w:r>
      <w:r>
        <w:rPr>
          <w:spacing w:val="-2"/>
          <w:sz w:val="24"/>
        </w:rPr>
        <w:t xml:space="preserve"> </w:t>
      </w:r>
      <w:r>
        <w:rPr>
          <w:sz w:val="24"/>
        </w:rPr>
        <w:t>of</w:t>
      </w:r>
      <w:r>
        <w:rPr>
          <w:spacing w:val="-6"/>
          <w:sz w:val="24"/>
        </w:rPr>
        <w:t xml:space="preserve"> </w:t>
      </w:r>
      <w:r>
        <w:rPr>
          <w:sz w:val="24"/>
        </w:rPr>
        <w:t>Government</w:t>
      </w:r>
      <w:r>
        <w:rPr>
          <w:spacing w:val="-7"/>
          <w:sz w:val="24"/>
        </w:rPr>
        <w:t xml:space="preserve"> </w:t>
      </w:r>
      <w:r>
        <w:rPr>
          <w:sz w:val="24"/>
        </w:rPr>
        <w:t>Finance</w:t>
      </w:r>
      <w:r>
        <w:rPr>
          <w:spacing w:val="-8"/>
          <w:sz w:val="24"/>
        </w:rPr>
        <w:t xml:space="preserve"> </w:t>
      </w:r>
      <w:r>
        <w:rPr>
          <w:sz w:val="24"/>
        </w:rPr>
        <w:t>Statistics</w:t>
      </w:r>
      <w:r>
        <w:rPr>
          <w:spacing w:val="-4"/>
          <w:sz w:val="24"/>
        </w:rPr>
        <w:t xml:space="preserve"> </w:t>
      </w:r>
      <w:r>
        <w:rPr>
          <w:sz w:val="24"/>
        </w:rPr>
        <w:t>(GFS) and Generally Accepted Accounting Principles (GAAP) reporting (Direction approved</w:t>
      </w:r>
      <w:r>
        <w:rPr>
          <w:spacing w:val="-3"/>
          <w:sz w:val="24"/>
        </w:rPr>
        <w:t xml:space="preserve"> </w:t>
      </w:r>
      <w:r>
        <w:rPr>
          <w:sz w:val="24"/>
        </w:rPr>
        <w:t>12 December 2002</w:t>
      </w:r>
      <w:r>
        <w:rPr>
          <w:spacing w:val="-4"/>
          <w:sz w:val="24"/>
        </w:rPr>
        <w:t xml:space="preserve"> </w:t>
      </w:r>
      <w:r>
        <w:rPr>
          <w:sz w:val="24"/>
        </w:rPr>
        <w:t>and subsequently amended to apply only to Governments and their General Government Sectors);</w:t>
      </w:r>
    </w:p>
    <w:p w14:paraId="1E805713" w14:textId="77777777" w:rsidR="00AA4A02" w:rsidRDefault="00960F31">
      <w:pPr>
        <w:pStyle w:val="ListParagraph"/>
        <w:numPr>
          <w:ilvl w:val="2"/>
          <w:numId w:val="54"/>
        </w:numPr>
        <w:tabs>
          <w:tab w:val="left" w:pos="1558"/>
        </w:tabs>
        <w:spacing w:before="240" w:line="242" w:lineRule="auto"/>
        <w:ind w:right="1029"/>
        <w:rPr>
          <w:sz w:val="24"/>
        </w:rPr>
      </w:pPr>
      <w:r>
        <w:rPr>
          <w:sz w:val="24"/>
        </w:rPr>
        <w:t>have</w:t>
      </w:r>
      <w:r>
        <w:rPr>
          <w:spacing w:val="-3"/>
          <w:sz w:val="24"/>
        </w:rPr>
        <w:t xml:space="preserve"> </w:t>
      </w:r>
      <w:r>
        <w:rPr>
          <w:sz w:val="24"/>
        </w:rPr>
        <w:t>regard</w:t>
      </w:r>
      <w:r>
        <w:rPr>
          <w:spacing w:val="-2"/>
          <w:sz w:val="24"/>
        </w:rPr>
        <w:t xml:space="preserve"> </w:t>
      </w:r>
      <w:r>
        <w:rPr>
          <w:sz w:val="24"/>
        </w:rPr>
        <w:t>to</w:t>
      </w:r>
      <w:r>
        <w:rPr>
          <w:spacing w:val="-7"/>
          <w:sz w:val="24"/>
        </w:rPr>
        <w:t xml:space="preserve"> </w:t>
      </w:r>
      <w:r>
        <w:rPr>
          <w:sz w:val="24"/>
        </w:rPr>
        <w:t>the</w:t>
      </w:r>
      <w:r>
        <w:rPr>
          <w:spacing w:val="-3"/>
          <w:sz w:val="24"/>
        </w:rPr>
        <w:t xml:space="preserve"> </w:t>
      </w:r>
      <w:r>
        <w:rPr>
          <w:sz w:val="24"/>
        </w:rPr>
        <w:t>suitability</w:t>
      </w:r>
      <w:r>
        <w:rPr>
          <w:spacing w:val="-7"/>
          <w:sz w:val="24"/>
        </w:rPr>
        <w:t xml:space="preserve"> </w:t>
      </w:r>
      <w:r>
        <w:rPr>
          <w:sz w:val="24"/>
        </w:rPr>
        <w:t>of</w:t>
      </w:r>
      <w:r>
        <w:rPr>
          <w:spacing w:val="-1"/>
          <w:sz w:val="24"/>
        </w:rPr>
        <w:t xml:space="preserve"> </w:t>
      </w:r>
      <w:r>
        <w:rPr>
          <w:sz w:val="24"/>
        </w:rPr>
        <w:t>a</w:t>
      </w:r>
      <w:r>
        <w:rPr>
          <w:spacing w:val="-8"/>
          <w:sz w:val="24"/>
        </w:rPr>
        <w:t xml:space="preserve"> </w:t>
      </w:r>
      <w:r>
        <w:rPr>
          <w:sz w:val="24"/>
        </w:rPr>
        <w:t>proposed</w:t>
      </w:r>
      <w:r>
        <w:rPr>
          <w:spacing w:val="-2"/>
          <w:sz w:val="24"/>
        </w:rPr>
        <w:t xml:space="preserve"> </w:t>
      </w:r>
      <w:r>
        <w:rPr>
          <w:sz w:val="24"/>
        </w:rPr>
        <w:t>standard</w:t>
      </w:r>
      <w:r>
        <w:rPr>
          <w:spacing w:val="-2"/>
          <w:sz w:val="24"/>
        </w:rPr>
        <w:t xml:space="preserve"> </w:t>
      </w:r>
      <w:r>
        <w:rPr>
          <w:sz w:val="24"/>
        </w:rPr>
        <w:t>for</w:t>
      </w:r>
      <w:r>
        <w:rPr>
          <w:spacing w:val="-5"/>
          <w:sz w:val="24"/>
        </w:rPr>
        <w:t xml:space="preserve"> </w:t>
      </w:r>
      <w:r>
        <w:rPr>
          <w:sz w:val="24"/>
        </w:rPr>
        <w:t>different</w:t>
      </w:r>
      <w:r>
        <w:rPr>
          <w:spacing w:val="-2"/>
          <w:sz w:val="24"/>
        </w:rPr>
        <w:t xml:space="preserve"> </w:t>
      </w:r>
      <w:r>
        <w:rPr>
          <w:sz w:val="24"/>
        </w:rPr>
        <w:t xml:space="preserve">types of </w:t>
      </w:r>
      <w:r>
        <w:rPr>
          <w:spacing w:val="-2"/>
          <w:sz w:val="24"/>
        </w:rPr>
        <w:t>entities;</w:t>
      </w:r>
    </w:p>
    <w:p w14:paraId="1E805714" w14:textId="77777777" w:rsidR="00AA4A02" w:rsidRDefault="00960F31">
      <w:pPr>
        <w:pStyle w:val="ListParagraph"/>
        <w:numPr>
          <w:ilvl w:val="2"/>
          <w:numId w:val="54"/>
        </w:numPr>
        <w:tabs>
          <w:tab w:val="left" w:pos="1558"/>
        </w:tabs>
        <w:spacing w:before="235" w:line="242" w:lineRule="auto"/>
        <w:ind w:right="721"/>
        <w:rPr>
          <w:sz w:val="24"/>
        </w:rPr>
      </w:pPr>
      <w:r>
        <w:rPr>
          <w:sz w:val="24"/>
        </w:rPr>
        <w:t>ensure</w:t>
      </w:r>
      <w:r>
        <w:rPr>
          <w:spacing w:val="-2"/>
          <w:sz w:val="24"/>
        </w:rPr>
        <w:t xml:space="preserve"> </w:t>
      </w:r>
      <w:r>
        <w:rPr>
          <w:sz w:val="24"/>
        </w:rPr>
        <w:t>that</w:t>
      </w:r>
      <w:r>
        <w:rPr>
          <w:spacing w:val="-2"/>
          <w:sz w:val="24"/>
        </w:rPr>
        <w:t xml:space="preserve"> </w:t>
      </w:r>
      <w:r>
        <w:rPr>
          <w:sz w:val="24"/>
        </w:rPr>
        <w:t>there</w:t>
      </w:r>
      <w:r>
        <w:rPr>
          <w:spacing w:val="-3"/>
          <w:sz w:val="24"/>
        </w:rPr>
        <w:t xml:space="preserve"> </w:t>
      </w:r>
      <w:r>
        <w:rPr>
          <w:sz w:val="24"/>
        </w:rPr>
        <w:t>are</w:t>
      </w:r>
      <w:r>
        <w:rPr>
          <w:spacing w:val="-8"/>
          <w:sz w:val="24"/>
        </w:rPr>
        <w:t xml:space="preserve"> </w:t>
      </w:r>
      <w:r>
        <w:rPr>
          <w:sz w:val="24"/>
        </w:rPr>
        <w:t>appropriate</w:t>
      </w:r>
      <w:r>
        <w:rPr>
          <w:spacing w:val="-8"/>
          <w:sz w:val="24"/>
        </w:rPr>
        <w:t xml:space="preserve"> </w:t>
      </w:r>
      <w:r>
        <w:rPr>
          <w:sz w:val="24"/>
        </w:rPr>
        <w:t>accounting</w:t>
      </w:r>
      <w:r>
        <w:rPr>
          <w:spacing w:val="-2"/>
          <w:sz w:val="24"/>
        </w:rPr>
        <w:t xml:space="preserve"> </w:t>
      </w:r>
      <w:r>
        <w:rPr>
          <w:sz w:val="24"/>
        </w:rPr>
        <w:t>standards</w:t>
      </w:r>
      <w:r>
        <w:rPr>
          <w:spacing w:val="-4"/>
          <w:sz w:val="24"/>
        </w:rPr>
        <w:t xml:space="preserve"> </w:t>
      </w:r>
      <w:r>
        <w:rPr>
          <w:sz w:val="24"/>
        </w:rPr>
        <w:t>for</w:t>
      </w:r>
      <w:r>
        <w:rPr>
          <w:spacing w:val="-5"/>
          <w:sz w:val="24"/>
        </w:rPr>
        <w:t xml:space="preserve"> </w:t>
      </w:r>
      <w:r>
        <w:rPr>
          <w:sz w:val="24"/>
        </w:rPr>
        <w:t>each</w:t>
      </w:r>
      <w:r>
        <w:rPr>
          <w:spacing w:val="-2"/>
          <w:sz w:val="24"/>
        </w:rPr>
        <w:t xml:space="preserve"> </w:t>
      </w:r>
      <w:r>
        <w:rPr>
          <w:sz w:val="24"/>
        </w:rPr>
        <w:t>type</w:t>
      </w:r>
      <w:r>
        <w:rPr>
          <w:spacing w:val="-3"/>
          <w:sz w:val="24"/>
        </w:rPr>
        <w:t xml:space="preserve"> </w:t>
      </w:r>
      <w:r>
        <w:rPr>
          <w:sz w:val="24"/>
        </w:rPr>
        <w:t>of</w:t>
      </w:r>
      <w:r>
        <w:rPr>
          <w:spacing w:val="-5"/>
          <w:sz w:val="24"/>
        </w:rPr>
        <w:t xml:space="preserve"> </w:t>
      </w:r>
      <w:r>
        <w:rPr>
          <w:sz w:val="24"/>
        </w:rPr>
        <w:t>entity that must comply with accounting standards;</w:t>
      </w:r>
    </w:p>
    <w:p w14:paraId="1E805715" w14:textId="77777777" w:rsidR="00AA4A02" w:rsidRDefault="00960F31">
      <w:pPr>
        <w:pStyle w:val="BodyText"/>
        <w:spacing w:before="200"/>
        <w:rPr>
          <w:sz w:val="20"/>
        </w:rPr>
      </w:pPr>
      <w:r>
        <w:rPr>
          <w:noProof/>
          <w:sz w:val="20"/>
        </w:rPr>
        <mc:AlternateContent>
          <mc:Choice Requires="wps">
            <w:drawing>
              <wp:anchor distT="0" distB="0" distL="0" distR="0" simplePos="0" relativeHeight="487591936" behindDoc="1" locked="0" layoutInCell="1" allowOverlap="1" wp14:anchorId="1E805F23" wp14:editId="1E805F24">
                <wp:simplePos x="0" y="0"/>
                <wp:positionH relativeFrom="page">
                  <wp:posOffset>899464</wp:posOffset>
                </wp:positionH>
                <wp:positionV relativeFrom="paragraph">
                  <wp:posOffset>288484</wp:posOffset>
                </wp:positionV>
                <wp:extent cx="183007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5B0DB" id="Graphic 27" o:spid="_x0000_s1026" style="position:absolute;margin-left:70.8pt;margin-top:22.7pt;width:144.1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" path="m1829689,l,,,6095r1829689,l1829689,xe" fillcolor="black" stroked="f">
                <v:path arrowok="t"/>
                <w10:wrap type="topAndBottom" anchorx="page"/>
              </v:shape>
            </w:pict>
          </mc:Fallback>
        </mc:AlternateContent>
      </w:r>
    </w:p>
    <w:p w14:paraId="1E805716" w14:textId="77777777" w:rsidR="00AA4A02" w:rsidRDefault="00960F31">
      <w:pPr>
        <w:pStyle w:val="ListParagraph"/>
        <w:numPr>
          <w:ilvl w:val="0"/>
          <w:numId w:val="53"/>
        </w:numPr>
        <w:tabs>
          <w:tab w:val="left" w:pos="482"/>
        </w:tabs>
        <w:spacing w:before="106"/>
        <w:ind w:hanging="341"/>
        <w:rPr>
          <w:sz w:val="20"/>
        </w:rPr>
      </w:pPr>
      <w:r>
        <w:rPr>
          <w:sz w:val="20"/>
        </w:rPr>
        <w:t>ASIC</w:t>
      </w:r>
      <w:r>
        <w:rPr>
          <w:spacing w:val="-3"/>
          <w:sz w:val="20"/>
        </w:rPr>
        <w:t xml:space="preserve"> </w:t>
      </w:r>
      <w:r>
        <w:rPr>
          <w:sz w:val="20"/>
        </w:rPr>
        <w:t>Act,</w:t>
      </w:r>
      <w:r>
        <w:rPr>
          <w:spacing w:val="-4"/>
          <w:sz w:val="20"/>
        </w:rPr>
        <w:t xml:space="preserve"> </w:t>
      </w:r>
      <w:r>
        <w:rPr>
          <w:spacing w:val="-2"/>
          <w:sz w:val="20"/>
        </w:rPr>
        <w:t>s232.</w:t>
      </w:r>
    </w:p>
    <w:p w14:paraId="1E805717"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18" w14:textId="77777777" w:rsidR="00AA4A02" w:rsidRDefault="00960F31">
      <w:pPr>
        <w:pStyle w:val="ListParagraph"/>
        <w:numPr>
          <w:ilvl w:val="2"/>
          <w:numId w:val="54"/>
        </w:numPr>
        <w:tabs>
          <w:tab w:val="left" w:pos="1558"/>
        </w:tabs>
        <w:spacing w:before="80" w:line="247" w:lineRule="auto"/>
        <w:ind w:right="652"/>
        <w:rPr>
          <w:sz w:val="24"/>
        </w:rPr>
      </w:pPr>
      <w:r>
        <w:rPr>
          <w:sz w:val="24"/>
        </w:rPr>
        <w:lastRenderedPageBreak/>
        <w:t>comply</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Ministerial</w:t>
      </w:r>
      <w:r>
        <w:rPr>
          <w:spacing w:val="-7"/>
          <w:sz w:val="24"/>
        </w:rPr>
        <w:t xml:space="preserve"> </w:t>
      </w:r>
      <w:r>
        <w:rPr>
          <w:sz w:val="24"/>
        </w:rPr>
        <w:t>direction</w:t>
      </w:r>
      <w:r>
        <w:rPr>
          <w:spacing w:val="-2"/>
          <w:sz w:val="24"/>
        </w:rPr>
        <w:t xml:space="preserve"> </w:t>
      </w:r>
      <w:r>
        <w:rPr>
          <w:sz w:val="24"/>
        </w:rPr>
        <w:t>about</w:t>
      </w:r>
      <w:r>
        <w:rPr>
          <w:spacing w:val="-7"/>
          <w:sz w:val="24"/>
        </w:rPr>
        <w:t xml:space="preserve"> </w:t>
      </w:r>
      <w:r>
        <w:rPr>
          <w:sz w:val="24"/>
        </w:rPr>
        <w:t>the</w:t>
      </w:r>
      <w:r>
        <w:rPr>
          <w:spacing w:val="-7"/>
          <w:sz w:val="24"/>
        </w:rPr>
        <w:t xml:space="preserve"> </w:t>
      </w:r>
      <w:r>
        <w:rPr>
          <w:sz w:val="24"/>
        </w:rPr>
        <w:t>role</w:t>
      </w:r>
      <w:r>
        <w:rPr>
          <w:spacing w:val="-7"/>
          <w:sz w:val="24"/>
        </w:rPr>
        <w:t xml:space="preserve"> </w:t>
      </w:r>
      <w:r>
        <w:rPr>
          <w:sz w:val="24"/>
        </w:rPr>
        <w:t>of</w:t>
      </w:r>
      <w:r>
        <w:rPr>
          <w:spacing w:val="-1"/>
          <w:sz w:val="24"/>
        </w:rPr>
        <w:t xml:space="preserve"> </w:t>
      </w:r>
      <w:r>
        <w:rPr>
          <w:sz w:val="24"/>
        </w:rPr>
        <w:t>international</w:t>
      </w:r>
      <w:r>
        <w:rPr>
          <w:spacing w:val="-7"/>
          <w:sz w:val="24"/>
        </w:rPr>
        <w:t xml:space="preserve"> </w:t>
      </w:r>
      <w:r>
        <w:rPr>
          <w:sz w:val="24"/>
        </w:rPr>
        <w:t>accounting standards in the Australian accounting standard-setting system;</w:t>
      </w:r>
    </w:p>
    <w:p w14:paraId="1E805719" w14:textId="77777777" w:rsidR="00AA4A02" w:rsidRDefault="00960F31">
      <w:pPr>
        <w:pStyle w:val="ListParagraph"/>
        <w:numPr>
          <w:ilvl w:val="2"/>
          <w:numId w:val="54"/>
        </w:numPr>
        <w:tabs>
          <w:tab w:val="left" w:pos="1557"/>
        </w:tabs>
        <w:spacing w:before="228"/>
        <w:ind w:left="1557" w:hanging="705"/>
        <w:rPr>
          <w:sz w:val="24"/>
        </w:rPr>
      </w:pPr>
      <w:r>
        <w:rPr>
          <w:sz w:val="24"/>
        </w:rPr>
        <w:t>where</w:t>
      </w:r>
      <w:r>
        <w:rPr>
          <w:spacing w:val="1"/>
          <w:sz w:val="24"/>
        </w:rPr>
        <w:t xml:space="preserve"> </w:t>
      </w:r>
      <w:r>
        <w:rPr>
          <w:sz w:val="24"/>
        </w:rPr>
        <w:t>appropriate, draft</w:t>
      </w:r>
      <w:r>
        <w:rPr>
          <w:spacing w:val="-2"/>
          <w:sz w:val="24"/>
        </w:rPr>
        <w:t xml:space="preserve"> standards:</w:t>
      </w:r>
    </w:p>
    <w:p w14:paraId="1E80571A" w14:textId="77777777" w:rsidR="00AA4A02" w:rsidRDefault="00960F31">
      <w:pPr>
        <w:pStyle w:val="ListParagraph"/>
        <w:numPr>
          <w:ilvl w:val="3"/>
          <w:numId w:val="54"/>
        </w:numPr>
        <w:tabs>
          <w:tab w:val="left" w:pos="2268"/>
        </w:tabs>
        <w:spacing w:before="243"/>
        <w:ind w:hanging="710"/>
        <w:rPr>
          <w:sz w:val="24"/>
        </w:rPr>
      </w:pPr>
      <w:r>
        <w:rPr>
          <w:sz w:val="24"/>
        </w:rPr>
        <w:t>to</w:t>
      </w:r>
      <w:r>
        <w:rPr>
          <w:spacing w:val="-1"/>
          <w:sz w:val="24"/>
        </w:rPr>
        <w:t xml:space="preserve"> </w:t>
      </w:r>
      <w:r>
        <w:rPr>
          <w:sz w:val="24"/>
        </w:rPr>
        <w:t>be</w:t>
      </w:r>
      <w:r>
        <w:rPr>
          <w:spacing w:val="-1"/>
          <w:sz w:val="24"/>
        </w:rPr>
        <w:t xml:space="preserve"> </w:t>
      </w:r>
      <w:r>
        <w:rPr>
          <w:sz w:val="24"/>
        </w:rPr>
        <w:t>of</w:t>
      </w:r>
      <w:r>
        <w:rPr>
          <w:spacing w:val="-3"/>
          <w:sz w:val="24"/>
        </w:rPr>
        <w:t xml:space="preserve"> </w:t>
      </w:r>
      <w:r>
        <w:rPr>
          <w:sz w:val="24"/>
        </w:rPr>
        <w:t>general or</w:t>
      </w:r>
      <w:r>
        <w:rPr>
          <w:spacing w:val="1"/>
          <w:sz w:val="24"/>
        </w:rPr>
        <w:t xml:space="preserve"> </w:t>
      </w:r>
      <w:r>
        <w:rPr>
          <w:sz w:val="24"/>
        </w:rPr>
        <w:t xml:space="preserve">limited </w:t>
      </w:r>
      <w:r>
        <w:rPr>
          <w:spacing w:val="-2"/>
          <w:sz w:val="24"/>
        </w:rPr>
        <w:t>application;</w:t>
      </w:r>
    </w:p>
    <w:p w14:paraId="1E80571B" w14:textId="77777777" w:rsidR="00AA4A02" w:rsidRDefault="00960F31">
      <w:pPr>
        <w:pStyle w:val="ListParagraph"/>
        <w:numPr>
          <w:ilvl w:val="3"/>
          <w:numId w:val="54"/>
        </w:numPr>
        <w:tabs>
          <w:tab w:val="left" w:pos="2268"/>
        </w:tabs>
        <w:spacing w:before="237"/>
        <w:ind w:hanging="710"/>
        <w:rPr>
          <w:sz w:val="24"/>
        </w:rPr>
      </w:pPr>
      <w:r>
        <w:rPr>
          <w:sz w:val="24"/>
        </w:rPr>
        <w:t>to</w:t>
      </w:r>
      <w:r>
        <w:rPr>
          <w:spacing w:val="-3"/>
          <w:sz w:val="24"/>
        </w:rPr>
        <w:t xml:space="preserve"> </w:t>
      </w:r>
      <w:r>
        <w:rPr>
          <w:sz w:val="24"/>
        </w:rPr>
        <w:t>differ according</w:t>
      </w:r>
      <w:r>
        <w:rPr>
          <w:spacing w:val="-5"/>
          <w:sz w:val="24"/>
        </w:rPr>
        <w:t xml:space="preserve"> </w:t>
      </w:r>
      <w:r>
        <w:rPr>
          <w:sz w:val="24"/>
        </w:rPr>
        <w:t>to</w:t>
      </w:r>
      <w:r>
        <w:rPr>
          <w:spacing w:val="-1"/>
          <w:sz w:val="24"/>
        </w:rPr>
        <w:t xml:space="preserve"> </w:t>
      </w:r>
      <w:r>
        <w:rPr>
          <w:sz w:val="24"/>
        </w:rPr>
        <w:t>differences</w:t>
      </w:r>
      <w:r>
        <w:rPr>
          <w:spacing w:val="-2"/>
          <w:sz w:val="24"/>
        </w:rPr>
        <w:t xml:space="preserve"> </w:t>
      </w:r>
      <w:r>
        <w:rPr>
          <w:sz w:val="24"/>
        </w:rPr>
        <w:t>in</w:t>
      </w:r>
      <w:r>
        <w:rPr>
          <w:spacing w:val="-1"/>
          <w:sz w:val="24"/>
        </w:rPr>
        <w:t xml:space="preserve"> </w:t>
      </w:r>
      <w:r>
        <w:rPr>
          <w:sz w:val="24"/>
        </w:rPr>
        <w:t>time,</w:t>
      </w:r>
      <w:r>
        <w:rPr>
          <w:spacing w:val="1"/>
          <w:sz w:val="24"/>
        </w:rPr>
        <w:t xml:space="preserve"> </w:t>
      </w:r>
      <w:r>
        <w:rPr>
          <w:sz w:val="24"/>
        </w:rPr>
        <w:t>place</w:t>
      </w:r>
      <w:r>
        <w:rPr>
          <w:spacing w:val="-2"/>
          <w:sz w:val="24"/>
        </w:rPr>
        <w:t xml:space="preserve"> </w:t>
      </w:r>
      <w:r>
        <w:rPr>
          <w:sz w:val="24"/>
        </w:rPr>
        <w:t>or</w:t>
      </w:r>
      <w:r>
        <w:rPr>
          <w:spacing w:val="-3"/>
          <w:sz w:val="24"/>
        </w:rPr>
        <w:t xml:space="preserve"> </w:t>
      </w:r>
      <w:r>
        <w:rPr>
          <w:spacing w:val="-2"/>
          <w:sz w:val="24"/>
        </w:rPr>
        <w:t>circumstance;</w:t>
      </w:r>
    </w:p>
    <w:p w14:paraId="1E80571C" w14:textId="77777777" w:rsidR="00AA4A02" w:rsidRDefault="00960F31">
      <w:pPr>
        <w:pStyle w:val="ListParagraph"/>
        <w:numPr>
          <w:ilvl w:val="3"/>
          <w:numId w:val="54"/>
        </w:numPr>
        <w:tabs>
          <w:tab w:val="left" w:pos="2268"/>
        </w:tabs>
        <w:spacing w:before="243"/>
        <w:ind w:hanging="710"/>
        <w:rPr>
          <w:sz w:val="24"/>
        </w:rPr>
      </w:pPr>
      <w:r>
        <w:rPr>
          <w:sz w:val="24"/>
        </w:rPr>
        <w:t>to</w:t>
      </w:r>
      <w:r>
        <w:rPr>
          <w:spacing w:val="-2"/>
          <w:sz w:val="24"/>
        </w:rPr>
        <w:t xml:space="preserve"> </w:t>
      </w:r>
      <w:r>
        <w:rPr>
          <w:sz w:val="24"/>
        </w:rPr>
        <w:t>require</w:t>
      </w:r>
      <w:r>
        <w:rPr>
          <w:spacing w:val="-6"/>
          <w:sz w:val="24"/>
        </w:rPr>
        <w:t xml:space="preserve"> </w:t>
      </w:r>
      <w:r>
        <w:rPr>
          <w:sz w:val="24"/>
        </w:rPr>
        <w:t>the</w:t>
      </w:r>
      <w:r>
        <w:rPr>
          <w:spacing w:val="-1"/>
          <w:sz w:val="24"/>
        </w:rPr>
        <w:t xml:space="preserve"> </w:t>
      </w:r>
      <w:r>
        <w:rPr>
          <w:sz w:val="24"/>
        </w:rPr>
        <w:t>inclusion of</w:t>
      </w:r>
      <w:r>
        <w:rPr>
          <w:spacing w:val="2"/>
          <w:sz w:val="24"/>
        </w:rPr>
        <w:t xml:space="preserve"> </w:t>
      </w:r>
      <w:r>
        <w:rPr>
          <w:sz w:val="24"/>
        </w:rPr>
        <w:t>comparatives</w:t>
      </w:r>
      <w:r>
        <w:rPr>
          <w:spacing w:val="-2"/>
          <w:sz w:val="24"/>
        </w:rPr>
        <w:t xml:space="preserve"> </w:t>
      </w:r>
      <w:r>
        <w:rPr>
          <w:sz w:val="24"/>
        </w:rPr>
        <w:t>for</w:t>
      </w:r>
      <w:r>
        <w:rPr>
          <w:spacing w:val="1"/>
          <w:sz w:val="24"/>
        </w:rPr>
        <w:t xml:space="preserve"> </w:t>
      </w:r>
      <w:r>
        <w:rPr>
          <w:sz w:val="24"/>
        </w:rPr>
        <w:t>earlier</w:t>
      </w:r>
      <w:r>
        <w:rPr>
          <w:spacing w:val="-3"/>
          <w:sz w:val="24"/>
        </w:rPr>
        <w:t xml:space="preserve"> </w:t>
      </w:r>
      <w:r>
        <w:rPr>
          <w:sz w:val="24"/>
        </w:rPr>
        <w:t>periods;</w:t>
      </w:r>
      <w:r>
        <w:rPr>
          <w:spacing w:val="1"/>
          <w:sz w:val="24"/>
        </w:rPr>
        <w:t xml:space="preserve"> </w:t>
      </w:r>
      <w:r>
        <w:rPr>
          <w:spacing w:val="-5"/>
          <w:sz w:val="24"/>
        </w:rPr>
        <w:t>or</w:t>
      </w:r>
    </w:p>
    <w:p w14:paraId="1E80571D" w14:textId="77777777" w:rsidR="00AA4A02" w:rsidRDefault="00960F31">
      <w:pPr>
        <w:pStyle w:val="ListParagraph"/>
        <w:numPr>
          <w:ilvl w:val="3"/>
          <w:numId w:val="54"/>
        </w:numPr>
        <w:tabs>
          <w:tab w:val="left" w:pos="2268"/>
        </w:tabs>
        <w:spacing w:before="233" w:line="242" w:lineRule="auto"/>
        <w:ind w:right="603"/>
        <w:rPr>
          <w:sz w:val="24"/>
        </w:rPr>
      </w:pPr>
      <w:r>
        <w:rPr>
          <w:sz w:val="24"/>
        </w:rPr>
        <w:t>by modifying the text of an international accounting standard to the extent</w:t>
      </w:r>
      <w:r>
        <w:rPr>
          <w:spacing w:val="-4"/>
          <w:sz w:val="24"/>
        </w:rPr>
        <w:t xml:space="preserve"> </w:t>
      </w:r>
      <w:r>
        <w:rPr>
          <w:sz w:val="24"/>
        </w:rPr>
        <w:t>necessary</w:t>
      </w:r>
      <w:r>
        <w:rPr>
          <w:spacing w:val="-4"/>
          <w:sz w:val="24"/>
        </w:rPr>
        <w:t xml:space="preserve"> </w:t>
      </w:r>
      <w:r>
        <w:rPr>
          <w:sz w:val="24"/>
        </w:rPr>
        <w:t>to</w:t>
      </w:r>
      <w:r>
        <w:rPr>
          <w:spacing w:val="-4"/>
          <w:sz w:val="24"/>
        </w:rPr>
        <w:t xml:space="preserve"> </w:t>
      </w:r>
      <w:r>
        <w:rPr>
          <w:sz w:val="24"/>
        </w:rPr>
        <w:t>take</w:t>
      </w:r>
      <w:r>
        <w:rPr>
          <w:spacing w:val="-5"/>
          <w:sz w:val="24"/>
        </w:rPr>
        <w:t xml:space="preserve"> </w:t>
      </w:r>
      <w:r>
        <w:rPr>
          <w:sz w:val="24"/>
        </w:rPr>
        <w:t>account</w:t>
      </w:r>
      <w:r>
        <w:rPr>
          <w:spacing w:val="-4"/>
          <w:sz w:val="24"/>
        </w:rPr>
        <w:t xml:space="preserve"> </w:t>
      </w:r>
      <w:r>
        <w:rPr>
          <w:sz w:val="24"/>
        </w:rPr>
        <w:t>of</w:t>
      </w:r>
      <w:r>
        <w:rPr>
          <w:spacing w:val="-3"/>
          <w:sz w:val="24"/>
        </w:rPr>
        <w:t xml:space="preserve"> </w:t>
      </w:r>
      <w:r>
        <w:rPr>
          <w:sz w:val="24"/>
        </w:rPr>
        <w:t>the</w:t>
      </w:r>
      <w:r>
        <w:rPr>
          <w:spacing w:val="-9"/>
          <w:sz w:val="24"/>
        </w:rPr>
        <w:t xml:space="preserve"> </w:t>
      </w:r>
      <w:r>
        <w:rPr>
          <w:sz w:val="24"/>
        </w:rPr>
        <w:t>Australian</w:t>
      </w:r>
      <w:r>
        <w:rPr>
          <w:spacing w:val="-4"/>
          <w:sz w:val="24"/>
        </w:rPr>
        <w:t xml:space="preserve"> </w:t>
      </w:r>
      <w:r>
        <w:rPr>
          <w:sz w:val="24"/>
        </w:rPr>
        <w:t>legal</w:t>
      </w:r>
      <w:r>
        <w:rPr>
          <w:spacing w:val="-4"/>
          <w:sz w:val="24"/>
        </w:rPr>
        <w:t xml:space="preserve"> </w:t>
      </w:r>
      <w:r>
        <w:rPr>
          <w:sz w:val="24"/>
        </w:rPr>
        <w:t>or</w:t>
      </w:r>
      <w:r>
        <w:rPr>
          <w:spacing w:val="-3"/>
          <w:sz w:val="24"/>
        </w:rPr>
        <w:t xml:space="preserve"> </w:t>
      </w:r>
      <w:r>
        <w:rPr>
          <w:sz w:val="24"/>
        </w:rPr>
        <w:t>institutional environment and, in particular, to ensure that any disclosure and transparency provisions are appropriate; and</w:t>
      </w:r>
    </w:p>
    <w:p w14:paraId="1E80571E" w14:textId="77777777" w:rsidR="00AA4A02" w:rsidRDefault="00960F31">
      <w:pPr>
        <w:pStyle w:val="ListParagraph"/>
        <w:numPr>
          <w:ilvl w:val="2"/>
          <w:numId w:val="54"/>
        </w:numPr>
        <w:tabs>
          <w:tab w:val="left" w:pos="1558"/>
        </w:tabs>
        <w:spacing w:before="230" w:line="247" w:lineRule="auto"/>
        <w:ind w:right="1222"/>
        <w:rPr>
          <w:sz w:val="24"/>
        </w:rPr>
      </w:pPr>
      <w:r>
        <w:rPr>
          <w:sz w:val="24"/>
        </w:rPr>
        <w:t>carry</w:t>
      </w:r>
      <w:r>
        <w:rPr>
          <w:spacing w:val="-3"/>
          <w:sz w:val="24"/>
        </w:rPr>
        <w:t xml:space="preserve"> </w:t>
      </w:r>
      <w:r>
        <w:rPr>
          <w:sz w:val="24"/>
        </w:rPr>
        <w:t>out</w:t>
      </w:r>
      <w:r>
        <w:rPr>
          <w:spacing w:val="-2"/>
          <w:sz w:val="24"/>
        </w:rPr>
        <w:t xml:space="preserve"> </w:t>
      </w:r>
      <w:r>
        <w:rPr>
          <w:sz w:val="24"/>
        </w:rPr>
        <w:t>a</w:t>
      </w:r>
      <w:r>
        <w:rPr>
          <w:spacing w:val="-9"/>
          <w:sz w:val="24"/>
        </w:rPr>
        <w:t xml:space="preserve"> </w:t>
      </w:r>
      <w:r>
        <w:rPr>
          <w:sz w:val="24"/>
        </w:rPr>
        <w:t>cost/benefit</w:t>
      </w:r>
      <w:r>
        <w:rPr>
          <w:spacing w:val="-3"/>
          <w:sz w:val="24"/>
        </w:rPr>
        <w:t xml:space="preserve"> </w:t>
      </w:r>
      <w:r>
        <w:rPr>
          <w:sz w:val="24"/>
        </w:rPr>
        <w:t>analysis</w:t>
      </w:r>
      <w:r>
        <w:rPr>
          <w:spacing w:val="-5"/>
          <w:sz w:val="24"/>
        </w:rPr>
        <w:t xml:space="preserve"> </w:t>
      </w:r>
      <w:r>
        <w:rPr>
          <w:sz w:val="24"/>
        </w:rPr>
        <w:t>before</w:t>
      </w:r>
      <w:r>
        <w:rPr>
          <w:spacing w:val="-4"/>
          <w:sz w:val="24"/>
        </w:rPr>
        <w:t xml:space="preserve"> </w:t>
      </w:r>
      <w:r>
        <w:rPr>
          <w:sz w:val="24"/>
        </w:rPr>
        <w:t>issuing</w:t>
      </w:r>
      <w:r>
        <w:rPr>
          <w:spacing w:val="-3"/>
          <w:sz w:val="24"/>
        </w:rPr>
        <w:t xml:space="preserve"> </w:t>
      </w:r>
      <w:r>
        <w:rPr>
          <w:sz w:val="24"/>
        </w:rPr>
        <w:t>a</w:t>
      </w:r>
      <w:r>
        <w:rPr>
          <w:spacing w:val="-4"/>
          <w:sz w:val="24"/>
        </w:rPr>
        <w:t xml:space="preserve"> </w:t>
      </w:r>
      <w:r>
        <w:rPr>
          <w:sz w:val="24"/>
        </w:rPr>
        <w:t>standard, regardless</w:t>
      </w:r>
      <w:r>
        <w:rPr>
          <w:spacing w:val="-5"/>
          <w:sz w:val="24"/>
        </w:rPr>
        <w:t xml:space="preserve"> </w:t>
      </w:r>
      <w:r>
        <w:rPr>
          <w:sz w:val="24"/>
        </w:rPr>
        <w:t>of whether it is based on an international standard.</w:t>
      </w:r>
    </w:p>
    <w:p w14:paraId="1E80571F" w14:textId="77777777" w:rsidR="00AA4A02" w:rsidRDefault="00AA4A02">
      <w:pPr>
        <w:pStyle w:val="BodyText"/>
        <w:spacing w:before="188"/>
        <w:rPr>
          <w:sz w:val="24"/>
        </w:rPr>
      </w:pPr>
    </w:p>
    <w:p w14:paraId="1E805720" w14:textId="77777777" w:rsidR="00AA4A02" w:rsidRDefault="00960F31">
      <w:pPr>
        <w:pStyle w:val="Heading6"/>
        <w:numPr>
          <w:ilvl w:val="0"/>
          <w:numId w:val="54"/>
        </w:numPr>
        <w:tabs>
          <w:tab w:val="left" w:pos="852"/>
        </w:tabs>
      </w:pPr>
      <w:bookmarkStart w:id="22" w:name="_TOC_250028"/>
      <w:r>
        <w:t>Types</w:t>
      </w:r>
      <w:r>
        <w:rPr>
          <w:spacing w:val="-5"/>
        </w:rPr>
        <w:t xml:space="preserve"> </w:t>
      </w:r>
      <w:r>
        <w:t>of</w:t>
      </w:r>
      <w:r>
        <w:rPr>
          <w:spacing w:val="-9"/>
        </w:rPr>
        <w:t xml:space="preserve"> </w:t>
      </w:r>
      <w:r>
        <w:t>Pronouncements</w:t>
      </w:r>
      <w:r>
        <w:rPr>
          <w:spacing w:val="-4"/>
        </w:rPr>
        <w:t xml:space="preserve"> </w:t>
      </w:r>
      <w:r>
        <w:t>Issued</w:t>
      </w:r>
      <w:r>
        <w:rPr>
          <w:spacing w:val="-8"/>
        </w:rPr>
        <w:t xml:space="preserve"> </w:t>
      </w:r>
      <w:r>
        <w:t>by</w:t>
      </w:r>
      <w:r>
        <w:rPr>
          <w:spacing w:val="-7"/>
        </w:rPr>
        <w:t xml:space="preserve"> </w:t>
      </w:r>
      <w:r>
        <w:t>the</w:t>
      </w:r>
      <w:r>
        <w:rPr>
          <w:spacing w:val="-6"/>
        </w:rPr>
        <w:t xml:space="preserve"> </w:t>
      </w:r>
      <w:bookmarkEnd w:id="22"/>
      <w:r>
        <w:rPr>
          <w:spacing w:val="-4"/>
        </w:rPr>
        <w:t>AASB</w:t>
      </w:r>
    </w:p>
    <w:p w14:paraId="1E805721" w14:textId="77777777" w:rsidR="00AA4A02" w:rsidRDefault="00960F31">
      <w:pPr>
        <w:pStyle w:val="ListParagraph"/>
        <w:numPr>
          <w:ilvl w:val="1"/>
          <w:numId w:val="54"/>
        </w:numPr>
        <w:tabs>
          <w:tab w:val="left" w:pos="852"/>
        </w:tabs>
        <w:spacing w:before="282"/>
        <w:rPr>
          <w:sz w:val="24"/>
        </w:rPr>
      </w:pPr>
      <w:r>
        <w:rPr>
          <w:sz w:val="24"/>
        </w:rPr>
        <w:t>The</w:t>
      </w:r>
      <w:r>
        <w:rPr>
          <w:spacing w:val="-3"/>
          <w:sz w:val="24"/>
        </w:rPr>
        <w:t xml:space="preserve"> </w:t>
      </w:r>
      <w:r>
        <w:rPr>
          <w:sz w:val="24"/>
        </w:rPr>
        <w:t>AASB</w:t>
      </w:r>
      <w:r>
        <w:rPr>
          <w:spacing w:val="-1"/>
          <w:sz w:val="24"/>
        </w:rPr>
        <w:t xml:space="preserve"> </w:t>
      </w:r>
      <w:r>
        <w:rPr>
          <w:sz w:val="24"/>
        </w:rPr>
        <w:t>issues</w:t>
      </w:r>
      <w:r>
        <w:rPr>
          <w:spacing w:val="-2"/>
          <w:sz w:val="24"/>
        </w:rPr>
        <w:t xml:space="preserve"> </w:t>
      </w:r>
      <w:r>
        <w:rPr>
          <w:sz w:val="24"/>
        </w:rPr>
        <w:t>the following</w:t>
      </w:r>
      <w:r>
        <w:rPr>
          <w:spacing w:val="-3"/>
          <w:sz w:val="24"/>
        </w:rPr>
        <w:t xml:space="preserve"> </w:t>
      </w:r>
      <w:r>
        <w:rPr>
          <w:sz w:val="24"/>
        </w:rPr>
        <w:t>types</w:t>
      </w:r>
      <w:r>
        <w:rPr>
          <w:spacing w:val="-3"/>
          <w:sz w:val="24"/>
        </w:rPr>
        <w:t xml:space="preserve"> </w:t>
      </w:r>
      <w:r>
        <w:rPr>
          <w:sz w:val="24"/>
        </w:rPr>
        <w:t>of</w:t>
      </w:r>
      <w:r>
        <w:rPr>
          <w:spacing w:val="2"/>
          <w:sz w:val="24"/>
        </w:rPr>
        <w:t xml:space="preserve"> </w:t>
      </w:r>
      <w:r>
        <w:rPr>
          <w:sz w:val="24"/>
        </w:rPr>
        <w:t>pronouncements</w:t>
      </w:r>
      <w:r>
        <w:rPr>
          <w:spacing w:val="-1"/>
          <w:sz w:val="24"/>
        </w:rPr>
        <w:t xml:space="preserve"> </w:t>
      </w:r>
      <w:r>
        <w:rPr>
          <w:sz w:val="24"/>
        </w:rPr>
        <w:t>and</w:t>
      </w:r>
      <w:r>
        <w:rPr>
          <w:spacing w:val="1"/>
          <w:sz w:val="24"/>
        </w:rPr>
        <w:t xml:space="preserve"> </w:t>
      </w:r>
      <w:r>
        <w:rPr>
          <w:spacing w:val="-2"/>
          <w:sz w:val="24"/>
        </w:rPr>
        <w:t>guidance:</w:t>
      </w:r>
    </w:p>
    <w:p w14:paraId="1E805722" w14:textId="77777777" w:rsidR="00AA4A02" w:rsidRDefault="00AA4A02">
      <w:pPr>
        <w:pStyle w:val="BodyText"/>
        <w:spacing w:before="6" w:after="1"/>
        <w:rPr>
          <w:sz w:val="2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2358"/>
        <w:gridCol w:w="1614"/>
      </w:tblGrid>
      <w:tr w:rsidR="00AA4A02" w14:paraId="1E805726" w14:textId="77777777">
        <w:trPr>
          <w:trHeight w:val="277"/>
        </w:trPr>
        <w:tc>
          <w:tcPr>
            <w:tcW w:w="3683" w:type="dxa"/>
          </w:tcPr>
          <w:p w14:paraId="1E805723" w14:textId="77777777" w:rsidR="00AA4A02" w:rsidRDefault="00960F31">
            <w:pPr>
              <w:pStyle w:val="TableParagraph"/>
              <w:spacing w:line="258" w:lineRule="exact"/>
              <w:ind w:left="105"/>
              <w:rPr>
                <w:b/>
                <w:sz w:val="24"/>
              </w:rPr>
            </w:pPr>
            <w:r>
              <w:rPr>
                <w:b/>
                <w:spacing w:val="-2"/>
                <w:sz w:val="24"/>
              </w:rPr>
              <w:t>Pronouncements</w:t>
            </w:r>
          </w:p>
        </w:tc>
        <w:tc>
          <w:tcPr>
            <w:tcW w:w="2358" w:type="dxa"/>
          </w:tcPr>
          <w:p w14:paraId="1E805724" w14:textId="77777777" w:rsidR="00AA4A02" w:rsidRDefault="00960F31">
            <w:pPr>
              <w:pStyle w:val="TableParagraph"/>
              <w:spacing w:line="258" w:lineRule="exact"/>
              <w:ind w:left="105"/>
              <w:rPr>
                <w:b/>
                <w:sz w:val="24"/>
              </w:rPr>
            </w:pPr>
            <w:r>
              <w:rPr>
                <w:b/>
                <w:spacing w:val="-2"/>
                <w:sz w:val="24"/>
              </w:rPr>
              <w:t>Authority</w:t>
            </w:r>
          </w:p>
        </w:tc>
        <w:tc>
          <w:tcPr>
            <w:tcW w:w="1614" w:type="dxa"/>
          </w:tcPr>
          <w:p w14:paraId="1E805725" w14:textId="77777777" w:rsidR="00AA4A02" w:rsidRDefault="00960F31">
            <w:pPr>
              <w:pStyle w:val="TableParagraph"/>
              <w:spacing w:line="258" w:lineRule="exact"/>
              <w:ind w:left="105"/>
              <w:rPr>
                <w:b/>
                <w:sz w:val="24"/>
              </w:rPr>
            </w:pPr>
            <w:r>
              <w:rPr>
                <w:b/>
                <w:sz w:val="24"/>
              </w:rPr>
              <w:t>Issued</w:t>
            </w:r>
            <w:r>
              <w:rPr>
                <w:b/>
                <w:spacing w:val="-7"/>
                <w:sz w:val="24"/>
              </w:rPr>
              <w:t xml:space="preserve"> </w:t>
            </w:r>
            <w:r>
              <w:rPr>
                <w:b/>
                <w:spacing w:val="-5"/>
                <w:sz w:val="24"/>
              </w:rPr>
              <w:t>by</w:t>
            </w:r>
          </w:p>
        </w:tc>
      </w:tr>
      <w:tr w:rsidR="00AA4A02" w14:paraId="1E80572B" w14:textId="77777777">
        <w:trPr>
          <w:trHeight w:val="1103"/>
        </w:trPr>
        <w:tc>
          <w:tcPr>
            <w:tcW w:w="3683" w:type="dxa"/>
          </w:tcPr>
          <w:p w14:paraId="1E805727" w14:textId="77777777" w:rsidR="00AA4A02" w:rsidRDefault="00960F31">
            <w:pPr>
              <w:pStyle w:val="TableParagraph"/>
              <w:ind w:left="105" w:right="128"/>
              <w:rPr>
                <w:sz w:val="24"/>
              </w:rPr>
            </w:pPr>
            <w:r>
              <w:rPr>
                <w:sz w:val="24"/>
              </w:rPr>
              <w:t>Accounting Standards, Interpretations</w:t>
            </w:r>
            <w:r>
              <w:rPr>
                <w:spacing w:val="-15"/>
                <w:sz w:val="24"/>
              </w:rPr>
              <w:t xml:space="preserve"> </w:t>
            </w:r>
            <w:r>
              <w:rPr>
                <w:sz w:val="24"/>
              </w:rPr>
              <w:t>and</w:t>
            </w:r>
            <w:r>
              <w:rPr>
                <w:spacing w:val="-15"/>
                <w:sz w:val="24"/>
              </w:rPr>
              <w:t xml:space="preserve"> </w:t>
            </w:r>
            <w:r>
              <w:rPr>
                <w:sz w:val="24"/>
              </w:rPr>
              <w:t>application guidance addressing financial</w:t>
            </w:r>
          </w:p>
          <w:p w14:paraId="1E805728" w14:textId="77777777" w:rsidR="00AA4A02" w:rsidRDefault="00960F31">
            <w:pPr>
              <w:pStyle w:val="TableParagraph"/>
              <w:spacing w:line="257" w:lineRule="exact"/>
              <w:ind w:left="105"/>
              <w:rPr>
                <w:sz w:val="24"/>
              </w:rPr>
            </w:pPr>
            <w:r>
              <w:rPr>
                <w:sz w:val="24"/>
              </w:rPr>
              <w:t>reporting</w:t>
            </w:r>
            <w:r>
              <w:rPr>
                <w:spacing w:val="4"/>
                <w:sz w:val="24"/>
              </w:rPr>
              <w:t xml:space="preserve"> </w:t>
            </w:r>
            <w:r>
              <w:rPr>
                <w:spacing w:val="-2"/>
                <w:sz w:val="24"/>
              </w:rPr>
              <w:t>issues</w:t>
            </w:r>
          </w:p>
        </w:tc>
        <w:tc>
          <w:tcPr>
            <w:tcW w:w="2358" w:type="dxa"/>
          </w:tcPr>
          <w:p w14:paraId="1E805729" w14:textId="77777777" w:rsidR="00AA4A02" w:rsidRDefault="00960F31">
            <w:pPr>
              <w:pStyle w:val="TableParagraph"/>
              <w:spacing w:line="273" w:lineRule="exact"/>
              <w:ind w:left="105"/>
              <w:rPr>
                <w:sz w:val="24"/>
              </w:rPr>
            </w:pPr>
            <w:r>
              <w:rPr>
                <w:spacing w:val="-2"/>
                <w:sz w:val="24"/>
              </w:rPr>
              <w:t>Mandatory</w:t>
            </w:r>
          </w:p>
        </w:tc>
        <w:tc>
          <w:tcPr>
            <w:tcW w:w="1614" w:type="dxa"/>
          </w:tcPr>
          <w:p w14:paraId="1E80572A" w14:textId="77777777" w:rsidR="00AA4A02" w:rsidRDefault="00960F31">
            <w:pPr>
              <w:pStyle w:val="TableParagraph"/>
              <w:spacing w:line="273" w:lineRule="exact"/>
              <w:ind w:left="105"/>
              <w:rPr>
                <w:sz w:val="24"/>
              </w:rPr>
            </w:pPr>
            <w:r>
              <w:rPr>
                <w:sz w:val="24"/>
              </w:rPr>
              <w:t>AASB</w:t>
            </w:r>
            <w:r>
              <w:rPr>
                <w:spacing w:val="-2"/>
                <w:sz w:val="24"/>
              </w:rPr>
              <w:t xml:space="preserve"> Board</w:t>
            </w:r>
          </w:p>
        </w:tc>
      </w:tr>
      <w:tr w:rsidR="00AA4A02" w14:paraId="1E805731" w14:textId="77777777">
        <w:trPr>
          <w:trHeight w:val="1656"/>
        </w:trPr>
        <w:tc>
          <w:tcPr>
            <w:tcW w:w="3683" w:type="dxa"/>
          </w:tcPr>
          <w:p w14:paraId="1E80572C" w14:textId="77777777" w:rsidR="00AA4A02" w:rsidRDefault="00960F31">
            <w:pPr>
              <w:pStyle w:val="TableParagraph"/>
              <w:ind w:left="105"/>
              <w:rPr>
                <w:sz w:val="24"/>
              </w:rPr>
            </w:pPr>
            <w:r>
              <w:rPr>
                <w:sz w:val="24"/>
              </w:rPr>
              <w:t>Reporting Standards and Interpretations</w:t>
            </w:r>
            <w:r>
              <w:rPr>
                <w:spacing w:val="-11"/>
                <w:sz w:val="24"/>
              </w:rPr>
              <w:t xml:space="preserve"> </w:t>
            </w:r>
            <w:r>
              <w:rPr>
                <w:sz w:val="24"/>
              </w:rPr>
              <w:t>that</w:t>
            </w:r>
            <w:r>
              <w:rPr>
                <w:spacing w:val="-14"/>
                <w:sz w:val="24"/>
              </w:rPr>
              <w:t xml:space="preserve"> </w:t>
            </w:r>
            <w:r>
              <w:rPr>
                <w:sz w:val="24"/>
              </w:rPr>
              <w:t>address</w:t>
            </w:r>
            <w:r>
              <w:rPr>
                <w:spacing w:val="-12"/>
                <w:sz w:val="24"/>
              </w:rPr>
              <w:t xml:space="preserve"> </w:t>
            </w:r>
            <w:r>
              <w:rPr>
                <w:sz w:val="24"/>
              </w:rPr>
              <w:t>matters integral to financial reporting</w:t>
            </w:r>
            <w:r>
              <w:rPr>
                <w:sz w:val="24"/>
                <w:vertAlign w:val="superscript"/>
              </w:rPr>
              <w:t>6</w:t>
            </w:r>
          </w:p>
          <w:p w14:paraId="1E80572D" w14:textId="77777777" w:rsidR="00AA4A02" w:rsidRDefault="00960F31">
            <w:pPr>
              <w:pStyle w:val="TableParagraph"/>
              <w:spacing w:before="2" w:line="237" w:lineRule="auto"/>
              <w:ind w:left="105"/>
              <w:rPr>
                <w:sz w:val="24"/>
              </w:rPr>
            </w:pPr>
            <w:r>
              <w:rPr>
                <w:sz w:val="24"/>
              </w:rPr>
              <w:t>(eg</w:t>
            </w:r>
            <w:r>
              <w:rPr>
                <w:spacing w:val="-5"/>
                <w:sz w:val="24"/>
              </w:rPr>
              <w:t xml:space="preserve"> </w:t>
            </w:r>
            <w:r>
              <w:rPr>
                <w:sz w:val="24"/>
              </w:rPr>
              <w:t>Guide</w:t>
            </w:r>
            <w:r>
              <w:rPr>
                <w:spacing w:val="-5"/>
                <w:sz w:val="24"/>
              </w:rPr>
              <w:t xml:space="preserve"> </w:t>
            </w:r>
            <w:r>
              <w:rPr>
                <w:sz w:val="24"/>
              </w:rPr>
              <w:t>to</w:t>
            </w:r>
            <w:r>
              <w:rPr>
                <w:spacing w:val="-9"/>
                <w:sz w:val="24"/>
              </w:rPr>
              <w:t xml:space="preserve"> </w:t>
            </w:r>
            <w:r>
              <w:rPr>
                <w:sz w:val="24"/>
              </w:rPr>
              <w:t>applying</w:t>
            </w:r>
            <w:r>
              <w:rPr>
                <w:spacing w:val="-4"/>
                <w:sz w:val="24"/>
              </w:rPr>
              <w:t xml:space="preserve"> </w:t>
            </w:r>
            <w:r>
              <w:rPr>
                <w:sz w:val="24"/>
              </w:rPr>
              <w:t>the</w:t>
            </w:r>
            <w:r>
              <w:rPr>
                <w:spacing w:val="-9"/>
                <w:sz w:val="24"/>
              </w:rPr>
              <w:t xml:space="preserve"> </w:t>
            </w:r>
            <w:r>
              <w:rPr>
                <w:sz w:val="24"/>
              </w:rPr>
              <w:t>Board</w:t>
            </w:r>
            <w:r>
              <w:rPr>
                <w:spacing w:val="-4"/>
                <w:sz w:val="24"/>
              </w:rPr>
              <w:t xml:space="preserve"> </w:t>
            </w:r>
            <w:r>
              <w:rPr>
                <w:sz w:val="24"/>
              </w:rPr>
              <w:t>of Taxation’s Voluntary Tax</w:t>
            </w:r>
          </w:p>
          <w:p w14:paraId="1E80572E" w14:textId="77777777" w:rsidR="00AA4A02" w:rsidRDefault="00960F31">
            <w:pPr>
              <w:pStyle w:val="TableParagraph"/>
              <w:spacing w:before="3" w:line="257" w:lineRule="exact"/>
              <w:ind w:left="105"/>
              <w:rPr>
                <w:sz w:val="24"/>
              </w:rPr>
            </w:pPr>
            <w:r>
              <w:rPr>
                <w:sz w:val="24"/>
              </w:rPr>
              <w:t>Transparency</w:t>
            </w:r>
            <w:r>
              <w:rPr>
                <w:spacing w:val="-1"/>
                <w:sz w:val="24"/>
              </w:rPr>
              <w:t xml:space="preserve"> </w:t>
            </w:r>
            <w:r>
              <w:rPr>
                <w:spacing w:val="-4"/>
                <w:sz w:val="24"/>
              </w:rPr>
              <w:t>Code)</w:t>
            </w:r>
          </w:p>
        </w:tc>
        <w:tc>
          <w:tcPr>
            <w:tcW w:w="2358" w:type="dxa"/>
          </w:tcPr>
          <w:p w14:paraId="1E80572F" w14:textId="77777777" w:rsidR="00AA4A02" w:rsidRDefault="00960F31">
            <w:pPr>
              <w:pStyle w:val="TableParagraph"/>
              <w:spacing w:line="242" w:lineRule="auto"/>
              <w:ind w:left="105" w:right="162"/>
              <w:rPr>
                <w:sz w:val="24"/>
              </w:rPr>
            </w:pPr>
            <w:r>
              <w:rPr>
                <w:sz w:val="24"/>
              </w:rPr>
              <w:t>May</w:t>
            </w:r>
            <w:r>
              <w:rPr>
                <w:spacing w:val="-11"/>
                <w:sz w:val="24"/>
              </w:rPr>
              <w:t xml:space="preserve"> </w:t>
            </w:r>
            <w:r>
              <w:rPr>
                <w:sz w:val="24"/>
              </w:rPr>
              <w:t>be</w:t>
            </w:r>
            <w:r>
              <w:rPr>
                <w:spacing w:val="-12"/>
                <w:sz w:val="24"/>
              </w:rPr>
              <w:t xml:space="preserve"> </w:t>
            </w:r>
            <w:r>
              <w:rPr>
                <w:sz w:val="24"/>
              </w:rPr>
              <w:t>mandatory</w:t>
            </w:r>
            <w:r>
              <w:rPr>
                <w:spacing w:val="-10"/>
                <w:sz w:val="24"/>
              </w:rPr>
              <w:t xml:space="preserve"> </w:t>
            </w:r>
            <w:r>
              <w:rPr>
                <w:sz w:val="24"/>
              </w:rPr>
              <w:t xml:space="preserve">or </w:t>
            </w:r>
            <w:r>
              <w:rPr>
                <w:spacing w:val="-2"/>
                <w:sz w:val="24"/>
              </w:rPr>
              <w:t>non-mandatory</w:t>
            </w:r>
          </w:p>
        </w:tc>
        <w:tc>
          <w:tcPr>
            <w:tcW w:w="1614" w:type="dxa"/>
          </w:tcPr>
          <w:p w14:paraId="1E805730" w14:textId="77777777" w:rsidR="00AA4A02" w:rsidRDefault="00960F31">
            <w:pPr>
              <w:pStyle w:val="TableParagraph"/>
              <w:spacing w:line="273" w:lineRule="exact"/>
              <w:ind w:left="105"/>
              <w:rPr>
                <w:sz w:val="24"/>
              </w:rPr>
            </w:pPr>
            <w:r>
              <w:rPr>
                <w:sz w:val="24"/>
              </w:rPr>
              <w:t>AASB</w:t>
            </w:r>
            <w:r>
              <w:rPr>
                <w:spacing w:val="-2"/>
                <w:sz w:val="24"/>
              </w:rPr>
              <w:t xml:space="preserve"> Board</w:t>
            </w:r>
          </w:p>
        </w:tc>
      </w:tr>
      <w:tr w:rsidR="00AA4A02" w14:paraId="1E805735" w14:textId="77777777">
        <w:trPr>
          <w:trHeight w:val="277"/>
        </w:trPr>
        <w:tc>
          <w:tcPr>
            <w:tcW w:w="3683" w:type="dxa"/>
          </w:tcPr>
          <w:p w14:paraId="1E805732" w14:textId="77777777" w:rsidR="00AA4A02" w:rsidRDefault="00960F31">
            <w:pPr>
              <w:pStyle w:val="TableParagraph"/>
              <w:spacing w:line="258" w:lineRule="exact"/>
              <w:ind w:left="105"/>
              <w:rPr>
                <w:sz w:val="24"/>
              </w:rPr>
            </w:pPr>
            <w:r>
              <w:rPr>
                <w:sz w:val="24"/>
              </w:rPr>
              <w:t>Conceptual</w:t>
            </w:r>
            <w:r>
              <w:rPr>
                <w:spacing w:val="1"/>
                <w:sz w:val="24"/>
              </w:rPr>
              <w:t xml:space="preserve"> </w:t>
            </w:r>
            <w:r>
              <w:rPr>
                <w:sz w:val="24"/>
              </w:rPr>
              <w:t>framework</w:t>
            </w:r>
            <w:r>
              <w:rPr>
                <w:spacing w:val="2"/>
                <w:sz w:val="24"/>
              </w:rPr>
              <w:t xml:space="preserve"> </w:t>
            </w:r>
            <w:r>
              <w:rPr>
                <w:spacing w:val="-2"/>
                <w:sz w:val="24"/>
              </w:rPr>
              <w:t>documents</w:t>
            </w:r>
          </w:p>
        </w:tc>
        <w:tc>
          <w:tcPr>
            <w:tcW w:w="2358" w:type="dxa"/>
          </w:tcPr>
          <w:p w14:paraId="1E805733" w14:textId="77777777" w:rsidR="00AA4A02" w:rsidRDefault="00960F31">
            <w:pPr>
              <w:pStyle w:val="TableParagraph"/>
              <w:spacing w:line="258" w:lineRule="exact"/>
              <w:ind w:left="105"/>
              <w:rPr>
                <w:sz w:val="24"/>
              </w:rPr>
            </w:pPr>
            <w:r>
              <w:rPr>
                <w:spacing w:val="-2"/>
                <w:sz w:val="24"/>
              </w:rPr>
              <w:t>Non-mandatory</w:t>
            </w:r>
          </w:p>
        </w:tc>
        <w:tc>
          <w:tcPr>
            <w:tcW w:w="1614" w:type="dxa"/>
          </w:tcPr>
          <w:p w14:paraId="1E805734" w14:textId="77777777" w:rsidR="00AA4A02" w:rsidRDefault="00960F31">
            <w:pPr>
              <w:pStyle w:val="TableParagraph"/>
              <w:spacing w:line="258" w:lineRule="exact"/>
              <w:ind w:left="105"/>
              <w:rPr>
                <w:sz w:val="24"/>
              </w:rPr>
            </w:pPr>
            <w:r>
              <w:rPr>
                <w:sz w:val="24"/>
              </w:rPr>
              <w:t>AASB</w:t>
            </w:r>
            <w:r>
              <w:rPr>
                <w:spacing w:val="-2"/>
                <w:sz w:val="24"/>
              </w:rPr>
              <w:t xml:space="preserve"> Board</w:t>
            </w:r>
          </w:p>
        </w:tc>
      </w:tr>
      <w:tr w:rsidR="00AA4A02" w14:paraId="1E805739" w14:textId="77777777">
        <w:trPr>
          <w:trHeight w:val="273"/>
        </w:trPr>
        <w:tc>
          <w:tcPr>
            <w:tcW w:w="3683" w:type="dxa"/>
          </w:tcPr>
          <w:p w14:paraId="1E805736" w14:textId="77777777" w:rsidR="00AA4A02" w:rsidRDefault="00960F31">
            <w:pPr>
              <w:pStyle w:val="TableParagraph"/>
              <w:spacing w:line="253" w:lineRule="exact"/>
              <w:ind w:left="105"/>
              <w:rPr>
                <w:sz w:val="24"/>
              </w:rPr>
            </w:pPr>
            <w:r>
              <w:rPr>
                <w:sz w:val="24"/>
              </w:rPr>
              <w:t xml:space="preserve">Practice </w:t>
            </w:r>
            <w:r>
              <w:rPr>
                <w:spacing w:val="-2"/>
                <w:sz w:val="24"/>
              </w:rPr>
              <w:t>statements</w:t>
            </w:r>
          </w:p>
        </w:tc>
        <w:tc>
          <w:tcPr>
            <w:tcW w:w="2358" w:type="dxa"/>
          </w:tcPr>
          <w:p w14:paraId="1E805737" w14:textId="77777777" w:rsidR="00AA4A02" w:rsidRDefault="00960F31">
            <w:pPr>
              <w:pStyle w:val="TableParagraph"/>
              <w:spacing w:line="253" w:lineRule="exact"/>
              <w:ind w:left="105"/>
              <w:rPr>
                <w:sz w:val="24"/>
              </w:rPr>
            </w:pPr>
            <w:r>
              <w:rPr>
                <w:spacing w:val="-2"/>
                <w:sz w:val="24"/>
              </w:rPr>
              <w:t>Non-mandatory</w:t>
            </w:r>
          </w:p>
        </w:tc>
        <w:tc>
          <w:tcPr>
            <w:tcW w:w="1614" w:type="dxa"/>
          </w:tcPr>
          <w:p w14:paraId="1E805738" w14:textId="77777777" w:rsidR="00AA4A02" w:rsidRDefault="00960F31">
            <w:pPr>
              <w:pStyle w:val="TableParagraph"/>
              <w:spacing w:line="253" w:lineRule="exact"/>
              <w:ind w:left="105"/>
              <w:rPr>
                <w:sz w:val="24"/>
              </w:rPr>
            </w:pPr>
            <w:r>
              <w:rPr>
                <w:sz w:val="24"/>
              </w:rPr>
              <w:t>AASB</w:t>
            </w:r>
            <w:r>
              <w:rPr>
                <w:spacing w:val="-2"/>
                <w:sz w:val="24"/>
              </w:rPr>
              <w:t xml:space="preserve"> Board</w:t>
            </w:r>
          </w:p>
        </w:tc>
      </w:tr>
      <w:tr w:rsidR="00AA4A02" w14:paraId="1E80573D" w14:textId="77777777">
        <w:trPr>
          <w:trHeight w:val="278"/>
        </w:trPr>
        <w:tc>
          <w:tcPr>
            <w:tcW w:w="3683" w:type="dxa"/>
          </w:tcPr>
          <w:p w14:paraId="1E80573A" w14:textId="77777777" w:rsidR="00AA4A02" w:rsidRDefault="00960F31">
            <w:pPr>
              <w:pStyle w:val="TableParagraph"/>
              <w:spacing w:line="258" w:lineRule="exact"/>
              <w:ind w:left="105"/>
              <w:rPr>
                <w:sz w:val="24"/>
              </w:rPr>
            </w:pPr>
            <w:r>
              <w:rPr>
                <w:sz w:val="24"/>
              </w:rPr>
              <w:t>Agenda</w:t>
            </w:r>
            <w:r>
              <w:rPr>
                <w:spacing w:val="-3"/>
                <w:sz w:val="24"/>
              </w:rPr>
              <w:t xml:space="preserve"> </w:t>
            </w:r>
            <w:r>
              <w:rPr>
                <w:spacing w:val="-2"/>
                <w:sz w:val="24"/>
              </w:rPr>
              <w:t>decisions</w:t>
            </w:r>
          </w:p>
        </w:tc>
        <w:tc>
          <w:tcPr>
            <w:tcW w:w="2358" w:type="dxa"/>
          </w:tcPr>
          <w:p w14:paraId="1E80573B" w14:textId="77777777" w:rsidR="00AA4A02" w:rsidRDefault="00960F31">
            <w:pPr>
              <w:pStyle w:val="TableParagraph"/>
              <w:spacing w:line="258" w:lineRule="exact"/>
              <w:ind w:left="105"/>
              <w:rPr>
                <w:sz w:val="24"/>
              </w:rPr>
            </w:pPr>
            <w:r>
              <w:rPr>
                <w:sz w:val="24"/>
              </w:rPr>
              <w:t>Supportive</w:t>
            </w:r>
            <w:r>
              <w:rPr>
                <w:spacing w:val="3"/>
                <w:sz w:val="24"/>
              </w:rPr>
              <w:t xml:space="preserve"> </w:t>
            </w:r>
            <w:r>
              <w:rPr>
                <w:spacing w:val="-2"/>
                <w:sz w:val="24"/>
              </w:rPr>
              <w:t>material</w:t>
            </w:r>
          </w:p>
        </w:tc>
        <w:tc>
          <w:tcPr>
            <w:tcW w:w="1614" w:type="dxa"/>
          </w:tcPr>
          <w:p w14:paraId="1E80573C" w14:textId="77777777" w:rsidR="00AA4A02" w:rsidRDefault="00960F31">
            <w:pPr>
              <w:pStyle w:val="TableParagraph"/>
              <w:spacing w:line="258" w:lineRule="exact"/>
              <w:ind w:left="105"/>
              <w:rPr>
                <w:sz w:val="24"/>
              </w:rPr>
            </w:pPr>
            <w:r>
              <w:rPr>
                <w:sz w:val="24"/>
              </w:rPr>
              <w:t>AASB</w:t>
            </w:r>
            <w:r>
              <w:rPr>
                <w:spacing w:val="-2"/>
                <w:sz w:val="24"/>
              </w:rPr>
              <w:t xml:space="preserve"> Board</w:t>
            </w:r>
          </w:p>
        </w:tc>
      </w:tr>
      <w:tr w:rsidR="00AA4A02" w14:paraId="1E805741" w14:textId="77777777">
        <w:trPr>
          <w:trHeight w:val="273"/>
        </w:trPr>
        <w:tc>
          <w:tcPr>
            <w:tcW w:w="3683" w:type="dxa"/>
          </w:tcPr>
          <w:p w14:paraId="1E80573E" w14:textId="77777777" w:rsidR="00AA4A02" w:rsidRDefault="00960F31">
            <w:pPr>
              <w:pStyle w:val="TableParagraph"/>
              <w:spacing w:line="254" w:lineRule="exact"/>
              <w:ind w:left="105"/>
              <w:rPr>
                <w:b/>
                <w:sz w:val="24"/>
              </w:rPr>
            </w:pPr>
            <w:r>
              <w:rPr>
                <w:b/>
                <w:spacing w:val="-2"/>
                <w:sz w:val="24"/>
              </w:rPr>
              <w:t>Guidance</w:t>
            </w:r>
          </w:p>
        </w:tc>
        <w:tc>
          <w:tcPr>
            <w:tcW w:w="2358" w:type="dxa"/>
          </w:tcPr>
          <w:p w14:paraId="1E80573F" w14:textId="77777777" w:rsidR="00AA4A02" w:rsidRDefault="00AA4A02">
            <w:pPr>
              <w:pStyle w:val="TableParagraph"/>
              <w:ind w:left="0"/>
              <w:rPr>
                <w:sz w:val="20"/>
              </w:rPr>
            </w:pPr>
          </w:p>
        </w:tc>
        <w:tc>
          <w:tcPr>
            <w:tcW w:w="1614" w:type="dxa"/>
          </w:tcPr>
          <w:p w14:paraId="1E805740" w14:textId="77777777" w:rsidR="00AA4A02" w:rsidRDefault="00AA4A02">
            <w:pPr>
              <w:pStyle w:val="TableParagraph"/>
              <w:ind w:left="0"/>
              <w:rPr>
                <w:sz w:val="20"/>
              </w:rPr>
            </w:pPr>
          </w:p>
        </w:tc>
      </w:tr>
      <w:tr w:rsidR="00AA4A02" w14:paraId="1E805746" w14:textId="77777777">
        <w:trPr>
          <w:trHeight w:val="1108"/>
        </w:trPr>
        <w:tc>
          <w:tcPr>
            <w:tcW w:w="3683" w:type="dxa"/>
          </w:tcPr>
          <w:p w14:paraId="1E805742" w14:textId="77777777" w:rsidR="00AA4A02" w:rsidRDefault="00960F31">
            <w:pPr>
              <w:pStyle w:val="TableParagraph"/>
              <w:ind w:left="105" w:right="128"/>
              <w:rPr>
                <w:sz w:val="24"/>
              </w:rPr>
            </w:pPr>
            <w:r>
              <w:rPr>
                <w:sz w:val="24"/>
              </w:rPr>
              <w:t>Frequently Asked Questions (FAQs), Staff articles, presentations,</w:t>
            </w:r>
            <w:r>
              <w:rPr>
                <w:spacing w:val="-11"/>
                <w:sz w:val="24"/>
              </w:rPr>
              <w:t xml:space="preserve"> </w:t>
            </w:r>
            <w:r>
              <w:rPr>
                <w:sz w:val="24"/>
              </w:rPr>
              <w:t>newsletters</w:t>
            </w:r>
            <w:r>
              <w:rPr>
                <w:spacing w:val="-14"/>
                <w:sz w:val="24"/>
              </w:rPr>
              <w:t xml:space="preserve"> </w:t>
            </w:r>
            <w:r>
              <w:rPr>
                <w:sz w:val="24"/>
              </w:rPr>
              <w:t>and</w:t>
            </w:r>
            <w:r>
              <w:rPr>
                <w:spacing w:val="-13"/>
                <w:sz w:val="24"/>
              </w:rPr>
              <w:t xml:space="preserve"> </w:t>
            </w:r>
            <w:r>
              <w:rPr>
                <w:sz w:val="24"/>
              </w:rPr>
              <w:t>other</w:t>
            </w:r>
          </w:p>
          <w:p w14:paraId="1E805743" w14:textId="77777777" w:rsidR="00AA4A02" w:rsidRDefault="00960F31">
            <w:pPr>
              <w:pStyle w:val="TableParagraph"/>
              <w:spacing w:line="261" w:lineRule="exact"/>
              <w:ind w:left="105"/>
              <w:rPr>
                <w:sz w:val="24"/>
              </w:rPr>
            </w:pPr>
            <w:r>
              <w:rPr>
                <w:sz w:val="24"/>
              </w:rPr>
              <w:t>educational</w:t>
            </w:r>
            <w:r>
              <w:rPr>
                <w:spacing w:val="-1"/>
                <w:sz w:val="24"/>
              </w:rPr>
              <w:t xml:space="preserve"> </w:t>
            </w:r>
            <w:r>
              <w:rPr>
                <w:spacing w:val="-2"/>
                <w:sz w:val="24"/>
              </w:rPr>
              <w:t>materials</w:t>
            </w:r>
          </w:p>
        </w:tc>
        <w:tc>
          <w:tcPr>
            <w:tcW w:w="2358" w:type="dxa"/>
          </w:tcPr>
          <w:p w14:paraId="1E805744" w14:textId="77777777" w:rsidR="00AA4A02" w:rsidRDefault="00960F31">
            <w:pPr>
              <w:pStyle w:val="TableParagraph"/>
              <w:spacing w:line="273" w:lineRule="exact"/>
              <w:ind w:left="105"/>
              <w:rPr>
                <w:sz w:val="24"/>
              </w:rPr>
            </w:pPr>
            <w:r>
              <w:rPr>
                <w:sz w:val="24"/>
              </w:rPr>
              <w:t>Supportive</w:t>
            </w:r>
            <w:r>
              <w:rPr>
                <w:spacing w:val="3"/>
                <w:sz w:val="24"/>
              </w:rPr>
              <w:t xml:space="preserve"> </w:t>
            </w:r>
            <w:r>
              <w:rPr>
                <w:spacing w:val="-2"/>
                <w:sz w:val="24"/>
              </w:rPr>
              <w:t>material</w:t>
            </w:r>
          </w:p>
        </w:tc>
        <w:tc>
          <w:tcPr>
            <w:tcW w:w="1614" w:type="dxa"/>
          </w:tcPr>
          <w:p w14:paraId="1E805745" w14:textId="77777777" w:rsidR="00AA4A02" w:rsidRDefault="00960F31">
            <w:pPr>
              <w:pStyle w:val="TableParagraph"/>
              <w:spacing w:line="273" w:lineRule="exact"/>
              <w:ind w:left="105"/>
              <w:rPr>
                <w:sz w:val="24"/>
              </w:rPr>
            </w:pPr>
            <w:r>
              <w:rPr>
                <w:sz w:val="24"/>
              </w:rPr>
              <w:t xml:space="preserve">AASB </w:t>
            </w:r>
            <w:r>
              <w:rPr>
                <w:spacing w:val="-2"/>
                <w:sz w:val="24"/>
              </w:rPr>
              <w:t>staff</w:t>
            </w:r>
          </w:p>
        </w:tc>
      </w:tr>
    </w:tbl>
    <w:p w14:paraId="1E805747" w14:textId="77777777" w:rsidR="00AA4A02" w:rsidRDefault="00AA4A02">
      <w:pPr>
        <w:pStyle w:val="BodyText"/>
        <w:rPr>
          <w:sz w:val="20"/>
        </w:rPr>
      </w:pPr>
    </w:p>
    <w:p w14:paraId="1E805748" w14:textId="77777777" w:rsidR="00AA4A02" w:rsidRDefault="00AA4A02">
      <w:pPr>
        <w:pStyle w:val="BodyText"/>
        <w:rPr>
          <w:sz w:val="20"/>
        </w:rPr>
      </w:pPr>
    </w:p>
    <w:p w14:paraId="1E805749" w14:textId="77777777" w:rsidR="00AA4A02" w:rsidRDefault="00AA4A02">
      <w:pPr>
        <w:pStyle w:val="BodyText"/>
        <w:rPr>
          <w:sz w:val="20"/>
        </w:rPr>
      </w:pPr>
    </w:p>
    <w:p w14:paraId="1E80574A" w14:textId="77777777" w:rsidR="00AA4A02" w:rsidRDefault="00960F31">
      <w:pPr>
        <w:pStyle w:val="BodyText"/>
        <w:spacing w:before="63"/>
        <w:rPr>
          <w:sz w:val="20"/>
        </w:rPr>
      </w:pPr>
      <w:r>
        <w:rPr>
          <w:noProof/>
          <w:sz w:val="20"/>
        </w:rPr>
        <mc:AlternateContent>
          <mc:Choice Requires="wps">
            <w:drawing>
              <wp:anchor distT="0" distB="0" distL="0" distR="0" simplePos="0" relativeHeight="487592448" behindDoc="1" locked="0" layoutInCell="1" allowOverlap="1" wp14:anchorId="1E805F25" wp14:editId="1E805F26">
                <wp:simplePos x="0" y="0"/>
                <wp:positionH relativeFrom="page">
                  <wp:posOffset>899464</wp:posOffset>
                </wp:positionH>
                <wp:positionV relativeFrom="paragraph">
                  <wp:posOffset>201840</wp:posOffset>
                </wp:positionV>
                <wp:extent cx="183007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18787" id="Graphic 28" o:spid="_x0000_s1026" style="position:absolute;margin-left:70.8pt;margin-top:15.9pt;width:144.1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" path="m1829689,l,,,6095r1829689,l1829689,xe" fillcolor="black" stroked="f">
                <v:path arrowok="t"/>
                <w10:wrap type="topAndBottom" anchorx="page"/>
              </v:shape>
            </w:pict>
          </mc:Fallback>
        </mc:AlternateContent>
      </w:r>
    </w:p>
    <w:p w14:paraId="1E80574B" w14:textId="77777777" w:rsidR="00AA4A02" w:rsidRDefault="00960F31">
      <w:pPr>
        <w:pStyle w:val="ListParagraph"/>
        <w:numPr>
          <w:ilvl w:val="0"/>
          <w:numId w:val="53"/>
        </w:numPr>
        <w:tabs>
          <w:tab w:val="left" w:pos="482"/>
        </w:tabs>
        <w:spacing w:before="106"/>
        <w:ind w:right="453"/>
        <w:rPr>
          <w:sz w:val="20"/>
        </w:rPr>
      </w:pPr>
      <w:r>
        <w:rPr>
          <w:sz w:val="20"/>
        </w:rPr>
        <w:t>ASIC Act,</w:t>
      </w:r>
      <w:r>
        <w:rPr>
          <w:spacing w:val="-1"/>
          <w:sz w:val="20"/>
        </w:rPr>
        <w:t xml:space="preserve"> </w:t>
      </w:r>
      <w:r>
        <w:rPr>
          <w:sz w:val="20"/>
        </w:rPr>
        <w:t>s224(a)</w:t>
      </w:r>
      <w:r>
        <w:rPr>
          <w:spacing w:val="-3"/>
          <w:sz w:val="20"/>
        </w:rPr>
        <w:t xml:space="preserve"> </w:t>
      </w:r>
      <w:r>
        <w:rPr>
          <w:sz w:val="20"/>
        </w:rPr>
        <w:t>–</w:t>
      </w:r>
      <w:r>
        <w:rPr>
          <w:spacing w:val="-3"/>
          <w:sz w:val="20"/>
        </w:rPr>
        <w:t xml:space="preserve"> </w:t>
      </w:r>
      <w:r>
        <w:rPr>
          <w:sz w:val="20"/>
        </w:rPr>
        <w:t>a standard</w:t>
      </w:r>
      <w:r>
        <w:rPr>
          <w:spacing w:val="-2"/>
          <w:sz w:val="20"/>
        </w:rPr>
        <w:t xml:space="preserve"> </w:t>
      </w:r>
      <w:r>
        <w:rPr>
          <w:sz w:val="20"/>
        </w:rPr>
        <w:t>that</w:t>
      </w:r>
      <w:r>
        <w:rPr>
          <w:spacing w:val="-1"/>
          <w:sz w:val="20"/>
        </w:rPr>
        <w:t xml:space="preserve"> </w:t>
      </w:r>
      <w:r>
        <w:rPr>
          <w:sz w:val="20"/>
        </w:rPr>
        <w:t>requires</w:t>
      </w:r>
      <w:r>
        <w:rPr>
          <w:spacing w:val="-4"/>
          <w:sz w:val="20"/>
        </w:rPr>
        <w:t xml:space="preserve"> </w:t>
      </w:r>
      <w:r>
        <w:rPr>
          <w:sz w:val="20"/>
        </w:rPr>
        <w:t>the</w:t>
      </w:r>
      <w:r>
        <w:rPr>
          <w:spacing w:val="-2"/>
          <w:sz w:val="20"/>
        </w:rPr>
        <w:t xml:space="preserve"> </w:t>
      </w:r>
      <w:r>
        <w:rPr>
          <w:sz w:val="20"/>
        </w:rPr>
        <w:t>provision</w:t>
      </w:r>
      <w:r>
        <w:rPr>
          <w:spacing w:val="-3"/>
          <w:sz w:val="20"/>
        </w:rPr>
        <w:t xml:space="preserve"> </w:t>
      </w:r>
      <w:r>
        <w:rPr>
          <w:sz w:val="20"/>
        </w:rPr>
        <w:t>of</w:t>
      </w:r>
      <w:r>
        <w:rPr>
          <w:spacing w:val="-3"/>
          <w:sz w:val="20"/>
        </w:rPr>
        <w:t xml:space="preserve"> </w:t>
      </w:r>
      <w:r>
        <w:rPr>
          <w:sz w:val="20"/>
        </w:rPr>
        <w:t>financial</w:t>
      </w:r>
      <w:r>
        <w:rPr>
          <w:spacing w:val="-1"/>
          <w:sz w:val="20"/>
        </w:rPr>
        <w:t xml:space="preserve"> </w:t>
      </w:r>
      <w:r>
        <w:rPr>
          <w:sz w:val="20"/>
        </w:rPr>
        <w:t>information</w:t>
      </w:r>
      <w:r>
        <w:rPr>
          <w:spacing w:val="-2"/>
          <w:sz w:val="20"/>
        </w:rPr>
        <w:t xml:space="preserve"> </w:t>
      </w:r>
      <w:r>
        <w:rPr>
          <w:sz w:val="20"/>
        </w:rPr>
        <w:t>that</w:t>
      </w:r>
      <w:r>
        <w:rPr>
          <w:spacing w:val="-1"/>
          <w:sz w:val="20"/>
        </w:rPr>
        <w:t xml:space="preserve"> </w:t>
      </w:r>
      <w:r>
        <w:rPr>
          <w:sz w:val="20"/>
        </w:rPr>
        <w:t>allows</w:t>
      </w:r>
      <w:r>
        <w:rPr>
          <w:spacing w:val="-1"/>
          <w:sz w:val="20"/>
        </w:rPr>
        <w:t xml:space="preserve"> </w:t>
      </w:r>
      <w:r>
        <w:rPr>
          <w:sz w:val="20"/>
        </w:rPr>
        <w:t>users</w:t>
      </w:r>
      <w:r>
        <w:rPr>
          <w:spacing w:val="-4"/>
          <w:sz w:val="20"/>
        </w:rPr>
        <w:t xml:space="preserve"> </w:t>
      </w:r>
      <w:r>
        <w:rPr>
          <w:sz w:val="20"/>
        </w:rPr>
        <w:t>to</w:t>
      </w:r>
      <w:r>
        <w:rPr>
          <w:spacing w:val="-3"/>
          <w:sz w:val="20"/>
        </w:rPr>
        <w:t xml:space="preserve"> </w:t>
      </w:r>
      <w:r>
        <w:rPr>
          <w:sz w:val="20"/>
        </w:rPr>
        <w:t xml:space="preserve">make and evaluate decisions about allocating scarce resources, assists directors to discharge their obligations in relation to financial reporting and is relevant to assessing performance, financial position, financing and </w:t>
      </w:r>
      <w:r>
        <w:rPr>
          <w:spacing w:val="-2"/>
          <w:sz w:val="20"/>
        </w:rPr>
        <w:t>investment.</w:t>
      </w:r>
    </w:p>
    <w:p w14:paraId="1E80574C"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4D" w14:textId="77777777" w:rsidR="00AA4A02" w:rsidRDefault="00960F31">
      <w:pPr>
        <w:pStyle w:val="ListParagraph"/>
        <w:numPr>
          <w:ilvl w:val="1"/>
          <w:numId w:val="54"/>
        </w:numPr>
        <w:tabs>
          <w:tab w:val="left" w:pos="852"/>
        </w:tabs>
        <w:spacing w:before="80"/>
        <w:ind w:right="519"/>
        <w:rPr>
          <w:sz w:val="24"/>
        </w:rPr>
      </w:pPr>
      <w:r>
        <w:rPr>
          <w:sz w:val="24"/>
        </w:rPr>
        <w:lastRenderedPageBreak/>
        <w:t>The extent of compliance required with Standards and Interpretations issued by the AASB is determined by</w:t>
      </w:r>
      <w:r>
        <w:rPr>
          <w:spacing w:val="-3"/>
          <w:sz w:val="24"/>
        </w:rPr>
        <w:t xml:space="preserve"> </w:t>
      </w:r>
      <w:r>
        <w:rPr>
          <w:sz w:val="24"/>
        </w:rPr>
        <w:t>the legislative or</w:t>
      </w:r>
      <w:r>
        <w:rPr>
          <w:spacing w:val="-1"/>
          <w:sz w:val="24"/>
        </w:rPr>
        <w:t xml:space="preserve"> </w:t>
      </w:r>
      <w:r>
        <w:rPr>
          <w:sz w:val="24"/>
        </w:rPr>
        <w:t>regulatory requirements of</w:t>
      </w:r>
      <w:r>
        <w:rPr>
          <w:spacing w:val="-1"/>
          <w:sz w:val="24"/>
        </w:rPr>
        <w:t xml:space="preserve"> </w:t>
      </w:r>
      <w:r>
        <w:rPr>
          <w:sz w:val="24"/>
        </w:rPr>
        <w:t>other</w:t>
      </w:r>
      <w:r>
        <w:rPr>
          <w:spacing w:val="-2"/>
          <w:sz w:val="24"/>
        </w:rPr>
        <w:t xml:space="preserve"> </w:t>
      </w:r>
      <w:r>
        <w:rPr>
          <w:sz w:val="24"/>
        </w:rPr>
        <w:t>regulators, and/or an</w:t>
      </w:r>
      <w:r>
        <w:rPr>
          <w:spacing w:val="-2"/>
          <w:sz w:val="24"/>
        </w:rPr>
        <w:t xml:space="preserve"> </w:t>
      </w:r>
      <w:r>
        <w:rPr>
          <w:sz w:val="24"/>
        </w:rPr>
        <w:t>entity’s</w:t>
      </w:r>
      <w:r>
        <w:rPr>
          <w:spacing w:val="-4"/>
          <w:sz w:val="24"/>
        </w:rPr>
        <w:t xml:space="preserve"> </w:t>
      </w:r>
      <w:r>
        <w:rPr>
          <w:sz w:val="24"/>
        </w:rPr>
        <w:t>constituting</w:t>
      </w:r>
      <w:r>
        <w:rPr>
          <w:spacing w:val="-2"/>
          <w:sz w:val="24"/>
        </w:rPr>
        <w:t xml:space="preserve"> </w:t>
      </w:r>
      <w:r>
        <w:rPr>
          <w:sz w:val="24"/>
        </w:rPr>
        <w:t>or</w:t>
      </w:r>
      <w:r>
        <w:rPr>
          <w:spacing w:val="-5"/>
          <w:sz w:val="24"/>
        </w:rPr>
        <w:t xml:space="preserve"> </w:t>
      </w:r>
      <w:r>
        <w:rPr>
          <w:sz w:val="24"/>
        </w:rPr>
        <w:t>other</w:t>
      </w:r>
      <w:r>
        <w:rPr>
          <w:spacing w:val="-6"/>
          <w:sz w:val="24"/>
        </w:rPr>
        <w:t xml:space="preserve"> </w:t>
      </w:r>
      <w:r>
        <w:rPr>
          <w:sz w:val="24"/>
        </w:rPr>
        <w:t>documents,</w:t>
      </w:r>
      <w:r>
        <w:rPr>
          <w:spacing w:val="-4"/>
          <w:sz w:val="24"/>
        </w:rPr>
        <w:t xml:space="preserve"> </w:t>
      </w:r>
      <w:r>
        <w:rPr>
          <w:sz w:val="24"/>
        </w:rPr>
        <w:t>in</w:t>
      </w:r>
      <w:r>
        <w:rPr>
          <w:spacing w:val="-2"/>
          <w:sz w:val="24"/>
        </w:rPr>
        <w:t xml:space="preserve"> </w:t>
      </w:r>
      <w:r>
        <w:rPr>
          <w:sz w:val="24"/>
        </w:rPr>
        <w:t>conjunction</w:t>
      </w:r>
      <w:r>
        <w:rPr>
          <w:spacing w:val="-1"/>
          <w:sz w:val="24"/>
        </w:rPr>
        <w:t xml:space="preserve"> </w:t>
      </w:r>
      <w:r>
        <w:rPr>
          <w:sz w:val="24"/>
        </w:rPr>
        <w:t>with</w:t>
      </w:r>
      <w:r>
        <w:rPr>
          <w:spacing w:val="-6"/>
          <w:sz w:val="24"/>
        </w:rPr>
        <w:t xml:space="preserve"> </w:t>
      </w:r>
      <w:r>
        <w:rPr>
          <w:sz w:val="24"/>
        </w:rPr>
        <w:t>the</w:t>
      </w:r>
      <w:r>
        <w:rPr>
          <w:spacing w:val="-2"/>
          <w:sz w:val="24"/>
        </w:rPr>
        <w:t xml:space="preserve"> </w:t>
      </w:r>
      <w:r>
        <w:rPr>
          <w:sz w:val="24"/>
        </w:rPr>
        <w:t>application paragraphs of Standards and Interpretations set by the AASB. Other guidance issued by the AASB is generally not authoritative (eg Examples and Practice Statements).</w:t>
      </w:r>
    </w:p>
    <w:p w14:paraId="1E80574E" w14:textId="77777777" w:rsidR="00AA4A02" w:rsidRDefault="00960F31">
      <w:pPr>
        <w:pStyle w:val="ListParagraph"/>
        <w:numPr>
          <w:ilvl w:val="1"/>
          <w:numId w:val="54"/>
        </w:numPr>
        <w:tabs>
          <w:tab w:val="left" w:pos="852"/>
        </w:tabs>
        <w:spacing w:before="243"/>
        <w:ind w:right="431"/>
        <w:rPr>
          <w:sz w:val="24"/>
        </w:rPr>
      </w:pPr>
      <w:r>
        <w:rPr>
          <w:sz w:val="24"/>
        </w:rPr>
        <w:t>Accounting</w:t>
      </w:r>
      <w:r>
        <w:rPr>
          <w:spacing w:val="-1"/>
          <w:sz w:val="24"/>
        </w:rPr>
        <w:t xml:space="preserve"> </w:t>
      </w:r>
      <w:r>
        <w:rPr>
          <w:sz w:val="24"/>
        </w:rPr>
        <w:t>Standards</w:t>
      </w:r>
      <w:r>
        <w:rPr>
          <w:spacing w:val="-3"/>
          <w:sz w:val="24"/>
        </w:rPr>
        <w:t xml:space="preserve"> </w:t>
      </w:r>
      <w:r>
        <w:rPr>
          <w:sz w:val="24"/>
        </w:rPr>
        <w:t>may</w:t>
      </w:r>
      <w:r>
        <w:rPr>
          <w:spacing w:val="-2"/>
          <w:sz w:val="24"/>
        </w:rPr>
        <w:t xml:space="preserve"> </w:t>
      </w:r>
      <w:r>
        <w:rPr>
          <w:sz w:val="24"/>
        </w:rPr>
        <w:t>be</w:t>
      </w:r>
      <w:r>
        <w:rPr>
          <w:spacing w:val="-3"/>
          <w:sz w:val="24"/>
        </w:rPr>
        <w:t xml:space="preserve"> </w:t>
      </w:r>
      <w:r>
        <w:rPr>
          <w:sz w:val="24"/>
        </w:rPr>
        <w:t>issued</w:t>
      </w:r>
      <w:r>
        <w:rPr>
          <w:spacing w:val="-2"/>
          <w:sz w:val="24"/>
        </w:rPr>
        <w:t xml:space="preserve"> </w:t>
      </w:r>
      <w:r>
        <w:rPr>
          <w:sz w:val="24"/>
        </w:rPr>
        <w:t>under</w:t>
      </w:r>
      <w:r>
        <w:rPr>
          <w:spacing w:val="-5"/>
          <w:sz w:val="24"/>
        </w:rPr>
        <w:t xml:space="preserve"> </w:t>
      </w:r>
      <w:r>
        <w:rPr>
          <w:sz w:val="24"/>
        </w:rPr>
        <w:t>section</w:t>
      </w:r>
      <w:r>
        <w:rPr>
          <w:spacing w:val="-2"/>
          <w:sz w:val="24"/>
        </w:rPr>
        <w:t xml:space="preserve"> </w:t>
      </w:r>
      <w:r>
        <w:rPr>
          <w:sz w:val="24"/>
        </w:rPr>
        <w:t>334</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Corporations</w:t>
      </w:r>
      <w:r>
        <w:rPr>
          <w:spacing w:val="-3"/>
          <w:sz w:val="24"/>
        </w:rPr>
        <w:t xml:space="preserve"> </w:t>
      </w:r>
      <w:r>
        <w:rPr>
          <w:sz w:val="24"/>
        </w:rPr>
        <w:t>Act</w:t>
      </w:r>
      <w:r>
        <w:rPr>
          <w:spacing w:val="-1"/>
          <w:sz w:val="24"/>
        </w:rPr>
        <w:t xml:space="preserve"> </w:t>
      </w:r>
      <w:r>
        <w:rPr>
          <w:sz w:val="24"/>
        </w:rPr>
        <w:t>for</w:t>
      </w:r>
      <w:r>
        <w:rPr>
          <w:spacing w:val="-1"/>
          <w:sz w:val="24"/>
        </w:rPr>
        <w:t xml:space="preserve"> </w:t>
      </w:r>
      <w:r>
        <w:rPr>
          <w:sz w:val="24"/>
        </w:rPr>
        <w:t xml:space="preserve">the purposes of the Corporations legislation or for other purposes that provide financial information integral to financial reports (eg standards applying only to public sector entities, remuneration reporting, service performance reporting or management </w:t>
      </w:r>
      <w:r>
        <w:rPr>
          <w:spacing w:val="-2"/>
          <w:sz w:val="24"/>
        </w:rPr>
        <w:t>commentary).</w:t>
      </w:r>
    </w:p>
    <w:p w14:paraId="1E80574F" w14:textId="77777777" w:rsidR="00AA4A02" w:rsidRDefault="00960F31">
      <w:pPr>
        <w:pStyle w:val="ListParagraph"/>
        <w:numPr>
          <w:ilvl w:val="1"/>
          <w:numId w:val="54"/>
        </w:numPr>
        <w:tabs>
          <w:tab w:val="left" w:pos="852"/>
        </w:tabs>
        <w:spacing w:before="243"/>
        <w:rPr>
          <w:sz w:val="24"/>
        </w:rPr>
      </w:pPr>
      <w:r>
        <w:rPr>
          <w:sz w:val="24"/>
        </w:rPr>
        <w:t>The</w:t>
      </w:r>
      <w:r>
        <w:rPr>
          <w:spacing w:val="-1"/>
          <w:sz w:val="24"/>
        </w:rPr>
        <w:t xml:space="preserve"> </w:t>
      </w:r>
      <w:r>
        <w:rPr>
          <w:sz w:val="24"/>
        </w:rPr>
        <w:t>mandatory</w:t>
      </w:r>
      <w:r>
        <w:rPr>
          <w:spacing w:val="-3"/>
          <w:sz w:val="24"/>
        </w:rPr>
        <w:t xml:space="preserve"> </w:t>
      </w:r>
      <w:r>
        <w:rPr>
          <w:sz w:val="24"/>
        </w:rPr>
        <w:t>parts of</w:t>
      </w:r>
      <w:r>
        <w:rPr>
          <w:spacing w:val="-2"/>
          <w:sz w:val="24"/>
        </w:rPr>
        <w:t xml:space="preserve"> </w:t>
      </w:r>
      <w:r>
        <w:rPr>
          <w:sz w:val="24"/>
        </w:rPr>
        <w:t>an</w:t>
      </w:r>
      <w:r>
        <w:rPr>
          <w:spacing w:val="1"/>
          <w:sz w:val="24"/>
        </w:rPr>
        <w:t xml:space="preserve"> </w:t>
      </w:r>
      <w:r>
        <w:rPr>
          <w:sz w:val="24"/>
        </w:rPr>
        <w:t>Australian</w:t>
      </w:r>
      <w:r>
        <w:rPr>
          <w:spacing w:val="2"/>
          <w:sz w:val="24"/>
        </w:rPr>
        <w:t xml:space="preserve"> </w:t>
      </w:r>
      <w:r>
        <w:rPr>
          <w:sz w:val="24"/>
        </w:rPr>
        <w:t>Accounting</w:t>
      </w:r>
      <w:r>
        <w:rPr>
          <w:spacing w:val="-8"/>
          <w:sz w:val="24"/>
        </w:rPr>
        <w:t xml:space="preserve"> </w:t>
      </w:r>
      <w:r>
        <w:rPr>
          <w:sz w:val="24"/>
        </w:rPr>
        <w:t>Standard</w:t>
      </w:r>
      <w:r>
        <w:rPr>
          <w:spacing w:val="2"/>
          <w:sz w:val="24"/>
        </w:rPr>
        <w:t xml:space="preserve"> </w:t>
      </w:r>
      <w:r>
        <w:rPr>
          <w:spacing w:val="-4"/>
          <w:sz w:val="24"/>
        </w:rPr>
        <w:t>are:</w:t>
      </w:r>
    </w:p>
    <w:p w14:paraId="1E805750" w14:textId="77777777" w:rsidR="00AA4A02" w:rsidRDefault="00960F31">
      <w:pPr>
        <w:pStyle w:val="ListParagraph"/>
        <w:numPr>
          <w:ilvl w:val="2"/>
          <w:numId w:val="54"/>
        </w:numPr>
        <w:tabs>
          <w:tab w:val="left" w:pos="1557"/>
        </w:tabs>
        <w:spacing w:before="243"/>
        <w:ind w:left="1557" w:hanging="705"/>
        <w:rPr>
          <w:sz w:val="24"/>
        </w:rPr>
      </w:pPr>
      <w:r>
        <w:rPr>
          <w:sz w:val="24"/>
        </w:rPr>
        <w:t>the</w:t>
      </w:r>
      <w:r>
        <w:rPr>
          <w:spacing w:val="-2"/>
          <w:sz w:val="24"/>
        </w:rPr>
        <w:t xml:space="preserve"> </w:t>
      </w:r>
      <w:r>
        <w:rPr>
          <w:sz w:val="24"/>
        </w:rPr>
        <w:t>principles</w:t>
      </w:r>
      <w:r>
        <w:rPr>
          <w:spacing w:val="-2"/>
          <w:sz w:val="24"/>
        </w:rPr>
        <w:t xml:space="preserve"> </w:t>
      </w:r>
      <w:r>
        <w:rPr>
          <w:sz w:val="24"/>
        </w:rPr>
        <w:t>and</w:t>
      </w:r>
      <w:r>
        <w:rPr>
          <w:spacing w:val="1"/>
          <w:sz w:val="24"/>
        </w:rPr>
        <w:t xml:space="preserve"> </w:t>
      </w:r>
      <w:r>
        <w:rPr>
          <w:sz w:val="24"/>
        </w:rPr>
        <w:t>the</w:t>
      </w:r>
      <w:r>
        <w:rPr>
          <w:spacing w:val="-5"/>
          <w:sz w:val="24"/>
        </w:rPr>
        <w:t xml:space="preserve"> </w:t>
      </w:r>
      <w:r>
        <w:rPr>
          <w:sz w:val="24"/>
        </w:rPr>
        <w:t>related</w:t>
      </w:r>
      <w:r>
        <w:rPr>
          <w:spacing w:val="1"/>
          <w:sz w:val="24"/>
        </w:rPr>
        <w:t xml:space="preserve"> </w:t>
      </w:r>
      <w:r>
        <w:rPr>
          <w:sz w:val="24"/>
        </w:rPr>
        <w:t>application</w:t>
      </w:r>
      <w:r>
        <w:rPr>
          <w:spacing w:val="2"/>
          <w:sz w:val="24"/>
        </w:rPr>
        <w:t xml:space="preserve"> </w:t>
      </w:r>
      <w:r>
        <w:rPr>
          <w:sz w:val="24"/>
        </w:rPr>
        <w:t>guidance,</w:t>
      </w:r>
      <w:r>
        <w:rPr>
          <w:spacing w:val="-2"/>
          <w:sz w:val="24"/>
        </w:rPr>
        <w:t xml:space="preserve"> </w:t>
      </w:r>
      <w:r>
        <w:rPr>
          <w:sz w:val="24"/>
        </w:rPr>
        <w:t>which generally</w:t>
      </w:r>
      <w:r>
        <w:rPr>
          <w:spacing w:val="2"/>
          <w:sz w:val="24"/>
        </w:rPr>
        <w:t xml:space="preserve"> </w:t>
      </w:r>
      <w:r>
        <w:rPr>
          <w:spacing w:val="-2"/>
          <w:sz w:val="24"/>
        </w:rPr>
        <w:t>covers:</w:t>
      </w:r>
    </w:p>
    <w:p w14:paraId="1E805751" w14:textId="77777777" w:rsidR="00AA4A02" w:rsidRDefault="00960F31">
      <w:pPr>
        <w:pStyle w:val="ListParagraph"/>
        <w:numPr>
          <w:ilvl w:val="3"/>
          <w:numId w:val="54"/>
        </w:numPr>
        <w:tabs>
          <w:tab w:val="left" w:pos="2268"/>
        </w:tabs>
        <w:spacing w:before="237"/>
        <w:ind w:hanging="710"/>
        <w:rPr>
          <w:sz w:val="24"/>
        </w:rPr>
      </w:pPr>
      <w:r>
        <w:rPr>
          <w:sz w:val="24"/>
        </w:rPr>
        <w:t>objective</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Standard;</w:t>
      </w:r>
    </w:p>
    <w:p w14:paraId="1E805752" w14:textId="77777777" w:rsidR="00AA4A02" w:rsidRDefault="00960F31">
      <w:pPr>
        <w:pStyle w:val="ListParagraph"/>
        <w:numPr>
          <w:ilvl w:val="3"/>
          <w:numId w:val="54"/>
        </w:numPr>
        <w:tabs>
          <w:tab w:val="left" w:pos="2268"/>
        </w:tabs>
        <w:spacing w:before="243"/>
        <w:ind w:hanging="710"/>
        <w:rPr>
          <w:sz w:val="24"/>
        </w:rPr>
      </w:pPr>
      <w:r>
        <w:rPr>
          <w:sz w:val="24"/>
        </w:rPr>
        <w:t>scope</w:t>
      </w:r>
      <w:r>
        <w:rPr>
          <w:spacing w:val="-1"/>
          <w:sz w:val="24"/>
        </w:rPr>
        <w:t xml:space="preserve"> </w:t>
      </w:r>
      <w:r>
        <w:rPr>
          <w:sz w:val="24"/>
        </w:rPr>
        <w:t>(what</w:t>
      </w:r>
      <w:r>
        <w:rPr>
          <w:spacing w:val="1"/>
          <w:sz w:val="24"/>
        </w:rPr>
        <w:t xml:space="preserve"> </w:t>
      </w:r>
      <w:r>
        <w:rPr>
          <w:sz w:val="24"/>
        </w:rPr>
        <w:t>transactions</w:t>
      </w:r>
      <w:r>
        <w:rPr>
          <w:spacing w:val="-1"/>
          <w:sz w:val="24"/>
        </w:rPr>
        <w:t xml:space="preserve"> </w:t>
      </w:r>
      <w:r>
        <w:rPr>
          <w:sz w:val="24"/>
        </w:rPr>
        <w:t>the Standard applies</w:t>
      </w:r>
      <w:r>
        <w:rPr>
          <w:spacing w:val="-1"/>
          <w:sz w:val="24"/>
        </w:rPr>
        <w:t xml:space="preserve"> </w:t>
      </w:r>
      <w:r>
        <w:rPr>
          <w:spacing w:val="-4"/>
          <w:sz w:val="24"/>
        </w:rPr>
        <w:t>to);</w:t>
      </w:r>
    </w:p>
    <w:p w14:paraId="1E805753" w14:textId="77777777" w:rsidR="00AA4A02" w:rsidRDefault="00960F31">
      <w:pPr>
        <w:pStyle w:val="ListParagraph"/>
        <w:numPr>
          <w:ilvl w:val="3"/>
          <w:numId w:val="54"/>
        </w:numPr>
        <w:tabs>
          <w:tab w:val="left" w:pos="2268"/>
        </w:tabs>
        <w:spacing w:before="233" w:line="247" w:lineRule="auto"/>
        <w:ind w:right="436"/>
        <w:rPr>
          <w:sz w:val="24"/>
        </w:rPr>
      </w:pPr>
      <w:r>
        <w:rPr>
          <w:sz w:val="24"/>
        </w:rPr>
        <w:t>recognition</w:t>
      </w:r>
      <w:r>
        <w:rPr>
          <w:spacing w:val="-3"/>
          <w:sz w:val="24"/>
        </w:rPr>
        <w:t xml:space="preserve"> </w:t>
      </w:r>
      <w:r>
        <w:rPr>
          <w:sz w:val="24"/>
        </w:rPr>
        <w:t>(when</w:t>
      </w:r>
      <w:r>
        <w:rPr>
          <w:spacing w:val="-7"/>
          <w:sz w:val="24"/>
        </w:rPr>
        <w:t xml:space="preserve"> </w:t>
      </w:r>
      <w:r>
        <w:rPr>
          <w:sz w:val="24"/>
        </w:rPr>
        <w:t>transactions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recognised</w:t>
      </w:r>
      <w:r>
        <w:rPr>
          <w:spacing w:val="-3"/>
          <w:sz w:val="24"/>
        </w:rPr>
        <w:t xml:space="preserve"> </w:t>
      </w:r>
      <w:r>
        <w:rPr>
          <w:sz w:val="24"/>
        </w:rPr>
        <w:t>for</w:t>
      </w:r>
      <w:r>
        <w:rPr>
          <w:spacing w:val="-6"/>
          <w:sz w:val="24"/>
        </w:rPr>
        <w:t xml:space="preserve"> </w:t>
      </w:r>
      <w:r>
        <w:rPr>
          <w:sz w:val="24"/>
        </w:rPr>
        <w:t>presentation</w:t>
      </w:r>
      <w:r>
        <w:rPr>
          <w:spacing w:val="-3"/>
          <w:sz w:val="24"/>
        </w:rPr>
        <w:t xml:space="preserve"> </w:t>
      </w:r>
      <w:r>
        <w:rPr>
          <w:sz w:val="24"/>
        </w:rPr>
        <w:t>on the face of the financial statements);</w:t>
      </w:r>
    </w:p>
    <w:p w14:paraId="1E805754" w14:textId="77777777" w:rsidR="00AA4A02" w:rsidRDefault="00960F31">
      <w:pPr>
        <w:pStyle w:val="ListParagraph"/>
        <w:numPr>
          <w:ilvl w:val="3"/>
          <w:numId w:val="54"/>
        </w:numPr>
        <w:tabs>
          <w:tab w:val="left" w:pos="2268"/>
        </w:tabs>
        <w:spacing w:before="223" w:line="247" w:lineRule="auto"/>
        <w:ind w:right="759"/>
        <w:rPr>
          <w:sz w:val="24"/>
        </w:rPr>
      </w:pPr>
      <w:r>
        <w:rPr>
          <w:sz w:val="24"/>
        </w:rPr>
        <w:t>measurement</w:t>
      </w:r>
      <w:r>
        <w:rPr>
          <w:spacing w:val="-4"/>
          <w:sz w:val="24"/>
        </w:rPr>
        <w:t xml:space="preserve"> </w:t>
      </w:r>
      <w:r>
        <w:rPr>
          <w:sz w:val="24"/>
        </w:rPr>
        <w:t>(how</w:t>
      </w:r>
      <w:r>
        <w:rPr>
          <w:spacing w:val="-5"/>
          <w:sz w:val="24"/>
        </w:rPr>
        <w:t xml:space="preserve"> </w:t>
      </w:r>
      <w:r>
        <w:rPr>
          <w:sz w:val="24"/>
        </w:rPr>
        <w:t>transactions</w:t>
      </w:r>
      <w:r>
        <w:rPr>
          <w:spacing w:val="-6"/>
          <w:sz w:val="24"/>
        </w:rPr>
        <w:t xml:space="preserve"> </w:t>
      </w:r>
      <w:r>
        <w:rPr>
          <w:sz w:val="24"/>
        </w:rPr>
        <w:t>are</w:t>
      </w:r>
      <w:r>
        <w:rPr>
          <w:spacing w:val="-6"/>
          <w:sz w:val="24"/>
        </w:rPr>
        <w:t xml:space="preserve"> </w:t>
      </w:r>
      <w:r>
        <w:rPr>
          <w:sz w:val="24"/>
        </w:rPr>
        <w:t>measured</w:t>
      </w:r>
      <w:r>
        <w:rPr>
          <w:spacing w:val="-4"/>
          <w:sz w:val="24"/>
        </w:rPr>
        <w:t xml:space="preserve"> </w:t>
      </w:r>
      <w:r>
        <w:rPr>
          <w:sz w:val="24"/>
        </w:rPr>
        <w:t>for</w:t>
      </w:r>
      <w:r>
        <w:rPr>
          <w:spacing w:val="-3"/>
          <w:sz w:val="24"/>
        </w:rPr>
        <w:t xml:space="preserve"> </w:t>
      </w:r>
      <w:r>
        <w:rPr>
          <w:sz w:val="24"/>
        </w:rPr>
        <w:t>presentation</w:t>
      </w:r>
      <w:r>
        <w:rPr>
          <w:spacing w:val="-4"/>
          <w:sz w:val="24"/>
        </w:rPr>
        <w:t xml:space="preserve"> </w:t>
      </w:r>
      <w:r>
        <w:rPr>
          <w:sz w:val="24"/>
        </w:rPr>
        <w:t>on</w:t>
      </w:r>
      <w:r>
        <w:rPr>
          <w:spacing w:val="-4"/>
          <w:sz w:val="24"/>
        </w:rPr>
        <w:t xml:space="preserve"> </w:t>
      </w:r>
      <w:r>
        <w:rPr>
          <w:sz w:val="24"/>
        </w:rPr>
        <w:t>the face of the financial statements or disclosed in the notes);</w:t>
      </w:r>
    </w:p>
    <w:p w14:paraId="1E805755" w14:textId="77777777" w:rsidR="00AA4A02" w:rsidRDefault="00960F31">
      <w:pPr>
        <w:pStyle w:val="ListParagraph"/>
        <w:numPr>
          <w:ilvl w:val="3"/>
          <w:numId w:val="54"/>
        </w:numPr>
        <w:tabs>
          <w:tab w:val="left" w:pos="2268"/>
        </w:tabs>
        <w:spacing w:before="224" w:line="247" w:lineRule="auto"/>
        <w:ind w:right="495"/>
        <w:rPr>
          <w:sz w:val="24"/>
        </w:rPr>
      </w:pPr>
      <w:r>
        <w:rPr>
          <w:sz w:val="24"/>
        </w:rPr>
        <w:t>presentation</w:t>
      </w:r>
      <w:r>
        <w:rPr>
          <w:spacing w:val="-2"/>
          <w:sz w:val="24"/>
        </w:rPr>
        <w:t xml:space="preserve"> </w:t>
      </w:r>
      <w:r>
        <w:rPr>
          <w:sz w:val="24"/>
        </w:rPr>
        <w:t>(how</w:t>
      </w:r>
      <w:r>
        <w:rPr>
          <w:spacing w:val="-3"/>
          <w:sz w:val="24"/>
        </w:rPr>
        <w:t xml:space="preserve"> </w:t>
      </w:r>
      <w:r>
        <w:rPr>
          <w:sz w:val="24"/>
        </w:rPr>
        <w:t>transactions</w:t>
      </w:r>
      <w:r>
        <w:rPr>
          <w:spacing w:val="-4"/>
          <w:sz w:val="24"/>
        </w:rPr>
        <w:t xml:space="preserve"> </w:t>
      </w:r>
      <w:r>
        <w:rPr>
          <w:sz w:val="24"/>
        </w:rPr>
        <w:t>are</w:t>
      </w:r>
      <w:r>
        <w:rPr>
          <w:spacing w:val="-4"/>
          <w:sz w:val="24"/>
        </w:rPr>
        <w:t xml:space="preserve"> </w:t>
      </w:r>
      <w:r>
        <w:rPr>
          <w:sz w:val="24"/>
        </w:rPr>
        <w:t>disclosed</w:t>
      </w:r>
      <w:r>
        <w:rPr>
          <w:spacing w:val="-2"/>
          <w:sz w:val="24"/>
        </w:rPr>
        <w:t xml:space="preserve"> </w:t>
      </w:r>
      <w:r>
        <w:rPr>
          <w:sz w:val="24"/>
        </w:rPr>
        <w:t>on</w:t>
      </w:r>
      <w:r>
        <w:rPr>
          <w:spacing w:val="-3"/>
          <w:sz w:val="24"/>
        </w:rPr>
        <w:t xml:space="preserve"> </w:t>
      </w:r>
      <w:r>
        <w:rPr>
          <w:sz w:val="24"/>
        </w:rPr>
        <w:t>the</w:t>
      </w:r>
      <w:r>
        <w:rPr>
          <w:spacing w:val="-8"/>
          <w:sz w:val="24"/>
        </w:rPr>
        <w:t xml:space="preserve"> </w:t>
      </w:r>
      <w:r>
        <w:rPr>
          <w:sz w:val="24"/>
        </w:rPr>
        <w:t>face</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financial statements); and</w:t>
      </w:r>
    </w:p>
    <w:p w14:paraId="1E805756" w14:textId="77777777" w:rsidR="00AA4A02" w:rsidRDefault="00960F31">
      <w:pPr>
        <w:pStyle w:val="ListParagraph"/>
        <w:numPr>
          <w:ilvl w:val="3"/>
          <w:numId w:val="54"/>
        </w:numPr>
        <w:tabs>
          <w:tab w:val="left" w:pos="2268"/>
        </w:tabs>
        <w:spacing w:before="228"/>
        <w:ind w:hanging="710"/>
        <w:rPr>
          <w:sz w:val="24"/>
        </w:rPr>
      </w:pPr>
      <w:r>
        <w:rPr>
          <w:sz w:val="24"/>
        </w:rPr>
        <w:t>disclosure</w:t>
      </w:r>
      <w:r>
        <w:rPr>
          <w:spacing w:val="-1"/>
          <w:sz w:val="24"/>
        </w:rPr>
        <w:t xml:space="preserve"> </w:t>
      </w:r>
      <w:r>
        <w:rPr>
          <w:sz w:val="24"/>
        </w:rPr>
        <w:t>(either</w:t>
      </w:r>
      <w:r>
        <w:rPr>
          <w:spacing w:val="4"/>
          <w:sz w:val="24"/>
        </w:rPr>
        <w:t xml:space="preserve"> </w:t>
      </w:r>
      <w:r>
        <w:rPr>
          <w:sz w:val="24"/>
        </w:rPr>
        <w:t>on</w:t>
      </w:r>
      <w:r>
        <w:rPr>
          <w:spacing w:val="1"/>
          <w:sz w:val="24"/>
        </w:rPr>
        <w:t xml:space="preserve"> </w:t>
      </w:r>
      <w:r>
        <w:rPr>
          <w:sz w:val="24"/>
        </w:rPr>
        <w:t>the</w:t>
      </w:r>
      <w:r>
        <w:rPr>
          <w:spacing w:val="-4"/>
          <w:sz w:val="24"/>
        </w:rPr>
        <w:t xml:space="preserve"> </w:t>
      </w:r>
      <w:r>
        <w:rPr>
          <w:sz w:val="24"/>
        </w:rPr>
        <w:t>face</w:t>
      </w:r>
      <w:r>
        <w:rPr>
          <w:spacing w:val="1"/>
          <w:sz w:val="24"/>
        </w:rPr>
        <w:t xml:space="preserve"> </w:t>
      </w:r>
      <w:r>
        <w:rPr>
          <w:sz w:val="24"/>
        </w:rPr>
        <w:t>of</w:t>
      </w:r>
      <w:r>
        <w:rPr>
          <w:spacing w:val="-2"/>
          <w:sz w:val="24"/>
        </w:rPr>
        <w:t xml:space="preserve"> </w:t>
      </w:r>
      <w:r>
        <w:rPr>
          <w:sz w:val="24"/>
        </w:rPr>
        <w:t>the</w:t>
      </w:r>
      <w:r>
        <w:rPr>
          <w:spacing w:val="-4"/>
          <w:sz w:val="24"/>
        </w:rPr>
        <w:t xml:space="preserve"> </w:t>
      </w:r>
      <w:r>
        <w:rPr>
          <w:sz w:val="24"/>
        </w:rPr>
        <w:t>financial</w:t>
      </w:r>
      <w:r>
        <w:rPr>
          <w:spacing w:val="2"/>
          <w:sz w:val="24"/>
        </w:rPr>
        <w:t xml:space="preserve"> </w:t>
      </w:r>
      <w:r>
        <w:rPr>
          <w:sz w:val="24"/>
        </w:rPr>
        <w:t>statements</w:t>
      </w:r>
      <w:r>
        <w:rPr>
          <w:spacing w:val="-1"/>
          <w:sz w:val="24"/>
        </w:rPr>
        <w:t xml:space="preserve"> </w:t>
      </w:r>
      <w:r>
        <w:rPr>
          <w:sz w:val="24"/>
        </w:rPr>
        <w:t>or</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pacing w:val="-2"/>
          <w:sz w:val="24"/>
        </w:rPr>
        <w:t>notes).</w:t>
      </w:r>
    </w:p>
    <w:p w14:paraId="1E805757" w14:textId="77777777" w:rsidR="00AA4A02" w:rsidRDefault="00960F31">
      <w:pPr>
        <w:pStyle w:val="ListParagraph"/>
        <w:numPr>
          <w:ilvl w:val="2"/>
          <w:numId w:val="54"/>
        </w:numPr>
        <w:tabs>
          <w:tab w:val="left" w:pos="1557"/>
        </w:tabs>
        <w:spacing w:before="243"/>
        <w:ind w:left="1557" w:hanging="705"/>
        <w:rPr>
          <w:sz w:val="24"/>
        </w:rPr>
      </w:pPr>
      <w:r>
        <w:rPr>
          <w:spacing w:val="-2"/>
          <w:sz w:val="24"/>
        </w:rPr>
        <w:t>definitions;</w:t>
      </w:r>
    </w:p>
    <w:p w14:paraId="1E805758" w14:textId="77777777" w:rsidR="00AA4A02" w:rsidRDefault="00960F31">
      <w:pPr>
        <w:pStyle w:val="ListParagraph"/>
        <w:numPr>
          <w:ilvl w:val="2"/>
          <w:numId w:val="54"/>
        </w:numPr>
        <w:tabs>
          <w:tab w:val="left" w:pos="1557"/>
        </w:tabs>
        <w:spacing w:before="238"/>
        <w:ind w:left="1557" w:hanging="705"/>
        <w:rPr>
          <w:sz w:val="24"/>
        </w:rPr>
      </w:pPr>
      <w:r>
        <w:rPr>
          <w:sz w:val="24"/>
        </w:rPr>
        <w:t>effective</w:t>
      </w:r>
      <w:r>
        <w:rPr>
          <w:spacing w:val="-3"/>
          <w:sz w:val="24"/>
        </w:rPr>
        <w:t xml:space="preserve"> </w:t>
      </w:r>
      <w:r>
        <w:rPr>
          <w:sz w:val="24"/>
        </w:rPr>
        <w:t>date and</w:t>
      </w:r>
      <w:r>
        <w:rPr>
          <w:spacing w:val="-1"/>
          <w:sz w:val="24"/>
        </w:rPr>
        <w:t xml:space="preserve"> </w:t>
      </w:r>
      <w:r>
        <w:rPr>
          <w:sz w:val="24"/>
        </w:rPr>
        <w:t xml:space="preserve">transition; </w:t>
      </w:r>
      <w:r>
        <w:rPr>
          <w:spacing w:val="-5"/>
          <w:sz w:val="24"/>
        </w:rPr>
        <w:t>and</w:t>
      </w:r>
    </w:p>
    <w:p w14:paraId="1E805759" w14:textId="77777777" w:rsidR="00AA4A02" w:rsidRDefault="00960F31">
      <w:pPr>
        <w:pStyle w:val="ListParagraph"/>
        <w:numPr>
          <w:ilvl w:val="2"/>
          <w:numId w:val="54"/>
        </w:numPr>
        <w:tabs>
          <w:tab w:val="left" w:pos="1557"/>
        </w:tabs>
        <w:spacing w:before="243"/>
        <w:ind w:left="1557" w:hanging="705"/>
        <w:rPr>
          <w:sz w:val="24"/>
        </w:rPr>
      </w:pPr>
      <w:r>
        <w:rPr>
          <w:sz w:val="24"/>
        </w:rPr>
        <w:t>consequential amendments</w:t>
      </w:r>
      <w:r>
        <w:rPr>
          <w:spacing w:val="-1"/>
          <w:sz w:val="24"/>
        </w:rPr>
        <w:t xml:space="preserve"> </w:t>
      </w:r>
      <w:r>
        <w:rPr>
          <w:sz w:val="24"/>
        </w:rPr>
        <w:t>to other</w:t>
      </w:r>
      <w:r>
        <w:rPr>
          <w:spacing w:val="1"/>
          <w:sz w:val="24"/>
        </w:rPr>
        <w:t xml:space="preserve"> </w:t>
      </w:r>
      <w:r>
        <w:rPr>
          <w:spacing w:val="-2"/>
          <w:sz w:val="24"/>
        </w:rPr>
        <w:t>Standards.</w:t>
      </w:r>
    </w:p>
    <w:p w14:paraId="1E80575A" w14:textId="77777777" w:rsidR="00AA4A02" w:rsidRDefault="00960F31">
      <w:pPr>
        <w:pStyle w:val="ListParagraph"/>
        <w:numPr>
          <w:ilvl w:val="1"/>
          <w:numId w:val="54"/>
        </w:numPr>
        <w:tabs>
          <w:tab w:val="left" w:pos="852"/>
        </w:tabs>
        <w:spacing w:before="232" w:line="247" w:lineRule="auto"/>
        <w:ind w:right="1004"/>
        <w:rPr>
          <w:sz w:val="24"/>
        </w:rPr>
      </w:pPr>
      <w:r>
        <w:rPr>
          <w:sz w:val="24"/>
        </w:rPr>
        <w:t>Each</w:t>
      </w:r>
      <w:r>
        <w:rPr>
          <w:spacing w:val="-2"/>
          <w:sz w:val="24"/>
        </w:rPr>
        <w:t xml:space="preserve"> </w:t>
      </w:r>
      <w:r>
        <w:rPr>
          <w:sz w:val="24"/>
        </w:rPr>
        <w:t>Standard</w:t>
      </w:r>
      <w:r>
        <w:rPr>
          <w:spacing w:val="-1"/>
          <w:sz w:val="24"/>
        </w:rPr>
        <w:t xml:space="preserve"> </w:t>
      </w:r>
      <w:r>
        <w:rPr>
          <w:sz w:val="24"/>
        </w:rPr>
        <w:t>is</w:t>
      </w:r>
      <w:r>
        <w:rPr>
          <w:spacing w:val="-9"/>
          <w:sz w:val="24"/>
        </w:rPr>
        <w:t xml:space="preserve"> </w:t>
      </w:r>
      <w:r>
        <w:rPr>
          <w:sz w:val="24"/>
        </w:rPr>
        <w:t>also</w:t>
      </w:r>
      <w:r>
        <w:rPr>
          <w:spacing w:val="-1"/>
          <w:sz w:val="24"/>
        </w:rPr>
        <w:t xml:space="preserve"> </w:t>
      </w:r>
      <w:r>
        <w:rPr>
          <w:sz w:val="24"/>
        </w:rPr>
        <w:t>normally</w:t>
      </w:r>
      <w:r>
        <w:rPr>
          <w:spacing w:val="-6"/>
          <w:sz w:val="24"/>
        </w:rPr>
        <w:t xml:space="preserve"> </w:t>
      </w:r>
      <w:r>
        <w:rPr>
          <w:sz w:val="24"/>
        </w:rPr>
        <w:t>accompanied</w:t>
      </w:r>
      <w:r>
        <w:rPr>
          <w:spacing w:val="-1"/>
          <w:sz w:val="24"/>
        </w:rPr>
        <w:t xml:space="preserve"> </w:t>
      </w:r>
      <w:r>
        <w:rPr>
          <w:sz w:val="24"/>
        </w:rPr>
        <w:t>by</w:t>
      </w:r>
      <w:r>
        <w:rPr>
          <w:spacing w:val="-2"/>
          <w:sz w:val="24"/>
        </w:rPr>
        <w:t xml:space="preserve"> </w:t>
      </w:r>
      <w:r>
        <w:rPr>
          <w:sz w:val="24"/>
        </w:rPr>
        <w:t>additional</w:t>
      </w:r>
      <w:r>
        <w:rPr>
          <w:spacing w:val="-1"/>
          <w:sz w:val="24"/>
        </w:rPr>
        <w:t xml:space="preserve"> </w:t>
      </w:r>
      <w:r>
        <w:rPr>
          <w:sz w:val="24"/>
        </w:rPr>
        <w:t>material</w:t>
      </w:r>
      <w:r>
        <w:rPr>
          <w:spacing w:val="-6"/>
          <w:sz w:val="24"/>
        </w:rPr>
        <w:t xml:space="preserve"> </w:t>
      </w:r>
      <w:r>
        <w:rPr>
          <w:sz w:val="24"/>
        </w:rPr>
        <w:t>that</w:t>
      </w:r>
      <w:r>
        <w:rPr>
          <w:spacing w:val="-2"/>
          <w:sz w:val="24"/>
        </w:rPr>
        <w:t xml:space="preserve"> </w:t>
      </w:r>
      <w:r>
        <w:rPr>
          <w:sz w:val="24"/>
        </w:rPr>
        <w:t>is</w:t>
      </w:r>
      <w:r>
        <w:rPr>
          <w:spacing w:val="-4"/>
          <w:sz w:val="24"/>
        </w:rPr>
        <w:t xml:space="preserve"> </w:t>
      </w:r>
      <w:r>
        <w:rPr>
          <w:sz w:val="24"/>
        </w:rPr>
        <w:t>not</w:t>
      </w:r>
      <w:r>
        <w:rPr>
          <w:spacing w:val="-6"/>
          <w:sz w:val="24"/>
        </w:rPr>
        <w:t xml:space="preserve"> </w:t>
      </w:r>
      <w:r>
        <w:rPr>
          <w:sz w:val="24"/>
        </w:rPr>
        <w:t>an integral part of the Standard, such as:</w:t>
      </w:r>
    </w:p>
    <w:p w14:paraId="1E80575B" w14:textId="77777777" w:rsidR="00AA4A02" w:rsidRDefault="00960F31">
      <w:pPr>
        <w:pStyle w:val="ListParagraph"/>
        <w:numPr>
          <w:ilvl w:val="2"/>
          <w:numId w:val="54"/>
        </w:numPr>
        <w:tabs>
          <w:tab w:val="left" w:pos="1557"/>
        </w:tabs>
        <w:spacing w:before="229"/>
        <w:ind w:left="1557" w:hanging="705"/>
        <w:rPr>
          <w:sz w:val="24"/>
        </w:rPr>
      </w:pPr>
      <w:r>
        <w:rPr>
          <w:spacing w:val="-2"/>
          <w:sz w:val="24"/>
        </w:rPr>
        <w:t>preface/introduction;</w:t>
      </w:r>
    </w:p>
    <w:p w14:paraId="1E80575C" w14:textId="77777777" w:rsidR="00AA4A02" w:rsidRDefault="00960F31">
      <w:pPr>
        <w:pStyle w:val="ListParagraph"/>
        <w:numPr>
          <w:ilvl w:val="2"/>
          <w:numId w:val="54"/>
        </w:numPr>
        <w:tabs>
          <w:tab w:val="left" w:pos="1557"/>
        </w:tabs>
        <w:spacing w:before="243"/>
        <w:ind w:left="1557" w:hanging="705"/>
        <w:rPr>
          <w:sz w:val="24"/>
        </w:rPr>
      </w:pPr>
      <w:r>
        <w:rPr>
          <w:sz w:val="24"/>
        </w:rPr>
        <w:t>illustrative</w:t>
      </w:r>
      <w:r>
        <w:rPr>
          <w:spacing w:val="-1"/>
          <w:sz w:val="24"/>
        </w:rPr>
        <w:t xml:space="preserve"> </w:t>
      </w:r>
      <w:r>
        <w:rPr>
          <w:spacing w:val="-2"/>
          <w:sz w:val="24"/>
        </w:rPr>
        <w:t>examples;</w:t>
      </w:r>
    </w:p>
    <w:p w14:paraId="1E80575D" w14:textId="77777777" w:rsidR="00AA4A02" w:rsidRDefault="00960F31">
      <w:pPr>
        <w:pStyle w:val="ListParagraph"/>
        <w:numPr>
          <w:ilvl w:val="2"/>
          <w:numId w:val="54"/>
        </w:numPr>
        <w:tabs>
          <w:tab w:val="left" w:pos="1557"/>
        </w:tabs>
        <w:spacing w:before="237"/>
        <w:ind w:left="1557" w:hanging="705"/>
        <w:rPr>
          <w:sz w:val="24"/>
        </w:rPr>
      </w:pPr>
      <w:r>
        <w:rPr>
          <w:sz w:val="24"/>
        </w:rPr>
        <w:t>Basis</w:t>
      </w:r>
      <w:r>
        <w:rPr>
          <w:spacing w:val="-2"/>
          <w:sz w:val="24"/>
        </w:rPr>
        <w:t xml:space="preserve"> </w:t>
      </w:r>
      <w:r>
        <w:rPr>
          <w:sz w:val="24"/>
        </w:rPr>
        <w:t>for</w:t>
      </w:r>
      <w:r>
        <w:rPr>
          <w:spacing w:val="2"/>
          <w:sz w:val="24"/>
        </w:rPr>
        <w:t xml:space="preserve"> </w:t>
      </w:r>
      <w:r>
        <w:rPr>
          <w:spacing w:val="-2"/>
          <w:sz w:val="24"/>
        </w:rPr>
        <w:t>Conclusions;</w:t>
      </w:r>
    </w:p>
    <w:p w14:paraId="1E80575E" w14:textId="77777777" w:rsidR="00AA4A02" w:rsidRDefault="00960F31">
      <w:pPr>
        <w:pStyle w:val="ListParagraph"/>
        <w:numPr>
          <w:ilvl w:val="2"/>
          <w:numId w:val="54"/>
        </w:numPr>
        <w:tabs>
          <w:tab w:val="left" w:pos="1557"/>
        </w:tabs>
        <w:spacing w:before="243"/>
        <w:ind w:left="1557" w:hanging="705"/>
        <w:rPr>
          <w:sz w:val="24"/>
        </w:rPr>
      </w:pPr>
      <w:r>
        <w:rPr>
          <w:sz w:val="24"/>
        </w:rPr>
        <w:t>Regulation</w:t>
      </w:r>
      <w:r>
        <w:rPr>
          <w:spacing w:val="-1"/>
          <w:sz w:val="24"/>
        </w:rPr>
        <w:t xml:space="preserve"> </w:t>
      </w:r>
      <w:r>
        <w:rPr>
          <w:sz w:val="24"/>
        </w:rPr>
        <w:t>Impact Statement or</w:t>
      </w:r>
      <w:r>
        <w:rPr>
          <w:spacing w:val="1"/>
          <w:sz w:val="24"/>
        </w:rPr>
        <w:t xml:space="preserve"> </w:t>
      </w:r>
      <w:r>
        <w:rPr>
          <w:sz w:val="24"/>
        </w:rPr>
        <w:t>similar</w:t>
      </w:r>
      <w:r>
        <w:rPr>
          <w:spacing w:val="-2"/>
          <w:sz w:val="24"/>
        </w:rPr>
        <w:t xml:space="preserve"> document;</w:t>
      </w:r>
    </w:p>
    <w:p w14:paraId="1E80575F" w14:textId="77777777" w:rsidR="00AA4A02" w:rsidRDefault="00960F31">
      <w:pPr>
        <w:pStyle w:val="ListParagraph"/>
        <w:numPr>
          <w:ilvl w:val="2"/>
          <w:numId w:val="54"/>
        </w:numPr>
        <w:tabs>
          <w:tab w:val="left" w:pos="1557"/>
        </w:tabs>
        <w:spacing w:before="238"/>
        <w:ind w:left="1557" w:hanging="705"/>
        <w:rPr>
          <w:sz w:val="24"/>
        </w:rPr>
      </w:pPr>
      <w:r>
        <w:rPr>
          <w:sz w:val="24"/>
        </w:rPr>
        <w:t>dissenting</w:t>
      </w:r>
      <w:r>
        <w:rPr>
          <w:spacing w:val="-4"/>
          <w:sz w:val="24"/>
        </w:rPr>
        <w:t xml:space="preserve"> </w:t>
      </w:r>
      <w:r>
        <w:rPr>
          <w:spacing w:val="-2"/>
          <w:sz w:val="24"/>
        </w:rPr>
        <w:t>opinions;</w:t>
      </w:r>
    </w:p>
    <w:p w14:paraId="1E805760" w14:textId="77777777" w:rsidR="00AA4A02" w:rsidRDefault="00960F31">
      <w:pPr>
        <w:pStyle w:val="ListParagraph"/>
        <w:numPr>
          <w:ilvl w:val="2"/>
          <w:numId w:val="54"/>
        </w:numPr>
        <w:tabs>
          <w:tab w:val="left" w:pos="1557"/>
        </w:tabs>
        <w:spacing w:before="242"/>
        <w:ind w:left="1557" w:hanging="705"/>
        <w:rPr>
          <w:sz w:val="24"/>
        </w:rPr>
      </w:pPr>
      <w:r>
        <w:rPr>
          <w:sz w:val="24"/>
        </w:rPr>
        <w:t>comparison to</w:t>
      </w:r>
      <w:r>
        <w:rPr>
          <w:spacing w:val="-1"/>
          <w:sz w:val="24"/>
        </w:rPr>
        <w:t xml:space="preserve"> </w:t>
      </w:r>
      <w:r>
        <w:rPr>
          <w:sz w:val="24"/>
        </w:rPr>
        <w:t>IASB/IPSASB Standards;</w:t>
      </w:r>
      <w:r>
        <w:rPr>
          <w:spacing w:val="-4"/>
          <w:sz w:val="24"/>
        </w:rPr>
        <w:t xml:space="preserve"> </w:t>
      </w:r>
      <w:r>
        <w:rPr>
          <w:spacing w:val="-5"/>
          <w:sz w:val="24"/>
        </w:rPr>
        <w:t>and</w:t>
      </w:r>
    </w:p>
    <w:p w14:paraId="1E805761" w14:textId="77777777" w:rsidR="00AA4A02" w:rsidRDefault="00AA4A02">
      <w:pPr>
        <w:pStyle w:val="ListParagraph"/>
        <w:rPr>
          <w:sz w:val="24"/>
        </w:rPr>
        <w:sectPr w:rsidR="00AA4A02">
          <w:pgSz w:w="11900" w:h="16840"/>
          <w:pgMar w:top="1600" w:right="992" w:bottom="920" w:left="1275" w:header="652" w:footer="724" w:gutter="0"/>
          <w:cols w:space="720"/>
        </w:sectPr>
      </w:pPr>
    </w:p>
    <w:p w14:paraId="1E805762" w14:textId="77777777" w:rsidR="00AA4A02" w:rsidRDefault="00960F31">
      <w:pPr>
        <w:pStyle w:val="ListParagraph"/>
        <w:numPr>
          <w:ilvl w:val="2"/>
          <w:numId w:val="54"/>
        </w:numPr>
        <w:tabs>
          <w:tab w:val="left" w:pos="1557"/>
        </w:tabs>
        <w:spacing w:before="84"/>
        <w:ind w:left="1557" w:hanging="705"/>
        <w:rPr>
          <w:sz w:val="24"/>
        </w:rPr>
      </w:pPr>
      <w:r>
        <w:rPr>
          <w:sz w:val="24"/>
        </w:rPr>
        <w:lastRenderedPageBreak/>
        <w:t>comparison</w:t>
      </w:r>
      <w:r>
        <w:rPr>
          <w:spacing w:val="1"/>
          <w:sz w:val="24"/>
        </w:rPr>
        <w:t xml:space="preserve"> </w:t>
      </w:r>
      <w:r>
        <w:rPr>
          <w:sz w:val="24"/>
        </w:rPr>
        <w:t>to Government</w:t>
      </w:r>
      <w:r>
        <w:rPr>
          <w:spacing w:val="-4"/>
          <w:sz w:val="24"/>
        </w:rPr>
        <w:t xml:space="preserve"> </w:t>
      </w:r>
      <w:r>
        <w:rPr>
          <w:sz w:val="24"/>
        </w:rPr>
        <w:t>Finance Statistics</w:t>
      </w:r>
      <w:r>
        <w:rPr>
          <w:spacing w:val="-1"/>
          <w:sz w:val="24"/>
        </w:rPr>
        <w:t xml:space="preserve"> </w:t>
      </w:r>
      <w:r>
        <w:rPr>
          <w:spacing w:val="-2"/>
          <w:sz w:val="24"/>
        </w:rPr>
        <w:t>(GFS).</w:t>
      </w:r>
    </w:p>
    <w:p w14:paraId="1E805763" w14:textId="77777777" w:rsidR="00AA4A02" w:rsidRDefault="00960F31">
      <w:pPr>
        <w:pStyle w:val="ListParagraph"/>
        <w:numPr>
          <w:ilvl w:val="1"/>
          <w:numId w:val="54"/>
        </w:numPr>
        <w:tabs>
          <w:tab w:val="left" w:pos="852"/>
        </w:tabs>
        <w:spacing w:before="243"/>
        <w:rPr>
          <w:sz w:val="24"/>
        </w:rPr>
      </w:pPr>
      <w:r>
        <w:rPr>
          <w:sz w:val="24"/>
        </w:rPr>
        <w:t>Australian Accounting</w:t>
      </w:r>
      <w:r>
        <w:rPr>
          <w:spacing w:val="1"/>
          <w:sz w:val="24"/>
        </w:rPr>
        <w:t xml:space="preserve"> </w:t>
      </w:r>
      <w:r>
        <w:rPr>
          <w:sz w:val="24"/>
        </w:rPr>
        <w:t>Standards</w:t>
      </w:r>
      <w:r>
        <w:rPr>
          <w:spacing w:val="-1"/>
          <w:sz w:val="24"/>
        </w:rPr>
        <w:t xml:space="preserve"> </w:t>
      </w:r>
      <w:r>
        <w:rPr>
          <w:sz w:val="24"/>
        </w:rPr>
        <w:t xml:space="preserve">are </w:t>
      </w:r>
      <w:r>
        <w:rPr>
          <w:spacing w:val="-2"/>
          <w:sz w:val="24"/>
        </w:rPr>
        <w:t>either:</w:t>
      </w:r>
    </w:p>
    <w:p w14:paraId="1E805764" w14:textId="77777777" w:rsidR="00AA4A02" w:rsidRDefault="00960F31">
      <w:pPr>
        <w:pStyle w:val="ListParagraph"/>
        <w:numPr>
          <w:ilvl w:val="2"/>
          <w:numId w:val="54"/>
        </w:numPr>
        <w:tabs>
          <w:tab w:val="left" w:pos="1558"/>
        </w:tabs>
        <w:spacing w:before="233"/>
        <w:ind w:right="486"/>
        <w:rPr>
          <w:sz w:val="24"/>
        </w:rPr>
      </w:pPr>
      <w:r>
        <w:rPr>
          <w:sz w:val="24"/>
        </w:rPr>
        <w:t>based on IASB materials. These are word-for-word the same for mandatory requirements. Australian amendments are made via “Aus” paragraphs or additional</w:t>
      </w:r>
      <w:r>
        <w:rPr>
          <w:spacing w:val="-1"/>
          <w:sz w:val="24"/>
        </w:rPr>
        <w:t xml:space="preserve"> </w:t>
      </w:r>
      <w:r>
        <w:rPr>
          <w:sz w:val="24"/>
        </w:rPr>
        <w:t>appendices. Other</w:t>
      </w:r>
      <w:r>
        <w:rPr>
          <w:spacing w:val="-5"/>
          <w:sz w:val="24"/>
        </w:rPr>
        <w:t xml:space="preserve"> </w:t>
      </w:r>
      <w:r>
        <w:rPr>
          <w:sz w:val="24"/>
        </w:rPr>
        <w:t>IASB</w:t>
      </w:r>
      <w:r>
        <w:rPr>
          <w:spacing w:val="-3"/>
          <w:sz w:val="24"/>
        </w:rPr>
        <w:t xml:space="preserve"> </w:t>
      </w:r>
      <w:r>
        <w:rPr>
          <w:sz w:val="24"/>
        </w:rPr>
        <w:t>material</w:t>
      </w:r>
      <w:r>
        <w:rPr>
          <w:spacing w:val="-6"/>
          <w:sz w:val="24"/>
        </w:rPr>
        <w:t xml:space="preserve"> </w:t>
      </w:r>
      <w:r>
        <w:rPr>
          <w:sz w:val="24"/>
        </w:rPr>
        <w:t>that</w:t>
      </w:r>
      <w:r>
        <w:rPr>
          <w:spacing w:val="-1"/>
          <w:sz w:val="24"/>
        </w:rPr>
        <w:t xml:space="preserve"> </w:t>
      </w:r>
      <w:r>
        <w:rPr>
          <w:sz w:val="24"/>
        </w:rPr>
        <w:t>is</w:t>
      </w:r>
      <w:r>
        <w:rPr>
          <w:spacing w:val="-8"/>
          <w:sz w:val="24"/>
        </w:rPr>
        <w:t xml:space="preserve"> </w:t>
      </w:r>
      <w:r>
        <w:rPr>
          <w:sz w:val="24"/>
        </w:rPr>
        <w:t>not</w:t>
      </w:r>
      <w:r>
        <w:rPr>
          <w:spacing w:val="-2"/>
          <w:sz w:val="24"/>
        </w:rPr>
        <w:t xml:space="preserve"> </w:t>
      </w:r>
      <w:r>
        <w:rPr>
          <w:sz w:val="24"/>
        </w:rPr>
        <w:t>mandatory</w:t>
      </w:r>
      <w:r>
        <w:rPr>
          <w:spacing w:val="-1"/>
          <w:sz w:val="24"/>
        </w:rPr>
        <w:t xml:space="preserve"> </w:t>
      </w:r>
      <w:r>
        <w:rPr>
          <w:sz w:val="24"/>
        </w:rPr>
        <w:t>is</w:t>
      </w:r>
      <w:r>
        <w:rPr>
          <w:spacing w:val="-4"/>
          <w:sz w:val="24"/>
        </w:rPr>
        <w:t xml:space="preserve"> </w:t>
      </w:r>
      <w:r>
        <w:rPr>
          <w:sz w:val="24"/>
        </w:rPr>
        <w:t>not</w:t>
      </w:r>
      <w:r>
        <w:rPr>
          <w:spacing w:val="-1"/>
          <w:sz w:val="24"/>
        </w:rPr>
        <w:t xml:space="preserve"> </w:t>
      </w:r>
      <w:r>
        <w:rPr>
          <w:sz w:val="24"/>
        </w:rPr>
        <w:t>part</w:t>
      </w:r>
      <w:r>
        <w:rPr>
          <w:spacing w:val="-6"/>
          <w:sz w:val="24"/>
        </w:rPr>
        <w:t xml:space="preserve"> </w:t>
      </w:r>
      <w:r>
        <w:rPr>
          <w:sz w:val="24"/>
        </w:rPr>
        <w:t>of the Australian Standard or Interpretation, due to copyright agreements, unless the AASB considers the material an essential feature of the pronouncement. However, the non-integral IASB material is available to Australian stakeholders through the AASB website; or</w:t>
      </w:r>
    </w:p>
    <w:p w14:paraId="1E805765" w14:textId="77777777" w:rsidR="00AA4A02" w:rsidRDefault="00960F31">
      <w:pPr>
        <w:pStyle w:val="ListParagraph"/>
        <w:numPr>
          <w:ilvl w:val="2"/>
          <w:numId w:val="54"/>
        </w:numPr>
        <w:tabs>
          <w:tab w:val="left" w:pos="1558"/>
        </w:tabs>
        <w:spacing w:before="243" w:line="242" w:lineRule="auto"/>
        <w:ind w:right="792"/>
        <w:rPr>
          <w:sz w:val="24"/>
        </w:rPr>
      </w:pPr>
      <w:r>
        <w:rPr>
          <w:sz w:val="24"/>
        </w:rPr>
        <w:t>developed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AASB</w:t>
      </w:r>
      <w:r>
        <w:rPr>
          <w:spacing w:val="-4"/>
          <w:sz w:val="24"/>
        </w:rPr>
        <w:t xml:space="preserve"> </w:t>
      </w:r>
      <w:r>
        <w:rPr>
          <w:sz w:val="24"/>
        </w:rPr>
        <w:t>domestically.</w:t>
      </w:r>
      <w:r>
        <w:rPr>
          <w:spacing w:val="-4"/>
          <w:sz w:val="24"/>
        </w:rPr>
        <w:t xml:space="preserve"> </w:t>
      </w:r>
      <w:r>
        <w:rPr>
          <w:sz w:val="24"/>
        </w:rPr>
        <w:t>These</w:t>
      </w:r>
      <w:r>
        <w:rPr>
          <w:spacing w:val="-4"/>
          <w:sz w:val="24"/>
        </w:rPr>
        <w:t xml:space="preserve"> </w:t>
      </w:r>
      <w:r>
        <w:rPr>
          <w:sz w:val="24"/>
        </w:rPr>
        <w:t>may</w:t>
      </w:r>
      <w:r>
        <w:rPr>
          <w:spacing w:val="-7"/>
          <w:sz w:val="24"/>
        </w:rPr>
        <w:t xml:space="preserve"> </w:t>
      </w:r>
      <w:r>
        <w:rPr>
          <w:sz w:val="24"/>
        </w:rPr>
        <w:t>be</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International Public Sector Accounting Standards Board (IPSASB) Standards, other standard-setter pronouncements or original material.</w:t>
      </w:r>
    </w:p>
    <w:p w14:paraId="1E805766" w14:textId="77777777" w:rsidR="00AA4A02" w:rsidRDefault="00960F31">
      <w:pPr>
        <w:pStyle w:val="ListParagraph"/>
        <w:numPr>
          <w:ilvl w:val="1"/>
          <w:numId w:val="54"/>
        </w:numPr>
        <w:tabs>
          <w:tab w:val="left" w:pos="852"/>
        </w:tabs>
        <w:spacing w:before="230" w:line="242" w:lineRule="auto"/>
        <w:ind w:right="604"/>
        <w:rPr>
          <w:sz w:val="24"/>
        </w:rPr>
      </w:pPr>
      <w:r>
        <w:rPr>
          <w:sz w:val="24"/>
        </w:rPr>
        <w:t>Bold</w:t>
      </w:r>
      <w:r>
        <w:rPr>
          <w:spacing w:val="-2"/>
          <w:sz w:val="24"/>
        </w:rPr>
        <w:t xml:space="preserve"> </w:t>
      </w:r>
      <w:r>
        <w:rPr>
          <w:sz w:val="24"/>
        </w:rPr>
        <w:t>text</w:t>
      </w:r>
      <w:r>
        <w:rPr>
          <w:spacing w:val="-2"/>
          <w:sz w:val="24"/>
        </w:rPr>
        <w:t xml:space="preserve"> </w:t>
      </w:r>
      <w:r>
        <w:rPr>
          <w:sz w:val="24"/>
        </w:rPr>
        <w:t>states</w:t>
      </w:r>
      <w:r>
        <w:rPr>
          <w:spacing w:val="-4"/>
          <w:sz w:val="24"/>
        </w:rPr>
        <w:t xml:space="preserve"> </w:t>
      </w:r>
      <w:r>
        <w:rPr>
          <w:sz w:val="24"/>
        </w:rPr>
        <w:t>the</w:t>
      </w:r>
      <w:r>
        <w:rPr>
          <w:spacing w:val="-2"/>
          <w:sz w:val="24"/>
        </w:rPr>
        <w:t xml:space="preserve"> </w:t>
      </w:r>
      <w:r>
        <w:rPr>
          <w:sz w:val="24"/>
        </w:rPr>
        <w:t>main</w:t>
      </w:r>
      <w:r>
        <w:rPr>
          <w:spacing w:val="-2"/>
          <w:sz w:val="24"/>
        </w:rPr>
        <w:t xml:space="preserve"> </w:t>
      </w:r>
      <w:r>
        <w:rPr>
          <w:sz w:val="24"/>
        </w:rPr>
        <w:t>principles;</w:t>
      </w:r>
      <w:r>
        <w:rPr>
          <w:spacing w:val="-1"/>
          <w:sz w:val="24"/>
        </w:rPr>
        <w:t xml:space="preserve"> </w:t>
      </w:r>
      <w:r>
        <w:rPr>
          <w:sz w:val="24"/>
        </w:rPr>
        <w:t>non-bold</w:t>
      </w:r>
      <w:r>
        <w:rPr>
          <w:spacing w:val="-1"/>
          <w:sz w:val="24"/>
        </w:rPr>
        <w:t xml:space="preserve"> </w:t>
      </w:r>
      <w:r>
        <w:rPr>
          <w:sz w:val="24"/>
        </w:rPr>
        <w:t>text</w:t>
      </w:r>
      <w:r>
        <w:rPr>
          <w:spacing w:val="-7"/>
          <w:sz w:val="24"/>
        </w:rPr>
        <w:t xml:space="preserve"> </w:t>
      </w:r>
      <w:r>
        <w:rPr>
          <w:sz w:val="24"/>
        </w:rPr>
        <w:t>is</w:t>
      </w:r>
      <w:r>
        <w:rPr>
          <w:spacing w:val="-4"/>
          <w:sz w:val="24"/>
        </w:rPr>
        <w:t xml:space="preserve"> </w:t>
      </w:r>
      <w:r>
        <w:rPr>
          <w:sz w:val="24"/>
        </w:rPr>
        <w:t>generally</w:t>
      </w:r>
      <w:r>
        <w:rPr>
          <w:spacing w:val="-1"/>
          <w:sz w:val="24"/>
        </w:rPr>
        <w:t xml:space="preserve"> </w:t>
      </w:r>
      <w:r>
        <w:rPr>
          <w:sz w:val="24"/>
        </w:rPr>
        <w:t>an</w:t>
      </w:r>
      <w:r>
        <w:rPr>
          <w:spacing w:val="-2"/>
          <w:sz w:val="24"/>
        </w:rPr>
        <w:t xml:space="preserve"> </w:t>
      </w:r>
      <w:r>
        <w:rPr>
          <w:sz w:val="24"/>
        </w:rPr>
        <w:t>explanation</w:t>
      </w:r>
      <w:r>
        <w:rPr>
          <w:spacing w:val="-1"/>
          <w:sz w:val="24"/>
        </w:rPr>
        <w:t xml:space="preserve"> </w:t>
      </w:r>
      <w:r>
        <w:rPr>
          <w:sz w:val="24"/>
        </w:rPr>
        <w:t>of</w:t>
      </w:r>
      <w:r>
        <w:rPr>
          <w:spacing w:val="-1"/>
          <w:sz w:val="24"/>
        </w:rPr>
        <w:t xml:space="preserve"> </w:t>
      </w:r>
      <w:r>
        <w:rPr>
          <w:sz w:val="24"/>
        </w:rPr>
        <w:t xml:space="preserve">how an entity complies with the principles. However, bold and non-bold text have equal </w:t>
      </w:r>
      <w:r>
        <w:rPr>
          <w:spacing w:val="-2"/>
          <w:sz w:val="24"/>
        </w:rPr>
        <w:t>authority.</w:t>
      </w:r>
    </w:p>
    <w:p w14:paraId="1E805767" w14:textId="77777777" w:rsidR="00AA4A02" w:rsidRDefault="00AA4A02">
      <w:pPr>
        <w:pStyle w:val="BodyText"/>
        <w:spacing w:before="200"/>
        <w:rPr>
          <w:sz w:val="24"/>
        </w:rPr>
      </w:pPr>
    </w:p>
    <w:p w14:paraId="1E805768" w14:textId="77777777" w:rsidR="00AA4A02" w:rsidRDefault="00960F31">
      <w:pPr>
        <w:pStyle w:val="Heading6"/>
        <w:numPr>
          <w:ilvl w:val="0"/>
          <w:numId w:val="54"/>
        </w:numPr>
        <w:tabs>
          <w:tab w:val="left" w:pos="852"/>
        </w:tabs>
        <w:ind w:right="666"/>
      </w:pPr>
      <w:bookmarkStart w:id="23" w:name="_TOC_250027"/>
      <w:r>
        <w:t>Principles</w:t>
      </w:r>
      <w:r>
        <w:rPr>
          <w:spacing w:val="-5"/>
        </w:rPr>
        <w:t xml:space="preserve"> </w:t>
      </w:r>
      <w:r>
        <w:t>for</w:t>
      </w:r>
      <w:r>
        <w:rPr>
          <w:spacing w:val="-8"/>
        </w:rPr>
        <w:t xml:space="preserve"> </w:t>
      </w:r>
      <w:r>
        <w:t>Due</w:t>
      </w:r>
      <w:r>
        <w:rPr>
          <w:spacing w:val="-8"/>
        </w:rPr>
        <w:t xml:space="preserve"> </w:t>
      </w:r>
      <w:r>
        <w:t>Process</w:t>
      </w:r>
      <w:r>
        <w:rPr>
          <w:spacing w:val="-6"/>
        </w:rPr>
        <w:t xml:space="preserve"> </w:t>
      </w:r>
      <w:r>
        <w:t>in</w:t>
      </w:r>
      <w:r>
        <w:rPr>
          <w:spacing w:val="-10"/>
        </w:rPr>
        <w:t xml:space="preserve"> </w:t>
      </w:r>
      <w:r>
        <w:t>Developing</w:t>
      </w:r>
      <w:r>
        <w:rPr>
          <w:spacing w:val="-4"/>
        </w:rPr>
        <w:t xml:space="preserve"> </w:t>
      </w:r>
      <w:r>
        <w:t>Standards,</w:t>
      </w:r>
      <w:r>
        <w:rPr>
          <w:spacing w:val="-7"/>
        </w:rPr>
        <w:t xml:space="preserve"> </w:t>
      </w:r>
      <w:bookmarkEnd w:id="23"/>
      <w:r>
        <w:t>Interpretations and Guidance</w:t>
      </w:r>
    </w:p>
    <w:p w14:paraId="1E805769" w14:textId="77777777" w:rsidR="00AA4A02" w:rsidRDefault="00960F31">
      <w:pPr>
        <w:pStyle w:val="ListParagraph"/>
        <w:numPr>
          <w:ilvl w:val="1"/>
          <w:numId w:val="54"/>
        </w:numPr>
        <w:tabs>
          <w:tab w:val="left" w:pos="852"/>
        </w:tabs>
        <w:spacing w:before="276"/>
        <w:rPr>
          <w:sz w:val="24"/>
        </w:rPr>
      </w:pPr>
      <w:r>
        <w:rPr>
          <w:sz w:val="24"/>
        </w:rPr>
        <w:t>The</w:t>
      </w:r>
      <w:r>
        <w:rPr>
          <w:spacing w:val="-3"/>
          <w:sz w:val="24"/>
        </w:rPr>
        <w:t xml:space="preserve"> </w:t>
      </w:r>
      <w:r>
        <w:rPr>
          <w:sz w:val="24"/>
        </w:rPr>
        <w:t>AASB due process</w:t>
      </w:r>
      <w:r>
        <w:rPr>
          <w:spacing w:val="-1"/>
          <w:sz w:val="24"/>
        </w:rPr>
        <w:t xml:space="preserve"> </w:t>
      </w:r>
      <w:r>
        <w:rPr>
          <w:sz w:val="24"/>
        </w:rPr>
        <w:t>requirements are built</w:t>
      </w:r>
      <w:r>
        <w:rPr>
          <w:spacing w:val="-4"/>
          <w:sz w:val="24"/>
        </w:rPr>
        <w:t xml:space="preserve"> </w:t>
      </w:r>
      <w:r>
        <w:rPr>
          <w:sz w:val="24"/>
        </w:rPr>
        <w:t>on</w:t>
      </w:r>
      <w:r>
        <w:rPr>
          <w:spacing w:val="1"/>
          <w:sz w:val="24"/>
        </w:rPr>
        <w:t xml:space="preserve"> </w:t>
      </w:r>
      <w:r>
        <w:rPr>
          <w:sz w:val="24"/>
        </w:rPr>
        <w:t>the following</w:t>
      </w:r>
      <w:r>
        <w:rPr>
          <w:spacing w:val="2"/>
          <w:sz w:val="24"/>
        </w:rPr>
        <w:t xml:space="preserve"> </w:t>
      </w:r>
      <w:r>
        <w:rPr>
          <w:spacing w:val="-2"/>
          <w:sz w:val="24"/>
        </w:rPr>
        <w:t>principles:</w:t>
      </w:r>
    </w:p>
    <w:p w14:paraId="1E80576A" w14:textId="77777777" w:rsidR="00AA4A02" w:rsidRDefault="00960F31">
      <w:pPr>
        <w:pStyle w:val="ListParagraph"/>
        <w:numPr>
          <w:ilvl w:val="2"/>
          <w:numId w:val="54"/>
        </w:numPr>
        <w:tabs>
          <w:tab w:val="left" w:pos="1556"/>
          <w:tab w:val="left" w:pos="1558"/>
        </w:tabs>
        <w:spacing w:before="238" w:line="242" w:lineRule="auto"/>
        <w:ind w:right="646"/>
        <w:jc w:val="both"/>
        <w:rPr>
          <w:sz w:val="24"/>
        </w:rPr>
      </w:pPr>
      <w:r>
        <w:rPr>
          <w:sz w:val="24"/>
        </w:rPr>
        <w:t>strategic international influence</w:t>
      </w:r>
      <w:r>
        <w:rPr>
          <w:spacing w:val="-1"/>
          <w:sz w:val="24"/>
        </w:rPr>
        <w:t xml:space="preserve"> </w:t>
      </w:r>
      <w:r>
        <w:rPr>
          <w:sz w:val="24"/>
        </w:rPr>
        <w:t>– maximising Australian input</w:t>
      </w:r>
      <w:r>
        <w:rPr>
          <w:spacing w:val="-3"/>
          <w:sz w:val="24"/>
        </w:rPr>
        <w:t xml:space="preserve"> </w:t>
      </w:r>
      <w:r>
        <w:rPr>
          <w:sz w:val="24"/>
        </w:rPr>
        <w:t>and influence with</w:t>
      </w:r>
      <w:r>
        <w:rPr>
          <w:spacing w:val="-2"/>
          <w:sz w:val="24"/>
        </w:rPr>
        <w:t xml:space="preserve"> </w:t>
      </w:r>
      <w:r>
        <w:rPr>
          <w:sz w:val="24"/>
        </w:rPr>
        <w:t>the</w:t>
      </w:r>
      <w:r>
        <w:rPr>
          <w:spacing w:val="-3"/>
          <w:sz w:val="24"/>
        </w:rPr>
        <w:t xml:space="preserve"> </w:t>
      </w:r>
      <w:r>
        <w:rPr>
          <w:sz w:val="24"/>
        </w:rPr>
        <w:t>IASB</w:t>
      </w:r>
      <w:r>
        <w:rPr>
          <w:spacing w:val="-7"/>
          <w:sz w:val="24"/>
        </w:rPr>
        <w:t xml:space="preserve"> </w:t>
      </w:r>
      <w:r>
        <w:rPr>
          <w:sz w:val="24"/>
        </w:rPr>
        <w:t>and</w:t>
      </w:r>
      <w:r>
        <w:rPr>
          <w:spacing w:val="-3"/>
          <w:sz w:val="24"/>
        </w:rPr>
        <w:t xml:space="preserve"> </w:t>
      </w:r>
      <w:r>
        <w:rPr>
          <w:sz w:val="24"/>
        </w:rPr>
        <w:t>when</w:t>
      </w:r>
      <w:r>
        <w:rPr>
          <w:spacing w:val="-6"/>
          <w:sz w:val="24"/>
        </w:rPr>
        <w:t xml:space="preserve"> </w:t>
      </w:r>
      <w:r>
        <w:rPr>
          <w:sz w:val="24"/>
        </w:rPr>
        <w:t>relevant, other</w:t>
      </w:r>
      <w:r>
        <w:rPr>
          <w:spacing w:val="-6"/>
          <w:sz w:val="24"/>
        </w:rPr>
        <w:t xml:space="preserve"> </w:t>
      </w:r>
      <w:r>
        <w:rPr>
          <w:sz w:val="24"/>
        </w:rPr>
        <w:t>international</w:t>
      </w:r>
      <w:r>
        <w:rPr>
          <w:spacing w:val="-1"/>
          <w:sz w:val="24"/>
        </w:rPr>
        <w:t xml:space="preserve"> </w:t>
      </w:r>
      <w:r>
        <w:rPr>
          <w:sz w:val="24"/>
        </w:rPr>
        <w:t>standard-setters</w:t>
      </w:r>
      <w:r>
        <w:rPr>
          <w:spacing w:val="-5"/>
          <w:sz w:val="24"/>
        </w:rPr>
        <w:t xml:space="preserve"> </w:t>
      </w:r>
      <w:r>
        <w:rPr>
          <w:sz w:val="24"/>
        </w:rPr>
        <w:t>such</w:t>
      </w:r>
      <w:r>
        <w:rPr>
          <w:spacing w:val="-2"/>
          <w:sz w:val="24"/>
        </w:rPr>
        <w:t xml:space="preserve"> </w:t>
      </w:r>
      <w:r>
        <w:rPr>
          <w:sz w:val="24"/>
        </w:rPr>
        <w:t>as the International Public Sector Accounting Standards Board (IPSASB);</w:t>
      </w:r>
    </w:p>
    <w:p w14:paraId="1E80576B" w14:textId="77777777" w:rsidR="00AA4A02" w:rsidRDefault="00960F31">
      <w:pPr>
        <w:pStyle w:val="ListParagraph"/>
        <w:numPr>
          <w:ilvl w:val="2"/>
          <w:numId w:val="54"/>
        </w:numPr>
        <w:tabs>
          <w:tab w:val="left" w:pos="1558"/>
        </w:tabs>
        <w:spacing w:before="230"/>
        <w:ind w:right="780"/>
        <w:rPr>
          <w:sz w:val="24"/>
        </w:rPr>
      </w:pPr>
      <w:r>
        <w:rPr>
          <w:sz w:val="24"/>
        </w:rPr>
        <w:t>transparency – making public</w:t>
      </w:r>
      <w:r>
        <w:rPr>
          <w:spacing w:val="-5"/>
          <w:sz w:val="24"/>
        </w:rPr>
        <w:t xml:space="preserve"> </w:t>
      </w:r>
      <w:r>
        <w:rPr>
          <w:sz w:val="24"/>
        </w:rPr>
        <w:t>the information</w:t>
      </w:r>
      <w:r>
        <w:rPr>
          <w:spacing w:val="-3"/>
          <w:sz w:val="24"/>
        </w:rPr>
        <w:t xml:space="preserve"> </w:t>
      </w:r>
      <w:r>
        <w:rPr>
          <w:sz w:val="24"/>
        </w:rPr>
        <w:t>on</w:t>
      </w:r>
      <w:r>
        <w:rPr>
          <w:spacing w:val="-4"/>
          <w:sz w:val="24"/>
        </w:rPr>
        <w:t xml:space="preserve"> </w:t>
      </w:r>
      <w:r>
        <w:rPr>
          <w:sz w:val="24"/>
        </w:rPr>
        <w:t>which the AASB</w:t>
      </w:r>
      <w:r>
        <w:rPr>
          <w:spacing w:val="-1"/>
          <w:sz w:val="24"/>
        </w:rPr>
        <w:t xml:space="preserve"> </w:t>
      </w:r>
      <w:r>
        <w:rPr>
          <w:sz w:val="24"/>
        </w:rPr>
        <w:t>bases</w:t>
      </w:r>
      <w:r>
        <w:rPr>
          <w:spacing w:val="-2"/>
          <w:sz w:val="24"/>
        </w:rPr>
        <w:t xml:space="preserve"> </w:t>
      </w:r>
      <w:r>
        <w:rPr>
          <w:sz w:val="24"/>
        </w:rPr>
        <w:t>its decisions at the earliest opportunity, including public board papers and meetings, and</w:t>
      </w:r>
      <w:r>
        <w:rPr>
          <w:spacing w:val="-2"/>
          <w:sz w:val="24"/>
        </w:rPr>
        <w:t xml:space="preserve"> </w:t>
      </w:r>
      <w:r>
        <w:rPr>
          <w:sz w:val="24"/>
        </w:rPr>
        <w:t>timely</w:t>
      </w:r>
      <w:r>
        <w:rPr>
          <w:spacing w:val="-6"/>
          <w:sz w:val="24"/>
        </w:rPr>
        <w:t xml:space="preserve"> </w:t>
      </w:r>
      <w:r>
        <w:rPr>
          <w:sz w:val="24"/>
        </w:rPr>
        <w:t>notification</w:t>
      </w:r>
      <w:r>
        <w:rPr>
          <w:spacing w:val="-6"/>
          <w:sz w:val="24"/>
        </w:rPr>
        <w:t xml:space="preserve"> </w:t>
      </w:r>
      <w:r>
        <w:rPr>
          <w:sz w:val="24"/>
        </w:rPr>
        <w:t>of</w:t>
      </w:r>
      <w:r>
        <w:rPr>
          <w:spacing w:val="-6"/>
          <w:sz w:val="24"/>
        </w:rPr>
        <w:t xml:space="preserve"> </w:t>
      </w:r>
      <w:r>
        <w:rPr>
          <w:sz w:val="24"/>
        </w:rPr>
        <w:t>tentative</w:t>
      </w:r>
      <w:r>
        <w:rPr>
          <w:spacing w:val="-4"/>
          <w:sz w:val="24"/>
        </w:rPr>
        <w:t xml:space="preserve"> </w:t>
      </w:r>
      <w:r>
        <w:rPr>
          <w:sz w:val="24"/>
        </w:rPr>
        <w:t>and</w:t>
      </w:r>
      <w:r>
        <w:rPr>
          <w:spacing w:val="-6"/>
          <w:sz w:val="24"/>
        </w:rPr>
        <w:t xml:space="preserve"> </w:t>
      </w:r>
      <w:r>
        <w:rPr>
          <w:sz w:val="24"/>
        </w:rPr>
        <w:t>final</w:t>
      </w:r>
      <w:r>
        <w:rPr>
          <w:spacing w:val="-3"/>
          <w:sz w:val="24"/>
        </w:rPr>
        <w:t xml:space="preserve"> </w:t>
      </w:r>
      <w:r>
        <w:rPr>
          <w:sz w:val="24"/>
        </w:rPr>
        <w:t>decisions.</w:t>
      </w:r>
      <w:r>
        <w:rPr>
          <w:spacing w:val="-1"/>
          <w:sz w:val="24"/>
        </w:rPr>
        <w:t xml:space="preserve"> </w:t>
      </w:r>
      <w:r>
        <w:rPr>
          <w:sz w:val="24"/>
        </w:rPr>
        <w:t>The</w:t>
      </w:r>
      <w:r>
        <w:rPr>
          <w:spacing w:val="-8"/>
          <w:sz w:val="24"/>
        </w:rPr>
        <w:t xml:space="preserve"> </w:t>
      </w:r>
      <w:r>
        <w:rPr>
          <w:i/>
          <w:sz w:val="24"/>
        </w:rPr>
        <w:t xml:space="preserve">AASB and AUASB Board Charter </w:t>
      </w:r>
      <w:r>
        <w:rPr>
          <w:sz w:val="24"/>
        </w:rPr>
        <w:t xml:space="preserve">sets out the AASB’s processes to achieve this </w:t>
      </w:r>
      <w:r>
        <w:rPr>
          <w:spacing w:val="-2"/>
          <w:sz w:val="24"/>
        </w:rPr>
        <w:t>principle;</w:t>
      </w:r>
    </w:p>
    <w:p w14:paraId="1E80576C" w14:textId="77777777" w:rsidR="00AA4A02" w:rsidRDefault="00960F31">
      <w:pPr>
        <w:pStyle w:val="ListParagraph"/>
        <w:numPr>
          <w:ilvl w:val="2"/>
          <w:numId w:val="54"/>
        </w:numPr>
        <w:tabs>
          <w:tab w:val="left" w:pos="1558"/>
        </w:tabs>
        <w:spacing w:before="243"/>
        <w:ind w:right="529"/>
        <w:rPr>
          <w:sz w:val="24"/>
        </w:rPr>
      </w:pPr>
      <w:r>
        <w:rPr>
          <w:sz w:val="24"/>
        </w:rPr>
        <w:t>appropriate consultation – consulting in a genuine and timely way with interested and affected entities, professional bodies, community organisations and</w:t>
      </w:r>
      <w:r>
        <w:rPr>
          <w:spacing w:val="-3"/>
          <w:sz w:val="24"/>
        </w:rPr>
        <w:t xml:space="preserve"> </w:t>
      </w:r>
      <w:r>
        <w:rPr>
          <w:sz w:val="24"/>
        </w:rPr>
        <w:t>individuals, to</w:t>
      </w:r>
      <w:r>
        <w:rPr>
          <w:spacing w:val="-8"/>
          <w:sz w:val="24"/>
        </w:rPr>
        <w:t xml:space="preserve"> </w:t>
      </w:r>
      <w:r>
        <w:rPr>
          <w:sz w:val="24"/>
        </w:rPr>
        <w:t>enhance</w:t>
      </w:r>
      <w:r>
        <w:rPr>
          <w:spacing w:val="-4"/>
          <w:sz w:val="24"/>
        </w:rPr>
        <w:t xml:space="preserve"> </w:t>
      </w:r>
      <w:r>
        <w:rPr>
          <w:sz w:val="24"/>
        </w:rPr>
        <w:t>the</w:t>
      </w:r>
      <w:r>
        <w:rPr>
          <w:spacing w:val="-3"/>
          <w:sz w:val="24"/>
        </w:rPr>
        <w:t xml:space="preserve"> </w:t>
      </w:r>
      <w:r>
        <w:rPr>
          <w:sz w:val="24"/>
        </w:rPr>
        <w:t>quality</w:t>
      </w:r>
      <w:r>
        <w:rPr>
          <w:spacing w:val="-7"/>
          <w:sz w:val="24"/>
        </w:rPr>
        <w:t xml:space="preserve"> </w:t>
      </w:r>
      <w:r>
        <w:rPr>
          <w:sz w:val="24"/>
        </w:rPr>
        <w:t>of</w:t>
      </w:r>
      <w:r>
        <w:rPr>
          <w:spacing w:val="-6"/>
          <w:sz w:val="24"/>
        </w:rPr>
        <w:t xml:space="preserve"> </w:t>
      </w:r>
      <w:r>
        <w:rPr>
          <w:sz w:val="24"/>
        </w:rPr>
        <w:t>the</w:t>
      </w:r>
      <w:r>
        <w:rPr>
          <w:spacing w:val="-3"/>
          <w:sz w:val="24"/>
        </w:rPr>
        <w:t xml:space="preserve"> </w:t>
      </w:r>
      <w:r>
        <w:rPr>
          <w:sz w:val="24"/>
        </w:rPr>
        <w:t>Standards.</w:t>
      </w:r>
      <w:r>
        <w:rPr>
          <w:spacing w:val="-1"/>
          <w:sz w:val="24"/>
        </w:rPr>
        <w:t xml:space="preserve"> </w:t>
      </w:r>
      <w:r>
        <w:rPr>
          <w:sz w:val="24"/>
        </w:rPr>
        <w:t>Consulting</w:t>
      </w:r>
      <w:r>
        <w:rPr>
          <w:spacing w:val="-2"/>
          <w:sz w:val="24"/>
        </w:rPr>
        <w:t xml:space="preserve"> </w:t>
      </w:r>
      <w:r>
        <w:rPr>
          <w:sz w:val="24"/>
        </w:rPr>
        <w:t>with</w:t>
      </w:r>
      <w:r>
        <w:rPr>
          <w:spacing w:val="-2"/>
          <w:sz w:val="24"/>
        </w:rPr>
        <w:t xml:space="preserve"> </w:t>
      </w:r>
      <w:r>
        <w:rPr>
          <w:sz w:val="24"/>
        </w:rPr>
        <w:t>other regulators</w:t>
      </w:r>
      <w:r>
        <w:rPr>
          <w:spacing w:val="-4"/>
          <w:sz w:val="24"/>
        </w:rPr>
        <w:t xml:space="preserve"> </w:t>
      </w:r>
      <w:r>
        <w:rPr>
          <w:sz w:val="24"/>
        </w:rPr>
        <w:t>to</w:t>
      </w:r>
      <w:r>
        <w:rPr>
          <w:spacing w:val="-2"/>
          <w:sz w:val="24"/>
        </w:rPr>
        <w:t xml:space="preserve"> </w:t>
      </w:r>
      <w:r>
        <w:rPr>
          <w:sz w:val="24"/>
        </w:rPr>
        <w:t>avoid</w:t>
      </w:r>
      <w:r>
        <w:rPr>
          <w:spacing w:val="-7"/>
          <w:sz w:val="24"/>
        </w:rPr>
        <w:t xml:space="preserve"> </w:t>
      </w:r>
      <w:r>
        <w:rPr>
          <w:sz w:val="24"/>
        </w:rPr>
        <w:t>creating</w:t>
      </w:r>
      <w:r>
        <w:rPr>
          <w:spacing w:val="-2"/>
          <w:sz w:val="24"/>
        </w:rPr>
        <w:t xml:space="preserve"> </w:t>
      </w:r>
      <w:r>
        <w:rPr>
          <w:sz w:val="24"/>
        </w:rPr>
        <w:t>cumulative</w:t>
      </w:r>
      <w:r>
        <w:rPr>
          <w:spacing w:val="-8"/>
          <w:sz w:val="24"/>
        </w:rPr>
        <w:t xml:space="preserve"> </w:t>
      </w:r>
      <w:r>
        <w:rPr>
          <w:sz w:val="24"/>
        </w:rPr>
        <w:t>or</w:t>
      </w:r>
      <w:r>
        <w:rPr>
          <w:spacing w:val="-1"/>
          <w:sz w:val="24"/>
        </w:rPr>
        <w:t xml:space="preserve"> </w:t>
      </w:r>
      <w:r>
        <w:rPr>
          <w:sz w:val="24"/>
        </w:rPr>
        <w:t>overlapping</w:t>
      </w:r>
      <w:r>
        <w:rPr>
          <w:spacing w:val="-3"/>
          <w:sz w:val="24"/>
        </w:rPr>
        <w:t xml:space="preserve"> </w:t>
      </w:r>
      <w:r>
        <w:rPr>
          <w:sz w:val="24"/>
        </w:rPr>
        <w:t>regulatory</w:t>
      </w:r>
      <w:r>
        <w:rPr>
          <w:spacing w:val="-7"/>
          <w:sz w:val="24"/>
        </w:rPr>
        <w:t xml:space="preserve"> </w:t>
      </w:r>
      <w:r>
        <w:rPr>
          <w:sz w:val="24"/>
        </w:rPr>
        <w:t>burdens</w:t>
      </w:r>
      <w:r>
        <w:rPr>
          <w:spacing w:val="-4"/>
          <w:sz w:val="24"/>
        </w:rPr>
        <w:t xml:space="preserve"> </w:t>
      </w:r>
      <w:r>
        <w:rPr>
          <w:sz w:val="24"/>
        </w:rPr>
        <w:t xml:space="preserve">(see Section </w:t>
      </w:r>
      <w:hyperlink w:anchor="_bookmark0" w:history="1">
        <w:r>
          <w:rPr>
            <w:sz w:val="24"/>
          </w:rPr>
          <w:t>6</w:t>
        </w:r>
      </w:hyperlink>
      <w:r>
        <w:rPr>
          <w:sz w:val="24"/>
        </w:rPr>
        <w:t>); and</w:t>
      </w:r>
    </w:p>
    <w:p w14:paraId="1E80576D" w14:textId="77777777" w:rsidR="00AA4A02" w:rsidRDefault="00960F31">
      <w:pPr>
        <w:pStyle w:val="ListParagraph"/>
        <w:numPr>
          <w:ilvl w:val="2"/>
          <w:numId w:val="54"/>
        </w:numPr>
        <w:tabs>
          <w:tab w:val="left" w:pos="1558"/>
        </w:tabs>
        <w:spacing w:before="238"/>
        <w:ind w:right="557"/>
        <w:rPr>
          <w:sz w:val="24"/>
        </w:rPr>
      </w:pPr>
      <w:r>
        <w:rPr>
          <w:sz w:val="24"/>
        </w:rPr>
        <w:t>accountability</w:t>
      </w:r>
      <w:r>
        <w:rPr>
          <w:spacing w:val="-1"/>
          <w:sz w:val="24"/>
        </w:rPr>
        <w:t xml:space="preserve"> </w:t>
      </w:r>
      <w:r>
        <w:rPr>
          <w:sz w:val="24"/>
        </w:rPr>
        <w:t>–</w:t>
      </w:r>
      <w:r>
        <w:rPr>
          <w:spacing w:val="-3"/>
          <w:sz w:val="24"/>
        </w:rPr>
        <w:t xml:space="preserve"> </w:t>
      </w:r>
      <w:r>
        <w:rPr>
          <w:sz w:val="24"/>
        </w:rPr>
        <w:t>a</w:t>
      </w:r>
      <w:r>
        <w:rPr>
          <w:spacing w:val="-4"/>
          <w:sz w:val="24"/>
        </w:rPr>
        <w:t xml:space="preserve"> </w:t>
      </w:r>
      <w:r>
        <w:rPr>
          <w:sz w:val="24"/>
        </w:rPr>
        <w:t>cost/benefit</w:t>
      </w:r>
      <w:r>
        <w:rPr>
          <w:spacing w:val="-1"/>
          <w:sz w:val="24"/>
        </w:rPr>
        <w:t xml:space="preserve"> </w:t>
      </w:r>
      <w:r>
        <w:rPr>
          <w:sz w:val="24"/>
        </w:rPr>
        <w:t>analysis</w:t>
      </w:r>
      <w:r>
        <w:rPr>
          <w:spacing w:val="-4"/>
          <w:sz w:val="24"/>
        </w:rPr>
        <w:t xml:space="preserve"> </w:t>
      </w:r>
      <w:r>
        <w:rPr>
          <w:sz w:val="24"/>
        </w:rPr>
        <w:t>is</w:t>
      </w:r>
      <w:r>
        <w:rPr>
          <w:spacing w:val="-5"/>
          <w:sz w:val="24"/>
        </w:rPr>
        <w:t xml:space="preserve"> </w:t>
      </w:r>
      <w:r>
        <w:rPr>
          <w:sz w:val="24"/>
        </w:rPr>
        <w:t>performed</w:t>
      </w:r>
      <w:r>
        <w:rPr>
          <w:spacing w:val="-2"/>
          <w:sz w:val="24"/>
        </w:rPr>
        <w:t xml:space="preserve"> </w:t>
      </w:r>
      <w:r>
        <w:rPr>
          <w:sz w:val="24"/>
        </w:rPr>
        <w:t>for</w:t>
      </w:r>
      <w:r>
        <w:rPr>
          <w:spacing w:val="-6"/>
          <w:sz w:val="24"/>
        </w:rPr>
        <w:t xml:space="preserve"> </w:t>
      </w:r>
      <w:r>
        <w:rPr>
          <w:sz w:val="24"/>
        </w:rPr>
        <w:t>all</w:t>
      </w:r>
      <w:r>
        <w:rPr>
          <w:spacing w:val="-2"/>
          <w:sz w:val="24"/>
        </w:rPr>
        <w:t xml:space="preserve"> </w:t>
      </w:r>
      <w:r>
        <w:rPr>
          <w:sz w:val="24"/>
        </w:rPr>
        <w:t>new</w:t>
      </w:r>
      <w:r>
        <w:rPr>
          <w:spacing w:val="-3"/>
          <w:sz w:val="24"/>
        </w:rPr>
        <w:t xml:space="preserve"> </w:t>
      </w:r>
      <w:r>
        <w:rPr>
          <w:sz w:val="24"/>
        </w:rPr>
        <w:t>and</w:t>
      </w:r>
      <w:r>
        <w:rPr>
          <w:spacing w:val="-8"/>
          <w:sz w:val="24"/>
        </w:rPr>
        <w:t xml:space="preserve"> </w:t>
      </w:r>
      <w:r>
        <w:rPr>
          <w:sz w:val="24"/>
        </w:rPr>
        <w:t>amending Standards, either in the form of a Regulation Impact Statement (RIS)</w:t>
      </w:r>
      <w:r>
        <w:rPr>
          <w:sz w:val="24"/>
          <w:vertAlign w:val="superscript"/>
        </w:rPr>
        <w:t>7</w:t>
      </w:r>
      <w:r>
        <w:rPr>
          <w:sz w:val="24"/>
        </w:rPr>
        <w:t xml:space="preserve"> or similar document (for all Standards impacting the private sector), or in the Basis for Conclusions, analysing the potential effects of the proposals on affected</w:t>
      </w:r>
      <w:r>
        <w:rPr>
          <w:spacing w:val="-2"/>
          <w:sz w:val="24"/>
        </w:rPr>
        <w:t xml:space="preserve"> </w:t>
      </w:r>
      <w:r>
        <w:rPr>
          <w:sz w:val="24"/>
        </w:rPr>
        <w:t>parties</w:t>
      </w:r>
      <w:r>
        <w:rPr>
          <w:spacing w:val="-3"/>
          <w:sz w:val="24"/>
        </w:rPr>
        <w:t xml:space="preserve"> </w:t>
      </w:r>
      <w:r>
        <w:rPr>
          <w:sz w:val="24"/>
        </w:rPr>
        <w:t>and</w:t>
      </w:r>
      <w:r>
        <w:rPr>
          <w:spacing w:val="-2"/>
          <w:sz w:val="24"/>
        </w:rPr>
        <w:t xml:space="preserve"> </w:t>
      </w:r>
      <w:r>
        <w:rPr>
          <w:sz w:val="24"/>
        </w:rPr>
        <w:t>explaining</w:t>
      </w:r>
      <w:r>
        <w:rPr>
          <w:spacing w:val="-6"/>
          <w:sz w:val="24"/>
        </w:rPr>
        <w:t xml:space="preserve"> </w:t>
      </w:r>
      <w:r>
        <w:rPr>
          <w:sz w:val="24"/>
        </w:rPr>
        <w:t>the</w:t>
      </w:r>
      <w:r>
        <w:rPr>
          <w:spacing w:val="-2"/>
          <w:sz w:val="24"/>
        </w:rPr>
        <w:t xml:space="preserve"> </w:t>
      </w:r>
      <w:r>
        <w:rPr>
          <w:sz w:val="24"/>
        </w:rPr>
        <w:t>rationale</w:t>
      </w:r>
      <w:r>
        <w:rPr>
          <w:spacing w:val="-6"/>
          <w:sz w:val="24"/>
        </w:rPr>
        <w:t xml:space="preserve"> </w:t>
      </w:r>
      <w:r>
        <w:rPr>
          <w:sz w:val="24"/>
        </w:rPr>
        <w:t>for</w:t>
      </w:r>
      <w:r>
        <w:rPr>
          <w:spacing w:val="-4"/>
          <w:sz w:val="24"/>
        </w:rPr>
        <w:t xml:space="preserve"> </w:t>
      </w:r>
      <w:r>
        <w:rPr>
          <w:sz w:val="24"/>
        </w:rPr>
        <w:t>why</w:t>
      </w:r>
      <w:r>
        <w:rPr>
          <w:spacing w:val="-2"/>
          <w:sz w:val="24"/>
        </w:rPr>
        <w:t xml:space="preserve"> </w:t>
      </w:r>
      <w:r>
        <w:rPr>
          <w:sz w:val="24"/>
        </w:rPr>
        <w:t>decisions</w:t>
      </w:r>
      <w:r>
        <w:rPr>
          <w:spacing w:val="-3"/>
          <w:sz w:val="24"/>
        </w:rPr>
        <w:t xml:space="preserve"> </w:t>
      </w:r>
      <w:r>
        <w:rPr>
          <w:sz w:val="24"/>
        </w:rPr>
        <w:t>were</w:t>
      </w:r>
      <w:r>
        <w:rPr>
          <w:spacing w:val="-3"/>
          <w:sz w:val="24"/>
        </w:rPr>
        <w:t xml:space="preserve"> </w:t>
      </w:r>
      <w:r>
        <w:rPr>
          <w:sz w:val="24"/>
        </w:rPr>
        <w:t>made. All</w:t>
      </w:r>
    </w:p>
    <w:p w14:paraId="1E80576E" w14:textId="77777777" w:rsidR="00AA4A02" w:rsidRDefault="00960F31">
      <w:pPr>
        <w:pStyle w:val="BodyText"/>
        <w:spacing w:before="194"/>
        <w:rPr>
          <w:sz w:val="20"/>
        </w:rPr>
      </w:pPr>
      <w:r>
        <w:rPr>
          <w:noProof/>
          <w:sz w:val="20"/>
        </w:rPr>
        <mc:AlternateContent>
          <mc:Choice Requires="wps">
            <w:drawing>
              <wp:anchor distT="0" distB="0" distL="0" distR="0" simplePos="0" relativeHeight="487592960" behindDoc="1" locked="0" layoutInCell="1" allowOverlap="1" wp14:anchorId="1E805F27" wp14:editId="1E805F28">
                <wp:simplePos x="0" y="0"/>
                <wp:positionH relativeFrom="page">
                  <wp:posOffset>899464</wp:posOffset>
                </wp:positionH>
                <wp:positionV relativeFrom="paragraph">
                  <wp:posOffset>284622</wp:posOffset>
                </wp:positionV>
                <wp:extent cx="183007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E0B9E2" id="Graphic 29" o:spid="_x0000_s1026" style="position:absolute;margin-left:70.8pt;margin-top:22.4pt;width:144.1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" path="m1829689,l,,,6095r1829689,l1829689,xe" fillcolor="black" stroked="f">
                <v:path arrowok="t"/>
                <w10:wrap type="topAndBottom" anchorx="page"/>
              </v:shape>
            </w:pict>
          </mc:Fallback>
        </mc:AlternateContent>
      </w:r>
    </w:p>
    <w:p w14:paraId="1E80576F" w14:textId="77777777" w:rsidR="00AA4A02" w:rsidRDefault="00960F31">
      <w:pPr>
        <w:pStyle w:val="ListParagraph"/>
        <w:numPr>
          <w:ilvl w:val="0"/>
          <w:numId w:val="53"/>
        </w:numPr>
        <w:tabs>
          <w:tab w:val="left" w:pos="482"/>
        </w:tabs>
        <w:spacing w:before="106"/>
        <w:ind w:right="1186"/>
        <w:rPr>
          <w:sz w:val="20"/>
        </w:rPr>
      </w:pPr>
      <w:r>
        <w:rPr>
          <w:sz w:val="20"/>
        </w:rPr>
        <w:t>A</w:t>
      </w:r>
      <w:r>
        <w:rPr>
          <w:spacing w:val="-1"/>
          <w:sz w:val="20"/>
        </w:rPr>
        <w:t xml:space="preserve"> </w:t>
      </w:r>
      <w:r>
        <w:rPr>
          <w:sz w:val="20"/>
        </w:rPr>
        <w:t>Regulation Impact Statement formalises</w:t>
      </w:r>
      <w:r>
        <w:rPr>
          <w:spacing w:val="-5"/>
          <w:sz w:val="20"/>
        </w:rPr>
        <w:t xml:space="preserve"> </w:t>
      </w:r>
      <w:r>
        <w:rPr>
          <w:sz w:val="20"/>
        </w:rPr>
        <w:t>and</w:t>
      </w:r>
      <w:r>
        <w:rPr>
          <w:spacing w:val="-4"/>
          <w:sz w:val="20"/>
        </w:rPr>
        <w:t xml:space="preserve"> </w:t>
      </w:r>
      <w:r>
        <w:rPr>
          <w:sz w:val="20"/>
        </w:rPr>
        <w:t>documents</w:t>
      </w:r>
      <w:r>
        <w:rPr>
          <w:spacing w:val="-5"/>
          <w:sz w:val="20"/>
        </w:rPr>
        <w:t xml:space="preserve"> </w:t>
      </w:r>
      <w:r>
        <w:rPr>
          <w:sz w:val="20"/>
        </w:rPr>
        <w:t>the steps</w:t>
      </w:r>
      <w:r>
        <w:rPr>
          <w:spacing w:val="-6"/>
          <w:sz w:val="20"/>
        </w:rPr>
        <w:t xml:space="preserve"> </w:t>
      </w:r>
      <w:r>
        <w:rPr>
          <w:sz w:val="20"/>
        </w:rPr>
        <w:t>that</w:t>
      </w:r>
      <w:r>
        <w:rPr>
          <w:spacing w:val="-2"/>
          <w:sz w:val="20"/>
        </w:rPr>
        <w:t xml:space="preserve"> </w:t>
      </w:r>
      <w:r>
        <w:rPr>
          <w:sz w:val="20"/>
        </w:rPr>
        <w:t>have</w:t>
      </w:r>
      <w:r>
        <w:rPr>
          <w:spacing w:val="-2"/>
          <w:sz w:val="20"/>
        </w:rPr>
        <w:t xml:space="preserve"> </w:t>
      </w:r>
      <w:r>
        <w:rPr>
          <w:sz w:val="20"/>
        </w:rPr>
        <w:t>been</w:t>
      </w:r>
      <w:r>
        <w:rPr>
          <w:spacing w:val="-4"/>
          <w:sz w:val="20"/>
        </w:rPr>
        <w:t xml:space="preserve"> </w:t>
      </w:r>
      <w:r>
        <w:rPr>
          <w:sz w:val="20"/>
        </w:rPr>
        <w:t>taken</w:t>
      </w:r>
      <w:r>
        <w:rPr>
          <w:spacing w:val="-3"/>
          <w:sz w:val="20"/>
        </w:rPr>
        <w:t xml:space="preserve"> </w:t>
      </w:r>
      <w:r>
        <w:rPr>
          <w:sz w:val="20"/>
        </w:rPr>
        <w:t>in</w:t>
      </w:r>
      <w:r>
        <w:rPr>
          <w:spacing w:val="-9"/>
          <w:sz w:val="20"/>
        </w:rPr>
        <w:t xml:space="preserve"> </w:t>
      </w:r>
      <w:r>
        <w:rPr>
          <w:sz w:val="20"/>
        </w:rPr>
        <w:t>making government regulation and requires the consideration of seven key questions (the RIS questions).</w:t>
      </w:r>
    </w:p>
    <w:p w14:paraId="1E805770"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71" w14:textId="77777777" w:rsidR="00AA4A02" w:rsidRDefault="00960F31">
      <w:pPr>
        <w:spacing w:before="80" w:line="247" w:lineRule="auto"/>
        <w:ind w:left="1558" w:right="427"/>
        <w:rPr>
          <w:sz w:val="24"/>
        </w:rPr>
      </w:pPr>
      <w:r>
        <w:rPr>
          <w:sz w:val="24"/>
        </w:rPr>
        <w:lastRenderedPageBreak/>
        <w:t>Standards</w:t>
      </w:r>
      <w:r>
        <w:rPr>
          <w:spacing w:val="-4"/>
          <w:sz w:val="24"/>
        </w:rPr>
        <w:t xml:space="preserve"> </w:t>
      </w:r>
      <w:r>
        <w:rPr>
          <w:sz w:val="24"/>
        </w:rPr>
        <w:t>are</w:t>
      </w:r>
      <w:r>
        <w:rPr>
          <w:spacing w:val="-3"/>
          <w:sz w:val="24"/>
        </w:rPr>
        <w:t xml:space="preserve"> </w:t>
      </w:r>
      <w:r>
        <w:rPr>
          <w:sz w:val="24"/>
        </w:rPr>
        <w:t>periodically</w:t>
      </w:r>
      <w:r>
        <w:rPr>
          <w:spacing w:val="-7"/>
          <w:sz w:val="24"/>
        </w:rPr>
        <w:t xml:space="preserve"> </w:t>
      </w:r>
      <w:r>
        <w:rPr>
          <w:sz w:val="24"/>
        </w:rPr>
        <w:t>reviewed</w:t>
      </w:r>
      <w:r>
        <w:rPr>
          <w:spacing w:val="-2"/>
          <w:sz w:val="24"/>
        </w:rPr>
        <w:t xml:space="preserve"> </w:t>
      </w:r>
      <w:r>
        <w:rPr>
          <w:sz w:val="24"/>
        </w:rPr>
        <w:t>to</w:t>
      </w:r>
      <w:r>
        <w:rPr>
          <w:spacing w:val="-8"/>
          <w:sz w:val="24"/>
        </w:rPr>
        <w:t xml:space="preserve"> </w:t>
      </w:r>
      <w:r>
        <w:rPr>
          <w:sz w:val="24"/>
        </w:rPr>
        <w:t>test</w:t>
      </w:r>
      <w:r>
        <w:rPr>
          <w:spacing w:val="-3"/>
          <w:sz w:val="24"/>
        </w:rPr>
        <w:t xml:space="preserve"> </w:t>
      </w:r>
      <w:r>
        <w:rPr>
          <w:sz w:val="24"/>
        </w:rPr>
        <w:t>their</w:t>
      </w:r>
      <w:r>
        <w:rPr>
          <w:spacing w:val="-2"/>
          <w:sz w:val="24"/>
        </w:rPr>
        <w:t xml:space="preserve"> </w:t>
      </w:r>
      <w:r>
        <w:rPr>
          <w:sz w:val="24"/>
        </w:rPr>
        <w:t>continuing</w:t>
      </w:r>
      <w:r>
        <w:rPr>
          <w:spacing w:val="-2"/>
          <w:sz w:val="24"/>
        </w:rPr>
        <w:t xml:space="preserve"> </w:t>
      </w:r>
      <w:r>
        <w:rPr>
          <w:sz w:val="24"/>
        </w:rPr>
        <w:t>relevance</w:t>
      </w:r>
      <w:r>
        <w:rPr>
          <w:spacing w:val="-3"/>
          <w:sz w:val="24"/>
        </w:rPr>
        <w:t xml:space="preserve"> </w:t>
      </w:r>
      <w:r>
        <w:rPr>
          <w:sz w:val="24"/>
        </w:rPr>
        <w:t>(see paragraphs 7.15.1-7.15.3 on post-implementation reviews).</w:t>
      </w:r>
    </w:p>
    <w:p w14:paraId="1E805772" w14:textId="77777777" w:rsidR="00AA4A02" w:rsidRDefault="00960F31">
      <w:pPr>
        <w:pStyle w:val="ListParagraph"/>
        <w:numPr>
          <w:ilvl w:val="1"/>
          <w:numId w:val="54"/>
        </w:numPr>
        <w:tabs>
          <w:tab w:val="left" w:pos="852"/>
        </w:tabs>
        <w:spacing w:before="224" w:line="247" w:lineRule="auto"/>
        <w:ind w:right="1305"/>
        <w:rPr>
          <w:sz w:val="24"/>
        </w:rPr>
      </w:pPr>
      <w:r>
        <w:rPr>
          <w:sz w:val="24"/>
        </w:rPr>
        <w:t>The</w:t>
      </w:r>
      <w:r>
        <w:rPr>
          <w:spacing w:val="-4"/>
          <w:sz w:val="24"/>
        </w:rPr>
        <w:t xml:space="preserve"> </w:t>
      </w:r>
      <w:r>
        <w:rPr>
          <w:sz w:val="24"/>
        </w:rPr>
        <w:t>AASB</w:t>
      </w:r>
      <w:r>
        <w:rPr>
          <w:spacing w:val="-4"/>
          <w:sz w:val="24"/>
        </w:rPr>
        <w:t xml:space="preserve"> </w:t>
      </w:r>
      <w:r>
        <w:rPr>
          <w:sz w:val="24"/>
        </w:rPr>
        <w:t>standard-setting</w:t>
      </w:r>
      <w:r>
        <w:rPr>
          <w:spacing w:val="-3"/>
          <w:sz w:val="24"/>
        </w:rPr>
        <w:t xml:space="preserve"> </w:t>
      </w:r>
      <w:r>
        <w:rPr>
          <w:sz w:val="24"/>
        </w:rPr>
        <w:t>process</w:t>
      </w:r>
      <w:r>
        <w:rPr>
          <w:spacing w:val="-5"/>
          <w:sz w:val="24"/>
        </w:rPr>
        <w:t xml:space="preserve"> </w:t>
      </w:r>
      <w:r>
        <w:rPr>
          <w:sz w:val="24"/>
        </w:rPr>
        <w:t>addresses</w:t>
      </w:r>
      <w:r>
        <w:rPr>
          <w:spacing w:val="-4"/>
          <w:sz w:val="24"/>
        </w:rPr>
        <w:t xml:space="preserve"> </w:t>
      </w:r>
      <w:r>
        <w:rPr>
          <w:sz w:val="24"/>
        </w:rPr>
        <w:t>the</w:t>
      </w:r>
      <w:r>
        <w:rPr>
          <w:spacing w:val="-3"/>
          <w:sz w:val="24"/>
        </w:rPr>
        <w:t xml:space="preserve"> </w:t>
      </w:r>
      <w:r>
        <w:rPr>
          <w:sz w:val="24"/>
        </w:rPr>
        <w:t>seven</w:t>
      </w:r>
      <w:r>
        <w:rPr>
          <w:spacing w:val="-2"/>
          <w:sz w:val="24"/>
        </w:rPr>
        <w:t xml:space="preserve"> </w:t>
      </w:r>
      <w:r>
        <w:rPr>
          <w:sz w:val="24"/>
        </w:rPr>
        <w:t>RIS</w:t>
      </w:r>
      <w:r>
        <w:rPr>
          <w:spacing w:val="-2"/>
          <w:sz w:val="24"/>
        </w:rPr>
        <w:t xml:space="preserve"> </w:t>
      </w:r>
      <w:r>
        <w:rPr>
          <w:sz w:val="24"/>
        </w:rPr>
        <w:t>questions</w:t>
      </w:r>
      <w:r>
        <w:rPr>
          <w:spacing w:val="-5"/>
          <w:sz w:val="24"/>
        </w:rPr>
        <w:t xml:space="preserve"> </w:t>
      </w:r>
      <w:r>
        <w:rPr>
          <w:sz w:val="24"/>
        </w:rPr>
        <w:t>of</w:t>
      </w:r>
      <w:r>
        <w:rPr>
          <w:spacing w:val="-1"/>
          <w:sz w:val="24"/>
        </w:rPr>
        <w:t xml:space="preserve"> </w:t>
      </w:r>
      <w:r>
        <w:rPr>
          <w:i/>
          <w:sz w:val="24"/>
        </w:rPr>
        <w:t>The Australian Government Guide to Regulation</w:t>
      </w:r>
      <w:r>
        <w:rPr>
          <w:sz w:val="24"/>
        </w:rPr>
        <w:t>:</w:t>
      </w:r>
    </w:p>
    <w:p w14:paraId="1E805773" w14:textId="77777777" w:rsidR="00AA4A02" w:rsidRDefault="00960F31">
      <w:pPr>
        <w:pStyle w:val="ListParagraph"/>
        <w:numPr>
          <w:ilvl w:val="2"/>
          <w:numId w:val="54"/>
        </w:numPr>
        <w:tabs>
          <w:tab w:val="left" w:pos="1557"/>
        </w:tabs>
        <w:spacing w:before="228"/>
        <w:ind w:left="1557" w:hanging="705"/>
        <w:rPr>
          <w:sz w:val="24"/>
        </w:rPr>
      </w:pPr>
      <w:r>
        <w:rPr>
          <w:sz w:val="24"/>
        </w:rPr>
        <w:t>what</w:t>
      </w:r>
      <w:r>
        <w:rPr>
          <w:spacing w:val="2"/>
          <w:sz w:val="24"/>
        </w:rPr>
        <w:t xml:space="preserve"> </w:t>
      </w:r>
      <w:r>
        <w:rPr>
          <w:sz w:val="24"/>
        </w:rPr>
        <w:t>is the</w:t>
      </w:r>
      <w:r>
        <w:rPr>
          <w:spacing w:val="2"/>
          <w:sz w:val="24"/>
        </w:rPr>
        <w:t xml:space="preserve"> </w:t>
      </w:r>
      <w:r>
        <w:rPr>
          <w:sz w:val="24"/>
        </w:rPr>
        <w:t>problem</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trying</w:t>
      </w:r>
      <w:r>
        <w:rPr>
          <w:spacing w:val="-2"/>
          <w:sz w:val="24"/>
        </w:rPr>
        <w:t xml:space="preserve"> </w:t>
      </w:r>
      <w:r>
        <w:rPr>
          <w:sz w:val="24"/>
        </w:rPr>
        <w:t>to</w:t>
      </w:r>
      <w:r>
        <w:rPr>
          <w:spacing w:val="-2"/>
          <w:sz w:val="24"/>
        </w:rPr>
        <w:t xml:space="preserve"> solve?</w:t>
      </w:r>
    </w:p>
    <w:p w14:paraId="1E805774" w14:textId="77777777" w:rsidR="00AA4A02" w:rsidRDefault="00960F31">
      <w:pPr>
        <w:pStyle w:val="ListParagraph"/>
        <w:numPr>
          <w:ilvl w:val="2"/>
          <w:numId w:val="54"/>
        </w:numPr>
        <w:tabs>
          <w:tab w:val="left" w:pos="1557"/>
        </w:tabs>
        <w:spacing w:before="243"/>
        <w:ind w:left="1557" w:hanging="705"/>
        <w:rPr>
          <w:sz w:val="24"/>
        </w:rPr>
      </w:pPr>
      <w:r>
        <w:rPr>
          <w:sz w:val="24"/>
        </w:rPr>
        <w:t>why</w:t>
      </w:r>
      <w:r>
        <w:rPr>
          <w:spacing w:val="1"/>
          <w:sz w:val="24"/>
        </w:rPr>
        <w:t xml:space="preserve"> </w:t>
      </w:r>
      <w:r>
        <w:rPr>
          <w:sz w:val="24"/>
        </w:rPr>
        <w:t>is</w:t>
      </w:r>
      <w:r>
        <w:rPr>
          <w:spacing w:val="-1"/>
          <w:sz w:val="24"/>
        </w:rPr>
        <w:t xml:space="preserve"> </w:t>
      </w:r>
      <w:r>
        <w:rPr>
          <w:sz w:val="24"/>
        </w:rPr>
        <w:t>action</w:t>
      </w:r>
      <w:r>
        <w:rPr>
          <w:spacing w:val="2"/>
          <w:sz w:val="24"/>
        </w:rPr>
        <w:t xml:space="preserve"> </w:t>
      </w:r>
      <w:r>
        <w:rPr>
          <w:spacing w:val="-2"/>
          <w:sz w:val="24"/>
        </w:rPr>
        <w:t>needed?</w:t>
      </w:r>
    </w:p>
    <w:p w14:paraId="1E805775" w14:textId="77777777" w:rsidR="00AA4A02" w:rsidRDefault="00960F31">
      <w:pPr>
        <w:pStyle w:val="ListParagraph"/>
        <w:numPr>
          <w:ilvl w:val="2"/>
          <w:numId w:val="54"/>
        </w:numPr>
        <w:tabs>
          <w:tab w:val="left" w:pos="1557"/>
        </w:tabs>
        <w:spacing w:before="237"/>
        <w:ind w:left="1557" w:hanging="705"/>
        <w:rPr>
          <w:sz w:val="24"/>
        </w:rPr>
      </w:pPr>
      <w:r>
        <w:rPr>
          <w:sz w:val="24"/>
        </w:rPr>
        <w:t>what</w:t>
      </w:r>
      <w:r>
        <w:rPr>
          <w:spacing w:val="1"/>
          <w:sz w:val="24"/>
        </w:rPr>
        <w:t xml:space="preserve"> </w:t>
      </w:r>
      <w:r>
        <w:rPr>
          <w:sz w:val="24"/>
        </w:rPr>
        <w:t>policy</w:t>
      </w:r>
      <w:r>
        <w:rPr>
          <w:spacing w:val="2"/>
          <w:sz w:val="24"/>
        </w:rPr>
        <w:t xml:space="preserve"> </w:t>
      </w:r>
      <w:r>
        <w:rPr>
          <w:sz w:val="24"/>
        </w:rPr>
        <w:t>options</w:t>
      </w:r>
      <w:r>
        <w:rPr>
          <w:spacing w:val="-1"/>
          <w:sz w:val="24"/>
        </w:rPr>
        <w:t xml:space="preserve"> </w:t>
      </w:r>
      <w:r>
        <w:rPr>
          <w:sz w:val="24"/>
        </w:rPr>
        <w:t>are</w:t>
      </w:r>
      <w:r>
        <w:rPr>
          <w:spacing w:val="-4"/>
          <w:sz w:val="24"/>
        </w:rPr>
        <w:t xml:space="preserve"> </w:t>
      </w:r>
      <w:r>
        <w:rPr>
          <w:sz w:val="24"/>
        </w:rPr>
        <w:t>being</w:t>
      </w:r>
      <w:r>
        <w:rPr>
          <w:spacing w:val="2"/>
          <w:sz w:val="24"/>
        </w:rPr>
        <w:t xml:space="preserve"> </w:t>
      </w:r>
      <w:r>
        <w:rPr>
          <w:spacing w:val="-2"/>
          <w:sz w:val="24"/>
        </w:rPr>
        <w:t>considered?</w:t>
      </w:r>
    </w:p>
    <w:p w14:paraId="1E805776" w14:textId="77777777" w:rsidR="00AA4A02" w:rsidRDefault="00960F31">
      <w:pPr>
        <w:pStyle w:val="ListParagraph"/>
        <w:numPr>
          <w:ilvl w:val="2"/>
          <w:numId w:val="54"/>
        </w:numPr>
        <w:tabs>
          <w:tab w:val="left" w:pos="1557"/>
        </w:tabs>
        <w:spacing w:before="243"/>
        <w:ind w:left="1557" w:hanging="705"/>
        <w:rPr>
          <w:sz w:val="24"/>
        </w:rPr>
      </w:pPr>
      <w:r>
        <w:rPr>
          <w:sz w:val="24"/>
        </w:rPr>
        <w:t>what is</w:t>
      </w:r>
      <w:r>
        <w:rPr>
          <w:spacing w:val="-1"/>
          <w:sz w:val="24"/>
        </w:rPr>
        <w:t xml:space="preserve"> </w:t>
      </w:r>
      <w:r>
        <w:rPr>
          <w:sz w:val="24"/>
        </w:rPr>
        <w:t>the</w:t>
      </w:r>
      <w:r>
        <w:rPr>
          <w:spacing w:val="1"/>
          <w:sz w:val="24"/>
        </w:rPr>
        <w:t xml:space="preserve"> </w:t>
      </w:r>
      <w:r>
        <w:rPr>
          <w:sz w:val="24"/>
        </w:rPr>
        <w:t>likely</w:t>
      </w:r>
      <w:r>
        <w:rPr>
          <w:spacing w:val="-1"/>
          <w:sz w:val="24"/>
        </w:rPr>
        <w:t xml:space="preserve"> </w:t>
      </w:r>
      <w:r>
        <w:rPr>
          <w:sz w:val="24"/>
        </w:rPr>
        <w:t>net benefit</w:t>
      </w:r>
      <w:r>
        <w:rPr>
          <w:spacing w:val="-1"/>
          <w:sz w:val="24"/>
        </w:rPr>
        <w:t xml:space="preserve"> </w:t>
      </w:r>
      <w:r>
        <w:rPr>
          <w:sz w:val="24"/>
        </w:rPr>
        <w:t>of</w:t>
      </w:r>
      <w:r>
        <w:rPr>
          <w:spacing w:val="-2"/>
          <w:sz w:val="24"/>
        </w:rPr>
        <w:t xml:space="preserve"> </w:t>
      </w:r>
      <w:r>
        <w:rPr>
          <w:sz w:val="24"/>
        </w:rPr>
        <w:t>each</w:t>
      </w:r>
      <w:r>
        <w:rPr>
          <w:spacing w:val="1"/>
          <w:sz w:val="24"/>
        </w:rPr>
        <w:t xml:space="preserve"> </w:t>
      </w:r>
      <w:r>
        <w:rPr>
          <w:spacing w:val="-2"/>
          <w:sz w:val="24"/>
        </w:rPr>
        <w:t>option?</w:t>
      </w:r>
    </w:p>
    <w:p w14:paraId="1E805777" w14:textId="77777777" w:rsidR="00AA4A02" w:rsidRDefault="00960F31">
      <w:pPr>
        <w:pStyle w:val="ListParagraph"/>
        <w:numPr>
          <w:ilvl w:val="2"/>
          <w:numId w:val="54"/>
        </w:numPr>
        <w:tabs>
          <w:tab w:val="left" w:pos="1557"/>
        </w:tabs>
        <w:spacing w:before="237"/>
        <w:ind w:left="1557" w:hanging="705"/>
        <w:rPr>
          <w:sz w:val="24"/>
        </w:rPr>
      </w:pPr>
      <w:r>
        <w:rPr>
          <w:sz w:val="24"/>
        </w:rPr>
        <w:t>who</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consulted</w:t>
      </w:r>
      <w:r>
        <w:rPr>
          <w:spacing w:val="1"/>
          <w:sz w:val="24"/>
        </w:rPr>
        <w:t xml:space="preserve"> </w:t>
      </w:r>
      <w:r>
        <w:rPr>
          <w:sz w:val="24"/>
        </w:rPr>
        <w:t>about</w:t>
      </w:r>
      <w:r>
        <w:rPr>
          <w:spacing w:val="-3"/>
          <w:sz w:val="24"/>
        </w:rPr>
        <w:t xml:space="preserve"> </w:t>
      </w:r>
      <w:r>
        <w:rPr>
          <w:sz w:val="24"/>
        </w:rPr>
        <w:t>the</w:t>
      </w:r>
      <w:r>
        <w:rPr>
          <w:spacing w:val="1"/>
          <w:sz w:val="24"/>
        </w:rPr>
        <w:t xml:space="preserve"> </w:t>
      </w:r>
      <w:r>
        <w:rPr>
          <w:sz w:val="24"/>
        </w:rPr>
        <w:t>options</w:t>
      </w:r>
      <w:r>
        <w:rPr>
          <w:spacing w:val="-4"/>
          <w:sz w:val="24"/>
        </w:rPr>
        <w:t xml:space="preserve"> </w:t>
      </w:r>
      <w:r>
        <w:rPr>
          <w:sz w:val="24"/>
        </w:rPr>
        <w:t>and</w:t>
      </w:r>
      <w:r>
        <w:rPr>
          <w:spacing w:val="1"/>
          <w:sz w:val="24"/>
        </w:rPr>
        <w:t xml:space="preserve"> </w:t>
      </w:r>
      <w:r>
        <w:rPr>
          <w:spacing w:val="-4"/>
          <w:sz w:val="24"/>
        </w:rPr>
        <w:t>how?</w:t>
      </w:r>
    </w:p>
    <w:p w14:paraId="1E805778" w14:textId="77777777" w:rsidR="00AA4A02" w:rsidRDefault="00960F31">
      <w:pPr>
        <w:pStyle w:val="ListParagraph"/>
        <w:numPr>
          <w:ilvl w:val="2"/>
          <w:numId w:val="54"/>
        </w:numPr>
        <w:tabs>
          <w:tab w:val="left" w:pos="1557"/>
        </w:tabs>
        <w:spacing w:before="243"/>
        <w:ind w:left="1557" w:hanging="705"/>
        <w:rPr>
          <w:sz w:val="24"/>
        </w:rPr>
      </w:pPr>
      <w:r>
        <w:rPr>
          <w:sz w:val="24"/>
        </w:rPr>
        <w:t>what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best</w:t>
      </w:r>
      <w:r>
        <w:rPr>
          <w:spacing w:val="2"/>
          <w:sz w:val="24"/>
        </w:rPr>
        <w:t xml:space="preserve"> </w:t>
      </w:r>
      <w:r>
        <w:rPr>
          <w:sz w:val="24"/>
        </w:rPr>
        <w:t>option</w:t>
      </w:r>
      <w:r>
        <w:rPr>
          <w:spacing w:val="-4"/>
          <w:sz w:val="24"/>
        </w:rPr>
        <w:t xml:space="preserve"> </w:t>
      </w:r>
      <w:r>
        <w:rPr>
          <w:sz w:val="24"/>
        </w:rPr>
        <w:t>from</w:t>
      </w:r>
      <w:r>
        <w:rPr>
          <w:spacing w:val="-2"/>
          <w:sz w:val="24"/>
        </w:rPr>
        <w:t xml:space="preserve"> </w:t>
      </w:r>
      <w:r>
        <w:rPr>
          <w:sz w:val="24"/>
        </w:rPr>
        <w:t>those</w:t>
      </w:r>
      <w:r>
        <w:rPr>
          <w:spacing w:val="1"/>
          <w:sz w:val="24"/>
        </w:rPr>
        <w:t xml:space="preserve"> </w:t>
      </w:r>
      <w:r>
        <w:rPr>
          <w:spacing w:val="-2"/>
          <w:sz w:val="24"/>
        </w:rPr>
        <w:t>considered?</w:t>
      </w:r>
    </w:p>
    <w:p w14:paraId="1E805779" w14:textId="77777777" w:rsidR="00AA4A02" w:rsidRDefault="00960F31">
      <w:pPr>
        <w:pStyle w:val="ListParagraph"/>
        <w:numPr>
          <w:ilvl w:val="2"/>
          <w:numId w:val="54"/>
        </w:numPr>
        <w:tabs>
          <w:tab w:val="left" w:pos="1557"/>
        </w:tabs>
        <w:spacing w:before="238"/>
        <w:ind w:left="1557" w:hanging="705"/>
        <w:rPr>
          <w:sz w:val="24"/>
        </w:rPr>
      </w:pPr>
      <w:r>
        <w:rPr>
          <w:sz w:val="24"/>
        </w:rPr>
        <w:t>how</w:t>
      </w:r>
      <w:r>
        <w:rPr>
          <w:spacing w:val="-1"/>
          <w:sz w:val="24"/>
        </w:rPr>
        <w:t xml:space="preserve"> </w:t>
      </w:r>
      <w:r>
        <w:rPr>
          <w:sz w:val="24"/>
        </w:rPr>
        <w:t>will</w:t>
      </w:r>
      <w:r>
        <w:rPr>
          <w:spacing w:val="1"/>
          <w:sz w:val="24"/>
        </w:rPr>
        <w:t xml:space="preserve"> </w:t>
      </w:r>
      <w:r>
        <w:rPr>
          <w:sz w:val="24"/>
        </w:rPr>
        <w:t>the</w:t>
      </w:r>
      <w:r>
        <w:rPr>
          <w:spacing w:val="-4"/>
          <w:sz w:val="24"/>
        </w:rPr>
        <w:t xml:space="preserve"> </w:t>
      </w:r>
      <w:r>
        <w:rPr>
          <w:sz w:val="24"/>
        </w:rPr>
        <w:t>chosen option</w:t>
      </w:r>
      <w:r>
        <w:rPr>
          <w:spacing w:val="1"/>
          <w:sz w:val="24"/>
        </w:rPr>
        <w:t xml:space="preserve"> </w:t>
      </w:r>
      <w:r>
        <w:rPr>
          <w:sz w:val="24"/>
        </w:rPr>
        <w:t>be implemented</w:t>
      </w:r>
      <w:r>
        <w:rPr>
          <w:spacing w:val="1"/>
          <w:sz w:val="24"/>
        </w:rPr>
        <w:t xml:space="preserve"> </w:t>
      </w:r>
      <w:r>
        <w:rPr>
          <w:sz w:val="24"/>
        </w:rPr>
        <w:t>and</w:t>
      </w:r>
      <w:r>
        <w:rPr>
          <w:spacing w:val="2"/>
          <w:sz w:val="24"/>
        </w:rPr>
        <w:t xml:space="preserve"> </w:t>
      </w:r>
      <w:r>
        <w:rPr>
          <w:spacing w:val="-2"/>
          <w:sz w:val="24"/>
        </w:rPr>
        <w:t>evaluated?</w:t>
      </w:r>
    </w:p>
    <w:p w14:paraId="1E80577A" w14:textId="77777777" w:rsidR="00AA4A02" w:rsidRDefault="00AA4A02">
      <w:pPr>
        <w:pStyle w:val="BodyText"/>
        <w:spacing w:before="203"/>
        <w:rPr>
          <w:sz w:val="24"/>
        </w:rPr>
      </w:pPr>
    </w:p>
    <w:p w14:paraId="1E80577B" w14:textId="77777777" w:rsidR="00AA4A02" w:rsidRDefault="00960F31">
      <w:pPr>
        <w:pStyle w:val="Heading6"/>
        <w:numPr>
          <w:ilvl w:val="0"/>
          <w:numId w:val="54"/>
        </w:numPr>
        <w:tabs>
          <w:tab w:val="left" w:pos="852"/>
        </w:tabs>
      </w:pPr>
      <w:bookmarkStart w:id="24" w:name="_TOC_250026"/>
      <w:r>
        <w:t>Strategic</w:t>
      </w:r>
      <w:r>
        <w:rPr>
          <w:spacing w:val="-12"/>
        </w:rPr>
        <w:t xml:space="preserve"> </w:t>
      </w:r>
      <w:r>
        <w:t>International</w:t>
      </w:r>
      <w:r>
        <w:rPr>
          <w:spacing w:val="-11"/>
        </w:rPr>
        <w:t xml:space="preserve"> </w:t>
      </w:r>
      <w:bookmarkEnd w:id="24"/>
      <w:r>
        <w:rPr>
          <w:spacing w:val="-2"/>
        </w:rPr>
        <w:t>Influence</w:t>
      </w:r>
    </w:p>
    <w:p w14:paraId="1E80577C" w14:textId="77777777" w:rsidR="00AA4A02" w:rsidRDefault="00960F31">
      <w:pPr>
        <w:pStyle w:val="ListParagraph"/>
        <w:numPr>
          <w:ilvl w:val="1"/>
          <w:numId w:val="54"/>
        </w:numPr>
        <w:tabs>
          <w:tab w:val="left" w:pos="852"/>
        </w:tabs>
        <w:spacing w:before="272" w:line="247" w:lineRule="auto"/>
        <w:ind w:right="851"/>
        <w:rPr>
          <w:sz w:val="24"/>
        </w:rPr>
      </w:pPr>
      <w:r>
        <w:rPr>
          <w:sz w:val="24"/>
        </w:rPr>
        <w:t>To</w:t>
      </w:r>
      <w:r>
        <w:rPr>
          <w:spacing w:val="-4"/>
          <w:sz w:val="24"/>
        </w:rPr>
        <w:t xml:space="preserve"> </w:t>
      </w:r>
      <w:r>
        <w:rPr>
          <w:sz w:val="24"/>
        </w:rPr>
        <w:t>maximise</w:t>
      </w:r>
      <w:r>
        <w:rPr>
          <w:spacing w:val="-4"/>
          <w:sz w:val="24"/>
        </w:rPr>
        <w:t xml:space="preserve"> </w:t>
      </w:r>
      <w:r>
        <w:rPr>
          <w:sz w:val="24"/>
        </w:rPr>
        <w:t>Australia’s</w:t>
      </w:r>
      <w:r>
        <w:rPr>
          <w:spacing w:val="-5"/>
          <w:sz w:val="24"/>
        </w:rPr>
        <w:t xml:space="preserve"> </w:t>
      </w:r>
      <w:r>
        <w:rPr>
          <w:sz w:val="24"/>
        </w:rPr>
        <w:t>input</w:t>
      </w:r>
      <w:r>
        <w:rPr>
          <w:spacing w:val="-8"/>
          <w:sz w:val="24"/>
        </w:rPr>
        <w:t xml:space="preserve"> </w:t>
      </w:r>
      <w:r>
        <w:rPr>
          <w:sz w:val="24"/>
        </w:rPr>
        <w:t>and</w:t>
      </w:r>
      <w:r>
        <w:rPr>
          <w:spacing w:val="-4"/>
          <w:sz w:val="24"/>
        </w:rPr>
        <w:t xml:space="preserve"> </w:t>
      </w:r>
      <w:r>
        <w:rPr>
          <w:sz w:val="24"/>
        </w:rPr>
        <w:t>influence</w:t>
      </w:r>
      <w:r>
        <w:rPr>
          <w:spacing w:val="-4"/>
          <w:sz w:val="24"/>
        </w:rPr>
        <w:t xml:space="preserve"> </w:t>
      </w:r>
      <w:r>
        <w:rPr>
          <w:sz w:val="24"/>
        </w:rPr>
        <w:t>on</w:t>
      </w:r>
      <w:r>
        <w:rPr>
          <w:spacing w:val="-4"/>
          <w:sz w:val="24"/>
        </w:rPr>
        <w:t xml:space="preserve"> </w:t>
      </w:r>
      <w:r>
        <w:rPr>
          <w:sz w:val="24"/>
        </w:rPr>
        <w:t>international</w:t>
      </w:r>
      <w:r>
        <w:rPr>
          <w:spacing w:val="-2"/>
          <w:sz w:val="24"/>
        </w:rPr>
        <w:t xml:space="preserve"> </w:t>
      </w:r>
      <w:r>
        <w:rPr>
          <w:sz w:val="24"/>
        </w:rPr>
        <w:t>accounting</w:t>
      </w:r>
      <w:r>
        <w:rPr>
          <w:spacing w:val="-3"/>
          <w:sz w:val="24"/>
        </w:rPr>
        <w:t xml:space="preserve"> </w:t>
      </w:r>
      <w:r>
        <w:rPr>
          <w:sz w:val="24"/>
        </w:rPr>
        <w:t>standard-setting, the AASB:</w:t>
      </w:r>
    </w:p>
    <w:p w14:paraId="1E80577D" w14:textId="77777777" w:rsidR="00AA4A02" w:rsidRDefault="00960F31">
      <w:pPr>
        <w:pStyle w:val="ListParagraph"/>
        <w:numPr>
          <w:ilvl w:val="2"/>
          <w:numId w:val="54"/>
        </w:numPr>
        <w:tabs>
          <w:tab w:val="left" w:pos="1558"/>
        </w:tabs>
        <w:spacing w:before="224" w:line="247" w:lineRule="auto"/>
        <w:ind w:right="740"/>
        <w:rPr>
          <w:sz w:val="24"/>
        </w:rPr>
      </w:pPr>
      <w:r>
        <w:rPr>
          <w:sz w:val="24"/>
        </w:rPr>
        <w:t>promotes</w:t>
      </w:r>
      <w:r>
        <w:rPr>
          <w:spacing w:val="-4"/>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5"/>
          <w:sz w:val="24"/>
        </w:rPr>
        <w:t xml:space="preserve"> </w:t>
      </w:r>
      <w:r>
        <w:rPr>
          <w:sz w:val="24"/>
        </w:rPr>
        <w:t>IFRS</w:t>
      </w:r>
      <w:r>
        <w:rPr>
          <w:spacing w:val="-5"/>
          <w:sz w:val="24"/>
        </w:rPr>
        <w:t xml:space="preserve"> </w:t>
      </w:r>
      <w:r>
        <w:rPr>
          <w:sz w:val="24"/>
        </w:rPr>
        <w:t>Standards</w:t>
      </w:r>
      <w:r>
        <w:rPr>
          <w:spacing w:val="-3"/>
          <w:sz w:val="24"/>
        </w:rPr>
        <w:t xml:space="preserve"> </w:t>
      </w:r>
      <w:r>
        <w:rPr>
          <w:sz w:val="24"/>
        </w:rPr>
        <w:t>globally</w:t>
      </w:r>
      <w:r>
        <w:rPr>
          <w:spacing w:val="-6"/>
          <w:sz w:val="24"/>
        </w:rPr>
        <w:t xml:space="preserve"> </w:t>
      </w:r>
      <w:r>
        <w:rPr>
          <w:sz w:val="24"/>
        </w:rPr>
        <w:t>in</w:t>
      </w:r>
      <w:r>
        <w:rPr>
          <w:spacing w:val="-1"/>
          <w:sz w:val="24"/>
        </w:rPr>
        <w:t xml:space="preserve"> </w:t>
      </w:r>
      <w:r>
        <w:rPr>
          <w:sz w:val="24"/>
        </w:rPr>
        <w:t>light</w:t>
      </w:r>
      <w:r>
        <w:rPr>
          <w:spacing w:val="-1"/>
          <w:sz w:val="24"/>
        </w:rPr>
        <w:t xml:space="preserve"> </w:t>
      </w:r>
      <w:r>
        <w:rPr>
          <w:sz w:val="24"/>
        </w:rPr>
        <w:t>of</w:t>
      </w:r>
      <w:r>
        <w:rPr>
          <w:spacing w:val="-1"/>
          <w:sz w:val="24"/>
        </w:rPr>
        <w:t xml:space="preserve"> </w:t>
      </w:r>
      <w:r>
        <w:rPr>
          <w:sz w:val="24"/>
        </w:rPr>
        <w:t>Australia’s</w:t>
      </w:r>
      <w:r>
        <w:rPr>
          <w:spacing w:val="-3"/>
          <w:sz w:val="24"/>
        </w:rPr>
        <w:t xml:space="preserve"> </w:t>
      </w:r>
      <w:r>
        <w:rPr>
          <w:sz w:val="24"/>
        </w:rPr>
        <w:t>adoption experience, which may be useful to transitioning jurisdictions;</w:t>
      </w:r>
    </w:p>
    <w:p w14:paraId="1E80577E" w14:textId="77777777" w:rsidR="00AA4A02" w:rsidRDefault="00960F31">
      <w:pPr>
        <w:pStyle w:val="ListParagraph"/>
        <w:numPr>
          <w:ilvl w:val="2"/>
          <w:numId w:val="54"/>
        </w:numPr>
        <w:tabs>
          <w:tab w:val="left" w:pos="1558"/>
        </w:tabs>
        <w:spacing w:before="224" w:line="247" w:lineRule="auto"/>
        <w:ind w:right="837"/>
        <w:rPr>
          <w:sz w:val="24"/>
        </w:rPr>
      </w:pPr>
      <w:r>
        <w:rPr>
          <w:sz w:val="24"/>
        </w:rPr>
        <w:t>builds</w:t>
      </w:r>
      <w:r>
        <w:rPr>
          <w:spacing w:val="-6"/>
          <w:sz w:val="24"/>
        </w:rPr>
        <w:t xml:space="preserve"> </w:t>
      </w:r>
      <w:r>
        <w:rPr>
          <w:sz w:val="24"/>
        </w:rPr>
        <w:t>relationships</w:t>
      </w:r>
      <w:r>
        <w:rPr>
          <w:spacing w:val="-5"/>
          <w:sz w:val="24"/>
        </w:rPr>
        <w:t xml:space="preserve"> </w:t>
      </w:r>
      <w:r>
        <w:rPr>
          <w:sz w:val="24"/>
        </w:rPr>
        <w:t>and</w:t>
      </w:r>
      <w:r>
        <w:rPr>
          <w:spacing w:val="-4"/>
          <w:sz w:val="24"/>
        </w:rPr>
        <w:t xml:space="preserve"> </w:t>
      </w:r>
      <w:r>
        <w:rPr>
          <w:sz w:val="24"/>
        </w:rPr>
        <w:t>influence</w:t>
      </w:r>
      <w:r>
        <w:rPr>
          <w:spacing w:val="-5"/>
          <w:sz w:val="24"/>
        </w:rPr>
        <w:t xml:space="preserve"> </w:t>
      </w:r>
      <w:r>
        <w:rPr>
          <w:sz w:val="24"/>
        </w:rPr>
        <w:t>with</w:t>
      </w:r>
      <w:r>
        <w:rPr>
          <w:spacing w:val="-8"/>
          <w:sz w:val="24"/>
        </w:rPr>
        <w:t xml:space="preserve"> </w:t>
      </w:r>
      <w:r>
        <w:rPr>
          <w:sz w:val="24"/>
        </w:rPr>
        <w:t>significant</w:t>
      </w:r>
      <w:r>
        <w:rPr>
          <w:spacing w:val="-7"/>
          <w:sz w:val="24"/>
        </w:rPr>
        <w:t xml:space="preserve"> </w:t>
      </w:r>
      <w:r>
        <w:rPr>
          <w:sz w:val="24"/>
        </w:rPr>
        <w:t>international</w:t>
      </w:r>
      <w:r>
        <w:rPr>
          <w:spacing w:val="-2"/>
          <w:sz w:val="24"/>
        </w:rPr>
        <w:t xml:space="preserve"> </w:t>
      </w:r>
      <w:r>
        <w:rPr>
          <w:sz w:val="24"/>
        </w:rPr>
        <w:t>stakeholder groups relevant to AASB;</w:t>
      </w:r>
    </w:p>
    <w:p w14:paraId="1E80577F" w14:textId="77777777" w:rsidR="00AA4A02" w:rsidRDefault="00960F31">
      <w:pPr>
        <w:pStyle w:val="ListParagraph"/>
        <w:numPr>
          <w:ilvl w:val="2"/>
          <w:numId w:val="54"/>
        </w:numPr>
        <w:tabs>
          <w:tab w:val="left" w:pos="1558"/>
        </w:tabs>
        <w:spacing w:before="223" w:line="242" w:lineRule="auto"/>
        <w:ind w:right="486"/>
        <w:rPr>
          <w:sz w:val="24"/>
        </w:rPr>
      </w:pPr>
      <w:r>
        <w:rPr>
          <w:sz w:val="24"/>
        </w:rPr>
        <w:t>issues IASB and IPSASB consultation documents concurrently in Australia to seek</w:t>
      </w:r>
      <w:r>
        <w:rPr>
          <w:spacing w:val="-3"/>
          <w:sz w:val="24"/>
        </w:rPr>
        <w:t xml:space="preserve"> </w:t>
      </w:r>
      <w:r>
        <w:rPr>
          <w:sz w:val="24"/>
        </w:rPr>
        <w:t>Australian</w:t>
      </w:r>
      <w:r>
        <w:rPr>
          <w:spacing w:val="-2"/>
          <w:sz w:val="24"/>
        </w:rPr>
        <w:t xml:space="preserve"> </w:t>
      </w:r>
      <w:r>
        <w:rPr>
          <w:sz w:val="24"/>
        </w:rPr>
        <w:t>input</w:t>
      </w:r>
      <w:r>
        <w:rPr>
          <w:spacing w:val="-2"/>
          <w:sz w:val="24"/>
        </w:rPr>
        <w:t xml:space="preserve"> </w:t>
      </w:r>
      <w:r>
        <w:rPr>
          <w:sz w:val="24"/>
        </w:rPr>
        <w:t>and</w:t>
      </w:r>
      <w:r>
        <w:rPr>
          <w:spacing w:val="-3"/>
          <w:sz w:val="24"/>
        </w:rPr>
        <w:t xml:space="preserve"> </w:t>
      </w:r>
      <w:r>
        <w:rPr>
          <w:sz w:val="24"/>
        </w:rPr>
        <w:t>prepares</w:t>
      </w:r>
      <w:r>
        <w:rPr>
          <w:spacing w:val="-10"/>
          <w:sz w:val="24"/>
        </w:rPr>
        <w:t xml:space="preserve"> </w:t>
      </w:r>
      <w:r>
        <w:rPr>
          <w:sz w:val="24"/>
        </w:rPr>
        <w:t>formal</w:t>
      </w:r>
      <w:r>
        <w:rPr>
          <w:spacing w:val="-2"/>
          <w:sz w:val="24"/>
        </w:rPr>
        <w:t xml:space="preserve"> </w:t>
      </w:r>
      <w:r>
        <w:rPr>
          <w:sz w:val="24"/>
        </w:rPr>
        <w:t>submissions</w:t>
      </w:r>
      <w:r>
        <w:rPr>
          <w:spacing w:val="-4"/>
          <w:sz w:val="24"/>
        </w:rPr>
        <w:t xml:space="preserve"> </w:t>
      </w:r>
      <w:r>
        <w:rPr>
          <w:sz w:val="24"/>
        </w:rPr>
        <w:t>on</w:t>
      </w:r>
      <w:r>
        <w:rPr>
          <w:spacing w:val="-3"/>
          <w:sz w:val="24"/>
        </w:rPr>
        <w:t xml:space="preserve"> </w:t>
      </w:r>
      <w:r>
        <w:rPr>
          <w:sz w:val="24"/>
        </w:rPr>
        <w:t>issues</w:t>
      </w:r>
      <w:r>
        <w:rPr>
          <w:spacing w:val="-5"/>
          <w:sz w:val="24"/>
        </w:rPr>
        <w:t xml:space="preserve"> </w:t>
      </w:r>
      <w:r>
        <w:rPr>
          <w:sz w:val="24"/>
        </w:rPr>
        <w:t>likely</w:t>
      </w:r>
      <w:r>
        <w:rPr>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of interest to Australian entities. The</w:t>
      </w:r>
      <w:r>
        <w:rPr>
          <w:spacing w:val="-3"/>
          <w:sz w:val="24"/>
        </w:rPr>
        <w:t xml:space="preserve"> </w:t>
      </w:r>
      <w:r>
        <w:rPr>
          <w:sz w:val="24"/>
        </w:rPr>
        <w:t>AASB takes input received from Australian organisations and individuals into account when forming a view as to the appropriateness of options considered by the IASB or the IPSASB and in preparing its submissions to the IASB or the IPSASB;</w:t>
      </w:r>
    </w:p>
    <w:p w14:paraId="1E805780" w14:textId="77777777" w:rsidR="00AA4A02" w:rsidRDefault="00960F31">
      <w:pPr>
        <w:pStyle w:val="ListParagraph"/>
        <w:numPr>
          <w:ilvl w:val="2"/>
          <w:numId w:val="54"/>
        </w:numPr>
        <w:tabs>
          <w:tab w:val="left" w:pos="1558"/>
        </w:tabs>
        <w:spacing w:before="225" w:line="247" w:lineRule="auto"/>
        <w:ind w:right="869"/>
        <w:rPr>
          <w:sz w:val="24"/>
        </w:rPr>
      </w:pPr>
      <w:r>
        <w:rPr>
          <w:sz w:val="24"/>
        </w:rPr>
        <w:t>participates</w:t>
      </w:r>
      <w:r>
        <w:rPr>
          <w:spacing w:val="-4"/>
          <w:sz w:val="24"/>
        </w:rPr>
        <w:t xml:space="preserve"> </w:t>
      </w:r>
      <w:r>
        <w:rPr>
          <w:sz w:val="24"/>
        </w:rPr>
        <w:t>in</w:t>
      </w:r>
      <w:r>
        <w:rPr>
          <w:spacing w:val="-3"/>
          <w:sz w:val="24"/>
        </w:rPr>
        <w:t xml:space="preserve"> </w:t>
      </w:r>
      <w:r>
        <w:rPr>
          <w:sz w:val="24"/>
        </w:rPr>
        <w:t>IASB</w:t>
      </w:r>
      <w:r>
        <w:rPr>
          <w:spacing w:val="-4"/>
          <w:sz w:val="24"/>
        </w:rPr>
        <w:t xml:space="preserve"> </w:t>
      </w:r>
      <w:r>
        <w:rPr>
          <w:sz w:val="24"/>
        </w:rPr>
        <w:t>and</w:t>
      </w:r>
      <w:r>
        <w:rPr>
          <w:spacing w:val="-7"/>
          <w:sz w:val="24"/>
        </w:rPr>
        <w:t xml:space="preserve"> </w:t>
      </w:r>
      <w:r>
        <w:rPr>
          <w:sz w:val="24"/>
        </w:rPr>
        <w:t>IPSASB</w:t>
      </w:r>
      <w:r>
        <w:rPr>
          <w:spacing w:val="-9"/>
          <w:sz w:val="24"/>
        </w:rPr>
        <w:t xml:space="preserve"> </w:t>
      </w:r>
      <w:r>
        <w:rPr>
          <w:sz w:val="24"/>
        </w:rPr>
        <w:t>outreach</w:t>
      </w:r>
      <w:r>
        <w:rPr>
          <w:spacing w:val="-2"/>
          <w:sz w:val="24"/>
        </w:rPr>
        <w:t xml:space="preserve"> </w:t>
      </w:r>
      <w:r>
        <w:rPr>
          <w:sz w:val="24"/>
        </w:rPr>
        <w:t>activities</w:t>
      </w:r>
      <w:r>
        <w:rPr>
          <w:spacing w:val="-4"/>
          <w:sz w:val="24"/>
        </w:rPr>
        <w:t xml:space="preserve"> </w:t>
      </w:r>
      <w:r>
        <w:rPr>
          <w:sz w:val="24"/>
        </w:rPr>
        <w:t>and</w:t>
      </w:r>
      <w:r>
        <w:rPr>
          <w:spacing w:val="-3"/>
          <w:sz w:val="24"/>
        </w:rPr>
        <w:t xml:space="preserve"> </w:t>
      </w:r>
      <w:r>
        <w:rPr>
          <w:sz w:val="24"/>
        </w:rPr>
        <w:t>co-hosts</w:t>
      </w:r>
      <w:r>
        <w:rPr>
          <w:spacing w:val="-5"/>
          <w:sz w:val="24"/>
        </w:rPr>
        <w:t xml:space="preserve"> </w:t>
      </w:r>
      <w:r>
        <w:rPr>
          <w:sz w:val="24"/>
        </w:rPr>
        <w:t>outreach activities in Australia when possible;</w:t>
      </w:r>
    </w:p>
    <w:p w14:paraId="1E805781" w14:textId="77777777" w:rsidR="00AA4A02" w:rsidRDefault="00960F31">
      <w:pPr>
        <w:pStyle w:val="ListParagraph"/>
        <w:numPr>
          <w:ilvl w:val="2"/>
          <w:numId w:val="54"/>
        </w:numPr>
        <w:tabs>
          <w:tab w:val="left" w:pos="1558"/>
        </w:tabs>
        <w:spacing w:before="223" w:line="242" w:lineRule="auto"/>
        <w:ind w:right="423"/>
        <w:rPr>
          <w:sz w:val="24"/>
        </w:rPr>
      </w:pPr>
      <w:r>
        <w:rPr>
          <w:sz w:val="24"/>
        </w:rPr>
        <w:t>establishes Australian transition resource groups, project advisory panels and investor forums</w:t>
      </w:r>
      <w:r>
        <w:rPr>
          <w:spacing w:val="-3"/>
          <w:sz w:val="24"/>
        </w:rPr>
        <w:t xml:space="preserve"> </w:t>
      </w:r>
      <w:r>
        <w:rPr>
          <w:sz w:val="24"/>
        </w:rPr>
        <w:t>to</w:t>
      </w:r>
      <w:r>
        <w:rPr>
          <w:spacing w:val="-7"/>
          <w:sz w:val="24"/>
        </w:rPr>
        <w:t xml:space="preserve"> </w:t>
      </w:r>
      <w:r>
        <w:rPr>
          <w:sz w:val="24"/>
        </w:rPr>
        <w:t>assist</w:t>
      </w:r>
      <w:r>
        <w:rPr>
          <w:spacing w:val="-1"/>
          <w:sz w:val="24"/>
        </w:rPr>
        <w:t xml:space="preserve"> </w:t>
      </w:r>
      <w:r>
        <w:rPr>
          <w:sz w:val="24"/>
        </w:rPr>
        <w:t>in</w:t>
      </w:r>
      <w:r>
        <w:rPr>
          <w:spacing w:val="-2"/>
          <w:sz w:val="24"/>
        </w:rPr>
        <w:t xml:space="preserve"> </w:t>
      </w:r>
      <w:r>
        <w:rPr>
          <w:sz w:val="24"/>
        </w:rPr>
        <w:t>providing</w:t>
      </w:r>
      <w:r>
        <w:rPr>
          <w:spacing w:val="-6"/>
          <w:sz w:val="24"/>
        </w:rPr>
        <w:t xml:space="preserve"> </w:t>
      </w:r>
      <w:r>
        <w:rPr>
          <w:sz w:val="24"/>
        </w:rPr>
        <w:t>relevant</w:t>
      </w:r>
      <w:r>
        <w:rPr>
          <w:spacing w:val="-1"/>
          <w:sz w:val="24"/>
        </w:rPr>
        <w:t xml:space="preserve"> </w:t>
      </w:r>
      <w:r>
        <w:rPr>
          <w:sz w:val="24"/>
        </w:rPr>
        <w:t>Australian</w:t>
      </w:r>
      <w:r>
        <w:rPr>
          <w:spacing w:val="-1"/>
          <w:sz w:val="24"/>
        </w:rPr>
        <w:t xml:space="preserve"> </w:t>
      </w:r>
      <w:r>
        <w:rPr>
          <w:sz w:val="24"/>
        </w:rPr>
        <w:t>input</w:t>
      </w:r>
      <w:r>
        <w:rPr>
          <w:spacing w:val="-5"/>
          <w:sz w:val="24"/>
        </w:rPr>
        <w:t xml:space="preserve"> </w:t>
      </w:r>
      <w:r>
        <w:rPr>
          <w:sz w:val="24"/>
        </w:rPr>
        <w:t>to</w:t>
      </w:r>
      <w:r>
        <w:rPr>
          <w:spacing w:val="-2"/>
          <w:sz w:val="24"/>
        </w:rPr>
        <w:t xml:space="preserve"> </w:t>
      </w:r>
      <w:r>
        <w:rPr>
          <w:sz w:val="24"/>
        </w:rPr>
        <w:t>the</w:t>
      </w:r>
      <w:r>
        <w:rPr>
          <w:spacing w:val="-7"/>
          <w:sz w:val="24"/>
        </w:rPr>
        <w:t xml:space="preserve"> </w:t>
      </w:r>
      <w:r>
        <w:rPr>
          <w:sz w:val="24"/>
        </w:rPr>
        <w:t>IASB,</w:t>
      </w:r>
      <w:r>
        <w:rPr>
          <w:spacing w:val="-4"/>
          <w:sz w:val="24"/>
        </w:rPr>
        <w:t xml:space="preserve"> </w:t>
      </w:r>
      <w:r>
        <w:rPr>
          <w:sz w:val="24"/>
        </w:rPr>
        <w:t>the IPSASB and other relevant international stakeholder groups;</w:t>
      </w:r>
    </w:p>
    <w:p w14:paraId="1E805782" w14:textId="77777777" w:rsidR="00AA4A02" w:rsidRDefault="00960F31">
      <w:pPr>
        <w:pStyle w:val="ListParagraph"/>
        <w:numPr>
          <w:ilvl w:val="2"/>
          <w:numId w:val="54"/>
        </w:numPr>
        <w:tabs>
          <w:tab w:val="left" w:pos="1558"/>
        </w:tabs>
        <w:spacing w:before="235"/>
        <w:ind w:right="592"/>
        <w:rPr>
          <w:sz w:val="24"/>
        </w:rPr>
      </w:pPr>
      <w:r>
        <w:rPr>
          <w:sz w:val="24"/>
        </w:rPr>
        <w:t>develops</w:t>
      </w:r>
      <w:r>
        <w:rPr>
          <w:spacing w:val="-5"/>
          <w:sz w:val="24"/>
        </w:rPr>
        <w:t xml:space="preserve"> </w:t>
      </w:r>
      <w:r>
        <w:rPr>
          <w:sz w:val="24"/>
        </w:rPr>
        <w:t>effective</w:t>
      </w:r>
      <w:r>
        <w:rPr>
          <w:spacing w:val="-3"/>
          <w:sz w:val="24"/>
        </w:rPr>
        <w:t xml:space="preserve"> </w:t>
      </w:r>
      <w:r>
        <w:rPr>
          <w:sz w:val="24"/>
        </w:rPr>
        <w:t>working</w:t>
      </w:r>
      <w:r>
        <w:rPr>
          <w:spacing w:val="-7"/>
          <w:sz w:val="24"/>
        </w:rPr>
        <w:t xml:space="preserve"> </w:t>
      </w:r>
      <w:r>
        <w:rPr>
          <w:sz w:val="24"/>
        </w:rPr>
        <w:t>relationships</w:t>
      </w:r>
      <w:r>
        <w:rPr>
          <w:spacing w:val="-4"/>
          <w:sz w:val="24"/>
        </w:rPr>
        <w:t xml:space="preserve"> </w:t>
      </w:r>
      <w:r>
        <w:rPr>
          <w:sz w:val="24"/>
        </w:rPr>
        <w:t>with</w:t>
      </w:r>
      <w:r>
        <w:rPr>
          <w:spacing w:val="-3"/>
          <w:sz w:val="24"/>
        </w:rPr>
        <w:t xml:space="preserve"> </w:t>
      </w:r>
      <w:r>
        <w:rPr>
          <w:sz w:val="24"/>
        </w:rPr>
        <w:t>IASB</w:t>
      </w:r>
      <w:r>
        <w:rPr>
          <w:spacing w:val="-4"/>
          <w:sz w:val="24"/>
        </w:rPr>
        <w:t xml:space="preserve"> </w:t>
      </w:r>
      <w:r>
        <w:rPr>
          <w:sz w:val="24"/>
        </w:rPr>
        <w:t>Board</w:t>
      </w:r>
      <w:r>
        <w:rPr>
          <w:spacing w:val="-3"/>
          <w:sz w:val="24"/>
        </w:rPr>
        <w:t xml:space="preserve"> </w:t>
      </w:r>
      <w:r>
        <w:rPr>
          <w:sz w:val="24"/>
        </w:rPr>
        <w:t>members</w:t>
      </w:r>
      <w:r>
        <w:rPr>
          <w:spacing w:val="-4"/>
          <w:sz w:val="24"/>
        </w:rPr>
        <w:t xml:space="preserve"> </w:t>
      </w:r>
      <w:r>
        <w:rPr>
          <w:sz w:val="24"/>
        </w:rPr>
        <w:t>and</w:t>
      </w:r>
      <w:r>
        <w:rPr>
          <w:spacing w:val="-2"/>
          <w:sz w:val="24"/>
        </w:rPr>
        <w:t xml:space="preserve"> </w:t>
      </w:r>
      <w:r>
        <w:rPr>
          <w:sz w:val="24"/>
        </w:rPr>
        <w:t>staff and</w:t>
      </w:r>
      <w:r>
        <w:rPr>
          <w:spacing w:val="-1"/>
          <w:sz w:val="24"/>
        </w:rPr>
        <w:t xml:space="preserve"> </w:t>
      </w:r>
      <w:r>
        <w:rPr>
          <w:sz w:val="24"/>
        </w:rPr>
        <w:t>with</w:t>
      </w:r>
      <w:r>
        <w:rPr>
          <w:spacing w:val="-1"/>
          <w:sz w:val="24"/>
        </w:rPr>
        <w:t xml:space="preserve"> </w:t>
      </w:r>
      <w:r>
        <w:rPr>
          <w:sz w:val="24"/>
        </w:rPr>
        <w:t>those</w:t>
      </w:r>
      <w:r>
        <w:rPr>
          <w:spacing w:val="-1"/>
          <w:sz w:val="24"/>
        </w:rPr>
        <w:t xml:space="preserve"> </w:t>
      </w:r>
      <w:r>
        <w:rPr>
          <w:sz w:val="24"/>
        </w:rPr>
        <w:t>of</w:t>
      </w:r>
      <w:r>
        <w:rPr>
          <w:spacing w:val="-4"/>
          <w:sz w:val="24"/>
        </w:rPr>
        <w:t xml:space="preserve"> </w:t>
      </w:r>
      <w:r>
        <w:rPr>
          <w:sz w:val="24"/>
        </w:rPr>
        <w:t>other</w:t>
      </w:r>
      <w:r>
        <w:rPr>
          <w:spacing w:val="-5"/>
          <w:sz w:val="24"/>
        </w:rPr>
        <w:t xml:space="preserve"> </w:t>
      </w:r>
      <w:r>
        <w:rPr>
          <w:sz w:val="24"/>
        </w:rPr>
        <w:t>significant international</w:t>
      </w:r>
      <w:r>
        <w:rPr>
          <w:spacing w:val="-3"/>
          <w:sz w:val="24"/>
        </w:rPr>
        <w:t xml:space="preserve"> </w:t>
      </w:r>
      <w:r>
        <w:rPr>
          <w:sz w:val="24"/>
        </w:rPr>
        <w:t>stakeholders</w:t>
      </w:r>
      <w:r>
        <w:rPr>
          <w:spacing w:val="-3"/>
          <w:sz w:val="24"/>
        </w:rPr>
        <w:t xml:space="preserve"> </w:t>
      </w:r>
      <w:r>
        <w:rPr>
          <w:sz w:val="24"/>
        </w:rPr>
        <w:t>to</w:t>
      </w:r>
      <w:r>
        <w:rPr>
          <w:spacing w:val="-1"/>
          <w:sz w:val="24"/>
        </w:rPr>
        <w:t xml:space="preserve"> </w:t>
      </w:r>
      <w:r>
        <w:rPr>
          <w:sz w:val="24"/>
        </w:rPr>
        <w:t>provide</w:t>
      </w:r>
      <w:r>
        <w:rPr>
          <w:spacing w:val="-5"/>
          <w:sz w:val="24"/>
        </w:rPr>
        <w:t xml:space="preserve"> </w:t>
      </w:r>
      <w:r>
        <w:rPr>
          <w:sz w:val="24"/>
        </w:rPr>
        <w:t>direct input on issues of concern to Australia and provides a conduit for Australian stakeholders to raise issues directly with these international stakeholders;</w:t>
      </w:r>
    </w:p>
    <w:p w14:paraId="1E805783" w14:textId="77777777" w:rsidR="00AA4A02" w:rsidRDefault="00AA4A02">
      <w:pPr>
        <w:pStyle w:val="ListParagraph"/>
        <w:rPr>
          <w:sz w:val="24"/>
        </w:rPr>
        <w:sectPr w:rsidR="00AA4A02">
          <w:pgSz w:w="11900" w:h="16840"/>
          <w:pgMar w:top="1600" w:right="992" w:bottom="920" w:left="1275" w:header="652" w:footer="724" w:gutter="0"/>
          <w:cols w:space="720"/>
        </w:sectPr>
      </w:pPr>
    </w:p>
    <w:p w14:paraId="1E805784" w14:textId="77777777" w:rsidR="00AA4A02" w:rsidRDefault="00960F31">
      <w:pPr>
        <w:pStyle w:val="ListParagraph"/>
        <w:numPr>
          <w:ilvl w:val="2"/>
          <w:numId w:val="54"/>
        </w:numPr>
        <w:tabs>
          <w:tab w:val="left" w:pos="1558"/>
        </w:tabs>
        <w:spacing w:before="80" w:line="242" w:lineRule="auto"/>
        <w:ind w:right="462"/>
        <w:rPr>
          <w:sz w:val="24"/>
        </w:rPr>
      </w:pPr>
      <w:r>
        <w:rPr>
          <w:sz w:val="24"/>
        </w:rPr>
        <w:lastRenderedPageBreak/>
        <w:t>identifies and promotes the appointment of high-quality Australian representatives</w:t>
      </w:r>
      <w:r>
        <w:rPr>
          <w:spacing w:val="-5"/>
          <w:sz w:val="24"/>
        </w:rPr>
        <w:t xml:space="preserve"> </w:t>
      </w:r>
      <w:r>
        <w:rPr>
          <w:sz w:val="24"/>
        </w:rPr>
        <w:t>on</w:t>
      </w:r>
      <w:r>
        <w:rPr>
          <w:spacing w:val="-4"/>
          <w:sz w:val="24"/>
        </w:rPr>
        <w:t xml:space="preserve"> </w:t>
      </w:r>
      <w:r>
        <w:rPr>
          <w:sz w:val="24"/>
        </w:rPr>
        <w:t>relevant</w:t>
      </w:r>
      <w:r>
        <w:rPr>
          <w:spacing w:val="-3"/>
          <w:sz w:val="24"/>
        </w:rPr>
        <w:t xml:space="preserve"> </w:t>
      </w:r>
      <w:r>
        <w:rPr>
          <w:sz w:val="24"/>
        </w:rPr>
        <w:t>international</w:t>
      </w:r>
      <w:r>
        <w:rPr>
          <w:spacing w:val="-7"/>
          <w:sz w:val="24"/>
        </w:rPr>
        <w:t xml:space="preserve"> </w:t>
      </w:r>
      <w:r>
        <w:rPr>
          <w:sz w:val="24"/>
        </w:rPr>
        <w:t>accounting</w:t>
      </w:r>
      <w:r>
        <w:rPr>
          <w:spacing w:val="-3"/>
          <w:sz w:val="24"/>
        </w:rPr>
        <w:t xml:space="preserve"> </w:t>
      </w:r>
      <w:r>
        <w:rPr>
          <w:sz w:val="24"/>
        </w:rPr>
        <w:t>standards</w:t>
      </w:r>
      <w:r>
        <w:rPr>
          <w:spacing w:val="-6"/>
          <w:sz w:val="24"/>
        </w:rPr>
        <w:t xml:space="preserve"> </w:t>
      </w:r>
      <w:r>
        <w:rPr>
          <w:sz w:val="24"/>
        </w:rPr>
        <w:t>bodies,</w:t>
      </w:r>
      <w:r>
        <w:rPr>
          <w:spacing w:val="-2"/>
          <w:sz w:val="24"/>
        </w:rPr>
        <w:t xml:space="preserve"> </w:t>
      </w:r>
      <w:r>
        <w:rPr>
          <w:sz w:val="24"/>
        </w:rPr>
        <w:t>panels</w:t>
      </w:r>
      <w:r>
        <w:rPr>
          <w:spacing w:val="-5"/>
          <w:sz w:val="24"/>
        </w:rPr>
        <w:t xml:space="preserve"> </w:t>
      </w:r>
      <w:r>
        <w:rPr>
          <w:sz w:val="24"/>
        </w:rPr>
        <w:t xml:space="preserve">or </w:t>
      </w:r>
      <w:r>
        <w:rPr>
          <w:spacing w:val="-2"/>
          <w:sz w:val="24"/>
        </w:rPr>
        <w:t>groups;</w:t>
      </w:r>
    </w:p>
    <w:p w14:paraId="1E805785" w14:textId="77777777" w:rsidR="00AA4A02" w:rsidRDefault="00960F31">
      <w:pPr>
        <w:pStyle w:val="ListParagraph"/>
        <w:numPr>
          <w:ilvl w:val="2"/>
          <w:numId w:val="54"/>
        </w:numPr>
        <w:tabs>
          <w:tab w:val="left" w:pos="1558"/>
        </w:tabs>
        <w:spacing w:before="234" w:line="242" w:lineRule="auto"/>
        <w:ind w:right="566"/>
        <w:rPr>
          <w:sz w:val="24"/>
        </w:rPr>
      </w:pPr>
      <w:r>
        <w:rPr>
          <w:sz w:val="24"/>
        </w:rPr>
        <w:t>identifies,</w:t>
      </w:r>
      <w:r>
        <w:rPr>
          <w:spacing w:val="-2"/>
          <w:sz w:val="24"/>
        </w:rPr>
        <w:t xml:space="preserve"> </w:t>
      </w:r>
      <w:r>
        <w:rPr>
          <w:sz w:val="24"/>
        </w:rPr>
        <w:t>designates</w:t>
      </w:r>
      <w:r>
        <w:rPr>
          <w:spacing w:val="-6"/>
          <w:sz w:val="24"/>
        </w:rPr>
        <w:t xml:space="preserve"> </w:t>
      </w:r>
      <w:r>
        <w:rPr>
          <w:sz w:val="24"/>
        </w:rPr>
        <w:t>and</w:t>
      </w:r>
      <w:r>
        <w:rPr>
          <w:spacing w:val="-4"/>
          <w:sz w:val="24"/>
        </w:rPr>
        <w:t xml:space="preserve"> </w:t>
      </w:r>
      <w:r>
        <w:rPr>
          <w:sz w:val="24"/>
        </w:rPr>
        <w:t>sufficiently</w:t>
      </w:r>
      <w:r>
        <w:rPr>
          <w:spacing w:val="-3"/>
          <w:sz w:val="24"/>
        </w:rPr>
        <w:t xml:space="preserve"> </w:t>
      </w:r>
      <w:r>
        <w:rPr>
          <w:sz w:val="24"/>
        </w:rPr>
        <w:t>prepares</w:t>
      </w:r>
      <w:r>
        <w:rPr>
          <w:spacing w:val="-6"/>
          <w:sz w:val="24"/>
        </w:rPr>
        <w:t xml:space="preserve"> </w:t>
      </w:r>
      <w:r>
        <w:rPr>
          <w:sz w:val="24"/>
        </w:rPr>
        <w:t>technical</w:t>
      </w:r>
      <w:r>
        <w:rPr>
          <w:spacing w:val="-3"/>
          <w:sz w:val="24"/>
        </w:rPr>
        <w:t xml:space="preserve"> </w:t>
      </w:r>
      <w:r>
        <w:rPr>
          <w:sz w:val="24"/>
        </w:rPr>
        <w:t>staff</w:t>
      </w:r>
      <w:r>
        <w:rPr>
          <w:spacing w:val="-2"/>
          <w:sz w:val="24"/>
        </w:rPr>
        <w:t xml:space="preserve"> </w:t>
      </w:r>
      <w:r>
        <w:rPr>
          <w:sz w:val="24"/>
        </w:rPr>
        <w:t>with</w:t>
      </w:r>
      <w:r>
        <w:rPr>
          <w:spacing w:val="-7"/>
          <w:sz w:val="24"/>
        </w:rPr>
        <w:t xml:space="preserve"> </w:t>
      </w:r>
      <w:r>
        <w:rPr>
          <w:sz w:val="24"/>
        </w:rPr>
        <w:t>appropriate expertise and capacity to represent AASB internationally, and promotes secondments of AASB staff to international bodies;</w:t>
      </w:r>
    </w:p>
    <w:p w14:paraId="1E805786" w14:textId="77777777" w:rsidR="00AA4A02" w:rsidRDefault="00960F31">
      <w:pPr>
        <w:pStyle w:val="ListParagraph"/>
        <w:numPr>
          <w:ilvl w:val="2"/>
          <w:numId w:val="54"/>
        </w:numPr>
        <w:tabs>
          <w:tab w:val="left" w:pos="1556"/>
          <w:tab w:val="left" w:pos="1558"/>
        </w:tabs>
        <w:spacing w:before="230" w:line="242" w:lineRule="auto"/>
        <w:ind w:right="688"/>
        <w:jc w:val="both"/>
        <w:rPr>
          <w:sz w:val="24"/>
        </w:rPr>
      </w:pPr>
      <w:r>
        <w:rPr>
          <w:sz w:val="24"/>
        </w:rPr>
        <w:t>communicates outcomes from international engagement to the</w:t>
      </w:r>
      <w:r>
        <w:rPr>
          <w:spacing w:val="-2"/>
          <w:sz w:val="24"/>
        </w:rPr>
        <w:t xml:space="preserve"> </w:t>
      </w:r>
      <w:r>
        <w:rPr>
          <w:sz w:val="24"/>
        </w:rPr>
        <w:t>AASB Board members, technical</w:t>
      </w:r>
      <w:r>
        <w:rPr>
          <w:spacing w:val="-2"/>
          <w:sz w:val="24"/>
        </w:rPr>
        <w:t xml:space="preserve"> </w:t>
      </w:r>
      <w:r>
        <w:rPr>
          <w:sz w:val="24"/>
        </w:rPr>
        <w:t>staff</w:t>
      </w:r>
      <w:r>
        <w:rPr>
          <w:spacing w:val="-6"/>
          <w:sz w:val="24"/>
        </w:rPr>
        <w:t xml:space="preserve"> </w:t>
      </w:r>
      <w:r>
        <w:rPr>
          <w:sz w:val="24"/>
        </w:rPr>
        <w:t>and</w:t>
      </w:r>
      <w:r>
        <w:rPr>
          <w:spacing w:val="-3"/>
          <w:sz w:val="24"/>
        </w:rPr>
        <w:t xml:space="preserve"> </w:t>
      </w:r>
      <w:r>
        <w:rPr>
          <w:sz w:val="24"/>
        </w:rPr>
        <w:t>other</w:t>
      </w:r>
      <w:r>
        <w:rPr>
          <w:spacing w:val="-6"/>
          <w:sz w:val="24"/>
        </w:rPr>
        <w:t xml:space="preserve"> </w:t>
      </w:r>
      <w:r>
        <w:rPr>
          <w:sz w:val="24"/>
        </w:rPr>
        <w:t>stakeholders</w:t>
      </w:r>
      <w:r>
        <w:rPr>
          <w:spacing w:val="-4"/>
          <w:sz w:val="24"/>
        </w:rPr>
        <w:t xml:space="preserve"> </w:t>
      </w:r>
      <w:r>
        <w:rPr>
          <w:sz w:val="24"/>
        </w:rPr>
        <w:t>to</w:t>
      </w:r>
      <w:r>
        <w:rPr>
          <w:spacing w:val="-7"/>
          <w:sz w:val="24"/>
        </w:rPr>
        <w:t xml:space="preserve"> </w:t>
      </w:r>
      <w:r>
        <w:rPr>
          <w:sz w:val="24"/>
        </w:rPr>
        <w:t>assist</w:t>
      </w:r>
      <w:r>
        <w:rPr>
          <w:spacing w:val="-3"/>
          <w:sz w:val="24"/>
        </w:rPr>
        <w:t xml:space="preserve"> </w:t>
      </w:r>
      <w:r>
        <w:rPr>
          <w:sz w:val="24"/>
        </w:rPr>
        <w:t>in</w:t>
      </w:r>
      <w:r>
        <w:rPr>
          <w:spacing w:val="-3"/>
          <w:sz w:val="24"/>
        </w:rPr>
        <w:t xml:space="preserve"> </w:t>
      </w:r>
      <w:r>
        <w:rPr>
          <w:sz w:val="24"/>
        </w:rPr>
        <w:t>identifying</w:t>
      </w:r>
      <w:r>
        <w:rPr>
          <w:spacing w:val="-3"/>
          <w:sz w:val="24"/>
        </w:rPr>
        <w:t xml:space="preserve"> </w:t>
      </w:r>
      <w:r>
        <w:rPr>
          <w:sz w:val="24"/>
        </w:rPr>
        <w:t>major concerns with international proposals;</w:t>
      </w:r>
    </w:p>
    <w:p w14:paraId="1E805787" w14:textId="77777777" w:rsidR="00AA4A02" w:rsidRDefault="00960F31">
      <w:pPr>
        <w:pStyle w:val="ListParagraph"/>
        <w:numPr>
          <w:ilvl w:val="2"/>
          <w:numId w:val="54"/>
        </w:numPr>
        <w:tabs>
          <w:tab w:val="left" w:pos="1558"/>
        </w:tabs>
        <w:spacing w:before="234"/>
        <w:ind w:right="880"/>
        <w:rPr>
          <w:sz w:val="24"/>
        </w:rPr>
      </w:pPr>
      <w:r>
        <w:rPr>
          <w:sz w:val="24"/>
        </w:rPr>
        <w:t>participates in the IASB’s Accounting Standards Advisory Forum (either directly</w:t>
      </w:r>
      <w:r>
        <w:rPr>
          <w:spacing w:val="-1"/>
          <w:sz w:val="24"/>
        </w:rPr>
        <w:t xml:space="preserve"> </w:t>
      </w:r>
      <w:r>
        <w:rPr>
          <w:sz w:val="24"/>
        </w:rPr>
        <w:t>if</w:t>
      </w:r>
      <w:r>
        <w:rPr>
          <w:spacing w:val="-5"/>
          <w:sz w:val="24"/>
        </w:rPr>
        <w:t xml:space="preserve"> </w:t>
      </w:r>
      <w:r>
        <w:rPr>
          <w:sz w:val="24"/>
        </w:rPr>
        <w:t>Australia</w:t>
      </w:r>
      <w:r>
        <w:rPr>
          <w:spacing w:val="-3"/>
          <w:sz w:val="24"/>
        </w:rPr>
        <w:t xml:space="preserve"> </w:t>
      </w:r>
      <w:r>
        <w:rPr>
          <w:sz w:val="24"/>
        </w:rPr>
        <w:t>is</w:t>
      </w:r>
      <w:r>
        <w:rPr>
          <w:spacing w:val="-4"/>
          <w:sz w:val="24"/>
        </w:rPr>
        <w:t xml:space="preserve"> </w:t>
      </w:r>
      <w:r>
        <w:rPr>
          <w:sz w:val="24"/>
        </w:rPr>
        <w:t>a</w:t>
      </w:r>
      <w:r>
        <w:rPr>
          <w:spacing w:val="-7"/>
          <w:sz w:val="24"/>
        </w:rPr>
        <w:t xml:space="preserve"> </w:t>
      </w:r>
      <w:r>
        <w:rPr>
          <w:sz w:val="24"/>
        </w:rPr>
        <w:t>member,</w:t>
      </w:r>
      <w:r>
        <w:rPr>
          <w:spacing w:val="-4"/>
          <w:sz w:val="24"/>
        </w:rPr>
        <w:t xml:space="preserve"> </w:t>
      </w:r>
      <w:r>
        <w:rPr>
          <w:sz w:val="24"/>
        </w:rPr>
        <w:t>or</w:t>
      </w:r>
      <w:r>
        <w:rPr>
          <w:spacing w:val="-5"/>
          <w:sz w:val="24"/>
        </w:rPr>
        <w:t xml:space="preserve"> </w:t>
      </w:r>
      <w:r>
        <w:rPr>
          <w:sz w:val="24"/>
        </w:rPr>
        <w:t>through</w:t>
      </w:r>
      <w:r>
        <w:rPr>
          <w:spacing w:val="-7"/>
          <w:sz w:val="24"/>
        </w:rPr>
        <w:t xml:space="preserve"> </w:t>
      </w:r>
      <w:r>
        <w:rPr>
          <w:sz w:val="24"/>
        </w:rPr>
        <w:t>the</w:t>
      </w:r>
      <w:r>
        <w:rPr>
          <w:spacing w:val="-2"/>
          <w:sz w:val="24"/>
        </w:rPr>
        <w:t xml:space="preserve"> </w:t>
      </w:r>
      <w:r>
        <w:rPr>
          <w:sz w:val="24"/>
        </w:rPr>
        <w:t>Asian-Oceanian</w:t>
      </w:r>
      <w:r>
        <w:rPr>
          <w:spacing w:val="-2"/>
          <w:sz w:val="24"/>
        </w:rPr>
        <w:t xml:space="preserve"> </w:t>
      </w:r>
      <w:r>
        <w:rPr>
          <w:sz w:val="24"/>
        </w:rPr>
        <w:t xml:space="preserve">Standard-Setters Group (AOSSG) working groups) and the World Standard Setters </w:t>
      </w:r>
      <w:r>
        <w:rPr>
          <w:spacing w:val="-2"/>
          <w:sz w:val="24"/>
        </w:rPr>
        <w:t>meeting;</w:t>
      </w:r>
    </w:p>
    <w:p w14:paraId="1E805788" w14:textId="77777777" w:rsidR="00AA4A02" w:rsidRDefault="00960F31">
      <w:pPr>
        <w:pStyle w:val="ListParagraph"/>
        <w:numPr>
          <w:ilvl w:val="2"/>
          <w:numId w:val="54"/>
        </w:numPr>
        <w:tabs>
          <w:tab w:val="left" w:pos="1558"/>
        </w:tabs>
        <w:spacing w:before="241" w:line="242" w:lineRule="auto"/>
        <w:ind w:right="1099"/>
        <w:rPr>
          <w:sz w:val="24"/>
        </w:rPr>
      </w:pPr>
      <w:r>
        <w:rPr>
          <w:sz w:val="24"/>
        </w:rPr>
        <w:t>develops</w:t>
      </w:r>
      <w:r>
        <w:rPr>
          <w:spacing w:val="-5"/>
          <w:sz w:val="24"/>
        </w:rPr>
        <w:t xml:space="preserve"> </w:t>
      </w:r>
      <w:r>
        <w:rPr>
          <w:sz w:val="24"/>
        </w:rPr>
        <w:t>and</w:t>
      </w:r>
      <w:r>
        <w:rPr>
          <w:spacing w:val="-2"/>
          <w:sz w:val="24"/>
        </w:rPr>
        <w:t xml:space="preserve"> </w:t>
      </w:r>
      <w:r>
        <w:rPr>
          <w:sz w:val="24"/>
        </w:rPr>
        <w:t>presents</w:t>
      </w:r>
      <w:r>
        <w:rPr>
          <w:spacing w:val="-4"/>
          <w:sz w:val="24"/>
        </w:rPr>
        <w:t xml:space="preserve"> </w:t>
      </w:r>
      <w:r>
        <w:rPr>
          <w:sz w:val="24"/>
        </w:rPr>
        <w:t>thought</w:t>
      </w:r>
      <w:r>
        <w:rPr>
          <w:spacing w:val="-2"/>
          <w:sz w:val="24"/>
        </w:rPr>
        <w:t xml:space="preserve"> </w:t>
      </w:r>
      <w:r>
        <w:rPr>
          <w:sz w:val="24"/>
        </w:rPr>
        <w:t>leadership</w:t>
      </w:r>
      <w:r>
        <w:rPr>
          <w:spacing w:val="-2"/>
          <w:sz w:val="24"/>
        </w:rPr>
        <w:t xml:space="preserve"> </w:t>
      </w:r>
      <w:r>
        <w:rPr>
          <w:sz w:val="24"/>
        </w:rPr>
        <w:t>material</w:t>
      </w:r>
      <w:r>
        <w:rPr>
          <w:spacing w:val="-6"/>
          <w:sz w:val="24"/>
        </w:rPr>
        <w:t xml:space="preserve"> </w:t>
      </w:r>
      <w:r>
        <w:rPr>
          <w:sz w:val="24"/>
        </w:rPr>
        <w:t>on</w:t>
      </w:r>
      <w:r>
        <w:rPr>
          <w:spacing w:val="-3"/>
          <w:sz w:val="24"/>
        </w:rPr>
        <w:t xml:space="preserve"> </w:t>
      </w:r>
      <w:r>
        <w:rPr>
          <w:sz w:val="24"/>
        </w:rPr>
        <w:t>topics</w:t>
      </w:r>
      <w:r>
        <w:rPr>
          <w:spacing w:val="-5"/>
          <w:sz w:val="24"/>
        </w:rPr>
        <w:t xml:space="preserve"> </w:t>
      </w:r>
      <w:r>
        <w:rPr>
          <w:sz w:val="24"/>
        </w:rPr>
        <w:t>important</w:t>
      </w:r>
      <w:r>
        <w:rPr>
          <w:spacing w:val="-6"/>
          <w:sz w:val="24"/>
        </w:rPr>
        <w:t xml:space="preserve"> </w:t>
      </w:r>
      <w:r>
        <w:rPr>
          <w:sz w:val="24"/>
        </w:rPr>
        <w:t>to Australian stakeholders that are not being addressed by the IASB or the IPSASB at relevant international forums;</w:t>
      </w:r>
    </w:p>
    <w:p w14:paraId="1E805789" w14:textId="77777777" w:rsidR="00AA4A02" w:rsidRDefault="00960F31">
      <w:pPr>
        <w:pStyle w:val="ListParagraph"/>
        <w:numPr>
          <w:ilvl w:val="2"/>
          <w:numId w:val="54"/>
        </w:numPr>
        <w:tabs>
          <w:tab w:val="left" w:pos="1558"/>
        </w:tabs>
        <w:spacing w:before="230"/>
        <w:ind w:right="615"/>
        <w:rPr>
          <w:sz w:val="24"/>
        </w:rPr>
      </w:pPr>
      <w:r>
        <w:rPr>
          <w:sz w:val="24"/>
        </w:rPr>
        <w:t>participates in other international standard-setting forums, including relevant regional groupings of national standard-setters such as the Asian-Oceanian Standard-Setters</w:t>
      </w:r>
      <w:r>
        <w:rPr>
          <w:spacing w:val="-5"/>
          <w:sz w:val="24"/>
        </w:rPr>
        <w:t xml:space="preserve"> </w:t>
      </w:r>
      <w:r>
        <w:rPr>
          <w:sz w:val="24"/>
        </w:rPr>
        <w:t>Group</w:t>
      </w:r>
      <w:r>
        <w:rPr>
          <w:spacing w:val="-3"/>
          <w:sz w:val="24"/>
        </w:rPr>
        <w:t xml:space="preserve"> </w:t>
      </w:r>
      <w:r>
        <w:rPr>
          <w:sz w:val="24"/>
        </w:rPr>
        <w:t>(AOSSG)</w:t>
      </w:r>
      <w:r>
        <w:rPr>
          <w:spacing w:val="-2"/>
          <w:sz w:val="24"/>
        </w:rPr>
        <w:t xml:space="preserve"> </w:t>
      </w:r>
      <w:r>
        <w:rPr>
          <w:sz w:val="24"/>
        </w:rPr>
        <w:t>and</w:t>
      </w:r>
      <w:r>
        <w:rPr>
          <w:spacing w:val="-8"/>
          <w:sz w:val="24"/>
        </w:rPr>
        <w:t xml:space="preserve"> </w:t>
      </w:r>
      <w:r>
        <w:rPr>
          <w:sz w:val="24"/>
        </w:rPr>
        <w:t>the</w:t>
      </w:r>
      <w:r>
        <w:rPr>
          <w:spacing w:val="-4"/>
          <w:sz w:val="24"/>
        </w:rPr>
        <w:t xml:space="preserve"> </w:t>
      </w:r>
      <w:r>
        <w:rPr>
          <w:sz w:val="24"/>
        </w:rPr>
        <w:t>International</w:t>
      </w:r>
      <w:r>
        <w:rPr>
          <w:spacing w:val="-2"/>
          <w:sz w:val="24"/>
        </w:rPr>
        <w:t xml:space="preserve"> </w:t>
      </w:r>
      <w:r>
        <w:rPr>
          <w:sz w:val="24"/>
        </w:rPr>
        <w:t>Forum</w:t>
      </w:r>
      <w:r>
        <w:rPr>
          <w:spacing w:val="-8"/>
          <w:sz w:val="24"/>
        </w:rPr>
        <w:t xml:space="preserve"> </w:t>
      </w:r>
      <w:r>
        <w:rPr>
          <w:sz w:val="24"/>
        </w:rPr>
        <w:t>of</w:t>
      </w:r>
      <w:r>
        <w:rPr>
          <w:spacing w:val="-2"/>
          <w:sz w:val="24"/>
        </w:rPr>
        <w:t xml:space="preserve"> </w:t>
      </w:r>
      <w:r>
        <w:rPr>
          <w:sz w:val="24"/>
        </w:rPr>
        <w:t>Accounting Standard Setters (IFASS). The AASB participates in the AOSSG Chair Advisory Committee and leads one or more technical working groups;</w:t>
      </w:r>
    </w:p>
    <w:p w14:paraId="1E80578A" w14:textId="77777777" w:rsidR="00AA4A02" w:rsidRDefault="00960F31">
      <w:pPr>
        <w:pStyle w:val="ListParagraph"/>
        <w:numPr>
          <w:ilvl w:val="2"/>
          <w:numId w:val="54"/>
        </w:numPr>
        <w:tabs>
          <w:tab w:val="left" w:pos="1558"/>
        </w:tabs>
        <w:spacing w:before="243"/>
        <w:ind w:right="529"/>
        <w:rPr>
          <w:sz w:val="24"/>
        </w:rPr>
      </w:pPr>
      <w:r>
        <w:rPr>
          <w:sz w:val="24"/>
        </w:rPr>
        <w:t>works</w:t>
      </w:r>
      <w:r>
        <w:rPr>
          <w:spacing w:val="-6"/>
          <w:sz w:val="24"/>
        </w:rPr>
        <w:t xml:space="preserve"> </w:t>
      </w:r>
      <w:r>
        <w:rPr>
          <w:sz w:val="24"/>
        </w:rPr>
        <w:t>closely</w:t>
      </w:r>
      <w:r>
        <w:rPr>
          <w:spacing w:val="-3"/>
          <w:sz w:val="24"/>
        </w:rPr>
        <w:t xml:space="preserve"> </w:t>
      </w:r>
      <w:r>
        <w:rPr>
          <w:sz w:val="24"/>
        </w:rPr>
        <w:t>with</w:t>
      </w:r>
      <w:r>
        <w:rPr>
          <w:spacing w:val="-4"/>
          <w:sz w:val="24"/>
        </w:rPr>
        <w:t xml:space="preserve"> </w:t>
      </w:r>
      <w:r>
        <w:rPr>
          <w:sz w:val="24"/>
        </w:rPr>
        <w:t>Australian</w:t>
      </w:r>
      <w:r>
        <w:rPr>
          <w:spacing w:val="-3"/>
          <w:sz w:val="24"/>
        </w:rPr>
        <w:t xml:space="preserve"> </w:t>
      </w:r>
      <w:r>
        <w:rPr>
          <w:sz w:val="24"/>
        </w:rPr>
        <w:t>representatives</w:t>
      </w:r>
      <w:r>
        <w:rPr>
          <w:spacing w:val="-6"/>
          <w:sz w:val="24"/>
        </w:rPr>
        <w:t xml:space="preserve"> </w:t>
      </w:r>
      <w:r>
        <w:rPr>
          <w:sz w:val="24"/>
        </w:rPr>
        <w:t>on</w:t>
      </w:r>
      <w:r>
        <w:rPr>
          <w:spacing w:val="-3"/>
          <w:sz w:val="24"/>
        </w:rPr>
        <w:t xml:space="preserve"> </w:t>
      </w:r>
      <w:r>
        <w:rPr>
          <w:sz w:val="24"/>
        </w:rPr>
        <w:t>key</w:t>
      </w:r>
      <w:r>
        <w:rPr>
          <w:spacing w:val="-4"/>
          <w:sz w:val="24"/>
        </w:rPr>
        <w:t xml:space="preserve"> </w:t>
      </w:r>
      <w:r>
        <w:rPr>
          <w:sz w:val="24"/>
        </w:rPr>
        <w:t>international</w:t>
      </w:r>
      <w:r>
        <w:rPr>
          <w:spacing w:val="-2"/>
          <w:sz w:val="24"/>
        </w:rPr>
        <w:t xml:space="preserve"> </w:t>
      </w:r>
      <w:r>
        <w:rPr>
          <w:sz w:val="24"/>
        </w:rPr>
        <w:t>bodies</w:t>
      </w:r>
      <w:r>
        <w:rPr>
          <w:spacing w:val="-6"/>
          <w:sz w:val="24"/>
        </w:rPr>
        <w:t xml:space="preserve"> </w:t>
      </w:r>
      <w:r>
        <w:rPr>
          <w:sz w:val="24"/>
        </w:rPr>
        <w:t>such as the IASB and related interpretation and advisory committees to provide relevant Australian input. For the Australian IPSASB Board member, the AASB</w:t>
      </w:r>
      <w:r>
        <w:rPr>
          <w:spacing w:val="-2"/>
          <w:sz w:val="24"/>
        </w:rPr>
        <w:t xml:space="preserve"> </w:t>
      </w:r>
      <w:r>
        <w:rPr>
          <w:sz w:val="24"/>
        </w:rPr>
        <w:t>provides</w:t>
      </w:r>
      <w:r>
        <w:rPr>
          <w:spacing w:val="-3"/>
          <w:sz w:val="24"/>
        </w:rPr>
        <w:t xml:space="preserve"> </w:t>
      </w:r>
      <w:r>
        <w:rPr>
          <w:sz w:val="24"/>
        </w:rPr>
        <w:t>technical</w:t>
      </w:r>
      <w:r>
        <w:rPr>
          <w:spacing w:val="-1"/>
          <w:sz w:val="24"/>
        </w:rPr>
        <w:t xml:space="preserve"> </w:t>
      </w:r>
      <w:r>
        <w:rPr>
          <w:sz w:val="24"/>
        </w:rPr>
        <w:t>support.</w:t>
      </w:r>
      <w:r>
        <w:rPr>
          <w:spacing w:val="40"/>
          <w:sz w:val="24"/>
        </w:rPr>
        <w:t xml:space="preserve"> </w:t>
      </w:r>
      <w:r>
        <w:rPr>
          <w:sz w:val="24"/>
        </w:rPr>
        <w:t>Further</w:t>
      </w:r>
      <w:r>
        <w:rPr>
          <w:spacing w:val="-1"/>
          <w:sz w:val="24"/>
        </w:rPr>
        <w:t xml:space="preserve"> </w:t>
      </w:r>
      <w:r>
        <w:rPr>
          <w:sz w:val="24"/>
        </w:rPr>
        <w:t>details</w:t>
      </w:r>
      <w:r>
        <w:rPr>
          <w:spacing w:val="-7"/>
          <w:sz w:val="24"/>
        </w:rPr>
        <w:t xml:space="preserve"> </w:t>
      </w:r>
      <w:r>
        <w:rPr>
          <w:sz w:val="24"/>
        </w:rPr>
        <w:t>on</w:t>
      </w:r>
      <w:r>
        <w:rPr>
          <w:spacing w:val="-2"/>
          <w:sz w:val="24"/>
        </w:rPr>
        <w:t xml:space="preserve"> </w:t>
      </w:r>
      <w:r>
        <w:rPr>
          <w:sz w:val="24"/>
        </w:rPr>
        <w:t>the</w:t>
      </w:r>
      <w:r>
        <w:rPr>
          <w:spacing w:val="-2"/>
          <w:sz w:val="24"/>
        </w:rPr>
        <w:t xml:space="preserve"> </w:t>
      </w:r>
      <w:r>
        <w:rPr>
          <w:sz w:val="24"/>
        </w:rPr>
        <w:t>AASB’s</w:t>
      </w:r>
      <w:r>
        <w:rPr>
          <w:spacing w:val="-2"/>
          <w:sz w:val="24"/>
        </w:rPr>
        <w:t xml:space="preserve"> </w:t>
      </w:r>
      <w:r>
        <w:rPr>
          <w:sz w:val="24"/>
        </w:rPr>
        <w:t xml:space="preserve">relationship with the IPSASB is set out in </w:t>
      </w:r>
      <w:r>
        <w:rPr>
          <w:i/>
          <w:sz w:val="24"/>
        </w:rPr>
        <w:t>The AASB’s Approach to International Public Sector Accounting Standards</w:t>
      </w:r>
      <w:r>
        <w:rPr>
          <w:sz w:val="24"/>
        </w:rPr>
        <w:t>;</w:t>
      </w:r>
      <w:r>
        <w:rPr>
          <w:sz w:val="24"/>
          <w:vertAlign w:val="superscript"/>
        </w:rPr>
        <w:t>8</w:t>
      </w:r>
    </w:p>
    <w:p w14:paraId="1E80578B" w14:textId="77777777" w:rsidR="00AA4A02" w:rsidRDefault="00960F31">
      <w:pPr>
        <w:pStyle w:val="ListParagraph"/>
        <w:numPr>
          <w:ilvl w:val="2"/>
          <w:numId w:val="54"/>
        </w:numPr>
        <w:tabs>
          <w:tab w:val="left" w:pos="1558"/>
        </w:tabs>
        <w:spacing w:before="240"/>
        <w:ind w:right="419"/>
        <w:rPr>
          <w:sz w:val="24"/>
        </w:rPr>
      </w:pPr>
      <w:r>
        <w:rPr>
          <w:sz w:val="24"/>
        </w:rPr>
        <w:t>wherever possible, maintains Trans-Tasman consistent accounting standards</w:t>
      </w:r>
      <w:r>
        <w:rPr>
          <w:spacing w:val="40"/>
          <w:sz w:val="24"/>
        </w:rPr>
        <w:t xml:space="preserve"> </w:t>
      </w:r>
      <w:r>
        <w:rPr>
          <w:sz w:val="24"/>
        </w:rPr>
        <w:t>for for-profit publicly accountable entities, working closely with the New Zealand</w:t>
      </w:r>
      <w:r>
        <w:rPr>
          <w:spacing w:val="-1"/>
          <w:sz w:val="24"/>
        </w:rPr>
        <w:t xml:space="preserve"> </w:t>
      </w:r>
      <w:r>
        <w:rPr>
          <w:sz w:val="24"/>
        </w:rPr>
        <w:t>Accounting Standards</w:t>
      </w:r>
      <w:r>
        <w:rPr>
          <w:spacing w:val="-2"/>
          <w:sz w:val="24"/>
        </w:rPr>
        <w:t xml:space="preserve"> </w:t>
      </w:r>
      <w:r>
        <w:rPr>
          <w:sz w:val="24"/>
        </w:rPr>
        <w:t>Board</w:t>
      </w:r>
      <w:r>
        <w:rPr>
          <w:spacing w:val="-5"/>
          <w:sz w:val="24"/>
        </w:rPr>
        <w:t xml:space="preserve"> </w:t>
      </w:r>
      <w:r>
        <w:rPr>
          <w:sz w:val="24"/>
        </w:rPr>
        <w:t>(NZASB).</w:t>
      </w:r>
      <w:r>
        <w:rPr>
          <w:spacing w:val="-3"/>
          <w:sz w:val="24"/>
        </w:rPr>
        <w:t xml:space="preserve"> </w:t>
      </w:r>
      <w:r>
        <w:rPr>
          <w:sz w:val="24"/>
        </w:rPr>
        <w:t>The</w:t>
      </w:r>
      <w:r>
        <w:rPr>
          <w:spacing w:val="-2"/>
          <w:sz w:val="24"/>
        </w:rPr>
        <w:t xml:space="preserve"> </w:t>
      </w:r>
      <w:r>
        <w:rPr>
          <w:sz w:val="24"/>
        </w:rPr>
        <w:t>AASB</w:t>
      </w:r>
      <w:r>
        <w:rPr>
          <w:spacing w:val="-2"/>
          <w:sz w:val="24"/>
        </w:rPr>
        <w:t xml:space="preserve"> </w:t>
      </w:r>
      <w:r>
        <w:rPr>
          <w:sz w:val="24"/>
        </w:rPr>
        <w:t>Chair is</w:t>
      </w:r>
      <w:r>
        <w:rPr>
          <w:spacing w:val="-3"/>
          <w:sz w:val="24"/>
        </w:rPr>
        <w:t xml:space="preserve"> </w:t>
      </w:r>
      <w:r>
        <w:rPr>
          <w:sz w:val="24"/>
        </w:rPr>
        <w:t>a</w:t>
      </w:r>
      <w:r>
        <w:rPr>
          <w:spacing w:val="-2"/>
          <w:sz w:val="24"/>
        </w:rPr>
        <w:t xml:space="preserve"> </w:t>
      </w:r>
      <w:r>
        <w:rPr>
          <w:sz w:val="24"/>
        </w:rPr>
        <w:t>member of the</w:t>
      </w:r>
      <w:r>
        <w:rPr>
          <w:spacing w:val="-1"/>
          <w:sz w:val="24"/>
        </w:rPr>
        <w:t xml:space="preserve"> </w:t>
      </w:r>
      <w:r>
        <w:rPr>
          <w:sz w:val="24"/>
        </w:rPr>
        <w:t>NZASB, and</w:t>
      </w:r>
      <w:r>
        <w:rPr>
          <w:spacing w:val="-6"/>
          <w:sz w:val="24"/>
        </w:rPr>
        <w:t xml:space="preserve"> </w:t>
      </w:r>
      <w:r>
        <w:rPr>
          <w:sz w:val="24"/>
        </w:rPr>
        <w:t>the</w:t>
      </w:r>
      <w:r>
        <w:rPr>
          <w:spacing w:val="-1"/>
          <w:sz w:val="24"/>
        </w:rPr>
        <w:t xml:space="preserve"> </w:t>
      </w:r>
      <w:r>
        <w:rPr>
          <w:sz w:val="24"/>
        </w:rPr>
        <w:t>Chair</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NZASB</w:t>
      </w:r>
      <w:r>
        <w:rPr>
          <w:spacing w:val="-7"/>
          <w:sz w:val="24"/>
        </w:rPr>
        <w:t xml:space="preserve"> </w:t>
      </w:r>
      <w:r>
        <w:rPr>
          <w:sz w:val="24"/>
        </w:rPr>
        <w:t>is</w:t>
      </w:r>
      <w:r>
        <w:rPr>
          <w:spacing w:val="-3"/>
          <w:sz w:val="24"/>
        </w:rPr>
        <w:t xml:space="preserve"> </w:t>
      </w:r>
      <w:r>
        <w:rPr>
          <w:sz w:val="24"/>
        </w:rPr>
        <w:t>a</w:t>
      </w:r>
      <w:r>
        <w:rPr>
          <w:spacing w:val="-1"/>
          <w:sz w:val="24"/>
        </w:rPr>
        <w:t xml:space="preserve"> </w:t>
      </w:r>
      <w:r>
        <w:rPr>
          <w:sz w:val="24"/>
        </w:rPr>
        <w:t>member of</w:t>
      </w:r>
      <w:r>
        <w:rPr>
          <w:spacing w:val="-4"/>
          <w:sz w:val="24"/>
        </w:rPr>
        <w:t xml:space="preserve"> </w:t>
      </w:r>
      <w:r>
        <w:rPr>
          <w:sz w:val="24"/>
        </w:rPr>
        <w:t>the</w:t>
      </w:r>
      <w:r>
        <w:rPr>
          <w:spacing w:val="-1"/>
          <w:sz w:val="24"/>
        </w:rPr>
        <w:t xml:space="preserve"> </w:t>
      </w:r>
      <w:r>
        <w:rPr>
          <w:sz w:val="24"/>
        </w:rPr>
        <w:t>AASB.</w:t>
      </w:r>
      <w:r>
        <w:rPr>
          <w:spacing w:val="-3"/>
          <w:sz w:val="24"/>
        </w:rPr>
        <w:t xml:space="preserve"> </w:t>
      </w:r>
      <w:r>
        <w:rPr>
          <w:sz w:val="24"/>
        </w:rPr>
        <w:t>Further detail of the relationship with the NZASB is set out in the Australia &amp; New Zealand Protocol;</w:t>
      </w:r>
      <w:r>
        <w:rPr>
          <w:sz w:val="24"/>
          <w:vertAlign w:val="superscript"/>
        </w:rPr>
        <w:t>9</w:t>
      </w:r>
    </w:p>
    <w:p w14:paraId="1E80578C" w14:textId="77777777" w:rsidR="00AA4A02" w:rsidRDefault="00960F31">
      <w:pPr>
        <w:pStyle w:val="ListParagraph"/>
        <w:numPr>
          <w:ilvl w:val="2"/>
          <w:numId w:val="54"/>
        </w:numPr>
        <w:tabs>
          <w:tab w:val="left" w:pos="1558"/>
        </w:tabs>
        <w:spacing w:before="241" w:line="242" w:lineRule="auto"/>
        <w:ind w:right="632"/>
        <w:rPr>
          <w:sz w:val="24"/>
        </w:rPr>
      </w:pPr>
      <w:r>
        <w:rPr>
          <w:sz w:val="24"/>
        </w:rPr>
        <w:t>regularly attends (in person or remotely) key meetings and conferences of international</w:t>
      </w:r>
      <w:r>
        <w:rPr>
          <w:spacing w:val="-2"/>
          <w:sz w:val="24"/>
        </w:rPr>
        <w:t xml:space="preserve"> </w:t>
      </w:r>
      <w:r>
        <w:rPr>
          <w:sz w:val="24"/>
        </w:rPr>
        <w:t>financial</w:t>
      </w:r>
      <w:r>
        <w:rPr>
          <w:spacing w:val="-7"/>
          <w:sz w:val="24"/>
        </w:rPr>
        <w:t xml:space="preserve"> </w:t>
      </w:r>
      <w:r>
        <w:rPr>
          <w:sz w:val="24"/>
        </w:rPr>
        <w:t>reporting</w:t>
      </w:r>
      <w:r>
        <w:rPr>
          <w:spacing w:val="-7"/>
          <w:sz w:val="24"/>
        </w:rPr>
        <w:t xml:space="preserve"> </w:t>
      </w:r>
      <w:r>
        <w:rPr>
          <w:sz w:val="24"/>
        </w:rPr>
        <w:t>bodies</w:t>
      </w:r>
      <w:r>
        <w:rPr>
          <w:spacing w:val="-5"/>
          <w:sz w:val="24"/>
        </w:rPr>
        <w:t xml:space="preserve"> </w:t>
      </w:r>
      <w:r>
        <w:rPr>
          <w:sz w:val="24"/>
        </w:rPr>
        <w:t>to</w:t>
      </w:r>
      <w:r>
        <w:rPr>
          <w:spacing w:val="-3"/>
          <w:sz w:val="24"/>
        </w:rPr>
        <w:t xml:space="preserve"> </w:t>
      </w:r>
      <w:r>
        <w:rPr>
          <w:sz w:val="24"/>
        </w:rPr>
        <w:t>ensure</w:t>
      </w:r>
      <w:r>
        <w:rPr>
          <w:spacing w:val="-3"/>
          <w:sz w:val="24"/>
        </w:rPr>
        <w:t xml:space="preserve"> </w:t>
      </w:r>
      <w:r>
        <w:rPr>
          <w:sz w:val="24"/>
        </w:rPr>
        <w:t>adequate</w:t>
      </w:r>
      <w:r>
        <w:rPr>
          <w:spacing w:val="-3"/>
          <w:sz w:val="24"/>
        </w:rPr>
        <w:t xml:space="preserve"> </w:t>
      </w:r>
      <w:r>
        <w:rPr>
          <w:sz w:val="24"/>
        </w:rPr>
        <w:t>analysis</w:t>
      </w:r>
      <w:r>
        <w:rPr>
          <w:spacing w:val="-4"/>
          <w:sz w:val="24"/>
        </w:rPr>
        <w:t xml:space="preserve"> </w:t>
      </w:r>
      <w:r>
        <w:rPr>
          <w:sz w:val="24"/>
        </w:rPr>
        <w:t>and</w:t>
      </w:r>
      <w:r>
        <w:rPr>
          <w:spacing w:val="-3"/>
          <w:sz w:val="24"/>
        </w:rPr>
        <w:t xml:space="preserve"> </w:t>
      </w:r>
      <w:r>
        <w:rPr>
          <w:sz w:val="24"/>
        </w:rPr>
        <w:t>input, and express Australian views; and</w:t>
      </w:r>
    </w:p>
    <w:p w14:paraId="1E80578D" w14:textId="77777777" w:rsidR="00AA4A02" w:rsidRDefault="00AA4A02">
      <w:pPr>
        <w:pStyle w:val="BodyText"/>
        <w:rPr>
          <w:sz w:val="20"/>
        </w:rPr>
      </w:pPr>
    </w:p>
    <w:p w14:paraId="1E80578E" w14:textId="77777777" w:rsidR="00AA4A02" w:rsidRDefault="00AA4A02">
      <w:pPr>
        <w:pStyle w:val="BodyText"/>
        <w:rPr>
          <w:sz w:val="20"/>
        </w:rPr>
      </w:pPr>
    </w:p>
    <w:p w14:paraId="1E80578F" w14:textId="77777777" w:rsidR="00AA4A02" w:rsidRDefault="00960F31">
      <w:pPr>
        <w:pStyle w:val="BodyText"/>
        <w:spacing w:before="109"/>
        <w:rPr>
          <w:sz w:val="20"/>
        </w:rPr>
      </w:pPr>
      <w:r>
        <w:rPr>
          <w:noProof/>
          <w:sz w:val="20"/>
        </w:rPr>
        <mc:AlternateContent>
          <mc:Choice Requires="wps">
            <w:drawing>
              <wp:anchor distT="0" distB="0" distL="0" distR="0" simplePos="0" relativeHeight="487593472" behindDoc="1" locked="0" layoutInCell="1" allowOverlap="1" wp14:anchorId="1E805F29" wp14:editId="1E805F2A">
                <wp:simplePos x="0" y="0"/>
                <wp:positionH relativeFrom="page">
                  <wp:posOffset>899464</wp:posOffset>
                </wp:positionH>
                <wp:positionV relativeFrom="paragraph">
                  <wp:posOffset>231110</wp:posOffset>
                </wp:positionV>
                <wp:extent cx="183007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645C8" id="Graphic 30" o:spid="_x0000_s1026" style="position:absolute;margin-left:70.8pt;margin-top:18.2pt;width:144.1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" path="m1829689,l,,,6095r1829689,l1829689,xe" fillcolor="black" stroked="f">
                <v:path arrowok="t"/>
                <w10:wrap type="topAndBottom" anchorx="page"/>
              </v:shape>
            </w:pict>
          </mc:Fallback>
        </mc:AlternateContent>
      </w:r>
    </w:p>
    <w:p w14:paraId="1E805790" w14:textId="77777777" w:rsidR="00AA4A02" w:rsidRDefault="00960F31">
      <w:pPr>
        <w:pStyle w:val="ListParagraph"/>
        <w:numPr>
          <w:ilvl w:val="0"/>
          <w:numId w:val="53"/>
        </w:numPr>
        <w:tabs>
          <w:tab w:val="left" w:pos="482"/>
        </w:tabs>
        <w:spacing w:before="106"/>
        <w:ind w:hanging="341"/>
        <w:rPr>
          <w:sz w:val="20"/>
        </w:rPr>
      </w:pPr>
      <w:r>
        <w:rPr>
          <w:sz w:val="20"/>
        </w:rPr>
        <w:t>See</w:t>
      </w:r>
      <w:r>
        <w:rPr>
          <w:spacing w:val="-2"/>
          <w:sz w:val="20"/>
        </w:rPr>
        <w:t xml:space="preserve"> </w:t>
      </w:r>
      <w:r>
        <w:rPr>
          <w:i/>
          <w:sz w:val="20"/>
        </w:rPr>
        <w:t>The</w:t>
      </w:r>
      <w:r>
        <w:rPr>
          <w:i/>
          <w:spacing w:val="-6"/>
          <w:sz w:val="20"/>
        </w:rPr>
        <w:t xml:space="preserve"> </w:t>
      </w:r>
      <w:r>
        <w:rPr>
          <w:i/>
          <w:sz w:val="20"/>
        </w:rPr>
        <w:t>AASB’s</w:t>
      </w:r>
      <w:r>
        <w:rPr>
          <w:i/>
          <w:spacing w:val="-9"/>
          <w:sz w:val="20"/>
        </w:rPr>
        <w:t xml:space="preserve"> </w:t>
      </w:r>
      <w:r>
        <w:rPr>
          <w:i/>
          <w:sz w:val="20"/>
        </w:rPr>
        <w:t>Approach</w:t>
      </w:r>
      <w:r>
        <w:rPr>
          <w:i/>
          <w:spacing w:val="-8"/>
          <w:sz w:val="20"/>
        </w:rPr>
        <w:t xml:space="preserve"> </w:t>
      </w:r>
      <w:r>
        <w:rPr>
          <w:i/>
          <w:sz w:val="20"/>
        </w:rPr>
        <w:t>to</w:t>
      </w:r>
      <w:r>
        <w:rPr>
          <w:i/>
          <w:spacing w:val="-2"/>
          <w:sz w:val="20"/>
        </w:rPr>
        <w:t xml:space="preserve"> </w:t>
      </w:r>
      <w:r>
        <w:rPr>
          <w:i/>
          <w:sz w:val="20"/>
        </w:rPr>
        <w:t>International</w:t>
      </w:r>
      <w:r>
        <w:rPr>
          <w:i/>
          <w:spacing w:val="-10"/>
          <w:sz w:val="20"/>
        </w:rPr>
        <w:t xml:space="preserve"> </w:t>
      </w:r>
      <w:r>
        <w:rPr>
          <w:i/>
          <w:sz w:val="20"/>
        </w:rPr>
        <w:t>Public</w:t>
      </w:r>
      <w:r>
        <w:rPr>
          <w:i/>
          <w:spacing w:val="-5"/>
          <w:sz w:val="20"/>
        </w:rPr>
        <w:t xml:space="preserve"> </w:t>
      </w:r>
      <w:r>
        <w:rPr>
          <w:i/>
          <w:sz w:val="20"/>
        </w:rPr>
        <w:t>Sector</w:t>
      </w:r>
      <w:r>
        <w:rPr>
          <w:i/>
          <w:spacing w:val="-8"/>
          <w:sz w:val="20"/>
        </w:rPr>
        <w:t xml:space="preserve"> </w:t>
      </w:r>
      <w:r>
        <w:rPr>
          <w:i/>
          <w:sz w:val="20"/>
        </w:rPr>
        <w:t>Accounting</w:t>
      </w:r>
      <w:r>
        <w:rPr>
          <w:i/>
          <w:spacing w:val="-7"/>
          <w:sz w:val="20"/>
        </w:rPr>
        <w:t xml:space="preserve"> </w:t>
      </w:r>
      <w:r>
        <w:rPr>
          <w:i/>
          <w:spacing w:val="-2"/>
          <w:sz w:val="20"/>
        </w:rPr>
        <w:t>Standards</w:t>
      </w:r>
      <w:r>
        <w:rPr>
          <w:spacing w:val="-2"/>
          <w:sz w:val="20"/>
        </w:rPr>
        <w:t>.</w:t>
      </w:r>
    </w:p>
    <w:p w14:paraId="1E805791" w14:textId="77777777" w:rsidR="00AA4A02" w:rsidRDefault="00960F31">
      <w:pPr>
        <w:pStyle w:val="ListParagraph"/>
        <w:numPr>
          <w:ilvl w:val="0"/>
          <w:numId w:val="53"/>
        </w:numPr>
        <w:tabs>
          <w:tab w:val="left" w:pos="482"/>
        </w:tabs>
        <w:spacing w:before="0"/>
        <w:ind w:right="451"/>
        <w:rPr>
          <w:sz w:val="20"/>
        </w:rPr>
      </w:pPr>
      <w:r>
        <w:rPr>
          <w:sz w:val="20"/>
        </w:rPr>
        <w:t xml:space="preserve">See the </w:t>
      </w:r>
      <w:r>
        <w:rPr>
          <w:i/>
          <w:sz w:val="20"/>
        </w:rPr>
        <w:t>Protocol for Co-operation between the Australian Accounting Standards Board, the Australian Auditing and</w:t>
      </w:r>
      <w:r>
        <w:rPr>
          <w:i/>
          <w:spacing w:val="-5"/>
          <w:sz w:val="20"/>
        </w:rPr>
        <w:t xml:space="preserve"> </w:t>
      </w:r>
      <w:r>
        <w:rPr>
          <w:i/>
          <w:sz w:val="20"/>
        </w:rPr>
        <w:t>Assurance Standards</w:t>
      </w:r>
      <w:r>
        <w:rPr>
          <w:i/>
          <w:spacing w:val="-6"/>
          <w:sz w:val="20"/>
        </w:rPr>
        <w:t xml:space="preserve"> </w:t>
      </w:r>
      <w:r>
        <w:rPr>
          <w:i/>
          <w:sz w:val="20"/>
        </w:rPr>
        <w:t>Board,</w:t>
      </w:r>
      <w:r>
        <w:rPr>
          <w:i/>
          <w:spacing w:val="-3"/>
          <w:sz w:val="20"/>
        </w:rPr>
        <w:t xml:space="preserve"> </w:t>
      </w:r>
      <w:r>
        <w:rPr>
          <w:i/>
          <w:sz w:val="20"/>
        </w:rPr>
        <w:t>the</w:t>
      </w:r>
      <w:r>
        <w:rPr>
          <w:i/>
          <w:spacing w:val="-4"/>
          <w:sz w:val="20"/>
        </w:rPr>
        <w:t xml:space="preserve"> </w:t>
      </w:r>
      <w:r>
        <w:rPr>
          <w:i/>
          <w:sz w:val="20"/>
        </w:rPr>
        <w:t>Australian</w:t>
      </w:r>
      <w:r>
        <w:rPr>
          <w:i/>
          <w:spacing w:val="-4"/>
          <w:sz w:val="20"/>
        </w:rPr>
        <w:t xml:space="preserve"> </w:t>
      </w:r>
      <w:r>
        <w:rPr>
          <w:i/>
          <w:sz w:val="20"/>
        </w:rPr>
        <w:t>Financial</w:t>
      </w:r>
      <w:r>
        <w:rPr>
          <w:i/>
          <w:spacing w:val="-3"/>
          <w:sz w:val="20"/>
        </w:rPr>
        <w:t xml:space="preserve"> </w:t>
      </w:r>
      <w:r>
        <w:rPr>
          <w:i/>
          <w:sz w:val="20"/>
        </w:rPr>
        <w:t>Reporting</w:t>
      </w:r>
      <w:r>
        <w:rPr>
          <w:i/>
          <w:spacing w:val="-4"/>
          <w:sz w:val="20"/>
        </w:rPr>
        <w:t xml:space="preserve"> </w:t>
      </w:r>
      <w:r>
        <w:rPr>
          <w:i/>
          <w:sz w:val="20"/>
        </w:rPr>
        <w:t>Council and</w:t>
      </w:r>
      <w:r>
        <w:rPr>
          <w:i/>
          <w:spacing w:val="-5"/>
          <w:sz w:val="20"/>
        </w:rPr>
        <w:t xml:space="preserve"> </w:t>
      </w:r>
      <w:r>
        <w:rPr>
          <w:i/>
          <w:sz w:val="20"/>
        </w:rPr>
        <w:t>the</w:t>
      </w:r>
      <w:r>
        <w:rPr>
          <w:i/>
          <w:spacing w:val="-4"/>
          <w:sz w:val="20"/>
        </w:rPr>
        <w:t xml:space="preserve"> </w:t>
      </w:r>
      <w:r>
        <w:rPr>
          <w:i/>
          <w:sz w:val="20"/>
        </w:rPr>
        <w:t>New Zealand External Reporting Board</w:t>
      </w:r>
      <w:r>
        <w:rPr>
          <w:sz w:val="20"/>
        </w:rPr>
        <w:t>.</w:t>
      </w:r>
    </w:p>
    <w:p w14:paraId="1E805792"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93" w14:textId="77777777" w:rsidR="00AA4A02" w:rsidRDefault="00960F31">
      <w:pPr>
        <w:pStyle w:val="ListParagraph"/>
        <w:numPr>
          <w:ilvl w:val="2"/>
          <w:numId w:val="54"/>
        </w:numPr>
        <w:tabs>
          <w:tab w:val="left" w:pos="1558"/>
        </w:tabs>
        <w:spacing w:before="80" w:line="242" w:lineRule="auto"/>
        <w:ind w:right="1018"/>
        <w:rPr>
          <w:sz w:val="24"/>
        </w:rPr>
      </w:pPr>
      <w:r>
        <w:rPr>
          <w:sz w:val="24"/>
        </w:rPr>
        <w:lastRenderedPageBreak/>
        <w:t>develops</w:t>
      </w:r>
      <w:r>
        <w:rPr>
          <w:spacing w:val="-5"/>
          <w:sz w:val="24"/>
        </w:rPr>
        <w:t xml:space="preserve"> </w:t>
      </w:r>
      <w:r>
        <w:rPr>
          <w:sz w:val="24"/>
        </w:rPr>
        <w:t>effective</w:t>
      </w:r>
      <w:r>
        <w:rPr>
          <w:spacing w:val="-4"/>
          <w:sz w:val="24"/>
        </w:rPr>
        <w:t xml:space="preserve"> </w:t>
      </w:r>
      <w:r>
        <w:rPr>
          <w:sz w:val="24"/>
        </w:rPr>
        <w:t>working</w:t>
      </w:r>
      <w:r>
        <w:rPr>
          <w:spacing w:val="-8"/>
          <w:sz w:val="24"/>
        </w:rPr>
        <w:t xml:space="preserve"> </w:t>
      </w:r>
      <w:r>
        <w:rPr>
          <w:sz w:val="24"/>
        </w:rPr>
        <w:t>relationships</w:t>
      </w:r>
      <w:r>
        <w:rPr>
          <w:spacing w:val="-5"/>
          <w:sz w:val="24"/>
        </w:rPr>
        <w:t xml:space="preserve"> </w:t>
      </w:r>
      <w:r>
        <w:rPr>
          <w:sz w:val="24"/>
        </w:rPr>
        <w:t>with</w:t>
      </w:r>
      <w:r>
        <w:rPr>
          <w:spacing w:val="-4"/>
          <w:sz w:val="24"/>
        </w:rPr>
        <w:t xml:space="preserve"> </w:t>
      </w:r>
      <w:r>
        <w:rPr>
          <w:sz w:val="24"/>
        </w:rPr>
        <w:t>other</w:t>
      </w:r>
      <w:r>
        <w:rPr>
          <w:spacing w:val="-2"/>
          <w:sz w:val="24"/>
        </w:rPr>
        <w:t xml:space="preserve"> </w:t>
      </w:r>
      <w:r>
        <w:rPr>
          <w:sz w:val="24"/>
        </w:rPr>
        <w:t>key</w:t>
      </w:r>
      <w:r>
        <w:rPr>
          <w:spacing w:val="-4"/>
          <w:sz w:val="24"/>
        </w:rPr>
        <w:t xml:space="preserve"> </w:t>
      </w:r>
      <w:r>
        <w:rPr>
          <w:sz w:val="24"/>
        </w:rPr>
        <w:t>national</w:t>
      </w:r>
      <w:r>
        <w:rPr>
          <w:spacing w:val="-8"/>
          <w:sz w:val="24"/>
        </w:rPr>
        <w:t xml:space="preserve"> </w:t>
      </w:r>
      <w:r>
        <w:rPr>
          <w:sz w:val="24"/>
        </w:rPr>
        <w:t>standard setters, including developing joint thought leadership documents, and coalitions to further support key Australian views.</w:t>
      </w:r>
    </w:p>
    <w:p w14:paraId="1E805794" w14:textId="77777777" w:rsidR="00AA4A02" w:rsidRDefault="00AA4A02">
      <w:pPr>
        <w:pStyle w:val="BodyText"/>
        <w:spacing w:before="199"/>
        <w:rPr>
          <w:sz w:val="24"/>
        </w:rPr>
      </w:pPr>
    </w:p>
    <w:p w14:paraId="1E805795" w14:textId="77777777" w:rsidR="00AA4A02" w:rsidRDefault="00960F31">
      <w:pPr>
        <w:pStyle w:val="Heading6"/>
        <w:numPr>
          <w:ilvl w:val="0"/>
          <w:numId w:val="54"/>
        </w:numPr>
        <w:tabs>
          <w:tab w:val="left" w:pos="852"/>
        </w:tabs>
      </w:pPr>
      <w:bookmarkStart w:id="25" w:name="_bookmark0"/>
      <w:bookmarkStart w:id="26" w:name="_TOC_250025"/>
      <w:bookmarkEnd w:id="25"/>
      <w:r>
        <w:t>Appropriate</w:t>
      </w:r>
      <w:r>
        <w:rPr>
          <w:spacing w:val="-8"/>
        </w:rPr>
        <w:t xml:space="preserve"> </w:t>
      </w:r>
      <w:r>
        <w:t>Consultation</w:t>
      </w:r>
      <w:r>
        <w:rPr>
          <w:spacing w:val="-9"/>
        </w:rPr>
        <w:t xml:space="preserve"> </w:t>
      </w:r>
      <w:r>
        <w:t>(RIS</w:t>
      </w:r>
      <w:r>
        <w:rPr>
          <w:spacing w:val="-10"/>
        </w:rPr>
        <w:t xml:space="preserve"> </w:t>
      </w:r>
      <w:r>
        <w:t>question</w:t>
      </w:r>
      <w:r>
        <w:rPr>
          <w:spacing w:val="-6"/>
        </w:rPr>
        <w:t xml:space="preserve"> </w:t>
      </w:r>
      <w:bookmarkEnd w:id="26"/>
      <w:r>
        <w:rPr>
          <w:spacing w:val="-5"/>
        </w:rPr>
        <w:t>5)</w:t>
      </w:r>
    </w:p>
    <w:p w14:paraId="1E805796" w14:textId="77777777" w:rsidR="00AA4A02" w:rsidRDefault="00960F31">
      <w:pPr>
        <w:pStyle w:val="ListParagraph"/>
        <w:numPr>
          <w:ilvl w:val="1"/>
          <w:numId w:val="54"/>
        </w:numPr>
        <w:tabs>
          <w:tab w:val="left" w:pos="852"/>
        </w:tabs>
        <w:spacing w:before="273" w:line="242" w:lineRule="auto"/>
        <w:ind w:right="505"/>
        <w:rPr>
          <w:sz w:val="24"/>
        </w:rPr>
      </w:pPr>
      <w:r>
        <w:rPr>
          <w:sz w:val="24"/>
        </w:rPr>
        <w:t>The</w:t>
      </w:r>
      <w:r>
        <w:rPr>
          <w:spacing w:val="-3"/>
          <w:sz w:val="24"/>
        </w:rPr>
        <w:t xml:space="preserve"> </w:t>
      </w:r>
      <w:r>
        <w:rPr>
          <w:sz w:val="24"/>
        </w:rPr>
        <w:t>AASB’s</w:t>
      </w:r>
      <w:r>
        <w:rPr>
          <w:spacing w:val="-3"/>
          <w:sz w:val="24"/>
        </w:rPr>
        <w:t xml:space="preserve"> </w:t>
      </w:r>
      <w:r>
        <w:rPr>
          <w:sz w:val="24"/>
        </w:rPr>
        <w:t>due</w:t>
      </w:r>
      <w:r>
        <w:rPr>
          <w:spacing w:val="-3"/>
          <w:sz w:val="24"/>
        </w:rPr>
        <w:t xml:space="preserve"> </w:t>
      </w:r>
      <w:r>
        <w:rPr>
          <w:sz w:val="24"/>
        </w:rPr>
        <w:t>process</w:t>
      </w:r>
      <w:r>
        <w:rPr>
          <w:spacing w:val="-3"/>
          <w:sz w:val="24"/>
        </w:rPr>
        <w:t xml:space="preserve"> </w:t>
      </w:r>
      <w:r>
        <w:rPr>
          <w:sz w:val="24"/>
        </w:rPr>
        <w:t>is</w:t>
      </w:r>
      <w:r>
        <w:rPr>
          <w:spacing w:val="-4"/>
          <w:sz w:val="24"/>
        </w:rPr>
        <w:t xml:space="preserve"> </w:t>
      </w:r>
      <w:r>
        <w:rPr>
          <w:sz w:val="24"/>
        </w:rPr>
        <w:t>iterative</w:t>
      </w:r>
      <w:r>
        <w:rPr>
          <w:spacing w:val="-2"/>
          <w:sz w:val="24"/>
        </w:rPr>
        <w:t xml:space="preserve"> </w:t>
      </w:r>
      <w:r>
        <w:rPr>
          <w:sz w:val="24"/>
        </w:rPr>
        <w:t>in</w:t>
      </w:r>
      <w:r>
        <w:rPr>
          <w:spacing w:val="-2"/>
          <w:sz w:val="24"/>
        </w:rPr>
        <w:t xml:space="preserve"> </w:t>
      </w:r>
      <w:r>
        <w:rPr>
          <w:sz w:val="24"/>
        </w:rPr>
        <w:t>nature, with</w:t>
      </w:r>
      <w:r>
        <w:rPr>
          <w:spacing w:val="-2"/>
          <w:sz w:val="24"/>
        </w:rPr>
        <w:t xml:space="preserve"> </w:t>
      </w:r>
      <w:r>
        <w:rPr>
          <w:sz w:val="24"/>
        </w:rPr>
        <w:t>a</w:t>
      </w:r>
      <w:r>
        <w:rPr>
          <w:spacing w:val="-3"/>
          <w:sz w:val="24"/>
        </w:rPr>
        <w:t xml:space="preserve"> </w:t>
      </w:r>
      <w:r>
        <w:rPr>
          <w:sz w:val="24"/>
        </w:rPr>
        <w:t>strong</w:t>
      </w:r>
      <w:r>
        <w:rPr>
          <w:spacing w:val="-2"/>
          <w:sz w:val="24"/>
        </w:rPr>
        <w:t xml:space="preserve"> </w:t>
      </w:r>
      <w:r>
        <w:rPr>
          <w:sz w:val="24"/>
        </w:rPr>
        <w:t>emphasis</w:t>
      </w:r>
      <w:r>
        <w:rPr>
          <w:spacing w:val="-3"/>
          <w:sz w:val="24"/>
        </w:rPr>
        <w:t xml:space="preserve"> </w:t>
      </w:r>
      <w:r>
        <w:rPr>
          <w:sz w:val="24"/>
        </w:rPr>
        <w:t>on</w:t>
      </w:r>
      <w:r>
        <w:rPr>
          <w:spacing w:val="-2"/>
          <w:sz w:val="24"/>
        </w:rPr>
        <w:t xml:space="preserve"> </w:t>
      </w:r>
      <w:r>
        <w:rPr>
          <w:sz w:val="24"/>
        </w:rPr>
        <w:t>consultation at all stages of the process. Feedback and input are constantly evaluated and incorporated in developing Standards and guidance.</w:t>
      </w:r>
    </w:p>
    <w:p w14:paraId="1E805797" w14:textId="77777777" w:rsidR="00AA4A02" w:rsidRDefault="00960F31">
      <w:pPr>
        <w:pStyle w:val="ListParagraph"/>
        <w:numPr>
          <w:ilvl w:val="1"/>
          <w:numId w:val="54"/>
        </w:numPr>
        <w:tabs>
          <w:tab w:val="left" w:pos="852"/>
        </w:tabs>
        <w:spacing w:before="234" w:line="242" w:lineRule="auto"/>
        <w:ind w:right="419"/>
        <w:rPr>
          <w:sz w:val="24"/>
        </w:rPr>
      </w:pPr>
      <w:r>
        <w:rPr>
          <w:sz w:val="24"/>
        </w:rPr>
        <w:t>The</w:t>
      </w:r>
      <w:r>
        <w:rPr>
          <w:spacing w:val="-3"/>
          <w:sz w:val="24"/>
        </w:rPr>
        <w:t xml:space="preserve"> </w:t>
      </w:r>
      <w:r>
        <w:rPr>
          <w:sz w:val="24"/>
        </w:rPr>
        <w:t>AASB’s</w:t>
      </w:r>
      <w:r>
        <w:rPr>
          <w:spacing w:val="-3"/>
          <w:sz w:val="24"/>
        </w:rPr>
        <w:t xml:space="preserve"> </w:t>
      </w:r>
      <w:r>
        <w:rPr>
          <w:sz w:val="24"/>
        </w:rPr>
        <w:t>key</w:t>
      </w:r>
      <w:r>
        <w:rPr>
          <w:spacing w:val="-2"/>
          <w:sz w:val="24"/>
        </w:rPr>
        <w:t xml:space="preserve"> </w:t>
      </w:r>
      <w:r>
        <w:rPr>
          <w:sz w:val="24"/>
        </w:rPr>
        <w:t>stakeholders</w:t>
      </w:r>
      <w:r>
        <w:rPr>
          <w:spacing w:val="-3"/>
          <w:sz w:val="24"/>
        </w:rPr>
        <w:t xml:space="preserve"> </w:t>
      </w:r>
      <w:r>
        <w:rPr>
          <w:sz w:val="24"/>
        </w:rPr>
        <w:t>and</w:t>
      </w:r>
      <w:r>
        <w:rPr>
          <w:spacing w:val="-2"/>
          <w:sz w:val="24"/>
        </w:rPr>
        <w:t xml:space="preserve"> </w:t>
      </w:r>
      <w:r>
        <w:rPr>
          <w:sz w:val="24"/>
        </w:rPr>
        <w:t>their</w:t>
      </w:r>
      <w:r>
        <w:rPr>
          <w:spacing w:val="-5"/>
          <w:sz w:val="24"/>
        </w:rPr>
        <w:t xml:space="preserve"> </w:t>
      </w:r>
      <w:r>
        <w:rPr>
          <w:sz w:val="24"/>
        </w:rPr>
        <w:t>roles</w:t>
      </w:r>
      <w:r>
        <w:rPr>
          <w:spacing w:val="-4"/>
          <w:sz w:val="24"/>
        </w:rPr>
        <w:t xml:space="preserve"> </w:t>
      </w:r>
      <w:r>
        <w:rPr>
          <w:sz w:val="24"/>
        </w:rPr>
        <w:t>and</w:t>
      </w:r>
      <w:r>
        <w:rPr>
          <w:spacing w:val="-7"/>
          <w:sz w:val="24"/>
        </w:rPr>
        <w:t xml:space="preserve"> </w:t>
      </w:r>
      <w:r>
        <w:rPr>
          <w:sz w:val="24"/>
        </w:rPr>
        <w:t>responsibilities</w:t>
      </w:r>
      <w:r>
        <w:rPr>
          <w:spacing w:val="-3"/>
          <w:sz w:val="24"/>
        </w:rPr>
        <w:t xml:space="preserve"> </w:t>
      </w:r>
      <w:r>
        <w:rPr>
          <w:sz w:val="24"/>
        </w:rPr>
        <w:t>in</w:t>
      </w:r>
      <w:r>
        <w:rPr>
          <w:spacing w:val="-2"/>
          <w:sz w:val="24"/>
        </w:rPr>
        <w:t xml:space="preserve"> </w:t>
      </w:r>
      <w:r>
        <w:rPr>
          <w:sz w:val="24"/>
        </w:rPr>
        <w:t>financial</w:t>
      </w:r>
      <w:r>
        <w:rPr>
          <w:spacing w:val="-2"/>
          <w:sz w:val="24"/>
        </w:rPr>
        <w:t xml:space="preserve"> </w:t>
      </w:r>
      <w:r>
        <w:rPr>
          <w:sz w:val="24"/>
        </w:rPr>
        <w:t>reporting are set out below:</w:t>
      </w:r>
    </w:p>
    <w:p w14:paraId="1E805798" w14:textId="77777777" w:rsidR="00AA4A02" w:rsidRDefault="00960F31">
      <w:pPr>
        <w:pStyle w:val="BodyText"/>
        <w:spacing w:before="166"/>
        <w:rPr>
          <w:sz w:val="20"/>
        </w:rPr>
      </w:pPr>
      <w:r>
        <w:rPr>
          <w:noProof/>
          <w:sz w:val="20"/>
        </w:rPr>
        <w:drawing>
          <wp:anchor distT="0" distB="0" distL="0" distR="0" simplePos="0" relativeHeight="487593984" behindDoc="1" locked="0" layoutInCell="1" allowOverlap="1" wp14:anchorId="1E805F2B" wp14:editId="1E805F2C">
            <wp:simplePos x="0" y="0"/>
            <wp:positionH relativeFrom="page">
              <wp:posOffset>1032823</wp:posOffset>
            </wp:positionH>
            <wp:positionV relativeFrom="paragraph">
              <wp:posOffset>267301</wp:posOffset>
            </wp:positionV>
            <wp:extent cx="5854623" cy="3769804"/>
            <wp:effectExtent l="0" t="0" r="0" b="0"/>
            <wp:wrapTopAndBottom/>
            <wp:docPr id="31" name="Image 31" descr="Key stakeholders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Key stakeholders diagram."/>
                    <pic:cNvPicPr/>
                  </pic:nvPicPr>
                  <pic:blipFill>
                    <a:blip r:embed="rId35" cstate="print"/>
                    <a:stretch>
                      <a:fillRect/>
                    </a:stretch>
                  </pic:blipFill>
                  <pic:spPr>
                    <a:xfrm>
                      <a:off x="0" y="0"/>
                      <a:ext cx="5854623" cy="3769804"/>
                    </a:xfrm>
                    <a:prstGeom prst="rect">
                      <a:avLst/>
                    </a:prstGeom>
                  </pic:spPr>
                </pic:pic>
              </a:graphicData>
            </a:graphic>
          </wp:anchor>
        </w:drawing>
      </w:r>
    </w:p>
    <w:p w14:paraId="1E805799" w14:textId="77777777" w:rsidR="00AA4A02" w:rsidRDefault="00AA4A02">
      <w:pPr>
        <w:pStyle w:val="BodyText"/>
        <w:spacing w:before="184"/>
        <w:rPr>
          <w:sz w:val="24"/>
        </w:rPr>
      </w:pPr>
    </w:p>
    <w:p w14:paraId="1E80579A" w14:textId="77777777" w:rsidR="00AA4A02" w:rsidRDefault="00960F31">
      <w:pPr>
        <w:pStyle w:val="Heading9"/>
        <w:spacing w:before="0"/>
      </w:pPr>
      <w:r>
        <w:t xml:space="preserve">Consultation </w:t>
      </w:r>
      <w:r>
        <w:rPr>
          <w:spacing w:val="-2"/>
        </w:rPr>
        <w:t>processes</w:t>
      </w:r>
    </w:p>
    <w:p w14:paraId="1E80579B" w14:textId="77777777" w:rsidR="00AA4A02" w:rsidRDefault="00960F31">
      <w:pPr>
        <w:pStyle w:val="ListParagraph"/>
        <w:numPr>
          <w:ilvl w:val="2"/>
          <w:numId w:val="52"/>
        </w:numPr>
        <w:tabs>
          <w:tab w:val="left" w:pos="852"/>
        </w:tabs>
        <w:spacing w:before="233" w:line="247" w:lineRule="auto"/>
        <w:ind w:right="740"/>
        <w:rPr>
          <w:sz w:val="24"/>
        </w:rPr>
      </w:pPr>
      <w:r>
        <w:rPr>
          <w:sz w:val="24"/>
        </w:rPr>
        <w:t>The</w:t>
      </w:r>
      <w:r>
        <w:rPr>
          <w:spacing w:val="-4"/>
          <w:sz w:val="24"/>
        </w:rPr>
        <w:t xml:space="preserve"> </w:t>
      </w:r>
      <w:r>
        <w:rPr>
          <w:sz w:val="24"/>
        </w:rPr>
        <w:t>AASB</w:t>
      </w:r>
      <w:r>
        <w:rPr>
          <w:spacing w:val="-4"/>
          <w:sz w:val="24"/>
        </w:rPr>
        <w:t xml:space="preserve"> </w:t>
      </w:r>
      <w:r>
        <w:rPr>
          <w:sz w:val="24"/>
        </w:rPr>
        <w:t>encourages</w:t>
      </w:r>
      <w:r>
        <w:rPr>
          <w:spacing w:val="-4"/>
          <w:sz w:val="24"/>
        </w:rPr>
        <w:t xml:space="preserve"> </w:t>
      </w:r>
      <w:r>
        <w:rPr>
          <w:sz w:val="24"/>
        </w:rPr>
        <w:t>stakeholders</w:t>
      </w:r>
      <w:r>
        <w:rPr>
          <w:spacing w:val="-4"/>
          <w:sz w:val="24"/>
        </w:rPr>
        <w:t xml:space="preserve"> </w:t>
      </w:r>
      <w:r>
        <w:rPr>
          <w:sz w:val="24"/>
        </w:rPr>
        <w:t>to</w:t>
      </w:r>
      <w:r>
        <w:rPr>
          <w:spacing w:val="-3"/>
          <w:sz w:val="24"/>
        </w:rPr>
        <w:t xml:space="preserve"> </w:t>
      </w:r>
      <w:r>
        <w:rPr>
          <w:sz w:val="24"/>
        </w:rPr>
        <w:t>participate</w:t>
      </w:r>
      <w:r>
        <w:rPr>
          <w:spacing w:val="-7"/>
          <w:sz w:val="24"/>
        </w:rPr>
        <w:t xml:space="preserve"> </w:t>
      </w:r>
      <w:r>
        <w:rPr>
          <w:sz w:val="24"/>
        </w:rPr>
        <w:t>actively</w:t>
      </w:r>
      <w:r>
        <w:rPr>
          <w:spacing w:val="-2"/>
          <w:sz w:val="24"/>
        </w:rPr>
        <w:t xml:space="preserve"> </w:t>
      </w:r>
      <w:r>
        <w:rPr>
          <w:sz w:val="24"/>
        </w:rPr>
        <w:t>throughout</w:t>
      </w:r>
      <w:r>
        <w:rPr>
          <w:spacing w:val="-2"/>
          <w:sz w:val="24"/>
        </w:rPr>
        <w:t xml:space="preserve"> </w:t>
      </w:r>
      <w:r>
        <w:rPr>
          <w:sz w:val="24"/>
        </w:rPr>
        <w:t>the</w:t>
      </w:r>
      <w:r>
        <w:rPr>
          <w:spacing w:val="-7"/>
          <w:sz w:val="24"/>
        </w:rPr>
        <w:t xml:space="preserve"> </w:t>
      </w:r>
      <w:r>
        <w:rPr>
          <w:sz w:val="24"/>
        </w:rPr>
        <w:t>standard-setting process by:</w:t>
      </w:r>
    </w:p>
    <w:p w14:paraId="1E80579C" w14:textId="77777777" w:rsidR="00AA4A02" w:rsidRDefault="00960F31">
      <w:pPr>
        <w:pStyle w:val="ListParagraph"/>
        <w:numPr>
          <w:ilvl w:val="3"/>
          <w:numId w:val="52"/>
        </w:numPr>
        <w:tabs>
          <w:tab w:val="left" w:pos="1558"/>
        </w:tabs>
        <w:spacing w:before="224" w:line="247" w:lineRule="auto"/>
        <w:ind w:right="883"/>
        <w:rPr>
          <w:sz w:val="24"/>
        </w:rPr>
      </w:pPr>
      <w:r>
        <w:rPr>
          <w:sz w:val="24"/>
        </w:rPr>
        <w:t>meeting</w:t>
      </w:r>
      <w:r>
        <w:rPr>
          <w:spacing w:val="-4"/>
          <w:sz w:val="24"/>
        </w:rPr>
        <w:t xml:space="preserve"> </w:t>
      </w:r>
      <w:r>
        <w:rPr>
          <w:sz w:val="24"/>
        </w:rPr>
        <w:t>with</w:t>
      </w:r>
      <w:r>
        <w:rPr>
          <w:spacing w:val="-4"/>
          <w:sz w:val="24"/>
        </w:rPr>
        <w:t xml:space="preserve"> </w:t>
      </w:r>
      <w:r>
        <w:rPr>
          <w:sz w:val="24"/>
        </w:rPr>
        <w:t>interested</w:t>
      </w:r>
      <w:r>
        <w:rPr>
          <w:spacing w:val="-4"/>
          <w:sz w:val="24"/>
        </w:rPr>
        <w:t xml:space="preserve"> </w:t>
      </w:r>
      <w:r>
        <w:rPr>
          <w:sz w:val="24"/>
        </w:rPr>
        <w:t>individuals</w:t>
      </w:r>
      <w:r>
        <w:rPr>
          <w:spacing w:val="-7"/>
          <w:sz w:val="24"/>
        </w:rPr>
        <w:t xml:space="preserve"> </w:t>
      </w:r>
      <w:r>
        <w:rPr>
          <w:sz w:val="24"/>
        </w:rPr>
        <w:t>and</w:t>
      </w:r>
      <w:r>
        <w:rPr>
          <w:spacing w:val="-5"/>
          <w:sz w:val="24"/>
        </w:rPr>
        <w:t xml:space="preserve"> </w:t>
      </w:r>
      <w:r>
        <w:rPr>
          <w:sz w:val="24"/>
        </w:rPr>
        <w:t>representatives</w:t>
      </w:r>
      <w:r>
        <w:rPr>
          <w:spacing w:val="-6"/>
          <w:sz w:val="24"/>
        </w:rPr>
        <w:t xml:space="preserve"> </w:t>
      </w:r>
      <w:r>
        <w:rPr>
          <w:sz w:val="24"/>
        </w:rPr>
        <w:t>of</w:t>
      </w:r>
      <w:r>
        <w:rPr>
          <w:spacing w:val="-3"/>
          <w:sz w:val="24"/>
        </w:rPr>
        <w:t xml:space="preserve"> </w:t>
      </w:r>
      <w:r>
        <w:rPr>
          <w:sz w:val="24"/>
        </w:rPr>
        <w:t>organisations</w:t>
      </w:r>
      <w:r>
        <w:rPr>
          <w:spacing w:val="-6"/>
          <w:sz w:val="24"/>
        </w:rPr>
        <w:t xml:space="preserve"> </w:t>
      </w:r>
      <w:r>
        <w:rPr>
          <w:sz w:val="24"/>
        </w:rPr>
        <w:t>on technical issues;</w:t>
      </w:r>
    </w:p>
    <w:p w14:paraId="1E80579D" w14:textId="77777777" w:rsidR="00AA4A02" w:rsidRDefault="00960F31">
      <w:pPr>
        <w:pStyle w:val="ListParagraph"/>
        <w:numPr>
          <w:ilvl w:val="3"/>
          <w:numId w:val="52"/>
        </w:numPr>
        <w:tabs>
          <w:tab w:val="left" w:pos="1558"/>
        </w:tabs>
        <w:spacing w:before="224" w:line="242" w:lineRule="auto"/>
        <w:ind w:right="499"/>
        <w:rPr>
          <w:sz w:val="24"/>
        </w:rPr>
      </w:pPr>
      <w:r>
        <w:rPr>
          <w:sz w:val="24"/>
        </w:rPr>
        <w:t>issuing media and information releases relating to its activities, including an alert after each meeting to keep stakeholders informed of the AASB’s deliberations, and</w:t>
      </w:r>
      <w:r>
        <w:rPr>
          <w:spacing w:val="-3"/>
          <w:sz w:val="24"/>
        </w:rPr>
        <w:t xml:space="preserve"> </w:t>
      </w:r>
      <w:r>
        <w:rPr>
          <w:sz w:val="24"/>
        </w:rPr>
        <w:t>a</w:t>
      </w:r>
      <w:r>
        <w:rPr>
          <w:spacing w:val="-4"/>
          <w:sz w:val="24"/>
        </w:rPr>
        <w:t xml:space="preserve"> </w:t>
      </w:r>
      <w:r>
        <w:rPr>
          <w:sz w:val="24"/>
        </w:rPr>
        <w:t>periodic</w:t>
      </w:r>
      <w:r>
        <w:rPr>
          <w:spacing w:val="-3"/>
          <w:sz w:val="24"/>
        </w:rPr>
        <w:t xml:space="preserve"> </w:t>
      </w:r>
      <w:r>
        <w:rPr>
          <w:sz w:val="24"/>
        </w:rPr>
        <w:t>newsletter</w:t>
      </w:r>
      <w:r>
        <w:rPr>
          <w:spacing w:val="-6"/>
          <w:sz w:val="24"/>
        </w:rPr>
        <w:t xml:space="preserve"> </w:t>
      </w:r>
      <w:r>
        <w:rPr>
          <w:sz w:val="24"/>
        </w:rPr>
        <w:t>reporting</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AASB’s</w:t>
      </w:r>
      <w:r>
        <w:rPr>
          <w:spacing w:val="-4"/>
          <w:sz w:val="24"/>
        </w:rPr>
        <w:t xml:space="preserve"> </w:t>
      </w:r>
      <w:r>
        <w:rPr>
          <w:sz w:val="24"/>
        </w:rPr>
        <w:t>activities</w:t>
      </w:r>
      <w:r>
        <w:rPr>
          <w:spacing w:val="-4"/>
          <w:sz w:val="24"/>
        </w:rPr>
        <w:t xml:space="preserve"> </w:t>
      </w:r>
      <w:r>
        <w:rPr>
          <w:sz w:val="24"/>
        </w:rPr>
        <w:t>and recent developments;</w:t>
      </w:r>
    </w:p>
    <w:p w14:paraId="1E80579E"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79F" w14:textId="77777777" w:rsidR="00AA4A02" w:rsidRDefault="00960F31">
      <w:pPr>
        <w:pStyle w:val="ListParagraph"/>
        <w:numPr>
          <w:ilvl w:val="3"/>
          <w:numId w:val="52"/>
        </w:numPr>
        <w:tabs>
          <w:tab w:val="left" w:pos="1558"/>
        </w:tabs>
        <w:spacing w:before="80" w:line="242" w:lineRule="auto"/>
        <w:ind w:right="488"/>
        <w:rPr>
          <w:sz w:val="24"/>
        </w:rPr>
      </w:pPr>
      <w:r>
        <w:rPr>
          <w:sz w:val="24"/>
        </w:rPr>
        <w:lastRenderedPageBreak/>
        <w:t>maintaining a website on which the AASB publishes Exposure Drafts and other</w:t>
      </w:r>
      <w:r>
        <w:rPr>
          <w:spacing w:val="-4"/>
          <w:sz w:val="24"/>
        </w:rPr>
        <w:t xml:space="preserve"> </w:t>
      </w:r>
      <w:r>
        <w:rPr>
          <w:sz w:val="24"/>
        </w:rPr>
        <w:t>consultative</w:t>
      </w:r>
      <w:r>
        <w:rPr>
          <w:spacing w:val="-5"/>
          <w:sz w:val="24"/>
        </w:rPr>
        <w:t xml:space="preserve"> </w:t>
      </w:r>
      <w:r>
        <w:rPr>
          <w:sz w:val="24"/>
        </w:rPr>
        <w:t>documents,</w:t>
      </w:r>
      <w:r>
        <w:rPr>
          <w:spacing w:val="-3"/>
          <w:sz w:val="24"/>
        </w:rPr>
        <w:t xml:space="preserve"> </w:t>
      </w:r>
      <w:r>
        <w:rPr>
          <w:sz w:val="24"/>
        </w:rPr>
        <w:t>Standards</w:t>
      </w:r>
      <w:r>
        <w:rPr>
          <w:spacing w:val="-6"/>
          <w:sz w:val="24"/>
        </w:rPr>
        <w:t xml:space="preserve"> </w:t>
      </w:r>
      <w:r>
        <w:rPr>
          <w:sz w:val="24"/>
        </w:rPr>
        <w:t>and</w:t>
      </w:r>
      <w:r>
        <w:rPr>
          <w:spacing w:val="-10"/>
          <w:sz w:val="24"/>
        </w:rPr>
        <w:t xml:space="preserve"> </w:t>
      </w:r>
      <w:r>
        <w:rPr>
          <w:sz w:val="24"/>
        </w:rPr>
        <w:t>Interpretations,</w:t>
      </w:r>
      <w:r>
        <w:rPr>
          <w:spacing w:val="-2"/>
          <w:sz w:val="24"/>
        </w:rPr>
        <w:t xml:space="preserve"> </w:t>
      </w:r>
      <w:r>
        <w:rPr>
          <w:sz w:val="24"/>
        </w:rPr>
        <w:t>approved</w:t>
      </w:r>
      <w:r>
        <w:rPr>
          <w:spacing w:val="-5"/>
          <w:sz w:val="24"/>
        </w:rPr>
        <w:t xml:space="preserve"> </w:t>
      </w:r>
      <w:r>
        <w:rPr>
          <w:sz w:val="24"/>
        </w:rPr>
        <w:t>minutes of its meetings and selected Board agenda papers; and</w:t>
      </w:r>
    </w:p>
    <w:p w14:paraId="1E8057A0" w14:textId="77777777" w:rsidR="00AA4A02" w:rsidRDefault="00960F31">
      <w:pPr>
        <w:pStyle w:val="ListParagraph"/>
        <w:numPr>
          <w:ilvl w:val="3"/>
          <w:numId w:val="52"/>
        </w:numPr>
        <w:tabs>
          <w:tab w:val="left" w:pos="1558"/>
        </w:tabs>
        <w:spacing w:before="234"/>
        <w:ind w:right="621"/>
        <w:rPr>
          <w:sz w:val="24"/>
        </w:rPr>
      </w:pPr>
      <w:r>
        <w:rPr>
          <w:sz w:val="24"/>
        </w:rPr>
        <w:t xml:space="preserve">publishing on its </w:t>
      </w:r>
      <w:hyperlink r:id="rId36">
        <w:r>
          <w:rPr>
            <w:sz w:val="24"/>
            <w:u w:val="single" w:color="0000FF"/>
          </w:rPr>
          <w:t>website</w:t>
        </w:r>
      </w:hyperlink>
      <w:r>
        <w:rPr>
          <w:sz w:val="24"/>
        </w:rPr>
        <w:t xml:space="preserve"> its strategy, corporate plan, work program and priorities,</w:t>
      </w:r>
      <w:r>
        <w:rPr>
          <w:spacing w:val="-4"/>
          <w:sz w:val="24"/>
        </w:rPr>
        <w:t xml:space="preserve"> </w:t>
      </w:r>
      <w:r>
        <w:rPr>
          <w:sz w:val="24"/>
        </w:rPr>
        <w:t>and</w:t>
      </w:r>
      <w:r>
        <w:rPr>
          <w:spacing w:val="-2"/>
          <w:sz w:val="24"/>
        </w:rPr>
        <w:t xml:space="preserve"> </w:t>
      </w:r>
      <w:r>
        <w:rPr>
          <w:sz w:val="24"/>
        </w:rPr>
        <w:t>key</w:t>
      </w:r>
      <w:r>
        <w:rPr>
          <w:spacing w:val="-3"/>
          <w:sz w:val="24"/>
        </w:rPr>
        <w:t xml:space="preserve"> </w:t>
      </w:r>
      <w:r>
        <w:rPr>
          <w:sz w:val="24"/>
        </w:rPr>
        <w:t>policy</w:t>
      </w:r>
      <w:r>
        <w:rPr>
          <w:spacing w:val="-6"/>
          <w:sz w:val="24"/>
        </w:rPr>
        <w:t xml:space="preserve"> </w:t>
      </w:r>
      <w:r>
        <w:rPr>
          <w:sz w:val="24"/>
        </w:rPr>
        <w:t>documents</w:t>
      </w:r>
      <w:r>
        <w:rPr>
          <w:spacing w:val="-5"/>
          <w:sz w:val="24"/>
        </w:rPr>
        <w:t xml:space="preserve"> </w:t>
      </w:r>
      <w:r>
        <w:rPr>
          <w:sz w:val="24"/>
        </w:rPr>
        <w:t>such</w:t>
      </w:r>
      <w:r>
        <w:rPr>
          <w:spacing w:val="-3"/>
          <w:sz w:val="24"/>
        </w:rPr>
        <w:t xml:space="preserve"> </w:t>
      </w:r>
      <w:r>
        <w:rPr>
          <w:sz w:val="24"/>
        </w:rPr>
        <w:t>as</w:t>
      </w:r>
      <w:r>
        <w:rPr>
          <w:spacing w:val="-5"/>
          <w:sz w:val="24"/>
        </w:rPr>
        <w:t xml:space="preserve"> </w:t>
      </w:r>
      <w:r>
        <w:rPr>
          <w:sz w:val="24"/>
        </w:rPr>
        <w:t>the</w:t>
      </w:r>
      <w:r>
        <w:rPr>
          <w:spacing w:val="-3"/>
          <w:sz w:val="24"/>
        </w:rPr>
        <w:t xml:space="preserve"> </w:t>
      </w:r>
      <w:r>
        <w:rPr>
          <w:sz w:val="24"/>
        </w:rPr>
        <w:t>For-Profit</w:t>
      </w:r>
      <w:r>
        <w:rPr>
          <w:spacing w:val="-1"/>
          <w:sz w:val="24"/>
        </w:rPr>
        <w:t xml:space="preserve"> </w:t>
      </w:r>
      <w:r>
        <w:rPr>
          <w:sz w:val="24"/>
        </w:rPr>
        <w:t>and</w:t>
      </w:r>
      <w:r>
        <w:rPr>
          <w:spacing w:val="-6"/>
          <w:sz w:val="24"/>
        </w:rPr>
        <w:t xml:space="preserve"> </w:t>
      </w:r>
      <w:r>
        <w:rPr>
          <w:sz w:val="24"/>
        </w:rPr>
        <w:t>Not-for-Profit Standard-Setting Frameworks, its Approach to IPSAS, the AASB Evidence-Informed Standard-Setting Framework and the AASB Education Strategy.</w:t>
      </w:r>
    </w:p>
    <w:p w14:paraId="1E8057A1" w14:textId="77777777" w:rsidR="00AA4A02" w:rsidRDefault="00960F31">
      <w:pPr>
        <w:pStyle w:val="ListParagraph"/>
        <w:numPr>
          <w:ilvl w:val="2"/>
          <w:numId w:val="52"/>
        </w:numPr>
        <w:tabs>
          <w:tab w:val="left" w:pos="852"/>
        </w:tabs>
        <w:spacing w:before="246"/>
        <w:rPr>
          <w:sz w:val="24"/>
        </w:rPr>
      </w:pPr>
      <w:r>
        <w:rPr>
          <w:sz w:val="24"/>
        </w:rPr>
        <w:t>In</w:t>
      </w:r>
      <w:r>
        <w:rPr>
          <w:spacing w:val="-2"/>
          <w:sz w:val="24"/>
        </w:rPr>
        <w:t xml:space="preserve"> </w:t>
      </w:r>
      <w:r>
        <w:rPr>
          <w:sz w:val="24"/>
        </w:rPr>
        <w:t>addition,</w:t>
      </w:r>
      <w:r>
        <w:rPr>
          <w:spacing w:val="3"/>
          <w:sz w:val="24"/>
        </w:rPr>
        <w:t xml:space="preserve"> </w:t>
      </w:r>
      <w:r>
        <w:rPr>
          <w:sz w:val="24"/>
        </w:rPr>
        <w:t>the AASB</w:t>
      </w:r>
      <w:r>
        <w:rPr>
          <w:spacing w:val="-6"/>
          <w:sz w:val="24"/>
        </w:rPr>
        <w:t xml:space="preserve"> </w:t>
      </w:r>
      <w:r>
        <w:rPr>
          <w:sz w:val="24"/>
        </w:rPr>
        <w:t>undertakes</w:t>
      </w:r>
      <w:r>
        <w:rPr>
          <w:spacing w:val="-2"/>
          <w:sz w:val="24"/>
        </w:rPr>
        <w:t xml:space="preserve"> </w:t>
      </w:r>
      <w:r>
        <w:rPr>
          <w:sz w:val="24"/>
        </w:rPr>
        <w:t>the following</w:t>
      </w:r>
      <w:r>
        <w:rPr>
          <w:spacing w:val="1"/>
          <w:sz w:val="24"/>
        </w:rPr>
        <w:t xml:space="preserve"> </w:t>
      </w:r>
      <w:r>
        <w:rPr>
          <w:sz w:val="24"/>
        </w:rPr>
        <w:t>types</w:t>
      </w:r>
      <w:r>
        <w:rPr>
          <w:spacing w:val="-2"/>
          <w:sz w:val="24"/>
        </w:rPr>
        <w:t xml:space="preserve"> </w:t>
      </w:r>
      <w:r>
        <w:rPr>
          <w:sz w:val="24"/>
        </w:rPr>
        <w:t>of</w:t>
      </w:r>
      <w:r>
        <w:rPr>
          <w:spacing w:val="2"/>
          <w:sz w:val="24"/>
        </w:rPr>
        <w:t xml:space="preserve"> </w:t>
      </w:r>
      <w:r>
        <w:rPr>
          <w:sz w:val="24"/>
        </w:rPr>
        <w:t>targeted</w:t>
      </w:r>
      <w:r>
        <w:rPr>
          <w:spacing w:val="1"/>
          <w:sz w:val="24"/>
        </w:rPr>
        <w:t xml:space="preserve"> </w:t>
      </w:r>
      <w:r>
        <w:rPr>
          <w:spacing w:val="-2"/>
          <w:sz w:val="24"/>
        </w:rPr>
        <w:t>consultation:</w:t>
      </w:r>
    </w:p>
    <w:p w14:paraId="1E8057A2" w14:textId="77777777" w:rsidR="00AA4A02" w:rsidRDefault="00960F31">
      <w:pPr>
        <w:pStyle w:val="ListParagraph"/>
        <w:numPr>
          <w:ilvl w:val="3"/>
          <w:numId w:val="52"/>
        </w:numPr>
        <w:tabs>
          <w:tab w:val="left" w:pos="1558"/>
        </w:tabs>
        <w:spacing w:before="232" w:line="242" w:lineRule="auto"/>
        <w:ind w:right="505"/>
        <w:rPr>
          <w:sz w:val="24"/>
        </w:rPr>
      </w:pPr>
      <w:r>
        <w:rPr>
          <w:sz w:val="24"/>
        </w:rPr>
        <w:t>Project</w:t>
      </w:r>
      <w:r>
        <w:rPr>
          <w:spacing w:val="-3"/>
          <w:sz w:val="24"/>
        </w:rPr>
        <w:t xml:space="preserve"> </w:t>
      </w:r>
      <w:r>
        <w:rPr>
          <w:sz w:val="24"/>
        </w:rPr>
        <w:t>Advisory</w:t>
      </w:r>
      <w:r>
        <w:rPr>
          <w:spacing w:val="-7"/>
          <w:sz w:val="24"/>
        </w:rPr>
        <w:t xml:space="preserve"> </w:t>
      </w:r>
      <w:r>
        <w:rPr>
          <w:sz w:val="24"/>
        </w:rPr>
        <w:t>Panels,</w:t>
      </w:r>
      <w:r>
        <w:rPr>
          <w:spacing w:val="-2"/>
          <w:sz w:val="24"/>
        </w:rPr>
        <w:t xml:space="preserve"> </w:t>
      </w:r>
      <w:r>
        <w:rPr>
          <w:sz w:val="24"/>
        </w:rPr>
        <w:t>Implementation</w:t>
      </w:r>
      <w:r>
        <w:rPr>
          <w:spacing w:val="-6"/>
          <w:sz w:val="24"/>
        </w:rPr>
        <w:t xml:space="preserve"> </w:t>
      </w:r>
      <w:r>
        <w:rPr>
          <w:sz w:val="24"/>
        </w:rPr>
        <w:t>or</w:t>
      </w:r>
      <w:r>
        <w:rPr>
          <w:spacing w:val="-6"/>
          <w:sz w:val="24"/>
        </w:rPr>
        <w:t xml:space="preserve"> </w:t>
      </w:r>
      <w:r>
        <w:rPr>
          <w:sz w:val="24"/>
        </w:rPr>
        <w:t>Transition</w:t>
      </w:r>
      <w:r>
        <w:rPr>
          <w:spacing w:val="-3"/>
          <w:sz w:val="24"/>
        </w:rPr>
        <w:t xml:space="preserve"> </w:t>
      </w:r>
      <w:r>
        <w:rPr>
          <w:sz w:val="24"/>
        </w:rPr>
        <w:t>Resource</w:t>
      </w:r>
      <w:r>
        <w:rPr>
          <w:spacing w:val="-4"/>
          <w:sz w:val="24"/>
        </w:rPr>
        <w:t xml:space="preserve"> </w:t>
      </w:r>
      <w:r>
        <w:rPr>
          <w:sz w:val="24"/>
        </w:rPr>
        <w:t>Groups,</w:t>
      </w:r>
      <w:r>
        <w:rPr>
          <w:spacing w:val="-1"/>
          <w:sz w:val="24"/>
        </w:rPr>
        <w:t xml:space="preserve"> </w:t>
      </w:r>
      <w:r>
        <w:rPr>
          <w:sz w:val="24"/>
        </w:rPr>
        <w:t>User Advisory</w:t>
      </w:r>
      <w:r>
        <w:rPr>
          <w:spacing w:val="-3"/>
          <w:sz w:val="24"/>
        </w:rPr>
        <w:t xml:space="preserve"> </w:t>
      </w:r>
      <w:r>
        <w:rPr>
          <w:sz w:val="24"/>
        </w:rPr>
        <w:t>Committee</w:t>
      </w:r>
      <w:r>
        <w:rPr>
          <w:spacing w:val="-4"/>
          <w:sz w:val="24"/>
        </w:rPr>
        <w:t xml:space="preserve"> </w:t>
      </w:r>
      <w:r>
        <w:rPr>
          <w:sz w:val="24"/>
        </w:rPr>
        <w:t>and</w:t>
      </w:r>
      <w:r>
        <w:rPr>
          <w:spacing w:val="-4"/>
          <w:sz w:val="24"/>
        </w:rPr>
        <w:t xml:space="preserve"> </w:t>
      </w:r>
      <w:r>
        <w:rPr>
          <w:sz w:val="24"/>
        </w:rPr>
        <w:t>Academic</w:t>
      </w:r>
      <w:r>
        <w:rPr>
          <w:spacing w:val="-4"/>
          <w:sz w:val="24"/>
        </w:rPr>
        <w:t xml:space="preserve"> </w:t>
      </w:r>
      <w:r>
        <w:rPr>
          <w:sz w:val="24"/>
        </w:rPr>
        <w:t>Advisory</w:t>
      </w:r>
      <w:r>
        <w:rPr>
          <w:spacing w:val="-9"/>
          <w:sz w:val="24"/>
        </w:rPr>
        <w:t xml:space="preserve"> </w:t>
      </w:r>
      <w:r>
        <w:rPr>
          <w:sz w:val="24"/>
        </w:rPr>
        <w:t>Panel</w:t>
      </w:r>
      <w:r>
        <w:rPr>
          <w:spacing w:val="-3"/>
          <w:sz w:val="24"/>
        </w:rPr>
        <w:t xml:space="preserve"> </w:t>
      </w:r>
      <w:r>
        <w:rPr>
          <w:sz w:val="24"/>
        </w:rPr>
        <w:t>comprising</w:t>
      </w:r>
      <w:r>
        <w:rPr>
          <w:spacing w:val="-3"/>
          <w:sz w:val="24"/>
        </w:rPr>
        <w:t xml:space="preserve"> </w:t>
      </w:r>
      <w:r>
        <w:rPr>
          <w:sz w:val="24"/>
        </w:rPr>
        <w:t>subject</w:t>
      </w:r>
      <w:r>
        <w:rPr>
          <w:spacing w:val="-3"/>
          <w:sz w:val="24"/>
        </w:rPr>
        <w:t xml:space="preserve"> </w:t>
      </w:r>
      <w:r>
        <w:rPr>
          <w:sz w:val="24"/>
        </w:rPr>
        <w:t xml:space="preserve">matter experts to advise the Board on topics requiring specialist input (see paragraph </w:t>
      </w:r>
      <w:r>
        <w:rPr>
          <w:spacing w:val="-2"/>
          <w:sz w:val="24"/>
        </w:rPr>
        <w:t>8.4.4);</w:t>
      </w:r>
    </w:p>
    <w:p w14:paraId="1E8057A3" w14:textId="77777777" w:rsidR="00AA4A02" w:rsidRDefault="00960F31">
      <w:pPr>
        <w:pStyle w:val="ListParagraph"/>
        <w:numPr>
          <w:ilvl w:val="3"/>
          <w:numId w:val="52"/>
        </w:numPr>
        <w:tabs>
          <w:tab w:val="left" w:pos="1558"/>
        </w:tabs>
        <w:spacing w:before="230" w:line="247" w:lineRule="auto"/>
        <w:ind w:right="989"/>
        <w:rPr>
          <w:sz w:val="24"/>
        </w:rPr>
      </w:pPr>
      <w:r>
        <w:rPr>
          <w:sz w:val="24"/>
        </w:rPr>
        <w:t>roundtables</w:t>
      </w:r>
      <w:r>
        <w:rPr>
          <w:spacing w:val="-5"/>
          <w:sz w:val="24"/>
        </w:rPr>
        <w:t xml:space="preserve"> </w:t>
      </w:r>
      <w:r>
        <w:rPr>
          <w:sz w:val="24"/>
        </w:rPr>
        <w:t>and</w:t>
      </w:r>
      <w:r>
        <w:rPr>
          <w:spacing w:val="-4"/>
          <w:sz w:val="24"/>
        </w:rPr>
        <w:t xml:space="preserve"> </w:t>
      </w:r>
      <w:r>
        <w:rPr>
          <w:sz w:val="24"/>
        </w:rPr>
        <w:t>education</w:t>
      </w:r>
      <w:r>
        <w:rPr>
          <w:spacing w:val="-3"/>
          <w:sz w:val="24"/>
        </w:rPr>
        <w:t xml:space="preserve"> </w:t>
      </w:r>
      <w:r>
        <w:rPr>
          <w:sz w:val="24"/>
        </w:rPr>
        <w:t>sessions</w:t>
      </w:r>
      <w:r>
        <w:rPr>
          <w:spacing w:val="-6"/>
          <w:sz w:val="24"/>
        </w:rPr>
        <w:t xml:space="preserve"> </w:t>
      </w:r>
      <w:r>
        <w:rPr>
          <w:sz w:val="24"/>
        </w:rPr>
        <w:t>to</w:t>
      </w:r>
      <w:r>
        <w:rPr>
          <w:spacing w:val="-4"/>
          <w:sz w:val="24"/>
        </w:rPr>
        <w:t xml:space="preserve"> </w:t>
      </w:r>
      <w:r>
        <w:rPr>
          <w:sz w:val="24"/>
        </w:rPr>
        <w:t>seek</w:t>
      </w:r>
      <w:r>
        <w:rPr>
          <w:spacing w:val="-4"/>
          <w:sz w:val="24"/>
        </w:rPr>
        <w:t xml:space="preserve"> </w:t>
      </w:r>
      <w:r>
        <w:rPr>
          <w:sz w:val="24"/>
        </w:rPr>
        <w:t>specific engagement</w:t>
      </w:r>
      <w:r>
        <w:rPr>
          <w:spacing w:val="-3"/>
          <w:sz w:val="24"/>
        </w:rPr>
        <w:t xml:space="preserve"> </w:t>
      </w:r>
      <w:r>
        <w:rPr>
          <w:sz w:val="24"/>
        </w:rPr>
        <w:t>with,</w:t>
      </w:r>
      <w:r>
        <w:rPr>
          <w:spacing w:val="-6"/>
          <w:sz w:val="24"/>
        </w:rPr>
        <w:t xml:space="preserve"> </w:t>
      </w:r>
      <w:r>
        <w:rPr>
          <w:sz w:val="24"/>
        </w:rPr>
        <w:t>and comment from, stakeholders on selected topics; and</w:t>
      </w:r>
    </w:p>
    <w:p w14:paraId="1E8057A4" w14:textId="77777777" w:rsidR="00AA4A02" w:rsidRDefault="00960F31">
      <w:pPr>
        <w:pStyle w:val="ListParagraph"/>
        <w:numPr>
          <w:ilvl w:val="3"/>
          <w:numId w:val="52"/>
        </w:numPr>
        <w:tabs>
          <w:tab w:val="left" w:pos="1558"/>
        </w:tabs>
        <w:spacing w:before="224" w:line="247" w:lineRule="auto"/>
        <w:ind w:right="527"/>
        <w:rPr>
          <w:sz w:val="24"/>
        </w:rPr>
      </w:pPr>
      <w:r>
        <w:rPr>
          <w:sz w:val="24"/>
        </w:rPr>
        <w:t>direct</w:t>
      </w:r>
      <w:r>
        <w:rPr>
          <w:spacing w:val="-4"/>
          <w:sz w:val="24"/>
        </w:rPr>
        <w:t xml:space="preserve"> </w:t>
      </w:r>
      <w:r>
        <w:rPr>
          <w:sz w:val="24"/>
        </w:rPr>
        <w:t>consultation</w:t>
      </w:r>
      <w:r>
        <w:rPr>
          <w:spacing w:val="-4"/>
          <w:sz w:val="24"/>
        </w:rPr>
        <w:t xml:space="preserve"> </w:t>
      </w:r>
      <w:r>
        <w:rPr>
          <w:sz w:val="24"/>
        </w:rPr>
        <w:t>with</w:t>
      </w:r>
      <w:r>
        <w:rPr>
          <w:spacing w:val="-4"/>
          <w:sz w:val="24"/>
        </w:rPr>
        <w:t xml:space="preserve"> </w:t>
      </w:r>
      <w:r>
        <w:rPr>
          <w:sz w:val="24"/>
        </w:rPr>
        <w:t>stakeholders,</w:t>
      </w:r>
      <w:r>
        <w:rPr>
          <w:spacing w:val="-7"/>
          <w:sz w:val="24"/>
        </w:rPr>
        <w:t xml:space="preserve"> </w:t>
      </w:r>
      <w:r>
        <w:rPr>
          <w:sz w:val="24"/>
        </w:rPr>
        <w:t>either</w:t>
      </w:r>
      <w:r>
        <w:rPr>
          <w:spacing w:val="-3"/>
          <w:sz w:val="24"/>
        </w:rPr>
        <w:t xml:space="preserve"> </w:t>
      </w:r>
      <w:r>
        <w:rPr>
          <w:sz w:val="24"/>
        </w:rPr>
        <w:t>through</w:t>
      </w:r>
      <w:r>
        <w:rPr>
          <w:spacing w:val="-4"/>
          <w:sz w:val="24"/>
        </w:rPr>
        <w:t xml:space="preserve"> </w:t>
      </w:r>
      <w:r>
        <w:rPr>
          <w:sz w:val="24"/>
        </w:rPr>
        <w:t>site</w:t>
      </w:r>
      <w:r>
        <w:rPr>
          <w:spacing w:val="-6"/>
          <w:sz w:val="24"/>
        </w:rPr>
        <w:t xml:space="preserve"> </w:t>
      </w:r>
      <w:r>
        <w:rPr>
          <w:sz w:val="24"/>
        </w:rPr>
        <w:t>visits</w:t>
      </w:r>
      <w:r>
        <w:rPr>
          <w:spacing w:val="-7"/>
          <w:sz w:val="24"/>
        </w:rPr>
        <w:t xml:space="preserve"> </w:t>
      </w:r>
      <w:r>
        <w:rPr>
          <w:sz w:val="24"/>
        </w:rPr>
        <w:t>or</w:t>
      </w:r>
      <w:r>
        <w:rPr>
          <w:spacing w:val="-3"/>
          <w:sz w:val="24"/>
        </w:rPr>
        <w:t xml:space="preserve"> </w:t>
      </w:r>
      <w:r>
        <w:rPr>
          <w:sz w:val="24"/>
        </w:rPr>
        <w:t>presentations to AASB meetings.</w:t>
      </w:r>
    </w:p>
    <w:p w14:paraId="1E8057A5" w14:textId="77777777" w:rsidR="00AA4A02" w:rsidRDefault="00960F31">
      <w:pPr>
        <w:pStyle w:val="ListParagraph"/>
        <w:numPr>
          <w:ilvl w:val="2"/>
          <w:numId w:val="52"/>
        </w:numPr>
        <w:tabs>
          <w:tab w:val="left" w:pos="852"/>
        </w:tabs>
        <w:spacing w:before="223" w:line="247" w:lineRule="auto"/>
        <w:ind w:right="1051"/>
        <w:rPr>
          <w:sz w:val="24"/>
        </w:rPr>
      </w:pPr>
      <w:r>
        <w:rPr>
          <w:sz w:val="24"/>
        </w:rPr>
        <w:t>Where</w:t>
      </w:r>
      <w:r>
        <w:rPr>
          <w:spacing w:val="-3"/>
          <w:sz w:val="24"/>
        </w:rPr>
        <w:t xml:space="preserve"> </w:t>
      </w:r>
      <w:r>
        <w:rPr>
          <w:sz w:val="24"/>
        </w:rPr>
        <w:t>appropriate,</w:t>
      </w:r>
      <w:r>
        <w:rPr>
          <w:spacing w:val="-3"/>
          <w:sz w:val="24"/>
        </w:rPr>
        <w:t xml:space="preserve"> </w:t>
      </w:r>
      <w:r>
        <w:rPr>
          <w:sz w:val="24"/>
        </w:rPr>
        <w:t>the</w:t>
      </w:r>
      <w:r>
        <w:rPr>
          <w:spacing w:val="-2"/>
          <w:sz w:val="24"/>
        </w:rPr>
        <w:t xml:space="preserve"> </w:t>
      </w:r>
      <w:r>
        <w:rPr>
          <w:sz w:val="24"/>
        </w:rPr>
        <w:t>AASB</w:t>
      </w:r>
      <w:r>
        <w:rPr>
          <w:spacing w:val="-4"/>
          <w:sz w:val="24"/>
        </w:rPr>
        <w:t xml:space="preserve"> </w:t>
      </w:r>
      <w:r>
        <w:rPr>
          <w:sz w:val="24"/>
        </w:rPr>
        <w:t>arranges</w:t>
      </w:r>
      <w:r>
        <w:rPr>
          <w:spacing w:val="-4"/>
          <w:sz w:val="24"/>
        </w:rPr>
        <w:t xml:space="preserve"> </w:t>
      </w:r>
      <w:r>
        <w:rPr>
          <w:sz w:val="24"/>
        </w:rPr>
        <w:t>for</w:t>
      </w:r>
      <w:r>
        <w:rPr>
          <w:spacing w:val="-5"/>
          <w:sz w:val="24"/>
        </w:rPr>
        <w:t xml:space="preserve"> </w:t>
      </w:r>
      <w:r>
        <w:rPr>
          <w:sz w:val="24"/>
        </w:rPr>
        <w:t>IASB</w:t>
      </w:r>
      <w:r>
        <w:rPr>
          <w:spacing w:val="-8"/>
          <w:sz w:val="24"/>
        </w:rPr>
        <w:t xml:space="preserve"> </w:t>
      </w:r>
      <w:r>
        <w:rPr>
          <w:sz w:val="24"/>
        </w:rPr>
        <w:t>Board</w:t>
      </w:r>
      <w:r>
        <w:rPr>
          <w:spacing w:val="-1"/>
          <w:sz w:val="24"/>
        </w:rPr>
        <w:t xml:space="preserve"> </w:t>
      </w:r>
      <w:r>
        <w:rPr>
          <w:sz w:val="24"/>
        </w:rPr>
        <w:t>members</w:t>
      </w:r>
      <w:r>
        <w:rPr>
          <w:spacing w:val="-4"/>
          <w:sz w:val="24"/>
        </w:rPr>
        <w:t xml:space="preserve"> </w:t>
      </w:r>
      <w:r>
        <w:rPr>
          <w:sz w:val="24"/>
        </w:rPr>
        <w:t>and/or staff to participate in Australian outreach events.</w:t>
      </w:r>
    </w:p>
    <w:p w14:paraId="1E8057A6" w14:textId="77777777" w:rsidR="00AA4A02" w:rsidRDefault="00960F31">
      <w:pPr>
        <w:pStyle w:val="Heading9"/>
        <w:spacing w:before="229"/>
      </w:pPr>
      <w:r>
        <w:t>Types</w:t>
      </w:r>
      <w:r>
        <w:rPr>
          <w:spacing w:val="-2"/>
        </w:rPr>
        <w:t xml:space="preserve"> </w:t>
      </w:r>
      <w:r>
        <w:t>of</w:t>
      </w:r>
      <w:r>
        <w:rPr>
          <w:spacing w:val="2"/>
        </w:rPr>
        <w:t xml:space="preserve"> </w:t>
      </w:r>
      <w:r>
        <w:t>consultative</w:t>
      </w:r>
      <w:r>
        <w:rPr>
          <w:spacing w:val="-3"/>
        </w:rPr>
        <w:t xml:space="preserve"> </w:t>
      </w:r>
      <w:r>
        <w:rPr>
          <w:spacing w:val="-2"/>
        </w:rPr>
        <w:t>documents</w:t>
      </w:r>
    </w:p>
    <w:p w14:paraId="1E8057A7" w14:textId="77777777" w:rsidR="00AA4A02" w:rsidRDefault="00960F31">
      <w:pPr>
        <w:pStyle w:val="ListParagraph"/>
        <w:numPr>
          <w:ilvl w:val="1"/>
          <w:numId w:val="51"/>
        </w:numPr>
        <w:tabs>
          <w:tab w:val="left" w:pos="852"/>
        </w:tabs>
        <w:spacing w:before="243"/>
        <w:rPr>
          <w:sz w:val="24"/>
        </w:rPr>
      </w:pPr>
      <w:r>
        <w:rPr>
          <w:sz w:val="24"/>
        </w:rPr>
        <w:t>The</w:t>
      </w:r>
      <w:r>
        <w:rPr>
          <w:spacing w:val="-2"/>
          <w:sz w:val="24"/>
        </w:rPr>
        <w:t xml:space="preserve"> </w:t>
      </w:r>
      <w:r>
        <w:rPr>
          <w:sz w:val="24"/>
        </w:rPr>
        <w:t>typical consultative documents</w:t>
      </w:r>
      <w:r>
        <w:rPr>
          <w:spacing w:val="-3"/>
          <w:sz w:val="24"/>
        </w:rPr>
        <w:t xml:space="preserve"> </w:t>
      </w:r>
      <w:r>
        <w:rPr>
          <w:sz w:val="24"/>
        </w:rPr>
        <w:t xml:space="preserve">issued </w:t>
      </w:r>
      <w:r>
        <w:rPr>
          <w:spacing w:val="-2"/>
          <w:sz w:val="24"/>
        </w:rPr>
        <w:t>include:</w:t>
      </w:r>
    </w:p>
    <w:p w14:paraId="1E8057A8" w14:textId="77777777" w:rsidR="00AA4A02" w:rsidRDefault="00960F31">
      <w:pPr>
        <w:pStyle w:val="ListParagraph"/>
        <w:numPr>
          <w:ilvl w:val="2"/>
          <w:numId w:val="51"/>
        </w:numPr>
        <w:tabs>
          <w:tab w:val="left" w:pos="1558"/>
        </w:tabs>
        <w:spacing w:before="232"/>
        <w:ind w:right="459"/>
        <w:rPr>
          <w:sz w:val="24"/>
        </w:rPr>
      </w:pPr>
      <w:r>
        <w:rPr>
          <w:i/>
          <w:sz w:val="24"/>
        </w:rPr>
        <w:t xml:space="preserve">Discussion Papers and Consultation Papers </w:t>
      </w:r>
      <w:r>
        <w:rPr>
          <w:sz w:val="24"/>
        </w:rPr>
        <w:t>– Discussion Papers (DP) and Consultation Papers (CP) usually outline a wide range of possible accounting policies on a particular topic. They are typically used to refine the number of options being considered as the solution to an issue. Discussion Papers and Consultation Papers may be issued by the AASB, the IASB, the IPSASB or other</w:t>
      </w:r>
      <w:r>
        <w:rPr>
          <w:spacing w:val="-2"/>
          <w:sz w:val="24"/>
        </w:rPr>
        <w:t xml:space="preserve"> </w:t>
      </w:r>
      <w:r>
        <w:rPr>
          <w:sz w:val="24"/>
        </w:rPr>
        <w:t>standard-setters.</w:t>
      </w:r>
      <w:r>
        <w:rPr>
          <w:spacing w:val="-1"/>
          <w:sz w:val="24"/>
        </w:rPr>
        <w:t xml:space="preserve"> </w:t>
      </w:r>
      <w:r>
        <w:rPr>
          <w:sz w:val="24"/>
        </w:rPr>
        <w:t>The</w:t>
      </w:r>
      <w:r>
        <w:rPr>
          <w:spacing w:val="-4"/>
          <w:sz w:val="24"/>
        </w:rPr>
        <w:t xml:space="preserve"> </w:t>
      </w:r>
      <w:r>
        <w:rPr>
          <w:sz w:val="24"/>
        </w:rPr>
        <w:t>AASB</w:t>
      </w:r>
      <w:r>
        <w:rPr>
          <w:spacing w:val="-6"/>
          <w:sz w:val="24"/>
        </w:rPr>
        <w:t xml:space="preserve"> </w:t>
      </w:r>
      <w:r>
        <w:rPr>
          <w:sz w:val="24"/>
        </w:rPr>
        <w:t>may</w:t>
      </w:r>
      <w:r>
        <w:rPr>
          <w:spacing w:val="-4"/>
          <w:sz w:val="24"/>
        </w:rPr>
        <w:t xml:space="preserve"> </w:t>
      </w:r>
      <w:r>
        <w:rPr>
          <w:sz w:val="24"/>
        </w:rPr>
        <w:t>choose</w:t>
      </w:r>
      <w:r>
        <w:rPr>
          <w:spacing w:val="-5"/>
          <w:sz w:val="24"/>
        </w:rPr>
        <w:t xml:space="preserve"> </w:t>
      </w:r>
      <w:r>
        <w:rPr>
          <w:sz w:val="24"/>
        </w:rPr>
        <w:t>to</w:t>
      </w:r>
      <w:r>
        <w:rPr>
          <w:spacing w:val="-8"/>
          <w:sz w:val="24"/>
        </w:rPr>
        <w:t xml:space="preserve"> </w:t>
      </w:r>
      <w:r>
        <w:rPr>
          <w:sz w:val="24"/>
        </w:rPr>
        <w:t>issue</w:t>
      </w:r>
      <w:r>
        <w:rPr>
          <w:spacing w:val="-5"/>
          <w:sz w:val="24"/>
        </w:rPr>
        <w:t xml:space="preserve"> </w:t>
      </w:r>
      <w:r>
        <w:rPr>
          <w:sz w:val="24"/>
        </w:rPr>
        <w:t>international</w:t>
      </w:r>
      <w:r>
        <w:rPr>
          <w:spacing w:val="-4"/>
          <w:sz w:val="24"/>
        </w:rPr>
        <w:t xml:space="preserve"> </w:t>
      </w:r>
      <w:r>
        <w:rPr>
          <w:sz w:val="24"/>
        </w:rPr>
        <w:t>documents in Australia for comment, sometimes with an Australian Preface added to explain the context;</w:t>
      </w:r>
    </w:p>
    <w:p w14:paraId="1E8057A9" w14:textId="77777777" w:rsidR="00AA4A02" w:rsidRDefault="00960F31">
      <w:pPr>
        <w:pStyle w:val="ListParagraph"/>
        <w:numPr>
          <w:ilvl w:val="2"/>
          <w:numId w:val="51"/>
        </w:numPr>
        <w:tabs>
          <w:tab w:val="left" w:pos="1558"/>
        </w:tabs>
        <w:spacing w:before="242" w:line="242" w:lineRule="auto"/>
        <w:ind w:right="470"/>
        <w:rPr>
          <w:sz w:val="24"/>
        </w:rPr>
      </w:pPr>
      <w:r>
        <w:rPr>
          <w:i/>
          <w:sz w:val="24"/>
        </w:rPr>
        <w:t>Invitations</w:t>
      </w:r>
      <w:r>
        <w:rPr>
          <w:i/>
          <w:spacing w:val="-4"/>
          <w:sz w:val="24"/>
        </w:rPr>
        <w:t xml:space="preserve"> </w:t>
      </w:r>
      <w:r>
        <w:rPr>
          <w:i/>
          <w:sz w:val="24"/>
        </w:rPr>
        <w:t>to</w:t>
      </w:r>
      <w:r>
        <w:rPr>
          <w:i/>
          <w:spacing w:val="-2"/>
          <w:sz w:val="24"/>
        </w:rPr>
        <w:t xml:space="preserve"> </w:t>
      </w:r>
      <w:r>
        <w:rPr>
          <w:i/>
          <w:sz w:val="24"/>
        </w:rPr>
        <w:t>Comment</w:t>
      </w:r>
      <w:r>
        <w:rPr>
          <w:i/>
          <w:spacing w:val="-2"/>
          <w:sz w:val="24"/>
        </w:rPr>
        <w:t xml:space="preserve"> </w:t>
      </w:r>
      <w:r>
        <w:rPr>
          <w:sz w:val="24"/>
        </w:rPr>
        <w:t>–</w:t>
      </w:r>
      <w:r>
        <w:rPr>
          <w:spacing w:val="-8"/>
          <w:sz w:val="24"/>
        </w:rPr>
        <w:t xml:space="preserve"> </w:t>
      </w:r>
      <w:r>
        <w:rPr>
          <w:sz w:val="24"/>
        </w:rPr>
        <w:t>Invitations</w:t>
      </w:r>
      <w:r>
        <w:rPr>
          <w:spacing w:val="-4"/>
          <w:sz w:val="24"/>
        </w:rPr>
        <w:t xml:space="preserve"> </w:t>
      </w:r>
      <w:r>
        <w:rPr>
          <w:sz w:val="24"/>
        </w:rPr>
        <w:t>to</w:t>
      </w:r>
      <w:r>
        <w:rPr>
          <w:spacing w:val="-8"/>
          <w:sz w:val="24"/>
        </w:rPr>
        <w:t xml:space="preserve"> </w:t>
      </w:r>
      <w:r>
        <w:rPr>
          <w:sz w:val="24"/>
        </w:rPr>
        <w:t>Comment</w:t>
      </w:r>
      <w:r>
        <w:rPr>
          <w:spacing w:val="-6"/>
          <w:sz w:val="24"/>
        </w:rPr>
        <w:t xml:space="preserve"> </w:t>
      </w:r>
      <w:r>
        <w:rPr>
          <w:sz w:val="24"/>
        </w:rPr>
        <w:t>(ITC)</w:t>
      </w:r>
      <w:r>
        <w:rPr>
          <w:spacing w:val="-1"/>
          <w:sz w:val="24"/>
        </w:rPr>
        <w:t xml:space="preserve"> </w:t>
      </w:r>
      <w:r>
        <w:rPr>
          <w:sz w:val="24"/>
        </w:rPr>
        <w:t>precede</w:t>
      </w:r>
      <w:r>
        <w:rPr>
          <w:spacing w:val="-3"/>
          <w:sz w:val="24"/>
        </w:rPr>
        <w:t xml:space="preserve"> </w:t>
      </w:r>
      <w:r>
        <w:rPr>
          <w:sz w:val="24"/>
        </w:rPr>
        <w:t>or</w:t>
      </w:r>
      <w:r>
        <w:rPr>
          <w:spacing w:val="-1"/>
          <w:sz w:val="24"/>
        </w:rPr>
        <w:t xml:space="preserve"> </w:t>
      </w:r>
      <w:r>
        <w:rPr>
          <w:sz w:val="24"/>
        </w:rPr>
        <w:t>accompany a Discussion Paper or Exposure Draft and set out</w:t>
      </w:r>
      <w:r>
        <w:rPr>
          <w:spacing w:val="-2"/>
          <w:sz w:val="24"/>
        </w:rPr>
        <w:t xml:space="preserve"> </w:t>
      </w:r>
      <w:r>
        <w:rPr>
          <w:sz w:val="24"/>
        </w:rPr>
        <w:t>matters on which the AASB is seeking feedback;</w:t>
      </w:r>
    </w:p>
    <w:p w14:paraId="1E8057AA" w14:textId="77777777" w:rsidR="00AA4A02" w:rsidRDefault="00960F31">
      <w:pPr>
        <w:pStyle w:val="ListParagraph"/>
        <w:numPr>
          <w:ilvl w:val="2"/>
          <w:numId w:val="51"/>
        </w:numPr>
        <w:tabs>
          <w:tab w:val="left" w:pos="1558"/>
        </w:tabs>
        <w:spacing w:before="234"/>
        <w:ind w:right="422"/>
        <w:rPr>
          <w:sz w:val="24"/>
        </w:rPr>
      </w:pPr>
      <w:r>
        <w:rPr>
          <w:i/>
          <w:sz w:val="24"/>
        </w:rPr>
        <w:t xml:space="preserve">Exposure Drafts </w:t>
      </w:r>
      <w:r>
        <w:rPr>
          <w:sz w:val="24"/>
        </w:rPr>
        <w:t>– an Exposure Draft (ED) typically is a draft of a proposed Standard (or other</w:t>
      </w:r>
      <w:r>
        <w:rPr>
          <w:spacing w:val="-3"/>
          <w:sz w:val="24"/>
        </w:rPr>
        <w:t xml:space="preserve"> </w:t>
      </w:r>
      <w:r>
        <w:rPr>
          <w:sz w:val="24"/>
        </w:rPr>
        <w:t>pronouncement)</w:t>
      </w:r>
      <w:r>
        <w:rPr>
          <w:spacing w:val="-1"/>
          <w:sz w:val="24"/>
        </w:rPr>
        <w:t xml:space="preserve"> </w:t>
      </w:r>
      <w:r>
        <w:rPr>
          <w:sz w:val="24"/>
        </w:rPr>
        <w:t>or</w:t>
      </w:r>
      <w:r>
        <w:rPr>
          <w:spacing w:val="-2"/>
          <w:sz w:val="24"/>
        </w:rPr>
        <w:t xml:space="preserve"> </w:t>
      </w:r>
      <w:r>
        <w:rPr>
          <w:sz w:val="24"/>
        </w:rPr>
        <w:t>a draft</w:t>
      </w:r>
      <w:r>
        <w:rPr>
          <w:spacing w:val="-3"/>
          <w:sz w:val="24"/>
        </w:rPr>
        <w:t xml:space="preserve"> </w:t>
      </w:r>
      <w:r>
        <w:rPr>
          <w:sz w:val="24"/>
        </w:rPr>
        <w:t>amendment to a</w:t>
      </w:r>
      <w:r>
        <w:rPr>
          <w:spacing w:val="-5"/>
          <w:sz w:val="24"/>
        </w:rPr>
        <w:t xml:space="preserve"> </w:t>
      </w:r>
      <w:r>
        <w:rPr>
          <w:sz w:val="24"/>
        </w:rPr>
        <w:t>Standard. An</w:t>
      </w:r>
      <w:r>
        <w:rPr>
          <w:spacing w:val="-4"/>
          <w:sz w:val="24"/>
        </w:rPr>
        <w:t xml:space="preserve"> </w:t>
      </w:r>
      <w:r>
        <w:rPr>
          <w:sz w:val="24"/>
        </w:rPr>
        <w:t>ED is</w:t>
      </w:r>
      <w:r>
        <w:rPr>
          <w:spacing w:val="-4"/>
          <w:sz w:val="24"/>
        </w:rPr>
        <w:t xml:space="preserve"> </w:t>
      </w:r>
      <w:r>
        <w:rPr>
          <w:sz w:val="24"/>
        </w:rPr>
        <w:t>issued</w:t>
      </w:r>
      <w:r>
        <w:rPr>
          <w:spacing w:val="-2"/>
          <w:sz w:val="24"/>
        </w:rPr>
        <w:t xml:space="preserve"> </w:t>
      </w:r>
      <w:r>
        <w:rPr>
          <w:sz w:val="24"/>
        </w:rPr>
        <w:t>when</w:t>
      </w:r>
      <w:r>
        <w:rPr>
          <w:spacing w:val="-1"/>
          <w:sz w:val="24"/>
        </w:rPr>
        <w:t xml:space="preserve"> </w:t>
      </w:r>
      <w:r>
        <w:rPr>
          <w:sz w:val="24"/>
        </w:rPr>
        <w:t>there</w:t>
      </w:r>
      <w:r>
        <w:rPr>
          <w:spacing w:val="-3"/>
          <w:sz w:val="24"/>
        </w:rPr>
        <w:t xml:space="preserve"> </w:t>
      </w:r>
      <w:r>
        <w:rPr>
          <w:sz w:val="24"/>
        </w:rPr>
        <w:t>is</w:t>
      </w:r>
      <w:r>
        <w:rPr>
          <w:spacing w:val="-4"/>
          <w:sz w:val="24"/>
        </w:rPr>
        <w:t xml:space="preserve"> </w:t>
      </w:r>
      <w:r>
        <w:rPr>
          <w:sz w:val="24"/>
        </w:rPr>
        <w:t>a</w:t>
      </w:r>
      <w:r>
        <w:rPr>
          <w:spacing w:val="-3"/>
          <w:sz w:val="24"/>
        </w:rPr>
        <w:t xml:space="preserve"> </w:t>
      </w:r>
      <w:r>
        <w:rPr>
          <w:sz w:val="24"/>
        </w:rPr>
        <w:t>specific</w:t>
      </w:r>
      <w:r>
        <w:rPr>
          <w:spacing w:val="-2"/>
          <w:sz w:val="24"/>
        </w:rPr>
        <w:t xml:space="preserve"> </w:t>
      </w:r>
      <w:r>
        <w:rPr>
          <w:sz w:val="24"/>
        </w:rPr>
        <w:t>proposal,</w:t>
      </w:r>
      <w:r>
        <w:rPr>
          <w:spacing w:val="-4"/>
          <w:sz w:val="24"/>
        </w:rPr>
        <w:t xml:space="preserve"> </w:t>
      </w:r>
      <w:r>
        <w:rPr>
          <w:sz w:val="24"/>
        </w:rPr>
        <w:t>includes</w:t>
      </w:r>
      <w:r>
        <w:rPr>
          <w:spacing w:val="-4"/>
          <w:sz w:val="24"/>
        </w:rPr>
        <w:t xml:space="preserve"> </w:t>
      </w:r>
      <w:r>
        <w:rPr>
          <w:sz w:val="24"/>
        </w:rPr>
        <w:t>a</w:t>
      </w:r>
      <w:r>
        <w:rPr>
          <w:spacing w:val="-3"/>
          <w:sz w:val="24"/>
        </w:rPr>
        <w:t xml:space="preserve"> </w:t>
      </w:r>
      <w:r>
        <w:rPr>
          <w:sz w:val="24"/>
        </w:rPr>
        <w:t>basis</w:t>
      </w:r>
      <w:r>
        <w:rPr>
          <w:spacing w:val="-4"/>
          <w:sz w:val="24"/>
        </w:rPr>
        <w:t xml:space="preserve"> </w:t>
      </w:r>
      <w:r>
        <w:rPr>
          <w:sz w:val="24"/>
        </w:rPr>
        <w:t>for</w:t>
      </w:r>
      <w:r>
        <w:rPr>
          <w:spacing w:val="-1"/>
          <w:sz w:val="24"/>
        </w:rPr>
        <w:t xml:space="preserve"> </w:t>
      </w:r>
      <w:r>
        <w:rPr>
          <w:sz w:val="24"/>
        </w:rPr>
        <w:t>conclusions,</w:t>
      </w:r>
      <w:r>
        <w:rPr>
          <w:spacing w:val="-1"/>
          <w:sz w:val="24"/>
        </w:rPr>
        <w:t xml:space="preserve"> </w:t>
      </w:r>
      <w:r>
        <w:rPr>
          <w:sz w:val="24"/>
        </w:rPr>
        <w:t>and if relevant, alternative views. An ED is a mandatory due process step. A Fatal-Flaw Review draft is a form of ED;</w:t>
      </w:r>
    </w:p>
    <w:p w14:paraId="1E8057AB" w14:textId="77777777" w:rsidR="00AA4A02" w:rsidRDefault="00960F31">
      <w:pPr>
        <w:pStyle w:val="ListParagraph"/>
        <w:numPr>
          <w:ilvl w:val="2"/>
          <w:numId w:val="51"/>
        </w:numPr>
        <w:tabs>
          <w:tab w:val="left" w:pos="1558"/>
        </w:tabs>
        <w:spacing w:before="238" w:line="242" w:lineRule="auto"/>
        <w:ind w:right="743"/>
        <w:rPr>
          <w:sz w:val="24"/>
        </w:rPr>
      </w:pPr>
      <w:r>
        <w:rPr>
          <w:i/>
          <w:sz w:val="24"/>
        </w:rPr>
        <w:t xml:space="preserve">Draft Interpretations </w:t>
      </w:r>
      <w:r>
        <w:rPr>
          <w:sz w:val="24"/>
        </w:rPr>
        <w:t>– a Draft Interpretation is a draft of a proposed Interpretation of a</w:t>
      </w:r>
      <w:r>
        <w:rPr>
          <w:spacing w:val="-7"/>
          <w:sz w:val="24"/>
        </w:rPr>
        <w:t xml:space="preserve"> </w:t>
      </w:r>
      <w:r>
        <w:rPr>
          <w:sz w:val="24"/>
        </w:rPr>
        <w:t>Standard</w:t>
      </w:r>
      <w:r>
        <w:rPr>
          <w:spacing w:val="-1"/>
          <w:sz w:val="24"/>
        </w:rPr>
        <w:t xml:space="preserve"> </w:t>
      </w:r>
      <w:r>
        <w:rPr>
          <w:sz w:val="24"/>
        </w:rPr>
        <w:t>and</w:t>
      </w:r>
      <w:r>
        <w:rPr>
          <w:spacing w:val="-6"/>
          <w:sz w:val="24"/>
        </w:rPr>
        <w:t xml:space="preserve"> </w:t>
      </w:r>
      <w:r>
        <w:rPr>
          <w:sz w:val="24"/>
        </w:rPr>
        <w:t>is</w:t>
      </w:r>
      <w:r>
        <w:rPr>
          <w:spacing w:val="-3"/>
          <w:sz w:val="24"/>
        </w:rPr>
        <w:t xml:space="preserve"> </w:t>
      </w:r>
      <w:r>
        <w:rPr>
          <w:sz w:val="24"/>
        </w:rPr>
        <w:t>the</w:t>
      </w:r>
      <w:r>
        <w:rPr>
          <w:spacing w:val="-1"/>
          <w:sz w:val="24"/>
        </w:rPr>
        <w:t xml:space="preserve"> </w:t>
      </w:r>
      <w:r>
        <w:rPr>
          <w:sz w:val="24"/>
        </w:rPr>
        <w:t>equivalent</w:t>
      </w:r>
      <w:r>
        <w:rPr>
          <w:spacing w:val="-5"/>
          <w:sz w:val="24"/>
        </w:rPr>
        <w:t xml:space="preserve"> </w:t>
      </w:r>
      <w:r>
        <w:rPr>
          <w:sz w:val="24"/>
        </w:rPr>
        <w:t>of an</w:t>
      </w:r>
      <w:r>
        <w:rPr>
          <w:spacing w:val="-6"/>
          <w:sz w:val="24"/>
        </w:rPr>
        <w:t xml:space="preserve"> </w:t>
      </w:r>
      <w:r>
        <w:rPr>
          <w:sz w:val="24"/>
        </w:rPr>
        <w:t>ED</w:t>
      </w:r>
      <w:r>
        <w:rPr>
          <w:spacing w:val="-2"/>
          <w:sz w:val="24"/>
        </w:rPr>
        <w:t xml:space="preserve"> </w:t>
      </w:r>
      <w:r>
        <w:rPr>
          <w:sz w:val="24"/>
        </w:rPr>
        <w:t>for a</w:t>
      </w:r>
      <w:r>
        <w:rPr>
          <w:spacing w:val="-7"/>
          <w:sz w:val="24"/>
        </w:rPr>
        <w:t xml:space="preserve"> </w:t>
      </w:r>
      <w:r>
        <w:rPr>
          <w:sz w:val="24"/>
        </w:rPr>
        <w:t>Standard.</w:t>
      </w:r>
      <w:r>
        <w:rPr>
          <w:spacing w:val="-3"/>
          <w:sz w:val="24"/>
        </w:rPr>
        <w:t xml:space="preserve"> </w:t>
      </w:r>
      <w:r>
        <w:rPr>
          <w:sz w:val="24"/>
        </w:rPr>
        <w:t>A Draft Interpretation is a mandatory due process step; and</w:t>
      </w:r>
    </w:p>
    <w:p w14:paraId="1E8057AC"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7AD" w14:textId="77777777" w:rsidR="00AA4A02" w:rsidRDefault="00960F31">
      <w:pPr>
        <w:pStyle w:val="ListParagraph"/>
        <w:numPr>
          <w:ilvl w:val="2"/>
          <w:numId w:val="51"/>
        </w:numPr>
        <w:tabs>
          <w:tab w:val="left" w:pos="1558"/>
        </w:tabs>
        <w:spacing w:before="80" w:line="242" w:lineRule="auto"/>
        <w:ind w:right="733"/>
        <w:rPr>
          <w:sz w:val="24"/>
        </w:rPr>
      </w:pPr>
      <w:r>
        <w:rPr>
          <w:i/>
          <w:sz w:val="24"/>
        </w:rPr>
        <w:lastRenderedPageBreak/>
        <w:t xml:space="preserve">Request for information </w:t>
      </w:r>
      <w:r>
        <w:rPr>
          <w:sz w:val="24"/>
        </w:rPr>
        <w:t>– consultation on a specific aspect of one of the AASB’s</w:t>
      </w:r>
      <w:r>
        <w:rPr>
          <w:spacing w:val="-2"/>
          <w:sz w:val="24"/>
        </w:rPr>
        <w:t xml:space="preserve"> </w:t>
      </w:r>
      <w:r>
        <w:rPr>
          <w:sz w:val="24"/>
        </w:rPr>
        <w:t>projects. It</w:t>
      </w:r>
      <w:r>
        <w:rPr>
          <w:spacing w:val="-5"/>
          <w:sz w:val="24"/>
        </w:rPr>
        <w:t xml:space="preserve"> </w:t>
      </w:r>
      <w:r>
        <w:rPr>
          <w:sz w:val="24"/>
        </w:rPr>
        <w:t>normally</w:t>
      </w:r>
      <w:r>
        <w:rPr>
          <w:spacing w:val="-5"/>
          <w:sz w:val="24"/>
        </w:rPr>
        <w:t xml:space="preserve"> </w:t>
      </w:r>
      <w:r>
        <w:rPr>
          <w:sz w:val="24"/>
        </w:rPr>
        <w:t>helps</w:t>
      </w:r>
      <w:r>
        <w:rPr>
          <w:spacing w:val="-3"/>
          <w:sz w:val="24"/>
        </w:rPr>
        <w:t xml:space="preserve"> </w:t>
      </w:r>
      <w:r>
        <w:rPr>
          <w:sz w:val="24"/>
        </w:rPr>
        <w:t>the</w:t>
      </w:r>
      <w:r>
        <w:rPr>
          <w:spacing w:val="-1"/>
          <w:sz w:val="24"/>
        </w:rPr>
        <w:t xml:space="preserve"> </w:t>
      </w:r>
      <w:r>
        <w:rPr>
          <w:sz w:val="24"/>
        </w:rPr>
        <w:t>AASB</w:t>
      </w:r>
      <w:r>
        <w:rPr>
          <w:spacing w:val="-3"/>
          <w:sz w:val="24"/>
        </w:rPr>
        <w:t xml:space="preserve"> </w:t>
      </w:r>
      <w:r>
        <w:rPr>
          <w:sz w:val="24"/>
        </w:rPr>
        <w:t>to</w:t>
      </w:r>
      <w:r>
        <w:rPr>
          <w:spacing w:val="-5"/>
          <w:sz w:val="24"/>
        </w:rPr>
        <w:t xml:space="preserve"> </w:t>
      </w:r>
      <w:r>
        <w:rPr>
          <w:sz w:val="24"/>
        </w:rPr>
        <w:t>prepare</w:t>
      </w:r>
      <w:r>
        <w:rPr>
          <w:spacing w:val="-1"/>
          <w:sz w:val="24"/>
        </w:rPr>
        <w:t xml:space="preserve"> </w:t>
      </w:r>
      <w:r>
        <w:rPr>
          <w:sz w:val="24"/>
        </w:rPr>
        <w:t>an</w:t>
      </w:r>
      <w:r>
        <w:rPr>
          <w:spacing w:val="-1"/>
          <w:sz w:val="24"/>
        </w:rPr>
        <w:t xml:space="preserve"> </w:t>
      </w:r>
      <w:r>
        <w:rPr>
          <w:sz w:val="24"/>
        </w:rPr>
        <w:t>ED</w:t>
      </w:r>
      <w:r>
        <w:rPr>
          <w:spacing w:val="-6"/>
          <w:sz w:val="24"/>
        </w:rPr>
        <w:t xml:space="preserve"> </w:t>
      </w:r>
      <w:r>
        <w:rPr>
          <w:sz w:val="24"/>
        </w:rPr>
        <w:t>or</w:t>
      </w:r>
      <w:r>
        <w:rPr>
          <w:spacing w:val="-4"/>
          <w:sz w:val="24"/>
        </w:rPr>
        <w:t xml:space="preserve"> </w:t>
      </w:r>
      <w:r>
        <w:rPr>
          <w:sz w:val="24"/>
        </w:rPr>
        <w:t>finalise</w:t>
      </w:r>
      <w:r>
        <w:rPr>
          <w:spacing w:val="-1"/>
          <w:sz w:val="24"/>
        </w:rPr>
        <w:t xml:space="preserve"> </w:t>
      </w:r>
      <w:r>
        <w:rPr>
          <w:sz w:val="24"/>
        </w:rPr>
        <w:t xml:space="preserve">a </w:t>
      </w:r>
      <w:r>
        <w:rPr>
          <w:spacing w:val="-2"/>
          <w:sz w:val="24"/>
        </w:rPr>
        <w:t>pronouncement.</w:t>
      </w:r>
    </w:p>
    <w:p w14:paraId="1E8057AE" w14:textId="77777777" w:rsidR="00AA4A02" w:rsidRDefault="00960F31">
      <w:pPr>
        <w:pStyle w:val="Heading9"/>
        <w:spacing w:before="239"/>
      </w:pPr>
      <w:r>
        <w:t>Mandatory</w:t>
      </w:r>
      <w:r>
        <w:rPr>
          <w:spacing w:val="-2"/>
        </w:rPr>
        <w:t xml:space="preserve"> </w:t>
      </w:r>
      <w:r>
        <w:t>due</w:t>
      </w:r>
      <w:r>
        <w:rPr>
          <w:spacing w:val="-6"/>
        </w:rPr>
        <w:t xml:space="preserve"> </w:t>
      </w:r>
      <w:r>
        <w:t>process</w:t>
      </w:r>
      <w:r>
        <w:rPr>
          <w:spacing w:val="-1"/>
        </w:rPr>
        <w:t xml:space="preserve"> </w:t>
      </w:r>
      <w:r>
        <w:rPr>
          <w:spacing w:val="-4"/>
        </w:rPr>
        <w:t>steps</w:t>
      </w:r>
    </w:p>
    <w:p w14:paraId="1E8057AF" w14:textId="77777777" w:rsidR="00AA4A02" w:rsidRDefault="00960F31">
      <w:pPr>
        <w:pStyle w:val="ListParagraph"/>
        <w:numPr>
          <w:ilvl w:val="1"/>
          <w:numId w:val="51"/>
        </w:numPr>
        <w:tabs>
          <w:tab w:val="left" w:pos="852"/>
        </w:tabs>
        <w:spacing w:before="233" w:line="242" w:lineRule="auto"/>
        <w:ind w:right="610"/>
        <w:rPr>
          <w:sz w:val="24"/>
        </w:rPr>
      </w:pPr>
      <w:r>
        <w:rPr>
          <w:sz w:val="24"/>
        </w:rPr>
        <w:t>To</w:t>
      </w:r>
      <w:r>
        <w:rPr>
          <w:spacing w:val="-2"/>
          <w:sz w:val="24"/>
        </w:rPr>
        <w:t xml:space="preserve"> </w:t>
      </w:r>
      <w:r>
        <w:rPr>
          <w:sz w:val="24"/>
        </w:rPr>
        <w:t>ensure</w:t>
      </w:r>
      <w:r>
        <w:rPr>
          <w:spacing w:val="-2"/>
          <w:sz w:val="24"/>
        </w:rPr>
        <w:t xml:space="preserve"> </w:t>
      </w:r>
      <w:r>
        <w:rPr>
          <w:sz w:val="24"/>
        </w:rPr>
        <w:t>appropriate</w:t>
      </w:r>
      <w:r>
        <w:rPr>
          <w:spacing w:val="-2"/>
          <w:sz w:val="24"/>
        </w:rPr>
        <w:t xml:space="preserve"> </w:t>
      </w:r>
      <w:r>
        <w:rPr>
          <w:sz w:val="24"/>
        </w:rPr>
        <w:t>consultation,</w:t>
      </w:r>
      <w:r>
        <w:rPr>
          <w:spacing w:val="-3"/>
          <w:sz w:val="24"/>
        </w:rPr>
        <w:t xml:space="preserve"> </w:t>
      </w:r>
      <w:r>
        <w:rPr>
          <w:sz w:val="24"/>
        </w:rPr>
        <w:t>the</w:t>
      </w:r>
      <w:r>
        <w:rPr>
          <w:spacing w:val="-3"/>
          <w:sz w:val="24"/>
        </w:rPr>
        <w:t xml:space="preserve"> </w:t>
      </w:r>
      <w:r>
        <w:rPr>
          <w:sz w:val="24"/>
        </w:rPr>
        <w:t>due</w:t>
      </w:r>
      <w:r>
        <w:rPr>
          <w:spacing w:val="-3"/>
          <w:sz w:val="24"/>
        </w:rPr>
        <w:t xml:space="preserve"> </w:t>
      </w:r>
      <w:r>
        <w:rPr>
          <w:sz w:val="24"/>
        </w:rPr>
        <w:t>process</w:t>
      </w:r>
      <w:r>
        <w:rPr>
          <w:spacing w:val="-4"/>
          <w:sz w:val="24"/>
        </w:rPr>
        <w:t xml:space="preserve"> </w:t>
      </w:r>
      <w:r>
        <w:rPr>
          <w:sz w:val="24"/>
        </w:rPr>
        <w:t>steps</w:t>
      </w:r>
      <w:r>
        <w:rPr>
          <w:spacing w:val="-4"/>
          <w:sz w:val="24"/>
        </w:rPr>
        <w:t xml:space="preserve"> </w:t>
      </w:r>
      <w:r>
        <w:rPr>
          <w:sz w:val="24"/>
        </w:rPr>
        <w:t>that</w:t>
      </w:r>
      <w:r>
        <w:rPr>
          <w:spacing w:val="-2"/>
          <w:sz w:val="24"/>
        </w:rPr>
        <w:t xml:space="preserve"> </w:t>
      </w:r>
      <w:r>
        <w:rPr>
          <w:sz w:val="24"/>
        </w:rPr>
        <w:t>are</w:t>
      </w:r>
      <w:r>
        <w:rPr>
          <w:spacing w:val="-3"/>
          <w:sz w:val="24"/>
        </w:rPr>
        <w:t xml:space="preserve"> </w:t>
      </w:r>
      <w:r>
        <w:rPr>
          <w:sz w:val="24"/>
        </w:rPr>
        <w:t>mandatory</w:t>
      </w:r>
      <w:r>
        <w:rPr>
          <w:spacing w:val="-6"/>
          <w:sz w:val="24"/>
        </w:rPr>
        <w:t xml:space="preserve"> </w:t>
      </w:r>
      <w:r>
        <w:rPr>
          <w:sz w:val="24"/>
        </w:rPr>
        <w:t>for</w:t>
      </w:r>
      <w:r>
        <w:rPr>
          <w:spacing w:val="-4"/>
          <w:sz w:val="24"/>
        </w:rPr>
        <w:t xml:space="preserve"> </w:t>
      </w:r>
      <w:r>
        <w:rPr>
          <w:sz w:val="24"/>
        </w:rPr>
        <w:t>both IASB-related and domestic proposals for new Standards, amending Standards, Interpretations or other guidance are:</w:t>
      </w:r>
    </w:p>
    <w:p w14:paraId="1E8057B0" w14:textId="77777777" w:rsidR="00AA4A02" w:rsidRDefault="00960F31">
      <w:pPr>
        <w:pStyle w:val="ListParagraph"/>
        <w:numPr>
          <w:ilvl w:val="2"/>
          <w:numId w:val="51"/>
        </w:numPr>
        <w:tabs>
          <w:tab w:val="left" w:pos="1558"/>
        </w:tabs>
        <w:spacing w:before="235" w:line="242" w:lineRule="auto"/>
        <w:ind w:right="599"/>
        <w:rPr>
          <w:sz w:val="24"/>
        </w:rPr>
      </w:pPr>
      <w:r>
        <w:rPr>
          <w:sz w:val="24"/>
        </w:rPr>
        <w:t>identifying the accounting or external reporting issue to be addressed, the scope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issue</w:t>
      </w:r>
      <w:r>
        <w:rPr>
          <w:spacing w:val="-3"/>
          <w:sz w:val="24"/>
        </w:rPr>
        <w:t xml:space="preserve"> </w:t>
      </w:r>
      <w:r>
        <w:rPr>
          <w:sz w:val="24"/>
        </w:rPr>
        <w:t>and</w:t>
      </w:r>
      <w:r>
        <w:rPr>
          <w:spacing w:val="-2"/>
          <w:sz w:val="24"/>
        </w:rPr>
        <w:t xml:space="preserve"> </w:t>
      </w:r>
      <w:r>
        <w:rPr>
          <w:sz w:val="24"/>
        </w:rPr>
        <w:t>the</w:t>
      </w:r>
      <w:r>
        <w:rPr>
          <w:spacing w:val="-7"/>
          <w:sz w:val="24"/>
        </w:rPr>
        <w:t xml:space="preserve"> </w:t>
      </w:r>
      <w:r>
        <w:rPr>
          <w:sz w:val="24"/>
        </w:rPr>
        <w:t>rationale</w:t>
      </w:r>
      <w:r>
        <w:rPr>
          <w:spacing w:val="-2"/>
          <w:sz w:val="24"/>
        </w:rPr>
        <w:t xml:space="preserve"> </w:t>
      </w:r>
      <w:r>
        <w:rPr>
          <w:sz w:val="24"/>
        </w:rPr>
        <w:t>for</w:t>
      </w:r>
      <w:r>
        <w:rPr>
          <w:spacing w:val="-1"/>
          <w:sz w:val="24"/>
        </w:rPr>
        <w:t xml:space="preserve"> </w:t>
      </w:r>
      <w:r>
        <w:rPr>
          <w:sz w:val="24"/>
        </w:rPr>
        <w:t>needing</w:t>
      </w:r>
      <w:r>
        <w:rPr>
          <w:spacing w:val="-2"/>
          <w:sz w:val="24"/>
        </w:rPr>
        <w:t xml:space="preserve"> </w:t>
      </w:r>
      <w:r>
        <w:rPr>
          <w:sz w:val="24"/>
        </w:rPr>
        <w:t>a</w:t>
      </w:r>
      <w:r>
        <w:rPr>
          <w:spacing w:val="-7"/>
          <w:sz w:val="24"/>
        </w:rPr>
        <w:t xml:space="preserve"> </w:t>
      </w:r>
      <w:r>
        <w:rPr>
          <w:sz w:val="24"/>
        </w:rPr>
        <w:t>standard-setting</w:t>
      </w:r>
      <w:r>
        <w:rPr>
          <w:spacing w:val="-2"/>
          <w:sz w:val="24"/>
        </w:rPr>
        <w:t xml:space="preserve"> </w:t>
      </w:r>
      <w:r>
        <w:rPr>
          <w:sz w:val="24"/>
        </w:rPr>
        <w:t>solution.</w:t>
      </w:r>
      <w:r>
        <w:rPr>
          <w:spacing w:val="40"/>
          <w:sz w:val="24"/>
        </w:rPr>
        <w:t xml:space="preserve"> </w:t>
      </w:r>
      <w:r>
        <w:rPr>
          <w:sz w:val="24"/>
        </w:rPr>
        <w:t>A formal agenda consultation process is held at least once every 5 years;</w:t>
      </w:r>
    </w:p>
    <w:p w14:paraId="1E8057B1" w14:textId="77777777" w:rsidR="00AA4A02" w:rsidRDefault="00960F31">
      <w:pPr>
        <w:pStyle w:val="ListParagraph"/>
        <w:numPr>
          <w:ilvl w:val="2"/>
          <w:numId w:val="51"/>
        </w:numPr>
        <w:tabs>
          <w:tab w:val="left" w:pos="1557"/>
        </w:tabs>
        <w:spacing w:before="234"/>
        <w:ind w:left="1557" w:hanging="705"/>
        <w:rPr>
          <w:sz w:val="24"/>
        </w:rPr>
      </w:pPr>
      <w:r>
        <w:rPr>
          <w:sz w:val="24"/>
        </w:rPr>
        <w:t>debating proposals in one</w:t>
      </w:r>
      <w:r>
        <w:rPr>
          <w:spacing w:val="-1"/>
          <w:sz w:val="24"/>
        </w:rPr>
        <w:t xml:space="preserve"> </w:t>
      </w:r>
      <w:r>
        <w:rPr>
          <w:sz w:val="24"/>
        </w:rPr>
        <w:t>or</w:t>
      </w:r>
      <w:r>
        <w:rPr>
          <w:spacing w:val="1"/>
          <w:sz w:val="24"/>
        </w:rPr>
        <w:t xml:space="preserve"> </w:t>
      </w:r>
      <w:r>
        <w:rPr>
          <w:sz w:val="24"/>
        </w:rPr>
        <w:t xml:space="preserve">more public </w:t>
      </w:r>
      <w:r>
        <w:rPr>
          <w:spacing w:val="-2"/>
          <w:sz w:val="24"/>
        </w:rPr>
        <w:t>meetings;</w:t>
      </w:r>
    </w:p>
    <w:p w14:paraId="1E8057B2" w14:textId="77777777" w:rsidR="00AA4A02" w:rsidRDefault="00960F31">
      <w:pPr>
        <w:pStyle w:val="ListParagraph"/>
        <w:numPr>
          <w:ilvl w:val="2"/>
          <w:numId w:val="51"/>
        </w:numPr>
        <w:tabs>
          <w:tab w:val="left" w:pos="1558"/>
        </w:tabs>
        <w:spacing w:before="238" w:line="242" w:lineRule="auto"/>
        <w:ind w:right="630"/>
        <w:rPr>
          <w:sz w:val="24"/>
        </w:rPr>
      </w:pPr>
      <w:r>
        <w:rPr>
          <w:sz w:val="24"/>
        </w:rPr>
        <w:t>using</w:t>
      </w:r>
      <w:r>
        <w:rPr>
          <w:spacing w:val="-3"/>
          <w:sz w:val="24"/>
        </w:rPr>
        <w:t xml:space="preserve"> </w:t>
      </w:r>
      <w:r>
        <w:rPr>
          <w:sz w:val="24"/>
        </w:rPr>
        <w:t>an</w:t>
      </w:r>
      <w:r>
        <w:rPr>
          <w:spacing w:val="-4"/>
          <w:sz w:val="24"/>
        </w:rPr>
        <w:t xml:space="preserve"> </w:t>
      </w:r>
      <w:r>
        <w:rPr>
          <w:sz w:val="24"/>
        </w:rPr>
        <w:t>evidence-informed</w:t>
      </w:r>
      <w:r>
        <w:rPr>
          <w:spacing w:val="-4"/>
          <w:sz w:val="24"/>
        </w:rPr>
        <w:t xml:space="preserve"> </w:t>
      </w:r>
      <w:r>
        <w:rPr>
          <w:sz w:val="24"/>
        </w:rPr>
        <w:t>approach</w:t>
      </w:r>
      <w:r>
        <w:rPr>
          <w:spacing w:val="-3"/>
          <w:sz w:val="24"/>
        </w:rPr>
        <w:t xml:space="preserve"> </w:t>
      </w:r>
      <w:r>
        <w:rPr>
          <w:sz w:val="24"/>
        </w:rPr>
        <w:t>to</w:t>
      </w:r>
      <w:r>
        <w:rPr>
          <w:spacing w:val="-4"/>
          <w:sz w:val="24"/>
        </w:rPr>
        <w:t xml:space="preserve"> </w:t>
      </w:r>
      <w:r>
        <w:rPr>
          <w:sz w:val="24"/>
        </w:rPr>
        <w:t>standard-setting</w:t>
      </w:r>
      <w:r>
        <w:rPr>
          <w:spacing w:val="-3"/>
          <w:sz w:val="24"/>
        </w:rPr>
        <w:t xml:space="preserve"> </w:t>
      </w:r>
      <w:r>
        <w:rPr>
          <w:sz w:val="24"/>
        </w:rPr>
        <w:t>to</w:t>
      </w:r>
      <w:r>
        <w:rPr>
          <w:spacing w:val="-4"/>
          <w:sz w:val="24"/>
        </w:rPr>
        <w:t xml:space="preserve"> </w:t>
      </w:r>
      <w:r>
        <w:rPr>
          <w:sz w:val="24"/>
        </w:rPr>
        <w:t>ensure</w:t>
      </w:r>
      <w:r>
        <w:rPr>
          <w:spacing w:val="-10"/>
          <w:sz w:val="24"/>
        </w:rPr>
        <w:t xml:space="preserve"> </w:t>
      </w:r>
      <w:r>
        <w:rPr>
          <w:sz w:val="24"/>
        </w:rPr>
        <w:t>regulatory action is warranted, including completing before finalisation a Regulation Impact Statement or similar assessments in the Basis for Conclusions;</w:t>
      </w:r>
    </w:p>
    <w:p w14:paraId="1E8057B3" w14:textId="77777777" w:rsidR="00AA4A02" w:rsidRDefault="00960F31">
      <w:pPr>
        <w:pStyle w:val="ListParagraph"/>
        <w:numPr>
          <w:ilvl w:val="2"/>
          <w:numId w:val="51"/>
        </w:numPr>
        <w:tabs>
          <w:tab w:val="left" w:pos="1557"/>
        </w:tabs>
        <w:spacing w:before="235"/>
        <w:ind w:left="1557" w:hanging="705"/>
        <w:rPr>
          <w:sz w:val="24"/>
        </w:rPr>
      </w:pPr>
      <w:r>
        <w:rPr>
          <w:sz w:val="24"/>
        </w:rPr>
        <w:t>exposing</w:t>
      </w:r>
      <w:r>
        <w:rPr>
          <w:spacing w:val="-1"/>
          <w:sz w:val="24"/>
        </w:rPr>
        <w:t xml:space="preserve"> </w:t>
      </w:r>
      <w:r>
        <w:rPr>
          <w:sz w:val="24"/>
        </w:rPr>
        <w:t>for</w:t>
      </w:r>
      <w:r>
        <w:rPr>
          <w:spacing w:val="3"/>
          <w:sz w:val="24"/>
        </w:rPr>
        <w:t xml:space="preserve"> </w:t>
      </w:r>
      <w:r>
        <w:rPr>
          <w:sz w:val="24"/>
        </w:rPr>
        <w:t>public</w:t>
      </w:r>
      <w:r>
        <w:rPr>
          <w:spacing w:val="-4"/>
          <w:sz w:val="24"/>
        </w:rPr>
        <w:t xml:space="preserve"> </w:t>
      </w:r>
      <w:r>
        <w:rPr>
          <w:sz w:val="24"/>
        </w:rPr>
        <w:t>comment</w:t>
      </w:r>
      <w:r>
        <w:rPr>
          <w:spacing w:val="1"/>
          <w:sz w:val="24"/>
        </w:rPr>
        <w:t xml:space="preserve"> </w:t>
      </w:r>
      <w:r>
        <w:rPr>
          <w:sz w:val="24"/>
        </w:rPr>
        <w:t>a</w:t>
      </w:r>
      <w:r>
        <w:rPr>
          <w:spacing w:val="-5"/>
          <w:sz w:val="24"/>
        </w:rPr>
        <w:t xml:space="preserve"> </w:t>
      </w:r>
      <w:r>
        <w:rPr>
          <w:sz w:val="24"/>
        </w:rPr>
        <w:t>draft</w:t>
      </w:r>
      <w:r>
        <w:rPr>
          <w:spacing w:val="-2"/>
          <w:sz w:val="24"/>
        </w:rPr>
        <w:t xml:space="preserve"> </w:t>
      </w:r>
      <w:r>
        <w:rPr>
          <w:sz w:val="24"/>
        </w:rPr>
        <w:t>of</w:t>
      </w:r>
      <w:r>
        <w:rPr>
          <w:spacing w:val="-3"/>
          <w:sz w:val="24"/>
        </w:rPr>
        <w:t xml:space="preserve"> </w:t>
      </w:r>
      <w:r>
        <w:rPr>
          <w:sz w:val="24"/>
        </w:rPr>
        <w:t>any</w:t>
      </w:r>
      <w:r>
        <w:rPr>
          <w:spacing w:val="1"/>
          <w:sz w:val="24"/>
        </w:rPr>
        <w:t xml:space="preserve"> </w:t>
      </w:r>
      <w:r>
        <w:rPr>
          <w:sz w:val="24"/>
        </w:rPr>
        <w:t>proposals as</w:t>
      </w:r>
      <w:r>
        <w:rPr>
          <w:spacing w:val="-1"/>
          <w:sz w:val="24"/>
        </w:rPr>
        <w:t xml:space="preserve"> </w:t>
      </w:r>
      <w:r>
        <w:rPr>
          <w:spacing w:val="-2"/>
          <w:sz w:val="24"/>
        </w:rPr>
        <w:t>follows:</w:t>
      </w:r>
    </w:p>
    <w:p w14:paraId="1E8057B4" w14:textId="77777777" w:rsidR="00AA4A02" w:rsidRDefault="00AA4A02">
      <w:pPr>
        <w:pStyle w:val="BodyText"/>
        <w:spacing w:before="10"/>
        <w:rPr>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0"/>
        <w:gridCol w:w="4395"/>
      </w:tblGrid>
      <w:tr w:rsidR="00AA4A02" w14:paraId="1E8057B8" w14:textId="77777777">
        <w:trPr>
          <w:trHeight w:val="551"/>
        </w:trPr>
        <w:tc>
          <w:tcPr>
            <w:tcW w:w="1844" w:type="dxa"/>
          </w:tcPr>
          <w:p w14:paraId="1E8057B5" w14:textId="77777777" w:rsidR="00AA4A02" w:rsidRDefault="00960F31">
            <w:pPr>
              <w:pStyle w:val="TableParagraph"/>
              <w:spacing w:line="273" w:lineRule="exact"/>
              <w:ind w:left="110"/>
              <w:rPr>
                <w:b/>
                <w:sz w:val="24"/>
              </w:rPr>
            </w:pPr>
            <w:r>
              <w:rPr>
                <w:b/>
                <w:spacing w:val="-2"/>
                <w:sz w:val="24"/>
              </w:rPr>
              <w:t>Pronouncement</w:t>
            </w:r>
          </w:p>
        </w:tc>
        <w:tc>
          <w:tcPr>
            <w:tcW w:w="1840" w:type="dxa"/>
          </w:tcPr>
          <w:p w14:paraId="1E8057B6" w14:textId="77777777" w:rsidR="00AA4A02" w:rsidRDefault="00960F31">
            <w:pPr>
              <w:pStyle w:val="TableParagraph"/>
              <w:spacing w:line="274" w:lineRule="exact"/>
              <w:ind w:left="109"/>
              <w:rPr>
                <w:b/>
                <w:sz w:val="24"/>
              </w:rPr>
            </w:pPr>
            <w:r>
              <w:rPr>
                <w:b/>
                <w:spacing w:val="-2"/>
                <w:sz w:val="24"/>
              </w:rPr>
              <w:t>Consultation document</w:t>
            </w:r>
          </w:p>
        </w:tc>
        <w:tc>
          <w:tcPr>
            <w:tcW w:w="4395" w:type="dxa"/>
          </w:tcPr>
          <w:p w14:paraId="1E8057B7" w14:textId="77777777" w:rsidR="00AA4A02" w:rsidRDefault="00960F31">
            <w:pPr>
              <w:pStyle w:val="TableParagraph"/>
              <w:spacing w:line="273" w:lineRule="exact"/>
              <w:ind w:left="109"/>
              <w:rPr>
                <w:b/>
                <w:sz w:val="24"/>
              </w:rPr>
            </w:pPr>
            <w:r>
              <w:rPr>
                <w:b/>
                <w:sz w:val="24"/>
              </w:rPr>
              <w:t xml:space="preserve">Comment </w:t>
            </w:r>
            <w:r>
              <w:rPr>
                <w:b/>
                <w:spacing w:val="-2"/>
                <w:sz w:val="24"/>
              </w:rPr>
              <w:t>period</w:t>
            </w:r>
          </w:p>
        </w:tc>
      </w:tr>
      <w:tr w:rsidR="00AA4A02" w14:paraId="1E8057BD" w14:textId="77777777">
        <w:trPr>
          <w:trHeight w:val="2880"/>
        </w:trPr>
        <w:tc>
          <w:tcPr>
            <w:tcW w:w="1844" w:type="dxa"/>
          </w:tcPr>
          <w:p w14:paraId="1E8057B9" w14:textId="77777777" w:rsidR="00AA4A02" w:rsidRDefault="00960F31">
            <w:pPr>
              <w:pStyle w:val="TableParagraph"/>
              <w:ind w:left="110"/>
              <w:rPr>
                <w:sz w:val="24"/>
              </w:rPr>
            </w:pPr>
            <w:r>
              <w:rPr>
                <w:spacing w:val="-2"/>
                <w:sz w:val="24"/>
              </w:rPr>
              <w:t>Standard (including amending Standards)</w:t>
            </w:r>
          </w:p>
        </w:tc>
        <w:tc>
          <w:tcPr>
            <w:tcW w:w="1840" w:type="dxa"/>
          </w:tcPr>
          <w:p w14:paraId="1E8057BA" w14:textId="77777777" w:rsidR="00AA4A02" w:rsidRDefault="00960F31">
            <w:pPr>
              <w:pStyle w:val="TableParagraph"/>
              <w:spacing w:line="273" w:lineRule="exact"/>
              <w:ind w:left="109"/>
              <w:rPr>
                <w:sz w:val="24"/>
              </w:rPr>
            </w:pPr>
            <w:r>
              <w:rPr>
                <w:sz w:val="24"/>
              </w:rPr>
              <w:t>Exposure</w:t>
            </w:r>
            <w:r>
              <w:rPr>
                <w:spacing w:val="1"/>
                <w:sz w:val="24"/>
              </w:rPr>
              <w:t xml:space="preserve"> </w:t>
            </w:r>
            <w:r>
              <w:rPr>
                <w:spacing w:val="-4"/>
                <w:sz w:val="24"/>
              </w:rPr>
              <w:t>Draft</w:t>
            </w:r>
          </w:p>
        </w:tc>
        <w:tc>
          <w:tcPr>
            <w:tcW w:w="4395" w:type="dxa"/>
          </w:tcPr>
          <w:p w14:paraId="1E8057BB" w14:textId="77777777" w:rsidR="00AA4A02" w:rsidRDefault="00960F31">
            <w:pPr>
              <w:pStyle w:val="TableParagraph"/>
              <w:ind w:left="109" w:right="176"/>
              <w:rPr>
                <w:sz w:val="24"/>
              </w:rPr>
            </w:pPr>
            <w:r>
              <w:rPr>
                <w:sz w:val="24"/>
              </w:rPr>
              <w:t>IASB-related Standard – generally, the IASB gives a 120-day comment period, but the AASB’s comment period usually ends</w:t>
            </w:r>
            <w:r>
              <w:rPr>
                <w:spacing w:val="-6"/>
                <w:sz w:val="24"/>
              </w:rPr>
              <w:t xml:space="preserve"> </w:t>
            </w:r>
            <w:r>
              <w:rPr>
                <w:sz w:val="24"/>
              </w:rPr>
              <w:t>4-6</w:t>
            </w:r>
            <w:r>
              <w:rPr>
                <w:spacing w:val="-4"/>
                <w:sz w:val="24"/>
              </w:rPr>
              <w:t xml:space="preserve"> </w:t>
            </w:r>
            <w:r>
              <w:rPr>
                <w:sz w:val="24"/>
              </w:rPr>
              <w:t>weeks</w:t>
            </w:r>
            <w:r>
              <w:rPr>
                <w:spacing w:val="-6"/>
                <w:sz w:val="24"/>
              </w:rPr>
              <w:t xml:space="preserve"> </w:t>
            </w:r>
            <w:r>
              <w:rPr>
                <w:sz w:val="24"/>
              </w:rPr>
              <w:t>before</w:t>
            </w:r>
            <w:r>
              <w:rPr>
                <w:spacing w:val="-4"/>
                <w:sz w:val="24"/>
              </w:rPr>
              <w:t xml:space="preserve"> </w:t>
            </w:r>
            <w:r>
              <w:rPr>
                <w:sz w:val="24"/>
              </w:rPr>
              <w:t>the</w:t>
            </w:r>
            <w:r>
              <w:rPr>
                <w:spacing w:val="-4"/>
                <w:sz w:val="24"/>
              </w:rPr>
              <w:t xml:space="preserve"> </w:t>
            </w:r>
            <w:r>
              <w:rPr>
                <w:sz w:val="24"/>
              </w:rPr>
              <w:t>IASB</w:t>
            </w:r>
            <w:r>
              <w:rPr>
                <w:spacing w:val="-5"/>
                <w:sz w:val="24"/>
              </w:rPr>
              <w:t xml:space="preserve"> </w:t>
            </w:r>
            <w:r>
              <w:rPr>
                <w:sz w:val="24"/>
              </w:rPr>
              <w:t>due</w:t>
            </w:r>
            <w:r>
              <w:rPr>
                <w:spacing w:val="-5"/>
                <w:sz w:val="24"/>
              </w:rPr>
              <w:t xml:space="preserve"> </w:t>
            </w:r>
            <w:r>
              <w:rPr>
                <w:sz w:val="24"/>
              </w:rPr>
              <w:t>date to enable the AASB to consider submissions. If narrow in scope and urgent, no less than 30 days.</w:t>
            </w:r>
          </w:p>
          <w:p w14:paraId="1E8057BC" w14:textId="77777777" w:rsidR="00AA4A02" w:rsidRDefault="00960F31">
            <w:pPr>
              <w:pStyle w:val="TableParagraph"/>
              <w:spacing w:before="57" w:line="242" w:lineRule="auto"/>
              <w:ind w:left="109" w:right="413"/>
              <w:jc w:val="both"/>
              <w:rPr>
                <w:sz w:val="24"/>
              </w:rPr>
            </w:pPr>
            <w:r>
              <w:rPr>
                <w:sz w:val="24"/>
              </w:rPr>
              <w:t>Domestic</w:t>
            </w:r>
            <w:r>
              <w:rPr>
                <w:spacing w:val="-7"/>
                <w:sz w:val="24"/>
              </w:rPr>
              <w:t xml:space="preserve"> </w:t>
            </w:r>
            <w:r>
              <w:rPr>
                <w:sz w:val="24"/>
              </w:rPr>
              <w:t>Standard</w:t>
            </w:r>
            <w:r>
              <w:rPr>
                <w:spacing w:val="-6"/>
                <w:sz w:val="24"/>
              </w:rPr>
              <w:t xml:space="preserve"> </w:t>
            </w:r>
            <w:r>
              <w:rPr>
                <w:sz w:val="24"/>
              </w:rPr>
              <w:t>–</w:t>
            </w:r>
            <w:r>
              <w:rPr>
                <w:spacing w:val="-7"/>
                <w:sz w:val="24"/>
              </w:rPr>
              <w:t xml:space="preserve"> </w:t>
            </w:r>
            <w:r>
              <w:rPr>
                <w:sz w:val="24"/>
              </w:rPr>
              <w:t>generally</w:t>
            </w:r>
            <w:r>
              <w:rPr>
                <w:spacing w:val="-10"/>
                <w:sz w:val="24"/>
              </w:rPr>
              <w:t xml:space="preserve"> </w:t>
            </w:r>
            <w:r>
              <w:rPr>
                <w:sz w:val="24"/>
              </w:rPr>
              <w:t>a</w:t>
            </w:r>
            <w:r>
              <w:rPr>
                <w:spacing w:val="-8"/>
                <w:sz w:val="24"/>
              </w:rPr>
              <w:t xml:space="preserve"> </w:t>
            </w:r>
            <w:r>
              <w:rPr>
                <w:sz w:val="24"/>
              </w:rPr>
              <w:t>90-day comment period; but if narrow in scope and urgent, no less than 30 days.</w:t>
            </w:r>
          </w:p>
        </w:tc>
      </w:tr>
      <w:tr w:rsidR="00AA4A02" w14:paraId="1E8057C1" w14:textId="77777777">
        <w:trPr>
          <w:trHeight w:val="887"/>
        </w:trPr>
        <w:tc>
          <w:tcPr>
            <w:tcW w:w="1844" w:type="dxa"/>
          </w:tcPr>
          <w:p w14:paraId="1E8057BE" w14:textId="77777777" w:rsidR="00AA4A02" w:rsidRDefault="00AA4A02">
            <w:pPr>
              <w:pStyle w:val="TableParagraph"/>
              <w:ind w:left="0"/>
            </w:pPr>
          </w:p>
        </w:tc>
        <w:tc>
          <w:tcPr>
            <w:tcW w:w="1840" w:type="dxa"/>
          </w:tcPr>
          <w:p w14:paraId="1E8057BF" w14:textId="77777777" w:rsidR="00AA4A02" w:rsidRDefault="00960F31">
            <w:pPr>
              <w:pStyle w:val="TableParagraph"/>
              <w:spacing w:line="237" w:lineRule="auto"/>
              <w:ind w:left="109" w:right="121"/>
              <w:rPr>
                <w:sz w:val="24"/>
              </w:rPr>
            </w:pPr>
            <w:r>
              <w:rPr>
                <w:spacing w:val="-2"/>
                <w:sz w:val="24"/>
              </w:rPr>
              <w:t xml:space="preserve">Fatal-flaw </w:t>
            </w:r>
            <w:r>
              <w:rPr>
                <w:sz w:val="24"/>
              </w:rPr>
              <w:t>review</w:t>
            </w:r>
            <w:r>
              <w:rPr>
                <w:spacing w:val="-15"/>
                <w:sz w:val="24"/>
              </w:rPr>
              <w:t xml:space="preserve"> </w:t>
            </w:r>
            <w:r>
              <w:rPr>
                <w:sz w:val="24"/>
              </w:rPr>
              <w:t>draft</w:t>
            </w:r>
          </w:p>
        </w:tc>
        <w:tc>
          <w:tcPr>
            <w:tcW w:w="4395" w:type="dxa"/>
          </w:tcPr>
          <w:p w14:paraId="1E8057C0" w14:textId="77777777" w:rsidR="00AA4A02" w:rsidRDefault="00960F31">
            <w:pPr>
              <w:pStyle w:val="TableParagraph"/>
              <w:spacing w:line="242" w:lineRule="auto"/>
              <w:ind w:left="109"/>
              <w:rPr>
                <w:sz w:val="24"/>
              </w:rPr>
            </w:pPr>
            <w:r>
              <w:rPr>
                <w:sz w:val="24"/>
              </w:rPr>
              <w:t>Domestic</w:t>
            </w:r>
            <w:r>
              <w:rPr>
                <w:spacing w:val="-5"/>
                <w:sz w:val="24"/>
              </w:rPr>
              <w:t xml:space="preserve"> </w:t>
            </w:r>
            <w:r>
              <w:rPr>
                <w:sz w:val="24"/>
              </w:rPr>
              <w:t>Standard</w:t>
            </w:r>
            <w:r>
              <w:rPr>
                <w:spacing w:val="-4"/>
                <w:sz w:val="24"/>
              </w:rPr>
              <w:t xml:space="preserve"> </w:t>
            </w:r>
            <w:r>
              <w:rPr>
                <w:sz w:val="24"/>
              </w:rPr>
              <w:t>only</w:t>
            </w:r>
            <w:r>
              <w:rPr>
                <w:spacing w:val="-5"/>
                <w:sz w:val="24"/>
              </w:rPr>
              <w:t xml:space="preserve"> </w:t>
            </w:r>
            <w:r>
              <w:rPr>
                <w:sz w:val="24"/>
              </w:rPr>
              <w:t>–</w:t>
            </w:r>
            <w:r>
              <w:rPr>
                <w:spacing w:val="-9"/>
                <w:sz w:val="24"/>
              </w:rPr>
              <w:t xml:space="preserve"> </w:t>
            </w:r>
            <w:r>
              <w:rPr>
                <w:sz w:val="24"/>
              </w:rPr>
              <w:t>generally</w:t>
            </w:r>
            <w:r>
              <w:rPr>
                <w:spacing w:val="-4"/>
                <w:sz w:val="24"/>
              </w:rPr>
              <w:t xml:space="preserve"> </w:t>
            </w:r>
            <w:r>
              <w:rPr>
                <w:sz w:val="24"/>
              </w:rPr>
              <w:t>a</w:t>
            </w:r>
            <w:r>
              <w:rPr>
                <w:spacing w:val="-10"/>
                <w:sz w:val="24"/>
              </w:rPr>
              <w:t xml:space="preserve"> </w:t>
            </w:r>
            <w:r>
              <w:rPr>
                <w:sz w:val="24"/>
              </w:rPr>
              <w:t>4-week comment period; but if narrow in scope and urgent, no less than 2 weeks.</w:t>
            </w:r>
          </w:p>
        </w:tc>
      </w:tr>
      <w:tr w:rsidR="00AA4A02" w14:paraId="1E8057C6" w14:textId="77777777">
        <w:trPr>
          <w:trHeight w:val="2880"/>
        </w:trPr>
        <w:tc>
          <w:tcPr>
            <w:tcW w:w="1844" w:type="dxa"/>
          </w:tcPr>
          <w:p w14:paraId="1E8057C2" w14:textId="77777777" w:rsidR="00AA4A02" w:rsidRDefault="00960F31">
            <w:pPr>
              <w:pStyle w:val="TableParagraph"/>
              <w:spacing w:line="273" w:lineRule="exact"/>
              <w:ind w:left="110"/>
              <w:rPr>
                <w:sz w:val="24"/>
              </w:rPr>
            </w:pPr>
            <w:r>
              <w:rPr>
                <w:spacing w:val="-2"/>
                <w:sz w:val="24"/>
              </w:rPr>
              <w:t>Interpretation</w:t>
            </w:r>
          </w:p>
        </w:tc>
        <w:tc>
          <w:tcPr>
            <w:tcW w:w="1840" w:type="dxa"/>
          </w:tcPr>
          <w:p w14:paraId="1E8057C3" w14:textId="77777777" w:rsidR="00AA4A02" w:rsidRDefault="00960F31">
            <w:pPr>
              <w:pStyle w:val="TableParagraph"/>
              <w:spacing w:line="242" w:lineRule="auto"/>
              <w:ind w:left="109"/>
              <w:rPr>
                <w:sz w:val="24"/>
              </w:rPr>
            </w:pPr>
            <w:r>
              <w:rPr>
                <w:spacing w:val="-2"/>
                <w:sz w:val="24"/>
              </w:rPr>
              <w:t>Draft Interpretation</w:t>
            </w:r>
          </w:p>
        </w:tc>
        <w:tc>
          <w:tcPr>
            <w:tcW w:w="4395" w:type="dxa"/>
          </w:tcPr>
          <w:p w14:paraId="1E8057C4" w14:textId="77777777" w:rsidR="00AA4A02" w:rsidRDefault="00960F31">
            <w:pPr>
              <w:pStyle w:val="TableParagraph"/>
              <w:ind w:left="109" w:right="176"/>
              <w:rPr>
                <w:sz w:val="24"/>
              </w:rPr>
            </w:pPr>
            <w:r>
              <w:rPr>
                <w:sz w:val="24"/>
              </w:rPr>
              <w:t>IASB-related Interpretation – generally, the</w:t>
            </w:r>
            <w:r>
              <w:rPr>
                <w:spacing w:val="-6"/>
                <w:sz w:val="24"/>
              </w:rPr>
              <w:t xml:space="preserve"> </w:t>
            </w:r>
            <w:r>
              <w:rPr>
                <w:sz w:val="24"/>
              </w:rPr>
              <w:t>IASB</w:t>
            </w:r>
            <w:r>
              <w:rPr>
                <w:spacing w:val="-6"/>
                <w:sz w:val="24"/>
              </w:rPr>
              <w:t xml:space="preserve"> </w:t>
            </w:r>
            <w:r>
              <w:rPr>
                <w:sz w:val="24"/>
              </w:rPr>
              <w:t>gives</w:t>
            </w:r>
            <w:r>
              <w:rPr>
                <w:spacing w:val="-8"/>
                <w:sz w:val="24"/>
              </w:rPr>
              <w:t xml:space="preserve"> </w:t>
            </w:r>
            <w:r>
              <w:rPr>
                <w:sz w:val="24"/>
              </w:rPr>
              <w:t>a</w:t>
            </w:r>
            <w:r>
              <w:rPr>
                <w:spacing w:val="-6"/>
                <w:sz w:val="24"/>
              </w:rPr>
              <w:t xml:space="preserve"> </w:t>
            </w:r>
            <w:r>
              <w:rPr>
                <w:sz w:val="24"/>
              </w:rPr>
              <w:t>90-day</w:t>
            </w:r>
            <w:r>
              <w:rPr>
                <w:spacing w:val="-6"/>
                <w:sz w:val="24"/>
              </w:rPr>
              <w:t xml:space="preserve"> </w:t>
            </w:r>
            <w:r>
              <w:rPr>
                <w:sz w:val="24"/>
              </w:rPr>
              <w:t>comment</w:t>
            </w:r>
            <w:r>
              <w:rPr>
                <w:spacing w:val="-5"/>
                <w:sz w:val="24"/>
              </w:rPr>
              <w:t xml:space="preserve"> </w:t>
            </w:r>
            <w:r>
              <w:rPr>
                <w:sz w:val="24"/>
              </w:rPr>
              <w:t>period, but the AASB’s comment period usually ends 4-6 weeks before the IASB due date to enable the AASB to consider submissions. If narrow in scope and urgent, no less than 30 days.</w:t>
            </w:r>
          </w:p>
          <w:p w14:paraId="1E8057C5" w14:textId="77777777" w:rsidR="00AA4A02" w:rsidRDefault="00960F31">
            <w:pPr>
              <w:pStyle w:val="TableParagraph"/>
              <w:spacing w:before="57" w:line="242" w:lineRule="auto"/>
              <w:ind w:left="109" w:right="70"/>
              <w:rPr>
                <w:sz w:val="24"/>
              </w:rPr>
            </w:pPr>
            <w:r>
              <w:rPr>
                <w:sz w:val="24"/>
              </w:rPr>
              <w:t>Domestic Interpretation – generally 60 days;</w:t>
            </w:r>
            <w:r>
              <w:rPr>
                <w:spacing w:val="-4"/>
                <w:sz w:val="24"/>
              </w:rPr>
              <w:t xml:space="preserve"> </w:t>
            </w:r>
            <w:r>
              <w:rPr>
                <w:sz w:val="24"/>
              </w:rPr>
              <w:t>if</w:t>
            </w:r>
            <w:r>
              <w:rPr>
                <w:spacing w:val="-2"/>
                <w:sz w:val="24"/>
              </w:rPr>
              <w:t xml:space="preserve"> </w:t>
            </w:r>
            <w:r>
              <w:rPr>
                <w:sz w:val="24"/>
              </w:rPr>
              <w:t>narrow</w:t>
            </w:r>
            <w:r>
              <w:rPr>
                <w:spacing w:val="-9"/>
                <w:sz w:val="24"/>
              </w:rPr>
              <w:t xml:space="preserve"> </w:t>
            </w:r>
            <w:r>
              <w:rPr>
                <w:sz w:val="24"/>
              </w:rPr>
              <w:t>in</w:t>
            </w:r>
            <w:r>
              <w:rPr>
                <w:spacing w:val="-3"/>
                <w:sz w:val="24"/>
              </w:rPr>
              <w:t xml:space="preserve"> </w:t>
            </w:r>
            <w:r>
              <w:rPr>
                <w:sz w:val="24"/>
              </w:rPr>
              <w:t>scope</w:t>
            </w:r>
            <w:r>
              <w:rPr>
                <w:spacing w:val="-5"/>
                <w:sz w:val="24"/>
              </w:rPr>
              <w:t xml:space="preserve"> </w:t>
            </w:r>
            <w:r>
              <w:rPr>
                <w:sz w:val="24"/>
              </w:rPr>
              <w:t>and</w:t>
            </w:r>
            <w:r>
              <w:rPr>
                <w:spacing w:val="-4"/>
                <w:sz w:val="24"/>
              </w:rPr>
              <w:t xml:space="preserve"> </w:t>
            </w:r>
            <w:r>
              <w:rPr>
                <w:sz w:val="24"/>
              </w:rPr>
              <w:t>urgent,</w:t>
            </w:r>
            <w:r>
              <w:rPr>
                <w:spacing w:val="-5"/>
                <w:sz w:val="24"/>
              </w:rPr>
              <w:t xml:space="preserve"> </w:t>
            </w:r>
            <w:r>
              <w:rPr>
                <w:sz w:val="24"/>
              </w:rPr>
              <w:t>no</w:t>
            </w:r>
            <w:r>
              <w:rPr>
                <w:spacing w:val="-4"/>
                <w:sz w:val="24"/>
              </w:rPr>
              <w:t xml:space="preserve"> </w:t>
            </w:r>
            <w:r>
              <w:rPr>
                <w:sz w:val="24"/>
              </w:rPr>
              <w:t>less than 30 days.</w:t>
            </w:r>
          </w:p>
        </w:tc>
      </w:tr>
    </w:tbl>
    <w:p w14:paraId="1E8057C7" w14:textId="77777777" w:rsidR="00AA4A02" w:rsidRDefault="00AA4A02">
      <w:pPr>
        <w:pStyle w:val="TableParagraph"/>
        <w:spacing w:line="242" w:lineRule="auto"/>
        <w:rPr>
          <w:sz w:val="24"/>
        </w:rPr>
        <w:sectPr w:rsidR="00AA4A02">
          <w:pgSz w:w="11900" w:h="16840"/>
          <w:pgMar w:top="1600" w:right="992" w:bottom="920" w:left="1275" w:header="652" w:footer="724" w:gutter="0"/>
          <w:cols w:space="720"/>
        </w:sectPr>
      </w:pPr>
    </w:p>
    <w:p w14:paraId="1E8057C8" w14:textId="77777777" w:rsidR="00AA4A02" w:rsidRDefault="00960F31">
      <w:pPr>
        <w:pStyle w:val="ListParagraph"/>
        <w:numPr>
          <w:ilvl w:val="2"/>
          <w:numId w:val="51"/>
        </w:numPr>
        <w:tabs>
          <w:tab w:val="left" w:pos="1558"/>
        </w:tabs>
        <w:spacing w:before="80" w:line="247" w:lineRule="auto"/>
        <w:ind w:right="639"/>
        <w:rPr>
          <w:sz w:val="24"/>
        </w:rPr>
      </w:pPr>
      <w:r>
        <w:rPr>
          <w:sz w:val="24"/>
        </w:rPr>
        <w:lastRenderedPageBreak/>
        <w:t>making</w:t>
      </w:r>
      <w:r>
        <w:rPr>
          <w:spacing w:val="-3"/>
          <w:sz w:val="24"/>
        </w:rPr>
        <w:t xml:space="preserve"> </w:t>
      </w:r>
      <w:r>
        <w:rPr>
          <w:sz w:val="24"/>
        </w:rPr>
        <w:t>public</w:t>
      </w:r>
      <w:r>
        <w:rPr>
          <w:spacing w:val="-3"/>
          <w:sz w:val="24"/>
        </w:rPr>
        <w:t xml:space="preserve"> </w:t>
      </w:r>
      <w:r>
        <w:rPr>
          <w:sz w:val="24"/>
        </w:rPr>
        <w:t>submissions</w:t>
      </w:r>
      <w:r>
        <w:rPr>
          <w:spacing w:val="-4"/>
          <w:sz w:val="24"/>
        </w:rPr>
        <w:t xml:space="preserve"> </w:t>
      </w:r>
      <w:r>
        <w:rPr>
          <w:sz w:val="24"/>
        </w:rPr>
        <w:t>received,</w:t>
      </w:r>
      <w:r>
        <w:rPr>
          <w:spacing w:val="-1"/>
          <w:sz w:val="24"/>
        </w:rPr>
        <w:t xml:space="preserve"> </w:t>
      </w:r>
      <w:r>
        <w:rPr>
          <w:sz w:val="24"/>
        </w:rPr>
        <w:t>summaries</w:t>
      </w:r>
      <w:r>
        <w:rPr>
          <w:spacing w:val="-5"/>
          <w:sz w:val="24"/>
        </w:rPr>
        <w:t xml:space="preserve"> </w:t>
      </w:r>
      <w:r>
        <w:rPr>
          <w:sz w:val="24"/>
        </w:rPr>
        <w:t>of</w:t>
      </w:r>
      <w:r>
        <w:rPr>
          <w:spacing w:val="-6"/>
          <w:sz w:val="24"/>
        </w:rPr>
        <w:t xml:space="preserve"> </w:t>
      </w:r>
      <w:r>
        <w:rPr>
          <w:sz w:val="24"/>
        </w:rPr>
        <w:t>outreach</w:t>
      </w:r>
      <w:r>
        <w:rPr>
          <w:spacing w:val="-2"/>
          <w:sz w:val="24"/>
        </w:rPr>
        <w:t xml:space="preserve"> </w:t>
      </w:r>
      <w:r>
        <w:rPr>
          <w:sz w:val="24"/>
        </w:rPr>
        <w:t>events</w:t>
      </w:r>
      <w:r>
        <w:rPr>
          <w:spacing w:val="-5"/>
          <w:sz w:val="24"/>
        </w:rPr>
        <w:t xml:space="preserve"> </w:t>
      </w:r>
      <w:r>
        <w:rPr>
          <w:sz w:val="24"/>
        </w:rPr>
        <w:t>and</w:t>
      </w:r>
      <w:r>
        <w:rPr>
          <w:spacing w:val="-2"/>
          <w:sz w:val="24"/>
        </w:rPr>
        <w:t xml:space="preserve"> </w:t>
      </w:r>
      <w:r>
        <w:rPr>
          <w:sz w:val="24"/>
        </w:rPr>
        <w:t>other targeted consultations;</w:t>
      </w:r>
    </w:p>
    <w:p w14:paraId="1E8057C9" w14:textId="77777777" w:rsidR="00AA4A02" w:rsidRDefault="00960F31">
      <w:pPr>
        <w:pStyle w:val="ListParagraph"/>
        <w:numPr>
          <w:ilvl w:val="2"/>
          <w:numId w:val="51"/>
        </w:numPr>
        <w:tabs>
          <w:tab w:val="left" w:pos="1558"/>
        </w:tabs>
        <w:spacing w:before="224" w:line="242" w:lineRule="auto"/>
        <w:ind w:right="681"/>
        <w:rPr>
          <w:sz w:val="24"/>
        </w:rPr>
      </w:pPr>
      <w:r>
        <w:rPr>
          <w:sz w:val="24"/>
        </w:rPr>
        <w:t>considering in a timely manner the feedback received from comment letters and</w:t>
      </w:r>
      <w:r>
        <w:rPr>
          <w:spacing w:val="-3"/>
          <w:sz w:val="24"/>
        </w:rPr>
        <w:t xml:space="preserve"> </w:t>
      </w:r>
      <w:r>
        <w:rPr>
          <w:sz w:val="24"/>
        </w:rPr>
        <w:t>other</w:t>
      </w:r>
      <w:r>
        <w:rPr>
          <w:spacing w:val="-2"/>
          <w:sz w:val="24"/>
        </w:rPr>
        <w:t xml:space="preserve"> </w:t>
      </w:r>
      <w:r>
        <w:rPr>
          <w:sz w:val="24"/>
        </w:rPr>
        <w:t>outreach</w:t>
      </w:r>
      <w:r>
        <w:rPr>
          <w:spacing w:val="-2"/>
          <w:sz w:val="24"/>
        </w:rPr>
        <w:t xml:space="preserve"> </w:t>
      </w:r>
      <w:r>
        <w:rPr>
          <w:sz w:val="24"/>
        </w:rPr>
        <w:t>events</w:t>
      </w:r>
      <w:r>
        <w:rPr>
          <w:spacing w:val="-4"/>
          <w:sz w:val="24"/>
        </w:rPr>
        <w:t xml:space="preserve"> </w:t>
      </w:r>
      <w:r>
        <w:rPr>
          <w:sz w:val="24"/>
        </w:rPr>
        <w:t>and</w:t>
      </w:r>
      <w:r>
        <w:rPr>
          <w:spacing w:val="-3"/>
          <w:sz w:val="24"/>
        </w:rPr>
        <w:t xml:space="preserve"> </w:t>
      </w:r>
      <w:r>
        <w:rPr>
          <w:sz w:val="24"/>
        </w:rPr>
        <w:t>addressing</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Basis</w:t>
      </w:r>
      <w:r>
        <w:rPr>
          <w:spacing w:val="-5"/>
          <w:sz w:val="24"/>
        </w:rPr>
        <w:t xml:space="preserve"> </w:t>
      </w:r>
      <w:r>
        <w:rPr>
          <w:sz w:val="24"/>
        </w:rPr>
        <w:t>for</w:t>
      </w:r>
      <w:r>
        <w:rPr>
          <w:spacing w:val="-1"/>
          <w:sz w:val="24"/>
        </w:rPr>
        <w:t xml:space="preserve"> </w:t>
      </w:r>
      <w:r>
        <w:rPr>
          <w:sz w:val="24"/>
        </w:rPr>
        <w:t>Conclusions</w:t>
      </w:r>
      <w:r>
        <w:rPr>
          <w:spacing w:val="-4"/>
          <w:sz w:val="24"/>
        </w:rPr>
        <w:t xml:space="preserve"> </w:t>
      </w:r>
      <w:r>
        <w:rPr>
          <w:sz w:val="24"/>
        </w:rPr>
        <w:t>of</w:t>
      </w:r>
      <w:r>
        <w:rPr>
          <w:spacing w:val="-1"/>
          <w:sz w:val="24"/>
        </w:rPr>
        <w:t xml:space="preserve"> </w:t>
      </w:r>
      <w:r>
        <w:rPr>
          <w:sz w:val="24"/>
        </w:rPr>
        <w:t>any final pronouncement how the feedback has been addressed;</w:t>
      </w:r>
    </w:p>
    <w:p w14:paraId="1E8057CA" w14:textId="77777777" w:rsidR="00AA4A02" w:rsidRDefault="00960F31">
      <w:pPr>
        <w:pStyle w:val="ListParagraph"/>
        <w:numPr>
          <w:ilvl w:val="2"/>
          <w:numId w:val="51"/>
        </w:numPr>
        <w:tabs>
          <w:tab w:val="left" w:pos="1557"/>
        </w:tabs>
        <w:spacing w:before="239"/>
        <w:ind w:left="1557" w:hanging="705"/>
        <w:rPr>
          <w:sz w:val="24"/>
        </w:rPr>
      </w:pPr>
      <w:r>
        <w:rPr>
          <w:sz w:val="24"/>
        </w:rPr>
        <w:t>considering</w:t>
      </w:r>
      <w:r>
        <w:rPr>
          <w:spacing w:val="-3"/>
          <w:sz w:val="24"/>
        </w:rPr>
        <w:t xml:space="preserve"> </w:t>
      </w:r>
      <w:r>
        <w:rPr>
          <w:sz w:val="24"/>
        </w:rPr>
        <w:t>whether the</w:t>
      </w:r>
      <w:r>
        <w:rPr>
          <w:spacing w:val="-1"/>
          <w:sz w:val="24"/>
        </w:rPr>
        <w:t xml:space="preserve"> </w:t>
      </w:r>
      <w:r>
        <w:rPr>
          <w:sz w:val="24"/>
        </w:rPr>
        <w:t>proposals</w:t>
      </w:r>
      <w:r>
        <w:rPr>
          <w:spacing w:val="-2"/>
          <w:sz w:val="24"/>
        </w:rPr>
        <w:t xml:space="preserve"> </w:t>
      </w:r>
      <w:r>
        <w:rPr>
          <w:sz w:val="24"/>
        </w:rPr>
        <w:t>should be</w:t>
      </w:r>
      <w:r>
        <w:rPr>
          <w:spacing w:val="-2"/>
          <w:sz w:val="24"/>
        </w:rPr>
        <w:t xml:space="preserve"> </w:t>
      </w:r>
      <w:r>
        <w:rPr>
          <w:sz w:val="24"/>
        </w:rPr>
        <w:t xml:space="preserve">exposed again; </w:t>
      </w:r>
      <w:r>
        <w:rPr>
          <w:spacing w:val="-5"/>
          <w:sz w:val="24"/>
        </w:rPr>
        <w:t>and</w:t>
      </w:r>
    </w:p>
    <w:p w14:paraId="1E8057CB" w14:textId="77777777" w:rsidR="00AA4A02" w:rsidRDefault="00960F31">
      <w:pPr>
        <w:pStyle w:val="ListParagraph"/>
        <w:numPr>
          <w:ilvl w:val="2"/>
          <w:numId w:val="51"/>
        </w:numPr>
        <w:tabs>
          <w:tab w:val="left" w:pos="1557"/>
        </w:tabs>
        <w:spacing w:before="238"/>
        <w:ind w:left="1557" w:hanging="705"/>
        <w:rPr>
          <w:sz w:val="24"/>
        </w:rPr>
      </w:pPr>
      <w:r>
        <w:rPr>
          <w:sz w:val="24"/>
        </w:rPr>
        <w:t>reporting</w:t>
      </w:r>
      <w:r>
        <w:rPr>
          <w:spacing w:val="1"/>
          <w:sz w:val="24"/>
        </w:rPr>
        <w:t xml:space="preserve"> </w:t>
      </w:r>
      <w:r>
        <w:rPr>
          <w:sz w:val="24"/>
        </w:rPr>
        <w:t>to</w:t>
      </w:r>
      <w:r>
        <w:rPr>
          <w:spacing w:val="-4"/>
          <w:sz w:val="24"/>
        </w:rPr>
        <w:t xml:space="preserve"> </w:t>
      </w:r>
      <w:r>
        <w:rPr>
          <w:sz w:val="24"/>
        </w:rPr>
        <w:t>the Financial</w:t>
      </w:r>
      <w:r>
        <w:rPr>
          <w:spacing w:val="1"/>
          <w:sz w:val="24"/>
        </w:rPr>
        <w:t xml:space="preserve"> </w:t>
      </w:r>
      <w:r>
        <w:rPr>
          <w:sz w:val="24"/>
        </w:rPr>
        <w:t>Reporting</w:t>
      </w:r>
      <w:r>
        <w:rPr>
          <w:spacing w:val="1"/>
          <w:sz w:val="24"/>
        </w:rPr>
        <w:t xml:space="preserve"> </w:t>
      </w:r>
      <w:r>
        <w:rPr>
          <w:sz w:val="24"/>
        </w:rPr>
        <w:t>Council</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z w:val="24"/>
        </w:rPr>
        <w:t>due</w:t>
      </w:r>
      <w:r>
        <w:rPr>
          <w:spacing w:val="-1"/>
          <w:sz w:val="24"/>
        </w:rPr>
        <w:t xml:space="preserve"> </w:t>
      </w:r>
      <w:r>
        <w:rPr>
          <w:sz w:val="24"/>
        </w:rPr>
        <w:t>process</w:t>
      </w:r>
      <w:r>
        <w:rPr>
          <w:spacing w:val="-1"/>
          <w:sz w:val="24"/>
        </w:rPr>
        <w:t xml:space="preserve"> </w:t>
      </w:r>
      <w:r>
        <w:rPr>
          <w:spacing w:val="-2"/>
          <w:sz w:val="24"/>
        </w:rPr>
        <w:t>followed.</w:t>
      </w:r>
    </w:p>
    <w:p w14:paraId="1E8057CC" w14:textId="77777777" w:rsidR="00AA4A02" w:rsidRDefault="00960F31">
      <w:pPr>
        <w:pStyle w:val="Heading9"/>
        <w:spacing w:before="242"/>
      </w:pPr>
      <w:r>
        <w:t>Comply or</w:t>
      </w:r>
      <w:r>
        <w:rPr>
          <w:spacing w:val="-1"/>
        </w:rPr>
        <w:t xml:space="preserve"> </w:t>
      </w:r>
      <w:r>
        <w:t>explain</w:t>
      </w:r>
      <w:r>
        <w:rPr>
          <w:spacing w:val="-3"/>
        </w:rPr>
        <w:t xml:space="preserve"> </w:t>
      </w:r>
      <w:r>
        <w:t>due</w:t>
      </w:r>
      <w:r>
        <w:rPr>
          <w:spacing w:val="-1"/>
        </w:rPr>
        <w:t xml:space="preserve"> </w:t>
      </w:r>
      <w:r>
        <w:t>process</w:t>
      </w:r>
      <w:r>
        <w:rPr>
          <w:spacing w:val="-2"/>
        </w:rPr>
        <w:t xml:space="preserve"> </w:t>
      </w:r>
      <w:r>
        <w:rPr>
          <w:spacing w:val="-4"/>
        </w:rPr>
        <w:t>steps</w:t>
      </w:r>
    </w:p>
    <w:p w14:paraId="1E8057CD" w14:textId="77777777" w:rsidR="00AA4A02" w:rsidRDefault="00960F31">
      <w:pPr>
        <w:pStyle w:val="ListParagraph"/>
        <w:numPr>
          <w:ilvl w:val="1"/>
          <w:numId w:val="51"/>
        </w:numPr>
        <w:tabs>
          <w:tab w:val="left" w:pos="852"/>
        </w:tabs>
        <w:spacing w:before="233" w:line="247" w:lineRule="auto"/>
        <w:ind w:right="857"/>
        <w:rPr>
          <w:sz w:val="24"/>
        </w:rPr>
      </w:pPr>
      <w:r>
        <w:rPr>
          <w:sz w:val="24"/>
        </w:rPr>
        <w:t>Other</w:t>
      </w:r>
      <w:r>
        <w:rPr>
          <w:spacing w:val="-1"/>
          <w:sz w:val="24"/>
        </w:rPr>
        <w:t xml:space="preserve"> </w:t>
      </w:r>
      <w:r>
        <w:rPr>
          <w:sz w:val="24"/>
        </w:rPr>
        <w:t>due</w:t>
      </w:r>
      <w:r>
        <w:rPr>
          <w:spacing w:val="-4"/>
          <w:sz w:val="24"/>
        </w:rPr>
        <w:t xml:space="preserve"> </w:t>
      </w:r>
      <w:r>
        <w:rPr>
          <w:sz w:val="24"/>
        </w:rPr>
        <w:t>process</w:t>
      </w:r>
      <w:r>
        <w:rPr>
          <w:spacing w:val="-5"/>
          <w:sz w:val="24"/>
        </w:rPr>
        <w:t xml:space="preserve"> </w:t>
      </w:r>
      <w:r>
        <w:rPr>
          <w:sz w:val="24"/>
        </w:rPr>
        <w:t>steps</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AASB</w:t>
      </w:r>
      <w:r>
        <w:rPr>
          <w:spacing w:val="-5"/>
          <w:sz w:val="24"/>
        </w:rPr>
        <w:t xml:space="preserve"> </w:t>
      </w:r>
      <w:r>
        <w:rPr>
          <w:sz w:val="24"/>
        </w:rPr>
        <w:t>considers,</w:t>
      </w:r>
      <w:r>
        <w:rPr>
          <w:spacing w:val="-5"/>
          <w:sz w:val="24"/>
        </w:rPr>
        <w:t xml:space="preserve"> </w:t>
      </w:r>
      <w:r>
        <w:rPr>
          <w:sz w:val="24"/>
        </w:rPr>
        <w:t>and</w:t>
      </w:r>
      <w:r>
        <w:rPr>
          <w:spacing w:val="-3"/>
          <w:sz w:val="24"/>
        </w:rPr>
        <w:t xml:space="preserve"> </w:t>
      </w:r>
      <w:r>
        <w:rPr>
          <w:sz w:val="24"/>
        </w:rPr>
        <w:t>if</w:t>
      </w:r>
      <w:r>
        <w:rPr>
          <w:spacing w:val="-1"/>
          <w:sz w:val="24"/>
        </w:rPr>
        <w:t xml:space="preserve"> </w:t>
      </w:r>
      <w:r>
        <w:rPr>
          <w:sz w:val="24"/>
        </w:rPr>
        <w:t>determines</w:t>
      </w:r>
      <w:r>
        <w:rPr>
          <w:spacing w:val="-5"/>
          <w:sz w:val="24"/>
        </w:rPr>
        <w:t xml:space="preserve"> </w:t>
      </w:r>
      <w:r>
        <w:rPr>
          <w:sz w:val="24"/>
        </w:rPr>
        <w:t>not</w:t>
      </w:r>
      <w:r>
        <w:rPr>
          <w:spacing w:val="-3"/>
          <w:sz w:val="24"/>
        </w:rPr>
        <w:t xml:space="preserve"> </w:t>
      </w:r>
      <w:r>
        <w:rPr>
          <w:sz w:val="24"/>
        </w:rPr>
        <w:t>necessary, documents its reasons, include:</w:t>
      </w:r>
    </w:p>
    <w:p w14:paraId="1E8057CE" w14:textId="77777777" w:rsidR="00AA4A02" w:rsidRDefault="00960F31">
      <w:pPr>
        <w:pStyle w:val="ListParagraph"/>
        <w:numPr>
          <w:ilvl w:val="2"/>
          <w:numId w:val="51"/>
        </w:numPr>
        <w:tabs>
          <w:tab w:val="left" w:pos="1558"/>
        </w:tabs>
        <w:spacing w:before="224" w:line="247" w:lineRule="auto"/>
        <w:ind w:right="514"/>
        <w:rPr>
          <w:sz w:val="24"/>
        </w:rPr>
      </w:pPr>
      <w:r>
        <w:rPr>
          <w:sz w:val="24"/>
        </w:rPr>
        <w:t>publishing</w:t>
      </w:r>
      <w:r>
        <w:rPr>
          <w:spacing w:val="-2"/>
          <w:sz w:val="24"/>
        </w:rPr>
        <w:t xml:space="preserve"> </w:t>
      </w:r>
      <w:r>
        <w:rPr>
          <w:sz w:val="24"/>
        </w:rPr>
        <w:t>a</w:t>
      </w:r>
      <w:r>
        <w:rPr>
          <w:spacing w:val="-3"/>
          <w:sz w:val="24"/>
        </w:rPr>
        <w:t xml:space="preserve"> </w:t>
      </w:r>
      <w:r>
        <w:rPr>
          <w:sz w:val="24"/>
        </w:rPr>
        <w:t>discussion</w:t>
      </w:r>
      <w:r>
        <w:rPr>
          <w:spacing w:val="-3"/>
          <w:sz w:val="24"/>
        </w:rPr>
        <w:t xml:space="preserve"> </w:t>
      </w:r>
      <w:r>
        <w:rPr>
          <w:sz w:val="24"/>
        </w:rPr>
        <w:t>document</w:t>
      </w:r>
      <w:r>
        <w:rPr>
          <w:spacing w:val="-3"/>
          <w:sz w:val="24"/>
        </w:rPr>
        <w:t xml:space="preserve"> </w:t>
      </w:r>
      <w:r>
        <w:rPr>
          <w:sz w:val="24"/>
        </w:rPr>
        <w:t>before</w:t>
      </w:r>
      <w:r>
        <w:rPr>
          <w:spacing w:val="-3"/>
          <w:sz w:val="24"/>
        </w:rPr>
        <w:t xml:space="preserve"> </w:t>
      </w:r>
      <w:r>
        <w:rPr>
          <w:sz w:val="24"/>
        </w:rPr>
        <w:t>an</w:t>
      </w:r>
      <w:r>
        <w:rPr>
          <w:spacing w:val="-8"/>
          <w:sz w:val="24"/>
        </w:rPr>
        <w:t xml:space="preserve"> </w:t>
      </w:r>
      <w:r>
        <w:rPr>
          <w:sz w:val="24"/>
        </w:rPr>
        <w:t>Exposure</w:t>
      </w:r>
      <w:r>
        <w:rPr>
          <w:spacing w:val="-3"/>
          <w:sz w:val="24"/>
        </w:rPr>
        <w:t xml:space="preserve"> </w:t>
      </w:r>
      <w:r>
        <w:rPr>
          <w:sz w:val="24"/>
        </w:rPr>
        <w:t>Draft</w:t>
      </w:r>
      <w:r>
        <w:rPr>
          <w:spacing w:val="-6"/>
          <w:sz w:val="24"/>
        </w:rPr>
        <w:t xml:space="preserve"> </w:t>
      </w:r>
      <w:r>
        <w:rPr>
          <w:sz w:val="24"/>
        </w:rPr>
        <w:t>is</w:t>
      </w:r>
      <w:r>
        <w:rPr>
          <w:spacing w:val="-5"/>
          <w:sz w:val="24"/>
        </w:rPr>
        <w:t xml:space="preserve"> </w:t>
      </w:r>
      <w:r>
        <w:rPr>
          <w:sz w:val="24"/>
        </w:rPr>
        <w:t>developed, with a minimum comment period of:</w:t>
      </w:r>
    </w:p>
    <w:p w14:paraId="1E8057CF" w14:textId="77777777" w:rsidR="00AA4A02" w:rsidRDefault="00AA4A02">
      <w:pPr>
        <w:pStyle w:val="BodyText"/>
        <w:spacing w:before="8"/>
        <w:rPr>
          <w:sz w:val="19"/>
        </w:rPr>
      </w:pPr>
    </w:p>
    <w:tbl>
      <w:tblPr>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3"/>
        <w:gridCol w:w="4250"/>
      </w:tblGrid>
      <w:tr w:rsidR="00AA4A02" w14:paraId="1E8057D2" w14:textId="77777777">
        <w:trPr>
          <w:trHeight w:val="277"/>
        </w:trPr>
        <w:tc>
          <w:tcPr>
            <w:tcW w:w="2963" w:type="dxa"/>
          </w:tcPr>
          <w:p w14:paraId="1E8057D0" w14:textId="77777777" w:rsidR="00AA4A02" w:rsidRDefault="00960F31">
            <w:pPr>
              <w:pStyle w:val="TableParagraph"/>
              <w:spacing w:line="258" w:lineRule="exact"/>
              <w:ind w:left="110"/>
              <w:rPr>
                <w:b/>
                <w:sz w:val="24"/>
              </w:rPr>
            </w:pPr>
            <w:r>
              <w:rPr>
                <w:b/>
                <w:sz w:val="24"/>
              </w:rPr>
              <w:t xml:space="preserve">Consultation </w:t>
            </w:r>
            <w:r>
              <w:rPr>
                <w:b/>
                <w:spacing w:val="-2"/>
                <w:sz w:val="24"/>
              </w:rPr>
              <w:t>document</w:t>
            </w:r>
          </w:p>
        </w:tc>
        <w:tc>
          <w:tcPr>
            <w:tcW w:w="4250" w:type="dxa"/>
          </w:tcPr>
          <w:p w14:paraId="1E8057D1" w14:textId="77777777" w:rsidR="00AA4A02" w:rsidRDefault="00960F31">
            <w:pPr>
              <w:pStyle w:val="TableParagraph"/>
              <w:spacing w:line="258" w:lineRule="exact"/>
              <w:ind w:left="109"/>
              <w:rPr>
                <w:b/>
                <w:sz w:val="24"/>
              </w:rPr>
            </w:pPr>
            <w:r>
              <w:rPr>
                <w:b/>
                <w:sz w:val="24"/>
              </w:rPr>
              <w:t>Minimum</w:t>
            </w:r>
            <w:r>
              <w:rPr>
                <w:b/>
                <w:spacing w:val="-2"/>
                <w:sz w:val="24"/>
              </w:rPr>
              <w:t xml:space="preserve"> </w:t>
            </w:r>
            <w:r>
              <w:rPr>
                <w:b/>
                <w:sz w:val="24"/>
              </w:rPr>
              <w:t>comment</w:t>
            </w:r>
            <w:r>
              <w:rPr>
                <w:b/>
                <w:spacing w:val="4"/>
                <w:sz w:val="24"/>
              </w:rPr>
              <w:t xml:space="preserve"> </w:t>
            </w:r>
            <w:r>
              <w:rPr>
                <w:b/>
                <w:spacing w:val="-2"/>
                <w:sz w:val="24"/>
              </w:rPr>
              <w:t>period</w:t>
            </w:r>
          </w:p>
        </w:tc>
      </w:tr>
      <w:tr w:rsidR="00AA4A02" w14:paraId="1E8057D6" w14:textId="77777777">
        <w:trPr>
          <w:trHeight w:val="2050"/>
        </w:trPr>
        <w:tc>
          <w:tcPr>
            <w:tcW w:w="2963" w:type="dxa"/>
          </w:tcPr>
          <w:p w14:paraId="1E8057D3" w14:textId="77777777" w:rsidR="00AA4A02" w:rsidRDefault="00960F31">
            <w:pPr>
              <w:pStyle w:val="TableParagraph"/>
              <w:ind w:left="110" w:right="36"/>
              <w:rPr>
                <w:sz w:val="24"/>
              </w:rPr>
            </w:pPr>
            <w:r>
              <w:rPr>
                <w:sz w:val="24"/>
              </w:rPr>
              <w:t>Discussion Paper, Consultation Paper, Invitation</w:t>
            </w:r>
            <w:r>
              <w:rPr>
                <w:spacing w:val="-15"/>
                <w:sz w:val="24"/>
              </w:rPr>
              <w:t xml:space="preserve"> </w:t>
            </w:r>
            <w:r>
              <w:rPr>
                <w:sz w:val="24"/>
              </w:rPr>
              <w:t>to</w:t>
            </w:r>
            <w:r>
              <w:rPr>
                <w:spacing w:val="-15"/>
                <w:sz w:val="24"/>
              </w:rPr>
              <w:t xml:space="preserve"> </w:t>
            </w:r>
            <w:r>
              <w:rPr>
                <w:sz w:val="24"/>
              </w:rPr>
              <w:t xml:space="preserve">Comment, research paper, agenda </w:t>
            </w:r>
            <w:r>
              <w:rPr>
                <w:spacing w:val="-2"/>
                <w:sz w:val="24"/>
              </w:rPr>
              <w:t>consultation</w:t>
            </w:r>
          </w:p>
        </w:tc>
        <w:tc>
          <w:tcPr>
            <w:tcW w:w="4250" w:type="dxa"/>
          </w:tcPr>
          <w:p w14:paraId="1E8057D4" w14:textId="77777777" w:rsidR="00AA4A02" w:rsidRDefault="00960F31">
            <w:pPr>
              <w:pStyle w:val="TableParagraph"/>
              <w:ind w:left="109" w:right="125"/>
              <w:rPr>
                <w:sz w:val="24"/>
              </w:rPr>
            </w:pPr>
            <w:r>
              <w:rPr>
                <w:sz w:val="24"/>
              </w:rPr>
              <w:t>IASB-related</w:t>
            </w:r>
            <w:r>
              <w:rPr>
                <w:spacing w:val="-6"/>
                <w:sz w:val="24"/>
              </w:rPr>
              <w:t xml:space="preserve"> </w:t>
            </w:r>
            <w:r>
              <w:rPr>
                <w:sz w:val="24"/>
              </w:rPr>
              <w:t>–</w:t>
            </w:r>
            <w:r>
              <w:rPr>
                <w:spacing w:val="-5"/>
                <w:sz w:val="24"/>
              </w:rPr>
              <w:t xml:space="preserve"> </w:t>
            </w:r>
            <w:r>
              <w:rPr>
                <w:sz w:val="24"/>
              </w:rPr>
              <w:t>generally,</w:t>
            </w:r>
            <w:r>
              <w:rPr>
                <w:spacing w:val="-8"/>
                <w:sz w:val="24"/>
              </w:rPr>
              <w:t xml:space="preserve"> </w:t>
            </w:r>
            <w:r>
              <w:rPr>
                <w:sz w:val="24"/>
              </w:rPr>
              <w:t>the</w:t>
            </w:r>
            <w:r>
              <w:rPr>
                <w:spacing w:val="-6"/>
                <w:sz w:val="24"/>
              </w:rPr>
              <w:t xml:space="preserve"> </w:t>
            </w:r>
            <w:r>
              <w:rPr>
                <w:sz w:val="24"/>
              </w:rPr>
              <w:t>IASB</w:t>
            </w:r>
            <w:r>
              <w:rPr>
                <w:spacing w:val="-11"/>
                <w:sz w:val="24"/>
              </w:rPr>
              <w:t xml:space="preserve"> </w:t>
            </w:r>
            <w:r>
              <w:rPr>
                <w:sz w:val="24"/>
              </w:rPr>
              <w:t xml:space="preserve">gives a 120-day comment period, but the AASB’s comment period usually ends 4-6 weeks before the IASB due date to enable the AASB to consider </w:t>
            </w:r>
            <w:r>
              <w:rPr>
                <w:spacing w:val="-2"/>
                <w:sz w:val="24"/>
              </w:rPr>
              <w:t>submissions.</w:t>
            </w:r>
          </w:p>
          <w:p w14:paraId="1E8057D5" w14:textId="77777777" w:rsidR="00AA4A02" w:rsidRDefault="00960F31">
            <w:pPr>
              <w:pStyle w:val="TableParagraph"/>
              <w:spacing w:before="60"/>
              <w:ind w:left="109"/>
              <w:rPr>
                <w:sz w:val="24"/>
              </w:rPr>
            </w:pPr>
            <w:r>
              <w:rPr>
                <w:sz w:val="24"/>
              </w:rPr>
              <w:t>Domestic</w:t>
            </w:r>
            <w:r>
              <w:rPr>
                <w:spacing w:val="-1"/>
                <w:sz w:val="24"/>
              </w:rPr>
              <w:t xml:space="preserve"> </w:t>
            </w:r>
            <w:r>
              <w:rPr>
                <w:sz w:val="24"/>
              </w:rPr>
              <w:t>–</w:t>
            </w:r>
            <w:r>
              <w:rPr>
                <w:spacing w:val="1"/>
                <w:sz w:val="24"/>
              </w:rPr>
              <w:t xml:space="preserve"> </w:t>
            </w:r>
            <w:r>
              <w:rPr>
                <w:sz w:val="24"/>
              </w:rPr>
              <w:t>generally</w:t>
            </w:r>
            <w:r>
              <w:rPr>
                <w:spacing w:val="1"/>
                <w:sz w:val="24"/>
              </w:rPr>
              <w:t xml:space="preserve"> </w:t>
            </w:r>
            <w:r>
              <w:rPr>
                <w:sz w:val="24"/>
              </w:rPr>
              <w:t>120</w:t>
            </w:r>
            <w:r>
              <w:rPr>
                <w:spacing w:val="1"/>
                <w:sz w:val="24"/>
              </w:rPr>
              <w:t xml:space="preserve"> </w:t>
            </w:r>
            <w:r>
              <w:rPr>
                <w:spacing w:val="-4"/>
                <w:sz w:val="24"/>
              </w:rPr>
              <w:t>days</w:t>
            </w:r>
          </w:p>
        </w:tc>
      </w:tr>
      <w:tr w:rsidR="00AA4A02" w14:paraId="1E8057DA" w14:textId="77777777">
        <w:trPr>
          <w:trHeight w:val="1781"/>
        </w:trPr>
        <w:tc>
          <w:tcPr>
            <w:tcW w:w="2963" w:type="dxa"/>
          </w:tcPr>
          <w:p w14:paraId="1E8057D7" w14:textId="77777777" w:rsidR="00AA4A02" w:rsidRDefault="00960F31">
            <w:pPr>
              <w:pStyle w:val="TableParagraph"/>
              <w:spacing w:before="1"/>
              <w:ind w:left="110"/>
              <w:rPr>
                <w:sz w:val="24"/>
              </w:rPr>
            </w:pPr>
            <w:r>
              <w:rPr>
                <w:sz w:val="24"/>
              </w:rPr>
              <w:t>Other requests for information</w:t>
            </w:r>
            <w:r>
              <w:rPr>
                <w:spacing w:val="-15"/>
                <w:sz w:val="24"/>
              </w:rPr>
              <w:t xml:space="preserve"> </w:t>
            </w:r>
            <w:r>
              <w:rPr>
                <w:sz w:val="24"/>
              </w:rPr>
              <w:t>(eg</w:t>
            </w:r>
            <w:r>
              <w:rPr>
                <w:spacing w:val="-15"/>
                <w:sz w:val="24"/>
              </w:rPr>
              <w:t xml:space="preserve"> </w:t>
            </w:r>
            <w:r>
              <w:rPr>
                <w:sz w:val="24"/>
              </w:rPr>
              <w:t xml:space="preserve">agenda </w:t>
            </w:r>
            <w:r>
              <w:rPr>
                <w:spacing w:val="-2"/>
                <w:sz w:val="24"/>
              </w:rPr>
              <w:t>decisions)</w:t>
            </w:r>
          </w:p>
        </w:tc>
        <w:tc>
          <w:tcPr>
            <w:tcW w:w="4250" w:type="dxa"/>
          </w:tcPr>
          <w:p w14:paraId="1E8057D8" w14:textId="77777777" w:rsidR="00AA4A02" w:rsidRDefault="00960F31">
            <w:pPr>
              <w:pStyle w:val="TableParagraph"/>
              <w:spacing w:before="1"/>
              <w:ind w:left="109" w:right="94"/>
              <w:rPr>
                <w:sz w:val="24"/>
              </w:rPr>
            </w:pPr>
            <w:r>
              <w:rPr>
                <w:sz w:val="24"/>
              </w:rPr>
              <w:t>IASB-related – generally,</w:t>
            </w:r>
            <w:r>
              <w:rPr>
                <w:spacing w:val="-2"/>
                <w:sz w:val="24"/>
              </w:rPr>
              <w:t xml:space="preserve"> </w:t>
            </w:r>
            <w:r>
              <w:rPr>
                <w:sz w:val="24"/>
              </w:rPr>
              <w:t>the IASB</w:t>
            </w:r>
            <w:r>
              <w:rPr>
                <w:spacing w:val="-5"/>
                <w:sz w:val="24"/>
              </w:rPr>
              <w:t xml:space="preserve"> </w:t>
            </w:r>
            <w:r>
              <w:rPr>
                <w:sz w:val="24"/>
              </w:rPr>
              <w:t>gives a 60-day comment period, but the AASB’s comment period usually ends 4 weeks</w:t>
            </w:r>
            <w:r>
              <w:rPr>
                <w:spacing w:val="-5"/>
                <w:sz w:val="24"/>
              </w:rPr>
              <w:t xml:space="preserve"> </w:t>
            </w:r>
            <w:r>
              <w:rPr>
                <w:sz w:val="24"/>
              </w:rPr>
              <w:t>before</w:t>
            </w:r>
            <w:r>
              <w:rPr>
                <w:spacing w:val="-5"/>
                <w:sz w:val="24"/>
              </w:rPr>
              <w:t xml:space="preserve"> </w:t>
            </w:r>
            <w:r>
              <w:rPr>
                <w:sz w:val="24"/>
              </w:rPr>
              <w:t>the</w:t>
            </w:r>
            <w:r>
              <w:rPr>
                <w:spacing w:val="-4"/>
                <w:sz w:val="24"/>
              </w:rPr>
              <w:t xml:space="preserve"> </w:t>
            </w:r>
            <w:r>
              <w:rPr>
                <w:sz w:val="24"/>
              </w:rPr>
              <w:t>IASB</w:t>
            </w:r>
            <w:r>
              <w:rPr>
                <w:spacing w:val="-5"/>
                <w:sz w:val="24"/>
              </w:rPr>
              <w:t xml:space="preserve"> </w:t>
            </w:r>
            <w:r>
              <w:rPr>
                <w:sz w:val="24"/>
              </w:rPr>
              <w:t>due</w:t>
            </w:r>
            <w:r>
              <w:rPr>
                <w:spacing w:val="-8"/>
                <w:sz w:val="24"/>
              </w:rPr>
              <w:t xml:space="preserve"> </w:t>
            </w:r>
            <w:r>
              <w:rPr>
                <w:sz w:val="24"/>
              </w:rPr>
              <w:t>date</w:t>
            </w:r>
            <w:r>
              <w:rPr>
                <w:spacing w:val="-4"/>
                <w:sz w:val="24"/>
              </w:rPr>
              <w:t xml:space="preserve"> </w:t>
            </w:r>
            <w:r>
              <w:rPr>
                <w:sz w:val="24"/>
              </w:rPr>
              <w:t>to</w:t>
            </w:r>
            <w:r>
              <w:rPr>
                <w:spacing w:val="-8"/>
                <w:sz w:val="24"/>
              </w:rPr>
              <w:t xml:space="preserve"> </w:t>
            </w:r>
            <w:r>
              <w:rPr>
                <w:sz w:val="24"/>
              </w:rPr>
              <w:t>enable the AASB to consider submissions.</w:t>
            </w:r>
          </w:p>
          <w:p w14:paraId="1E8057D9" w14:textId="77777777" w:rsidR="00AA4A02" w:rsidRDefault="00960F31">
            <w:pPr>
              <w:pStyle w:val="TableParagraph"/>
              <w:spacing w:before="66"/>
              <w:ind w:left="109"/>
              <w:rPr>
                <w:sz w:val="24"/>
              </w:rPr>
            </w:pPr>
            <w:r>
              <w:rPr>
                <w:sz w:val="24"/>
              </w:rPr>
              <w:t>Domestic –</w:t>
            </w:r>
            <w:r>
              <w:rPr>
                <w:spacing w:val="1"/>
                <w:sz w:val="24"/>
              </w:rPr>
              <w:t xml:space="preserve"> </w:t>
            </w:r>
            <w:r>
              <w:rPr>
                <w:sz w:val="24"/>
              </w:rPr>
              <w:t>generally</w:t>
            </w:r>
            <w:r>
              <w:rPr>
                <w:spacing w:val="1"/>
                <w:sz w:val="24"/>
              </w:rPr>
              <w:t xml:space="preserve"> </w:t>
            </w:r>
            <w:r>
              <w:rPr>
                <w:sz w:val="24"/>
              </w:rPr>
              <w:t>60</w:t>
            </w:r>
            <w:r>
              <w:rPr>
                <w:spacing w:val="1"/>
                <w:sz w:val="24"/>
              </w:rPr>
              <w:t xml:space="preserve"> </w:t>
            </w:r>
            <w:r>
              <w:rPr>
                <w:spacing w:val="-4"/>
                <w:sz w:val="24"/>
              </w:rPr>
              <w:t>days</w:t>
            </w:r>
          </w:p>
        </w:tc>
      </w:tr>
    </w:tbl>
    <w:p w14:paraId="1E8057DB" w14:textId="77777777" w:rsidR="00AA4A02" w:rsidRDefault="00960F31">
      <w:pPr>
        <w:pStyle w:val="ListParagraph"/>
        <w:numPr>
          <w:ilvl w:val="2"/>
          <w:numId w:val="51"/>
        </w:numPr>
        <w:tabs>
          <w:tab w:val="left" w:pos="1558"/>
        </w:tabs>
        <w:spacing w:before="271" w:line="242" w:lineRule="auto"/>
        <w:ind w:right="534"/>
        <w:rPr>
          <w:sz w:val="24"/>
        </w:rPr>
      </w:pPr>
      <w:r>
        <w:rPr>
          <w:sz w:val="24"/>
        </w:rPr>
        <w:t>establishing a project advisory panel, implementation or transition resource group</w:t>
      </w:r>
      <w:r>
        <w:rPr>
          <w:spacing w:val="-2"/>
          <w:sz w:val="24"/>
        </w:rPr>
        <w:t xml:space="preserve"> </w:t>
      </w:r>
      <w:r>
        <w:rPr>
          <w:sz w:val="24"/>
        </w:rPr>
        <w:t>or</w:t>
      </w:r>
      <w:r>
        <w:rPr>
          <w:spacing w:val="-6"/>
          <w:sz w:val="24"/>
        </w:rPr>
        <w:t xml:space="preserve"> </w:t>
      </w:r>
      <w:r>
        <w:rPr>
          <w:sz w:val="24"/>
        </w:rPr>
        <w:t>other</w:t>
      </w:r>
      <w:r>
        <w:rPr>
          <w:spacing w:val="-6"/>
          <w:sz w:val="24"/>
        </w:rPr>
        <w:t xml:space="preserve"> </w:t>
      </w:r>
      <w:r>
        <w:rPr>
          <w:sz w:val="24"/>
        </w:rPr>
        <w:t>type</w:t>
      </w:r>
      <w:r>
        <w:rPr>
          <w:spacing w:val="-3"/>
          <w:sz w:val="24"/>
        </w:rPr>
        <w:t xml:space="preserve"> </w:t>
      </w:r>
      <w:r>
        <w:rPr>
          <w:sz w:val="24"/>
        </w:rPr>
        <w:t>of</w:t>
      </w:r>
      <w:r>
        <w:rPr>
          <w:spacing w:val="-6"/>
          <w:sz w:val="24"/>
        </w:rPr>
        <w:t xml:space="preserve"> </w:t>
      </w:r>
      <w:r>
        <w:rPr>
          <w:sz w:val="24"/>
        </w:rPr>
        <w:t>specialist</w:t>
      </w:r>
      <w:r>
        <w:rPr>
          <w:spacing w:val="-2"/>
          <w:sz w:val="24"/>
        </w:rPr>
        <w:t xml:space="preserve"> </w:t>
      </w:r>
      <w:r>
        <w:rPr>
          <w:sz w:val="24"/>
        </w:rPr>
        <w:t>advisory</w:t>
      </w:r>
      <w:r>
        <w:rPr>
          <w:spacing w:val="-2"/>
          <w:sz w:val="24"/>
        </w:rPr>
        <w:t xml:space="preserve"> </w:t>
      </w:r>
      <w:r>
        <w:rPr>
          <w:sz w:val="24"/>
        </w:rPr>
        <w:t>group,</w:t>
      </w:r>
      <w:r>
        <w:rPr>
          <w:spacing w:val="-5"/>
          <w:sz w:val="24"/>
        </w:rPr>
        <w:t xml:space="preserve"> </w:t>
      </w:r>
      <w:r>
        <w:rPr>
          <w:sz w:val="24"/>
        </w:rPr>
        <w:t>ensuring</w:t>
      </w:r>
      <w:r>
        <w:rPr>
          <w:spacing w:val="-2"/>
          <w:sz w:val="24"/>
        </w:rPr>
        <w:t xml:space="preserve"> </w:t>
      </w:r>
      <w:r>
        <w:rPr>
          <w:sz w:val="24"/>
        </w:rPr>
        <w:t>broad</w:t>
      </w:r>
      <w:r>
        <w:rPr>
          <w:spacing w:val="-7"/>
          <w:sz w:val="24"/>
        </w:rPr>
        <w:t xml:space="preserve"> </w:t>
      </w:r>
      <w:r>
        <w:rPr>
          <w:sz w:val="24"/>
        </w:rPr>
        <w:t>representation of relevant stakeholders, with at least one Board member;</w:t>
      </w:r>
    </w:p>
    <w:p w14:paraId="1E8057DC" w14:textId="77777777" w:rsidR="00AA4A02" w:rsidRDefault="00960F31">
      <w:pPr>
        <w:pStyle w:val="ListParagraph"/>
        <w:numPr>
          <w:ilvl w:val="2"/>
          <w:numId w:val="51"/>
        </w:numPr>
        <w:tabs>
          <w:tab w:val="left" w:pos="1557"/>
        </w:tabs>
        <w:spacing w:before="239"/>
        <w:ind w:left="1557" w:hanging="705"/>
        <w:rPr>
          <w:sz w:val="24"/>
        </w:rPr>
      </w:pPr>
      <w:r>
        <w:rPr>
          <w:sz w:val="24"/>
        </w:rPr>
        <w:t>holding</w:t>
      </w:r>
      <w:r>
        <w:rPr>
          <w:spacing w:val="-2"/>
          <w:sz w:val="24"/>
        </w:rPr>
        <w:t xml:space="preserve"> </w:t>
      </w:r>
      <w:r>
        <w:rPr>
          <w:sz w:val="24"/>
        </w:rPr>
        <w:t>roundtables</w:t>
      </w:r>
      <w:r>
        <w:rPr>
          <w:spacing w:val="-2"/>
          <w:sz w:val="24"/>
        </w:rPr>
        <w:t xml:space="preserve"> </w:t>
      </w:r>
      <w:r>
        <w:rPr>
          <w:sz w:val="24"/>
        </w:rPr>
        <w:t>and education</w:t>
      </w:r>
      <w:r>
        <w:rPr>
          <w:spacing w:val="-1"/>
          <w:sz w:val="24"/>
        </w:rPr>
        <w:t xml:space="preserve"> </w:t>
      </w:r>
      <w:r>
        <w:rPr>
          <w:sz w:val="24"/>
        </w:rPr>
        <w:t>sessions</w:t>
      </w:r>
      <w:r>
        <w:rPr>
          <w:spacing w:val="-2"/>
          <w:sz w:val="24"/>
        </w:rPr>
        <w:t xml:space="preserve"> </w:t>
      </w:r>
      <w:r>
        <w:rPr>
          <w:sz w:val="24"/>
        </w:rPr>
        <w:t>to solicit</w:t>
      </w:r>
      <w:r>
        <w:rPr>
          <w:spacing w:val="1"/>
          <w:sz w:val="24"/>
        </w:rPr>
        <w:t xml:space="preserve"> </w:t>
      </w:r>
      <w:r>
        <w:rPr>
          <w:sz w:val="24"/>
        </w:rPr>
        <w:t xml:space="preserve">feedback; </w:t>
      </w:r>
      <w:r>
        <w:rPr>
          <w:spacing w:val="-5"/>
          <w:sz w:val="24"/>
        </w:rPr>
        <w:t>and</w:t>
      </w:r>
    </w:p>
    <w:p w14:paraId="1E8057DD" w14:textId="77777777" w:rsidR="00AA4A02" w:rsidRDefault="00960F31">
      <w:pPr>
        <w:pStyle w:val="ListParagraph"/>
        <w:numPr>
          <w:ilvl w:val="2"/>
          <w:numId w:val="51"/>
        </w:numPr>
        <w:tabs>
          <w:tab w:val="left" w:pos="1557"/>
        </w:tabs>
        <w:spacing w:before="238"/>
        <w:ind w:left="1557" w:hanging="705"/>
        <w:rPr>
          <w:sz w:val="24"/>
        </w:rPr>
      </w:pPr>
      <w:r>
        <w:rPr>
          <w:sz w:val="24"/>
        </w:rPr>
        <w:t>undertaking</w:t>
      </w:r>
      <w:r>
        <w:rPr>
          <w:spacing w:val="3"/>
          <w:sz w:val="24"/>
        </w:rPr>
        <w:t xml:space="preserve"> </w:t>
      </w:r>
      <w:r>
        <w:rPr>
          <w:spacing w:val="-2"/>
          <w:sz w:val="24"/>
        </w:rPr>
        <w:t>fieldwork.</w:t>
      </w:r>
    </w:p>
    <w:p w14:paraId="1E8057DE" w14:textId="77777777" w:rsidR="00AA4A02" w:rsidRDefault="00AA4A02">
      <w:pPr>
        <w:pStyle w:val="BodyText"/>
        <w:spacing w:before="203"/>
        <w:rPr>
          <w:sz w:val="24"/>
        </w:rPr>
      </w:pPr>
    </w:p>
    <w:p w14:paraId="1E8057DF" w14:textId="77777777" w:rsidR="00AA4A02" w:rsidRDefault="00960F31">
      <w:pPr>
        <w:pStyle w:val="Heading6"/>
        <w:numPr>
          <w:ilvl w:val="0"/>
          <w:numId w:val="54"/>
        </w:numPr>
        <w:tabs>
          <w:tab w:val="left" w:pos="852"/>
        </w:tabs>
      </w:pPr>
      <w:bookmarkStart w:id="27" w:name="_TOC_250024"/>
      <w:r>
        <w:t>The</w:t>
      </w:r>
      <w:r>
        <w:rPr>
          <w:spacing w:val="-11"/>
        </w:rPr>
        <w:t xml:space="preserve"> </w:t>
      </w:r>
      <w:r>
        <w:t>Standard-Setting</w:t>
      </w:r>
      <w:r>
        <w:rPr>
          <w:spacing w:val="-10"/>
        </w:rPr>
        <w:t xml:space="preserve"> </w:t>
      </w:r>
      <w:bookmarkEnd w:id="27"/>
      <w:r>
        <w:rPr>
          <w:spacing w:val="-2"/>
        </w:rPr>
        <w:t>Process</w:t>
      </w:r>
    </w:p>
    <w:p w14:paraId="1E8057E0" w14:textId="77777777" w:rsidR="00AA4A02" w:rsidRDefault="00960F31">
      <w:pPr>
        <w:pStyle w:val="ListParagraph"/>
        <w:numPr>
          <w:ilvl w:val="1"/>
          <w:numId w:val="54"/>
        </w:numPr>
        <w:tabs>
          <w:tab w:val="left" w:pos="852"/>
        </w:tabs>
        <w:spacing w:before="272" w:line="242" w:lineRule="auto"/>
        <w:ind w:right="990"/>
        <w:rPr>
          <w:sz w:val="24"/>
        </w:rPr>
      </w:pPr>
      <w:r>
        <w:rPr>
          <w:sz w:val="24"/>
        </w:rPr>
        <w:t>The AASB standard-setting processes used to achieve the principles of strategic international</w:t>
      </w:r>
      <w:r>
        <w:rPr>
          <w:spacing w:val="-4"/>
          <w:sz w:val="24"/>
        </w:rPr>
        <w:t xml:space="preserve"> </w:t>
      </w:r>
      <w:r>
        <w:rPr>
          <w:sz w:val="24"/>
        </w:rPr>
        <w:t>influence,</w:t>
      </w:r>
      <w:r>
        <w:rPr>
          <w:spacing w:val="-7"/>
          <w:sz w:val="24"/>
        </w:rPr>
        <w:t xml:space="preserve"> </w:t>
      </w:r>
      <w:r>
        <w:rPr>
          <w:sz w:val="24"/>
        </w:rPr>
        <w:t>transparency,</w:t>
      </w:r>
      <w:r>
        <w:rPr>
          <w:spacing w:val="-7"/>
          <w:sz w:val="24"/>
        </w:rPr>
        <w:t xml:space="preserve"> </w:t>
      </w:r>
      <w:r>
        <w:rPr>
          <w:sz w:val="24"/>
        </w:rPr>
        <w:t>appropriate</w:t>
      </w:r>
      <w:r>
        <w:rPr>
          <w:spacing w:val="-6"/>
          <w:sz w:val="24"/>
        </w:rPr>
        <w:t xml:space="preserve"> </w:t>
      </w:r>
      <w:r>
        <w:rPr>
          <w:sz w:val="24"/>
        </w:rPr>
        <w:t>consultation</w:t>
      </w:r>
      <w:r>
        <w:rPr>
          <w:spacing w:val="-5"/>
          <w:sz w:val="24"/>
        </w:rPr>
        <w:t xml:space="preserve"> </w:t>
      </w:r>
      <w:r>
        <w:rPr>
          <w:sz w:val="24"/>
        </w:rPr>
        <w:t>and</w:t>
      </w:r>
      <w:r>
        <w:rPr>
          <w:spacing w:val="-6"/>
          <w:sz w:val="24"/>
        </w:rPr>
        <w:t xml:space="preserve"> </w:t>
      </w:r>
      <w:r>
        <w:rPr>
          <w:sz w:val="24"/>
        </w:rPr>
        <w:t>accountability (including the RIS requirements) are set out below.</w:t>
      </w:r>
    </w:p>
    <w:p w14:paraId="1E8057E1"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7E2" w14:textId="77777777" w:rsidR="00AA4A02" w:rsidRDefault="00960F31">
      <w:pPr>
        <w:pStyle w:val="Heading9"/>
        <w:spacing w:before="84"/>
      </w:pPr>
      <w:r>
        <w:lastRenderedPageBreak/>
        <w:t>Identify,</w:t>
      </w:r>
      <w:r>
        <w:rPr>
          <w:spacing w:val="-4"/>
        </w:rPr>
        <w:t xml:space="preserve"> </w:t>
      </w:r>
      <w:r>
        <w:t>research and define</w:t>
      </w:r>
      <w:r>
        <w:rPr>
          <w:spacing w:val="-2"/>
        </w:rPr>
        <w:t xml:space="preserve"> </w:t>
      </w:r>
      <w:r>
        <w:t>the</w:t>
      </w:r>
      <w:r>
        <w:rPr>
          <w:spacing w:val="-5"/>
        </w:rPr>
        <w:t xml:space="preserve"> </w:t>
      </w:r>
      <w:r>
        <w:t>issue</w:t>
      </w:r>
      <w:r>
        <w:rPr>
          <w:spacing w:val="-2"/>
        </w:rPr>
        <w:t xml:space="preserve"> </w:t>
      </w:r>
      <w:r>
        <w:t>(RIS questions</w:t>
      </w:r>
      <w:r>
        <w:rPr>
          <w:spacing w:val="-2"/>
        </w:rPr>
        <w:t xml:space="preserve"> </w:t>
      </w:r>
      <w:r>
        <w:t>1 and</w:t>
      </w:r>
      <w:r>
        <w:rPr>
          <w:spacing w:val="-4"/>
        </w:rPr>
        <w:t xml:space="preserve"> </w:t>
      </w:r>
      <w:r>
        <w:rPr>
          <w:spacing w:val="-5"/>
        </w:rPr>
        <w:t>2)</w:t>
      </w:r>
    </w:p>
    <w:p w14:paraId="1E8057E3" w14:textId="77777777" w:rsidR="00AA4A02" w:rsidRDefault="00960F31">
      <w:pPr>
        <w:pStyle w:val="ListParagraph"/>
        <w:numPr>
          <w:ilvl w:val="2"/>
          <w:numId w:val="50"/>
        </w:numPr>
        <w:tabs>
          <w:tab w:val="left" w:pos="852"/>
        </w:tabs>
        <w:spacing w:before="239" w:line="242" w:lineRule="auto"/>
        <w:ind w:right="697"/>
        <w:rPr>
          <w:sz w:val="24"/>
        </w:rPr>
      </w:pPr>
      <w:r>
        <w:rPr>
          <w:sz w:val="24"/>
        </w:rPr>
        <w:t>Australian Standards, Interpretations and other guidance are developed only when necessary</w:t>
      </w:r>
      <w:r>
        <w:rPr>
          <w:spacing w:val="-2"/>
          <w:sz w:val="24"/>
        </w:rPr>
        <w:t xml:space="preserve"> </w:t>
      </w:r>
      <w:r>
        <w:rPr>
          <w:sz w:val="24"/>
        </w:rPr>
        <w:t>to</w:t>
      </w:r>
      <w:r>
        <w:rPr>
          <w:spacing w:val="-3"/>
          <w:sz w:val="24"/>
        </w:rPr>
        <w:t xml:space="preserve"> </w:t>
      </w:r>
      <w:r>
        <w:rPr>
          <w:sz w:val="24"/>
        </w:rPr>
        <w:t>improve</w:t>
      </w:r>
      <w:r>
        <w:rPr>
          <w:spacing w:val="-7"/>
          <w:sz w:val="24"/>
        </w:rPr>
        <w:t xml:space="preserve"> </w:t>
      </w:r>
      <w:r>
        <w:rPr>
          <w:sz w:val="24"/>
        </w:rPr>
        <w:t>the</w:t>
      </w:r>
      <w:r>
        <w:rPr>
          <w:spacing w:val="-3"/>
          <w:sz w:val="24"/>
        </w:rPr>
        <w:t xml:space="preserve"> </w:t>
      </w:r>
      <w:r>
        <w:rPr>
          <w:sz w:val="24"/>
        </w:rPr>
        <w:t>operations</w:t>
      </w:r>
      <w:r>
        <w:rPr>
          <w:spacing w:val="-4"/>
          <w:sz w:val="24"/>
        </w:rPr>
        <w:t xml:space="preserve"> </w:t>
      </w:r>
      <w:r>
        <w:rPr>
          <w:sz w:val="24"/>
        </w:rPr>
        <w:t>of</w:t>
      </w:r>
      <w:r>
        <w:rPr>
          <w:spacing w:val="-1"/>
          <w:sz w:val="24"/>
        </w:rPr>
        <w:t xml:space="preserve"> </w:t>
      </w:r>
      <w:r>
        <w:rPr>
          <w:sz w:val="24"/>
        </w:rPr>
        <w:t>the</w:t>
      </w:r>
      <w:r>
        <w:rPr>
          <w:spacing w:val="-7"/>
          <w:sz w:val="24"/>
        </w:rPr>
        <w:t xml:space="preserve"> </w:t>
      </w:r>
      <w:r>
        <w:rPr>
          <w:sz w:val="24"/>
        </w:rPr>
        <w:t>Australian</w:t>
      </w:r>
      <w:r>
        <w:rPr>
          <w:spacing w:val="-2"/>
          <w:sz w:val="24"/>
        </w:rPr>
        <w:t xml:space="preserve"> </w:t>
      </w:r>
      <w:r>
        <w:rPr>
          <w:sz w:val="24"/>
        </w:rPr>
        <w:t>economy, including</w:t>
      </w:r>
      <w:r>
        <w:rPr>
          <w:spacing w:val="-7"/>
          <w:sz w:val="24"/>
        </w:rPr>
        <w:t xml:space="preserve"> </w:t>
      </w:r>
      <w:r>
        <w:rPr>
          <w:sz w:val="24"/>
        </w:rPr>
        <w:t>its</w:t>
      </w:r>
      <w:r>
        <w:rPr>
          <w:spacing w:val="-5"/>
          <w:sz w:val="24"/>
        </w:rPr>
        <w:t xml:space="preserve"> </w:t>
      </w:r>
      <w:r>
        <w:rPr>
          <w:sz w:val="24"/>
        </w:rPr>
        <w:t xml:space="preserve">capital </w:t>
      </w:r>
      <w:r>
        <w:rPr>
          <w:spacing w:val="-2"/>
          <w:sz w:val="24"/>
        </w:rPr>
        <w:t>markets.</w:t>
      </w:r>
    </w:p>
    <w:p w14:paraId="1E8057E4" w14:textId="77777777" w:rsidR="00AA4A02" w:rsidRDefault="00960F31">
      <w:pPr>
        <w:pStyle w:val="ListParagraph"/>
        <w:numPr>
          <w:ilvl w:val="2"/>
          <w:numId w:val="50"/>
        </w:numPr>
        <w:tabs>
          <w:tab w:val="left" w:pos="852"/>
        </w:tabs>
        <w:spacing w:before="229" w:line="247" w:lineRule="auto"/>
        <w:ind w:right="436"/>
        <w:rPr>
          <w:sz w:val="24"/>
        </w:rPr>
      </w:pPr>
      <w:r>
        <w:rPr>
          <w:sz w:val="24"/>
        </w:rPr>
        <w:t>A</w:t>
      </w:r>
      <w:r>
        <w:rPr>
          <w:spacing w:val="-3"/>
          <w:sz w:val="24"/>
        </w:rPr>
        <w:t xml:space="preserve"> </w:t>
      </w:r>
      <w:r>
        <w:rPr>
          <w:sz w:val="24"/>
        </w:rPr>
        <w:t>formal</w:t>
      </w:r>
      <w:r>
        <w:rPr>
          <w:spacing w:val="-6"/>
          <w:sz w:val="24"/>
        </w:rPr>
        <w:t xml:space="preserve"> </w:t>
      </w:r>
      <w:r>
        <w:rPr>
          <w:sz w:val="24"/>
        </w:rPr>
        <w:t>agenda</w:t>
      </w:r>
      <w:r>
        <w:rPr>
          <w:spacing w:val="-3"/>
          <w:sz w:val="24"/>
        </w:rPr>
        <w:t xml:space="preserve"> </w:t>
      </w:r>
      <w:r>
        <w:rPr>
          <w:sz w:val="24"/>
        </w:rPr>
        <w:t>consultation</w:t>
      </w:r>
      <w:r>
        <w:rPr>
          <w:spacing w:val="-1"/>
          <w:sz w:val="24"/>
        </w:rPr>
        <w:t xml:space="preserve"> </w:t>
      </w:r>
      <w:r>
        <w:rPr>
          <w:sz w:val="24"/>
        </w:rPr>
        <w:t>process</w:t>
      </w:r>
      <w:r>
        <w:rPr>
          <w:spacing w:val="-4"/>
          <w:sz w:val="24"/>
        </w:rPr>
        <w:t xml:space="preserve"> </w:t>
      </w:r>
      <w:r>
        <w:rPr>
          <w:sz w:val="24"/>
        </w:rPr>
        <w:t>is</w:t>
      </w:r>
      <w:r>
        <w:rPr>
          <w:spacing w:val="-4"/>
          <w:sz w:val="24"/>
        </w:rPr>
        <w:t xml:space="preserve"> </w:t>
      </w:r>
      <w:r>
        <w:rPr>
          <w:sz w:val="24"/>
        </w:rPr>
        <w:t>held</w:t>
      </w:r>
      <w:r>
        <w:rPr>
          <w:spacing w:val="-1"/>
          <w:sz w:val="24"/>
        </w:rPr>
        <w:t xml:space="preserve"> </w:t>
      </w:r>
      <w:r>
        <w:rPr>
          <w:sz w:val="24"/>
        </w:rPr>
        <w:t>with</w:t>
      </w:r>
      <w:r>
        <w:rPr>
          <w:spacing w:val="-10"/>
          <w:sz w:val="24"/>
        </w:rPr>
        <w:t xml:space="preserve"> </w:t>
      </w:r>
      <w:r>
        <w:rPr>
          <w:sz w:val="24"/>
        </w:rPr>
        <w:t>stakeholders</w:t>
      </w:r>
      <w:r>
        <w:rPr>
          <w:spacing w:val="-3"/>
          <w:sz w:val="24"/>
        </w:rPr>
        <w:t xml:space="preserve"> </w:t>
      </w:r>
      <w:r>
        <w:rPr>
          <w:sz w:val="24"/>
        </w:rPr>
        <w:t>at</w:t>
      </w:r>
      <w:r>
        <w:rPr>
          <w:spacing w:val="-2"/>
          <w:sz w:val="24"/>
        </w:rPr>
        <w:t xml:space="preserve"> </w:t>
      </w:r>
      <w:r>
        <w:rPr>
          <w:sz w:val="24"/>
        </w:rPr>
        <w:t>least</w:t>
      </w:r>
      <w:r>
        <w:rPr>
          <w:spacing w:val="-1"/>
          <w:sz w:val="24"/>
        </w:rPr>
        <w:t xml:space="preserve"> </w:t>
      </w:r>
      <w:r>
        <w:rPr>
          <w:sz w:val="24"/>
        </w:rPr>
        <w:t>once</w:t>
      </w:r>
      <w:r>
        <w:rPr>
          <w:spacing w:val="-3"/>
          <w:sz w:val="24"/>
        </w:rPr>
        <w:t xml:space="preserve"> </w:t>
      </w:r>
      <w:r>
        <w:rPr>
          <w:sz w:val="24"/>
        </w:rPr>
        <w:t>every</w:t>
      </w:r>
      <w:r>
        <w:rPr>
          <w:spacing w:val="-1"/>
          <w:sz w:val="24"/>
        </w:rPr>
        <w:t xml:space="preserve"> </w:t>
      </w:r>
      <w:r>
        <w:rPr>
          <w:sz w:val="24"/>
        </w:rPr>
        <w:t>five years to identify issues that need resolution.</w:t>
      </w:r>
    </w:p>
    <w:p w14:paraId="1E8057E5" w14:textId="77777777" w:rsidR="00AA4A02" w:rsidRDefault="00960F31">
      <w:pPr>
        <w:pStyle w:val="ListParagraph"/>
        <w:numPr>
          <w:ilvl w:val="2"/>
          <w:numId w:val="50"/>
        </w:numPr>
        <w:tabs>
          <w:tab w:val="left" w:pos="852"/>
        </w:tabs>
        <w:spacing w:before="224" w:line="242" w:lineRule="auto"/>
        <w:ind w:right="484"/>
        <w:rPr>
          <w:sz w:val="24"/>
        </w:rPr>
      </w:pPr>
      <w:r>
        <w:rPr>
          <w:sz w:val="24"/>
        </w:rPr>
        <w:t>Once an accounting or external reporting problem is clearly identified by the AASB, the IASB,</w:t>
      </w:r>
      <w:r>
        <w:rPr>
          <w:spacing w:val="-2"/>
          <w:sz w:val="24"/>
        </w:rPr>
        <w:t xml:space="preserve"> </w:t>
      </w:r>
      <w:r>
        <w:rPr>
          <w:sz w:val="24"/>
        </w:rPr>
        <w:t>the IPSASB or</w:t>
      </w:r>
      <w:r>
        <w:rPr>
          <w:spacing w:val="-3"/>
          <w:sz w:val="24"/>
        </w:rPr>
        <w:t xml:space="preserve"> </w:t>
      </w:r>
      <w:r>
        <w:rPr>
          <w:sz w:val="24"/>
        </w:rPr>
        <w:t>the AASB</w:t>
      </w:r>
      <w:r>
        <w:rPr>
          <w:spacing w:val="-1"/>
          <w:sz w:val="24"/>
        </w:rPr>
        <w:t xml:space="preserve"> </w:t>
      </w:r>
      <w:r>
        <w:rPr>
          <w:sz w:val="24"/>
        </w:rPr>
        <w:t>stakeholders,</w:t>
      </w:r>
      <w:r>
        <w:rPr>
          <w:spacing w:val="-7"/>
          <w:sz w:val="24"/>
        </w:rPr>
        <w:t xml:space="preserve"> </w:t>
      </w:r>
      <w:r>
        <w:rPr>
          <w:sz w:val="24"/>
        </w:rPr>
        <w:t>evidence is</w:t>
      </w:r>
      <w:r>
        <w:rPr>
          <w:spacing w:val="-2"/>
          <w:sz w:val="24"/>
        </w:rPr>
        <w:t xml:space="preserve"> </w:t>
      </w:r>
      <w:r>
        <w:rPr>
          <w:sz w:val="24"/>
        </w:rPr>
        <w:t>sought to determine</w:t>
      </w:r>
      <w:r>
        <w:rPr>
          <w:spacing w:val="-5"/>
          <w:sz w:val="24"/>
        </w:rPr>
        <w:t xml:space="preserve"> </w:t>
      </w:r>
      <w:r>
        <w:rPr>
          <w:sz w:val="24"/>
        </w:rPr>
        <w:t>the nature</w:t>
      </w:r>
      <w:r>
        <w:rPr>
          <w:spacing w:val="-3"/>
          <w:sz w:val="24"/>
        </w:rPr>
        <w:t xml:space="preserve"> </w:t>
      </w:r>
      <w:r>
        <w:rPr>
          <w:sz w:val="24"/>
        </w:rPr>
        <w:t>and</w:t>
      </w:r>
      <w:r>
        <w:rPr>
          <w:spacing w:val="-2"/>
          <w:sz w:val="24"/>
        </w:rPr>
        <w:t xml:space="preserve"> </w:t>
      </w:r>
      <w:r>
        <w:rPr>
          <w:sz w:val="24"/>
        </w:rPr>
        <w:t>extent</w:t>
      </w:r>
      <w:r>
        <w:rPr>
          <w:spacing w:val="-2"/>
          <w:sz w:val="24"/>
        </w:rPr>
        <w:t xml:space="preserve"> </w:t>
      </w:r>
      <w:r>
        <w:rPr>
          <w:sz w:val="24"/>
        </w:rPr>
        <w:t>of the</w:t>
      </w:r>
      <w:r>
        <w:rPr>
          <w:spacing w:val="-7"/>
          <w:sz w:val="24"/>
        </w:rPr>
        <w:t xml:space="preserve"> </w:t>
      </w:r>
      <w:r>
        <w:rPr>
          <w:sz w:val="24"/>
        </w:rPr>
        <w:t>issue.</w:t>
      </w:r>
      <w:r>
        <w:rPr>
          <w:sz w:val="24"/>
          <w:vertAlign w:val="superscript"/>
        </w:rPr>
        <w:t>10</w:t>
      </w:r>
      <w:r>
        <w:rPr>
          <w:sz w:val="24"/>
        </w:rPr>
        <w:t xml:space="preserve"> In</w:t>
      </w:r>
      <w:r>
        <w:rPr>
          <w:spacing w:val="-2"/>
          <w:sz w:val="24"/>
        </w:rPr>
        <w:t xml:space="preserve"> </w:t>
      </w:r>
      <w:r>
        <w:rPr>
          <w:sz w:val="24"/>
        </w:rPr>
        <w:t>prioritising</w:t>
      </w:r>
      <w:r>
        <w:rPr>
          <w:spacing w:val="-1"/>
          <w:sz w:val="24"/>
        </w:rPr>
        <w:t xml:space="preserve"> </w:t>
      </w:r>
      <w:r>
        <w:rPr>
          <w:sz w:val="24"/>
        </w:rPr>
        <w:t>individual</w:t>
      </w:r>
      <w:r>
        <w:rPr>
          <w:spacing w:val="-1"/>
          <w:sz w:val="24"/>
        </w:rPr>
        <w:t xml:space="preserve"> </w:t>
      </w:r>
      <w:r>
        <w:rPr>
          <w:sz w:val="24"/>
        </w:rPr>
        <w:t>projects</w:t>
      </w:r>
      <w:r>
        <w:rPr>
          <w:spacing w:val="-3"/>
          <w:sz w:val="24"/>
        </w:rPr>
        <w:t xml:space="preserve"> </w:t>
      </w:r>
      <w:r>
        <w:rPr>
          <w:sz w:val="24"/>
        </w:rPr>
        <w:t>on</w:t>
      </w:r>
      <w:r>
        <w:rPr>
          <w:spacing w:val="-2"/>
          <w:sz w:val="24"/>
        </w:rPr>
        <w:t xml:space="preserve"> </w:t>
      </w:r>
      <w:r>
        <w:rPr>
          <w:sz w:val="24"/>
        </w:rPr>
        <w:t>its</w:t>
      </w:r>
      <w:r>
        <w:rPr>
          <w:spacing w:val="-4"/>
          <w:sz w:val="24"/>
        </w:rPr>
        <w:t xml:space="preserve"> </w:t>
      </w:r>
      <w:r>
        <w:rPr>
          <w:sz w:val="24"/>
        </w:rPr>
        <w:t>work</w:t>
      </w:r>
      <w:r>
        <w:rPr>
          <w:spacing w:val="-2"/>
          <w:sz w:val="24"/>
        </w:rPr>
        <w:t xml:space="preserve"> </w:t>
      </w:r>
      <w:r>
        <w:rPr>
          <w:sz w:val="24"/>
        </w:rPr>
        <w:t>plan</w:t>
      </w:r>
      <w:r>
        <w:rPr>
          <w:spacing w:val="-7"/>
          <w:sz w:val="24"/>
        </w:rPr>
        <w:t xml:space="preserve"> </w:t>
      </w:r>
      <w:r>
        <w:rPr>
          <w:sz w:val="24"/>
        </w:rPr>
        <w:t>and allocating resources to them, the AASB considers various factors, including:</w:t>
      </w:r>
    </w:p>
    <w:p w14:paraId="1E8057E6" w14:textId="77777777" w:rsidR="00AA4A02" w:rsidRDefault="00960F31">
      <w:pPr>
        <w:pStyle w:val="ListParagraph"/>
        <w:numPr>
          <w:ilvl w:val="3"/>
          <w:numId w:val="50"/>
        </w:numPr>
        <w:tabs>
          <w:tab w:val="left" w:pos="1558"/>
        </w:tabs>
        <w:spacing w:before="229" w:line="242" w:lineRule="auto"/>
        <w:ind w:right="807"/>
        <w:rPr>
          <w:sz w:val="24"/>
        </w:rPr>
      </w:pPr>
      <w:r>
        <w:rPr>
          <w:sz w:val="24"/>
        </w:rPr>
        <w:t>the</w:t>
      </w:r>
      <w:r>
        <w:rPr>
          <w:spacing w:val="-2"/>
          <w:sz w:val="24"/>
        </w:rPr>
        <w:t xml:space="preserve"> </w:t>
      </w:r>
      <w:r>
        <w:rPr>
          <w:sz w:val="24"/>
        </w:rPr>
        <w:t>importance</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issue</w:t>
      </w:r>
      <w:r>
        <w:rPr>
          <w:spacing w:val="-3"/>
          <w:sz w:val="24"/>
        </w:rPr>
        <w:t xml:space="preserve"> </w:t>
      </w:r>
      <w:r>
        <w:rPr>
          <w:sz w:val="24"/>
        </w:rPr>
        <w:t>to</w:t>
      </w:r>
      <w:r>
        <w:rPr>
          <w:spacing w:val="-7"/>
          <w:sz w:val="24"/>
        </w:rPr>
        <w:t xml:space="preserve"> </w:t>
      </w:r>
      <w:r>
        <w:rPr>
          <w:sz w:val="24"/>
        </w:rPr>
        <w:t>those</w:t>
      </w:r>
      <w:r>
        <w:rPr>
          <w:spacing w:val="-3"/>
          <w:sz w:val="24"/>
        </w:rPr>
        <w:t xml:space="preserve"> </w:t>
      </w:r>
      <w:r>
        <w:rPr>
          <w:sz w:val="24"/>
        </w:rPr>
        <w:t>who</w:t>
      </w:r>
      <w:r>
        <w:rPr>
          <w:spacing w:val="-3"/>
          <w:sz w:val="24"/>
        </w:rPr>
        <w:t xml:space="preserve"> </w:t>
      </w:r>
      <w:r>
        <w:rPr>
          <w:sz w:val="24"/>
        </w:rPr>
        <w:t>use</w:t>
      </w:r>
      <w:r>
        <w:rPr>
          <w:spacing w:val="-3"/>
          <w:sz w:val="24"/>
        </w:rPr>
        <w:t xml:space="preserve"> </w:t>
      </w:r>
      <w:r>
        <w:rPr>
          <w:sz w:val="24"/>
        </w:rPr>
        <w:t>financial</w:t>
      </w:r>
      <w:r>
        <w:rPr>
          <w:spacing w:val="-1"/>
          <w:sz w:val="24"/>
        </w:rPr>
        <w:t xml:space="preserve"> </w:t>
      </w:r>
      <w:r>
        <w:rPr>
          <w:sz w:val="24"/>
        </w:rPr>
        <w:t>reports,</w:t>
      </w:r>
      <w:r>
        <w:rPr>
          <w:spacing w:val="-4"/>
          <w:sz w:val="24"/>
        </w:rPr>
        <w:t xml:space="preserve"> </w:t>
      </w:r>
      <w:r>
        <w:rPr>
          <w:sz w:val="24"/>
        </w:rPr>
        <w:t>including</w:t>
      </w:r>
      <w:r>
        <w:rPr>
          <w:spacing w:val="-1"/>
          <w:sz w:val="24"/>
        </w:rPr>
        <w:t xml:space="preserve"> </w:t>
      </w:r>
      <w:r>
        <w:rPr>
          <w:sz w:val="24"/>
        </w:rPr>
        <w:t>the range and extent of those to whom the issue might apply, and whether it impacts for-profit and not-for-profit entities;</w:t>
      </w:r>
    </w:p>
    <w:p w14:paraId="1E8057E7" w14:textId="77777777" w:rsidR="00AA4A02" w:rsidRDefault="00960F31">
      <w:pPr>
        <w:pStyle w:val="ListParagraph"/>
        <w:numPr>
          <w:ilvl w:val="3"/>
          <w:numId w:val="50"/>
        </w:numPr>
        <w:tabs>
          <w:tab w:val="left" w:pos="1558"/>
        </w:tabs>
        <w:spacing w:before="235" w:line="242" w:lineRule="auto"/>
        <w:ind w:right="1263"/>
        <w:rPr>
          <w:sz w:val="24"/>
        </w:rPr>
      </w:pPr>
      <w:r>
        <w:rPr>
          <w:sz w:val="24"/>
        </w:rPr>
        <w:t>the</w:t>
      </w:r>
      <w:r>
        <w:rPr>
          <w:spacing w:val="-4"/>
          <w:sz w:val="24"/>
        </w:rPr>
        <w:t xml:space="preserve"> </w:t>
      </w:r>
      <w:r>
        <w:rPr>
          <w:sz w:val="24"/>
        </w:rPr>
        <w:t>urgency</w:t>
      </w:r>
      <w:r>
        <w:rPr>
          <w:spacing w:val="-3"/>
          <w:sz w:val="24"/>
        </w:rPr>
        <w:t xml:space="preserve"> </w:t>
      </w:r>
      <w:r>
        <w:rPr>
          <w:sz w:val="24"/>
        </w:rPr>
        <w:t>of</w:t>
      </w:r>
      <w:r>
        <w:rPr>
          <w:spacing w:val="-7"/>
          <w:sz w:val="24"/>
        </w:rPr>
        <w:t xml:space="preserve"> </w:t>
      </w:r>
      <w:r>
        <w:rPr>
          <w:sz w:val="24"/>
        </w:rPr>
        <w:t>addressing</w:t>
      </w:r>
      <w:r>
        <w:rPr>
          <w:spacing w:val="-3"/>
          <w:sz w:val="24"/>
        </w:rPr>
        <w:t xml:space="preserve"> </w:t>
      </w:r>
      <w:r>
        <w:rPr>
          <w:sz w:val="24"/>
        </w:rPr>
        <w:t>the</w:t>
      </w:r>
      <w:r>
        <w:rPr>
          <w:spacing w:val="-4"/>
          <w:sz w:val="24"/>
        </w:rPr>
        <w:t xml:space="preserve"> </w:t>
      </w:r>
      <w:r>
        <w:rPr>
          <w:sz w:val="24"/>
        </w:rPr>
        <w:t>issue,</w:t>
      </w:r>
      <w:r>
        <w:rPr>
          <w:spacing w:val="-1"/>
          <w:sz w:val="24"/>
        </w:rPr>
        <w:t xml:space="preserve"> </w:t>
      </w:r>
      <w:r>
        <w:rPr>
          <w:sz w:val="24"/>
        </w:rPr>
        <w:t>considering</w:t>
      </w:r>
      <w:r>
        <w:rPr>
          <w:spacing w:val="-3"/>
          <w:sz w:val="24"/>
        </w:rPr>
        <w:t xml:space="preserve"> </w:t>
      </w:r>
      <w:r>
        <w:rPr>
          <w:sz w:val="24"/>
        </w:rPr>
        <w:t>input</w:t>
      </w:r>
      <w:r>
        <w:rPr>
          <w:spacing w:val="-4"/>
          <w:sz w:val="24"/>
        </w:rPr>
        <w:t xml:space="preserve"> </w:t>
      </w:r>
      <w:r>
        <w:rPr>
          <w:sz w:val="24"/>
        </w:rPr>
        <w:t>of</w:t>
      </w:r>
      <w:r>
        <w:rPr>
          <w:spacing w:val="-2"/>
          <w:sz w:val="24"/>
        </w:rPr>
        <w:t xml:space="preserve"> </w:t>
      </w:r>
      <w:r>
        <w:rPr>
          <w:sz w:val="24"/>
        </w:rPr>
        <w:t>other</w:t>
      </w:r>
      <w:r>
        <w:rPr>
          <w:spacing w:val="-7"/>
          <w:sz w:val="24"/>
        </w:rPr>
        <w:t xml:space="preserve"> </w:t>
      </w:r>
      <w:r>
        <w:rPr>
          <w:sz w:val="24"/>
        </w:rPr>
        <w:t>relevant regulators and evidence of the impact of not addressing the issue;</w:t>
      </w:r>
    </w:p>
    <w:p w14:paraId="1E8057E8" w14:textId="77777777" w:rsidR="00AA4A02" w:rsidRDefault="00960F31">
      <w:pPr>
        <w:pStyle w:val="ListParagraph"/>
        <w:numPr>
          <w:ilvl w:val="3"/>
          <w:numId w:val="50"/>
        </w:numPr>
        <w:tabs>
          <w:tab w:val="left" w:pos="1557"/>
        </w:tabs>
        <w:spacing w:before="239"/>
        <w:ind w:left="1557" w:hanging="705"/>
        <w:rPr>
          <w:sz w:val="24"/>
        </w:rPr>
      </w:pPr>
      <w:r>
        <w:rPr>
          <w:sz w:val="24"/>
        </w:rPr>
        <w:t>interactions</w:t>
      </w:r>
      <w:r>
        <w:rPr>
          <w:spacing w:val="-2"/>
          <w:sz w:val="24"/>
        </w:rPr>
        <w:t xml:space="preserve"> </w:t>
      </w:r>
      <w:r>
        <w:rPr>
          <w:sz w:val="24"/>
        </w:rPr>
        <w:t>with</w:t>
      </w:r>
      <w:r>
        <w:rPr>
          <w:spacing w:val="1"/>
          <w:sz w:val="24"/>
        </w:rPr>
        <w:t xml:space="preserve"> </w:t>
      </w:r>
      <w:r>
        <w:rPr>
          <w:sz w:val="24"/>
        </w:rPr>
        <w:t>other</w:t>
      </w:r>
      <w:r>
        <w:rPr>
          <w:spacing w:val="-4"/>
          <w:sz w:val="24"/>
        </w:rPr>
        <w:t xml:space="preserve"> </w:t>
      </w:r>
      <w:r>
        <w:rPr>
          <w:sz w:val="24"/>
        </w:rPr>
        <w:t>current</w:t>
      </w:r>
      <w:r>
        <w:rPr>
          <w:spacing w:val="-2"/>
          <w:sz w:val="24"/>
        </w:rPr>
        <w:t xml:space="preserve"> </w:t>
      </w:r>
      <w:r>
        <w:rPr>
          <w:sz w:val="24"/>
        </w:rPr>
        <w:t>or</w:t>
      </w:r>
      <w:r>
        <w:rPr>
          <w:spacing w:val="-2"/>
          <w:sz w:val="24"/>
        </w:rPr>
        <w:t xml:space="preserve"> </w:t>
      </w:r>
      <w:r>
        <w:rPr>
          <w:sz w:val="24"/>
        </w:rPr>
        <w:t>possible</w:t>
      </w:r>
      <w:r>
        <w:rPr>
          <w:spacing w:val="1"/>
          <w:sz w:val="24"/>
        </w:rPr>
        <w:t xml:space="preserve"> </w:t>
      </w:r>
      <w:r>
        <w:rPr>
          <w:spacing w:val="-2"/>
          <w:sz w:val="24"/>
        </w:rPr>
        <w:t>projects;</w:t>
      </w:r>
    </w:p>
    <w:p w14:paraId="1E8057E9" w14:textId="77777777" w:rsidR="00AA4A02" w:rsidRDefault="00960F31">
      <w:pPr>
        <w:pStyle w:val="ListParagraph"/>
        <w:numPr>
          <w:ilvl w:val="3"/>
          <w:numId w:val="50"/>
        </w:numPr>
        <w:tabs>
          <w:tab w:val="left" w:pos="1558"/>
        </w:tabs>
        <w:spacing w:before="233" w:line="247" w:lineRule="auto"/>
        <w:ind w:right="467"/>
        <w:rPr>
          <w:sz w:val="24"/>
        </w:rPr>
      </w:pPr>
      <w:r>
        <w:rPr>
          <w:sz w:val="24"/>
        </w:rPr>
        <w:t>the</w:t>
      </w:r>
      <w:r>
        <w:rPr>
          <w:spacing w:val="-2"/>
          <w:sz w:val="24"/>
        </w:rPr>
        <w:t xml:space="preserve"> </w:t>
      </w:r>
      <w:r>
        <w:rPr>
          <w:sz w:val="24"/>
        </w:rPr>
        <w:t>complexity</w:t>
      </w:r>
      <w:r>
        <w:rPr>
          <w:spacing w:val="-1"/>
          <w:sz w:val="24"/>
        </w:rPr>
        <w:t xml:space="preserve"> </w:t>
      </w:r>
      <w:r>
        <w:rPr>
          <w:sz w:val="24"/>
        </w:rPr>
        <w:t>and</w:t>
      </w:r>
      <w:r>
        <w:rPr>
          <w:spacing w:val="-2"/>
          <w:sz w:val="24"/>
        </w:rPr>
        <w:t xml:space="preserve"> </w:t>
      </w:r>
      <w:r>
        <w:rPr>
          <w:sz w:val="24"/>
        </w:rPr>
        <w:t>breadth</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problem</w:t>
      </w:r>
      <w:r>
        <w:rPr>
          <w:spacing w:val="-1"/>
          <w:sz w:val="24"/>
        </w:rPr>
        <w:t xml:space="preserve"> </w:t>
      </w:r>
      <w:r>
        <w:rPr>
          <w:sz w:val="24"/>
        </w:rPr>
        <w:t>to</w:t>
      </w:r>
      <w:r>
        <w:rPr>
          <w:spacing w:val="-7"/>
          <w:sz w:val="24"/>
        </w:rPr>
        <w:t xml:space="preserve"> </w:t>
      </w:r>
      <w:r>
        <w:rPr>
          <w:sz w:val="24"/>
        </w:rPr>
        <w:t>be</w:t>
      </w:r>
      <w:r>
        <w:rPr>
          <w:spacing w:val="-2"/>
          <w:sz w:val="24"/>
        </w:rPr>
        <w:t xml:space="preserve"> </w:t>
      </w:r>
      <w:r>
        <w:rPr>
          <w:sz w:val="24"/>
        </w:rPr>
        <w:t>resolved, and</w:t>
      </w:r>
      <w:r>
        <w:rPr>
          <w:spacing w:val="-2"/>
          <w:sz w:val="24"/>
        </w:rPr>
        <w:t xml:space="preserve"> </w:t>
      </w:r>
      <w:r>
        <w:rPr>
          <w:sz w:val="24"/>
        </w:rPr>
        <w:t>the</w:t>
      </w:r>
      <w:r>
        <w:rPr>
          <w:spacing w:val="-7"/>
          <w:sz w:val="24"/>
        </w:rPr>
        <w:t xml:space="preserve"> </w:t>
      </w:r>
      <w:r>
        <w:rPr>
          <w:sz w:val="24"/>
        </w:rPr>
        <w:t>feasibility of possible solutions being developed;</w:t>
      </w:r>
    </w:p>
    <w:p w14:paraId="1E8057EA" w14:textId="77777777" w:rsidR="00AA4A02" w:rsidRDefault="00960F31">
      <w:pPr>
        <w:pStyle w:val="ListParagraph"/>
        <w:numPr>
          <w:ilvl w:val="3"/>
          <w:numId w:val="50"/>
        </w:numPr>
        <w:tabs>
          <w:tab w:val="left" w:pos="1558"/>
        </w:tabs>
        <w:spacing w:before="224" w:line="247" w:lineRule="auto"/>
        <w:ind w:right="1258"/>
        <w:rPr>
          <w:sz w:val="24"/>
        </w:rPr>
      </w:pPr>
      <w:r>
        <w:rPr>
          <w:sz w:val="24"/>
        </w:rPr>
        <w:t>the</w:t>
      </w:r>
      <w:r>
        <w:rPr>
          <w:spacing w:val="-3"/>
          <w:sz w:val="24"/>
        </w:rPr>
        <w:t xml:space="preserve"> </w:t>
      </w:r>
      <w:r>
        <w:rPr>
          <w:sz w:val="24"/>
        </w:rPr>
        <w:t>capacity</w:t>
      </w:r>
      <w:r>
        <w:rPr>
          <w:spacing w:val="-2"/>
          <w:sz w:val="24"/>
        </w:rPr>
        <w:t xml:space="preserve"> </w:t>
      </w:r>
      <w:r>
        <w:rPr>
          <w:sz w:val="24"/>
        </w:rPr>
        <w:t>of</w:t>
      </w:r>
      <w:r>
        <w:rPr>
          <w:spacing w:val="-1"/>
          <w:sz w:val="24"/>
        </w:rPr>
        <w:t xml:space="preserve"> </w:t>
      </w:r>
      <w:r>
        <w:rPr>
          <w:sz w:val="24"/>
        </w:rPr>
        <w:t>stakeholders</w:t>
      </w:r>
      <w:r>
        <w:rPr>
          <w:spacing w:val="-4"/>
          <w:sz w:val="24"/>
        </w:rPr>
        <w:t xml:space="preserve"> </w:t>
      </w:r>
      <w:r>
        <w:rPr>
          <w:sz w:val="24"/>
        </w:rPr>
        <w:t>to</w:t>
      </w:r>
      <w:r>
        <w:rPr>
          <w:spacing w:val="-8"/>
          <w:sz w:val="24"/>
        </w:rPr>
        <w:t xml:space="preserve"> </w:t>
      </w:r>
      <w:r>
        <w:rPr>
          <w:sz w:val="24"/>
        </w:rPr>
        <w:t>respond</w:t>
      </w:r>
      <w:r>
        <w:rPr>
          <w:spacing w:val="-2"/>
          <w:sz w:val="24"/>
        </w:rPr>
        <w:t xml:space="preserve"> </w:t>
      </w:r>
      <w:r>
        <w:rPr>
          <w:sz w:val="24"/>
        </w:rPr>
        <w:t>to</w:t>
      </w:r>
      <w:r>
        <w:rPr>
          <w:spacing w:val="-3"/>
          <w:sz w:val="24"/>
        </w:rPr>
        <w:t xml:space="preserve"> </w:t>
      </w:r>
      <w:r>
        <w:rPr>
          <w:sz w:val="24"/>
        </w:rPr>
        <w:t>proposals, both</w:t>
      </w:r>
      <w:r>
        <w:rPr>
          <w:spacing w:val="-3"/>
          <w:sz w:val="24"/>
        </w:rPr>
        <w:t xml:space="preserve"> </w:t>
      </w:r>
      <w:r>
        <w:rPr>
          <w:sz w:val="24"/>
        </w:rPr>
        <w:t>as</w:t>
      </w:r>
      <w:r>
        <w:rPr>
          <w:spacing w:val="-5"/>
          <w:sz w:val="24"/>
        </w:rPr>
        <w:t xml:space="preserve"> </w:t>
      </w:r>
      <w:r>
        <w:rPr>
          <w:sz w:val="24"/>
        </w:rPr>
        <w:t>individual proposals and across the work program as a whole;</w:t>
      </w:r>
    </w:p>
    <w:p w14:paraId="1E8057EB" w14:textId="77777777" w:rsidR="00AA4A02" w:rsidRDefault="00960F31">
      <w:pPr>
        <w:pStyle w:val="ListParagraph"/>
        <w:numPr>
          <w:ilvl w:val="3"/>
          <w:numId w:val="50"/>
        </w:numPr>
        <w:tabs>
          <w:tab w:val="left" w:pos="1558"/>
        </w:tabs>
        <w:spacing w:before="224" w:line="242" w:lineRule="auto"/>
        <w:ind w:right="462"/>
        <w:rPr>
          <w:sz w:val="24"/>
        </w:rPr>
      </w:pPr>
      <w:r>
        <w:rPr>
          <w:sz w:val="24"/>
        </w:rPr>
        <w:t>the overall balance of the work plan and the overall balance in the pipeline of research</w:t>
      </w:r>
      <w:r>
        <w:rPr>
          <w:spacing w:val="-3"/>
          <w:sz w:val="24"/>
        </w:rPr>
        <w:t xml:space="preserve"> </w:t>
      </w:r>
      <w:r>
        <w:rPr>
          <w:sz w:val="24"/>
        </w:rPr>
        <w:t>projects</w:t>
      </w:r>
      <w:r>
        <w:rPr>
          <w:spacing w:val="-5"/>
          <w:sz w:val="24"/>
        </w:rPr>
        <w:t xml:space="preserve"> </w:t>
      </w:r>
      <w:r>
        <w:rPr>
          <w:sz w:val="24"/>
        </w:rPr>
        <w:t>that</w:t>
      </w:r>
      <w:r>
        <w:rPr>
          <w:spacing w:val="-4"/>
          <w:sz w:val="24"/>
        </w:rPr>
        <w:t xml:space="preserve"> </w:t>
      </w:r>
      <w:r>
        <w:rPr>
          <w:sz w:val="24"/>
        </w:rPr>
        <w:t>may</w:t>
      </w:r>
      <w:r>
        <w:rPr>
          <w:spacing w:val="-4"/>
          <w:sz w:val="24"/>
        </w:rPr>
        <w:t xml:space="preserve"> </w:t>
      </w:r>
      <w:r>
        <w:rPr>
          <w:sz w:val="24"/>
        </w:rPr>
        <w:t>ultimately</w:t>
      </w:r>
      <w:r>
        <w:rPr>
          <w:spacing w:val="-3"/>
          <w:sz w:val="24"/>
        </w:rPr>
        <w:t xml:space="preserve"> </w:t>
      </w:r>
      <w:r>
        <w:rPr>
          <w:sz w:val="24"/>
        </w:rPr>
        <w:t>come</w:t>
      </w:r>
      <w:r>
        <w:rPr>
          <w:spacing w:val="-8"/>
          <w:sz w:val="24"/>
        </w:rPr>
        <w:t xml:space="preserve"> </w:t>
      </w:r>
      <w:r>
        <w:rPr>
          <w:sz w:val="24"/>
        </w:rPr>
        <w:t>forward</w:t>
      </w:r>
      <w:r>
        <w:rPr>
          <w:spacing w:val="-3"/>
          <w:sz w:val="24"/>
        </w:rPr>
        <w:t xml:space="preserve"> </w:t>
      </w:r>
      <w:r>
        <w:rPr>
          <w:sz w:val="24"/>
        </w:rPr>
        <w:t>to</w:t>
      </w:r>
      <w:r>
        <w:rPr>
          <w:spacing w:val="-4"/>
          <w:sz w:val="24"/>
        </w:rPr>
        <w:t xml:space="preserve"> </w:t>
      </w:r>
      <w:r>
        <w:rPr>
          <w:sz w:val="24"/>
        </w:rPr>
        <w:t>the</w:t>
      </w:r>
      <w:r>
        <w:rPr>
          <w:spacing w:val="-8"/>
          <w:sz w:val="24"/>
        </w:rPr>
        <w:t xml:space="preserve"> </w:t>
      </w:r>
      <w:r>
        <w:rPr>
          <w:sz w:val="24"/>
        </w:rPr>
        <w:t>standards-level</w:t>
      </w:r>
      <w:r>
        <w:rPr>
          <w:spacing w:val="-3"/>
          <w:sz w:val="24"/>
        </w:rPr>
        <w:t xml:space="preserve"> </w:t>
      </w:r>
      <w:r>
        <w:rPr>
          <w:sz w:val="24"/>
        </w:rPr>
        <w:t>work program,</w:t>
      </w:r>
      <w:r>
        <w:rPr>
          <w:spacing w:val="-3"/>
          <w:sz w:val="24"/>
        </w:rPr>
        <w:t xml:space="preserve"> </w:t>
      </w:r>
      <w:r>
        <w:rPr>
          <w:sz w:val="24"/>
        </w:rPr>
        <w:t>including</w:t>
      </w:r>
      <w:r>
        <w:rPr>
          <w:spacing w:val="-1"/>
          <w:sz w:val="24"/>
        </w:rPr>
        <w:t xml:space="preserve"> </w:t>
      </w:r>
      <w:r>
        <w:rPr>
          <w:sz w:val="24"/>
        </w:rPr>
        <w:t>a</w:t>
      </w:r>
      <w:r>
        <w:rPr>
          <w:spacing w:val="-8"/>
          <w:sz w:val="24"/>
        </w:rPr>
        <w:t xml:space="preserve"> </w:t>
      </w:r>
      <w:r>
        <w:rPr>
          <w:sz w:val="24"/>
        </w:rPr>
        <w:t>balance</w:t>
      </w:r>
      <w:r>
        <w:rPr>
          <w:spacing w:val="-2"/>
          <w:sz w:val="24"/>
        </w:rPr>
        <w:t xml:space="preserve"> </w:t>
      </w:r>
      <w:r>
        <w:rPr>
          <w:sz w:val="24"/>
        </w:rPr>
        <w:t>of not-for-profit,</w:t>
      </w:r>
      <w:r>
        <w:rPr>
          <w:spacing w:val="-4"/>
          <w:sz w:val="24"/>
        </w:rPr>
        <w:t xml:space="preserve"> </w:t>
      </w:r>
      <w:r>
        <w:rPr>
          <w:sz w:val="24"/>
        </w:rPr>
        <w:t>public</w:t>
      </w:r>
      <w:r>
        <w:rPr>
          <w:spacing w:val="-2"/>
          <w:sz w:val="24"/>
        </w:rPr>
        <w:t xml:space="preserve"> </w:t>
      </w:r>
      <w:r>
        <w:rPr>
          <w:sz w:val="24"/>
        </w:rPr>
        <w:t>sector and</w:t>
      </w:r>
      <w:r>
        <w:rPr>
          <w:spacing w:val="-2"/>
          <w:sz w:val="24"/>
        </w:rPr>
        <w:t xml:space="preserve"> </w:t>
      </w:r>
      <w:r>
        <w:rPr>
          <w:sz w:val="24"/>
        </w:rPr>
        <w:t>other</w:t>
      </w:r>
      <w:r>
        <w:rPr>
          <w:spacing w:val="-6"/>
          <w:sz w:val="24"/>
        </w:rPr>
        <w:t xml:space="preserve"> </w:t>
      </w:r>
      <w:r>
        <w:rPr>
          <w:sz w:val="24"/>
        </w:rPr>
        <w:t xml:space="preserve">projects; </w:t>
      </w:r>
      <w:r>
        <w:rPr>
          <w:spacing w:val="-4"/>
          <w:sz w:val="24"/>
        </w:rPr>
        <w:t>and</w:t>
      </w:r>
    </w:p>
    <w:p w14:paraId="1E8057EC" w14:textId="77777777" w:rsidR="00AA4A02" w:rsidRDefault="00960F31">
      <w:pPr>
        <w:pStyle w:val="ListParagraph"/>
        <w:numPr>
          <w:ilvl w:val="3"/>
          <w:numId w:val="50"/>
        </w:numPr>
        <w:tabs>
          <w:tab w:val="left" w:pos="1557"/>
        </w:tabs>
        <w:spacing w:before="234"/>
        <w:ind w:left="1557" w:hanging="705"/>
        <w:rPr>
          <w:sz w:val="24"/>
        </w:rPr>
      </w:pPr>
      <w:r>
        <w:rPr>
          <w:sz w:val="24"/>
        </w:rPr>
        <w:t>the availability</w:t>
      </w:r>
      <w:r>
        <w:rPr>
          <w:spacing w:val="2"/>
          <w:sz w:val="24"/>
        </w:rPr>
        <w:t xml:space="preserve"> </w:t>
      </w:r>
      <w:r>
        <w:rPr>
          <w:sz w:val="24"/>
        </w:rPr>
        <w:t>of</w:t>
      </w:r>
      <w:r>
        <w:rPr>
          <w:spacing w:val="-2"/>
          <w:sz w:val="24"/>
        </w:rPr>
        <w:t xml:space="preserve"> </w:t>
      </w:r>
      <w:r>
        <w:rPr>
          <w:sz w:val="24"/>
        </w:rPr>
        <w:t>sufficient</w:t>
      </w:r>
      <w:r>
        <w:rPr>
          <w:spacing w:val="-3"/>
          <w:sz w:val="24"/>
        </w:rPr>
        <w:t xml:space="preserve"> </w:t>
      </w:r>
      <w:r>
        <w:rPr>
          <w:sz w:val="24"/>
        </w:rPr>
        <w:t>staff</w:t>
      </w:r>
      <w:r>
        <w:rPr>
          <w:spacing w:val="-2"/>
          <w:sz w:val="24"/>
        </w:rPr>
        <w:t xml:space="preserve"> resources.</w:t>
      </w:r>
    </w:p>
    <w:p w14:paraId="1E8057ED" w14:textId="77777777" w:rsidR="00AA4A02" w:rsidRDefault="00960F31">
      <w:pPr>
        <w:pStyle w:val="ListParagraph"/>
        <w:numPr>
          <w:ilvl w:val="2"/>
          <w:numId w:val="50"/>
        </w:numPr>
        <w:tabs>
          <w:tab w:val="left" w:pos="852"/>
        </w:tabs>
        <w:spacing w:before="238"/>
        <w:ind w:right="491"/>
        <w:rPr>
          <w:sz w:val="24"/>
        </w:rPr>
      </w:pPr>
      <w:r>
        <w:rPr>
          <w:sz w:val="24"/>
        </w:rPr>
        <w:t>When</w:t>
      </w:r>
      <w:r>
        <w:rPr>
          <w:spacing w:val="-2"/>
          <w:sz w:val="24"/>
        </w:rPr>
        <w:t xml:space="preserve"> </w:t>
      </w:r>
      <w:r>
        <w:rPr>
          <w:sz w:val="24"/>
        </w:rPr>
        <w:t>an</w:t>
      </w:r>
      <w:r>
        <w:rPr>
          <w:spacing w:val="-2"/>
          <w:sz w:val="24"/>
        </w:rPr>
        <w:t xml:space="preserve"> </w:t>
      </w:r>
      <w:r>
        <w:rPr>
          <w:sz w:val="24"/>
        </w:rPr>
        <w:t>issue</w:t>
      </w:r>
      <w:r>
        <w:rPr>
          <w:spacing w:val="-3"/>
          <w:sz w:val="24"/>
        </w:rPr>
        <w:t xml:space="preserve"> </w:t>
      </w:r>
      <w:r>
        <w:rPr>
          <w:sz w:val="24"/>
        </w:rPr>
        <w:t>has</w:t>
      </w:r>
      <w:r>
        <w:rPr>
          <w:spacing w:val="-4"/>
          <w:sz w:val="24"/>
        </w:rPr>
        <w:t xml:space="preserve"> </w:t>
      </w:r>
      <w:r>
        <w:rPr>
          <w:sz w:val="24"/>
        </w:rPr>
        <w:t>been</w:t>
      </w:r>
      <w:r>
        <w:rPr>
          <w:spacing w:val="-2"/>
          <w:sz w:val="24"/>
        </w:rPr>
        <w:t xml:space="preserve"> </w:t>
      </w:r>
      <w:r>
        <w:rPr>
          <w:sz w:val="24"/>
        </w:rPr>
        <w:t>added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agenda,</w:t>
      </w:r>
      <w:r>
        <w:rPr>
          <w:spacing w:val="-4"/>
          <w:sz w:val="24"/>
        </w:rPr>
        <w:t xml:space="preserve"> </w:t>
      </w:r>
      <w:r>
        <w:rPr>
          <w:sz w:val="24"/>
        </w:rPr>
        <w:t>the</w:t>
      </w:r>
      <w:r>
        <w:rPr>
          <w:spacing w:val="-2"/>
          <w:sz w:val="24"/>
        </w:rPr>
        <w:t xml:space="preserve"> </w:t>
      </w:r>
      <w:r>
        <w:rPr>
          <w:sz w:val="24"/>
        </w:rPr>
        <w:t>AASB</w:t>
      </w:r>
      <w:r>
        <w:rPr>
          <w:spacing w:val="-3"/>
          <w:sz w:val="24"/>
        </w:rPr>
        <w:t xml:space="preserve"> </w:t>
      </w:r>
      <w:r>
        <w:rPr>
          <w:sz w:val="24"/>
        </w:rPr>
        <w:t>reviews</w:t>
      </w:r>
      <w:r>
        <w:rPr>
          <w:spacing w:val="-4"/>
          <w:sz w:val="24"/>
        </w:rPr>
        <w:t xml:space="preserve"> </w:t>
      </w:r>
      <w:r>
        <w:rPr>
          <w:sz w:val="24"/>
        </w:rPr>
        <w:t>available</w:t>
      </w:r>
      <w:r>
        <w:rPr>
          <w:spacing w:val="-2"/>
          <w:sz w:val="24"/>
        </w:rPr>
        <w:t xml:space="preserve"> </w:t>
      </w:r>
      <w:r>
        <w:rPr>
          <w:sz w:val="24"/>
        </w:rPr>
        <w:t>evidence</w:t>
      </w:r>
      <w:r>
        <w:rPr>
          <w:spacing w:val="-2"/>
          <w:sz w:val="24"/>
        </w:rPr>
        <w:t xml:space="preserve"> </w:t>
      </w:r>
      <w:r>
        <w:rPr>
          <w:sz w:val="24"/>
        </w:rPr>
        <w:t>of the nature and extent of the issue and discusses agenda papers prepared by AASB staff. The agenda papers identify the issue, the scope of the issue, alternative approaches to solving the issue, staff recommendations and timing of outputs. Evidence typically includes a review of existing academic literature and may draw upon relevant material from other standard-setters, including the IASB, the IPSASB and the NZASB, or from other organisations.</w:t>
      </w:r>
      <w:r>
        <w:rPr>
          <w:sz w:val="24"/>
          <w:vertAlign w:val="superscript"/>
        </w:rPr>
        <w:t>11</w:t>
      </w:r>
    </w:p>
    <w:p w14:paraId="1E8057EE" w14:textId="77777777" w:rsidR="00AA4A02" w:rsidRDefault="00AA4A02">
      <w:pPr>
        <w:pStyle w:val="BodyText"/>
        <w:rPr>
          <w:sz w:val="20"/>
        </w:rPr>
      </w:pPr>
    </w:p>
    <w:p w14:paraId="1E8057EF" w14:textId="77777777" w:rsidR="00AA4A02" w:rsidRDefault="00AA4A02">
      <w:pPr>
        <w:pStyle w:val="BodyText"/>
        <w:rPr>
          <w:sz w:val="20"/>
        </w:rPr>
      </w:pPr>
    </w:p>
    <w:p w14:paraId="1E8057F0" w14:textId="77777777" w:rsidR="00AA4A02" w:rsidRDefault="00AA4A02">
      <w:pPr>
        <w:pStyle w:val="BodyText"/>
        <w:rPr>
          <w:sz w:val="20"/>
        </w:rPr>
      </w:pPr>
    </w:p>
    <w:p w14:paraId="1E8057F1" w14:textId="77777777" w:rsidR="00AA4A02" w:rsidRDefault="00AA4A02">
      <w:pPr>
        <w:pStyle w:val="BodyText"/>
        <w:rPr>
          <w:sz w:val="20"/>
        </w:rPr>
      </w:pPr>
    </w:p>
    <w:p w14:paraId="1E8057F2" w14:textId="77777777" w:rsidR="00AA4A02" w:rsidRDefault="00960F31">
      <w:pPr>
        <w:pStyle w:val="BodyText"/>
        <w:spacing w:before="42"/>
        <w:rPr>
          <w:sz w:val="20"/>
        </w:rPr>
      </w:pPr>
      <w:r>
        <w:rPr>
          <w:noProof/>
          <w:sz w:val="20"/>
        </w:rPr>
        <mc:AlternateContent>
          <mc:Choice Requires="wps">
            <w:drawing>
              <wp:anchor distT="0" distB="0" distL="0" distR="0" simplePos="0" relativeHeight="487594496" behindDoc="1" locked="0" layoutInCell="1" allowOverlap="1" wp14:anchorId="1E805F2D" wp14:editId="1E805F2E">
                <wp:simplePos x="0" y="0"/>
                <wp:positionH relativeFrom="page">
                  <wp:posOffset>899464</wp:posOffset>
                </wp:positionH>
                <wp:positionV relativeFrom="paragraph">
                  <wp:posOffset>188254</wp:posOffset>
                </wp:positionV>
                <wp:extent cx="183007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DA66A" id="Graphic 32" o:spid="_x0000_s1026" style="position:absolute;margin-left:70.8pt;margin-top:14.8pt;width:144.1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" path="m1829689,l,,,6095r1829689,l1829689,xe" fillcolor="black" stroked="f">
                <v:path arrowok="t"/>
                <w10:wrap type="topAndBottom" anchorx="page"/>
              </v:shape>
            </w:pict>
          </mc:Fallback>
        </mc:AlternateContent>
      </w:r>
    </w:p>
    <w:p w14:paraId="1E8057F3" w14:textId="77777777" w:rsidR="00AA4A02" w:rsidRDefault="00960F31">
      <w:pPr>
        <w:pStyle w:val="ListParagraph"/>
        <w:numPr>
          <w:ilvl w:val="0"/>
          <w:numId w:val="53"/>
        </w:numPr>
        <w:tabs>
          <w:tab w:val="left" w:pos="480"/>
          <w:tab w:val="left" w:pos="482"/>
        </w:tabs>
        <w:spacing w:before="106"/>
        <w:ind w:right="707"/>
        <w:rPr>
          <w:sz w:val="20"/>
        </w:rPr>
      </w:pPr>
      <w:r>
        <w:rPr>
          <w:sz w:val="20"/>
        </w:rPr>
        <w:t>The</w:t>
      </w:r>
      <w:r>
        <w:rPr>
          <w:spacing w:val="-2"/>
          <w:sz w:val="20"/>
        </w:rPr>
        <w:t xml:space="preserve"> </w:t>
      </w:r>
      <w:hyperlink r:id="rId37">
        <w:r>
          <w:rPr>
            <w:i/>
            <w:sz w:val="20"/>
            <w:u w:val="single"/>
          </w:rPr>
          <w:t>AASB</w:t>
        </w:r>
        <w:r>
          <w:rPr>
            <w:i/>
            <w:spacing w:val="-2"/>
            <w:sz w:val="20"/>
            <w:u w:val="single"/>
          </w:rPr>
          <w:t xml:space="preserve"> </w:t>
        </w:r>
        <w:r>
          <w:rPr>
            <w:i/>
            <w:sz w:val="20"/>
            <w:u w:val="single"/>
          </w:rPr>
          <w:t>Evidence-Informed</w:t>
        </w:r>
        <w:r>
          <w:rPr>
            <w:i/>
            <w:spacing w:val="-4"/>
            <w:sz w:val="20"/>
            <w:u w:val="single"/>
          </w:rPr>
          <w:t xml:space="preserve"> </w:t>
        </w:r>
        <w:r>
          <w:rPr>
            <w:i/>
            <w:sz w:val="20"/>
            <w:u w:val="single"/>
          </w:rPr>
          <w:t>Standard-Setting</w:t>
        </w:r>
        <w:r>
          <w:rPr>
            <w:i/>
            <w:spacing w:val="-3"/>
            <w:sz w:val="20"/>
            <w:u w:val="single"/>
          </w:rPr>
          <w:t xml:space="preserve"> </w:t>
        </w:r>
        <w:r>
          <w:rPr>
            <w:i/>
            <w:sz w:val="20"/>
            <w:u w:val="single"/>
          </w:rPr>
          <w:t>Framework</w:t>
        </w:r>
      </w:hyperlink>
      <w:r>
        <w:rPr>
          <w:i/>
          <w:spacing w:val="-2"/>
          <w:sz w:val="20"/>
        </w:rPr>
        <w:t xml:space="preserve"> </w:t>
      </w:r>
      <w:r>
        <w:rPr>
          <w:sz w:val="20"/>
        </w:rPr>
        <w:t>is</w:t>
      </w:r>
      <w:r>
        <w:rPr>
          <w:spacing w:val="-1"/>
          <w:sz w:val="20"/>
        </w:rPr>
        <w:t xml:space="preserve"> </w:t>
      </w:r>
      <w:r>
        <w:rPr>
          <w:sz w:val="20"/>
        </w:rPr>
        <w:t>employed</w:t>
      </w:r>
      <w:r>
        <w:rPr>
          <w:spacing w:val="-3"/>
          <w:sz w:val="20"/>
        </w:rPr>
        <w:t xml:space="preserve"> </w:t>
      </w:r>
      <w:r>
        <w:rPr>
          <w:sz w:val="20"/>
        </w:rPr>
        <w:t>to</w:t>
      </w:r>
      <w:r>
        <w:rPr>
          <w:spacing w:val="-4"/>
          <w:sz w:val="20"/>
        </w:rPr>
        <w:t xml:space="preserve"> </w:t>
      </w:r>
      <w:r>
        <w:rPr>
          <w:sz w:val="20"/>
        </w:rPr>
        <w:t>gather</w:t>
      </w:r>
      <w:r>
        <w:rPr>
          <w:spacing w:val="-4"/>
          <w:sz w:val="20"/>
        </w:rPr>
        <w:t xml:space="preserve"> </w:t>
      </w:r>
      <w:r>
        <w:rPr>
          <w:sz w:val="20"/>
        </w:rPr>
        <w:t>evidence</w:t>
      </w:r>
      <w:r>
        <w:rPr>
          <w:spacing w:val="-1"/>
          <w:sz w:val="20"/>
        </w:rPr>
        <w:t xml:space="preserve"> </w:t>
      </w:r>
      <w:r>
        <w:rPr>
          <w:sz w:val="20"/>
        </w:rPr>
        <w:t>related</w:t>
      </w:r>
      <w:r>
        <w:rPr>
          <w:spacing w:val="-4"/>
          <w:sz w:val="20"/>
        </w:rPr>
        <w:t xml:space="preserve"> </w:t>
      </w:r>
      <w:r>
        <w:rPr>
          <w:sz w:val="20"/>
        </w:rPr>
        <w:t>to</w:t>
      </w:r>
      <w:r>
        <w:rPr>
          <w:spacing w:val="-4"/>
          <w:sz w:val="20"/>
        </w:rPr>
        <w:t xml:space="preserve"> </w:t>
      </w:r>
      <w:r>
        <w:rPr>
          <w:sz w:val="20"/>
        </w:rPr>
        <w:t xml:space="preserve">the </w:t>
      </w:r>
      <w:r>
        <w:rPr>
          <w:spacing w:val="-2"/>
          <w:sz w:val="20"/>
        </w:rPr>
        <w:t>issue.</w:t>
      </w:r>
    </w:p>
    <w:p w14:paraId="1E8057F4" w14:textId="77777777" w:rsidR="00AA4A02" w:rsidRDefault="00960F31">
      <w:pPr>
        <w:pStyle w:val="ListParagraph"/>
        <w:numPr>
          <w:ilvl w:val="0"/>
          <w:numId w:val="53"/>
        </w:numPr>
        <w:tabs>
          <w:tab w:val="left" w:pos="480"/>
          <w:tab w:val="left" w:pos="482"/>
        </w:tabs>
        <w:spacing w:before="1"/>
        <w:ind w:right="632"/>
        <w:rPr>
          <w:sz w:val="20"/>
        </w:rPr>
      </w:pPr>
      <w:r>
        <w:rPr>
          <w:sz w:val="20"/>
        </w:rPr>
        <w:t>Some</w:t>
      </w:r>
      <w:r>
        <w:rPr>
          <w:spacing w:val="-1"/>
          <w:sz w:val="20"/>
        </w:rPr>
        <w:t xml:space="preserve"> </w:t>
      </w:r>
      <w:r>
        <w:rPr>
          <w:sz w:val="20"/>
        </w:rPr>
        <w:t>issues</w:t>
      </w:r>
      <w:r>
        <w:rPr>
          <w:spacing w:val="-5"/>
          <w:sz w:val="20"/>
        </w:rPr>
        <w:t xml:space="preserve"> </w:t>
      </w:r>
      <w:r>
        <w:rPr>
          <w:sz w:val="20"/>
        </w:rPr>
        <w:t>may</w:t>
      </w:r>
      <w:r>
        <w:rPr>
          <w:spacing w:val="-2"/>
          <w:sz w:val="20"/>
        </w:rPr>
        <w:t xml:space="preserve"> </w:t>
      </w:r>
      <w:r>
        <w:rPr>
          <w:sz w:val="20"/>
        </w:rPr>
        <w:t>be</w:t>
      </w:r>
      <w:r>
        <w:rPr>
          <w:spacing w:val="-2"/>
          <w:sz w:val="20"/>
        </w:rPr>
        <w:t xml:space="preserve"> </w:t>
      </w:r>
      <w:r>
        <w:rPr>
          <w:sz w:val="20"/>
        </w:rPr>
        <w:t>considered</w:t>
      </w:r>
      <w:r>
        <w:rPr>
          <w:spacing w:val="-1"/>
          <w:sz w:val="20"/>
        </w:rPr>
        <w:t xml:space="preserve"> </w:t>
      </w:r>
      <w:r>
        <w:rPr>
          <w:sz w:val="20"/>
        </w:rPr>
        <w:t>jointly</w:t>
      </w:r>
      <w:r>
        <w:rPr>
          <w:spacing w:val="-3"/>
          <w:sz w:val="20"/>
        </w:rPr>
        <w:t xml:space="preserve"> </w:t>
      </w:r>
      <w:r>
        <w:rPr>
          <w:sz w:val="20"/>
        </w:rPr>
        <w:t>with</w:t>
      </w:r>
      <w:r>
        <w:rPr>
          <w:spacing w:val="-2"/>
          <w:sz w:val="20"/>
        </w:rPr>
        <w:t xml:space="preserve"> </w:t>
      </w:r>
      <w:r>
        <w:rPr>
          <w:sz w:val="20"/>
        </w:rPr>
        <w:t>the</w:t>
      </w:r>
      <w:r>
        <w:rPr>
          <w:spacing w:val="-2"/>
          <w:sz w:val="20"/>
        </w:rPr>
        <w:t xml:space="preserve"> </w:t>
      </w:r>
      <w:r>
        <w:rPr>
          <w:sz w:val="20"/>
        </w:rPr>
        <w:t>NZASB</w:t>
      </w:r>
      <w:r>
        <w:rPr>
          <w:spacing w:val="-2"/>
          <w:sz w:val="20"/>
        </w:rPr>
        <w:t xml:space="preserve"> </w:t>
      </w:r>
      <w:r>
        <w:rPr>
          <w:sz w:val="20"/>
        </w:rPr>
        <w:t>where</w:t>
      </w:r>
      <w:r>
        <w:rPr>
          <w:spacing w:val="-2"/>
          <w:sz w:val="20"/>
        </w:rPr>
        <w:t xml:space="preserve"> </w:t>
      </w:r>
      <w:r>
        <w:rPr>
          <w:sz w:val="20"/>
        </w:rPr>
        <w:t>they</w:t>
      </w:r>
      <w:r>
        <w:rPr>
          <w:spacing w:val="-7"/>
          <w:sz w:val="20"/>
        </w:rPr>
        <w:t xml:space="preserve"> </w:t>
      </w:r>
      <w:r>
        <w:rPr>
          <w:sz w:val="20"/>
        </w:rPr>
        <w:t>are of</w:t>
      </w:r>
      <w:r>
        <w:rPr>
          <w:spacing w:val="-3"/>
          <w:sz w:val="20"/>
        </w:rPr>
        <w:t xml:space="preserve"> </w:t>
      </w:r>
      <w:r>
        <w:rPr>
          <w:sz w:val="20"/>
        </w:rPr>
        <w:t>significance in</w:t>
      </w:r>
      <w:r>
        <w:rPr>
          <w:spacing w:val="-2"/>
          <w:sz w:val="20"/>
        </w:rPr>
        <w:t xml:space="preserve"> </w:t>
      </w:r>
      <w:r>
        <w:rPr>
          <w:sz w:val="20"/>
        </w:rPr>
        <w:t>each</w:t>
      </w:r>
      <w:r>
        <w:rPr>
          <w:spacing w:val="-3"/>
          <w:sz w:val="20"/>
        </w:rPr>
        <w:t xml:space="preserve"> </w:t>
      </w:r>
      <w:r>
        <w:rPr>
          <w:sz w:val="20"/>
        </w:rPr>
        <w:t>country, in order to develop comparable requirements.</w:t>
      </w:r>
    </w:p>
    <w:p w14:paraId="1E8057F5"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7F6" w14:textId="77777777" w:rsidR="00AA4A02" w:rsidRDefault="00960F31">
      <w:pPr>
        <w:spacing w:before="84"/>
        <w:ind w:left="852"/>
        <w:rPr>
          <w:b/>
          <w:i/>
          <w:sz w:val="24"/>
        </w:rPr>
      </w:pPr>
      <w:r>
        <w:rPr>
          <w:b/>
          <w:i/>
          <w:spacing w:val="-2"/>
          <w:sz w:val="24"/>
        </w:rPr>
        <w:lastRenderedPageBreak/>
        <w:t>IASB-based</w:t>
      </w:r>
    </w:p>
    <w:p w14:paraId="1E8057F7" w14:textId="77777777" w:rsidR="00AA4A02" w:rsidRDefault="00960F31">
      <w:pPr>
        <w:pStyle w:val="ListParagraph"/>
        <w:numPr>
          <w:ilvl w:val="2"/>
          <w:numId w:val="50"/>
        </w:numPr>
        <w:tabs>
          <w:tab w:val="left" w:pos="852"/>
        </w:tabs>
        <w:spacing w:before="239"/>
        <w:ind w:right="550"/>
        <w:rPr>
          <w:sz w:val="24"/>
        </w:rPr>
      </w:pPr>
      <w:r>
        <w:rPr>
          <w:sz w:val="24"/>
        </w:rPr>
        <w:t>The IASB has its own rigorous due process. The AASB presumes that where a technical issue is identified as significant enough to make the IASB standard-setting work program, similar problems exist in Australia, and standard-setting action is required.</w:t>
      </w:r>
      <w:r>
        <w:rPr>
          <w:spacing w:val="-4"/>
          <w:sz w:val="24"/>
        </w:rPr>
        <w:t xml:space="preserve"> </w:t>
      </w:r>
      <w:r>
        <w:rPr>
          <w:sz w:val="24"/>
        </w:rPr>
        <w:t>The</w:t>
      </w:r>
      <w:r>
        <w:rPr>
          <w:spacing w:val="-4"/>
          <w:sz w:val="24"/>
        </w:rPr>
        <w:t xml:space="preserve"> </w:t>
      </w:r>
      <w:r>
        <w:rPr>
          <w:sz w:val="24"/>
        </w:rPr>
        <w:t>AASB</w:t>
      </w:r>
      <w:r>
        <w:rPr>
          <w:spacing w:val="-4"/>
          <w:sz w:val="24"/>
        </w:rPr>
        <w:t xml:space="preserve"> </w:t>
      </w:r>
      <w:r>
        <w:rPr>
          <w:sz w:val="24"/>
        </w:rPr>
        <w:t>considers</w:t>
      </w:r>
      <w:r>
        <w:rPr>
          <w:spacing w:val="-4"/>
          <w:sz w:val="24"/>
        </w:rPr>
        <w:t xml:space="preserve"> </w:t>
      </w:r>
      <w:r>
        <w:rPr>
          <w:sz w:val="24"/>
        </w:rPr>
        <w:t>whether</w:t>
      </w:r>
      <w:r>
        <w:rPr>
          <w:spacing w:val="-6"/>
          <w:sz w:val="24"/>
        </w:rPr>
        <w:t xml:space="preserve"> </w:t>
      </w:r>
      <w:r>
        <w:rPr>
          <w:sz w:val="24"/>
        </w:rPr>
        <w:t>there</w:t>
      </w:r>
      <w:r>
        <w:rPr>
          <w:spacing w:val="-3"/>
          <w:sz w:val="24"/>
        </w:rPr>
        <w:t xml:space="preserve"> </w:t>
      </w:r>
      <w:r>
        <w:rPr>
          <w:sz w:val="24"/>
        </w:rPr>
        <w:t>are</w:t>
      </w:r>
      <w:r>
        <w:rPr>
          <w:spacing w:val="-8"/>
          <w:sz w:val="24"/>
        </w:rPr>
        <w:t xml:space="preserve"> </w:t>
      </w:r>
      <w:r>
        <w:rPr>
          <w:sz w:val="24"/>
        </w:rPr>
        <w:t>additional</w:t>
      </w:r>
      <w:r>
        <w:rPr>
          <w:spacing w:val="-2"/>
          <w:sz w:val="24"/>
        </w:rPr>
        <w:t xml:space="preserve"> </w:t>
      </w:r>
      <w:r>
        <w:rPr>
          <w:sz w:val="24"/>
        </w:rPr>
        <w:t>Australian-specific</w:t>
      </w:r>
      <w:r>
        <w:rPr>
          <w:spacing w:val="-3"/>
          <w:sz w:val="24"/>
        </w:rPr>
        <w:t xml:space="preserve"> </w:t>
      </w:r>
      <w:r>
        <w:rPr>
          <w:sz w:val="24"/>
        </w:rPr>
        <w:t>issues that need to be addressed as part of the IASB project. The AASB contributes to the work undertaken by the IASB to research and consider issues and may also bring technical issues to the attention of the IASB.</w:t>
      </w:r>
    </w:p>
    <w:p w14:paraId="1E8057F8" w14:textId="77777777" w:rsidR="00AA4A02" w:rsidRDefault="00960F31">
      <w:pPr>
        <w:spacing w:before="242"/>
        <w:ind w:left="852"/>
        <w:rPr>
          <w:b/>
          <w:i/>
          <w:sz w:val="24"/>
        </w:rPr>
      </w:pPr>
      <w:r>
        <w:rPr>
          <w:b/>
          <w:i/>
          <w:spacing w:val="-2"/>
          <w:sz w:val="24"/>
        </w:rPr>
        <w:t>Domestic</w:t>
      </w:r>
    </w:p>
    <w:p w14:paraId="1E8057F9" w14:textId="77777777" w:rsidR="00AA4A02" w:rsidRDefault="00960F31">
      <w:pPr>
        <w:pStyle w:val="ListParagraph"/>
        <w:numPr>
          <w:ilvl w:val="2"/>
          <w:numId w:val="50"/>
        </w:numPr>
        <w:tabs>
          <w:tab w:val="left" w:pos="852"/>
        </w:tabs>
        <w:spacing w:before="238"/>
        <w:ind w:right="551"/>
        <w:rPr>
          <w:sz w:val="24"/>
        </w:rPr>
      </w:pPr>
      <w:r>
        <w:rPr>
          <w:sz w:val="24"/>
        </w:rPr>
        <w:t>Domestic</w:t>
      </w:r>
      <w:r>
        <w:rPr>
          <w:spacing w:val="-3"/>
          <w:sz w:val="24"/>
        </w:rPr>
        <w:t xml:space="preserve"> </w:t>
      </w:r>
      <w:r>
        <w:rPr>
          <w:sz w:val="24"/>
        </w:rPr>
        <w:t>Standards,</w:t>
      </w:r>
      <w:r>
        <w:rPr>
          <w:spacing w:val="-1"/>
          <w:sz w:val="24"/>
        </w:rPr>
        <w:t xml:space="preserve"> </w:t>
      </w:r>
      <w:r>
        <w:rPr>
          <w:sz w:val="24"/>
        </w:rPr>
        <w:t>Interpretations</w:t>
      </w:r>
      <w:r>
        <w:rPr>
          <w:spacing w:val="-3"/>
          <w:sz w:val="24"/>
        </w:rPr>
        <w:t xml:space="preserve"> </w:t>
      </w:r>
      <w:r>
        <w:rPr>
          <w:sz w:val="24"/>
        </w:rPr>
        <w:t>or</w:t>
      </w:r>
      <w:r>
        <w:rPr>
          <w:spacing w:val="-6"/>
          <w:sz w:val="24"/>
        </w:rPr>
        <w:t xml:space="preserve"> </w:t>
      </w:r>
      <w:r>
        <w:rPr>
          <w:sz w:val="24"/>
        </w:rPr>
        <w:t>other</w:t>
      </w:r>
      <w:r>
        <w:rPr>
          <w:spacing w:val="-1"/>
          <w:sz w:val="24"/>
        </w:rPr>
        <w:t xml:space="preserve"> </w:t>
      </w:r>
      <w:r>
        <w:rPr>
          <w:sz w:val="24"/>
        </w:rPr>
        <w:t>guidance</w:t>
      </w:r>
      <w:r>
        <w:rPr>
          <w:spacing w:val="-4"/>
          <w:sz w:val="24"/>
        </w:rPr>
        <w:t xml:space="preserve"> </w:t>
      </w:r>
      <w:r>
        <w:rPr>
          <w:sz w:val="24"/>
        </w:rPr>
        <w:t>are</w:t>
      </w:r>
      <w:r>
        <w:rPr>
          <w:spacing w:val="-3"/>
          <w:sz w:val="24"/>
        </w:rPr>
        <w:t xml:space="preserve"> </w:t>
      </w:r>
      <w:r>
        <w:rPr>
          <w:sz w:val="24"/>
        </w:rPr>
        <w:t>developed</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AASB identifies an issue or a gap</w:t>
      </w:r>
      <w:r>
        <w:rPr>
          <w:spacing w:val="-2"/>
          <w:sz w:val="24"/>
        </w:rPr>
        <w:t xml:space="preserve"> </w:t>
      </w:r>
      <w:r>
        <w:rPr>
          <w:sz w:val="24"/>
        </w:rPr>
        <w:t>in</w:t>
      </w:r>
      <w:r>
        <w:rPr>
          <w:spacing w:val="-2"/>
          <w:sz w:val="24"/>
        </w:rPr>
        <w:t xml:space="preserve"> </w:t>
      </w:r>
      <w:r>
        <w:rPr>
          <w:sz w:val="24"/>
        </w:rPr>
        <w:t>financial reporting that is not addressed by IFRS-based Standards. Once a technical issue has been identified, the AASB develops a project proposal. A project proposal contains relevant evidence of the issue, including the extent of the issue, and an assessment of the potential benefits of undertaking the project, the costs of not undertaking it, the resources available and the likely timing.</w:t>
      </w:r>
    </w:p>
    <w:p w14:paraId="1E8057FA" w14:textId="77777777" w:rsidR="00AA4A02" w:rsidRDefault="00960F31">
      <w:pPr>
        <w:pStyle w:val="ListParagraph"/>
        <w:numPr>
          <w:ilvl w:val="2"/>
          <w:numId w:val="50"/>
        </w:numPr>
        <w:tabs>
          <w:tab w:val="left" w:pos="852"/>
        </w:tabs>
        <w:spacing w:before="241"/>
        <w:ind w:right="451"/>
        <w:rPr>
          <w:sz w:val="24"/>
        </w:rPr>
      </w:pPr>
      <w:r>
        <w:rPr>
          <w:sz w:val="24"/>
        </w:rPr>
        <w:t>The AASB reviews the project proposal and decides whether the project should be placed on its work program. If the Board decides not to add a topic to the agenda, the Board may decide to formally report the decision as a Board Agenda Decision, sometimes called “items not taken onto the agenda” or “agenda rejection statements”. The</w:t>
      </w:r>
      <w:r>
        <w:rPr>
          <w:spacing w:val="-2"/>
          <w:sz w:val="24"/>
        </w:rPr>
        <w:t xml:space="preserve"> </w:t>
      </w:r>
      <w:r>
        <w:rPr>
          <w:sz w:val="24"/>
        </w:rPr>
        <w:t>minutes</w:t>
      </w:r>
      <w:r>
        <w:rPr>
          <w:spacing w:val="-3"/>
          <w:sz w:val="24"/>
        </w:rPr>
        <w:t xml:space="preserve"> </w:t>
      </w:r>
      <w:r>
        <w:rPr>
          <w:sz w:val="24"/>
        </w:rPr>
        <w:t>of</w:t>
      </w:r>
      <w:r>
        <w:rPr>
          <w:spacing w:val="-4"/>
          <w:sz w:val="24"/>
        </w:rPr>
        <w:t xml:space="preserve"> </w:t>
      </w:r>
      <w:r>
        <w:rPr>
          <w:sz w:val="24"/>
        </w:rPr>
        <w:t>meetings</w:t>
      </w:r>
      <w:r>
        <w:rPr>
          <w:spacing w:val="-3"/>
          <w:sz w:val="24"/>
        </w:rPr>
        <w:t xml:space="preserve"> </w:t>
      </w:r>
      <w:r>
        <w:rPr>
          <w:sz w:val="24"/>
        </w:rPr>
        <w:t>record</w:t>
      </w:r>
      <w:r>
        <w:rPr>
          <w:spacing w:val="-5"/>
          <w:sz w:val="24"/>
        </w:rPr>
        <w:t xml:space="preserve"> </w:t>
      </w:r>
      <w:r>
        <w:rPr>
          <w:sz w:val="24"/>
        </w:rPr>
        <w:t>the</w:t>
      </w:r>
      <w:r>
        <w:rPr>
          <w:spacing w:val="-1"/>
          <w:sz w:val="24"/>
        </w:rPr>
        <w:t xml:space="preserve"> </w:t>
      </w:r>
      <w:r>
        <w:rPr>
          <w:sz w:val="24"/>
        </w:rPr>
        <w:t>decisions</w:t>
      </w:r>
      <w:r>
        <w:rPr>
          <w:spacing w:val="-2"/>
          <w:sz w:val="24"/>
        </w:rPr>
        <w:t xml:space="preserve"> </w:t>
      </w:r>
      <w:r>
        <w:rPr>
          <w:sz w:val="24"/>
        </w:rPr>
        <w:t>made</w:t>
      </w:r>
      <w:r>
        <w:rPr>
          <w:spacing w:val="-2"/>
          <w:sz w:val="24"/>
        </w:rPr>
        <w:t xml:space="preserve"> </w:t>
      </w:r>
      <w:r>
        <w:rPr>
          <w:sz w:val="24"/>
        </w:rPr>
        <w:t>and whether or</w:t>
      </w:r>
      <w:r>
        <w:rPr>
          <w:spacing w:val="-4"/>
          <w:sz w:val="24"/>
        </w:rPr>
        <w:t xml:space="preserve"> </w:t>
      </w:r>
      <w:r>
        <w:rPr>
          <w:sz w:val="24"/>
        </w:rPr>
        <w:t>not</w:t>
      </w:r>
      <w:r>
        <w:rPr>
          <w:spacing w:val="-5"/>
          <w:sz w:val="24"/>
        </w:rPr>
        <w:t xml:space="preserve"> </w:t>
      </w:r>
      <w:r>
        <w:rPr>
          <w:sz w:val="24"/>
        </w:rPr>
        <w:t>a</w:t>
      </w:r>
      <w:r>
        <w:rPr>
          <w:spacing w:val="-2"/>
          <w:sz w:val="24"/>
        </w:rPr>
        <w:t xml:space="preserve"> </w:t>
      </w:r>
      <w:r>
        <w:rPr>
          <w:sz w:val="24"/>
        </w:rPr>
        <w:t>formal Board Agenda Decision is issued.</w:t>
      </w:r>
    </w:p>
    <w:p w14:paraId="1E8057FB" w14:textId="77777777" w:rsidR="00AA4A02" w:rsidRDefault="00960F31">
      <w:pPr>
        <w:pStyle w:val="Heading9"/>
        <w:spacing w:before="246"/>
      </w:pPr>
      <w:r>
        <w:t>Consider</w:t>
      </w:r>
      <w:r>
        <w:rPr>
          <w:spacing w:val="-3"/>
        </w:rPr>
        <w:t xml:space="preserve"> </w:t>
      </w:r>
      <w:r>
        <w:t>options</w:t>
      </w:r>
      <w:r>
        <w:rPr>
          <w:spacing w:val="-2"/>
        </w:rPr>
        <w:t xml:space="preserve"> </w:t>
      </w:r>
      <w:r>
        <w:t>available</w:t>
      </w:r>
      <w:r>
        <w:rPr>
          <w:spacing w:val="2"/>
        </w:rPr>
        <w:t xml:space="preserve"> </w:t>
      </w:r>
      <w:r>
        <w:t>(RIS</w:t>
      </w:r>
      <w:r>
        <w:rPr>
          <w:spacing w:val="-4"/>
        </w:rPr>
        <w:t xml:space="preserve"> </w:t>
      </w:r>
      <w:r>
        <w:t>question</w:t>
      </w:r>
      <w:r>
        <w:rPr>
          <w:spacing w:val="4"/>
        </w:rPr>
        <w:t xml:space="preserve"> </w:t>
      </w:r>
      <w:r>
        <w:rPr>
          <w:spacing w:val="-5"/>
        </w:rPr>
        <w:t>3)</w:t>
      </w:r>
    </w:p>
    <w:p w14:paraId="1E8057FC" w14:textId="77777777" w:rsidR="00AA4A02" w:rsidRDefault="00960F31">
      <w:pPr>
        <w:pStyle w:val="ListParagraph"/>
        <w:numPr>
          <w:ilvl w:val="2"/>
          <w:numId w:val="49"/>
        </w:numPr>
        <w:tabs>
          <w:tab w:val="left" w:pos="852"/>
        </w:tabs>
        <w:spacing w:before="237"/>
        <w:rPr>
          <w:sz w:val="24"/>
        </w:rPr>
      </w:pPr>
      <w:r>
        <w:rPr>
          <w:sz w:val="24"/>
        </w:rPr>
        <w:t>The</w:t>
      </w:r>
      <w:r>
        <w:rPr>
          <w:spacing w:val="-3"/>
          <w:sz w:val="24"/>
        </w:rPr>
        <w:t xml:space="preserve"> </w:t>
      </w:r>
      <w:r>
        <w:rPr>
          <w:sz w:val="24"/>
        </w:rPr>
        <w:t>AASB</w:t>
      </w:r>
      <w:r>
        <w:rPr>
          <w:spacing w:val="-1"/>
          <w:sz w:val="24"/>
        </w:rPr>
        <w:t xml:space="preserve"> </w:t>
      </w:r>
      <w:r>
        <w:rPr>
          <w:sz w:val="24"/>
        </w:rPr>
        <w:t>considers</w:t>
      </w:r>
      <w:r>
        <w:rPr>
          <w:spacing w:val="-1"/>
          <w:sz w:val="24"/>
        </w:rPr>
        <w:t xml:space="preserve"> </w:t>
      </w:r>
      <w:r>
        <w:rPr>
          <w:sz w:val="24"/>
        </w:rPr>
        <w:t>the following options</w:t>
      </w:r>
      <w:r>
        <w:rPr>
          <w:spacing w:val="-1"/>
          <w:sz w:val="24"/>
        </w:rPr>
        <w:t xml:space="preserve"> </w:t>
      </w:r>
      <w:r>
        <w:rPr>
          <w:sz w:val="24"/>
        </w:rPr>
        <w:t>available to address</w:t>
      </w:r>
      <w:r>
        <w:rPr>
          <w:spacing w:val="-1"/>
          <w:sz w:val="24"/>
        </w:rPr>
        <w:t xml:space="preserve"> </w:t>
      </w:r>
      <w:r>
        <w:rPr>
          <w:sz w:val="24"/>
        </w:rPr>
        <w:t xml:space="preserve">an </w:t>
      </w:r>
      <w:r>
        <w:rPr>
          <w:spacing w:val="-2"/>
          <w:sz w:val="24"/>
        </w:rPr>
        <w:t>issue.</w:t>
      </w:r>
    </w:p>
    <w:p w14:paraId="1E8057FD" w14:textId="77777777" w:rsidR="00AA4A02" w:rsidRDefault="00960F31">
      <w:pPr>
        <w:pStyle w:val="ListParagraph"/>
        <w:numPr>
          <w:ilvl w:val="2"/>
          <w:numId w:val="49"/>
        </w:numPr>
        <w:tabs>
          <w:tab w:val="left" w:pos="852"/>
        </w:tabs>
        <w:spacing w:before="243"/>
        <w:rPr>
          <w:sz w:val="24"/>
        </w:rPr>
      </w:pPr>
      <w:r>
        <w:rPr>
          <w:sz w:val="24"/>
        </w:rPr>
        <w:t>For</w:t>
      </w:r>
      <w:r>
        <w:rPr>
          <w:spacing w:val="2"/>
          <w:sz w:val="24"/>
        </w:rPr>
        <w:t xml:space="preserve"> </w:t>
      </w:r>
      <w:r>
        <w:rPr>
          <w:sz w:val="24"/>
        </w:rPr>
        <w:t>Standards/amendments</w:t>
      </w:r>
      <w:r>
        <w:rPr>
          <w:spacing w:val="-1"/>
          <w:sz w:val="24"/>
        </w:rPr>
        <w:t xml:space="preserve"> </w:t>
      </w:r>
      <w:r>
        <w:rPr>
          <w:sz w:val="24"/>
        </w:rPr>
        <w:t>to</w:t>
      </w:r>
      <w:r>
        <w:rPr>
          <w:spacing w:val="-5"/>
          <w:sz w:val="24"/>
        </w:rPr>
        <w:t xml:space="preserve"> </w:t>
      </w:r>
      <w:r>
        <w:rPr>
          <w:sz w:val="24"/>
        </w:rPr>
        <w:t>Standards issued by</w:t>
      </w:r>
      <w:r>
        <w:rPr>
          <w:spacing w:val="-5"/>
          <w:sz w:val="24"/>
        </w:rPr>
        <w:t xml:space="preserve"> </w:t>
      </w:r>
      <w:r>
        <w:rPr>
          <w:sz w:val="24"/>
        </w:rPr>
        <w:t>the</w:t>
      </w:r>
      <w:r>
        <w:rPr>
          <w:spacing w:val="1"/>
          <w:sz w:val="24"/>
        </w:rPr>
        <w:t xml:space="preserve"> </w:t>
      </w:r>
      <w:r>
        <w:rPr>
          <w:spacing w:val="-2"/>
          <w:sz w:val="24"/>
        </w:rPr>
        <w:t>IASB:</w:t>
      </w:r>
    </w:p>
    <w:p w14:paraId="1E8057FE" w14:textId="77777777" w:rsidR="00AA4A02" w:rsidRDefault="00960F31">
      <w:pPr>
        <w:pStyle w:val="ListParagraph"/>
        <w:numPr>
          <w:ilvl w:val="3"/>
          <w:numId w:val="49"/>
        </w:numPr>
        <w:tabs>
          <w:tab w:val="left" w:pos="1558"/>
        </w:tabs>
        <w:spacing w:before="233" w:line="247" w:lineRule="auto"/>
        <w:ind w:right="1422"/>
        <w:rPr>
          <w:sz w:val="24"/>
        </w:rPr>
      </w:pPr>
      <w:r>
        <w:rPr>
          <w:sz w:val="24"/>
        </w:rPr>
        <w:t>issue</w:t>
      </w:r>
      <w:r>
        <w:rPr>
          <w:spacing w:val="-7"/>
          <w:sz w:val="24"/>
        </w:rPr>
        <w:t xml:space="preserve"> </w:t>
      </w:r>
      <w:r>
        <w:rPr>
          <w:sz w:val="24"/>
        </w:rPr>
        <w:t>the</w:t>
      </w:r>
      <w:r>
        <w:rPr>
          <w:spacing w:val="-6"/>
          <w:sz w:val="24"/>
        </w:rPr>
        <w:t xml:space="preserve"> </w:t>
      </w:r>
      <w:r>
        <w:rPr>
          <w:sz w:val="24"/>
        </w:rPr>
        <w:t>Standard/amendment</w:t>
      </w:r>
      <w:r>
        <w:rPr>
          <w:spacing w:val="-4"/>
          <w:sz w:val="24"/>
        </w:rPr>
        <w:t xml:space="preserve"> </w:t>
      </w:r>
      <w:r>
        <w:rPr>
          <w:sz w:val="24"/>
        </w:rPr>
        <w:t>unaltered.</w:t>
      </w:r>
      <w:r>
        <w:rPr>
          <w:spacing w:val="-7"/>
          <w:sz w:val="24"/>
        </w:rPr>
        <w:t xml:space="preserve"> </w:t>
      </w:r>
      <w:r>
        <w:rPr>
          <w:sz w:val="24"/>
        </w:rPr>
        <w:t>Ensures</w:t>
      </w:r>
      <w:r>
        <w:rPr>
          <w:spacing w:val="-7"/>
          <w:sz w:val="24"/>
        </w:rPr>
        <w:t xml:space="preserve"> </w:t>
      </w:r>
      <w:r>
        <w:rPr>
          <w:sz w:val="24"/>
        </w:rPr>
        <w:t>for-profit</w:t>
      </w:r>
      <w:r>
        <w:rPr>
          <w:spacing w:val="-4"/>
          <w:sz w:val="24"/>
        </w:rPr>
        <w:t xml:space="preserve"> </w:t>
      </w:r>
      <w:r>
        <w:rPr>
          <w:sz w:val="24"/>
        </w:rPr>
        <w:t>‘publicly accountable’</w:t>
      </w:r>
      <w:r>
        <w:rPr>
          <w:sz w:val="24"/>
          <w:vertAlign w:val="superscript"/>
        </w:rPr>
        <w:t>12</w:t>
      </w:r>
      <w:r>
        <w:rPr>
          <w:sz w:val="24"/>
        </w:rPr>
        <w:t xml:space="preserve"> entities remain IFRS compliant;</w:t>
      </w:r>
    </w:p>
    <w:p w14:paraId="1E8057FF" w14:textId="77777777" w:rsidR="00AA4A02" w:rsidRDefault="00960F31">
      <w:pPr>
        <w:pStyle w:val="ListParagraph"/>
        <w:numPr>
          <w:ilvl w:val="3"/>
          <w:numId w:val="49"/>
        </w:numPr>
        <w:tabs>
          <w:tab w:val="left" w:pos="1558"/>
        </w:tabs>
        <w:spacing w:before="224" w:line="247" w:lineRule="auto"/>
        <w:ind w:right="1052"/>
        <w:rPr>
          <w:sz w:val="24"/>
        </w:rPr>
      </w:pPr>
      <w:r>
        <w:rPr>
          <w:sz w:val="24"/>
        </w:rPr>
        <w:t>modify</w:t>
      </w:r>
      <w:r>
        <w:rPr>
          <w:spacing w:val="-3"/>
          <w:sz w:val="24"/>
        </w:rPr>
        <w:t xml:space="preserve"> </w:t>
      </w:r>
      <w:r>
        <w:rPr>
          <w:sz w:val="24"/>
        </w:rPr>
        <w:t>the</w:t>
      </w:r>
      <w:r>
        <w:rPr>
          <w:spacing w:val="-8"/>
          <w:sz w:val="24"/>
        </w:rPr>
        <w:t xml:space="preserve"> </w:t>
      </w:r>
      <w:r>
        <w:rPr>
          <w:sz w:val="24"/>
        </w:rPr>
        <w:t>Standard/amendment.</w:t>
      </w:r>
      <w:r>
        <w:rPr>
          <w:spacing w:val="-5"/>
          <w:sz w:val="24"/>
        </w:rPr>
        <w:t xml:space="preserve"> </w:t>
      </w:r>
      <w:r>
        <w:rPr>
          <w:sz w:val="24"/>
        </w:rPr>
        <w:t>Options</w:t>
      </w:r>
      <w:r>
        <w:rPr>
          <w:spacing w:val="-4"/>
          <w:sz w:val="24"/>
        </w:rPr>
        <w:t xml:space="preserve"> </w:t>
      </w:r>
      <w:r>
        <w:rPr>
          <w:sz w:val="24"/>
        </w:rPr>
        <w:t>available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AASB</w:t>
      </w:r>
      <w:r>
        <w:rPr>
          <w:spacing w:val="-9"/>
          <w:sz w:val="24"/>
        </w:rPr>
        <w:t xml:space="preserve"> </w:t>
      </w:r>
      <w:r>
        <w:rPr>
          <w:sz w:val="24"/>
        </w:rPr>
        <w:t>include modifications that are:</w:t>
      </w:r>
    </w:p>
    <w:p w14:paraId="1E805800" w14:textId="77777777" w:rsidR="00AA4A02" w:rsidRDefault="00960F31">
      <w:pPr>
        <w:pStyle w:val="ListParagraph"/>
        <w:numPr>
          <w:ilvl w:val="4"/>
          <w:numId w:val="49"/>
        </w:numPr>
        <w:tabs>
          <w:tab w:val="left" w:pos="2268"/>
        </w:tabs>
        <w:spacing w:before="223" w:line="242" w:lineRule="auto"/>
        <w:ind w:right="451"/>
        <w:rPr>
          <w:sz w:val="24"/>
        </w:rPr>
      </w:pPr>
      <w:r>
        <w:rPr>
          <w:sz w:val="24"/>
        </w:rPr>
        <w:t>additional</w:t>
      </w:r>
      <w:r>
        <w:rPr>
          <w:spacing w:val="-3"/>
          <w:sz w:val="24"/>
        </w:rPr>
        <w:t xml:space="preserve"> </w:t>
      </w:r>
      <w:r>
        <w:rPr>
          <w:sz w:val="24"/>
        </w:rPr>
        <w:t>requirements</w:t>
      </w:r>
      <w:r>
        <w:rPr>
          <w:spacing w:val="-4"/>
          <w:sz w:val="24"/>
        </w:rPr>
        <w:t xml:space="preserve"> </w:t>
      </w:r>
      <w:r>
        <w:rPr>
          <w:sz w:val="24"/>
        </w:rPr>
        <w:t>to</w:t>
      </w:r>
      <w:r>
        <w:rPr>
          <w:spacing w:val="-8"/>
          <w:sz w:val="24"/>
        </w:rPr>
        <w:t xml:space="preserve"> </w:t>
      </w:r>
      <w:r>
        <w:rPr>
          <w:sz w:val="24"/>
        </w:rPr>
        <w:t>address</w:t>
      </w:r>
      <w:r>
        <w:rPr>
          <w:spacing w:val="-5"/>
          <w:sz w:val="24"/>
        </w:rPr>
        <w:t xml:space="preserve"> </w:t>
      </w:r>
      <w:r>
        <w:rPr>
          <w:sz w:val="24"/>
        </w:rPr>
        <w:t>Australian-specific</w:t>
      </w:r>
      <w:r>
        <w:rPr>
          <w:spacing w:val="-3"/>
          <w:sz w:val="24"/>
        </w:rPr>
        <w:t xml:space="preserve"> </w:t>
      </w:r>
      <w:r>
        <w:rPr>
          <w:sz w:val="24"/>
        </w:rPr>
        <w:t>issues</w:t>
      </w:r>
      <w:r>
        <w:rPr>
          <w:spacing w:val="-5"/>
          <w:sz w:val="24"/>
        </w:rPr>
        <w:t xml:space="preserve"> </w:t>
      </w:r>
      <w:r>
        <w:rPr>
          <w:sz w:val="24"/>
        </w:rPr>
        <w:t>that</w:t>
      </w:r>
      <w:r>
        <w:rPr>
          <w:spacing w:val="-3"/>
          <w:sz w:val="24"/>
        </w:rPr>
        <w:t xml:space="preserve"> </w:t>
      </w:r>
      <w:r>
        <w:rPr>
          <w:sz w:val="24"/>
        </w:rPr>
        <w:t>do</w:t>
      </w:r>
      <w:r>
        <w:rPr>
          <w:spacing w:val="-3"/>
          <w:sz w:val="24"/>
        </w:rPr>
        <w:t xml:space="preserve"> </w:t>
      </w:r>
      <w:r>
        <w:rPr>
          <w:sz w:val="24"/>
        </w:rPr>
        <w:t>not prevent IFRS compliance for for-profit publicly accountable entities;</w:t>
      </w:r>
    </w:p>
    <w:p w14:paraId="1E805801" w14:textId="77777777" w:rsidR="00AA4A02" w:rsidRDefault="00960F31">
      <w:pPr>
        <w:pStyle w:val="ListParagraph"/>
        <w:numPr>
          <w:ilvl w:val="4"/>
          <w:numId w:val="49"/>
        </w:numPr>
        <w:tabs>
          <w:tab w:val="left" w:pos="2268"/>
        </w:tabs>
        <w:spacing w:before="0" w:line="242" w:lineRule="auto"/>
        <w:ind w:right="553"/>
        <w:rPr>
          <w:sz w:val="24"/>
        </w:rPr>
      </w:pPr>
      <w:r>
        <w:rPr>
          <w:sz w:val="24"/>
        </w:rPr>
        <w:t>changes</w:t>
      </w:r>
      <w:r>
        <w:rPr>
          <w:spacing w:val="-5"/>
          <w:sz w:val="24"/>
        </w:rPr>
        <w:t xml:space="preserve"> </w:t>
      </w:r>
      <w:r>
        <w:rPr>
          <w:sz w:val="24"/>
        </w:rPr>
        <w:t>to</w:t>
      </w:r>
      <w:r>
        <w:rPr>
          <w:spacing w:val="-3"/>
          <w:sz w:val="24"/>
        </w:rPr>
        <w:t xml:space="preserve"> </w:t>
      </w:r>
      <w:r>
        <w:rPr>
          <w:sz w:val="24"/>
        </w:rPr>
        <w:t>the</w:t>
      </w:r>
      <w:r>
        <w:rPr>
          <w:spacing w:val="-3"/>
          <w:sz w:val="24"/>
        </w:rPr>
        <w:t xml:space="preserve"> </w:t>
      </w:r>
      <w:r>
        <w:rPr>
          <w:sz w:val="24"/>
        </w:rPr>
        <w:t>requirements</w:t>
      </w:r>
      <w:r>
        <w:rPr>
          <w:spacing w:val="-4"/>
          <w:sz w:val="24"/>
        </w:rPr>
        <w:t xml:space="preserve"> </w:t>
      </w:r>
      <w:r>
        <w:rPr>
          <w:sz w:val="24"/>
        </w:rPr>
        <w:t>that</w:t>
      </w:r>
      <w:r>
        <w:rPr>
          <w:spacing w:val="-8"/>
          <w:sz w:val="24"/>
        </w:rPr>
        <w:t xml:space="preserve"> </w:t>
      </w:r>
      <w:r>
        <w:rPr>
          <w:sz w:val="24"/>
        </w:rPr>
        <w:t>prevent</w:t>
      </w:r>
      <w:r>
        <w:rPr>
          <w:spacing w:val="-6"/>
          <w:sz w:val="24"/>
        </w:rPr>
        <w:t xml:space="preserve"> </w:t>
      </w:r>
      <w:r>
        <w:rPr>
          <w:sz w:val="24"/>
        </w:rPr>
        <w:t>IFRS</w:t>
      </w:r>
      <w:r>
        <w:rPr>
          <w:spacing w:val="-2"/>
          <w:sz w:val="24"/>
        </w:rPr>
        <w:t xml:space="preserve"> </w:t>
      </w:r>
      <w:r>
        <w:rPr>
          <w:sz w:val="24"/>
        </w:rPr>
        <w:t>compliance</w:t>
      </w:r>
      <w:r>
        <w:rPr>
          <w:spacing w:val="-3"/>
          <w:sz w:val="24"/>
        </w:rPr>
        <w:t xml:space="preserve"> </w:t>
      </w:r>
      <w:r>
        <w:rPr>
          <w:sz w:val="24"/>
        </w:rPr>
        <w:t>for</w:t>
      </w:r>
      <w:r>
        <w:rPr>
          <w:spacing w:val="-1"/>
          <w:sz w:val="24"/>
        </w:rPr>
        <w:t xml:space="preserve"> </w:t>
      </w:r>
      <w:r>
        <w:rPr>
          <w:sz w:val="24"/>
        </w:rPr>
        <w:t>publicly accountable entities; and</w:t>
      </w:r>
    </w:p>
    <w:p w14:paraId="1E805802" w14:textId="77777777" w:rsidR="00AA4A02" w:rsidRDefault="00960F31">
      <w:pPr>
        <w:pStyle w:val="ListParagraph"/>
        <w:numPr>
          <w:ilvl w:val="4"/>
          <w:numId w:val="49"/>
        </w:numPr>
        <w:tabs>
          <w:tab w:val="left" w:pos="2268"/>
        </w:tabs>
        <w:spacing w:before="0" w:line="271" w:lineRule="exact"/>
        <w:ind w:hanging="710"/>
        <w:rPr>
          <w:sz w:val="24"/>
        </w:rPr>
      </w:pPr>
      <w:r>
        <w:rPr>
          <w:sz w:val="24"/>
        </w:rPr>
        <w:t>changes</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requirements</w:t>
      </w:r>
      <w:r>
        <w:rPr>
          <w:spacing w:val="-3"/>
          <w:sz w:val="24"/>
        </w:rPr>
        <w:t xml:space="preserve"> </w:t>
      </w:r>
      <w:r>
        <w:rPr>
          <w:sz w:val="24"/>
        </w:rPr>
        <w:t>for not-for-profit</w:t>
      </w:r>
      <w:r>
        <w:rPr>
          <w:spacing w:val="1"/>
          <w:sz w:val="24"/>
        </w:rPr>
        <w:t xml:space="preserve"> </w:t>
      </w:r>
      <w:r>
        <w:rPr>
          <w:sz w:val="24"/>
        </w:rPr>
        <w:t>specific</w:t>
      </w:r>
      <w:r>
        <w:rPr>
          <w:spacing w:val="-2"/>
          <w:sz w:val="24"/>
        </w:rPr>
        <w:t xml:space="preserve"> </w:t>
      </w:r>
      <w:r>
        <w:rPr>
          <w:sz w:val="24"/>
        </w:rPr>
        <w:t>issues;</w:t>
      </w:r>
      <w:r>
        <w:rPr>
          <w:spacing w:val="-1"/>
          <w:sz w:val="24"/>
        </w:rPr>
        <w:t xml:space="preserve"> </w:t>
      </w:r>
      <w:r>
        <w:rPr>
          <w:spacing w:val="-5"/>
          <w:sz w:val="24"/>
        </w:rPr>
        <w:t>and</w:t>
      </w:r>
    </w:p>
    <w:p w14:paraId="1E805803" w14:textId="77777777" w:rsidR="00AA4A02" w:rsidRDefault="00AA4A02">
      <w:pPr>
        <w:pStyle w:val="BodyText"/>
        <w:rPr>
          <w:sz w:val="20"/>
        </w:rPr>
      </w:pPr>
    </w:p>
    <w:p w14:paraId="1E805804" w14:textId="77777777" w:rsidR="00AA4A02" w:rsidRDefault="00AA4A02">
      <w:pPr>
        <w:pStyle w:val="BodyText"/>
        <w:rPr>
          <w:sz w:val="20"/>
        </w:rPr>
      </w:pPr>
    </w:p>
    <w:p w14:paraId="1E805805" w14:textId="77777777" w:rsidR="00AA4A02" w:rsidRDefault="00AA4A02">
      <w:pPr>
        <w:pStyle w:val="BodyText"/>
        <w:rPr>
          <w:sz w:val="20"/>
        </w:rPr>
      </w:pPr>
    </w:p>
    <w:p w14:paraId="1E805806" w14:textId="77777777" w:rsidR="00AA4A02" w:rsidRDefault="00960F31">
      <w:pPr>
        <w:pStyle w:val="BodyText"/>
        <w:spacing w:before="3"/>
        <w:rPr>
          <w:sz w:val="20"/>
        </w:rPr>
      </w:pPr>
      <w:r>
        <w:rPr>
          <w:noProof/>
          <w:sz w:val="20"/>
        </w:rPr>
        <mc:AlternateContent>
          <mc:Choice Requires="wps">
            <w:drawing>
              <wp:anchor distT="0" distB="0" distL="0" distR="0" simplePos="0" relativeHeight="487595008" behindDoc="1" locked="0" layoutInCell="1" allowOverlap="1" wp14:anchorId="1E805F2F" wp14:editId="1E805F30">
                <wp:simplePos x="0" y="0"/>
                <wp:positionH relativeFrom="page">
                  <wp:posOffset>899464</wp:posOffset>
                </wp:positionH>
                <wp:positionV relativeFrom="paragraph">
                  <wp:posOffset>163332</wp:posOffset>
                </wp:positionV>
                <wp:extent cx="183007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D430C" id="Graphic 33" o:spid="_x0000_s1026" style="position:absolute;margin-left:70.8pt;margin-top:12.85pt;width:144.1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" path="m1829689,l,,,6095r1829689,l1829689,xe" fillcolor="black" stroked="f">
                <v:path arrowok="t"/>
                <w10:wrap type="topAndBottom" anchorx="page"/>
              </v:shape>
            </w:pict>
          </mc:Fallback>
        </mc:AlternateContent>
      </w:r>
    </w:p>
    <w:p w14:paraId="1E805807" w14:textId="77777777" w:rsidR="00AA4A02" w:rsidRDefault="00960F31">
      <w:pPr>
        <w:pStyle w:val="ListParagraph"/>
        <w:numPr>
          <w:ilvl w:val="0"/>
          <w:numId w:val="53"/>
        </w:numPr>
        <w:tabs>
          <w:tab w:val="left" w:pos="480"/>
          <w:tab w:val="left" w:pos="482"/>
        </w:tabs>
        <w:spacing w:before="106"/>
        <w:ind w:right="422"/>
        <w:rPr>
          <w:sz w:val="20"/>
        </w:rPr>
      </w:pPr>
      <w:r>
        <w:rPr>
          <w:sz w:val="20"/>
        </w:rPr>
        <w:t xml:space="preserve">The term ‘public accountability’ is defined in AASB 1053 </w:t>
      </w:r>
      <w:r>
        <w:rPr>
          <w:i/>
          <w:sz w:val="20"/>
        </w:rPr>
        <w:t xml:space="preserve">Application of Tiers of Australian Accounting Standards </w:t>
      </w:r>
      <w:r>
        <w:rPr>
          <w:sz w:val="20"/>
        </w:rPr>
        <w:t>as “an entity has public accountability if: (a) its debt or equity instruments are traded in a public market</w:t>
      </w:r>
      <w:r>
        <w:rPr>
          <w:spacing w:val="-1"/>
          <w:sz w:val="20"/>
        </w:rPr>
        <w:t xml:space="preserve"> </w:t>
      </w:r>
      <w:r>
        <w:rPr>
          <w:sz w:val="20"/>
        </w:rPr>
        <w:t>or</w:t>
      </w:r>
      <w:r>
        <w:rPr>
          <w:spacing w:val="-3"/>
          <w:sz w:val="20"/>
        </w:rPr>
        <w:t xml:space="preserve"> </w:t>
      </w:r>
      <w:r>
        <w:rPr>
          <w:sz w:val="20"/>
        </w:rPr>
        <w:t>it</w:t>
      </w:r>
      <w:r>
        <w:rPr>
          <w:spacing w:val="-2"/>
          <w:sz w:val="20"/>
        </w:rPr>
        <w:t xml:space="preserve"> </w:t>
      </w:r>
      <w:r>
        <w:rPr>
          <w:sz w:val="20"/>
        </w:rPr>
        <w:t>is in</w:t>
      </w:r>
      <w:r>
        <w:rPr>
          <w:spacing w:val="-3"/>
          <w:sz w:val="20"/>
        </w:rPr>
        <w:t xml:space="preserve"> </w:t>
      </w:r>
      <w:r>
        <w:rPr>
          <w:sz w:val="20"/>
        </w:rPr>
        <w:t>the</w:t>
      </w:r>
      <w:r>
        <w:rPr>
          <w:spacing w:val="-2"/>
          <w:sz w:val="20"/>
        </w:rPr>
        <w:t xml:space="preserve"> </w:t>
      </w:r>
      <w:r>
        <w:rPr>
          <w:sz w:val="20"/>
        </w:rPr>
        <w:t>process</w:t>
      </w:r>
      <w:r>
        <w:rPr>
          <w:spacing w:val="-4"/>
          <w:sz w:val="20"/>
        </w:rPr>
        <w:t xml:space="preserve"> </w:t>
      </w:r>
      <w:r>
        <w:rPr>
          <w:sz w:val="20"/>
        </w:rPr>
        <w:t>of</w:t>
      </w:r>
      <w:r>
        <w:rPr>
          <w:spacing w:val="-3"/>
          <w:sz w:val="20"/>
        </w:rPr>
        <w:t xml:space="preserve"> </w:t>
      </w:r>
      <w:r>
        <w:rPr>
          <w:sz w:val="20"/>
        </w:rPr>
        <w:t>issuing</w:t>
      </w:r>
      <w:r>
        <w:rPr>
          <w:spacing w:val="-3"/>
          <w:sz w:val="20"/>
        </w:rPr>
        <w:t xml:space="preserve"> </w:t>
      </w:r>
      <w:r>
        <w:rPr>
          <w:sz w:val="20"/>
        </w:rPr>
        <w:t>such</w:t>
      </w:r>
      <w:r>
        <w:rPr>
          <w:spacing w:val="-3"/>
          <w:sz w:val="20"/>
        </w:rPr>
        <w:t xml:space="preserve"> </w:t>
      </w:r>
      <w:r>
        <w:rPr>
          <w:sz w:val="20"/>
        </w:rPr>
        <w:t>instruments for</w:t>
      </w:r>
      <w:r>
        <w:rPr>
          <w:spacing w:val="-4"/>
          <w:sz w:val="20"/>
        </w:rPr>
        <w:t xml:space="preserve"> </w:t>
      </w:r>
      <w:r>
        <w:rPr>
          <w:sz w:val="20"/>
        </w:rPr>
        <w:t>trading</w:t>
      </w:r>
      <w:r>
        <w:rPr>
          <w:spacing w:val="-3"/>
          <w:sz w:val="20"/>
        </w:rPr>
        <w:t xml:space="preserve"> </w:t>
      </w:r>
      <w:r>
        <w:rPr>
          <w:sz w:val="20"/>
        </w:rPr>
        <w:t>in</w:t>
      </w:r>
      <w:r>
        <w:rPr>
          <w:spacing w:val="-3"/>
          <w:sz w:val="20"/>
        </w:rPr>
        <w:t xml:space="preserve"> </w:t>
      </w:r>
      <w:r>
        <w:rPr>
          <w:sz w:val="20"/>
        </w:rPr>
        <w:t>a</w:t>
      </w:r>
      <w:r>
        <w:rPr>
          <w:spacing w:val="-1"/>
          <w:sz w:val="20"/>
        </w:rPr>
        <w:t xml:space="preserve"> </w:t>
      </w:r>
      <w:r>
        <w:rPr>
          <w:sz w:val="20"/>
        </w:rPr>
        <w:t>public</w:t>
      </w:r>
      <w:r>
        <w:rPr>
          <w:spacing w:val="-2"/>
          <w:sz w:val="20"/>
        </w:rPr>
        <w:t xml:space="preserve"> </w:t>
      </w:r>
      <w:r>
        <w:rPr>
          <w:sz w:val="20"/>
        </w:rPr>
        <w:t>market</w:t>
      </w:r>
      <w:r>
        <w:rPr>
          <w:spacing w:val="-1"/>
          <w:sz w:val="20"/>
        </w:rPr>
        <w:t xml:space="preserve"> </w:t>
      </w:r>
      <w:r>
        <w:rPr>
          <w:sz w:val="20"/>
        </w:rPr>
        <w:t>(a</w:t>
      </w:r>
      <w:r>
        <w:rPr>
          <w:spacing w:val="-2"/>
          <w:sz w:val="20"/>
        </w:rPr>
        <w:t xml:space="preserve"> </w:t>
      </w:r>
      <w:r>
        <w:rPr>
          <w:sz w:val="20"/>
        </w:rPr>
        <w:t>domestic or foreign stock</w:t>
      </w:r>
      <w:r>
        <w:rPr>
          <w:spacing w:val="-1"/>
          <w:sz w:val="20"/>
        </w:rPr>
        <w:t xml:space="preserve"> </w:t>
      </w:r>
      <w:r>
        <w:rPr>
          <w:sz w:val="20"/>
        </w:rPr>
        <w:t>exchange or</w:t>
      </w:r>
      <w:r>
        <w:rPr>
          <w:spacing w:val="-1"/>
          <w:sz w:val="20"/>
        </w:rPr>
        <w:t xml:space="preserve"> </w:t>
      </w:r>
      <w:r>
        <w:rPr>
          <w:sz w:val="20"/>
        </w:rPr>
        <w:t>an over-the-counter</w:t>
      </w:r>
      <w:r>
        <w:rPr>
          <w:spacing w:val="-1"/>
          <w:sz w:val="20"/>
        </w:rPr>
        <w:t xml:space="preserve"> </w:t>
      </w:r>
      <w:r>
        <w:rPr>
          <w:sz w:val="20"/>
        </w:rPr>
        <w:t>market, including local and</w:t>
      </w:r>
      <w:r>
        <w:rPr>
          <w:spacing w:val="-1"/>
          <w:sz w:val="20"/>
        </w:rPr>
        <w:t xml:space="preserve"> </w:t>
      </w:r>
      <w:r>
        <w:rPr>
          <w:sz w:val="20"/>
        </w:rPr>
        <w:t>regional markets); or</w:t>
      </w:r>
      <w:r>
        <w:rPr>
          <w:spacing w:val="-1"/>
          <w:sz w:val="20"/>
        </w:rPr>
        <w:t xml:space="preserve"> </w:t>
      </w:r>
      <w:r>
        <w:rPr>
          <w:sz w:val="20"/>
        </w:rPr>
        <w:t>(b)</w:t>
      </w:r>
      <w:r>
        <w:rPr>
          <w:spacing w:val="-1"/>
          <w:sz w:val="20"/>
        </w:rPr>
        <w:t xml:space="preserve"> </w:t>
      </w:r>
      <w:r>
        <w:rPr>
          <w:sz w:val="20"/>
        </w:rPr>
        <w:t>it holds</w:t>
      </w:r>
      <w:r>
        <w:rPr>
          <w:spacing w:val="-2"/>
          <w:sz w:val="20"/>
        </w:rPr>
        <w:t xml:space="preserve"> </w:t>
      </w:r>
      <w:r>
        <w:rPr>
          <w:sz w:val="20"/>
        </w:rPr>
        <w:t>assets</w:t>
      </w:r>
      <w:r>
        <w:rPr>
          <w:spacing w:val="-2"/>
          <w:sz w:val="20"/>
        </w:rPr>
        <w:t xml:space="preserve"> </w:t>
      </w:r>
      <w:r>
        <w:rPr>
          <w:sz w:val="20"/>
        </w:rPr>
        <w:t>in a fiduciary capacity for a broad group of outsiders as one of its primary businesses.”</w:t>
      </w:r>
    </w:p>
    <w:p w14:paraId="1E805808"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09" w14:textId="77777777" w:rsidR="00AA4A02" w:rsidRDefault="00960F31">
      <w:pPr>
        <w:pStyle w:val="ListParagraph"/>
        <w:numPr>
          <w:ilvl w:val="3"/>
          <w:numId w:val="49"/>
        </w:numPr>
        <w:tabs>
          <w:tab w:val="left" w:pos="1558"/>
        </w:tabs>
        <w:spacing w:before="80" w:line="247" w:lineRule="auto"/>
        <w:ind w:right="1326"/>
        <w:rPr>
          <w:sz w:val="24"/>
        </w:rPr>
      </w:pPr>
      <w:r>
        <w:rPr>
          <w:sz w:val="24"/>
        </w:rPr>
        <w:lastRenderedPageBreak/>
        <w:t>not</w:t>
      </w:r>
      <w:r>
        <w:rPr>
          <w:spacing w:val="-1"/>
          <w:sz w:val="24"/>
        </w:rPr>
        <w:t xml:space="preserve"> </w:t>
      </w:r>
      <w:r>
        <w:rPr>
          <w:sz w:val="24"/>
        </w:rPr>
        <w:t>issue</w:t>
      </w:r>
      <w:r>
        <w:rPr>
          <w:spacing w:val="-3"/>
          <w:sz w:val="24"/>
        </w:rPr>
        <w:t xml:space="preserve"> </w:t>
      </w:r>
      <w:r>
        <w:rPr>
          <w:sz w:val="24"/>
        </w:rPr>
        <w:t>the</w:t>
      </w:r>
      <w:r>
        <w:rPr>
          <w:spacing w:val="-2"/>
          <w:sz w:val="24"/>
        </w:rPr>
        <w:t xml:space="preserve"> </w:t>
      </w:r>
      <w:r>
        <w:rPr>
          <w:sz w:val="24"/>
        </w:rPr>
        <w:t>Standard/amendment.</w:t>
      </w:r>
      <w:r>
        <w:rPr>
          <w:spacing w:val="-4"/>
          <w:sz w:val="24"/>
        </w:rPr>
        <w:t xml:space="preserve"> </w:t>
      </w:r>
      <w:r>
        <w:rPr>
          <w:sz w:val="24"/>
        </w:rPr>
        <w:t>Entities</w:t>
      </w:r>
      <w:r>
        <w:rPr>
          <w:spacing w:val="-4"/>
          <w:sz w:val="24"/>
        </w:rPr>
        <w:t xml:space="preserve"> </w:t>
      </w:r>
      <w:r>
        <w:rPr>
          <w:sz w:val="24"/>
        </w:rPr>
        <w:t>are</w:t>
      </w:r>
      <w:r>
        <w:rPr>
          <w:spacing w:val="-3"/>
          <w:sz w:val="24"/>
        </w:rPr>
        <w:t xml:space="preserve"> </w:t>
      </w:r>
      <w:r>
        <w:rPr>
          <w:sz w:val="24"/>
        </w:rPr>
        <w:t>not</w:t>
      </w:r>
      <w:r>
        <w:rPr>
          <w:spacing w:val="-6"/>
          <w:sz w:val="24"/>
        </w:rPr>
        <w:t xml:space="preserve"> </w:t>
      </w:r>
      <w:r>
        <w:rPr>
          <w:sz w:val="24"/>
        </w:rPr>
        <w:t>able</w:t>
      </w:r>
      <w:r>
        <w:rPr>
          <w:spacing w:val="-2"/>
          <w:sz w:val="24"/>
        </w:rPr>
        <w:t xml:space="preserve"> </w:t>
      </w:r>
      <w:r>
        <w:rPr>
          <w:sz w:val="24"/>
        </w:rPr>
        <w:t>to</w:t>
      </w:r>
      <w:r>
        <w:rPr>
          <w:spacing w:val="-2"/>
          <w:sz w:val="24"/>
        </w:rPr>
        <w:t xml:space="preserve"> </w:t>
      </w:r>
      <w:r>
        <w:rPr>
          <w:sz w:val="24"/>
        </w:rPr>
        <w:t>claim</w:t>
      </w:r>
      <w:r>
        <w:rPr>
          <w:spacing w:val="-6"/>
          <w:sz w:val="24"/>
        </w:rPr>
        <w:t xml:space="preserve"> </w:t>
      </w:r>
      <w:r>
        <w:rPr>
          <w:sz w:val="24"/>
        </w:rPr>
        <w:t xml:space="preserve">IFRS </w:t>
      </w:r>
      <w:r>
        <w:rPr>
          <w:spacing w:val="-2"/>
          <w:sz w:val="24"/>
        </w:rPr>
        <w:t>compliance.</w:t>
      </w:r>
    </w:p>
    <w:p w14:paraId="1E80580A" w14:textId="77777777" w:rsidR="00AA4A02" w:rsidRDefault="00960F31">
      <w:pPr>
        <w:pStyle w:val="ListParagraph"/>
        <w:numPr>
          <w:ilvl w:val="2"/>
          <w:numId w:val="49"/>
        </w:numPr>
        <w:tabs>
          <w:tab w:val="left" w:pos="852"/>
        </w:tabs>
        <w:spacing w:before="228"/>
        <w:rPr>
          <w:sz w:val="24"/>
        </w:rPr>
      </w:pPr>
      <w:r>
        <w:rPr>
          <w:sz w:val="24"/>
        </w:rPr>
        <w:t>For</w:t>
      </w:r>
      <w:r>
        <w:rPr>
          <w:spacing w:val="2"/>
          <w:sz w:val="24"/>
        </w:rPr>
        <w:t xml:space="preserve"> </w:t>
      </w:r>
      <w:r>
        <w:rPr>
          <w:sz w:val="24"/>
        </w:rPr>
        <w:t>AASB domestic</w:t>
      </w:r>
      <w:r>
        <w:rPr>
          <w:spacing w:val="1"/>
          <w:sz w:val="24"/>
        </w:rPr>
        <w:t xml:space="preserve"> </w:t>
      </w:r>
      <w:r>
        <w:rPr>
          <w:spacing w:val="-2"/>
          <w:sz w:val="24"/>
        </w:rPr>
        <w:t>issues:</w:t>
      </w:r>
    </w:p>
    <w:p w14:paraId="1E80580B" w14:textId="77777777" w:rsidR="00AA4A02" w:rsidRDefault="00960F31">
      <w:pPr>
        <w:pStyle w:val="ListParagraph"/>
        <w:numPr>
          <w:ilvl w:val="3"/>
          <w:numId w:val="49"/>
        </w:numPr>
        <w:tabs>
          <w:tab w:val="left" w:pos="1558"/>
        </w:tabs>
        <w:spacing w:before="238" w:line="242" w:lineRule="auto"/>
        <w:ind w:right="1019"/>
        <w:rPr>
          <w:sz w:val="24"/>
        </w:rPr>
      </w:pPr>
      <w:r>
        <w:rPr>
          <w:sz w:val="24"/>
        </w:rPr>
        <w:t>status</w:t>
      </w:r>
      <w:r>
        <w:rPr>
          <w:spacing w:val="-4"/>
          <w:sz w:val="24"/>
        </w:rPr>
        <w:t xml:space="preserve"> </w:t>
      </w:r>
      <w:r>
        <w:rPr>
          <w:sz w:val="24"/>
        </w:rPr>
        <w:t>quo.</w:t>
      </w:r>
      <w:r>
        <w:rPr>
          <w:spacing w:val="40"/>
          <w:sz w:val="24"/>
        </w:rPr>
        <w:t xml:space="preserve"> </w:t>
      </w:r>
      <w:r>
        <w:rPr>
          <w:sz w:val="24"/>
        </w:rPr>
        <w:t>Not</w:t>
      </w:r>
      <w:r>
        <w:rPr>
          <w:spacing w:val="-6"/>
          <w:sz w:val="24"/>
        </w:rPr>
        <w:t xml:space="preserve"> </w:t>
      </w:r>
      <w:r>
        <w:rPr>
          <w:sz w:val="24"/>
        </w:rPr>
        <w:t>an</w:t>
      </w:r>
      <w:r>
        <w:rPr>
          <w:spacing w:val="-2"/>
          <w:sz w:val="24"/>
        </w:rPr>
        <w:t xml:space="preserve"> </w:t>
      </w:r>
      <w:r>
        <w:rPr>
          <w:sz w:val="24"/>
        </w:rPr>
        <w:t>issue</w:t>
      </w:r>
      <w:r>
        <w:rPr>
          <w:spacing w:val="-3"/>
          <w:sz w:val="24"/>
        </w:rPr>
        <w:t xml:space="preserve"> </w:t>
      </w:r>
      <w:r>
        <w:rPr>
          <w:sz w:val="24"/>
        </w:rPr>
        <w:t>that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addressed</w:t>
      </w:r>
      <w:r>
        <w:rPr>
          <w:spacing w:val="-2"/>
          <w:sz w:val="24"/>
        </w:rPr>
        <w:t xml:space="preserve"> </w:t>
      </w:r>
      <w:r>
        <w:rPr>
          <w:sz w:val="24"/>
        </w:rPr>
        <w:t>through</w:t>
      </w:r>
      <w:r>
        <w:rPr>
          <w:spacing w:val="-1"/>
          <w:sz w:val="24"/>
        </w:rPr>
        <w:t xml:space="preserve"> </w:t>
      </w:r>
      <w:r>
        <w:rPr>
          <w:sz w:val="24"/>
        </w:rPr>
        <w:t>a</w:t>
      </w:r>
      <w:r>
        <w:rPr>
          <w:spacing w:val="-3"/>
          <w:sz w:val="24"/>
        </w:rPr>
        <w:t xml:space="preserve"> </w:t>
      </w:r>
      <w:r>
        <w:rPr>
          <w:sz w:val="24"/>
        </w:rPr>
        <w:t>new</w:t>
      </w:r>
      <w:r>
        <w:rPr>
          <w:spacing w:val="-2"/>
          <w:sz w:val="24"/>
        </w:rPr>
        <w:t xml:space="preserve"> </w:t>
      </w:r>
      <w:r>
        <w:rPr>
          <w:sz w:val="24"/>
        </w:rPr>
        <w:t>Standard</w:t>
      </w:r>
      <w:r>
        <w:rPr>
          <w:spacing w:val="-6"/>
          <w:sz w:val="24"/>
        </w:rPr>
        <w:t xml:space="preserve"> </w:t>
      </w:r>
      <w:r>
        <w:rPr>
          <w:sz w:val="24"/>
        </w:rPr>
        <w:t>or amendment to financial reporting requirements; and</w:t>
      </w:r>
    </w:p>
    <w:p w14:paraId="1E80580C" w14:textId="77777777" w:rsidR="00AA4A02" w:rsidRDefault="00960F31">
      <w:pPr>
        <w:pStyle w:val="ListParagraph"/>
        <w:numPr>
          <w:ilvl w:val="3"/>
          <w:numId w:val="49"/>
        </w:numPr>
        <w:tabs>
          <w:tab w:val="left" w:pos="1557"/>
        </w:tabs>
        <w:spacing w:before="240"/>
        <w:ind w:left="1557" w:hanging="705"/>
        <w:rPr>
          <w:sz w:val="24"/>
        </w:rPr>
      </w:pPr>
      <w:r>
        <w:rPr>
          <w:sz w:val="24"/>
        </w:rPr>
        <w:t>issue</w:t>
      </w:r>
      <w:r>
        <w:rPr>
          <w:spacing w:val="-3"/>
          <w:sz w:val="24"/>
        </w:rPr>
        <w:t xml:space="preserve"> </w:t>
      </w:r>
      <w:r>
        <w:rPr>
          <w:sz w:val="24"/>
        </w:rPr>
        <w:t>a</w:t>
      </w:r>
      <w:r>
        <w:rPr>
          <w:spacing w:val="-1"/>
          <w:sz w:val="24"/>
        </w:rPr>
        <w:t xml:space="preserve"> </w:t>
      </w:r>
      <w:r>
        <w:rPr>
          <w:sz w:val="24"/>
        </w:rPr>
        <w:t>new</w:t>
      </w:r>
      <w:r>
        <w:rPr>
          <w:spacing w:val="1"/>
          <w:sz w:val="24"/>
        </w:rPr>
        <w:t xml:space="preserve"> </w:t>
      </w:r>
      <w:r>
        <w:rPr>
          <w:sz w:val="24"/>
        </w:rPr>
        <w:t>or</w:t>
      </w:r>
      <w:r>
        <w:rPr>
          <w:spacing w:val="2"/>
          <w:sz w:val="24"/>
        </w:rPr>
        <w:t xml:space="preserve"> </w:t>
      </w:r>
      <w:r>
        <w:rPr>
          <w:sz w:val="24"/>
        </w:rPr>
        <w:t>amended</w:t>
      </w:r>
      <w:r>
        <w:rPr>
          <w:spacing w:val="1"/>
          <w:sz w:val="24"/>
        </w:rPr>
        <w:t xml:space="preserve"> </w:t>
      </w:r>
      <w:r>
        <w:rPr>
          <w:sz w:val="24"/>
        </w:rPr>
        <w:t>pronouncement</w:t>
      </w:r>
      <w:r>
        <w:rPr>
          <w:spacing w:val="-4"/>
          <w:sz w:val="24"/>
        </w:rPr>
        <w:t xml:space="preserve"> </w:t>
      </w:r>
      <w:r>
        <w:rPr>
          <w:sz w:val="24"/>
        </w:rPr>
        <w:t>to</w:t>
      </w:r>
      <w:r>
        <w:rPr>
          <w:spacing w:val="1"/>
          <w:sz w:val="24"/>
        </w:rPr>
        <w:t xml:space="preserve"> </w:t>
      </w:r>
      <w:r>
        <w:rPr>
          <w:sz w:val="24"/>
        </w:rPr>
        <w:t>address</w:t>
      </w:r>
      <w:r>
        <w:rPr>
          <w:spacing w:val="-1"/>
          <w:sz w:val="24"/>
        </w:rPr>
        <w:t xml:space="preserve"> </w:t>
      </w:r>
      <w:r>
        <w:rPr>
          <w:sz w:val="24"/>
        </w:rPr>
        <w:t>the</w:t>
      </w:r>
      <w:r>
        <w:rPr>
          <w:spacing w:val="1"/>
          <w:sz w:val="24"/>
        </w:rPr>
        <w:t xml:space="preserve"> </w:t>
      </w:r>
      <w:r>
        <w:rPr>
          <w:spacing w:val="-2"/>
          <w:sz w:val="24"/>
        </w:rPr>
        <w:t>issue.</w:t>
      </w:r>
    </w:p>
    <w:p w14:paraId="1E80580D" w14:textId="77777777" w:rsidR="00AA4A02" w:rsidRDefault="00960F31">
      <w:pPr>
        <w:pStyle w:val="ListParagraph"/>
        <w:numPr>
          <w:ilvl w:val="2"/>
          <w:numId w:val="49"/>
        </w:numPr>
        <w:tabs>
          <w:tab w:val="left" w:pos="852"/>
        </w:tabs>
        <w:spacing w:before="233" w:line="247" w:lineRule="auto"/>
        <w:ind w:right="1344"/>
        <w:rPr>
          <w:sz w:val="24"/>
        </w:rPr>
      </w:pPr>
      <w:r>
        <w:rPr>
          <w:sz w:val="24"/>
        </w:rPr>
        <w:t>Once</w:t>
      </w:r>
      <w:r>
        <w:rPr>
          <w:spacing w:val="-3"/>
          <w:sz w:val="24"/>
        </w:rPr>
        <w:t xml:space="preserve"> </w:t>
      </w:r>
      <w:r>
        <w:rPr>
          <w:sz w:val="24"/>
        </w:rPr>
        <w:t>the</w:t>
      </w:r>
      <w:r>
        <w:rPr>
          <w:spacing w:val="-2"/>
          <w:sz w:val="24"/>
        </w:rPr>
        <w:t xml:space="preserve"> </w:t>
      </w:r>
      <w:r>
        <w:rPr>
          <w:sz w:val="24"/>
        </w:rPr>
        <w:t>AASB</w:t>
      </w:r>
      <w:r>
        <w:rPr>
          <w:spacing w:val="-4"/>
          <w:sz w:val="24"/>
        </w:rPr>
        <w:t xml:space="preserve"> </w:t>
      </w:r>
      <w:r>
        <w:rPr>
          <w:sz w:val="24"/>
        </w:rPr>
        <w:t>has</w:t>
      </w:r>
      <w:r>
        <w:rPr>
          <w:spacing w:val="-4"/>
          <w:sz w:val="24"/>
        </w:rPr>
        <w:t xml:space="preserve"> </w:t>
      </w:r>
      <w:r>
        <w:rPr>
          <w:sz w:val="24"/>
        </w:rPr>
        <w:t>determined</w:t>
      </w:r>
      <w:r>
        <w:rPr>
          <w:spacing w:val="-1"/>
          <w:sz w:val="24"/>
        </w:rPr>
        <w:t xml:space="preserve"> </w:t>
      </w:r>
      <w:r>
        <w:rPr>
          <w:sz w:val="24"/>
        </w:rPr>
        <w:t>the</w:t>
      </w:r>
      <w:r>
        <w:rPr>
          <w:spacing w:val="-7"/>
          <w:sz w:val="24"/>
        </w:rPr>
        <w:t xml:space="preserve"> </w:t>
      </w:r>
      <w:r>
        <w:rPr>
          <w:sz w:val="24"/>
        </w:rPr>
        <w:t>appropriate</w:t>
      </w:r>
      <w:r>
        <w:rPr>
          <w:spacing w:val="-2"/>
          <w:sz w:val="24"/>
        </w:rPr>
        <w:t xml:space="preserve"> </w:t>
      </w:r>
      <w:r>
        <w:rPr>
          <w:sz w:val="24"/>
        </w:rPr>
        <w:t>option, it</w:t>
      </w:r>
      <w:r>
        <w:rPr>
          <w:spacing w:val="-6"/>
          <w:sz w:val="24"/>
        </w:rPr>
        <w:t xml:space="preserve"> </w:t>
      </w:r>
      <w:r>
        <w:rPr>
          <w:sz w:val="24"/>
        </w:rPr>
        <w:t>also</w:t>
      </w:r>
      <w:r>
        <w:rPr>
          <w:spacing w:val="-2"/>
          <w:sz w:val="24"/>
        </w:rPr>
        <w:t xml:space="preserve"> </w:t>
      </w:r>
      <w:r>
        <w:rPr>
          <w:sz w:val="24"/>
        </w:rPr>
        <w:t>determines</w:t>
      </w:r>
      <w:r>
        <w:rPr>
          <w:spacing w:val="-3"/>
          <w:sz w:val="24"/>
        </w:rPr>
        <w:t xml:space="preserve"> </w:t>
      </w:r>
      <w:r>
        <w:rPr>
          <w:sz w:val="24"/>
        </w:rPr>
        <w:t xml:space="preserve">the appropriate form of consultation as set out in Section </w:t>
      </w:r>
      <w:hyperlink w:anchor="_bookmark0" w:history="1">
        <w:r>
          <w:rPr>
            <w:sz w:val="24"/>
          </w:rPr>
          <w:t>6</w:t>
        </w:r>
      </w:hyperlink>
      <w:r>
        <w:rPr>
          <w:sz w:val="24"/>
        </w:rPr>
        <w:t>.</w:t>
      </w:r>
    </w:p>
    <w:p w14:paraId="1E80580E" w14:textId="77777777" w:rsidR="00AA4A02" w:rsidRDefault="00960F31">
      <w:pPr>
        <w:pStyle w:val="ListParagraph"/>
        <w:numPr>
          <w:ilvl w:val="2"/>
          <w:numId w:val="49"/>
        </w:numPr>
        <w:tabs>
          <w:tab w:val="left" w:pos="852"/>
        </w:tabs>
        <w:spacing w:before="223" w:line="247" w:lineRule="auto"/>
        <w:ind w:right="642"/>
        <w:rPr>
          <w:sz w:val="24"/>
        </w:rPr>
      </w:pPr>
      <w:r>
        <w:rPr>
          <w:sz w:val="24"/>
        </w:rPr>
        <w:t>Consultative</w:t>
      </w:r>
      <w:r>
        <w:rPr>
          <w:spacing w:val="-3"/>
          <w:sz w:val="24"/>
        </w:rPr>
        <w:t xml:space="preserve"> </w:t>
      </w:r>
      <w:r>
        <w:rPr>
          <w:sz w:val="24"/>
        </w:rPr>
        <w:t>documents</w:t>
      </w:r>
      <w:r>
        <w:rPr>
          <w:spacing w:val="-5"/>
          <w:sz w:val="24"/>
        </w:rPr>
        <w:t xml:space="preserve"> </w:t>
      </w:r>
      <w:r>
        <w:rPr>
          <w:sz w:val="24"/>
        </w:rPr>
        <w:t>set</w:t>
      </w:r>
      <w:r>
        <w:rPr>
          <w:spacing w:val="-3"/>
          <w:sz w:val="24"/>
        </w:rPr>
        <w:t xml:space="preserve"> </w:t>
      </w:r>
      <w:r>
        <w:rPr>
          <w:sz w:val="24"/>
        </w:rPr>
        <w:t>out</w:t>
      </w:r>
      <w:r>
        <w:rPr>
          <w:spacing w:val="-2"/>
          <w:sz w:val="24"/>
        </w:rPr>
        <w:t xml:space="preserve"> </w:t>
      </w:r>
      <w:r>
        <w:rPr>
          <w:sz w:val="24"/>
        </w:rPr>
        <w:t>the</w:t>
      </w:r>
      <w:r>
        <w:rPr>
          <w:spacing w:val="-3"/>
          <w:sz w:val="24"/>
        </w:rPr>
        <w:t xml:space="preserve"> </w:t>
      </w:r>
      <w:r>
        <w:rPr>
          <w:sz w:val="24"/>
        </w:rPr>
        <w:t>recommended</w:t>
      </w:r>
      <w:r>
        <w:rPr>
          <w:spacing w:val="-7"/>
          <w:sz w:val="24"/>
        </w:rPr>
        <w:t xml:space="preserve"> </w:t>
      </w:r>
      <w:r>
        <w:rPr>
          <w:sz w:val="24"/>
        </w:rPr>
        <w:t>proposals, as</w:t>
      </w:r>
      <w:r>
        <w:rPr>
          <w:spacing w:val="-5"/>
          <w:sz w:val="24"/>
        </w:rPr>
        <w:t xml:space="preserve"> </w:t>
      </w:r>
      <w:r>
        <w:rPr>
          <w:sz w:val="24"/>
        </w:rPr>
        <w:t>well</w:t>
      </w:r>
      <w:r>
        <w:rPr>
          <w:spacing w:val="-2"/>
          <w:sz w:val="24"/>
        </w:rPr>
        <w:t xml:space="preserve"> </w:t>
      </w:r>
      <w:r>
        <w:rPr>
          <w:sz w:val="24"/>
        </w:rPr>
        <w:t>as</w:t>
      </w:r>
      <w:r>
        <w:rPr>
          <w:spacing w:val="-5"/>
          <w:sz w:val="24"/>
        </w:rPr>
        <w:t xml:space="preserve"> </w:t>
      </w:r>
      <w:r>
        <w:rPr>
          <w:sz w:val="24"/>
        </w:rPr>
        <w:t>other</w:t>
      </w:r>
      <w:r>
        <w:rPr>
          <w:spacing w:val="-2"/>
          <w:sz w:val="24"/>
        </w:rPr>
        <w:t xml:space="preserve"> </w:t>
      </w:r>
      <w:r>
        <w:rPr>
          <w:sz w:val="24"/>
        </w:rPr>
        <w:t xml:space="preserve">options </w:t>
      </w:r>
      <w:r>
        <w:rPr>
          <w:spacing w:val="-2"/>
          <w:sz w:val="24"/>
        </w:rPr>
        <w:t>considered.</w:t>
      </w:r>
    </w:p>
    <w:p w14:paraId="1E80580F" w14:textId="77777777" w:rsidR="00AA4A02" w:rsidRDefault="00960F31">
      <w:pPr>
        <w:pStyle w:val="ListParagraph"/>
        <w:numPr>
          <w:ilvl w:val="2"/>
          <w:numId w:val="49"/>
        </w:numPr>
        <w:tabs>
          <w:tab w:val="left" w:pos="852"/>
        </w:tabs>
        <w:spacing w:before="224" w:line="242" w:lineRule="auto"/>
        <w:ind w:right="503"/>
        <w:rPr>
          <w:sz w:val="24"/>
        </w:rPr>
      </w:pPr>
      <w:r>
        <w:rPr>
          <w:sz w:val="24"/>
        </w:rPr>
        <w:t>A decision to retain the status quo is noted in Board meeting minutes, formal agenda decisions</w:t>
      </w:r>
      <w:r>
        <w:rPr>
          <w:spacing w:val="-4"/>
          <w:sz w:val="24"/>
        </w:rPr>
        <w:t xml:space="preserve"> </w:t>
      </w:r>
      <w:r>
        <w:rPr>
          <w:sz w:val="24"/>
        </w:rPr>
        <w:t>which</w:t>
      </w:r>
      <w:r>
        <w:rPr>
          <w:spacing w:val="-3"/>
          <w:sz w:val="24"/>
        </w:rPr>
        <w:t xml:space="preserve"> </w:t>
      </w:r>
      <w:r>
        <w:rPr>
          <w:sz w:val="24"/>
        </w:rPr>
        <w:t>are</w:t>
      </w:r>
      <w:r>
        <w:rPr>
          <w:spacing w:val="-3"/>
          <w:sz w:val="24"/>
        </w:rPr>
        <w:t xml:space="preserve"> </w:t>
      </w:r>
      <w:r>
        <w:rPr>
          <w:sz w:val="24"/>
        </w:rPr>
        <w:t>exposed</w:t>
      </w:r>
      <w:r>
        <w:rPr>
          <w:spacing w:val="-3"/>
          <w:sz w:val="24"/>
        </w:rPr>
        <w:t xml:space="preserve"> </w:t>
      </w:r>
      <w:r>
        <w:rPr>
          <w:sz w:val="24"/>
        </w:rPr>
        <w:t>for</w:t>
      </w:r>
      <w:r>
        <w:rPr>
          <w:spacing w:val="-1"/>
          <w:sz w:val="24"/>
        </w:rPr>
        <w:t xml:space="preserve"> </w:t>
      </w:r>
      <w:r>
        <w:rPr>
          <w:sz w:val="24"/>
        </w:rPr>
        <w:t>comment</w:t>
      </w:r>
      <w:r>
        <w:rPr>
          <w:spacing w:val="-7"/>
          <w:sz w:val="24"/>
        </w:rPr>
        <w:t xml:space="preserve"> </w:t>
      </w:r>
      <w:r>
        <w:rPr>
          <w:sz w:val="24"/>
        </w:rPr>
        <w:t>or</w:t>
      </w:r>
      <w:r>
        <w:rPr>
          <w:spacing w:val="-1"/>
          <w:sz w:val="24"/>
        </w:rPr>
        <w:t xml:space="preserve"> </w:t>
      </w:r>
      <w:r>
        <w:rPr>
          <w:sz w:val="24"/>
        </w:rPr>
        <w:t>other</w:t>
      </w:r>
      <w:r>
        <w:rPr>
          <w:spacing w:val="-7"/>
          <w:sz w:val="24"/>
        </w:rPr>
        <w:t xml:space="preserve"> </w:t>
      </w:r>
      <w:r>
        <w:rPr>
          <w:sz w:val="24"/>
        </w:rPr>
        <w:t>communications, depending</w:t>
      </w:r>
      <w:r>
        <w:rPr>
          <w:spacing w:val="-2"/>
          <w:sz w:val="24"/>
        </w:rPr>
        <w:t xml:space="preserve"> </w:t>
      </w:r>
      <w:r>
        <w:rPr>
          <w:sz w:val="24"/>
        </w:rPr>
        <w:t>on</w:t>
      </w:r>
      <w:r>
        <w:rPr>
          <w:spacing w:val="-3"/>
          <w:sz w:val="24"/>
        </w:rPr>
        <w:t xml:space="preserve"> </w:t>
      </w:r>
      <w:r>
        <w:rPr>
          <w:sz w:val="24"/>
        </w:rPr>
        <w:t>the importance and urgency of the issue.</w:t>
      </w:r>
    </w:p>
    <w:p w14:paraId="1E805810" w14:textId="77777777" w:rsidR="00AA4A02" w:rsidRDefault="00960F31">
      <w:pPr>
        <w:pStyle w:val="Heading9"/>
        <w:spacing w:before="239"/>
      </w:pPr>
      <w:r>
        <w:t>Issue</w:t>
      </w:r>
      <w:r>
        <w:rPr>
          <w:spacing w:val="-2"/>
        </w:rPr>
        <w:t xml:space="preserve"> </w:t>
      </w:r>
      <w:r>
        <w:t>consultative</w:t>
      </w:r>
      <w:r>
        <w:rPr>
          <w:spacing w:val="-1"/>
        </w:rPr>
        <w:t xml:space="preserve"> </w:t>
      </w:r>
      <w:r>
        <w:t>document (RIS question</w:t>
      </w:r>
      <w:r>
        <w:rPr>
          <w:spacing w:val="-1"/>
        </w:rPr>
        <w:t xml:space="preserve"> </w:t>
      </w:r>
      <w:r>
        <w:t>4,</w:t>
      </w:r>
      <w:r>
        <w:rPr>
          <w:spacing w:val="-2"/>
        </w:rPr>
        <w:t xml:space="preserve"> </w:t>
      </w:r>
      <w:r>
        <w:t>5</w:t>
      </w:r>
      <w:r>
        <w:rPr>
          <w:spacing w:val="-5"/>
        </w:rPr>
        <w:t xml:space="preserve"> </w:t>
      </w:r>
      <w:r>
        <w:t xml:space="preserve">and </w:t>
      </w:r>
      <w:r>
        <w:rPr>
          <w:spacing w:val="-5"/>
        </w:rPr>
        <w:t>6)</w:t>
      </w:r>
    </w:p>
    <w:p w14:paraId="1E805811" w14:textId="77777777" w:rsidR="00AA4A02" w:rsidRDefault="00960F31">
      <w:pPr>
        <w:pStyle w:val="ListParagraph"/>
        <w:numPr>
          <w:ilvl w:val="2"/>
          <w:numId w:val="48"/>
        </w:numPr>
        <w:tabs>
          <w:tab w:val="left" w:pos="852"/>
        </w:tabs>
        <w:spacing w:before="233" w:line="242" w:lineRule="auto"/>
        <w:ind w:right="763"/>
        <w:rPr>
          <w:sz w:val="24"/>
        </w:rPr>
      </w:pPr>
      <w:r>
        <w:rPr>
          <w:sz w:val="24"/>
        </w:rPr>
        <w:t>For all proposed pronouncements, the AASB prepares an ED with its proposals to solve</w:t>
      </w:r>
      <w:r>
        <w:rPr>
          <w:spacing w:val="-5"/>
          <w:sz w:val="24"/>
        </w:rPr>
        <w:t xml:space="preserve"> </w:t>
      </w:r>
      <w:r>
        <w:rPr>
          <w:sz w:val="24"/>
        </w:rPr>
        <w:t>the</w:t>
      </w:r>
      <w:r>
        <w:rPr>
          <w:spacing w:val="-4"/>
          <w:sz w:val="24"/>
        </w:rPr>
        <w:t xml:space="preserve"> </w:t>
      </w:r>
      <w:r>
        <w:rPr>
          <w:sz w:val="24"/>
        </w:rPr>
        <w:t>issue</w:t>
      </w:r>
      <w:r>
        <w:rPr>
          <w:spacing w:val="-5"/>
          <w:sz w:val="24"/>
        </w:rPr>
        <w:t xml:space="preserve"> </w:t>
      </w:r>
      <w:r>
        <w:rPr>
          <w:sz w:val="24"/>
        </w:rPr>
        <w:t>and</w:t>
      </w:r>
      <w:r>
        <w:rPr>
          <w:spacing w:val="-3"/>
          <w:sz w:val="24"/>
        </w:rPr>
        <w:t xml:space="preserve"> </w:t>
      </w:r>
      <w:r>
        <w:rPr>
          <w:sz w:val="24"/>
        </w:rPr>
        <w:t>accompanying</w:t>
      </w:r>
      <w:r>
        <w:rPr>
          <w:spacing w:val="-3"/>
          <w:sz w:val="24"/>
        </w:rPr>
        <w:t xml:space="preserve"> </w:t>
      </w:r>
      <w:r>
        <w:rPr>
          <w:sz w:val="24"/>
        </w:rPr>
        <w:t>explanatory</w:t>
      </w:r>
      <w:r>
        <w:rPr>
          <w:spacing w:val="-3"/>
          <w:sz w:val="24"/>
        </w:rPr>
        <w:t xml:space="preserve"> </w:t>
      </w:r>
      <w:r>
        <w:rPr>
          <w:sz w:val="24"/>
        </w:rPr>
        <w:t>material</w:t>
      </w:r>
      <w:r>
        <w:rPr>
          <w:spacing w:val="-3"/>
          <w:sz w:val="24"/>
        </w:rPr>
        <w:t xml:space="preserve"> </w:t>
      </w:r>
      <w:r>
        <w:rPr>
          <w:sz w:val="24"/>
        </w:rPr>
        <w:t>that</w:t>
      </w:r>
      <w:r>
        <w:rPr>
          <w:spacing w:val="-4"/>
          <w:sz w:val="24"/>
        </w:rPr>
        <w:t xml:space="preserve"> </w:t>
      </w:r>
      <w:r>
        <w:rPr>
          <w:sz w:val="24"/>
        </w:rPr>
        <w:t>highlights</w:t>
      </w:r>
      <w:r>
        <w:rPr>
          <w:spacing w:val="-5"/>
          <w:sz w:val="24"/>
        </w:rPr>
        <w:t xml:space="preserve"> </w:t>
      </w:r>
      <w:r>
        <w:rPr>
          <w:sz w:val="24"/>
        </w:rPr>
        <w:t>the</w:t>
      </w:r>
      <w:r>
        <w:rPr>
          <w:spacing w:val="-4"/>
          <w:sz w:val="24"/>
        </w:rPr>
        <w:t xml:space="preserve"> </w:t>
      </w:r>
      <w:r>
        <w:rPr>
          <w:sz w:val="24"/>
        </w:rPr>
        <w:t>evidence supporting its development, the options considered, the likely net benefit of each option considered and any alternative views that AASB members hold.</w:t>
      </w:r>
    </w:p>
    <w:p w14:paraId="1E805812" w14:textId="77777777" w:rsidR="00AA4A02" w:rsidRDefault="00960F31">
      <w:pPr>
        <w:pStyle w:val="ListParagraph"/>
        <w:numPr>
          <w:ilvl w:val="2"/>
          <w:numId w:val="48"/>
        </w:numPr>
        <w:tabs>
          <w:tab w:val="left" w:pos="852"/>
        </w:tabs>
        <w:spacing w:before="230" w:line="242" w:lineRule="auto"/>
        <w:ind w:right="455"/>
        <w:rPr>
          <w:sz w:val="24"/>
        </w:rPr>
      </w:pPr>
      <w:r>
        <w:rPr>
          <w:sz w:val="24"/>
        </w:rPr>
        <w:t>In some instances where the AASB has not determined the most appropriate option to resolve</w:t>
      </w:r>
      <w:r>
        <w:rPr>
          <w:spacing w:val="-2"/>
          <w:sz w:val="24"/>
        </w:rPr>
        <w:t xml:space="preserve"> </w:t>
      </w:r>
      <w:r>
        <w:rPr>
          <w:sz w:val="24"/>
        </w:rPr>
        <w:t>an</w:t>
      </w:r>
      <w:r>
        <w:rPr>
          <w:spacing w:val="-2"/>
          <w:sz w:val="24"/>
        </w:rPr>
        <w:t xml:space="preserve"> </w:t>
      </w:r>
      <w:r>
        <w:rPr>
          <w:sz w:val="24"/>
        </w:rPr>
        <w:t>issue,</w:t>
      </w:r>
      <w:r>
        <w:rPr>
          <w:spacing w:val="-1"/>
          <w:sz w:val="24"/>
        </w:rPr>
        <w:t xml:space="preserve"> </w:t>
      </w:r>
      <w:r>
        <w:rPr>
          <w:sz w:val="24"/>
        </w:rPr>
        <w:t>or</w:t>
      </w:r>
      <w:r>
        <w:rPr>
          <w:spacing w:val="-1"/>
          <w:sz w:val="24"/>
        </w:rPr>
        <w:t xml:space="preserve"> </w:t>
      </w:r>
      <w:r>
        <w:rPr>
          <w:sz w:val="24"/>
        </w:rPr>
        <w:t>evidence</w:t>
      </w:r>
      <w:r>
        <w:rPr>
          <w:spacing w:val="-3"/>
          <w:sz w:val="24"/>
        </w:rPr>
        <w:t xml:space="preserve"> </w:t>
      </w:r>
      <w:r>
        <w:rPr>
          <w:sz w:val="24"/>
        </w:rPr>
        <w:t>is</w:t>
      </w:r>
      <w:r>
        <w:rPr>
          <w:spacing w:val="-4"/>
          <w:sz w:val="24"/>
        </w:rPr>
        <w:t xml:space="preserve"> </w:t>
      </w:r>
      <w:r>
        <w:rPr>
          <w:sz w:val="24"/>
        </w:rPr>
        <w:t>at</w:t>
      </w:r>
      <w:r>
        <w:rPr>
          <w:spacing w:val="-6"/>
          <w:sz w:val="24"/>
        </w:rPr>
        <w:t xml:space="preserve"> </w:t>
      </w:r>
      <w:r>
        <w:rPr>
          <w:sz w:val="24"/>
        </w:rPr>
        <w:t>a</w:t>
      </w:r>
      <w:r>
        <w:rPr>
          <w:spacing w:val="-3"/>
          <w:sz w:val="24"/>
        </w:rPr>
        <w:t xml:space="preserve"> </w:t>
      </w:r>
      <w:r>
        <w:rPr>
          <w:sz w:val="24"/>
        </w:rPr>
        <w:t>preliminary</w:t>
      </w:r>
      <w:r>
        <w:rPr>
          <w:spacing w:val="-1"/>
          <w:sz w:val="24"/>
        </w:rPr>
        <w:t xml:space="preserve"> </w:t>
      </w:r>
      <w:r>
        <w:rPr>
          <w:sz w:val="24"/>
        </w:rPr>
        <w:t>stage,</w:t>
      </w:r>
      <w:r>
        <w:rPr>
          <w:spacing w:val="-1"/>
          <w:sz w:val="24"/>
        </w:rPr>
        <w:t xml:space="preserve"> </w:t>
      </w:r>
      <w:r>
        <w:rPr>
          <w:sz w:val="24"/>
        </w:rPr>
        <w:t>a</w:t>
      </w:r>
      <w:r>
        <w:rPr>
          <w:spacing w:val="-2"/>
          <w:sz w:val="24"/>
        </w:rPr>
        <w:t xml:space="preserve"> </w:t>
      </w:r>
      <w:r>
        <w:rPr>
          <w:sz w:val="24"/>
        </w:rPr>
        <w:t>consultative</w:t>
      </w:r>
      <w:r>
        <w:rPr>
          <w:spacing w:val="-2"/>
          <w:sz w:val="24"/>
        </w:rPr>
        <w:t xml:space="preserve"> </w:t>
      </w:r>
      <w:r>
        <w:rPr>
          <w:sz w:val="24"/>
        </w:rPr>
        <w:t>document</w:t>
      </w:r>
      <w:r>
        <w:rPr>
          <w:spacing w:val="-6"/>
          <w:sz w:val="24"/>
        </w:rPr>
        <w:t xml:space="preserve"> </w:t>
      </w:r>
      <w:r>
        <w:rPr>
          <w:sz w:val="24"/>
        </w:rPr>
        <w:t>may</w:t>
      </w:r>
      <w:r>
        <w:rPr>
          <w:spacing w:val="-2"/>
          <w:sz w:val="24"/>
        </w:rPr>
        <w:t xml:space="preserve"> </w:t>
      </w:r>
      <w:r>
        <w:rPr>
          <w:sz w:val="24"/>
        </w:rPr>
        <w:t>be issued prior to an ED, such as a Discussion Paper or an Invitation to Comment.</w:t>
      </w:r>
    </w:p>
    <w:p w14:paraId="1E805813" w14:textId="77777777" w:rsidR="00AA4A02" w:rsidRDefault="00960F31">
      <w:pPr>
        <w:pStyle w:val="ListParagraph"/>
        <w:numPr>
          <w:ilvl w:val="2"/>
          <w:numId w:val="48"/>
        </w:numPr>
        <w:tabs>
          <w:tab w:val="left" w:pos="852"/>
        </w:tabs>
        <w:spacing w:before="234"/>
        <w:ind w:right="476"/>
        <w:rPr>
          <w:sz w:val="24"/>
        </w:rPr>
      </w:pPr>
      <w:r>
        <w:rPr>
          <w:sz w:val="24"/>
        </w:rPr>
        <w:t>When the IASB issues an ED, the AASB reissues the ED in Australia along with Australian-specific commentary, if necessary. Such EDs are typically approved for issue by the AASB Chair, under delegated authority from the AASB.</w:t>
      </w:r>
      <w:r>
        <w:rPr>
          <w:spacing w:val="40"/>
          <w:sz w:val="24"/>
        </w:rPr>
        <w:t xml:space="preserve"> </w:t>
      </w:r>
      <w:r>
        <w:rPr>
          <w:sz w:val="24"/>
        </w:rPr>
        <w:t>Not-for-profit specific</w:t>
      </w:r>
      <w:r>
        <w:rPr>
          <w:spacing w:val="-3"/>
          <w:sz w:val="24"/>
        </w:rPr>
        <w:t xml:space="preserve"> </w:t>
      </w:r>
      <w:r>
        <w:rPr>
          <w:sz w:val="24"/>
        </w:rPr>
        <w:t>issues</w:t>
      </w:r>
      <w:r>
        <w:rPr>
          <w:spacing w:val="-5"/>
          <w:sz w:val="24"/>
        </w:rPr>
        <w:t xml:space="preserve"> </w:t>
      </w:r>
      <w:r>
        <w:rPr>
          <w:sz w:val="24"/>
        </w:rPr>
        <w:t>may</w:t>
      </w:r>
      <w:r>
        <w:rPr>
          <w:spacing w:val="-3"/>
          <w:sz w:val="24"/>
        </w:rPr>
        <w:t xml:space="preserve"> </w:t>
      </w:r>
      <w:r>
        <w:rPr>
          <w:sz w:val="24"/>
        </w:rPr>
        <w:t>be</w:t>
      </w:r>
      <w:r>
        <w:rPr>
          <w:spacing w:val="-4"/>
          <w:sz w:val="24"/>
        </w:rPr>
        <w:t xml:space="preserve"> </w:t>
      </w:r>
      <w:r>
        <w:rPr>
          <w:sz w:val="24"/>
        </w:rPr>
        <w:t>considered</w:t>
      </w:r>
      <w:r>
        <w:rPr>
          <w:spacing w:val="-2"/>
          <w:sz w:val="24"/>
        </w:rPr>
        <w:t xml:space="preserve"> </w:t>
      </w:r>
      <w:r>
        <w:rPr>
          <w:sz w:val="24"/>
        </w:rPr>
        <w:t>at</w:t>
      </w:r>
      <w:r>
        <w:rPr>
          <w:spacing w:val="-3"/>
          <w:sz w:val="24"/>
        </w:rPr>
        <w:t xml:space="preserve"> </w:t>
      </w:r>
      <w:r>
        <w:rPr>
          <w:sz w:val="24"/>
        </w:rPr>
        <w:t>this</w:t>
      </w:r>
      <w:r>
        <w:rPr>
          <w:spacing w:val="-5"/>
          <w:sz w:val="24"/>
        </w:rPr>
        <w:t xml:space="preserve"> </w:t>
      </w:r>
      <w:r>
        <w:rPr>
          <w:sz w:val="24"/>
        </w:rPr>
        <w:t>time,</w:t>
      </w:r>
      <w:r>
        <w:rPr>
          <w:spacing w:val="-5"/>
          <w:sz w:val="24"/>
        </w:rPr>
        <w:t xml:space="preserve"> </w:t>
      </w:r>
      <w:r>
        <w:rPr>
          <w:sz w:val="24"/>
        </w:rPr>
        <w:t>or</w:t>
      </w:r>
      <w:r>
        <w:rPr>
          <w:spacing w:val="-6"/>
          <w:sz w:val="24"/>
        </w:rPr>
        <w:t xml:space="preserve"> </w:t>
      </w:r>
      <w:r>
        <w:rPr>
          <w:sz w:val="24"/>
        </w:rPr>
        <w:t>developed</w:t>
      </w:r>
      <w:r>
        <w:rPr>
          <w:spacing w:val="-3"/>
          <w:sz w:val="24"/>
        </w:rPr>
        <w:t xml:space="preserve"> </w:t>
      </w:r>
      <w:r>
        <w:rPr>
          <w:sz w:val="24"/>
        </w:rPr>
        <w:t>later</w:t>
      </w:r>
      <w:r>
        <w:rPr>
          <w:spacing w:val="-1"/>
          <w:sz w:val="24"/>
        </w:rPr>
        <w:t xml:space="preserve"> </w:t>
      </w:r>
      <w:r>
        <w:rPr>
          <w:sz w:val="24"/>
        </w:rPr>
        <w:t>and</w:t>
      </w:r>
      <w:r>
        <w:rPr>
          <w:spacing w:val="-3"/>
          <w:sz w:val="24"/>
        </w:rPr>
        <w:t xml:space="preserve"> </w:t>
      </w:r>
      <w:r>
        <w:rPr>
          <w:sz w:val="24"/>
        </w:rPr>
        <w:t>issued</w:t>
      </w:r>
      <w:r>
        <w:rPr>
          <w:spacing w:val="-3"/>
          <w:sz w:val="24"/>
        </w:rPr>
        <w:t xml:space="preserve"> </w:t>
      </w:r>
      <w:r>
        <w:rPr>
          <w:sz w:val="24"/>
        </w:rPr>
        <w:t>by</w:t>
      </w:r>
      <w:r>
        <w:rPr>
          <w:spacing w:val="-2"/>
          <w:sz w:val="24"/>
        </w:rPr>
        <w:t xml:space="preserve"> </w:t>
      </w:r>
      <w:r>
        <w:rPr>
          <w:sz w:val="24"/>
        </w:rPr>
        <w:t>way</w:t>
      </w:r>
      <w:r>
        <w:rPr>
          <w:spacing w:val="-3"/>
          <w:sz w:val="24"/>
        </w:rPr>
        <w:t xml:space="preserve"> </w:t>
      </w:r>
      <w:r>
        <w:rPr>
          <w:sz w:val="24"/>
        </w:rPr>
        <w:t>of a separate ED.</w:t>
      </w:r>
    </w:p>
    <w:p w14:paraId="1E805814" w14:textId="77777777" w:rsidR="00AA4A02" w:rsidRDefault="00960F31">
      <w:pPr>
        <w:pStyle w:val="ListParagraph"/>
        <w:numPr>
          <w:ilvl w:val="2"/>
          <w:numId w:val="48"/>
        </w:numPr>
        <w:tabs>
          <w:tab w:val="left" w:pos="852"/>
        </w:tabs>
        <w:spacing w:before="238" w:line="247" w:lineRule="auto"/>
        <w:ind w:right="472"/>
        <w:rPr>
          <w:sz w:val="24"/>
        </w:rPr>
      </w:pPr>
      <w:r>
        <w:rPr>
          <w:sz w:val="24"/>
        </w:rPr>
        <w:t>A domestic ED is issued only after the AASB votes to issue the ED. However, the Chair or a</w:t>
      </w:r>
      <w:r>
        <w:rPr>
          <w:spacing w:val="-7"/>
          <w:sz w:val="24"/>
        </w:rPr>
        <w:t xml:space="preserve"> </w:t>
      </w:r>
      <w:r>
        <w:rPr>
          <w:sz w:val="24"/>
        </w:rPr>
        <w:t>sub-committee</w:t>
      </w:r>
      <w:r>
        <w:rPr>
          <w:spacing w:val="-1"/>
          <w:sz w:val="24"/>
        </w:rPr>
        <w:t xml:space="preserve"> </w:t>
      </w:r>
      <w:r>
        <w:rPr>
          <w:sz w:val="24"/>
        </w:rPr>
        <w:t>of the</w:t>
      </w:r>
      <w:r>
        <w:rPr>
          <w:spacing w:val="-1"/>
          <w:sz w:val="24"/>
        </w:rPr>
        <w:t xml:space="preserve"> </w:t>
      </w:r>
      <w:r>
        <w:rPr>
          <w:sz w:val="24"/>
        </w:rPr>
        <w:t>AASB</w:t>
      </w:r>
      <w:r>
        <w:rPr>
          <w:spacing w:val="-7"/>
          <w:sz w:val="24"/>
        </w:rPr>
        <w:t xml:space="preserve"> </w:t>
      </w:r>
      <w:r>
        <w:rPr>
          <w:sz w:val="24"/>
        </w:rPr>
        <w:t>may</w:t>
      </w:r>
      <w:r>
        <w:rPr>
          <w:spacing w:val="-1"/>
          <w:sz w:val="24"/>
        </w:rPr>
        <w:t xml:space="preserve"> </w:t>
      </w:r>
      <w:r>
        <w:rPr>
          <w:sz w:val="24"/>
        </w:rPr>
        <w:t>be</w:t>
      </w:r>
      <w:r>
        <w:rPr>
          <w:spacing w:val="-2"/>
          <w:sz w:val="24"/>
        </w:rPr>
        <w:t xml:space="preserve"> </w:t>
      </w:r>
      <w:r>
        <w:rPr>
          <w:sz w:val="24"/>
        </w:rPr>
        <w:t>delegated</w:t>
      </w:r>
      <w:r>
        <w:rPr>
          <w:spacing w:val="-1"/>
          <w:sz w:val="24"/>
        </w:rPr>
        <w:t xml:space="preserve"> </w:t>
      </w:r>
      <w:r>
        <w:rPr>
          <w:sz w:val="24"/>
        </w:rPr>
        <w:t>authority to</w:t>
      </w:r>
      <w:r>
        <w:rPr>
          <w:spacing w:val="-6"/>
          <w:sz w:val="24"/>
        </w:rPr>
        <w:t xml:space="preserve"> </w:t>
      </w:r>
      <w:r>
        <w:rPr>
          <w:sz w:val="24"/>
        </w:rPr>
        <w:t>approve</w:t>
      </w:r>
      <w:r>
        <w:rPr>
          <w:spacing w:val="-2"/>
          <w:sz w:val="24"/>
        </w:rPr>
        <w:t xml:space="preserve"> </w:t>
      </w:r>
      <w:r>
        <w:rPr>
          <w:sz w:val="24"/>
        </w:rPr>
        <w:t>the</w:t>
      </w:r>
      <w:r>
        <w:rPr>
          <w:spacing w:val="-6"/>
          <w:sz w:val="24"/>
        </w:rPr>
        <w:t xml:space="preserve"> </w:t>
      </w:r>
      <w:r>
        <w:rPr>
          <w:sz w:val="24"/>
        </w:rPr>
        <w:t>ED.</w:t>
      </w:r>
    </w:p>
    <w:p w14:paraId="1E805815" w14:textId="77777777" w:rsidR="00AA4A02" w:rsidRDefault="00960F31">
      <w:pPr>
        <w:pStyle w:val="ListParagraph"/>
        <w:numPr>
          <w:ilvl w:val="2"/>
          <w:numId w:val="48"/>
        </w:numPr>
        <w:tabs>
          <w:tab w:val="left" w:pos="852"/>
        </w:tabs>
        <w:spacing w:before="224" w:line="247" w:lineRule="auto"/>
        <w:ind w:right="1411"/>
        <w:rPr>
          <w:sz w:val="24"/>
        </w:rPr>
      </w:pPr>
      <w:r>
        <w:rPr>
          <w:sz w:val="24"/>
        </w:rPr>
        <w:t>The</w:t>
      </w:r>
      <w:r>
        <w:rPr>
          <w:spacing w:val="-3"/>
          <w:sz w:val="24"/>
        </w:rPr>
        <w:t xml:space="preserve"> </w:t>
      </w:r>
      <w:r>
        <w:rPr>
          <w:sz w:val="24"/>
        </w:rPr>
        <w:t>AASB</w:t>
      </w:r>
      <w:r>
        <w:rPr>
          <w:spacing w:val="-3"/>
          <w:sz w:val="24"/>
        </w:rPr>
        <w:t xml:space="preserve"> </w:t>
      </w:r>
      <w:r>
        <w:rPr>
          <w:sz w:val="24"/>
        </w:rPr>
        <w:t>staff</w:t>
      </w:r>
      <w:r>
        <w:rPr>
          <w:spacing w:val="-5"/>
          <w:sz w:val="24"/>
        </w:rPr>
        <w:t xml:space="preserve"> </w:t>
      </w:r>
      <w:r>
        <w:rPr>
          <w:sz w:val="24"/>
        </w:rPr>
        <w:t>may</w:t>
      </w:r>
      <w:r>
        <w:rPr>
          <w:spacing w:val="-2"/>
          <w:sz w:val="24"/>
        </w:rPr>
        <w:t xml:space="preserve"> </w:t>
      </w:r>
      <w:r>
        <w:rPr>
          <w:sz w:val="24"/>
        </w:rPr>
        <w:t>host</w:t>
      </w:r>
      <w:r>
        <w:rPr>
          <w:spacing w:val="-2"/>
          <w:sz w:val="24"/>
        </w:rPr>
        <w:t xml:space="preserve"> </w:t>
      </w:r>
      <w:r>
        <w:rPr>
          <w:sz w:val="24"/>
        </w:rPr>
        <w:t>a</w:t>
      </w:r>
      <w:r>
        <w:rPr>
          <w:spacing w:val="-8"/>
          <w:sz w:val="24"/>
        </w:rPr>
        <w:t xml:space="preserve"> </w:t>
      </w:r>
      <w:r>
        <w:rPr>
          <w:sz w:val="24"/>
        </w:rPr>
        <w:t>webinar or</w:t>
      </w:r>
      <w:r>
        <w:rPr>
          <w:spacing w:val="-5"/>
          <w:sz w:val="24"/>
        </w:rPr>
        <w:t xml:space="preserve"> </w:t>
      </w:r>
      <w:r>
        <w:rPr>
          <w:sz w:val="24"/>
        </w:rPr>
        <w:t>another</w:t>
      </w:r>
      <w:r>
        <w:rPr>
          <w:spacing w:val="-5"/>
          <w:sz w:val="24"/>
        </w:rPr>
        <w:t xml:space="preserve"> </w:t>
      </w:r>
      <w:r>
        <w:rPr>
          <w:sz w:val="24"/>
        </w:rPr>
        <w:t>form</w:t>
      </w:r>
      <w:r>
        <w:rPr>
          <w:spacing w:val="-1"/>
          <w:sz w:val="24"/>
        </w:rPr>
        <w:t xml:space="preserve"> </w:t>
      </w:r>
      <w:r>
        <w:rPr>
          <w:sz w:val="24"/>
        </w:rPr>
        <w:t>of education</w:t>
      </w:r>
      <w:r>
        <w:rPr>
          <w:spacing w:val="-6"/>
          <w:sz w:val="24"/>
        </w:rPr>
        <w:t xml:space="preserve"> </w:t>
      </w:r>
      <w:r>
        <w:rPr>
          <w:sz w:val="24"/>
        </w:rPr>
        <w:t>session</w:t>
      </w:r>
      <w:r>
        <w:rPr>
          <w:spacing w:val="-1"/>
          <w:sz w:val="24"/>
        </w:rPr>
        <w:t xml:space="preserve"> </w:t>
      </w:r>
      <w:r>
        <w:rPr>
          <w:sz w:val="24"/>
        </w:rPr>
        <w:t>on significant ED proposals.</w:t>
      </w:r>
    </w:p>
    <w:p w14:paraId="1E805816" w14:textId="77777777" w:rsidR="00AA4A02" w:rsidRDefault="00960F31">
      <w:pPr>
        <w:pStyle w:val="ListParagraph"/>
        <w:numPr>
          <w:ilvl w:val="2"/>
          <w:numId w:val="48"/>
        </w:numPr>
        <w:tabs>
          <w:tab w:val="left" w:pos="852"/>
        </w:tabs>
        <w:spacing w:before="228"/>
        <w:rPr>
          <w:sz w:val="24"/>
        </w:rPr>
      </w:pPr>
      <w:r>
        <w:rPr>
          <w:sz w:val="24"/>
        </w:rPr>
        <w:t>All</w:t>
      </w:r>
      <w:r>
        <w:rPr>
          <w:spacing w:val="-2"/>
          <w:sz w:val="24"/>
        </w:rPr>
        <w:t xml:space="preserve"> </w:t>
      </w:r>
      <w:r>
        <w:rPr>
          <w:sz w:val="24"/>
        </w:rPr>
        <w:t>consultative documents</w:t>
      </w:r>
      <w:r>
        <w:rPr>
          <w:spacing w:val="-2"/>
          <w:sz w:val="24"/>
        </w:rPr>
        <w:t xml:space="preserve"> </w:t>
      </w:r>
      <w:r>
        <w:rPr>
          <w:sz w:val="24"/>
        </w:rPr>
        <w:t>are freely</w:t>
      </w:r>
      <w:r>
        <w:rPr>
          <w:spacing w:val="1"/>
          <w:sz w:val="24"/>
        </w:rPr>
        <w:t xml:space="preserve"> </w:t>
      </w:r>
      <w:r>
        <w:rPr>
          <w:sz w:val="24"/>
        </w:rPr>
        <w:t>available on</w:t>
      </w:r>
      <w:r>
        <w:rPr>
          <w:spacing w:val="-5"/>
          <w:sz w:val="24"/>
        </w:rPr>
        <w:t xml:space="preserve"> </w:t>
      </w:r>
      <w:r>
        <w:rPr>
          <w:sz w:val="24"/>
        </w:rPr>
        <w:t xml:space="preserve">the AASB’s </w:t>
      </w:r>
      <w:r>
        <w:rPr>
          <w:spacing w:val="-2"/>
          <w:sz w:val="24"/>
        </w:rPr>
        <w:t>website.</w:t>
      </w:r>
    </w:p>
    <w:p w14:paraId="1E805817" w14:textId="77777777" w:rsidR="00AA4A02" w:rsidRDefault="00960F31">
      <w:pPr>
        <w:pStyle w:val="Heading9"/>
        <w:spacing w:before="244"/>
      </w:pPr>
      <w:r>
        <w:t>Consider</w:t>
      </w:r>
      <w:r>
        <w:rPr>
          <w:spacing w:val="-1"/>
        </w:rPr>
        <w:t xml:space="preserve"> </w:t>
      </w:r>
      <w:r>
        <w:t>feedback</w:t>
      </w:r>
      <w:r>
        <w:rPr>
          <w:spacing w:val="2"/>
        </w:rPr>
        <w:t xml:space="preserve"> </w:t>
      </w:r>
      <w:r>
        <w:t>(RIS</w:t>
      </w:r>
      <w:r>
        <w:rPr>
          <w:spacing w:val="-4"/>
        </w:rPr>
        <w:t xml:space="preserve"> </w:t>
      </w:r>
      <w:r>
        <w:t>questions</w:t>
      </w:r>
      <w:r>
        <w:rPr>
          <w:spacing w:val="-2"/>
        </w:rPr>
        <w:t xml:space="preserve"> </w:t>
      </w:r>
      <w:r>
        <w:t xml:space="preserve">6 and </w:t>
      </w:r>
      <w:r>
        <w:rPr>
          <w:spacing w:val="-5"/>
        </w:rPr>
        <w:t>7)</w:t>
      </w:r>
    </w:p>
    <w:p w14:paraId="1E805818" w14:textId="77777777" w:rsidR="00AA4A02" w:rsidRDefault="00960F31">
      <w:pPr>
        <w:pStyle w:val="ListParagraph"/>
        <w:numPr>
          <w:ilvl w:val="2"/>
          <w:numId w:val="47"/>
        </w:numPr>
        <w:tabs>
          <w:tab w:val="left" w:pos="852"/>
        </w:tabs>
        <w:spacing w:before="232"/>
        <w:ind w:right="567"/>
        <w:rPr>
          <w:sz w:val="24"/>
        </w:rPr>
      </w:pPr>
      <w:r>
        <w:rPr>
          <w:sz w:val="24"/>
        </w:rPr>
        <w:t>The feedback on consultation documents received from stakeholders through submissions and from outreach activities is considered in public.</w:t>
      </w:r>
      <w:r>
        <w:rPr>
          <w:spacing w:val="40"/>
          <w:sz w:val="24"/>
        </w:rPr>
        <w:t xml:space="preserve"> </w:t>
      </w:r>
      <w:r>
        <w:rPr>
          <w:sz w:val="24"/>
        </w:rPr>
        <w:t>All written submissions</w:t>
      </w:r>
      <w:r>
        <w:rPr>
          <w:spacing w:val="-2"/>
          <w:sz w:val="24"/>
        </w:rPr>
        <w:t xml:space="preserve"> </w:t>
      </w:r>
      <w:r>
        <w:rPr>
          <w:sz w:val="24"/>
        </w:rPr>
        <w:t>on</w:t>
      </w:r>
      <w:r>
        <w:rPr>
          <w:spacing w:val="-1"/>
          <w:sz w:val="24"/>
        </w:rPr>
        <w:t xml:space="preserve"> </w:t>
      </w:r>
      <w:r>
        <w:rPr>
          <w:sz w:val="24"/>
        </w:rPr>
        <w:t>consultation</w:t>
      </w:r>
      <w:r>
        <w:rPr>
          <w:spacing w:val="1"/>
          <w:sz w:val="24"/>
        </w:rPr>
        <w:t xml:space="preserve"> </w:t>
      </w:r>
      <w:r>
        <w:rPr>
          <w:sz w:val="24"/>
        </w:rPr>
        <w:t>documents</w:t>
      </w:r>
      <w:r>
        <w:rPr>
          <w:spacing w:val="-3"/>
          <w:sz w:val="24"/>
        </w:rPr>
        <w:t xml:space="preserve"> </w:t>
      </w:r>
      <w:r>
        <w:rPr>
          <w:sz w:val="24"/>
        </w:rPr>
        <w:t>will be</w:t>
      </w:r>
      <w:r>
        <w:rPr>
          <w:spacing w:val="-1"/>
          <w:sz w:val="24"/>
        </w:rPr>
        <w:t xml:space="preserve"> </w:t>
      </w:r>
      <w:r>
        <w:rPr>
          <w:sz w:val="24"/>
        </w:rPr>
        <w:t>placed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public</w:t>
      </w:r>
      <w:r>
        <w:rPr>
          <w:spacing w:val="-5"/>
          <w:sz w:val="24"/>
        </w:rPr>
        <w:t xml:space="preserve"> </w:t>
      </w:r>
      <w:r>
        <w:rPr>
          <w:sz w:val="24"/>
        </w:rPr>
        <w:t>record</w:t>
      </w:r>
      <w:r>
        <w:rPr>
          <w:spacing w:val="-1"/>
          <w:sz w:val="24"/>
        </w:rPr>
        <w:t xml:space="preserve"> </w:t>
      </w:r>
      <w:r>
        <w:rPr>
          <w:sz w:val="24"/>
        </w:rPr>
        <w:t>unless</w:t>
      </w:r>
      <w:r>
        <w:rPr>
          <w:spacing w:val="-2"/>
          <w:sz w:val="24"/>
        </w:rPr>
        <w:t xml:space="preserve"> </w:t>
      </w:r>
      <w:r>
        <w:rPr>
          <w:spacing w:val="-5"/>
          <w:sz w:val="24"/>
        </w:rPr>
        <w:t>the</w:t>
      </w:r>
    </w:p>
    <w:p w14:paraId="1E805819" w14:textId="77777777" w:rsidR="00AA4A02" w:rsidRDefault="00AA4A02">
      <w:pPr>
        <w:pStyle w:val="ListParagraph"/>
        <w:rPr>
          <w:sz w:val="24"/>
        </w:rPr>
        <w:sectPr w:rsidR="00AA4A02">
          <w:pgSz w:w="11900" w:h="16840"/>
          <w:pgMar w:top="1600" w:right="992" w:bottom="920" w:left="1275" w:header="652" w:footer="724" w:gutter="0"/>
          <w:cols w:space="720"/>
        </w:sectPr>
      </w:pPr>
    </w:p>
    <w:p w14:paraId="1E80581A" w14:textId="77777777" w:rsidR="00AA4A02" w:rsidRDefault="00960F31">
      <w:pPr>
        <w:spacing w:before="80" w:line="247" w:lineRule="auto"/>
        <w:ind w:left="852" w:right="427"/>
        <w:rPr>
          <w:sz w:val="24"/>
        </w:rPr>
      </w:pPr>
      <w:r>
        <w:rPr>
          <w:sz w:val="24"/>
        </w:rPr>
        <w:lastRenderedPageBreak/>
        <w:t>AASB</w:t>
      </w:r>
      <w:r>
        <w:rPr>
          <w:spacing w:val="-4"/>
          <w:sz w:val="24"/>
        </w:rPr>
        <w:t xml:space="preserve"> </w:t>
      </w:r>
      <w:r>
        <w:rPr>
          <w:sz w:val="24"/>
        </w:rPr>
        <w:t>Chair agrees</w:t>
      </w:r>
      <w:r>
        <w:rPr>
          <w:spacing w:val="-3"/>
          <w:sz w:val="24"/>
        </w:rPr>
        <w:t xml:space="preserve"> </w:t>
      </w:r>
      <w:r>
        <w:rPr>
          <w:sz w:val="24"/>
        </w:rPr>
        <w:t>to</w:t>
      </w:r>
      <w:r>
        <w:rPr>
          <w:spacing w:val="-2"/>
          <w:sz w:val="24"/>
        </w:rPr>
        <w:t xml:space="preserve"> </w:t>
      </w:r>
      <w:r>
        <w:rPr>
          <w:sz w:val="24"/>
        </w:rPr>
        <w:t>those</w:t>
      </w:r>
      <w:r>
        <w:rPr>
          <w:spacing w:val="-3"/>
          <w:sz w:val="24"/>
        </w:rPr>
        <w:t xml:space="preserve"> </w:t>
      </w:r>
      <w:r>
        <w:rPr>
          <w:sz w:val="24"/>
        </w:rPr>
        <w:t>submissions</w:t>
      </w:r>
      <w:r>
        <w:rPr>
          <w:spacing w:val="-3"/>
          <w:sz w:val="24"/>
        </w:rPr>
        <w:t xml:space="preserve"> </w:t>
      </w:r>
      <w:r>
        <w:rPr>
          <w:sz w:val="24"/>
        </w:rPr>
        <w:t>being</w:t>
      </w:r>
      <w:r>
        <w:rPr>
          <w:spacing w:val="-2"/>
          <w:sz w:val="24"/>
        </w:rPr>
        <w:t xml:space="preserve"> </w:t>
      </w:r>
      <w:r>
        <w:rPr>
          <w:sz w:val="24"/>
        </w:rPr>
        <w:t>treated</w:t>
      </w:r>
      <w:r>
        <w:rPr>
          <w:spacing w:val="-2"/>
          <w:sz w:val="24"/>
        </w:rPr>
        <w:t xml:space="preserve"> </w:t>
      </w:r>
      <w:r>
        <w:rPr>
          <w:sz w:val="24"/>
        </w:rPr>
        <w:t>as</w:t>
      </w:r>
      <w:r>
        <w:rPr>
          <w:spacing w:val="-4"/>
          <w:sz w:val="24"/>
        </w:rPr>
        <w:t xml:space="preserve"> </w:t>
      </w:r>
      <w:r>
        <w:rPr>
          <w:sz w:val="24"/>
        </w:rPr>
        <w:t>confidential.</w:t>
      </w:r>
      <w:r>
        <w:rPr>
          <w:spacing w:val="40"/>
          <w:sz w:val="24"/>
        </w:rPr>
        <w:t xml:space="preserve"> </w:t>
      </w:r>
      <w:r>
        <w:rPr>
          <w:sz w:val="24"/>
        </w:rPr>
        <w:t>The</w:t>
      </w:r>
      <w:r>
        <w:rPr>
          <w:spacing w:val="-8"/>
          <w:sz w:val="24"/>
        </w:rPr>
        <w:t xml:space="preserve"> </w:t>
      </w:r>
      <w:r>
        <w:rPr>
          <w:sz w:val="24"/>
        </w:rPr>
        <w:t>latter</w:t>
      </w:r>
      <w:r>
        <w:rPr>
          <w:spacing w:val="-1"/>
          <w:sz w:val="24"/>
        </w:rPr>
        <w:t xml:space="preserve"> </w:t>
      </w:r>
      <w:r>
        <w:rPr>
          <w:sz w:val="24"/>
        </w:rPr>
        <w:t>will only occur if the public interest warrants such treatment.</w:t>
      </w:r>
    </w:p>
    <w:p w14:paraId="1E80581B" w14:textId="77777777" w:rsidR="00AA4A02" w:rsidRDefault="00960F31">
      <w:pPr>
        <w:pStyle w:val="ListParagraph"/>
        <w:numPr>
          <w:ilvl w:val="2"/>
          <w:numId w:val="47"/>
        </w:numPr>
        <w:tabs>
          <w:tab w:val="left" w:pos="852"/>
        </w:tabs>
        <w:spacing w:before="224" w:line="247" w:lineRule="auto"/>
        <w:ind w:right="672"/>
        <w:rPr>
          <w:sz w:val="24"/>
        </w:rPr>
      </w:pPr>
      <w:r>
        <w:rPr>
          <w:sz w:val="24"/>
        </w:rPr>
        <w:t>AASB</w:t>
      </w:r>
      <w:r>
        <w:rPr>
          <w:spacing w:val="-4"/>
          <w:sz w:val="24"/>
        </w:rPr>
        <w:t xml:space="preserve"> </w:t>
      </w:r>
      <w:r>
        <w:rPr>
          <w:sz w:val="24"/>
        </w:rPr>
        <w:t>staff prepare</w:t>
      </w:r>
      <w:r>
        <w:rPr>
          <w:spacing w:val="-2"/>
          <w:sz w:val="24"/>
        </w:rPr>
        <w:t xml:space="preserve"> </w:t>
      </w:r>
      <w:r>
        <w:rPr>
          <w:sz w:val="24"/>
        </w:rPr>
        <w:t>an</w:t>
      </w:r>
      <w:r>
        <w:rPr>
          <w:spacing w:val="-7"/>
          <w:sz w:val="24"/>
        </w:rPr>
        <w:t xml:space="preserve"> </w:t>
      </w:r>
      <w:r>
        <w:rPr>
          <w:sz w:val="24"/>
        </w:rPr>
        <w:t>overview</w:t>
      </w:r>
      <w:r>
        <w:rPr>
          <w:spacing w:val="-2"/>
          <w:sz w:val="24"/>
        </w:rPr>
        <w:t xml:space="preserve"> </w:t>
      </w:r>
      <w:r>
        <w:rPr>
          <w:sz w:val="24"/>
        </w:rPr>
        <w:t>of the</w:t>
      </w:r>
      <w:r>
        <w:rPr>
          <w:spacing w:val="-7"/>
          <w:sz w:val="24"/>
        </w:rPr>
        <w:t xml:space="preserve"> </w:t>
      </w:r>
      <w:r>
        <w:rPr>
          <w:sz w:val="24"/>
        </w:rPr>
        <w:t>comments</w:t>
      </w:r>
      <w:r>
        <w:rPr>
          <w:spacing w:val="-8"/>
          <w:sz w:val="24"/>
        </w:rPr>
        <w:t xml:space="preserve"> </w:t>
      </w:r>
      <w:r>
        <w:rPr>
          <w:sz w:val="24"/>
        </w:rPr>
        <w:t>received, major</w:t>
      </w:r>
      <w:r>
        <w:rPr>
          <w:spacing w:val="-5"/>
          <w:sz w:val="24"/>
        </w:rPr>
        <w:t xml:space="preserve"> </w:t>
      </w:r>
      <w:r>
        <w:rPr>
          <w:sz w:val="24"/>
        </w:rPr>
        <w:t>points</w:t>
      </w:r>
      <w:r>
        <w:rPr>
          <w:spacing w:val="-4"/>
          <w:sz w:val="24"/>
        </w:rPr>
        <w:t xml:space="preserve"> </w:t>
      </w:r>
      <w:r>
        <w:rPr>
          <w:sz w:val="24"/>
        </w:rPr>
        <w:t>raised,</w:t>
      </w:r>
      <w:r>
        <w:rPr>
          <w:spacing w:val="-4"/>
          <w:sz w:val="24"/>
        </w:rPr>
        <w:t xml:space="preserve"> </w:t>
      </w:r>
      <w:r>
        <w:rPr>
          <w:sz w:val="24"/>
        </w:rPr>
        <w:t>and recommendations as to whether the project should continue.</w:t>
      </w:r>
    </w:p>
    <w:p w14:paraId="1E80581C" w14:textId="77777777" w:rsidR="00AA4A02" w:rsidRDefault="00960F31">
      <w:pPr>
        <w:pStyle w:val="ListParagraph"/>
        <w:numPr>
          <w:ilvl w:val="2"/>
          <w:numId w:val="47"/>
        </w:numPr>
        <w:tabs>
          <w:tab w:val="left" w:pos="852"/>
        </w:tabs>
        <w:spacing w:before="223" w:line="247" w:lineRule="auto"/>
        <w:ind w:right="470"/>
        <w:rPr>
          <w:sz w:val="24"/>
        </w:rPr>
      </w:pPr>
      <w:r>
        <w:rPr>
          <w:sz w:val="24"/>
        </w:rPr>
        <w:t>Results</w:t>
      </w:r>
      <w:r>
        <w:rPr>
          <w:spacing w:val="-5"/>
          <w:sz w:val="24"/>
        </w:rPr>
        <w:t xml:space="preserve"> </w:t>
      </w:r>
      <w:r>
        <w:rPr>
          <w:sz w:val="24"/>
        </w:rPr>
        <w:t>of</w:t>
      </w:r>
      <w:r>
        <w:rPr>
          <w:spacing w:val="-1"/>
          <w:sz w:val="24"/>
        </w:rPr>
        <w:t xml:space="preserve"> </w:t>
      </w:r>
      <w:r>
        <w:rPr>
          <w:sz w:val="24"/>
        </w:rPr>
        <w:t>fieldwork</w:t>
      </w:r>
      <w:r>
        <w:rPr>
          <w:spacing w:val="-2"/>
          <w:sz w:val="24"/>
        </w:rPr>
        <w:t xml:space="preserve"> </w:t>
      </w:r>
      <w:r>
        <w:rPr>
          <w:sz w:val="24"/>
        </w:rPr>
        <w:t>undertaken</w:t>
      </w:r>
      <w:r>
        <w:rPr>
          <w:spacing w:val="-3"/>
          <w:sz w:val="24"/>
        </w:rPr>
        <w:t xml:space="preserve"> </w:t>
      </w:r>
      <w:r>
        <w:rPr>
          <w:sz w:val="24"/>
        </w:rPr>
        <w:t>are</w:t>
      </w:r>
      <w:r>
        <w:rPr>
          <w:spacing w:val="-4"/>
          <w:sz w:val="24"/>
        </w:rPr>
        <w:t xml:space="preserve"> </w:t>
      </w:r>
      <w:r>
        <w:rPr>
          <w:sz w:val="24"/>
        </w:rPr>
        <w:t>provided</w:t>
      </w:r>
      <w:r>
        <w:rPr>
          <w:spacing w:val="-3"/>
          <w:sz w:val="24"/>
        </w:rPr>
        <w:t xml:space="preserve"> </w:t>
      </w:r>
      <w:r>
        <w:rPr>
          <w:sz w:val="24"/>
        </w:rPr>
        <w:t>to</w:t>
      </w:r>
      <w:r>
        <w:rPr>
          <w:spacing w:val="-7"/>
          <w:sz w:val="24"/>
        </w:rPr>
        <w:t xml:space="preserve"> </w:t>
      </w:r>
      <w:r>
        <w:rPr>
          <w:sz w:val="24"/>
        </w:rPr>
        <w:t>the</w:t>
      </w:r>
      <w:r>
        <w:rPr>
          <w:spacing w:val="-4"/>
          <w:sz w:val="24"/>
        </w:rPr>
        <w:t xml:space="preserve"> </w:t>
      </w:r>
      <w:r>
        <w:rPr>
          <w:sz w:val="24"/>
        </w:rPr>
        <w:t>AASB. Fieldwork</w:t>
      </w:r>
      <w:r>
        <w:rPr>
          <w:spacing w:val="-7"/>
          <w:sz w:val="24"/>
        </w:rPr>
        <w:t xml:space="preserve"> </w:t>
      </w:r>
      <w:r>
        <w:rPr>
          <w:sz w:val="24"/>
        </w:rPr>
        <w:t>includes</w:t>
      </w:r>
      <w:r>
        <w:rPr>
          <w:spacing w:val="-5"/>
          <w:sz w:val="24"/>
        </w:rPr>
        <w:t xml:space="preserve"> </w:t>
      </w:r>
      <w:r>
        <w:rPr>
          <w:sz w:val="24"/>
        </w:rPr>
        <w:t>asking users and preparers to:</w:t>
      </w:r>
    </w:p>
    <w:p w14:paraId="1E80581D" w14:textId="77777777" w:rsidR="00AA4A02" w:rsidRDefault="00960F31">
      <w:pPr>
        <w:pStyle w:val="ListParagraph"/>
        <w:numPr>
          <w:ilvl w:val="3"/>
          <w:numId w:val="47"/>
        </w:numPr>
        <w:tabs>
          <w:tab w:val="left" w:pos="1557"/>
        </w:tabs>
        <w:spacing w:before="229"/>
        <w:ind w:left="1557" w:hanging="705"/>
        <w:rPr>
          <w:sz w:val="24"/>
        </w:rPr>
      </w:pPr>
      <w:r>
        <w:rPr>
          <w:sz w:val="24"/>
        </w:rPr>
        <w:t>provide specific</w:t>
      </w:r>
      <w:r>
        <w:rPr>
          <w:spacing w:val="1"/>
          <w:sz w:val="24"/>
        </w:rPr>
        <w:t xml:space="preserve"> </w:t>
      </w:r>
      <w:r>
        <w:rPr>
          <w:sz w:val="24"/>
        </w:rPr>
        <w:t>examples for</w:t>
      </w:r>
      <w:r>
        <w:rPr>
          <w:spacing w:val="-3"/>
          <w:sz w:val="24"/>
        </w:rPr>
        <w:t xml:space="preserve"> </w:t>
      </w:r>
      <w:r>
        <w:rPr>
          <w:sz w:val="24"/>
        </w:rPr>
        <w:t>AASB staff</w:t>
      </w:r>
      <w:r>
        <w:rPr>
          <w:spacing w:val="-2"/>
          <w:sz w:val="24"/>
        </w:rPr>
        <w:t xml:space="preserve"> </w:t>
      </w:r>
      <w:r>
        <w:rPr>
          <w:sz w:val="24"/>
        </w:rPr>
        <w:t>to apply</w:t>
      </w:r>
      <w:r>
        <w:rPr>
          <w:spacing w:val="-3"/>
          <w:sz w:val="24"/>
        </w:rPr>
        <w:t xml:space="preserve"> </w:t>
      </w:r>
      <w:r>
        <w:rPr>
          <w:sz w:val="24"/>
        </w:rPr>
        <w:t>the</w:t>
      </w:r>
      <w:r>
        <w:rPr>
          <w:spacing w:val="1"/>
          <w:sz w:val="24"/>
        </w:rPr>
        <w:t xml:space="preserve"> </w:t>
      </w:r>
      <w:r>
        <w:rPr>
          <w:sz w:val="24"/>
        </w:rPr>
        <w:t xml:space="preserve">proposals </w:t>
      </w:r>
      <w:r>
        <w:rPr>
          <w:spacing w:val="-5"/>
          <w:sz w:val="24"/>
        </w:rPr>
        <w:t>to;</w:t>
      </w:r>
    </w:p>
    <w:p w14:paraId="1E80581E" w14:textId="77777777" w:rsidR="00AA4A02" w:rsidRDefault="00960F31">
      <w:pPr>
        <w:pStyle w:val="ListParagraph"/>
        <w:numPr>
          <w:ilvl w:val="3"/>
          <w:numId w:val="47"/>
        </w:numPr>
        <w:tabs>
          <w:tab w:val="left" w:pos="1557"/>
        </w:tabs>
        <w:spacing w:before="242"/>
        <w:ind w:left="1557" w:hanging="705"/>
        <w:rPr>
          <w:sz w:val="24"/>
        </w:rPr>
      </w:pPr>
      <w:r>
        <w:rPr>
          <w:sz w:val="24"/>
        </w:rPr>
        <w:t>complete</w:t>
      </w:r>
      <w:r>
        <w:rPr>
          <w:spacing w:val="-2"/>
          <w:sz w:val="24"/>
        </w:rPr>
        <w:t xml:space="preserve"> </w:t>
      </w:r>
      <w:r>
        <w:rPr>
          <w:sz w:val="24"/>
        </w:rPr>
        <w:t>surveys;</w:t>
      </w:r>
      <w:r>
        <w:rPr>
          <w:spacing w:val="-1"/>
          <w:sz w:val="24"/>
        </w:rPr>
        <w:t xml:space="preserve"> </w:t>
      </w:r>
      <w:r>
        <w:rPr>
          <w:spacing w:val="-5"/>
          <w:sz w:val="24"/>
        </w:rPr>
        <w:t>and</w:t>
      </w:r>
    </w:p>
    <w:p w14:paraId="1E80581F" w14:textId="77777777" w:rsidR="00AA4A02" w:rsidRDefault="00960F31">
      <w:pPr>
        <w:pStyle w:val="ListParagraph"/>
        <w:numPr>
          <w:ilvl w:val="3"/>
          <w:numId w:val="47"/>
        </w:numPr>
        <w:tabs>
          <w:tab w:val="left" w:pos="1557"/>
        </w:tabs>
        <w:spacing w:before="238"/>
        <w:ind w:left="1557" w:hanging="705"/>
        <w:rPr>
          <w:sz w:val="24"/>
        </w:rPr>
      </w:pPr>
      <w:r>
        <w:rPr>
          <w:sz w:val="24"/>
        </w:rPr>
        <w:t>apply</w:t>
      </w:r>
      <w:r>
        <w:rPr>
          <w:spacing w:val="2"/>
          <w:sz w:val="24"/>
        </w:rPr>
        <w:t xml:space="preserve"> </w:t>
      </w:r>
      <w:r>
        <w:rPr>
          <w:spacing w:val="-2"/>
          <w:sz w:val="24"/>
        </w:rPr>
        <w:t>proposals.</w:t>
      </w:r>
    </w:p>
    <w:p w14:paraId="1E805820" w14:textId="77777777" w:rsidR="00AA4A02" w:rsidRDefault="00960F31">
      <w:pPr>
        <w:pStyle w:val="ListParagraph"/>
        <w:numPr>
          <w:ilvl w:val="2"/>
          <w:numId w:val="47"/>
        </w:numPr>
        <w:tabs>
          <w:tab w:val="left" w:pos="852"/>
        </w:tabs>
        <w:spacing w:before="238"/>
        <w:ind w:right="776"/>
        <w:rPr>
          <w:sz w:val="24"/>
        </w:rPr>
      </w:pPr>
      <w:r>
        <w:rPr>
          <w:sz w:val="24"/>
        </w:rPr>
        <w:t>When the AASB has reached a general agreement on the technical matters in the project and considered the likely impact of the pronouncement, including the Regulation</w:t>
      </w:r>
      <w:r>
        <w:rPr>
          <w:spacing w:val="-3"/>
          <w:sz w:val="24"/>
        </w:rPr>
        <w:t xml:space="preserve"> </w:t>
      </w:r>
      <w:r>
        <w:rPr>
          <w:sz w:val="24"/>
        </w:rPr>
        <w:t>Impact</w:t>
      </w:r>
      <w:r>
        <w:rPr>
          <w:spacing w:val="-2"/>
          <w:sz w:val="24"/>
        </w:rPr>
        <w:t xml:space="preserve"> </w:t>
      </w:r>
      <w:r>
        <w:rPr>
          <w:sz w:val="24"/>
        </w:rPr>
        <w:t>Statement</w:t>
      </w:r>
      <w:r>
        <w:rPr>
          <w:spacing w:val="-2"/>
          <w:sz w:val="24"/>
        </w:rPr>
        <w:t xml:space="preserve"> </w:t>
      </w:r>
      <w:r>
        <w:rPr>
          <w:sz w:val="24"/>
        </w:rPr>
        <w:t>or</w:t>
      </w:r>
      <w:r>
        <w:rPr>
          <w:spacing w:val="-1"/>
          <w:sz w:val="24"/>
        </w:rPr>
        <w:t xml:space="preserve"> </w:t>
      </w:r>
      <w:r>
        <w:rPr>
          <w:sz w:val="24"/>
        </w:rPr>
        <w:t>similar</w:t>
      </w:r>
      <w:r>
        <w:rPr>
          <w:spacing w:val="-6"/>
          <w:sz w:val="24"/>
        </w:rPr>
        <w:t xml:space="preserve"> </w:t>
      </w:r>
      <w:r>
        <w:rPr>
          <w:sz w:val="24"/>
        </w:rPr>
        <w:t>document</w:t>
      </w:r>
      <w:r>
        <w:rPr>
          <w:spacing w:val="-7"/>
          <w:sz w:val="24"/>
        </w:rPr>
        <w:t xml:space="preserve"> </w:t>
      </w:r>
      <w:r>
        <w:rPr>
          <w:sz w:val="24"/>
        </w:rPr>
        <w:t>(see</w:t>
      </w:r>
      <w:r>
        <w:rPr>
          <w:spacing w:val="-4"/>
          <w:sz w:val="24"/>
        </w:rPr>
        <w:t xml:space="preserve"> </w:t>
      </w:r>
      <w:r>
        <w:rPr>
          <w:sz w:val="24"/>
        </w:rPr>
        <w:t>paragraph</w:t>
      </w:r>
      <w:r>
        <w:rPr>
          <w:spacing w:val="-2"/>
          <w:sz w:val="24"/>
        </w:rPr>
        <w:t xml:space="preserve"> </w:t>
      </w:r>
      <w:r>
        <w:rPr>
          <w:sz w:val="24"/>
        </w:rPr>
        <w:t>7.8.5),</w:t>
      </w:r>
      <w:r>
        <w:rPr>
          <w:spacing w:val="-1"/>
          <w:sz w:val="24"/>
        </w:rPr>
        <w:t xml:space="preserve"> </w:t>
      </w:r>
      <w:r>
        <w:rPr>
          <w:sz w:val="24"/>
        </w:rPr>
        <w:t>the</w:t>
      </w:r>
      <w:r>
        <w:rPr>
          <w:spacing w:val="-3"/>
          <w:sz w:val="24"/>
        </w:rPr>
        <w:t xml:space="preserve"> </w:t>
      </w:r>
      <w:r>
        <w:rPr>
          <w:sz w:val="24"/>
        </w:rPr>
        <w:t>AASB staff present a paper to the AASB:</w:t>
      </w:r>
    </w:p>
    <w:p w14:paraId="1E805821" w14:textId="77777777" w:rsidR="00AA4A02" w:rsidRDefault="00960F31">
      <w:pPr>
        <w:pStyle w:val="ListParagraph"/>
        <w:numPr>
          <w:ilvl w:val="3"/>
          <w:numId w:val="47"/>
        </w:numPr>
        <w:tabs>
          <w:tab w:val="left" w:pos="1557"/>
        </w:tabs>
        <w:spacing w:before="245"/>
        <w:ind w:left="1557" w:hanging="705"/>
        <w:rPr>
          <w:sz w:val="24"/>
        </w:rPr>
      </w:pPr>
      <w:r>
        <w:rPr>
          <w:sz w:val="24"/>
        </w:rPr>
        <w:t>summarising</w:t>
      </w:r>
      <w:r>
        <w:rPr>
          <w:spacing w:val="-1"/>
          <w:sz w:val="24"/>
        </w:rPr>
        <w:t xml:space="preserve"> </w:t>
      </w:r>
      <w:r>
        <w:rPr>
          <w:sz w:val="24"/>
        </w:rPr>
        <w:t>the steps</w:t>
      </w:r>
      <w:r>
        <w:rPr>
          <w:spacing w:val="-3"/>
          <w:sz w:val="24"/>
        </w:rPr>
        <w:t xml:space="preserve"> </w:t>
      </w:r>
      <w:r>
        <w:rPr>
          <w:sz w:val="24"/>
        </w:rPr>
        <w:t>taken by the</w:t>
      </w:r>
      <w:r>
        <w:rPr>
          <w:spacing w:val="1"/>
          <w:sz w:val="24"/>
        </w:rPr>
        <w:t xml:space="preserve"> </w:t>
      </w:r>
      <w:r>
        <w:rPr>
          <w:sz w:val="24"/>
        </w:rPr>
        <w:t>AASB</w:t>
      </w:r>
      <w:r>
        <w:rPr>
          <w:spacing w:val="-6"/>
          <w:sz w:val="24"/>
        </w:rPr>
        <w:t xml:space="preserve"> </w:t>
      </w:r>
      <w:r>
        <w:rPr>
          <w:sz w:val="24"/>
        </w:rPr>
        <w:t>in developing</w:t>
      </w:r>
      <w:r>
        <w:rPr>
          <w:spacing w:val="1"/>
          <w:sz w:val="24"/>
        </w:rPr>
        <w:t xml:space="preserve"> </w:t>
      </w:r>
      <w:r>
        <w:rPr>
          <w:sz w:val="24"/>
        </w:rPr>
        <w:t>the</w:t>
      </w:r>
      <w:r>
        <w:rPr>
          <w:spacing w:val="1"/>
          <w:sz w:val="24"/>
        </w:rPr>
        <w:t xml:space="preserve"> </w:t>
      </w:r>
      <w:r>
        <w:rPr>
          <w:spacing w:val="-2"/>
          <w:sz w:val="24"/>
        </w:rPr>
        <w:t>pronouncement;</w:t>
      </w:r>
    </w:p>
    <w:p w14:paraId="1E805822" w14:textId="77777777" w:rsidR="00AA4A02" w:rsidRDefault="00960F31">
      <w:pPr>
        <w:pStyle w:val="ListParagraph"/>
        <w:numPr>
          <w:ilvl w:val="3"/>
          <w:numId w:val="47"/>
        </w:numPr>
        <w:tabs>
          <w:tab w:val="left" w:pos="1558"/>
        </w:tabs>
        <w:spacing w:before="233" w:line="247" w:lineRule="auto"/>
        <w:ind w:right="1228"/>
        <w:rPr>
          <w:sz w:val="24"/>
        </w:rPr>
      </w:pPr>
      <w:r>
        <w:rPr>
          <w:sz w:val="24"/>
        </w:rPr>
        <w:t>setting</w:t>
      </w:r>
      <w:r>
        <w:rPr>
          <w:spacing w:val="-2"/>
          <w:sz w:val="24"/>
        </w:rPr>
        <w:t xml:space="preserve"> </w:t>
      </w:r>
      <w:r>
        <w:rPr>
          <w:sz w:val="24"/>
        </w:rPr>
        <w:t>out</w:t>
      </w:r>
      <w:r>
        <w:rPr>
          <w:spacing w:val="-3"/>
          <w:sz w:val="24"/>
        </w:rPr>
        <w:t xml:space="preserve"> </w:t>
      </w:r>
      <w:r>
        <w:rPr>
          <w:sz w:val="24"/>
        </w:rPr>
        <w:t>how</w:t>
      </w:r>
      <w:r>
        <w:rPr>
          <w:spacing w:val="-3"/>
          <w:sz w:val="24"/>
        </w:rPr>
        <w:t xml:space="preserve"> </w:t>
      </w:r>
      <w:r>
        <w:rPr>
          <w:sz w:val="24"/>
        </w:rPr>
        <w:t>the</w:t>
      </w:r>
      <w:r>
        <w:rPr>
          <w:spacing w:val="-7"/>
          <w:sz w:val="24"/>
        </w:rPr>
        <w:t xml:space="preserve"> </w:t>
      </w:r>
      <w:r>
        <w:rPr>
          <w:sz w:val="24"/>
        </w:rPr>
        <w:t>‘comply</w:t>
      </w:r>
      <w:r>
        <w:rPr>
          <w:spacing w:val="-6"/>
          <w:sz w:val="24"/>
        </w:rPr>
        <w:t xml:space="preserve"> </w:t>
      </w:r>
      <w:r>
        <w:rPr>
          <w:sz w:val="24"/>
        </w:rPr>
        <w:t>or</w:t>
      </w:r>
      <w:r>
        <w:rPr>
          <w:spacing w:val="-1"/>
          <w:sz w:val="24"/>
        </w:rPr>
        <w:t xml:space="preserve"> </w:t>
      </w:r>
      <w:r>
        <w:rPr>
          <w:sz w:val="24"/>
        </w:rPr>
        <w:t>explain’</w:t>
      </w:r>
      <w:r>
        <w:rPr>
          <w:spacing w:val="-1"/>
          <w:sz w:val="24"/>
        </w:rPr>
        <w:t xml:space="preserve"> </w:t>
      </w:r>
      <w:r>
        <w:rPr>
          <w:sz w:val="24"/>
        </w:rPr>
        <w:t>due</w:t>
      </w:r>
      <w:r>
        <w:rPr>
          <w:spacing w:val="-4"/>
          <w:sz w:val="24"/>
        </w:rPr>
        <w:t xml:space="preserve"> </w:t>
      </w:r>
      <w:r>
        <w:rPr>
          <w:sz w:val="24"/>
        </w:rPr>
        <w:t>process</w:t>
      </w:r>
      <w:r>
        <w:rPr>
          <w:spacing w:val="-4"/>
          <w:sz w:val="24"/>
        </w:rPr>
        <w:t xml:space="preserve"> </w:t>
      </w:r>
      <w:r>
        <w:rPr>
          <w:sz w:val="24"/>
        </w:rPr>
        <w:t>elements</w:t>
      </w:r>
      <w:r>
        <w:rPr>
          <w:spacing w:val="-4"/>
          <w:sz w:val="24"/>
        </w:rPr>
        <w:t xml:space="preserve"> </w:t>
      </w:r>
      <w:r>
        <w:rPr>
          <w:sz w:val="24"/>
        </w:rPr>
        <w:t>set</w:t>
      </w:r>
      <w:r>
        <w:rPr>
          <w:spacing w:val="-3"/>
          <w:sz w:val="24"/>
        </w:rPr>
        <w:t xml:space="preserve"> </w:t>
      </w:r>
      <w:r>
        <w:rPr>
          <w:sz w:val="24"/>
        </w:rPr>
        <w:t>out</w:t>
      </w:r>
      <w:r>
        <w:rPr>
          <w:spacing w:val="-3"/>
          <w:sz w:val="24"/>
        </w:rPr>
        <w:t xml:space="preserve"> </w:t>
      </w:r>
      <w:r>
        <w:rPr>
          <w:sz w:val="24"/>
        </w:rPr>
        <w:t>in paragraph 6.6 have been addressed;</w:t>
      </w:r>
    </w:p>
    <w:p w14:paraId="1E805823" w14:textId="77777777" w:rsidR="00AA4A02" w:rsidRDefault="00960F31">
      <w:pPr>
        <w:pStyle w:val="ListParagraph"/>
        <w:numPr>
          <w:ilvl w:val="3"/>
          <w:numId w:val="47"/>
        </w:numPr>
        <w:tabs>
          <w:tab w:val="left" w:pos="1556"/>
          <w:tab w:val="left" w:pos="1558"/>
        </w:tabs>
        <w:spacing w:before="224" w:line="242" w:lineRule="auto"/>
        <w:ind w:right="558"/>
        <w:jc w:val="both"/>
        <w:rPr>
          <w:sz w:val="24"/>
        </w:rPr>
      </w:pPr>
      <w:r>
        <w:rPr>
          <w:sz w:val="24"/>
        </w:rPr>
        <w:t>assessing</w:t>
      </w:r>
      <w:r>
        <w:rPr>
          <w:spacing w:val="-1"/>
          <w:sz w:val="24"/>
        </w:rPr>
        <w:t xml:space="preserve"> </w:t>
      </w:r>
      <w:r>
        <w:rPr>
          <w:sz w:val="24"/>
        </w:rPr>
        <w:t>whether the</w:t>
      </w:r>
      <w:r>
        <w:rPr>
          <w:spacing w:val="-2"/>
          <w:sz w:val="24"/>
        </w:rPr>
        <w:t xml:space="preserve"> </w:t>
      </w:r>
      <w:r>
        <w:rPr>
          <w:sz w:val="24"/>
        </w:rPr>
        <w:t>proposals</w:t>
      </w:r>
      <w:r>
        <w:rPr>
          <w:spacing w:val="-3"/>
          <w:sz w:val="24"/>
        </w:rPr>
        <w:t xml:space="preserve"> </w:t>
      </w:r>
      <w:r>
        <w:rPr>
          <w:sz w:val="24"/>
        </w:rPr>
        <w:t>can</w:t>
      </w:r>
      <w:r>
        <w:rPr>
          <w:spacing w:val="-2"/>
          <w:sz w:val="24"/>
        </w:rPr>
        <w:t xml:space="preserve"> </w:t>
      </w:r>
      <w:r>
        <w:rPr>
          <w:sz w:val="24"/>
        </w:rPr>
        <w:t>be</w:t>
      </w:r>
      <w:r>
        <w:rPr>
          <w:spacing w:val="-3"/>
          <w:sz w:val="24"/>
        </w:rPr>
        <w:t xml:space="preserve"> </w:t>
      </w:r>
      <w:r>
        <w:rPr>
          <w:sz w:val="24"/>
        </w:rPr>
        <w:t>finalised</w:t>
      </w:r>
      <w:r>
        <w:rPr>
          <w:spacing w:val="-1"/>
          <w:sz w:val="24"/>
        </w:rPr>
        <w:t xml:space="preserve"> </w:t>
      </w:r>
      <w:r>
        <w:rPr>
          <w:sz w:val="24"/>
        </w:rPr>
        <w:t>or</w:t>
      </w:r>
      <w:r>
        <w:rPr>
          <w:spacing w:val="-5"/>
          <w:sz w:val="24"/>
        </w:rPr>
        <w:t xml:space="preserve"> </w:t>
      </w:r>
      <w:r>
        <w:rPr>
          <w:sz w:val="24"/>
        </w:rPr>
        <w:t>whether they</w:t>
      </w:r>
      <w:r>
        <w:rPr>
          <w:spacing w:val="-2"/>
          <w:sz w:val="24"/>
        </w:rPr>
        <w:t xml:space="preserve"> </w:t>
      </w:r>
      <w:r>
        <w:rPr>
          <w:sz w:val="24"/>
        </w:rPr>
        <w:t>should</w:t>
      </w:r>
      <w:r>
        <w:rPr>
          <w:spacing w:val="-6"/>
          <w:sz w:val="24"/>
        </w:rPr>
        <w:t xml:space="preserve"> </w:t>
      </w:r>
      <w:r>
        <w:rPr>
          <w:sz w:val="24"/>
        </w:rPr>
        <w:t>be</w:t>
      </w:r>
      <w:r>
        <w:rPr>
          <w:spacing w:val="-3"/>
          <w:sz w:val="24"/>
        </w:rPr>
        <w:t xml:space="preserve"> </w:t>
      </w:r>
      <w:r>
        <w:rPr>
          <w:sz w:val="24"/>
        </w:rPr>
        <w:t>re-exposed either fully through a</w:t>
      </w:r>
      <w:r>
        <w:rPr>
          <w:spacing w:val="-2"/>
          <w:sz w:val="24"/>
        </w:rPr>
        <w:t xml:space="preserve"> </w:t>
      </w:r>
      <w:r>
        <w:rPr>
          <w:sz w:val="24"/>
        </w:rPr>
        <w:t>new consultation process (see paragraph 7.7.1) or partially</w:t>
      </w:r>
      <w:r>
        <w:rPr>
          <w:spacing w:val="-1"/>
          <w:sz w:val="24"/>
        </w:rPr>
        <w:t xml:space="preserve"> </w:t>
      </w:r>
      <w:r>
        <w:rPr>
          <w:sz w:val="24"/>
        </w:rPr>
        <w:t>through</w:t>
      </w:r>
      <w:r>
        <w:rPr>
          <w:spacing w:val="-1"/>
          <w:sz w:val="24"/>
        </w:rPr>
        <w:t xml:space="preserve"> </w:t>
      </w:r>
      <w:r>
        <w:rPr>
          <w:sz w:val="24"/>
        </w:rPr>
        <w:t>a “fatal</w:t>
      </w:r>
      <w:r>
        <w:rPr>
          <w:spacing w:val="-1"/>
          <w:sz w:val="24"/>
        </w:rPr>
        <w:t xml:space="preserve"> </w:t>
      </w:r>
      <w:r>
        <w:rPr>
          <w:sz w:val="24"/>
        </w:rPr>
        <w:t>flaw” limited exposure (see paragraph 7.6.7); and</w:t>
      </w:r>
    </w:p>
    <w:p w14:paraId="1E805824" w14:textId="77777777" w:rsidR="00AA4A02" w:rsidRDefault="00960F31">
      <w:pPr>
        <w:pStyle w:val="ListParagraph"/>
        <w:numPr>
          <w:ilvl w:val="3"/>
          <w:numId w:val="47"/>
        </w:numPr>
        <w:tabs>
          <w:tab w:val="left" w:pos="1556"/>
          <w:tab w:val="left" w:pos="1558"/>
        </w:tabs>
        <w:spacing w:before="234" w:line="242" w:lineRule="auto"/>
        <w:ind w:right="475"/>
        <w:jc w:val="both"/>
        <w:rPr>
          <w:sz w:val="24"/>
        </w:rPr>
      </w:pPr>
      <w:r>
        <w:rPr>
          <w:sz w:val="24"/>
        </w:rPr>
        <w:t>recommending</w:t>
      </w:r>
      <w:r>
        <w:rPr>
          <w:spacing w:val="-2"/>
          <w:sz w:val="24"/>
        </w:rPr>
        <w:t xml:space="preserve"> </w:t>
      </w:r>
      <w:r>
        <w:rPr>
          <w:sz w:val="24"/>
        </w:rPr>
        <w:t>whether</w:t>
      </w:r>
      <w:r>
        <w:rPr>
          <w:spacing w:val="-2"/>
          <w:sz w:val="24"/>
        </w:rPr>
        <w:t xml:space="preserve"> </w:t>
      </w:r>
      <w:r>
        <w:rPr>
          <w:sz w:val="24"/>
        </w:rPr>
        <w:t>the</w:t>
      </w:r>
      <w:r>
        <w:rPr>
          <w:spacing w:val="-8"/>
          <w:sz w:val="24"/>
        </w:rPr>
        <w:t xml:space="preserve"> </w:t>
      </w:r>
      <w:r>
        <w:rPr>
          <w:sz w:val="24"/>
        </w:rPr>
        <w:t>pronouncement</w:t>
      </w:r>
      <w:r>
        <w:rPr>
          <w:spacing w:val="-3"/>
          <w:sz w:val="24"/>
        </w:rPr>
        <w:t xml:space="preserve"> </w:t>
      </w:r>
      <w:r>
        <w:rPr>
          <w:sz w:val="24"/>
        </w:rPr>
        <w:t>should</w:t>
      </w:r>
      <w:r>
        <w:rPr>
          <w:spacing w:val="-7"/>
          <w:sz w:val="24"/>
        </w:rPr>
        <w:t xml:space="preserve"> </w:t>
      </w:r>
      <w:r>
        <w:rPr>
          <w:sz w:val="24"/>
        </w:rPr>
        <w:t>be</w:t>
      </w:r>
      <w:r>
        <w:rPr>
          <w:spacing w:val="-4"/>
          <w:sz w:val="24"/>
        </w:rPr>
        <w:t xml:space="preserve"> </w:t>
      </w:r>
      <w:r>
        <w:rPr>
          <w:sz w:val="24"/>
        </w:rPr>
        <w:t>issued</w:t>
      </w:r>
      <w:r>
        <w:rPr>
          <w:spacing w:val="-4"/>
          <w:sz w:val="24"/>
        </w:rPr>
        <w:t xml:space="preserve"> </w:t>
      </w:r>
      <w:r>
        <w:rPr>
          <w:sz w:val="24"/>
        </w:rPr>
        <w:t>under</w:t>
      </w:r>
      <w:r>
        <w:rPr>
          <w:spacing w:val="-2"/>
          <w:sz w:val="24"/>
        </w:rPr>
        <w:t xml:space="preserve"> </w:t>
      </w:r>
      <w:r>
        <w:rPr>
          <w:sz w:val="24"/>
        </w:rPr>
        <w:t>section</w:t>
      </w:r>
      <w:r>
        <w:rPr>
          <w:spacing w:val="-3"/>
          <w:sz w:val="24"/>
        </w:rPr>
        <w:t xml:space="preserve"> </w:t>
      </w:r>
      <w:r>
        <w:rPr>
          <w:sz w:val="24"/>
        </w:rPr>
        <w:t>334 of the Corporations Act or otherwise.</w:t>
      </w:r>
    </w:p>
    <w:p w14:paraId="1E805825" w14:textId="77777777" w:rsidR="00AA4A02" w:rsidRDefault="00960F31">
      <w:pPr>
        <w:pStyle w:val="ListParagraph"/>
        <w:numPr>
          <w:ilvl w:val="2"/>
          <w:numId w:val="47"/>
        </w:numPr>
        <w:tabs>
          <w:tab w:val="left" w:pos="852"/>
        </w:tabs>
        <w:spacing w:before="240"/>
        <w:rPr>
          <w:sz w:val="24"/>
        </w:rPr>
      </w:pPr>
      <w:r>
        <w:rPr>
          <w:sz w:val="24"/>
        </w:rPr>
        <w:t>The</w:t>
      </w:r>
      <w:r>
        <w:rPr>
          <w:spacing w:val="-3"/>
          <w:sz w:val="24"/>
        </w:rPr>
        <w:t xml:space="preserve"> </w:t>
      </w:r>
      <w:r>
        <w:rPr>
          <w:sz w:val="24"/>
        </w:rPr>
        <w:t>AASB</w:t>
      </w:r>
      <w:r>
        <w:rPr>
          <w:spacing w:val="-1"/>
          <w:sz w:val="24"/>
        </w:rPr>
        <w:t xml:space="preserve"> </w:t>
      </w:r>
      <w:r>
        <w:rPr>
          <w:sz w:val="24"/>
        </w:rPr>
        <w:t>determines</w:t>
      </w:r>
      <w:r>
        <w:rPr>
          <w:spacing w:val="-2"/>
          <w:sz w:val="24"/>
        </w:rPr>
        <w:t xml:space="preserve"> </w:t>
      </w:r>
      <w:r>
        <w:rPr>
          <w:sz w:val="24"/>
        </w:rPr>
        <w:t>whether</w:t>
      </w:r>
      <w:r>
        <w:rPr>
          <w:spacing w:val="-3"/>
          <w:sz w:val="24"/>
        </w:rPr>
        <w:t xml:space="preserve"> </w:t>
      </w:r>
      <w:r>
        <w:rPr>
          <w:sz w:val="24"/>
        </w:rPr>
        <w:t>to proceed to a</w:t>
      </w:r>
      <w:r>
        <w:rPr>
          <w:spacing w:val="-1"/>
          <w:sz w:val="24"/>
        </w:rPr>
        <w:t xml:space="preserve"> </w:t>
      </w:r>
      <w:r>
        <w:rPr>
          <w:sz w:val="24"/>
        </w:rPr>
        <w:t>pre-ballot</w:t>
      </w:r>
      <w:r>
        <w:rPr>
          <w:spacing w:val="1"/>
          <w:sz w:val="24"/>
        </w:rPr>
        <w:t xml:space="preserve"> </w:t>
      </w:r>
      <w:r>
        <w:rPr>
          <w:sz w:val="24"/>
        </w:rPr>
        <w:t>draft of</w:t>
      </w:r>
      <w:r>
        <w:rPr>
          <w:spacing w:val="-2"/>
          <w:sz w:val="24"/>
        </w:rPr>
        <w:t xml:space="preserve"> </w:t>
      </w:r>
      <w:r>
        <w:rPr>
          <w:sz w:val="24"/>
        </w:rPr>
        <w:t xml:space="preserve">the </w:t>
      </w:r>
      <w:r>
        <w:rPr>
          <w:spacing w:val="-2"/>
          <w:sz w:val="24"/>
        </w:rPr>
        <w:t>pronouncement.</w:t>
      </w:r>
    </w:p>
    <w:p w14:paraId="1E805826" w14:textId="77777777" w:rsidR="00AA4A02" w:rsidRDefault="00960F31">
      <w:pPr>
        <w:pStyle w:val="Heading9"/>
        <w:spacing w:before="238"/>
      </w:pPr>
      <w:r>
        <w:t>Completion</w:t>
      </w:r>
      <w:r>
        <w:rPr>
          <w:spacing w:val="-2"/>
        </w:rPr>
        <w:t xml:space="preserve"> </w:t>
      </w:r>
      <w:r>
        <w:t>of</w:t>
      </w:r>
      <w:r>
        <w:rPr>
          <w:spacing w:val="-1"/>
        </w:rPr>
        <w:t xml:space="preserve"> </w:t>
      </w:r>
      <w:r>
        <w:rPr>
          <w:spacing w:val="-2"/>
        </w:rPr>
        <w:t>deliberations</w:t>
      </w:r>
    </w:p>
    <w:p w14:paraId="1E805827" w14:textId="77777777" w:rsidR="00AA4A02" w:rsidRDefault="00960F31">
      <w:pPr>
        <w:spacing w:before="242"/>
        <w:ind w:left="852"/>
        <w:rPr>
          <w:b/>
          <w:i/>
          <w:sz w:val="24"/>
        </w:rPr>
      </w:pPr>
      <w:r>
        <w:rPr>
          <w:b/>
          <w:i/>
          <w:spacing w:val="-2"/>
          <w:sz w:val="24"/>
        </w:rPr>
        <w:t>IFRS-based</w:t>
      </w:r>
    </w:p>
    <w:p w14:paraId="1E805828" w14:textId="77777777" w:rsidR="00AA4A02" w:rsidRDefault="00960F31">
      <w:pPr>
        <w:pStyle w:val="ListParagraph"/>
        <w:numPr>
          <w:ilvl w:val="2"/>
          <w:numId w:val="46"/>
        </w:numPr>
        <w:tabs>
          <w:tab w:val="left" w:pos="852"/>
        </w:tabs>
        <w:spacing w:before="233" w:line="242" w:lineRule="auto"/>
        <w:ind w:right="504"/>
        <w:rPr>
          <w:sz w:val="24"/>
        </w:rPr>
      </w:pPr>
      <w:r>
        <w:rPr>
          <w:sz w:val="24"/>
        </w:rPr>
        <w:t>Once an IFRS Standard has been issued by the IASB, the AASB considers the final document and whether there are any further modifications required under either the For-Profit</w:t>
      </w:r>
      <w:r>
        <w:rPr>
          <w:spacing w:val="-6"/>
          <w:sz w:val="24"/>
        </w:rPr>
        <w:t xml:space="preserve"> </w:t>
      </w:r>
      <w:r>
        <w:rPr>
          <w:sz w:val="24"/>
        </w:rPr>
        <w:t>or</w:t>
      </w:r>
      <w:r>
        <w:rPr>
          <w:spacing w:val="-1"/>
          <w:sz w:val="24"/>
        </w:rPr>
        <w:t xml:space="preserve"> </w:t>
      </w:r>
      <w:r>
        <w:rPr>
          <w:sz w:val="24"/>
        </w:rPr>
        <w:t>Not-for-Profit</w:t>
      </w:r>
      <w:r>
        <w:rPr>
          <w:spacing w:val="-6"/>
          <w:sz w:val="24"/>
        </w:rPr>
        <w:t xml:space="preserve"> </w:t>
      </w:r>
      <w:r>
        <w:rPr>
          <w:sz w:val="24"/>
        </w:rPr>
        <w:t>Entity</w:t>
      </w:r>
      <w:r>
        <w:rPr>
          <w:spacing w:val="-6"/>
          <w:sz w:val="24"/>
        </w:rPr>
        <w:t xml:space="preserve"> </w:t>
      </w:r>
      <w:r>
        <w:rPr>
          <w:sz w:val="24"/>
        </w:rPr>
        <w:t>Standard-Setting</w:t>
      </w:r>
      <w:r>
        <w:rPr>
          <w:spacing w:val="-2"/>
          <w:sz w:val="24"/>
        </w:rPr>
        <w:t xml:space="preserve"> </w:t>
      </w:r>
      <w:r>
        <w:rPr>
          <w:sz w:val="24"/>
        </w:rPr>
        <w:t>Frameworks</w:t>
      </w:r>
      <w:r>
        <w:rPr>
          <w:spacing w:val="-4"/>
          <w:sz w:val="24"/>
        </w:rPr>
        <w:t xml:space="preserve"> </w:t>
      </w:r>
      <w:r>
        <w:rPr>
          <w:sz w:val="24"/>
        </w:rPr>
        <w:t>that</w:t>
      </w:r>
      <w:r>
        <w:rPr>
          <w:spacing w:val="-7"/>
          <w:sz w:val="24"/>
        </w:rPr>
        <w:t xml:space="preserve"> </w:t>
      </w:r>
      <w:r>
        <w:rPr>
          <w:sz w:val="24"/>
        </w:rPr>
        <w:t>have</w:t>
      </w:r>
      <w:r>
        <w:rPr>
          <w:spacing w:val="-4"/>
          <w:sz w:val="24"/>
        </w:rPr>
        <w:t xml:space="preserve"> </w:t>
      </w:r>
      <w:r>
        <w:rPr>
          <w:sz w:val="24"/>
        </w:rPr>
        <w:t>not</w:t>
      </w:r>
      <w:r>
        <w:rPr>
          <w:spacing w:val="-3"/>
          <w:sz w:val="24"/>
        </w:rPr>
        <w:t xml:space="preserve"> </w:t>
      </w:r>
      <w:r>
        <w:rPr>
          <w:sz w:val="24"/>
        </w:rPr>
        <w:t>already been considered during the prior consultation processes.</w:t>
      </w:r>
    </w:p>
    <w:p w14:paraId="1E805829" w14:textId="77777777" w:rsidR="00AA4A02" w:rsidRDefault="00960F31">
      <w:pPr>
        <w:pStyle w:val="ListParagraph"/>
        <w:numPr>
          <w:ilvl w:val="2"/>
          <w:numId w:val="46"/>
        </w:numPr>
        <w:tabs>
          <w:tab w:val="left" w:pos="852"/>
        </w:tabs>
        <w:spacing w:before="229" w:line="242" w:lineRule="auto"/>
        <w:ind w:right="491"/>
        <w:rPr>
          <w:sz w:val="24"/>
        </w:rPr>
      </w:pPr>
      <w:r>
        <w:rPr>
          <w:sz w:val="24"/>
        </w:rPr>
        <w:t>Generally, not-for-profit amendments are subject to a separate due process. The application</w:t>
      </w:r>
      <w:r>
        <w:rPr>
          <w:spacing w:val="-1"/>
          <w:sz w:val="24"/>
        </w:rPr>
        <w:t xml:space="preserve"> </w:t>
      </w:r>
      <w:r>
        <w:rPr>
          <w:sz w:val="24"/>
        </w:rPr>
        <w:t>of</w:t>
      </w:r>
      <w:r>
        <w:rPr>
          <w:spacing w:val="-5"/>
          <w:sz w:val="24"/>
        </w:rPr>
        <w:t xml:space="preserve"> </w:t>
      </w:r>
      <w:r>
        <w:rPr>
          <w:sz w:val="24"/>
        </w:rPr>
        <w:t>IFRS-based</w:t>
      </w:r>
      <w:r>
        <w:rPr>
          <w:spacing w:val="-2"/>
          <w:sz w:val="24"/>
        </w:rPr>
        <w:t xml:space="preserve"> </w:t>
      </w:r>
      <w:r>
        <w:rPr>
          <w:sz w:val="24"/>
        </w:rPr>
        <w:t>Standards</w:t>
      </w:r>
      <w:r>
        <w:rPr>
          <w:spacing w:val="-3"/>
          <w:sz w:val="24"/>
        </w:rPr>
        <w:t xml:space="preserve"> </w:t>
      </w:r>
      <w:r>
        <w:rPr>
          <w:sz w:val="24"/>
        </w:rPr>
        <w:t>may</w:t>
      </w:r>
      <w:r>
        <w:rPr>
          <w:spacing w:val="-2"/>
          <w:sz w:val="24"/>
        </w:rPr>
        <w:t xml:space="preserve"> </w:t>
      </w:r>
      <w:r>
        <w:rPr>
          <w:sz w:val="24"/>
        </w:rPr>
        <w:t>be</w:t>
      </w:r>
      <w:r>
        <w:rPr>
          <w:spacing w:val="-3"/>
          <w:sz w:val="24"/>
        </w:rPr>
        <w:t xml:space="preserve"> </w:t>
      </w:r>
      <w:r>
        <w:rPr>
          <w:sz w:val="24"/>
        </w:rPr>
        <w:t>limited</w:t>
      </w:r>
      <w:r>
        <w:rPr>
          <w:spacing w:val="-1"/>
          <w:sz w:val="24"/>
        </w:rPr>
        <w:t xml:space="preserve"> </w:t>
      </w:r>
      <w:r>
        <w:rPr>
          <w:sz w:val="24"/>
        </w:rPr>
        <w:t>to</w:t>
      </w:r>
      <w:r>
        <w:rPr>
          <w:spacing w:val="-1"/>
          <w:sz w:val="24"/>
        </w:rPr>
        <w:t xml:space="preserve"> </w:t>
      </w:r>
      <w:r>
        <w:rPr>
          <w:sz w:val="24"/>
        </w:rPr>
        <w:t>for-profit</w:t>
      </w:r>
      <w:r>
        <w:rPr>
          <w:spacing w:val="-5"/>
          <w:sz w:val="24"/>
        </w:rPr>
        <w:t xml:space="preserve"> </w:t>
      </w:r>
      <w:r>
        <w:rPr>
          <w:sz w:val="24"/>
        </w:rPr>
        <w:t>entities</w:t>
      </w:r>
      <w:r>
        <w:rPr>
          <w:spacing w:val="-3"/>
          <w:sz w:val="24"/>
        </w:rPr>
        <w:t xml:space="preserve"> </w:t>
      </w:r>
      <w:r>
        <w:rPr>
          <w:sz w:val="24"/>
        </w:rPr>
        <w:t>until</w:t>
      </w:r>
      <w:r>
        <w:rPr>
          <w:spacing w:val="-6"/>
          <w:sz w:val="24"/>
        </w:rPr>
        <w:t xml:space="preserve"> </w:t>
      </w:r>
      <w:r>
        <w:rPr>
          <w:sz w:val="24"/>
        </w:rPr>
        <w:t>the</w:t>
      </w:r>
      <w:r>
        <w:rPr>
          <w:spacing w:val="-2"/>
          <w:sz w:val="24"/>
        </w:rPr>
        <w:t xml:space="preserve"> </w:t>
      </w:r>
      <w:r>
        <w:rPr>
          <w:sz w:val="24"/>
        </w:rPr>
        <w:t>not-for-profit amendments are determined.</w:t>
      </w:r>
    </w:p>
    <w:p w14:paraId="1E80582A" w14:textId="77777777" w:rsidR="00AA4A02" w:rsidRDefault="00960F31">
      <w:pPr>
        <w:pStyle w:val="ListParagraph"/>
        <w:numPr>
          <w:ilvl w:val="2"/>
          <w:numId w:val="46"/>
        </w:numPr>
        <w:tabs>
          <w:tab w:val="left" w:pos="852"/>
        </w:tabs>
        <w:spacing w:before="235" w:line="242" w:lineRule="auto"/>
        <w:ind w:right="719"/>
        <w:rPr>
          <w:sz w:val="24"/>
        </w:rPr>
      </w:pPr>
      <w:r>
        <w:rPr>
          <w:sz w:val="24"/>
        </w:rPr>
        <w:t>Any</w:t>
      </w:r>
      <w:r>
        <w:rPr>
          <w:spacing w:val="-2"/>
          <w:sz w:val="24"/>
        </w:rPr>
        <w:t xml:space="preserve"> </w:t>
      </w:r>
      <w:r>
        <w:rPr>
          <w:sz w:val="24"/>
        </w:rPr>
        <w:t>Australian</w:t>
      </w:r>
      <w:r>
        <w:rPr>
          <w:spacing w:val="-1"/>
          <w:sz w:val="24"/>
        </w:rPr>
        <w:t xml:space="preserve"> </w:t>
      </w:r>
      <w:r>
        <w:rPr>
          <w:sz w:val="24"/>
        </w:rPr>
        <w:t>specific</w:t>
      </w:r>
      <w:r>
        <w:rPr>
          <w:spacing w:val="-2"/>
          <w:sz w:val="24"/>
        </w:rPr>
        <w:t xml:space="preserve"> </w:t>
      </w:r>
      <w:r>
        <w:rPr>
          <w:sz w:val="24"/>
        </w:rPr>
        <w:t>modifications</w:t>
      </w:r>
      <w:r>
        <w:rPr>
          <w:spacing w:val="-8"/>
          <w:sz w:val="24"/>
        </w:rPr>
        <w:t xml:space="preserve"> </w:t>
      </w:r>
      <w:r>
        <w:rPr>
          <w:sz w:val="24"/>
        </w:rPr>
        <w:t>from</w:t>
      </w:r>
      <w:r>
        <w:rPr>
          <w:spacing w:val="-5"/>
          <w:sz w:val="24"/>
        </w:rPr>
        <w:t xml:space="preserve"> </w:t>
      </w:r>
      <w:r>
        <w:rPr>
          <w:sz w:val="24"/>
        </w:rPr>
        <w:t>IFRS</w:t>
      </w:r>
      <w:r>
        <w:rPr>
          <w:spacing w:val="-9"/>
          <w:sz w:val="24"/>
        </w:rPr>
        <w:t xml:space="preserve"> </w:t>
      </w:r>
      <w:r>
        <w:rPr>
          <w:sz w:val="24"/>
        </w:rPr>
        <w:t>Standards</w:t>
      </w:r>
      <w:r>
        <w:rPr>
          <w:spacing w:val="-3"/>
          <w:sz w:val="24"/>
        </w:rPr>
        <w:t xml:space="preserve"> </w:t>
      </w:r>
      <w:r>
        <w:rPr>
          <w:sz w:val="24"/>
        </w:rPr>
        <w:t>are</w:t>
      </w:r>
      <w:r>
        <w:rPr>
          <w:spacing w:val="-3"/>
          <w:sz w:val="24"/>
        </w:rPr>
        <w:t xml:space="preserve"> </w:t>
      </w:r>
      <w:r>
        <w:rPr>
          <w:sz w:val="24"/>
        </w:rPr>
        <w:t>clearly</w:t>
      </w:r>
      <w:r>
        <w:rPr>
          <w:spacing w:val="-1"/>
          <w:sz w:val="24"/>
        </w:rPr>
        <w:t xml:space="preserve"> </w:t>
      </w:r>
      <w:r>
        <w:rPr>
          <w:sz w:val="24"/>
        </w:rPr>
        <w:t>identified</w:t>
      </w:r>
      <w:r>
        <w:rPr>
          <w:spacing w:val="-1"/>
          <w:sz w:val="24"/>
        </w:rPr>
        <w:t xml:space="preserve"> </w:t>
      </w:r>
      <w:r>
        <w:rPr>
          <w:sz w:val="24"/>
        </w:rPr>
        <w:t>in ‘Aus’ paragraphs.</w:t>
      </w:r>
    </w:p>
    <w:p w14:paraId="1E80582B"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82C" w14:textId="77777777" w:rsidR="00AA4A02" w:rsidRDefault="00960F31">
      <w:pPr>
        <w:pStyle w:val="ListParagraph"/>
        <w:numPr>
          <w:ilvl w:val="2"/>
          <w:numId w:val="46"/>
        </w:numPr>
        <w:tabs>
          <w:tab w:val="left" w:pos="852"/>
        </w:tabs>
        <w:spacing w:before="80" w:line="242" w:lineRule="auto"/>
        <w:ind w:right="654"/>
        <w:rPr>
          <w:sz w:val="24"/>
        </w:rPr>
      </w:pPr>
      <w:r>
        <w:rPr>
          <w:sz w:val="24"/>
        </w:rPr>
        <w:lastRenderedPageBreak/>
        <w:t>Once</w:t>
      </w:r>
      <w:r>
        <w:rPr>
          <w:spacing w:val="-3"/>
          <w:sz w:val="24"/>
        </w:rPr>
        <w:t xml:space="preserve"> </w:t>
      </w:r>
      <w:r>
        <w:rPr>
          <w:sz w:val="24"/>
        </w:rPr>
        <w:t>any</w:t>
      </w:r>
      <w:r>
        <w:rPr>
          <w:spacing w:val="-2"/>
          <w:sz w:val="24"/>
        </w:rPr>
        <w:t xml:space="preserve"> </w:t>
      </w:r>
      <w:r>
        <w:rPr>
          <w:sz w:val="24"/>
        </w:rPr>
        <w:t>Australian</w:t>
      </w:r>
      <w:r>
        <w:rPr>
          <w:spacing w:val="-1"/>
          <w:sz w:val="24"/>
        </w:rPr>
        <w:t xml:space="preserve"> </w:t>
      </w:r>
      <w:r>
        <w:rPr>
          <w:sz w:val="24"/>
        </w:rPr>
        <w:t>specific</w:t>
      </w:r>
      <w:r>
        <w:rPr>
          <w:spacing w:val="-2"/>
          <w:sz w:val="24"/>
        </w:rPr>
        <w:t xml:space="preserve"> </w:t>
      </w:r>
      <w:r>
        <w:rPr>
          <w:sz w:val="24"/>
        </w:rPr>
        <w:t>modifications</w:t>
      </w:r>
      <w:r>
        <w:rPr>
          <w:spacing w:val="-2"/>
          <w:sz w:val="24"/>
        </w:rPr>
        <w:t xml:space="preserve"> </w:t>
      </w:r>
      <w:r>
        <w:rPr>
          <w:sz w:val="24"/>
        </w:rPr>
        <w:t>are</w:t>
      </w:r>
      <w:r>
        <w:rPr>
          <w:spacing w:val="-8"/>
          <w:sz w:val="24"/>
        </w:rPr>
        <w:t xml:space="preserve"> </w:t>
      </w:r>
      <w:r>
        <w:rPr>
          <w:sz w:val="24"/>
        </w:rPr>
        <w:t>decided, AASB</w:t>
      </w:r>
      <w:r>
        <w:rPr>
          <w:spacing w:val="-4"/>
          <w:sz w:val="24"/>
        </w:rPr>
        <w:t xml:space="preserve"> </w:t>
      </w:r>
      <w:r>
        <w:rPr>
          <w:sz w:val="24"/>
        </w:rPr>
        <w:t>staff</w:t>
      </w:r>
      <w:r>
        <w:rPr>
          <w:spacing w:val="-5"/>
          <w:sz w:val="24"/>
        </w:rPr>
        <w:t xml:space="preserve"> </w:t>
      </w:r>
      <w:r>
        <w:rPr>
          <w:sz w:val="24"/>
        </w:rPr>
        <w:t>prepare</w:t>
      </w:r>
      <w:r>
        <w:rPr>
          <w:spacing w:val="-2"/>
          <w:sz w:val="24"/>
        </w:rPr>
        <w:t xml:space="preserve"> </w:t>
      </w:r>
      <w:r>
        <w:rPr>
          <w:sz w:val="24"/>
        </w:rPr>
        <w:t>a</w:t>
      </w:r>
      <w:r>
        <w:rPr>
          <w:spacing w:val="-8"/>
          <w:sz w:val="24"/>
        </w:rPr>
        <w:t xml:space="preserve"> </w:t>
      </w:r>
      <w:r>
        <w:rPr>
          <w:sz w:val="24"/>
        </w:rPr>
        <w:t>ballot draft to be voted on by the AASB members.</w:t>
      </w:r>
      <w:r>
        <w:rPr>
          <w:sz w:val="24"/>
          <w:vertAlign w:val="superscript"/>
        </w:rPr>
        <w:t>13</w:t>
      </w:r>
      <w:r>
        <w:rPr>
          <w:sz w:val="24"/>
        </w:rPr>
        <w:t xml:space="preserve"> In rare instances, for example where significant changes</w:t>
      </w:r>
      <w:r>
        <w:rPr>
          <w:spacing w:val="-1"/>
          <w:sz w:val="24"/>
        </w:rPr>
        <w:t xml:space="preserve"> </w:t>
      </w:r>
      <w:r>
        <w:rPr>
          <w:sz w:val="24"/>
        </w:rPr>
        <w:t>are required</w:t>
      </w:r>
      <w:r>
        <w:rPr>
          <w:spacing w:val="-3"/>
          <w:sz w:val="24"/>
        </w:rPr>
        <w:t xml:space="preserve"> </w:t>
      </w:r>
      <w:r>
        <w:rPr>
          <w:sz w:val="24"/>
        </w:rPr>
        <w:t>in Australia, a pre-ballot draft may</w:t>
      </w:r>
      <w:r>
        <w:rPr>
          <w:spacing w:val="-4"/>
          <w:sz w:val="24"/>
        </w:rPr>
        <w:t xml:space="preserve"> </w:t>
      </w:r>
      <w:r>
        <w:rPr>
          <w:sz w:val="24"/>
        </w:rPr>
        <w:t>first</w:t>
      </w:r>
      <w:r>
        <w:rPr>
          <w:spacing w:val="-3"/>
          <w:sz w:val="24"/>
        </w:rPr>
        <w:t xml:space="preserve"> </w:t>
      </w:r>
      <w:r>
        <w:rPr>
          <w:sz w:val="24"/>
        </w:rPr>
        <w:t>be voted on by the members.</w:t>
      </w:r>
    </w:p>
    <w:p w14:paraId="1E80582D" w14:textId="77777777" w:rsidR="00AA4A02" w:rsidRDefault="00960F31">
      <w:pPr>
        <w:pStyle w:val="ListParagraph"/>
        <w:numPr>
          <w:ilvl w:val="2"/>
          <w:numId w:val="46"/>
        </w:numPr>
        <w:tabs>
          <w:tab w:val="left" w:pos="852"/>
        </w:tabs>
        <w:spacing w:before="229" w:line="247" w:lineRule="auto"/>
        <w:ind w:right="551"/>
        <w:rPr>
          <w:sz w:val="24"/>
        </w:rPr>
      </w:pPr>
      <w:r>
        <w:rPr>
          <w:sz w:val="24"/>
        </w:rPr>
        <w:t>Once</w:t>
      </w:r>
      <w:r>
        <w:rPr>
          <w:spacing w:val="-3"/>
          <w:sz w:val="24"/>
        </w:rPr>
        <w:t xml:space="preserve"> </w:t>
      </w:r>
      <w:r>
        <w:rPr>
          <w:sz w:val="24"/>
        </w:rPr>
        <w:t>finalised, the</w:t>
      </w:r>
      <w:r>
        <w:rPr>
          <w:spacing w:val="-2"/>
          <w:sz w:val="24"/>
        </w:rPr>
        <w:t xml:space="preserve"> </w:t>
      </w:r>
      <w:r>
        <w:rPr>
          <w:sz w:val="24"/>
        </w:rPr>
        <w:t>AASB</w:t>
      </w:r>
      <w:r>
        <w:rPr>
          <w:spacing w:val="-4"/>
          <w:sz w:val="24"/>
        </w:rPr>
        <w:t xml:space="preserve"> </w:t>
      </w:r>
      <w:r>
        <w:rPr>
          <w:sz w:val="24"/>
        </w:rPr>
        <w:t>staff provide</w:t>
      </w:r>
      <w:r>
        <w:rPr>
          <w:spacing w:val="-2"/>
          <w:sz w:val="24"/>
        </w:rPr>
        <w:t xml:space="preserve"> </w:t>
      </w:r>
      <w:r>
        <w:rPr>
          <w:sz w:val="24"/>
        </w:rPr>
        <w:t>a</w:t>
      </w:r>
      <w:r>
        <w:rPr>
          <w:spacing w:val="-3"/>
          <w:sz w:val="24"/>
        </w:rPr>
        <w:t xml:space="preserve"> </w:t>
      </w:r>
      <w:r>
        <w:rPr>
          <w:sz w:val="24"/>
        </w:rPr>
        <w:t>summary</w:t>
      </w:r>
      <w:r>
        <w:rPr>
          <w:spacing w:val="-5"/>
          <w:sz w:val="24"/>
        </w:rPr>
        <w:t xml:space="preserve"> </w:t>
      </w:r>
      <w:r>
        <w:rPr>
          <w:sz w:val="24"/>
        </w:rPr>
        <w:t>of the</w:t>
      </w:r>
      <w:r>
        <w:rPr>
          <w:spacing w:val="-6"/>
          <w:sz w:val="24"/>
        </w:rPr>
        <w:t xml:space="preserve"> </w:t>
      </w:r>
      <w:r>
        <w:rPr>
          <w:sz w:val="24"/>
        </w:rPr>
        <w:t>due</w:t>
      </w:r>
      <w:r>
        <w:rPr>
          <w:spacing w:val="-3"/>
          <w:sz w:val="24"/>
        </w:rPr>
        <w:t xml:space="preserve"> </w:t>
      </w:r>
      <w:r>
        <w:rPr>
          <w:sz w:val="24"/>
        </w:rPr>
        <w:t>process</w:t>
      </w:r>
      <w:r>
        <w:rPr>
          <w:spacing w:val="-4"/>
          <w:sz w:val="24"/>
        </w:rPr>
        <w:t xml:space="preserve"> </w:t>
      </w:r>
      <w:r>
        <w:rPr>
          <w:sz w:val="24"/>
        </w:rPr>
        <w:t>followed</w:t>
      </w:r>
      <w:r>
        <w:rPr>
          <w:spacing w:val="-5"/>
          <w:sz w:val="24"/>
        </w:rPr>
        <w:t xml:space="preserve"> </w:t>
      </w:r>
      <w:r>
        <w:rPr>
          <w:sz w:val="24"/>
        </w:rPr>
        <w:t>to</w:t>
      </w:r>
      <w:r>
        <w:rPr>
          <w:spacing w:val="-2"/>
          <w:sz w:val="24"/>
        </w:rPr>
        <w:t xml:space="preserve"> </w:t>
      </w:r>
      <w:r>
        <w:rPr>
          <w:sz w:val="24"/>
        </w:rPr>
        <w:t xml:space="preserve">the </w:t>
      </w:r>
      <w:r>
        <w:rPr>
          <w:spacing w:val="-4"/>
          <w:sz w:val="24"/>
        </w:rPr>
        <w:t>FRC.</w:t>
      </w:r>
    </w:p>
    <w:p w14:paraId="1E80582E" w14:textId="77777777" w:rsidR="00AA4A02" w:rsidRDefault="00960F31">
      <w:pPr>
        <w:spacing w:before="229"/>
        <w:ind w:left="852"/>
        <w:rPr>
          <w:b/>
          <w:i/>
          <w:sz w:val="24"/>
        </w:rPr>
      </w:pPr>
      <w:r>
        <w:rPr>
          <w:b/>
          <w:i/>
          <w:spacing w:val="-2"/>
          <w:sz w:val="24"/>
        </w:rPr>
        <w:t>Domestic</w:t>
      </w:r>
    </w:p>
    <w:p w14:paraId="1E80582F" w14:textId="77777777" w:rsidR="00AA4A02" w:rsidRDefault="00960F31">
      <w:pPr>
        <w:pStyle w:val="ListParagraph"/>
        <w:numPr>
          <w:ilvl w:val="2"/>
          <w:numId w:val="46"/>
        </w:numPr>
        <w:tabs>
          <w:tab w:val="left" w:pos="852"/>
        </w:tabs>
        <w:spacing w:before="237" w:line="242" w:lineRule="auto"/>
        <w:ind w:right="517"/>
        <w:jc w:val="both"/>
        <w:rPr>
          <w:sz w:val="24"/>
        </w:rPr>
      </w:pPr>
      <w:r>
        <w:rPr>
          <w:sz w:val="24"/>
        </w:rPr>
        <w:t>Domestic</w:t>
      </w:r>
      <w:r>
        <w:rPr>
          <w:spacing w:val="-3"/>
          <w:sz w:val="24"/>
        </w:rPr>
        <w:t xml:space="preserve"> </w:t>
      </w:r>
      <w:r>
        <w:rPr>
          <w:sz w:val="24"/>
        </w:rPr>
        <w:t>pronouncements</w:t>
      </w:r>
      <w:r>
        <w:rPr>
          <w:spacing w:val="-4"/>
          <w:sz w:val="24"/>
        </w:rPr>
        <w:t xml:space="preserve"> </w:t>
      </w:r>
      <w:r>
        <w:rPr>
          <w:sz w:val="24"/>
        </w:rPr>
        <w:t>are</w:t>
      </w:r>
      <w:r>
        <w:rPr>
          <w:spacing w:val="-4"/>
          <w:sz w:val="24"/>
        </w:rPr>
        <w:t xml:space="preserve"> </w:t>
      </w:r>
      <w:r>
        <w:rPr>
          <w:sz w:val="24"/>
        </w:rPr>
        <w:t>finalised</w:t>
      </w:r>
      <w:r>
        <w:rPr>
          <w:spacing w:val="-3"/>
          <w:sz w:val="24"/>
        </w:rPr>
        <w:t xml:space="preserve"> </w:t>
      </w:r>
      <w:r>
        <w:rPr>
          <w:sz w:val="24"/>
        </w:rPr>
        <w:t>in</w:t>
      </w:r>
      <w:r>
        <w:rPr>
          <w:spacing w:val="-8"/>
          <w:sz w:val="24"/>
        </w:rPr>
        <w:t xml:space="preserve"> </w:t>
      </w:r>
      <w:r>
        <w:rPr>
          <w:sz w:val="24"/>
        </w:rPr>
        <w:t>the</w:t>
      </w:r>
      <w:r>
        <w:rPr>
          <w:spacing w:val="-3"/>
          <w:sz w:val="24"/>
        </w:rPr>
        <w:t xml:space="preserve"> </w:t>
      </w:r>
      <w:r>
        <w:rPr>
          <w:sz w:val="24"/>
        </w:rPr>
        <w:t>same</w:t>
      </w:r>
      <w:r>
        <w:rPr>
          <w:spacing w:val="-3"/>
          <w:sz w:val="24"/>
        </w:rPr>
        <w:t xml:space="preserve"> </w:t>
      </w:r>
      <w:r>
        <w:rPr>
          <w:sz w:val="24"/>
        </w:rPr>
        <w:t>manner</w:t>
      </w:r>
      <w:r>
        <w:rPr>
          <w:spacing w:val="-1"/>
          <w:sz w:val="24"/>
        </w:rPr>
        <w:t xml:space="preserve"> </w:t>
      </w:r>
      <w:r>
        <w:rPr>
          <w:sz w:val="24"/>
        </w:rPr>
        <w:t>as</w:t>
      </w:r>
      <w:r>
        <w:rPr>
          <w:spacing w:val="-5"/>
          <w:sz w:val="24"/>
        </w:rPr>
        <w:t xml:space="preserve"> </w:t>
      </w:r>
      <w:r>
        <w:rPr>
          <w:sz w:val="24"/>
        </w:rPr>
        <w:t>IFRS-based</w:t>
      </w:r>
      <w:r>
        <w:rPr>
          <w:spacing w:val="-3"/>
          <w:sz w:val="24"/>
        </w:rPr>
        <w:t xml:space="preserve"> </w:t>
      </w:r>
      <w:r>
        <w:rPr>
          <w:sz w:val="24"/>
        </w:rPr>
        <w:t>Standards. However, domestic</w:t>
      </w:r>
      <w:r>
        <w:rPr>
          <w:spacing w:val="-2"/>
          <w:sz w:val="24"/>
        </w:rPr>
        <w:t xml:space="preserve"> </w:t>
      </w:r>
      <w:r>
        <w:rPr>
          <w:sz w:val="24"/>
        </w:rPr>
        <w:t>pronouncements</w:t>
      </w:r>
      <w:r>
        <w:rPr>
          <w:spacing w:val="-3"/>
          <w:sz w:val="24"/>
        </w:rPr>
        <w:t xml:space="preserve"> </w:t>
      </w:r>
      <w:r>
        <w:rPr>
          <w:sz w:val="24"/>
        </w:rPr>
        <w:t>are</w:t>
      </w:r>
      <w:r>
        <w:rPr>
          <w:spacing w:val="-3"/>
          <w:sz w:val="24"/>
        </w:rPr>
        <w:t xml:space="preserve"> </w:t>
      </w:r>
      <w:r>
        <w:rPr>
          <w:sz w:val="24"/>
        </w:rPr>
        <w:t>typically</w:t>
      </w:r>
      <w:r>
        <w:rPr>
          <w:spacing w:val="-6"/>
          <w:sz w:val="24"/>
        </w:rPr>
        <w:t xml:space="preserve"> </w:t>
      </w:r>
      <w:r>
        <w:rPr>
          <w:sz w:val="24"/>
        </w:rPr>
        <w:t>subject</w:t>
      </w:r>
      <w:r>
        <w:rPr>
          <w:spacing w:val="-1"/>
          <w:sz w:val="24"/>
        </w:rPr>
        <w:t xml:space="preserve"> </w:t>
      </w:r>
      <w:r>
        <w:rPr>
          <w:sz w:val="24"/>
        </w:rPr>
        <w:t>to</w:t>
      </w:r>
      <w:r>
        <w:rPr>
          <w:spacing w:val="-2"/>
          <w:sz w:val="24"/>
        </w:rPr>
        <w:t xml:space="preserve"> </w:t>
      </w:r>
      <w:r>
        <w:rPr>
          <w:sz w:val="24"/>
        </w:rPr>
        <w:t>both</w:t>
      </w:r>
      <w:r>
        <w:rPr>
          <w:spacing w:val="-2"/>
          <w:sz w:val="24"/>
        </w:rPr>
        <w:t xml:space="preserve"> </w:t>
      </w:r>
      <w:r>
        <w:rPr>
          <w:sz w:val="24"/>
        </w:rPr>
        <w:t>pre-ballot</w:t>
      </w:r>
      <w:r>
        <w:rPr>
          <w:spacing w:val="-1"/>
          <w:sz w:val="24"/>
        </w:rPr>
        <w:t xml:space="preserve"> </w:t>
      </w:r>
      <w:r>
        <w:rPr>
          <w:sz w:val="24"/>
        </w:rPr>
        <w:t>and</w:t>
      </w:r>
      <w:r>
        <w:rPr>
          <w:spacing w:val="-6"/>
          <w:sz w:val="24"/>
        </w:rPr>
        <w:t xml:space="preserve"> </w:t>
      </w:r>
      <w:r>
        <w:rPr>
          <w:sz w:val="24"/>
        </w:rPr>
        <w:t>ballot draft voting rounds.</w:t>
      </w:r>
    </w:p>
    <w:p w14:paraId="1E805830" w14:textId="77777777" w:rsidR="00AA4A02" w:rsidRDefault="00960F31">
      <w:pPr>
        <w:pStyle w:val="ListParagraph"/>
        <w:numPr>
          <w:ilvl w:val="2"/>
          <w:numId w:val="46"/>
        </w:numPr>
        <w:tabs>
          <w:tab w:val="left" w:pos="852"/>
        </w:tabs>
        <w:spacing w:before="230" w:line="242" w:lineRule="auto"/>
        <w:ind w:right="636"/>
        <w:rPr>
          <w:sz w:val="24"/>
        </w:rPr>
      </w:pPr>
      <w:r>
        <w:rPr>
          <w:sz w:val="24"/>
        </w:rPr>
        <w:t>Where there is some change from the ED but not enough to warrant re-exposure, a ‘fatal-flaw</w:t>
      </w:r>
      <w:r>
        <w:rPr>
          <w:spacing w:val="-2"/>
          <w:sz w:val="24"/>
        </w:rPr>
        <w:t xml:space="preserve"> </w:t>
      </w:r>
      <w:r>
        <w:rPr>
          <w:sz w:val="24"/>
        </w:rPr>
        <w:t>review’</w:t>
      </w:r>
      <w:r>
        <w:rPr>
          <w:spacing w:val="-1"/>
          <w:sz w:val="24"/>
        </w:rPr>
        <w:t xml:space="preserve"> </w:t>
      </w:r>
      <w:r>
        <w:rPr>
          <w:sz w:val="24"/>
        </w:rPr>
        <w:t>version</w:t>
      </w:r>
      <w:r>
        <w:rPr>
          <w:spacing w:val="-1"/>
          <w:sz w:val="24"/>
        </w:rPr>
        <w:t xml:space="preserve"> </w:t>
      </w:r>
      <w:r>
        <w:rPr>
          <w:sz w:val="24"/>
        </w:rPr>
        <w:t>of</w:t>
      </w:r>
      <w:r>
        <w:rPr>
          <w:spacing w:val="-5"/>
          <w:sz w:val="24"/>
        </w:rPr>
        <w:t xml:space="preserve"> </w:t>
      </w:r>
      <w:r>
        <w:rPr>
          <w:sz w:val="24"/>
        </w:rPr>
        <w:t>a</w:t>
      </w:r>
      <w:r>
        <w:rPr>
          <w:spacing w:val="-3"/>
          <w:sz w:val="24"/>
        </w:rPr>
        <w:t xml:space="preserve"> </w:t>
      </w:r>
      <w:r>
        <w:rPr>
          <w:sz w:val="24"/>
        </w:rPr>
        <w:t>pronouncement</w:t>
      </w:r>
      <w:r>
        <w:rPr>
          <w:spacing w:val="-6"/>
          <w:sz w:val="24"/>
        </w:rPr>
        <w:t xml:space="preserve"> </w:t>
      </w:r>
      <w:r>
        <w:rPr>
          <w:sz w:val="24"/>
        </w:rPr>
        <w:t>may</w:t>
      </w:r>
      <w:r>
        <w:rPr>
          <w:spacing w:val="-2"/>
          <w:sz w:val="24"/>
        </w:rPr>
        <w:t xml:space="preserve"> </w:t>
      </w:r>
      <w:r>
        <w:rPr>
          <w:sz w:val="24"/>
        </w:rPr>
        <w:t>also</w:t>
      </w:r>
      <w:r>
        <w:rPr>
          <w:spacing w:val="-1"/>
          <w:sz w:val="24"/>
        </w:rPr>
        <w:t xml:space="preserve"> </w:t>
      </w:r>
      <w:r>
        <w:rPr>
          <w:sz w:val="24"/>
        </w:rPr>
        <w:t>be</w:t>
      </w:r>
      <w:r>
        <w:rPr>
          <w:spacing w:val="-3"/>
          <w:sz w:val="24"/>
        </w:rPr>
        <w:t xml:space="preserve"> </w:t>
      </w:r>
      <w:r>
        <w:rPr>
          <w:sz w:val="24"/>
        </w:rPr>
        <w:t>issued</w:t>
      </w:r>
      <w:r>
        <w:rPr>
          <w:spacing w:val="-2"/>
          <w:sz w:val="24"/>
        </w:rPr>
        <w:t xml:space="preserve"> </w:t>
      </w:r>
      <w:r>
        <w:rPr>
          <w:sz w:val="24"/>
        </w:rPr>
        <w:t>for</w:t>
      </w:r>
      <w:r>
        <w:rPr>
          <w:spacing w:val="-5"/>
          <w:sz w:val="24"/>
        </w:rPr>
        <w:t xml:space="preserve"> </w:t>
      </w:r>
      <w:r>
        <w:rPr>
          <w:sz w:val="24"/>
        </w:rPr>
        <w:t>a</w:t>
      </w:r>
      <w:r>
        <w:rPr>
          <w:spacing w:val="-3"/>
          <w:sz w:val="24"/>
        </w:rPr>
        <w:t xml:space="preserve"> </w:t>
      </w:r>
      <w:r>
        <w:rPr>
          <w:sz w:val="24"/>
        </w:rPr>
        <w:t>short</w:t>
      </w:r>
      <w:r>
        <w:rPr>
          <w:spacing w:val="-1"/>
          <w:sz w:val="24"/>
        </w:rPr>
        <w:t xml:space="preserve"> </w:t>
      </w:r>
      <w:r>
        <w:rPr>
          <w:sz w:val="24"/>
        </w:rPr>
        <w:t>period for public comment as a final opportunity to identify any further unintended consequences of the proposals, prior to voting by the Board.</w:t>
      </w:r>
    </w:p>
    <w:p w14:paraId="1E805831" w14:textId="77777777" w:rsidR="00AA4A02" w:rsidRDefault="00960F31">
      <w:pPr>
        <w:pStyle w:val="Heading9"/>
      </w:pPr>
      <w:r>
        <w:t>Re-exposure</w:t>
      </w:r>
      <w:r>
        <w:rPr>
          <w:spacing w:val="-5"/>
        </w:rPr>
        <w:t xml:space="preserve"> </w:t>
      </w:r>
      <w:r>
        <w:rPr>
          <w:spacing w:val="-2"/>
        </w:rPr>
        <w:t>criteria</w:t>
      </w:r>
    </w:p>
    <w:p w14:paraId="1E805832" w14:textId="77777777" w:rsidR="00AA4A02" w:rsidRDefault="00960F31">
      <w:pPr>
        <w:pStyle w:val="ListParagraph"/>
        <w:numPr>
          <w:ilvl w:val="2"/>
          <w:numId w:val="45"/>
        </w:numPr>
        <w:tabs>
          <w:tab w:val="left" w:pos="852"/>
          <w:tab w:val="left" w:pos="1558"/>
        </w:tabs>
        <w:spacing w:before="238" w:line="242" w:lineRule="auto"/>
        <w:ind w:right="557" w:hanging="1417"/>
        <w:rPr>
          <w:sz w:val="24"/>
        </w:rPr>
      </w:pPr>
      <w:r>
        <w:rPr>
          <w:spacing w:val="-4"/>
          <w:sz w:val="24"/>
        </w:rPr>
        <w:t>(a)</w:t>
      </w:r>
      <w:r>
        <w:rPr>
          <w:sz w:val="24"/>
        </w:rPr>
        <w:tab/>
        <w:t>In</w:t>
      </w:r>
      <w:r>
        <w:rPr>
          <w:spacing w:val="-2"/>
          <w:sz w:val="24"/>
        </w:rPr>
        <w:t xml:space="preserve"> </w:t>
      </w:r>
      <w:r>
        <w:rPr>
          <w:sz w:val="24"/>
        </w:rPr>
        <w:t>considering</w:t>
      </w:r>
      <w:r>
        <w:rPr>
          <w:spacing w:val="-1"/>
          <w:sz w:val="24"/>
        </w:rPr>
        <w:t xml:space="preserve"> </w:t>
      </w:r>
      <w:r>
        <w:rPr>
          <w:sz w:val="24"/>
        </w:rPr>
        <w:t>whether</w:t>
      </w:r>
      <w:r>
        <w:rPr>
          <w:spacing w:val="-6"/>
          <w:sz w:val="24"/>
        </w:rPr>
        <w:t xml:space="preserve"> </w:t>
      </w:r>
      <w:r>
        <w:rPr>
          <w:sz w:val="24"/>
        </w:rPr>
        <w:t>there</w:t>
      </w:r>
      <w:r>
        <w:rPr>
          <w:spacing w:val="-2"/>
          <w:sz w:val="24"/>
        </w:rPr>
        <w:t xml:space="preserve"> </w:t>
      </w:r>
      <w:r>
        <w:rPr>
          <w:sz w:val="24"/>
        </w:rPr>
        <w:t>is</w:t>
      </w:r>
      <w:r>
        <w:rPr>
          <w:spacing w:val="-4"/>
          <w:sz w:val="24"/>
        </w:rPr>
        <w:t xml:space="preserve"> </w:t>
      </w:r>
      <w:r>
        <w:rPr>
          <w:sz w:val="24"/>
        </w:rPr>
        <w:t>a</w:t>
      </w:r>
      <w:r>
        <w:rPr>
          <w:spacing w:val="-8"/>
          <w:sz w:val="24"/>
        </w:rPr>
        <w:t xml:space="preserve"> </w:t>
      </w:r>
      <w:r>
        <w:rPr>
          <w:sz w:val="24"/>
        </w:rPr>
        <w:t>need</w:t>
      </w:r>
      <w:r>
        <w:rPr>
          <w:spacing w:val="-2"/>
          <w:sz w:val="24"/>
        </w:rPr>
        <w:t xml:space="preserve"> </w:t>
      </w:r>
      <w:r>
        <w:rPr>
          <w:sz w:val="24"/>
        </w:rPr>
        <w:t>for re-exposure, the</w:t>
      </w:r>
      <w:r>
        <w:rPr>
          <w:spacing w:val="-7"/>
          <w:sz w:val="24"/>
        </w:rPr>
        <w:t xml:space="preserve"> </w:t>
      </w:r>
      <w:r>
        <w:rPr>
          <w:sz w:val="24"/>
        </w:rPr>
        <w:t>AASB</w:t>
      </w:r>
      <w:r>
        <w:rPr>
          <w:spacing w:val="-3"/>
          <w:sz w:val="24"/>
        </w:rPr>
        <w:t xml:space="preserve"> </w:t>
      </w:r>
      <w:r>
        <w:rPr>
          <w:sz w:val="24"/>
        </w:rPr>
        <w:t>uses</w:t>
      </w:r>
      <w:r>
        <w:rPr>
          <w:spacing w:val="-4"/>
          <w:sz w:val="24"/>
        </w:rPr>
        <w:t xml:space="preserve"> </w:t>
      </w:r>
      <w:r>
        <w:rPr>
          <w:sz w:val="24"/>
        </w:rPr>
        <w:t>criteria similar to the IASB:</w:t>
      </w:r>
    </w:p>
    <w:p w14:paraId="1E805833" w14:textId="77777777" w:rsidR="00AA4A02" w:rsidRDefault="00960F31">
      <w:pPr>
        <w:pStyle w:val="ListParagraph"/>
        <w:numPr>
          <w:ilvl w:val="3"/>
          <w:numId w:val="45"/>
        </w:numPr>
        <w:tabs>
          <w:tab w:val="left" w:pos="2268"/>
        </w:tabs>
        <w:spacing w:before="235" w:line="242" w:lineRule="auto"/>
        <w:ind w:right="965"/>
        <w:rPr>
          <w:sz w:val="24"/>
        </w:rPr>
      </w:pPr>
      <w:r>
        <w:rPr>
          <w:sz w:val="24"/>
        </w:rPr>
        <w:t>extent of new substantive issues not considered during the initial consultation</w:t>
      </w:r>
      <w:r>
        <w:rPr>
          <w:spacing w:val="-6"/>
          <w:sz w:val="24"/>
        </w:rPr>
        <w:t xml:space="preserve"> </w:t>
      </w:r>
      <w:r>
        <w:rPr>
          <w:sz w:val="24"/>
        </w:rPr>
        <w:t>(eg</w:t>
      </w:r>
      <w:r>
        <w:rPr>
          <w:spacing w:val="-6"/>
          <w:sz w:val="24"/>
        </w:rPr>
        <w:t xml:space="preserve"> </w:t>
      </w:r>
      <w:r>
        <w:rPr>
          <w:sz w:val="24"/>
        </w:rPr>
        <w:t>new</w:t>
      </w:r>
      <w:r>
        <w:rPr>
          <w:spacing w:val="-8"/>
          <w:sz w:val="24"/>
        </w:rPr>
        <w:t xml:space="preserve"> </w:t>
      </w:r>
      <w:r>
        <w:rPr>
          <w:sz w:val="24"/>
        </w:rPr>
        <w:t>requirements,</w:t>
      </w:r>
      <w:r>
        <w:rPr>
          <w:spacing w:val="-4"/>
          <w:sz w:val="24"/>
        </w:rPr>
        <w:t xml:space="preserve"> </w:t>
      </w:r>
      <w:r>
        <w:rPr>
          <w:sz w:val="24"/>
        </w:rPr>
        <w:t>terminology</w:t>
      </w:r>
      <w:r>
        <w:rPr>
          <w:spacing w:val="-6"/>
          <w:sz w:val="24"/>
        </w:rPr>
        <w:t xml:space="preserve"> </w:t>
      </w:r>
      <w:r>
        <w:rPr>
          <w:sz w:val="24"/>
        </w:rPr>
        <w:t>and/or</w:t>
      </w:r>
      <w:r>
        <w:rPr>
          <w:spacing w:val="-4"/>
          <w:sz w:val="24"/>
        </w:rPr>
        <w:t xml:space="preserve"> </w:t>
      </w:r>
      <w:r>
        <w:rPr>
          <w:sz w:val="24"/>
        </w:rPr>
        <w:t>examples);</w:t>
      </w:r>
    </w:p>
    <w:p w14:paraId="1E805834" w14:textId="77777777" w:rsidR="00AA4A02" w:rsidRDefault="00960F31">
      <w:pPr>
        <w:pStyle w:val="ListParagraph"/>
        <w:numPr>
          <w:ilvl w:val="3"/>
          <w:numId w:val="45"/>
        </w:numPr>
        <w:tabs>
          <w:tab w:val="left" w:pos="2268"/>
        </w:tabs>
        <w:spacing w:before="240"/>
        <w:ind w:hanging="710"/>
        <w:rPr>
          <w:sz w:val="24"/>
        </w:rPr>
      </w:pPr>
      <w:r>
        <w:rPr>
          <w:sz w:val="24"/>
        </w:rPr>
        <w:t>extent</w:t>
      </w:r>
      <w:r>
        <w:rPr>
          <w:spacing w:val="-2"/>
          <w:sz w:val="24"/>
        </w:rPr>
        <w:t xml:space="preserve"> </w:t>
      </w:r>
      <w:r>
        <w:rPr>
          <w:sz w:val="24"/>
        </w:rPr>
        <w:t>of</w:t>
      </w:r>
      <w:r>
        <w:rPr>
          <w:spacing w:val="2"/>
          <w:sz w:val="24"/>
        </w:rPr>
        <w:t xml:space="preserve"> </w:t>
      </w:r>
      <w:r>
        <w:rPr>
          <w:sz w:val="24"/>
        </w:rPr>
        <w:t>change</w:t>
      </w:r>
      <w:r>
        <w:rPr>
          <w:spacing w:val="-1"/>
          <w:sz w:val="24"/>
        </w:rPr>
        <w:t xml:space="preserve"> </w:t>
      </w:r>
      <w:r>
        <w:rPr>
          <w:sz w:val="24"/>
        </w:rPr>
        <w:t>to</w:t>
      </w:r>
      <w:r>
        <w:rPr>
          <w:spacing w:val="-5"/>
          <w:sz w:val="24"/>
        </w:rPr>
        <w:t xml:space="preserve"> </w:t>
      </w:r>
      <w:r>
        <w:rPr>
          <w:sz w:val="24"/>
        </w:rPr>
        <w:t>original</w:t>
      </w:r>
      <w:r>
        <w:rPr>
          <w:spacing w:val="-4"/>
          <w:sz w:val="24"/>
        </w:rPr>
        <w:t xml:space="preserve"> </w:t>
      </w:r>
      <w:r>
        <w:rPr>
          <w:sz w:val="24"/>
        </w:rPr>
        <w:t>proposals</w:t>
      </w:r>
      <w:r>
        <w:rPr>
          <w:spacing w:val="-1"/>
          <w:sz w:val="24"/>
        </w:rPr>
        <w:t xml:space="preserve"> </w:t>
      </w:r>
      <w:r>
        <w:rPr>
          <w:sz w:val="24"/>
        </w:rPr>
        <w:t>(structural</w:t>
      </w:r>
      <w:r>
        <w:rPr>
          <w:spacing w:val="-3"/>
          <w:sz w:val="24"/>
        </w:rPr>
        <w:t xml:space="preserve"> </w:t>
      </w:r>
      <w:r>
        <w:rPr>
          <w:sz w:val="24"/>
        </w:rPr>
        <w:t>changes</w:t>
      </w:r>
      <w:r>
        <w:rPr>
          <w:spacing w:val="-1"/>
          <w:sz w:val="24"/>
        </w:rPr>
        <w:t xml:space="preserve"> </w:t>
      </w:r>
      <w:r>
        <w:rPr>
          <w:spacing w:val="-2"/>
          <w:sz w:val="24"/>
        </w:rPr>
        <w:t>excluded);</w:t>
      </w:r>
    </w:p>
    <w:p w14:paraId="1E805835" w14:textId="77777777" w:rsidR="00AA4A02" w:rsidRDefault="00960F31">
      <w:pPr>
        <w:pStyle w:val="ListParagraph"/>
        <w:numPr>
          <w:ilvl w:val="3"/>
          <w:numId w:val="45"/>
        </w:numPr>
        <w:tabs>
          <w:tab w:val="left" w:pos="2268"/>
        </w:tabs>
        <w:spacing w:before="232" w:line="247" w:lineRule="auto"/>
        <w:ind w:right="427"/>
        <w:rPr>
          <w:sz w:val="24"/>
        </w:rPr>
      </w:pPr>
      <w:r>
        <w:rPr>
          <w:sz w:val="24"/>
        </w:rPr>
        <w:t>extent</w:t>
      </w:r>
      <w:r>
        <w:rPr>
          <w:spacing w:val="-3"/>
          <w:sz w:val="24"/>
        </w:rPr>
        <w:t xml:space="preserve"> </w:t>
      </w:r>
      <w:r>
        <w:rPr>
          <w:sz w:val="24"/>
        </w:rPr>
        <w:t>of</w:t>
      </w:r>
      <w:r>
        <w:rPr>
          <w:spacing w:val="-2"/>
          <w:sz w:val="24"/>
        </w:rPr>
        <w:t xml:space="preserve"> </w:t>
      </w:r>
      <w:r>
        <w:rPr>
          <w:sz w:val="24"/>
        </w:rPr>
        <w:t>input</w:t>
      </w:r>
      <w:r>
        <w:rPr>
          <w:spacing w:val="-7"/>
          <w:sz w:val="24"/>
        </w:rPr>
        <w:t xml:space="preserve"> </w:t>
      </w:r>
      <w:r>
        <w:rPr>
          <w:sz w:val="24"/>
        </w:rPr>
        <w:t>from</w:t>
      </w:r>
      <w:r>
        <w:rPr>
          <w:spacing w:val="-3"/>
          <w:sz w:val="24"/>
        </w:rPr>
        <w:t xml:space="preserve"> </w:t>
      </w:r>
      <w:r>
        <w:rPr>
          <w:sz w:val="24"/>
        </w:rPr>
        <w:t>interested</w:t>
      </w:r>
      <w:r>
        <w:rPr>
          <w:spacing w:val="-3"/>
          <w:sz w:val="24"/>
        </w:rPr>
        <w:t xml:space="preserve"> </w:t>
      </w:r>
      <w:r>
        <w:rPr>
          <w:sz w:val="24"/>
        </w:rPr>
        <w:t>parties</w:t>
      </w:r>
      <w:r>
        <w:rPr>
          <w:spacing w:val="-5"/>
          <w:sz w:val="24"/>
        </w:rPr>
        <w:t xml:space="preserve"> </w:t>
      </w:r>
      <w:r>
        <w:rPr>
          <w:sz w:val="24"/>
        </w:rPr>
        <w:t>and</w:t>
      </w:r>
      <w:r>
        <w:rPr>
          <w:spacing w:val="-3"/>
          <w:sz w:val="24"/>
        </w:rPr>
        <w:t xml:space="preserve"> </w:t>
      </w:r>
      <w:r>
        <w:rPr>
          <w:sz w:val="24"/>
        </w:rPr>
        <w:t>whether</w:t>
      </w:r>
      <w:r>
        <w:rPr>
          <w:spacing w:val="-7"/>
          <w:sz w:val="24"/>
        </w:rPr>
        <w:t xml:space="preserve"> </w:t>
      </w:r>
      <w:r>
        <w:rPr>
          <w:sz w:val="24"/>
        </w:rPr>
        <w:t>any</w:t>
      </w:r>
      <w:r>
        <w:rPr>
          <w:spacing w:val="-3"/>
          <w:sz w:val="24"/>
        </w:rPr>
        <w:t xml:space="preserve"> </w:t>
      </w:r>
      <w:r>
        <w:rPr>
          <w:sz w:val="24"/>
        </w:rPr>
        <w:t>key</w:t>
      </w:r>
      <w:r>
        <w:rPr>
          <w:spacing w:val="-3"/>
          <w:sz w:val="24"/>
        </w:rPr>
        <w:t xml:space="preserve"> </w:t>
      </w:r>
      <w:r>
        <w:rPr>
          <w:sz w:val="24"/>
        </w:rPr>
        <w:t>stakeholders have not provided input; and</w:t>
      </w:r>
    </w:p>
    <w:p w14:paraId="1E805836" w14:textId="77777777" w:rsidR="00AA4A02" w:rsidRDefault="00960F31">
      <w:pPr>
        <w:pStyle w:val="ListParagraph"/>
        <w:numPr>
          <w:ilvl w:val="3"/>
          <w:numId w:val="45"/>
        </w:numPr>
        <w:tabs>
          <w:tab w:val="left" w:pos="2268"/>
        </w:tabs>
        <w:spacing w:before="229"/>
        <w:ind w:hanging="710"/>
        <w:rPr>
          <w:sz w:val="24"/>
        </w:rPr>
      </w:pPr>
      <w:r>
        <w:rPr>
          <w:sz w:val="24"/>
        </w:rPr>
        <w:t>any</w:t>
      </w:r>
      <w:r>
        <w:rPr>
          <w:spacing w:val="-2"/>
          <w:sz w:val="24"/>
        </w:rPr>
        <w:t xml:space="preserve"> </w:t>
      </w:r>
      <w:r>
        <w:rPr>
          <w:sz w:val="24"/>
        </w:rPr>
        <w:t>new evidence</w:t>
      </w:r>
      <w:r>
        <w:rPr>
          <w:spacing w:val="1"/>
          <w:sz w:val="24"/>
        </w:rPr>
        <w:t xml:space="preserve"> </w:t>
      </w:r>
      <w:r>
        <w:rPr>
          <w:sz w:val="24"/>
        </w:rPr>
        <w:t>on the extent</w:t>
      </w:r>
      <w:r>
        <w:rPr>
          <w:spacing w:val="-3"/>
          <w:sz w:val="24"/>
        </w:rPr>
        <w:t xml:space="preserve"> </w:t>
      </w:r>
      <w:r>
        <w:rPr>
          <w:sz w:val="24"/>
        </w:rPr>
        <w:t>and nature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issue</w:t>
      </w:r>
      <w:r>
        <w:rPr>
          <w:spacing w:val="-1"/>
          <w:sz w:val="24"/>
        </w:rPr>
        <w:t xml:space="preserve"> </w:t>
      </w:r>
      <w:r>
        <w:rPr>
          <w:sz w:val="24"/>
        </w:rPr>
        <w:t>being</w:t>
      </w:r>
      <w:r>
        <w:rPr>
          <w:spacing w:val="1"/>
          <w:sz w:val="24"/>
        </w:rPr>
        <w:t xml:space="preserve"> </w:t>
      </w:r>
      <w:r>
        <w:rPr>
          <w:spacing w:val="-2"/>
          <w:sz w:val="24"/>
        </w:rPr>
        <w:t>addressed.</w:t>
      </w:r>
    </w:p>
    <w:p w14:paraId="1E805837" w14:textId="77777777" w:rsidR="00AA4A02" w:rsidRDefault="00960F31">
      <w:pPr>
        <w:pStyle w:val="ListParagraph"/>
        <w:numPr>
          <w:ilvl w:val="0"/>
          <w:numId w:val="44"/>
        </w:numPr>
        <w:tabs>
          <w:tab w:val="left" w:pos="1558"/>
        </w:tabs>
        <w:spacing w:before="238"/>
        <w:ind w:right="664"/>
        <w:rPr>
          <w:sz w:val="24"/>
        </w:rPr>
      </w:pPr>
      <w:r>
        <w:rPr>
          <w:sz w:val="24"/>
        </w:rPr>
        <w:t>The more extensive and fundamental the changes from the ED and current practice, the more likely the proposals should be re-exposed, albeit with a shortened exposure period. However, the AASB also considers the costs of delaying</w:t>
      </w:r>
      <w:r>
        <w:rPr>
          <w:spacing w:val="-2"/>
          <w:sz w:val="24"/>
        </w:rPr>
        <w:t xml:space="preserve"> </w:t>
      </w:r>
      <w:r>
        <w:rPr>
          <w:sz w:val="24"/>
        </w:rPr>
        <w:t>improvements</w:t>
      </w:r>
      <w:r>
        <w:rPr>
          <w:spacing w:val="-3"/>
          <w:sz w:val="24"/>
        </w:rPr>
        <w:t xml:space="preserve"> </w:t>
      </w:r>
      <w:r>
        <w:rPr>
          <w:sz w:val="24"/>
        </w:rPr>
        <w:t>to</w:t>
      </w:r>
      <w:r>
        <w:rPr>
          <w:spacing w:val="-7"/>
          <w:sz w:val="24"/>
        </w:rPr>
        <w:t xml:space="preserve"> </w:t>
      </w:r>
      <w:r>
        <w:rPr>
          <w:sz w:val="24"/>
        </w:rPr>
        <w:t>financial</w:t>
      </w:r>
      <w:r>
        <w:rPr>
          <w:spacing w:val="-1"/>
          <w:sz w:val="24"/>
        </w:rPr>
        <w:t xml:space="preserve"> </w:t>
      </w:r>
      <w:r>
        <w:rPr>
          <w:sz w:val="24"/>
        </w:rPr>
        <w:t>reporting</w:t>
      </w:r>
      <w:r>
        <w:rPr>
          <w:spacing w:val="-1"/>
          <w:sz w:val="24"/>
        </w:rPr>
        <w:t xml:space="preserve"> </w:t>
      </w:r>
      <w:r>
        <w:rPr>
          <w:sz w:val="24"/>
        </w:rPr>
        <w:t>and</w:t>
      </w:r>
      <w:r>
        <w:rPr>
          <w:spacing w:val="-6"/>
          <w:sz w:val="24"/>
        </w:rPr>
        <w:t xml:space="preserve"> </w:t>
      </w:r>
      <w:r>
        <w:rPr>
          <w:sz w:val="24"/>
        </w:rPr>
        <w:t>the</w:t>
      </w:r>
      <w:r>
        <w:rPr>
          <w:spacing w:val="-3"/>
          <w:sz w:val="24"/>
        </w:rPr>
        <w:t xml:space="preserve"> </w:t>
      </w:r>
      <w:r>
        <w:rPr>
          <w:sz w:val="24"/>
        </w:rPr>
        <w:t>urgency</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need</w:t>
      </w:r>
      <w:r>
        <w:rPr>
          <w:spacing w:val="-6"/>
          <w:sz w:val="24"/>
        </w:rPr>
        <w:t xml:space="preserve"> </w:t>
      </w:r>
      <w:r>
        <w:rPr>
          <w:sz w:val="24"/>
        </w:rPr>
        <w:t xml:space="preserve">for </w:t>
      </w:r>
      <w:r>
        <w:rPr>
          <w:spacing w:val="-2"/>
          <w:sz w:val="24"/>
        </w:rPr>
        <w:t>change.</w:t>
      </w:r>
    </w:p>
    <w:p w14:paraId="1E805838" w14:textId="77777777" w:rsidR="00AA4A02" w:rsidRDefault="00960F31">
      <w:pPr>
        <w:pStyle w:val="ListParagraph"/>
        <w:numPr>
          <w:ilvl w:val="0"/>
          <w:numId w:val="44"/>
        </w:numPr>
        <w:tabs>
          <w:tab w:val="left" w:pos="1558"/>
        </w:tabs>
        <w:spacing w:before="238" w:line="247" w:lineRule="auto"/>
        <w:ind w:right="483"/>
        <w:rPr>
          <w:sz w:val="24"/>
        </w:rPr>
      </w:pPr>
      <w:r>
        <w:rPr>
          <w:sz w:val="24"/>
        </w:rPr>
        <w:t>More</w:t>
      </w:r>
      <w:r>
        <w:rPr>
          <w:spacing w:val="-3"/>
          <w:sz w:val="24"/>
        </w:rPr>
        <w:t xml:space="preserve"> </w:t>
      </w:r>
      <w:r>
        <w:rPr>
          <w:sz w:val="24"/>
        </w:rPr>
        <w:t>weight</w:t>
      </w:r>
      <w:r>
        <w:rPr>
          <w:spacing w:val="-1"/>
          <w:sz w:val="24"/>
        </w:rPr>
        <w:t xml:space="preserve"> </w:t>
      </w:r>
      <w:r>
        <w:rPr>
          <w:sz w:val="24"/>
        </w:rPr>
        <w:t>is</w:t>
      </w:r>
      <w:r>
        <w:rPr>
          <w:spacing w:val="-5"/>
          <w:sz w:val="24"/>
        </w:rPr>
        <w:t xml:space="preserve"> </w:t>
      </w:r>
      <w:r>
        <w:rPr>
          <w:sz w:val="24"/>
        </w:rPr>
        <w:t>given</w:t>
      </w:r>
      <w:r>
        <w:rPr>
          <w:spacing w:val="-3"/>
          <w:sz w:val="24"/>
        </w:rPr>
        <w:t xml:space="preserve"> </w:t>
      </w:r>
      <w:r>
        <w:rPr>
          <w:sz w:val="24"/>
        </w:rPr>
        <w:t>to</w:t>
      </w:r>
      <w:r>
        <w:rPr>
          <w:spacing w:val="-7"/>
          <w:sz w:val="24"/>
        </w:rPr>
        <w:t xml:space="preserve"> </w:t>
      </w:r>
      <w:r>
        <w:rPr>
          <w:sz w:val="24"/>
        </w:rPr>
        <w:t>changes</w:t>
      </w:r>
      <w:r>
        <w:rPr>
          <w:spacing w:val="-5"/>
          <w:sz w:val="24"/>
        </w:rPr>
        <w:t xml:space="preserve"> </w:t>
      </w:r>
      <w:r>
        <w:rPr>
          <w:sz w:val="24"/>
        </w:rPr>
        <w:t>in</w:t>
      </w:r>
      <w:r>
        <w:rPr>
          <w:spacing w:val="-3"/>
          <w:sz w:val="24"/>
        </w:rPr>
        <w:t xml:space="preserve"> </w:t>
      </w:r>
      <w:r>
        <w:rPr>
          <w:sz w:val="24"/>
        </w:rPr>
        <w:t>recognition</w:t>
      </w:r>
      <w:r>
        <w:rPr>
          <w:spacing w:val="-6"/>
          <w:sz w:val="24"/>
        </w:rPr>
        <w:t xml:space="preserve"> </w:t>
      </w:r>
      <w:r>
        <w:rPr>
          <w:sz w:val="24"/>
        </w:rPr>
        <w:t>and</w:t>
      </w:r>
      <w:r>
        <w:rPr>
          <w:spacing w:val="-2"/>
          <w:sz w:val="24"/>
        </w:rPr>
        <w:t xml:space="preserve"> </w:t>
      </w:r>
      <w:r>
        <w:rPr>
          <w:sz w:val="24"/>
        </w:rPr>
        <w:t>measurement</w:t>
      </w:r>
      <w:r>
        <w:rPr>
          <w:spacing w:val="-2"/>
          <w:sz w:val="24"/>
        </w:rPr>
        <w:t xml:space="preserve"> </w:t>
      </w:r>
      <w:r>
        <w:rPr>
          <w:sz w:val="24"/>
        </w:rPr>
        <w:t>requirements than to disclosures in assessing whether to re-expose.</w:t>
      </w:r>
    </w:p>
    <w:p w14:paraId="1E805839" w14:textId="77777777" w:rsidR="00AA4A02" w:rsidRDefault="00960F31">
      <w:pPr>
        <w:pStyle w:val="ListParagraph"/>
        <w:numPr>
          <w:ilvl w:val="2"/>
          <w:numId w:val="45"/>
        </w:numPr>
        <w:tabs>
          <w:tab w:val="left" w:pos="852"/>
        </w:tabs>
        <w:spacing w:before="224" w:line="247" w:lineRule="auto"/>
        <w:ind w:left="852" w:right="449"/>
        <w:rPr>
          <w:sz w:val="24"/>
        </w:rPr>
      </w:pPr>
      <w:r>
        <w:rPr>
          <w:sz w:val="24"/>
        </w:rPr>
        <w:t>Re-exposed</w:t>
      </w:r>
      <w:r>
        <w:rPr>
          <w:spacing w:val="-2"/>
          <w:sz w:val="24"/>
        </w:rPr>
        <w:t xml:space="preserve"> </w:t>
      </w:r>
      <w:r>
        <w:rPr>
          <w:sz w:val="24"/>
        </w:rPr>
        <w:t>EDs</w:t>
      </w:r>
      <w:r>
        <w:rPr>
          <w:spacing w:val="-6"/>
          <w:sz w:val="24"/>
        </w:rPr>
        <w:t xml:space="preserve"> </w:t>
      </w:r>
      <w:r>
        <w:rPr>
          <w:sz w:val="24"/>
        </w:rPr>
        <w:t>are</w:t>
      </w:r>
      <w:r>
        <w:rPr>
          <w:spacing w:val="-3"/>
          <w:sz w:val="24"/>
        </w:rPr>
        <w:t xml:space="preserve"> </w:t>
      </w:r>
      <w:r>
        <w:rPr>
          <w:sz w:val="24"/>
        </w:rPr>
        <w:t>subject</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general</w:t>
      </w:r>
      <w:r>
        <w:rPr>
          <w:spacing w:val="-7"/>
          <w:sz w:val="24"/>
        </w:rPr>
        <w:t xml:space="preserve"> </w:t>
      </w:r>
      <w:r>
        <w:rPr>
          <w:sz w:val="24"/>
        </w:rPr>
        <w:t>principles</w:t>
      </w:r>
      <w:r>
        <w:rPr>
          <w:spacing w:val="-5"/>
          <w:sz w:val="24"/>
        </w:rPr>
        <w:t xml:space="preserve"> </w:t>
      </w:r>
      <w:r>
        <w:rPr>
          <w:sz w:val="24"/>
        </w:rPr>
        <w:t>regarding</w:t>
      </w:r>
      <w:r>
        <w:rPr>
          <w:spacing w:val="-2"/>
          <w:sz w:val="24"/>
        </w:rPr>
        <w:t xml:space="preserve"> </w:t>
      </w:r>
      <w:r>
        <w:rPr>
          <w:sz w:val="24"/>
        </w:rPr>
        <w:t>comment</w:t>
      </w:r>
      <w:r>
        <w:rPr>
          <w:spacing w:val="-2"/>
          <w:sz w:val="24"/>
        </w:rPr>
        <w:t xml:space="preserve"> </w:t>
      </w:r>
      <w:r>
        <w:rPr>
          <w:sz w:val="24"/>
        </w:rPr>
        <w:t>periods and submission processes as applicable to ordinary EDs.</w:t>
      </w:r>
    </w:p>
    <w:p w14:paraId="1E80583A" w14:textId="77777777" w:rsidR="00AA4A02" w:rsidRDefault="00AA4A02">
      <w:pPr>
        <w:pStyle w:val="BodyText"/>
        <w:rPr>
          <w:sz w:val="20"/>
        </w:rPr>
      </w:pPr>
    </w:p>
    <w:p w14:paraId="1E80583B" w14:textId="77777777" w:rsidR="00AA4A02" w:rsidRDefault="00AA4A02">
      <w:pPr>
        <w:pStyle w:val="BodyText"/>
        <w:rPr>
          <w:sz w:val="20"/>
        </w:rPr>
      </w:pPr>
    </w:p>
    <w:p w14:paraId="1E80583C" w14:textId="77777777" w:rsidR="00AA4A02" w:rsidRDefault="00AA4A02">
      <w:pPr>
        <w:pStyle w:val="BodyText"/>
        <w:rPr>
          <w:sz w:val="20"/>
        </w:rPr>
      </w:pPr>
    </w:p>
    <w:p w14:paraId="1E80583D" w14:textId="77777777" w:rsidR="00AA4A02" w:rsidRDefault="00AA4A02">
      <w:pPr>
        <w:pStyle w:val="BodyText"/>
        <w:rPr>
          <w:sz w:val="20"/>
        </w:rPr>
      </w:pPr>
    </w:p>
    <w:p w14:paraId="1E80583E" w14:textId="77777777" w:rsidR="00AA4A02" w:rsidRDefault="00AA4A02">
      <w:pPr>
        <w:pStyle w:val="BodyText"/>
        <w:rPr>
          <w:sz w:val="20"/>
        </w:rPr>
      </w:pPr>
    </w:p>
    <w:p w14:paraId="1E80583F" w14:textId="77777777" w:rsidR="00AA4A02" w:rsidRDefault="00960F31">
      <w:pPr>
        <w:pStyle w:val="BodyText"/>
        <w:spacing w:before="8"/>
        <w:rPr>
          <w:sz w:val="20"/>
        </w:rPr>
      </w:pPr>
      <w:r>
        <w:rPr>
          <w:noProof/>
          <w:sz w:val="20"/>
        </w:rPr>
        <mc:AlternateContent>
          <mc:Choice Requires="wps">
            <w:drawing>
              <wp:anchor distT="0" distB="0" distL="0" distR="0" simplePos="0" relativeHeight="487595520" behindDoc="1" locked="0" layoutInCell="1" allowOverlap="1" wp14:anchorId="1E805F31" wp14:editId="1E805F32">
                <wp:simplePos x="0" y="0"/>
                <wp:positionH relativeFrom="page">
                  <wp:posOffset>899464</wp:posOffset>
                </wp:positionH>
                <wp:positionV relativeFrom="paragraph">
                  <wp:posOffset>166880</wp:posOffset>
                </wp:positionV>
                <wp:extent cx="183007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F9E937" id="Graphic 34" o:spid="_x0000_s1026" style="position:absolute;margin-left:70.8pt;margin-top:13.15pt;width:144.1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v/iwMN4AAAAJAQAADwAAAAAAAAAAAAAAAAB9BAAAZHJzL2Rvd25y&#10;ZXYueG1sUEsFBgAAAAAEAAQA8wAAAIgFAAAAAA==&#10;" path="m1829689,l,,,6095r1829689,l1829689,xe" fillcolor="black" stroked="f">
                <v:path arrowok="t"/>
                <w10:wrap type="topAndBottom" anchorx="page"/>
              </v:shape>
            </w:pict>
          </mc:Fallback>
        </mc:AlternateContent>
      </w:r>
    </w:p>
    <w:p w14:paraId="1E805840" w14:textId="77777777" w:rsidR="00AA4A02" w:rsidRDefault="00960F31">
      <w:pPr>
        <w:pStyle w:val="ListParagraph"/>
        <w:numPr>
          <w:ilvl w:val="0"/>
          <w:numId w:val="53"/>
        </w:numPr>
        <w:tabs>
          <w:tab w:val="left" w:pos="481"/>
        </w:tabs>
        <w:spacing w:before="106"/>
        <w:ind w:left="481" w:hanging="340"/>
        <w:rPr>
          <w:sz w:val="20"/>
        </w:rPr>
      </w:pPr>
      <w:r>
        <w:rPr>
          <w:sz w:val="20"/>
        </w:rPr>
        <w:t>The</w:t>
      </w:r>
      <w:r>
        <w:rPr>
          <w:spacing w:val="-6"/>
          <w:sz w:val="20"/>
        </w:rPr>
        <w:t xml:space="preserve"> </w:t>
      </w:r>
      <w:r>
        <w:rPr>
          <w:sz w:val="20"/>
        </w:rPr>
        <w:t>voting</w:t>
      </w:r>
      <w:r>
        <w:rPr>
          <w:spacing w:val="-5"/>
          <w:sz w:val="20"/>
        </w:rPr>
        <w:t xml:space="preserve"> </w:t>
      </w:r>
      <w:r>
        <w:rPr>
          <w:sz w:val="20"/>
        </w:rPr>
        <w:t>requirements</w:t>
      </w:r>
      <w:r>
        <w:rPr>
          <w:spacing w:val="-6"/>
          <w:sz w:val="20"/>
        </w:rPr>
        <w:t xml:space="preserve"> </w:t>
      </w:r>
      <w:r>
        <w:rPr>
          <w:sz w:val="20"/>
        </w:rPr>
        <w:t>are</w:t>
      </w:r>
      <w:r>
        <w:rPr>
          <w:spacing w:val="-3"/>
          <w:sz w:val="20"/>
        </w:rPr>
        <w:t xml:space="preserve"> </w:t>
      </w:r>
      <w:r>
        <w:rPr>
          <w:sz w:val="20"/>
        </w:rPr>
        <w:t>set</w:t>
      </w:r>
      <w:r>
        <w:rPr>
          <w:spacing w:val="-4"/>
          <w:sz w:val="20"/>
        </w:rPr>
        <w:t xml:space="preserve"> </w:t>
      </w:r>
      <w:r>
        <w:rPr>
          <w:sz w:val="20"/>
        </w:rPr>
        <w:t>out</w:t>
      </w:r>
      <w:r>
        <w:rPr>
          <w:spacing w:val="-4"/>
          <w:sz w:val="20"/>
        </w:rPr>
        <w:t xml:space="preserve"> </w:t>
      </w:r>
      <w:r>
        <w:rPr>
          <w:sz w:val="20"/>
        </w:rPr>
        <w:t>in</w:t>
      </w:r>
      <w:r>
        <w:rPr>
          <w:spacing w:val="-6"/>
          <w:sz w:val="20"/>
        </w:rPr>
        <w:t xml:space="preserve"> </w:t>
      </w:r>
      <w:r>
        <w:rPr>
          <w:sz w:val="20"/>
        </w:rPr>
        <w:t>the</w:t>
      </w:r>
      <w:r>
        <w:rPr>
          <w:spacing w:val="-3"/>
          <w:sz w:val="20"/>
        </w:rPr>
        <w:t xml:space="preserve"> </w:t>
      </w:r>
      <w:r>
        <w:rPr>
          <w:i/>
          <w:sz w:val="20"/>
        </w:rPr>
        <w:t>AASB</w:t>
      </w:r>
      <w:r>
        <w:rPr>
          <w:i/>
          <w:spacing w:val="-4"/>
          <w:sz w:val="20"/>
        </w:rPr>
        <w:t xml:space="preserve"> </w:t>
      </w:r>
      <w:r>
        <w:rPr>
          <w:i/>
          <w:sz w:val="20"/>
        </w:rPr>
        <w:t>and</w:t>
      </w:r>
      <w:r>
        <w:rPr>
          <w:i/>
          <w:spacing w:val="-5"/>
          <w:sz w:val="20"/>
        </w:rPr>
        <w:t xml:space="preserve"> </w:t>
      </w:r>
      <w:r>
        <w:rPr>
          <w:i/>
          <w:sz w:val="20"/>
        </w:rPr>
        <w:t>AUASB</w:t>
      </w:r>
      <w:r>
        <w:rPr>
          <w:i/>
          <w:spacing w:val="-3"/>
          <w:sz w:val="20"/>
        </w:rPr>
        <w:t xml:space="preserve"> </w:t>
      </w:r>
      <w:r>
        <w:rPr>
          <w:i/>
          <w:sz w:val="20"/>
        </w:rPr>
        <w:t>Board</w:t>
      </w:r>
      <w:r>
        <w:rPr>
          <w:i/>
          <w:spacing w:val="-5"/>
          <w:sz w:val="20"/>
        </w:rPr>
        <w:t xml:space="preserve"> </w:t>
      </w:r>
      <w:r>
        <w:rPr>
          <w:i/>
          <w:spacing w:val="-2"/>
          <w:sz w:val="20"/>
        </w:rPr>
        <w:t>Charter</w:t>
      </w:r>
      <w:r>
        <w:rPr>
          <w:spacing w:val="-2"/>
          <w:sz w:val="20"/>
        </w:rPr>
        <w:t>.</w:t>
      </w:r>
    </w:p>
    <w:p w14:paraId="1E805841"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42" w14:textId="77777777" w:rsidR="00AA4A02" w:rsidRDefault="00960F31">
      <w:pPr>
        <w:spacing w:before="84"/>
        <w:ind w:left="852"/>
        <w:rPr>
          <w:b/>
          <w:i/>
          <w:sz w:val="24"/>
        </w:rPr>
      </w:pPr>
      <w:r>
        <w:rPr>
          <w:b/>
          <w:i/>
          <w:spacing w:val="-2"/>
          <w:sz w:val="24"/>
        </w:rPr>
        <w:lastRenderedPageBreak/>
        <w:t>IASB-related</w:t>
      </w:r>
    </w:p>
    <w:p w14:paraId="1E805843" w14:textId="77777777" w:rsidR="00AA4A02" w:rsidRDefault="00960F31">
      <w:pPr>
        <w:pStyle w:val="ListParagraph"/>
        <w:numPr>
          <w:ilvl w:val="2"/>
          <w:numId w:val="45"/>
        </w:numPr>
        <w:tabs>
          <w:tab w:val="left" w:pos="852"/>
        </w:tabs>
        <w:spacing w:before="239" w:line="242" w:lineRule="auto"/>
        <w:ind w:left="852" w:right="747"/>
        <w:rPr>
          <w:sz w:val="24"/>
        </w:rPr>
      </w:pPr>
      <w:r>
        <w:rPr>
          <w:sz w:val="24"/>
        </w:rPr>
        <w:t>The</w:t>
      </w:r>
      <w:r>
        <w:rPr>
          <w:spacing w:val="-2"/>
          <w:sz w:val="24"/>
        </w:rPr>
        <w:t xml:space="preserve"> </w:t>
      </w:r>
      <w:r>
        <w:rPr>
          <w:sz w:val="24"/>
        </w:rPr>
        <w:t>AASB</w:t>
      </w:r>
      <w:r>
        <w:rPr>
          <w:spacing w:val="-2"/>
          <w:sz w:val="24"/>
        </w:rPr>
        <w:t xml:space="preserve"> </w:t>
      </w:r>
      <w:r>
        <w:rPr>
          <w:sz w:val="24"/>
        </w:rPr>
        <w:t>forms</w:t>
      </w:r>
      <w:r>
        <w:rPr>
          <w:spacing w:val="-2"/>
          <w:sz w:val="24"/>
        </w:rPr>
        <w:t xml:space="preserve"> </w:t>
      </w:r>
      <w:r>
        <w:rPr>
          <w:sz w:val="24"/>
        </w:rPr>
        <w:t>its</w:t>
      </w:r>
      <w:r>
        <w:rPr>
          <w:spacing w:val="-3"/>
          <w:sz w:val="24"/>
        </w:rPr>
        <w:t xml:space="preserve"> </w:t>
      </w:r>
      <w:r>
        <w:rPr>
          <w:sz w:val="24"/>
        </w:rPr>
        <w:t>own</w:t>
      </w:r>
      <w:r>
        <w:rPr>
          <w:spacing w:val="-2"/>
          <w:sz w:val="24"/>
        </w:rPr>
        <w:t xml:space="preserve"> </w:t>
      </w:r>
      <w:r>
        <w:rPr>
          <w:sz w:val="24"/>
        </w:rPr>
        <w:t>view</w:t>
      </w:r>
      <w:r>
        <w:rPr>
          <w:spacing w:val="-2"/>
          <w:sz w:val="24"/>
        </w:rPr>
        <w:t xml:space="preserve"> </w:t>
      </w:r>
      <w:r>
        <w:rPr>
          <w:sz w:val="24"/>
        </w:rPr>
        <w:t>on</w:t>
      </w:r>
      <w:r>
        <w:rPr>
          <w:spacing w:val="-1"/>
          <w:sz w:val="24"/>
        </w:rPr>
        <w:t xml:space="preserve"> </w:t>
      </w:r>
      <w:r>
        <w:rPr>
          <w:sz w:val="24"/>
        </w:rPr>
        <w:t>whether</w:t>
      </w:r>
      <w:r>
        <w:rPr>
          <w:spacing w:val="-4"/>
          <w:sz w:val="24"/>
        </w:rPr>
        <w:t xml:space="preserve"> </w:t>
      </w:r>
      <w:r>
        <w:rPr>
          <w:sz w:val="24"/>
        </w:rPr>
        <w:t>the</w:t>
      </w:r>
      <w:r>
        <w:rPr>
          <w:spacing w:val="-6"/>
          <w:sz w:val="24"/>
        </w:rPr>
        <w:t xml:space="preserve"> </w:t>
      </w:r>
      <w:r>
        <w:rPr>
          <w:sz w:val="24"/>
        </w:rPr>
        <w:t>IASB</w:t>
      </w:r>
      <w:r>
        <w:rPr>
          <w:spacing w:val="-3"/>
          <w:sz w:val="24"/>
        </w:rPr>
        <w:t xml:space="preserve"> </w:t>
      </w:r>
      <w:r>
        <w:rPr>
          <w:sz w:val="24"/>
        </w:rPr>
        <w:t>has</w:t>
      </w:r>
      <w:r>
        <w:rPr>
          <w:spacing w:val="-3"/>
          <w:sz w:val="24"/>
        </w:rPr>
        <w:t xml:space="preserve"> </w:t>
      </w:r>
      <w:r>
        <w:rPr>
          <w:sz w:val="24"/>
        </w:rPr>
        <w:t>complied</w:t>
      </w:r>
      <w:r>
        <w:rPr>
          <w:spacing w:val="-1"/>
          <w:sz w:val="24"/>
        </w:rPr>
        <w:t xml:space="preserve"> </w:t>
      </w:r>
      <w:r>
        <w:rPr>
          <w:sz w:val="24"/>
        </w:rPr>
        <w:t>with</w:t>
      </w:r>
      <w:r>
        <w:rPr>
          <w:spacing w:val="-1"/>
          <w:sz w:val="24"/>
        </w:rPr>
        <w:t xml:space="preserve"> </w:t>
      </w:r>
      <w:r>
        <w:rPr>
          <w:sz w:val="24"/>
        </w:rPr>
        <w:t>the</w:t>
      </w:r>
      <w:r>
        <w:rPr>
          <w:spacing w:val="-6"/>
          <w:sz w:val="24"/>
        </w:rPr>
        <w:t xml:space="preserve"> </w:t>
      </w:r>
      <w:r>
        <w:rPr>
          <w:sz w:val="24"/>
        </w:rPr>
        <w:t>IASB’s due process, and if not satisfied makes a submission to the IASB to request re-</w:t>
      </w:r>
      <w:r>
        <w:rPr>
          <w:spacing w:val="-2"/>
          <w:sz w:val="24"/>
        </w:rPr>
        <w:t>exposure.</w:t>
      </w:r>
    </w:p>
    <w:p w14:paraId="1E805844" w14:textId="77777777" w:rsidR="00AA4A02" w:rsidRDefault="00960F31">
      <w:pPr>
        <w:pStyle w:val="Heading9"/>
        <w:spacing w:before="229" w:line="247" w:lineRule="auto"/>
        <w:ind w:right="616"/>
      </w:pPr>
      <w:r>
        <w:t>Completing</w:t>
      </w:r>
      <w:r>
        <w:rPr>
          <w:spacing w:val="-6"/>
        </w:rPr>
        <w:t xml:space="preserve"> </w:t>
      </w:r>
      <w:r>
        <w:t>the</w:t>
      </w:r>
      <w:r>
        <w:rPr>
          <w:spacing w:val="-4"/>
        </w:rPr>
        <w:t xml:space="preserve"> </w:t>
      </w:r>
      <w:r>
        <w:t>Basis</w:t>
      </w:r>
      <w:r>
        <w:rPr>
          <w:spacing w:val="-5"/>
        </w:rPr>
        <w:t xml:space="preserve"> </w:t>
      </w:r>
      <w:r>
        <w:t>for</w:t>
      </w:r>
      <w:r>
        <w:rPr>
          <w:spacing w:val="-4"/>
        </w:rPr>
        <w:t xml:space="preserve"> </w:t>
      </w:r>
      <w:r>
        <w:t>Conclusions</w:t>
      </w:r>
      <w:r>
        <w:rPr>
          <w:spacing w:val="-3"/>
        </w:rPr>
        <w:t xml:space="preserve"> </w:t>
      </w:r>
      <w:r>
        <w:t>and</w:t>
      </w:r>
      <w:r>
        <w:rPr>
          <w:spacing w:val="-6"/>
        </w:rPr>
        <w:t xml:space="preserve"> </w:t>
      </w:r>
      <w:r>
        <w:t>the</w:t>
      </w:r>
      <w:r>
        <w:rPr>
          <w:spacing w:val="-4"/>
        </w:rPr>
        <w:t xml:space="preserve"> </w:t>
      </w:r>
      <w:r>
        <w:t>Regulation</w:t>
      </w:r>
      <w:r>
        <w:rPr>
          <w:spacing w:val="-2"/>
        </w:rPr>
        <w:t xml:space="preserve"> </w:t>
      </w:r>
      <w:r>
        <w:t>Impact</w:t>
      </w:r>
      <w:r>
        <w:rPr>
          <w:spacing w:val="-2"/>
        </w:rPr>
        <w:t xml:space="preserve"> </w:t>
      </w:r>
      <w:r>
        <w:t>Statement (RIS questions 4 and 6)</w:t>
      </w:r>
    </w:p>
    <w:p w14:paraId="1E805845" w14:textId="77777777" w:rsidR="00AA4A02" w:rsidRDefault="00960F31">
      <w:pPr>
        <w:pStyle w:val="ListParagraph"/>
        <w:numPr>
          <w:ilvl w:val="2"/>
          <w:numId w:val="43"/>
        </w:numPr>
        <w:tabs>
          <w:tab w:val="left" w:pos="852"/>
        </w:tabs>
        <w:spacing w:before="229"/>
        <w:rPr>
          <w:sz w:val="24"/>
        </w:rPr>
      </w:pPr>
      <w:r>
        <w:rPr>
          <w:sz w:val="24"/>
        </w:rPr>
        <w:t>A</w:t>
      </w:r>
      <w:r>
        <w:rPr>
          <w:spacing w:val="-4"/>
          <w:sz w:val="24"/>
        </w:rPr>
        <w:t xml:space="preserve"> </w:t>
      </w:r>
      <w:r>
        <w:rPr>
          <w:sz w:val="24"/>
        </w:rPr>
        <w:t>Basis</w:t>
      </w:r>
      <w:r>
        <w:rPr>
          <w:spacing w:val="-1"/>
          <w:sz w:val="24"/>
        </w:rPr>
        <w:t xml:space="preserve"> </w:t>
      </w:r>
      <w:r>
        <w:rPr>
          <w:sz w:val="24"/>
        </w:rPr>
        <w:t>for</w:t>
      </w:r>
      <w:r>
        <w:rPr>
          <w:spacing w:val="1"/>
          <w:sz w:val="24"/>
        </w:rPr>
        <w:t xml:space="preserve"> </w:t>
      </w:r>
      <w:r>
        <w:rPr>
          <w:sz w:val="24"/>
        </w:rPr>
        <w:t>Conclusions</w:t>
      </w:r>
      <w:r>
        <w:rPr>
          <w:spacing w:val="-1"/>
          <w:sz w:val="24"/>
        </w:rPr>
        <w:t xml:space="preserve"> </w:t>
      </w:r>
      <w:r>
        <w:rPr>
          <w:sz w:val="24"/>
        </w:rPr>
        <w:t>is</w:t>
      </w:r>
      <w:r>
        <w:rPr>
          <w:spacing w:val="-3"/>
          <w:sz w:val="24"/>
        </w:rPr>
        <w:t xml:space="preserve"> </w:t>
      </w:r>
      <w:r>
        <w:rPr>
          <w:sz w:val="24"/>
        </w:rPr>
        <w:t>prepared</w:t>
      </w:r>
      <w:r>
        <w:rPr>
          <w:spacing w:val="1"/>
          <w:sz w:val="24"/>
        </w:rPr>
        <w:t xml:space="preserve"> </w:t>
      </w:r>
      <w:r>
        <w:rPr>
          <w:sz w:val="24"/>
        </w:rPr>
        <w:t>for</w:t>
      </w:r>
      <w:r>
        <w:rPr>
          <w:spacing w:val="1"/>
          <w:sz w:val="24"/>
        </w:rPr>
        <w:t xml:space="preserve"> </w:t>
      </w:r>
      <w:r>
        <w:rPr>
          <w:sz w:val="24"/>
        </w:rPr>
        <w:t xml:space="preserve">each pronouncement which </w:t>
      </w:r>
      <w:r>
        <w:rPr>
          <w:spacing w:val="-2"/>
          <w:sz w:val="24"/>
        </w:rPr>
        <w:t>outlines:</w:t>
      </w:r>
    </w:p>
    <w:p w14:paraId="1E805846" w14:textId="77777777" w:rsidR="00AA4A02" w:rsidRDefault="00960F31">
      <w:pPr>
        <w:pStyle w:val="ListParagraph"/>
        <w:numPr>
          <w:ilvl w:val="3"/>
          <w:numId w:val="43"/>
        </w:numPr>
        <w:tabs>
          <w:tab w:val="left" w:pos="1557"/>
        </w:tabs>
        <w:spacing w:before="242"/>
        <w:ind w:left="1557" w:hanging="705"/>
        <w:rPr>
          <w:sz w:val="24"/>
        </w:rPr>
      </w:pPr>
      <w:r>
        <w:rPr>
          <w:sz w:val="24"/>
        </w:rPr>
        <w:t>reasons</w:t>
      </w:r>
      <w:r>
        <w:rPr>
          <w:spacing w:val="-5"/>
          <w:sz w:val="24"/>
        </w:rPr>
        <w:t xml:space="preserve"> </w:t>
      </w:r>
      <w:r>
        <w:rPr>
          <w:sz w:val="24"/>
        </w:rPr>
        <w:t>for</w:t>
      </w:r>
      <w:r>
        <w:rPr>
          <w:spacing w:val="2"/>
          <w:sz w:val="24"/>
        </w:rPr>
        <w:t xml:space="preserve"> </w:t>
      </w:r>
      <w:r>
        <w:rPr>
          <w:sz w:val="24"/>
        </w:rPr>
        <w:t>reaching</w:t>
      </w:r>
      <w:r>
        <w:rPr>
          <w:spacing w:val="1"/>
          <w:sz w:val="24"/>
        </w:rPr>
        <w:t xml:space="preserve"> </w:t>
      </w:r>
      <w:r>
        <w:rPr>
          <w:sz w:val="24"/>
        </w:rPr>
        <w:t>the</w:t>
      </w:r>
      <w:r>
        <w:rPr>
          <w:spacing w:val="-5"/>
          <w:sz w:val="24"/>
        </w:rPr>
        <w:t xml:space="preserve"> </w:t>
      </w:r>
      <w:r>
        <w:rPr>
          <w:sz w:val="24"/>
        </w:rPr>
        <w:t>conclusions</w:t>
      </w:r>
      <w:r>
        <w:rPr>
          <w:spacing w:val="-1"/>
          <w:sz w:val="24"/>
        </w:rPr>
        <w:t xml:space="preserve"> </w:t>
      </w:r>
      <w:r>
        <w:rPr>
          <w:sz w:val="24"/>
        </w:rPr>
        <w:t>in the final</w:t>
      </w:r>
      <w:r>
        <w:rPr>
          <w:spacing w:val="1"/>
          <w:sz w:val="24"/>
        </w:rPr>
        <w:t xml:space="preserve"> </w:t>
      </w:r>
      <w:r>
        <w:rPr>
          <w:sz w:val="24"/>
        </w:rPr>
        <w:t xml:space="preserve">issued </w:t>
      </w:r>
      <w:r>
        <w:rPr>
          <w:spacing w:val="-2"/>
          <w:sz w:val="24"/>
        </w:rPr>
        <w:t>pronouncement;</w:t>
      </w:r>
    </w:p>
    <w:p w14:paraId="1E805847" w14:textId="77777777" w:rsidR="00AA4A02" w:rsidRDefault="00960F31">
      <w:pPr>
        <w:pStyle w:val="ListParagraph"/>
        <w:numPr>
          <w:ilvl w:val="3"/>
          <w:numId w:val="43"/>
        </w:numPr>
        <w:tabs>
          <w:tab w:val="left" w:pos="1557"/>
        </w:tabs>
        <w:spacing w:before="238"/>
        <w:ind w:left="1557" w:hanging="705"/>
        <w:rPr>
          <w:sz w:val="24"/>
        </w:rPr>
      </w:pPr>
      <w:r>
        <w:rPr>
          <w:sz w:val="24"/>
        </w:rPr>
        <w:t>evidence</w:t>
      </w:r>
      <w:r>
        <w:rPr>
          <w:spacing w:val="-3"/>
          <w:sz w:val="24"/>
        </w:rPr>
        <w:t xml:space="preserve"> </w:t>
      </w:r>
      <w:r>
        <w:rPr>
          <w:sz w:val="24"/>
        </w:rPr>
        <w:t>and</w:t>
      </w:r>
      <w:r>
        <w:rPr>
          <w:spacing w:val="1"/>
          <w:sz w:val="24"/>
        </w:rPr>
        <w:t xml:space="preserve"> </w:t>
      </w:r>
      <w:r>
        <w:rPr>
          <w:sz w:val="24"/>
        </w:rPr>
        <w:t>key factors considered</w:t>
      </w:r>
      <w:r>
        <w:rPr>
          <w:spacing w:val="1"/>
          <w:sz w:val="24"/>
        </w:rPr>
        <w:t xml:space="preserve"> </w:t>
      </w:r>
      <w:r>
        <w:rPr>
          <w:sz w:val="24"/>
        </w:rPr>
        <w:t>in</w:t>
      </w:r>
      <w:r>
        <w:rPr>
          <w:spacing w:val="-5"/>
          <w:sz w:val="24"/>
        </w:rPr>
        <w:t xml:space="preserve"> </w:t>
      </w:r>
      <w:r>
        <w:rPr>
          <w:sz w:val="24"/>
        </w:rPr>
        <w:t>arriving</w:t>
      </w:r>
      <w:r>
        <w:rPr>
          <w:spacing w:val="-2"/>
          <w:sz w:val="24"/>
        </w:rPr>
        <w:t xml:space="preserve"> </w:t>
      </w:r>
      <w:r>
        <w:rPr>
          <w:sz w:val="24"/>
        </w:rPr>
        <w:t xml:space="preserve">at the </w:t>
      </w:r>
      <w:r>
        <w:rPr>
          <w:spacing w:val="-2"/>
          <w:sz w:val="24"/>
        </w:rPr>
        <w:t>decisions;</w:t>
      </w:r>
    </w:p>
    <w:p w14:paraId="1E805848" w14:textId="77777777" w:rsidR="00AA4A02" w:rsidRDefault="00960F31">
      <w:pPr>
        <w:pStyle w:val="ListParagraph"/>
        <w:numPr>
          <w:ilvl w:val="3"/>
          <w:numId w:val="43"/>
        </w:numPr>
        <w:tabs>
          <w:tab w:val="left" w:pos="1557"/>
        </w:tabs>
        <w:spacing w:before="243"/>
        <w:ind w:left="1557" w:hanging="705"/>
        <w:rPr>
          <w:sz w:val="24"/>
        </w:rPr>
      </w:pPr>
      <w:r>
        <w:rPr>
          <w:sz w:val="24"/>
        </w:rPr>
        <w:t>consultation</w:t>
      </w:r>
      <w:r>
        <w:rPr>
          <w:spacing w:val="-3"/>
          <w:sz w:val="24"/>
        </w:rPr>
        <w:t xml:space="preserve"> </w:t>
      </w:r>
      <w:r>
        <w:rPr>
          <w:sz w:val="24"/>
        </w:rPr>
        <w:t>processes</w:t>
      </w:r>
      <w:r>
        <w:rPr>
          <w:spacing w:val="-6"/>
          <w:sz w:val="24"/>
        </w:rPr>
        <w:t xml:space="preserve"> </w:t>
      </w:r>
      <w:r>
        <w:rPr>
          <w:spacing w:val="-2"/>
          <w:sz w:val="24"/>
        </w:rPr>
        <w:t>followed;</w:t>
      </w:r>
    </w:p>
    <w:p w14:paraId="1E805849" w14:textId="77777777" w:rsidR="00AA4A02" w:rsidRDefault="00960F31">
      <w:pPr>
        <w:pStyle w:val="ListParagraph"/>
        <w:numPr>
          <w:ilvl w:val="3"/>
          <w:numId w:val="43"/>
        </w:numPr>
        <w:tabs>
          <w:tab w:val="left" w:pos="1557"/>
        </w:tabs>
        <w:spacing w:before="237"/>
        <w:ind w:left="1557" w:hanging="705"/>
        <w:rPr>
          <w:sz w:val="24"/>
        </w:rPr>
      </w:pPr>
      <w:r>
        <w:rPr>
          <w:sz w:val="24"/>
        </w:rPr>
        <w:t>AASB</w:t>
      </w:r>
      <w:r>
        <w:rPr>
          <w:spacing w:val="-4"/>
          <w:sz w:val="24"/>
        </w:rPr>
        <w:t xml:space="preserve"> </w:t>
      </w:r>
      <w:r>
        <w:rPr>
          <w:sz w:val="24"/>
        </w:rPr>
        <w:t>responses</w:t>
      </w:r>
      <w:r>
        <w:rPr>
          <w:spacing w:val="-2"/>
          <w:sz w:val="24"/>
        </w:rPr>
        <w:t xml:space="preserve"> </w:t>
      </w:r>
      <w:r>
        <w:rPr>
          <w:sz w:val="24"/>
        </w:rPr>
        <w:t>to</w:t>
      </w:r>
      <w:r>
        <w:rPr>
          <w:spacing w:val="-1"/>
          <w:sz w:val="24"/>
        </w:rPr>
        <w:t xml:space="preserve"> </w:t>
      </w:r>
      <w:r>
        <w:rPr>
          <w:sz w:val="24"/>
        </w:rPr>
        <w:t>comments</w:t>
      </w:r>
      <w:r>
        <w:rPr>
          <w:spacing w:val="-1"/>
          <w:sz w:val="24"/>
        </w:rPr>
        <w:t xml:space="preserve"> </w:t>
      </w:r>
      <w:r>
        <w:rPr>
          <w:sz w:val="24"/>
        </w:rPr>
        <w:t>received</w:t>
      </w:r>
      <w:r>
        <w:rPr>
          <w:spacing w:val="-1"/>
          <w:sz w:val="24"/>
        </w:rPr>
        <w:t xml:space="preserve"> </w:t>
      </w:r>
      <w:r>
        <w:rPr>
          <w:sz w:val="24"/>
        </w:rPr>
        <w:t>from consultation</w:t>
      </w:r>
      <w:r>
        <w:rPr>
          <w:spacing w:val="1"/>
          <w:sz w:val="24"/>
        </w:rPr>
        <w:t xml:space="preserve"> </w:t>
      </w:r>
      <w:r>
        <w:rPr>
          <w:spacing w:val="-2"/>
          <w:sz w:val="24"/>
        </w:rPr>
        <w:t>processes;</w:t>
      </w:r>
    </w:p>
    <w:p w14:paraId="1E80584A" w14:textId="77777777" w:rsidR="00AA4A02" w:rsidRDefault="00960F31">
      <w:pPr>
        <w:pStyle w:val="ListParagraph"/>
        <w:numPr>
          <w:ilvl w:val="3"/>
          <w:numId w:val="43"/>
        </w:numPr>
        <w:tabs>
          <w:tab w:val="left" w:pos="1558"/>
        </w:tabs>
        <w:spacing w:before="238"/>
        <w:ind w:right="629"/>
        <w:rPr>
          <w:sz w:val="24"/>
        </w:rPr>
      </w:pPr>
      <w:r>
        <w:rPr>
          <w:sz w:val="24"/>
        </w:rPr>
        <w:t>a detailed consideration of the various options available to address the identified issue or problem, including both regulatory and non-regulatory options, together</w:t>
      </w:r>
      <w:r>
        <w:rPr>
          <w:spacing w:val="-1"/>
          <w:sz w:val="24"/>
        </w:rPr>
        <w:t xml:space="preserve"> </w:t>
      </w:r>
      <w:r>
        <w:rPr>
          <w:sz w:val="24"/>
        </w:rPr>
        <w:t>with</w:t>
      </w:r>
      <w:r>
        <w:rPr>
          <w:spacing w:val="-3"/>
          <w:sz w:val="24"/>
        </w:rPr>
        <w:t xml:space="preserve"> </w:t>
      </w:r>
      <w:r>
        <w:rPr>
          <w:sz w:val="24"/>
        </w:rPr>
        <w:t>the</w:t>
      </w:r>
      <w:r>
        <w:rPr>
          <w:spacing w:val="-8"/>
          <w:sz w:val="24"/>
        </w:rPr>
        <w:t xml:space="preserve"> </w:t>
      </w:r>
      <w:r>
        <w:rPr>
          <w:sz w:val="24"/>
        </w:rPr>
        <w:t>likely</w:t>
      </w:r>
      <w:r>
        <w:rPr>
          <w:spacing w:val="-2"/>
          <w:sz w:val="24"/>
        </w:rPr>
        <w:t xml:space="preserve"> </w:t>
      </w:r>
      <w:r>
        <w:rPr>
          <w:sz w:val="24"/>
        </w:rPr>
        <w:t>benefits</w:t>
      </w:r>
      <w:r>
        <w:rPr>
          <w:spacing w:val="-4"/>
          <w:sz w:val="24"/>
        </w:rPr>
        <w:t xml:space="preserve"> </w:t>
      </w:r>
      <w:r>
        <w:rPr>
          <w:sz w:val="24"/>
        </w:rPr>
        <w:t>and</w:t>
      </w:r>
      <w:r>
        <w:rPr>
          <w:spacing w:val="-8"/>
          <w:sz w:val="24"/>
        </w:rPr>
        <w:t xml:space="preserve"> </w:t>
      </w:r>
      <w:r>
        <w:rPr>
          <w:sz w:val="24"/>
        </w:rPr>
        <w:t>costs</w:t>
      </w:r>
      <w:r>
        <w:rPr>
          <w:spacing w:val="-4"/>
          <w:sz w:val="24"/>
        </w:rPr>
        <w:t xml:space="preserve"> </w:t>
      </w:r>
      <w:r>
        <w:rPr>
          <w:sz w:val="24"/>
        </w:rPr>
        <w:t>to</w:t>
      </w:r>
      <w:r>
        <w:rPr>
          <w:spacing w:val="-3"/>
          <w:sz w:val="24"/>
        </w:rPr>
        <w:t xml:space="preserve"> </w:t>
      </w:r>
      <w:r>
        <w:rPr>
          <w:sz w:val="24"/>
        </w:rPr>
        <w:t>stakeholders</w:t>
      </w:r>
      <w:r>
        <w:rPr>
          <w:spacing w:val="-4"/>
          <w:sz w:val="24"/>
        </w:rPr>
        <w:t xml:space="preserve"> </w:t>
      </w:r>
      <w:r>
        <w:rPr>
          <w:sz w:val="24"/>
        </w:rPr>
        <w:t>under</w:t>
      </w:r>
      <w:r>
        <w:rPr>
          <w:spacing w:val="-1"/>
          <w:sz w:val="24"/>
        </w:rPr>
        <w:t xml:space="preserve"> </w:t>
      </w:r>
      <w:r>
        <w:rPr>
          <w:sz w:val="24"/>
        </w:rPr>
        <w:t>each option for compliance with the RIS requirements;</w:t>
      </w:r>
    </w:p>
    <w:p w14:paraId="1E80584B" w14:textId="77777777" w:rsidR="00AA4A02" w:rsidRDefault="00960F31">
      <w:pPr>
        <w:pStyle w:val="ListParagraph"/>
        <w:numPr>
          <w:ilvl w:val="3"/>
          <w:numId w:val="43"/>
        </w:numPr>
        <w:tabs>
          <w:tab w:val="left" w:pos="1557"/>
        </w:tabs>
        <w:spacing w:before="245"/>
        <w:ind w:left="1557" w:hanging="705"/>
        <w:rPr>
          <w:sz w:val="24"/>
        </w:rPr>
      </w:pPr>
      <w:r>
        <w:rPr>
          <w:sz w:val="24"/>
        </w:rPr>
        <w:t>cost/benefits</w:t>
      </w:r>
      <w:r>
        <w:rPr>
          <w:spacing w:val="-3"/>
          <w:sz w:val="24"/>
        </w:rPr>
        <w:t xml:space="preserve"> </w:t>
      </w:r>
      <w:r>
        <w:rPr>
          <w:spacing w:val="-2"/>
          <w:sz w:val="24"/>
        </w:rPr>
        <w:t>analysis;</w:t>
      </w:r>
    </w:p>
    <w:p w14:paraId="1E80584C" w14:textId="77777777" w:rsidR="00AA4A02" w:rsidRDefault="00960F31">
      <w:pPr>
        <w:pStyle w:val="ListParagraph"/>
        <w:numPr>
          <w:ilvl w:val="3"/>
          <w:numId w:val="43"/>
        </w:numPr>
        <w:tabs>
          <w:tab w:val="left" w:pos="1558"/>
        </w:tabs>
        <w:spacing w:before="233" w:line="247" w:lineRule="auto"/>
        <w:ind w:right="1108"/>
        <w:rPr>
          <w:sz w:val="24"/>
        </w:rPr>
      </w:pPr>
      <w:r>
        <w:rPr>
          <w:sz w:val="24"/>
        </w:rPr>
        <w:t>a</w:t>
      </w:r>
      <w:r>
        <w:rPr>
          <w:spacing w:val="-4"/>
          <w:sz w:val="24"/>
        </w:rPr>
        <w:t xml:space="preserve"> </w:t>
      </w:r>
      <w:r>
        <w:rPr>
          <w:sz w:val="24"/>
        </w:rPr>
        <w:t>clear</w:t>
      </w:r>
      <w:r>
        <w:rPr>
          <w:spacing w:val="-2"/>
          <w:sz w:val="24"/>
        </w:rPr>
        <w:t xml:space="preserve"> </w:t>
      </w:r>
      <w:r>
        <w:rPr>
          <w:sz w:val="24"/>
        </w:rPr>
        <w:t>statement</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conclusions</w:t>
      </w:r>
      <w:r>
        <w:rPr>
          <w:spacing w:val="-4"/>
          <w:sz w:val="24"/>
        </w:rPr>
        <w:t xml:space="preserve"> </w:t>
      </w:r>
      <w:r>
        <w:rPr>
          <w:sz w:val="24"/>
        </w:rPr>
        <w:t>reached,</w:t>
      </w:r>
      <w:r>
        <w:rPr>
          <w:spacing w:val="-1"/>
          <w:sz w:val="24"/>
        </w:rPr>
        <w:t xml:space="preserve"> </w:t>
      </w:r>
      <w:r>
        <w:rPr>
          <w:sz w:val="24"/>
        </w:rPr>
        <w:t>the</w:t>
      </w:r>
      <w:r>
        <w:rPr>
          <w:spacing w:val="-8"/>
          <w:sz w:val="24"/>
        </w:rPr>
        <w:t xml:space="preserve"> </w:t>
      </w:r>
      <w:r>
        <w:rPr>
          <w:sz w:val="24"/>
        </w:rPr>
        <w:t>recommended</w:t>
      </w:r>
      <w:r>
        <w:rPr>
          <w:spacing w:val="-3"/>
          <w:sz w:val="24"/>
        </w:rPr>
        <w:t xml:space="preserve"> </w:t>
      </w:r>
      <w:r>
        <w:rPr>
          <w:sz w:val="24"/>
        </w:rPr>
        <w:t>option,</w:t>
      </w:r>
      <w:r>
        <w:rPr>
          <w:spacing w:val="-1"/>
          <w:sz w:val="24"/>
        </w:rPr>
        <w:t xml:space="preserve"> </w:t>
      </w:r>
      <w:r>
        <w:rPr>
          <w:sz w:val="24"/>
        </w:rPr>
        <w:t>a review of that option and a plan for implementation; and</w:t>
      </w:r>
    </w:p>
    <w:p w14:paraId="1E80584D" w14:textId="77777777" w:rsidR="00AA4A02" w:rsidRDefault="00960F31">
      <w:pPr>
        <w:pStyle w:val="ListParagraph"/>
        <w:numPr>
          <w:ilvl w:val="3"/>
          <w:numId w:val="43"/>
        </w:numPr>
        <w:tabs>
          <w:tab w:val="left" w:pos="1557"/>
        </w:tabs>
        <w:spacing w:before="229"/>
        <w:ind w:left="1557" w:hanging="705"/>
        <w:rPr>
          <w:sz w:val="24"/>
        </w:rPr>
      </w:pPr>
      <w:r>
        <w:rPr>
          <w:sz w:val="24"/>
        </w:rPr>
        <w:t>dissenting</w:t>
      </w:r>
      <w:r>
        <w:rPr>
          <w:spacing w:val="-4"/>
          <w:sz w:val="24"/>
        </w:rPr>
        <w:t xml:space="preserve"> </w:t>
      </w:r>
      <w:r>
        <w:rPr>
          <w:spacing w:val="-2"/>
          <w:sz w:val="24"/>
        </w:rPr>
        <w:t>views.</w:t>
      </w:r>
    </w:p>
    <w:p w14:paraId="1E80584E" w14:textId="77777777" w:rsidR="00AA4A02" w:rsidRDefault="00960F31">
      <w:pPr>
        <w:pStyle w:val="ListParagraph"/>
        <w:numPr>
          <w:ilvl w:val="2"/>
          <w:numId w:val="43"/>
        </w:numPr>
        <w:tabs>
          <w:tab w:val="left" w:pos="852"/>
        </w:tabs>
        <w:spacing w:before="237"/>
        <w:ind w:right="791"/>
        <w:rPr>
          <w:sz w:val="24"/>
        </w:rPr>
      </w:pPr>
      <w:r>
        <w:rPr>
          <w:sz w:val="24"/>
        </w:rPr>
        <w:t>The AASB’s consultative process satisfies ASIC Act section 231 and the Commonwealth Office of Best Practice Regulation (OBPR) requirements as it is considered</w:t>
      </w:r>
      <w:r>
        <w:rPr>
          <w:spacing w:val="-2"/>
          <w:sz w:val="24"/>
        </w:rPr>
        <w:t xml:space="preserve"> </w:t>
      </w:r>
      <w:r>
        <w:rPr>
          <w:sz w:val="24"/>
        </w:rPr>
        <w:t>a</w:t>
      </w:r>
      <w:r>
        <w:rPr>
          <w:spacing w:val="-4"/>
          <w:sz w:val="24"/>
        </w:rPr>
        <w:t xml:space="preserve"> </w:t>
      </w:r>
      <w:r>
        <w:rPr>
          <w:sz w:val="24"/>
        </w:rPr>
        <w:t>‘RIS-like’</w:t>
      </w:r>
      <w:r>
        <w:rPr>
          <w:spacing w:val="-1"/>
          <w:sz w:val="24"/>
        </w:rPr>
        <w:t xml:space="preserve"> </w:t>
      </w:r>
      <w:r>
        <w:rPr>
          <w:sz w:val="24"/>
        </w:rPr>
        <w:t>process.</w:t>
      </w:r>
      <w:r>
        <w:rPr>
          <w:spacing w:val="-5"/>
          <w:sz w:val="24"/>
        </w:rPr>
        <w:t xml:space="preserve"> </w:t>
      </w:r>
      <w:r>
        <w:rPr>
          <w:sz w:val="24"/>
        </w:rPr>
        <w:t>This</w:t>
      </w:r>
      <w:r>
        <w:rPr>
          <w:spacing w:val="-4"/>
          <w:sz w:val="24"/>
        </w:rPr>
        <w:t xml:space="preserve"> </w:t>
      </w:r>
      <w:r>
        <w:rPr>
          <w:sz w:val="24"/>
        </w:rPr>
        <w:t>enables</w:t>
      </w:r>
      <w:r>
        <w:rPr>
          <w:spacing w:val="-5"/>
          <w:sz w:val="24"/>
        </w:rPr>
        <w:t xml:space="preserve"> </w:t>
      </w:r>
      <w:r>
        <w:rPr>
          <w:sz w:val="24"/>
        </w:rPr>
        <w:t>the</w:t>
      </w:r>
      <w:r>
        <w:rPr>
          <w:spacing w:val="-8"/>
          <w:sz w:val="24"/>
        </w:rPr>
        <w:t xml:space="preserve"> </w:t>
      </w:r>
      <w:r>
        <w:rPr>
          <w:sz w:val="24"/>
        </w:rPr>
        <w:t>AASB’s</w:t>
      </w:r>
      <w:r>
        <w:rPr>
          <w:spacing w:val="-4"/>
          <w:sz w:val="24"/>
        </w:rPr>
        <w:t xml:space="preserve"> </w:t>
      </w:r>
      <w:r>
        <w:rPr>
          <w:sz w:val="24"/>
        </w:rPr>
        <w:t>Basis</w:t>
      </w:r>
      <w:r>
        <w:rPr>
          <w:spacing w:val="-5"/>
          <w:sz w:val="24"/>
        </w:rPr>
        <w:t xml:space="preserve"> </w:t>
      </w:r>
      <w:r>
        <w:rPr>
          <w:sz w:val="24"/>
        </w:rPr>
        <w:t>for</w:t>
      </w:r>
      <w:r>
        <w:rPr>
          <w:spacing w:val="-1"/>
          <w:sz w:val="24"/>
        </w:rPr>
        <w:t xml:space="preserve"> </w:t>
      </w:r>
      <w:r>
        <w:rPr>
          <w:sz w:val="24"/>
        </w:rPr>
        <w:t>Conclusions</w:t>
      </w:r>
      <w:r>
        <w:rPr>
          <w:spacing w:val="-4"/>
          <w:sz w:val="24"/>
        </w:rPr>
        <w:t xml:space="preserve"> </w:t>
      </w:r>
      <w:r>
        <w:rPr>
          <w:sz w:val="24"/>
        </w:rPr>
        <w:t>to address the RIS questions in lieu of a standard RIS.</w:t>
      </w:r>
    </w:p>
    <w:p w14:paraId="1E80584F" w14:textId="77777777" w:rsidR="00AA4A02" w:rsidRDefault="00960F31">
      <w:pPr>
        <w:spacing w:before="246"/>
        <w:ind w:left="852"/>
        <w:rPr>
          <w:b/>
          <w:i/>
          <w:sz w:val="24"/>
        </w:rPr>
      </w:pPr>
      <w:r>
        <w:rPr>
          <w:b/>
          <w:i/>
          <w:spacing w:val="-2"/>
          <w:sz w:val="24"/>
        </w:rPr>
        <w:t>IASB-related</w:t>
      </w:r>
    </w:p>
    <w:p w14:paraId="1E805850" w14:textId="77777777" w:rsidR="00AA4A02" w:rsidRDefault="00960F31">
      <w:pPr>
        <w:pStyle w:val="ListParagraph"/>
        <w:numPr>
          <w:ilvl w:val="2"/>
          <w:numId w:val="43"/>
        </w:numPr>
        <w:tabs>
          <w:tab w:val="left" w:pos="852"/>
        </w:tabs>
        <w:spacing w:before="233" w:line="242" w:lineRule="auto"/>
        <w:ind w:right="492"/>
        <w:rPr>
          <w:sz w:val="24"/>
        </w:rPr>
      </w:pPr>
      <w:r>
        <w:rPr>
          <w:sz w:val="24"/>
        </w:rPr>
        <w:t>The AASB reviews the IASB Basis for Conclusions and completes an assessment to ensure that the seven RIS questions are answered and satisfied.</w:t>
      </w:r>
      <w:r>
        <w:rPr>
          <w:spacing w:val="40"/>
          <w:sz w:val="24"/>
        </w:rPr>
        <w:t xml:space="preserve"> </w:t>
      </w:r>
      <w:r>
        <w:rPr>
          <w:sz w:val="24"/>
        </w:rPr>
        <w:t>Where satisfactory and</w:t>
      </w:r>
      <w:r>
        <w:rPr>
          <w:spacing w:val="-2"/>
          <w:sz w:val="24"/>
        </w:rPr>
        <w:t xml:space="preserve"> </w:t>
      </w:r>
      <w:r>
        <w:rPr>
          <w:sz w:val="24"/>
        </w:rPr>
        <w:t>there</w:t>
      </w:r>
      <w:r>
        <w:rPr>
          <w:spacing w:val="-2"/>
          <w:sz w:val="24"/>
        </w:rPr>
        <w:t xml:space="preserve"> </w:t>
      </w:r>
      <w:r>
        <w:rPr>
          <w:sz w:val="24"/>
        </w:rPr>
        <w:t>are</w:t>
      </w:r>
      <w:r>
        <w:rPr>
          <w:spacing w:val="-3"/>
          <w:sz w:val="24"/>
        </w:rPr>
        <w:t xml:space="preserve"> </w:t>
      </w:r>
      <w:r>
        <w:rPr>
          <w:sz w:val="24"/>
        </w:rPr>
        <w:t>no</w:t>
      </w:r>
      <w:r>
        <w:rPr>
          <w:spacing w:val="-7"/>
          <w:sz w:val="24"/>
        </w:rPr>
        <w:t xml:space="preserve"> </w:t>
      </w:r>
      <w:r>
        <w:rPr>
          <w:sz w:val="24"/>
        </w:rPr>
        <w:t>additional</w:t>
      </w:r>
      <w:r>
        <w:rPr>
          <w:spacing w:val="-1"/>
          <w:sz w:val="24"/>
        </w:rPr>
        <w:t xml:space="preserve"> </w:t>
      </w:r>
      <w:r>
        <w:rPr>
          <w:sz w:val="24"/>
        </w:rPr>
        <w:t>Australian</w:t>
      </w:r>
      <w:r>
        <w:rPr>
          <w:spacing w:val="-6"/>
          <w:sz w:val="24"/>
        </w:rPr>
        <w:t xml:space="preserve"> </w:t>
      </w:r>
      <w:r>
        <w:rPr>
          <w:sz w:val="24"/>
        </w:rPr>
        <w:t>issues</w:t>
      </w:r>
      <w:r>
        <w:rPr>
          <w:spacing w:val="-4"/>
          <w:sz w:val="24"/>
        </w:rPr>
        <w:t xml:space="preserve"> </w:t>
      </w:r>
      <w:r>
        <w:rPr>
          <w:sz w:val="24"/>
        </w:rPr>
        <w:t>that</w:t>
      </w:r>
      <w:r>
        <w:rPr>
          <w:spacing w:val="-2"/>
          <w:sz w:val="24"/>
        </w:rPr>
        <w:t xml:space="preserve"> </w:t>
      </w:r>
      <w:r>
        <w:rPr>
          <w:sz w:val="24"/>
        </w:rPr>
        <w:t>should</w:t>
      </w:r>
      <w:r>
        <w:rPr>
          <w:spacing w:val="-1"/>
          <w:sz w:val="24"/>
        </w:rPr>
        <w:t xml:space="preserve"> </w:t>
      </w:r>
      <w:r>
        <w:rPr>
          <w:sz w:val="24"/>
        </w:rPr>
        <w:t>be</w:t>
      </w:r>
      <w:r>
        <w:rPr>
          <w:spacing w:val="-3"/>
          <w:sz w:val="24"/>
        </w:rPr>
        <w:t xml:space="preserve"> </w:t>
      </w:r>
      <w:r>
        <w:rPr>
          <w:sz w:val="24"/>
        </w:rPr>
        <w:t>addressed, the</w:t>
      </w:r>
      <w:r>
        <w:rPr>
          <w:spacing w:val="-2"/>
          <w:sz w:val="24"/>
        </w:rPr>
        <w:t xml:space="preserve"> </w:t>
      </w:r>
      <w:r>
        <w:rPr>
          <w:sz w:val="24"/>
        </w:rPr>
        <w:t>AASB</w:t>
      </w:r>
      <w:r>
        <w:rPr>
          <w:spacing w:val="-3"/>
          <w:sz w:val="24"/>
        </w:rPr>
        <w:t xml:space="preserve"> </w:t>
      </w:r>
      <w:r>
        <w:rPr>
          <w:sz w:val="24"/>
        </w:rPr>
        <w:t>does not issue a separate Basis for Conclusions.</w:t>
      </w:r>
    </w:p>
    <w:p w14:paraId="1E805851" w14:textId="77777777" w:rsidR="00AA4A02" w:rsidRDefault="00960F31">
      <w:pPr>
        <w:spacing w:before="234"/>
        <w:ind w:left="852"/>
        <w:rPr>
          <w:b/>
          <w:i/>
          <w:sz w:val="24"/>
        </w:rPr>
      </w:pPr>
      <w:r>
        <w:rPr>
          <w:b/>
          <w:i/>
          <w:sz w:val="24"/>
        </w:rPr>
        <w:t>Dissenting</w:t>
      </w:r>
      <w:r>
        <w:rPr>
          <w:b/>
          <w:i/>
          <w:spacing w:val="-6"/>
          <w:sz w:val="24"/>
        </w:rPr>
        <w:t xml:space="preserve"> </w:t>
      </w:r>
      <w:r>
        <w:rPr>
          <w:b/>
          <w:i/>
          <w:spacing w:val="-4"/>
          <w:sz w:val="24"/>
        </w:rPr>
        <w:t>views</w:t>
      </w:r>
    </w:p>
    <w:p w14:paraId="1E805852" w14:textId="77777777" w:rsidR="00AA4A02" w:rsidRDefault="00960F31">
      <w:pPr>
        <w:pStyle w:val="ListParagraph"/>
        <w:numPr>
          <w:ilvl w:val="2"/>
          <w:numId w:val="43"/>
        </w:numPr>
        <w:tabs>
          <w:tab w:val="left" w:pos="852"/>
        </w:tabs>
        <w:spacing w:before="238"/>
        <w:ind w:right="534"/>
        <w:rPr>
          <w:sz w:val="24"/>
        </w:rPr>
      </w:pPr>
      <w:r>
        <w:rPr>
          <w:sz w:val="24"/>
        </w:rPr>
        <w:t>The</w:t>
      </w:r>
      <w:r>
        <w:rPr>
          <w:spacing w:val="-2"/>
          <w:sz w:val="24"/>
        </w:rPr>
        <w:t xml:space="preserve"> </w:t>
      </w:r>
      <w:r>
        <w:rPr>
          <w:sz w:val="24"/>
        </w:rPr>
        <w:t>AASB</w:t>
      </w:r>
      <w:r>
        <w:rPr>
          <w:spacing w:val="-2"/>
          <w:sz w:val="24"/>
        </w:rPr>
        <w:t xml:space="preserve"> </w:t>
      </w:r>
      <w:r>
        <w:rPr>
          <w:sz w:val="24"/>
        </w:rPr>
        <w:t>does</w:t>
      </w:r>
      <w:r>
        <w:rPr>
          <w:spacing w:val="-3"/>
          <w:sz w:val="24"/>
        </w:rPr>
        <w:t xml:space="preserve"> </w:t>
      </w:r>
      <w:r>
        <w:rPr>
          <w:sz w:val="24"/>
        </w:rPr>
        <w:t>not operate</w:t>
      </w:r>
      <w:r>
        <w:rPr>
          <w:spacing w:val="-1"/>
          <w:sz w:val="24"/>
        </w:rPr>
        <w:t xml:space="preserve"> </w:t>
      </w:r>
      <w:r>
        <w:rPr>
          <w:sz w:val="24"/>
        </w:rPr>
        <w:t>as</w:t>
      </w:r>
      <w:r>
        <w:rPr>
          <w:spacing w:val="-3"/>
          <w:sz w:val="24"/>
        </w:rPr>
        <w:t xml:space="preserve"> </w:t>
      </w:r>
      <w:r>
        <w:rPr>
          <w:sz w:val="24"/>
        </w:rPr>
        <w:t>a</w:t>
      </w:r>
      <w:r>
        <w:rPr>
          <w:spacing w:val="-2"/>
          <w:sz w:val="24"/>
        </w:rPr>
        <w:t xml:space="preserve"> </w:t>
      </w:r>
      <w:r>
        <w:rPr>
          <w:sz w:val="24"/>
        </w:rPr>
        <w:t>consensus</w:t>
      </w:r>
      <w:r>
        <w:rPr>
          <w:spacing w:val="-3"/>
          <w:sz w:val="24"/>
        </w:rPr>
        <w:t xml:space="preserve"> </w:t>
      </w:r>
      <w:r>
        <w:rPr>
          <w:sz w:val="24"/>
        </w:rPr>
        <w:t>body.</w:t>
      </w:r>
      <w:r>
        <w:rPr>
          <w:spacing w:val="-3"/>
          <w:sz w:val="24"/>
        </w:rPr>
        <w:t xml:space="preserve"> </w:t>
      </w:r>
      <w:r>
        <w:rPr>
          <w:sz w:val="24"/>
        </w:rPr>
        <w:t>AASB</w:t>
      </w:r>
      <w:r>
        <w:rPr>
          <w:spacing w:val="-2"/>
          <w:sz w:val="24"/>
        </w:rPr>
        <w:t xml:space="preserve"> </w:t>
      </w:r>
      <w:r>
        <w:rPr>
          <w:sz w:val="24"/>
        </w:rPr>
        <w:t>members</w:t>
      </w:r>
      <w:r>
        <w:rPr>
          <w:spacing w:val="-2"/>
          <w:sz w:val="24"/>
        </w:rPr>
        <w:t xml:space="preserve"> </w:t>
      </w:r>
      <w:r>
        <w:rPr>
          <w:sz w:val="24"/>
        </w:rPr>
        <w:t>who</w:t>
      </w:r>
      <w:r>
        <w:rPr>
          <w:spacing w:val="-2"/>
          <w:sz w:val="24"/>
        </w:rPr>
        <w:t xml:space="preserve"> </w:t>
      </w:r>
      <w:r>
        <w:rPr>
          <w:sz w:val="24"/>
        </w:rPr>
        <w:t>disagree</w:t>
      </w:r>
      <w:r>
        <w:rPr>
          <w:spacing w:val="-1"/>
          <w:sz w:val="24"/>
        </w:rPr>
        <w:t xml:space="preserve"> </w:t>
      </w:r>
      <w:r>
        <w:rPr>
          <w:sz w:val="24"/>
        </w:rPr>
        <w:t>with a pronouncement are required to explain why they have a dissenting opinion. The dissenting opinion is published with the Basis for Conclusions. This process ensures that</w:t>
      </w:r>
      <w:r>
        <w:rPr>
          <w:spacing w:val="-2"/>
          <w:sz w:val="24"/>
        </w:rPr>
        <w:t xml:space="preserve"> </w:t>
      </w:r>
      <w:r>
        <w:rPr>
          <w:sz w:val="24"/>
        </w:rPr>
        <w:t>rigorous</w:t>
      </w:r>
      <w:r>
        <w:rPr>
          <w:spacing w:val="-3"/>
          <w:sz w:val="24"/>
        </w:rPr>
        <w:t xml:space="preserve"> </w:t>
      </w:r>
      <w:r>
        <w:rPr>
          <w:sz w:val="24"/>
        </w:rPr>
        <w:t>discussion</w:t>
      </w:r>
      <w:r>
        <w:rPr>
          <w:spacing w:val="-1"/>
          <w:sz w:val="24"/>
        </w:rPr>
        <w:t xml:space="preserve"> </w:t>
      </w:r>
      <w:r>
        <w:rPr>
          <w:sz w:val="24"/>
        </w:rPr>
        <w:t>and</w:t>
      </w:r>
      <w:r>
        <w:rPr>
          <w:spacing w:val="-2"/>
          <w:sz w:val="24"/>
        </w:rPr>
        <w:t xml:space="preserve"> </w:t>
      </w:r>
      <w:r>
        <w:rPr>
          <w:sz w:val="24"/>
        </w:rPr>
        <w:t>consideration</w:t>
      </w:r>
      <w:r>
        <w:rPr>
          <w:spacing w:val="-1"/>
          <w:sz w:val="24"/>
        </w:rPr>
        <w:t xml:space="preserve"> </w:t>
      </w:r>
      <w:r>
        <w:rPr>
          <w:sz w:val="24"/>
        </w:rPr>
        <w:t>is</w:t>
      </w:r>
      <w:r>
        <w:rPr>
          <w:spacing w:val="-4"/>
          <w:sz w:val="24"/>
        </w:rPr>
        <w:t xml:space="preserve"> </w:t>
      </w:r>
      <w:r>
        <w:rPr>
          <w:sz w:val="24"/>
        </w:rPr>
        <w:t>given</w:t>
      </w:r>
      <w:r>
        <w:rPr>
          <w:spacing w:val="-7"/>
          <w:sz w:val="24"/>
        </w:rPr>
        <w:t xml:space="preserve"> </w:t>
      </w:r>
      <w:r>
        <w:rPr>
          <w:sz w:val="24"/>
        </w:rPr>
        <w:t>to</w:t>
      </w:r>
      <w:r>
        <w:rPr>
          <w:spacing w:val="-2"/>
          <w:sz w:val="24"/>
        </w:rPr>
        <w:t xml:space="preserve"> </w:t>
      </w:r>
      <w:r>
        <w:rPr>
          <w:sz w:val="24"/>
        </w:rPr>
        <w:t>alternative</w:t>
      </w:r>
      <w:r>
        <w:rPr>
          <w:spacing w:val="-1"/>
          <w:sz w:val="24"/>
        </w:rPr>
        <w:t xml:space="preserve"> </w:t>
      </w:r>
      <w:r>
        <w:rPr>
          <w:sz w:val="24"/>
        </w:rPr>
        <w:t>options</w:t>
      </w:r>
      <w:r>
        <w:rPr>
          <w:spacing w:val="-8"/>
          <w:sz w:val="24"/>
        </w:rPr>
        <w:t xml:space="preserve"> </w:t>
      </w:r>
      <w:r>
        <w:rPr>
          <w:sz w:val="24"/>
        </w:rPr>
        <w:t>in</w:t>
      </w:r>
      <w:r>
        <w:rPr>
          <w:spacing w:val="-2"/>
          <w:sz w:val="24"/>
        </w:rPr>
        <w:t xml:space="preserve"> </w:t>
      </w:r>
      <w:r>
        <w:rPr>
          <w:sz w:val="24"/>
        </w:rPr>
        <w:t>arriving</w:t>
      </w:r>
      <w:r>
        <w:rPr>
          <w:spacing w:val="-1"/>
          <w:sz w:val="24"/>
        </w:rPr>
        <w:t xml:space="preserve"> </w:t>
      </w:r>
      <w:r>
        <w:rPr>
          <w:sz w:val="24"/>
        </w:rPr>
        <w:t>at the best option.</w:t>
      </w:r>
    </w:p>
    <w:p w14:paraId="1E805853" w14:textId="77777777" w:rsidR="00AA4A02" w:rsidRDefault="00AA4A02">
      <w:pPr>
        <w:pStyle w:val="ListParagraph"/>
        <w:rPr>
          <w:sz w:val="24"/>
        </w:rPr>
        <w:sectPr w:rsidR="00AA4A02">
          <w:pgSz w:w="11900" w:h="16840"/>
          <w:pgMar w:top="1600" w:right="992" w:bottom="920" w:left="1275" w:header="652" w:footer="724" w:gutter="0"/>
          <w:cols w:space="720"/>
        </w:sectPr>
      </w:pPr>
    </w:p>
    <w:p w14:paraId="1E805854" w14:textId="77777777" w:rsidR="00AA4A02" w:rsidRDefault="00960F31">
      <w:pPr>
        <w:spacing w:before="84"/>
        <w:ind w:left="852"/>
        <w:rPr>
          <w:b/>
          <w:i/>
          <w:sz w:val="24"/>
        </w:rPr>
      </w:pPr>
      <w:r>
        <w:rPr>
          <w:b/>
          <w:i/>
          <w:sz w:val="24"/>
        </w:rPr>
        <w:lastRenderedPageBreak/>
        <w:t>Cost/benefit</w:t>
      </w:r>
      <w:r>
        <w:rPr>
          <w:b/>
          <w:i/>
          <w:spacing w:val="-2"/>
          <w:sz w:val="24"/>
        </w:rPr>
        <w:t xml:space="preserve"> analysis</w:t>
      </w:r>
    </w:p>
    <w:p w14:paraId="1E805855" w14:textId="77777777" w:rsidR="00AA4A02" w:rsidRDefault="00960F31">
      <w:pPr>
        <w:pStyle w:val="ListParagraph"/>
        <w:numPr>
          <w:ilvl w:val="2"/>
          <w:numId w:val="43"/>
        </w:numPr>
        <w:tabs>
          <w:tab w:val="left" w:pos="852"/>
        </w:tabs>
        <w:spacing w:before="239"/>
        <w:ind w:right="531"/>
        <w:rPr>
          <w:sz w:val="24"/>
        </w:rPr>
      </w:pPr>
      <w:r>
        <w:rPr>
          <w:sz w:val="24"/>
        </w:rPr>
        <w:t>The AASB assesses from a public interest perspective whether the costs of implementing the pronouncement would exceed the benefits to be derived from its implementation. In assessing the impact of the proposed pronouncement, the AASB considers</w:t>
      </w:r>
      <w:r>
        <w:rPr>
          <w:spacing w:val="-4"/>
          <w:sz w:val="24"/>
        </w:rPr>
        <w:t xml:space="preserve"> </w:t>
      </w:r>
      <w:r>
        <w:rPr>
          <w:sz w:val="24"/>
        </w:rPr>
        <w:t>the</w:t>
      </w:r>
      <w:r>
        <w:rPr>
          <w:spacing w:val="-2"/>
          <w:sz w:val="24"/>
        </w:rPr>
        <w:t xml:space="preserve"> </w:t>
      </w:r>
      <w:r>
        <w:rPr>
          <w:sz w:val="24"/>
        </w:rPr>
        <w:t>parties</w:t>
      </w:r>
      <w:r>
        <w:rPr>
          <w:spacing w:val="-3"/>
          <w:sz w:val="24"/>
        </w:rPr>
        <w:t xml:space="preserve"> </w:t>
      </w:r>
      <w:r>
        <w:rPr>
          <w:sz w:val="24"/>
        </w:rPr>
        <w:t>affected</w:t>
      </w:r>
      <w:r>
        <w:rPr>
          <w:spacing w:val="-2"/>
          <w:sz w:val="24"/>
        </w:rPr>
        <w:t xml:space="preserve"> </w:t>
      </w:r>
      <w:r>
        <w:rPr>
          <w:sz w:val="24"/>
        </w:rPr>
        <w:t>by</w:t>
      </w:r>
      <w:r>
        <w:rPr>
          <w:spacing w:val="-6"/>
          <w:sz w:val="24"/>
        </w:rPr>
        <w:t xml:space="preserve"> </w:t>
      </w:r>
      <w:r>
        <w:rPr>
          <w:sz w:val="24"/>
        </w:rPr>
        <w:t>the</w:t>
      </w:r>
      <w:r>
        <w:rPr>
          <w:spacing w:val="-2"/>
          <w:sz w:val="24"/>
        </w:rPr>
        <w:t xml:space="preserve"> </w:t>
      </w:r>
      <w:r>
        <w:rPr>
          <w:sz w:val="24"/>
        </w:rPr>
        <w:t>proposal</w:t>
      </w:r>
      <w:r>
        <w:rPr>
          <w:spacing w:val="-1"/>
          <w:sz w:val="24"/>
        </w:rPr>
        <w:t xml:space="preserve"> </w:t>
      </w:r>
      <w:r>
        <w:rPr>
          <w:sz w:val="24"/>
        </w:rPr>
        <w:t>and</w:t>
      </w:r>
      <w:r>
        <w:rPr>
          <w:spacing w:val="-7"/>
          <w:sz w:val="24"/>
        </w:rPr>
        <w:t xml:space="preserve"> </w:t>
      </w:r>
      <w:r>
        <w:rPr>
          <w:sz w:val="24"/>
        </w:rPr>
        <w:t>the</w:t>
      </w:r>
      <w:r>
        <w:rPr>
          <w:spacing w:val="-3"/>
          <w:sz w:val="24"/>
        </w:rPr>
        <w:t xml:space="preserve"> </w:t>
      </w:r>
      <w:r>
        <w:rPr>
          <w:sz w:val="24"/>
        </w:rPr>
        <w:t>costs, benefits</w:t>
      </w:r>
      <w:r>
        <w:rPr>
          <w:spacing w:val="-3"/>
          <w:sz w:val="24"/>
        </w:rPr>
        <w:t xml:space="preserve"> </w:t>
      </w:r>
      <w:r>
        <w:rPr>
          <w:sz w:val="24"/>
        </w:rPr>
        <w:t>and</w:t>
      </w:r>
      <w:r>
        <w:rPr>
          <w:spacing w:val="-2"/>
          <w:sz w:val="24"/>
        </w:rPr>
        <w:t xml:space="preserve"> </w:t>
      </w:r>
      <w:r>
        <w:rPr>
          <w:sz w:val="24"/>
        </w:rPr>
        <w:t>risks</w:t>
      </w:r>
      <w:r>
        <w:rPr>
          <w:spacing w:val="-4"/>
          <w:sz w:val="24"/>
        </w:rPr>
        <w:t xml:space="preserve"> </w:t>
      </w:r>
      <w:r>
        <w:rPr>
          <w:sz w:val="24"/>
        </w:rPr>
        <w:t>to</w:t>
      </w:r>
      <w:r>
        <w:rPr>
          <w:spacing w:val="-6"/>
          <w:sz w:val="24"/>
        </w:rPr>
        <w:t xml:space="preserve"> </w:t>
      </w:r>
      <w:r>
        <w:rPr>
          <w:sz w:val="24"/>
        </w:rPr>
        <w:t>those parties. The</w:t>
      </w:r>
      <w:r>
        <w:rPr>
          <w:spacing w:val="-1"/>
          <w:sz w:val="24"/>
        </w:rPr>
        <w:t xml:space="preserve"> </w:t>
      </w:r>
      <w:r>
        <w:rPr>
          <w:sz w:val="24"/>
        </w:rPr>
        <w:t>AASB also considers whether further consideration is needed for certain parties – eg for the not-for-profit sector.</w:t>
      </w:r>
    </w:p>
    <w:p w14:paraId="1E805856" w14:textId="77777777" w:rsidR="00AA4A02" w:rsidRDefault="00960F31">
      <w:pPr>
        <w:pStyle w:val="ListParagraph"/>
        <w:numPr>
          <w:ilvl w:val="2"/>
          <w:numId w:val="43"/>
        </w:numPr>
        <w:tabs>
          <w:tab w:val="left" w:pos="852"/>
        </w:tabs>
        <w:spacing w:before="240"/>
        <w:ind w:right="513"/>
        <w:rPr>
          <w:sz w:val="24"/>
        </w:rPr>
      </w:pPr>
      <w:r>
        <w:rPr>
          <w:sz w:val="24"/>
        </w:rPr>
        <w:t>Although costs are typically incurred by preparers of financial statements, the costs can extend in various direct and indirect ways to</w:t>
      </w:r>
      <w:r>
        <w:rPr>
          <w:spacing w:val="-3"/>
          <w:sz w:val="24"/>
        </w:rPr>
        <w:t xml:space="preserve"> </w:t>
      </w:r>
      <w:r>
        <w:rPr>
          <w:sz w:val="24"/>
        </w:rPr>
        <w:t>the users of the</w:t>
      </w:r>
      <w:r>
        <w:rPr>
          <w:spacing w:val="-3"/>
          <w:sz w:val="24"/>
        </w:rPr>
        <w:t xml:space="preserve"> </w:t>
      </w:r>
      <w:r>
        <w:rPr>
          <w:sz w:val="24"/>
        </w:rPr>
        <w:t>financial statements. Consequently, in</w:t>
      </w:r>
      <w:r>
        <w:rPr>
          <w:spacing w:val="-3"/>
          <w:sz w:val="24"/>
        </w:rPr>
        <w:t xml:space="preserve"> </w:t>
      </w:r>
      <w:r>
        <w:rPr>
          <w:sz w:val="24"/>
        </w:rPr>
        <w:t>assessing</w:t>
      </w:r>
      <w:r>
        <w:rPr>
          <w:spacing w:val="-2"/>
          <w:sz w:val="24"/>
        </w:rPr>
        <w:t xml:space="preserve"> </w:t>
      </w:r>
      <w:r>
        <w:rPr>
          <w:sz w:val="24"/>
        </w:rPr>
        <w:t>the</w:t>
      </w:r>
      <w:r>
        <w:rPr>
          <w:spacing w:val="-3"/>
          <w:sz w:val="24"/>
        </w:rPr>
        <w:t xml:space="preserve"> </w:t>
      </w:r>
      <w:r>
        <w:rPr>
          <w:sz w:val="24"/>
        </w:rPr>
        <w:t>costs</w:t>
      </w:r>
      <w:r>
        <w:rPr>
          <w:spacing w:val="-4"/>
          <w:sz w:val="24"/>
        </w:rPr>
        <w:t xml:space="preserve"> </w:t>
      </w:r>
      <w:r>
        <w:rPr>
          <w:sz w:val="24"/>
        </w:rPr>
        <w:t>of</w:t>
      </w:r>
      <w:r>
        <w:rPr>
          <w:spacing w:val="-1"/>
          <w:sz w:val="24"/>
        </w:rPr>
        <w:t xml:space="preserve"> </w:t>
      </w:r>
      <w:r>
        <w:rPr>
          <w:sz w:val="24"/>
        </w:rPr>
        <w:t>financial</w:t>
      </w:r>
      <w:r>
        <w:rPr>
          <w:spacing w:val="-7"/>
          <w:sz w:val="24"/>
        </w:rPr>
        <w:t xml:space="preserve"> </w:t>
      </w:r>
      <w:r>
        <w:rPr>
          <w:sz w:val="24"/>
        </w:rPr>
        <w:t>information,</w:t>
      </w:r>
      <w:r>
        <w:rPr>
          <w:spacing w:val="-4"/>
          <w:sz w:val="24"/>
        </w:rPr>
        <w:t xml:space="preserve"> </w:t>
      </w:r>
      <w:r>
        <w:rPr>
          <w:sz w:val="24"/>
        </w:rPr>
        <w:t>the</w:t>
      </w:r>
      <w:r>
        <w:rPr>
          <w:spacing w:val="-3"/>
          <w:sz w:val="24"/>
        </w:rPr>
        <w:t xml:space="preserve"> </w:t>
      </w:r>
      <w:r>
        <w:rPr>
          <w:sz w:val="24"/>
        </w:rPr>
        <w:t>AASB</w:t>
      </w:r>
      <w:r>
        <w:rPr>
          <w:spacing w:val="-4"/>
          <w:sz w:val="24"/>
        </w:rPr>
        <w:t xml:space="preserve"> </w:t>
      </w:r>
      <w:r>
        <w:rPr>
          <w:sz w:val="24"/>
        </w:rPr>
        <w:t>considers</w:t>
      </w:r>
      <w:r>
        <w:rPr>
          <w:spacing w:val="-5"/>
          <w:sz w:val="24"/>
        </w:rPr>
        <w:t xml:space="preserve"> </w:t>
      </w:r>
      <w:r>
        <w:rPr>
          <w:sz w:val="24"/>
        </w:rPr>
        <w:t>the comparative advantage preparers have in developing information, compared with the costs</w:t>
      </w:r>
      <w:r>
        <w:rPr>
          <w:spacing w:val="-3"/>
          <w:sz w:val="24"/>
        </w:rPr>
        <w:t xml:space="preserve"> </w:t>
      </w:r>
      <w:r>
        <w:rPr>
          <w:sz w:val="24"/>
        </w:rPr>
        <w:t>users</w:t>
      </w:r>
      <w:r>
        <w:rPr>
          <w:spacing w:val="-3"/>
          <w:sz w:val="24"/>
        </w:rPr>
        <w:t xml:space="preserve"> </w:t>
      </w:r>
      <w:r>
        <w:rPr>
          <w:sz w:val="24"/>
        </w:rPr>
        <w:t>of financial statements</w:t>
      </w:r>
      <w:r>
        <w:rPr>
          <w:spacing w:val="-3"/>
          <w:sz w:val="24"/>
        </w:rPr>
        <w:t xml:space="preserve"> </w:t>
      </w:r>
      <w:r>
        <w:rPr>
          <w:sz w:val="24"/>
        </w:rPr>
        <w:t>would</w:t>
      </w:r>
      <w:r>
        <w:rPr>
          <w:spacing w:val="-1"/>
          <w:sz w:val="24"/>
        </w:rPr>
        <w:t xml:space="preserve"> </w:t>
      </w:r>
      <w:r>
        <w:rPr>
          <w:sz w:val="24"/>
        </w:rPr>
        <w:t>incur</w:t>
      </w:r>
      <w:r>
        <w:rPr>
          <w:spacing w:val="-4"/>
          <w:sz w:val="24"/>
        </w:rPr>
        <w:t xml:space="preserve"> </w:t>
      </w:r>
      <w:r>
        <w:rPr>
          <w:sz w:val="24"/>
        </w:rPr>
        <w:t>to</w:t>
      </w:r>
      <w:r>
        <w:rPr>
          <w:spacing w:val="-1"/>
          <w:sz w:val="24"/>
        </w:rPr>
        <w:t xml:space="preserve"> </w:t>
      </w:r>
      <w:r>
        <w:rPr>
          <w:sz w:val="24"/>
        </w:rPr>
        <w:t>develop surrogate</w:t>
      </w:r>
      <w:r>
        <w:rPr>
          <w:spacing w:val="-1"/>
          <w:sz w:val="24"/>
        </w:rPr>
        <w:t xml:space="preserve"> </w:t>
      </w:r>
      <w:r>
        <w:rPr>
          <w:sz w:val="24"/>
        </w:rPr>
        <w:t>information.</w:t>
      </w:r>
      <w:r>
        <w:rPr>
          <w:spacing w:val="40"/>
          <w:sz w:val="24"/>
        </w:rPr>
        <w:t xml:space="preserve"> </w:t>
      </w:r>
      <w:r>
        <w:rPr>
          <w:sz w:val="24"/>
        </w:rPr>
        <w:t>The AASB recognises that the costs of implementing a new standard might not be borne evenly by participants in the financial reporting system.</w:t>
      </w:r>
      <w:r>
        <w:rPr>
          <w:spacing w:val="40"/>
          <w:sz w:val="24"/>
        </w:rPr>
        <w:t xml:space="preserve"> </w:t>
      </w:r>
      <w:r>
        <w:rPr>
          <w:sz w:val="24"/>
        </w:rPr>
        <w:t>However, the AASB also considers that both the users of financial statements and preparers of the financial statements benefit from the improvements in financial reporting that facilitate the functioning of capital markets, including improved access to credit and the efficient allocation of resources in the economy.</w:t>
      </w:r>
    </w:p>
    <w:p w14:paraId="1E805857" w14:textId="77777777" w:rsidR="00AA4A02" w:rsidRDefault="00960F31">
      <w:pPr>
        <w:pStyle w:val="ListParagraph"/>
        <w:numPr>
          <w:ilvl w:val="2"/>
          <w:numId w:val="43"/>
        </w:numPr>
        <w:tabs>
          <w:tab w:val="left" w:pos="852"/>
        </w:tabs>
        <w:spacing w:before="239" w:line="242" w:lineRule="auto"/>
        <w:ind w:right="459"/>
        <w:rPr>
          <w:sz w:val="24"/>
        </w:rPr>
      </w:pPr>
      <w:r>
        <w:rPr>
          <w:sz w:val="24"/>
        </w:rPr>
        <w:t>The</w:t>
      </w:r>
      <w:r>
        <w:rPr>
          <w:spacing w:val="-3"/>
          <w:sz w:val="24"/>
        </w:rPr>
        <w:t xml:space="preserve"> </w:t>
      </w:r>
      <w:r>
        <w:rPr>
          <w:sz w:val="24"/>
        </w:rPr>
        <w:t>AASB</w:t>
      </w:r>
      <w:r>
        <w:rPr>
          <w:spacing w:val="-3"/>
          <w:sz w:val="24"/>
        </w:rPr>
        <w:t xml:space="preserve"> </w:t>
      </w:r>
      <w:r>
        <w:rPr>
          <w:sz w:val="24"/>
        </w:rPr>
        <w:t>assesses</w:t>
      </w:r>
      <w:r>
        <w:rPr>
          <w:spacing w:val="-3"/>
          <w:sz w:val="24"/>
        </w:rPr>
        <w:t xml:space="preserve"> </w:t>
      </w:r>
      <w:r>
        <w:rPr>
          <w:sz w:val="24"/>
        </w:rPr>
        <w:t>the</w:t>
      </w:r>
      <w:r>
        <w:rPr>
          <w:spacing w:val="-2"/>
          <w:sz w:val="24"/>
        </w:rPr>
        <w:t xml:space="preserve"> </w:t>
      </w:r>
      <w:r>
        <w:rPr>
          <w:sz w:val="24"/>
        </w:rPr>
        <w:t>likely</w:t>
      </w:r>
      <w:r>
        <w:rPr>
          <w:spacing w:val="-1"/>
          <w:sz w:val="24"/>
        </w:rPr>
        <w:t xml:space="preserve"> </w:t>
      </w:r>
      <w:r>
        <w:rPr>
          <w:sz w:val="24"/>
        </w:rPr>
        <w:t>impact</w:t>
      </w:r>
      <w:r>
        <w:rPr>
          <w:spacing w:val="-1"/>
          <w:sz w:val="24"/>
        </w:rPr>
        <w:t xml:space="preserve"> </w:t>
      </w:r>
      <w:r>
        <w:rPr>
          <w:sz w:val="24"/>
        </w:rPr>
        <w:t>of</w:t>
      </w:r>
      <w:r>
        <w:rPr>
          <w:spacing w:val="-5"/>
          <w:sz w:val="24"/>
        </w:rPr>
        <w:t xml:space="preserve"> </w:t>
      </w:r>
      <w:r>
        <w:rPr>
          <w:sz w:val="24"/>
        </w:rPr>
        <w:t>its</w:t>
      </w:r>
      <w:r>
        <w:rPr>
          <w:spacing w:val="-4"/>
          <w:sz w:val="24"/>
        </w:rPr>
        <w:t xml:space="preserve"> </w:t>
      </w:r>
      <w:r>
        <w:rPr>
          <w:sz w:val="24"/>
        </w:rPr>
        <w:t>proposals</w:t>
      </w:r>
      <w:r>
        <w:rPr>
          <w:spacing w:val="-4"/>
          <w:sz w:val="24"/>
        </w:rPr>
        <w:t xml:space="preserve"> </w:t>
      </w:r>
      <w:r>
        <w:rPr>
          <w:sz w:val="24"/>
        </w:rPr>
        <w:t>throughout</w:t>
      </w:r>
      <w:r>
        <w:rPr>
          <w:spacing w:val="-1"/>
          <w:sz w:val="24"/>
        </w:rPr>
        <w:t xml:space="preserve"> </w:t>
      </w:r>
      <w:r>
        <w:rPr>
          <w:sz w:val="24"/>
        </w:rPr>
        <w:t>the</w:t>
      </w:r>
      <w:r>
        <w:rPr>
          <w:spacing w:val="-7"/>
          <w:sz w:val="24"/>
        </w:rPr>
        <w:t xml:space="preserve"> </w:t>
      </w:r>
      <w:r>
        <w:rPr>
          <w:sz w:val="24"/>
        </w:rPr>
        <w:t>development</w:t>
      </w:r>
      <w:r>
        <w:rPr>
          <w:spacing w:val="-1"/>
          <w:sz w:val="24"/>
        </w:rPr>
        <w:t xml:space="preserve"> </w:t>
      </w:r>
      <w:r>
        <w:rPr>
          <w:sz w:val="24"/>
        </w:rPr>
        <w:t>of</w:t>
      </w:r>
      <w:r>
        <w:rPr>
          <w:spacing w:val="-5"/>
          <w:sz w:val="24"/>
        </w:rPr>
        <w:t xml:space="preserve"> </w:t>
      </w:r>
      <w:r>
        <w:rPr>
          <w:sz w:val="24"/>
        </w:rPr>
        <w:t>a new pronouncement. However, the estimated costing of a proposal is not performed until the final proposals are known due to the difficulty in assessing such costs for multiple options.</w:t>
      </w:r>
    </w:p>
    <w:p w14:paraId="1E805858" w14:textId="77777777" w:rsidR="00AA4A02" w:rsidRDefault="00960F31">
      <w:pPr>
        <w:pStyle w:val="ListParagraph"/>
        <w:numPr>
          <w:ilvl w:val="2"/>
          <w:numId w:val="43"/>
        </w:numPr>
        <w:tabs>
          <w:tab w:val="left" w:pos="852"/>
        </w:tabs>
        <w:spacing w:before="229" w:line="247" w:lineRule="auto"/>
        <w:ind w:right="417"/>
        <w:rPr>
          <w:sz w:val="24"/>
        </w:rPr>
      </w:pPr>
      <w:r>
        <w:rPr>
          <w:sz w:val="24"/>
        </w:rPr>
        <w:t>In</w:t>
      </w:r>
      <w:r>
        <w:rPr>
          <w:spacing w:val="-2"/>
          <w:sz w:val="24"/>
        </w:rPr>
        <w:t xml:space="preserve"> </w:t>
      </w:r>
      <w:r>
        <w:rPr>
          <w:sz w:val="24"/>
        </w:rPr>
        <w:t>assessing</w:t>
      </w:r>
      <w:r>
        <w:rPr>
          <w:spacing w:val="-1"/>
          <w:sz w:val="24"/>
        </w:rPr>
        <w:t xml:space="preserve"> </w:t>
      </w:r>
      <w:r>
        <w:rPr>
          <w:sz w:val="24"/>
        </w:rPr>
        <w:t>costs</w:t>
      </w:r>
      <w:r>
        <w:rPr>
          <w:spacing w:val="-4"/>
          <w:sz w:val="24"/>
        </w:rPr>
        <w:t xml:space="preserve"> </w:t>
      </w:r>
      <w:r>
        <w:rPr>
          <w:sz w:val="24"/>
        </w:rPr>
        <w:t>and</w:t>
      </w:r>
      <w:r>
        <w:rPr>
          <w:spacing w:val="-1"/>
          <w:sz w:val="24"/>
        </w:rPr>
        <w:t xml:space="preserve"> </w:t>
      </w:r>
      <w:r>
        <w:rPr>
          <w:sz w:val="24"/>
        </w:rPr>
        <w:t>benefits, the</w:t>
      </w:r>
      <w:r>
        <w:rPr>
          <w:spacing w:val="-2"/>
          <w:sz w:val="24"/>
        </w:rPr>
        <w:t xml:space="preserve"> </w:t>
      </w:r>
      <w:r>
        <w:rPr>
          <w:sz w:val="24"/>
        </w:rPr>
        <w:t>AASB</w:t>
      </w:r>
      <w:r>
        <w:rPr>
          <w:spacing w:val="-4"/>
          <w:sz w:val="24"/>
        </w:rPr>
        <w:t xml:space="preserve"> </w:t>
      </w:r>
      <w:r>
        <w:rPr>
          <w:sz w:val="24"/>
        </w:rPr>
        <w:t>considers</w:t>
      </w:r>
      <w:r>
        <w:rPr>
          <w:spacing w:val="-4"/>
          <w:sz w:val="24"/>
        </w:rPr>
        <w:t xml:space="preserve"> </w:t>
      </w:r>
      <w:r>
        <w:rPr>
          <w:sz w:val="24"/>
        </w:rPr>
        <w:t>similar factors</w:t>
      </w:r>
      <w:r>
        <w:rPr>
          <w:spacing w:val="-3"/>
          <w:sz w:val="24"/>
        </w:rPr>
        <w:t xml:space="preserve"> </w:t>
      </w:r>
      <w:r>
        <w:rPr>
          <w:sz w:val="24"/>
        </w:rPr>
        <w:t>to</w:t>
      </w:r>
      <w:r>
        <w:rPr>
          <w:spacing w:val="-7"/>
          <w:sz w:val="24"/>
        </w:rPr>
        <w:t xml:space="preserve"> </w:t>
      </w:r>
      <w:r>
        <w:rPr>
          <w:sz w:val="24"/>
        </w:rPr>
        <w:t>those</w:t>
      </w:r>
      <w:r>
        <w:rPr>
          <w:spacing w:val="-3"/>
          <w:sz w:val="24"/>
        </w:rPr>
        <w:t xml:space="preserve"> </w:t>
      </w:r>
      <w:r>
        <w:rPr>
          <w:sz w:val="24"/>
        </w:rPr>
        <w:t>used</w:t>
      </w:r>
      <w:r>
        <w:rPr>
          <w:spacing w:val="-1"/>
          <w:sz w:val="24"/>
        </w:rPr>
        <w:t xml:space="preserve"> </w:t>
      </w:r>
      <w:r>
        <w:rPr>
          <w:sz w:val="24"/>
        </w:rPr>
        <w:t>in</w:t>
      </w:r>
      <w:r>
        <w:rPr>
          <w:spacing w:val="-2"/>
          <w:sz w:val="24"/>
        </w:rPr>
        <w:t xml:space="preserve"> </w:t>
      </w:r>
      <w:r>
        <w:rPr>
          <w:sz w:val="24"/>
        </w:rPr>
        <w:t>the IASB’s Effects Analysis:</w:t>
      </w:r>
    </w:p>
    <w:p w14:paraId="1E805859" w14:textId="77777777" w:rsidR="00AA4A02" w:rsidRDefault="00960F31">
      <w:pPr>
        <w:pStyle w:val="ListParagraph"/>
        <w:numPr>
          <w:ilvl w:val="3"/>
          <w:numId w:val="43"/>
        </w:numPr>
        <w:tabs>
          <w:tab w:val="left" w:pos="1557"/>
        </w:tabs>
        <w:spacing w:before="229"/>
        <w:ind w:left="1557" w:hanging="705"/>
        <w:rPr>
          <w:sz w:val="24"/>
        </w:rPr>
      </w:pPr>
      <w:r>
        <w:rPr>
          <w:sz w:val="24"/>
        </w:rPr>
        <w:t>impact on how activities</w:t>
      </w:r>
      <w:r>
        <w:rPr>
          <w:spacing w:val="-2"/>
          <w:sz w:val="24"/>
        </w:rPr>
        <w:t xml:space="preserve"> </w:t>
      </w:r>
      <w:r>
        <w:rPr>
          <w:sz w:val="24"/>
        </w:rPr>
        <w:t>are</w:t>
      </w:r>
      <w:r>
        <w:rPr>
          <w:spacing w:val="-1"/>
          <w:sz w:val="24"/>
        </w:rPr>
        <w:t xml:space="preserve"> </w:t>
      </w:r>
      <w:r>
        <w:rPr>
          <w:sz w:val="24"/>
        </w:rPr>
        <w:t>reported in</w:t>
      </w:r>
      <w:r>
        <w:rPr>
          <w:spacing w:val="-5"/>
          <w:sz w:val="24"/>
        </w:rPr>
        <w:t xml:space="preserve"> </w:t>
      </w:r>
      <w:r>
        <w:rPr>
          <w:sz w:val="24"/>
        </w:rPr>
        <w:t>the financial</w:t>
      </w:r>
      <w:r>
        <w:rPr>
          <w:spacing w:val="1"/>
          <w:sz w:val="24"/>
        </w:rPr>
        <w:t xml:space="preserve"> </w:t>
      </w:r>
      <w:r>
        <w:rPr>
          <w:spacing w:val="-2"/>
          <w:sz w:val="24"/>
        </w:rPr>
        <w:t>statements;</w:t>
      </w:r>
    </w:p>
    <w:p w14:paraId="1E80585A" w14:textId="77777777" w:rsidR="00AA4A02" w:rsidRDefault="00960F31">
      <w:pPr>
        <w:pStyle w:val="ListParagraph"/>
        <w:numPr>
          <w:ilvl w:val="3"/>
          <w:numId w:val="43"/>
        </w:numPr>
        <w:tabs>
          <w:tab w:val="left" w:pos="1558"/>
        </w:tabs>
        <w:spacing w:before="237" w:line="242" w:lineRule="auto"/>
        <w:ind w:right="883"/>
        <w:rPr>
          <w:sz w:val="24"/>
        </w:rPr>
      </w:pPr>
      <w:r>
        <w:rPr>
          <w:sz w:val="24"/>
        </w:rPr>
        <w:t>improvements</w:t>
      </w:r>
      <w:r>
        <w:rPr>
          <w:spacing w:val="-5"/>
          <w:sz w:val="24"/>
        </w:rPr>
        <w:t xml:space="preserve"> </w:t>
      </w:r>
      <w:r>
        <w:rPr>
          <w:sz w:val="24"/>
        </w:rPr>
        <w:t>expected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comparability</w:t>
      </w:r>
      <w:r>
        <w:rPr>
          <w:spacing w:val="-2"/>
          <w:sz w:val="24"/>
        </w:rPr>
        <w:t xml:space="preserve"> </w:t>
      </w:r>
      <w:r>
        <w:rPr>
          <w:sz w:val="24"/>
        </w:rPr>
        <w:t>between</w:t>
      </w:r>
      <w:r>
        <w:rPr>
          <w:spacing w:val="-3"/>
          <w:sz w:val="24"/>
        </w:rPr>
        <w:t xml:space="preserve"> </w:t>
      </w:r>
      <w:r>
        <w:rPr>
          <w:sz w:val="24"/>
        </w:rPr>
        <w:t>different</w:t>
      </w:r>
      <w:r>
        <w:rPr>
          <w:spacing w:val="-7"/>
          <w:sz w:val="24"/>
        </w:rPr>
        <w:t xml:space="preserve"> </w:t>
      </w:r>
      <w:r>
        <w:rPr>
          <w:sz w:val="24"/>
        </w:rPr>
        <w:t>entities</w:t>
      </w:r>
      <w:r>
        <w:rPr>
          <w:spacing w:val="-6"/>
          <w:sz w:val="24"/>
        </w:rPr>
        <w:t xml:space="preserve"> </w:t>
      </w:r>
      <w:r>
        <w:rPr>
          <w:sz w:val="24"/>
        </w:rPr>
        <w:t>and consistency from period to period for a particular entity;</w:t>
      </w:r>
    </w:p>
    <w:p w14:paraId="1E80585B" w14:textId="77777777" w:rsidR="00AA4A02" w:rsidRDefault="00960F31">
      <w:pPr>
        <w:pStyle w:val="ListParagraph"/>
        <w:numPr>
          <w:ilvl w:val="3"/>
          <w:numId w:val="43"/>
        </w:numPr>
        <w:tabs>
          <w:tab w:val="left" w:pos="1558"/>
        </w:tabs>
        <w:spacing w:before="235" w:line="242" w:lineRule="auto"/>
        <w:ind w:right="1387"/>
        <w:rPr>
          <w:sz w:val="24"/>
        </w:rPr>
      </w:pPr>
      <w:r>
        <w:rPr>
          <w:sz w:val="24"/>
        </w:rPr>
        <w:t>improvements</w:t>
      </w:r>
      <w:r>
        <w:rPr>
          <w:spacing w:val="-3"/>
          <w:sz w:val="24"/>
        </w:rPr>
        <w:t xml:space="preserve"> </w:t>
      </w:r>
      <w:r>
        <w:rPr>
          <w:sz w:val="24"/>
        </w:rPr>
        <w:t>expected</w:t>
      </w:r>
      <w:r>
        <w:rPr>
          <w:spacing w:val="-3"/>
          <w:sz w:val="24"/>
        </w:rPr>
        <w:t xml:space="preserve"> </w:t>
      </w:r>
      <w:r>
        <w:rPr>
          <w:sz w:val="24"/>
        </w:rPr>
        <w:t>in</w:t>
      </w:r>
      <w:r>
        <w:rPr>
          <w:spacing w:val="-3"/>
          <w:sz w:val="24"/>
        </w:rPr>
        <w:t xml:space="preserve"> </w:t>
      </w:r>
      <w:r>
        <w:rPr>
          <w:sz w:val="24"/>
        </w:rPr>
        <w:t>user</w:t>
      </w:r>
      <w:r>
        <w:rPr>
          <w:spacing w:val="-1"/>
          <w:sz w:val="24"/>
        </w:rPr>
        <w:t xml:space="preserve"> </w:t>
      </w:r>
      <w:r>
        <w:rPr>
          <w:sz w:val="24"/>
        </w:rPr>
        <w:t>ability</w:t>
      </w:r>
      <w:r>
        <w:rPr>
          <w:spacing w:val="-6"/>
          <w:sz w:val="24"/>
        </w:rPr>
        <w:t xml:space="preserve"> </w:t>
      </w:r>
      <w:r>
        <w:rPr>
          <w:sz w:val="24"/>
        </w:rPr>
        <w:t>to</w:t>
      </w:r>
      <w:r>
        <w:rPr>
          <w:spacing w:val="-7"/>
          <w:sz w:val="24"/>
        </w:rPr>
        <w:t xml:space="preserve"> </w:t>
      </w:r>
      <w:r>
        <w:rPr>
          <w:sz w:val="24"/>
        </w:rPr>
        <w:t>assess</w:t>
      </w:r>
      <w:r>
        <w:rPr>
          <w:spacing w:val="-3"/>
          <w:sz w:val="24"/>
        </w:rPr>
        <w:t xml:space="preserve"> </w:t>
      </w:r>
      <w:r>
        <w:rPr>
          <w:sz w:val="24"/>
        </w:rPr>
        <w:t>future</w:t>
      </w:r>
      <w:r>
        <w:rPr>
          <w:spacing w:val="-3"/>
          <w:sz w:val="24"/>
        </w:rPr>
        <w:t xml:space="preserve"> </w:t>
      </w:r>
      <w:r>
        <w:rPr>
          <w:sz w:val="24"/>
        </w:rPr>
        <w:t>cash</w:t>
      </w:r>
      <w:r>
        <w:rPr>
          <w:spacing w:val="-3"/>
          <w:sz w:val="24"/>
        </w:rPr>
        <w:t xml:space="preserve"> </w:t>
      </w:r>
      <w:r>
        <w:rPr>
          <w:sz w:val="24"/>
        </w:rPr>
        <w:t>flows</w:t>
      </w:r>
      <w:r>
        <w:rPr>
          <w:spacing w:val="-4"/>
          <w:sz w:val="24"/>
        </w:rPr>
        <w:t xml:space="preserve"> </w:t>
      </w:r>
      <w:r>
        <w:rPr>
          <w:sz w:val="24"/>
        </w:rPr>
        <w:t>and management accountability;</w:t>
      </w:r>
    </w:p>
    <w:p w14:paraId="1E80585C" w14:textId="77777777" w:rsidR="00AA4A02" w:rsidRDefault="00960F31">
      <w:pPr>
        <w:pStyle w:val="ListParagraph"/>
        <w:numPr>
          <w:ilvl w:val="3"/>
          <w:numId w:val="43"/>
        </w:numPr>
        <w:tabs>
          <w:tab w:val="left" w:pos="1557"/>
        </w:tabs>
        <w:spacing w:before="240"/>
        <w:ind w:left="1557" w:hanging="705"/>
        <w:rPr>
          <w:sz w:val="24"/>
        </w:rPr>
      </w:pPr>
      <w:r>
        <w:rPr>
          <w:sz w:val="24"/>
        </w:rPr>
        <w:t>improvements</w:t>
      </w:r>
      <w:r>
        <w:rPr>
          <w:spacing w:val="-1"/>
          <w:sz w:val="24"/>
        </w:rPr>
        <w:t xml:space="preserve"> </w:t>
      </w:r>
      <w:r>
        <w:rPr>
          <w:sz w:val="24"/>
        </w:rPr>
        <w:t>expected in economic decision</w:t>
      </w:r>
      <w:r>
        <w:rPr>
          <w:spacing w:val="2"/>
          <w:sz w:val="24"/>
        </w:rPr>
        <w:t xml:space="preserve"> </w:t>
      </w:r>
      <w:r>
        <w:rPr>
          <w:spacing w:val="-2"/>
          <w:sz w:val="24"/>
        </w:rPr>
        <w:t>making;</w:t>
      </w:r>
    </w:p>
    <w:p w14:paraId="1E80585D" w14:textId="77777777" w:rsidR="00AA4A02" w:rsidRDefault="00960F31">
      <w:pPr>
        <w:pStyle w:val="ListParagraph"/>
        <w:numPr>
          <w:ilvl w:val="3"/>
          <w:numId w:val="43"/>
        </w:numPr>
        <w:tabs>
          <w:tab w:val="left" w:pos="1557"/>
        </w:tabs>
        <w:spacing w:before="238"/>
        <w:ind w:left="1557" w:hanging="705"/>
        <w:rPr>
          <w:sz w:val="24"/>
        </w:rPr>
      </w:pPr>
      <w:r>
        <w:rPr>
          <w:sz w:val="24"/>
        </w:rPr>
        <w:t>compliance costs</w:t>
      </w:r>
      <w:r>
        <w:rPr>
          <w:spacing w:val="-2"/>
          <w:sz w:val="24"/>
        </w:rPr>
        <w:t xml:space="preserve"> </w:t>
      </w:r>
      <w:r>
        <w:rPr>
          <w:sz w:val="24"/>
        </w:rPr>
        <w:t>for</w:t>
      </w:r>
      <w:r>
        <w:rPr>
          <w:spacing w:val="3"/>
          <w:sz w:val="24"/>
        </w:rPr>
        <w:t xml:space="preserve"> </w:t>
      </w:r>
      <w:r>
        <w:rPr>
          <w:sz w:val="24"/>
        </w:rPr>
        <w:t>preparers,</w:t>
      </w:r>
      <w:r>
        <w:rPr>
          <w:spacing w:val="-1"/>
          <w:sz w:val="24"/>
        </w:rPr>
        <w:t xml:space="preserve"> </w:t>
      </w:r>
      <w:r>
        <w:rPr>
          <w:sz w:val="24"/>
        </w:rPr>
        <w:t>both</w:t>
      </w:r>
      <w:r>
        <w:rPr>
          <w:spacing w:val="-3"/>
          <w:sz w:val="24"/>
        </w:rPr>
        <w:t xml:space="preserve"> </w:t>
      </w:r>
      <w:r>
        <w:rPr>
          <w:sz w:val="24"/>
        </w:rPr>
        <w:t>initially</w:t>
      </w:r>
      <w:r>
        <w:rPr>
          <w:spacing w:val="1"/>
          <w:sz w:val="24"/>
        </w:rPr>
        <w:t xml:space="preserve"> </w:t>
      </w:r>
      <w:r>
        <w:rPr>
          <w:sz w:val="24"/>
        </w:rPr>
        <w:t>and</w:t>
      </w:r>
      <w:r>
        <w:rPr>
          <w:spacing w:val="-3"/>
          <w:sz w:val="24"/>
        </w:rPr>
        <w:t xml:space="preserve"> </w:t>
      </w:r>
      <w:r>
        <w:rPr>
          <w:spacing w:val="-2"/>
          <w:sz w:val="24"/>
        </w:rPr>
        <w:t>ongoing;</w:t>
      </w:r>
    </w:p>
    <w:p w14:paraId="1E80585E" w14:textId="77777777" w:rsidR="00AA4A02" w:rsidRDefault="00960F31">
      <w:pPr>
        <w:pStyle w:val="ListParagraph"/>
        <w:numPr>
          <w:ilvl w:val="3"/>
          <w:numId w:val="43"/>
        </w:numPr>
        <w:tabs>
          <w:tab w:val="left" w:pos="1557"/>
        </w:tabs>
        <w:spacing w:before="242"/>
        <w:ind w:left="1557" w:hanging="705"/>
        <w:rPr>
          <w:sz w:val="24"/>
        </w:rPr>
      </w:pPr>
      <w:r>
        <w:rPr>
          <w:sz w:val="24"/>
        </w:rPr>
        <w:t>likely</w:t>
      </w:r>
      <w:r>
        <w:rPr>
          <w:spacing w:val="1"/>
          <w:sz w:val="24"/>
        </w:rPr>
        <w:t xml:space="preserve"> </w:t>
      </w:r>
      <w:r>
        <w:rPr>
          <w:sz w:val="24"/>
        </w:rPr>
        <w:t>costs</w:t>
      </w:r>
      <w:r>
        <w:rPr>
          <w:spacing w:val="-2"/>
          <w:sz w:val="24"/>
        </w:rPr>
        <w:t xml:space="preserve"> </w:t>
      </w:r>
      <w:r>
        <w:rPr>
          <w:sz w:val="24"/>
        </w:rPr>
        <w:t>of</w:t>
      </w:r>
      <w:r>
        <w:rPr>
          <w:spacing w:val="3"/>
          <w:sz w:val="24"/>
        </w:rPr>
        <w:t xml:space="preserve"> </w:t>
      </w:r>
      <w:r>
        <w:rPr>
          <w:sz w:val="24"/>
        </w:rPr>
        <w:t>analysis</w:t>
      </w:r>
      <w:r>
        <w:rPr>
          <w:spacing w:val="-2"/>
          <w:sz w:val="24"/>
        </w:rPr>
        <w:t xml:space="preserve"> </w:t>
      </w:r>
      <w:r>
        <w:rPr>
          <w:sz w:val="24"/>
        </w:rPr>
        <w:t>for</w:t>
      </w:r>
      <w:r>
        <w:rPr>
          <w:spacing w:val="-2"/>
          <w:sz w:val="24"/>
        </w:rPr>
        <w:t xml:space="preserve"> users;</w:t>
      </w:r>
    </w:p>
    <w:p w14:paraId="1E80585F" w14:textId="77777777" w:rsidR="00AA4A02" w:rsidRDefault="00960F31">
      <w:pPr>
        <w:pStyle w:val="ListParagraph"/>
        <w:numPr>
          <w:ilvl w:val="3"/>
          <w:numId w:val="43"/>
        </w:numPr>
        <w:tabs>
          <w:tab w:val="left" w:pos="1557"/>
        </w:tabs>
        <w:spacing w:before="238"/>
        <w:ind w:left="1557" w:hanging="705"/>
        <w:rPr>
          <w:sz w:val="24"/>
        </w:rPr>
      </w:pPr>
      <w:r>
        <w:rPr>
          <w:sz w:val="24"/>
        </w:rPr>
        <w:t>improvements</w:t>
      </w:r>
      <w:r>
        <w:rPr>
          <w:spacing w:val="-3"/>
          <w:sz w:val="24"/>
        </w:rPr>
        <w:t xml:space="preserve"> </w:t>
      </w:r>
      <w:r>
        <w:rPr>
          <w:sz w:val="24"/>
        </w:rPr>
        <w:t>in the</w:t>
      </w:r>
      <w:r>
        <w:rPr>
          <w:spacing w:val="-5"/>
          <w:sz w:val="24"/>
        </w:rPr>
        <w:t xml:space="preserve"> </w:t>
      </w:r>
      <w:r>
        <w:rPr>
          <w:sz w:val="24"/>
        </w:rPr>
        <w:t>ability</w:t>
      </w:r>
      <w:r>
        <w:rPr>
          <w:spacing w:val="1"/>
          <w:sz w:val="24"/>
        </w:rPr>
        <w:t xml:space="preserve"> </w:t>
      </w:r>
      <w:r>
        <w:rPr>
          <w:sz w:val="24"/>
        </w:rPr>
        <w:t>to</w:t>
      </w:r>
      <w:r>
        <w:rPr>
          <w:spacing w:val="-5"/>
          <w:sz w:val="24"/>
        </w:rPr>
        <w:t xml:space="preserve"> </w:t>
      </w:r>
      <w:r>
        <w:rPr>
          <w:sz w:val="24"/>
        </w:rPr>
        <w:t>audit</w:t>
      </w:r>
      <w:r>
        <w:rPr>
          <w:spacing w:val="1"/>
          <w:sz w:val="24"/>
        </w:rPr>
        <w:t xml:space="preserve"> </w:t>
      </w:r>
      <w:r>
        <w:rPr>
          <w:sz w:val="24"/>
        </w:rPr>
        <w:t>or</w:t>
      </w:r>
      <w:r>
        <w:rPr>
          <w:spacing w:val="2"/>
          <w:sz w:val="24"/>
        </w:rPr>
        <w:t xml:space="preserve"> </w:t>
      </w:r>
      <w:r>
        <w:rPr>
          <w:sz w:val="24"/>
        </w:rPr>
        <w:t>provide assurance over</w:t>
      </w:r>
      <w:r>
        <w:rPr>
          <w:spacing w:val="2"/>
          <w:sz w:val="24"/>
        </w:rPr>
        <w:t xml:space="preserve"> </w:t>
      </w:r>
      <w:r>
        <w:rPr>
          <w:spacing w:val="-2"/>
          <w:sz w:val="24"/>
        </w:rPr>
        <w:t>requirements;</w:t>
      </w:r>
    </w:p>
    <w:p w14:paraId="1E805860" w14:textId="77777777" w:rsidR="00AA4A02" w:rsidRDefault="00960F31">
      <w:pPr>
        <w:pStyle w:val="ListParagraph"/>
        <w:numPr>
          <w:ilvl w:val="3"/>
          <w:numId w:val="43"/>
        </w:numPr>
        <w:tabs>
          <w:tab w:val="left" w:pos="1557"/>
        </w:tabs>
        <w:spacing w:before="243"/>
        <w:ind w:left="1557" w:hanging="705"/>
        <w:rPr>
          <w:sz w:val="24"/>
        </w:rPr>
      </w:pPr>
      <w:r>
        <w:rPr>
          <w:sz w:val="24"/>
        </w:rPr>
        <w:t>ability</w:t>
      </w:r>
      <w:r>
        <w:rPr>
          <w:spacing w:val="2"/>
          <w:sz w:val="24"/>
        </w:rPr>
        <w:t xml:space="preserve"> </w:t>
      </w:r>
      <w:r>
        <w:rPr>
          <w:sz w:val="24"/>
        </w:rPr>
        <w:t>for</w:t>
      </w:r>
      <w:r>
        <w:rPr>
          <w:spacing w:val="-2"/>
          <w:sz w:val="24"/>
        </w:rPr>
        <w:t xml:space="preserve"> </w:t>
      </w:r>
      <w:r>
        <w:rPr>
          <w:sz w:val="24"/>
        </w:rPr>
        <w:t>other</w:t>
      </w:r>
      <w:r>
        <w:rPr>
          <w:spacing w:val="-2"/>
          <w:sz w:val="24"/>
        </w:rPr>
        <w:t xml:space="preserve"> </w:t>
      </w:r>
      <w:r>
        <w:rPr>
          <w:sz w:val="24"/>
        </w:rPr>
        <w:t>regulators to</w:t>
      </w:r>
      <w:r>
        <w:rPr>
          <w:spacing w:val="-3"/>
          <w:sz w:val="24"/>
        </w:rPr>
        <w:t xml:space="preserve"> </w:t>
      </w:r>
      <w:r>
        <w:rPr>
          <w:sz w:val="24"/>
        </w:rPr>
        <w:t>more</w:t>
      </w:r>
      <w:r>
        <w:rPr>
          <w:spacing w:val="-5"/>
          <w:sz w:val="24"/>
        </w:rPr>
        <w:t xml:space="preserve"> </w:t>
      </w:r>
      <w:r>
        <w:rPr>
          <w:sz w:val="24"/>
        </w:rPr>
        <w:t>effectively</w:t>
      </w:r>
      <w:r>
        <w:rPr>
          <w:spacing w:val="-2"/>
          <w:sz w:val="24"/>
        </w:rPr>
        <w:t xml:space="preserve"> </w:t>
      </w:r>
      <w:r>
        <w:rPr>
          <w:sz w:val="24"/>
        </w:rPr>
        <w:t>enforce</w:t>
      </w:r>
      <w:r>
        <w:rPr>
          <w:spacing w:val="1"/>
          <w:sz w:val="24"/>
        </w:rPr>
        <w:t xml:space="preserve"> </w:t>
      </w:r>
      <w:r>
        <w:rPr>
          <w:sz w:val="24"/>
        </w:rPr>
        <w:t>requirements;</w:t>
      </w:r>
      <w:r>
        <w:rPr>
          <w:spacing w:val="2"/>
          <w:sz w:val="24"/>
        </w:rPr>
        <w:t xml:space="preserve"> </w:t>
      </w:r>
      <w:r>
        <w:rPr>
          <w:spacing w:val="-5"/>
          <w:sz w:val="24"/>
        </w:rPr>
        <w:t>and</w:t>
      </w:r>
    </w:p>
    <w:p w14:paraId="1E805861" w14:textId="77777777" w:rsidR="00AA4A02" w:rsidRDefault="00960F31">
      <w:pPr>
        <w:pStyle w:val="ListParagraph"/>
        <w:numPr>
          <w:ilvl w:val="3"/>
          <w:numId w:val="43"/>
        </w:numPr>
        <w:tabs>
          <w:tab w:val="left" w:pos="1557"/>
        </w:tabs>
        <w:spacing w:before="237"/>
        <w:ind w:left="1557" w:hanging="705"/>
        <w:rPr>
          <w:sz w:val="24"/>
        </w:rPr>
      </w:pPr>
      <w:r>
        <w:rPr>
          <w:sz w:val="24"/>
        </w:rPr>
        <w:t>impact</w:t>
      </w:r>
      <w:r>
        <w:rPr>
          <w:spacing w:val="-1"/>
          <w:sz w:val="24"/>
        </w:rPr>
        <w:t xml:space="preserve"> </w:t>
      </w:r>
      <w:r>
        <w:rPr>
          <w:sz w:val="24"/>
        </w:rPr>
        <w:t>on financial</w:t>
      </w:r>
      <w:r>
        <w:rPr>
          <w:spacing w:val="-3"/>
          <w:sz w:val="24"/>
        </w:rPr>
        <w:t xml:space="preserve"> </w:t>
      </w:r>
      <w:r>
        <w:rPr>
          <w:sz w:val="24"/>
        </w:rPr>
        <w:t>stability</w:t>
      </w:r>
      <w:r>
        <w:rPr>
          <w:spacing w:val="1"/>
          <w:sz w:val="24"/>
        </w:rPr>
        <w:t xml:space="preserve"> </w:t>
      </w:r>
      <w:r>
        <w:rPr>
          <w:sz w:val="24"/>
        </w:rPr>
        <w:t>and</w:t>
      </w:r>
      <w:r>
        <w:rPr>
          <w:spacing w:val="1"/>
          <w:sz w:val="24"/>
        </w:rPr>
        <w:t xml:space="preserve"> </w:t>
      </w:r>
      <w:r>
        <w:rPr>
          <w:sz w:val="24"/>
        </w:rPr>
        <w:t>the</w:t>
      </w:r>
      <w:r>
        <w:rPr>
          <w:spacing w:val="-5"/>
          <w:sz w:val="24"/>
        </w:rPr>
        <w:t xml:space="preserve"> </w:t>
      </w:r>
      <w:r>
        <w:rPr>
          <w:sz w:val="24"/>
        </w:rPr>
        <w:t>Australian</w:t>
      </w:r>
      <w:r>
        <w:rPr>
          <w:spacing w:val="2"/>
          <w:sz w:val="24"/>
        </w:rPr>
        <w:t xml:space="preserve"> </w:t>
      </w:r>
      <w:r>
        <w:rPr>
          <w:spacing w:val="-2"/>
          <w:sz w:val="24"/>
        </w:rPr>
        <w:t>economy.</w:t>
      </w:r>
    </w:p>
    <w:p w14:paraId="1E805862" w14:textId="77777777" w:rsidR="00AA4A02" w:rsidRDefault="00960F31">
      <w:pPr>
        <w:pStyle w:val="ListParagraph"/>
        <w:numPr>
          <w:ilvl w:val="2"/>
          <w:numId w:val="43"/>
        </w:numPr>
        <w:tabs>
          <w:tab w:val="left" w:pos="852"/>
        </w:tabs>
        <w:spacing w:before="240" w:line="237" w:lineRule="auto"/>
        <w:ind w:right="418"/>
        <w:rPr>
          <w:sz w:val="24"/>
        </w:rPr>
      </w:pPr>
      <w:r>
        <w:rPr>
          <w:sz w:val="24"/>
        </w:rPr>
        <w:t>As</w:t>
      </w:r>
      <w:r>
        <w:rPr>
          <w:spacing w:val="-4"/>
          <w:sz w:val="24"/>
        </w:rPr>
        <w:t xml:space="preserve"> </w:t>
      </w:r>
      <w:r>
        <w:rPr>
          <w:sz w:val="24"/>
        </w:rPr>
        <w:t>set</w:t>
      </w:r>
      <w:r>
        <w:rPr>
          <w:spacing w:val="-2"/>
          <w:sz w:val="24"/>
        </w:rPr>
        <w:t xml:space="preserve"> </w:t>
      </w:r>
      <w:r>
        <w:rPr>
          <w:sz w:val="24"/>
        </w:rPr>
        <w:t>out</w:t>
      </w:r>
      <w:r>
        <w:rPr>
          <w:spacing w:val="-1"/>
          <w:sz w:val="24"/>
        </w:rPr>
        <w:t xml:space="preserve"> </w:t>
      </w:r>
      <w:r>
        <w:rPr>
          <w:sz w:val="24"/>
        </w:rPr>
        <w:t>in</w:t>
      </w:r>
      <w:r>
        <w:rPr>
          <w:spacing w:val="-2"/>
          <w:sz w:val="24"/>
        </w:rPr>
        <w:t xml:space="preserve"> </w:t>
      </w:r>
      <w:r>
        <w:rPr>
          <w:i/>
          <w:sz w:val="24"/>
        </w:rPr>
        <w:t>The</w:t>
      </w:r>
      <w:r>
        <w:rPr>
          <w:i/>
          <w:spacing w:val="-7"/>
          <w:sz w:val="24"/>
        </w:rPr>
        <w:t xml:space="preserve"> </w:t>
      </w:r>
      <w:r>
        <w:rPr>
          <w:i/>
          <w:sz w:val="24"/>
        </w:rPr>
        <w:t>AASB’s</w:t>
      </w:r>
      <w:r>
        <w:rPr>
          <w:i/>
          <w:spacing w:val="-7"/>
          <w:sz w:val="24"/>
        </w:rPr>
        <w:t xml:space="preserve"> </w:t>
      </w:r>
      <w:r>
        <w:rPr>
          <w:i/>
          <w:sz w:val="24"/>
        </w:rPr>
        <w:t>For-Profit</w:t>
      </w:r>
      <w:r>
        <w:rPr>
          <w:i/>
          <w:spacing w:val="-5"/>
          <w:sz w:val="24"/>
        </w:rPr>
        <w:t xml:space="preserve"> </w:t>
      </w:r>
      <w:r>
        <w:rPr>
          <w:i/>
          <w:sz w:val="24"/>
        </w:rPr>
        <w:t>Entity</w:t>
      </w:r>
      <w:r>
        <w:rPr>
          <w:i/>
          <w:spacing w:val="-5"/>
          <w:sz w:val="24"/>
        </w:rPr>
        <w:t xml:space="preserve"> </w:t>
      </w:r>
      <w:r>
        <w:rPr>
          <w:i/>
          <w:sz w:val="24"/>
        </w:rPr>
        <w:t>Standard-Setting</w:t>
      </w:r>
      <w:r>
        <w:rPr>
          <w:i/>
          <w:spacing w:val="-1"/>
          <w:sz w:val="24"/>
        </w:rPr>
        <w:t xml:space="preserve"> </w:t>
      </w:r>
      <w:r>
        <w:rPr>
          <w:i/>
          <w:sz w:val="24"/>
        </w:rPr>
        <w:t>Framework</w:t>
      </w:r>
      <w:r>
        <w:rPr>
          <w:sz w:val="24"/>
        </w:rPr>
        <w:t>, in</w:t>
      </w:r>
      <w:r>
        <w:rPr>
          <w:spacing w:val="-2"/>
          <w:sz w:val="24"/>
        </w:rPr>
        <w:t xml:space="preserve"> </w:t>
      </w:r>
      <w:r>
        <w:rPr>
          <w:sz w:val="24"/>
        </w:rPr>
        <w:t>making</w:t>
      </w:r>
      <w:r>
        <w:rPr>
          <w:spacing w:val="-1"/>
          <w:sz w:val="24"/>
        </w:rPr>
        <w:t xml:space="preserve"> </w:t>
      </w:r>
      <w:r>
        <w:rPr>
          <w:sz w:val="24"/>
        </w:rPr>
        <w:t>an Australian Accounting Standard that incorporates an IFRS Standard, the AASB</w:t>
      </w:r>
    </w:p>
    <w:p w14:paraId="1E805863" w14:textId="77777777" w:rsidR="00AA4A02" w:rsidRDefault="00AA4A02">
      <w:pPr>
        <w:pStyle w:val="ListParagraph"/>
        <w:spacing w:line="237" w:lineRule="auto"/>
        <w:rPr>
          <w:sz w:val="24"/>
        </w:rPr>
        <w:sectPr w:rsidR="00AA4A02">
          <w:pgSz w:w="11900" w:h="16840"/>
          <w:pgMar w:top="1600" w:right="992" w:bottom="920" w:left="1275" w:header="652" w:footer="724" w:gutter="0"/>
          <w:cols w:space="720"/>
        </w:sectPr>
      </w:pPr>
    </w:p>
    <w:p w14:paraId="1E805864" w14:textId="77777777" w:rsidR="00AA4A02" w:rsidRDefault="00960F31">
      <w:pPr>
        <w:spacing w:before="80" w:line="242" w:lineRule="auto"/>
        <w:ind w:left="852" w:right="616"/>
        <w:rPr>
          <w:sz w:val="24"/>
        </w:rPr>
      </w:pPr>
      <w:r>
        <w:rPr>
          <w:sz w:val="24"/>
        </w:rPr>
        <w:lastRenderedPageBreak/>
        <w:t>considers</w:t>
      </w:r>
      <w:r>
        <w:rPr>
          <w:spacing w:val="-4"/>
          <w:sz w:val="24"/>
        </w:rPr>
        <w:t xml:space="preserve"> </w:t>
      </w:r>
      <w:r>
        <w:rPr>
          <w:sz w:val="24"/>
        </w:rPr>
        <w:t>the</w:t>
      </w:r>
      <w:r>
        <w:rPr>
          <w:spacing w:val="-2"/>
          <w:sz w:val="24"/>
        </w:rPr>
        <w:t xml:space="preserve"> </w:t>
      </w:r>
      <w:r>
        <w:rPr>
          <w:sz w:val="24"/>
        </w:rPr>
        <w:t>costs</w:t>
      </w:r>
      <w:r>
        <w:rPr>
          <w:spacing w:val="-4"/>
          <w:sz w:val="24"/>
        </w:rPr>
        <w:t xml:space="preserve"> </w:t>
      </w:r>
      <w:r>
        <w:rPr>
          <w:sz w:val="24"/>
        </w:rPr>
        <w:t>and</w:t>
      </w:r>
      <w:r>
        <w:rPr>
          <w:spacing w:val="-1"/>
          <w:sz w:val="24"/>
        </w:rPr>
        <w:t xml:space="preserve"> </w:t>
      </w:r>
      <w:r>
        <w:rPr>
          <w:sz w:val="24"/>
        </w:rPr>
        <w:t>benefits</w:t>
      </w:r>
      <w:r>
        <w:rPr>
          <w:spacing w:val="-3"/>
          <w:sz w:val="24"/>
        </w:rPr>
        <w:t xml:space="preserve"> </w:t>
      </w:r>
      <w:r>
        <w:rPr>
          <w:sz w:val="24"/>
        </w:rPr>
        <w:t>of the</w:t>
      </w:r>
      <w:r>
        <w:rPr>
          <w:spacing w:val="-7"/>
          <w:sz w:val="24"/>
        </w:rPr>
        <w:t xml:space="preserve"> </w:t>
      </w:r>
      <w:r>
        <w:rPr>
          <w:sz w:val="24"/>
        </w:rPr>
        <w:t>individual</w:t>
      </w:r>
      <w:r>
        <w:rPr>
          <w:spacing w:val="-6"/>
          <w:sz w:val="24"/>
        </w:rPr>
        <w:t xml:space="preserve"> </w:t>
      </w:r>
      <w:r>
        <w:rPr>
          <w:sz w:val="24"/>
        </w:rPr>
        <w:t>requirements</w:t>
      </w:r>
      <w:r>
        <w:rPr>
          <w:spacing w:val="-3"/>
          <w:sz w:val="24"/>
        </w:rPr>
        <w:t xml:space="preserve"> </w:t>
      </w:r>
      <w:r>
        <w:rPr>
          <w:sz w:val="24"/>
        </w:rPr>
        <w:t>as</w:t>
      </w:r>
      <w:r>
        <w:rPr>
          <w:spacing w:val="-4"/>
          <w:sz w:val="24"/>
        </w:rPr>
        <w:t xml:space="preserve"> </w:t>
      </w:r>
      <w:r>
        <w:rPr>
          <w:sz w:val="24"/>
        </w:rPr>
        <w:t>well</w:t>
      </w:r>
      <w:r>
        <w:rPr>
          <w:spacing w:val="-1"/>
          <w:sz w:val="24"/>
        </w:rPr>
        <w:t xml:space="preserve"> </w:t>
      </w:r>
      <w:r>
        <w:rPr>
          <w:sz w:val="24"/>
        </w:rPr>
        <w:t>as</w:t>
      </w:r>
      <w:r>
        <w:rPr>
          <w:spacing w:val="-4"/>
          <w:sz w:val="24"/>
        </w:rPr>
        <w:t xml:space="preserve"> </w:t>
      </w:r>
      <w:r>
        <w:rPr>
          <w:sz w:val="24"/>
        </w:rPr>
        <w:t>the</w:t>
      </w:r>
      <w:r>
        <w:rPr>
          <w:spacing w:val="-2"/>
          <w:sz w:val="24"/>
        </w:rPr>
        <w:t xml:space="preserve"> </w:t>
      </w:r>
      <w:r>
        <w:rPr>
          <w:sz w:val="24"/>
        </w:rPr>
        <w:t>broader perspective of maintaining IFRS compliance when assessing whether adopting the IFRS Standard is in the best interests of the Australian economy.</w:t>
      </w:r>
    </w:p>
    <w:p w14:paraId="1E805865" w14:textId="77777777" w:rsidR="00AA4A02" w:rsidRDefault="00960F31">
      <w:pPr>
        <w:pStyle w:val="ListParagraph"/>
        <w:numPr>
          <w:ilvl w:val="2"/>
          <w:numId w:val="43"/>
        </w:numPr>
        <w:tabs>
          <w:tab w:val="left" w:pos="852"/>
        </w:tabs>
        <w:spacing w:before="234"/>
        <w:ind w:right="644"/>
        <w:rPr>
          <w:sz w:val="24"/>
        </w:rPr>
      </w:pPr>
      <w:r>
        <w:rPr>
          <w:sz w:val="24"/>
        </w:rPr>
        <w:t>In</w:t>
      </w:r>
      <w:r>
        <w:rPr>
          <w:spacing w:val="-2"/>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7"/>
          <w:sz w:val="24"/>
        </w:rPr>
        <w:t xml:space="preserve"> </w:t>
      </w:r>
      <w:hyperlink r:id="rId38">
        <w:r>
          <w:rPr>
            <w:i/>
            <w:sz w:val="24"/>
          </w:rPr>
          <w:t>Australian</w:t>
        </w:r>
        <w:r>
          <w:rPr>
            <w:i/>
            <w:spacing w:val="-1"/>
            <w:sz w:val="24"/>
          </w:rPr>
          <w:t xml:space="preserve"> </w:t>
        </w:r>
        <w:r>
          <w:rPr>
            <w:i/>
            <w:sz w:val="24"/>
          </w:rPr>
          <w:t>Government</w:t>
        </w:r>
        <w:r>
          <w:rPr>
            <w:i/>
            <w:spacing w:val="-1"/>
            <w:sz w:val="24"/>
          </w:rPr>
          <w:t xml:space="preserve"> </w:t>
        </w:r>
        <w:r>
          <w:rPr>
            <w:i/>
            <w:sz w:val="24"/>
          </w:rPr>
          <w:t>Guide</w:t>
        </w:r>
        <w:r>
          <w:rPr>
            <w:i/>
            <w:spacing w:val="-3"/>
            <w:sz w:val="24"/>
          </w:rPr>
          <w:t xml:space="preserve"> </w:t>
        </w:r>
        <w:r>
          <w:rPr>
            <w:i/>
            <w:sz w:val="24"/>
          </w:rPr>
          <w:t>to</w:t>
        </w:r>
        <w:r>
          <w:rPr>
            <w:i/>
            <w:spacing w:val="-6"/>
            <w:sz w:val="24"/>
          </w:rPr>
          <w:t xml:space="preserve"> </w:t>
        </w:r>
        <w:r>
          <w:rPr>
            <w:i/>
            <w:sz w:val="24"/>
          </w:rPr>
          <w:t>Regulation</w:t>
        </w:r>
      </w:hyperlink>
      <w:r>
        <w:rPr>
          <w:sz w:val="24"/>
        </w:rPr>
        <w:t>,</w:t>
      </w:r>
      <w:r>
        <w:rPr>
          <w:spacing w:val="-4"/>
          <w:sz w:val="24"/>
        </w:rPr>
        <w:t xml:space="preserve"> </w:t>
      </w:r>
      <w:r>
        <w:rPr>
          <w:sz w:val="24"/>
        </w:rPr>
        <w:t>a</w:t>
      </w:r>
      <w:r>
        <w:rPr>
          <w:spacing w:val="-3"/>
          <w:sz w:val="24"/>
        </w:rPr>
        <w:t xml:space="preserve"> </w:t>
      </w:r>
      <w:r>
        <w:rPr>
          <w:sz w:val="24"/>
        </w:rPr>
        <w:t>quantification of all</w:t>
      </w:r>
      <w:r>
        <w:rPr>
          <w:spacing w:val="-5"/>
          <w:sz w:val="24"/>
        </w:rPr>
        <w:t xml:space="preserve"> </w:t>
      </w:r>
      <w:r>
        <w:rPr>
          <w:sz w:val="24"/>
        </w:rPr>
        <w:t>regulatory costs</w:t>
      </w:r>
      <w:r>
        <w:rPr>
          <w:spacing w:val="-2"/>
          <w:sz w:val="24"/>
        </w:rPr>
        <w:t xml:space="preserve"> </w:t>
      </w:r>
      <w:r>
        <w:rPr>
          <w:sz w:val="24"/>
        </w:rPr>
        <w:t>is</w:t>
      </w:r>
      <w:r>
        <w:rPr>
          <w:spacing w:val="-3"/>
          <w:sz w:val="24"/>
        </w:rPr>
        <w:t xml:space="preserve"> </w:t>
      </w:r>
      <w:r>
        <w:rPr>
          <w:sz w:val="24"/>
        </w:rPr>
        <w:t>estimated for private</w:t>
      </w:r>
      <w:r>
        <w:rPr>
          <w:spacing w:val="-1"/>
          <w:sz w:val="24"/>
        </w:rPr>
        <w:t xml:space="preserve"> </w:t>
      </w:r>
      <w:r>
        <w:rPr>
          <w:sz w:val="24"/>
        </w:rPr>
        <w:t>sector entities</w:t>
      </w:r>
      <w:r>
        <w:rPr>
          <w:spacing w:val="-2"/>
          <w:sz w:val="24"/>
        </w:rPr>
        <w:t xml:space="preserve"> </w:t>
      </w:r>
      <w:r>
        <w:rPr>
          <w:sz w:val="24"/>
        </w:rPr>
        <w:t>required to</w:t>
      </w:r>
      <w:r>
        <w:rPr>
          <w:spacing w:val="-6"/>
          <w:sz w:val="24"/>
        </w:rPr>
        <w:t xml:space="preserve"> </w:t>
      </w:r>
      <w:r>
        <w:rPr>
          <w:sz w:val="24"/>
        </w:rPr>
        <w:t xml:space="preserve">comply with the requirements, whether arising from new regulations or changes to existing regulation. The regulatory costs and the associated offsetting regulatory savings are estimated using the Regulatory Burden Measure (RBM), consistent with the </w:t>
      </w:r>
      <w:hyperlink r:id="rId39">
        <w:r>
          <w:rPr>
            <w:sz w:val="24"/>
          </w:rPr>
          <w:t>Regulatory Burden Measurement framework</w:t>
        </w:r>
      </w:hyperlink>
      <w:r>
        <w:rPr>
          <w:sz w:val="24"/>
        </w:rPr>
        <w:t>. The resulting RBM report provides a summary estimate of compliance costs for businesses and the community and is approved by the Office of Best Practice Regulation (OBPR)</w:t>
      </w:r>
      <w:r>
        <w:rPr>
          <w:sz w:val="24"/>
          <w:vertAlign w:val="superscript"/>
        </w:rPr>
        <w:t>14</w:t>
      </w:r>
      <w:r>
        <w:rPr>
          <w:sz w:val="24"/>
        </w:rPr>
        <w:t xml:space="preserve"> prior to the AASB voting to make a Standard.</w:t>
      </w:r>
    </w:p>
    <w:p w14:paraId="1E805866" w14:textId="77777777" w:rsidR="00AA4A02" w:rsidRDefault="00960F31">
      <w:pPr>
        <w:pStyle w:val="ListParagraph"/>
        <w:numPr>
          <w:ilvl w:val="2"/>
          <w:numId w:val="43"/>
        </w:numPr>
        <w:tabs>
          <w:tab w:val="left" w:pos="852"/>
        </w:tabs>
        <w:spacing w:before="239"/>
        <w:ind w:right="538"/>
        <w:rPr>
          <w:sz w:val="24"/>
        </w:rPr>
      </w:pPr>
      <w:r>
        <w:rPr>
          <w:sz w:val="24"/>
        </w:rPr>
        <w:t>The AASB does not consider there is a universally accepted methodology for quantitatively measuring costs and benefits of information presented in financial reports and is therefore guided by the feedback received from stakeholders as to the range and nature of costs that may be involved in implementing new and revised accounting</w:t>
      </w:r>
      <w:r>
        <w:rPr>
          <w:spacing w:val="-1"/>
          <w:sz w:val="24"/>
        </w:rPr>
        <w:t xml:space="preserve"> </w:t>
      </w:r>
      <w:r>
        <w:rPr>
          <w:sz w:val="24"/>
        </w:rPr>
        <w:t>requirements, and</w:t>
      </w:r>
      <w:r>
        <w:rPr>
          <w:spacing w:val="-7"/>
          <w:sz w:val="24"/>
        </w:rPr>
        <w:t xml:space="preserve"> </w:t>
      </w:r>
      <w:r>
        <w:rPr>
          <w:sz w:val="24"/>
        </w:rPr>
        <w:t>the</w:t>
      </w:r>
      <w:r>
        <w:rPr>
          <w:spacing w:val="-2"/>
          <w:sz w:val="24"/>
        </w:rPr>
        <w:t xml:space="preserve"> </w:t>
      </w:r>
      <w:r>
        <w:rPr>
          <w:sz w:val="24"/>
        </w:rPr>
        <w:t>benefits</w:t>
      </w:r>
      <w:r>
        <w:rPr>
          <w:spacing w:val="-4"/>
          <w:sz w:val="24"/>
        </w:rPr>
        <w:t xml:space="preserve"> </w:t>
      </w:r>
      <w:r>
        <w:rPr>
          <w:sz w:val="24"/>
        </w:rPr>
        <w:t>that</w:t>
      </w:r>
      <w:r>
        <w:rPr>
          <w:spacing w:val="-6"/>
          <w:sz w:val="24"/>
        </w:rPr>
        <w:t xml:space="preserve"> </w:t>
      </w:r>
      <w:r>
        <w:rPr>
          <w:sz w:val="24"/>
        </w:rPr>
        <w:t>may</w:t>
      </w:r>
      <w:r>
        <w:rPr>
          <w:spacing w:val="-7"/>
          <w:sz w:val="24"/>
        </w:rPr>
        <w:t xml:space="preserve"> </w:t>
      </w:r>
      <w:r>
        <w:rPr>
          <w:sz w:val="24"/>
        </w:rPr>
        <w:t>accrue</w:t>
      </w:r>
      <w:r>
        <w:rPr>
          <w:spacing w:val="-2"/>
          <w:sz w:val="24"/>
        </w:rPr>
        <w:t xml:space="preserve"> </w:t>
      </w:r>
      <w:r>
        <w:rPr>
          <w:sz w:val="24"/>
        </w:rPr>
        <w:t>from</w:t>
      </w:r>
      <w:r>
        <w:rPr>
          <w:spacing w:val="-6"/>
          <w:sz w:val="24"/>
        </w:rPr>
        <w:t xml:space="preserve"> </w:t>
      </w:r>
      <w:r>
        <w:rPr>
          <w:sz w:val="24"/>
        </w:rPr>
        <w:t>using</w:t>
      </w:r>
      <w:r>
        <w:rPr>
          <w:spacing w:val="-1"/>
          <w:sz w:val="24"/>
        </w:rPr>
        <w:t xml:space="preserve"> </w:t>
      </w:r>
      <w:r>
        <w:rPr>
          <w:sz w:val="24"/>
        </w:rPr>
        <w:t>the</w:t>
      </w:r>
      <w:r>
        <w:rPr>
          <w:spacing w:val="-7"/>
          <w:sz w:val="24"/>
        </w:rPr>
        <w:t xml:space="preserve"> </w:t>
      </w:r>
      <w:r>
        <w:rPr>
          <w:sz w:val="24"/>
        </w:rPr>
        <w:t>information reported in accordance with those requirements.</w:t>
      </w:r>
      <w:r>
        <w:rPr>
          <w:spacing w:val="40"/>
          <w:sz w:val="24"/>
        </w:rPr>
        <w:t xml:space="preserve"> </w:t>
      </w:r>
      <w:r>
        <w:rPr>
          <w:sz w:val="24"/>
        </w:rPr>
        <w:t>When seeking feedback from stakeholders, the</w:t>
      </w:r>
      <w:r>
        <w:rPr>
          <w:spacing w:val="-2"/>
          <w:sz w:val="24"/>
        </w:rPr>
        <w:t xml:space="preserve"> </w:t>
      </w:r>
      <w:r>
        <w:rPr>
          <w:sz w:val="24"/>
        </w:rPr>
        <w:t>AASB</w:t>
      </w:r>
      <w:r>
        <w:rPr>
          <w:spacing w:val="-3"/>
          <w:sz w:val="24"/>
        </w:rPr>
        <w:t xml:space="preserve"> </w:t>
      </w:r>
      <w:r>
        <w:rPr>
          <w:sz w:val="24"/>
        </w:rPr>
        <w:t>often</w:t>
      </w:r>
      <w:r>
        <w:rPr>
          <w:spacing w:val="-2"/>
          <w:sz w:val="24"/>
        </w:rPr>
        <w:t xml:space="preserve"> </w:t>
      </w:r>
      <w:r>
        <w:rPr>
          <w:sz w:val="24"/>
        </w:rPr>
        <w:t>specifically</w:t>
      </w:r>
      <w:r>
        <w:rPr>
          <w:spacing w:val="-6"/>
          <w:sz w:val="24"/>
        </w:rPr>
        <w:t xml:space="preserve"> </w:t>
      </w:r>
      <w:r>
        <w:rPr>
          <w:sz w:val="24"/>
        </w:rPr>
        <w:t>invites</w:t>
      </w:r>
      <w:r>
        <w:rPr>
          <w:spacing w:val="-4"/>
          <w:sz w:val="24"/>
        </w:rPr>
        <w:t xml:space="preserve"> </w:t>
      </w:r>
      <w:r>
        <w:rPr>
          <w:sz w:val="24"/>
        </w:rPr>
        <w:t>stakeholders</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quantitative and/or qualitative information on the costs and benefits of the proposals. The AASB clearly outlines the assumptions used in determining estimates of quantitative costs.</w:t>
      </w:r>
    </w:p>
    <w:p w14:paraId="1E805867" w14:textId="77777777" w:rsidR="00AA4A02" w:rsidRDefault="00960F31">
      <w:pPr>
        <w:pStyle w:val="ListParagraph"/>
        <w:numPr>
          <w:ilvl w:val="2"/>
          <w:numId w:val="43"/>
        </w:numPr>
        <w:tabs>
          <w:tab w:val="left" w:pos="852"/>
        </w:tabs>
        <w:spacing w:before="243"/>
        <w:ind w:right="453"/>
        <w:rPr>
          <w:sz w:val="24"/>
        </w:rPr>
      </w:pPr>
      <w:r>
        <w:rPr>
          <w:sz w:val="24"/>
        </w:rPr>
        <w:t>As</w:t>
      </w:r>
      <w:r>
        <w:rPr>
          <w:spacing w:val="-3"/>
          <w:sz w:val="24"/>
        </w:rPr>
        <w:t xml:space="preserve"> </w:t>
      </w:r>
      <w:r>
        <w:rPr>
          <w:sz w:val="24"/>
        </w:rPr>
        <w:t>an</w:t>
      </w:r>
      <w:r>
        <w:rPr>
          <w:spacing w:val="-1"/>
          <w:sz w:val="24"/>
        </w:rPr>
        <w:t xml:space="preserve"> </w:t>
      </w:r>
      <w:r>
        <w:rPr>
          <w:sz w:val="24"/>
        </w:rPr>
        <w:t>alternative</w:t>
      </w:r>
      <w:r>
        <w:rPr>
          <w:spacing w:val="-1"/>
          <w:sz w:val="24"/>
        </w:rPr>
        <w:t xml:space="preserve"> </w:t>
      </w:r>
      <w:r>
        <w:rPr>
          <w:sz w:val="24"/>
        </w:rPr>
        <w:t>to preparing a</w:t>
      </w:r>
      <w:r>
        <w:rPr>
          <w:spacing w:val="-6"/>
          <w:sz w:val="24"/>
        </w:rPr>
        <w:t xml:space="preserve"> </w:t>
      </w:r>
      <w:r>
        <w:rPr>
          <w:sz w:val="24"/>
        </w:rPr>
        <w:t>RIS,</w:t>
      </w:r>
      <w:r>
        <w:rPr>
          <w:spacing w:val="-3"/>
          <w:sz w:val="24"/>
        </w:rPr>
        <w:t xml:space="preserve"> </w:t>
      </w:r>
      <w:r>
        <w:rPr>
          <w:sz w:val="24"/>
        </w:rPr>
        <w:t>the</w:t>
      </w:r>
      <w:r>
        <w:rPr>
          <w:spacing w:val="-1"/>
          <w:sz w:val="24"/>
        </w:rPr>
        <w:t xml:space="preserve"> </w:t>
      </w:r>
      <w:r>
        <w:rPr>
          <w:sz w:val="24"/>
        </w:rPr>
        <w:t>AASB</w:t>
      </w:r>
      <w:r>
        <w:rPr>
          <w:spacing w:val="-7"/>
          <w:sz w:val="24"/>
        </w:rPr>
        <w:t xml:space="preserve"> </w:t>
      </w:r>
      <w:r>
        <w:rPr>
          <w:sz w:val="24"/>
        </w:rPr>
        <w:t>is</w:t>
      </w:r>
      <w:r>
        <w:rPr>
          <w:spacing w:val="-8"/>
          <w:sz w:val="24"/>
        </w:rPr>
        <w:t xml:space="preserve"> </w:t>
      </w:r>
      <w:r>
        <w:rPr>
          <w:sz w:val="24"/>
        </w:rPr>
        <w:t>able</w:t>
      </w:r>
      <w:r>
        <w:rPr>
          <w:spacing w:val="-1"/>
          <w:sz w:val="24"/>
        </w:rPr>
        <w:t xml:space="preserve"> </w:t>
      </w:r>
      <w:r>
        <w:rPr>
          <w:sz w:val="24"/>
        </w:rPr>
        <w:t>to prepare</w:t>
      </w:r>
      <w:r>
        <w:rPr>
          <w:spacing w:val="-7"/>
          <w:sz w:val="24"/>
        </w:rPr>
        <w:t xml:space="preserve"> </w:t>
      </w:r>
      <w:r>
        <w:rPr>
          <w:sz w:val="24"/>
        </w:rPr>
        <w:t>a</w:t>
      </w:r>
      <w:r>
        <w:rPr>
          <w:spacing w:val="-2"/>
          <w:sz w:val="24"/>
        </w:rPr>
        <w:t xml:space="preserve"> </w:t>
      </w:r>
      <w:r>
        <w:rPr>
          <w:sz w:val="24"/>
        </w:rPr>
        <w:t>letter</w:t>
      </w:r>
      <w:r>
        <w:rPr>
          <w:spacing w:val="-4"/>
          <w:sz w:val="24"/>
        </w:rPr>
        <w:t xml:space="preserve"> </w:t>
      </w:r>
      <w:r>
        <w:rPr>
          <w:sz w:val="24"/>
        </w:rPr>
        <w:t>certifying</w:t>
      </w:r>
      <w:r>
        <w:rPr>
          <w:spacing w:val="-4"/>
          <w:sz w:val="24"/>
        </w:rPr>
        <w:t xml:space="preserve"> </w:t>
      </w:r>
      <w:r>
        <w:rPr>
          <w:sz w:val="24"/>
        </w:rPr>
        <w:t>for the OBPR that the AASB’s due</w:t>
      </w:r>
      <w:r>
        <w:rPr>
          <w:spacing w:val="-3"/>
          <w:sz w:val="24"/>
        </w:rPr>
        <w:t xml:space="preserve"> </w:t>
      </w:r>
      <w:r>
        <w:rPr>
          <w:sz w:val="24"/>
        </w:rPr>
        <w:t>process in respect</w:t>
      </w:r>
      <w:r>
        <w:rPr>
          <w:spacing w:val="-2"/>
          <w:sz w:val="24"/>
        </w:rPr>
        <w:t xml:space="preserve"> </w:t>
      </w:r>
      <w:r>
        <w:rPr>
          <w:sz w:val="24"/>
        </w:rPr>
        <w:t>of a Standard</w:t>
      </w:r>
      <w:r>
        <w:rPr>
          <w:spacing w:val="-2"/>
          <w:sz w:val="24"/>
        </w:rPr>
        <w:t xml:space="preserve"> </w:t>
      </w:r>
      <w:r>
        <w:rPr>
          <w:sz w:val="24"/>
        </w:rPr>
        <w:t>is equivalent</w:t>
      </w:r>
      <w:r>
        <w:rPr>
          <w:spacing w:val="-2"/>
          <w:sz w:val="24"/>
        </w:rPr>
        <w:t xml:space="preserve"> </w:t>
      </w:r>
      <w:r>
        <w:rPr>
          <w:sz w:val="24"/>
        </w:rPr>
        <w:t>to a RIS process. The AASB’s due process ensures that the seven RIS questions are appropriately considered. Those questions normally would be addressed in the Basis for Conclusions accompanying the Standard. The certification letter is provided to</w:t>
      </w:r>
      <w:r>
        <w:rPr>
          <w:spacing w:val="-2"/>
          <w:sz w:val="24"/>
        </w:rPr>
        <w:t xml:space="preserve"> </w:t>
      </w:r>
      <w:r>
        <w:rPr>
          <w:sz w:val="24"/>
        </w:rPr>
        <w:t>the OBPR prior to the AASB voting to make a Standard.</w:t>
      </w:r>
    </w:p>
    <w:p w14:paraId="1E805868" w14:textId="77777777" w:rsidR="00AA4A02" w:rsidRDefault="00960F31">
      <w:pPr>
        <w:pStyle w:val="ListParagraph"/>
        <w:numPr>
          <w:ilvl w:val="2"/>
          <w:numId w:val="43"/>
        </w:numPr>
        <w:tabs>
          <w:tab w:val="left" w:pos="852"/>
        </w:tabs>
        <w:spacing w:before="241" w:line="242" w:lineRule="auto"/>
        <w:ind w:right="1090"/>
        <w:jc w:val="both"/>
        <w:rPr>
          <w:sz w:val="24"/>
        </w:rPr>
      </w:pPr>
      <w:r>
        <w:rPr>
          <w:sz w:val="24"/>
        </w:rPr>
        <w:t>The AASB Chair also prepares a summary of the</w:t>
      </w:r>
      <w:r>
        <w:rPr>
          <w:spacing w:val="-2"/>
          <w:sz w:val="24"/>
        </w:rPr>
        <w:t xml:space="preserve"> </w:t>
      </w:r>
      <w:r>
        <w:rPr>
          <w:sz w:val="24"/>
        </w:rPr>
        <w:t>due process followed for new Standards</w:t>
      </w:r>
      <w:r>
        <w:rPr>
          <w:spacing w:val="-3"/>
          <w:sz w:val="24"/>
        </w:rPr>
        <w:t xml:space="preserve"> </w:t>
      </w:r>
      <w:r>
        <w:rPr>
          <w:sz w:val="24"/>
        </w:rPr>
        <w:t>or</w:t>
      </w:r>
      <w:r>
        <w:rPr>
          <w:spacing w:val="-1"/>
          <w:sz w:val="24"/>
        </w:rPr>
        <w:t xml:space="preserve"> </w:t>
      </w:r>
      <w:r>
        <w:rPr>
          <w:sz w:val="24"/>
        </w:rPr>
        <w:t>significant</w:t>
      </w:r>
      <w:r>
        <w:rPr>
          <w:spacing w:val="-5"/>
          <w:sz w:val="24"/>
        </w:rPr>
        <w:t xml:space="preserve"> </w:t>
      </w:r>
      <w:r>
        <w:rPr>
          <w:sz w:val="24"/>
        </w:rPr>
        <w:t>amending</w:t>
      </w:r>
      <w:r>
        <w:rPr>
          <w:spacing w:val="-3"/>
          <w:sz w:val="24"/>
        </w:rPr>
        <w:t xml:space="preserve"> </w:t>
      </w:r>
      <w:r>
        <w:rPr>
          <w:sz w:val="24"/>
        </w:rPr>
        <w:t>Standards,</w:t>
      </w:r>
      <w:r>
        <w:rPr>
          <w:spacing w:val="-4"/>
          <w:sz w:val="24"/>
        </w:rPr>
        <w:t xml:space="preserve"> </w:t>
      </w:r>
      <w:r>
        <w:rPr>
          <w:sz w:val="24"/>
        </w:rPr>
        <w:t>which</w:t>
      </w:r>
      <w:r>
        <w:rPr>
          <w:spacing w:val="-3"/>
          <w:sz w:val="24"/>
        </w:rPr>
        <w:t xml:space="preserve"> </w:t>
      </w:r>
      <w:r>
        <w:rPr>
          <w:sz w:val="24"/>
        </w:rPr>
        <w:t>is</w:t>
      </w:r>
      <w:r>
        <w:rPr>
          <w:spacing w:val="-4"/>
          <w:sz w:val="24"/>
        </w:rPr>
        <w:t xml:space="preserve"> </w:t>
      </w:r>
      <w:r>
        <w:rPr>
          <w:sz w:val="24"/>
        </w:rPr>
        <w:t>provided</w:t>
      </w:r>
      <w:r>
        <w:rPr>
          <w:spacing w:val="-6"/>
          <w:sz w:val="24"/>
        </w:rPr>
        <w:t xml:space="preserve"> </w:t>
      </w:r>
      <w:r>
        <w:rPr>
          <w:sz w:val="24"/>
        </w:rPr>
        <w:t>to</w:t>
      </w:r>
      <w:r>
        <w:rPr>
          <w:spacing w:val="-3"/>
          <w:sz w:val="24"/>
        </w:rPr>
        <w:t xml:space="preserve"> </w:t>
      </w:r>
      <w:r>
        <w:rPr>
          <w:sz w:val="24"/>
        </w:rPr>
        <w:t>the</w:t>
      </w:r>
      <w:r>
        <w:rPr>
          <w:spacing w:val="-7"/>
          <w:sz w:val="24"/>
        </w:rPr>
        <w:t xml:space="preserve"> </w:t>
      </w:r>
      <w:r>
        <w:rPr>
          <w:sz w:val="24"/>
        </w:rPr>
        <w:t>Financial Reporting Council Chair and published on the AASB’s website.</w:t>
      </w:r>
    </w:p>
    <w:p w14:paraId="1E805869" w14:textId="77777777" w:rsidR="00AA4A02" w:rsidRDefault="00960F31">
      <w:pPr>
        <w:pStyle w:val="Heading9"/>
      </w:pPr>
      <w:r>
        <w:t>Final</w:t>
      </w:r>
      <w:r>
        <w:rPr>
          <w:spacing w:val="-4"/>
        </w:rPr>
        <w:t xml:space="preserve"> </w:t>
      </w:r>
      <w:r>
        <w:t>Pronouncement</w:t>
      </w:r>
      <w:r>
        <w:rPr>
          <w:spacing w:val="4"/>
        </w:rPr>
        <w:t xml:space="preserve"> </w:t>
      </w:r>
      <w:r>
        <w:t>(RIS</w:t>
      </w:r>
      <w:r>
        <w:rPr>
          <w:spacing w:val="-3"/>
        </w:rPr>
        <w:t xml:space="preserve"> </w:t>
      </w:r>
      <w:r>
        <w:t>questions</w:t>
      </w:r>
      <w:r>
        <w:rPr>
          <w:spacing w:val="-1"/>
        </w:rPr>
        <w:t xml:space="preserve"> </w:t>
      </w:r>
      <w:r>
        <w:rPr>
          <w:spacing w:val="-5"/>
        </w:rPr>
        <w:t>6)</w:t>
      </w:r>
    </w:p>
    <w:p w14:paraId="1E80586A" w14:textId="77777777" w:rsidR="00AA4A02" w:rsidRDefault="00960F31">
      <w:pPr>
        <w:spacing w:before="243"/>
        <w:ind w:left="852"/>
        <w:rPr>
          <w:b/>
          <w:i/>
          <w:sz w:val="24"/>
        </w:rPr>
      </w:pPr>
      <w:r>
        <w:rPr>
          <w:b/>
          <w:i/>
          <w:sz w:val="24"/>
        </w:rPr>
        <w:t>Effective</w:t>
      </w:r>
      <w:r>
        <w:rPr>
          <w:b/>
          <w:i/>
          <w:spacing w:val="-3"/>
          <w:sz w:val="24"/>
        </w:rPr>
        <w:t xml:space="preserve"> </w:t>
      </w:r>
      <w:r>
        <w:rPr>
          <w:b/>
          <w:i/>
          <w:sz w:val="24"/>
        </w:rPr>
        <w:t>dates,</w:t>
      </w:r>
      <w:r>
        <w:rPr>
          <w:b/>
          <w:i/>
          <w:spacing w:val="1"/>
          <w:sz w:val="24"/>
        </w:rPr>
        <w:t xml:space="preserve"> </w:t>
      </w:r>
      <w:r>
        <w:rPr>
          <w:b/>
          <w:i/>
          <w:sz w:val="24"/>
        </w:rPr>
        <w:t>early adoption</w:t>
      </w:r>
      <w:r>
        <w:rPr>
          <w:b/>
          <w:i/>
          <w:spacing w:val="-4"/>
          <w:sz w:val="24"/>
        </w:rPr>
        <w:t xml:space="preserve"> </w:t>
      </w:r>
      <w:r>
        <w:rPr>
          <w:b/>
          <w:i/>
          <w:sz w:val="24"/>
        </w:rPr>
        <w:t>and transition</w:t>
      </w:r>
      <w:r>
        <w:rPr>
          <w:b/>
          <w:i/>
          <w:spacing w:val="-3"/>
          <w:sz w:val="24"/>
        </w:rPr>
        <w:t xml:space="preserve"> </w:t>
      </w:r>
      <w:r>
        <w:rPr>
          <w:b/>
          <w:i/>
          <w:spacing w:val="-2"/>
          <w:sz w:val="24"/>
        </w:rPr>
        <w:t>requirements</w:t>
      </w:r>
    </w:p>
    <w:p w14:paraId="1E80586B" w14:textId="77777777" w:rsidR="00AA4A02" w:rsidRDefault="00960F31">
      <w:pPr>
        <w:pStyle w:val="ListParagraph"/>
        <w:numPr>
          <w:ilvl w:val="2"/>
          <w:numId w:val="42"/>
        </w:numPr>
        <w:tabs>
          <w:tab w:val="left" w:pos="852"/>
        </w:tabs>
        <w:spacing w:before="233" w:line="242" w:lineRule="auto"/>
        <w:ind w:right="480"/>
        <w:rPr>
          <w:sz w:val="24"/>
        </w:rPr>
      </w:pPr>
      <w:r>
        <w:rPr>
          <w:sz w:val="24"/>
        </w:rPr>
        <w:t>The AASB seeks to have the same effective date for each IFRS Standard in Australia as that determined by the IASB.</w:t>
      </w:r>
      <w:r>
        <w:rPr>
          <w:spacing w:val="40"/>
          <w:sz w:val="24"/>
        </w:rPr>
        <w:t xml:space="preserve"> </w:t>
      </w:r>
      <w:r>
        <w:rPr>
          <w:sz w:val="24"/>
        </w:rPr>
        <w:t>Under Australian legislative practice, the AASB is unable</w:t>
      </w:r>
      <w:r>
        <w:rPr>
          <w:spacing w:val="-2"/>
          <w:sz w:val="24"/>
        </w:rPr>
        <w:t xml:space="preserve"> </w:t>
      </w:r>
      <w:r>
        <w:rPr>
          <w:sz w:val="24"/>
        </w:rPr>
        <w:t>to</w:t>
      </w:r>
      <w:r>
        <w:rPr>
          <w:spacing w:val="-2"/>
          <w:sz w:val="24"/>
        </w:rPr>
        <w:t xml:space="preserve"> </w:t>
      </w:r>
      <w:r>
        <w:rPr>
          <w:sz w:val="24"/>
        </w:rPr>
        <w:t>issue</w:t>
      </w:r>
      <w:r>
        <w:rPr>
          <w:spacing w:val="-3"/>
          <w:sz w:val="24"/>
        </w:rPr>
        <w:t xml:space="preserve"> </w:t>
      </w:r>
      <w:r>
        <w:rPr>
          <w:sz w:val="24"/>
        </w:rPr>
        <w:t>Standards</w:t>
      </w:r>
      <w:r>
        <w:rPr>
          <w:spacing w:val="-3"/>
          <w:sz w:val="24"/>
        </w:rPr>
        <w:t xml:space="preserve"> </w:t>
      </w:r>
      <w:r>
        <w:rPr>
          <w:sz w:val="24"/>
        </w:rPr>
        <w:t>that</w:t>
      </w:r>
      <w:r>
        <w:rPr>
          <w:spacing w:val="-2"/>
          <w:sz w:val="24"/>
        </w:rPr>
        <w:t xml:space="preserve"> </w:t>
      </w:r>
      <w:r>
        <w:rPr>
          <w:sz w:val="24"/>
        </w:rPr>
        <w:t>impose</w:t>
      </w:r>
      <w:r>
        <w:rPr>
          <w:spacing w:val="-2"/>
          <w:sz w:val="24"/>
        </w:rPr>
        <w:t xml:space="preserve"> </w:t>
      </w:r>
      <w:r>
        <w:rPr>
          <w:sz w:val="24"/>
        </w:rPr>
        <w:t>new</w:t>
      </w:r>
      <w:r>
        <w:rPr>
          <w:spacing w:val="-6"/>
          <w:sz w:val="24"/>
        </w:rPr>
        <w:t xml:space="preserve"> </w:t>
      </w:r>
      <w:r>
        <w:rPr>
          <w:sz w:val="24"/>
        </w:rPr>
        <w:t>or</w:t>
      </w:r>
      <w:r>
        <w:rPr>
          <w:spacing w:val="-5"/>
          <w:sz w:val="24"/>
        </w:rPr>
        <w:t xml:space="preserve"> </w:t>
      </w:r>
      <w:r>
        <w:rPr>
          <w:sz w:val="24"/>
        </w:rPr>
        <w:t>revised</w:t>
      </w:r>
      <w:r>
        <w:rPr>
          <w:spacing w:val="-2"/>
          <w:sz w:val="24"/>
        </w:rPr>
        <w:t xml:space="preserve"> </w:t>
      </w:r>
      <w:r>
        <w:rPr>
          <w:sz w:val="24"/>
        </w:rPr>
        <w:t>requirements</w:t>
      </w:r>
      <w:r>
        <w:rPr>
          <w:spacing w:val="-3"/>
          <w:sz w:val="24"/>
        </w:rPr>
        <w:t xml:space="preserve"> </w:t>
      </w:r>
      <w:r>
        <w:rPr>
          <w:sz w:val="24"/>
        </w:rPr>
        <w:t>where</w:t>
      </w:r>
      <w:r>
        <w:rPr>
          <w:spacing w:val="-2"/>
          <w:sz w:val="24"/>
        </w:rPr>
        <w:t xml:space="preserve"> </w:t>
      </w:r>
      <w:r>
        <w:rPr>
          <w:sz w:val="24"/>
        </w:rPr>
        <w:t>the</w:t>
      </w:r>
      <w:r>
        <w:rPr>
          <w:spacing w:val="-6"/>
          <w:sz w:val="24"/>
        </w:rPr>
        <w:t xml:space="preserve"> </w:t>
      </w:r>
      <w:r>
        <w:rPr>
          <w:sz w:val="24"/>
        </w:rPr>
        <w:t>effective date precedes the date on which</w:t>
      </w:r>
      <w:r>
        <w:rPr>
          <w:spacing w:val="-1"/>
          <w:sz w:val="24"/>
        </w:rPr>
        <w:t xml:space="preserve"> </w:t>
      </w:r>
      <w:r>
        <w:rPr>
          <w:sz w:val="24"/>
        </w:rPr>
        <w:t>the Standard</w:t>
      </w:r>
      <w:r>
        <w:rPr>
          <w:spacing w:val="-1"/>
          <w:sz w:val="24"/>
        </w:rPr>
        <w:t xml:space="preserve"> </w:t>
      </w:r>
      <w:r>
        <w:rPr>
          <w:sz w:val="24"/>
        </w:rPr>
        <w:t>is made.</w:t>
      </w:r>
      <w:r>
        <w:rPr>
          <w:spacing w:val="40"/>
          <w:sz w:val="24"/>
        </w:rPr>
        <w:t xml:space="preserve"> </w:t>
      </w:r>
      <w:r>
        <w:rPr>
          <w:sz w:val="24"/>
        </w:rPr>
        <w:t>However, the</w:t>
      </w:r>
      <w:r>
        <w:rPr>
          <w:spacing w:val="-2"/>
          <w:sz w:val="24"/>
        </w:rPr>
        <w:t xml:space="preserve"> </w:t>
      </w:r>
      <w:r>
        <w:rPr>
          <w:sz w:val="24"/>
        </w:rPr>
        <w:t>AASB is able to specify the effective date as</w:t>
      </w:r>
      <w:r>
        <w:rPr>
          <w:spacing w:val="-5"/>
          <w:sz w:val="24"/>
        </w:rPr>
        <w:t xml:space="preserve"> </w:t>
      </w:r>
      <w:r>
        <w:rPr>
          <w:sz w:val="24"/>
        </w:rPr>
        <w:t>reporting</w:t>
      </w:r>
      <w:r>
        <w:rPr>
          <w:spacing w:val="-2"/>
          <w:sz w:val="24"/>
        </w:rPr>
        <w:t xml:space="preserve"> </w:t>
      </w:r>
      <w:r>
        <w:rPr>
          <w:sz w:val="24"/>
        </w:rPr>
        <w:t>periods ‘ending on or</w:t>
      </w:r>
      <w:r>
        <w:rPr>
          <w:spacing w:val="-1"/>
          <w:sz w:val="24"/>
        </w:rPr>
        <w:t xml:space="preserve"> </w:t>
      </w:r>
      <w:r>
        <w:rPr>
          <w:sz w:val="24"/>
        </w:rPr>
        <w:t>after’ a</w:t>
      </w:r>
      <w:r>
        <w:rPr>
          <w:spacing w:val="-3"/>
          <w:sz w:val="24"/>
        </w:rPr>
        <w:t xml:space="preserve"> </w:t>
      </w:r>
      <w:r>
        <w:rPr>
          <w:sz w:val="24"/>
        </w:rPr>
        <w:t>future</w:t>
      </w:r>
      <w:r>
        <w:rPr>
          <w:spacing w:val="-3"/>
          <w:sz w:val="24"/>
        </w:rPr>
        <w:t xml:space="preserve"> </w:t>
      </w:r>
      <w:r>
        <w:rPr>
          <w:sz w:val="24"/>
        </w:rPr>
        <w:t>date, rather than reporting periods ‘beginning on or after’ a historic date.</w:t>
      </w:r>
    </w:p>
    <w:p w14:paraId="1E80586C" w14:textId="77777777" w:rsidR="00AA4A02" w:rsidRDefault="00960F31">
      <w:pPr>
        <w:pStyle w:val="ListParagraph"/>
        <w:numPr>
          <w:ilvl w:val="2"/>
          <w:numId w:val="42"/>
        </w:numPr>
        <w:tabs>
          <w:tab w:val="left" w:pos="852"/>
        </w:tabs>
        <w:spacing w:before="224" w:line="242" w:lineRule="auto"/>
        <w:ind w:right="777"/>
        <w:rPr>
          <w:sz w:val="24"/>
        </w:rPr>
      </w:pPr>
      <w:r>
        <w:rPr>
          <w:sz w:val="24"/>
        </w:rPr>
        <w:t>When determining the effective date of Standards, the AASB seeks to ensure that stakeholders</w:t>
      </w:r>
      <w:r>
        <w:rPr>
          <w:spacing w:val="-4"/>
          <w:sz w:val="24"/>
        </w:rPr>
        <w:t xml:space="preserve"> </w:t>
      </w:r>
      <w:r>
        <w:rPr>
          <w:sz w:val="24"/>
        </w:rPr>
        <w:t>have</w:t>
      </w:r>
      <w:r>
        <w:rPr>
          <w:spacing w:val="-4"/>
          <w:sz w:val="24"/>
        </w:rPr>
        <w:t xml:space="preserve"> </w:t>
      </w:r>
      <w:r>
        <w:rPr>
          <w:sz w:val="24"/>
        </w:rPr>
        <w:t>adequate</w:t>
      </w:r>
      <w:r>
        <w:rPr>
          <w:spacing w:val="-3"/>
          <w:sz w:val="24"/>
        </w:rPr>
        <w:t xml:space="preserve"> </w:t>
      </w:r>
      <w:r>
        <w:rPr>
          <w:sz w:val="24"/>
        </w:rPr>
        <w:t>time</w:t>
      </w:r>
      <w:r>
        <w:rPr>
          <w:spacing w:val="-3"/>
          <w:sz w:val="24"/>
        </w:rPr>
        <w:t xml:space="preserve"> </w:t>
      </w:r>
      <w:r>
        <w:rPr>
          <w:sz w:val="24"/>
        </w:rPr>
        <w:t>to</w:t>
      </w:r>
      <w:r>
        <w:rPr>
          <w:spacing w:val="-3"/>
          <w:sz w:val="24"/>
        </w:rPr>
        <w:t xml:space="preserve"> </w:t>
      </w:r>
      <w:r>
        <w:rPr>
          <w:sz w:val="24"/>
        </w:rPr>
        <w:t>prepare</w:t>
      </w:r>
      <w:r>
        <w:rPr>
          <w:spacing w:val="-8"/>
          <w:sz w:val="24"/>
        </w:rPr>
        <w:t xml:space="preserve"> </w:t>
      </w:r>
      <w:r>
        <w:rPr>
          <w:sz w:val="24"/>
        </w:rPr>
        <w:t>for</w:t>
      </w:r>
      <w:r>
        <w:rPr>
          <w:spacing w:val="-6"/>
          <w:sz w:val="24"/>
        </w:rPr>
        <w:t xml:space="preserve"> </w:t>
      </w:r>
      <w:r>
        <w:rPr>
          <w:sz w:val="24"/>
        </w:rPr>
        <w:t>their</w:t>
      </w:r>
      <w:r>
        <w:rPr>
          <w:spacing w:val="-1"/>
          <w:sz w:val="24"/>
        </w:rPr>
        <w:t xml:space="preserve"> </w:t>
      </w:r>
      <w:r>
        <w:rPr>
          <w:sz w:val="24"/>
        </w:rPr>
        <w:t>implementation.</w:t>
      </w:r>
      <w:r>
        <w:rPr>
          <w:spacing w:val="-4"/>
          <w:sz w:val="24"/>
        </w:rPr>
        <w:t xml:space="preserve"> </w:t>
      </w:r>
      <w:r>
        <w:rPr>
          <w:sz w:val="24"/>
        </w:rPr>
        <w:t>Typically,</w:t>
      </w:r>
      <w:r>
        <w:rPr>
          <w:spacing w:val="-4"/>
          <w:sz w:val="24"/>
        </w:rPr>
        <w:t xml:space="preserve"> </w:t>
      </w:r>
      <w:r>
        <w:rPr>
          <w:sz w:val="24"/>
        </w:rPr>
        <w:t>the</w:t>
      </w:r>
    </w:p>
    <w:p w14:paraId="1E80586D" w14:textId="77777777" w:rsidR="00AA4A02" w:rsidRDefault="00960F31">
      <w:pPr>
        <w:pStyle w:val="BodyText"/>
        <w:spacing w:before="161"/>
        <w:rPr>
          <w:sz w:val="20"/>
        </w:rPr>
      </w:pPr>
      <w:r>
        <w:rPr>
          <w:noProof/>
          <w:sz w:val="20"/>
        </w:rPr>
        <mc:AlternateContent>
          <mc:Choice Requires="wps">
            <w:drawing>
              <wp:anchor distT="0" distB="0" distL="0" distR="0" simplePos="0" relativeHeight="487596032" behindDoc="1" locked="0" layoutInCell="1" allowOverlap="1" wp14:anchorId="1E805F33" wp14:editId="1E805F34">
                <wp:simplePos x="0" y="0"/>
                <wp:positionH relativeFrom="page">
                  <wp:posOffset>899464</wp:posOffset>
                </wp:positionH>
                <wp:positionV relativeFrom="paragraph">
                  <wp:posOffset>264089</wp:posOffset>
                </wp:positionV>
                <wp:extent cx="183007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A6CC3" id="Graphic 35" o:spid="_x0000_s1026" style="position:absolute;margin-left:70.8pt;margin-top:20.8pt;width:144.1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" path="m1829689,l,,,6095r1829689,l1829689,xe" fillcolor="black" stroked="f">
                <v:path arrowok="t"/>
                <w10:wrap type="topAndBottom" anchorx="page"/>
              </v:shape>
            </w:pict>
          </mc:Fallback>
        </mc:AlternateContent>
      </w:r>
    </w:p>
    <w:p w14:paraId="1E80586E" w14:textId="77777777" w:rsidR="00AA4A02" w:rsidRDefault="00960F31">
      <w:pPr>
        <w:pStyle w:val="ListParagraph"/>
        <w:numPr>
          <w:ilvl w:val="0"/>
          <w:numId w:val="53"/>
        </w:numPr>
        <w:tabs>
          <w:tab w:val="left" w:pos="481"/>
        </w:tabs>
        <w:spacing w:before="106"/>
        <w:ind w:left="481" w:hanging="340"/>
        <w:rPr>
          <w:sz w:val="20"/>
        </w:rPr>
      </w:pPr>
      <w:r>
        <w:rPr>
          <w:sz w:val="20"/>
        </w:rPr>
        <w:t>See</w:t>
      </w:r>
      <w:r>
        <w:rPr>
          <w:spacing w:val="-8"/>
          <w:sz w:val="20"/>
        </w:rPr>
        <w:t xml:space="preserve"> </w:t>
      </w:r>
      <w:r>
        <w:rPr>
          <w:sz w:val="20"/>
        </w:rPr>
        <w:t>the</w:t>
      </w:r>
      <w:r>
        <w:rPr>
          <w:spacing w:val="-3"/>
          <w:sz w:val="20"/>
        </w:rPr>
        <w:t xml:space="preserve"> </w:t>
      </w:r>
      <w:hyperlink r:id="rId40">
        <w:r>
          <w:rPr>
            <w:sz w:val="20"/>
            <w:u w:val="single"/>
          </w:rPr>
          <w:t>Regulatory</w:t>
        </w:r>
        <w:r>
          <w:rPr>
            <w:spacing w:val="-8"/>
            <w:sz w:val="20"/>
            <w:u w:val="single"/>
          </w:rPr>
          <w:t xml:space="preserve"> </w:t>
        </w:r>
        <w:r>
          <w:rPr>
            <w:sz w:val="20"/>
            <w:u w:val="single"/>
          </w:rPr>
          <w:t>Burden</w:t>
        </w:r>
        <w:r>
          <w:rPr>
            <w:spacing w:val="-8"/>
            <w:sz w:val="20"/>
            <w:u w:val="single"/>
          </w:rPr>
          <w:t xml:space="preserve"> </w:t>
        </w:r>
        <w:r>
          <w:rPr>
            <w:sz w:val="20"/>
            <w:u w:val="single"/>
          </w:rPr>
          <w:t>Measurement</w:t>
        </w:r>
        <w:r>
          <w:rPr>
            <w:spacing w:val="-2"/>
            <w:sz w:val="20"/>
            <w:u w:val="single"/>
          </w:rPr>
          <w:t xml:space="preserve"> Framework</w:t>
        </w:r>
        <w:r>
          <w:rPr>
            <w:spacing w:val="-2"/>
            <w:sz w:val="20"/>
          </w:rPr>
          <w:t>.</w:t>
        </w:r>
      </w:hyperlink>
    </w:p>
    <w:p w14:paraId="1E80586F"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70" w14:textId="77777777" w:rsidR="00AA4A02" w:rsidRDefault="00960F31">
      <w:pPr>
        <w:spacing w:before="80" w:line="242" w:lineRule="auto"/>
        <w:ind w:left="852" w:right="616"/>
        <w:rPr>
          <w:sz w:val="24"/>
        </w:rPr>
      </w:pPr>
      <w:r>
        <w:rPr>
          <w:sz w:val="24"/>
        </w:rPr>
        <w:lastRenderedPageBreak/>
        <w:t>AASB</w:t>
      </w:r>
      <w:r>
        <w:rPr>
          <w:spacing w:val="-3"/>
          <w:sz w:val="24"/>
        </w:rPr>
        <w:t xml:space="preserve"> </w:t>
      </w:r>
      <w:r>
        <w:rPr>
          <w:sz w:val="24"/>
        </w:rPr>
        <w:t>will issue</w:t>
      </w:r>
      <w:r>
        <w:rPr>
          <w:spacing w:val="-2"/>
          <w:sz w:val="24"/>
        </w:rPr>
        <w:t xml:space="preserve"> </w:t>
      </w:r>
      <w:r>
        <w:rPr>
          <w:sz w:val="24"/>
        </w:rPr>
        <w:t>a</w:t>
      </w:r>
      <w:r>
        <w:rPr>
          <w:spacing w:val="-2"/>
          <w:sz w:val="24"/>
        </w:rPr>
        <w:t xml:space="preserve"> </w:t>
      </w:r>
      <w:r>
        <w:rPr>
          <w:sz w:val="24"/>
        </w:rPr>
        <w:t>Standard</w:t>
      </w:r>
      <w:r>
        <w:rPr>
          <w:spacing w:val="-5"/>
          <w:sz w:val="24"/>
        </w:rPr>
        <w:t xml:space="preserve"> </w:t>
      </w:r>
      <w:r>
        <w:rPr>
          <w:sz w:val="24"/>
        </w:rPr>
        <w:t>with at</w:t>
      </w:r>
      <w:r>
        <w:rPr>
          <w:spacing w:val="-5"/>
          <w:sz w:val="24"/>
        </w:rPr>
        <w:t xml:space="preserve"> </w:t>
      </w:r>
      <w:r>
        <w:rPr>
          <w:sz w:val="24"/>
        </w:rPr>
        <w:t>least 2</w:t>
      </w:r>
      <w:r>
        <w:rPr>
          <w:spacing w:val="-1"/>
          <w:sz w:val="24"/>
        </w:rPr>
        <w:t xml:space="preserve"> </w:t>
      </w:r>
      <w:r>
        <w:rPr>
          <w:sz w:val="24"/>
        </w:rPr>
        <w:t>years</w:t>
      </w:r>
      <w:r>
        <w:rPr>
          <w:spacing w:val="-3"/>
          <w:sz w:val="24"/>
        </w:rPr>
        <w:t xml:space="preserve"> </w:t>
      </w:r>
      <w:r>
        <w:rPr>
          <w:sz w:val="24"/>
        </w:rPr>
        <w:t>before</w:t>
      </w:r>
      <w:r>
        <w:rPr>
          <w:spacing w:val="-1"/>
          <w:sz w:val="24"/>
        </w:rPr>
        <w:t xml:space="preserve"> </w:t>
      </w:r>
      <w:r>
        <w:rPr>
          <w:sz w:val="24"/>
        </w:rPr>
        <w:t>its</w:t>
      </w:r>
      <w:r>
        <w:rPr>
          <w:spacing w:val="-3"/>
          <w:sz w:val="24"/>
        </w:rPr>
        <w:t xml:space="preserve"> </w:t>
      </w:r>
      <w:r>
        <w:rPr>
          <w:sz w:val="24"/>
        </w:rPr>
        <w:t>effective</w:t>
      </w:r>
      <w:r>
        <w:rPr>
          <w:spacing w:val="-1"/>
          <w:sz w:val="24"/>
        </w:rPr>
        <w:t xml:space="preserve"> </w:t>
      </w:r>
      <w:r>
        <w:rPr>
          <w:sz w:val="24"/>
        </w:rPr>
        <w:t>date</w:t>
      </w:r>
      <w:r>
        <w:rPr>
          <w:spacing w:val="-1"/>
          <w:sz w:val="24"/>
        </w:rPr>
        <w:t xml:space="preserve"> </w:t>
      </w:r>
      <w:r>
        <w:rPr>
          <w:sz w:val="24"/>
        </w:rPr>
        <w:t>(eg</w:t>
      </w:r>
      <w:r>
        <w:rPr>
          <w:spacing w:val="-6"/>
          <w:sz w:val="24"/>
        </w:rPr>
        <w:t xml:space="preserve"> </w:t>
      </w:r>
      <w:r>
        <w:rPr>
          <w:sz w:val="24"/>
        </w:rPr>
        <w:t>a</w:t>
      </w:r>
      <w:r>
        <w:rPr>
          <w:spacing w:val="-2"/>
          <w:sz w:val="24"/>
        </w:rPr>
        <w:t xml:space="preserve"> </w:t>
      </w:r>
      <w:r>
        <w:rPr>
          <w:sz w:val="24"/>
        </w:rPr>
        <w:t>year before the beginning of the comparative reporting period) and generally permits entities to apply those requirements early should they wish to do so.</w:t>
      </w:r>
    </w:p>
    <w:p w14:paraId="1E805871" w14:textId="77777777" w:rsidR="00AA4A02" w:rsidRDefault="00960F31">
      <w:pPr>
        <w:pStyle w:val="ListParagraph"/>
        <w:numPr>
          <w:ilvl w:val="2"/>
          <w:numId w:val="42"/>
        </w:numPr>
        <w:tabs>
          <w:tab w:val="left" w:pos="852"/>
        </w:tabs>
        <w:spacing w:before="234"/>
        <w:ind w:right="472"/>
        <w:rPr>
          <w:sz w:val="24"/>
        </w:rPr>
      </w:pPr>
      <w:r>
        <w:rPr>
          <w:sz w:val="24"/>
        </w:rPr>
        <w:t>In determining transitional relief, the AASB considers user needs for comparability, and</w:t>
      </w:r>
      <w:r>
        <w:rPr>
          <w:spacing w:val="-2"/>
          <w:sz w:val="24"/>
        </w:rPr>
        <w:t xml:space="preserve"> </w:t>
      </w:r>
      <w:r>
        <w:rPr>
          <w:sz w:val="24"/>
        </w:rPr>
        <w:t>may</w:t>
      </w:r>
      <w:r>
        <w:rPr>
          <w:spacing w:val="-2"/>
          <w:sz w:val="24"/>
        </w:rPr>
        <w:t xml:space="preserve"> </w:t>
      </w:r>
      <w:r>
        <w:rPr>
          <w:sz w:val="24"/>
        </w:rPr>
        <w:t>include</w:t>
      </w:r>
      <w:r>
        <w:rPr>
          <w:spacing w:val="-3"/>
          <w:sz w:val="24"/>
        </w:rPr>
        <w:t xml:space="preserve"> </w:t>
      </w:r>
      <w:r>
        <w:rPr>
          <w:sz w:val="24"/>
        </w:rPr>
        <w:t>the</w:t>
      </w:r>
      <w:r>
        <w:rPr>
          <w:spacing w:val="-7"/>
          <w:sz w:val="24"/>
        </w:rPr>
        <w:t xml:space="preserve"> </w:t>
      </w:r>
      <w:r>
        <w:rPr>
          <w:sz w:val="24"/>
        </w:rPr>
        <w:t>option</w:t>
      </w:r>
      <w:r>
        <w:rPr>
          <w:spacing w:val="-2"/>
          <w:sz w:val="24"/>
        </w:rPr>
        <w:t xml:space="preserve"> </w:t>
      </w:r>
      <w:r>
        <w:rPr>
          <w:sz w:val="24"/>
        </w:rPr>
        <w:t>of full</w:t>
      </w:r>
      <w:r>
        <w:rPr>
          <w:spacing w:val="-5"/>
          <w:sz w:val="24"/>
        </w:rPr>
        <w:t xml:space="preserve"> </w:t>
      </w:r>
      <w:r>
        <w:rPr>
          <w:sz w:val="24"/>
        </w:rPr>
        <w:t>retrospective</w:t>
      </w:r>
      <w:r>
        <w:rPr>
          <w:spacing w:val="-2"/>
          <w:sz w:val="24"/>
        </w:rPr>
        <w:t xml:space="preserve"> </w:t>
      </w:r>
      <w:r>
        <w:rPr>
          <w:sz w:val="24"/>
        </w:rPr>
        <w:t>application, with</w:t>
      </w:r>
      <w:r>
        <w:rPr>
          <w:spacing w:val="-6"/>
          <w:sz w:val="24"/>
        </w:rPr>
        <w:t xml:space="preserve"> </w:t>
      </w:r>
      <w:r>
        <w:rPr>
          <w:sz w:val="24"/>
        </w:rPr>
        <w:t>a</w:t>
      </w:r>
      <w:r>
        <w:rPr>
          <w:spacing w:val="-3"/>
          <w:sz w:val="24"/>
        </w:rPr>
        <w:t xml:space="preserve"> </w:t>
      </w:r>
      <w:r>
        <w:rPr>
          <w:sz w:val="24"/>
        </w:rPr>
        <w:t>modified</w:t>
      </w:r>
      <w:r>
        <w:rPr>
          <w:spacing w:val="-2"/>
          <w:sz w:val="24"/>
        </w:rPr>
        <w:t xml:space="preserve"> </w:t>
      </w:r>
      <w:r>
        <w:rPr>
          <w:sz w:val="24"/>
        </w:rPr>
        <w:t>transition approach that provides practical relief to determining the required adjustments as at the beginning of the earliest comparative period presented or, in some circumstances, as at the beginning of the current period. Where providing a solution is urgent, or the effect of the change is limited and can be explained adequately by way of note, the transitional relief may include relief from amending the statement of financial performance and/or statement of financial position comparatives. Typically, the transitional relief</w:t>
      </w:r>
      <w:r>
        <w:rPr>
          <w:spacing w:val="-1"/>
          <w:sz w:val="24"/>
        </w:rPr>
        <w:t xml:space="preserve"> </w:t>
      </w:r>
      <w:r>
        <w:rPr>
          <w:sz w:val="24"/>
        </w:rPr>
        <w:t>does not permit the</w:t>
      </w:r>
      <w:r>
        <w:rPr>
          <w:spacing w:val="-3"/>
          <w:sz w:val="24"/>
        </w:rPr>
        <w:t xml:space="preserve"> </w:t>
      </w:r>
      <w:r>
        <w:rPr>
          <w:sz w:val="24"/>
        </w:rPr>
        <w:t>use of hindsight in determining modifications to full retrospective application.</w:t>
      </w:r>
    </w:p>
    <w:p w14:paraId="1E805872" w14:textId="77777777" w:rsidR="00AA4A02" w:rsidRDefault="00960F31">
      <w:pPr>
        <w:pStyle w:val="Heading9"/>
        <w:spacing w:before="246"/>
      </w:pPr>
      <w:r>
        <w:t>Practice</w:t>
      </w:r>
      <w:r>
        <w:rPr>
          <w:spacing w:val="-4"/>
        </w:rPr>
        <w:t xml:space="preserve"> </w:t>
      </w:r>
      <w:r>
        <w:t>statements</w:t>
      </w:r>
      <w:r>
        <w:rPr>
          <w:spacing w:val="-6"/>
        </w:rPr>
        <w:t xml:space="preserve"> </w:t>
      </w:r>
      <w:r>
        <w:t>and other non-authoritative</w:t>
      </w:r>
      <w:r>
        <w:rPr>
          <w:spacing w:val="-5"/>
        </w:rPr>
        <w:t xml:space="preserve"> </w:t>
      </w:r>
      <w:r>
        <w:rPr>
          <w:spacing w:val="-2"/>
        </w:rPr>
        <w:t>guidance</w:t>
      </w:r>
    </w:p>
    <w:p w14:paraId="1E805873" w14:textId="77777777" w:rsidR="00AA4A02" w:rsidRDefault="00960F31">
      <w:pPr>
        <w:tabs>
          <w:tab w:val="left" w:pos="852"/>
        </w:tabs>
        <w:spacing w:before="233" w:line="242" w:lineRule="auto"/>
        <w:ind w:left="852" w:right="427" w:hanging="711"/>
        <w:rPr>
          <w:sz w:val="24"/>
        </w:rPr>
      </w:pPr>
      <w:r>
        <w:rPr>
          <w:spacing w:val="-4"/>
          <w:sz w:val="24"/>
        </w:rPr>
        <w:t>7.10</w:t>
      </w:r>
      <w:r>
        <w:rPr>
          <w:sz w:val="24"/>
        </w:rPr>
        <w:tab/>
        <w:t>The</w:t>
      </w:r>
      <w:r>
        <w:rPr>
          <w:spacing w:val="-3"/>
          <w:sz w:val="24"/>
        </w:rPr>
        <w:t xml:space="preserve"> </w:t>
      </w:r>
      <w:r>
        <w:rPr>
          <w:sz w:val="24"/>
        </w:rPr>
        <w:t>AASB</w:t>
      </w:r>
      <w:r>
        <w:rPr>
          <w:spacing w:val="-3"/>
          <w:sz w:val="24"/>
        </w:rPr>
        <w:t xml:space="preserve"> </w:t>
      </w:r>
      <w:r>
        <w:rPr>
          <w:sz w:val="24"/>
        </w:rPr>
        <w:t>may</w:t>
      </w:r>
      <w:r>
        <w:rPr>
          <w:spacing w:val="-2"/>
          <w:sz w:val="24"/>
        </w:rPr>
        <w:t xml:space="preserve"> </w:t>
      </w:r>
      <w:r>
        <w:rPr>
          <w:sz w:val="24"/>
        </w:rPr>
        <w:t>produce</w:t>
      </w:r>
      <w:r>
        <w:rPr>
          <w:spacing w:val="-2"/>
          <w:sz w:val="24"/>
        </w:rPr>
        <w:t xml:space="preserve"> </w:t>
      </w:r>
      <w:r>
        <w:rPr>
          <w:sz w:val="24"/>
        </w:rPr>
        <w:t>non-authoritative</w:t>
      </w:r>
      <w:r>
        <w:rPr>
          <w:spacing w:val="-2"/>
          <w:sz w:val="24"/>
        </w:rPr>
        <w:t xml:space="preserve"> </w:t>
      </w:r>
      <w:r>
        <w:rPr>
          <w:sz w:val="24"/>
        </w:rPr>
        <w:t>guidance</w:t>
      </w:r>
      <w:r>
        <w:rPr>
          <w:spacing w:val="-3"/>
          <w:sz w:val="24"/>
        </w:rPr>
        <w:t xml:space="preserve"> </w:t>
      </w:r>
      <w:r>
        <w:rPr>
          <w:sz w:val="24"/>
        </w:rPr>
        <w:t>if it</w:t>
      </w:r>
      <w:r>
        <w:rPr>
          <w:spacing w:val="-6"/>
          <w:sz w:val="24"/>
        </w:rPr>
        <w:t xml:space="preserve"> </w:t>
      </w:r>
      <w:r>
        <w:rPr>
          <w:sz w:val="24"/>
        </w:rPr>
        <w:t>considers</w:t>
      </w:r>
      <w:r>
        <w:rPr>
          <w:spacing w:val="-4"/>
          <w:sz w:val="24"/>
        </w:rPr>
        <w:t xml:space="preserve"> </w:t>
      </w:r>
      <w:r>
        <w:rPr>
          <w:sz w:val="24"/>
        </w:rPr>
        <w:t>that</w:t>
      </w:r>
      <w:r>
        <w:rPr>
          <w:spacing w:val="-2"/>
          <w:sz w:val="24"/>
        </w:rPr>
        <w:t xml:space="preserve"> </w:t>
      </w:r>
      <w:r>
        <w:rPr>
          <w:sz w:val="24"/>
        </w:rPr>
        <w:t>doing</w:t>
      </w:r>
      <w:r>
        <w:rPr>
          <w:spacing w:val="-6"/>
          <w:sz w:val="24"/>
        </w:rPr>
        <w:t xml:space="preserve"> </w:t>
      </w:r>
      <w:r>
        <w:rPr>
          <w:sz w:val="24"/>
        </w:rPr>
        <w:t>so</w:t>
      </w:r>
      <w:r>
        <w:rPr>
          <w:spacing w:val="-2"/>
          <w:sz w:val="24"/>
        </w:rPr>
        <w:t xml:space="preserve"> </w:t>
      </w:r>
      <w:r>
        <w:rPr>
          <w:sz w:val="24"/>
        </w:rPr>
        <w:t>would improve financial reporting and follows the same procedures for the development of</w:t>
      </w:r>
      <w:r>
        <w:rPr>
          <w:spacing w:val="40"/>
          <w:sz w:val="24"/>
        </w:rPr>
        <w:t xml:space="preserve"> </w:t>
      </w:r>
      <w:r>
        <w:rPr>
          <w:sz w:val="24"/>
        </w:rPr>
        <w:t>an authoritative pronouncement. The application of such non-authoritative guidance is then subject to other regulators determining whether its use remains voluntary.</w:t>
      </w:r>
    </w:p>
    <w:p w14:paraId="1E805874" w14:textId="77777777" w:rsidR="00AA4A02" w:rsidRDefault="00960F31">
      <w:pPr>
        <w:pStyle w:val="Heading9"/>
      </w:pPr>
      <w:r>
        <w:t>Amending</w:t>
      </w:r>
      <w:r>
        <w:rPr>
          <w:spacing w:val="3"/>
        </w:rPr>
        <w:t xml:space="preserve"> </w:t>
      </w:r>
      <w:r>
        <w:rPr>
          <w:spacing w:val="-2"/>
        </w:rPr>
        <w:t>pronouncements</w:t>
      </w:r>
    </w:p>
    <w:p w14:paraId="1E805875" w14:textId="77777777" w:rsidR="00AA4A02" w:rsidRDefault="00960F31">
      <w:pPr>
        <w:pStyle w:val="ListParagraph"/>
        <w:numPr>
          <w:ilvl w:val="2"/>
          <w:numId w:val="41"/>
        </w:numPr>
        <w:tabs>
          <w:tab w:val="left" w:pos="852"/>
        </w:tabs>
        <w:spacing w:before="238"/>
        <w:ind w:right="699"/>
        <w:rPr>
          <w:sz w:val="24"/>
        </w:rPr>
      </w:pPr>
      <w:r>
        <w:rPr>
          <w:sz w:val="24"/>
        </w:rPr>
        <w:t>Accounting Standards require amendment for a variety of reasons, such as consequential amendments from other Standards (eg changes to references to other Standards or conceptual frameworks, or to be consistent with new recognition and measurement requirements), improvements or clarifications identified through Interpretations or post-implementation reviews, or updating references to other legislation or to documents that are not legislative instruments (eg a reference in a Standard to such documents means the document as it was in force at the time the Standard was made – subsequent changes to that document are not automatically incorporated). Amending Standards also provide an efficient way of processing amendments</w:t>
      </w:r>
      <w:r>
        <w:rPr>
          <w:spacing w:val="-3"/>
          <w:sz w:val="24"/>
        </w:rPr>
        <w:t xml:space="preserve"> </w:t>
      </w:r>
      <w:r>
        <w:rPr>
          <w:sz w:val="24"/>
        </w:rPr>
        <w:t>which</w:t>
      </w:r>
      <w:r>
        <w:rPr>
          <w:spacing w:val="-2"/>
          <w:sz w:val="24"/>
        </w:rPr>
        <w:t xml:space="preserve"> </w:t>
      </w:r>
      <w:r>
        <w:rPr>
          <w:sz w:val="24"/>
        </w:rPr>
        <w:t>affect</w:t>
      </w:r>
      <w:r>
        <w:rPr>
          <w:spacing w:val="-2"/>
          <w:sz w:val="24"/>
        </w:rPr>
        <w:t xml:space="preserve"> </w:t>
      </w:r>
      <w:r>
        <w:rPr>
          <w:sz w:val="24"/>
        </w:rPr>
        <w:t>a</w:t>
      </w:r>
      <w:r>
        <w:rPr>
          <w:spacing w:val="-3"/>
          <w:sz w:val="24"/>
        </w:rPr>
        <w:t xml:space="preserve"> </w:t>
      </w:r>
      <w:r>
        <w:rPr>
          <w:sz w:val="24"/>
        </w:rPr>
        <w:t>number</w:t>
      </w:r>
      <w:r>
        <w:rPr>
          <w:spacing w:val="-1"/>
          <w:sz w:val="24"/>
        </w:rPr>
        <w:t xml:space="preserve"> </w:t>
      </w:r>
      <w:r>
        <w:rPr>
          <w:sz w:val="24"/>
        </w:rPr>
        <w:t>of</w:t>
      </w:r>
      <w:r>
        <w:rPr>
          <w:spacing w:val="-5"/>
          <w:sz w:val="24"/>
        </w:rPr>
        <w:t xml:space="preserve"> </w:t>
      </w:r>
      <w:r>
        <w:rPr>
          <w:sz w:val="24"/>
        </w:rPr>
        <w:t>Standards</w:t>
      </w:r>
      <w:r>
        <w:rPr>
          <w:spacing w:val="-8"/>
          <w:sz w:val="24"/>
        </w:rPr>
        <w:t xml:space="preserve"> </w:t>
      </w:r>
      <w:r>
        <w:rPr>
          <w:sz w:val="24"/>
        </w:rPr>
        <w:t>without</w:t>
      </w:r>
      <w:r>
        <w:rPr>
          <w:spacing w:val="-1"/>
          <w:sz w:val="24"/>
        </w:rPr>
        <w:t xml:space="preserve"> </w:t>
      </w:r>
      <w:r>
        <w:rPr>
          <w:sz w:val="24"/>
        </w:rPr>
        <w:t>reissuing</w:t>
      </w:r>
      <w:r>
        <w:rPr>
          <w:spacing w:val="-2"/>
          <w:sz w:val="24"/>
        </w:rPr>
        <w:t xml:space="preserve"> </w:t>
      </w:r>
      <w:r>
        <w:rPr>
          <w:sz w:val="24"/>
        </w:rPr>
        <w:t>all</w:t>
      </w:r>
      <w:r>
        <w:rPr>
          <w:spacing w:val="-2"/>
          <w:sz w:val="24"/>
        </w:rPr>
        <w:t xml:space="preserve"> </w:t>
      </w:r>
      <w:r>
        <w:rPr>
          <w:sz w:val="24"/>
        </w:rPr>
        <w:t>the</w:t>
      </w:r>
      <w:r>
        <w:rPr>
          <w:spacing w:val="-7"/>
          <w:sz w:val="24"/>
        </w:rPr>
        <w:t xml:space="preserve"> </w:t>
      </w:r>
      <w:r>
        <w:rPr>
          <w:sz w:val="24"/>
        </w:rPr>
        <w:t xml:space="preserve">Standards </w:t>
      </w:r>
      <w:r>
        <w:rPr>
          <w:spacing w:val="-2"/>
          <w:sz w:val="24"/>
        </w:rPr>
        <w:t>affected.</w:t>
      </w:r>
    </w:p>
    <w:p w14:paraId="1E805876" w14:textId="77777777" w:rsidR="00AA4A02" w:rsidRDefault="00960F31">
      <w:pPr>
        <w:pStyle w:val="ListParagraph"/>
        <w:numPr>
          <w:ilvl w:val="2"/>
          <w:numId w:val="41"/>
        </w:numPr>
        <w:tabs>
          <w:tab w:val="left" w:pos="852"/>
        </w:tabs>
        <w:spacing w:before="239" w:line="242" w:lineRule="auto"/>
        <w:ind w:right="729"/>
        <w:rPr>
          <w:sz w:val="24"/>
        </w:rPr>
      </w:pPr>
      <w:r>
        <w:rPr>
          <w:sz w:val="24"/>
        </w:rPr>
        <w:t>As accounting Standards are legislative instruments, amendments are made via amending</w:t>
      </w:r>
      <w:r>
        <w:rPr>
          <w:spacing w:val="-3"/>
          <w:sz w:val="24"/>
        </w:rPr>
        <w:t xml:space="preserve"> </w:t>
      </w:r>
      <w:r>
        <w:rPr>
          <w:sz w:val="24"/>
        </w:rPr>
        <w:t>Standards,</w:t>
      </w:r>
      <w:r>
        <w:rPr>
          <w:spacing w:val="-1"/>
          <w:sz w:val="24"/>
        </w:rPr>
        <w:t xml:space="preserve"> </w:t>
      </w:r>
      <w:r>
        <w:rPr>
          <w:sz w:val="24"/>
        </w:rPr>
        <w:t>which</w:t>
      </w:r>
      <w:r>
        <w:rPr>
          <w:spacing w:val="-8"/>
          <w:sz w:val="24"/>
        </w:rPr>
        <w:t xml:space="preserve"> </w:t>
      </w:r>
      <w:r>
        <w:rPr>
          <w:sz w:val="24"/>
        </w:rPr>
        <w:t>are</w:t>
      </w:r>
      <w:r>
        <w:rPr>
          <w:spacing w:val="-3"/>
          <w:sz w:val="24"/>
        </w:rPr>
        <w:t xml:space="preserve"> </w:t>
      </w:r>
      <w:r>
        <w:rPr>
          <w:sz w:val="24"/>
        </w:rPr>
        <w:t>also</w:t>
      </w:r>
      <w:r>
        <w:rPr>
          <w:spacing w:val="-3"/>
          <w:sz w:val="24"/>
        </w:rPr>
        <w:t xml:space="preserve"> </w:t>
      </w:r>
      <w:r>
        <w:rPr>
          <w:sz w:val="24"/>
        </w:rPr>
        <w:t>legislative</w:t>
      </w:r>
      <w:r>
        <w:rPr>
          <w:spacing w:val="-4"/>
          <w:sz w:val="24"/>
        </w:rPr>
        <w:t xml:space="preserve"> </w:t>
      </w:r>
      <w:r>
        <w:rPr>
          <w:sz w:val="24"/>
        </w:rPr>
        <w:t>instruments,</w:t>
      </w:r>
      <w:r>
        <w:rPr>
          <w:spacing w:val="-1"/>
          <w:sz w:val="24"/>
        </w:rPr>
        <w:t xml:space="preserve"> </w:t>
      </w:r>
      <w:r>
        <w:rPr>
          <w:sz w:val="24"/>
        </w:rPr>
        <w:t>and</w:t>
      </w:r>
      <w:r>
        <w:rPr>
          <w:spacing w:val="-3"/>
          <w:sz w:val="24"/>
        </w:rPr>
        <w:t xml:space="preserve"> </w:t>
      </w:r>
      <w:r>
        <w:rPr>
          <w:sz w:val="24"/>
        </w:rPr>
        <w:t>subject</w:t>
      </w:r>
      <w:r>
        <w:rPr>
          <w:spacing w:val="-3"/>
          <w:sz w:val="24"/>
        </w:rPr>
        <w:t xml:space="preserve"> </w:t>
      </w:r>
      <w:r>
        <w:rPr>
          <w:sz w:val="24"/>
        </w:rPr>
        <w:t>to</w:t>
      </w:r>
      <w:r>
        <w:rPr>
          <w:spacing w:val="-8"/>
          <w:sz w:val="24"/>
        </w:rPr>
        <w:t xml:space="preserve"> </w:t>
      </w:r>
      <w:r>
        <w:rPr>
          <w:sz w:val="24"/>
        </w:rPr>
        <w:t>the</w:t>
      </w:r>
      <w:r>
        <w:rPr>
          <w:spacing w:val="-3"/>
          <w:sz w:val="24"/>
        </w:rPr>
        <w:t xml:space="preserve"> </w:t>
      </w:r>
      <w:r>
        <w:rPr>
          <w:sz w:val="24"/>
        </w:rPr>
        <w:t>same due process as the ‘principal’ Standard that is being amended.</w:t>
      </w:r>
    </w:p>
    <w:p w14:paraId="1E805877" w14:textId="77777777" w:rsidR="00AA4A02" w:rsidRDefault="00960F31">
      <w:pPr>
        <w:pStyle w:val="Heading9"/>
        <w:spacing w:before="239"/>
      </w:pPr>
      <w:r>
        <w:t>Legislative</w:t>
      </w:r>
      <w:r>
        <w:rPr>
          <w:spacing w:val="-3"/>
        </w:rPr>
        <w:t xml:space="preserve"> </w:t>
      </w:r>
      <w:r>
        <w:rPr>
          <w:spacing w:val="-2"/>
        </w:rPr>
        <w:t>instruments</w:t>
      </w:r>
    </w:p>
    <w:p w14:paraId="1E805878" w14:textId="77777777" w:rsidR="00AA4A02" w:rsidRDefault="00960F31">
      <w:pPr>
        <w:pStyle w:val="ListParagraph"/>
        <w:numPr>
          <w:ilvl w:val="2"/>
          <w:numId w:val="40"/>
        </w:numPr>
        <w:tabs>
          <w:tab w:val="left" w:pos="852"/>
        </w:tabs>
        <w:spacing w:before="233" w:line="242" w:lineRule="auto"/>
        <w:ind w:right="575"/>
        <w:rPr>
          <w:sz w:val="24"/>
        </w:rPr>
      </w:pPr>
      <w:r>
        <w:rPr>
          <w:sz w:val="24"/>
        </w:rPr>
        <w:t>Standards that are made under the Corporations Act are registered on the Federal Register</w:t>
      </w:r>
      <w:r>
        <w:rPr>
          <w:spacing w:val="-1"/>
          <w:sz w:val="24"/>
        </w:rPr>
        <w:t xml:space="preserve"> </w:t>
      </w:r>
      <w:r>
        <w:rPr>
          <w:sz w:val="24"/>
        </w:rPr>
        <w:t>of</w:t>
      </w:r>
      <w:r>
        <w:rPr>
          <w:spacing w:val="-1"/>
          <w:sz w:val="24"/>
        </w:rPr>
        <w:t xml:space="preserve"> </w:t>
      </w:r>
      <w:r>
        <w:rPr>
          <w:sz w:val="24"/>
        </w:rPr>
        <w:t>Legislation</w:t>
      </w:r>
      <w:r>
        <w:rPr>
          <w:spacing w:val="-2"/>
          <w:sz w:val="24"/>
        </w:rPr>
        <w:t xml:space="preserve"> </w:t>
      </w:r>
      <w:r>
        <w:rPr>
          <w:sz w:val="24"/>
        </w:rPr>
        <w:t>(FRL).</w:t>
      </w:r>
      <w:r>
        <w:rPr>
          <w:spacing w:val="-1"/>
          <w:sz w:val="24"/>
        </w:rPr>
        <w:t xml:space="preserve"> </w:t>
      </w:r>
      <w:r>
        <w:rPr>
          <w:sz w:val="24"/>
        </w:rPr>
        <w:t>All</w:t>
      </w:r>
      <w:r>
        <w:rPr>
          <w:spacing w:val="-6"/>
          <w:sz w:val="24"/>
        </w:rPr>
        <w:t xml:space="preserve"> </w:t>
      </w:r>
      <w:r>
        <w:rPr>
          <w:sz w:val="24"/>
        </w:rPr>
        <w:t>others</w:t>
      </w:r>
      <w:r>
        <w:rPr>
          <w:spacing w:val="-9"/>
          <w:sz w:val="24"/>
        </w:rPr>
        <w:t xml:space="preserve"> </w:t>
      </w:r>
      <w:r>
        <w:rPr>
          <w:sz w:val="24"/>
        </w:rPr>
        <w:t>(for</w:t>
      </w:r>
      <w:r>
        <w:rPr>
          <w:spacing w:val="-4"/>
          <w:sz w:val="24"/>
        </w:rPr>
        <w:t xml:space="preserve"> </w:t>
      </w:r>
      <w:r>
        <w:rPr>
          <w:sz w:val="24"/>
        </w:rPr>
        <w:t>example, Standards</w:t>
      </w:r>
      <w:r>
        <w:rPr>
          <w:spacing w:val="-4"/>
          <w:sz w:val="24"/>
        </w:rPr>
        <w:t xml:space="preserve"> </w:t>
      </w:r>
      <w:r>
        <w:rPr>
          <w:sz w:val="24"/>
        </w:rPr>
        <w:t>not</w:t>
      </w:r>
      <w:r>
        <w:rPr>
          <w:spacing w:val="-2"/>
          <w:sz w:val="24"/>
        </w:rPr>
        <w:t xml:space="preserve"> </w:t>
      </w:r>
      <w:r>
        <w:rPr>
          <w:sz w:val="24"/>
        </w:rPr>
        <w:t>made</w:t>
      </w:r>
      <w:r>
        <w:rPr>
          <w:spacing w:val="-3"/>
          <w:sz w:val="24"/>
        </w:rPr>
        <w:t xml:space="preserve"> </w:t>
      </w:r>
      <w:r>
        <w:rPr>
          <w:sz w:val="24"/>
        </w:rPr>
        <w:t>under</w:t>
      </w:r>
      <w:r>
        <w:rPr>
          <w:spacing w:val="-5"/>
          <w:sz w:val="24"/>
        </w:rPr>
        <w:t xml:space="preserve"> </w:t>
      </w:r>
      <w:r>
        <w:rPr>
          <w:sz w:val="24"/>
        </w:rPr>
        <w:t>the Corporations Act, Interpretations and Practice Statements) need not be registered. However, all documents issued by the AASB are available on the AASB website.</w:t>
      </w:r>
    </w:p>
    <w:p w14:paraId="1E805879" w14:textId="77777777" w:rsidR="00AA4A02" w:rsidRDefault="00960F31">
      <w:pPr>
        <w:pStyle w:val="ListParagraph"/>
        <w:numPr>
          <w:ilvl w:val="2"/>
          <w:numId w:val="40"/>
        </w:numPr>
        <w:tabs>
          <w:tab w:val="left" w:pos="852"/>
        </w:tabs>
        <w:spacing w:before="230" w:line="242" w:lineRule="auto"/>
        <w:ind w:right="846"/>
        <w:rPr>
          <w:sz w:val="24"/>
        </w:rPr>
      </w:pPr>
      <w:r>
        <w:rPr>
          <w:sz w:val="24"/>
        </w:rPr>
        <w:t>As delegated legislation, Accounting Standards made under the Corporations Act section</w:t>
      </w:r>
      <w:r>
        <w:rPr>
          <w:spacing w:val="-1"/>
          <w:sz w:val="24"/>
        </w:rPr>
        <w:t xml:space="preserve"> </w:t>
      </w:r>
      <w:r>
        <w:rPr>
          <w:sz w:val="24"/>
        </w:rPr>
        <w:t>334</w:t>
      </w:r>
      <w:r>
        <w:rPr>
          <w:spacing w:val="-2"/>
          <w:sz w:val="24"/>
        </w:rPr>
        <w:t xml:space="preserve"> </w:t>
      </w:r>
      <w:r>
        <w:rPr>
          <w:sz w:val="24"/>
        </w:rPr>
        <w:t>are</w:t>
      </w:r>
      <w:r>
        <w:rPr>
          <w:spacing w:val="-3"/>
          <w:sz w:val="24"/>
        </w:rPr>
        <w:t xml:space="preserve"> </w:t>
      </w:r>
      <w:r>
        <w:rPr>
          <w:sz w:val="24"/>
        </w:rPr>
        <w:t>disallowable</w:t>
      </w:r>
      <w:r>
        <w:rPr>
          <w:spacing w:val="-2"/>
          <w:sz w:val="24"/>
        </w:rPr>
        <w:t xml:space="preserve"> </w:t>
      </w:r>
      <w:r>
        <w:rPr>
          <w:sz w:val="24"/>
        </w:rPr>
        <w:t>instruments</w:t>
      </w:r>
      <w:r>
        <w:rPr>
          <w:spacing w:val="-3"/>
          <w:sz w:val="24"/>
        </w:rPr>
        <w:t xml:space="preserve"> </w:t>
      </w:r>
      <w:r>
        <w:rPr>
          <w:sz w:val="24"/>
        </w:rPr>
        <w:t>and</w:t>
      </w:r>
      <w:r>
        <w:rPr>
          <w:spacing w:val="-2"/>
          <w:sz w:val="24"/>
        </w:rPr>
        <w:t xml:space="preserve"> </w:t>
      </w:r>
      <w:r>
        <w:rPr>
          <w:sz w:val="24"/>
        </w:rPr>
        <w:t>therefore</w:t>
      </w:r>
      <w:r>
        <w:rPr>
          <w:spacing w:val="-2"/>
          <w:sz w:val="24"/>
        </w:rPr>
        <w:t xml:space="preserve"> </w:t>
      </w:r>
      <w:r>
        <w:rPr>
          <w:sz w:val="24"/>
        </w:rPr>
        <w:t>are</w:t>
      </w:r>
      <w:r>
        <w:rPr>
          <w:spacing w:val="-7"/>
          <w:sz w:val="24"/>
        </w:rPr>
        <w:t xml:space="preserve"> </w:t>
      </w:r>
      <w:r>
        <w:rPr>
          <w:sz w:val="24"/>
        </w:rPr>
        <w:t>tabled</w:t>
      </w:r>
      <w:r>
        <w:rPr>
          <w:spacing w:val="-2"/>
          <w:sz w:val="24"/>
        </w:rPr>
        <w:t xml:space="preserve"> </w:t>
      </w:r>
      <w:r>
        <w:rPr>
          <w:sz w:val="24"/>
        </w:rPr>
        <w:t>in</w:t>
      </w:r>
      <w:r>
        <w:rPr>
          <w:spacing w:val="-6"/>
          <w:sz w:val="24"/>
        </w:rPr>
        <w:t xml:space="preserve"> </w:t>
      </w:r>
      <w:r>
        <w:rPr>
          <w:sz w:val="24"/>
        </w:rPr>
        <w:t>Parliament</w:t>
      </w:r>
      <w:r>
        <w:rPr>
          <w:spacing w:val="-5"/>
          <w:sz w:val="24"/>
        </w:rPr>
        <w:t xml:space="preserve"> </w:t>
      </w:r>
      <w:r>
        <w:rPr>
          <w:sz w:val="24"/>
        </w:rPr>
        <w:t>for potential disallowance.</w:t>
      </w:r>
    </w:p>
    <w:p w14:paraId="1E80587A"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87B" w14:textId="77777777" w:rsidR="00AA4A02" w:rsidRDefault="00960F31">
      <w:pPr>
        <w:pStyle w:val="ListParagraph"/>
        <w:numPr>
          <w:ilvl w:val="2"/>
          <w:numId w:val="40"/>
        </w:numPr>
        <w:tabs>
          <w:tab w:val="left" w:pos="852"/>
        </w:tabs>
        <w:spacing w:before="80" w:line="242" w:lineRule="auto"/>
        <w:ind w:right="676"/>
        <w:rPr>
          <w:sz w:val="24"/>
        </w:rPr>
      </w:pPr>
      <w:r>
        <w:rPr>
          <w:sz w:val="24"/>
        </w:rPr>
        <w:lastRenderedPageBreak/>
        <w:t>The</w:t>
      </w:r>
      <w:r>
        <w:rPr>
          <w:spacing w:val="-4"/>
          <w:sz w:val="24"/>
        </w:rPr>
        <w:t xml:space="preserve"> </w:t>
      </w:r>
      <w:r>
        <w:rPr>
          <w:sz w:val="24"/>
        </w:rPr>
        <w:t>legal</w:t>
      </w:r>
      <w:r>
        <w:rPr>
          <w:spacing w:val="-2"/>
          <w:sz w:val="24"/>
        </w:rPr>
        <w:t xml:space="preserve"> </w:t>
      </w:r>
      <w:r>
        <w:rPr>
          <w:sz w:val="24"/>
        </w:rPr>
        <w:t>status,</w:t>
      </w:r>
      <w:r>
        <w:rPr>
          <w:spacing w:val="-1"/>
          <w:sz w:val="24"/>
        </w:rPr>
        <w:t xml:space="preserve"> </w:t>
      </w:r>
      <w:r>
        <w:rPr>
          <w:sz w:val="24"/>
        </w:rPr>
        <w:t>authoritative</w:t>
      </w:r>
      <w:r>
        <w:rPr>
          <w:spacing w:val="-2"/>
          <w:sz w:val="24"/>
        </w:rPr>
        <w:t xml:space="preserve"> </w:t>
      </w:r>
      <w:r>
        <w:rPr>
          <w:sz w:val="24"/>
        </w:rPr>
        <w:t>status</w:t>
      </w:r>
      <w:r>
        <w:rPr>
          <w:spacing w:val="-5"/>
          <w:sz w:val="24"/>
        </w:rPr>
        <w:t xml:space="preserve"> </w:t>
      </w:r>
      <w:r>
        <w:rPr>
          <w:sz w:val="24"/>
        </w:rPr>
        <w:t>and</w:t>
      </w:r>
      <w:r>
        <w:rPr>
          <w:spacing w:val="-3"/>
          <w:sz w:val="24"/>
        </w:rPr>
        <w:t xml:space="preserve"> </w:t>
      </w:r>
      <w:r>
        <w:rPr>
          <w:sz w:val="24"/>
        </w:rPr>
        <w:t>enforceability</w:t>
      </w:r>
      <w:r>
        <w:rPr>
          <w:spacing w:val="-1"/>
          <w:sz w:val="24"/>
        </w:rPr>
        <w:t xml:space="preserve"> </w:t>
      </w:r>
      <w:r>
        <w:rPr>
          <w:sz w:val="24"/>
        </w:rPr>
        <w:t>of</w:t>
      </w:r>
      <w:r>
        <w:rPr>
          <w:spacing w:val="-6"/>
          <w:sz w:val="24"/>
        </w:rPr>
        <w:t xml:space="preserve"> </w:t>
      </w:r>
      <w:r>
        <w:rPr>
          <w:sz w:val="24"/>
        </w:rPr>
        <w:t>pronouncements</w:t>
      </w:r>
      <w:r>
        <w:rPr>
          <w:spacing w:val="-4"/>
          <w:sz w:val="24"/>
        </w:rPr>
        <w:t xml:space="preserve"> </w:t>
      </w:r>
      <w:r>
        <w:rPr>
          <w:sz w:val="24"/>
        </w:rPr>
        <w:t>not</w:t>
      </w:r>
      <w:r>
        <w:rPr>
          <w:spacing w:val="-7"/>
          <w:sz w:val="24"/>
        </w:rPr>
        <w:t xml:space="preserve"> </w:t>
      </w:r>
      <w:r>
        <w:rPr>
          <w:sz w:val="24"/>
        </w:rPr>
        <w:t>made under section 334 of the Corporations Act depends on the relevant legislative requirements or other documents that require their use.</w:t>
      </w:r>
    </w:p>
    <w:p w14:paraId="1E80587C" w14:textId="77777777" w:rsidR="00AA4A02" w:rsidRDefault="00960F31">
      <w:pPr>
        <w:pStyle w:val="Heading9"/>
        <w:spacing w:before="239"/>
      </w:pPr>
      <w:r>
        <w:rPr>
          <w:spacing w:val="-2"/>
        </w:rPr>
        <w:t>Compilations</w:t>
      </w:r>
    </w:p>
    <w:p w14:paraId="1E80587D" w14:textId="77777777" w:rsidR="00AA4A02" w:rsidRDefault="00960F31">
      <w:pPr>
        <w:pStyle w:val="ListParagraph"/>
        <w:numPr>
          <w:ilvl w:val="2"/>
          <w:numId w:val="39"/>
        </w:numPr>
        <w:tabs>
          <w:tab w:val="left" w:pos="852"/>
        </w:tabs>
        <w:spacing w:before="233" w:line="242" w:lineRule="auto"/>
        <w:ind w:right="442"/>
        <w:rPr>
          <w:sz w:val="24"/>
        </w:rPr>
      </w:pPr>
      <w:r>
        <w:rPr>
          <w:sz w:val="24"/>
        </w:rPr>
        <w:t>Compilations reflect the content of a Standard taking all amendments that have become</w:t>
      </w:r>
      <w:r>
        <w:rPr>
          <w:spacing w:val="-3"/>
          <w:sz w:val="24"/>
        </w:rPr>
        <w:t xml:space="preserve"> </w:t>
      </w:r>
      <w:r>
        <w:rPr>
          <w:sz w:val="24"/>
        </w:rPr>
        <w:t>effective</w:t>
      </w:r>
      <w:r>
        <w:rPr>
          <w:spacing w:val="-3"/>
          <w:sz w:val="24"/>
        </w:rPr>
        <w:t xml:space="preserve"> </w:t>
      </w:r>
      <w:r>
        <w:rPr>
          <w:sz w:val="24"/>
        </w:rPr>
        <w:t>into</w:t>
      </w:r>
      <w:r>
        <w:rPr>
          <w:spacing w:val="-2"/>
          <w:sz w:val="24"/>
        </w:rPr>
        <w:t xml:space="preserve"> </w:t>
      </w:r>
      <w:r>
        <w:rPr>
          <w:sz w:val="24"/>
        </w:rPr>
        <w:t>account.</w:t>
      </w:r>
      <w:r>
        <w:rPr>
          <w:spacing w:val="-1"/>
          <w:sz w:val="24"/>
        </w:rPr>
        <w:t xml:space="preserve"> </w:t>
      </w:r>
      <w:r>
        <w:rPr>
          <w:sz w:val="24"/>
        </w:rPr>
        <w:t>For</w:t>
      </w:r>
      <w:r>
        <w:rPr>
          <w:spacing w:val="-1"/>
          <w:sz w:val="24"/>
        </w:rPr>
        <w:t xml:space="preserve"> </w:t>
      </w:r>
      <w:r>
        <w:rPr>
          <w:sz w:val="24"/>
        </w:rPr>
        <w:t>example,</w:t>
      </w:r>
      <w:r>
        <w:rPr>
          <w:spacing w:val="-5"/>
          <w:sz w:val="24"/>
        </w:rPr>
        <w:t xml:space="preserve"> </w:t>
      </w:r>
      <w:r>
        <w:rPr>
          <w:sz w:val="24"/>
        </w:rPr>
        <w:t>a</w:t>
      </w:r>
      <w:r>
        <w:rPr>
          <w:spacing w:val="-4"/>
          <w:sz w:val="24"/>
        </w:rPr>
        <w:t xml:space="preserve"> </w:t>
      </w:r>
      <w:r>
        <w:rPr>
          <w:sz w:val="24"/>
        </w:rPr>
        <w:t>Standard</w:t>
      </w:r>
      <w:r>
        <w:rPr>
          <w:spacing w:val="-2"/>
          <w:sz w:val="24"/>
        </w:rPr>
        <w:t xml:space="preserve"> </w:t>
      </w:r>
      <w:r>
        <w:rPr>
          <w:sz w:val="24"/>
        </w:rPr>
        <w:t>might</w:t>
      </w:r>
      <w:r>
        <w:rPr>
          <w:spacing w:val="-6"/>
          <w:sz w:val="24"/>
        </w:rPr>
        <w:t xml:space="preserve"> </w:t>
      </w:r>
      <w:r>
        <w:rPr>
          <w:sz w:val="24"/>
        </w:rPr>
        <w:t>have</w:t>
      </w:r>
      <w:r>
        <w:rPr>
          <w:spacing w:val="-4"/>
          <w:sz w:val="24"/>
        </w:rPr>
        <w:t xml:space="preserve"> </w:t>
      </w:r>
      <w:r>
        <w:rPr>
          <w:sz w:val="24"/>
        </w:rPr>
        <w:t>a</w:t>
      </w:r>
      <w:r>
        <w:rPr>
          <w:spacing w:val="-4"/>
          <w:sz w:val="24"/>
        </w:rPr>
        <w:t xml:space="preserve"> </w:t>
      </w:r>
      <w:r>
        <w:rPr>
          <w:sz w:val="24"/>
        </w:rPr>
        <w:t>principal</w:t>
      </w:r>
      <w:r>
        <w:rPr>
          <w:spacing w:val="-5"/>
          <w:sz w:val="24"/>
        </w:rPr>
        <w:t xml:space="preserve"> </w:t>
      </w:r>
      <w:r>
        <w:rPr>
          <w:sz w:val="24"/>
        </w:rPr>
        <w:t>version issued in 2015 amended by amending Standards that become effective, one each year, from 2016. Therefore, in 2020 the compilation of the Standard will reflect the amendments effective from 2016 through 2020, but not those that will become effective in 2021 or later.</w:t>
      </w:r>
    </w:p>
    <w:p w14:paraId="1E80587E" w14:textId="77777777" w:rsidR="00AA4A02" w:rsidRDefault="00960F31">
      <w:pPr>
        <w:pStyle w:val="ListParagraph"/>
        <w:numPr>
          <w:ilvl w:val="2"/>
          <w:numId w:val="39"/>
        </w:numPr>
        <w:tabs>
          <w:tab w:val="left" w:pos="851"/>
        </w:tabs>
        <w:spacing w:before="229"/>
        <w:ind w:left="851" w:hanging="710"/>
        <w:rPr>
          <w:sz w:val="24"/>
        </w:rPr>
      </w:pPr>
      <w:r>
        <w:rPr>
          <w:sz w:val="24"/>
        </w:rPr>
        <w:t>Compilations</w:t>
      </w:r>
      <w:r>
        <w:rPr>
          <w:spacing w:val="-4"/>
          <w:sz w:val="24"/>
        </w:rPr>
        <w:t xml:space="preserve"> </w:t>
      </w:r>
      <w:r>
        <w:rPr>
          <w:sz w:val="24"/>
        </w:rPr>
        <w:t>are</w:t>
      </w:r>
      <w:r>
        <w:rPr>
          <w:spacing w:val="-1"/>
          <w:sz w:val="24"/>
        </w:rPr>
        <w:t xml:space="preserve"> </w:t>
      </w:r>
      <w:r>
        <w:rPr>
          <w:sz w:val="24"/>
        </w:rPr>
        <w:t>published</w:t>
      </w:r>
      <w:r>
        <w:rPr>
          <w:spacing w:val="1"/>
          <w:sz w:val="24"/>
        </w:rPr>
        <w:t xml:space="preserve"> </w:t>
      </w:r>
      <w:r>
        <w:rPr>
          <w:sz w:val="24"/>
        </w:rPr>
        <w:t>periodically on</w:t>
      </w:r>
      <w:r>
        <w:rPr>
          <w:spacing w:val="-4"/>
          <w:sz w:val="24"/>
        </w:rPr>
        <w:t xml:space="preserve"> </w:t>
      </w:r>
      <w:r>
        <w:rPr>
          <w:sz w:val="24"/>
        </w:rPr>
        <w:t>the AASB’s</w:t>
      </w:r>
      <w:r>
        <w:rPr>
          <w:spacing w:val="-1"/>
          <w:sz w:val="24"/>
        </w:rPr>
        <w:t xml:space="preserve"> </w:t>
      </w:r>
      <w:r>
        <w:rPr>
          <w:spacing w:val="-2"/>
          <w:sz w:val="24"/>
        </w:rPr>
        <w:t>website.</w:t>
      </w:r>
    </w:p>
    <w:p w14:paraId="1E80587F" w14:textId="77777777" w:rsidR="00AA4A02" w:rsidRDefault="00960F31">
      <w:pPr>
        <w:pStyle w:val="Heading9"/>
        <w:spacing w:before="243"/>
      </w:pPr>
      <w:r>
        <w:t>Awareness, outreach</w:t>
      </w:r>
      <w:r>
        <w:rPr>
          <w:spacing w:val="-2"/>
        </w:rPr>
        <w:t xml:space="preserve"> </w:t>
      </w:r>
      <w:r>
        <w:t>and</w:t>
      </w:r>
      <w:r>
        <w:rPr>
          <w:spacing w:val="-1"/>
        </w:rPr>
        <w:t xml:space="preserve"> </w:t>
      </w:r>
      <w:r>
        <w:rPr>
          <w:spacing w:val="-2"/>
        </w:rPr>
        <w:t>education</w:t>
      </w:r>
    </w:p>
    <w:p w14:paraId="1E805880" w14:textId="77777777" w:rsidR="00AA4A02" w:rsidRDefault="00960F31">
      <w:pPr>
        <w:pStyle w:val="ListParagraph"/>
        <w:numPr>
          <w:ilvl w:val="2"/>
          <w:numId w:val="38"/>
        </w:numPr>
        <w:tabs>
          <w:tab w:val="left" w:pos="852"/>
        </w:tabs>
        <w:spacing w:before="233" w:line="247" w:lineRule="auto"/>
        <w:ind w:right="729"/>
        <w:rPr>
          <w:sz w:val="24"/>
        </w:rPr>
      </w:pPr>
      <w:r>
        <w:rPr>
          <w:sz w:val="24"/>
        </w:rPr>
        <w:t>A</w:t>
      </w:r>
      <w:r>
        <w:rPr>
          <w:spacing w:val="-3"/>
          <w:sz w:val="24"/>
        </w:rPr>
        <w:t xml:space="preserve"> </w:t>
      </w:r>
      <w:r>
        <w:rPr>
          <w:sz w:val="24"/>
        </w:rPr>
        <w:t>feedback</w:t>
      </w:r>
      <w:r>
        <w:rPr>
          <w:spacing w:val="-2"/>
          <w:sz w:val="24"/>
        </w:rPr>
        <w:t xml:space="preserve"> </w:t>
      </w:r>
      <w:r>
        <w:rPr>
          <w:sz w:val="24"/>
        </w:rPr>
        <w:t>statement</w:t>
      </w:r>
      <w:r>
        <w:rPr>
          <w:spacing w:val="-1"/>
          <w:sz w:val="24"/>
        </w:rPr>
        <w:t xml:space="preserve"> </w:t>
      </w:r>
      <w:r>
        <w:rPr>
          <w:sz w:val="24"/>
        </w:rPr>
        <w:t>may</w:t>
      </w:r>
      <w:r>
        <w:rPr>
          <w:spacing w:val="-2"/>
          <w:sz w:val="24"/>
        </w:rPr>
        <w:t xml:space="preserve"> </w:t>
      </w:r>
      <w:r>
        <w:rPr>
          <w:sz w:val="24"/>
        </w:rPr>
        <w:t>be</w:t>
      </w:r>
      <w:r>
        <w:rPr>
          <w:spacing w:val="-3"/>
          <w:sz w:val="24"/>
        </w:rPr>
        <w:t xml:space="preserve"> </w:t>
      </w:r>
      <w:r>
        <w:rPr>
          <w:sz w:val="24"/>
        </w:rPr>
        <w:t>published</w:t>
      </w:r>
      <w:r>
        <w:rPr>
          <w:spacing w:val="-6"/>
          <w:sz w:val="24"/>
        </w:rPr>
        <w:t xml:space="preserve"> </w:t>
      </w:r>
      <w:r>
        <w:rPr>
          <w:sz w:val="24"/>
        </w:rPr>
        <w:t>for a</w:t>
      </w:r>
      <w:r>
        <w:rPr>
          <w:spacing w:val="-8"/>
          <w:sz w:val="24"/>
        </w:rPr>
        <w:t xml:space="preserve"> </w:t>
      </w:r>
      <w:r>
        <w:rPr>
          <w:sz w:val="24"/>
        </w:rPr>
        <w:t>new</w:t>
      </w:r>
      <w:r>
        <w:rPr>
          <w:spacing w:val="-7"/>
          <w:sz w:val="24"/>
        </w:rPr>
        <w:t xml:space="preserve"> </w:t>
      </w:r>
      <w:r>
        <w:rPr>
          <w:sz w:val="24"/>
        </w:rPr>
        <w:t>domestic</w:t>
      </w:r>
      <w:r>
        <w:rPr>
          <w:spacing w:val="-2"/>
          <w:sz w:val="24"/>
        </w:rPr>
        <w:t xml:space="preserve"> </w:t>
      </w:r>
      <w:r>
        <w:rPr>
          <w:sz w:val="24"/>
        </w:rPr>
        <w:t>Standard, to</w:t>
      </w:r>
      <w:r>
        <w:rPr>
          <w:spacing w:val="-7"/>
          <w:sz w:val="24"/>
        </w:rPr>
        <w:t xml:space="preserve"> </w:t>
      </w:r>
      <w:r>
        <w:rPr>
          <w:sz w:val="24"/>
        </w:rPr>
        <w:t>summarise the feedback received and the way the Board has addressed the feedback.</w:t>
      </w:r>
    </w:p>
    <w:p w14:paraId="1E805881" w14:textId="77777777" w:rsidR="00AA4A02" w:rsidRDefault="00960F31">
      <w:pPr>
        <w:pStyle w:val="ListParagraph"/>
        <w:numPr>
          <w:ilvl w:val="2"/>
          <w:numId w:val="38"/>
        </w:numPr>
        <w:tabs>
          <w:tab w:val="left" w:pos="852"/>
        </w:tabs>
        <w:spacing w:before="223"/>
        <w:ind w:right="649"/>
        <w:rPr>
          <w:sz w:val="24"/>
        </w:rPr>
      </w:pPr>
      <w:r>
        <w:rPr>
          <w:sz w:val="24"/>
        </w:rPr>
        <w:t>Following the implementation of a Standard, the AASB undertakes education, awareness, and outreach activities to facilitate stakeholders’ knowledge and compliance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new</w:t>
      </w:r>
      <w:r>
        <w:rPr>
          <w:spacing w:val="-8"/>
          <w:sz w:val="24"/>
        </w:rPr>
        <w:t xml:space="preserve"> </w:t>
      </w:r>
      <w:r>
        <w:rPr>
          <w:sz w:val="24"/>
        </w:rPr>
        <w:t>requirements. Generally,</w:t>
      </w:r>
      <w:r>
        <w:rPr>
          <w:spacing w:val="-4"/>
          <w:sz w:val="24"/>
        </w:rPr>
        <w:t xml:space="preserve"> </w:t>
      </w:r>
      <w:r>
        <w:rPr>
          <w:sz w:val="24"/>
        </w:rPr>
        <w:t>the</w:t>
      </w:r>
      <w:r>
        <w:rPr>
          <w:spacing w:val="-3"/>
          <w:sz w:val="24"/>
        </w:rPr>
        <w:t xml:space="preserve"> </w:t>
      </w:r>
      <w:r>
        <w:rPr>
          <w:sz w:val="24"/>
        </w:rPr>
        <w:t>AASB</w:t>
      </w:r>
      <w:r>
        <w:rPr>
          <w:spacing w:val="-4"/>
          <w:sz w:val="24"/>
        </w:rPr>
        <w:t xml:space="preserve"> </w:t>
      </w:r>
      <w:r>
        <w:rPr>
          <w:sz w:val="24"/>
        </w:rPr>
        <w:t>conducts</w:t>
      </w:r>
      <w:r>
        <w:rPr>
          <w:spacing w:val="-4"/>
          <w:sz w:val="24"/>
        </w:rPr>
        <w:t xml:space="preserve"> </w:t>
      </w:r>
      <w:r>
        <w:rPr>
          <w:sz w:val="24"/>
        </w:rPr>
        <w:t>more</w:t>
      </w:r>
      <w:r>
        <w:rPr>
          <w:spacing w:val="-4"/>
          <w:sz w:val="24"/>
        </w:rPr>
        <w:t xml:space="preserve"> </w:t>
      </w:r>
      <w:r>
        <w:rPr>
          <w:sz w:val="24"/>
        </w:rPr>
        <w:t>of</w:t>
      </w:r>
      <w:r>
        <w:rPr>
          <w:spacing w:val="-1"/>
          <w:sz w:val="24"/>
        </w:rPr>
        <w:t xml:space="preserve"> </w:t>
      </w:r>
      <w:r>
        <w:rPr>
          <w:sz w:val="24"/>
        </w:rPr>
        <w:t>such activities for domestic Standards, and particularly for those relevant to the not-for-profit sector.</w:t>
      </w:r>
    </w:p>
    <w:p w14:paraId="1E805882" w14:textId="77777777" w:rsidR="00AA4A02" w:rsidRDefault="00960F31">
      <w:pPr>
        <w:pStyle w:val="ListParagraph"/>
        <w:numPr>
          <w:ilvl w:val="2"/>
          <w:numId w:val="38"/>
        </w:numPr>
        <w:tabs>
          <w:tab w:val="left" w:pos="852"/>
        </w:tabs>
        <w:spacing w:before="243"/>
        <w:ind w:right="432"/>
        <w:rPr>
          <w:sz w:val="24"/>
        </w:rPr>
      </w:pPr>
      <w:r>
        <w:rPr>
          <w:sz w:val="24"/>
        </w:rPr>
        <w:t>The</w:t>
      </w:r>
      <w:r>
        <w:rPr>
          <w:spacing w:val="-4"/>
          <w:sz w:val="24"/>
        </w:rPr>
        <w:t xml:space="preserve"> </w:t>
      </w:r>
      <w:r>
        <w:rPr>
          <w:sz w:val="24"/>
        </w:rPr>
        <w:t>AASB</w:t>
      </w:r>
      <w:r>
        <w:rPr>
          <w:spacing w:val="-4"/>
          <w:sz w:val="24"/>
        </w:rPr>
        <w:t xml:space="preserve"> </w:t>
      </w:r>
      <w:r>
        <w:rPr>
          <w:sz w:val="24"/>
        </w:rPr>
        <w:t>may</w:t>
      </w:r>
      <w:r>
        <w:rPr>
          <w:spacing w:val="-3"/>
          <w:sz w:val="24"/>
        </w:rPr>
        <w:t xml:space="preserve"> </w:t>
      </w:r>
      <w:r>
        <w:rPr>
          <w:sz w:val="24"/>
        </w:rPr>
        <w:t>establish</w:t>
      </w:r>
      <w:r>
        <w:rPr>
          <w:spacing w:val="-2"/>
          <w:sz w:val="24"/>
        </w:rPr>
        <w:t xml:space="preserve"> </w:t>
      </w:r>
      <w:r>
        <w:rPr>
          <w:sz w:val="24"/>
        </w:rPr>
        <w:t>a</w:t>
      </w:r>
      <w:r>
        <w:rPr>
          <w:spacing w:val="-8"/>
          <w:sz w:val="24"/>
        </w:rPr>
        <w:t xml:space="preserve"> </w:t>
      </w:r>
      <w:r>
        <w:rPr>
          <w:sz w:val="24"/>
        </w:rPr>
        <w:t>Transition</w:t>
      </w:r>
      <w:r>
        <w:rPr>
          <w:spacing w:val="-1"/>
          <w:sz w:val="24"/>
        </w:rPr>
        <w:t xml:space="preserve"> </w:t>
      </w:r>
      <w:r>
        <w:rPr>
          <w:sz w:val="24"/>
        </w:rPr>
        <w:t>Resource</w:t>
      </w:r>
      <w:r>
        <w:rPr>
          <w:spacing w:val="-3"/>
          <w:sz w:val="24"/>
        </w:rPr>
        <w:t xml:space="preserve"> </w:t>
      </w:r>
      <w:r>
        <w:rPr>
          <w:sz w:val="24"/>
        </w:rPr>
        <w:t>Group</w:t>
      </w:r>
      <w:r>
        <w:rPr>
          <w:spacing w:val="-2"/>
          <w:sz w:val="24"/>
        </w:rPr>
        <w:t xml:space="preserve"> </w:t>
      </w:r>
      <w:r>
        <w:rPr>
          <w:sz w:val="24"/>
        </w:rPr>
        <w:t>(TRG)</w:t>
      </w:r>
      <w:r>
        <w:rPr>
          <w:spacing w:val="-2"/>
          <w:sz w:val="24"/>
        </w:rPr>
        <w:t xml:space="preserve"> </w:t>
      </w:r>
      <w:r>
        <w:rPr>
          <w:sz w:val="24"/>
        </w:rPr>
        <w:t>of</w:t>
      </w:r>
      <w:r>
        <w:rPr>
          <w:spacing w:val="-6"/>
          <w:sz w:val="24"/>
        </w:rPr>
        <w:t xml:space="preserve"> </w:t>
      </w:r>
      <w:r>
        <w:rPr>
          <w:sz w:val="24"/>
        </w:rPr>
        <w:t>interested</w:t>
      </w:r>
      <w:r>
        <w:rPr>
          <w:spacing w:val="-2"/>
          <w:sz w:val="24"/>
        </w:rPr>
        <w:t xml:space="preserve"> </w:t>
      </w:r>
      <w:r>
        <w:rPr>
          <w:sz w:val="24"/>
        </w:rPr>
        <w:t>parties</w:t>
      </w:r>
      <w:r>
        <w:rPr>
          <w:spacing w:val="-5"/>
          <w:sz w:val="24"/>
        </w:rPr>
        <w:t xml:space="preserve"> </w:t>
      </w:r>
      <w:r>
        <w:rPr>
          <w:sz w:val="24"/>
        </w:rPr>
        <w:t>and subject matter experts to assist with identifying and resolving implementation issues prior to the effective date of a new pronouncement. Any proposed amendments to the pronouncement are the subject of a separate consultation process. The AASB Chair determines an appropriate Chair for the</w:t>
      </w:r>
      <w:r>
        <w:rPr>
          <w:spacing w:val="-1"/>
          <w:sz w:val="24"/>
        </w:rPr>
        <w:t xml:space="preserve"> </w:t>
      </w:r>
      <w:r>
        <w:rPr>
          <w:sz w:val="24"/>
        </w:rPr>
        <w:t>TRG, meetings of the</w:t>
      </w:r>
      <w:r>
        <w:rPr>
          <w:spacing w:val="-1"/>
          <w:sz w:val="24"/>
        </w:rPr>
        <w:t xml:space="preserve"> </w:t>
      </w:r>
      <w:r>
        <w:rPr>
          <w:sz w:val="24"/>
        </w:rPr>
        <w:t>TRG are held in private to avoid inadvertent and/or inappropriate interpretations of Standards that have not been through due process. Topics discussed at such meetings, and papers or submissions to be made to the IASB as a result, are made public.</w:t>
      </w:r>
    </w:p>
    <w:p w14:paraId="1E805883" w14:textId="77777777" w:rsidR="00AA4A02" w:rsidRDefault="00960F31">
      <w:pPr>
        <w:pStyle w:val="ListParagraph"/>
        <w:numPr>
          <w:ilvl w:val="2"/>
          <w:numId w:val="38"/>
        </w:numPr>
        <w:tabs>
          <w:tab w:val="left" w:pos="852"/>
        </w:tabs>
        <w:spacing w:before="241"/>
        <w:ind w:right="537"/>
        <w:rPr>
          <w:sz w:val="24"/>
        </w:rPr>
      </w:pPr>
      <w:r>
        <w:rPr>
          <w:sz w:val="24"/>
        </w:rPr>
        <w:t>The AASB may establish an Implementation Group of interested parties and subject matter experts to assist with identifying implementation issues specific to Australia identified after a Standard has been implemented. The AASB Chair determines an appropriate Chair for the Implementation Group, and meetings are held in private to avoid inadvertent and/or</w:t>
      </w:r>
      <w:r>
        <w:rPr>
          <w:spacing w:val="-2"/>
          <w:sz w:val="24"/>
        </w:rPr>
        <w:t xml:space="preserve"> </w:t>
      </w:r>
      <w:r>
        <w:rPr>
          <w:sz w:val="24"/>
        </w:rPr>
        <w:t>inappropriate interpretations</w:t>
      </w:r>
      <w:r>
        <w:rPr>
          <w:spacing w:val="-1"/>
          <w:sz w:val="24"/>
        </w:rPr>
        <w:t xml:space="preserve"> </w:t>
      </w:r>
      <w:r>
        <w:rPr>
          <w:sz w:val="24"/>
        </w:rPr>
        <w:t>of Standards</w:t>
      </w:r>
      <w:r>
        <w:rPr>
          <w:spacing w:val="-2"/>
          <w:sz w:val="24"/>
        </w:rPr>
        <w:t xml:space="preserve"> </w:t>
      </w:r>
      <w:r>
        <w:rPr>
          <w:sz w:val="24"/>
        </w:rPr>
        <w:t>that</w:t>
      </w:r>
      <w:r>
        <w:rPr>
          <w:spacing w:val="-4"/>
          <w:sz w:val="24"/>
        </w:rPr>
        <w:t xml:space="preserve"> </w:t>
      </w:r>
      <w:r>
        <w:rPr>
          <w:sz w:val="24"/>
        </w:rPr>
        <w:t>have</w:t>
      </w:r>
      <w:r>
        <w:rPr>
          <w:spacing w:val="-1"/>
          <w:sz w:val="24"/>
        </w:rPr>
        <w:t xml:space="preserve"> </w:t>
      </w:r>
      <w:r>
        <w:rPr>
          <w:sz w:val="24"/>
        </w:rPr>
        <w:t>not</w:t>
      </w:r>
      <w:r>
        <w:rPr>
          <w:spacing w:val="-4"/>
          <w:sz w:val="24"/>
        </w:rPr>
        <w:t xml:space="preserve"> </w:t>
      </w:r>
      <w:r>
        <w:rPr>
          <w:sz w:val="24"/>
        </w:rPr>
        <w:t>been through</w:t>
      </w:r>
      <w:r>
        <w:rPr>
          <w:spacing w:val="-2"/>
          <w:sz w:val="24"/>
        </w:rPr>
        <w:t xml:space="preserve"> </w:t>
      </w:r>
      <w:r>
        <w:rPr>
          <w:sz w:val="24"/>
        </w:rPr>
        <w:t>due</w:t>
      </w:r>
      <w:r>
        <w:rPr>
          <w:spacing w:val="-4"/>
          <w:sz w:val="24"/>
        </w:rPr>
        <w:t xml:space="preserve"> </w:t>
      </w:r>
      <w:r>
        <w:rPr>
          <w:sz w:val="24"/>
        </w:rPr>
        <w:t>process. Topics</w:t>
      </w:r>
      <w:r>
        <w:rPr>
          <w:spacing w:val="-5"/>
          <w:sz w:val="24"/>
        </w:rPr>
        <w:t xml:space="preserve"> </w:t>
      </w:r>
      <w:r>
        <w:rPr>
          <w:sz w:val="24"/>
        </w:rPr>
        <w:t>discussed</w:t>
      </w:r>
      <w:r>
        <w:rPr>
          <w:spacing w:val="-3"/>
          <w:sz w:val="24"/>
        </w:rPr>
        <w:t xml:space="preserve"> </w:t>
      </w:r>
      <w:r>
        <w:rPr>
          <w:sz w:val="24"/>
        </w:rPr>
        <w:t>at</w:t>
      </w:r>
      <w:r>
        <w:rPr>
          <w:spacing w:val="-3"/>
          <w:sz w:val="24"/>
        </w:rPr>
        <w:t xml:space="preserve"> </w:t>
      </w:r>
      <w:r>
        <w:rPr>
          <w:sz w:val="24"/>
        </w:rPr>
        <w:t>such</w:t>
      </w:r>
      <w:r>
        <w:rPr>
          <w:spacing w:val="-3"/>
          <w:sz w:val="24"/>
        </w:rPr>
        <w:t xml:space="preserve"> </w:t>
      </w:r>
      <w:r>
        <w:rPr>
          <w:sz w:val="24"/>
        </w:rPr>
        <w:t>meetings,</w:t>
      </w:r>
      <w:r>
        <w:rPr>
          <w:spacing w:val="-1"/>
          <w:sz w:val="24"/>
        </w:rPr>
        <w:t xml:space="preserve"> </w:t>
      </w:r>
      <w:r>
        <w:rPr>
          <w:sz w:val="24"/>
        </w:rPr>
        <w:t>and</w:t>
      </w:r>
      <w:r>
        <w:rPr>
          <w:spacing w:val="-3"/>
          <w:sz w:val="24"/>
        </w:rPr>
        <w:t xml:space="preserve"> </w:t>
      </w:r>
      <w:r>
        <w:rPr>
          <w:sz w:val="24"/>
        </w:rPr>
        <w:t>papers</w:t>
      </w:r>
      <w:r>
        <w:rPr>
          <w:spacing w:val="-5"/>
          <w:sz w:val="24"/>
        </w:rPr>
        <w:t xml:space="preserve"> </w:t>
      </w:r>
      <w:r>
        <w:rPr>
          <w:sz w:val="24"/>
        </w:rPr>
        <w:t>or</w:t>
      </w:r>
      <w:r>
        <w:rPr>
          <w:spacing w:val="-6"/>
          <w:sz w:val="24"/>
        </w:rPr>
        <w:t xml:space="preserve"> </w:t>
      </w:r>
      <w:r>
        <w:rPr>
          <w:sz w:val="24"/>
        </w:rPr>
        <w:t>submissions</w:t>
      </w:r>
      <w:r>
        <w:rPr>
          <w:spacing w:val="-4"/>
          <w:sz w:val="24"/>
        </w:rPr>
        <w:t xml:space="preserve"> </w:t>
      </w:r>
      <w:r>
        <w:rPr>
          <w:sz w:val="24"/>
        </w:rPr>
        <w:t>to be made to the IASB as a result, are made public.</w:t>
      </w:r>
    </w:p>
    <w:p w14:paraId="1E805884" w14:textId="77777777" w:rsidR="00AA4A02" w:rsidRDefault="00960F31">
      <w:pPr>
        <w:pStyle w:val="Heading9"/>
        <w:spacing w:before="243"/>
      </w:pPr>
      <w:r>
        <w:t>Post-implementation</w:t>
      </w:r>
      <w:r>
        <w:rPr>
          <w:spacing w:val="-2"/>
        </w:rPr>
        <w:t xml:space="preserve"> </w:t>
      </w:r>
      <w:r>
        <w:t>review (RIS</w:t>
      </w:r>
      <w:r>
        <w:rPr>
          <w:spacing w:val="-5"/>
        </w:rPr>
        <w:t xml:space="preserve"> </w:t>
      </w:r>
      <w:r>
        <w:t>question</w:t>
      </w:r>
      <w:r>
        <w:rPr>
          <w:spacing w:val="-5"/>
        </w:rPr>
        <w:t xml:space="preserve"> 7)</w:t>
      </w:r>
    </w:p>
    <w:p w14:paraId="1E805885" w14:textId="77777777" w:rsidR="00AA4A02" w:rsidRDefault="00960F31">
      <w:pPr>
        <w:pStyle w:val="ListParagraph"/>
        <w:numPr>
          <w:ilvl w:val="2"/>
          <w:numId w:val="37"/>
        </w:numPr>
        <w:tabs>
          <w:tab w:val="left" w:pos="852"/>
        </w:tabs>
        <w:spacing w:before="238" w:line="242" w:lineRule="auto"/>
        <w:ind w:right="949"/>
        <w:rPr>
          <w:sz w:val="24"/>
        </w:rPr>
      </w:pPr>
      <w:r>
        <w:rPr>
          <w:sz w:val="24"/>
        </w:rPr>
        <w:t>The AASB performs a post-implementation review (PIR) of each new domestic Standard</w:t>
      </w:r>
      <w:r>
        <w:rPr>
          <w:spacing w:val="-1"/>
          <w:sz w:val="24"/>
        </w:rPr>
        <w:t xml:space="preserve"> </w:t>
      </w:r>
      <w:r>
        <w:rPr>
          <w:sz w:val="24"/>
        </w:rPr>
        <w:t>or</w:t>
      </w:r>
      <w:r>
        <w:rPr>
          <w:spacing w:val="-5"/>
          <w:sz w:val="24"/>
        </w:rPr>
        <w:t xml:space="preserve"> </w:t>
      </w:r>
      <w:r>
        <w:rPr>
          <w:sz w:val="24"/>
        </w:rPr>
        <w:t>Interpretation or</w:t>
      </w:r>
      <w:r>
        <w:rPr>
          <w:spacing w:val="-5"/>
          <w:sz w:val="24"/>
        </w:rPr>
        <w:t xml:space="preserve"> </w:t>
      </w:r>
      <w:r>
        <w:rPr>
          <w:sz w:val="24"/>
        </w:rPr>
        <w:t>major</w:t>
      </w:r>
      <w:r>
        <w:rPr>
          <w:spacing w:val="-5"/>
          <w:sz w:val="24"/>
        </w:rPr>
        <w:t xml:space="preserve"> </w:t>
      </w:r>
      <w:r>
        <w:rPr>
          <w:sz w:val="24"/>
        </w:rPr>
        <w:t>amendments</w:t>
      </w:r>
      <w:r>
        <w:rPr>
          <w:spacing w:val="-3"/>
          <w:sz w:val="24"/>
        </w:rPr>
        <w:t xml:space="preserve"> </w:t>
      </w:r>
      <w:r>
        <w:rPr>
          <w:sz w:val="24"/>
        </w:rPr>
        <w:t>to</w:t>
      </w:r>
      <w:r>
        <w:rPr>
          <w:spacing w:val="-7"/>
          <w:sz w:val="24"/>
        </w:rPr>
        <w:t xml:space="preserve"> </w:t>
      </w:r>
      <w:r>
        <w:rPr>
          <w:sz w:val="24"/>
        </w:rPr>
        <w:t>such</w:t>
      </w:r>
      <w:r>
        <w:rPr>
          <w:spacing w:val="-1"/>
          <w:sz w:val="24"/>
        </w:rPr>
        <w:t xml:space="preserve"> </w:t>
      </w:r>
      <w:r>
        <w:rPr>
          <w:sz w:val="24"/>
        </w:rPr>
        <w:t>a</w:t>
      </w:r>
      <w:r>
        <w:rPr>
          <w:spacing w:val="-3"/>
          <w:sz w:val="24"/>
        </w:rPr>
        <w:t xml:space="preserve"> </w:t>
      </w:r>
      <w:r>
        <w:rPr>
          <w:sz w:val="24"/>
        </w:rPr>
        <w:t>pronouncement.</w:t>
      </w:r>
      <w:r>
        <w:rPr>
          <w:spacing w:val="-4"/>
          <w:sz w:val="24"/>
        </w:rPr>
        <w:t xml:space="preserve"> </w:t>
      </w:r>
      <w:r>
        <w:rPr>
          <w:sz w:val="24"/>
        </w:rPr>
        <w:t>A</w:t>
      </w:r>
      <w:r>
        <w:rPr>
          <w:spacing w:val="-3"/>
          <w:sz w:val="24"/>
        </w:rPr>
        <w:t xml:space="preserve"> </w:t>
      </w:r>
      <w:r>
        <w:rPr>
          <w:sz w:val="24"/>
        </w:rPr>
        <w:t>PIR normally begins after the new requirements have been applied for two years.</w:t>
      </w:r>
    </w:p>
    <w:p w14:paraId="1E805886" w14:textId="77777777" w:rsidR="00AA4A02" w:rsidRDefault="00AA4A02">
      <w:pPr>
        <w:pStyle w:val="ListParagraph"/>
        <w:spacing w:line="242" w:lineRule="auto"/>
        <w:rPr>
          <w:sz w:val="24"/>
        </w:rPr>
        <w:sectPr w:rsidR="00AA4A02">
          <w:pgSz w:w="11900" w:h="16840"/>
          <w:pgMar w:top="1600" w:right="992" w:bottom="920" w:left="1275" w:header="652" w:footer="724" w:gutter="0"/>
          <w:cols w:space="720"/>
        </w:sectPr>
      </w:pPr>
    </w:p>
    <w:p w14:paraId="1E805887" w14:textId="77777777" w:rsidR="00AA4A02" w:rsidRDefault="00960F31">
      <w:pPr>
        <w:pStyle w:val="ListParagraph"/>
        <w:numPr>
          <w:ilvl w:val="2"/>
          <w:numId w:val="37"/>
        </w:numPr>
        <w:tabs>
          <w:tab w:val="left" w:pos="851"/>
        </w:tabs>
        <w:spacing w:before="84"/>
        <w:ind w:left="851" w:hanging="710"/>
        <w:rPr>
          <w:sz w:val="24"/>
        </w:rPr>
      </w:pPr>
      <w:r>
        <w:rPr>
          <w:sz w:val="24"/>
        </w:rPr>
        <w:lastRenderedPageBreak/>
        <w:t>A</w:t>
      </w:r>
      <w:r>
        <w:rPr>
          <w:spacing w:val="1"/>
          <w:sz w:val="24"/>
        </w:rPr>
        <w:t xml:space="preserve"> </w:t>
      </w:r>
      <w:r>
        <w:rPr>
          <w:sz w:val="24"/>
        </w:rPr>
        <w:t>PIR</w:t>
      </w:r>
      <w:r>
        <w:rPr>
          <w:spacing w:val="2"/>
          <w:sz w:val="24"/>
        </w:rPr>
        <w:t xml:space="preserve"> </w:t>
      </w:r>
      <w:r>
        <w:rPr>
          <w:spacing w:val="-2"/>
          <w:sz w:val="24"/>
        </w:rPr>
        <w:t>involves:</w:t>
      </w:r>
    </w:p>
    <w:p w14:paraId="1E805888" w14:textId="77777777" w:rsidR="00AA4A02" w:rsidRDefault="00960F31">
      <w:pPr>
        <w:pStyle w:val="ListParagraph"/>
        <w:numPr>
          <w:ilvl w:val="3"/>
          <w:numId w:val="37"/>
        </w:numPr>
        <w:tabs>
          <w:tab w:val="left" w:pos="1557"/>
        </w:tabs>
        <w:spacing w:before="243"/>
        <w:ind w:left="1557" w:hanging="705"/>
        <w:rPr>
          <w:sz w:val="24"/>
        </w:rPr>
      </w:pPr>
      <w:r>
        <w:rPr>
          <w:sz w:val="24"/>
        </w:rPr>
        <w:t>review of</w:t>
      </w:r>
      <w:r>
        <w:rPr>
          <w:spacing w:val="3"/>
          <w:sz w:val="24"/>
        </w:rPr>
        <w:t xml:space="preserve"> </w:t>
      </w:r>
      <w:r>
        <w:rPr>
          <w:sz w:val="24"/>
        </w:rPr>
        <w:t>any</w:t>
      </w:r>
      <w:r>
        <w:rPr>
          <w:spacing w:val="-3"/>
          <w:sz w:val="24"/>
        </w:rPr>
        <w:t xml:space="preserve"> </w:t>
      </w:r>
      <w:r>
        <w:rPr>
          <w:sz w:val="24"/>
        </w:rPr>
        <w:t>relevant</w:t>
      </w:r>
      <w:r>
        <w:rPr>
          <w:spacing w:val="-3"/>
          <w:sz w:val="24"/>
        </w:rPr>
        <w:t xml:space="preserve"> </w:t>
      </w:r>
      <w:r>
        <w:rPr>
          <w:sz w:val="24"/>
        </w:rPr>
        <w:t>research</w:t>
      </w:r>
      <w:r>
        <w:rPr>
          <w:spacing w:val="2"/>
          <w:sz w:val="24"/>
        </w:rPr>
        <w:t xml:space="preserve"> </w:t>
      </w:r>
      <w:r>
        <w:rPr>
          <w:sz w:val="24"/>
        </w:rPr>
        <w:t>including</w:t>
      </w:r>
      <w:r>
        <w:rPr>
          <w:spacing w:val="1"/>
          <w:sz w:val="24"/>
        </w:rPr>
        <w:t xml:space="preserve"> </w:t>
      </w:r>
      <w:r>
        <w:rPr>
          <w:sz w:val="24"/>
        </w:rPr>
        <w:t>that</w:t>
      </w:r>
      <w:r>
        <w:rPr>
          <w:spacing w:val="1"/>
          <w:sz w:val="24"/>
        </w:rPr>
        <w:t xml:space="preserve"> </w:t>
      </w:r>
      <w:r>
        <w:rPr>
          <w:sz w:val="24"/>
        </w:rPr>
        <w:t>by</w:t>
      </w:r>
      <w:r>
        <w:rPr>
          <w:spacing w:val="-8"/>
          <w:sz w:val="24"/>
        </w:rPr>
        <w:t xml:space="preserve"> </w:t>
      </w:r>
      <w:r>
        <w:rPr>
          <w:sz w:val="24"/>
        </w:rPr>
        <w:t>AASB</w:t>
      </w:r>
      <w:r>
        <w:rPr>
          <w:spacing w:val="-1"/>
          <w:sz w:val="24"/>
        </w:rPr>
        <w:t xml:space="preserve"> </w:t>
      </w:r>
      <w:r>
        <w:rPr>
          <w:sz w:val="24"/>
        </w:rPr>
        <w:t>staff</w:t>
      </w:r>
      <w:r>
        <w:rPr>
          <w:spacing w:val="3"/>
          <w:sz w:val="24"/>
        </w:rPr>
        <w:t xml:space="preserve"> </w:t>
      </w:r>
      <w:r>
        <w:rPr>
          <w:sz w:val="24"/>
        </w:rPr>
        <w:t>and</w:t>
      </w:r>
      <w:r>
        <w:rPr>
          <w:spacing w:val="1"/>
          <w:sz w:val="24"/>
        </w:rPr>
        <w:t xml:space="preserve"> </w:t>
      </w:r>
      <w:r>
        <w:rPr>
          <w:spacing w:val="-2"/>
          <w:sz w:val="24"/>
        </w:rPr>
        <w:t>academics;</w:t>
      </w:r>
    </w:p>
    <w:p w14:paraId="1E805889" w14:textId="77777777" w:rsidR="00AA4A02" w:rsidRDefault="00960F31">
      <w:pPr>
        <w:pStyle w:val="ListParagraph"/>
        <w:numPr>
          <w:ilvl w:val="3"/>
          <w:numId w:val="37"/>
        </w:numPr>
        <w:tabs>
          <w:tab w:val="left" w:pos="1557"/>
        </w:tabs>
        <w:spacing w:before="238"/>
        <w:ind w:left="1557" w:hanging="705"/>
        <w:rPr>
          <w:sz w:val="24"/>
        </w:rPr>
      </w:pPr>
      <w:r>
        <w:rPr>
          <w:sz w:val="24"/>
        </w:rPr>
        <w:t>collation</w:t>
      </w:r>
      <w:r>
        <w:rPr>
          <w:spacing w:val="-1"/>
          <w:sz w:val="24"/>
        </w:rPr>
        <w:t xml:space="preserve"> </w:t>
      </w:r>
      <w:r>
        <w:rPr>
          <w:sz w:val="24"/>
        </w:rPr>
        <w:t>of</w:t>
      </w:r>
      <w:r>
        <w:rPr>
          <w:spacing w:val="3"/>
          <w:sz w:val="24"/>
        </w:rPr>
        <w:t xml:space="preserve"> </w:t>
      </w:r>
      <w:r>
        <w:rPr>
          <w:sz w:val="24"/>
        </w:rPr>
        <w:t>any</w:t>
      </w:r>
      <w:r>
        <w:rPr>
          <w:spacing w:val="-5"/>
          <w:sz w:val="24"/>
        </w:rPr>
        <w:t xml:space="preserve"> </w:t>
      </w:r>
      <w:r>
        <w:rPr>
          <w:sz w:val="24"/>
        </w:rPr>
        <w:t>issues</w:t>
      </w:r>
      <w:r>
        <w:rPr>
          <w:spacing w:val="-1"/>
          <w:sz w:val="24"/>
        </w:rPr>
        <w:t xml:space="preserve"> </w:t>
      </w:r>
      <w:r>
        <w:rPr>
          <w:sz w:val="24"/>
        </w:rPr>
        <w:t>notified to</w:t>
      </w:r>
      <w:r>
        <w:rPr>
          <w:spacing w:val="-4"/>
          <w:sz w:val="24"/>
        </w:rPr>
        <w:t xml:space="preserve"> </w:t>
      </w:r>
      <w:r>
        <w:rPr>
          <w:sz w:val="24"/>
        </w:rPr>
        <w:t>the</w:t>
      </w:r>
      <w:r>
        <w:rPr>
          <w:spacing w:val="1"/>
          <w:sz w:val="24"/>
        </w:rPr>
        <w:t xml:space="preserve"> </w:t>
      </w:r>
      <w:r>
        <w:rPr>
          <w:sz w:val="24"/>
        </w:rPr>
        <w:t>AASB</w:t>
      </w:r>
      <w:r>
        <w:rPr>
          <w:spacing w:val="-2"/>
          <w:sz w:val="24"/>
        </w:rPr>
        <w:t xml:space="preserve"> </w:t>
      </w:r>
      <w:r>
        <w:rPr>
          <w:sz w:val="24"/>
        </w:rPr>
        <w:t>prior</w:t>
      </w:r>
      <w:r>
        <w:rPr>
          <w:spacing w:val="3"/>
          <w:sz w:val="24"/>
        </w:rPr>
        <w:t xml:space="preserve"> </w:t>
      </w:r>
      <w:r>
        <w:rPr>
          <w:sz w:val="24"/>
        </w:rPr>
        <w:t>to the</w:t>
      </w:r>
      <w:r>
        <w:rPr>
          <w:spacing w:val="1"/>
          <w:sz w:val="24"/>
        </w:rPr>
        <w:t xml:space="preserve"> </w:t>
      </w:r>
      <w:r>
        <w:rPr>
          <w:sz w:val="24"/>
        </w:rPr>
        <w:t>PIR</w:t>
      </w:r>
      <w:r>
        <w:rPr>
          <w:spacing w:val="-5"/>
          <w:sz w:val="24"/>
        </w:rPr>
        <w:t xml:space="preserve"> </w:t>
      </w:r>
      <w:r>
        <w:rPr>
          <w:spacing w:val="-2"/>
          <w:sz w:val="24"/>
        </w:rPr>
        <w:t>commencing;</w:t>
      </w:r>
    </w:p>
    <w:p w14:paraId="1E80588A" w14:textId="77777777" w:rsidR="00AA4A02" w:rsidRDefault="00960F31">
      <w:pPr>
        <w:pStyle w:val="ListParagraph"/>
        <w:numPr>
          <w:ilvl w:val="3"/>
          <w:numId w:val="37"/>
        </w:numPr>
        <w:tabs>
          <w:tab w:val="left" w:pos="1557"/>
        </w:tabs>
        <w:spacing w:before="242"/>
        <w:ind w:left="1557" w:hanging="705"/>
        <w:rPr>
          <w:sz w:val="24"/>
        </w:rPr>
      </w:pPr>
      <w:r>
        <w:rPr>
          <w:sz w:val="24"/>
        </w:rPr>
        <w:t>consultation</w:t>
      </w:r>
      <w:r>
        <w:rPr>
          <w:spacing w:val="-1"/>
          <w:sz w:val="24"/>
        </w:rPr>
        <w:t xml:space="preserve"> </w:t>
      </w:r>
      <w:r>
        <w:rPr>
          <w:sz w:val="24"/>
        </w:rPr>
        <w:t>seeking implementation</w:t>
      </w:r>
      <w:r>
        <w:rPr>
          <w:spacing w:val="1"/>
          <w:sz w:val="24"/>
        </w:rPr>
        <w:t xml:space="preserve"> </w:t>
      </w:r>
      <w:r>
        <w:rPr>
          <w:sz w:val="24"/>
        </w:rPr>
        <w:t>issues</w:t>
      </w:r>
      <w:r>
        <w:rPr>
          <w:spacing w:val="-2"/>
          <w:sz w:val="24"/>
        </w:rPr>
        <w:t xml:space="preserve"> </w:t>
      </w:r>
      <w:r>
        <w:rPr>
          <w:sz w:val="24"/>
        </w:rPr>
        <w:t>and</w:t>
      </w:r>
      <w:r>
        <w:rPr>
          <w:spacing w:val="1"/>
          <w:sz w:val="24"/>
        </w:rPr>
        <w:t xml:space="preserve"> </w:t>
      </w:r>
      <w:r>
        <w:rPr>
          <w:sz w:val="24"/>
        </w:rPr>
        <w:t>views</w:t>
      </w:r>
      <w:r>
        <w:rPr>
          <w:spacing w:val="-3"/>
          <w:sz w:val="24"/>
        </w:rPr>
        <w:t xml:space="preserve"> </w:t>
      </w:r>
      <w:r>
        <w:rPr>
          <w:sz w:val="24"/>
        </w:rPr>
        <w:t xml:space="preserve">on the </w:t>
      </w:r>
      <w:r>
        <w:rPr>
          <w:spacing w:val="-2"/>
          <w:sz w:val="24"/>
        </w:rPr>
        <w:t>pronouncement;</w:t>
      </w:r>
    </w:p>
    <w:p w14:paraId="1E80588B" w14:textId="77777777" w:rsidR="00AA4A02" w:rsidRDefault="00960F31">
      <w:pPr>
        <w:pStyle w:val="ListParagraph"/>
        <w:numPr>
          <w:ilvl w:val="3"/>
          <w:numId w:val="37"/>
        </w:numPr>
        <w:tabs>
          <w:tab w:val="left" w:pos="1557"/>
        </w:tabs>
        <w:spacing w:before="238"/>
        <w:ind w:left="1557" w:hanging="705"/>
        <w:rPr>
          <w:sz w:val="24"/>
        </w:rPr>
      </w:pPr>
      <w:r>
        <w:rPr>
          <w:sz w:val="24"/>
        </w:rPr>
        <w:t>consideration</w:t>
      </w:r>
      <w:r>
        <w:rPr>
          <w:spacing w:val="1"/>
          <w:sz w:val="24"/>
        </w:rPr>
        <w:t xml:space="preserve"> </w:t>
      </w:r>
      <w:r>
        <w:rPr>
          <w:sz w:val="24"/>
        </w:rPr>
        <w:t>of</w:t>
      </w:r>
      <w:r>
        <w:rPr>
          <w:spacing w:val="2"/>
          <w:sz w:val="24"/>
        </w:rPr>
        <w:t xml:space="preserve"> </w:t>
      </w:r>
      <w:r>
        <w:rPr>
          <w:sz w:val="24"/>
        </w:rPr>
        <w:t>any</w:t>
      </w:r>
      <w:r>
        <w:rPr>
          <w:spacing w:val="-5"/>
          <w:sz w:val="24"/>
        </w:rPr>
        <w:t xml:space="preserve"> </w:t>
      </w:r>
      <w:r>
        <w:rPr>
          <w:sz w:val="24"/>
        </w:rPr>
        <w:t>feedback</w:t>
      </w:r>
      <w:r>
        <w:rPr>
          <w:spacing w:val="1"/>
          <w:sz w:val="24"/>
        </w:rPr>
        <w:t xml:space="preserve"> </w:t>
      </w:r>
      <w:r>
        <w:rPr>
          <w:spacing w:val="-2"/>
          <w:sz w:val="24"/>
        </w:rPr>
        <w:t>received;</w:t>
      </w:r>
    </w:p>
    <w:p w14:paraId="1E80588C" w14:textId="77777777" w:rsidR="00AA4A02" w:rsidRDefault="00960F31">
      <w:pPr>
        <w:pStyle w:val="ListParagraph"/>
        <w:numPr>
          <w:ilvl w:val="3"/>
          <w:numId w:val="37"/>
        </w:numPr>
        <w:tabs>
          <w:tab w:val="left" w:pos="1557"/>
        </w:tabs>
        <w:spacing w:before="243"/>
        <w:ind w:left="1557" w:hanging="705"/>
        <w:rPr>
          <w:sz w:val="24"/>
        </w:rPr>
      </w:pPr>
      <w:r>
        <w:rPr>
          <w:sz w:val="24"/>
        </w:rPr>
        <w:t>publication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findings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PIR;</w:t>
      </w:r>
      <w:r>
        <w:rPr>
          <w:spacing w:val="-2"/>
          <w:sz w:val="24"/>
        </w:rPr>
        <w:t xml:space="preserve"> </w:t>
      </w:r>
      <w:r>
        <w:rPr>
          <w:spacing w:val="-5"/>
          <w:sz w:val="24"/>
        </w:rPr>
        <w:t>and</w:t>
      </w:r>
    </w:p>
    <w:p w14:paraId="1E80588D" w14:textId="77777777" w:rsidR="00AA4A02" w:rsidRDefault="00960F31">
      <w:pPr>
        <w:pStyle w:val="ListParagraph"/>
        <w:numPr>
          <w:ilvl w:val="3"/>
          <w:numId w:val="37"/>
        </w:numPr>
        <w:tabs>
          <w:tab w:val="left" w:pos="1558"/>
        </w:tabs>
        <w:spacing w:before="233" w:line="247" w:lineRule="auto"/>
        <w:ind w:right="931"/>
        <w:rPr>
          <w:sz w:val="24"/>
        </w:rPr>
      </w:pPr>
      <w:r>
        <w:rPr>
          <w:sz w:val="24"/>
        </w:rPr>
        <w:t>any</w:t>
      </w:r>
      <w:r>
        <w:rPr>
          <w:spacing w:val="-3"/>
          <w:sz w:val="24"/>
        </w:rPr>
        <w:t xml:space="preserve"> </w:t>
      </w:r>
      <w:r>
        <w:rPr>
          <w:sz w:val="24"/>
        </w:rPr>
        <w:t>recommendations</w:t>
      </w:r>
      <w:r>
        <w:rPr>
          <w:spacing w:val="-4"/>
          <w:sz w:val="24"/>
        </w:rPr>
        <w:t xml:space="preserve"> </w:t>
      </w:r>
      <w:r>
        <w:rPr>
          <w:sz w:val="24"/>
        </w:rPr>
        <w:t>for</w:t>
      </w:r>
      <w:r>
        <w:rPr>
          <w:spacing w:val="-6"/>
          <w:sz w:val="24"/>
        </w:rPr>
        <w:t xml:space="preserve"> </w:t>
      </w:r>
      <w:r>
        <w:rPr>
          <w:sz w:val="24"/>
        </w:rPr>
        <w:t>changes</w:t>
      </w:r>
      <w:r>
        <w:rPr>
          <w:spacing w:val="-5"/>
          <w:sz w:val="24"/>
        </w:rPr>
        <w:t xml:space="preserve"> </w:t>
      </w:r>
      <w:r>
        <w:rPr>
          <w:sz w:val="24"/>
        </w:rPr>
        <w:t>to</w:t>
      </w:r>
      <w:r>
        <w:rPr>
          <w:spacing w:val="-3"/>
          <w:sz w:val="24"/>
        </w:rPr>
        <w:t xml:space="preserve"> </w:t>
      </w:r>
      <w:r>
        <w:rPr>
          <w:sz w:val="24"/>
        </w:rPr>
        <w:t>the</w:t>
      </w:r>
      <w:r>
        <w:rPr>
          <w:spacing w:val="-3"/>
          <w:sz w:val="24"/>
        </w:rPr>
        <w:t xml:space="preserve"> </w:t>
      </w:r>
      <w:r>
        <w:rPr>
          <w:sz w:val="24"/>
        </w:rPr>
        <w:t>pronouncement</w:t>
      </w:r>
      <w:r>
        <w:rPr>
          <w:spacing w:val="-2"/>
          <w:sz w:val="24"/>
        </w:rPr>
        <w:t xml:space="preserve"> </w:t>
      </w:r>
      <w:r>
        <w:rPr>
          <w:sz w:val="24"/>
        </w:rPr>
        <w:t>follow</w:t>
      </w:r>
      <w:r>
        <w:rPr>
          <w:spacing w:val="-3"/>
          <w:sz w:val="24"/>
        </w:rPr>
        <w:t xml:space="preserve"> </w:t>
      </w:r>
      <w:r>
        <w:rPr>
          <w:sz w:val="24"/>
        </w:rPr>
        <w:t>a</w:t>
      </w:r>
      <w:r>
        <w:rPr>
          <w:spacing w:val="-9"/>
          <w:sz w:val="24"/>
        </w:rPr>
        <w:t xml:space="preserve"> </w:t>
      </w:r>
      <w:r>
        <w:rPr>
          <w:sz w:val="24"/>
        </w:rPr>
        <w:t>separate consultation process.</w:t>
      </w:r>
    </w:p>
    <w:p w14:paraId="1E80588E" w14:textId="77777777" w:rsidR="00AA4A02" w:rsidRDefault="00960F31">
      <w:pPr>
        <w:spacing w:before="229"/>
        <w:ind w:left="852"/>
        <w:rPr>
          <w:b/>
          <w:i/>
          <w:sz w:val="24"/>
        </w:rPr>
      </w:pPr>
      <w:r>
        <w:rPr>
          <w:b/>
          <w:i/>
          <w:spacing w:val="-2"/>
          <w:sz w:val="24"/>
        </w:rPr>
        <w:t>IASB-related</w:t>
      </w:r>
    </w:p>
    <w:p w14:paraId="1E80588F" w14:textId="77777777" w:rsidR="00AA4A02" w:rsidRDefault="00960F31">
      <w:pPr>
        <w:pStyle w:val="ListParagraph"/>
        <w:numPr>
          <w:ilvl w:val="2"/>
          <w:numId w:val="37"/>
        </w:numPr>
        <w:tabs>
          <w:tab w:val="left" w:pos="852"/>
        </w:tabs>
        <w:spacing w:before="237"/>
        <w:ind w:right="465"/>
        <w:rPr>
          <w:sz w:val="24"/>
        </w:rPr>
      </w:pPr>
      <w:r>
        <w:rPr>
          <w:sz w:val="24"/>
        </w:rPr>
        <w:t>The</w:t>
      </w:r>
      <w:r>
        <w:rPr>
          <w:spacing w:val="-2"/>
          <w:sz w:val="24"/>
        </w:rPr>
        <w:t xml:space="preserve"> </w:t>
      </w:r>
      <w:r>
        <w:rPr>
          <w:sz w:val="24"/>
        </w:rPr>
        <w:t>IASB</w:t>
      </w:r>
      <w:r>
        <w:rPr>
          <w:spacing w:val="-2"/>
          <w:sz w:val="24"/>
        </w:rPr>
        <w:t xml:space="preserve"> </w:t>
      </w:r>
      <w:r>
        <w:rPr>
          <w:sz w:val="24"/>
        </w:rPr>
        <w:t>commences</w:t>
      </w:r>
      <w:r>
        <w:rPr>
          <w:spacing w:val="-2"/>
          <w:sz w:val="24"/>
        </w:rPr>
        <w:t xml:space="preserve"> </w:t>
      </w:r>
      <w:r>
        <w:rPr>
          <w:sz w:val="24"/>
        </w:rPr>
        <w:t>its</w:t>
      </w:r>
      <w:r>
        <w:rPr>
          <w:spacing w:val="-3"/>
          <w:sz w:val="24"/>
        </w:rPr>
        <w:t xml:space="preserve"> </w:t>
      </w:r>
      <w:r>
        <w:rPr>
          <w:sz w:val="24"/>
        </w:rPr>
        <w:t>PIR</w:t>
      </w:r>
      <w:r>
        <w:rPr>
          <w:spacing w:val="-3"/>
          <w:sz w:val="24"/>
        </w:rPr>
        <w:t xml:space="preserve"> </w:t>
      </w:r>
      <w:r>
        <w:rPr>
          <w:sz w:val="24"/>
        </w:rPr>
        <w:t>with</w:t>
      </w:r>
      <w:r>
        <w:rPr>
          <w:spacing w:val="-5"/>
          <w:sz w:val="24"/>
        </w:rPr>
        <w:t xml:space="preserve"> </w:t>
      </w:r>
      <w:r>
        <w:rPr>
          <w:sz w:val="24"/>
        </w:rPr>
        <w:t>a</w:t>
      </w:r>
      <w:r>
        <w:rPr>
          <w:spacing w:val="-2"/>
          <w:sz w:val="24"/>
        </w:rPr>
        <w:t xml:space="preserve"> </w:t>
      </w:r>
      <w:r>
        <w:rPr>
          <w:sz w:val="24"/>
        </w:rPr>
        <w:t>Request for</w:t>
      </w:r>
      <w:r>
        <w:rPr>
          <w:spacing w:val="-4"/>
          <w:sz w:val="24"/>
        </w:rPr>
        <w:t xml:space="preserve"> </w:t>
      </w:r>
      <w:r>
        <w:rPr>
          <w:sz w:val="24"/>
        </w:rPr>
        <w:t>Information</w:t>
      </w:r>
      <w:r>
        <w:rPr>
          <w:spacing w:val="-4"/>
          <w:sz w:val="24"/>
        </w:rPr>
        <w:t xml:space="preserve"> </w:t>
      </w:r>
      <w:r>
        <w:rPr>
          <w:sz w:val="24"/>
        </w:rPr>
        <w:t>(RFI)</w:t>
      </w:r>
      <w:r>
        <w:rPr>
          <w:spacing w:val="-3"/>
          <w:sz w:val="24"/>
        </w:rPr>
        <w:t xml:space="preserve"> </w:t>
      </w:r>
      <w:r>
        <w:rPr>
          <w:sz w:val="24"/>
        </w:rPr>
        <w:t>which</w:t>
      </w:r>
      <w:r>
        <w:rPr>
          <w:spacing w:val="-1"/>
          <w:sz w:val="24"/>
        </w:rPr>
        <w:t xml:space="preserve"> </w:t>
      </w:r>
      <w:r>
        <w:rPr>
          <w:sz w:val="24"/>
        </w:rPr>
        <w:t>sets</w:t>
      </w:r>
      <w:r>
        <w:rPr>
          <w:spacing w:val="-2"/>
          <w:sz w:val="24"/>
        </w:rPr>
        <w:t xml:space="preserve"> </w:t>
      </w:r>
      <w:r>
        <w:rPr>
          <w:sz w:val="24"/>
        </w:rPr>
        <w:t>out</w:t>
      </w:r>
      <w:r>
        <w:rPr>
          <w:spacing w:val="-1"/>
          <w:sz w:val="24"/>
        </w:rPr>
        <w:t xml:space="preserve"> </w:t>
      </w:r>
      <w:r>
        <w:rPr>
          <w:sz w:val="24"/>
        </w:rPr>
        <w:t>the initial identification and assessment of the matters to be examined. The AASB issues the RFI at</w:t>
      </w:r>
      <w:r>
        <w:rPr>
          <w:spacing w:val="-3"/>
          <w:sz w:val="24"/>
        </w:rPr>
        <w:t xml:space="preserve"> </w:t>
      </w:r>
      <w:r>
        <w:rPr>
          <w:sz w:val="24"/>
        </w:rPr>
        <w:t>the same time as</w:t>
      </w:r>
      <w:r>
        <w:rPr>
          <w:spacing w:val="-1"/>
          <w:sz w:val="24"/>
        </w:rPr>
        <w:t xml:space="preserve"> </w:t>
      </w:r>
      <w:r>
        <w:rPr>
          <w:sz w:val="24"/>
        </w:rPr>
        <w:t>the</w:t>
      </w:r>
      <w:r>
        <w:rPr>
          <w:spacing w:val="-4"/>
          <w:sz w:val="24"/>
        </w:rPr>
        <w:t xml:space="preserve"> </w:t>
      </w:r>
      <w:r>
        <w:rPr>
          <w:sz w:val="24"/>
        </w:rPr>
        <w:t>IASB and</w:t>
      </w:r>
      <w:r>
        <w:rPr>
          <w:spacing w:val="-4"/>
          <w:sz w:val="24"/>
        </w:rPr>
        <w:t xml:space="preserve"> </w:t>
      </w:r>
      <w:r>
        <w:rPr>
          <w:sz w:val="24"/>
        </w:rPr>
        <w:t>contributes to the IASB’s process</w:t>
      </w:r>
      <w:r>
        <w:rPr>
          <w:spacing w:val="-1"/>
          <w:sz w:val="24"/>
        </w:rPr>
        <w:t xml:space="preserve"> </w:t>
      </w:r>
      <w:r>
        <w:rPr>
          <w:sz w:val="24"/>
        </w:rPr>
        <w:t>where the issues are considered significant to Australian entities.</w:t>
      </w:r>
    </w:p>
    <w:p w14:paraId="1E805890" w14:textId="77777777" w:rsidR="00AA4A02" w:rsidRDefault="00AA4A02">
      <w:pPr>
        <w:pStyle w:val="BodyText"/>
        <w:spacing w:before="206"/>
        <w:rPr>
          <w:sz w:val="24"/>
        </w:rPr>
      </w:pPr>
    </w:p>
    <w:p w14:paraId="1E805891" w14:textId="77777777" w:rsidR="00AA4A02" w:rsidRDefault="00960F31">
      <w:pPr>
        <w:pStyle w:val="Heading6"/>
        <w:numPr>
          <w:ilvl w:val="0"/>
          <w:numId w:val="54"/>
        </w:numPr>
        <w:tabs>
          <w:tab w:val="left" w:pos="852"/>
        </w:tabs>
      </w:pPr>
      <w:bookmarkStart w:id="28" w:name="_TOC_250023"/>
      <w:bookmarkEnd w:id="28"/>
      <w:r>
        <w:rPr>
          <w:spacing w:val="-2"/>
        </w:rPr>
        <w:t>Interpretations</w:t>
      </w:r>
    </w:p>
    <w:p w14:paraId="1E805892" w14:textId="77777777" w:rsidR="00AA4A02" w:rsidRDefault="00960F31">
      <w:pPr>
        <w:pStyle w:val="ListParagraph"/>
        <w:numPr>
          <w:ilvl w:val="1"/>
          <w:numId w:val="54"/>
        </w:numPr>
        <w:tabs>
          <w:tab w:val="left" w:pos="852"/>
        </w:tabs>
        <w:spacing w:before="272"/>
        <w:ind w:right="435"/>
        <w:rPr>
          <w:sz w:val="24"/>
        </w:rPr>
      </w:pPr>
      <w:r>
        <w:rPr>
          <w:sz w:val="24"/>
        </w:rPr>
        <w:t xml:space="preserve">Australian Interpretations are treated as ‘external documents’ by the </w:t>
      </w:r>
      <w:r>
        <w:rPr>
          <w:i/>
          <w:sz w:val="24"/>
        </w:rPr>
        <w:t xml:space="preserve">Acts Interpretation Act 1901 </w:t>
      </w:r>
      <w:r>
        <w:rPr>
          <w:sz w:val="24"/>
        </w:rPr>
        <w:t xml:space="preserve">(and also by the </w:t>
      </w:r>
      <w:r>
        <w:rPr>
          <w:i/>
          <w:sz w:val="24"/>
        </w:rPr>
        <w:t>Legislation Act 2003</w:t>
      </w:r>
      <w:r>
        <w:rPr>
          <w:sz w:val="24"/>
        </w:rPr>
        <w:t>) and so are not legislative</w:t>
      </w:r>
      <w:r>
        <w:rPr>
          <w:spacing w:val="-2"/>
          <w:sz w:val="24"/>
        </w:rPr>
        <w:t xml:space="preserve"> </w:t>
      </w:r>
      <w:r>
        <w:rPr>
          <w:sz w:val="24"/>
        </w:rPr>
        <w:t>instruments</w:t>
      </w:r>
      <w:r>
        <w:rPr>
          <w:spacing w:val="-2"/>
          <w:sz w:val="24"/>
        </w:rPr>
        <w:t xml:space="preserve"> </w:t>
      </w:r>
      <w:r>
        <w:rPr>
          <w:sz w:val="24"/>
        </w:rPr>
        <w:t>in</w:t>
      </w:r>
      <w:r>
        <w:rPr>
          <w:spacing w:val="-2"/>
          <w:sz w:val="24"/>
        </w:rPr>
        <w:t xml:space="preserve"> </w:t>
      </w:r>
      <w:r>
        <w:rPr>
          <w:sz w:val="24"/>
        </w:rPr>
        <w:t>their</w:t>
      </w:r>
      <w:r>
        <w:rPr>
          <w:spacing w:val="-4"/>
          <w:sz w:val="24"/>
        </w:rPr>
        <w:t xml:space="preserve"> </w:t>
      </w:r>
      <w:r>
        <w:rPr>
          <w:sz w:val="24"/>
        </w:rPr>
        <w:t>own</w:t>
      </w:r>
      <w:r>
        <w:rPr>
          <w:spacing w:val="-6"/>
          <w:sz w:val="24"/>
        </w:rPr>
        <w:t xml:space="preserve"> </w:t>
      </w:r>
      <w:r>
        <w:rPr>
          <w:sz w:val="24"/>
        </w:rPr>
        <w:t>right.</w:t>
      </w:r>
      <w:r>
        <w:rPr>
          <w:spacing w:val="40"/>
          <w:sz w:val="24"/>
        </w:rPr>
        <w:t xml:space="preserve"> </w:t>
      </w:r>
      <w:r>
        <w:rPr>
          <w:sz w:val="24"/>
        </w:rPr>
        <w:t>AASB</w:t>
      </w:r>
      <w:r>
        <w:rPr>
          <w:spacing w:val="-2"/>
          <w:sz w:val="24"/>
        </w:rPr>
        <w:t xml:space="preserve"> </w:t>
      </w:r>
      <w:r>
        <w:rPr>
          <w:sz w:val="24"/>
        </w:rPr>
        <w:t>1048</w:t>
      </w:r>
      <w:r>
        <w:rPr>
          <w:spacing w:val="-1"/>
          <w:sz w:val="24"/>
        </w:rPr>
        <w:t xml:space="preserve"> </w:t>
      </w:r>
      <w:r>
        <w:rPr>
          <w:i/>
          <w:sz w:val="24"/>
        </w:rPr>
        <w:t>Interpretation</w:t>
      </w:r>
      <w:r>
        <w:rPr>
          <w:i/>
          <w:spacing w:val="-1"/>
          <w:sz w:val="24"/>
        </w:rPr>
        <w:t xml:space="preserve"> </w:t>
      </w:r>
      <w:r>
        <w:rPr>
          <w:i/>
          <w:sz w:val="24"/>
        </w:rPr>
        <w:t>of</w:t>
      </w:r>
      <w:r>
        <w:rPr>
          <w:i/>
          <w:spacing w:val="-2"/>
          <w:sz w:val="24"/>
        </w:rPr>
        <w:t xml:space="preserve"> </w:t>
      </w:r>
      <w:r>
        <w:rPr>
          <w:i/>
          <w:sz w:val="24"/>
        </w:rPr>
        <w:t>Standards</w:t>
      </w:r>
      <w:r>
        <w:rPr>
          <w:i/>
          <w:spacing w:val="-3"/>
          <w:sz w:val="24"/>
        </w:rPr>
        <w:t xml:space="preserve"> </w:t>
      </w:r>
      <w:r>
        <w:rPr>
          <w:sz w:val="24"/>
        </w:rPr>
        <w:t>is</w:t>
      </w:r>
      <w:r>
        <w:rPr>
          <w:spacing w:val="-3"/>
          <w:sz w:val="24"/>
        </w:rPr>
        <w:t xml:space="preserve"> </w:t>
      </w:r>
      <w:r>
        <w:rPr>
          <w:sz w:val="24"/>
        </w:rPr>
        <w:t>a service Standard that provides Australian Interpretations with authoritative status.</w:t>
      </w:r>
    </w:p>
    <w:p w14:paraId="1E805893" w14:textId="77777777" w:rsidR="00AA4A02" w:rsidRDefault="00960F31">
      <w:pPr>
        <w:spacing w:line="242" w:lineRule="auto"/>
        <w:ind w:left="852" w:right="470"/>
        <w:rPr>
          <w:sz w:val="24"/>
        </w:rPr>
      </w:pPr>
      <w:r>
        <w:rPr>
          <w:sz w:val="24"/>
        </w:rPr>
        <w:t>Issuing a service Standard preserves the status of Australian Interpretations as ‘external documents’ referred</w:t>
      </w:r>
      <w:r>
        <w:rPr>
          <w:spacing w:val="-2"/>
          <w:sz w:val="24"/>
        </w:rPr>
        <w:t xml:space="preserve"> </w:t>
      </w:r>
      <w:r>
        <w:rPr>
          <w:sz w:val="24"/>
        </w:rPr>
        <w:t>to in</w:t>
      </w:r>
      <w:r>
        <w:rPr>
          <w:spacing w:val="-3"/>
          <w:sz w:val="24"/>
        </w:rPr>
        <w:t xml:space="preserve"> </w:t>
      </w:r>
      <w:r>
        <w:rPr>
          <w:sz w:val="24"/>
        </w:rPr>
        <w:t>a Standard, with the contents fixed</w:t>
      </w:r>
      <w:r>
        <w:rPr>
          <w:spacing w:val="-3"/>
          <w:sz w:val="24"/>
        </w:rPr>
        <w:t xml:space="preserve"> </w:t>
      </w:r>
      <w:r>
        <w:rPr>
          <w:sz w:val="24"/>
        </w:rPr>
        <w:t>in time to</w:t>
      </w:r>
      <w:r>
        <w:rPr>
          <w:spacing w:val="-2"/>
          <w:sz w:val="24"/>
        </w:rPr>
        <w:t xml:space="preserve"> </w:t>
      </w:r>
      <w:r>
        <w:rPr>
          <w:sz w:val="24"/>
        </w:rPr>
        <w:t>that existing when</w:t>
      </w:r>
      <w:r>
        <w:rPr>
          <w:spacing w:val="-1"/>
          <w:sz w:val="24"/>
        </w:rPr>
        <w:t xml:space="preserve"> </w:t>
      </w:r>
      <w:r>
        <w:rPr>
          <w:sz w:val="24"/>
        </w:rPr>
        <w:t>the</w:t>
      </w:r>
      <w:r>
        <w:rPr>
          <w:spacing w:val="-1"/>
          <w:sz w:val="24"/>
        </w:rPr>
        <w:t xml:space="preserve"> </w:t>
      </w:r>
      <w:r>
        <w:rPr>
          <w:sz w:val="24"/>
        </w:rPr>
        <w:t>Standard</w:t>
      </w:r>
      <w:r>
        <w:rPr>
          <w:spacing w:val="-5"/>
          <w:sz w:val="24"/>
        </w:rPr>
        <w:t xml:space="preserve"> </w:t>
      </w:r>
      <w:r>
        <w:rPr>
          <w:sz w:val="24"/>
        </w:rPr>
        <w:t>is</w:t>
      </w:r>
      <w:r>
        <w:rPr>
          <w:spacing w:val="-3"/>
          <w:sz w:val="24"/>
        </w:rPr>
        <w:t xml:space="preserve"> </w:t>
      </w:r>
      <w:r>
        <w:rPr>
          <w:sz w:val="24"/>
        </w:rPr>
        <w:t>made</w:t>
      </w:r>
      <w:r>
        <w:rPr>
          <w:spacing w:val="-2"/>
          <w:sz w:val="24"/>
        </w:rPr>
        <w:t xml:space="preserve"> </w:t>
      </w:r>
      <w:r>
        <w:rPr>
          <w:sz w:val="24"/>
        </w:rPr>
        <w:t>by</w:t>
      </w:r>
      <w:r>
        <w:rPr>
          <w:spacing w:val="-6"/>
          <w:sz w:val="24"/>
        </w:rPr>
        <w:t xml:space="preserve"> </w:t>
      </w:r>
      <w:r>
        <w:rPr>
          <w:sz w:val="24"/>
        </w:rPr>
        <w:t>the</w:t>
      </w:r>
      <w:r>
        <w:rPr>
          <w:spacing w:val="-1"/>
          <w:sz w:val="24"/>
        </w:rPr>
        <w:t xml:space="preserve"> </w:t>
      </w:r>
      <w:r>
        <w:rPr>
          <w:sz w:val="24"/>
        </w:rPr>
        <w:t>AASB.</w:t>
      </w:r>
      <w:r>
        <w:rPr>
          <w:spacing w:val="-8"/>
          <w:sz w:val="24"/>
        </w:rPr>
        <w:t xml:space="preserve"> </w:t>
      </w:r>
      <w:r>
        <w:rPr>
          <w:sz w:val="24"/>
        </w:rPr>
        <w:t>It</w:t>
      </w:r>
      <w:r>
        <w:rPr>
          <w:spacing w:val="-1"/>
          <w:sz w:val="24"/>
        </w:rPr>
        <w:t xml:space="preserve"> </w:t>
      </w:r>
      <w:r>
        <w:rPr>
          <w:sz w:val="24"/>
        </w:rPr>
        <w:t>does</w:t>
      </w:r>
      <w:r>
        <w:rPr>
          <w:spacing w:val="-3"/>
          <w:sz w:val="24"/>
        </w:rPr>
        <w:t xml:space="preserve"> </w:t>
      </w:r>
      <w:r>
        <w:rPr>
          <w:sz w:val="24"/>
        </w:rPr>
        <w:t>not</w:t>
      </w:r>
      <w:r>
        <w:rPr>
          <w:spacing w:val="-5"/>
          <w:sz w:val="24"/>
        </w:rPr>
        <w:t xml:space="preserve"> </w:t>
      </w:r>
      <w:r>
        <w:rPr>
          <w:sz w:val="24"/>
        </w:rPr>
        <w:t>treat the</w:t>
      </w:r>
      <w:r>
        <w:rPr>
          <w:spacing w:val="-6"/>
          <w:sz w:val="24"/>
        </w:rPr>
        <w:t xml:space="preserve"> </w:t>
      </w:r>
      <w:r>
        <w:rPr>
          <w:sz w:val="24"/>
        </w:rPr>
        <w:t>Interpretations as delegated legislation or confer ambulatory (automatic update) status on the references</w:t>
      </w:r>
      <w:r>
        <w:rPr>
          <w:spacing w:val="-2"/>
          <w:sz w:val="24"/>
        </w:rPr>
        <w:t xml:space="preserve"> </w:t>
      </w:r>
      <w:r>
        <w:rPr>
          <w:sz w:val="24"/>
        </w:rPr>
        <w:t>to</w:t>
      </w:r>
      <w:r>
        <w:rPr>
          <w:spacing w:val="-1"/>
          <w:sz w:val="24"/>
        </w:rPr>
        <w:t xml:space="preserve"> </w:t>
      </w:r>
      <w:r>
        <w:rPr>
          <w:sz w:val="24"/>
        </w:rPr>
        <w:t>them.</w:t>
      </w:r>
      <w:r>
        <w:rPr>
          <w:spacing w:val="-3"/>
          <w:sz w:val="24"/>
        </w:rPr>
        <w:t xml:space="preserve"> </w:t>
      </w:r>
      <w:r>
        <w:rPr>
          <w:sz w:val="24"/>
        </w:rPr>
        <w:t>Those</w:t>
      </w:r>
      <w:r>
        <w:rPr>
          <w:spacing w:val="-7"/>
          <w:sz w:val="24"/>
        </w:rPr>
        <w:t xml:space="preserve"> </w:t>
      </w:r>
      <w:r>
        <w:rPr>
          <w:sz w:val="24"/>
        </w:rPr>
        <w:t>references</w:t>
      </w:r>
      <w:r>
        <w:rPr>
          <w:spacing w:val="-2"/>
          <w:sz w:val="24"/>
        </w:rPr>
        <w:t xml:space="preserve"> </w:t>
      </w:r>
      <w:r>
        <w:rPr>
          <w:sz w:val="24"/>
        </w:rPr>
        <w:t>are</w:t>
      </w:r>
      <w:r>
        <w:rPr>
          <w:spacing w:val="-2"/>
          <w:sz w:val="24"/>
        </w:rPr>
        <w:t xml:space="preserve"> </w:t>
      </w:r>
      <w:r>
        <w:rPr>
          <w:sz w:val="24"/>
        </w:rPr>
        <w:t>updated</w:t>
      </w:r>
      <w:r>
        <w:rPr>
          <w:spacing w:val="-1"/>
          <w:sz w:val="24"/>
        </w:rPr>
        <w:t xml:space="preserve"> </w:t>
      </w:r>
      <w:r>
        <w:rPr>
          <w:sz w:val="24"/>
        </w:rPr>
        <w:t>by</w:t>
      </w:r>
      <w:r>
        <w:rPr>
          <w:spacing w:val="-1"/>
          <w:sz w:val="24"/>
        </w:rPr>
        <w:t xml:space="preserve"> </w:t>
      </w:r>
      <w:r>
        <w:rPr>
          <w:sz w:val="24"/>
        </w:rPr>
        <w:t>reissuing the</w:t>
      </w:r>
      <w:r>
        <w:rPr>
          <w:spacing w:val="-1"/>
          <w:sz w:val="24"/>
        </w:rPr>
        <w:t xml:space="preserve"> </w:t>
      </w:r>
      <w:r>
        <w:rPr>
          <w:sz w:val="24"/>
        </w:rPr>
        <w:t>service</w:t>
      </w:r>
      <w:r>
        <w:rPr>
          <w:spacing w:val="-2"/>
          <w:sz w:val="24"/>
        </w:rPr>
        <w:t xml:space="preserve"> </w:t>
      </w:r>
      <w:r>
        <w:rPr>
          <w:sz w:val="24"/>
        </w:rPr>
        <w:t>Standard</w:t>
      </w:r>
      <w:r>
        <w:rPr>
          <w:spacing w:val="-5"/>
          <w:sz w:val="24"/>
        </w:rPr>
        <w:t xml:space="preserve"> </w:t>
      </w:r>
      <w:r>
        <w:rPr>
          <w:sz w:val="24"/>
        </w:rPr>
        <w:t>to include references to the updated Interpretations.</w:t>
      </w:r>
    </w:p>
    <w:p w14:paraId="1E805894" w14:textId="77777777" w:rsidR="00AA4A02" w:rsidRDefault="00960F31">
      <w:pPr>
        <w:pStyle w:val="ListParagraph"/>
        <w:numPr>
          <w:ilvl w:val="1"/>
          <w:numId w:val="54"/>
        </w:numPr>
        <w:tabs>
          <w:tab w:val="left" w:pos="852"/>
        </w:tabs>
        <w:spacing w:before="229"/>
        <w:rPr>
          <w:sz w:val="24"/>
        </w:rPr>
      </w:pPr>
      <w:r>
        <w:rPr>
          <w:sz w:val="24"/>
        </w:rPr>
        <w:t>The</w:t>
      </w:r>
      <w:r>
        <w:rPr>
          <w:spacing w:val="-2"/>
          <w:sz w:val="24"/>
        </w:rPr>
        <w:t xml:space="preserve"> </w:t>
      </w:r>
      <w:r>
        <w:rPr>
          <w:sz w:val="24"/>
        </w:rPr>
        <w:t>AASB</w:t>
      </w:r>
      <w:r>
        <w:rPr>
          <w:spacing w:val="-1"/>
          <w:sz w:val="24"/>
        </w:rPr>
        <w:t xml:space="preserve"> </w:t>
      </w:r>
      <w:r>
        <w:rPr>
          <w:sz w:val="24"/>
        </w:rPr>
        <w:t>provides</w:t>
      </w:r>
      <w:r>
        <w:rPr>
          <w:spacing w:val="-2"/>
          <w:sz w:val="24"/>
        </w:rPr>
        <w:t xml:space="preserve"> </w:t>
      </w:r>
      <w:r>
        <w:rPr>
          <w:sz w:val="24"/>
        </w:rPr>
        <w:t>guidance</w:t>
      </w:r>
      <w:r>
        <w:rPr>
          <w:spacing w:val="-1"/>
          <w:sz w:val="24"/>
        </w:rPr>
        <w:t xml:space="preserve"> </w:t>
      </w:r>
      <w:r>
        <w:rPr>
          <w:sz w:val="24"/>
        </w:rPr>
        <w:t>to</w:t>
      </w:r>
      <w:r>
        <w:rPr>
          <w:spacing w:val="-4"/>
          <w:sz w:val="24"/>
        </w:rPr>
        <w:t xml:space="preserve"> </w:t>
      </w:r>
      <w:r>
        <w:rPr>
          <w:sz w:val="24"/>
        </w:rPr>
        <w:t>Australian</w:t>
      </w:r>
      <w:r>
        <w:rPr>
          <w:spacing w:val="1"/>
          <w:sz w:val="24"/>
        </w:rPr>
        <w:t xml:space="preserve"> </w:t>
      </w:r>
      <w:r>
        <w:rPr>
          <w:sz w:val="24"/>
        </w:rPr>
        <w:t>stakeholders</w:t>
      </w:r>
      <w:r>
        <w:rPr>
          <w:spacing w:val="-1"/>
          <w:sz w:val="24"/>
        </w:rPr>
        <w:t xml:space="preserve"> </w:t>
      </w:r>
      <w:r>
        <w:rPr>
          <w:sz w:val="24"/>
        </w:rPr>
        <w:t>on interpretation</w:t>
      </w:r>
      <w:r>
        <w:rPr>
          <w:spacing w:val="2"/>
          <w:sz w:val="24"/>
        </w:rPr>
        <w:t xml:space="preserve"> </w:t>
      </w:r>
      <w:r>
        <w:rPr>
          <w:sz w:val="24"/>
        </w:rPr>
        <w:t>issues</w:t>
      </w:r>
      <w:r>
        <w:rPr>
          <w:spacing w:val="-2"/>
          <w:sz w:val="24"/>
        </w:rPr>
        <w:t xml:space="preserve"> </w:t>
      </w:r>
      <w:r>
        <w:rPr>
          <w:spacing w:val="-5"/>
          <w:sz w:val="24"/>
        </w:rPr>
        <w:t>by:</w:t>
      </w:r>
    </w:p>
    <w:p w14:paraId="1E805895" w14:textId="77777777" w:rsidR="00AA4A02" w:rsidRDefault="00960F31">
      <w:pPr>
        <w:pStyle w:val="ListParagraph"/>
        <w:numPr>
          <w:ilvl w:val="2"/>
          <w:numId w:val="54"/>
        </w:numPr>
        <w:tabs>
          <w:tab w:val="left" w:pos="1558"/>
        </w:tabs>
        <w:spacing w:before="238" w:line="242" w:lineRule="auto"/>
        <w:ind w:right="683"/>
        <w:rPr>
          <w:sz w:val="24"/>
        </w:rPr>
      </w:pPr>
      <w:r>
        <w:rPr>
          <w:sz w:val="24"/>
        </w:rPr>
        <w:t>issuing</w:t>
      </w:r>
      <w:r>
        <w:rPr>
          <w:spacing w:val="-2"/>
          <w:sz w:val="24"/>
        </w:rPr>
        <w:t xml:space="preserve"> </w:t>
      </w:r>
      <w:r>
        <w:rPr>
          <w:sz w:val="24"/>
        </w:rPr>
        <w:t>in</w:t>
      </w:r>
      <w:r>
        <w:rPr>
          <w:spacing w:val="-3"/>
          <w:sz w:val="24"/>
        </w:rPr>
        <w:t xml:space="preserve"> </w:t>
      </w:r>
      <w:r>
        <w:rPr>
          <w:sz w:val="24"/>
        </w:rPr>
        <w:t>Australia</w:t>
      </w:r>
      <w:r>
        <w:rPr>
          <w:spacing w:val="-3"/>
          <w:sz w:val="24"/>
        </w:rPr>
        <w:t xml:space="preserve"> </w:t>
      </w:r>
      <w:r>
        <w:rPr>
          <w:sz w:val="24"/>
        </w:rPr>
        <w:t>Interpretations</w:t>
      </w:r>
      <w:r>
        <w:rPr>
          <w:spacing w:val="-3"/>
          <w:sz w:val="24"/>
        </w:rPr>
        <w:t xml:space="preserve"> </w:t>
      </w:r>
      <w:r>
        <w:rPr>
          <w:sz w:val="24"/>
        </w:rPr>
        <w:t>issued</w:t>
      </w:r>
      <w:r>
        <w:rPr>
          <w:spacing w:val="-3"/>
          <w:sz w:val="24"/>
        </w:rPr>
        <w:t xml:space="preserve"> </w:t>
      </w:r>
      <w:r>
        <w:rPr>
          <w:sz w:val="24"/>
        </w:rPr>
        <w:t>by</w:t>
      </w:r>
      <w:r>
        <w:rPr>
          <w:spacing w:val="-3"/>
          <w:sz w:val="24"/>
        </w:rPr>
        <w:t xml:space="preserve"> </w:t>
      </w:r>
      <w:r>
        <w:rPr>
          <w:sz w:val="24"/>
        </w:rPr>
        <w:t>the</w:t>
      </w:r>
      <w:r>
        <w:rPr>
          <w:spacing w:val="-7"/>
          <w:sz w:val="24"/>
        </w:rPr>
        <w:t xml:space="preserve"> </w:t>
      </w:r>
      <w:r>
        <w:rPr>
          <w:sz w:val="24"/>
        </w:rPr>
        <w:t>IASB,</w:t>
      </w:r>
      <w:r>
        <w:rPr>
          <w:spacing w:val="-1"/>
          <w:sz w:val="24"/>
        </w:rPr>
        <w:t xml:space="preserve"> </w:t>
      </w:r>
      <w:r>
        <w:rPr>
          <w:sz w:val="24"/>
        </w:rPr>
        <w:t>having</w:t>
      </w:r>
      <w:r>
        <w:rPr>
          <w:spacing w:val="-6"/>
          <w:sz w:val="24"/>
        </w:rPr>
        <w:t xml:space="preserve"> </w:t>
      </w:r>
      <w:r>
        <w:rPr>
          <w:sz w:val="24"/>
        </w:rPr>
        <w:t>regard</w:t>
      </w:r>
      <w:r>
        <w:rPr>
          <w:spacing w:val="-3"/>
          <w:sz w:val="24"/>
        </w:rPr>
        <w:t xml:space="preserve"> </w:t>
      </w:r>
      <w:r>
        <w:rPr>
          <w:sz w:val="24"/>
        </w:rPr>
        <w:t>to</w:t>
      </w:r>
      <w:r>
        <w:rPr>
          <w:spacing w:val="-6"/>
          <w:sz w:val="24"/>
        </w:rPr>
        <w:t xml:space="preserve"> </w:t>
      </w:r>
      <w:r>
        <w:rPr>
          <w:sz w:val="24"/>
        </w:rPr>
        <w:t>not-for-profit issues;</w:t>
      </w:r>
    </w:p>
    <w:p w14:paraId="1E805896" w14:textId="77777777" w:rsidR="00AA4A02" w:rsidRDefault="00960F31">
      <w:pPr>
        <w:pStyle w:val="ListParagraph"/>
        <w:numPr>
          <w:ilvl w:val="2"/>
          <w:numId w:val="54"/>
        </w:numPr>
        <w:tabs>
          <w:tab w:val="left" w:pos="1558"/>
        </w:tabs>
        <w:spacing w:before="235" w:line="242" w:lineRule="auto"/>
        <w:ind w:right="723"/>
        <w:rPr>
          <w:sz w:val="24"/>
        </w:rPr>
      </w:pPr>
      <w:r>
        <w:rPr>
          <w:sz w:val="24"/>
        </w:rPr>
        <w:t>informing</w:t>
      </w:r>
      <w:r>
        <w:rPr>
          <w:spacing w:val="-8"/>
          <w:sz w:val="24"/>
        </w:rPr>
        <w:t xml:space="preserve"> </w:t>
      </w:r>
      <w:r>
        <w:rPr>
          <w:sz w:val="24"/>
        </w:rPr>
        <w:t>the</w:t>
      </w:r>
      <w:r>
        <w:rPr>
          <w:spacing w:val="-5"/>
          <w:sz w:val="24"/>
        </w:rPr>
        <w:t xml:space="preserve"> </w:t>
      </w:r>
      <w:r>
        <w:rPr>
          <w:sz w:val="24"/>
        </w:rPr>
        <w:t>IFRS</w:t>
      </w:r>
      <w:r>
        <w:rPr>
          <w:spacing w:val="-4"/>
          <w:sz w:val="24"/>
        </w:rPr>
        <w:t xml:space="preserve"> </w:t>
      </w:r>
      <w:r>
        <w:rPr>
          <w:sz w:val="24"/>
        </w:rPr>
        <w:t>Interpretations</w:t>
      </w:r>
      <w:r>
        <w:rPr>
          <w:spacing w:val="-6"/>
          <w:sz w:val="24"/>
        </w:rPr>
        <w:t xml:space="preserve"> </w:t>
      </w:r>
      <w:r>
        <w:rPr>
          <w:sz w:val="24"/>
        </w:rPr>
        <w:t>Committee</w:t>
      </w:r>
      <w:r>
        <w:rPr>
          <w:spacing w:val="-6"/>
          <w:sz w:val="24"/>
        </w:rPr>
        <w:t xml:space="preserve"> </w:t>
      </w:r>
      <w:r>
        <w:rPr>
          <w:sz w:val="24"/>
        </w:rPr>
        <w:t>of</w:t>
      </w:r>
      <w:r>
        <w:rPr>
          <w:spacing w:val="-3"/>
          <w:sz w:val="24"/>
        </w:rPr>
        <w:t xml:space="preserve"> </w:t>
      </w:r>
      <w:r>
        <w:rPr>
          <w:sz w:val="24"/>
        </w:rPr>
        <w:t>issues</w:t>
      </w:r>
      <w:r>
        <w:rPr>
          <w:spacing w:val="-6"/>
          <w:sz w:val="24"/>
        </w:rPr>
        <w:t xml:space="preserve"> </w:t>
      </w:r>
      <w:r>
        <w:rPr>
          <w:sz w:val="24"/>
        </w:rPr>
        <w:t>raised</w:t>
      </w:r>
      <w:r>
        <w:rPr>
          <w:spacing w:val="-4"/>
          <w:sz w:val="24"/>
        </w:rPr>
        <w:t xml:space="preserve"> </w:t>
      </w:r>
      <w:r>
        <w:rPr>
          <w:sz w:val="24"/>
        </w:rPr>
        <w:t>by</w:t>
      </w:r>
      <w:r>
        <w:rPr>
          <w:spacing w:val="-4"/>
          <w:sz w:val="24"/>
        </w:rPr>
        <w:t xml:space="preserve"> </w:t>
      </w:r>
      <w:r>
        <w:rPr>
          <w:sz w:val="24"/>
        </w:rPr>
        <w:t>Australian stakeholders for it to consider for inclusion on its work program;</w:t>
      </w:r>
    </w:p>
    <w:p w14:paraId="1E805897" w14:textId="77777777" w:rsidR="00AA4A02" w:rsidRDefault="00960F31">
      <w:pPr>
        <w:pStyle w:val="ListParagraph"/>
        <w:numPr>
          <w:ilvl w:val="2"/>
          <w:numId w:val="54"/>
        </w:numPr>
        <w:tabs>
          <w:tab w:val="left" w:pos="1557"/>
        </w:tabs>
        <w:spacing w:before="239"/>
        <w:ind w:left="1557" w:hanging="705"/>
        <w:rPr>
          <w:sz w:val="24"/>
        </w:rPr>
      </w:pPr>
      <w:r>
        <w:rPr>
          <w:sz w:val="24"/>
        </w:rPr>
        <w:t>issuing domestic</w:t>
      </w:r>
      <w:r>
        <w:rPr>
          <w:spacing w:val="-1"/>
          <w:sz w:val="24"/>
        </w:rPr>
        <w:t xml:space="preserve"> </w:t>
      </w:r>
      <w:r>
        <w:rPr>
          <w:sz w:val="24"/>
        </w:rPr>
        <w:t>Interpretations</w:t>
      </w:r>
      <w:r>
        <w:rPr>
          <w:spacing w:val="-3"/>
          <w:sz w:val="24"/>
        </w:rPr>
        <w:t xml:space="preserve"> </w:t>
      </w:r>
      <w:r>
        <w:rPr>
          <w:sz w:val="24"/>
        </w:rPr>
        <w:t>relating</w:t>
      </w:r>
      <w:r>
        <w:rPr>
          <w:spacing w:val="-5"/>
          <w:sz w:val="24"/>
        </w:rPr>
        <w:t xml:space="preserve"> </w:t>
      </w:r>
      <w:r>
        <w:rPr>
          <w:sz w:val="24"/>
        </w:rPr>
        <w:t>to</w:t>
      </w:r>
      <w:r>
        <w:rPr>
          <w:spacing w:val="-1"/>
          <w:sz w:val="24"/>
        </w:rPr>
        <w:t xml:space="preserve"> </w:t>
      </w:r>
      <w:r>
        <w:rPr>
          <w:sz w:val="24"/>
        </w:rPr>
        <w:t>not-for-profit</w:t>
      </w:r>
      <w:r>
        <w:rPr>
          <w:spacing w:val="-1"/>
          <w:sz w:val="24"/>
        </w:rPr>
        <w:t xml:space="preserve"> </w:t>
      </w:r>
      <w:r>
        <w:rPr>
          <w:sz w:val="24"/>
        </w:rPr>
        <w:t xml:space="preserve">entities; </w:t>
      </w:r>
      <w:r>
        <w:rPr>
          <w:spacing w:val="-5"/>
          <w:sz w:val="24"/>
        </w:rPr>
        <w:t>and</w:t>
      </w:r>
    </w:p>
    <w:p w14:paraId="1E805898" w14:textId="77777777" w:rsidR="00AA4A02" w:rsidRDefault="00960F31">
      <w:pPr>
        <w:pStyle w:val="ListParagraph"/>
        <w:numPr>
          <w:ilvl w:val="2"/>
          <w:numId w:val="54"/>
        </w:numPr>
        <w:tabs>
          <w:tab w:val="left" w:pos="1558"/>
        </w:tabs>
        <w:spacing w:before="234" w:line="247" w:lineRule="auto"/>
        <w:ind w:right="1197"/>
        <w:rPr>
          <w:sz w:val="24"/>
        </w:rPr>
      </w:pPr>
      <w:r>
        <w:rPr>
          <w:sz w:val="24"/>
        </w:rPr>
        <w:t>in</w:t>
      </w:r>
      <w:r>
        <w:rPr>
          <w:spacing w:val="-5"/>
          <w:sz w:val="24"/>
        </w:rPr>
        <w:t xml:space="preserve"> </w:t>
      </w:r>
      <w:r>
        <w:rPr>
          <w:sz w:val="24"/>
        </w:rPr>
        <w:t>rare</w:t>
      </w:r>
      <w:r>
        <w:rPr>
          <w:spacing w:val="-6"/>
          <w:sz w:val="24"/>
        </w:rPr>
        <w:t xml:space="preserve"> </w:t>
      </w:r>
      <w:r>
        <w:rPr>
          <w:sz w:val="24"/>
        </w:rPr>
        <w:t>and</w:t>
      </w:r>
      <w:r>
        <w:rPr>
          <w:spacing w:val="-9"/>
          <w:sz w:val="24"/>
        </w:rPr>
        <w:t xml:space="preserve"> </w:t>
      </w:r>
      <w:r>
        <w:rPr>
          <w:sz w:val="24"/>
        </w:rPr>
        <w:t>exceptional</w:t>
      </w:r>
      <w:r>
        <w:rPr>
          <w:spacing w:val="-5"/>
          <w:sz w:val="24"/>
        </w:rPr>
        <w:t xml:space="preserve"> </w:t>
      </w:r>
      <w:r>
        <w:rPr>
          <w:sz w:val="24"/>
        </w:rPr>
        <w:t>circumstances, issuing</w:t>
      </w:r>
      <w:r>
        <w:rPr>
          <w:spacing w:val="-5"/>
          <w:sz w:val="24"/>
        </w:rPr>
        <w:t xml:space="preserve"> </w:t>
      </w:r>
      <w:r>
        <w:rPr>
          <w:sz w:val="24"/>
        </w:rPr>
        <w:t>a</w:t>
      </w:r>
      <w:r>
        <w:rPr>
          <w:spacing w:val="-6"/>
          <w:sz w:val="24"/>
        </w:rPr>
        <w:t xml:space="preserve"> </w:t>
      </w:r>
      <w:r>
        <w:rPr>
          <w:sz w:val="24"/>
        </w:rPr>
        <w:t>domestic</w:t>
      </w:r>
      <w:r>
        <w:rPr>
          <w:spacing w:val="-5"/>
          <w:sz w:val="24"/>
        </w:rPr>
        <w:t xml:space="preserve"> </w:t>
      </w:r>
      <w:r>
        <w:rPr>
          <w:sz w:val="24"/>
        </w:rPr>
        <w:t>Interpretation relating to an IFRS Standard adopted in Australia.</w:t>
      </w:r>
    </w:p>
    <w:p w14:paraId="1E805899" w14:textId="77777777" w:rsidR="00AA4A02" w:rsidRDefault="00AA4A02">
      <w:pPr>
        <w:pStyle w:val="ListParagraph"/>
        <w:spacing w:line="247" w:lineRule="auto"/>
        <w:rPr>
          <w:sz w:val="24"/>
        </w:rPr>
        <w:sectPr w:rsidR="00AA4A02">
          <w:pgSz w:w="11900" w:h="16840"/>
          <w:pgMar w:top="1600" w:right="992" w:bottom="920" w:left="1275" w:header="652" w:footer="724" w:gutter="0"/>
          <w:cols w:space="720"/>
        </w:sectPr>
      </w:pPr>
    </w:p>
    <w:p w14:paraId="1E80589A" w14:textId="77777777" w:rsidR="00AA4A02" w:rsidRDefault="00960F31">
      <w:pPr>
        <w:pStyle w:val="Heading9"/>
        <w:spacing w:before="84"/>
      </w:pPr>
      <w:r>
        <w:lastRenderedPageBreak/>
        <w:t>Domestic Interpretations of</w:t>
      </w:r>
      <w:r>
        <w:rPr>
          <w:spacing w:val="-2"/>
        </w:rPr>
        <w:t xml:space="preserve"> </w:t>
      </w:r>
      <w:r>
        <w:t>an</w:t>
      </w:r>
      <w:r>
        <w:rPr>
          <w:spacing w:val="-4"/>
        </w:rPr>
        <w:t xml:space="preserve"> </w:t>
      </w:r>
      <w:r>
        <w:t>IFRS</w:t>
      </w:r>
      <w:r>
        <w:rPr>
          <w:spacing w:val="2"/>
        </w:rPr>
        <w:t xml:space="preserve"> </w:t>
      </w:r>
      <w:r>
        <w:rPr>
          <w:spacing w:val="-2"/>
        </w:rPr>
        <w:t>Standard</w:t>
      </w:r>
    </w:p>
    <w:p w14:paraId="1E80589B" w14:textId="77777777" w:rsidR="00AA4A02" w:rsidRDefault="00960F31">
      <w:pPr>
        <w:pStyle w:val="ListParagraph"/>
        <w:numPr>
          <w:ilvl w:val="1"/>
          <w:numId w:val="54"/>
        </w:numPr>
        <w:tabs>
          <w:tab w:val="left" w:pos="443"/>
          <w:tab w:val="left" w:pos="852"/>
        </w:tabs>
        <w:spacing w:before="239" w:line="242" w:lineRule="auto"/>
        <w:ind w:right="817"/>
        <w:rPr>
          <w:sz w:val="24"/>
        </w:rPr>
      </w:pPr>
      <w:r>
        <w:rPr>
          <w:spacing w:val="-6"/>
          <w:sz w:val="24"/>
        </w:rPr>
        <w:t>.1</w:t>
      </w:r>
      <w:r>
        <w:rPr>
          <w:sz w:val="24"/>
        </w:rPr>
        <w:tab/>
        <w:t>Before</w:t>
      </w:r>
      <w:r>
        <w:rPr>
          <w:spacing w:val="-2"/>
          <w:sz w:val="24"/>
        </w:rPr>
        <w:t xml:space="preserve"> </w:t>
      </w:r>
      <w:r>
        <w:rPr>
          <w:sz w:val="24"/>
        </w:rPr>
        <w:t>issuing</w:t>
      </w:r>
      <w:r>
        <w:rPr>
          <w:spacing w:val="-2"/>
          <w:sz w:val="24"/>
        </w:rPr>
        <w:t xml:space="preserve"> </w:t>
      </w:r>
      <w:r>
        <w:rPr>
          <w:sz w:val="24"/>
        </w:rPr>
        <w:t>a</w:t>
      </w:r>
      <w:r>
        <w:rPr>
          <w:spacing w:val="-3"/>
          <w:sz w:val="24"/>
        </w:rPr>
        <w:t xml:space="preserve"> </w:t>
      </w:r>
      <w:r>
        <w:rPr>
          <w:sz w:val="24"/>
        </w:rPr>
        <w:t>domestic</w:t>
      </w:r>
      <w:r>
        <w:rPr>
          <w:spacing w:val="-2"/>
          <w:sz w:val="24"/>
        </w:rPr>
        <w:t xml:space="preserve"> </w:t>
      </w:r>
      <w:r>
        <w:rPr>
          <w:sz w:val="24"/>
        </w:rPr>
        <w:t>Interpretation of</w:t>
      </w:r>
      <w:r>
        <w:rPr>
          <w:spacing w:val="-4"/>
          <w:sz w:val="24"/>
        </w:rPr>
        <w:t xml:space="preserve"> </w:t>
      </w:r>
      <w:r>
        <w:rPr>
          <w:sz w:val="24"/>
        </w:rPr>
        <w:t>an</w:t>
      </w:r>
      <w:r>
        <w:rPr>
          <w:spacing w:val="-6"/>
          <w:sz w:val="24"/>
        </w:rPr>
        <w:t xml:space="preserve"> </w:t>
      </w:r>
      <w:r>
        <w:rPr>
          <w:sz w:val="24"/>
        </w:rPr>
        <w:t>IFRS Standard,</w:t>
      </w:r>
      <w:r>
        <w:rPr>
          <w:spacing w:val="-4"/>
          <w:sz w:val="24"/>
        </w:rPr>
        <w:t xml:space="preserve"> </w:t>
      </w:r>
      <w:r>
        <w:rPr>
          <w:sz w:val="24"/>
        </w:rPr>
        <w:t>the</w:t>
      </w:r>
      <w:r>
        <w:rPr>
          <w:spacing w:val="-2"/>
          <w:sz w:val="24"/>
        </w:rPr>
        <w:t xml:space="preserve"> </w:t>
      </w:r>
      <w:r>
        <w:rPr>
          <w:sz w:val="24"/>
        </w:rPr>
        <w:t>AASB</w:t>
      </w:r>
      <w:r>
        <w:rPr>
          <w:spacing w:val="-7"/>
          <w:sz w:val="24"/>
        </w:rPr>
        <w:t xml:space="preserve"> </w:t>
      </w:r>
      <w:r>
        <w:rPr>
          <w:sz w:val="24"/>
        </w:rPr>
        <w:t>refers</w:t>
      </w:r>
      <w:r>
        <w:rPr>
          <w:spacing w:val="-4"/>
          <w:sz w:val="24"/>
        </w:rPr>
        <w:t xml:space="preserve"> </w:t>
      </w:r>
      <w:r>
        <w:rPr>
          <w:sz w:val="24"/>
        </w:rPr>
        <w:t>the issue to the IFRS Interpretations Committee (IFRS IC).</w:t>
      </w:r>
    </w:p>
    <w:p w14:paraId="1E80589C" w14:textId="77777777" w:rsidR="00AA4A02" w:rsidRDefault="00960F31">
      <w:pPr>
        <w:pStyle w:val="ListParagraph"/>
        <w:numPr>
          <w:ilvl w:val="2"/>
          <w:numId w:val="36"/>
        </w:numPr>
        <w:tabs>
          <w:tab w:val="left" w:pos="852"/>
        </w:tabs>
        <w:spacing w:before="234" w:line="242" w:lineRule="auto"/>
        <w:ind w:right="884"/>
        <w:rPr>
          <w:sz w:val="24"/>
        </w:rPr>
      </w:pPr>
      <w:r>
        <w:rPr>
          <w:sz w:val="24"/>
        </w:rPr>
        <w:t>In</w:t>
      </w:r>
      <w:r>
        <w:rPr>
          <w:spacing w:val="-2"/>
          <w:sz w:val="24"/>
        </w:rPr>
        <w:t xml:space="preserve"> </w:t>
      </w:r>
      <w:r>
        <w:rPr>
          <w:sz w:val="24"/>
        </w:rPr>
        <w:t>the</w:t>
      </w:r>
      <w:r>
        <w:rPr>
          <w:spacing w:val="-3"/>
          <w:sz w:val="24"/>
        </w:rPr>
        <w:t xml:space="preserve"> </w:t>
      </w:r>
      <w:r>
        <w:rPr>
          <w:sz w:val="24"/>
        </w:rPr>
        <w:t>event</w:t>
      </w:r>
      <w:r>
        <w:rPr>
          <w:spacing w:val="-7"/>
          <w:sz w:val="24"/>
        </w:rPr>
        <w:t xml:space="preserve"> </w:t>
      </w:r>
      <w:r>
        <w:rPr>
          <w:sz w:val="24"/>
        </w:rPr>
        <w:t>that</w:t>
      </w:r>
      <w:r>
        <w:rPr>
          <w:spacing w:val="-2"/>
          <w:sz w:val="24"/>
        </w:rPr>
        <w:t xml:space="preserve"> </w:t>
      </w:r>
      <w:r>
        <w:rPr>
          <w:sz w:val="24"/>
        </w:rPr>
        <w:t>the</w:t>
      </w:r>
      <w:r>
        <w:rPr>
          <w:spacing w:val="-7"/>
          <w:sz w:val="24"/>
        </w:rPr>
        <w:t xml:space="preserve"> </w:t>
      </w:r>
      <w:r>
        <w:rPr>
          <w:sz w:val="24"/>
        </w:rPr>
        <w:t>IFRS</w:t>
      </w:r>
      <w:r>
        <w:rPr>
          <w:spacing w:val="-3"/>
          <w:sz w:val="24"/>
        </w:rPr>
        <w:t xml:space="preserve"> </w:t>
      </w:r>
      <w:r>
        <w:rPr>
          <w:sz w:val="24"/>
        </w:rPr>
        <w:t>IC</w:t>
      </w:r>
      <w:r>
        <w:rPr>
          <w:spacing w:val="-4"/>
          <w:sz w:val="24"/>
        </w:rPr>
        <w:t xml:space="preserve"> </w:t>
      </w:r>
      <w:r>
        <w:rPr>
          <w:sz w:val="24"/>
        </w:rPr>
        <w:t>declines</w:t>
      </w:r>
      <w:r>
        <w:rPr>
          <w:spacing w:val="-4"/>
          <w:sz w:val="24"/>
        </w:rPr>
        <w:t xml:space="preserve"> </w:t>
      </w:r>
      <w:r>
        <w:rPr>
          <w:sz w:val="24"/>
        </w:rPr>
        <w:t>to</w:t>
      </w:r>
      <w:r>
        <w:rPr>
          <w:spacing w:val="-2"/>
          <w:sz w:val="24"/>
        </w:rPr>
        <w:t xml:space="preserve"> </w:t>
      </w:r>
      <w:r>
        <w:rPr>
          <w:sz w:val="24"/>
        </w:rPr>
        <w:t>address</w:t>
      </w:r>
      <w:r>
        <w:rPr>
          <w:spacing w:val="-4"/>
          <w:sz w:val="24"/>
        </w:rPr>
        <w:t xml:space="preserve"> </w:t>
      </w:r>
      <w:r>
        <w:rPr>
          <w:sz w:val="24"/>
        </w:rPr>
        <w:t>the</w:t>
      </w:r>
      <w:r>
        <w:rPr>
          <w:spacing w:val="-3"/>
          <w:sz w:val="24"/>
        </w:rPr>
        <w:t xml:space="preserve"> </w:t>
      </w:r>
      <w:r>
        <w:rPr>
          <w:sz w:val="24"/>
        </w:rPr>
        <w:t>issue</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agenda</w:t>
      </w:r>
      <w:r>
        <w:rPr>
          <w:spacing w:val="-3"/>
          <w:sz w:val="24"/>
        </w:rPr>
        <w:t xml:space="preserve"> </w:t>
      </w:r>
      <w:r>
        <w:rPr>
          <w:sz w:val="24"/>
        </w:rPr>
        <w:t>decision does not provide adequate guidance, the AASB proceeds with a domestic Interpretation if and only if:</w:t>
      </w:r>
    </w:p>
    <w:p w14:paraId="1E80589D" w14:textId="77777777" w:rsidR="00AA4A02" w:rsidRDefault="00960F31">
      <w:pPr>
        <w:pStyle w:val="ListParagraph"/>
        <w:numPr>
          <w:ilvl w:val="3"/>
          <w:numId w:val="36"/>
        </w:numPr>
        <w:tabs>
          <w:tab w:val="left" w:pos="1557"/>
        </w:tabs>
        <w:spacing w:before="235"/>
        <w:ind w:left="1557" w:hanging="705"/>
        <w:rPr>
          <w:sz w:val="24"/>
        </w:rPr>
      </w:pPr>
      <w:r>
        <w:rPr>
          <w:sz w:val="24"/>
        </w:rPr>
        <w:t>the</w:t>
      </w:r>
      <w:r>
        <w:rPr>
          <w:spacing w:val="-5"/>
          <w:sz w:val="24"/>
        </w:rPr>
        <w:t xml:space="preserve"> </w:t>
      </w:r>
      <w:r>
        <w:rPr>
          <w:sz w:val="24"/>
        </w:rPr>
        <w:t>issue</w:t>
      </w:r>
      <w:r>
        <w:rPr>
          <w:spacing w:val="-2"/>
          <w:sz w:val="24"/>
        </w:rPr>
        <w:t xml:space="preserve"> </w:t>
      </w:r>
      <w:r>
        <w:rPr>
          <w:sz w:val="24"/>
        </w:rPr>
        <w:t>relates</w:t>
      </w:r>
      <w:r>
        <w:rPr>
          <w:spacing w:val="-3"/>
          <w:sz w:val="24"/>
        </w:rPr>
        <w:t xml:space="preserve"> </w:t>
      </w:r>
      <w:r>
        <w:rPr>
          <w:sz w:val="24"/>
        </w:rPr>
        <w:t>to</w:t>
      </w:r>
      <w:r>
        <w:rPr>
          <w:spacing w:val="-1"/>
          <w:sz w:val="24"/>
        </w:rPr>
        <w:t xml:space="preserve"> </w:t>
      </w:r>
      <w:r>
        <w:rPr>
          <w:sz w:val="24"/>
        </w:rPr>
        <w:t>Australian-specific</w:t>
      </w:r>
      <w:r>
        <w:rPr>
          <w:spacing w:val="-2"/>
          <w:sz w:val="24"/>
        </w:rPr>
        <w:t xml:space="preserve"> </w:t>
      </w:r>
      <w:r>
        <w:rPr>
          <w:sz w:val="24"/>
        </w:rPr>
        <w:t>legislation or</w:t>
      </w:r>
      <w:r>
        <w:rPr>
          <w:spacing w:val="1"/>
          <w:sz w:val="24"/>
        </w:rPr>
        <w:t xml:space="preserve"> </w:t>
      </w:r>
      <w:r>
        <w:rPr>
          <w:sz w:val="24"/>
        </w:rPr>
        <w:t>circumstances;</w:t>
      </w:r>
      <w:r>
        <w:rPr>
          <w:spacing w:val="-1"/>
          <w:sz w:val="24"/>
        </w:rPr>
        <w:t xml:space="preserve"> </w:t>
      </w:r>
      <w:r>
        <w:rPr>
          <w:spacing w:val="-5"/>
          <w:sz w:val="24"/>
        </w:rPr>
        <w:t>and</w:t>
      </w:r>
    </w:p>
    <w:p w14:paraId="1E80589E" w14:textId="77777777" w:rsidR="00AA4A02" w:rsidRDefault="00960F31">
      <w:pPr>
        <w:pStyle w:val="ListParagraph"/>
        <w:numPr>
          <w:ilvl w:val="3"/>
          <w:numId w:val="36"/>
        </w:numPr>
        <w:tabs>
          <w:tab w:val="left" w:pos="1557"/>
        </w:tabs>
        <w:spacing w:before="242"/>
        <w:ind w:left="1557" w:hanging="705"/>
        <w:rPr>
          <w:sz w:val="24"/>
        </w:rPr>
      </w:pPr>
      <w:r>
        <w:rPr>
          <w:sz w:val="24"/>
        </w:rPr>
        <w:t>the</w:t>
      </w:r>
      <w:r>
        <w:rPr>
          <w:spacing w:val="-1"/>
          <w:sz w:val="24"/>
        </w:rPr>
        <w:t xml:space="preserve"> </w:t>
      </w:r>
      <w:r>
        <w:rPr>
          <w:sz w:val="24"/>
        </w:rPr>
        <w:t>issue</w:t>
      </w:r>
      <w:r>
        <w:rPr>
          <w:spacing w:val="-1"/>
          <w:sz w:val="24"/>
        </w:rPr>
        <w:t xml:space="preserve"> </w:t>
      </w:r>
      <w:r>
        <w:rPr>
          <w:sz w:val="24"/>
        </w:rPr>
        <w:t>is</w:t>
      </w:r>
      <w:r>
        <w:rPr>
          <w:spacing w:val="-1"/>
          <w:sz w:val="24"/>
        </w:rPr>
        <w:t xml:space="preserve"> </w:t>
      </w:r>
      <w:r>
        <w:rPr>
          <w:sz w:val="24"/>
        </w:rPr>
        <w:t>widespread,</w:t>
      </w:r>
      <w:r>
        <w:rPr>
          <w:spacing w:val="3"/>
          <w:sz w:val="24"/>
        </w:rPr>
        <w:t xml:space="preserve"> </w:t>
      </w:r>
      <w:r>
        <w:rPr>
          <w:sz w:val="24"/>
        </w:rPr>
        <w:t>with diversity</w:t>
      </w:r>
      <w:r>
        <w:rPr>
          <w:spacing w:val="-4"/>
          <w:sz w:val="24"/>
        </w:rPr>
        <w:t xml:space="preserve"> </w:t>
      </w:r>
      <w:r>
        <w:rPr>
          <w:sz w:val="24"/>
        </w:rPr>
        <w:t>in</w:t>
      </w:r>
      <w:r>
        <w:rPr>
          <w:spacing w:val="1"/>
          <w:sz w:val="24"/>
        </w:rPr>
        <w:t xml:space="preserve"> </w:t>
      </w:r>
      <w:r>
        <w:rPr>
          <w:spacing w:val="-2"/>
          <w:sz w:val="24"/>
        </w:rPr>
        <w:t>practice.</w:t>
      </w:r>
    </w:p>
    <w:p w14:paraId="1E80589F" w14:textId="77777777" w:rsidR="00AA4A02" w:rsidRDefault="00960F31">
      <w:pPr>
        <w:pStyle w:val="Heading9"/>
        <w:spacing w:before="238"/>
      </w:pPr>
      <w:r>
        <w:t>Domestic Interpretations and</w:t>
      </w:r>
      <w:r>
        <w:rPr>
          <w:spacing w:val="-4"/>
        </w:rPr>
        <w:t xml:space="preserve"> </w:t>
      </w:r>
      <w:r>
        <w:t>agenda</w:t>
      </w:r>
      <w:r>
        <w:rPr>
          <w:spacing w:val="-4"/>
        </w:rPr>
        <w:t xml:space="preserve"> </w:t>
      </w:r>
      <w:r>
        <w:rPr>
          <w:spacing w:val="-2"/>
        </w:rPr>
        <w:t>decisions</w:t>
      </w:r>
    </w:p>
    <w:p w14:paraId="1E8058A0" w14:textId="77777777" w:rsidR="00AA4A02" w:rsidRDefault="00960F31">
      <w:pPr>
        <w:pStyle w:val="ListParagraph"/>
        <w:numPr>
          <w:ilvl w:val="2"/>
          <w:numId w:val="35"/>
        </w:numPr>
        <w:tabs>
          <w:tab w:val="left" w:pos="852"/>
        </w:tabs>
        <w:spacing w:before="238" w:line="242" w:lineRule="auto"/>
        <w:ind w:right="1254"/>
        <w:rPr>
          <w:sz w:val="24"/>
        </w:rPr>
      </w:pPr>
      <w:r>
        <w:rPr>
          <w:sz w:val="24"/>
        </w:rPr>
        <w:t>Stakeholders</w:t>
      </w:r>
      <w:r>
        <w:rPr>
          <w:spacing w:val="-5"/>
          <w:sz w:val="24"/>
        </w:rPr>
        <w:t xml:space="preserve"> </w:t>
      </w:r>
      <w:r>
        <w:rPr>
          <w:sz w:val="24"/>
        </w:rPr>
        <w:t>are</w:t>
      </w:r>
      <w:r>
        <w:rPr>
          <w:spacing w:val="-4"/>
          <w:sz w:val="24"/>
        </w:rPr>
        <w:t xml:space="preserve"> </w:t>
      </w:r>
      <w:r>
        <w:rPr>
          <w:sz w:val="24"/>
        </w:rPr>
        <w:t>encouraged</w:t>
      </w:r>
      <w:r>
        <w:rPr>
          <w:spacing w:val="-3"/>
          <w:sz w:val="24"/>
        </w:rPr>
        <w:t xml:space="preserve"> </w:t>
      </w:r>
      <w:r>
        <w:rPr>
          <w:sz w:val="24"/>
        </w:rPr>
        <w:t>to</w:t>
      </w:r>
      <w:r>
        <w:rPr>
          <w:spacing w:val="-3"/>
          <w:sz w:val="24"/>
        </w:rPr>
        <w:t xml:space="preserve"> </w:t>
      </w:r>
      <w:r>
        <w:rPr>
          <w:sz w:val="24"/>
        </w:rPr>
        <w:t>advise</w:t>
      </w:r>
      <w:r>
        <w:rPr>
          <w:spacing w:val="-4"/>
          <w:sz w:val="24"/>
        </w:rPr>
        <w:t xml:space="preserve"> </w:t>
      </w:r>
      <w:r>
        <w:rPr>
          <w:sz w:val="24"/>
        </w:rPr>
        <w:t>the</w:t>
      </w:r>
      <w:r>
        <w:rPr>
          <w:spacing w:val="-8"/>
          <w:sz w:val="24"/>
        </w:rPr>
        <w:t xml:space="preserve"> </w:t>
      </w:r>
      <w:r>
        <w:rPr>
          <w:sz w:val="24"/>
        </w:rPr>
        <w:t>AASB</w:t>
      </w:r>
      <w:r>
        <w:rPr>
          <w:spacing w:val="-5"/>
          <w:sz w:val="24"/>
        </w:rPr>
        <w:t xml:space="preserve"> </w:t>
      </w:r>
      <w:r>
        <w:rPr>
          <w:sz w:val="24"/>
        </w:rPr>
        <w:t>of</w:t>
      </w:r>
      <w:r>
        <w:rPr>
          <w:spacing w:val="-2"/>
          <w:sz w:val="24"/>
        </w:rPr>
        <w:t xml:space="preserve"> </w:t>
      </w:r>
      <w:r>
        <w:rPr>
          <w:sz w:val="24"/>
        </w:rPr>
        <w:t>application</w:t>
      </w:r>
      <w:r>
        <w:rPr>
          <w:spacing w:val="-3"/>
          <w:sz w:val="24"/>
        </w:rPr>
        <w:t xml:space="preserve"> </w:t>
      </w:r>
      <w:r>
        <w:rPr>
          <w:sz w:val="24"/>
        </w:rPr>
        <w:t>issues</w:t>
      </w:r>
      <w:r>
        <w:rPr>
          <w:spacing w:val="-5"/>
          <w:sz w:val="24"/>
        </w:rPr>
        <w:t xml:space="preserve"> </w:t>
      </w:r>
      <w:r>
        <w:rPr>
          <w:sz w:val="24"/>
        </w:rPr>
        <w:t>with</w:t>
      </w:r>
      <w:r>
        <w:rPr>
          <w:spacing w:val="-3"/>
          <w:sz w:val="24"/>
        </w:rPr>
        <w:t xml:space="preserve"> </w:t>
      </w:r>
      <w:r>
        <w:rPr>
          <w:sz w:val="24"/>
        </w:rPr>
        <w:t xml:space="preserve">its </w:t>
      </w:r>
      <w:r>
        <w:rPr>
          <w:spacing w:val="-2"/>
          <w:sz w:val="24"/>
        </w:rPr>
        <w:t>pronouncements.</w:t>
      </w:r>
    </w:p>
    <w:p w14:paraId="1E8058A1" w14:textId="77777777" w:rsidR="00AA4A02" w:rsidRDefault="00960F31">
      <w:pPr>
        <w:pStyle w:val="ListParagraph"/>
        <w:numPr>
          <w:ilvl w:val="2"/>
          <w:numId w:val="35"/>
        </w:numPr>
        <w:tabs>
          <w:tab w:val="left" w:pos="852"/>
        </w:tabs>
        <w:spacing w:before="239"/>
        <w:rPr>
          <w:sz w:val="24"/>
        </w:rPr>
      </w:pPr>
      <w:r>
        <w:rPr>
          <w:sz w:val="24"/>
        </w:rPr>
        <w:t>The</w:t>
      </w:r>
      <w:r>
        <w:rPr>
          <w:spacing w:val="-4"/>
          <w:sz w:val="24"/>
        </w:rPr>
        <w:t xml:space="preserve"> </w:t>
      </w:r>
      <w:r>
        <w:rPr>
          <w:sz w:val="24"/>
        </w:rPr>
        <w:t>Board adds</w:t>
      </w:r>
      <w:r>
        <w:rPr>
          <w:spacing w:val="-2"/>
          <w:sz w:val="24"/>
        </w:rPr>
        <w:t xml:space="preserve"> </w:t>
      </w:r>
      <w:r>
        <w:rPr>
          <w:sz w:val="24"/>
        </w:rPr>
        <w:t>an interpretation</w:t>
      </w:r>
      <w:r>
        <w:rPr>
          <w:spacing w:val="-5"/>
          <w:sz w:val="24"/>
        </w:rPr>
        <w:t xml:space="preserve"> </w:t>
      </w:r>
      <w:r>
        <w:rPr>
          <w:sz w:val="24"/>
        </w:rPr>
        <w:t>issue</w:t>
      </w:r>
      <w:r>
        <w:rPr>
          <w:spacing w:val="-1"/>
          <w:sz w:val="24"/>
        </w:rPr>
        <w:t xml:space="preserve"> </w:t>
      </w:r>
      <w:r>
        <w:rPr>
          <w:sz w:val="24"/>
        </w:rPr>
        <w:t>to its</w:t>
      </w:r>
      <w:r>
        <w:rPr>
          <w:spacing w:val="-2"/>
          <w:sz w:val="24"/>
        </w:rPr>
        <w:t xml:space="preserve"> </w:t>
      </w:r>
      <w:r>
        <w:rPr>
          <w:sz w:val="24"/>
        </w:rPr>
        <w:t>agenda</w:t>
      </w:r>
      <w:r>
        <w:rPr>
          <w:spacing w:val="-1"/>
          <w:sz w:val="24"/>
        </w:rPr>
        <w:t xml:space="preserve"> </w:t>
      </w:r>
      <w:r>
        <w:rPr>
          <w:spacing w:val="-2"/>
          <w:sz w:val="24"/>
        </w:rPr>
        <w:t>when:</w:t>
      </w:r>
    </w:p>
    <w:p w14:paraId="1E8058A2" w14:textId="77777777" w:rsidR="00AA4A02" w:rsidRDefault="00960F31">
      <w:pPr>
        <w:pStyle w:val="ListParagraph"/>
        <w:numPr>
          <w:ilvl w:val="3"/>
          <w:numId w:val="35"/>
        </w:numPr>
        <w:tabs>
          <w:tab w:val="left" w:pos="1557"/>
        </w:tabs>
        <w:spacing w:before="238"/>
        <w:ind w:left="1557" w:hanging="705"/>
        <w:rPr>
          <w:sz w:val="24"/>
        </w:rPr>
      </w:pPr>
      <w:r>
        <w:rPr>
          <w:sz w:val="24"/>
        </w:rPr>
        <w:t>the</w:t>
      </w:r>
      <w:r>
        <w:rPr>
          <w:spacing w:val="-3"/>
          <w:sz w:val="24"/>
        </w:rPr>
        <w:t xml:space="preserve"> </w:t>
      </w:r>
      <w:r>
        <w:rPr>
          <w:sz w:val="24"/>
        </w:rPr>
        <w:t>issue is</w:t>
      </w:r>
      <w:r>
        <w:rPr>
          <w:spacing w:val="-1"/>
          <w:sz w:val="24"/>
        </w:rPr>
        <w:t xml:space="preserve"> </w:t>
      </w:r>
      <w:r>
        <w:rPr>
          <w:sz w:val="24"/>
        </w:rPr>
        <w:t>widespread,</w:t>
      </w:r>
      <w:r>
        <w:rPr>
          <w:spacing w:val="4"/>
          <w:sz w:val="24"/>
        </w:rPr>
        <w:t xml:space="preserve"> </w:t>
      </w:r>
      <w:r>
        <w:rPr>
          <w:sz w:val="24"/>
        </w:rPr>
        <w:t>and there is</w:t>
      </w:r>
      <w:r>
        <w:rPr>
          <w:spacing w:val="-7"/>
          <w:sz w:val="24"/>
        </w:rPr>
        <w:t xml:space="preserve"> </w:t>
      </w:r>
      <w:r>
        <w:rPr>
          <w:sz w:val="24"/>
        </w:rPr>
        <w:t>diversity</w:t>
      </w:r>
      <w:r>
        <w:rPr>
          <w:spacing w:val="1"/>
          <w:sz w:val="24"/>
        </w:rPr>
        <w:t xml:space="preserve"> </w:t>
      </w:r>
      <w:r>
        <w:rPr>
          <w:sz w:val="24"/>
        </w:rPr>
        <w:t>in</w:t>
      </w:r>
      <w:r>
        <w:rPr>
          <w:spacing w:val="-4"/>
          <w:sz w:val="24"/>
        </w:rPr>
        <w:t xml:space="preserve"> </w:t>
      </w:r>
      <w:r>
        <w:rPr>
          <w:spacing w:val="-2"/>
          <w:sz w:val="24"/>
        </w:rPr>
        <w:t>practice;</w:t>
      </w:r>
    </w:p>
    <w:p w14:paraId="1E8058A3" w14:textId="77777777" w:rsidR="00AA4A02" w:rsidRDefault="00960F31">
      <w:pPr>
        <w:pStyle w:val="ListParagraph"/>
        <w:numPr>
          <w:ilvl w:val="3"/>
          <w:numId w:val="35"/>
        </w:numPr>
        <w:tabs>
          <w:tab w:val="left" w:pos="1558"/>
        </w:tabs>
        <w:spacing w:before="238" w:line="242" w:lineRule="auto"/>
        <w:ind w:right="723"/>
        <w:rPr>
          <w:sz w:val="24"/>
        </w:rPr>
      </w:pPr>
      <w:r>
        <w:rPr>
          <w:sz w:val="24"/>
        </w:rPr>
        <w:t>it</w:t>
      </w:r>
      <w:r>
        <w:rPr>
          <w:spacing w:val="-2"/>
          <w:sz w:val="24"/>
        </w:rPr>
        <w:t xml:space="preserve"> </w:t>
      </w:r>
      <w:r>
        <w:rPr>
          <w:sz w:val="24"/>
        </w:rPr>
        <w:t>is</w:t>
      </w:r>
      <w:r>
        <w:rPr>
          <w:spacing w:val="-3"/>
          <w:sz w:val="24"/>
        </w:rPr>
        <w:t xml:space="preserve"> </w:t>
      </w:r>
      <w:r>
        <w:rPr>
          <w:sz w:val="24"/>
        </w:rPr>
        <w:t>not</w:t>
      </w:r>
      <w:r>
        <w:rPr>
          <w:spacing w:val="-6"/>
          <w:sz w:val="24"/>
        </w:rPr>
        <w:t xml:space="preserve"> </w:t>
      </w:r>
      <w:r>
        <w:rPr>
          <w:sz w:val="24"/>
        </w:rPr>
        <w:t>necessary</w:t>
      </w:r>
      <w:r>
        <w:rPr>
          <w:spacing w:val="-2"/>
          <w:sz w:val="24"/>
        </w:rPr>
        <w:t xml:space="preserve"> </w:t>
      </w:r>
      <w:r>
        <w:rPr>
          <w:sz w:val="24"/>
        </w:rPr>
        <w:t>to</w:t>
      </w:r>
      <w:r>
        <w:rPr>
          <w:spacing w:val="-2"/>
          <w:sz w:val="24"/>
        </w:rPr>
        <w:t xml:space="preserve"> </w:t>
      </w:r>
      <w:r>
        <w:rPr>
          <w:sz w:val="24"/>
        </w:rPr>
        <w:t>change</w:t>
      </w:r>
      <w:r>
        <w:rPr>
          <w:spacing w:val="-3"/>
          <w:sz w:val="24"/>
        </w:rPr>
        <w:t xml:space="preserve"> </w:t>
      </w:r>
      <w:r>
        <w:rPr>
          <w:sz w:val="24"/>
        </w:rPr>
        <w:t>or</w:t>
      </w:r>
      <w:r>
        <w:rPr>
          <w:spacing w:val="-1"/>
          <w:sz w:val="24"/>
        </w:rPr>
        <w:t xml:space="preserve"> </w:t>
      </w:r>
      <w:r>
        <w:rPr>
          <w:sz w:val="24"/>
        </w:rPr>
        <w:t>amend</w:t>
      </w:r>
      <w:r>
        <w:rPr>
          <w:spacing w:val="-3"/>
          <w:sz w:val="24"/>
        </w:rPr>
        <w:t xml:space="preserve"> </w:t>
      </w:r>
      <w:r>
        <w:rPr>
          <w:sz w:val="24"/>
        </w:rPr>
        <w:t>an</w:t>
      </w:r>
      <w:r>
        <w:rPr>
          <w:spacing w:val="-7"/>
          <w:sz w:val="24"/>
        </w:rPr>
        <w:t xml:space="preserve"> </w:t>
      </w:r>
      <w:r>
        <w:rPr>
          <w:sz w:val="24"/>
        </w:rPr>
        <w:t>existing</w:t>
      </w:r>
      <w:r>
        <w:rPr>
          <w:spacing w:val="-4"/>
          <w:sz w:val="24"/>
        </w:rPr>
        <w:t xml:space="preserve"> </w:t>
      </w:r>
      <w:r>
        <w:rPr>
          <w:sz w:val="24"/>
        </w:rPr>
        <w:t>pronouncement</w:t>
      </w:r>
      <w:r>
        <w:rPr>
          <w:spacing w:val="-1"/>
          <w:sz w:val="24"/>
        </w:rPr>
        <w:t xml:space="preserve"> </w:t>
      </w:r>
      <w:r>
        <w:rPr>
          <w:sz w:val="24"/>
        </w:rPr>
        <w:t>to</w:t>
      </w:r>
      <w:r>
        <w:rPr>
          <w:spacing w:val="-2"/>
          <w:sz w:val="24"/>
        </w:rPr>
        <w:t xml:space="preserve"> </w:t>
      </w:r>
      <w:r>
        <w:rPr>
          <w:sz w:val="24"/>
        </w:rPr>
        <w:t>address the issue; and</w:t>
      </w:r>
    </w:p>
    <w:p w14:paraId="1E8058A4" w14:textId="77777777" w:rsidR="00AA4A02" w:rsidRDefault="00960F31">
      <w:pPr>
        <w:pStyle w:val="ListParagraph"/>
        <w:numPr>
          <w:ilvl w:val="3"/>
          <w:numId w:val="35"/>
        </w:numPr>
        <w:tabs>
          <w:tab w:val="left" w:pos="1558"/>
        </w:tabs>
        <w:spacing w:before="234" w:line="242" w:lineRule="auto"/>
        <w:ind w:right="1314"/>
        <w:rPr>
          <w:sz w:val="24"/>
        </w:rPr>
      </w:pPr>
      <w:r>
        <w:rPr>
          <w:sz w:val="24"/>
        </w:rPr>
        <w:t>the</w:t>
      </w:r>
      <w:r>
        <w:rPr>
          <w:spacing w:val="-3"/>
          <w:sz w:val="24"/>
        </w:rPr>
        <w:t xml:space="preserve"> </w:t>
      </w:r>
      <w:r>
        <w:rPr>
          <w:sz w:val="24"/>
        </w:rPr>
        <w:t>issue</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resolved</w:t>
      </w:r>
      <w:r>
        <w:rPr>
          <w:spacing w:val="-3"/>
          <w:sz w:val="24"/>
        </w:rPr>
        <w:t xml:space="preserve"> </w:t>
      </w:r>
      <w:r>
        <w:rPr>
          <w:sz w:val="24"/>
        </w:rPr>
        <w:t>efficiently</w:t>
      </w:r>
      <w:r>
        <w:rPr>
          <w:spacing w:val="-7"/>
          <w:sz w:val="24"/>
        </w:rPr>
        <w:t xml:space="preserve"> </w:t>
      </w:r>
      <w:r>
        <w:rPr>
          <w:sz w:val="24"/>
        </w:rPr>
        <w:t>within</w:t>
      </w:r>
      <w:r>
        <w:rPr>
          <w:spacing w:val="-3"/>
          <w:sz w:val="24"/>
        </w:rPr>
        <w:t xml:space="preserve"> </w:t>
      </w:r>
      <w:r>
        <w:rPr>
          <w:sz w:val="24"/>
        </w:rPr>
        <w:t>the</w:t>
      </w:r>
      <w:r>
        <w:rPr>
          <w:spacing w:val="-8"/>
          <w:sz w:val="24"/>
        </w:rPr>
        <w:t xml:space="preserve"> </w:t>
      </w:r>
      <w:r>
        <w:rPr>
          <w:sz w:val="24"/>
        </w:rPr>
        <w:t>confines</w:t>
      </w:r>
      <w:r>
        <w:rPr>
          <w:spacing w:val="-5"/>
          <w:sz w:val="24"/>
        </w:rPr>
        <w:t xml:space="preserve"> </w:t>
      </w:r>
      <w:r>
        <w:rPr>
          <w:sz w:val="24"/>
        </w:rPr>
        <w:t>of</w:t>
      </w:r>
      <w:r>
        <w:rPr>
          <w:spacing w:val="-2"/>
          <w:sz w:val="24"/>
        </w:rPr>
        <w:t xml:space="preserve"> </w:t>
      </w:r>
      <w:r>
        <w:rPr>
          <w:sz w:val="24"/>
        </w:rPr>
        <w:t>the</w:t>
      </w:r>
      <w:r>
        <w:rPr>
          <w:spacing w:val="-8"/>
          <w:sz w:val="24"/>
        </w:rPr>
        <w:t xml:space="preserve"> </w:t>
      </w:r>
      <w:r>
        <w:rPr>
          <w:sz w:val="24"/>
        </w:rPr>
        <w:t>existing pronouncements (including the Conceptual Framework).</w:t>
      </w:r>
    </w:p>
    <w:p w14:paraId="1E8058A5" w14:textId="77777777" w:rsidR="00AA4A02" w:rsidRDefault="00960F31">
      <w:pPr>
        <w:pStyle w:val="ListParagraph"/>
        <w:numPr>
          <w:ilvl w:val="2"/>
          <w:numId w:val="35"/>
        </w:numPr>
        <w:tabs>
          <w:tab w:val="left" w:pos="852"/>
        </w:tabs>
        <w:spacing w:before="235" w:line="242" w:lineRule="auto"/>
        <w:ind w:right="897"/>
        <w:rPr>
          <w:sz w:val="24"/>
        </w:rPr>
      </w:pPr>
      <w:r>
        <w:rPr>
          <w:sz w:val="24"/>
        </w:rPr>
        <w:t>The</w:t>
      </w:r>
      <w:r>
        <w:rPr>
          <w:spacing w:val="-2"/>
          <w:sz w:val="24"/>
        </w:rPr>
        <w:t xml:space="preserve"> </w:t>
      </w:r>
      <w:r>
        <w:rPr>
          <w:sz w:val="24"/>
        </w:rPr>
        <w:t>due</w:t>
      </w:r>
      <w:r>
        <w:rPr>
          <w:spacing w:val="-2"/>
          <w:sz w:val="24"/>
        </w:rPr>
        <w:t xml:space="preserve"> </w:t>
      </w:r>
      <w:r>
        <w:rPr>
          <w:sz w:val="24"/>
        </w:rPr>
        <w:t>process</w:t>
      </w:r>
      <w:r>
        <w:rPr>
          <w:spacing w:val="-3"/>
          <w:sz w:val="24"/>
        </w:rPr>
        <w:t xml:space="preserve"> </w:t>
      </w:r>
      <w:r>
        <w:rPr>
          <w:sz w:val="24"/>
        </w:rPr>
        <w:t>for</w:t>
      </w:r>
      <w:r>
        <w:rPr>
          <w:spacing w:val="-4"/>
          <w:sz w:val="24"/>
        </w:rPr>
        <w:t xml:space="preserve"> </w:t>
      </w:r>
      <w:r>
        <w:rPr>
          <w:sz w:val="24"/>
        </w:rPr>
        <w:t>an</w:t>
      </w:r>
      <w:r>
        <w:rPr>
          <w:spacing w:val="-3"/>
          <w:sz w:val="24"/>
        </w:rPr>
        <w:t xml:space="preserve"> </w:t>
      </w:r>
      <w:r>
        <w:rPr>
          <w:sz w:val="24"/>
        </w:rPr>
        <w:t>Interpretation</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2"/>
          <w:sz w:val="24"/>
        </w:rPr>
        <w:t xml:space="preserve"> </w:t>
      </w:r>
      <w:r>
        <w:rPr>
          <w:sz w:val="24"/>
        </w:rPr>
        <w:t>as</w:t>
      </w:r>
      <w:r>
        <w:rPr>
          <w:spacing w:val="-2"/>
          <w:sz w:val="24"/>
        </w:rPr>
        <w:t xml:space="preserve"> </w:t>
      </w:r>
      <w:r>
        <w:rPr>
          <w:sz w:val="24"/>
        </w:rPr>
        <w:t>for a</w:t>
      </w:r>
      <w:r>
        <w:rPr>
          <w:spacing w:val="-7"/>
          <w:sz w:val="24"/>
        </w:rPr>
        <w:t xml:space="preserve"> </w:t>
      </w:r>
      <w:r>
        <w:rPr>
          <w:sz w:val="24"/>
        </w:rPr>
        <w:t>Standard,</w:t>
      </w:r>
      <w:r>
        <w:rPr>
          <w:spacing w:val="-4"/>
          <w:sz w:val="24"/>
        </w:rPr>
        <w:t xml:space="preserve"> </w:t>
      </w:r>
      <w:r>
        <w:rPr>
          <w:sz w:val="24"/>
        </w:rPr>
        <w:t>except that</w:t>
      </w:r>
      <w:r>
        <w:rPr>
          <w:spacing w:val="-6"/>
          <w:sz w:val="24"/>
        </w:rPr>
        <w:t xml:space="preserve"> </w:t>
      </w:r>
      <w:r>
        <w:rPr>
          <w:sz w:val="24"/>
        </w:rPr>
        <w:t xml:space="preserve">the consultation document is a Draft Interpretation and the timeframes are typically </w:t>
      </w:r>
      <w:r>
        <w:rPr>
          <w:spacing w:val="-2"/>
          <w:sz w:val="24"/>
        </w:rPr>
        <w:t>shorter.</w:t>
      </w:r>
    </w:p>
    <w:p w14:paraId="1E8058A6" w14:textId="77777777" w:rsidR="00AA4A02" w:rsidRDefault="00960F31">
      <w:pPr>
        <w:pStyle w:val="ListParagraph"/>
        <w:numPr>
          <w:ilvl w:val="2"/>
          <w:numId w:val="35"/>
        </w:numPr>
        <w:tabs>
          <w:tab w:val="left" w:pos="852"/>
        </w:tabs>
        <w:spacing w:before="230"/>
        <w:ind w:right="600"/>
        <w:rPr>
          <w:sz w:val="24"/>
        </w:rPr>
      </w:pPr>
      <w:r>
        <w:rPr>
          <w:sz w:val="24"/>
        </w:rPr>
        <w:t>Where the issue is complex, the AASB may form an Advisory Panel. An Advisory Panel</w:t>
      </w:r>
      <w:r>
        <w:rPr>
          <w:spacing w:val="-1"/>
          <w:sz w:val="24"/>
        </w:rPr>
        <w:t xml:space="preserve"> </w:t>
      </w:r>
      <w:r>
        <w:rPr>
          <w:sz w:val="24"/>
        </w:rPr>
        <w:t>would typically</w:t>
      </w:r>
      <w:r>
        <w:rPr>
          <w:spacing w:val="-5"/>
          <w:sz w:val="24"/>
        </w:rPr>
        <w:t xml:space="preserve"> </w:t>
      </w:r>
      <w:r>
        <w:rPr>
          <w:sz w:val="24"/>
        </w:rPr>
        <w:t>comprise</w:t>
      </w:r>
      <w:r>
        <w:rPr>
          <w:spacing w:val="-2"/>
          <w:sz w:val="24"/>
        </w:rPr>
        <w:t xml:space="preserve"> </w:t>
      </w:r>
      <w:r>
        <w:rPr>
          <w:sz w:val="24"/>
        </w:rPr>
        <w:t>the</w:t>
      </w:r>
      <w:r>
        <w:rPr>
          <w:spacing w:val="-2"/>
          <w:sz w:val="24"/>
        </w:rPr>
        <w:t xml:space="preserve"> </w:t>
      </w:r>
      <w:r>
        <w:rPr>
          <w:sz w:val="24"/>
        </w:rPr>
        <w:t>Chair, one</w:t>
      </w:r>
      <w:r>
        <w:rPr>
          <w:spacing w:val="-2"/>
          <w:sz w:val="24"/>
        </w:rPr>
        <w:t xml:space="preserve"> </w:t>
      </w:r>
      <w:r>
        <w:rPr>
          <w:sz w:val="24"/>
        </w:rPr>
        <w:t>other Board</w:t>
      </w:r>
      <w:r>
        <w:rPr>
          <w:spacing w:val="-1"/>
          <w:sz w:val="24"/>
        </w:rPr>
        <w:t xml:space="preserve"> </w:t>
      </w:r>
      <w:r>
        <w:rPr>
          <w:sz w:val="24"/>
        </w:rPr>
        <w:t>member</w:t>
      </w:r>
      <w:r>
        <w:rPr>
          <w:spacing w:val="-4"/>
          <w:sz w:val="24"/>
        </w:rPr>
        <w:t xml:space="preserve"> </w:t>
      </w:r>
      <w:r>
        <w:rPr>
          <w:sz w:val="24"/>
        </w:rPr>
        <w:t>and</w:t>
      </w:r>
      <w:r>
        <w:rPr>
          <w:spacing w:val="-1"/>
          <w:sz w:val="24"/>
        </w:rPr>
        <w:t xml:space="preserve"> </w:t>
      </w:r>
      <w:r>
        <w:rPr>
          <w:sz w:val="24"/>
        </w:rPr>
        <w:t>other people with</w:t>
      </w:r>
      <w:r>
        <w:rPr>
          <w:spacing w:val="-2"/>
          <w:sz w:val="24"/>
        </w:rPr>
        <w:t xml:space="preserve"> </w:t>
      </w:r>
      <w:r>
        <w:rPr>
          <w:sz w:val="24"/>
        </w:rPr>
        <w:t>a</w:t>
      </w:r>
      <w:r>
        <w:rPr>
          <w:spacing w:val="-3"/>
          <w:sz w:val="24"/>
        </w:rPr>
        <w:t xml:space="preserve"> </w:t>
      </w:r>
      <w:r>
        <w:rPr>
          <w:sz w:val="24"/>
        </w:rPr>
        <w:t>range</w:t>
      </w:r>
      <w:r>
        <w:rPr>
          <w:spacing w:val="-3"/>
          <w:sz w:val="24"/>
        </w:rPr>
        <w:t xml:space="preserve"> </w:t>
      </w:r>
      <w:r>
        <w:rPr>
          <w:sz w:val="24"/>
        </w:rPr>
        <w:t>of</w:t>
      </w:r>
      <w:r>
        <w:rPr>
          <w:spacing w:val="-5"/>
          <w:sz w:val="24"/>
        </w:rPr>
        <w:t xml:space="preserve"> </w:t>
      </w:r>
      <w:r>
        <w:rPr>
          <w:sz w:val="24"/>
        </w:rPr>
        <w:t>relevant</w:t>
      </w:r>
      <w:r>
        <w:rPr>
          <w:spacing w:val="-2"/>
          <w:sz w:val="24"/>
        </w:rPr>
        <w:t xml:space="preserve"> </w:t>
      </w:r>
      <w:r>
        <w:rPr>
          <w:sz w:val="24"/>
        </w:rPr>
        <w:t>skills</w:t>
      </w:r>
      <w:r>
        <w:rPr>
          <w:spacing w:val="-4"/>
          <w:sz w:val="24"/>
        </w:rPr>
        <w:t xml:space="preserve"> </w:t>
      </w:r>
      <w:r>
        <w:rPr>
          <w:sz w:val="24"/>
        </w:rPr>
        <w:t>and</w:t>
      </w:r>
      <w:r>
        <w:rPr>
          <w:spacing w:val="-2"/>
          <w:sz w:val="24"/>
        </w:rPr>
        <w:t xml:space="preserve"> </w:t>
      </w:r>
      <w:r>
        <w:rPr>
          <w:sz w:val="24"/>
        </w:rPr>
        <w:t>experience</w:t>
      </w:r>
      <w:r>
        <w:rPr>
          <w:spacing w:val="-3"/>
          <w:sz w:val="24"/>
        </w:rPr>
        <w:t xml:space="preserve"> </w:t>
      </w:r>
      <w:r>
        <w:rPr>
          <w:sz w:val="24"/>
        </w:rPr>
        <w:t>to</w:t>
      </w:r>
      <w:r>
        <w:rPr>
          <w:spacing w:val="-6"/>
          <w:sz w:val="24"/>
        </w:rPr>
        <w:t xml:space="preserve"> </w:t>
      </w:r>
      <w:r>
        <w:rPr>
          <w:sz w:val="24"/>
        </w:rPr>
        <w:t>provide</w:t>
      </w:r>
      <w:r>
        <w:rPr>
          <w:spacing w:val="-3"/>
          <w:sz w:val="24"/>
        </w:rPr>
        <w:t xml:space="preserve"> </w:t>
      </w:r>
      <w:r>
        <w:rPr>
          <w:sz w:val="24"/>
        </w:rPr>
        <w:t>different</w:t>
      </w:r>
      <w:r>
        <w:rPr>
          <w:spacing w:val="-6"/>
          <w:sz w:val="24"/>
        </w:rPr>
        <w:t xml:space="preserve"> </w:t>
      </w:r>
      <w:r>
        <w:rPr>
          <w:sz w:val="24"/>
        </w:rPr>
        <w:t>perspectives</w:t>
      </w:r>
      <w:r>
        <w:rPr>
          <w:spacing w:val="-4"/>
          <w:sz w:val="24"/>
        </w:rPr>
        <w:t xml:space="preserve"> </w:t>
      </w:r>
      <w:r>
        <w:rPr>
          <w:sz w:val="24"/>
        </w:rPr>
        <w:t>on</w:t>
      </w:r>
      <w:r>
        <w:rPr>
          <w:spacing w:val="-2"/>
          <w:sz w:val="24"/>
        </w:rPr>
        <w:t xml:space="preserve"> </w:t>
      </w:r>
      <w:r>
        <w:rPr>
          <w:sz w:val="24"/>
        </w:rPr>
        <w:t>the topic. Existing Advisory Panels may be used where relevant, or a specific Advisory Panel established. Feedback from an Advisory Panel is provided to the AASB.</w:t>
      </w:r>
    </w:p>
    <w:p w14:paraId="1E8058A7" w14:textId="77777777" w:rsidR="00AA4A02" w:rsidRDefault="00960F31">
      <w:pPr>
        <w:pStyle w:val="Heading9"/>
        <w:spacing w:before="248"/>
      </w:pPr>
      <w:r>
        <w:t xml:space="preserve">Agenda </w:t>
      </w:r>
      <w:r>
        <w:rPr>
          <w:spacing w:val="-2"/>
        </w:rPr>
        <w:t>decisions</w:t>
      </w:r>
    </w:p>
    <w:p w14:paraId="1E8058A8" w14:textId="77777777" w:rsidR="00AA4A02" w:rsidRDefault="00960F31">
      <w:pPr>
        <w:tabs>
          <w:tab w:val="left" w:pos="852"/>
        </w:tabs>
        <w:spacing w:before="233" w:line="242" w:lineRule="auto"/>
        <w:ind w:left="852" w:right="470" w:hanging="711"/>
        <w:rPr>
          <w:sz w:val="24"/>
        </w:rPr>
      </w:pPr>
      <w:r>
        <w:rPr>
          <w:spacing w:val="-4"/>
          <w:sz w:val="24"/>
        </w:rPr>
        <w:t>8.5</w:t>
      </w:r>
      <w:r>
        <w:rPr>
          <w:sz w:val="24"/>
        </w:rPr>
        <w:tab/>
        <w:t>Agenda decisions of the IFRS Interpretations Committee are linked from the AASB Board</w:t>
      </w:r>
      <w:r>
        <w:rPr>
          <w:spacing w:val="-2"/>
          <w:sz w:val="24"/>
        </w:rPr>
        <w:t xml:space="preserve"> </w:t>
      </w:r>
      <w:r>
        <w:rPr>
          <w:sz w:val="24"/>
        </w:rPr>
        <w:t>Agenda</w:t>
      </w:r>
      <w:r>
        <w:rPr>
          <w:spacing w:val="-2"/>
          <w:sz w:val="24"/>
        </w:rPr>
        <w:t xml:space="preserve"> </w:t>
      </w:r>
      <w:r>
        <w:rPr>
          <w:sz w:val="24"/>
        </w:rPr>
        <w:t>Decisions</w:t>
      </w:r>
      <w:r>
        <w:rPr>
          <w:spacing w:val="-2"/>
          <w:sz w:val="24"/>
        </w:rPr>
        <w:t xml:space="preserve"> </w:t>
      </w:r>
      <w:r>
        <w:rPr>
          <w:sz w:val="24"/>
        </w:rPr>
        <w:t>page</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website.</w:t>
      </w:r>
      <w:r>
        <w:rPr>
          <w:sz w:val="24"/>
          <w:vertAlign w:val="superscript"/>
        </w:rPr>
        <w:t>15</w:t>
      </w:r>
      <w:r>
        <w:rPr>
          <w:sz w:val="24"/>
        </w:rPr>
        <w:t xml:space="preserve"> The</w:t>
      </w:r>
      <w:r>
        <w:rPr>
          <w:spacing w:val="-7"/>
          <w:sz w:val="24"/>
        </w:rPr>
        <w:t xml:space="preserve"> </w:t>
      </w:r>
      <w:r>
        <w:rPr>
          <w:sz w:val="24"/>
        </w:rPr>
        <w:t>link</w:t>
      </w:r>
      <w:r>
        <w:rPr>
          <w:spacing w:val="-1"/>
          <w:sz w:val="24"/>
        </w:rPr>
        <w:t xml:space="preserve"> </w:t>
      </w:r>
      <w:r>
        <w:rPr>
          <w:sz w:val="24"/>
        </w:rPr>
        <w:t>is</w:t>
      </w:r>
      <w:r>
        <w:rPr>
          <w:spacing w:val="-3"/>
          <w:sz w:val="24"/>
        </w:rPr>
        <w:t xml:space="preserve"> </w:t>
      </w:r>
      <w:r>
        <w:rPr>
          <w:sz w:val="24"/>
        </w:rPr>
        <w:t>in</w:t>
      </w:r>
      <w:r>
        <w:rPr>
          <w:spacing w:val="-6"/>
          <w:sz w:val="24"/>
        </w:rPr>
        <w:t xml:space="preserve"> </w:t>
      </w:r>
      <w:r>
        <w:rPr>
          <w:sz w:val="24"/>
        </w:rPr>
        <w:t>the</w:t>
      </w:r>
      <w:r>
        <w:rPr>
          <w:spacing w:val="-2"/>
          <w:sz w:val="24"/>
        </w:rPr>
        <w:t xml:space="preserve"> </w:t>
      </w:r>
      <w:r>
        <w:rPr>
          <w:sz w:val="24"/>
        </w:rPr>
        <w:t>explanatory</w:t>
      </w:r>
      <w:r>
        <w:rPr>
          <w:spacing w:val="-5"/>
          <w:sz w:val="24"/>
        </w:rPr>
        <w:t xml:space="preserve"> </w:t>
      </w:r>
      <w:r>
        <w:rPr>
          <w:sz w:val="24"/>
        </w:rPr>
        <w:t>material before the list of the AASB’s own Agenda Decisions.</w:t>
      </w:r>
    </w:p>
    <w:p w14:paraId="1E8058A9" w14:textId="77777777" w:rsidR="00AA4A02" w:rsidRDefault="00AA4A02">
      <w:pPr>
        <w:pStyle w:val="BodyText"/>
        <w:spacing w:before="200"/>
        <w:rPr>
          <w:sz w:val="24"/>
        </w:rPr>
      </w:pPr>
    </w:p>
    <w:p w14:paraId="1E8058AA" w14:textId="77777777" w:rsidR="00AA4A02" w:rsidRDefault="00960F31">
      <w:pPr>
        <w:pStyle w:val="Heading6"/>
        <w:numPr>
          <w:ilvl w:val="0"/>
          <w:numId w:val="54"/>
        </w:numPr>
        <w:tabs>
          <w:tab w:val="left" w:pos="852"/>
        </w:tabs>
      </w:pPr>
      <w:bookmarkStart w:id="29" w:name="_TOC_250022"/>
      <w:r>
        <w:t>Supporting</w:t>
      </w:r>
      <w:r>
        <w:rPr>
          <w:spacing w:val="-12"/>
        </w:rPr>
        <w:t xml:space="preserve"> </w:t>
      </w:r>
      <w:r>
        <w:t>Consistent</w:t>
      </w:r>
      <w:r>
        <w:rPr>
          <w:spacing w:val="-13"/>
        </w:rPr>
        <w:t xml:space="preserve"> </w:t>
      </w:r>
      <w:bookmarkEnd w:id="29"/>
      <w:r>
        <w:rPr>
          <w:spacing w:val="-2"/>
        </w:rPr>
        <w:t>Application</w:t>
      </w:r>
    </w:p>
    <w:p w14:paraId="1E8058AB" w14:textId="77777777" w:rsidR="00AA4A02" w:rsidRDefault="00960F31">
      <w:pPr>
        <w:pStyle w:val="ListParagraph"/>
        <w:numPr>
          <w:ilvl w:val="1"/>
          <w:numId w:val="54"/>
        </w:numPr>
        <w:tabs>
          <w:tab w:val="left" w:pos="852"/>
        </w:tabs>
        <w:spacing w:before="272" w:line="242" w:lineRule="auto"/>
        <w:ind w:right="1552"/>
        <w:rPr>
          <w:sz w:val="24"/>
        </w:rPr>
      </w:pPr>
      <w:r>
        <w:rPr>
          <w:sz w:val="24"/>
        </w:rPr>
        <w:t>The</w:t>
      </w:r>
      <w:r>
        <w:rPr>
          <w:spacing w:val="-3"/>
          <w:sz w:val="24"/>
        </w:rPr>
        <w:t xml:space="preserve"> </w:t>
      </w:r>
      <w:r>
        <w:rPr>
          <w:sz w:val="24"/>
        </w:rPr>
        <w:t>AASB</w:t>
      </w:r>
      <w:r>
        <w:rPr>
          <w:spacing w:val="-3"/>
          <w:sz w:val="24"/>
        </w:rPr>
        <w:t xml:space="preserve"> </w:t>
      </w:r>
      <w:r>
        <w:rPr>
          <w:sz w:val="24"/>
        </w:rPr>
        <w:t>may</w:t>
      </w:r>
      <w:r>
        <w:rPr>
          <w:spacing w:val="-2"/>
          <w:sz w:val="24"/>
        </w:rPr>
        <w:t xml:space="preserve"> </w:t>
      </w:r>
      <w:r>
        <w:rPr>
          <w:sz w:val="24"/>
        </w:rPr>
        <w:t>issue</w:t>
      </w:r>
      <w:r>
        <w:rPr>
          <w:spacing w:val="-2"/>
          <w:sz w:val="24"/>
        </w:rPr>
        <w:t xml:space="preserve"> </w:t>
      </w:r>
      <w:r>
        <w:rPr>
          <w:sz w:val="24"/>
        </w:rPr>
        <w:t>material</w:t>
      </w:r>
      <w:r>
        <w:rPr>
          <w:spacing w:val="-5"/>
          <w:sz w:val="24"/>
        </w:rPr>
        <w:t xml:space="preserve"> </w:t>
      </w:r>
      <w:r>
        <w:rPr>
          <w:sz w:val="24"/>
        </w:rPr>
        <w:t>that</w:t>
      </w:r>
      <w:r>
        <w:rPr>
          <w:spacing w:val="-2"/>
          <w:sz w:val="24"/>
        </w:rPr>
        <w:t xml:space="preserve"> </w:t>
      </w:r>
      <w:r>
        <w:rPr>
          <w:sz w:val="24"/>
        </w:rPr>
        <w:t>does</w:t>
      </w:r>
      <w:r>
        <w:rPr>
          <w:spacing w:val="-4"/>
          <w:sz w:val="24"/>
        </w:rPr>
        <w:t xml:space="preserve"> </w:t>
      </w:r>
      <w:r>
        <w:rPr>
          <w:sz w:val="24"/>
        </w:rPr>
        <w:t>not</w:t>
      </w:r>
      <w:r>
        <w:rPr>
          <w:spacing w:val="-5"/>
          <w:sz w:val="24"/>
        </w:rPr>
        <w:t xml:space="preserve"> </w:t>
      </w:r>
      <w:r>
        <w:rPr>
          <w:sz w:val="24"/>
        </w:rPr>
        <w:t>have</w:t>
      </w:r>
      <w:r>
        <w:rPr>
          <w:spacing w:val="-3"/>
          <w:sz w:val="24"/>
        </w:rPr>
        <w:t xml:space="preserve"> </w:t>
      </w:r>
      <w:r>
        <w:rPr>
          <w:sz w:val="24"/>
        </w:rPr>
        <w:t>the</w:t>
      </w:r>
      <w:r>
        <w:rPr>
          <w:spacing w:val="-3"/>
          <w:sz w:val="24"/>
        </w:rPr>
        <w:t xml:space="preserve"> </w:t>
      </w:r>
      <w:r>
        <w:rPr>
          <w:sz w:val="24"/>
        </w:rPr>
        <w:t>status</w:t>
      </w:r>
      <w:r>
        <w:rPr>
          <w:spacing w:val="-4"/>
          <w:sz w:val="24"/>
        </w:rPr>
        <w:t xml:space="preserve"> </w:t>
      </w:r>
      <w:r>
        <w:rPr>
          <w:sz w:val="24"/>
        </w:rPr>
        <w:t>of Standards</w:t>
      </w:r>
      <w:r>
        <w:rPr>
          <w:spacing w:val="-3"/>
          <w:sz w:val="24"/>
        </w:rPr>
        <w:t xml:space="preserve"> </w:t>
      </w:r>
      <w:r>
        <w:rPr>
          <w:sz w:val="24"/>
        </w:rPr>
        <w:t>or Interpretations and cannot add or change requirements in the mandatory</w:t>
      </w:r>
    </w:p>
    <w:p w14:paraId="1E8058AC" w14:textId="77777777" w:rsidR="00AA4A02" w:rsidRDefault="00960F31">
      <w:pPr>
        <w:pStyle w:val="BodyText"/>
        <w:spacing w:before="127"/>
        <w:rPr>
          <w:sz w:val="20"/>
        </w:rPr>
      </w:pPr>
      <w:r>
        <w:rPr>
          <w:noProof/>
          <w:sz w:val="20"/>
        </w:rPr>
        <mc:AlternateContent>
          <mc:Choice Requires="wps">
            <w:drawing>
              <wp:anchor distT="0" distB="0" distL="0" distR="0" simplePos="0" relativeHeight="487596544" behindDoc="1" locked="0" layoutInCell="1" allowOverlap="1" wp14:anchorId="1E805F35" wp14:editId="1E805F36">
                <wp:simplePos x="0" y="0"/>
                <wp:positionH relativeFrom="page">
                  <wp:posOffset>899464</wp:posOffset>
                </wp:positionH>
                <wp:positionV relativeFrom="paragraph">
                  <wp:posOffset>242525</wp:posOffset>
                </wp:positionV>
                <wp:extent cx="183007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23FA9" id="Graphic 36" o:spid="_x0000_s1026" style="position:absolute;margin-left:70.8pt;margin-top:19.1pt;width:144.1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10rsEd4AAAAJAQAADwAAAAAAAAAAAAAAAAB9BAAAZHJzL2Rvd25y&#10;ZXYueG1sUEsFBgAAAAAEAAQA8wAAAIgFAAAAAA==&#10;" path="m1829689,l,,,6095r1829689,l1829689,xe" fillcolor="black" stroked="f">
                <v:path arrowok="t"/>
                <w10:wrap type="topAndBottom" anchorx="page"/>
              </v:shape>
            </w:pict>
          </mc:Fallback>
        </mc:AlternateContent>
      </w:r>
    </w:p>
    <w:p w14:paraId="1E8058AD" w14:textId="77777777" w:rsidR="00AA4A02" w:rsidRDefault="00960F31">
      <w:pPr>
        <w:pStyle w:val="ListParagraph"/>
        <w:numPr>
          <w:ilvl w:val="0"/>
          <w:numId w:val="53"/>
        </w:numPr>
        <w:tabs>
          <w:tab w:val="left" w:pos="481"/>
        </w:tabs>
        <w:spacing w:before="106"/>
        <w:ind w:left="481" w:hanging="340"/>
        <w:rPr>
          <w:sz w:val="20"/>
        </w:rPr>
      </w:pPr>
      <w:r>
        <w:rPr>
          <w:sz w:val="20"/>
        </w:rPr>
        <w:t>See</w:t>
      </w:r>
      <w:r>
        <w:rPr>
          <w:spacing w:val="-7"/>
          <w:sz w:val="20"/>
        </w:rPr>
        <w:t xml:space="preserve"> </w:t>
      </w:r>
      <w:hyperlink r:id="rId41">
        <w:r>
          <w:rPr>
            <w:sz w:val="20"/>
            <w:u w:val="single"/>
          </w:rPr>
          <w:t>Board</w:t>
        </w:r>
        <w:r>
          <w:rPr>
            <w:spacing w:val="-3"/>
            <w:sz w:val="20"/>
            <w:u w:val="single"/>
          </w:rPr>
          <w:t xml:space="preserve"> </w:t>
        </w:r>
        <w:r>
          <w:rPr>
            <w:sz w:val="20"/>
            <w:u w:val="single"/>
          </w:rPr>
          <w:t xml:space="preserve">Agenda </w:t>
        </w:r>
        <w:r>
          <w:rPr>
            <w:spacing w:val="-2"/>
            <w:sz w:val="20"/>
            <w:u w:val="single"/>
          </w:rPr>
          <w:t>Decisions</w:t>
        </w:r>
        <w:r>
          <w:rPr>
            <w:spacing w:val="-2"/>
            <w:sz w:val="20"/>
          </w:rPr>
          <w:t>.</w:t>
        </w:r>
      </w:hyperlink>
    </w:p>
    <w:p w14:paraId="1E8058AE"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AF" w14:textId="77777777" w:rsidR="00AA4A02" w:rsidRDefault="00960F31">
      <w:pPr>
        <w:spacing w:before="80" w:line="247" w:lineRule="auto"/>
        <w:ind w:left="852"/>
        <w:rPr>
          <w:sz w:val="24"/>
        </w:rPr>
      </w:pPr>
      <w:r>
        <w:rPr>
          <w:sz w:val="24"/>
        </w:rPr>
        <w:lastRenderedPageBreak/>
        <w:t>pronouncements.</w:t>
      </w:r>
      <w:r>
        <w:rPr>
          <w:spacing w:val="-1"/>
          <w:sz w:val="24"/>
        </w:rPr>
        <w:t xml:space="preserve"> </w:t>
      </w:r>
      <w:r>
        <w:rPr>
          <w:sz w:val="24"/>
        </w:rPr>
        <w:t>However, the</w:t>
      </w:r>
      <w:r>
        <w:rPr>
          <w:spacing w:val="-8"/>
          <w:sz w:val="24"/>
        </w:rPr>
        <w:t xml:space="preserve"> </w:t>
      </w:r>
      <w:r>
        <w:rPr>
          <w:sz w:val="24"/>
        </w:rPr>
        <w:t>material</w:t>
      </w:r>
      <w:r>
        <w:rPr>
          <w:spacing w:val="-7"/>
          <w:sz w:val="24"/>
        </w:rPr>
        <w:t xml:space="preserve"> </w:t>
      </w:r>
      <w:r>
        <w:rPr>
          <w:sz w:val="24"/>
        </w:rPr>
        <w:t>is</w:t>
      </w:r>
      <w:r>
        <w:rPr>
          <w:spacing w:val="-5"/>
          <w:sz w:val="24"/>
        </w:rPr>
        <w:t xml:space="preserve"> </w:t>
      </w:r>
      <w:r>
        <w:rPr>
          <w:sz w:val="24"/>
        </w:rPr>
        <w:t>expected</w:t>
      </w:r>
      <w:r>
        <w:rPr>
          <w:spacing w:val="-3"/>
          <w:sz w:val="24"/>
        </w:rPr>
        <w:t xml:space="preserve"> </w:t>
      </w:r>
      <w:r>
        <w:rPr>
          <w:sz w:val="24"/>
        </w:rPr>
        <w:t>to</w:t>
      </w:r>
      <w:r>
        <w:rPr>
          <w:spacing w:val="-3"/>
          <w:sz w:val="24"/>
        </w:rPr>
        <w:t xml:space="preserve"> </w:t>
      </w:r>
      <w:r>
        <w:rPr>
          <w:sz w:val="24"/>
        </w:rPr>
        <w:t>improve</w:t>
      </w:r>
      <w:r>
        <w:rPr>
          <w:spacing w:val="-3"/>
          <w:sz w:val="24"/>
        </w:rPr>
        <w:t xml:space="preserve"> </w:t>
      </w:r>
      <w:r>
        <w:rPr>
          <w:sz w:val="24"/>
        </w:rPr>
        <w:t>the</w:t>
      </w:r>
      <w:r>
        <w:rPr>
          <w:spacing w:val="-3"/>
          <w:sz w:val="24"/>
        </w:rPr>
        <w:t xml:space="preserve"> </w:t>
      </w:r>
      <w:r>
        <w:rPr>
          <w:sz w:val="24"/>
        </w:rPr>
        <w:t>consistency</w:t>
      </w:r>
      <w:r>
        <w:rPr>
          <w:spacing w:val="-2"/>
          <w:sz w:val="24"/>
        </w:rPr>
        <w:t xml:space="preserve"> </w:t>
      </w:r>
      <w:r>
        <w:rPr>
          <w:sz w:val="24"/>
        </w:rPr>
        <w:t>of application of the pronouncements.</w:t>
      </w:r>
    </w:p>
    <w:p w14:paraId="1E8058B0" w14:textId="77777777" w:rsidR="00AA4A02" w:rsidRDefault="00960F31">
      <w:pPr>
        <w:pStyle w:val="Heading9"/>
        <w:spacing w:before="228"/>
      </w:pPr>
      <w:r>
        <w:t>Agenda</w:t>
      </w:r>
      <w:r>
        <w:rPr>
          <w:spacing w:val="1"/>
        </w:rPr>
        <w:t xml:space="preserve"> </w:t>
      </w:r>
      <w:r>
        <w:rPr>
          <w:spacing w:val="-2"/>
        </w:rPr>
        <w:t>Decisions</w:t>
      </w:r>
    </w:p>
    <w:p w14:paraId="1E8058B1" w14:textId="77777777" w:rsidR="00AA4A02" w:rsidRDefault="00960F31">
      <w:pPr>
        <w:pStyle w:val="ListParagraph"/>
        <w:numPr>
          <w:ilvl w:val="2"/>
          <w:numId w:val="34"/>
        </w:numPr>
        <w:tabs>
          <w:tab w:val="left" w:pos="852"/>
        </w:tabs>
        <w:spacing w:before="238"/>
        <w:ind w:right="706"/>
        <w:rPr>
          <w:sz w:val="24"/>
        </w:rPr>
      </w:pPr>
      <w:r>
        <w:rPr>
          <w:sz w:val="24"/>
        </w:rPr>
        <w:t>If the</w:t>
      </w:r>
      <w:r>
        <w:rPr>
          <w:spacing w:val="-6"/>
          <w:sz w:val="24"/>
        </w:rPr>
        <w:t xml:space="preserve"> </w:t>
      </w:r>
      <w:r>
        <w:rPr>
          <w:sz w:val="24"/>
        </w:rPr>
        <w:t>AASB</w:t>
      </w:r>
      <w:r>
        <w:rPr>
          <w:spacing w:val="-2"/>
          <w:sz w:val="24"/>
        </w:rPr>
        <w:t xml:space="preserve"> </w:t>
      </w:r>
      <w:r>
        <w:rPr>
          <w:sz w:val="24"/>
        </w:rPr>
        <w:t>decides</w:t>
      </w:r>
      <w:r>
        <w:rPr>
          <w:spacing w:val="-3"/>
          <w:sz w:val="24"/>
        </w:rPr>
        <w:t xml:space="preserve"> </w:t>
      </w:r>
      <w:r>
        <w:rPr>
          <w:sz w:val="24"/>
        </w:rPr>
        <w:t>not</w:t>
      </w:r>
      <w:r>
        <w:rPr>
          <w:spacing w:val="-1"/>
          <w:sz w:val="24"/>
        </w:rPr>
        <w:t xml:space="preserve"> </w:t>
      </w:r>
      <w:r>
        <w:rPr>
          <w:sz w:val="24"/>
        </w:rPr>
        <w:t>to</w:t>
      </w:r>
      <w:r>
        <w:rPr>
          <w:spacing w:val="-6"/>
          <w:sz w:val="24"/>
        </w:rPr>
        <w:t xml:space="preserve"> </w:t>
      </w:r>
      <w:r>
        <w:rPr>
          <w:sz w:val="24"/>
        </w:rPr>
        <w:t>add</w:t>
      </w:r>
      <w:r>
        <w:rPr>
          <w:spacing w:val="-1"/>
          <w:sz w:val="24"/>
        </w:rPr>
        <w:t xml:space="preserve"> </w:t>
      </w:r>
      <w:r>
        <w:rPr>
          <w:sz w:val="24"/>
        </w:rPr>
        <w:t>a</w:t>
      </w:r>
      <w:r>
        <w:rPr>
          <w:spacing w:val="-2"/>
          <w:sz w:val="24"/>
        </w:rPr>
        <w:t xml:space="preserve"> </w:t>
      </w:r>
      <w:r>
        <w:rPr>
          <w:sz w:val="24"/>
        </w:rPr>
        <w:t>project to</w:t>
      </w:r>
      <w:r>
        <w:rPr>
          <w:spacing w:val="-5"/>
          <w:sz w:val="24"/>
        </w:rPr>
        <w:t xml:space="preserve"> </w:t>
      </w:r>
      <w:r>
        <w:rPr>
          <w:sz w:val="24"/>
        </w:rPr>
        <w:t>its</w:t>
      </w:r>
      <w:r>
        <w:rPr>
          <w:spacing w:val="-3"/>
          <w:sz w:val="24"/>
        </w:rPr>
        <w:t xml:space="preserve"> </w:t>
      </w:r>
      <w:r>
        <w:rPr>
          <w:sz w:val="24"/>
        </w:rPr>
        <w:t>work</w:t>
      </w:r>
      <w:r>
        <w:rPr>
          <w:spacing w:val="-1"/>
          <w:sz w:val="24"/>
        </w:rPr>
        <w:t xml:space="preserve"> </w:t>
      </w:r>
      <w:r>
        <w:rPr>
          <w:sz w:val="24"/>
        </w:rPr>
        <w:t>program</w:t>
      </w:r>
      <w:r>
        <w:rPr>
          <w:spacing w:val="-4"/>
          <w:sz w:val="24"/>
        </w:rPr>
        <w:t xml:space="preserve"> </w:t>
      </w:r>
      <w:r>
        <w:rPr>
          <w:sz w:val="24"/>
        </w:rPr>
        <w:t>to</w:t>
      </w:r>
      <w:r>
        <w:rPr>
          <w:spacing w:val="-1"/>
          <w:sz w:val="24"/>
        </w:rPr>
        <w:t xml:space="preserve"> </w:t>
      </w:r>
      <w:r>
        <w:rPr>
          <w:sz w:val="24"/>
        </w:rPr>
        <w:t>address</w:t>
      </w:r>
      <w:r>
        <w:rPr>
          <w:spacing w:val="-3"/>
          <w:sz w:val="24"/>
        </w:rPr>
        <w:t xml:space="preserve"> </w:t>
      </w:r>
      <w:r>
        <w:rPr>
          <w:sz w:val="24"/>
        </w:rPr>
        <w:t>a</w:t>
      </w:r>
      <w:r>
        <w:rPr>
          <w:spacing w:val="-2"/>
          <w:sz w:val="24"/>
        </w:rPr>
        <w:t xml:space="preserve"> </w:t>
      </w:r>
      <w:r>
        <w:rPr>
          <w:sz w:val="24"/>
        </w:rPr>
        <w:t>submitted question, where the issue has resulted in diversity in practice, it explains why in a tentative</w:t>
      </w:r>
      <w:r>
        <w:rPr>
          <w:spacing w:val="-1"/>
          <w:sz w:val="24"/>
        </w:rPr>
        <w:t xml:space="preserve"> </w:t>
      </w:r>
      <w:r>
        <w:rPr>
          <w:sz w:val="24"/>
        </w:rPr>
        <w:t>Agenda</w:t>
      </w:r>
      <w:r>
        <w:rPr>
          <w:spacing w:val="-2"/>
          <w:sz w:val="24"/>
        </w:rPr>
        <w:t xml:space="preserve"> </w:t>
      </w:r>
      <w:r>
        <w:rPr>
          <w:sz w:val="24"/>
        </w:rPr>
        <w:t>Decision in</w:t>
      </w:r>
      <w:r>
        <w:rPr>
          <w:spacing w:val="-1"/>
          <w:sz w:val="24"/>
        </w:rPr>
        <w:t xml:space="preserve"> </w:t>
      </w:r>
      <w:r>
        <w:rPr>
          <w:sz w:val="24"/>
        </w:rPr>
        <w:t>its</w:t>
      </w:r>
      <w:r>
        <w:rPr>
          <w:spacing w:val="-3"/>
          <w:sz w:val="24"/>
        </w:rPr>
        <w:t xml:space="preserve"> </w:t>
      </w:r>
      <w:r>
        <w:rPr>
          <w:sz w:val="24"/>
        </w:rPr>
        <w:t>Action</w:t>
      </w:r>
      <w:r>
        <w:rPr>
          <w:spacing w:val="-6"/>
          <w:sz w:val="24"/>
        </w:rPr>
        <w:t xml:space="preserve"> </w:t>
      </w:r>
      <w:r>
        <w:rPr>
          <w:sz w:val="24"/>
        </w:rPr>
        <w:t>Alert and</w:t>
      </w:r>
      <w:r>
        <w:rPr>
          <w:spacing w:val="-11"/>
          <w:sz w:val="24"/>
        </w:rPr>
        <w:t xml:space="preserve"> </w:t>
      </w:r>
      <w:r>
        <w:rPr>
          <w:sz w:val="24"/>
        </w:rPr>
        <w:t>on</w:t>
      </w:r>
      <w:r>
        <w:rPr>
          <w:spacing w:val="-1"/>
          <w:sz w:val="24"/>
        </w:rPr>
        <w:t xml:space="preserve"> </w:t>
      </w:r>
      <w:r>
        <w:rPr>
          <w:sz w:val="24"/>
        </w:rPr>
        <w:t>the</w:t>
      </w:r>
      <w:r>
        <w:rPr>
          <w:spacing w:val="-1"/>
          <w:sz w:val="24"/>
        </w:rPr>
        <w:t xml:space="preserve"> </w:t>
      </w:r>
      <w:r>
        <w:rPr>
          <w:sz w:val="24"/>
        </w:rPr>
        <w:t>AASB</w:t>
      </w:r>
      <w:r>
        <w:rPr>
          <w:spacing w:val="-3"/>
          <w:sz w:val="24"/>
        </w:rPr>
        <w:t xml:space="preserve"> </w:t>
      </w:r>
      <w:r>
        <w:rPr>
          <w:sz w:val="24"/>
        </w:rPr>
        <w:t>website. Comments are requested. After considering the comments, the AASB will confirm its decision and publish an Agenda Decision or add a project to its agenda.</w:t>
      </w:r>
    </w:p>
    <w:p w14:paraId="1E8058B2" w14:textId="77777777" w:rsidR="00AA4A02" w:rsidRDefault="00960F31">
      <w:pPr>
        <w:pStyle w:val="ListParagraph"/>
        <w:numPr>
          <w:ilvl w:val="2"/>
          <w:numId w:val="34"/>
        </w:numPr>
        <w:tabs>
          <w:tab w:val="left" w:pos="852"/>
        </w:tabs>
        <w:spacing w:before="238" w:line="242" w:lineRule="auto"/>
        <w:ind w:right="460"/>
        <w:rPr>
          <w:sz w:val="24"/>
        </w:rPr>
      </w:pPr>
      <w:r>
        <w:rPr>
          <w:sz w:val="24"/>
        </w:rPr>
        <w:t>Where</w:t>
      </w:r>
      <w:r>
        <w:rPr>
          <w:spacing w:val="-2"/>
          <w:sz w:val="24"/>
        </w:rPr>
        <w:t xml:space="preserve"> </w:t>
      </w:r>
      <w:r>
        <w:rPr>
          <w:sz w:val="24"/>
        </w:rPr>
        <w:t>the</w:t>
      </w:r>
      <w:r>
        <w:rPr>
          <w:spacing w:val="-1"/>
          <w:sz w:val="24"/>
        </w:rPr>
        <w:t xml:space="preserve"> </w:t>
      </w:r>
      <w:r>
        <w:rPr>
          <w:sz w:val="24"/>
        </w:rPr>
        <w:t>reason</w:t>
      </w:r>
      <w:r>
        <w:rPr>
          <w:spacing w:val="-1"/>
          <w:sz w:val="24"/>
        </w:rPr>
        <w:t xml:space="preserve"> </w:t>
      </w:r>
      <w:r>
        <w:rPr>
          <w:sz w:val="24"/>
        </w:rPr>
        <w:t>for</w:t>
      </w:r>
      <w:r>
        <w:rPr>
          <w:spacing w:val="-3"/>
          <w:sz w:val="24"/>
        </w:rPr>
        <w:t xml:space="preserve"> </w:t>
      </w:r>
      <w:r>
        <w:rPr>
          <w:sz w:val="24"/>
        </w:rPr>
        <w:t>not</w:t>
      </w:r>
      <w:r>
        <w:rPr>
          <w:spacing w:val="-5"/>
          <w:sz w:val="24"/>
        </w:rPr>
        <w:t xml:space="preserve"> </w:t>
      </w:r>
      <w:r>
        <w:rPr>
          <w:sz w:val="24"/>
        </w:rPr>
        <w:t>adding a</w:t>
      </w:r>
      <w:r>
        <w:rPr>
          <w:spacing w:val="-2"/>
          <w:sz w:val="24"/>
        </w:rPr>
        <w:t xml:space="preserve"> </w:t>
      </w:r>
      <w:r>
        <w:rPr>
          <w:sz w:val="24"/>
        </w:rPr>
        <w:t>project is</w:t>
      </w:r>
      <w:r>
        <w:rPr>
          <w:spacing w:val="-3"/>
          <w:sz w:val="24"/>
        </w:rPr>
        <w:t xml:space="preserve"> </w:t>
      </w:r>
      <w:r>
        <w:rPr>
          <w:sz w:val="24"/>
        </w:rPr>
        <w:t>that</w:t>
      </w:r>
      <w:r>
        <w:rPr>
          <w:spacing w:val="-6"/>
          <w:sz w:val="24"/>
        </w:rPr>
        <w:t xml:space="preserve"> </w:t>
      </w:r>
      <w:r>
        <w:rPr>
          <w:sz w:val="24"/>
        </w:rPr>
        <w:t>the</w:t>
      </w:r>
      <w:r>
        <w:rPr>
          <w:spacing w:val="-2"/>
          <w:sz w:val="24"/>
        </w:rPr>
        <w:t xml:space="preserve"> </w:t>
      </w:r>
      <w:r>
        <w:rPr>
          <w:sz w:val="24"/>
        </w:rPr>
        <w:t>principles</w:t>
      </w:r>
      <w:r>
        <w:rPr>
          <w:spacing w:val="-3"/>
          <w:sz w:val="24"/>
        </w:rPr>
        <w:t xml:space="preserve"> </w:t>
      </w:r>
      <w:r>
        <w:rPr>
          <w:sz w:val="24"/>
        </w:rPr>
        <w:t>and</w:t>
      </w:r>
      <w:r>
        <w:rPr>
          <w:spacing w:val="-1"/>
          <w:sz w:val="24"/>
        </w:rPr>
        <w:t xml:space="preserve"> </w:t>
      </w:r>
      <w:r>
        <w:rPr>
          <w:sz w:val="24"/>
        </w:rPr>
        <w:t>requirements</w:t>
      </w:r>
      <w:r>
        <w:rPr>
          <w:spacing w:val="-2"/>
          <w:sz w:val="24"/>
        </w:rPr>
        <w:t xml:space="preserve"> </w:t>
      </w:r>
      <w:r>
        <w:rPr>
          <w:sz w:val="24"/>
        </w:rPr>
        <w:t>in</w:t>
      </w:r>
      <w:r>
        <w:rPr>
          <w:spacing w:val="-1"/>
          <w:sz w:val="24"/>
        </w:rPr>
        <w:t xml:space="preserve"> </w:t>
      </w:r>
      <w:r>
        <w:rPr>
          <w:sz w:val="24"/>
        </w:rPr>
        <w:t>the pronouncement are considered adequate, the Agenda Decision typically includes examples and other explanatory material that should be seen as helpful, informative and persuasive.</w:t>
      </w:r>
    </w:p>
    <w:p w14:paraId="1E8058B3" w14:textId="77777777" w:rsidR="00AA4A02" w:rsidRDefault="00960F31">
      <w:pPr>
        <w:pStyle w:val="ListParagraph"/>
        <w:numPr>
          <w:ilvl w:val="2"/>
          <w:numId w:val="34"/>
        </w:numPr>
        <w:tabs>
          <w:tab w:val="left" w:pos="852"/>
        </w:tabs>
        <w:spacing w:before="230" w:line="242" w:lineRule="auto"/>
        <w:ind w:right="672"/>
        <w:rPr>
          <w:sz w:val="24"/>
        </w:rPr>
      </w:pPr>
      <w:r>
        <w:rPr>
          <w:sz w:val="24"/>
        </w:rPr>
        <w:t>The</w:t>
      </w:r>
      <w:r>
        <w:rPr>
          <w:spacing w:val="-1"/>
          <w:sz w:val="24"/>
        </w:rPr>
        <w:t xml:space="preserve"> </w:t>
      </w:r>
      <w:r>
        <w:rPr>
          <w:sz w:val="24"/>
        </w:rPr>
        <w:t>process</w:t>
      </w:r>
      <w:r>
        <w:rPr>
          <w:spacing w:val="-2"/>
          <w:sz w:val="24"/>
        </w:rPr>
        <w:t xml:space="preserve"> </w:t>
      </w:r>
      <w:r>
        <w:rPr>
          <w:sz w:val="24"/>
        </w:rPr>
        <w:t>for</w:t>
      </w:r>
      <w:r>
        <w:rPr>
          <w:spacing w:val="-3"/>
          <w:sz w:val="24"/>
        </w:rPr>
        <w:t xml:space="preserve"> </w:t>
      </w:r>
      <w:r>
        <w:rPr>
          <w:sz w:val="24"/>
        </w:rPr>
        <w:t>publishing an Agenda</w:t>
      </w:r>
      <w:r>
        <w:rPr>
          <w:spacing w:val="-1"/>
          <w:sz w:val="24"/>
        </w:rPr>
        <w:t xml:space="preserve"> </w:t>
      </w:r>
      <w:r>
        <w:rPr>
          <w:sz w:val="24"/>
        </w:rPr>
        <w:t>Decision might result in</w:t>
      </w:r>
      <w:r>
        <w:rPr>
          <w:spacing w:val="-5"/>
          <w:sz w:val="24"/>
        </w:rPr>
        <w:t xml:space="preserve"> </w:t>
      </w:r>
      <w:r>
        <w:rPr>
          <w:sz w:val="24"/>
        </w:rPr>
        <w:t>explanatory material that</w:t>
      </w:r>
      <w:r>
        <w:rPr>
          <w:spacing w:val="-2"/>
          <w:sz w:val="24"/>
        </w:rPr>
        <w:t xml:space="preserve"> </w:t>
      </w:r>
      <w:r>
        <w:rPr>
          <w:sz w:val="24"/>
        </w:rPr>
        <w:t>from</w:t>
      </w:r>
      <w:r>
        <w:rPr>
          <w:spacing w:val="-5"/>
          <w:sz w:val="24"/>
        </w:rPr>
        <w:t xml:space="preserve"> </w:t>
      </w:r>
      <w:r>
        <w:rPr>
          <w:sz w:val="24"/>
        </w:rPr>
        <w:t>a</w:t>
      </w:r>
      <w:r>
        <w:rPr>
          <w:spacing w:val="-3"/>
          <w:sz w:val="24"/>
        </w:rPr>
        <w:t xml:space="preserve"> </w:t>
      </w:r>
      <w:r>
        <w:rPr>
          <w:sz w:val="24"/>
        </w:rPr>
        <w:t>preparer’s</w:t>
      </w:r>
      <w:r>
        <w:rPr>
          <w:spacing w:val="-3"/>
          <w:sz w:val="24"/>
        </w:rPr>
        <w:t xml:space="preserve"> </w:t>
      </w:r>
      <w:r>
        <w:rPr>
          <w:sz w:val="24"/>
        </w:rPr>
        <w:t>perspective</w:t>
      </w:r>
      <w:r>
        <w:rPr>
          <w:spacing w:val="-2"/>
          <w:sz w:val="24"/>
        </w:rPr>
        <w:t xml:space="preserve"> </w:t>
      </w:r>
      <w:r>
        <w:rPr>
          <w:sz w:val="24"/>
        </w:rPr>
        <w:t>provides</w:t>
      </w:r>
      <w:r>
        <w:rPr>
          <w:spacing w:val="-4"/>
          <w:sz w:val="24"/>
        </w:rPr>
        <w:t xml:space="preserve"> </w:t>
      </w:r>
      <w:r>
        <w:rPr>
          <w:sz w:val="24"/>
        </w:rPr>
        <w:t>new</w:t>
      </w:r>
      <w:r>
        <w:rPr>
          <w:spacing w:val="-6"/>
          <w:sz w:val="24"/>
        </w:rPr>
        <w:t xml:space="preserve"> </w:t>
      </w:r>
      <w:r>
        <w:rPr>
          <w:sz w:val="24"/>
        </w:rPr>
        <w:t>or</w:t>
      </w:r>
      <w:r>
        <w:rPr>
          <w:spacing w:val="-5"/>
          <w:sz w:val="24"/>
        </w:rPr>
        <w:t xml:space="preserve"> </w:t>
      </w:r>
      <w:r>
        <w:rPr>
          <w:sz w:val="24"/>
        </w:rPr>
        <w:t>clarifying information.</w:t>
      </w:r>
      <w:r>
        <w:rPr>
          <w:spacing w:val="40"/>
          <w:sz w:val="24"/>
        </w:rPr>
        <w:t xml:space="preserve"> </w:t>
      </w:r>
      <w:r>
        <w:rPr>
          <w:sz w:val="24"/>
        </w:rPr>
        <w:t>While</w:t>
      </w:r>
      <w:r>
        <w:rPr>
          <w:spacing w:val="-2"/>
          <w:sz w:val="24"/>
        </w:rPr>
        <w:t xml:space="preserve"> </w:t>
      </w:r>
      <w:r>
        <w:rPr>
          <w:sz w:val="24"/>
        </w:rPr>
        <w:t>no formal transitional relief is provided in such circumstances, it is expected that the preparer will have sufficient time to implement any changes.</w:t>
      </w:r>
    </w:p>
    <w:p w14:paraId="1E8058B4" w14:textId="77777777" w:rsidR="00AA4A02" w:rsidRDefault="00960F31">
      <w:pPr>
        <w:pStyle w:val="Heading9"/>
      </w:pPr>
      <w:r>
        <w:t>Staff</w:t>
      </w:r>
      <w:r>
        <w:rPr>
          <w:spacing w:val="-4"/>
        </w:rPr>
        <w:t xml:space="preserve"> </w:t>
      </w:r>
      <w:r>
        <w:t>FAQs</w:t>
      </w:r>
      <w:r>
        <w:rPr>
          <w:spacing w:val="-2"/>
        </w:rPr>
        <w:t xml:space="preserve"> </w:t>
      </w:r>
      <w:r>
        <w:t>and</w:t>
      </w:r>
      <w:r>
        <w:rPr>
          <w:spacing w:val="-1"/>
        </w:rPr>
        <w:t xml:space="preserve"> </w:t>
      </w:r>
      <w:r>
        <w:t>other</w:t>
      </w:r>
      <w:r>
        <w:rPr>
          <w:spacing w:val="-1"/>
        </w:rPr>
        <w:t xml:space="preserve"> </w:t>
      </w:r>
      <w:r>
        <w:t>educational</w:t>
      </w:r>
      <w:r>
        <w:rPr>
          <w:spacing w:val="-4"/>
        </w:rPr>
        <w:t xml:space="preserve"> </w:t>
      </w:r>
      <w:r>
        <w:rPr>
          <w:spacing w:val="-2"/>
        </w:rPr>
        <w:t>material</w:t>
      </w:r>
    </w:p>
    <w:p w14:paraId="1E8058B5" w14:textId="77777777" w:rsidR="00AA4A02" w:rsidRDefault="00960F31">
      <w:pPr>
        <w:pStyle w:val="ListParagraph"/>
        <w:numPr>
          <w:ilvl w:val="2"/>
          <w:numId w:val="33"/>
        </w:numPr>
        <w:tabs>
          <w:tab w:val="left" w:pos="852"/>
        </w:tabs>
        <w:spacing w:before="238"/>
        <w:ind w:right="548"/>
        <w:rPr>
          <w:sz w:val="24"/>
        </w:rPr>
      </w:pPr>
      <w:r>
        <w:rPr>
          <w:sz w:val="24"/>
        </w:rPr>
        <w:t>The AASB Education Strategy</w:t>
      </w:r>
      <w:r>
        <w:rPr>
          <w:sz w:val="24"/>
          <w:vertAlign w:val="superscript"/>
        </w:rPr>
        <w:t>16</w:t>
      </w:r>
      <w:r>
        <w:rPr>
          <w:sz w:val="24"/>
        </w:rPr>
        <w:t xml:space="preserve"> will contribute to the rigour and consistency with which the Standards are applied, by supporting stakeholders, including preparers, auditors, users and academics. The AASB’s education initiatives are not its primary focus. Accordingly,</w:t>
      </w:r>
      <w:r>
        <w:rPr>
          <w:spacing w:val="-3"/>
          <w:sz w:val="24"/>
        </w:rPr>
        <w:t xml:space="preserve"> </w:t>
      </w:r>
      <w:r>
        <w:rPr>
          <w:sz w:val="24"/>
        </w:rPr>
        <w:t>the</w:t>
      </w:r>
      <w:r>
        <w:rPr>
          <w:spacing w:val="-7"/>
          <w:sz w:val="24"/>
        </w:rPr>
        <w:t xml:space="preserve"> </w:t>
      </w:r>
      <w:r>
        <w:rPr>
          <w:sz w:val="24"/>
        </w:rPr>
        <w:t>focus</w:t>
      </w:r>
      <w:r>
        <w:rPr>
          <w:spacing w:val="-4"/>
          <w:sz w:val="24"/>
        </w:rPr>
        <w:t xml:space="preserve"> </w:t>
      </w:r>
      <w:r>
        <w:rPr>
          <w:sz w:val="24"/>
        </w:rPr>
        <w:t>is</w:t>
      </w:r>
      <w:r>
        <w:rPr>
          <w:spacing w:val="-4"/>
          <w:sz w:val="24"/>
        </w:rPr>
        <w:t xml:space="preserve"> </w:t>
      </w:r>
      <w:r>
        <w:rPr>
          <w:sz w:val="24"/>
        </w:rPr>
        <w:t>to</w:t>
      </w:r>
      <w:r>
        <w:rPr>
          <w:spacing w:val="-2"/>
          <w:sz w:val="24"/>
        </w:rPr>
        <w:t xml:space="preserve"> </w:t>
      </w:r>
      <w:r>
        <w:rPr>
          <w:sz w:val="24"/>
        </w:rPr>
        <w:t>partner</w:t>
      </w:r>
      <w:r>
        <w:rPr>
          <w:spacing w:val="-1"/>
          <w:sz w:val="24"/>
        </w:rPr>
        <w:t xml:space="preserve"> </w:t>
      </w:r>
      <w:r>
        <w:rPr>
          <w:sz w:val="24"/>
        </w:rPr>
        <w:t>with</w:t>
      </w:r>
      <w:r>
        <w:rPr>
          <w:spacing w:val="-6"/>
          <w:sz w:val="24"/>
        </w:rPr>
        <w:t xml:space="preserve"> </w:t>
      </w:r>
      <w:r>
        <w:rPr>
          <w:sz w:val="24"/>
        </w:rPr>
        <w:t>those</w:t>
      </w:r>
      <w:r>
        <w:rPr>
          <w:spacing w:val="-3"/>
          <w:sz w:val="24"/>
        </w:rPr>
        <w:t xml:space="preserve"> </w:t>
      </w:r>
      <w:r>
        <w:rPr>
          <w:sz w:val="24"/>
        </w:rPr>
        <w:t>that</w:t>
      </w:r>
      <w:r>
        <w:rPr>
          <w:spacing w:val="-1"/>
          <w:sz w:val="24"/>
        </w:rPr>
        <w:t xml:space="preserve"> </w:t>
      </w:r>
      <w:r>
        <w:rPr>
          <w:sz w:val="24"/>
        </w:rPr>
        <w:t>are</w:t>
      </w:r>
      <w:r>
        <w:rPr>
          <w:spacing w:val="-3"/>
          <w:sz w:val="24"/>
        </w:rPr>
        <w:t xml:space="preserve"> </w:t>
      </w:r>
      <w:r>
        <w:rPr>
          <w:sz w:val="24"/>
        </w:rPr>
        <w:t>better</w:t>
      </w:r>
      <w:r>
        <w:rPr>
          <w:spacing w:val="-4"/>
          <w:sz w:val="24"/>
        </w:rPr>
        <w:t xml:space="preserve"> </w:t>
      </w:r>
      <w:r>
        <w:rPr>
          <w:sz w:val="24"/>
        </w:rPr>
        <w:t>placed</w:t>
      </w:r>
      <w:r>
        <w:rPr>
          <w:spacing w:val="-2"/>
          <w:sz w:val="24"/>
        </w:rPr>
        <w:t xml:space="preserve"> </w:t>
      </w:r>
      <w:r>
        <w:rPr>
          <w:sz w:val="24"/>
        </w:rPr>
        <w:t>to</w:t>
      </w:r>
      <w:r>
        <w:rPr>
          <w:spacing w:val="-2"/>
          <w:sz w:val="24"/>
        </w:rPr>
        <w:t xml:space="preserve"> </w:t>
      </w:r>
      <w:r>
        <w:rPr>
          <w:sz w:val="24"/>
        </w:rPr>
        <w:t xml:space="preserve">develop and deliver financial reporting-related education to better target their education </w:t>
      </w:r>
      <w:r>
        <w:rPr>
          <w:spacing w:val="-2"/>
          <w:sz w:val="24"/>
        </w:rPr>
        <w:t>initiatives.</w:t>
      </w:r>
    </w:p>
    <w:p w14:paraId="1E8058B6" w14:textId="77777777" w:rsidR="00AA4A02" w:rsidRDefault="00960F31">
      <w:pPr>
        <w:pStyle w:val="ListParagraph"/>
        <w:numPr>
          <w:ilvl w:val="2"/>
          <w:numId w:val="33"/>
        </w:numPr>
        <w:tabs>
          <w:tab w:val="left" w:pos="852"/>
        </w:tabs>
        <w:spacing w:before="240"/>
        <w:ind w:right="504"/>
        <w:rPr>
          <w:sz w:val="24"/>
        </w:rPr>
      </w:pPr>
      <w:r>
        <w:rPr>
          <w:sz w:val="24"/>
        </w:rPr>
        <w:t>The</w:t>
      </w:r>
      <w:r>
        <w:rPr>
          <w:spacing w:val="-2"/>
          <w:sz w:val="24"/>
        </w:rPr>
        <w:t xml:space="preserve"> </w:t>
      </w:r>
      <w:r>
        <w:rPr>
          <w:sz w:val="24"/>
        </w:rPr>
        <w:t>AASB</w:t>
      </w:r>
      <w:r>
        <w:rPr>
          <w:spacing w:val="-2"/>
          <w:sz w:val="24"/>
        </w:rPr>
        <w:t xml:space="preserve"> </w:t>
      </w:r>
      <w:r>
        <w:rPr>
          <w:sz w:val="24"/>
        </w:rPr>
        <w:t>or</w:t>
      </w:r>
      <w:r>
        <w:rPr>
          <w:spacing w:val="-4"/>
          <w:sz w:val="24"/>
        </w:rPr>
        <w:t xml:space="preserve"> </w:t>
      </w:r>
      <w:r>
        <w:rPr>
          <w:sz w:val="24"/>
        </w:rPr>
        <w:t>its</w:t>
      </w:r>
      <w:r>
        <w:rPr>
          <w:spacing w:val="-3"/>
          <w:sz w:val="24"/>
        </w:rPr>
        <w:t xml:space="preserve"> </w:t>
      </w:r>
      <w:r>
        <w:rPr>
          <w:sz w:val="24"/>
        </w:rPr>
        <w:t>staff</w:t>
      </w:r>
      <w:r>
        <w:rPr>
          <w:spacing w:val="-3"/>
          <w:sz w:val="24"/>
        </w:rPr>
        <w:t xml:space="preserve"> </w:t>
      </w:r>
      <w:r>
        <w:rPr>
          <w:sz w:val="24"/>
        </w:rPr>
        <w:t>may</w:t>
      </w:r>
      <w:r>
        <w:rPr>
          <w:spacing w:val="-1"/>
          <w:sz w:val="24"/>
        </w:rPr>
        <w:t xml:space="preserve"> </w:t>
      </w:r>
      <w:r>
        <w:rPr>
          <w:sz w:val="24"/>
        </w:rPr>
        <w:t>publish educational</w:t>
      </w:r>
      <w:r>
        <w:rPr>
          <w:spacing w:val="-5"/>
          <w:sz w:val="24"/>
        </w:rPr>
        <w:t xml:space="preserve"> </w:t>
      </w:r>
      <w:r>
        <w:rPr>
          <w:sz w:val="24"/>
        </w:rPr>
        <w:t>material related</w:t>
      </w:r>
      <w:r>
        <w:rPr>
          <w:spacing w:val="-1"/>
          <w:sz w:val="24"/>
        </w:rPr>
        <w:t xml:space="preserve"> </w:t>
      </w:r>
      <w:r>
        <w:rPr>
          <w:sz w:val="24"/>
        </w:rPr>
        <w:t>to</w:t>
      </w:r>
      <w:r>
        <w:rPr>
          <w:spacing w:val="-6"/>
          <w:sz w:val="24"/>
        </w:rPr>
        <w:t xml:space="preserve"> </w:t>
      </w:r>
      <w:r>
        <w:rPr>
          <w:sz w:val="24"/>
        </w:rPr>
        <w:t>pronouncements</w:t>
      </w:r>
      <w:r>
        <w:rPr>
          <w:spacing w:val="-2"/>
          <w:sz w:val="24"/>
        </w:rPr>
        <w:t xml:space="preserve"> </w:t>
      </w:r>
      <w:r>
        <w:rPr>
          <w:sz w:val="24"/>
        </w:rPr>
        <w:t>on the website, including webcasts, podcasts, articles, presentations for conferences, training materials and</w:t>
      </w:r>
      <w:r>
        <w:rPr>
          <w:spacing w:val="-2"/>
          <w:sz w:val="24"/>
        </w:rPr>
        <w:t xml:space="preserve"> </w:t>
      </w:r>
      <w:r>
        <w:rPr>
          <w:sz w:val="24"/>
        </w:rPr>
        <w:t>Staff</w:t>
      </w:r>
      <w:r>
        <w:rPr>
          <w:spacing w:val="-1"/>
          <w:sz w:val="24"/>
        </w:rPr>
        <w:t xml:space="preserve"> </w:t>
      </w:r>
      <w:r>
        <w:rPr>
          <w:sz w:val="24"/>
        </w:rPr>
        <w:t>Frequently</w:t>
      </w:r>
      <w:r>
        <w:rPr>
          <w:spacing w:val="-2"/>
          <w:sz w:val="24"/>
        </w:rPr>
        <w:t xml:space="preserve"> </w:t>
      </w:r>
      <w:r>
        <w:rPr>
          <w:sz w:val="24"/>
        </w:rPr>
        <w:t>Asked Questions. These materials do not</w:t>
      </w:r>
      <w:r>
        <w:rPr>
          <w:spacing w:val="-2"/>
          <w:sz w:val="24"/>
        </w:rPr>
        <w:t xml:space="preserve"> </w:t>
      </w:r>
      <w:r>
        <w:rPr>
          <w:sz w:val="24"/>
        </w:rPr>
        <w:t>have authoritative status and cannot add or change requirements in the pronouncements.</w:t>
      </w:r>
    </w:p>
    <w:p w14:paraId="1E8058B7" w14:textId="77777777" w:rsidR="00AA4A02" w:rsidRDefault="00960F31">
      <w:pPr>
        <w:pStyle w:val="ListParagraph"/>
        <w:numPr>
          <w:ilvl w:val="2"/>
          <w:numId w:val="33"/>
        </w:numPr>
        <w:tabs>
          <w:tab w:val="left" w:pos="852"/>
        </w:tabs>
        <w:spacing w:before="241"/>
        <w:ind w:right="734"/>
        <w:rPr>
          <w:sz w:val="24"/>
        </w:rPr>
      </w:pPr>
      <w:r>
        <w:rPr>
          <w:sz w:val="24"/>
        </w:rPr>
        <w:t>Such</w:t>
      </w:r>
      <w:r>
        <w:rPr>
          <w:spacing w:val="-1"/>
          <w:sz w:val="24"/>
        </w:rPr>
        <w:t xml:space="preserve"> </w:t>
      </w:r>
      <w:r>
        <w:rPr>
          <w:sz w:val="24"/>
        </w:rPr>
        <w:t>materials</w:t>
      </w:r>
      <w:r>
        <w:rPr>
          <w:spacing w:val="-2"/>
          <w:sz w:val="24"/>
        </w:rPr>
        <w:t xml:space="preserve"> </w:t>
      </w:r>
      <w:r>
        <w:rPr>
          <w:sz w:val="24"/>
        </w:rPr>
        <w:t>are</w:t>
      </w:r>
      <w:r>
        <w:rPr>
          <w:spacing w:val="-2"/>
          <w:sz w:val="24"/>
        </w:rPr>
        <w:t xml:space="preserve"> </w:t>
      </w:r>
      <w:r>
        <w:rPr>
          <w:sz w:val="24"/>
        </w:rPr>
        <w:t>not</w:t>
      </w:r>
      <w:r>
        <w:rPr>
          <w:spacing w:val="-5"/>
          <w:sz w:val="24"/>
        </w:rPr>
        <w:t xml:space="preserve"> </w:t>
      </w:r>
      <w:r>
        <w:rPr>
          <w:sz w:val="24"/>
        </w:rPr>
        <w:t>developed</w:t>
      </w:r>
      <w:r>
        <w:rPr>
          <w:spacing w:val="-1"/>
          <w:sz w:val="24"/>
        </w:rPr>
        <w:t xml:space="preserve"> </w:t>
      </w:r>
      <w:r>
        <w:rPr>
          <w:sz w:val="24"/>
        </w:rPr>
        <w:t>in</w:t>
      </w:r>
      <w:r>
        <w:rPr>
          <w:spacing w:val="-6"/>
          <w:sz w:val="24"/>
        </w:rPr>
        <w:t xml:space="preserve"> </w:t>
      </w:r>
      <w:r>
        <w:rPr>
          <w:sz w:val="24"/>
        </w:rPr>
        <w:t>public</w:t>
      </w:r>
      <w:r>
        <w:rPr>
          <w:spacing w:val="-2"/>
          <w:sz w:val="24"/>
        </w:rPr>
        <w:t xml:space="preserve"> </w:t>
      </w:r>
      <w:r>
        <w:rPr>
          <w:sz w:val="24"/>
        </w:rPr>
        <w:t>meetings</w:t>
      </w:r>
      <w:r>
        <w:rPr>
          <w:spacing w:val="-3"/>
          <w:sz w:val="24"/>
        </w:rPr>
        <w:t xml:space="preserve"> </w:t>
      </w:r>
      <w:r>
        <w:rPr>
          <w:sz w:val="24"/>
        </w:rPr>
        <w:t>and</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subject</w:t>
      </w:r>
      <w:r>
        <w:rPr>
          <w:spacing w:val="-1"/>
          <w:sz w:val="24"/>
        </w:rPr>
        <w:t xml:space="preserve"> </w:t>
      </w:r>
      <w:r>
        <w:rPr>
          <w:sz w:val="24"/>
        </w:rPr>
        <w:t>to</w:t>
      </w:r>
      <w:r>
        <w:rPr>
          <w:spacing w:val="-6"/>
          <w:sz w:val="24"/>
        </w:rPr>
        <w:t xml:space="preserve"> </w:t>
      </w:r>
      <w:r>
        <w:rPr>
          <w:sz w:val="24"/>
        </w:rPr>
        <w:t>the</w:t>
      </w:r>
      <w:r>
        <w:rPr>
          <w:spacing w:val="-1"/>
          <w:sz w:val="24"/>
        </w:rPr>
        <w:t xml:space="preserve"> </w:t>
      </w:r>
      <w:r>
        <w:rPr>
          <w:sz w:val="24"/>
        </w:rPr>
        <w:t>same public scrutiny as pronouncements. However, these materials are subject to quality assurance processes to ensure they do not add or change requirements in the pronouncements and are clearly distinguished from pronouncements.</w:t>
      </w:r>
    </w:p>
    <w:p w14:paraId="1E8058B8" w14:textId="77777777" w:rsidR="00AA4A02" w:rsidRDefault="00960F31">
      <w:pPr>
        <w:pStyle w:val="ListParagraph"/>
        <w:numPr>
          <w:ilvl w:val="2"/>
          <w:numId w:val="33"/>
        </w:numPr>
        <w:tabs>
          <w:tab w:val="left" w:pos="852"/>
        </w:tabs>
        <w:spacing w:before="240"/>
        <w:ind w:right="428"/>
        <w:rPr>
          <w:sz w:val="24"/>
        </w:rPr>
      </w:pPr>
      <w:r>
        <w:rPr>
          <w:sz w:val="24"/>
        </w:rPr>
        <w:t>These</w:t>
      </w:r>
      <w:r>
        <w:rPr>
          <w:spacing w:val="-4"/>
          <w:sz w:val="24"/>
        </w:rPr>
        <w:t xml:space="preserve"> </w:t>
      </w:r>
      <w:r>
        <w:rPr>
          <w:sz w:val="24"/>
        </w:rPr>
        <w:t>quality</w:t>
      </w:r>
      <w:r>
        <w:rPr>
          <w:spacing w:val="-2"/>
          <w:sz w:val="24"/>
        </w:rPr>
        <w:t xml:space="preserve"> </w:t>
      </w:r>
      <w:r>
        <w:rPr>
          <w:sz w:val="24"/>
        </w:rPr>
        <w:t>assurance</w:t>
      </w:r>
      <w:r>
        <w:rPr>
          <w:spacing w:val="-3"/>
          <w:sz w:val="24"/>
        </w:rPr>
        <w:t xml:space="preserve"> </w:t>
      </w:r>
      <w:r>
        <w:rPr>
          <w:sz w:val="24"/>
        </w:rPr>
        <w:t>processes</w:t>
      </w:r>
      <w:r>
        <w:rPr>
          <w:spacing w:val="-5"/>
          <w:sz w:val="24"/>
        </w:rPr>
        <w:t xml:space="preserve"> </w:t>
      </w:r>
      <w:r>
        <w:rPr>
          <w:sz w:val="24"/>
        </w:rPr>
        <w:t>may</w:t>
      </w:r>
      <w:r>
        <w:rPr>
          <w:spacing w:val="-3"/>
          <w:sz w:val="24"/>
        </w:rPr>
        <w:t xml:space="preserve"> </w:t>
      </w:r>
      <w:r>
        <w:rPr>
          <w:sz w:val="24"/>
        </w:rPr>
        <w:t>include</w:t>
      </w:r>
      <w:r>
        <w:rPr>
          <w:spacing w:val="-3"/>
          <w:sz w:val="24"/>
        </w:rPr>
        <w:t xml:space="preserve"> </w:t>
      </w:r>
      <w:r>
        <w:rPr>
          <w:sz w:val="24"/>
        </w:rPr>
        <w:t>obtaining</w:t>
      </w:r>
      <w:r>
        <w:rPr>
          <w:spacing w:val="-2"/>
          <w:sz w:val="24"/>
        </w:rPr>
        <w:t xml:space="preserve"> </w:t>
      </w:r>
      <w:r>
        <w:rPr>
          <w:sz w:val="24"/>
        </w:rPr>
        <w:t>input</w:t>
      </w:r>
      <w:r>
        <w:rPr>
          <w:spacing w:val="-7"/>
          <w:sz w:val="24"/>
        </w:rPr>
        <w:t xml:space="preserve"> </w:t>
      </w:r>
      <w:r>
        <w:rPr>
          <w:sz w:val="24"/>
        </w:rPr>
        <w:t>from</w:t>
      </w:r>
      <w:r>
        <w:rPr>
          <w:spacing w:val="-6"/>
          <w:sz w:val="24"/>
        </w:rPr>
        <w:t xml:space="preserve"> </w:t>
      </w:r>
      <w:r>
        <w:rPr>
          <w:sz w:val="24"/>
        </w:rPr>
        <w:t>relevant</w:t>
      </w:r>
      <w:r>
        <w:rPr>
          <w:spacing w:val="-2"/>
          <w:sz w:val="24"/>
        </w:rPr>
        <w:t xml:space="preserve"> </w:t>
      </w:r>
      <w:r>
        <w:rPr>
          <w:sz w:val="24"/>
        </w:rPr>
        <w:t>Advisory Panels, Board</w:t>
      </w:r>
      <w:r>
        <w:rPr>
          <w:spacing w:val="-1"/>
          <w:sz w:val="24"/>
        </w:rPr>
        <w:t xml:space="preserve"> </w:t>
      </w:r>
      <w:r>
        <w:rPr>
          <w:sz w:val="24"/>
        </w:rPr>
        <w:t>committees</w:t>
      </w:r>
      <w:r>
        <w:rPr>
          <w:spacing w:val="-2"/>
          <w:sz w:val="24"/>
        </w:rPr>
        <w:t xml:space="preserve"> </w:t>
      </w:r>
      <w:r>
        <w:rPr>
          <w:sz w:val="24"/>
        </w:rPr>
        <w:t>and/or</w:t>
      </w:r>
      <w:r>
        <w:rPr>
          <w:spacing w:val="-3"/>
          <w:sz w:val="24"/>
        </w:rPr>
        <w:t xml:space="preserve"> </w:t>
      </w:r>
      <w:r>
        <w:rPr>
          <w:sz w:val="24"/>
        </w:rPr>
        <w:t>the</w:t>
      </w:r>
      <w:r>
        <w:rPr>
          <w:spacing w:val="-1"/>
          <w:sz w:val="24"/>
        </w:rPr>
        <w:t xml:space="preserve"> </w:t>
      </w:r>
      <w:r>
        <w:rPr>
          <w:sz w:val="24"/>
        </w:rPr>
        <w:t>AASB</w:t>
      </w:r>
      <w:r>
        <w:rPr>
          <w:spacing w:val="-2"/>
          <w:sz w:val="24"/>
        </w:rPr>
        <w:t xml:space="preserve"> </w:t>
      </w:r>
      <w:r>
        <w:rPr>
          <w:sz w:val="24"/>
        </w:rPr>
        <w:t>Chair.</w:t>
      </w:r>
      <w:r>
        <w:rPr>
          <w:spacing w:val="-3"/>
          <w:sz w:val="24"/>
        </w:rPr>
        <w:t xml:space="preserve"> </w:t>
      </w:r>
      <w:r>
        <w:rPr>
          <w:sz w:val="24"/>
        </w:rPr>
        <w:t>Targeted consultations</w:t>
      </w:r>
      <w:r>
        <w:rPr>
          <w:spacing w:val="-2"/>
          <w:sz w:val="24"/>
        </w:rPr>
        <w:t xml:space="preserve"> </w:t>
      </w:r>
      <w:r>
        <w:rPr>
          <w:sz w:val="24"/>
        </w:rPr>
        <w:t>may</w:t>
      </w:r>
      <w:r>
        <w:rPr>
          <w:spacing w:val="-1"/>
          <w:sz w:val="24"/>
        </w:rPr>
        <w:t xml:space="preserve"> </w:t>
      </w:r>
      <w:r>
        <w:rPr>
          <w:sz w:val="24"/>
        </w:rPr>
        <w:t>also</w:t>
      </w:r>
      <w:r>
        <w:rPr>
          <w:spacing w:val="-1"/>
          <w:sz w:val="24"/>
        </w:rPr>
        <w:t xml:space="preserve"> </w:t>
      </w:r>
      <w:r>
        <w:rPr>
          <w:sz w:val="24"/>
        </w:rPr>
        <w:t>be conducted. All such educational material must be approved by the AASB Technical Director, and where such materials include a significant new example demonstrating how the requirements might apply to a particular fact pattern, are reviewed at a minimum by the AASB Chair and at least one other Board member.</w:t>
      </w:r>
    </w:p>
    <w:p w14:paraId="1E8058B9" w14:textId="77777777" w:rsidR="00AA4A02" w:rsidRDefault="00AA4A02">
      <w:pPr>
        <w:pStyle w:val="BodyText"/>
        <w:rPr>
          <w:sz w:val="20"/>
        </w:rPr>
      </w:pPr>
    </w:p>
    <w:p w14:paraId="1E8058BA" w14:textId="77777777" w:rsidR="00AA4A02" w:rsidRDefault="00AA4A02">
      <w:pPr>
        <w:pStyle w:val="BodyText"/>
        <w:rPr>
          <w:sz w:val="20"/>
        </w:rPr>
      </w:pPr>
    </w:p>
    <w:p w14:paraId="1E8058BB" w14:textId="77777777" w:rsidR="00AA4A02" w:rsidRDefault="00AA4A02">
      <w:pPr>
        <w:pStyle w:val="BodyText"/>
        <w:rPr>
          <w:sz w:val="20"/>
        </w:rPr>
      </w:pPr>
    </w:p>
    <w:p w14:paraId="1E8058BC" w14:textId="77777777" w:rsidR="00AA4A02" w:rsidRDefault="00960F31">
      <w:pPr>
        <w:pStyle w:val="BodyText"/>
        <w:spacing w:before="63"/>
        <w:rPr>
          <w:sz w:val="20"/>
        </w:rPr>
      </w:pPr>
      <w:r>
        <w:rPr>
          <w:noProof/>
          <w:sz w:val="20"/>
        </w:rPr>
        <mc:AlternateContent>
          <mc:Choice Requires="wps">
            <w:drawing>
              <wp:anchor distT="0" distB="0" distL="0" distR="0" simplePos="0" relativeHeight="487597056" behindDoc="1" locked="0" layoutInCell="1" allowOverlap="1" wp14:anchorId="1E805F37" wp14:editId="1E805F38">
                <wp:simplePos x="0" y="0"/>
                <wp:positionH relativeFrom="page">
                  <wp:posOffset>899464</wp:posOffset>
                </wp:positionH>
                <wp:positionV relativeFrom="paragraph">
                  <wp:posOffset>201851</wp:posOffset>
                </wp:positionV>
                <wp:extent cx="183007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8CF4F" id="Graphic 37" o:spid="_x0000_s1026" style="position:absolute;margin-left:70.8pt;margin-top:15.9pt;width:144.1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" path="m1829689,l,,,6095r1829689,l1829689,xe" fillcolor="black" stroked="f">
                <v:path arrowok="t"/>
                <w10:wrap type="topAndBottom" anchorx="page"/>
              </v:shape>
            </w:pict>
          </mc:Fallback>
        </mc:AlternateContent>
      </w:r>
    </w:p>
    <w:p w14:paraId="1E8058BD" w14:textId="77777777" w:rsidR="00AA4A02" w:rsidRDefault="00960F31">
      <w:pPr>
        <w:pStyle w:val="ListParagraph"/>
        <w:numPr>
          <w:ilvl w:val="0"/>
          <w:numId w:val="53"/>
        </w:numPr>
        <w:tabs>
          <w:tab w:val="left" w:pos="481"/>
        </w:tabs>
        <w:spacing w:before="106"/>
        <w:ind w:left="481" w:hanging="340"/>
        <w:rPr>
          <w:sz w:val="20"/>
        </w:rPr>
      </w:pPr>
      <w:r>
        <w:rPr>
          <w:sz w:val="20"/>
        </w:rPr>
        <w:t>See</w:t>
      </w:r>
      <w:r>
        <w:rPr>
          <w:spacing w:val="-5"/>
          <w:sz w:val="20"/>
        </w:rPr>
        <w:t xml:space="preserve"> </w:t>
      </w:r>
      <w:r>
        <w:rPr>
          <w:sz w:val="20"/>
        </w:rPr>
        <w:t>the</w:t>
      </w:r>
      <w:r>
        <w:rPr>
          <w:spacing w:val="-4"/>
          <w:sz w:val="20"/>
        </w:rPr>
        <w:t xml:space="preserve"> </w:t>
      </w:r>
      <w:hyperlink r:id="rId42">
        <w:r>
          <w:rPr>
            <w:i/>
            <w:sz w:val="20"/>
            <w:u w:val="single"/>
          </w:rPr>
          <w:t>AASB</w:t>
        </w:r>
        <w:r>
          <w:rPr>
            <w:i/>
            <w:spacing w:val="-4"/>
            <w:sz w:val="20"/>
            <w:u w:val="single"/>
          </w:rPr>
          <w:t xml:space="preserve"> </w:t>
        </w:r>
        <w:r>
          <w:rPr>
            <w:i/>
            <w:sz w:val="20"/>
            <w:u w:val="single"/>
          </w:rPr>
          <w:t>Education</w:t>
        </w:r>
        <w:r>
          <w:rPr>
            <w:i/>
            <w:spacing w:val="-5"/>
            <w:sz w:val="20"/>
            <w:u w:val="single"/>
          </w:rPr>
          <w:t xml:space="preserve"> </w:t>
        </w:r>
        <w:r>
          <w:rPr>
            <w:i/>
            <w:spacing w:val="-2"/>
            <w:sz w:val="20"/>
            <w:u w:val="single"/>
          </w:rPr>
          <w:t>Strategy</w:t>
        </w:r>
        <w:r>
          <w:rPr>
            <w:spacing w:val="-2"/>
            <w:sz w:val="20"/>
          </w:rPr>
          <w:t>.</w:t>
        </w:r>
      </w:hyperlink>
    </w:p>
    <w:p w14:paraId="1E8058BE"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BF" w14:textId="77777777" w:rsidR="00AA4A02" w:rsidRDefault="00960F31">
      <w:pPr>
        <w:pStyle w:val="ListParagraph"/>
        <w:numPr>
          <w:ilvl w:val="2"/>
          <w:numId w:val="33"/>
        </w:numPr>
        <w:tabs>
          <w:tab w:val="left" w:pos="852"/>
        </w:tabs>
        <w:spacing w:before="80" w:line="247" w:lineRule="auto"/>
        <w:ind w:right="848"/>
        <w:rPr>
          <w:sz w:val="24"/>
        </w:rPr>
      </w:pPr>
      <w:r>
        <w:rPr>
          <w:sz w:val="24"/>
        </w:rPr>
        <w:lastRenderedPageBreak/>
        <w:t>Research</w:t>
      </w:r>
      <w:r>
        <w:rPr>
          <w:spacing w:val="-3"/>
          <w:sz w:val="24"/>
        </w:rPr>
        <w:t xml:space="preserve"> </w:t>
      </w:r>
      <w:r>
        <w:rPr>
          <w:sz w:val="24"/>
        </w:rPr>
        <w:t>Reports,</w:t>
      </w:r>
      <w:r>
        <w:rPr>
          <w:spacing w:val="-2"/>
          <w:sz w:val="24"/>
        </w:rPr>
        <w:t xml:space="preserve"> </w:t>
      </w:r>
      <w:r>
        <w:rPr>
          <w:sz w:val="24"/>
        </w:rPr>
        <w:t>Discussion</w:t>
      </w:r>
      <w:r>
        <w:rPr>
          <w:spacing w:val="-3"/>
          <w:sz w:val="24"/>
        </w:rPr>
        <w:t xml:space="preserve"> </w:t>
      </w:r>
      <w:r>
        <w:rPr>
          <w:sz w:val="24"/>
        </w:rPr>
        <w:t>Papers,</w:t>
      </w:r>
      <w:r>
        <w:rPr>
          <w:spacing w:val="-2"/>
          <w:sz w:val="24"/>
        </w:rPr>
        <w:t xml:space="preserve"> </w:t>
      </w:r>
      <w:r>
        <w:rPr>
          <w:sz w:val="24"/>
        </w:rPr>
        <w:t>bulletins</w:t>
      </w:r>
      <w:r>
        <w:rPr>
          <w:spacing w:val="-5"/>
          <w:sz w:val="24"/>
        </w:rPr>
        <w:t xml:space="preserve"> </w:t>
      </w:r>
      <w:r>
        <w:rPr>
          <w:sz w:val="24"/>
        </w:rPr>
        <w:t>and</w:t>
      </w:r>
      <w:r>
        <w:rPr>
          <w:spacing w:val="-9"/>
          <w:sz w:val="24"/>
        </w:rPr>
        <w:t xml:space="preserve"> </w:t>
      </w:r>
      <w:r>
        <w:rPr>
          <w:sz w:val="24"/>
        </w:rPr>
        <w:t>other</w:t>
      </w:r>
      <w:r>
        <w:rPr>
          <w:spacing w:val="-3"/>
          <w:sz w:val="24"/>
        </w:rPr>
        <w:t xml:space="preserve"> </w:t>
      </w:r>
      <w:r>
        <w:rPr>
          <w:sz w:val="24"/>
        </w:rPr>
        <w:t>educational</w:t>
      </w:r>
      <w:r>
        <w:rPr>
          <w:spacing w:val="-3"/>
          <w:sz w:val="24"/>
        </w:rPr>
        <w:t xml:space="preserve"> </w:t>
      </w:r>
      <w:r>
        <w:rPr>
          <w:sz w:val="24"/>
        </w:rPr>
        <w:t>materials</w:t>
      </w:r>
      <w:r>
        <w:rPr>
          <w:spacing w:val="-5"/>
          <w:sz w:val="24"/>
        </w:rPr>
        <w:t xml:space="preserve"> </w:t>
      </w:r>
      <w:r>
        <w:rPr>
          <w:sz w:val="24"/>
        </w:rPr>
        <w:t>are subject to review as follows:</w:t>
      </w:r>
    </w:p>
    <w:p w14:paraId="1E8058C0" w14:textId="77777777" w:rsidR="00AA4A02" w:rsidRDefault="00960F31">
      <w:pPr>
        <w:pStyle w:val="ListParagraph"/>
        <w:numPr>
          <w:ilvl w:val="3"/>
          <w:numId w:val="33"/>
        </w:numPr>
        <w:tabs>
          <w:tab w:val="left" w:pos="1558"/>
        </w:tabs>
        <w:spacing w:before="224" w:line="247" w:lineRule="auto"/>
        <w:ind w:right="1073"/>
        <w:rPr>
          <w:sz w:val="24"/>
        </w:rPr>
      </w:pPr>
      <w:r>
        <w:rPr>
          <w:sz w:val="24"/>
        </w:rPr>
        <w:t>if</w:t>
      </w:r>
      <w:r>
        <w:rPr>
          <w:spacing w:val="-1"/>
          <w:sz w:val="24"/>
        </w:rPr>
        <w:t xml:space="preserve"> </w:t>
      </w:r>
      <w:r>
        <w:rPr>
          <w:sz w:val="24"/>
        </w:rPr>
        <w:t>the</w:t>
      </w:r>
      <w:r>
        <w:rPr>
          <w:spacing w:val="-8"/>
          <w:sz w:val="24"/>
        </w:rPr>
        <w:t xml:space="preserve"> </w:t>
      </w:r>
      <w:r>
        <w:rPr>
          <w:sz w:val="24"/>
        </w:rPr>
        <w:t>material</w:t>
      </w:r>
      <w:r>
        <w:rPr>
          <w:spacing w:val="-3"/>
          <w:sz w:val="24"/>
        </w:rPr>
        <w:t xml:space="preserve"> </w:t>
      </w:r>
      <w:r>
        <w:rPr>
          <w:sz w:val="24"/>
        </w:rPr>
        <w:t>interprets</w:t>
      </w:r>
      <w:r>
        <w:rPr>
          <w:spacing w:val="-5"/>
          <w:sz w:val="24"/>
        </w:rPr>
        <w:t xml:space="preserve"> </w:t>
      </w:r>
      <w:r>
        <w:rPr>
          <w:sz w:val="24"/>
        </w:rPr>
        <w:t>pronouncements</w:t>
      </w:r>
      <w:r>
        <w:rPr>
          <w:spacing w:val="-1"/>
          <w:sz w:val="24"/>
        </w:rPr>
        <w:t xml:space="preserve"> </w:t>
      </w:r>
      <w:r>
        <w:rPr>
          <w:sz w:val="24"/>
        </w:rPr>
        <w:t>–</w:t>
      </w:r>
      <w:r>
        <w:rPr>
          <w:spacing w:val="-8"/>
          <w:sz w:val="24"/>
        </w:rPr>
        <w:t xml:space="preserve"> </w:t>
      </w:r>
      <w:r>
        <w:rPr>
          <w:sz w:val="24"/>
        </w:rPr>
        <w:t>the</w:t>
      </w:r>
      <w:r>
        <w:rPr>
          <w:spacing w:val="-4"/>
          <w:sz w:val="24"/>
        </w:rPr>
        <w:t xml:space="preserve"> </w:t>
      </w:r>
      <w:r>
        <w:rPr>
          <w:sz w:val="24"/>
        </w:rPr>
        <w:t>AASB</w:t>
      </w:r>
      <w:r>
        <w:rPr>
          <w:spacing w:val="-5"/>
          <w:sz w:val="24"/>
        </w:rPr>
        <w:t xml:space="preserve"> </w:t>
      </w:r>
      <w:r>
        <w:rPr>
          <w:sz w:val="24"/>
        </w:rPr>
        <w:t>Board</w:t>
      </w:r>
      <w:r>
        <w:rPr>
          <w:spacing w:val="-3"/>
          <w:sz w:val="24"/>
        </w:rPr>
        <w:t xml:space="preserve"> </w:t>
      </w:r>
      <w:r>
        <w:rPr>
          <w:sz w:val="24"/>
        </w:rPr>
        <w:t>reviews</w:t>
      </w:r>
      <w:r>
        <w:rPr>
          <w:spacing w:val="-5"/>
          <w:sz w:val="24"/>
        </w:rPr>
        <w:t xml:space="preserve"> </w:t>
      </w:r>
      <w:r>
        <w:rPr>
          <w:sz w:val="24"/>
        </w:rPr>
        <w:t>the material prior to finalisation;</w:t>
      </w:r>
    </w:p>
    <w:p w14:paraId="1E8058C1" w14:textId="77777777" w:rsidR="00AA4A02" w:rsidRDefault="00960F31">
      <w:pPr>
        <w:pStyle w:val="ListParagraph"/>
        <w:numPr>
          <w:ilvl w:val="3"/>
          <w:numId w:val="33"/>
        </w:numPr>
        <w:tabs>
          <w:tab w:val="left" w:pos="1558"/>
        </w:tabs>
        <w:spacing w:before="223" w:line="247" w:lineRule="auto"/>
        <w:ind w:right="586"/>
        <w:rPr>
          <w:sz w:val="24"/>
        </w:rPr>
      </w:pPr>
      <w:r>
        <w:rPr>
          <w:sz w:val="24"/>
        </w:rPr>
        <w:t>illustrative</w:t>
      </w:r>
      <w:r>
        <w:rPr>
          <w:spacing w:val="-3"/>
          <w:sz w:val="24"/>
        </w:rPr>
        <w:t xml:space="preserve"> </w:t>
      </w:r>
      <w:r>
        <w:rPr>
          <w:sz w:val="24"/>
        </w:rPr>
        <w:t>examples</w:t>
      </w:r>
      <w:r>
        <w:rPr>
          <w:spacing w:val="-2"/>
          <w:sz w:val="24"/>
        </w:rPr>
        <w:t xml:space="preserve"> </w:t>
      </w:r>
      <w:r>
        <w:rPr>
          <w:sz w:val="24"/>
        </w:rPr>
        <w:t>–</w:t>
      </w:r>
      <w:r>
        <w:rPr>
          <w:spacing w:val="-2"/>
          <w:sz w:val="24"/>
        </w:rPr>
        <w:t xml:space="preserve"> </w:t>
      </w:r>
      <w:r>
        <w:rPr>
          <w:sz w:val="24"/>
        </w:rPr>
        <w:t>the</w:t>
      </w:r>
      <w:r>
        <w:rPr>
          <w:spacing w:val="-2"/>
          <w:sz w:val="24"/>
        </w:rPr>
        <w:t xml:space="preserve"> </w:t>
      </w:r>
      <w:r>
        <w:rPr>
          <w:sz w:val="24"/>
        </w:rPr>
        <w:t>AASB</w:t>
      </w:r>
      <w:r>
        <w:rPr>
          <w:spacing w:val="-4"/>
          <w:sz w:val="24"/>
        </w:rPr>
        <w:t xml:space="preserve"> </w:t>
      </w:r>
      <w:r>
        <w:rPr>
          <w:sz w:val="24"/>
        </w:rPr>
        <w:t>Chair</w:t>
      </w:r>
      <w:r>
        <w:rPr>
          <w:spacing w:val="-4"/>
          <w:sz w:val="24"/>
        </w:rPr>
        <w:t xml:space="preserve"> </w:t>
      </w:r>
      <w:r>
        <w:rPr>
          <w:sz w:val="24"/>
        </w:rPr>
        <w:t>and</w:t>
      </w:r>
      <w:r>
        <w:rPr>
          <w:spacing w:val="-2"/>
          <w:sz w:val="24"/>
        </w:rPr>
        <w:t xml:space="preserve"> </w:t>
      </w:r>
      <w:r>
        <w:rPr>
          <w:sz w:val="24"/>
        </w:rPr>
        <w:t>at</w:t>
      </w:r>
      <w:r>
        <w:rPr>
          <w:spacing w:val="-6"/>
          <w:sz w:val="24"/>
        </w:rPr>
        <w:t xml:space="preserve"> </w:t>
      </w:r>
      <w:r>
        <w:rPr>
          <w:sz w:val="24"/>
        </w:rPr>
        <w:t>least</w:t>
      </w:r>
      <w:r>
        <w:rPr>
          <w:spacing w:val="-1"/>
          <w:sz w:val="24"/>
        </w:rPr>
        <w:t xml:space="preserve"> </w:t>
      </w:r>
      <w:r>
        <w:rPr>
          <w:sz w:val="24"/>
        </w:rPr>
        <w:t>one</w:t>
      </w:r>
      <w:r>
        <w:rPr>
          <w:spacing w:val="-3"/>
          <w:sz w:val="24"/>
        </w:rPr>
        <w:t xml:space="preserve"> </w:t>
      </w:r>
      <w:r>
        <w:rPr>
          <w:sz w:val="24"/>
        </w:rPr>
        <w:t>other</w:t>
      </w:r>
      <w:r>
        <w:rPr>
          <w:spacing w:val="-5"/>
          <w:sz w:val="24"/>
        </w:rPr>
        <w:t xml:space="preserve"> </w:t>
      </w:r>
      <w:r>
        <w:rPr>
          <w:sz w:val="24"/>
        </w:rPr>
        <w:t>Board</w:t>
      </w:r>
      <w:r>
        <w:rPr>
          <w:spacing w:val="-2"/>
          <w:sz w:val="24"/>
        </w:rPr>
        <w:t xml:space="preserve"> </w:t>
      </w:r>
      <w:r>
        <w:rPr>
          <w:sz w:val="24"/>
        </w:rPr>
        <w:t xml:space="preserve">member; </w:t>
      </w:r>
      <w:r>
        <w:rPr>
          <w:spacing w:val="-4"/>
          <w:sz w:val="24"/>
        </w:rPr>
        <w:t>and</w:t>
      </w:r>
    </w:p>
    <w:p w14:paraId="1E8058C2" w14:textId="77777777" w:rsidR="00AA4A02" w:rsidRDefault="00960F31">
      <w:pPr>
        <w:pStyle w:val="ListParagraph"/>
        <w:numPr>
          <w:ilvl w:val="3"/>
          <w:numId w:val="33"/>
        </w:numPr>
        <w:tabs>
          <w:tab w:val="left" w:pos="1557"/>
        </w:tabs>
        <w:spacing w:before="229"/>
        <w:ind w:left="1557" w:hanging="705"/>
        <w:rPr>
          <w:sz w:val="24"/>
        </w:rPr>
      </w:pPr>
      <w:r>
        <w:rPr>
          <w:sz w:val="24"/>
        </w:rPr>
        <w:t>in any</w:t>
      </w:r>
      <w:r>
        <w:rPr>
          <w:spacing w:val="1"/>
          <w:sz w:val="24"/>
        </w:rPr>
        <w:t xml:space="preserve"> </w:t>
      </w:r>
      <w:r>
        <w:rPr>
          <w:sz w:val="24"/>
        </w:rPr>
        <w:t>other</w:t>
      </w:r>
      <w:r>
        <w:rPr>
          <w:spacing w:val="-2"/>
          <w:sz w:val="24"/>
        </w:rPr>
        <w:t xml:space="preserve"> </w:t>
      </w:r>
      <w:r>
        <w:rPr>
          <w:sz w:val="24"/>
        </w:rPr>
        <w:t>case</w:t>
      </w:r>
      <w:r>
        <w:rPr>
          <w:spacing w:val="2"/>
          <w:sz w:val="24"/>
        </w:rPr>
        <w:t xml:space="preserve"> </w:t>
      </w:r>
      <w:r>
        <w:rPr>
          <w:sz w:val="24"/>
        </w:rPr>
        <w:t>–</w:t>
      </w:r>
      <w:r>
        <w:rPr>
          <w:spacing w:val="1"/>
          <w:sz w:val="24"/>
        </w:rPr>
        <w:t xml:space="preserve"> </w:t>
      </w:r>
      <w:r>
        <w:rPr>
          <w:sz w:val="24"/>
        </w:rPr>
        <w:t xml:space="preserve">the AASB </w:t>
      </w:r>
      <w:r>
        <w:rPr>
          <w:spacing w:val="-2"/>
          <w:sz w:val="24"/>
        </w:rPr>
        <w:t>Chair.</w:t>
      </w:r>
    </w:p>
    <w:p w14:paraId="1E8058C3" w14:textId="77777777" w:rsidR="00AA4A02" w:rsidRDefault="00AA4A02">
      <w:pPr>
        <w:pStyle w:val="BodyText"/>
        <w:spacing w:before="202"/>
        <w:rPr>
          <w:sz w:val="24"/>
        </w:rPr>
      </w:pPr>
    </w:p>
    <w:p w14:paraId="1E8058C4" w14:textId="77777777" w:rsidR="00AA4A02" w:rsidRDefault="00960F31">
      <w:pPr>
        <w:pStyle w:val="Heading6"/>
        <w:numPr>
          <w:ilvl w:val="0"/>
          <w:numId w:val="54"/>
        </w:numPr>
        <w:tabs>
          <w:tab w:val="left" w:pos="852"/>
        </w:tabs>
      </w:pPr>
      <w:bookmarkStart w:id="30" w:name="_TOC_250021"/>
      <w:bookmarkEnd w:id="30"/>
      <w:r>
        <w:rPr>
          <w:spacing w:val="-2"/>
        </w:rPr>
        <w:t>Other</w:t>
      </w:r>
    </w:p>
    <w:p w14:paraId="1E8058C5" w14:textId="77777777" w:rsidR="00AA4A02" w:rsidRDefault="00960F31">
      <w:pPr>
        <w:pStyle w:val="Heading9"/>
        <w:spacing w:before="278"/>
      </w:pPr>
      <w:r>
        <w:t>Annual</w:t>
      </w:r>
      <w:r>
        <w:rPr>
          <w:spacing w:val="-1"/>
        </w:rPr>
        <w:t xml:space="preserve"> </w:t>
      </w:r>
      <w:r>
        <w:t xml:space="preserve">improvements and </w:t>
      </w:r>
      <w:r>
        <w:rPr>
          <w:spacing w:val="-2"/>
        </w:rPr>
        <w:t>editorials</w:t>
      </w:r>
    </w:p>
    <w:p w14:paraId="1E8058C6" w14:textId="77777777" w:rsidR="00AA4A02" w:rsidRDefault="00960F31">
      <w:pPr>
        <w:pStyle w:val="ListParagraph"/>
        <w:numPr>
          <w:ilvl w:val="2"/>
          <w:numId w:val="32"/>
        </w:numPr>
        <w:tabs>
          <w:tab w:val="left" w:pos="850"/>
          <w:tab w:val="left" w:pos="852"/>
        </w:tabs>
        <w:spacing w:before="238"/>
        <w:ind w:right="436"/>
        <w:rPr>
          <w:sz w:val="24"/>
        </w:rPr>
      </w:pPr>
      <w:r>
        <w:rPr>
          <w:sz w:val="24"/>
        </w:rPr>
        <w:t>As the Standards are generally legislative instruments, annual improvements and editorials must be made through another legislative instrument, ie amending</w:t>
      </w:r>
      <w:r>
        <w:rPr>
          <w:spacing w:val="40"/>
          <w:sz w:val="24"/>
        </w:rPr>
        <w:t xml:space="preserve"> </w:t>
      </w:r>
      <w:r>
        <w:rPr>
          <w:sz w:val="24"/>
        </w:rPr>
        <w:t>Standards. Some proposed amendments to pronouncements are sufficiently minor or narrow</w:t>
      </w:r>
      <w:r>
        <w:rPr>
          <w:spacing w:val="-1"/>
          <w:sz w:val="24"/>
        </w:rPr>
        <w:t xml:space="preserve"> </w:t>
      </w:r>
      <w:r>
        <w:rPr>
          <w:sz w:val="24"/>
        </w:rPr>
        <w:t>in</w:t>
      </w:r>
      <w:r>
        <w:rPr>
          <w:spacing w:val="-6"/>
          <w:sz w:val="24"/>
        </w:rPr>
        <w:t xml:space="preserve"> </w:t>
      </w:r>
      <w:r>
        <w:rPr>
          <w:sz w:val="24"/>
        </w:rPr>
        <w:t>scope</w:t>
      </w:r>
      <w:r>
        <w:rPr>
          <w:spacing w:val="-2"/>
          <w:sz w:val="24"/>
        </w:rPr>
        <w:t xml:space="preserve"> </w:t>
      </w:r>
      <w:r>
        <w:rPr>
          <w:sz w:val="24"/>
        </w:rPr>
        <w:t>that they</w:t>
      </w:r>
      <w:r>
        <w:rPr>
          <w:spacing w:val="-1"/>
          <w:sz w:val="24"/>
        </w:rPr>
        <w:t xml:space="preserve"> </w:t>
      </w:r>
      <w:r>
        <w:rPr>
          <w:sz w:val="24"/>
        </w:rPr>
        <w:t>can</w:t>
      </w:r>
      <w:r>
        <w:rPr>
          <w:spacing w:val="-1"/>
          <w:sz w:val="24"/>
        </w:rPr>
        <w:t xml:space="preserve"> </w:t>
      </w:r>
      <w:r>
        <w:rPr>
          <w:sz w:val="24"/>
        </w:rPr>
        <w:t>be</w:t>
      </w:r>
      <w:r>
        <w:rPr>
          <w:spacing w:val="-6"/>
          <w:sz w:val="24"/>
        </w:rPr>
        <w:t xml:space="preserve"> </w:t>
      </w:r>
      <w:r>
        <w:rPr>
          <w:sz w:val="24"/>
        </w:rPr>
        <w:t>packaged</w:t>
      </w:r>
      <w:r>
        <w:rPr>
          <w:spacing w:val="-1"/>
          <w:sz w:val="24"/>
        </w:rPr>
        <w:t xml:space="preserve"> </w:t>
      </w:r>
      <w:r>
        <w:rPr>
          <w:sz w:val="24"/>
        </w:rPr>
        <w:t>together in</w:t>
      </w:r>
      <w:r>
        <w:rPr>
          <w:spacing w:val="-1"/>
          <w:sz w:val="24"/>
        </w:rPr>
        <w:t xml:space="preserve"> </w:t>
      </w:r>
      <w:r>
        <w:rPr>
          <w:sz w:val="24"/>
        </w:rPr>
        <w:t>one</w:t>
      </w:r>
      <w:r>
        <w:rPr>
          <w:spacing w:val="-6"/>
          <w:sz w:val="24"/>
        </w:rPr>
        <w:t xml:space="preserve"> </w:t>
      </w:r>
      <w:r>
        <w:rPr>
          <w:sz w:val="24"/>
        </w:rPr>
        <w:t>ED</w:t>
      </w:r>
      <w:r>
        <w:rPr>
          <w:spacing w:val="-6"/>
          <w:sz w:val="24"/>
        </w:rPr>
        <w:t xml:space="preserve"> </w:t>
      </w:r>
      <w:r>
        <w:rPr>
          <w:sz w:val="24"/>
        </w:rPr>
        <w:t>or</w:t>
      </w:r>
      <w:r>
        <w:rPr>
          <w:spacing w:val="-4"/>
          <w:sz w:val="24"/>
        </w:rPr>
        <w:t xml:space="preserve"> </w:t>
      </w:r>
      <w:r>
        <w:rPr>
          <w:sz w:val="24"/>
        </w:rPr>
        <w:t>pronouncement,</w:t>
      </w:r>
      <w:r>
        <w:rPr>
          <w:spacing w:val="-3"/>
          <w:sz w:val="24"/>
        </w:rPr>
        <w:t xml:space="preserve"> </w:t>
      </w:r>
      <w:r>
        <w:rPr>
          <w:sz w:val="24"/>
        </w:rPr>
        <w:t xml:space="preserve">even though the amendments are unrelated. Such amendments may be called annual improvements. Such amendments are limited to changes to clarify wording or to correct minor unintended consequences, oversights or conflicts between existing </w:t>
      </w:r>
      <w:r>
        <w:rPr>
          <w:spacing w:val="-2"/>
          <w:sz w:val="24"/>
        </w:rPr>
        <w:t>requirements.</w:t>
      </w:r>
    </w:p>
    <w:p w14:paraId="1E8058C7" w14:textId="77777777" w:rsidR="00AA4A02" w:rsidRDefault="00960F31">
      <w:pPr>
        <w:pStyle w:val="ListParagraph"/>
        <w:numPr>
          <w:ilvl w:val="2"/>
          <w:numId w:val="32"/>
        </w:numPr>
        <w:tabs>
          <w:tab w:val="left" w:pos="850"/>
          <w:tab w:val="left" w:pos="852"/>
        </w:tabs>
        <w:spacing w:before="240"/>
        <w:ind w:right="627"/>
        <w:rPr>
          <w:sz w:val="24"/>
        </w:rPr>
      </w:pPr>
      <w:r>
        <w:rPr>
          <w:sz w:val="24"/>
        </w:rPr>
        <w:t>AASB technical staff may make</w:t>
      </w:r>
      <w:r>
        <w:rPr>
          <w:spacing w:val="-3"/>
          <w:sz w:val="24"/>
        </w:rPr>
        <w:t xml:space="preserve"> </w:t>
      </w:r>
      <w:r>
        <w:rPr>
          <w:sz w:val="24"/>
        </w:rPr>
        <w:t>editorial</w:t>
      </w:r>
      <w:r>
        <w:rPr>
          <w:spacing w:val="-1"/>
          <w:sz w:val="24"/>
        </w:rPr>
        <w:t xml:space="preserve"> </w:t>
      </w:r>
      <w:r>
        <w:rPr>
          <w:sz w:val="24"/>
        </w:rPr>
        <w:t>corrections to pronouncements (other than Standards to be registered on the FRL) after voting by the AASB and prior to publication</w:t>
      </w:r>
      <w:r>
        <w:rPr>
          <w:spacing w:val="-1"/>
          <w:sz w:val="24"/>
        </w:rPr>
        <w:t xml:space="preserve"> </w:t>
      </w:r>
      <w:r>
        <w:rPr>
          <w:sz w:val="24"/>
        </w:rPr>
        <w:t>on</w:t>
      </w:r>
      <w:r>
        <w:rPr>
          <w:spacing w:val="-2"/>
          <w:sz w:val="24"/>
        </w:rPr>
        <w:t xml:space="preserve"> </w:t>
      </w:r>
      <w:r>
        <w:rPr>
          <w:sz w:val="24"/>
        </w:rPr>
        <w:t>the</w:t>
      </w:r>
      <w:r>
        <w:rPr>
          <w:spacing w:val="-7"/>
          <w:sz w:val="24"/>
        </w:rPr>
        <w:t xml:space="preserve"> </w:t>
      </w:r>
      <w:r>
        <w:rPr>
          <w:sz w:val="24"/>
        </w:rPr>
        <w:t>AASB</w:t>
      </w:r>
      <w:r>
        <w:rPr>
          <w:spacing w:val="-3"/>
          <w:sz w:val="24"/>
        </w:rPr>
        <w:t xml:space="preserve"> </w:t>
      </w:r>
      <w:r>
        <w:rPr>
          <w:sz w:val="24"/>
        </w:rPr>
        <w:t>website</w:t>
      </w:r>
      <w:r>
        <w:rPr>
          <w:spacing w:val="-2"/>
          <w:sz w:val="24"/>
        </w:rPr>
        <w:t xml:space="preserve"> </w:t>
      </w:r>
      <w:r>
        <w:rPr>
          <w:sz w:val="24"/>
        </w:rPr>
        <w:t>to</w:t>
      </w:r>
      <w:r>
        <w:rPr>
          <w:spacing w:val="-2"/>
          <w:sz w:val="24"/>
        </w:rPr>
        <w:t xml:space="preserve"> </w:t>
      </w:r>
      <w:r>
        <w:rPr>
          <w:sz w:val="24"/>
        </w:rPr>
        <w:t>remedy</w:t>
      </w:r>
      <w:r>
        <w:rPr>
          <w:spacing w:val="-7"/>
          <w:sz w:val="24"/>
        </w:rPr>
        <w:t xml:space="preserve"> </w:t>
      </w:r>
      <w:r>
        <w:rPr>
          <w:sz w:val="24"/>
        </w:rPr>
        <w:t>drafting</w:t>
      </w:r>
      <w:r>
        <w:rPr>
          <w:spacing w:val="-1"/>
          <w:sz w:val="24"/>
        </w:rPr>
        <w:t xml:space="preserve"> </w:t>
      </w:r>
      <w:r>
        <w:rPr>
          <w:sz w:val="24"/>
        </w:rPr>
        <w:t>errors,</w:t>
      </w:r>
      <w:r>
        <w:rPr>
          <w:spacing w:val="-3"/>
          <w:sz w:val="24"/>
        </w:rPr>
        <w:t xml:space="preserve"> </w:t>
      </w:r>
      <w:r>
        <w:rPr>
          <w:sz w:val="24"/>
        </w:rPr>
        <w:t>provided</w:t>
      </w:r>
      <w:r>
        <w:rPr>
          <w:spacing w:val="-7"/>
          <w:sz w:val="24"/>
        </w:rPr>
        <w:t xml:space="preserve"> </w:t>
      </w:r>
      <w:r>
        <w:rPr>
          <w:sz w:val="24"/>
        </w:rPr>
        <w:t>the</w:t>
      </w:r>
      <w:r>
        <w:rPr>
          <w:spacing w:val="-2"/>
          <w:sz w:val="24"/>
        </w:rPr>
        <w:t xml:space="preserve"> </w:t>
      </w:r>
      <w:r>
        <w:rPr>
          <w:sz w:val="24"/>
        </w:rPr>
        <w:t xml:space="preserve">corrections do not alter the technical meaning of the text. Editorial corrections normally fix spelling errors, grammatical mistakes or incorrectly marked consequential </w:t>
      </w:r>
      <w:r>
        <w:rPr>
          <w:spacing w:val="-2"/>
          <w:sz w:val="24"/>
        </w:rPr>
        <w:t>amendments.</w:t>
      </w:r>
    </w:p>
    <w:p w14:paraId="1E8058C8" w14:textId="77777777" w:rsidR="00AA4A02" w:rsidRDefault="00960F31">
      <w:pPr>
        <w:pStyle w:val="ListParagraph"/>
        <w:numPr>
          <w:ilvl w:val="2"/>
          <w:numId w:val="32"/>
        </w:numPr>
        <w:tabs>
          <w:tab w:val="left" w:pos="850"/>
          <w:tab w:val="left" w:pos="852"/>
        </w:tabs>
        <w:spacing w:before="241"/>
        <w:ind w:right="701"/>
        <w:rPr>
          <w:sz w:val="24"/>
        </w:rPr>
      </w:pPr>
      <w:r>
        <w:rPr>
          <w:sz w:val="24"/>
        </w:rPr>
        <w:t>For Standards to be registered on the FRL, such editorials are corrected via an amending Standard. Where the AASB decides that the proposed amendments are editorial</w:t>
      </w:r>
      <w:r>
        <w:rPr>
          <w:spacing w:val="-1"/>
          <w:sz w:val="24"/>
        </w:rPr>
        <w:t xml:space="preserve"> </w:t>
      </w:r>
      <w:r>
        <w:rPr>
          <w:sz w:val="24"/>
        </w:rPr>
        <w:t>in</w:t>
      </w:r>
      <w:r>
        <w:rPr>
          <w:spacing w:val="-7"/>
          <w:sz w:val="24"/>
        </w:rPr>
        <w:t xml:space="preserve"> </w:t>
      </w:r>
      <w:r>
        <w:rPr>
          <w:sz w:val="24"/>
        </w:rPr>
        <w:t>nature</w:t>
      </w:r>
      <w:r>
        <w:rPr>
          <w:spacing w:val="-3"/>
          <w:sz w:val="24"/>
        </w:rPr>
        <w:t xml:space="preserve"> </w:t>
      </w:r>
      <w:r>
        <w:rPr>
          <w:sz w:val="24"/>
        </w:rPr>
        <w:t>and</w:t>
      </w:r>
      <w:r>
        <w:rPr>
          <w:spacing w:val="-1"/>
          <w:sz w:val="24"/>
        </w:rPr>
        <w:t xml:space="preserve"> </w:t>
      </w:r>
      <w:r>
        <w:rPr>
          <w:sz w:val="24"/>
        </w:rPr>
        <w:t>appropriate,</w:t>
      </w:r>
      <w:r>
        <w:rPr>
          <w:spacing w:val="-3"/>
          <w:sz w:val="24"/>
        </w:rPr>
        <w:t xml:space="preserve"> </w:t>
      </w:r>
      <w:r>
        <w:rPr>
          <w:sz w:val="24"/>
        </w:rPr>
        <w:t>the</w:t>
      </w:r>
      <w:r>
        <w:rPr>
          <w:spacing w:val="-2"/>
          <w:sz w:val="24"/>
        </w:rPr>
        <w:t xml:space="preserve"> </w:t>
      </w:r>
      <w:r>
        <w:rPr>
          <w:sz w:val="24"/>
        </w:rPr>
        <w:t>amending</w:t>
      </w:r>
      <w:r>
        <w:rPr>
          <w:spacing w:val="-6"/>
          <w:sz w:val="24"/>
        </w:rPr>
        <w:t xml:space="preserve"> </w:t>
      </w:r>
      <w:r>
        <w:rPr>
          <w:sz w:val="24"/>
        </w:rPr>
        <w:t>Standard</w:t>
      </w:r>
      <w:r>
        <w:rPr>
          <w:spacing w:val="-1"/>
          <w:sz w:val="24"/>
        </w:rPr>
        <w:t xml:space="preserve"> </w:t>
      </w:r>
      <w:r>
        <w:rPr>
          <w:sz w:val="24"/>
        </w:rPr>
        <w:t>is</w:t>
      </w:r>
      <w:r>
        <w:rPr>
          <w:spacing w:val="-4"/>
          <w:sz w:val="24"/>
        </w:rPr>
        <w:t xml:space="preserve"> </w:t>
      </w:r>
      <w:r>
        <w:rPr>
          <w:sz w:val="24"/>
        </w:rPr>
        <w:t>approved</w:t>
      </w:r>
      <w:r>
        <w:rPr>
          <w:spacing w:val="-1"/>
          <w:sz w:val="24"/>
        </w:rPr>
        <w:t xml:space="preserve"> </w:t>
      </w:r>
      <w:r>
        <w:rPr>
          <w:sz w:val="24"/>
        </w:rPr>
        <w:t>by</w:t>
      </w:r>
      <w:r>
        <w:rPr>
          <w:spacing w:val="-7"/>
          <w:sz w:val="24"/>
        </w:rPr>
        <w:t xml:space="preserve"> </w:t>
      </w:r>
      <w:r>
        <w:rPr>
          <w:sz w:val="24"/>
        </w:rPr>
        <w:t>the</w:t>
      </w:r>
      <w:r>
        <w:rPr>
          <w:spacing w:val="-2"/>
          <w:sz w:val="24"/>
        </w:rPr>
        <w:t xml:space="preserve"> </w:t>
      </w:r>
      <w:r>
        <w:rPr>
          <w:sz w:val="24"/>
        </w:rPr>
        <w:t>Board without further due process.</w:t>
      </w:r>
    </w:p>
    <w:p w14:paraId="1E8058C9" w14:textId="77777777" w:rsidR="00AA4A02" w:rsidRDefault="00AA4A02">
      <w:pPr>
        <w:pStyle w:val="BodyText"/>
        <w:spacing w:before="206"/>
        <w:rPr>
          <w:sz w:val="24"/>
        </w:rPr>
      </w:pPr>
    </w:p>
    <w:p w14:paraId="1E8058CA" w14:textId="77777777" w:rsidR="00AA4A02" w:rsidRDefault="00960F31">
      <w:pPr>
        <w:pStyle w:val="Heading6"/>
        <w:numPr>
          <w:ilvl w:val="0"/>
          <w:numId w:val="54"/>
        </w:numPr>
        <w:tabs>
          <w:tab w:val="left" w:pos="852"/>
        </w:tabs>
      </w:pPr>
      <w:bookmarkStart w:id="31" w:name="_TOC_250020"/>
      <w:r>
        <w:t>Protocols</w:t>
      </w:r>
      <w:r>
        <w:rPr>
          <w:spacing w:val="-4"/>
        </w:rPr>
        <w:t xml:space="preserve"> </w:t>
      </w:r>
      <w:r>
        <w:t>for</w:t>
      </w:r>
      <w:r>
        <w:rPr>
          <w:spacing w:val="-6"/>
        </w:rPr>
        <w:t xml:space="preserve"> </w:t>
      </w:r>
      <w:r>
        <w:t>Perceived</w:t>
      </w:r>
      <w:r>
        <w:rPr>
          <w:spacing w:val="-5"/>
        </w:rPr>
        <w:t xml:space="preserve"> </w:t>
      </w:r>
      <w:r>
        <w:t>Breaches</w:t>
      </w:r>
      <w:r>
        <w:rPr>
          <w:spacing w:val="-3"/>
        </w:rPr>
        <w:t xml:space="preserve"> </w:t>
      </w:r>
      <w:r>
        <w:t>of</w:t>
      </w:r>
      <w:r>
        <w:rPr>
          <w:spacing w:val="-9"/>
        </w:rPr>
        <w:t xml:space="preserve"> </w:t>
      </w:r>
      <w:r>
        <w:t>Due</w:t>
      </w:r>
      <w:r>
        <w:rPr>
          <w:spacing w:val="-6"/>
        </w:rPr>
        <w:t xml:space="preserve"> </w:t>
      </w:r>
      <w:bookmarkEnd w:id="31"/>
      <w:r>
        <w:rPr>
          <w:spacing w:val="-2"/>
        </w:rPr>
        <w:t>Process</w:t>
      </w:r>
    </w:p>
    <w:p w14:paraId="1E8058CB" w14:textId="77777777" w:rsidR="00AA4A02" w:rsidRDefault="00960F31">
      <w:pPr>
        <w:pStyle w:val="ListParagraph"/>
        <w:numPr>
          <w:ilvl w:val="1"/>
          <w:numId w:val="54"/>
        </w:numPr>
        <w:tabs>
          <w:tab w:val="left" w:pos="852"/>
        </w:tabs>
        <w:spacing w:before="272" w:line="242" w:lineRule="auto"/>
        <w:ind w:right="735"/>
        <w:rPr>
          <w:sz w:val="24"/>
        </w:rPr>
      </w:pPr>
      <w:r>
        <w:rPr>
          <w:sz w:val="24"/>
        </w:rPr>
        <w:t>Where</w:t>
      </w:r>
      <w:r>
        <w:rPr>
          <w:spacing w:val="-2"/>
          <w:sz w:val="24"/>
        </w:rPr>
        <w:t xml:space="preserve"> </w:t>
      </w:r>
      <w:r>
        <w:rPr>
          <w:sz w:val="24"/>
        </w:rPr>
        <w:t>a</w:t>
      </w:r>
      <w:r>
        <w:rPr>
          <w:spacing w:val="-2"/>
          <w:sz w:val="24"/>
        </w:rPr>
        <w:t xml:space="preserve"> </w:t>
      </w:r>
      <w:r>
        <w:rPr>
          <w:sz w:val="24"/>
        </w:rPr>
        <w:t>formal</w:t>
      </w:r>
      <w:r>
        <w:rPr>
          <w:spacing w:val="-5"/>
          <w:sz w:val="24"/>
        </w:rPr>
        <w:t xml:space="preserve"> </w:t>
      </w:r>
      <w:r>
        <w:rPr>
          <w:sz w:val="24"/>
        </w:rPr>
        <w:t>complaint</w:t>
      </w:r>
      <w:r>
        <w:rPr>
          <w:spacing w:val="-4"/>
          <w:sz w:val="24"/>
        </w:rPr>
        <w:t xml:space="preserve"> </w:t>
      </w:r>
      <w:r>
        <w:rPr>
          <w:sz w:val="24"/>
        </w:rPr>
        <w:t>regarding</w:t>
      </w:r>
      <w:r>
        <w:rPr>
          <w:spacing w:val="-1"/>
          <w:sz w:val="24"/>
        </w:rPr>
        <w:t xml:space="preserve"> </w:t>
      </w:r>
      <w:r>
        <w:rPr>
          <w:sz w:val="24"/>
        </w:rPr>
        <w:t>a</w:t>
      </w:r>
      <w:r>
        <w:rPr>
          <w:spacing w:val="-7"/>
          <w:sz w:val="24"/>
        </w:rPr>
        <w:t xml:space="preserve"> </w:t>
      </w:r>
      <w:r>
        <w:rPr>
          <w:sz w:val="24"/>
        </w:rPr>
        <w:t>breach</w:t>
      </w:r>
      <w:r>
        <w:rPr>
          <w:spacing w:val="-1"/>
          <w:sz w:val="24"/>
        </w:rPr>
        <w:t xml:space="preserve"> </w:t>
      </w:r>
      <w:r>
        <w:rPr>
          <w:sz w:val="24"/>
        </w:rPr>
        <w:t>of</w:t>
      </w:r>
      <w:r>
        <w:rPr>
          <w:spacing w:val="-4"/>
          <w:sz w:val="24"/>
        </w:rPr>
        <w:t xml:space="preserve"> </w:t>
      </w:r>
      <w:r>
        <w:rPr>
          <w:sz w:val="24"/>
        </w:rPr>
        <w:t>due</w:t>
      </w:r>
      <w:r>
        <w:rPr>
          <w:spacing w:val="-2"/>
          <w:sz w:val="24"/>
        </w:rPr>
        <w:t xml:space="preserve"> </w:t>
      </w:r>
      <w:r>
        <w:rPr>
          <w:sz w:val="24"/>
        </w:rPr>
        <w:t>process</w:t>
      </w:r>
      <w:r>
        <w:rPr>
          <w:spacing w:val="-2"/>
          <w:sz w:val="24"/>
        </w:rPr>
        <w:t xml:space="preserve"> </w:t>
      </w:r>
      <w:r>
        <w:rPr>
          <w:sz w:val="24"/>
        </w:rPr>
        <w:t>is</w:t>
      </w:r>
      <w:r>
        <w:rPr>
          <w:spacing w:val="-3"/>
          <w:sz w:val="24"/>
        </w:rPr>
        <w:t xml:space="preserve"> </w:t>
      </w:r>
      <w:r>
        <w:rPr>
          <w:sz w:val="24"/>
        </w:rPr>
        <w:t>advised</w:t>
      </w:r>
      <w:r>
        <w:rPr>
          <w:spacing w:val="-2"/>
          <w:sz w:val="24"/>
        </w:rPr>
        <w:t xml:space="preserve"> </w:t>
      </w:r>
      <w:r>
        <w:rPr>
          <w:sz w:val="24"/>
        </w:rPr>
        <w:t>to</w:t>
      </w:r>
      <w:r>
        <w:rPr>
          <w:spacing w:val="-2"/>
          <w:sz w:val="24"/>
        </w:rPr>
        <w:t xml:space="preserve"> </w:t>
      </w:r>
      <w:r>
        <w:rPr>
          <w:sz w:val="24"/>
        </w:rPr>
        <w:t>either the AASB Chair or the Financial Reporting Council Chair, the alleged breach will be assessed via the reporting process set out in this section.</w:t>
      </w:r>
    </w:p>
    <w:p w14:paraId="1E8058CC" w14:textId="77777777" w:rsidR="00AA4A02" w:rsidRDefault="00960F31">
      <w:pPr>
        <w:pStyle w:val="ListParagraph"/>
        <w:numPr>
          <w:ilvl w:val="1"/>
          <w:numId w:val="54"/>
        </w:numPr>
        <w:tabs>
          <w:tab w:val="left" w:pos="852"/>
        </w:tabs>
        <w:spacing w:before="235" w:line="242" w:lineRule="auto"/>
        <w:ind w:right="1001"/>
        <w:rPr>
          <w:sz w:val="24"/>
        </w:rPr>
      </w:pPr>
      <w:r>
        <w:rPr>
          <w:sz w:val="24"/>
        </w:rPr>
        <w:t>A</w:t>
      </w:r>
      <w:r>
        <w:rPr>
          <w:spacing w:val="-3"/>
          <w:sz w:val="24"/>
        </w:rPr>
        <w:t xml:space="preserve"> </w:t>
      </w:r>
      <w:r>
        <w:rPr>
          <w:sz w:val="24"/>
        </w:rPr>
        <w:t>formal</w:t>
      </w:r>
      <w:r>
        <w:rPr>
          <w:spacing w:val="-6"/>
          <w:sz w:val="24"/>
        </w:rPr>
        <w:t xml:space="preserve"> </w:t>
      </w:r>
      <w:r>
        <w:rPr>
          <w:sz w:val="24"/>
        </w:rPr>
        <w:t>complaint,</w:t>
      </w:r>
      <w:r>
        <w:rPr>
          <w:spacing w:val="-3"/>
          <w:sz w:val="24"/>
        </w:rPr>
        <w:t xml:space="preserve"> </w:t>
      </w:r>
      <w:r>
        <w:rPr>
          <w:sz w:val="24"/>
        </w:rPr>
        <w:t>together with</w:t>
      </w:r>
      <w:r>
        <w:rPr>
          <w:spacing w:val="-1"/>
          <w:sz w:val="24"/>
        </w:rPr>
        <w:t xml:space="preserve"> </w:t>
      </w:r>
      <w:r>
        <w:rPr>
          <w:sz w:val="24"/>
        </w:rPr>
        <w:t>the</w:t>
      </w:r>
      <w:r>
        <w:rPr>
          <w:spacing w:val="-2"/>
          <w:sz w:val="24"/>
        </w:rPr>
        <w:t xml:space="preserve"> </w:t>
      </w:r>
      <w:r>
        <w:rPr>
          <w:sz w:val="24"/>
        </w:rPr>
        <w:t>name</w:t>
      </w:r>
      <w:r>
        <w:rPr>
          <w:spacing w:val="-7"/>
          <w:sz w:val="24"/>
        </w:rPr>
        <w:t xml:space="preserve"> </w:t>
      </w:r>
      <w:r>
        <w:rPr>
          <w:sz w:val="24"/>
        </w:rPr>
        <w:t>and</w:t>
      </w:r>
      <w:r>
        <w:rPr>
          <w:spacing w:val="-2"/>
          <w:sz w:val="24"/>
        </w:rPr>
        <w:t xml:space="preserve"> </w:t>
      </w:r>
      <w:r>
        <w:rPr>
          <w:sz w:val="24"/>
        </w:rPr>
        <w:t>affiliation of the</w:t>
      </w:r>
      <w:r>
        <w:rPr>
          <w:spacing w:val="-7"/>
          <w:sz w:val="24"/>
        </w:rPr>
        <w:t xml:space="preserve"> </w:t>
      </w:r>
      <w:r>
        <w:rPr>
          <w:sz w:val="24"/>
        </w:rPr>
        <w:t>complainant,</w:t>
      </w:r>
      <w:r>
        <w:rPr>
          <w:spacing w:val="-4"/>
          <w:sz w:val="24"/>
        </w:rPr>
        <w:t xml:space="preserve"> </w:t>
      </w:r>
      <w:r>
        <w:rPr>
          <w:sz w:val="24"/>
        </w:rPr>
        <w:t>is posted on the AASB’s website.</w:t>
      </w:r>
    </w:p>
    <w:p w14:paraId="1E8058CD" w14:textId="77777777" w:rsidR="00AA4A02" w:rsidRDefault="00960F31">
      <w:pPr>
        <w:pStyle w:val="ListParagraph"/>
        <w:numPr>
          <w:ilvl w:val="1"/>
          <w:numId w:val="54"/>
        </w:numPr>
        <w:tabs>
          <w:tab w:val="left" w:pos="852"/>
        </w:tabs>
        <w:spacing w:before="237" w:line="237" w:lineRule="auto"/>
        <w:ind w:right="441"/>
        <w:rPr>
          <w:sz w:val="24"/>
        </w:rPr>
      </w:pPr>
      <w:r>
        <w:rPr>
          <w:sz w:val="24"/>
        </w:rPr>
        <w:t>AASB</w:t>
      </w:r>
      <w:r>
        <w:rPr>
          <w:spacing w:val="-3"/>
          <w:sz w:val="24"/>
        </w:rPr>
        <w:t xml:space="preserve"> </w:t>
      </w:r>
      <w:r>
        <w:rPr>
          <w:sz w:val="24"/>
        </w:rPr>
        <w:t>staff prepare</w:t>
      </w:r>
      <w:r>
        <w:rPr>
          <w:spacing w:val="-1"/>
          <w:sz w:val="24"/>
        </w:rPr>
        <w:t xml:space="preserve"> </w:t>
      </w:r>
      <w:r>
        <w:rPr>
          <w:sz w:val="24"/>
        </w:rPr>
        <w:t>a</w:t>
      </w:r>
      <w:r>
        <w:rPr>
          <w:spacing w:val="-7"/>
          <w:sz w:val="24"/>
        </w:rPr>
        <w:t xml:space="preserve"> </w:t>
      </w:r>
      <w:r>
        <w:rPr>
          <w:sz w:val="24"/>
        </w:rPr>
        <w:t>report</w:t>
      </w:r>
      <w:r>
        <w:rPr>
          <w:spacing w:val="-5"/>
          <w:sz w:val="24"/>
        </w:rPr>
        <w:t xml:space="preserve"> </w:t>
      </w:r>
      <w:r>
        <w:rPr>
          <w:sz w:val="24"/>
        </w:rPr>
        <w:t>in</w:t>
      </w:r>
      <w:r>
        <w:rPr>
          <w:spacing w:val="-5"/>
          <w:sz w:val="24"/>
        </w:rPr>
        <w:t xml:space="preserve"> </w:t>
      </w:r>
      <w:r>
        <w:rPr>
          <w:sz w:val="24"/>
        </w:rPr>
        <w:t>response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complaint.</w:t>
      </w:r>
      <w:r>
        <w:rPr>
          <w:spacing w:val="-3"/>
          <w:sz w:val="24"/>
        </w:rPr>
        <w:t xml:space="preserve"> </w:t>
      </w:r>
      <w:r>
        <w:rPr>
          <w:sz w:val="24"/>
        </w:rPr>
        <w:t>The</w:t>
      </w:r>
      <w:r>
        <w:rPr>
          <w:spacing w:val="-2"/>
          <w:sz w:val="24"/>
        </w:rPr>
        <w:t xml:space="preserve"> </w:t>
      </w:r>
      <w:r>
        <w:rPr>
          <w:sz w:val="24"/>
        </w:rPr>
        <w:t>report is</w:t>
      </w:r>
      <w:r>
        <w:rPr>
          <w:spacing w:val="-3"/>
          <w:sz w:val="24"/>
        </w:rPr>
        <w:t xml:space="preserve"> </w:t>
      </w:r>
      <w:r>
        <w:rPr>
          <w:sz w:val="24"/>
        </w:rPr>
        <w:t>provided</w:t>
      </w:r>
      <w:r>
        <w:rPr>
          <w:spacing w:val="-1"/>
          <w:sz w:val="24"/>
        </w:rPr>
        <w:t xml:space="preserve"> </w:t>
      </w:r>
      <w:r>
        <w:rPr>
          <w:sz w:val="24"/>
        </w:rPr>
        <w:t>to</w:t>
      </w:r>
      <w:r>
        <w:rPr>
          <w:spacing w:val="-6"/>
          <w:sz w:val="24"/>
        </w:rPr>
        <w:t xml:space="preserve"> </w:t>
      </w:r>
      <w:r>
        <w:rPr>
          <w:sz w:val="24"/>
        </w:rPr>
        <w:t>the FRC Chair and the AASB members, and is posted on the AASB’s website. The FRC</w:t>
      </w:r>
    </w:p>
    <w:p w14:paraId="1E8058CE" w14:textId="77777777" w:rsidR="00AA4A02" w:rsidRDefault="00AA4A02">
      <w:pPr>
        <w:pStyle w:val="ListParagraph"/>
        <w:spacing w:line="237" w:lineRule="auto"/>
        <w:rPr>
          <w:sz w:val="24"/>
        </w:rPr>
        <w:sectPr w:rsidR="00AA4A02">
          <w:pgSz w:w="11900" w:h="16840"/>
          <w:pgMar w:top="1600" w:right="992" w:bottom="920" w:left="1275" w:header="652" w:footer="724" w:gutter="0"/>
          <w:cols w:space="720"/>
        </w:sectPr>
      </w:pPr>
    </w:p>
    <w:p w14:paraId="1E8058CF" w14:textId="77777777" w:rsidR="00AA4A02" w:rsidRDefault="00960F31">
      <w:pPr>
        <w:spacing w:before="80" w:line="247" w:lineRule="auto"/>
        <w:ind w:left="852" w:right="616"/>
        <w:rPr>
          <w:sz w:val="24"/>
        </w:rPr>
      </w:pPr>
      <w:r>
        <w:rPr>
          <w:sz w:val="24"/>
        </w:rPr>
        <w:lastRenderedPageBreak/>
        <w:t>response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report, typically</w:t>
      </w:r>
      <w:r>
        <w:rPr>
          <w:spacing w:val="-6"/>
          <w:sz w:val="24"/>
        </w:rPr>
        <w:t xml:space="preserve"> </w:t>
      </w:r>
      <w:r>
        <w:rPr>
          <w:sz w:val="24"/>
        </w:rPr>
        <w:t>in</w:t>
      </w:r>
      <w:r>
        <w:rPr>
          <w:spacing w:val="-7"/>
          <w:sz w:val="24"/>
        </w:rPr>
        <w:t xml:space="preserve"> </w:t>
      </w:r>
      <w:r>
        <w:rPr>
          <w:sz w:val="24"/>
        </w:rPr>
        <w:t>the</w:t>
      </w:r>
      <w:r>
        <w:rPr>
          <w:spacing w:val="-2"/>
          <w:sz w:val="24"/>
        </w:rPr>
        <w:t xml:space="preserve"> </w:t>
      </w:r>
      <w:r>
        <w:rPr>
          <w:sz w:val="24"/>
        </w:rPr>
        <w:t>form</w:t>
      </w:r>
      <w:r>
        <w:rPr>
          <w:spacing w:val="-1"/>
          <w:sz w:val="24"/>
        </w:rPr>
        <w:t xml:space="preserve"> </w:t>
      </w:r>
      <w:r>
        <w:rPr>
          <w:sz w:val="24"/>
        </w:rPr>
        <w:t>of a</w:t>
      </w:r>
      <w:r>
        <w:rPr>
          <w:spacing w:val="-3"/>
          <w:sz w:val="24"/>
        </w:rPr>
        <w:t xml:space="preserve"> </w:t>
      </w:r>
      <w:r>
        <w:rPr>
          <w:sz w:val="24"/>
        </w:rPr>
        <w:t>letter</w:t>
      </w:r>
      <w:r>
        <w:rPr>
          <w:spacing w:val="-1"/>
          <w:sz w:val="24"/>
        </w:rPr>
        <w:t xml:space="preserve"> </w:t>
      </w:r>
      <w:r>
        <w:rPr>
          <w:sz w:val="24"/>
        </w:rPr>
        <w:t>to</w:t>
      </w:r>
      <w:r>
        <w:rPr>
          <w:spacing w:val="-6"/>
          <w:sz w:val="24"/>
        </w:rPr>
        <w:t xml:space="preserve"> </w:t>
      </w:r>
      <w:r>
        <w:rPr>
          <w:sz w:val="24"/>
        </w:rPr>
        <w:t>the</w:t>
      </w:r>
      <w:r>
        <w:rPr>
          <w:spacing w:val="-2"/>
          <w:sz w:val="24"/>
        </w:rPr>
        <w:t xml:space="preserve"> </w:t>
      </w:r>
      <w:r>
        <w:rPr>
          <w:sz w:val="24"/>
        </w:rPr>
        <w:t>complainant,</w:t>
      </w:r>
      <w:r>
        <w:rPr>
          <w:spacing w:val="-4"/>
          <w:sz w:val="24"/>
        </w:rPr>
        <w:t xml:space="preserve"> </w:t>
      </w:r>
      <w:r>
        <w:rPr>
          <w:sz w:val="24"/>
        </w:rPr>
        <w:t>is</w:t>
      </w:r>
      <w:r>
        <w:rPr>
          <w:spacing w:val="-4"/>
          <w:sz w:val="24"/>
        </w:rPr>
        <w:t xml:space="preserve"> </w:t>
      </w:r>
      <w:r>
        <w:rPr>
          <w:sz w:val="24"/>
        </w:rPr>
        <w:t>also posted on the AASB website.</w:t>
      </w:r>
    </w:p>
    <w:p w14:paraId="1E8058D0" w14:textId="77777777" w:rsidR="00AA4A02" w:rsidRDefault="00960F31">
      <w:pPr>
        <w:pStyle w:val="ListParagraph"/>
        <w:numPr>
          <w:ilvl w:val="1"/>
          <w:numId w:val="54"/>
        </w:numPr>
        <w:tabs>
          <w:tab w:val="left" w:pos="852"/>
        </w:tabs>
        <w:spacing w:before="228"/>
        <w:rPr>
          <w:sz w:val="24"/>
        </w:rPr>
      </w:pPr>
      <w:r>
        <w:rPr>
          <w:sz w:val="24"/>
        </w:rPr>
        <w:t>A</w:t>
      </w:r>
      <w:r>
        <w:rPr>
          <w:spacing w:val="-3"/>
          <w:sz w:val="24"/>
        </w:rPr>
        <w:t xml:space="preserve"> </w:t>
      </w:r>
      <w:r>
        <w:rPr>
          <w:sz w:val="24"/>
        </w:rPr>
        <w:t>breach</w:t>
      </w:r>
      <w:r>
        <w:rPr>
          <w:spacing w:val="2"/>
          <w:sz w:val="24"/>
        </w:rPr>
        <w:t xml:space="preserve"> </w:t>
      </w:r>
      <w:r>
        <w:rPr>
          <w:sz w:val="24"/>
        </w:rPr>
        <w:t>of</w:t>
      </w:r>
      <w:r>
        <w:rPr>
          <w:spacing w:val="-3"/>
          <w:sz w:val="24"/>
        </w:rPr>
        <w:t xml:space="preserve"> </w:t>
      </w:r>
      <w:r>
        <w:rPr>
          <w:sz w:val="24"/>
        </w:rPr>
        <w:t>due process</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invalidate</w:t>
      </w:r>
      <w:r>
        <w:rPr>
          <w:spacing w:val="1"/>
          <w:sz w:val="24"/>
        </w:rPr>
        <w:t xml:space="preserve"> </w:t>
      </w:r>
      <w:r>
        <w:rPr>
          <w:sz w:val="24"/>
        </w:rPr>
        <w:t>a</w:t>
      </w:r>
      <w:r>
        <w:rPr>
          <w:spacing w:val="-6"/>
          <w:sz w:val="24"/>
        </w:rPr>
        <w:t xml:space="preserve"> </w:t>
      </w:r>
      <w:r>
        <w:rPr>
          <w:sz w:val="24"/>
        </w:rPr>
        <w:t>pronouncement</w:t>
      </w:r>
      <w:r>
        <w:rPr>
          <w:spacing w:val="2"/>
          <w:sz w:val="24"/>
        </w:rPr>
        <w:t xml:space="preserve"> </w:t>
      </w:r>
      <w:r>
        <w:rPr>
          <w:sz w:val="24"/>
        </w:rPr>
        <w:t>issued by</w:t>
      </w:r>
      <w:r>
        <w:rPr>
          <w:spacing w:val="1"/>
          <w:sz w:val="24"/>
        </w:rPr>
        <w:t xml:space="preserve"> </w:t>
      </w:r>
      <w:r>
        <w:rPr>
          <w:sz w:val="24"/>
        </w:rPr>
        <w:t>the</w:t>
      </w:r>
      <w:r>
        <w:rPr>
          <w:spacing w:val="1"/>
          <w:sz w:val="24"/>
        </w:rPr>
        <w:t xml:space="preserve"> </w:t>
      </w:r>
      <w:r>
        <w:rPr>
          <w:spacing w:val="-2"/>
          <w:sz w:val="24"/>
        </w:rPr>
        <w:t>AASB.</w:t>
      </w:r>
    </w:p>
    <w:p w14:paraId="1E8058D1" w14:textId="77777777" w:rsidR="00AA4A02" w:rsidRDefault="00960F31">
      <w:pPr>
        <w:pStyle w:val="ListParagraph"/>
        <w:numPr>
          <w:ilvl w:val="1"/>
          <w:numId w:val="54"/>
        </w:numPr>
        <w:tabs>
          <w:tab w:val="left" w:pos="852"/>
        </w:tabs>
        <w:spacing w:before="238"/>
        <w:ind w:right="493"/>
        <w:rPr>
          <w:sz w:val="24"/>
        </w:rPr>
      </w:pPr>
      <w:r>
        <w:rPr>
          <w:sz w:val="24"/>
        </w:rPr>
        <w:t>If the FRC considers that the AASB has breached its due process, the FRC will request that the AASB takes action to remedy the breach either within the current phase</w:t>
      </w:r>
      <w:r>
        <w:rPr>
          <w:spacing w:val="-2"/>
          <w:sz w:val="24"/>
        </w:rPr>
        <w:t xml:space="preserve"> </w:t>
      </w:r>
      <w:r>
        <w:rPr>
          <w:sz w:val="24"/>
        </w:rPr>
        <w:t>of the</w:t>
      </w:r>
      <w:r>
        <w:rPr>
          <w:spacing w:val="-1"/>
          <w:sz w:val="24"/>
        </w:rPr>
        <w:t xml:space="preserve"> </w:t>
      </w:r>
      <w:r>
        <w:rPr>
          <w:sz w:val="24"/>
        </w:rPr>
        <w:t>project</w:t>
      </w:r>
      <w:r>
        <w:rPr>
          <w:spacing w:val="-4"/>
          <w:sz w:val="24"/>
        </w:rPr>
        <w:t xml:space="preserve"> </w:t>
      </w:r>
      <w:r>
        <w:rPr>
          <w:sz w:val="24"/>
        </w:rPr>
        <w:t>to</w:t>
      </w:r>
      <w:r>
        <w:rPr>
          <w:spacing w:val="-1"/>
          <w:sz w:val="24"/>
        </w:rPr>
        <w:t xml:space="preserve"> </w:t>
      </w:r>
      <w:r>
        <w:rPr>
          <w:sz w:val="24"/>
        </w:rPr>
        <w:t>which</w:t>
      </w:r>
      <w:r>
        <w:rPr>
          <w:spacing w:val="-6"/>
          <w:sz w:val="24"/>
        </w:rPr>
        <w:t xml:space="preserve"> </w:t>
      </w:r>
      <w:r>
        <w:rPr>
          <w:sz w:val="24"/>
        </w:rPr>
        <w:t>the</w:t>
      </w:r>
      <w:r>
        <w:rPr>
          <w:spacing w:val="-1"/>
          <w:sz w:val="24"/>
        </w:rPr>
        <w:t xml:space="preserve"> </w:t>
      </w:r>
      <w:r>
        <w:rPr>
          <w:sz w:val="24"/>
        </w:rPr>
        <w:t>breach</w:t>
      </w:r>
      <w:r>
        <w:rPr>
          <w:spacing w:val="-6"/>
          <w:sz w:val="24"/>
        </w:rPr>
        <w:t xml:space="preserve"> </w:t>
      </w:r>
      <w:r>
        <w:rPr>
          <w:sz w:val="24"/>
        </w:rPr>
        <w:t>relates</w:t>
      </w:r>
      <w:r>
        <w:rPr>
          <w:spacing w:val="-2"/>
          <w:sz w:val="24"/>
        </w:rPr>
        <w:t xml:space="preserve"> </w:t>
      </w:r>
      <w:r>
        <w:rPr>
          <w:sz w:val="24"/>
        </w:rPr>
        <w:t>or</w:t>
      </w:r>
      <w:r>
        <w:rPr>
          <w:spacing w:val="-4"/>
          <w:sz w:val="24"/>
        </w:rPr>
        <w:t xml:space="preserve"> </w:t>
      </w:r>
      <w:r>
        <w:rPr>
          <w:sz w:val="24"/>
        </w:rPr>
        <w:t>by</w:t>
      </w:r>
      <w:r>
        <w:rPr>
          <w:spacing w:val="-1"/>
          <w:sz w:val="24"/>
        </w:rPr>
        <w:t xml:space="preserve"> </w:t>
      </w:r>
      <w:r>
        <w:rPr>
          <w:sz w:val="24"/>
        </w:rPr>
        <w:t>taking some</w:t>
      </w:r>
      <w:r>
        <w:rPr>
          <w:spacing w:val="-2"/>
          <w:sz w:val="24"/>
        </w:rPr>
        <w:t xml:space="preserve"> </w:t>
      </w:r>
      <w:r>
        <w:rPr>
          <w:sz w:val="24"/>
        </w:rPr>
        <w:t>additional</w:t>
      </w:r>
      <w:r>
        <w:rPr>
          <w:spacing w:val="-5"/>
          <w:sz w:val="24"/>
        </w:rPr>
        <w:t xml:space="preserve"> </w:t>
      </w:r>
      <w:r>
        <w:rPr>
          <w:sz w:val="24"/>
        </w:rPr>
        <w:t>steps</w:t>
      </w:r>
      <w:r>
        <w:rPr>
          <w:spacing w:val="-3"/>
          <w:sz w:val="24"/>
        </w:rPr>
        <w:t xml:space="preserve"> </w:t>
      </w:r>
      <w:r>
        <w:rPr>
          <w:sz w:val="24"/>
        </w:rPr>
        <w:t>in</w:t>
      </w:r>
      <w:r>
        <w:rPr>
          <w:spacing w:val="-1"/>
          <w:sz w:val="24"/>
        </w:rPr>
        <w:t xml:space="preserve"> </w:t>
      </w:r>
      <w:r>
        <w:rPr>
          <w:sz w:val="24"/>
        </w:rPr>
        <w:t>a future phase of that project, such as the post-implementation review.</w:t>
      </w:r>
    </w:p>
    <w:p w14:paraId="1E8058D2" w14:textId="77777777" w:rsidR="00AA4A02" w:rsidRDefault="00960F31">
      <w:pPr>
        <w:pStyle w:val="ListParagraph"/>
        <w:numPr>
          <w:ilvl w:val="1"/>
          <w:numId w:val="54"/>
        </w:numPr>
        <w:tabs>
          <w:tab w:val="left" w:pos="852"/>
        </w:tabs>
        <w:spacing w:before="241" w:line="242" w:lineRule="auto"/>
        <w:ind w:right="1551"/>
        <w:rPr>
          <w:sz w:val="24"/>
        </w:rPr>
      </w:pPr>
      <w:r>
        <w:rPr>
          <w:sz w:val="24"/>
        </w:rPr>
        <w:t>The</w:t>
      </w:r>
      <w:r>
        <w:rPr>
          <w:spacing w:val="-3"/>
          <w:sz w:val="24"/>
        </w:rPr>
        <w:t xml:space="preserve"> </w:t>
      </w:r>
      <w:r>
        <w:rPr>
          <w:sz w:val="24"/>
        </w:rPr>
        <w:t>FRC</w:t>
      </w:r>
      <w:r>
        <w:rPr>
          <w:spacing w:val="-3"/>
          <w:sz w:val="24"/>
        </w:rPr>
        <w:t xml:space="preserve"> </w:t>
      </w:r>
      <w:r>
        <w:rPr>
          <w:sz w:val="24"/>
        </w:rPr>
        <w:t>is</w:t>
      </w:r>
      <w:r>
        <w:rPr>
          <w:spacing w:val="-4"/>
          <w:sz w:val="24"/>
        </w:rPr>
        <w:t xml:space="preserve"> </w:t>
      </w:r>
      <w:r>
        <w:rPr>
          <w:sz w:val="24"/>
        </w:rPr>
        <w:t>not</w:t>
      </w:r>
      <w:r>
        <w:rPr>
          <w:spacing w:val="-6"/>
          <w:sz w:val="24"/>
        </w:rPr>
        <w:t xml:space="preserve"> </w:t>
      </w:r>
      <w:r>
        <w:rPr>
          <w:sz w:val="24"/>
        </w:rPr>
        <w:t>permitted</w:t>
      </w:r>
      <w:r>
        <w:rPr>
          <w:spacing w:val="-5"/>
          <w:sz w:val="24"/>
        </w:rPr>
        <w:t xml:space="preserve"> </w:t>
      </w:r>
      <w:r>
        <w:rPr>
          <w:sz w:val="24"/>
        </w:rPr>
        <w:t>under the</w:t>
      </w:r>
      <w:r>
        <w:rPr>
          <w:spacing w:val="-7"/>
          <w:sz w:val="24"/>
        </w:rPr>
        <w:t xml:space="preserve"> </w:t>
      </w:r>
      <w:r>
        <w:rPr>
          <w:sz w:val="24"/>
        </w:rPr>
        <w:t>ASIC</w:t>
      </w:r>
      <w:r>
        <w:rPr>
          <w:spacing w:val="-4"/>
          <w:sz w:val="24"/>
        </w:rPr>
        <w:t xml:space="preserve"> </w:t>
      </w:r>
      <w:r>
        <w:rPr>
          <w:sz w:val="24"/>
        </w:rPr>
        <w:t>Act</w:t>
      </w:r>
      <w:r>
        <w:rPr>
          <w:spacing w:val="-6"/>
          <w:sz w:val="24"/>
        </w:rPr>
        <w:t xml:space="preserve"> </w:t>
      </w:r>
      <w:r>
        <w:rPr>
          <w:sz w:val="24"/>
        </w:rPr>
        <w:t>to</w:t>
      </w:r>
      <w:r>
        <w:rPr>
          <w:spacing w:val="-2"/>
          <w:sz w:val="24"/>
        </w:rPr>
        <w:t xml:space="preserve"> </w:t>
      </w:r>
      <w:r>
        <w:rPr>
          <w:sz w:val="24"/>
        </w:rPr>
        <w:t>raise</w:t>
      </w:r>
      <w:r>
        <w:rPr>
          <w:spacing w:val="-3"/>
          <w:sz w:val="24"/>
        </w:rPr>
        <w:t xml:space="preserve"> </w:t>
      </w:r>
      <w:r>
        <w:rPr>
          <w:sz w:val="24"/>
        </w:rPr>
        <w:t>technical</w:t>
      </w:r>
      <w:r>
        <w:rPr>
          <w:spacing w:val="-1"/>
          <w:sz w:val="24"/>
        </w:rPr>
        <w:t xml:space="preserve"> </w:t>
      </w:r>
      <w:r>
        <w:rPr>
          <w:sz w:val="24"/>
        </w:rPr>
        <w:t>accounting considerations as evidence of a breach of due process.</w:t>
      </w:r>
      <w:r>
        <w:rPr>
          <w:sz w:val="24"/>
          <w:vertAlign w:val="superscript"/>
        </w:rPr>
        <w:t>17</w:t>
      </w:r>
    </w:p>
    <w:p w14:paraId="1E8058D3" w14:textId="77777777" w:rsidR="00AA4A02" w:rsidRDefault="00AA4A02">
      <w:pPr>
        <w:pStyle w:val="BodyText"/>
        <w:rPr>
          <w:sz w:val="20"/>
        </w:rPr>
      </w:pPr>
    </w:p>
    <w:p w14:paraId="1E8058D4" w14:textId="77777777" w:rsidR="00AA4A02" w:rsidRDefault="00AA4A02">
      <w:pPr>
        <w:pStyle w:val="BodyText"/>
        <w:rPr>
          <w:sz w:val="20"/>
        </w:rPr>
      </w:pPr>
    </w:p>
    <w:p w14:paraId="1E8058D5" w14:textId="77777777" w:rsidR="00AA4A02" w:rsidRDefault="00960F31">
      <w:pPr>
        <w:pStyle w:val="BodyText"/>
        <w:spacing w:before="36"/>
        <w:rPr>
          <w:sz w:val="20"/>
        </w:rPr>
      </w:pPr>
      <w:r>
        <w:rPr>
          <w:noProof/>
          <w:sz w:val="20"/>
        </w:rPr>
        <mc:AlternateContent>
          <mc:Choice Requires="wps">
            <w:drawing>
              <wp:anchor distT="0" distB="0" distL="0" distR="0" simplePos="0" relativeHeight="487597568" behindDoc="1" locked="0" layoutInCell="1" allowOverlap="1" wp14:anchorId="1E805F39" wp14:editId="1E805F3A">
                <wp:simplePos x="0" y="0"/>
                <wp:positionH relativeFrom="page">
                  <wp:posOffset>2710942</wp:posOffset>
                </wp:positionH>
                <wp:positionV relativeFrom="paragraph">
                  <wp:posOffset>184708</wp:posOffset>
                </wp:positionV>
                <wp:extent cx="21336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AEDC5F" id="Graphic 38" o:spid="_x0000_s1026" style="position:absolute;margin-left:213.45pt;margin-top:14.55pt;width:16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" path="m,l2133600,e" filled="f" strokeweight=".48pt">
                <v:path arrowok="t"/>
                <w10:wrap type="topAndBottom" anchorx="page"/>
              </v:shape>
            </w:pict>
          </mc:Fallback>
        </mc:AlternateContent>
      </w:r>
    </w:p>
    <w:p w14:paraId="1E8058D6" w14:textId="77777777" w:rsidR="00AA4A02" w:rsidRDefault="00AA4A02">
      <w:pPr>
        <w:pStyle w:val="BodyText"/>
        <w:rPr>
          <w:sz w:val="20"/>
        </w:rPr>
      </w:pPr>
    </w:p>
    <w:p w14:paraId="1E8058D7" w14:textId="77777777" w:rsidR="00AA4A02" w:rsidRDefault="00AA4A02">
      <w:pPr>
        <w:pStyle w:val="BodyText"/>
        <w:rPr>
          <w:sz w:val="20"/>
        </w:rPr>
      </w:pPr>
    </w:p>
    <w:p w14:paraId="1E8058D8" w14:textId="77777777" w:rsidR="00AA4A02" w:rsidRDefault="00AA4A02">
      <w:pPr>
        <w:pStyle w:val="BodyText"/>
        <w:rPr>
          <w:sz w:val="20"/>
        </w:rPr>
      </w:pPr>
    </w:p>
    <w:p w14:paraId="1E8058D9" w14:textId="77777777" w:rsidR="00AA4A02" w:rsidRDefault="00AA4A02">
      <w:pPr>
        <w:pStyle w:val="BodyText"/>
        <w:rPr>
          <w:sz w:val="20"/>
        </w:rPr>
      </w:pPr>
    </w:p>
    <w:p w14:paraId="1E8058DA" w14:textId="77777777" w:rsidR="00AA4A02" w:rsidRDefault="00AA4A02">
      <w:pPr>
        <w:pStyle w:val="BodyText"/>
        <w:rPr>
          <w:sz w:val="20"/>
        </w:rPr>
      </w:pPr>
    </w:p>
    <w:p w14:paraId="1E8058DB" w14:textId="77777777" w:rsidR="00AA4A02" w:rsidRDefault="00AA4A02">
      <w:pPr>
        <w:pStyle w:val="BodyText"/>
        <w:rPr>
          <w:sz w:val="20"/>
        </w:rPr>
      </w:pPr>
    </w:p>
    <w:p w14:paraId="1E8058DC" w14:textId="77777777" w:rsidR="00AA4A02" w:rsidRDefault="00AA4A02">
      <w:pPr>
        <w:pStyle w:val="BodyText"/>
        <w:rPr>
          <w:sz w:val="20"/>
        </w:rPr>
      </w:pPr>
    </w:p>
    <w:p w14:paraId="1E8058DD" w14:textId="77777777" w:rsidR="00AA4A02" w:rsidRDefault="00AA4A02">
      <w:pPr>
        <w:pStyle w:val="BodyText"/>
        <w:rPr>
          <w:sz w:val="20"/>
        </w:rPr>
      </w:pPr>
    </w:p>
    <w:p w14:paraId="1E8058DE" w14:textId="77777777" w:rsidR="00AA4A02" w:rsidRDefault="00AA4A02">
      <w:pPr>
        <w:pStyle w:val="BodyText"/>
        <w:rPr>
          <w:sz w:val="20"/>
        </w:rPr>
      </w:pPr>
    </w:p>
    <w:p w14:paraId="1E8058DF" w14:textId="77777777" w:rsidR="00AA4A02" w:rsidRDefault="00AA4A02">
      <w:pPr>
        <w:pStyle w:val="BodyText"/>
        <w:rPr>
          <w:sz w:val="20"/>
        </w:rPr>
      </w:pPr>
    </w:p>
    <w:p w14:paraId="1E8058E0" w14:textId="77777777" w:rsidR="00AA4A02" w:rsidRDefault="00AA4A02">
      <w:pPr>
        <w:pStyle w:val="BodyText"/>
        <w:rPr>
          <w:sz w:val="20"/>
        </w:rPr>
      </w:pPr>
    </w:p>
    <w:p w14:paraId="1E8058E1" w14:textId="77777777" w:rsidR="00AA4A02" w:rsidRDefault="00AA4A02">
      <w:pPr>
        <w:pStyle w:val="BodyText"/>
        <w:rPr>
          <w:sz w:val="20"/>
        </w:rPr>
      </w:pPr>
    </w:p>
    <w:p w14:paraId="1E8058E2" w14:textId="77777777" w:rsidR="00AA4A02" w:rsidRDefault="00AA4A02">
      <w:pPr>
        <w:pStyle w:val="BodyText"/>
        <w:rPr>
          <w:sz w:val="20"/>
        </w:rPr>
      </w:pPr>
    </w:p>
    <w:p w14:paraId="1E8058E3" w14:textId="77777777" w:rsidR="00AA4A02" w:rsidRDefault="00AA4A02">
      <w:pPr>
        <w:pStyle w:val="BodyText"/>
        <w:rPr>
          <w:sz w:val="20"/>
        </w:rPr>
      </w:pPr>
    </w:p>
    <w:p w14:paraId="1E8058E4" w14:textId="77777777" w:rsidR="00AA4A02" w:rsidRDefault="00AA4A02">
      <w:pPr>
        <w:pStyle w:val="BodyText"/>
        <w:rPr>
          <w:sz w:val="20"/>
        </w:rPr>
      </w:pPr>
    </w:p>
    <w:p w14:paraId="1E8058E5" w14:textId="77777777" w:rsidR="00AA4A02" w:rsidRDefault="00AA4A02">
      <w:pPr>
        <w:pStyle w:val="BodyText"/>
        <w:rPr>
          <w:sz w:val="20"/>
        </w:rPr>
      </w:pPr>
    </w:p>
    <w:p w14:paraId="1E8058E6" w14:textId="77777777" w:rsidR="00AA4A02" w:rsidRDefault="00AA4A02">
      <w:pPr>
        <w:pStyle w:val="BodyText"/>
        <w:rPr>
          <w:sz w:val="20"/>
        </w:rPr>
      </w:pPr>
    </w:p>
    <w:p w14:paraId="1E8058E7" w14:textId="77777777" w:rsidR="00AA4A02" w:rsidRDefault="00AA4A02">
      <w:pPr>
        <w:pStyle w:val="BodyText"/>
        <w:rPr>
          <w:sz w:val="20"/>
        </w:rPr>
      </w:pPr>
    </w:p>
    <w:p w14:paraId="1E8058E8" w14:textId="77777777" w:rsidR="00AA4A02" w:rsidRDefault="00AA4A02">
      <w:pPr>
        <w:pStyle w:val="BodyText"/>
        <w:rPr>
          <w:sz w:val="20"/>
        </w:rPr>
      </w:pPr>
    </w:p>
    <w:p w14:paraId="1E8058E9" w14:textId="77777777" w:rsidR="00AA4A02" w:rsidRDefault="00AA4A02">
      <w:pPr>
        <w:pStyle w:val="BodyText"/>
        <w:rPr>
          <w:sz w:val="20"/>
        </w:rPr>
      </w:pPr>
    </w:p>
    <w:p w14:paraId="1E8058EA" w14:textId="77777777" w:rsidR="00AA4A02" w:rsidRDefault="00AA4A02">
      <w:pPr>
        <w:pStyle w:val="BodyText"/>
        <w:rPr>
          <w:sz w:val="20"/>
        </w:rPr>
      </w:pPr>
    </w:p>
    <w:p w14:paraId="1E8058EB" w14:textId="77777777" w:rsidR="00AA4A02" w:rsidRDefault="00AA4A02">
      <w:pPr>
        <w:pStyle w:val="BodyText"/>
        <w:rPr>
          <w:sz w:val="20"/>
        </w:rPr>
      </w:pPr>
    </w:p>
    <w:p w14:paraId="1E8058EC" w14:textId="77777777" w:rsidR="00AA4A02" w:rsidRDefault="00AA4A02">
      <w:pPr>
        <w:pStyle w:val="BodyText"/>
        <w:rPr>
          <w:sz w:val="20"/>
        </w:rPr>
      </w:pPr>
    </w:p>
    <w:p w14:paraId="1E8058ED" w14:textId="77777777" w:rsidR="00AA4A02" w:rsidRDefault="00AA4A02">
      <w:pPr>
        <w:pStyle w:val="BodyText"/>
        <w:rPr>
          <w:sz w:val="20"/>
        </w:rPr>
      </w:pPr>
    </w:p>
    <w:p w14:paraId="1E8058EE" w14:textId="77777777" w:rsidR="00AA4A02" w:rsidRDefault="00AA4A02">
      <w:pPr>
        <w:pStyle w:val="BodyText"/>
        <w:rPr>
          <w:sz w:val="20"/>
        </w:rPr>
      </w:pPr>
    </w:p>
    <w:p w14:paraId="1E8058EF" w14:textId="77777777" w:rsidR="00AA4A02" w:rsidRDefault="00AA4A02">
      <w:pPr>
        <w:pStyle w:val="BodyText"/>
        <w:rPr>
          <w:sz w:val="20"/>
        </w:rPr>
      </w:pPr>
    </w:p>
    <w:p w14:paraId="1E8058F0" w14:textId="77777777" w:rsidR="00AA4A02" w:rsidRDefault="00AA4A02">
      <w:pPr>
        <w:pStyle w:val="BodyText"/>
        <w:rPr>
          <w:sz w:val="20"/>
        </w:rPr>
      </w:pPr>
    </w:p>
    <w:p w14:paraId="1E8058F1" w14:textId="77777777" w:rsidR="00AA4A02" w:rsidRDefault="00AA4A02">
      <w:pPr>
        <w:pStyle w:val="BodyText"/>
        <w:rPr>
          <w:sz w:val="20"/>
        </w:rPr>
      </w:pPr>
    </w:p>
    <w:p w14:paraId="1E8058F2" w14:textId="77777777" w:rsidR="00AA4A02" w:rsidRDefault="00AA4A02">
      <w:pPr>
        <w:pStyle w:val="BodyText"/>
        <w:rPr>
          <w:sz w:val="20"/>
        </w:rPr>
      </w:pPr>
    </w:p>
    <w:p w14:paraId="1E8058F3" w14:textId="77777777" w:rsidR="00AA4A02" w:rsidRDefault="00AA4A02">
      <w:pPr>
        <w:pStyle w:val="BodyText"/>
        <w:rPr>
          <w:sz w:val="20"/>
        </w:rPr>
      </w:pPr>
    </w:p>
    <w:p w14:paraId="1E8058F4" w14:textId="77777777" w:rsidR="00AA4A02" w:rsidRDefault="00AA4A02">
      <w:pPr>
        <w:pStyle w:val="BodyText"/>
        <w:rPr>
          <w:sz w:val="20"/>
        </w:rPr>
      </w:pPr>
    </w:p>
    <w:p w14:paraId="1E8058F5" w14:textId="77777777" w:rsidR="00AA4A02" w:rsidRDefault="00AA4A02">
      <w:pPr>
        <w:pStyle w:val="BodyText"/>
        <w:rPr>
          <w:sz w:val="20"/>
        </w:rPr>
      </w:pPr>
    </w:p>
    <w:p w14:paraId="1E8058F6" w14:textId="77777777" w:rsidR="00AA4A02" w:rsidRDefault="00AA4A02">
      <w:pPr>
        <w:pStyle w:val="BodyText"/>
        <w:rPr>
          <w:sz w:val="20"/>
        </w:rPr>
      </w:pPr>
    </w:p>
    <w:p w14:paraId="1E8058F7" w14:textId="77777777" w:rsidR="00AA4A02" w:rsidRDefault="00AA4A02">
      <w:pPr>
        <w:pStyle w:val="BodyText"/>
        <w:rPr>
          <w:sz w:val="20"/>
        </w:rPr>
      </w:pPr>
    </w:p>
    <w:p w14:paraId="1E8058F8" w14:textId="77777777" w:rsidR="00AA4A02" w:rsidRDefault="00AA4A02">
      <w:pPr>
        <w:pStyle w:val="BodyText"/>
        <w:rPr>
          <w:sz w:val="20"/>
        </w:rPr>
      </w:pPr>
    </w:p>
    <w:p w14:paraId="1E8058F9" w14:textId="77777777" w:rsidR="00AA4A02" w:rsidRDefault="00AA4A02">
      <w:pPr>
        <w:pStyle w:val="BodyText"/>
        <w:rPr>
          <w:sz w:val="20"/>
        </w:rPr>
      </w:pPr>
    </w:p>
    <w:p w14:paraId="1E8058FA" w14:textId="77777777" w:rsidR="00AA4A02" w:rsidRDefault="00AA4A02">
      <w:pPr>
        <w:pStyle w:val="BodyText"/>
        <w:rPr>
          <w:sz w:val="20"/>
        </w:rPr>
      </w:pPr>
    </w:p>
    <w:p w14:paraId="1E8058FB" w14:textId="77777777" w:rsidR="00AA4A02" w:rsidRDefault="00AA4A02">
      <w:pPr>
        <w:pStyle w:val="BodyText"/>
        <w:rPr>
          <w:sz w:val="20"/>
        </w:rPr>
      </w:pPr>
    </w:p>
    <w:p w14:paraId="1E8058FC" w14:textId="77777777" w:rsidR="00AA4A02" w:rsidRDefault="00960F31">
      <w:pPr>
        <w:pStyle w:val="BodyText"/>
        <w:spacing w:before="192"/>
        <w:rPr>
          <w:sz w:val="20"/>
        </w:rPr>
      </w:pPr>
      <w:r>
        <w:rPr>
          <w:noProof/>
          <w:sz w:val="20"/>
        </w:rPr>
        <mc:AlternateContent>
          <mc:Choice Requires="wps">
            <w:drawing>
              <wp:anchor distT="0" distB="0" distL="0" distR="0" simplePos="0" relativeHeight="487598080" behindDoc="1" locked="0" layoutInCell="1" allowOverlap="1" wp14:anchorId="1E805F3B" wp14:editId="1E805F3C">
                <wp:simplePos x="0" y="0"/>
                <wp:positionH relativeFrom="page">
                  <wp:posOffset>899464</wp:posOffset>
                </wp:positionH>
                <wp:positionV relativeFrom="paragraph">
                  <wp:posOffset>283478</wp:posOffset>
                </wp:positionV>
                <wp:extent cx="183007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52650" id="Graphic 39" o:spid="_x0000_s1026" style="position:absolute;margin-left:70.8pt;margin-top:22.3pt;width:144.1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" path="m1829689,l,,,6095r1829689,l1829689,xe" fillcolor="black" stroked="f">
                <v:path arrowok="t"/>
                <w10:wrap type="topAndBottom" anchorx="page"/>
              </v:shape>
            </w:pict>
          </mc:Fallback>
        </mc:AlternateContent>
      </w:r>
    </w:p>
    <w:p w14:paraId="1E8058FD" w14:textId="77777777" w:rsidR="00AA4A02" w:rsidRDefault="00960F31">
      <w:pPr>
        <w:pStyle w:val="ListParagraph"/>
        <w:numPr>
          <w:ilvl w:val="0"/>
          <w:numId w:val="53"/>
        </w:numPr>
        <w:tabs>
          <w:tab w:val="left" w:pos="480"/>
          <w:tab w:val="left" w:pos="482"/>
        </w:tabs>
        <w:spacing w:before="106"/>
        <w:ind w:right="1413"/>
        <w:rPr>
          <w:sz w:val="20"/>
        </w:rPr>
      </w:pPr>
      <w:r>
        <w:rPr>
          <w:sz w:val="20"/>
        </w:rPr>
        <w:t>Under ASIC Act</w:t>
      </w:r>
      <w:r>
        <w:rPr>
          <w:spacing w:val="-2"/>
          <w:sz w:val="20"/>
        </w:rPr>
        <w:t xml:space="preserve"> </w:t>
      </w:r>
      <w:r>
        <w:rPr>
          <w:sz w:val="20"/>
        </w:rPr>
        <w:t>s225(5),</w:t>
      </w:r>
      <w:r>
        <w:rPr>
          <w:spacing w:val="-2"/>
          <w:sz w:val="20"/>
        </w:rPr>
        <w:t xml:space="preserve"> </w:t>
      </w:r>
      <w:r>
        <w:rPr>
          <w:sz w:val="20"/>
        </w:rPr>
        <w:t>the FRC</w:t>
      </w:r>
      <w:r>
        <w:rPr>
          <w:spacing w:val="-5"/>
          <w:sz w:val="20"/>
        </w:rPr>
        <w:t xml:space="preserve"> </w:t>
      </w:r>
      <w:r>
        <w:rPr>
          <w:sz w:val="20"/>
        </w:rPr>
        <w:t>does</w:t>
      </w:r>
      <w:r>
        <w:rPr>
          <w:spacing w:val="-1"/>
          <w:sz w:val="20"/>
        </w:rPr>
        <w:t xml:space="preserve"> </w:t>
      </w:r>
      <w:r>
        <w:rPr>
          <w:sz w:val="20"/>
        </w:rPr>
        <w:t>not</w:t>
      </w:r>
      <w:r>
        <w:rPr>
          <w:spacing w:val="-2"/>
          <w:sz w:val="20"/>
        </w:rPr>
        <w:t xml:space="preserve"> </w:t>
      </w:r>
      <w:r>
        <w:rPr>
          <w:sz w:val="20"/>
        </w:rPr>
        <w:t>have</w:t>
      </w:r>
      <w:r>
        <w:rPr>
          <w:spacing w:val="-2"/>
          <w:sz w:val="20"/>
        </w:rPr>
        <w:t xml:space="preserve"> </w:t>
      </w:r>
      <w:r>
        <w:rPr>
          <w:sz w:val="20"/>
        </w:rPr>
        <w:t>the power</w:t>
      </w:r>
      <w:r>
        <w:rPr>
          <w:spacing w:val="-4"/>
          <w:sz w:val="20"/>
        </w:rPr>
        <w:t xml:space="preserve"> </w:t>
      </w:r>
      <w:r>
        <w:rPr>
          <w:sz w:val="20"/>
        </w:rPr>
        <w:t>to direct</w:t>
      </w:r>
      <w:r>
        <w:rPr>
          <w:spacing w:val="-3"/>
          <w:sz w:val="20"/>
        </w:rPr>
        <w:t xml:space="preserve"> </w:t>
      </w:r>
      <w:r>
        <w:rPr>
          <w:sz w:val="20"/>
        </w:rPr>
        <w:t>the AASB</w:t>
      </w:r>
      <w:r>
        <w:rPr>
          <w:spacing w:val="-5"/>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the development, or making, of a particular Standard.</w:t>
      </w:r>
    </w:p>
    <w:p w14:paraId="1E8058FE" w14:textId="77777777" w:rsidR="00AA4A02" w:rsidRDefault="00AA4A02">
      <w:pPr>
        <w:pStyle w:val="ListParagraph"/>
        <w:rPr>
          <w:sz w:val="20"/>
        </w:rPr>
        <w:sectPr w:rsidR="00AA4A02">
          <w:pgSz w:w="11900" w:h="16840"/>
          <w:pgMar w:top="1600" w:right="992" w:bottom="920" w:left="1275" w:header="652" w:footer="724" w:gutter="0"/>
          <w:cols w:space="720"/>
        </w:sectPr>
      </w:pPr>
    </w:p>
    <w:p w14:paraId="1E8058FF" w14:textId="77777777" w:rsidR="00AA4A02" w:rsidRDefault="00AA4A02">
      <w:pPr>
        <w:pStyle w:val="BodyText"/>
        <w:spacing w:before="98"/>
        <w:rPr>
          <w:sz w:val="20"/>
        </w:rPr>
      </w:pPr>
    </w:p>
    <w:p w14:paraId="1E805900" w14:textId="77777777" w:rsidR="00AA4A02" w:rsidRDefault="00960F31">
      <w:pPr>
        <w:ind w:right="137"/>
        <w:jc w:val="right"/>
        <w:rPr>
          <w:sz w:val="20"/>
        </w:rPr>
      </w:pPr>
      <w:bookmarkStart w:id="32" w:name="4_-_revised_dueprocframework_15_11_2021"/>
      <w:bookmarkEnd w:id="32"/>
      <w:r>
        <w:rPr>
          <w:sz w:val="20"/>
        </w:rPr>
        <w:t>September</w:t>
      </w:r>
      <w:r>
        <w:rPr>
          <w:spacing w:val="-5"/>
          <w:sz w:val="20"/>
        </w:rPr>
        <w:t xml:space="preserve"> </w:t>
      </w:r>
      <w:r>
        <w:rPr>
          <w:spacing w:val="-4"/>
          <w:sz w:val="20"/>
        </w:rPr>
        <w:t>2021</w:t>
      </w:r>
    </w:p>
    <w:p w14:paraId="1E805901" w14:textId="77777777" w:rsidR="00AA4A02" w:rsidRDefault="00AA4A02">
      <w:pPr>
        <w:pStyle w:val="BodyText"/>
        <w:rPr>
          <w:sz w:val="20"/>
        </w:rPr>
      </w:pPr>
    </w:p>
    <w:p w14:paraId="1E805902" w14:textId="77777777" w:rsidR="00AA4A02" w:rsidRDefault="00AA4A02">
      <w:pPr>
        <w:pStyle w:val="BodyText"/>
        <w:rPr>
          <w:sz w:val="20"/>
        </w:rPr>
      </w:pPr>
    </w:p>
    <w:p w14:paraId="1E805903" w14:textId="77777777" w:rsidR="00AA4A02" w:rsidRDefault="00AA4A02">
      <w:pPr>
        <w:pStyle w:val="BodyText"/>
        <w:rPr>
          <w:sz w:val="20"/>
        </w:rPr>
      </w:pPr>
    </w:p>
    <w:p w14:paraId="1E805904" w14:textId="77777777" w:rsidR="00AA4A02" w:rsidRDefault="00AA4A02">
      <w:pPr>
        <w:pStyle w:val="BodyText"/>
        <w:rPr>
          <w:sz w:val="20"/>
        </w:rPr>
      </w:pPr>
    </w:p>
    <w:p w14:paraId="1E805905" w14:textId="77777777" w:rsidR="00AA4A02" w:rsidRDefault="00AA4A02">
      <w:pPr>
        <w:pStyle w:val="BodyText"/>
        <w:rPr>
          <w:sz w:val="20"/>
        </w:rPr>
      </w:pPr>
    </w:p>
    <w:p w14:paraId="1E805906" w14:textId="77777777" w:rsidR="00AA4A02" w:rsidRDefault="00AA4A02">
      <w:pPr>
        <w:pStyle w:val="BodyText"/>
        <w:rPr>
          <w:sz w:val="20"/>
        </w:rPr>
      </w:pPr>
    </w:p>
    <w:p w14:paraId="1E805907" w14:textId="77777777" w:rsidR="00AA4A02" w:rsidRDefault="00AA4A02">
      <w:pPr>
        <w:pStyle w:val="BodyText"/>
        <w:rPr>
          <w:sz w:val="20"/>
        </w:rPr>
      </w:pPr>
    </w:p>
    <w:p w14:paraId="1E805908" w14:textId="77777777" w:rsidR="00AA4A02" w:rsidRDefault="00AA4A02">
      <w:pPr>
        <w:pStyle w:val="BodyText"/>
        <w:rPr>
          <w:sz w:val="20"/>
        </w:rPr>
      </w:pPr>
    </w:p>
    <w:p w14:paraId="1E805909" w14:textId="77777777" w:rsidR="00AA4A02" w:rsidRDefault="00AA4A02">
      <w:pPr>
        <w:pStyle w:val="BodyText"/>
        <w:rPr>
          <w:sz w:val="20"/>
        </w:rPr>
      </w:pPr>
    </w:p>
    <w:p w14:paraId="1E80590A" w14:textId="77777777" w:rsidR="00AA4A02" w:rsidRDefault="00AA4A02">
      <w:pPr>
        <w:pStyle w:val="BodyText"/>
        <w:spacing w:before="155"/>
        <w:rPr>
          <w:sz w:val="20"/>
        </w:rPr>
      </w:pPr>
    </w:p>
    <w:p w14:paraId="1E80590B" w14:textId="77777777" w:rsidR="00AA4A02" w:rsidRDefault="00960F31">
      <w:pPr>
        <w:pStyle w:val="Heading1"/>
        <w:spacing w:line="208" w:lineRule="auto"/>
      </w:pPr>
      <w:r>
        <w:t>Due</w:t>
      </w:r>
      <w:r>
        <w:rPr>
          <w:spacing w:val="-9"/>
        </w:rPr>
        <w:t xml:space="preserve"> </w:t>
      </w:r>
      <w:r>
        <w:t>Process</w:t>
      </w:r>
      <w:r>
        <w:rPr>
          <w:spacing w:val="-9"/>
        </w:rPr>
        <w:t xml:space="preserve"> </w:t>
      </w:r>
      <w:r>
        <w:t>Framework</w:t>
      </w:r>
      <w:r>
        <w:rPr>
          <w:spacing w:val="-9"/>
        </w:rPr>
        <w:t xml:space="preserve"> </w:t>
      </w:r>
      <w:r>
        <w:t>for</w:t>
      </w:r>
      <w:r>
        <w:rPr>
          <w:spacing w:val="-5"/>
        </w:rPr>
        <w:t xml:space="preserve"> </w:t>
      </w:r>
      <w:r>
        <w:t>Developing, Issuing and Maintaining AUASB Pronouncements</w:t>
      </w:r>
      <w:r>
        <w:rPr>
          <w:spacing w:val="-11"/>
        </w:rPr>
        <w:t xml:space="preserve"> </w:t>
      </w:r>
      <w:r>
        <w:t>and</w:t>
      </w:r>
      <w:r>
        <w:rPr>
          <w:spacing w:val="-11"/>
        </w:rPr>
        <w:t xml:space="preserve"> </w:t>
      </w:r>
      <w:r>
        <w:t>Other</w:t>
      </w:r>
      <w:r>
        <w:rPr>
          <w:spacing w:val="-13"/>
        </w:rPr>
        <w:t xml:space="preserve"> </w:t>
      </w:r>
      <w:r>
        <w:t>Publications</w:t>
      </w:r>
    </w:p>
    <w:p w14:paraId="1E80590C" w14:textId="77777777" w:rsidR="00AA4A02" w:rsidRDefault="00960F31">
      <w:pPr>
        <w:spacing w:before="457"/>
        <w:ind w:left="143"/>
        <w:rPr>
          <w:b/>
        </w:rPr>
      </w:pPr>
      <w:r>
        <w:t>Issued</w:t>
      </w:r>
      <w:r>
        <w:rPr>
          <w:spacing w:val="-4"/>
        </w:rPr>
        <w:t xml:space="preserve"> </w:t>
      </w:r>
      <w:r>
        <w:t>by</w:t>
      </w:r>
      <w:r>
        <w:rPr>
          <w:spacing w:val="-5"/>
        </w:rPr>
        <w:t xml:space="preserve"> </w:t>
      </w:r>
      <w:r>
        <w:t>the</w:t>
      </w:r>
      <w:r>
        <w:rPr>
          <w:spacing w:val="-3"/>
        </w:rPr>
        <w:t xml:space="preserve"> </w:t>
      </w:r>
      <w:r>
        <w:rPr>
          <w:b/>
        </w:rPr>
        <w:t>Auditing</w:t>
      </w:r>
      <w:r>
        <w:rPr>
          <w:b/>
          <w:spacing w:val="-4"/>
        </w:rPr>
        <w:t xml:space="preserve"> </w:t>
      </w:r>
      <w:r>
        <w:rPr>
          <w:b/>
        </w:rPr>
        <w:t>and</w:t>
      </w:r>
      <w:r>
        <w:rPr>
          <w:b/>
          <w:spacing w:val="-3"/>
        </w:rPr>
        <w:t xml:space="preserve"> </w:t>
      </w:r>
      <w:r>
        <w:rPr>
          <w:b/>
        </w:rPr>
        <w:t>Assurance</w:t>
      </w:r>
      <w:r>
        <w:rPr>
          <w:b/>
          <w:spacing w:val="-3"/>
        </w:rPr>
        <w:t xml:space="preserve"> </w:t>
      </w:r>
      <w:r>
        <w:rPr>
          <w:b/>
        </w:rPr>
        <w:t>Standards</w:t>
      </w:r>
      <w:r>
        <w:rPr>
          <w:b/>
          <w:spacing w:val="-3"/>
        </w:rPr>
        <w:t xml:space="preserve"> </w:t>
      </w:r>
      <w:r>
        <w:rPr>
          <w:b/>
          <w:spacing w:val="-2"/>
        </w:rPr>
        <w:t>Board</w:t>
      </w:r>
    </w:p>
    <w:p w14:paraId="1E80590D" w14:textId="77777777" w:rsidR="00AA4A02" w:rsidRDefault="00AA4A02">
      <w:pPr>
        <w:pStyle w:val="BodyText"/>
        <w:rPr>
          <w:b/>
          <w:sz w:val="20"/>
        </w:rPr>
      </w:pPr>
    </w:p>
    <w:p w14:paraId="1E80590E" w14:textId="77777777" w:rsidR="00AA4A02" w:rsidRDefault="00AA4A02">
      <w:pPr>
        <w:pStyle w:val="BodyText"/>
        <w:rPr>
          <w:b/>
          <w:sz w:val="20"/>
        </w:rPr>
      </w:pPr>
    </w:p>
    <w:p w14:paraId="1E80590F" w14:textId="77777777" w:rsidR="00AA4A02" w:rsidRDefault="00AA4A02">
      <w:pPr>
        <w:pStyle w:val="BodyText"/>
        <w:rPr>
          <w:b/>
          <w:sz w:val="20"/>
        </w:rPr>
      </w:pPr>
    </w:p>
    <w:p w14:paraId="1E805910" w14:textId="77777777" w:rsidR="00AA4A02" w:rsidRDefault="00AA4A02">
      <w:pPr>
        <w:pStyle w:val="BodyText"/>
        <w:rPr>
          <w:b/>
          <w:sz w:val="20"/>
        </w:rPr>
      </w:pPr>
    </w:p>
    <w:p w14:paraId="1E805911" w14:textId="77777777" w:rsidR="00AA4A02" w:rsidRDefault="00AA4A02">
      <w:pPr>
        <w:pStyle w:val="BodyText"/>
        <w:rPr>
          <w:b/>
          <w:sz w:val="20"/>
        </w:rPr>
      </w:pPr>
    </w:p>
    <w:p w14:paraId="1E805912" w14:textId="77777777" w:rsidR="00AA4A02" w:rsidRDefault="00AA4A02">
      <w:pPr>
        <w:pStyle w:val="BodyText"/>
        <w:rPr>
          <w:b/>
          <w:sz w:val="20"/>
        </w:rPr>
      </w:pPr>
    </w:p>
    <w:p w14:paraId="1E805913" w14:textId="77777777" w:rsidR="00AA4A02" w:rsidRDefault="00AA4A02">
      <w:pPr>
        <w:pStyle w:val="BodyText"/>
        <w:rPr>
          <w:b/>
          <w:sz w:val="20"/>
        </w:rPr>
      </w:pPr>
    </w:p>
    <w:p w14:paraId="1E805914" w14:textId="77777777" w:rsidR="00AA4A02" w:rsidRDefault="00AA4A02">
      <w:pPr>
        <w:pStyle w:val="BodyText"/>
        <w:rPr>
          <w:b/>
          <w:sz w:val="20"/>
        </w:rPr>
      </w:pPr>
    </w:p>
    <w:p w14:paraId="1E805915" w14:textId="77777777" w:rsidR="00AA4A02" w:rsidRDefault="00AA4A02">
      <w:pPr>
        <w:pStyle w:val="BodyText"/>
        <w:rPr>
          <w:b/>
          <w:sz w:val="20"/>
        </w:rPr>
      </w:pPr>
    </w:p>
    <w:p w14:paraId="1E805916" w14:textId="77777777" w:rsidR="00AA4A02" w:rsidRDefault="00AA4A02">
      <w:pPr>
        <w:pStyle w:val="BodyText"/>
        <w:rPr>
          <w:b/>
          <w:sz w:val="20"/>
        </w:rPr>
      </w:pPr>
    </w:p>
    <w:p w14:paraId="1E805917" w14:textId="77777777" w:rsidR="00AA4A02" w:rsidRDefault="00AA4A02">
      <w:pPr>
        <w:pStyle w:val="BodyText"/>
        <w:rPr>
          <w:b/>
          <w:sz w:val="20"/>
        </w:rPr>
      </w:pPr>
    </w:p>
    <w:p w14:paraId="1E805918" w14:textId="77777777" w:rsidR="00AA4A02" w:rsidRDefault="00AA4A02">
      <w:pPr>
        <w:pStyle w:val="BodyText"/>
        <w:rPr>
          <w:b/>
          <w:sz w:val="20"/>
        </w:rPr>
      </w:pPr>
    </w:p>
    <w:p w14:paraId="1E805919" w14:textId="77777777" w:rsidR="00AA4A02" w:rsidRDefault="00AA4A02">
      <w:pPr>
        <w:pStyle w:val="BodyText"/>
        <w:rPr>
          <w:b/>
          <w:sz w:val="20"/>
        </w:rPr>
      </w:pPr>
    </w:p>
    <w:p w14:paraId="1E80591A" w14:textId="77777777" w:rsidR="00AA4A02" w:rsidRDefault="00AA4A02">
      <w:pPr>
        <w:pStyle w:val="BodyText"/>
        <w:rPr>
          <w:b/>
          <w:sz w:val="20"/>
        </w:rPr>
      </w:pPr>
    </w:p>
    <w:p w14:paraId="1E80591B" w14:textId="77777777" w:rsidR="00AA4A02" w:rsidRDefault="00AA4A02">
      <w:pPr>
        <w:pStyle w:val="BodyText"/>
        <w:rPr>
          <w:b/>
          <w:sz w:val="20"/>
        </w:rPr>
      </w:pPr>
    </w:p>
    <w:p w14:paraId="1E80591C" w14:textId="77777777" w:rsidR="00AA4A02" w:rsidRDefault="00AA4A02">
      <w:pPr>
        <w:pStyle w:val="BodyText"/>
        <w:rPr>
          <w:b/>
          <w:sz w:val="20"/>
        </w:rPr>
      </w:pPr>
    </w:p>
    <w:p w14:paraId="1E80591D" w14:textId="77777777" w:rsidR="00AA4A02" w:rsidRDefault="00AA4A02">
      <w:pPr>
        <w:pStyle w:val="BodyText"/>
        <w:rPr>
          <w:b/>
          <w:sz w:val="20"/>
        </w:rPr>
      </w:pPr>
    </w:p>
    <w:p w14:paraId="1E80591E" w14:textId="77777777" w:rsidR="00AA4A02" w:rsidRDefault="00AA4A02">
      <w:pPr>
        <w:pStyle w:val="BodyText"/>
        <w:rPr>
          <w:b/>
          <w:sz w:val="20"/>
        </w:rPr>
      </w:pPr>
    </w:p>
    <w:p w14:paraId="1E80591F" w14:textId="77777777" w:rsidR="00AA4A02" w:rsidRDefault="00AA4A02">
      <w:pPr>
        <w:pStyle w:val="BodyText"/>
        <w:rPr>
          <w:b/>
          <w:sz w:val="20"/>
        </w:rPr>
      </w:pPr>
    </w:p>
    <w:p w14:paraId="1E805920" w14:textId="77777777" w:rsidR="00AA4A02" w:rsidRDefault="00AA4A02">
      <w:pPr>
        <w:pStyle w:val="BodyText"/>
        <w:rPr>
          <w:b/>
          <w:sz w:val="20"/>
        </w:rPr>
      </w:pPr>
    </w:p>
    <w:p w14:paraId="1E805921" w14:textId="77777777" w:rsidR="00AA4A02" w:rsidRDefault="00AA4A02">
      <w:pPr>
        <w:pStyle w:val="BodyText"/>
        <w:rPr>
          <w:b/>
          <w:sz w:val="20"/>
        </w:rPr>
      </w:pPr>
    </w:p>
    <w:p w14:paraId="1E805922" w14:textId="77777777" w:rsidR="00AA4A02" w:rsidRDefault="00AA4A02">
      <w:pPr>
        <w:pStyle w:val="BodyText"/>
        <w:rPr>
          <w:b/>
          <w:sz w:val="20"/>
        </w:rPr>
      </w:pPr>
    </w:p>
    <w:p w14:paraId="1E805923" w14:textId="77777777" w:rsidR="00AA4A02" w:rsidRDefault="00AA4A02">
      <w:pPr>
        <w:pStyle w:val="BodyText"/>
        <w:rPr>
          <w:b/>
          <w:sz w:val="20"/>
        </w:rPr>
      </w:pPr>
    </w:p>
    <w:p w14:paraId="1E805924" w14:textId="77777777" w:rsidR="00AA4A02" w:rsidRDefault="00AA4A02">
      <w:pPr>
        <w:pStyle w:val="BodyText"/>
        <w:rPr>
          <w:b/>
          <w:sz w:val="20"/>
        </w:rPr>
      </w:pPr>
    </w:p>
    <w:p w14:paraId="1E805925" w14:textId="77777777" w:rsidR="00AA4A02" w:rsidRDefault="00AA4A02">
      <w:pPr>
        <w:pStyle w:val="BodyText"/>
        <w:rPr>
          <w:b/>
          <w:sz w:val="20"/>
        </w:rPr>
      </w:pPr>
    </w:p>
    <w:p w14:paraId="1E805926" w14:textId="77777777" w:rsidR="00AA4A02" w:rsidRDefault="00AA4A02">
      <w:pPr>
        <w:pStyle w:val="BodyText"/>
        <w:rPr>
          <w:b/>
          <w:sz w:val="20"/>
        </w:rPr>
      </w:pPr>
    </w:p>
    <w:p w14:paraId="1E805927" w14:textId="77777777" w:rsidR="00AA4A02" w:rsidRDefault="00AA4A02">
      <w:pPr>
        <w:pStyle w:val="BodyText"/>
        <w:rPr>
          <w:b/>
          <w:sz w:val="20"/>
        </w:rPr>
      </w:pPr>
    </w:p>
    <w:p w14:paraId="1E805928" w14:textId="77777777" w:rsidR="00AA4A02" w:rsidRDefault="00AA4A02">
      <w:pPr>
        <w:pStyle w:val="BodyText"/>
        <w:rPr>
          <w:b/>
          <w:sz w:val="20"/>
        </w:rPr>
      </w:pPr>
    </w:p>
    <w:p w14:paraId="1E805929" w14:textId="77777777" w:rsidR="00AA4A02" w:rsidRDefault="00AA4A02">
      <w:pPr>
        <w:pStyle w:val="BodyText"/>
        <w:rPr>
          <w:b/>
          <w:sz w:val="20"/>
        </w:rPr>
      </w:pPr>
    </w:p>
    <w:p w14:paraId="1E80592A" w14:textId="77777777" w:rsidR="00AA4A02" w:rsidRDefault="00AA4A02">
      <w:pPr>
        <w:pStyle w:val="BodyText"/>
        <w:rPr>
          <w:b/>
          <w:sz w:val="20"/>
        </w:rPr>
      </w:pPr>
    </w:p>
    <w:p w14:paraId="1E80592B" w14:textId="77777777" w:rsidR="00AA4A02" w:rsidRDefault="00960F31">
      <w:pPr>
        <w:pStyle w:val="BodyText"/>
        <w:spacing w:before="122"/>
        <w:rPr>
          <w:b/>
          <w:sz w:val="20"/>
        </w:rPr>
      </w:pPr>
      <w:r>
        <w:rPr>
          <w:b/>
          <w:noProof/>
          <w:sz w:val="20"/>
        </w:rPr>
        <w:drawing>
          <wp:anchor distT="0" distB="0" distL="0" distR="0" simplePos="0" relativeHeight="487598592" behindDoc="1" locked="0" layoutInCell="1" allowOverlap="1" wp14:anchorId="1E805F3D" wp14:editId="1E805F3E">
            <wp:simplePos x="0" y="0"/>
            <wp:positionH relativeFrom="page">
              <wp:posOffset>1153562</wp:posOffset>
            </wp:positionH>
            <wp:positionV relativeFrom="paragraph">
              <wp:posOffset>239133</wp:posOffset>
            </wp:positionV>
            <wp:extent cx="3861337" cy="65808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3" cstate="print"/>
                    <a:stretch>
                      <a:fillRect/>
                    </a:stretch>
                  </pic:blipFill>
                  <pic:spPr>
                    <a:xfrm>
                      <a:off x="0" y="0"/>
                      <a:ext cx="3861337" cy="658082"/>
                    </a:xfrm>
                    <a:prstGeom prst="rect">
                      <a:avLst/>
                    </a:prstGeom>
                  </pic:spPr>
                </pic:pic>
              </a:graphicData>
            </a:graphic>
          </wp:anchor>
        </w:drawing>
      </w:r>
    </w:p>
    <w:p w14:paraId="1E80592C" w14:textId="77777777" w:rsidR="00AA4A02" w:rsidRDefault="00AA4A02">
      <w:pPr>
        <w:pStyle w:val="BodyText"/>
        <w:rPr>
          <w:b/>
          <w:sz w:val="20"/>
        </w:rPr>
        <w:sectPr w:rsidR="00AA4A02">
          <w:headerReference w:type="default" r:id="rId44"/>
          <w:footerReference w:type="default" r:id="rId45"/>
          <w:pgSz w:w="11910" w:h="16850"/>
          <w:pgMar w:top="1940" w:right="1275" w:bottom="280" w:left="1275" w:header="0" w:footer="0" w:gutter="0"/>
          <w:cols w:space="720"/>
        </w:sectPr>
      </w:pPr>
    </w:p>
    <w:p w14:paraId="1E80592D" w14:textId="77777777" w:rsidR="00AA4A02" w:rsidRDefault="00960F31">
      <w:pPr>
        <w:spacing w:before="77"/>
        <w:ind w:left="143"/>
        <w:rPr>
          <w:b/>
        </w:rPr>
      </w:pPr>
      <w:r>
        <w:rPr>
          <w:b/>
        </w:rPr>
        <w:lastRenderedPageBreak/>
        <w:t>Obtaining</w:t>
      </w:r>
      <w:r>
        <w:rPr>
          <w:b/>
          <w:spacing w:val="-3"/>
        </w:rPr>
        <w:t xml:space="preserve"> </w:t>
      </w:r>
      <w:r>
        <w:rPr>
          <w:b/>
        </w:rPr>
        <w:t>a</w:t>
      </w:r>
      <w:r>
        <w:rPr>
          <w:b/>
          <w:spacing w:val="-3"/>
        </w:rPr>
        <w:t xml:space="preserve"> </w:t>
      </w:r>
      <w:r>
        <w:rPr>
          <w:b/>
        </w:rPr>
        <w:t>Copy</w:t>
      </w:r>
      <w:r>
        <w:rPr>
          <w:b/>
          <w:spacing w:val="-2"/>
        </w:rPr>
        <w:t xml:space="preserve"> </w:t>
      </w:r>
      <w:r>
        <w:rPr>
          <w:b/>
        </w:rPr>
        <w:t>of</w:t>
      </w:r>
      <w:r>
        <w:rPr>
          <w:b/>
          <w:spacing w:val="-3"/>
        </w:rPr>
        <w:t xml:space="preserve"> </w:t>
      </w:r>
      <w:r>
        <w:rPr>
          <w:b/>
        </w:rPr>
        <w:t>this</w:t>
      </w:r>
      <w:r>
        <w:rPr>
          <w:b/>
          <w:spacing w:val="-4"/>
        </w:rPr>
        <w:t xml:space="preserve"> </w:t>
      </w:r>
      <w:r>
        <w:rPr>
          <w:b/>
          <w:spacing w:val="-2"/>
        </w:rPr>
        <w:t>Document</w:t>
      </w:r>
    </w:p>
    <w:p w14:paraId="1E80592E" w14:textId="77777777" w:rsidR="00AA4A02" w:rsidRDefault="00960F31">
      <w:pPr>
        <w:pStyle w:val="BodyText"/>
        <w:spacing w:before="194" w:line="208" w:lineRule="auto"/>
        <w:ind w:left="143"/>
      </w:pPr>
      <w:r>
        <w:t>This</w:t>
      </w:r>
      <w:r>
        <w:rPr>
          <w:spacing w:val="-2"/>
        </w:rPr>
        <w:t xml:space="preserve"> </w:t>
      </w:r>
      <w:r>
        <w:t>publication</w:t>
      </w:r>
      <w:r>
        <w:rPr>
          <w:spacing w:val="-3"/>
        </w:rPr>
        <w:t xml:space="preserve"> </w:t>
      </w:r>
      <w:r>
        <w:t>is</w:t>
      </w:r>
      <w:r>
        <w:rPr>
          <w:spacing w:val="-3"/>
        </w:rPr>
        <w:t xml:space="preserve"> </w:t>
      </w:r>
      <w:r>
        <w:t>available</w:t>
      </w:r>
      <w:r>
        <w:rPr>
          <w:spacing w:val="-3"/>
        </w:rPr>
        <w:t xml:space="preserve"> </w:t>
      </w:r>
      <w:r>
        <w:t>on</w:t>
      </w:r>
      <w:r>
        <w:rPr>
          <w:spacing w:val="-3"/>
        </w:rPr>
        <w:t xml:space="preserve"> </w:t>
      </w:r>
      <w:r>
        <w:t>the</w:t>
      </w:r>
      <w:r>
        <w:rPr>
          <w:spacing w:val="-1"/>
        </w:rPr>
        <w:t xml:space="preserve"> </w:t>
      </w:r>
      <w:r>
        <w:t>Auditing</w:t>
      </w:r>
      <w:r>
        <w:rPr>
          <w:spacing w:val="-3"/>
        </w:rPr>
        <w:t xml:space="preserve"> </w:t>
      </w:r>
      <w:r>
        <w:t>and</w:t>
      </w:r>
      <w:r>
        <w:rPr>
          <w:spacing w:val="-3"/>
        </w:rPr>
        <w:t xml:space="preserve"> </w:t>
      </w:r>
      <w:r>
        <w:t>Assurance</w:t>
      </w:r>
      <w:r>
        <w:rPr>
          <w:spacing w:val="-3"/>
        </w:rPr>
        <w:t xml:space="preserve"> </w:t>
      </w:r>
      <w:r>
        <w:t>Standards</w:t>
      </w:r>
      <w:r>
        <w:rPr>
          <w:spacing w:val="-3"/>
        </w:rPr>
        <w:t xml:space="preserve"> </w:t>
      </w:r>
      <w:r>
        <w:t>Board</w:t>
      </w:r>
      <w:r>
        <w:rPr>
          <w:spacing w:val="-4"/>
        </w:rPr>
        <w:t xml:space="preserve"> </w:t>
      </w:r>
      <w:r>
        <w:t>(AUASB)</w:t>
      </w:r>
      <w:r>
        <w:rPr>
          <w:spacing w:val="-2"/>
        </w:rPr>
        <w:t xml:space="preserve"> </w:t>
      </w:r>
      <w:r>
        <w:t xml:space="preserve">website: </w:t>
      </w:r>
      <w:hyperlink r:id="rId46">
        <w:r>
          <w:rPr>
            <w:color w:val="0000FF"/>
            <w:spacing w:val="-2"/>
            <w:u w:val="single" w:color="0000FF"/>
          </w:rPr>
          <w:t>www.auasb.gov.au</w:t>
        </w:r>
      </w:hyperlink>
    </w:p>
    <w:p w14:paraId="1E80592F" w14:textId="77777777" w:rsidR="00AA4A02" w:rsidRDefault="00960F31">
      <w:pPr>
        <w:spacing w:before="174"/>
        <w:ind w:left="143"/>
        <w:rPr>
          <w:b/>
        </w:rPr>
      </w:pPr>
      <w:r>
        <w:rPr>
          <w:b/>
        </w:rPr>
        <w:t>Contact</w:t>
      </w:r>
      <w:r>
        <w:rPr>
          <w:b/>
          <w:spacing w:val="-2"/>
        </w:rPr>
        <w:t xml:space="preserve"> Details</w:t>
      </w:r>
    </w:p>
    <w:p w14:paraId="1E805930" w14:textId="77777777" w:rsidR="00AA4A02" w:rsidRDefault="00AA4A02">
      <w:pPr>
        <w:pStyle w:val="BodyText"/>
        <w:spacing w:before="5"/>
        <w:rPr>
          <w:b/>
          <w:sz w:val="15"/>
        </w:rPr>
      </w:pPr>
    </w:p>
    <w:tbl>
      <w:tblPr>
        <w:tblW w:w="0" w:type="auto"/>
        <w:tblInd w:w="209" w:type="dxa"/>
        <w:tblLayout w:type="fixed"/>
        <w:tblCellMar>
          <w:left w:w="0" w:type="dxa"/>
          <w:right w:w="0" w:type="dxa"/>
        </w:tblCellMar>
        <w:tblLook w:val="01E0" w:firstRow="1" w:lastRow="1" w:firstColumn="1" w:lastColumn="1" w:noHBand="0" w:noVBand="0"/>
      </w:tblPr>
      <w:tblGrid>
        <w:gridCol w:w="3961"/>
        <w:gridCol w:w="3322"/>
      </w:tblGrid>
      <w:tr w:rsidR="00AA4A02" w14:paraId="1E805936" w14:textId="77777777">
        <w:trPr>
          <w:trHeight w:val="1127"/>
        </w:trPr>
        <w:tc>
          <w:tcPr>
            <w:tcW w:w="3961" w:type="dxa"/>
          </w:tcPr>
          <w:p w14:paraId="1E805931" w14:textId="77777777" w:rsidR="00AA4A02" w:rsidRDefault="00960F31">
            <w:pPr>
              <w:pStyle w:val="TableParagraph"/>
              <w:spacing w:before="15" w:line="208" w:lineRule="auto"/>
              <w:ind w:left="50" w:right="41"/>
              <w:rPr>
                <w:sz w:val="20"/>
              </w:rPr>
            </w:pPr>
            <w:r>
              <w:rPr>
                <w:sz w:val="20"/>
              </w:rPr>
              <w:t>Auditing</w:t>
            </w:r>
            <w:r>
              <w:rPr>
                <w:spacing w:val="-10"/>
                <w:sz w:val="20"/>
              </w:rPr>
              <w:t xml:space="preserve"> </w:t>
            </w:r>
            <w:r>
              <w:rPr>
                <w:sz w:val="20"/>
              </w:rPr>
              <w:t>and</w:t>
            </w:r>
            <w:r>
              <w:rPr>
                <w:spacing w:val="-10"/>
                <w:sz w:val="20"/>
              </w:rPr>
              <w:t xml:space="preserve"> </w:t>
            </w:r>
            <w:r>
              <w:rPr>
                <w:sz w:val="20"/>
              </w:rPr>
              <w:t>Assurance</w:t>
            </w:r>
            <w:r>
              <w:rPr>
                <w:spacing w:val="-11"/>
                <w:sz w:val="20"/>
              </w:rPr>
              <w:t xml:space="preserve"> </w:t>
            </w:r>
            <w:r>
              <w:rPr>
                <w:sz w:val="20"/>
              </w:rPr>
              <w:t>Standards</w:t>
            </w:r>
            <w:r>
              <w:rPr>
                <w:spacing w:val="-12"/>
                <w:sz w:val="20"/>
              </w:rPr>
              <w:t xml:space="preserve"> </w:t>
            </w:r>
            <w:r>
              <w:rPr>
                <w:sz w:val="20"/>
              </w:rPr>
              <w:t>Board Podium Level</w:t>
            </w:r>
          </w:p>
          <w:p w14:paraId="1E805932" w14:textId="77777777" w:rsidR="00AA4A02" w:rsidRDefault="00960F31">
            <w:pPr>
              <w:pStyle w:val="TableParagraph"/>
              <w:spacing w:line="190" w:lineRule="exact"/>
              <w:ind w:left="50"/>
              <w:rPr>
                <w:sz w:val="20"/>
              </w:rPr>
            </w:pPr>
            <w:r>
              <w:rPr>
                <w:sz w:val="20"/>
              </w:rPr>
              <w:t>Level</w:t>
            </w:r>
            <w:r>
              <w:rPr>
                <w:spacing w:val="-2"/>
                <w:sz w:val="20"/>
              </w:rPr>
              <w:t xml:space="preserve"> </w:t>
            </w:r>
            <w:r>
              <w:rPr>
                <w:sz w:val="20"/>
              </w:rPr>
              <w:t>14,</w:t>
            </w:r>
            <w:r>
              <w:rPr>
                <w:spacing w:val="-5"/>
                <w:sz w:val="20"/>
              </w:rPr>
              <w:t xml:space="preserve"> </w:t>
            </w:r>
            <w:r>
              <w:rPr>
                <w:sz w:val="20"/>
              </w:rPr>
              <w:t>530</w:t>
            </w:r>
            <w:r>
              <w:rPr>
                <w:spacing w:val="-4"/>
                <w:sz w:val="20"/>
              </w:rPr>
              <w:t xml:space="preserve"> </w:t>
            </w:r>
            <w:r>
              <w:rPr>
                <w:sz w:val="20"/>
              </w:rPr>
              <w:t>Collins</w:t>
            </w:r>
            <w:r>
              <w:rPr>
                <w:spacing w:val="-2"/>
                <w:sz w:val="20"/>
              </w:rPr>
              <w:t xml:space="preserve"> Street</w:t>
            </w:r>
          </w:p>
          <w:p w14:paraId="1E805933" w14:textId="77777777" w:rsidR="00AA4A02" w:rsidRDefault="00960F31">
            <w:pPr>
              <w:pStyle w:val="TableParagraph"/>
              <w:spacing w:line="225" w:lineRule="auto"/>
              <w:ind w:left="50" w:right="623"/>
              <w:rPr>
                <w:sz w:val="20"/>
              </w:rPr>
            </w:pPr>
            <w:r>
              <w:rPr>
                <w:sz w:val="20"/>
              </w:rPr>
              <w:t>Melbourne</w:t>
            </w:r>
            <w:r>
              <w:rPr>
                <w:spacing w:val="80"/>
                <w:sz w:val="20"/>
              </w:rPr>
              <w:t xml:space="preserve"> </w:t>
            </w:r>
            <w:r>
              <w:rPr>
                <w:sz w:val="20"/>
              </w:rPr>
              <w:t>Victoria</w:t>
            </w:r>
            <w:r>
              <w:rPr>
                <w:spacing w:val="79"/>
                <w:sz w:val="20"/>
              </w:rPr>
              <w:t xml:space="preserve"> </w:t>
            </w:r>
            <w:r>
              <w:rPr>
                <w:sz w:val="20"/>
              </w:rPr>
              <w:t xml:space="preserve">3000 </w:t>
            </w:r>
            <w:r>
              <w:rPr>
                <w:spacing w:val="-2"/>
                <w:sz w:val="20"/>
              </w:rPr>
              <w:t>AUSTRALIA</w:t>
            </w:r>
          </w:p>
        </w:tc>
        <w:tc>
          <w:tcPr>
            <w:tcW w:w="3322" w:type="dxa"/>
          </w:tcPr>
          <w:p w14:paraId="1E805934" w14:textId="77777777" w:rsidR="00AA4A02" w:rsidRDefault="00960F31">
            <w:pPr>
              <w:pStyle w:val="TableParagraph"/>
              <w:spacing w:line="214" w:lineRule="exact"/>
              <w:ind w:left="603"/>
              <w:rPr>
                <w:sz w:val="20"/>
              </w:rPr>
            </w:pPr>
            <w:r>
              <w:rPr>
                <w:sz w:val="20"/>
              </w:rPr>
              <w:t>Phone:</w:t>
            </w:r>
            <w:r>
              <w:rPr>
                <w:spacing w:val="41"/>
                <w:sz w:val="20"/>
              </w:rPr>
              <w:t xml:space="preserve">  </w:t>
            </w:r>
            <w:r>
              <w:rPr>
                <w:sz w:val="20"/>
              </w:rPr>
              <w:t>(03)</w:t>
            </w:r>
            <w:r>
              <w:rPr>
                <w:spacing w:val="-4"/>
                <w:sz w:val="20"/>
              </w:rPr>
              <w:t xml:space="preserve"> </w:t>
            </w:r>
            <w:r>
              <w:rPr>
                <w:sz w:val="20"/>
              </w:rPr>
              <w:t xml:space="preserve">8080 </w:t>
            </w:r>
            <w:r>
              <w:rPr>
                <w:spacing w:val="-4"/>
                <w:sz w:val="20"/>
              </w:rPr>
              <w:t>7400</w:t>
            </w:r>
          </w:p>
          <w:p w14:paraId="1E805935" w14:textId="77777777" w:rsidR="00AA4A02" w:rsidRDefault="00960F31">
            <w:pPr>
              <w:pStyle w:val="TableParagraph"/>
              <w:spacing w:line="223" w:lineRule="exact"/>
              <w:ind w:left="603"/>
              <w:rPr>
                <w:sz w:val="20"/>
              </w:rPr>
            </w:pPr>
            <w:r>
              <w:rPr>
                <w:sz w:val="20"/>
              </w:rPr>
              <w:t>E-mail:</w:t>
            </w:r>
            <w:r>
              <w:rPr>
                <w:spacing w:val="53"/>
                <w:sz w:val="20"/>
              </w:rPr>
              <w:t xml:space="preserve"> </w:t>
            </w:r>
            <w:hyperlink r:id="rId47">
              <w:r>
                <w:rPr>
                  <w:spacing w:val="-2"/>
                  <w:sz w:val="20"/>
                </w:rPr>
                <w:t>enquiries@auasb.gov.au</w:t>
              </w:r>
            </w:hyperlink>
          </w:p>
        </w:tc>
      </w:tr>
      <w:tr w:rsidR="00AA4A02" w14:paraId="1E80593C" w14:textId="77777777">
        <w:trPr>
          <w:trHeight w:val="1127"/>
        </w:trPr>
        <w:tc>
          <w:tcPr>
            <w:tcW w:w="3961" w:type="dxa"/>
          </w:tcPr>
          <w:p w14:paraId="1E805937" w14:textId="77777777" w:rsidR="00AA4A02" w:rsidRDefault="00AA4A02">
            <w:pPr>
              <w:pStyle w:val="TableParagraph"/>
              <w:ind w:left="0"/>
              <w:rPr>
                <w:sz w:val="20"/>
              </w:rPr>
            </w:pPr>
          </w:p>
        </w:tc>
        <w:tc>
          <w:tcPr>
            <w:tcW w:w="3322" w:type="dxa"/>
          </w:tcPr>
          <w:p w14:paraId="1E805938" w14:textId="77777777" w:rsidR="00AA4A02" w:rsidRDefault="00960F31">
            <w:pPr>
              <w:pStyle w:val="TableParagraph"/>
              <w:spacing w:before="82" w:line="215" w:lineRule="exact"/>
              <w:ind w:left="603"/>
              <w:rPr>
                <w:sz w:val="20"/>
              </w:rPr>
            </w:pPr>
            <w:r>
              <w:rPr>
                <w:sz w:val="20"/>
              </w:rPr>
              <w:t>Postal</w:t>
            </w:r>
            <w:r>
              <w:rPr>
                <w:spacing w:val="-6"/>
                <w:sz w:val="20"/>
              </w:rPr>
              <w:t xml:space="preserve"> </w:t>
            </w:r>
            <w:r>
              <w:rPr>
                <w:spacing w:val="-2"/>
                <w:sz w:val="20"/>
              </w:rPr>
              <w:t>Address:</w:t>
            </w:r>
          </w:p>
          <w:p w14:paraId="1E805939" w14:textId="77777777" w:rsidR="00AA4A02" w:rsidRDefault="00960F31">
            <w:pPr>
              <w:pStyle w:val="TableParagraph"/>
              <w:spacing w:line="200" w:lineRule="exact"/>
              <w:ind w:left="603"/>
              <w:rPr>
                <w:sz w:val="20"/>
              </w:rPr>
            </w:pPr>
            <w:r>
              <w:rPr>
                <w:sz w:val="20"/>
              </w:rPr>
              <w:t>PO</w:t>
            </w:r>
            <w:r>
              <w:rPr>
                <w:spacing w:val="-4"/>
                <w:sz w:val="20"/>
              </w:rPr>
              <w:t xml:space="preserve"> </w:t>
            </w:r>
            <w:r>
              <w:rPr>
                <w:sz w:val="20"/>
              </w:rPr>
              <w:t>Box</w:t>
            </w:r>
            <w:r>
              <w:rPr>
                <w:spacing w:val="-2"/>
                <w:sz w:val="20"/>
              </w:rPr>
              <w:t xml:space="preserve"> </w:t>
            </w:r>
            <w:r>
              <w:rPr>
                <w:spacing w:val="-5"/>
                <w:sz w:val="20"/>
              </w:rPr>
              <w:t>204</w:t>
            </w:r>
          </w:p>
          <w:p w14:paraId="1E80593A" w14:textId="77777777" w:rsidR="00AA4A02" w:rsidRDefault="00960F31">
            <w:pPr>
              <w:pStyle w:val="TableParagraph"/>
              <w:spacing w:before="10" w:line="208" w:lineRule="auto"/>
              <w:ind w:left="603" w:right="306"/>
              <w:rPr>
                <w:sz w:val="20"/>
              </w:rPr>
            </w:pPr>
            <w:r>
              <w:rPr>
                <w:sz w:val="20"/>
              </w:rPr>
              <w:t>Collins Street West Melbourne</w:t>
            </w:r>
            <w:r>
              <w:rPr>
                <w:spacing w:val="80"/>
                <w:sz w:val="20"/>
              </w:rPr>
              <w:t xml:space="preserve"> </w:t>
            </w:r>
            <w:r>
              <w:rPr>
                <w:sz w:val="20"/>
              </w:rPr>
              <w:t>Victoria</w:t>
            </w:r>
            <w:r>
              <w:rPr>
                <w:spacing w:val="79"/>
                <w:sz w:val="20"/>
              </w:rPr>
              <w:t xml:space="preserve"> </w:t>
            </w:r>
            <w:r>
              <w:rPr>
                <w:sz w:val="20"/>
              </w:rPr>
              <w:t>8007</w:t>
            </w:r>
          </w:p>
          <w:p w14:paraId="1E80593B" w14:textId="77777777" w:rsidR="00AA4A02" w:rsidRDefault="00960F31">
            <w:pPr>
              <w:pStyle w:val="TableParagraph"/>
              <w:spacing w:line="201" w:lineRule="exact"/>
              <w:ind w:left="603"/>
              <w:rPr>
                <w:sz w:val="20"/>
              </w:rPr>
            </w:pPr>
            <w:r>
              <w:rPr>
                <w:spacing w:val="-2"/>
                <w:sz w:val="20"/>
              </w:rPr>
              <w:t>AUSTRALIA</w:t>
            </w:r>
          </w:p>
        </w:tc>
      </w:tr>
    </w:tbl>
    <w:p w14:paraId="1E80593D" w14:textId="77777777" w:rsidR="00AA4A02" w:rsidRDefault="00AA4A02">
      <w:pPr>
        <w:pStyle w:val="BodyText"/>
        <w:rPr>
          <w:b/>
        </w:rPr>
      </w:pPr>
    </w:p>
    <w:p w14:paraId="1E80593E" w14:textId="77777777" w:rsidR="00AA4A02" w:rsidRDefault="00AA4A02">
      <w:pPr>
        <w:pStyle w:val="BodyText"/>
        <w:rPr>
          <w:b/>
        </w:rPr>
      </w:pPr>
    </w:p>
    <w:p w14:paraId="1E80593F" w14:textId="77777777" w:rsidR="00AA4A02" w:rsidRDefault="00AA4A02">
      <w:pPr>
        <w:pStyle w:val="BodyText"/>
        <w:rPr>
          <w:b/>
        </w:rPr>
      </w:pPr>
    </w:p>
    <w:p w14:paraId="1E805940" w14:textId="77777777" w:rsidR="00AA4A02" w:rsidRDefault="00AA4A02">
      <w:pPr>
        <w:pStyle w:val="BodyText"/>
        <w:rPr>
          <w:b/>
        </w:rPr>
      </w:pPr>
    </w:p>
    <w:p w14:paraId="1E805941" w14:textId="77777777" w:rsidR="00AA4A02" w:rsidRDefault="00AA4A02">
      <w:pPr>
        <w:pStyle w:val="BodyText"/>
        <w:rPr>
          <w:b/>
        </w:rPr>
      </w:pPr>
    </w:p>
    <w:p w14:paraId="1E805942" w14:textId="77777777" w:rsidR="00AA4A02" w:rsidRDefault="00AA4A02">
      <w:pPr>
        <w:pStyle w:val="BodyText"/>
        <w:rPr>
          <w:b/>
        </w:rPr>
      </w:pPr>
    </w:p>
    <w:p w14:paraId="1E805943" w14:textId="77777777" w:rsidR="00AA4A02" w:rsidRDefault="00AA4A02">
      <w:pPr>
        <w:pStyle w:val="BodyText"/>
        <w:rPr>
          <w:b/>
        </w:rPr>
      </w:pPr>
    </w:p>
    <w:p w14:paraId="1E805944" w14:textId="77777777" w:rsidR="00AA4A02" w:rsidRDefault="00AA4A02">
      <w:pPr>
        <w:pStyle w:val="BodyText"/>
        <w:rPr>
          <w:b/>
        </w:rPr>
      </w:pPr>
    </w:p>
    <w:p w14:paraId="1E805945" w14:textId="77777777" w:rsidR="00AA4A02" w:rsidRDefault="00AA4A02">
      <w:pPr>
        <w:pStyle w:val="BodyText"/>
        <w:rPr>
          <w:b/>
        </w:rPr>
      </w:pPr>
    </w:p>
    <w:p w14:paraId="1E805946" w14:textId="77777777" w:rsidR="00AA4A02" w:rsidRDefault="00AA4A02">
      <w:pPr>
        <w:pStyle w:val="BodyText"/>
        <w:rPr>
          <w:b/>
        </w:rPr>
      </w:pPr>
    </w:p>
    <w:p w14:paraId="1E805947" w14:textId="77777777" w:rsidR="00AA4A02" w:rsidRDefault="00AA4A02">
      <w:pPr>
        <w:pStyle w:val="BodyText"/>
        <w:rPr>
          <w:b/>
        </w:rPr>
      </w:pPr>
    </w:p>
    <w:p w14:paraId="1E805948" w14:textId="77777777" w:rsidR="00AA4A02" w:rsidRDefault="00AA4A02">
      <w:pPr>
        <w:pStyle w:val="BodyText"/>
        <w:rPr>
          <w:b/>
        </w:rPr>
      </w:pPr>
    </w:p>
    <w:p w14:paraId="1E805949" w14:textId="77777777" w:rsidR="00AA4A02" w:rsidRDefault="00AA4A02">
      <w:pPr>
        <w:pStyle w:val="BodyText"/>
        <w:rPr>
          <w:b/>
        </w:rPr>
      </w:pPr>
    </w:p>
    <w:p w14:paraId="1E80594A" w14:textId="77777777" w:rsidR="00AA4A02" w:rsidRDefault="00AA4A02">
      <w:pPr>
        <w:pStyle w:val="BodyText"/>
        <w:rPr>
          <w:b/>
        </w:rPr>
      </w:pPr>
    </w:p>
    <w:p w14:paraId="1E80594B" w14:textId="77777777" w:rsidR="00AA4A02" w:rsidRDefault="00AA4A02">
      <w:pPr>
        <w:pStyle w:val="BodyText"/>
        <w:rPr>
          <w:b/>
        </w:rPr>
      </w:pPr>
    </w:p>
    <w:p w14:paraId="1E80594C" w14:textId="77777777" w:rsidR="00AA4A02" w:rsidRDefault="00AA4A02">
      <w:pPr>
        <w:pStyle w:val="BodyText"/>
        <w:rPr>
          <w:b/>
        </w:rPr>
      </w:pPr>
    </w:p>
    <w:p w14:paraId="1E80594D" w14:textId="77777777" w:rsidR="00AA4A02" w:rsidRDefault="00AA4A02">
      <w:pPr>
        <w:pStyle w:val="BodyText"/>
        <w:rPr>
          <w:b/>
        </w:rPr>
      </w:pPr>
    </w:p>
    <w:p w14:paraId="1E80594E" w14:textId="77777777" w:rsidR="00AA4A02" w:rsidRDefault="00AA4A02">
      <w:pPr>
        <w:pStyle w:val="BodyText"/>
        <w:rPr>
          <w:b/>
        </w:rPr>
      </w:pPr>
    </w:p>
    <w:p w14:paraId="1E80594F" w14:textId="77777777" w:rsidR="00AA4A02" w:rsidRDefault="00AA4A02">
      <w:pPr>
        <w:pStyle w:val="BodyText"/>
        <w:rPr>
          <w:b/>
        </w:rPr>
      </w:pPr>
    </w:p>
    <w:p w14:paraId="1E805950" w14:textId="77777777" w:rsidR="00AA4A02" w:rsidRDefault="00AA4A02">
      <w:pPr>
        <w:pStyle w:val="BodyText"/>
        <w:rPr>
          <w:b/>
        </w:rPr>
      </w:pPr>
    </w:p>
    <w:p w14:paraId="1E805951" w14:textId="77777777" w:rsidR="00AA4A02" w:rsidRDefault="00AA4A02">
      <w:pPr>
        <w:pStyle w:val="BodyText"/>
        <w:rPr>
          <w:b/>
        </w:rPr>
      </w:pPr>
    </w:p>
    <w:p w14:paraId="1E805952" w14:textId="77777777" w:rsidR="00AA4A02" w:rsidRDefault="00AA4A02">
      <w:pPr>
        <w:pStyle w:val="BodyText"/>
        <w:rPr>
          <w:b/>
        </w:rPr>
      </w:pPr>
    </w:p>
    <w:p w14:paraId="1E805953" w14:textId="77777777" w:rsidR="00AA4A02" w:rsidRDefault="00AA4A02">
      <w:pPr>
        <w:pStyle w:val="BodyText"/>
        <w:rPr>
          <w:b/>
        </w:rPr>
      </w:pPr>
    </w:p>
    <w:p w14:paraId="1E805954" w14:textId="77777777" w:rsidR="00AA4A02" w:rsidRDefault="00AA4A02">
      <w:pPr>
        <w:pStyle w:val="BodyText"/>
        <w:rPr>
          <w:b/>
        </w:rPr>
      </w:pPr>
    </w:p>
    <w:p w14:paraId="1E805955" w14:textId="77777777" w:rsidR="00AA4A02" w:rsidRDefault="00AA4A02">
      <w:pPr>
        <w:pStyle w:val="BodyText"/>
        <w:rPr>
          <w:b/>
        </w:rPr>
      </w:pPr>
    </w:p>
    <w:p w14:paraId="1E805956" w14:textId="77777777" w:rsidR="00AA4A02" w:rsidRDefault="00AA4A02">
      <w:pPr>
        <w:pStyle w:val="BodyText"/>
        <w:rPr>
          <w:b/>
        </w:rPr>
      </w:pPr>
    </w:p>
    <w:p w14:paraId="1E805957" w14:textId="77777777" w:rsidR="00AA4A02" w:rsidRDefault="00AA4A02">
      <w:pPr>
        <w:pStyle w:val="BodyText"/>
        <w:rPr>
          <w:b/>
        </w:rPr>
      </w:pPr>
    </w:p>
    <w:p w14:paraId="1E805958" w14:textId="77777777" w:rsidR="00AA4A02" w:rsidRDefault="00AA4A02">
      <w:pPr>
        <w:pStyle w:val="BodyText"/>
        <w:spacing w:before="44"/>
        <w:rPr>
          <w:b/>
        </w:rPr>
      </w:pPr>
    </w:p>
    <w:p w14:paraId="1E805959" w14:textId="77777777" w:rsidR="00AA4A02" w:rsidRDefault="00960F31">
      <w:pPr>
        <w:pStyle w:val="Heading7"/>
        <w:spacing w:before="0"/>
      </w:pPr>
      <w:bookmarkStart w:id="33" w:name="COPYRIGHT"/>
      <w:bookmarkEnd w:id="33"/>
      <w:r>
        <w:rPr>
          <w:spacing w:val="-2"/>
        </w:rPr>
        <w:t>COPYRIGHT</w:t>
      </w:r>
    </w:p>
    <w:p w14:paraId="1E80595A" w14:textId="77777777" w:rsidR="00AA4A02" w:rsidRDefault="00960F31">
      <w:pPr>
        <w:pStyle w:val="BodyText"/>
        <w:spacing w:before="198" w:line="206" w:lineRule="auto"/>
        <w:ind w:left="143" w:right="95"/>
      </w:pPr>
      <w:r>
        <w:t>©</w:t>
      </w:r>
      <w:r>
        <w:rPr>
          <w:spacing w:val="-2"/>
        </w:rPr>
        <w:t xml:space="preserve"> </w:t>
      </w:r>
      <w:r>
        <w:t>2021</w:t>
      </w:r>
      <w:r>
        <w:rPr>
          <w:spacing w:val="-2"/>
        </w:rPr>
        <w:t xml:space="preserve"> </w:t>
      </w:r>
      <w:r>
        <w:t>Auditing</w:t>
      </w:r>
      <w:r>
        <w:rPr>
          <w:spacing w:val="-5"/>
        </w:rPr>
        <w:t xml:space="preserve"> </w:t>
      </w:r>
      <w:r>
        <w:t>and</w:t>
      </w:r>
      <w:r>
        <w:rPr>
          <w:spacing w:val="-2"/>
        </w:rPr>
        <w:t xml:space="preserve"> </w:t>
      </w:r>
      <w:r>
        <w:t>Assurance</w:t>
      </w:r>
      <w:r>
        <w:rPr>
          <w:spacing w:val="-2"/>
        </w:rPr>
        <w:t xml:space="preserve"> </w:t>
      </w:r>
      <w:r>
        <w:t>Standards</w:t>
      </w:r>
      <w:r>
        <w:rPr>
          <w:spacing w:val="-2"/>
        </w:rPr>
        <w:t xml:space="preserve"> </w:t>
      </w:r>
      <w:r>
        <w:t>Board</w:t>
      </w:r>
      <w:r>
        <w:rPr>
          <w:spacing w:val="-2"/>
        </w:rPr>
        <w:t xml:space="preserve"> </w:t>
      </w:r>
      <w:r>
        <w:t>(AUASB).</w:t>
      </w:r>
      <w:r>
        <w:rPr>
          <w:spacing w:val="40"/>
        </w:rPr>
        <w:t xml:space="preserve"> </w:t>
      </w:r>
      <w:r>
        <w:t>The</w:t>
      </w:r>
      <w:r>
        <w:rPr>
          <w:spacing w:val="-2"/>
        </w:rPr>
        <w:t xml:space="preserve"> </w:t>
      </w:r>
      <w:r>
        <w:t>text,</w:t>
      </w:r>
      <w:r>
        <w:rPr>
          <w:spacing w:val="-2"/>
        </w:rPr>
        <w:t xml:space="preserve"> </w:t>
      </w:r>
      <w:r>
        <w:t>graphics</w:t>
      </w:r>
      <w:r>
        <w:rPr>
          <w:spacing w:val="-2"/>
        </w:rPr>
        <w:t xml:space="preserve"> </w:t>
      </w:r>
      <w:r>
        <w:t>and</w:t>
      </w:r>
      <w:r>
        <w:rPr>
          <w:spacing w:val="-2"/>
        </w:rPr>
        <w:t xml:space="preserve"> </w:t>
      </w:r>
      <w:r>
        <w:t>layout</w:t>
      </w:r>
      <w:r>
        <w:rPr>
          <w:spacing w:val="-4"/>
        </w:rPr>
        <w:t xml:space="preserve"> </w:t>
      </w:r>
      <w:r>
        <w:t>of this document are protected by Australian copyright law and the comparable law of other countries.</w:t>
      </w:r>
    </w:p>
    <w:p w14:paraId="1E80595B" w14:textId="77777777" w:rsidR="00AA4A02" w:rsidRDefault="00960F31">
      <w:pPr>
        <w:pStyle w:val="BodyText"/>
        <w:spacing w:before="2" w:line="208" w:lineRule="auto"/>
        <w:ind w:left="143" w:right="173"/>
      </w:pPr>
      <w:r>
        <w:t>Reproduction within Australia in unaltered form (retaining this notice) is permitted for personal and non-commercial use subject to the inclusion of an acknowledgment of the source.</w:t>
      </w:r>
      <w:r>
        <w:rPr>
          <w:spacing w:val="40"/>
        </w:rPr>
        <w:t xml:space="preserve"> </w:t>
      </w:r>
      <w:r>
        <w:t>Requests and enquiries concerning reproduction and rights for commercial purposes within Australia should be addressed to the Technical Director, Auditing and Assurance Standards Board, PO Box 204, Collins Street</w:t>
      </w:r>
      <w:r>
        <w:rPr>
          <w:spacing w:val="-3"/>
        </w:rPr>
        <w:t xml:space="preserve"> </w:t>
      </w:r>
      <w:r>
        <w:t>West,</w:t>
      </w:r>
      <w:r>
        <w:rPr>
          <w:spacing w:val="-4"/>
        </w:rPr>
        <w:t xml:space="preserve"> </w:t>
      </w:r>
      <w:r>
        <w:t>Melbourne Victoria</w:t>
      </w:r>
      <w:r>
        <w:rPr>
          <w:spacing w:val="-3"/>
        </w:rPr>
        <w:t xml:space="preserve"> </w:t>
      </w:r>
      <w:r>
        <w:t>8007.</w:t>
      </w:r>
      <w:r>
        <w:rPr>
          <w:spacing w:val="40"/>
        </w:rPr>
        <w:t xml:space="preserve"> </w:t>
      </w:r>
      <w:r>
        <w:t>Otherwise,</w:t>
      </w:r>
      <w:r>
        <w:rPr>
          <w:spacing w:val="-1"/>
        </w:rPr>
        <w:t xml:space="preserve"> </w:t>
      </w:r>
      <w:r>
        <w:t>no</w:t>
      </w:r>
      <w:r>
        <w:rPr>
          <w:spacing w:val="-3"/>
        </w:rPr>
        <w:t xml:space="preserve"> </w:t>
      </w:r>
      <w:r>
        <w:t>part</w:t>
      </w:r>
      <w:r>
        <w:rPr>
          <w:spacing w:val="-3"/>
        </w:rPr>
        <w:t xml:space="preserve"> </w:t>
      </w:r>
      <w:r>
        <w:t>of</w:t>
      </w:r>
      <w:r>
        <w:rPr>
          <w:spacing w:val="-3"/>
        </w:rPr>
        <w:t xml:space="preserve"> </w:t>
      </w:r>
      <w:r>
        <w:t>the</w:t>
      </w:r>
      <w:r>
        <w:rPr>
          <w:spacing w:val="-3"/>
        </w:rPr>
        <w:t xml:space="preserve"> </w:t>
      </w:r>
      <w:r>
        <w:t>document</w:t>
      </w:r>
      <w:r>
        <w:rPr>
          <w:spacing w:val="-3"/>
        </w:rPr>
        <w:t xml:space="preserve"> </w:t>
      </w:r>
      <w:r>
        <w:t>may</w:t>
      </w:r>
      <w:r>
        <w:rPr>
          <w:spacing w:val="-1"/>
        </w:rPr>
        <w:t xml:space="preserve"> </w:t>
      </w:r>
      <w:r>
        <w:t>be</w:t>
      </w:r>
      <w:r>
        <w:rPr>
          <w:spacing w:val="-1"/>
        </w:rPr>
        <w:t xml:space="preserve"> </w:t>
      </w:r>
      <w:r>
        <w:t>reproduced,</w:t>
      </w:r>
      <w:r>
        <w:rPr>
          <w:spacing w:val="-4"/>
        </w:rPr>
        <w:t xml:space="preserve"> </w:t>
      </w:r>
      <w:r>
        <w:t>stored or</w:t>
      </w:r>
      <w:r>
        <w:rPr>
          <w:spacing w:val="-2"/>
        </w:rPr>
        <w:t xml:space="preserve"> </w:t>
      </w:r>
      <w:r>
        <w:t>transmitted</w:t>
      </w:r>
      <w:r>
        <w:rPr>
          <w:spacing w:val="-4"/>
        </w:rPr>
        <w:t xml:space="preserve"> </w:t>
      </w:r>
      <w:r>
        <w:t>in</w:t>
      </w:r>
      <w:r>
        <w:rPr>
          <w:spacing w:val="-2"/>
        </w:rPr>
        <w:t xml:space="preserve"> </w:t>
      </w:r>
      <w:r>
        <w:t>any</w:t>
      </w:r>
      <w:r>
        <w:rPr>
          <w:spacing w:val="-2"/>
        </w:rPr>
        <w:t xml:space="preserve"> </w:t>
      </w:r>
      <w:r>
        <w:t>form</w:t>
      </w:r>
      <w:r>
        <w:rPr>
          <w:spacing w:val="-4"/>
        </w:rPr>
        <w:t xml:space="preserve"> </w:t>
      </w:r>
      <w:r>
        <w:t>or</w:t>
      </w:r>
      <w:r>
        <w:rPr>
          <w:spacing w:val="-2"/>
        </w:rPr>
        <w:t xml:space="preserve"> </w:t>
      </w:r>
      <w:r>
        <w:t>by</w:t>
      </w:r>
      <w:r>
        <w:rPr>
          <w:spacing w:val="-2"/>
        </w:rPr>
        <w:t xml:space="preserve"> </w:t>
      </w:r>
      <w:r>
        <w:t>any</w:t>
      </w:r>
      <w:r>
        <w:rPr>
          <w:spacing w:val="-5"/>
        </w:rPr>
        <w:t xml:space="preserve"> </w:t>
      </w:r>
      <w:r>
        <w:t>means</w:t>
      </w:r>
      <w:r>
        <w:rPr>
          <w:spacing w:val="-2"/>
        </w:rPr>
        <w:t xml:space="preserve"> </w:t>
      </w:r>
      <w:r>
        <w:t>without</w:t>
      </w:r>
      <w:r>
        <w:rPr>
          <w:spacing w:val="-1"/>
        </w:rPr>
        <w:t xml:space="preserve"> </w:t>
      </w:r>
      <w:r>
        <w:t>the</w:t>
      </w:r>
      <w:r>
        <w:rPr>
          <w:spacing w:val="-2"/>
        </w:rPr>
        <w:t xml:space="preserve"> </w:t>
      </w:r>
      <w:r>
        <w:t>prior</w:t>
      </w:r>
      <w:r>
        <w:rPr>
          <w:spacing w:val="-2"/>
        </w:rPr>
        <w:t xml:space="preserve"> </w:t>
      </w:r>
      <w:r>
        <w:t>written</w:t>
      </w:r>
      <w:r>
        <w:rPr>
          <w:spacing w:val="-2"/>
        </w:rPr>
        <w:t xml:space="preserve"> </w:t>
      </w:r>
      <w:r>
        <w:t>permission</w:t>
      </w:r>
      <w:r>
        <w:rPr>
          <w:spacing w:val="-5"/>
        </w:rPr>
        <w:t xml:space="preserve"> </w:t>
      </w:r>
      <w:r>
        <w:t>of</w:t>
      </w:r>
      <w:r>
        <w:rPr>
          <w:spacing w:val="-2"/>
        </w:rPr>
        <w:t xml:space="preserve"> </w:t>
      </w:r>
      <w:r>
        <w:t>the</w:t>
      </w:r>
      <w:r>
        <w:rPr>
          <w:spacing w:val="-2"/>
        </w:rPr>
        <w:t xml:space="preserve"> </w:t>
      </w:r>
      <w:r>
        <w:t>AUASB</w:t>
      </w:r>
      <w:r>
        <w:rPr>
          <w:spacing w:val="-4"/>
        </w:rPr>
        <w:t xml:space="preserve"> </w:t>
      </w:r>
      <w:r>
        <w:t>except as permitted by law.</w:t>
      </w:r>
    </w:p>
    <w:p w14:paraId="1E80595C" w14:textId="77777777" w:rsidR="00AA4A02" w:rsidRDefault="00AA4A02">
      <w:pPr>
        <w:pStyle w:val="BodyText"/>
        <w:spacing w:line="208" w:lineRule="auto"/>
        <w:sectPr w:rsidR="00AA4A02">
          <w:headerReference w:type="default" r:id="rId48"/>
          <w:footerReference w:type="default" r:id="rId49"/>
          <w:pgSz w:w="11910" w:h="16840"/>
          <w:pgMar w:top="1720" w:right="1275" w:bottom="1040" w:left="1275" w:header="0" w:footer="842" w:gutter="0"/>
          <w:pgNumType w:start="2"/>
          <w:cols w:space="720"/>
        </w:sectPr>
      </w:pPr>
    </w:p>
    <w:p w14:paraId="1E80595D" w14:textId="77777777" w:rsidR="00AA4A02" w:rsidRDefault="00AA4A02">
      <w:pPr>
        <w:pStyle w:val="BodyText"/>
        <w:spacing w:before="86"/>
        <w:rPr>
          <w:sz w:val="20"/>
        </w:rPr>
      </w:pPr>
    </w:p>
    <w:p w14:paraId="1E80595E" w14:textId="77777777" w:rsidR="00AA4A02" w:rsidRDefault="00AA4A02">
      <w:pPr>
        <w:pStyle w:val="BodyText"/>
        <w:rPr>
          <w:sz w:val="20"/>
        </w:rPr>
        <w:sectPr w:rsidR="00AA4A02">
          <w:headerReference w:type="default" r:id="rId50"/>
          <w:footerReference w:type="default" r:id="rId51"/>
          <w:pgSz w:w="11910" w:h="16840"/>
          <w:pgMar w:top="1380" w:right="1275" w:bottom="1040" w:left="1275" w:header="689" w:footer="842" w:gutter="0"/>
          <w:cols w:space="720"/>
        </w:sectPr>
      </w:pPr>
    </w:p>
    <w:p w14:paraId="1E80595F" w14:textId="77777777" w:rsidR="00AA4A02" w:rsidRDefault="00960F31">
      <w:pPr>
        <w:spacing w:before="87"/>
        <w:jc w:val="right"/>
        <w:rPr>
          <w:sz w:val="34"/>
        </w:rPr>
      </w:pPr>
      <w:bookmarkStart w:id="34" w:name="CONTENTS"/>
      <w:bookmarkEnd w:id="34"/>
      <w:r>
        <w:rPr>
          <w:spacing w:val="-2"/>
          <w:sz w:val="34"/>
        </w:rPr>
        <w:t>CONTENTS</w:t>
      </w:r>
    </w:p>
    <w:p w14:paraId="1E805960" w14:textId="77777777" w:rsidR="00AA4A02" w:rsidRDefault="00960F31">
      <w:pPr>
        <w:pStyle w:val="BodyText"/>
      </w:pPr>
      <w:r>
        <w:br w:type="column"/>
      </w:r>
    </w:p>
    <w:p w14:paraId="1E805961" w14:textId="77777777" w:rsidR="00AA4A02" w:rsidRDefault="00AA4A02">
      <w:pPr>
        <w:pStyle w:val="BodyText"/>
        <w:spacing w:before="137"/>
      </w:pPr>
    </w:p>
    <w:p w14:paraId="1E805962" w14:textId="77777777" w:rsidR="00AA4A02" w:rsidRDefault="00960F31">
      <w:pPr>
        <w:ind w:right="137"/>
        <w:jc w:val="right"/>
        <w:rPr>
          <w:i/>
        </w:rPr>
      </w:pPr>
      <w:r>
        <w:rPr>
          <w:i/>
          <w:spacing w:val="-2"/>
        </w:rPr>
        <w:t>Paragraphs</w:t>
      </w:r>
    </w:p>
    <w:p w14:paraId="1E805963" w14:textId="77777777" w:rsidR="00AA4A02" w:rsidRDefault="00AA4A02">
      <w:pPr>
        <w:jc w:val="right"/>
        <w:rPr>
          <w:i/>
        </w:rPr>
        <w:sectPr w:rsidR="00AA4A02">
          <w:type w:val="continuous"/>
          <w:pgSz w:w="11910" w:h="16840"/>
          <w:pgMar w:top="700" w:right="1275" w:bottom="280" w:left="1275" w:header="689" w:footer="842" w:gutter="0"/>
          <w:cols w:num="2" w:space="720" w:equalWidth="0">
            <w:col w:w="5569" w:space="40"/>
            <w:col w:w="3751"/>
          </w:cols>
        </w:sectPr>
      </w:pPr>
    </w:p>
    <w:sdt>
      <w:sdtPr>
        <w:id w:val="267042153"/>
        <w:docPartObj>
          <w:docPartGallery w:val="Table of Contents"/>
          <w:docPartUnique/>
        </w:docPartObj>
      </w:sdtPr>
      <w:sdtContent>
        <w:p w14:paraId="1E805964" w14:textId="77777777" w:rsidR="00AA4A02" w:rsidRDefault="00960F31">
          <w:pPr>
            <w:pStyle w:val="TOC1"/>
            <w:numPr>
              <w:ilvl w:val="0"/>
              <w:numId w:val="31"/>
            </w:numPr>
            <w:tabs>
              <w:tab w:val="left" w:pos="851"/>
              <w:tab w:val="right" w:leader="dot" w:pos="9219"/>
            </w:tabs>
            <w:spacing w:before="114"/>
          </w:pPr>
          <w:hyperlink w:anchor="_TOC_250019" w:history="1">
            <w:r>
              <w:rPr>
                <w:spacing w:val="-2"/>
              </w:rPr>
              <w:t>Introduction</w:t>
            </w:r>
            <w:r>
              <w:tab/>
            </w:r>
            <w:r>
              <w:rPr>
                <w:spacing w:val="-5"/>
              </w:rPr>
              <w:t>1-</w:t>
            </w:r>
            <w:r>
              <w:t>7</w:t>
            </w:r>
          </w:hyperlink>
        </w:p>
        <w:p w14:paraId="1E805965" w14:textId="77777777" w:rsidR="00AA4A02" w:rsidRDefault="00960F31">
          <w:pPr>
            <w:pStyle w:val="TOC2"/>
            <w:spacing w:before="333" w:line="324" w:lineRule="auto"/>
            <w:ind w:right="7111"/>
          </w:pPr>
          <w:hyperlink w:anchor="_TOC_250018" w:history="1">
            <w:r>
              <w:t xml:space="preserve">PART A </w:t>
            </w:r>
            <w:r>
              <w:rPr>
                <w:spacing w:val="-2"/>
              </w:rPr>
              <w:t>PRINCIPLES</w:t>
            </w:r>
          </w:hyperlink>
        </w:p>
        <w:p w14:paraId="1E805966" w14:textId="77777777" w:rsidR="00AA4A02" w:rsidRDefault="00960F31">
          <w:pPr>
            <w:pStyle w:val="TOC1"/>
            <w:numPr>
              <w:ilvl w:val="0"/>
              <w:numId w:val="31"/>
            </w:numPr>
            <w:tabs>
              <w:tab w:val="left" w:pos="851"/>
              <w:tab w:val="right" w:leader="dot" w:pos="9219"/>
            </w:tabs>
            <w:spacing w:before="142"/>
          </w:pPr>
          <w:hyperlink w:anchor="_TOC_250017" w:history="1">
            <w:r>
              <w:t>AUASB</w:t>
            </w:r>
            <w:r>
              <w:rPr>
                <w:spacing w:val="-6"/>
              </w:rPr>
              <w:t xml:space="preserve"> </w:t>
            </w:r>
            <w:r>
              <w:t>Mandate</w:t>
            </w:r>
            <w:r>
              <w:rPr>
                <w:spacing w:val="-3"/>
              </w:rPr>
              <w:t xml:space="preserve"> </w:t>
            </w:r>
            <w:r>
              <w:t>and</w:t>
            </w:r>
            <w:r>
              <w:rPr>
                <w:spacing w:val="-4"/>
              </w:rPr>
              <w:t xml:space="preserve"> </w:t>
            </w:r>
            <w:r>
              <w:t>Strategic</w:t>
            </w:r>
            <w:r>
              <w:rPr>
                <w:spacing w:val="-3"/>
              </w:rPr>
              <w:t xml:space="preserve"> </w:t>
            </w:r>
            <w:r>
              <w:rPr>
                <w:spacing w:val="-2"/>
              </w:rPr>
              <w:t>Directive</w:t>
            </w:r>
            <w:r>
              <w:tab/>
            </w:r>
            <w:r>
              <w:rPr>
                <w:spacing w:val="-5"/>
              </w:rPr>
              <w:t>8-</w:t>
            </w:r>
            <w:r>
              <w:t>14</w:t>
            </w:r>
          </w:hyperlink>
        </w:p>
        <w:p w14:paraId="1E805967" w14:textId="77777777" w:rsidR="00AA4A02" w:rsidRDefault="00960F31">
          <w:pPr>
            <w:pStyle w:val="TOC1"/>
            <w:numPr>
              <w:ilvl w:val="0"/>
              <w:numId w:val="31"/>
            </w:numPr>
            <w:tabs>
              <w:tab w:val="left" w:pos="851"/>
              <w:tab w:val="right" w:leader="dot" w:pos="9217"/>
            </w:tabs>
            <w:spacing w:before="122"/>
          </w:pPr>
          <w:hyperlink w:anchor="_TOC_250016" w:history="1">
            <w:r>
              <w:t>Due</w:t>
            </w:r>
            <w:r>
              <w:rPr>
                <w:spacing w:val="-2"/>
              </w:rPr>
              <w:t xml:space="preserve"> </w:t>
            </w:r>
            <w:r>
              <w:t>Process</w:t>
            </w:r>
            <w:r>
              <w:rPr>
                <w:spacing w:val="-1"/>
              </w:rPr>
              <w:t xml:space="preserve"> </w:t>
            </w:r>
            <w:r>
              <w:rPr>
                <w:spacing w:val="-2"/>
              </w:rPr>
              <w:t>Principles</w:t>
            </w:r>
            <w:r>
              <w:tab/>
            </w:r>
            <w:r>
              <w:rPr>
                <w:spacing w:val="-7"/>
              </w:rPr>
              <w:t>15</w:t>
            </w:r>
          </w:hyperlink>
        </w:p>
        <w:p w14:paraId="1E805968" w14:textId="77777777" w:rsidR="00AA4A02" w:rsidRDefault="00960F31">
          <w:pPr>
            <w:pStyle w:val="TOC1"/>
            <w:numPr>
              <w:ilvl w:val="0"/>
              <w:numId w:val="31"/>
            </w:numPr>
            <w:tabs>
              <w:tab w:val="left" w:pos="851"/>
              <w:tab w:val="right" w:leader="dot" w:pos="9219"/>
            </w:tabs>
          </w:pPr>
          <w:hyperlink w:anchor="_TOC_250015" w:history="1">
            <w:r>
              <w:t>Categories</w:t>
            </w:r>
            <w:r>
              <w:rPr>
                <w:spacing w:val="-3"/>
              </w:rPr>
              <w:t xml:space="preserve"> </w:t>
            </w:r>
            <w:r>
              <w:t>of</w:t>
            </w:r>
            <w:r>
              <w:rPr>
                <w:spacing w:val="-3"/>
              </w:rPr>
              <w:t xml:space="preserve"> </w:t>
            </w:r>
            <w:r>
              <w:t>Pronouncements</w:t>
            </w:r>
            <w:r>
              <w:rPr>
                <w:spacing w:val="-3"/>
              </w:rPr>
              <w:t xml:space="preserve"> </w:t>
            </w:r>
            <w:r>
              <w:t>and</w:t>
            </w:r>
            <w:r>
              <w:rPr>
                <w:spacing w:val="-6"/>
              </w:rPr>
              <w:t xml:space="preserve"> </w:t>
            </w:r>
            <w:r>
              <w:t>Other</w:t>
            </w:r>
            <w:r>
              <w:rPr>
                <w:spacing w:val="-3"/>
              </w:rPr>
              <w:t xml:space="preserve"> </w:t>
            </w:r>
            <w:r>
              <w:t>Materials</w:t>
            </w:r>
            <w:r>
              <w:rPr>
                <w:spacing w:val="-3"/>
              </w:rPr>
              <w:t xml:space="preserve"> </w:t>
            </w:r>
            <w:r>
              <w:t>issued</w:t>
            </w:r>
            <w:r>
              <w:rPr>
                <w:spacing w:val="-6"/>
              </w:rPr>
              <w:t xml:space="preserve"> </w:t>
            </w:r>
            <w:r>
              <w:t>by</w:t>
            </w:r>
            <w:r>
              <w:rPr>
                <w:spacing w:val="-3"/>
              </w:rPr>
              <w:t xml:space="preserve"> </w:t>
            </w:r>
            <w:r>
              <w:t>the</w:t>
            </w:r>
            <w:r>
              <w:rPr>
                <w:spacing w:val="-3"/>
              </w:rPr>
              <w:t xml:space="preserve"> </w:t>
            </w:r>
            <w:r>
              <w:rPr>
                <w:spacing w:val="-2"/>
              </w:rPr>
              <w:t>AUASB</w:t>
            </w:r>
            <w:r>
              <w:tab/>
            </w:r>
            <w:r>
              <w:rPr>
                <w:spacing w:val="-5"/>
              </w:rPr>
              <w:t>16-</w:t>
            </w:r>
            <w:r>
              <w:t>34</w:t>
            </w:r>
          </w:hyperlink>
        </w:p>
        <w:p w14:paraId="1E805969" w14:textId="77777777" w:rsidR="00AA4A02" w:rsidRDefault="00960F31">
          <w:pPr>
            <w:pStyle w:val="TOC1"/>
            <w:numPr>
              <w:ilvl w:val="0"/>
              <w:numId w:val="31"/>
            </w:numPr>
            <w:tabs>
              <w:tab w:val="left" w:pos="851"/>
              <w:tab w:val="right" w:leader="dot" w:pos="9219"/>
            </w:tabs>
            <w:spacing w:before="121"/>
          </w:pPr>
          <w:hyperlink w:anchor="_TOC_250014" w:history="1">
            <w:r>
              <w:t>International</w:t>
            </w:r>
            <w:r>
              <w:rPr>
                <w:spacing w:val="-6"/>
              </w:rPr>
              <w:t xml:space="preserve"> </w:t>
            </w:r>
            <w:r>
              <w:t>Cooperation</w:t>
            </w:r>
            <w:r>
              <w:rPr>
                <w:spacing w:val="-5"/>
              </w:rPr>
              <w:t xml:space="preserve"> </w:t>
            </w:r>
            <w:r>
              <w:t>and</w:t>
            </w:r>
            <w:r>
              <w:rPr>
                <w:spacing w:val="-5"/>
              </w:rPr>
              <w:t xml:space="preserve"> </w:t>
            </w:r>
            <w:r>
              <w:rPr>
                <w:spacing w:val="-2"/>
              </w:rPr>
              <w:t>Engagement</w:t>
            </w:r>
            <w:r>
              <w:tab/>
            </w:r>
            <w:r>
              <w:rPr>
                <w:spacing w:val="-5"/>
              </w:rPr>
              <w:t>35-</w:t>
            </w:r>
            <w:r>
              <w:t>49</w:t>
            </w:r>
          </w:hyperlink>
        </w:p>
        <w:p w14:paraId="1E80596A" w14:textId="77777777" w:rsidR="00AA4A02" w:rsidRDefault="00960F31">
          <w:pPr>
            <w:pStyle w:val="TOC1"/>
            <w:numPr>
              <w:ilvl w:val="0"/>
              <w:numId w:val="31"/>
            </w:numPr>
            <w:tabs>
              <w:tab w:val="left" w:pos="851"/>
              <w:tab w:val="right" w:leader="dot" w:pos="9219"/>
            </w:tabs>
            <w:spacing w:before="120"/>
          </w:pPr>
          <w:hyperlink w:anchor="_TOC_250013" w:history="1">
            <w:r>
              <w:t>Appropriate</w:t>
            </w:r>
            <w:r>
              <w:rPr>
                <w:spacing w:val="-5"/>
              </w:rPr>
              <w:t xml:space="preserve"> </w:t>
            </w:r>
            <w:r>
              <w:rPr>
                <w:spacing w:val="-2"/>
              </w:rPr>
              <w:t>Consultation</w:t>
            </w:r>
            <w:r>
              <w:tab/>
            </w:r>
            <w:r>
              <w:rPr>
                <w:spacing w:val="-5"/>
              </w:rPr>
              <w:t>50-</w:t>
            </w:r>
            <w:r>
              <w:t>75</w:t>
            </w:r>
          </w:hyperlink>
        </w:p>
        <w:p w14:paraId="1E80596B" w14:textId="77777777" w:rsidR="00AA4A02" w:rsidRDefault="00960F31">
          <w:pPr>
            <w:pStyle w:val="TOC1"/>
            <w:numPr>
              <w:ilvl w:val="0"/>
              <w:numId w:val="31"/>
            </w:numPr>
            <w:tabs>
              <w:tab w:val="left" w:pos="851"/>
              <w:tab w:val="right" w:leader="dot" w:pos="9219"/>
            </w:tabs>
          </w:pPr>
          <w:hyperlink w:anchor="_TOC_250012" w:history="1">
            <w:r>
              <w:t>Protocols</w:t>
            </w:r>
            <w:r>
              <w:rPr>
                <w:spacing w:val="-5"/>
              </w:rPr>
              <w:t xml:space="preserve"> </w:t>
            </w:r>
            <w:r>
              <w:t>for</w:t>
            </w:r>
            <w:r>
              <w:rPr>
                <w:spacing w:val="-4"/>
              </w:rPr>
              <w:t xml:space="preserve"> </w:t>
            </w:r>
            <w:r>
              <w:t>Perceived</w:t>
            </w:r>
            <w:r>
              <w:rPr>
                <w:spacing w:val="-2"/>
              </w:rPr>
              <w:t xml:space="preserve"> </w:t>
            </w:r>
            <w:r>
              <w:t>Breaches</w:t>
            </w:r>
            <w:r>
              <w:rPr>
                <w:spacing w:val="-3"/>
              </w:rPr>
              <w:t xml:space="preserve"> </w:t>
            </w:r>
            <w:r>
              <w:t>of</w:t>
            </w:r>
            <w:r>
              <w:rPr>
                <w:spacing w:val="-3"/>
              </w:rPr>
              <w:t xml:space="preserve"> </w:t>
            </w:r>
            <w:r>
              <w:t>Due</w:t>
            </w:r>
            <w:r>
              <w:rPr>
                <w:spacing w:val="-2"/>
              </w:rPr>
              <w:t xml:space="preserve"> Process</w:t>
            </w:r>
            <w:r>
              <w:tab/>
            </w:r>
            <w:r>
              <w:rPr>
                <w:spacing w:val="-5"/>
              </w:rPr>
              <w:t>76-</w:t>
            </w:r>
            <w:r>
              <w:t>81</w:t>
            </w:r>
          </w:hyperlink>
        </w:p>
        <w:p w14:paraId="1E80596C" w14:textId="77777777" w:rsidR="00AA4A02" w:rsidRDefault="00960F31">
          <w:pPr>
            <w:pStyle w:val="TOC2"/>
            <w:spacing w:before="335"/>
          </w:pPr>
          <w:r>
            <w:t>PART</w:t>
          </w:r>
          <w:r>
            <w:rPr>
              <w:spacing w:val="-5"/>
            </w:rPr>
            <w:t xml:space="preserve"> </w:t>
          </w:r>
          <w:r>
            <w:rPr>
              <w:spacing w:val="-10"/>
            </w:rPr>
            <w:t>B</w:t>
          </w:r>
        </w:p>
        <w:p w14:paraId="1E80596D" w14:textId="77777777" w:rsidR="00AA4A02" w:rsidRDefault="00960F31">
          <w:pPr>
            <w:pStyle w:val="TOC2"/>
            <w:spacing w:line="208" w:lineRule="auto"/>
          </w:pPr>
          <w:r>
            <w:t>PROCESSES</w:t>
          </w:r>
          <w:r>
            <w:rPr>
              <w:spacing w:val="-4"/>
            </w:rPr>
            <w:t xml:space="preserve"> </w:t>
          </w:r>
          <w:r>
            <w:t>FOR</w:t>
          </w:r>
          <w:r>
            <w:rPr>
              <w:spacing w:val="-5"/>
            </w:rPr>
            <w:t xml:space="preserve"> </w:t>
          </w:r>
          <w:r>
            <w:t>PRONOUNCEMENTS</w:t>
          </w:r>
          <w:r>
            <w:rPr>
              <w:spacing w:val="-4"/>
            </w:rPr>
            <w:t xml:space="preserve"> </w:t>
          </w:r>
          <w:r>
            <w:t>AND</w:t>
          </w:r>
          <w:r>
            <w:rPr>
              <w:spacing w:val="-2"/>
            </w:rPr>
            <w:t xml:space="preserve"> </w:t>
          </w:r>
          <w:r>
            <w:t>OTHER</w:t>
          </w:r>
          <w:r>
            <w:rPr>
              <w:spacing w:val="-5"/>
            </w:rPr>
            <w:t xml:space="preserve"> </w:t>
          </w:r>
          <w:r>
            <w:t>MATERIALS</w:t>
          </w:r>
          <w:r>
            <w:rPr>
              <w:spacing w:val="-5"/>
            </w:rPr>
            <w:t xml:space="preserve"> </w:t>
          </w:r>
          <w:r>
            <w:t>ISSUED</w:t>
          </w:r>
          <w:r>
            <w:rPr>
              <w:spacing w:val="-5"/>
            </w:rPr>
            <w:t xml:space="preserve"> </w:t>
          </w:r>
          <w:r>
            <w:t>BY</w:t>
          </w:r>
          <w:r>
            <w:rPr>
              <w:spacing w:val="-5"/>
            </w:rPr>
            <w:t xml:space="preserve"> </w:t>
          </w:r>
          <w:r>
            <w:t xml:space="preserve">THE </w:t>
          </w:r>
          <w:r>
            <w:rPr>
              <w:spacing w:val="-2"/>
            </w:rPr>
            <w:t>AUASB</w:t>
          </w:r>
        </w:p>
        <w:p w14:paraId="1E80596E" w14:textId="77777777" w:rsidR="00AA4A02" w:rsidRDefault="00960F31">
          <w:pPr>
            <w:pStyle w:val="TOC1"/>
            <w:numPr>
              <w:ilvl w:val="0"/>
              <w:numId w:val="31"/>
            </w:numPr>
            <w:tabs>
              <w:tab w:val="left" w:pos="851"/>
              <w:tab w:val="right" w:leader="dot" w:pos="9219"/>
            </w:tabs>
            <w:spacing w:before="241"/>
          </w:pPr>
          <w:hyperlink w:anchor="_TOC_250011" w:history="1">
            <w:r>
              <w:t>Standard-Setting</w:t>
            </w:r>
            <w:r>
              <w:rPr>
                <w:spacing w:val="-8"/>
              </w:rPr>
              <w:t xml:space="preserve"> </w:t>
            </w:r>
            <w:r>
              <w:rPr>
                <w:spacing w:val="-2"/>
              </w:rPr>
              <w:t>Processes</w:t>
            </w:r>
            <w:r>
              <w:tab/>
            </w:r>
            <w:r>
              <w:rPr>
                <w:spacing w:val="-5"/>
              </w:rPr>
              <w:t>82-</w:t>
            </w:r>
            <w:r>
              <w:t>87</w:t>
            </w:r>
          </w:hyperlink>
        </w:p>
        <w:p w14:paraId="1E80596F" w14:textId="77777777" w:rsidR="00AA4A02" w:rsidRDefault="00960F31">
          <w:pPr>
            <w:pStyle w:val="TOC3"/>
            <w:tabs>
              <w:tab w:val="right" w:leader="dot" w:pos="9217"/>
            </w:tabs>
            <w:ind w:left="995" w:right="137" w:hanging="144"/>
          </w:pPr>
          <w:hyperlink w:anchor="_TOC_250010" w:history="1">
            <w:r>
              <w:t>Process 1:</w:t>
            </w:r>
            <w:r>
              <w:rPr>
                <w:spacing w:val="40"/>
              </w:rPr>
              <w:t xml:space="preserve"> </w:t>
            </w:r>
            <w:r>
              <w:t>Standards based on Equivalent International Standards issued by the IAASB (including comprehensive revisions to IAASB Standards)</w:t>
            </w:r>
            <w:r>
              <w:tab/>
            </w:r>
            <w:r>
              <w:rPr>
                <w:spacing w:val="-2"/>
              </w:rPr>
              <w:t>88-138</w:t>
            </w:r>
          </w:hyperlink>
        </w:p>
        <w:p w14:paraId="1E805970" w14:textId="77777777" w:rsidR="00AA4A02" w:rsidRDefault="00960F31">
          <w:pPr>
            <w:pStyle w:val="TOC3"/>
            <w:tabs>
              <w:tab w:val="right" w:leader="dot" w:pos="9217"/>
            </w:tabs>
            <w:spacing w:before="120"/>
            <w:ind w:left="995" w:right="137" w:hanging="144"/>
          </w:pPr>
          <w:hyperlink w:anchor="_TOC_250009" w:history="1">
            <w:r>
              <w:t>Process 2:</w:t>
            </w:r>
            <w:r>
              <w:rPr>
                <w:spacing w:val="40"/>
              </w:rPr>
              <w:t xml:space="preserve"> </w:t>
            </w:r>
            <w:r>
              <w:t xml:space="preserve">Domestic AUASB Standards (including comprehensive revisions to Domestic </w:t>
            </w:r>
            <w:r>
              <w:rPr>
                <w:spacing w:val="-2"/>
              </w:rPr>
              <w:t>Standards)</w:t>
            </w:r>
            <w:r>
              <w:tab/>
            </w:r>
            <w:r>
              <w:rPr>
                <w:spacing w:val="-4"/>
              </w:rPr>
              <w:t>139-</w:t>
            </w:r>
            <w:r>
              <w:t>173</w:t>
            </w:r>
          </w:hyperlink>
        </w:p>
        <w:p w14:paraId="1E805971" w14:textId="77777777" w:rsidR="00AA4A02" w:rsidRDefault="00960F31">
          <w:pPr>
            <w:pStyle w:val="TOC3"/>
            <w:tabs>
              <w:tab w:val="right" w:leader="dot" w:pos="9217"/>
            </w:tabs>
            <w:spacing w:before="121"/>
          </w:pPr>
          <w:hyperlink w:anchor="_TOC_250008" w:history="1">
            <w:r>
              <w:t>Amendments</w:t>
            </w:r>
            <w:r>
              <w:rPr>
                <w:spacing w:val="-6"/>
              </w:rPr>
              <w:t xml:space="preserve"> </w:t>
            </w:r>
            <w:r>
              <w:t>to</w:t>
            </w:r>
            <w:r>
              <w:rPr>
                <w:spacing w:val="-4"/>
              </w:rPr>
              <w:t xml:space="preserve"> </w:t>
            </w:r>
            <w:r>
              <w:t>Existing</w:t>
            </w:r>
            <w:r>
              <w:rPr>
                <w:spacing w:val="-5"/>
              </w:rPr>
              <w:t xml:space="preserve"> </w:t>
            </w:r>
            <w:r>
              <w:rPr>
                <w:spacing w:val="-2"/>
              </w:rPr>
              <w:t>Standards</w:t>
            </w:r>
            <w:r>
              <w:tab/>
            </w:r>
            <w:r>
              <w:rPr>
                <w:spacing w:val="-4"/>
              </w:rPr>
              <w:t>174-</w:t>
            </w:r>
            <w:r>
              <w:t>211</w:t>
            </w:r>
          </w:hyperlink>
        </w:p>
        <w:p w14:paraId="1E805972" w14:textId="77777777" w:rsidR="00AA4A02" w:rsidRDefault="00960F31">
          <w:pPr>
            <w:pStyle w:val="TOC3"/>
            <w:tabs>
              <w:tab w:val="right" w:leader="dot" w:pos="9217"/>
            </w:tabs>
          </w:pPr>
          <w:hyperlink w:anchor="_TOC_250007" w:history="1">
            <w:r>
              <w:t>AUASB</w:t>
            </w:r>
            <w:r>
              <w:rPr>
                <w:spacing w:val="-6"/>
              </w:rPr>
              <w:t xml:space="preserve"> </w:t>
            </w:r>
            <w:r>
              <w:t>Approval</w:t>
            </w:r>
            <w:r>
              <w:rPr>
                <w:spacing w:val="-3"/>
              </w:rPr>
              <w:t xml:space="preserve"> </w:t>
            </w:r>
            <w:r>
              <w:t>and</w:t>
            </w:r>
            <w:r>
              <w:rPr>
                <w:spacing w:val="-4"/>
              </w:rPr>
              <w:t xml:space="preserve"> </w:t>
            </w:r>
            <w:r>
              <w:t>Legislative</w:t>
            </w:r>
            <w:r>
              <w:rPr>
                <w:spacing w:val="-4"/>
              </w:rPr>
              <w:t xml:space="preserve"> </w:t>
            </w:r>
            <w:r>
              <w:rPr>
                <w:spacing w:val="-2"/>
              </w:rPr>
              <w:t>Process</w:t>
            </w:r>
            <w:r>
              <w:tab/>
            </w:r>
            <w:r>
              <w:rPr>
                <w:spacing w:val="-4"/>
              </w:rPr>
              <w:t>212-</w:t>
            </w:r>
            <w:r>
              <w:t>237</w:t>
            </w:r>
          </w:hyperlink>
        </w:p>
        <w:p w14:paraId="1E805973" w14:textId="77777777" w:rsidR="00AA4A02" w:rsidRDefault="00960F31">
          <w:pPr>
            <w:pStyle w:val="TOC3"/>
            <w:tabs>
              <w:tab w:val="right" w:leader="dot" w:pos="9217"/>
            </w:tabs>
            <w:spacing w:before="122"/>
          </w:pPr>
          <w:hyperlink w:anchor="_TOC_250006" w:history="1">
            <w:r>
              <w:t>Basis</w:t>
            </w:r>
            <w:r>
              <w:rPr>
                <w:spacing w:val="-4"/>
              </w:rPr>
              <w:t xml:space="preserve"> </w:t>
            </w:r>
            <w:r>
              <w:t>for</w:t>
            </w:r>
            <w:r>
              <w:rPr>
                <w:spacing w:val="-2"/>
              </w:rPr>
              <w:t xml:space="preserve"> Conclusions</w:t>
            </w:r>
            <w:r>
              <w:tab/>
            </w:r>
            <w:r>
              <w:rPr>
                <w:spacing w:val="-4"/>
              </w:rPr>
              <w:t>238-</w:t>
            </w:r>
            <w:r>
              <w:t>240</w:t>
            </w:r>
          </w:hyperlink>
        </w:p>
        <w:p w14:paraId="1E805974" w14:textId="77777777" w:rsidR="00AA4A02" w:rsidRDefault="00960F31">
          <w:pPr>
            <w:pStyle w:val="TOC3"/>
            <w:tabs>
              <w:tab w:val="right" w:leader="dot" w:pos="9217"/>
            </w:tabs>
          </w:pPr>
          <w:hyperlink w:anchor="_TOC_250005" w:history="1">
            <w:r>
              <w:t>Implementation</w:t>
            </w:r>
            <w:r>
              <w:rPr>
                <w:spacing w:val="-8"/>
              </w:rPr>
              <w:t xml:space="preserve"> </w:t>
            </w:r>
            <w:r>
              <w:t>Support</w:t>
            </w:r>
            <w:r>
              <w:rPr>
                <w:spacing w:val="-8"/>
              </w:rPr>
              <w:t xml:space="preserve"> </w:t>
            </w:r>
            <w:r>
              <w:rPr>
                <w:spacing w:val="-2"/>
              </w:rPr>
              <w:t>Materials</w:t>
            </w:r>
            <w:r>
              <w:tab/>
            </w:r>
            <w:r>
              <w:rPr>
                <w:spacing w:val="-4"/>
              </w:rPr>
              <w:t>241-</w:t>
            </w:r>
            <w:r>
              <w:t>243</w:t>
            </w:r>
          </w:hyperlink>
        </w:p>
        <w:p w14:paraId="1E805975" w14:textId="77777777" w:rsidR="00AA4A02" w:rsidRDefault="00960F31">
          <w:pPr>
            <w:pStyle w:val="TOC3"/>
            <w:tabs>
              <w:tab w:val="right" w:leader="dot" w:pos="9217"/>
            </w:tabs>
          </w:pPr>
          <w:hyperlink w:anchor="_TOC_250004" w:history="1">
            <w:r>
              <w:t>Education,</w:t>
            </w:r>
            <w:r>
              <w:rPr>
                <w:spacing w:val="-4"/>
              </w:rPr>
              <w:t xml:space="preserve"> </w:t>
            </w:r>
            <w:r>
              <w:t>Awareness</w:t>
            </w:r>
            <w:r>
              <w:rPr>
                <w:spacing w:val="-5"/>
              </w:rPr>
              <w:t xml:space="preserve"> </w:t>
            </w:r>
            <w:r>
              <w:t>and</w:t>
            </w:r>
            <w:r>
              <w:rPr>
                <w:spacing w:val="-5"/>
              </w:rPr>
              <w:t xml:space="preserve"> </w:t>
            </w:r>
            <w:r>
              <w:rPr>
                <w:spacing w:val="-2"/>
              </w:rPr>
              <w:t>Outreach</w:t>
            </w:r>
            <w:r>
              <w:tab/>
            </w:r>
            <w:r>
              <w:rPr>
                <w:spacing w:val="-5"/>
              </w:rPr>
              <w:t>244</w:t>
            </w:r>
          </w:hyperlink>
        </w:p>
        <w:p w14:paraId="1E805976" w14:textId="77777777" w:rsidR="00AA4A02" w:rsidRDefault="00960F31">
          <w:pPr>
            <w:pStyle w:val="TOC3"/>
            <w:tabs>
              <w:tab w:val="right" w:leader="dot" w:pos="9217"/>
            </w:tabs>
            <w:spacing w:before="121"/>
          </w:pPr>
          <w:hyperlink w:anchor="_TOC_250003" w:history="1">
            <w:r>
              <w:t>Withdrawals</w:t>
            </w:r>
            <w:r>
              <w:rPr>
                <w:spacing w:val="-5"/>
              </w:rPr>
              <w:t xml:space="preserve"> </w:t>
            </w:r>
            <w:r>
              <w:t>(Repeal)</w:t>
            </w:r>
            <w:r>
              <w:rPr>
                <w:spacing w:val="-4"/>
              </w:rPr>
              <w:t xml:space="preserve"> </w:t>
            </w:r>
            <w:r>
              <w:t>of</w:t>
            </w:r>
            <w:r>
              <w:rPr>
                <w:spacing w:val="-4"/>
              </w:rPr>
              <w:t xml:space="preserve"> </w:t>
            </w:r>
            <w:r>
              <w:rPr>
                <w:spacing w:val="-2"/>
              </w:rPr>
              <w:t>Standards</w:t>
            </w:r>
            <w:r>
              <w:tab/>
            </w:r>
            <w:r>
              <w:rPr>
                <w:spacing w:val="-4"/>
              </w:rPr>
              <w:t>245-</w:t>
            </w:r>
            <w:r>
              <w:t>249</w:t>
            </w:r>
          </w:hyperlink>
        </w:p>
        <w:p w14:paraId="1E805977" w14:textId="77777777" w:rsidR="00AA4A02" w:rsidRDefault="00960F31">
          <w:pPr>
            <w:pStyle w:val="TOC3"/>
            <w:tabs>
              <w:tab w:val="right" w:leader="dot" w:pos="9217"/>
            </w:tabs>
          </w:pPr>
          <w:hyperlink w:anchor="_TOC_250002" w:history="1">
            <w:r>
              <w:t>Post-Implementation</w:t>
            </w:r>
            <w:r>
              <w:rPr>
                <w:spacing w:val="-11"/>
              </w:rPr>
              <w:t xml:space="preserve"> </w:t>
            </w:r>
            <w:r>
              <w:rPr>
                <w:spacing w:val="-2"/>
              </w:rPr>
              <w:t>Reviews</w:t>
            </w:r>
            <w:r>
              <w:tab/>
            </w:r>
            <w:r>
              <w:rPr>
                <w:spacing w:val="-4"/>
              </w:rPr>
              <w:t>250-</w:t>
            </w:r>
            <w:r>
              <w:t>254</w:t>
            </w:r>
          </w:hyperlink>
        </w:p>
        <w:p w14:paraId="1E805978" w14:textId="77777777" w:rsidR="00AA4A02" w:rsidRDefault="00960F31">
          <w:pPr>
            <w:pStyle w:val="TOC1"/>
            <w:numPr>
              <w:ilvl w:val="0"/>
              <w:numId w:val="31"/>
            </w:numPr>
            <w:tabs>
              <w:tab w:val="left" w:pos="851"/>
              <w:tab w:val="right" w:leader="dot" w:pos="9219"/>
            </w:tabs>
            <w:spacing w:before="122"/>
          </w:pPr>
          <w:hyperlink w:anchor="_TOC_250001" w:history="1">
            <w:r>
              <w:t>AUASB</w:t>
            </w:r>
            <w:r>
              <w:rPr>
                <w:spacing w:val="-5"/>
              </w:rPr>
              <w:t xml:space="preserve"> </w:t>
            </w:r>
            <w:r>
              <w:t>Guidance</w:t>
            </w:r>
            <w:r>
              <w:rPr>
                <w:spacing w:val="-3"/>
              </w:rPr>
              <w:t xml:space="preserve"> </w:t>
            </w:r>
            <w:r>
              <w:rPr>
                <w:spacing w:val="-2"/>
              </w:rPr>
              <w:t>Statements</w:t>
            </w:r>
            <w:r>
              <w:tab/>
            </w:r>
            <w:r>
              <w:rPr>
                <w:spacing w:val="-4"/>
              </w:rPr>
              <w:t>255-</w:t>
            </w:r>
            <w:r>
              <w:t>265</w:t>
            </w:r>
          </w:hyperlink>
        </w:p>
        <w:p w14:paraId="1E805979" w14:textId="77777777" w:rsidR="00AA4A02" w:rsidRDefault="00960F31">
          <w:pPr>
            <w:pStyle w:val="TOC1"/>
            <w:numPr>
              <w:ilvl w:val="0"/>
              <w:numId w:val="31"/>
            </w:numPr>
            <w:tabs>
              <w:tab w:val="left" w:pos="851"/>
              <w:tab w:val="right" w:leader="dot" w:pos="9219"/>
            </w:tabs>
          </w:pPr>
          <w:hyperlink w:anchor="_TOC_250000" w:history="1">
            <w:r>
              <w:t>Non-Authoritative</w:t>
            </w:r>
            <w:r>
              <w:rPr>
                <w:spacing w:val="-11"/>
              </w:rPr>
              <w:t xml:space="preserve"> </w:t>
            </w:r>
            <w:r>
              <w:rPr>
                <w:spacing w:val="-2"/>
              </w:rPr>
              <w:t>Materials</w:t>
            </w:r>
            <w:r>
              <w:tab/>
            </w:r>
            <w:r>
              <w:rPr>
                <w:spacing w:val="-4"/>
              </w:rPr>
              <w:t>266-</w:t>
            </w:r>
            <w:r>
              <w:t>273</w:t>
            </w:r>
          </w:hyperlink>
        </w:p>
      </w:sdtContent>
    </w:sdt>
    <w:p w14:paraId="1E80597A" w14:textId="77777777" w:rsidR="00AA4A02" w:rsidRDefault="00AA4A02">
      <w:pPr>
        <w:pStyle w:val="BodyText"/>
        <w:rPr>
          <w:b/>
        </w:rPr>
      </w:pPr>
    </w:p>
    <w:p w14:paraId="1E80597B" w14:textId="77777777" w:rsidR="00AA4A02" w:rsidRDefault="00AA4A02">
      <w:pPr>
        <w:pStyle w:val="BodyText"/>
        <w:spacing w:before="47"/>
        <w:rPr>
          <w:b/>
        </w:rPr>
      </w:pPr>
    </w:p>
    <w:p w14:paraId="1E80597C" w14:textId="77777777" w:rsidR="00AA4A02" w:rsidRDefault="00960F31">
      <w:pPr>
        <w:pStyle w:val="BodyText"/>
        <w:tabs>
          <w:tab w:val="left" w:pos="1562"/>
        </w:tabs>
        <w:spacing w:before="1"/>
        <w:ind w:left="143"/>
      </w:pPr>
      <w:r>
        <w:t>Appendix</w:t>
      </w:r>
      <w:r>
        <w:rPr>
          <w:spacing w:val="-4"/>
        </w:rPr>
        <w:t xml:space="preserve"> </w:t>
      </w:r>
      <w:r>
        <w:rPr>
          <w:spacing w:val="-5"/>
        </w:rPr>
        <w:t>1:</w:t>
      </w:r>
      <w:r>
        <w:tab/>
        <w:t>Public</w:t>
      </w:r>
      <w:r>
        <w:rPr>
          <w:spacing w:val="-6"/>
        </w:rPr>
        <w:t xml:space="preserve"> </w:t>
      </w:r>
      <w:r>
        <w:t>Interest</w:t>
      </w:r>
      <w:r>
        <w:rPr>
          <w:spacing w:val="-2"/>
        </w:rPr>
        <w:t xml:space="preserve"> </w:t>
      </w:r>
      <w:r>
        <w:t>Framework</w:t>
      </w:r>
      <w:r>
        <w:rPr>
          <w:spacing w:val="-4"/>
        </w:rPr>
        <w:t xml:space="preserve"> </w:t>
      </w:r>
      <w:r>
        <w:t>for</w:t>
      </w:r>
      <w:r>
        <w:rPr>
          <w:spacing w:val="-5"/>
        </w:rPr>
        <w:t xml:space="preserve"> </w:t>
      </w:r>
      <w:r>
        <w:t>the</w:t>
      </w:r>
      <w:r>
        <w:rPr>
          <w:spacing w:val="-4"/>
        </w:rPr>
        <w:t xml:space="preserve"> </w:t>
      </w:r>
      <w:r>
        <w:t>Development</w:t>
      </w:r>
      <w:r>
        <w:rPr>
          <w:spacing w:val="-5"/>
        </w:rPr>
        <w:t xml:space="preserve"> </w:t>
      </w:r>
      <w:r>
        <w:t>of</w:t>
      </w:r>
      <w:r>
        <w:rPr>
          <w:spacing w:val="-1"/>
        </w:rPr>
        <w:t xml:space="preserve"> </w:t>
      </w:r>
      <w:r>
        <w:t>AUASB</w:t>
      </w:r>
      <w:r>
        <w:rPr>
          <w:spacing w:val="-5"/>
        </w:rPr>
        <w:t xml:space="preserve"> </w:t>
      </w:r>
      <w:r>
        <w:rPr>
          <w:spacing w:val="-2"/>
        </w:rPr>
        <w:t>Pronouncements</w:t>
      </w:r>
    </w:p>
    <w:p w14:paraId="1E80597D" w14:textId="77777777" w:rsidR="00AA4A02" w:rsidRDefault="00960F31">
      <w:pPr>
        <w:pStyle w:val="BodyText"/>
        <w:tabs>
          <w:tab w:val="left" w:pos="1562"/>
        </w:tabs>
        <w:spacing w:line="340" w:lineRule="atLeast"/>
        <w:ind w:left="143" w:right="1147"/>
      </w:pPr>
      <w:r>
        <w:t>Appendix 2:</w:t>
      </w:r>
      <w:r>
        <w:tab/>
        <w:t>Categories of Pronouncements and Other Materials issued by the AUASB Appendix 3:</w:t>
      </w:r>
      <w:r>
        <w:tab/>
        <w:t>Diagram</w:t>
      </w:r>
      <w:r>
        <w:rPr>
          <w:spacing w:val="-4"/>
        </w:rPr>
        <w:t xml:space="preserve"> </w:t>
      </w:r>
      <w:r>
        <w:t>depicting</w:t>
      </w:r>
      <w:r>
        <w:rPr>
          <w:spacing w:val="-5"/>
        </w:rPr>
        <w:t xml:space="preserve"> </w:t>
      </w:r>
      <w:r>
        <w:t>the</w:t>
      </w:r>
      <w:r>
        <w:rPr>
          <w:spacing w:val="-3"/>
        </w:rPr>
        <w:t xml:space="preserve"> </w:t>
      </w:r>
      <w:r>
        <w:t>Process</w:t>
      </w:r>
      <w:r>
        <w:rPr>
          <w:spacing w:val="-5"/>
        </w:rPr>
        <w:t xml:space="preserve"> </w:t>
      </w:r>
      <w:r>
        <w:t>for</w:t>
      </w:r>
      <w:r>
        <w:rPr>
          <w:spacing w:val="-2"/>
        </w:rPr>
        <w:t xml:space="preserve"> </w:t>
      </w:r>
      <w:r>
        <w:t>Developing</w:t>
      </w:r>
      <w:r>
        <w:rPr>
          <w:spacing w:val="-3"/>
        </w:rPr>
        <w:t xml:space="preserve"> </w:t>
      </w:r>
      <w:r>
        <w:t>AUASB</w:t>
      </w:r>
      <w:r>
        <w:rPr>
          <w:spacing w:val="-5"/>
        </w:rPr>
        <w:t xml:space="preserve"> </w:t>
      </w:r>
      <w:r>
        <w:t>Standards</w:t>
      </w:r>
      <w:r>
        <w:rPr>
          <w:spacing w:val="-5"/>
        </w:rPr>
        <w:t xml:space="preserve"> </w:t>
      </w:r>
      <w:r>
        <w:t>based</w:t>
      </w:r>
      <w:r>
        <w:rPr>
          <w:spacing w:val="-3"/>
        </w:rPr>
        <w:t xml:space="preserve"> </w:t>
      </w:r>
      <w:r>
        <w:t>on</w:t>
      </w:r>
    </w:p>
    <w:p w14:paraId="1E80597E" w14:textId="77777777" w:rsidR="00AA4A02" w:rsidRDefault="00960F31">
      <w:pPr>
        <w:pStyle w:val="BodyText"/>
        <w:spacing w:line="219" w:lineRule="exact"/>
        <w:ind w:left="1562"/>
      </w:pPr>
      <w:r>
        <w:t>Equivalent</w:t>
      </w:r>
      <w:r>
        <w:rPr>
          <w:spacing w:val="-4"/>
        </w:rPr>
        <w:t xml:space="preserve"> </w:t>
      </w:r>
      <w:r>
        <w:t>IAASB</w:t>
      </w:r>
      <w:r>
        <w:rPr>
          <w:spacing w:val="-7"/>
        </w:rPr>
        <w:t xml:space="preserve"> </w:t>
      </w:r>
      <w:r>
        <w:t>Standards</w:t>
      </w:r>
      <w:r>
        <w:rPr>
          <w:spacing w:val="-3"/>
        </w:rPr>
        <w:t xml:space="preserve"> </w:t>
      </w:r>
      <w:r>
        <w:t>(Process</w:t>
      </w:r>
      <w:r>
        <w:rPr>
          <w:spacing w:val="-2"/>
        </w:rPr>
        <w:t xml:space="preserve"> </w:t>
      </w:r>
      <w:r>
        <w:rPr>
          <w:spacing w:val="-5"/>
        </w:rPr>
        <w:t>1)</w:t>
      </w:r>
    </w:p>
    <w:p w14:paraId="1E80597F" w14:textId="77777777" w:rsidR="00AA4A02" w:rsidRDefault="00960F31">
      <w:pPr>
        <w:pStyle w:val="BodyText"/>
        <w:tabs>
          <w:tab w:val="left" w:pos="1562"/>
        </w:tabs>
        <w:spacing w:before="113" w:line="208" w:lineRule="auto"/>
        <w:ind w:left="1562" w:right="1080" w:hanging="1419"/>
      </w:pPr>
      <w:r>
        <w:t>Appendix 4:</w:t>
      </w:r>
      <w:r>
        <w:tab/>
        <w:t>Diagram</w:t>
      </w:r>
      <w:r>
        <w:rPr>
          <w:spacing w:val="-5"/>
        </w:rPr>
        <w:t xml:space="preserve"> </w:t>
      </w:r>
      <w:r>
        <w:t>depicting</w:t>
      </w:r>
      <w:r>
        <w:rPr>
          <w:spacing w:val="-6"/>
        </w:rPr>
        <w:t xml:space="preserve"> </w:t>
      </w:r>
      <w:r>
        <w:t>the</w:t>
      </w:r>
      <w:r>
        <w:rPr>
          <w:spacing w:val="-4"/>
        </w:rPr>
        <w:t xml:space="preserve"> </w:t>
      </w:r>
      <w:r>
        <w:t>Process</w:t>
      </w:r>
      <w:r>
        <w:rPr>
          <w:spacing w:val="-6"/>
        </w:rPr>
        <w:t xml:space="preserve"> </w:t>
      </w:r>
      <w:r>
        <w:t>for</w:t>
      </w:r>
      <w:r>
        <w:rPr>
          <w:spacing w:val="-3"/>
        </w:rPr>
        <w:t xml:space="preserve"> </w:t>
      </w:r>
      <w:r>
        <w:t>Developing</w:t>
      </w:r>
      <w:r>
        <w:rPr>
          <w:spacing w:val="-4"/>
        </w:rPr>
        <w:t xml:space="preserve"> </w:t>
      </w:r>
      <w:r>
        <w:t>Domestic</w:t>
      </w:r>
      <w:r>
        <w:rPr>
          <w:spacing w:val="-4"/>
        </w:rPr>
        <w:t xml:space="preserve"> </w:t>
      </w:r>
      <w:r>
        <w:t>AUASB</w:t>
      </w:r>
      <w:r>
        <w:rPr>
          <w:spacing w:val="-6"/>
        </w:rPr>
        <w:t xml:space="preserve"> </w:t>
      </w:r>
      <w:r>
        <w:t>Standards (Process 2)</w:t>
      </w:r>
    </w:p>
    <w:p w14:paraId="1E805980" w14:textId="77777777" w:rsidR="00AA4A02" w:rsidRDefault="00960F31">
      <w:pPr>
        <w:pStyle w:val="BodyText"/>
        <w:tabs>
          <w:tab w:val="left" w:pos="1562"/>
        </w:tabs>
        <w:spacing w:before="94"/>
        <w:ind w:left="143"/>
      </w:pPr>
      <w:r>
        <w:t>Appendix</w:t>
      </w:r>
      <w:r>
        <w:rPr>
          <w:spacing w:val="-5"/>
        </w:rPr>
        <w:t xml:space="preserve"> 5:</w:t>
      </w:r>
      <w:r>
        <w:tab/>
        <w:t>Summary</w:t>
      </w:r>
      <w:r>
        <w:rPr>
          <w:spacing w:val="-6"/>
        </w:rPr>
        <w:t xml:space="preserve"> </w:t>
      </w:r>
      <w:r>
        <w:t>of</w:t>
      </w:r>
      <w:r>
        <w:rPr>
          <w:spacing w:val="-4"/>
        </w:rPr>
        <w:t xml:space="preserve"> </w:t>
      </w:r>
      <w:r>
        <w:t>Due</w:t>
      </w:r>
      <w:r>
        <w:rPr>
          <w:spacing w:val="-4"/>
        </w:rPr>
        <w:t xml:space="preserve"> </w:t>
      </w:r>
      <w:r>
        <w:t>Process</w:t>
      </w:r>
      <w:r>
        <w:rPr>
          <w:spacing w:val="-2"/>
        </w:rPr>
        <w:t xml:space="preserve"> </w:t>
      </w:r>
      <w:r>
        <w:t>Considerations</w:t>
      </w:r>
      <w:r>
        <w:rPr>
          <w:spacing w:val="-4"/>
        </w:rPr>
        <w:t xml:space="preserve"> </w:t>
      </w:r>
      <w:r>
        <w:t>requiring</w:t>
      </w:r>
      <w:r>
        <w:rPr>
          <w:spacing w:val="-4"/>
        </w:rPr>
        <w:t xml:space="preserve"> </w:t>
      </w:r>
      <w:r>
        <w:t>Approval</w:t>
      </w:r>
      <w:r>
        <w:rPr>
          <w:spacing w:val="-3"/>
        </w:rPr>
        <w:t xml:space="preserve"> </w:t>
      </w:r>
      <w:r>
        <w:t>by</w:t>
      </w:r>
      <w:r>
        <w:rPr>
          <w:spacing w:val="-7"/>
        </w:rPr>
        <w:t xml:space="preserve"> </w:t>
      </w:r>
      <w:r>
        <w:t>the</w:t>
      </w:r>
      <w:r>
        <w:rPr>
          <w:spacing w:val="-3"/>
        </w:rPr>
        <w:t xml:space="preserve"> </w:t>
      </w:r>
      <w:r>
        <w:rPr>
          <w:spacing w:val="-2"/>
        </w:rPr>
        <w:t>AUASB</w:t>
      </w:r>
    </w:p>
    <w:p w14:paraId="1E805981" w14:textId="77777777" w:rsidR="00AA4A02" w:rsidRDefault="00AA4A02">
      <w:pPr>
        <w:pStyle w:val="BodyText"/>
        <w:sectPr w:rsidR="00AA4A02">
          <w:type w:val="continuous"/>
          <w:pgSz w:w="11910" w:h="16840"/>
          <w:pgMar w:top="700" w:right="1275" w:bottom="280" w:left="1275" w:header="689" w:footer="842" w:gutter="0"/>
          <w:cols w:space="720"/>
        </w:sectPr>
      </w:pPr>
    </w:p>
    <w:p w14:paraId="1E805982" w14:textId="77777777" w:rsidR="00AA4A02" w:rsidRDefault="00960F31">
      <w:pPr>
        <w:spacing w:before="342"/>
        <w:ind w:left="1617" w:hanging="1052"/>
        <w:rPr>
          <w:b/>
          <w:i/>
          <w:sz w:val="30"/>
        </w:rPr>
      </w:pPr>
      <w:r>
        <w:rPr>
          <w:b/>
          <w:i/>
          <w:sz w:val="30"/>
        </w:rPr>
        <w:lastRenderedPageBreak/>
        <w:t>Due</w:t>
      </w:r>
      <w:r>
        <w:rPr>
          <w:b/>
          <w:i/>
          <w:spacing w:val="-4"/>
          <w:sz w:val="30"/>
        </w:rPr>
        <w:t xml:space="preserve"> </w:t>
      </w:r>
      <w:r>
        <w:rPr>
          <w:b/>
          <w:i/>
          <w:sz w:val="30"/>
        </w:rPr>
        <w:t>Process</w:t>
      </w:r>
      <w:r>
        <w:rPr>
          <w:b/>
          <w:i/>
          <w:spacing w:val="-5"/>
          <w:sz w:val="30"/>
        </w:rPr>
        <w:t xml:space="preserve"> </w:t>
      </w:r>
      <w:r>
        <w:rPr>
          <w:b/>
          <w:i/>
          <w:sz w:val="30"/>
        </w:rPr>
        <w:t>Framework</w:t>
      </w:r>
      <w:r>
        <w:rPr>
          <w:b/>
          <w:i/>
          <w:spacing w:val="-2"/>
          <w:sz w:val="30"/>
        </w:rPr>
        <w:t xml:space="preserve"> </w:t>
      </w:r>
      <w:r>
        <w:rPr>
          <w:b/>
          <w:i/>
          <w:sz w:val="30"/>
        </w:rPr>
        <w:t>for</w:t>
      </w:r>
      <w:r>
        <w:rPr>
          <w:b/>
          <w:i/>
          <w:spacing w:val="-5"/>
          <w:sz w:val="30"/>
        </w:rPr>
        <w:t xml:space="preserve"> </w:t>
      </w:r>
      <w:r>
        <w:rPr>
          <w:b/>
          <w:i/>
          <w:sz w:val="30"/>
        </w:rPr>
        <w:t>Developing,</w:t>
      </w:r>
      <w:r>
        <w:rPr>
          <w:b/>
          <w:i/>
          <w:spacing w:val="-7"/>
          <w:sz w:val="30"/>
        </w:rPr>
        <w:t xml:space="preserve"> </w:t>
      </w:r>
      <w:r>
        <w:rPr>
          <w:b/>
          <w:i/>
          <w:sz w:val="30"/>
        </w:rPr>
        <w:t>Issuing</w:t>
      </w:r>
      <w:r>
        <w:rPr>
          <w:b/>
          <w:i/>
          <w:spacing w:val="-5"/>
          <w:sz w:val="30"/>
        </w:rPr>
        <w:t xml:space="preserve"> </w:t>
      </w:r>
      <w:r>
        <w:rPr>
          <w:b/>
          <w:i/>
          <w:sz w:val="30"/>
        </w:rPr>
        <w:t>and</w:t>
      </w:r>
      <w:r>
        <w:rPr>
          <w:b/>
          <w:i/>
          <w:spacing w:val="-5"/>
          <w:sz w:val="30"/>
        </w:rPr>
        <w:t xml:space="preserve"> </w:t>
      </w:r>
      <w:r>
        <w:rPr>
          <w:b/>
          <w:i/>
          <w:sz w:val="30"/>
        </w:rPr>
        <w:t>Maintaining AUASB Pronouncements and Other Publications</w:t>
      </w:r>
    </w:p>
    <w:p w14:paraId="1E805983" w14:textId="77777777" w:rsidR="00AA4A02" w:rsidRDefault="00960F31">
      <w:pPr>
        <w:pStyle w:val="Heading4"/>
        <w:numPr>
          <w:ilvl w:val="0"/>
          <w:numId w:val="30"/>
        </w:numPr>
        <w:tabs>
          <w:tab w:val="left" w:pos="851"/>
        </w:tabs>
        <w:spacing w:before="320"/>
      </w:pPr>
      <w:bookmarkStart w:id="35" w:name="_TOC_250019"/>
      <w:bookmarkEnd w:id="35"/>
      <w:r>
        <w:rPr>
          <w:spacing w:val="-2"/>
        </w:rPr>
        <w:t>Introduction</w:t>
      </w:r>
    </w:p>
    <w:p w14:paraId="1E805984" w14:textId="77777777" w:rsidR="00AA4A02" w:rsidRDefault="00960F31">
      <w:pPr>
        <w:pStyle w:val="Heading7"/>
        <w:spacing w:before="160"/>
      </w:pPr>
      <w:bookmarkStart w:id="36" w:name="Purpose_of_Due_Process_Framework"/>
      <w:bookmarkEnd w:id="36"/>
      <w:r>
        <w:t>Purpose</w:t>
      </w:r>
      <w:r>
        <w:rPr>
          <w:spacing w:val="-6"/>
        </w:rPr>
        <w:t xml:space="preserve"> </w:t>
      </w:r>
      <w:r>
        <w:t>of</w:t>
      </w:r>
      <w:r>
        <w:rPr>
          <w:spacing w:val="-5"/>
        </w:rPr>
        <w:t xml:space="preserve"> </w:t>
      </w:r>
      <w:r>
        <w:t>Due</w:t>
      </w:r>
      <w:r>
        <w:rPr>
          <w:spacing w:val="-6"/>
        </w:rPr>
        <w:t xml:space="preserve"> </w:t>
      </w:r>
      <w:r>
        <w:t>Process</w:t>
      </w:r>
      <w:r>
        <w:rPr>
          <w:spacing w:val="-6"/>
        </w:rPr>
        <w:t xml:space="preserve"> </w:t>
      </w:r>
      <w:r>
        <w:rPr>
          <w:spacing w:val="-2"/>
        </w:rPr>
        <w:t>Framework</w:t>
      </w:r>
    </w:p>
    <w:p w14:paraId="1E805985" w14:textId="77777777" w:rsidR="00AA4A02" w:rsidRDefault="00960F31">
      <w:pPr>
        <w:pStyle w:val="ListParagraph"/>
        <w:numPr>
          <w:ilvl w:val="1"/>
          <w:numId w:val="30"/>
        </w:numPr>
        <w:tabs>
          <w:tab w:val="left" w:pos="851"/>
        </w:tabs>
        <w:spacing w:before="195" w:line="208" w:lineRule="auto"/>
        <w:ind w:right="310"/>
      </w:pPr>
      <w:r>
        <w:t>The Auditing and Assurance Standards Board (AUASB) is an independent standard-setting body that serves the public interest by setting high-quality standards for audit, review, other assurance</w:t>
      </w:r>
      <w:r>
        <w:rPr>
          <w:spacing w:val="-1"/>
        </w:rPr>
        <w:t xml:space="preserve"> </w:t>
      </w:r>
      <w:r>
        <w:t>and</w:t>
      </w:r>
      <w:r>
        <w:rPr>
          <w:spacing w:val="-4"/>
        </w:rPr>
        <w:t xml:space="preserve"> </w:t>
      </w:r>
      <w:r>
        <w:t>related</w:t>
      </w:r>
      <w:r>
        <w:rPr>
          <w:spacing w:val="-3"/>
        </w:rPr>
        <w:t xml:space="preserve"> </w:t>
      </w:r>
      <w:r>
        <w:t>services engagements,</w:t>
      </w:r>
      <w:r>
        <w:rPr>
          <w:spacing w:val="-1"/>
        </w:rPr>
        <w:t xml:space="preserve"> </w:t>
      </w:r>
      <w:r>
        <w:t>and</w:t>
      </w:r>
      <w:r>
        <w:rPr>
          <w:spacing w:val="-2"/>
        </w:rPr>
        <w:t xml:space="preserve"> </w:t>
      </w:r>
      <w:r>
        <w:t>including</w:t>
      </w:r>
      <w:r>
        <w:rPr>
          <w:spacing w:val="-1"/>
        </w:rPr>
        <w:t xml:space="preserve"> </w:t>
      </w:r>
      <w:r>
        <w:t>standards</w:t>
      </w:r>
      <w:r>
        <w:rPr>
          <w:spacing w:val="-1"/>
        </w:rPr>
        <w:t xml:space="preserve"> </w:t>
      </w:r>
      <w:r>
        <w:t>on</w:t>
      </w:r>
      <w:r>
        <w:rPr>
          <w:spacing w:val="-3"/>
        </w:rPr>
        <w:t xml:space="preserve"> </w:t>
      </w:r>
      <w:r>
        <w:t>quality</w:t>
      </w:r>
      <w:r>
        <w:rPr>
          <w:spacing w:val="-4"/>
        </w:rPr>
        <w:t xml:space="preserve"> </w:t>
      </w:r>
      <w:r>
        <w:t>management for</w:t>
      </w:r>
      <w:r>
        <w:rPr>
          <w:spacing w:val="-4"/>
        </w:rPr>
        <w:t xml:space="preserve"> </w:t>
      </w:r>
      <w:r>
        <w:t>those</w:t>
      </w:r>
      <w:r>
        <w:rPr>
          <w:spacing w:val="-2"/>
        </w:rPr>
        <w:t xml:space="preserve"> </w:t>
      </w:r>
      <w:r>
        <w:t>engagements.</w:t>
      </w:r>
      <w:r>
        <w:rPr>
          <w:spacing w:val="-2"/>
        </w:rPr>
        <w:t xml:space="preserve"> </w:t>
      </w:r>
      <w:r>
        <w:t>In</w:t>
      </w:r>
      <w:r>
        <w:rPr>
          <w:spacing w:val="-2"/>
        </w:rPr>
        <w:t xml:space="preserve"> </w:t>
      </w:r>
      <w:r>
        <w:t>doing</w:t>
      </w:r>
      <w:r>
        <w:rPr>
          <w:spacing w:val="-2"/>
        </w:rPr>
        <w:t xml:space="preserve"> </w:t>
      </w:r>
      <w:r>
        <w:t>so,</w:t>
      </w:r>
      <w:r>
        <w:rPr>
          <w:spacing w:val="-2"/>
        </w:rPr>
        <w:t xml:space="preserve"> </w:t>
      </w:r>
      <w:r>
        <w:t>the</w:t>
      </w:r>
      <w:r>
        <w:rPr>
          <w:spacing w:val="-2"/>
        </w:rPr>
        <w:t xml:space="preserve"> </w:t>
      </w:r>
      <w:r>
        <w:t>AUASB</w:t>
      </w:r>
      <w:r>
        <w:rPr>
          <w:spacing w:val="-3"/>
        </w:rPr>
        <w:t xml:space="preserve"> </w:t>
      </w:r>
      <w:r>
        <w:t>contributes</w:t>
      </w:r>
      <w:r>
        <w:rPr>
          <w:spacing w:val="-3"/>
        </w:rPr>
        <w:t xml:space="preserve"> </w:t>
      </w:r>
      <w:r>
        <w:t>to</w:t>
      </w:r>
      <w:r>
        <w:rPr>
          <w:spacing w:val="-5"/>
        </w:rPr>
        <w:t xml:space="preserve"> </w:t>
      </w:r>
      <w:r>
        <w:t>enhanced</w:t>
      </w:r>
      <w:r>
        <w:rPr>
          <w:spacing w:val="-5"/>
        </w:rPr>
        <w:t xml:space="preserve"> </w:t>
      </w:r>
      <w:r>
        <w:t>engagement</w:t>
      </w:r>
      <w:r>
        <w:rPr>
          <w:spacing w:val="-1"/>
        </w:rPr>
        <w:t xml:space="preserve"> </w:t>
      </w:r>
      <w:r>
        <w:t>quality and consistency of practice nationally and throughout the world and strengthened public confidence in the auditing and assurance profession.</w:t>
      </w:r>
    </w:p>
    <w:p w14:paraId="1E805986" w14:textId="77777777" w:rsidR="00AA4A02" w:rsidRDefault="00960F31">
      <w:pPr>
        <w:spacing w:before="197" w:line="211" w:lineRule="auto"/>
        <w:ind w:left="851" w:right="220"/>
      </w:pPr>
      <w:r>
        <w:t>The</w:t>
      </w:r>
      <w:r>
        <w:rPr>
          <w:spacing w:val="-3"/>
        </w:rPr>
        <w:t xml:space="preserve"> </w:t>
      </w:r>
      <w:r>
        <w:t>AUASB’s</w:t>
      </w:r>
      <w:r>
        <w:rPr>
          <w:spacing w:val="-2"/>
        </w:rPr>
        <w:t xml:space="preserve"> </w:t>
      </w:r>
      <w:r>
        <w:t>mission,</w:t>
      </w:r>
      <w:r>
        <w:rPr>
          <w:spacing w:val="-3"/>
        </w:rPr>
        <w:t xml:space="preserve"> </w:t>
      </w:r>
      <w:r>
        <w:t>strategic</w:t>
      </w:r>
      <w:r>
        <w:rPr>
          <w:spacing w:val="-3"/>
        </w:rPr>
        <w:t xml:space="preserve"> </w:t>
      </w:r>
      <w:r>
        <w:t>objectives</w:t>
      </w:r>
      <w:r>
        <w:rPr>
          <w:spacing w:val="-3"/>
        </w:rPr>
        <w:t xml:space="preserve"> </w:t>
      </w:r>
      <w:r>
        <w:t>and</w:t>
      </w:r>
      <w:r>
        <w:rPr>
          <w:spacing w:val="-6"/>
        </w:rPr>
        <w:t xml:space="preserve"> </w:t>
      </w:r>
      <w:r>
        <w:t>the</w:t>
      </w:r>
      <w:r>
        <w:rPr>
          <w:spacing w:val="-3"/>
        </w:rPr>
        <w:t xml:space="preserve"> </w:t>
      </w:r>
      <w:r>
        <w:t>framework</w:t>
      </w:r>
      <w:r>
        <w:rPr>
          <w:spacing w:val="-3"/>
        </w:rPr>
        <w:t xml:space="preserve"> </w:t>
      </w:r>
      <w:r>
        <w:t>within</w:t>
      </w:r>
      <w:r>
        <w:rPr>
          <w:spacing w:val="-2"/>
        </w:rPr>
        <w:t xml:space="preserve"> </w:t>
      </w:r>
      <w:r>
        <w:t>which</w:t>
      </w:r>
      <w:r>
        <w:rPr>
          <w:spacing w:val="-2"/>
        </w:rPr>
        <w:t xml:space="preserve"> </w:t>
      </w:r>
      <w:r>
        <w:t>it</w:t>
      </w:r>
      <w:r>
        <w:rPr>
          <w:spacing w:val="-2"/>
        </w:rPr>
        <w:t xml:space="preserve"> </w:t>
      </w:r>
      <w:r>
        <w:t>operates,</w:t>
      </w:r>
      <w:r>
        <w:rPr>
          <w:spacing w:val="-3"/>
        </w:rPr>
        <w:t xml:space="preserve"> </w:t>
      </w:r>
      <w:r>
        <w:t xml:space="preserve">are set out in the </w:t>
      </w:r>
      <w:hyperlink r:id="rId52">
        <w:r>
          <w:rPr>
            <w:i/>
            <w:color w:val="0000FF"/>
            <w:u w:val="single" w:color="0000FF"/>
          </w:rPr>
          <w:t>AUASB Strategy and Corporate Plan</w:t>
        </w:r>
      </w:hyperlink>
      <w:r>
        <w:t>.</w:t>
      </w:r>
    </w:p>
    <w:p w14:paraId="1E805987" w14:textId="77777777" w:rsidR="00AA4A02" w:rsidRDefault="00960F31">
      <w:pPr>
        <w:pStyle w:val="ListParagraph"/>
        <w:numPr>
          <w:ilvl w:val="1"/>
          <w:numId w:val="30"/>
        </w:numPr>
        <w:tabs>
          <w:tab w:val="left" w:pos="851"/>
        </w:tabs>
        <w:spacing w:before="198" w:line="208" w:lineRule="auto"/>
        <w:ind w:right="138"/>
      </w:pPr>
      <w:r>
        <w:t>This Due Process Framework document sets out the principles for how pronouncements and other materials issued by</w:t>
      </w:r>
      <w:r>
        <w:rPr>
          <w:spacing w:val="-3"/>
        </w:rPr>
        <w:t xml:space="preserve"> </w:t>
      </w:r>
      <w:r>
        <w:t>the AUASB are created</w:t>
      </w:r>
      <w:r>
        <w:rPr>
          <w:spacing w:val="-1"/>
        </w:rPr>
        <w:t xml:space="preserve"> </w:t>
      </w:r>
      <w:r>
        <w:t>and updated. The Due Process Framework</w:t>
      </w:r>
      <w:r>
        <w:rPr>
          <w:spacing w:val="-1"/>
        </w:rPr>
        <w:t xml:space="preserve"> </w:t>
      </w:r>
      <w:r>
        <w:t xml:space="preserve">is designed to ensure that, consistent with the AUASB’s functions set out in the </w:t>
      </w:r>
      <w:r>
        <w:rPr>
          <w:i/>
        </w:rPr>
        <w:t>Australian Securities</w:t>
      </w:r>
      <w:r>
        <w:rPr>
          <w:i/>
          <w:spacing w:val="-3"/>
        </w:rPr>
        <w:t xml:space="preserve"> </w:t>
      </w:r>
      <w:r>
        <w:rPr>
          <w:i/>
        </w:rPr>
        <w:t>and</w:t>
      </w:r>
      <w:r>
        <w:rPr>
          <w:i/>
          <w:spacing w:val="-4"/>
        </w:rPr>
        <w:t xml:space="preserve"> </w:t>
      </w:r>
      <w:r>
        <w:rPr>
          <w:i/>
        </w:rPr>
        <w:t>Investments</w:t>
      </w:r>
      <w:r>
        <w:rPr>
          <w:i/>
          <w:spacing w:val="-3"/>
        </w:rPr>
        <w:t xml:space="preserve"> </w:t>
      </w:r>
      <w:r>
        <w:rPr>
          <w:i/>
        </w:rPr>
        <w:t>Commission</w:t>
      </w:r>
      <w:r>
        <w:rPr>
          <w:i/>
          <w:spacing w:val="-1"/>
        </w:rPr>
        <w:t xml:space="preserve"> </w:t>
      </w:r>
      <w:r>
        <w:rPr>
          <w:i/>
        </w:rPr>
        <w:t>Act 2001</w:t>
      </w:r>
      <w:r>
        <w:t>,</w:t>
      </w:r>
      <w:r>
        <w:rPr>
          <w:spacing w:val="-4"/>
        </w:rPr>
        <w:t xml:space="preserve"> </w:t>
      </w:r>
      <w:r>
        <w:t>as</w:t>
      </w:r>
      <w:r>
        <w:rPr>
          <w:spacing w:val="-1"/>
        </w:rPr>
        <w:t xml:space="preserve"> </w:t>
      </w:r>
      <w:r>
        <w:t>amended</w:t>
      </w:r>
      <w:r>
        <w:rPr>
          <w:spacing w:val="-1"/>
        </w:rPr>
        <w:t xml:space="preserve"> </w:t>
      </w:r>
      <w:r>
        <w:t>(ASIC</w:t>
      </w:r>
      <w:r>
        <w:rPr>
          <w:spacing w:val="-2"/>
        </w:rPr>
        <w:t xml:space="preserve"> </w:t>
      </w:r>
      <w:r>
        <w:t>Act),</w:t>
      </w:r>
      <w:r>
        <w:rPr>
          <w:spacing w:val="-1"/>
        </w:rPr>
        <w:t xml:space="preserve"> </w:t>
      </w:r>
      <w:r>
        <w:t>and</w:t>
      </w:r>
      <w:r>
        <w:rPr>
          <w:spacing w:val="-3"/>
        </w:rPr>
        <w:t xml:space="preserve"> </w:t>
      </w:r>
      <w:r>
        <w:t>in</w:t>
      </w:r>
      <w:r>
        <w:rPr>
          <w:spacing w:val="-4"/>
        </w:rPr>
        <w:t xml:space="preserve"> </w:t>
      </w:r>
      <w:r>
        <w:t>line</w:t>
      </w:r>
      <w:r>
        <w:rPr>
          <w:spacing w:val="-1"/>
        </w:rPr>
        <w:t xml:space="preserve"> </w:t>
      </w:r>
      <w:r>
        <w:t>with</w:t>
      </w:r>
      <w:r>
        <w:rPr>
          <w:spacing w:val="-1"/>
        </w:rPr>
        <w:t xml:space="preserve"> </w:t>
      </w:r>
      <w:r>
        <w:t>the AUASB Strategy, these documents are developed, issued and maintained with proper regard</w:t>
      </w:r>
      <w:r>
        <w:rPr>
          <w:spacing w:val="80"/>
        </w:rPr>
        <w:t xml:space="preserve"> </w:t>
      </w:r>
      <w:r>
        <w:t>to the public interest, are principles-based, of a high quality, clearly stated and concise, and meet the needs of stakeholders</w:t>
      </w:r>
      <w:r>
        <w:rPr>
          <w:vertAlign w:val="superscript"/>
        </w:rPr>
        <w:t>1</w:t>
      </w:r>
      <w:r>
        <w:t>.</w:t>
      </w:r>
    </w:p>
    <w:p w14:paraId="1E805988" w14:textId="77777777" w:rsidR="00AA4A02" w:rsidRDefault="00960F31">
      <w:pPr>
        <w:pStyle w:val="ListParagraph"/>
        <w:numPr>
          <w:ilvl w:val="1"/>
          <w:numId w:val="30"/>
        </w:numPr>
        <w:tabs>
          <w:tab w:val="left" w:pos="851"/>
        </w:tabs>
        <w:spacing w:before="199" w:line="208" w:lineRule="auto"/>
        <w:ind w:right="161"/>
      </w:pPr>
      <w:r>
        <w:t>It is in the public interest that stakeholders have confidence in both the quality of pronouncements and other materials issued by the AUASB, as well as the credibility of the process by which these pronouncements and materials are developed. The Due Process Framework is designed to ensure that pronouncements and other materials issued by the AUASB</w:t>
      </w:r>
      <w:r>
        <w:rPr>
          <w:spacing w:val="-4"/>
        </w:rPr>
        <w:t xml:space="preserve"> </w:t>
      </w:r>
      <w:r>
        <w:t>are</w:t>
      </w:r>
      <w:r>
        <w:rPr>
          <w:spacing w:val="-3"/>
        </w:rPr>
        <w:t xml:space="preserve"> </w:t>
      </w:r>
      <w:r>
        <w:t>developed</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principles of</w:t>
      </w:r>
      <w:r>
        <w:rPr>
          <w:spacing w:val="-5"/>
        </w:rPr>
        <w:t xml:space="preserve"> </w:t>
      </w:r>
      <w:r>
        <w:t>the</w:t>
      </w:r>
      <w:r>
        <w:rPr>
          <w:spacing w:val="-5"/>
        </w:rPr>
        <w:t xml:space="preserve"> </w:t>
      </w:r>
      <w:r>
        <w:t>‘Public</w:t>
      </w:r>
      <w:r>
        <w:rPr>
          <w:spacing w:val="-3"/>
        </w:rPr>
        <w:t xml:space="preserve"> </w:t>
      </w:r>
      <w:r>
        <w:t>Interest</w:t>
      </w:r>
      <w:r>
        <w:rPr>
          <w:spacing w:val="-2"/>
        </w:rPr>
        <w:t xml:space="preserve"> </w:t>
      </w:r>
      <w:r>
        <w:t>Framework</w:t>
      </w:r>
      <w:r>
        <w:rPr>
          <w:spacing w:val="-3"/>
        </w:rPr>
        <w:t xml:space="preserve"> </w:t>
      </w:r>
      <w:r>
        <w:t>for the Development of AUASB Pronouncements’ (Public Interest Framework), set out in Appendix</w:t>
      </w:r>
      <w:r>
        <w:rPr>
          <w:spacing w:val="-4"/>
        </w:rPr>
        <w:t xml:space="preserve"> </w:t>
      </w:r>
      <w:r>
        <w:t>1</w:t>
      </w:r>
      <w:r>
        <w:rPr>
          <w:spacing w:val="-2"/>
        </w:rPr>
        <w:t xml:space="preserve"> </w:t>
      </w:r>
      <w:r>
        <w:t>of</w:t>
      </w:r>
      <w:r>
        <w:rPr>
          <w:spacing w:val="-4"/>
        </w:rPr>
        <w:t xml:space="preserve"> </w:t>
      </w:r>
      <w:r>
        <w:t>this</w:t>
      </w:r>
      <w:r>
        <w:rPr>
          <w:spacing w:val="-2"/>
        </w:rPr>
        <w:t xml:space="preserve"> </w:t>
      </w:r>
      <w:r>
        <w:t>document.</w:t>
      </w:r>
      <w:r>
        <w:rPr>
          <w:spacing w:val="-2"/>
        </w:rPr>
        <w:t xml:space="preserve"> </w:t>
      </w:r>
      <w:r>
        <w:t>The</w:t>
      </w:r>
      <w:r>
        <w:rPr>
          <w:spacing w:val="-2"/>
        </w:rPr>
        <w:t xml:space="preserve"> </w:t>
      </w:r>
      <w:r>
        <w:t>Public</w:t>
      </w:r>
      <w:r>
        <w:rPr>
          <w:spacing w:val="-2"/>
        </w:rPr>
        <w:t xml:space="preserve"> </w:t>
      </w:r>
      <w:r>
        <w:t>Interest</w:t>
      </w:r>
      <w:r>
        <w:rPr>
          <w:spacing w:val="-1"/>
        </w:rPr>
        <w:t xml:space="preserve"> </w:t>
      </w:r>
      <w:r>
        <w:t>Framework</w:t>
      </w:r>
      <w:r>
        <w:rPr>
          <w:spacing w:val="-1"/>
        </w:rPr>
        <w:t xml:space="preserve"> </w:t>
      </w:r>
      <w:r>
        <w:t>is</w:t>
      </w:r>
      <w:r>
        <w:rPr>
          <w:spacing w:val="-2"/>
        </w:rPr>
        <w:t xml:space="preserve"> </w:t>
      </w:r>
      <w:r>
        <w:t>intended</w:t>
      </w:r>
      <w:r>
        <w:rPr>
          <w:spacing w:val="-4"/>
        </w:rPr>
        <w:t xml:space="preserve"> </w:t>
      </w:r>
      <w:r>
        <w:t>to</w:t>
      </w:r>
      <w:r>
        <w:rPr>
          <w:spacing w:val="-1"/>
        </w:rPr>
        <w:t xml:space="preserve"> </w:t>
      </w:r>
      <w:r>
        <w:t>expand</w:t>
      </w:r>
      <w:r>
        <w:rPr>
          <w:spacing w:val="-2"/>
        </w:rPr>
        <w:t xml:space="preserve"> </w:t>
      </w:r>
      <w:r>
        <w:t>upon</w:t>
      </w:r>
      <w:r>
        <w:rPr>
          <w:spacing w:val="-2"/>
        </w:rPr>
        <w:t xml:space="preserve"> </w:t>
      </w:r>
      <w:r>
        <w:t>what the “public interest” means to the AUASB and provides a useful frame of reference for the AUASB to assess whether its standard-setting process is appropriate and responsive to the public</w:t>
      </w:r>
      <w:r>
        <w:rPr>
          <w:spacing w:val="-2"/>
        </w:rPr>
        <w:t xml:space="preserve"> </w:t>
      </w:r>
      <w:r>
        <w:t>interest.</w:t>
      </w:r>
      <w:r>
        <w:rPr>
          <w:spacing w:val="-2"/>
        </w:rPr>
        <w:t xml:space="preserve"> </w:t>
      </w:r>
      <w:r>
        <w:t>The</w:t>
      </w:r>
      <w:r>
        <w:rPr>
          <w:spacing w:val="-2"/>
        </w:rPr>
        <w:t xml:space="preserve"> </w:t>
      </w:r>
      <w:r>
        <w:t>Public</w:t>
      </w:r>
      <w:r>
        <w:rPr>
          <w:spacing w:val="-2"/>
        </w:rPr>
        <w:t xml:space="preserve"> </w:t>
      </w:r>
      <w:r>
        <w:t>Interest</w:t>
      </w:r>
      <w:r>
        <w:rPr>
          <w:spacing w:val="-1"/>
        </w:rPr>
        <w:t xml:space="preserve"> </w:t>
      </w:r>
      <w:r>
        <w:t>Framework,</w:t>
      </w:r>
      <w:r>
        <w:rPr>
          <w:spacing w:val="-4"/>
        </w:rPr>
        <w:t xml:space="preserve"> </w:t>
      </w:r>
      <w:r>
        <w:t>together</w:t>
      </w:r>
      <w:r>
        <w:rPr>
          <w:spacing w:val="-2"/>
        </w:rPr>
        <w:t xml:space="preserve"> </w:t>
      </w:r>
      <w:r>
        <w:t>with</w:t>
      </w:r>
      <w:r>
        <w:rPr>
          <w:spacing w:val="-2"/>
        </w:rPr>
        <w:t xml:space="preserve"> </w:t>
      </w:r>
      <w:r>
        <w:t>due</w:t>
      </w:r>
      <w:r>
        <w:rPr>
          <w:spacing w:val="-4"/>
        </w:rPr>
        <w:t xml:space="preserve"> </w:t>
      </w:r>
      <w:r>
        <w:t>process,</w:t>
      </w:r>
      <w:r>
        <w:rPr>
          <w:spacing w:val="-2"/>
        </w:rPr>
        <w:t xml:space="preserve"> </w:t>
      </w:r>
      <w:r>
        <w:t>articulate</w:t>
      </w:r>
      <w:r>
        <w:rPr>
          <w:spacing w:val="-2"/>
        </w:rPr>
        <w:t xml:space="preserve"> </w:t>
      </w:r>
      <w:r>
        <w:t>the</w:t>
      </w:r>
      <w:r>
        <w:rPr>
          <w:spacing w:val="-4"/>
        </w:rPr>
        <w:t xml:space="preserve"> </w:t>
      </w:r>
      <w:r>
        <w:t>public interest responsiveness of AUASB audit-related standard-setting.</w:t>
      </w:r>
    </w:p>
    <w:p w14:paraId="1E805989" w14:textId="77777777" w:rsidR="00AA4A02" w:rsidRDefault="00960F31">
      <w:pPr>
        <w:pStyle w:val="ListParagraph"/>
        <w:numPr>
          <w:ilvl w:val="1"/>
          <w:numId w:val="30"/>
        </w:numPr>
        <w:tabs>
          <w:tab w:val="left" w:pos="851"/>
        </w:tabs>
        <w:spacing w:before="198" w:line="208" w:lineRule="auto"/>
        <w:ind w:right="824"/>
      </w:pPr>
      <w:r>
        <w:t>The</w:t>
      </w:r>
      <w:r>
        <w:rPr>
          <w:spacing w:val="-3"/>
        </w:rPr>
        <w:t xml:space="preserve"> </w:t>
      </w:r>
      <w:hyperlink r:id="rId53">
        <w:r>
          <w:rPr>
            <w:i/>
            <w:color w:val="0000FF"/>
            <w:u w:val="single" w:color="0000FF"/>
          </w:rPr>
          <w:t>AUASB</w:t>
        </w:r>
        <w:r>
          <w:rPr>
            <w:i/>
            <w:color w:val="0000FF"/>
            <w:spacing w:val="-4"/>
            <w:u w:val="single" w:color="0000FF"/>
          </w:rPr>
          <w:t xml:space="preserve"> </w:t>
        </w:r>
        <w:r>
          <w:rPr>
            <w:i/>
            <w:color w:val="0000FF"/>
            <w:u w:val="single" w:color="0000FF"/>
          </w:rPr>
          <w:t>Evidence-Informed</w:t>
        </w:r>
        <w:r>
          <w:rPr>
            <w:i/>
            <w:color w:val="0000FF"/>
            <w:spacing w:val="-3"/>
            <w:u w:val="single" w:color="0000FF"/>
          </w:rPr>
          <w:t xml:space="preserve"> </w:t>
        </w:r>
        <w:r>
          <w:rPr>
            <w:i/>
            <w:color w:val="0000FF"/>
            <w:u w:val="single" w:color="0000FF"/>
          </w:rPr>
          <w:t>Standards-Setting</w:t>
        </w:r>
        <w:r>
          <w:rPr>
            <w:i/>
            <w:color w:val="0000FF"/>
            <w:spacing w:val="-6"/>
            <w:u w:val="single" w:color="0000FF"/>
          </w:rPr>
          <w:t xml:space="preserve"> </w:t>
        </w:r>
        <w:r>
          <w:rPr>
            <w:i/>
            <w:color w:val="0000FF"/>
            <w:u w:val="single" w:color="0000FF"/>
          </w:rPr>
          <w:t>Strategy</w:t>
        </w:r>
      </w:hyperlink>
      <w:r>
        <w:rPr>
          <w:i/>
          <w:color w:val="0000FF"/>
          <w:spacing w:val="-4"/>
        </w:rPr>
        <w:t xml:space="preserve"> </w:t>
      </w:r>
      <w:r>
        <w:t>(AUASB</w:t>
      </w:r>
      <w:r>
        <w:rPr>
          <w:spacing w:val="-4"/>
        </w:rPr>
        <w:t xml:space="preserve"> </w:t>
      </w:r>
      <w:r>
        <w:t>EISS</w:t>
      </w:r>
      <w:r>
        <w:rPr>
          <w:spacing w:val="-4"/>
        </w:rPr>
        <w:t xml:space="preserve"> </w:t>
      </w:r>
      <w:r>
        <w:t>Strategy)</w:t>
      </w:r>
      <w:r>
        <w:rPr>
          <w:spacing w:val="-3"/>
        </w:rPr>
        <w:t xml:space="preserve"> </w:t>
      </w:r>
      <w:r>
        <w:t>is integral to the AUASB achieving its strategic objectives and, in particular, to ensure pronouncements and other materials issued by the AUASB are developed through an evidence-informed</w:t>
      </w:r>
      <w:r>
        <w:rPr>
          <w:spacing w:val="-2"/>
        </w:rPr>
        <w:t xml:space="preserve"> </w:t>
      </w:r>
      <w:r>
        <w:t>process</w:t>
      </w:r>
      <w:r>
        <w:rPr>
          <w:spacing w:val="-5"/>
        </w:rPr>
        <w:t xml:space="preserve"> </w:t>
      </w:r>
      <w:r>
        <w:t>and</w:t>
      </w:r>
      <w:r>
        <w:rPr>
          <w:spacing w:val="-3"/>
        </w:rPr>
        <w:t xml:space="preserve"> </w:t>
      </w:r>
      <w:r>
        <w:t>are</w:t>
      </w:r>
      <w:r>
        <w:rPr>
          <w:spacing w:val="-3"/>
        </w:rPr>
        <w:t xml:space="preserve"> </w:t>
      </w:r>
      <w:r>
        <w:t>responsive</w:t>
      </w:r>
      <w:r>
        <w:rPr>
          <w:spacing w:val="-3"/>
        </w:rPr>
        <w:t xml:space="preserve"> </w:t>
      </w:r>
      <w:r>
        <w:t>to</w:t>
      </w:r>
      <w:r>
        <w:rPr>
          <w:spacing w:val="-3"/>
        </w:rPr>
        <w:t xml:space="preserve"> </w:t>
      </w:r>
      <w:r>
        <w:t>the</w:t>
      </w:r>
      <w:r>
        <w:rPr>
          <w:spacing w:val="-3"/>
        </w:rPr>
        <w:t xml:space="preserve"> </w:t>
      </w:r>
      <w:r>
        <w:t>public</w:t>
      </w:r>
      <w:r>
        <w:rPr>
          <w:spacing w:val="-3"/>
        </w:rPr>
        <w:t xml:space="preserve"> </w:t>
      </w:r>
      <w:r>
        <w:t>interest.</w:t>
      </w:r>
      <w:r>
        <w:rPr>
          <w:spacing w:val="-1"/>
        </w:rPr>
        <w:t xml:space="preserve"> </w:t>
      </w:r>
      <w:r>
        <w:t>The</w:t>
      </w:r>
      <w:r>
        <w:rPr>
          <w:spacing w:val="-3"/>
        </w:rPr>
        <w:t xml:space="preserve"> </w:t>
      </w:r>
      <w:r>
        <w:t>EISS</w:t>
      </w:r>
      <w:r>
        <w:rPr>
          <w:spacing w:val="-3"/>
        </w:rPr>
        <w:t xml:space="preserve"> </w:t>
      </w:r>
      <w:r>
        <w:t>Strategy consists of three components:</w:t>
      </w:r>
    </w:p>
    <w:p w14:paraId="1E80598A" w14:textId="77777777" w:rsidR="00AA4A02" w:rsidRDefault="00960F31">
      <w:pPr>
        <w:pStyle w:val="ListParagraph"/>
        <w:numPr>
          <w:ilvl w:val="2"/>
          <w:numId w:val="30"/>
        </w:numPr>
        <w:tabs>
          <w:tab w:val="left" w:pos="1562"/>
        </w:tabs>
        <w:spacing w:before="174"/>
      </w:pPr>
      <w:r>
        <w:t>the</w:t>
      </w:r>
      <w:r>
        <w:rPr>
          <w:spacing w:val="-7"/>
        </w:rPr>
        <w:t xml:space="preserve"> </w:t>
      </w:r>
      <w:r>
        <w:t>knowledge</w:t>
      </w:r>
      <w:r>
        <w:rPr>
          <w:spacing w:val="-5"/>
        </w:rPr>
        <w:t xml:space="preserve"> </w:t>
      </w:r>
      <w:r>
        <w:t>and</w:t>
      </w:r>
      <w:r>
        <w:rPr>
          <w:spacing w:val="-4"/>
        </w:rPr>
        <w:t xml:space="preserve"> </w:t>
      </w:r>
      <w:r>
        <w:t>experience</w:t>
      </w:r>
      <w:r>
        <w:rPr>
          <w:spacing w:val="-5"/>
        </w:rPr>
        <w:t xml:space="preserve"> </w:t>
      </w:r>
      <w:r>
        <w:t>of</w:t>
      </w:r>
      <w:r>
        <w:rPr>
          <w:spacing w:val="-5"/>
        </w:rPr>
        <w:t xml:space="preserve"> </w:t>
      </w:r>
      <w:r>
        <w:t>informed</w:t>
      </w:r>
      <w:r>
        <w:rPr>
          <w:spacing w:val="-4"/>
        </w:rPr>
        <w:t xml:space="preserve"> </w:t>
      </w:r>
      <w:r>
        <w:t>parties;</w:t>
      </w:r>
      <w:r>
        <w:rPr>
          <w:spacing w:val="-4"/>
        </w:rPr>
        <w:t xml:space="preserve"> </w:t>
      </w:r>
      <w:r>
        <w:t>including</w:t>
      </w:r>
      <w:r>
        <w:rPr>
          <w:spacing w:val="-5"/>
        </w:rPr>
        <w:t xml:space="preserve"> </w:t>
      </w:r>
      <w:r>
        <w:t>AUASB</w:t>
      </w:r>
      <w:r>
        <w:rPr>
          <w:spacing w:val="-1"/>
        </w:rPr>
        <w:t xml:space="preserve"> </w:t>
      </w:r>
      <w:r>
        <w:rPr>
          <w:spacing w:val="-2"/>
        </w:rPr>
        <w:t>members;</w:t>
      </w:r>
    </w:p>
    <w:p w14:paraId="1E80598B" w14:textId="77777777" w:rsidR="00AA4A02" w:rsidRDefault="00960F31">
      <w:pPr>
        <w:pStyle w:val="ListParagraph"/>
        <w:numPr>
          <w:ilvl w:val="2"/>
          <w:numId w:val="30"/>
        </w:numPr>
        <w:tabs>
          <w:tab w:val="left" w:pos="1562"/>
        </w:tabs>
        <w:spacing w:before="88"/>
      </w:pPr>
      <w:r>
        <w:t>research</w:t>
      </w:r>
      <w:r>
        <w:rPr>
          <w:spacing w:val="-7"/>
        </w:rPr>
        <w:t xml:space="preserve"> </w:t>
      </w:r>
      <w:r>
        <w:t>activities;</w:t>
      </w:r>
      <w:r>
        <w:rPr>
          <w:spacing w:val="-7"/>
        </w:rPr>
        <w:t xml:space="preserve"> </w:t>
      </w:r>
      <w:r>
        <w:rPr>
          <w:spacing w:val="-5"/>
        </w:rPr>
        <w:t>and</w:t>
      </w:r>
    </w:p>
    <w:p w14:paraId="1E80598C" w14:textId="77777777" w:rsidR="00AA4A02" w:rsidRDefault="00960F31">
      <w:pPr>
        <w:pStyle w:val="ListParagraph"/>
        <w:numPr>
          <w:ilvl w:val="2"/>
          <w:numId w:val="30"/>
        </w:numPr>
        <w:tabs>
          <w:tab w:val="left" w:pos="1562"/>
        </w:tabs>
        <w:spacing w:before="87"/>
      </w:pPr>
      <w:r>
        <w:t>information</w:t>
      </w:r>
      <w:r>
        <w:rPr>
          <w:spacing w:val="-9"/>
        </w:rPr>
        <w:t xml:space="preserve"> </w:t>
      </w:r>
      <w:r>
        <w:t>collection</w:t>
      </w:r>
      <w:r>
        <w:rPr>
          <w:spacing w:val="-7"/>
        </w:rPr>
        <w:t xml:space="preserve"> </w:t>
      </w:r>
      <w:r>
        <w:t>through</w:t>
      </w:r>
      <w:r>
        <w:rPr>
          <w:spacing w:val="-6"/>
        </w:rPr>
        <w:t xml:space="preserve"> </w:t>
      </w:r>
      <w:r>
        <w:t>stakeholder</w:t>
      </w:r>
      <w:r>
        <w:rPr>
          <w:spacing w:val="-5"/>
        </w:rPr>
        <w:t xml:space="preserve"> </w:t>
      </w:r>
      <w:r>
        <w:rPr>
          <w:spacing w:val="-2"/>
        </w:rPr>
        <w:t>engagement.</w:t>
      </w:r>
    </w:p>
    <w:p w14:paraId="1E80598D" w14:textId="77777777" w:rsidR="00AA4A02" w:rsidRDefault="00960F31">
      <w:pPr>
        <w:pStyle w:val="BodyText"/>
        <w:spacing w:before="190" w:line="211" w:lineRule="auto"/>
        <w:ind w:left="851"/>
      </w:pPr>
      <w:r>
        <w:t>The</w:t>
      </w:r>
      <w:r>
        <w:rPr>
          <w:spacing w:val="-2"/>
        </w:rPr>
        <w:t xml:space="preserve"> </w:t>
      </w:r>
      <w:r>
        <w:t>EISS</w:t>
      </w:r>
      <w:r>
        <w:rPr>
          <w:spacing w:val="-3"/>
        </w:rPr>
        <w:t xml:space="preserve"> </w:t>
      </w:r>
      <w:r>
        <w:t>Strategy</w:t>
      </w:r>
      <w:r>
        <w:rPr>
          <w:spacing w:val="-1"/>
        </w:rPr>
        <w:t xml:space="preserve"> </w:t>
      </w:r>
      <w:r>
        <w:t>directs</w:t>
      </w:r>
      <w:r>
        <w:rPr>
          <w:spacing w:val="-4"/>
        </w:rPr>
        <w:t xml:space="preserve"> </w:t>
      </w:r>
      <w:r>
        <w:t>AUASB</w:t>
      </w:r>
      <w:r>
        <w:rPr>
          <w:spacing w:val="-4"/>
        </w:rPr>
        <w:t xml:space="preserve"> </w:t>
      </w:r>
      <w:r>
        <w:t>activities</w:t>
      </w:r>
      <w:r>
        <w:rPr>
          <w:spacing w:val="-4"/>
        </w:rPr>
        <w:t xml:space="preserve"> </w:t>
      </w:r>
      <w:r>
        <w:t>to</w:t>
      </w:r>
      <w:r>
        <w:rPr>
          <w:spacing w:val="-5"/>
        </w:rPr>
        <w:t xml:space="preserve"> </w:t>
      </w:r>
      <w:r>
        <w:t>ensure</w:t>
      </w:r>
      <w:r>
        <w:rPr>
          <w:spacing w:val="-4"/>
        </w:rPr>
        <w:t xml:space="preserve"> </w:t>
      </w:r>
      <w:r>
        <w:t>the</w:t>
      </w:r>
      <w:r>
        <w:rPr>
          <w:spacing w:val="-2"/>
        </w:rPr>
        <w:t xml:space="preserve"> </w:t>
      </w:r>
      <w:r>
        <w:t>deliberations</w:t>
      </w:r>
      <w:r>
        <w:rPr>
          <w:spacing w:val="-2"/>
        </w:rPr>
        <w:t xml:space="preserve"> </w:t>
      </w:r>
      <w:r>
        <w:t>and</w:t>
      </w:r>
      <w:r>
        <w:rPr>
          <w:spacing w:val="-5"/>
        </w:rPr>
        <w:t xml:space="preserve"> </w:t>
      </w:r>
      <w:r>
        <w:t>decisions</w:t>
      </w:r>
      <w:r>
        <w:rPr>
          <w:spacing w:val="-2"/>
        </w:rPr>
        <w:t xml:space="preserve"> </w:t>
      </w:r>
      <w:r>
        <w:t>of</w:t>
      </w:r>
      <w:r>
        <w:rPr>
          <w:spacing w:val="-4"/>
        </w:rPr>
        <w:t xml:space="preserve"> </w:t>
      </w:r>
      <w:r>
        <w:t>the AUASB are informed by relevant and reliable evidence.</w:t>
      </w:r>
    </w:p>
    <w:p w14:paraId="1E80598E" w14:textId="77777777" w:rsidR="00AA4A02" w:rsidRDefault="00AA4A02">
      <w:pPr>
        <w:pStyle w:val="BodyText"/>
        <w:rPr>
          <w:sz w:val="20"/>
        </w:rPr>
      </w:pPr>
    </w:p>
    <w:p w14:paraId="1E80598F" w14:textId="77777777" w:rsidR="00AA4A02" w:rsidRDefault="00AA4A02">
      <w:pPr>
        <w:pStyle w:val="BodyText"/>
        <w:rPr>
          <w:sz w:val="20"/>
        </w:rPr>
      </w:pPr>
    </w:p>
    <w:p w14:paraId="1E805990" w14:textId="77777777" w:rsidR="00AA4A02" w:rsidRDefault="00AA4A02">
      <w:pPr>
        <w:pStyle w:val="BodyText"/>
        <w:rPr>
          <w:sz w:val="20"/>
        </w:rPr>
      </w:pPr>
    </w:p>
    <w:p w14:paraId="1E805991" w14:textId="77777777" w:rsidR="00AA4A02" w:rsidRDefault="00AA4A02">
      <w:pPr>
        <w:pStyle w:val="BodyText"/>
        <w:rPr>
          <w:sz w:val="20"/>
        </w:rPr>
      </w:pPr>
    </w:p>
    <w:p w14:paraId="1E805992" w14:textId="77777777" w:rsidR="00AA4A02" w:rsidRDefault="00AA4A02">
      <w:pPr>
        <w:pStyle w:val="BodyText"/>
        <w:rPr>
          <w:sz w:val="20"/>
        </w:rPr>
      </w:pPr>
    </w:p>
    <w:p w14:paraId="1E805993" w14:textId="77777777" w:rsidR="00AA4A02" w:rsidRDefault="00960F31">
      <w:pPr>
        <w:pStyle w:val="BodyText"/>
        <w:spacing w:before="55"/>
        <w:rPr>
          <w:sz w:val="20"/>
        </w:rPr>
      </w:pPr>
      <w:r>
        <w:rPr>
          <w:noProof/>
          <w:sz w:val="20"/>
        </w:rPr>
        <mc:AlternateContent>
          <mc:Choice Requires="wps">
            <w:drawing>
              <wp:anchor distT="0" distB="0" distL="0" distR="0" simplePos="0" relativeHeight="487599104" behindDoc="1" locked="0" layoutInCell="1" allowOverlap="1" wp14:anchorId="1E805F3F" wp14:editId="1E805F40">
                <wp:simplePos x="0" y="0"/>
                <wp:positionH relativeFrom="page">
                  <wp:posOffset>900988</wp:posOffset>
                </wp:positionH>
                <wp:positionV relativeFrom="paragraph">
                  <wp:posOffset>196433</wp:posOffset>
                </wp:positionV>
                <wp:extent cx="1829435" cy="762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7D0D7" id="Graphic 45" o:spid="_x0000_s1026" style="position:absolute;margin-left:70.95pt;margin-top:15.45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" path="m1829053,l,,,7619r1829053,l1829053,xe" fillcolor="black" stroked="f">
                <v:path arrowok="t"/>
                <w10:wrap type="topAndBottom" anchorx="page"/>
              </v:shape>
            </w:pict>
          </mc:Fallback>
        </mc:AlternateContent>
      </w:r>
    </w:p>
    <w:p w14:paraId="1E805994" w14:textId="77777777" w:rsidR="00AA4A02" w:rsidRDefault="00960F31">
      <w:pPr>
        <w:tabs>
          <w:tab w:val="left" w:pos="426"/>
        </w:tabs>
        <w:spacing w:before="93" w:line="208" w:lineRule="auto"/>
        <w:ind w:left="427" w:right="1050" w:hanging="284"/>
        <w:rPr>
          <w:sz w:val="16"/>
        </w:rPr>
      </w:pPr>
      <w:r>
        <w:rPr>
          <w:spacing w:val="-10"/>
          <w:sz w:val="16"/>
          <w:vertAlign w:val="superscript"/>
        </w:rPr>
        <w:t>1</w:t>
      </w:r>
      <w:r>
        <w:rPr>
          <w:sz w:val="16"/>
        </w:rPr>
        <w:tab/>
        <w:t>Appendix</w:t>
      </w:r>
      <w:r>
        <w:rPr>
          <w:spacing w:val="-2"/>
          <w:sz w:val="16"/>
        </w:rPr>
        <w:t xml:space="preserve"> </w:t>
      </w:r>
      <w:r>
        <w:rPr>
          <w:sz w:val="16"/>
        </w:rPr>
        <w:t>1,</w:t>
      </w:r>
      <w:r>
        <w:rPr>
          <w:spacing w:val="-3"/>
          <w:sz w:val="16"/>
        </w:rPr>
        <w:t xml:space="preserve"> </w:t>
      </w:r>
      <w:r>
        <w:rPr>
          <w:sz w:val="16"/>
        </w:rPr>
        <w:t>paragraphs</w:t>
      </w:r>
      <w:r>
        <w:rPr>
          <w:spacing w:val="-3"/>
          <w:sz w:val="16"/>
        </w:rPr>
        <w:t xml:space="preserve"> </w:t>
      </w:r>
      <w:r>
        <w:rPr>
          <w:sz w:val="16"/>
        </w:rPr>
        <w:t>8-11,</w:t>
      </w:r>
      <w:r>
        <w:rPr>
          <w:spacing w:val="-2"/>
          <w:sz w:val="16"/>
        </w:rPr>
        <w:t xml:space="preserve"> </w:t>
      </w:r>
      <w:r>
        <w:rPr>
          <w:sz w:val="16"/>
        </w:rPr>
        <w:t>identifies the</w:t>
      </w:r>
      <w:r>
        <w:rPr>
          <w:spacing w:val="-3"/>
          <w:sz w:val="16"/>
        </w:rPr>
        <w:t xml:space="preserve"> </w:t>
      </w:r>
      <w:r>
        <w:rPr>
          <w:sz w:val="16"/>
        </w:rPr>
        <w:t>groups</w:t>
      </w:r>
      <w:r>
        <w:rPr>
          <w:spacing w:val="-3"/>
          <w:sz w:val="16"/>
        </w:rPr>
        <w:t xml:space="preserve"> </w:t>
      </w:r>
      <w:r>
        <w:rPr>
          <w:sz w:val="16"/>
        </w:rPr>
        <w:t>of</w:t>
      </w:r>
      <w:r>
        <w:rPr>
          <w:spacing w:val="-2"/>
          <w:sz w:val="16"/>
        </w:rPr>
        <w:t xml:space="preserve"> </w:t>
      </w:r>
      <w:r>
        <w:rPr>
          <w:sz w:val="16"/>
        </w:rPr>
        <w:t>stakeholders</w:t>
      </w:r>
      <w:r>
        <w:rPr>
          <w:spacing w:val="-3"/>
          <w:sz w:val="16"/>
        </w:rPr>
        <w:t xml:space="preserve"> </w:t>
      </w:r>
      <w:r>
        <w:rPr>
          <w:sz w:val="16"/>
        </w:rPr>
        <w:t>that</w:t>
      </w:r>
      <w:r>
        <w:rPr>
          <w:spacing w:val="-2"/>
          <w:sz w:val="16"/>
        </w:rPr>
        <w:t xml:space="preserve"> </w:t>
      </w:r>
      <w:r>
        <w:rPr>
          <w:sz w:val="16"/>
        </w:rPr>
        <w:t>may</w:t>
      </w:r>
      <w:r>
        <w:rPr>
          <w:spacing w:val="-2"/>
          <w:sz w:val="16"/>
        </w:rPr>
        <w:t xml:space="preserve"> </w:t>
      </w:r>
      <w:r>
        <w:rPr>
          <w:sz w:val="16"/>
        </w:rPr>
        <w:t>have</w:t>
      </w:r>
      <w:r>
        <w:rPr>
          <w:spacing w:val="-3"/>
          <w:sz w:val="16"/>
        </w:rPr>
        <w:t xml:space="preserve"> </w:t>
      </w:r>
      <w:r>
        <w:rPr>
          <w:sz w:val="16"/>
        </w:rPr>
        <w:t>an</w:t>
      </w:r>
      <w:r>
        <w:rPr>
          <w:spacing w:val="-2"/>
          <w:sz w:val="16"/>
        </w:rPr>
        <w:t xml:space="preserve"> </w:t>
      </w:r>
      <w:r>
        <w:rPr>
          <w:sz w:val="16"/>
        </w:rPr>
        <w:t>interest</w:t>
      </w:r>
      <w:r>
        <w:rPr>
          <w:spacing w:val="-2"/>
          <w:sz w:val="16"/>
        </w:rPr>
        <w:t xml:space="preserve"> </w:t>
      </w:r>
      <w:r>
        <w:rPr>
          <w:sz w:val="16"/>
        </w:rPr>
        <w:t>in</w:t>
      </w:r>
      <w:r>
        <w:rPr>
          <w:spacing w:val="-2"/>
          <w:sz w:val="16"/>
        </w:rPr>
        <w:t xml:space="preserve"> </w:t>
      </w:r>
      <w:r>
        <w:rPr>
          <w:sz w:val="16"/>
        </w:rPr>
        <w:t>the</w:t>
      </w:r>
      <w:r>
        <w:rPr>
          <w:spacing w:val="-3"/>
          <w:sz w:val="16"/>
        </w:rPr>
        <w:t xml:space="preserve"> </w:t>
      </w:r>
      <w:r>
        <w:rPr>
          <w:sz w:val="16"/>
        </w:rPr>
        <w:t>quality</w:t>
      </w:r>
      <w:r>
        <w:rPr>
          <w:spacing w:val="-2"/>
          <w:sz w:val="16"/>
        </w:rPr>
        <w:t xml:space="preserve"> </w:t>
      </w:r>
      <w:r>
        <w:rPr>
          <w:sz w:val="16"/>
        </w:rPr>
        <w:t>and adequacy</w:t>
      </w:r>
      <w:r>
        <w:rPr>
          <w:spacing w:val="-2"/>
          <w:sz w:val="16"/>
        </w:rPr>
        <w:t xml:space="preserve"> </w:t>
      </w:r>
      <w:r>
        <w:rPr>
          <w:sz w:val="16"/>
        </w:rPr>
        <w:t>of</w:t>
      </w:r>
      <w:r>
        <w:rPr>
          <w:spacing w:val="40"/>
          <w:sz w:val="16"/>
        </w:rPr>
        <w:t xml:space="preserve"> </w:t>
      </w:r>
      <w:r>
        <w:rPr>
          <w:sz w:val="16"/>
        </w:rPr>
        <w:t>pronouncements and materials issued by the AUASB.</w:t>
      </w:r>
    </w:p>
    <w:p w14:paraId="1E805995"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996" w14:textId="77777777" w:rsidR="00AA4A02" w:rsidRDefault="00960F31">
      <w:pPr>
        <w:pStyle w:val="ListParagraph"/>
        <w:numPr>
          <w:ilvl w:val="1"/>
          <w:numId w:val="30"/>
        </w:numPr>
        <w:tabs>
          <w:tab w:val="left" w:pos="851"/>
        </w:tabs>
        <w:spacing w:before="219" w:line="208" w:lineRule="auto"/>
        <w:ind w:right="334"/>
      </w:pPr>
      <w:r>
        <w:lastRenderedPageBreak/>
        <w:t>This document provides a framework to guide the AUASB and AUASB technical staff (technical staff) in performing the required due process activities to ensure transparency</w:t>
      </w:r>
      <w:r>
        <w:rPr>
          <w:spacing w:val="-1"/>
        </w:rPr>
        <w:t xml:space="preserve"> </w:t>
      </w:r>
      <w:r>
        <w:t>and consistency</w:t>
      </w:r>
      <w:r>
        <w:rPr>
          <w:spacing w:val="-5"/>
        </w:rPr>
        <w:t xml:space="preserve"> </w:t>
      </w:r>
      <w:r>
        <w:t>in</w:t>
      </w:r>
      <w:r>
        <w:rPr>
          <w:spacing w:val="-5"/>
        </w:rPr>
        <w:t xml:space="preserve"> </w:t>
      </w:r>
      <w:r>
        <w:t>the</w:t>
      </w:r>
      <w:r>
        <w:rPr>
          <w:spacing w:val="-3"/>
        </w:rPr>
        <w:t xml:space="preserve"> </w:t>
      </w:r>
      <w:r>
        <w:t>development</w:t>
      </w:r>
      <w:r>
        <w:rPr>
          <w:spacing w:val="-2"/>
        </w:rPr>
        <w:t xml:space="preserve"> </w:t>
      </w:r>
      <w:r>
        <w:t>and</w:t>
      </w:r>
      <w:r>
        <w:rPr>
          <w:spacing w:val="-4"/>
        </w:rPr>
        <w:t xml:space="preserve"> </w:t>
      </w:r>
      <w:r>
        <w:t>review</w:t>
      </w:r>
      <w:r>
        <w:rPr>
          <w:spacing w:val="-3"/>
        </w:rPr>
        <w:t xml:space="preserve"> </w:t>
      </w:r>
      <w:r>
        <w:t>of pronouncements</w:t>
      </w:r>
      <w:r>
        <w:rPr>
          <w:spacing w:val="-3"/>
        </w:rPr>
        <w:t xml:space="preserve"> </w:t>
      </w:r>
      <w:r>
        <w:t>and</w:t>
      </w:r>
      <w:r>
        <w:rPr>
          <w:spacing w:val="-3"/>
        </w:rPr>
        <w:t xml:space="preserve"> </w:t>
      </w:r>
      <w:r>
        <w:t>other</w:t>
      </w:r>
      <w:r>
        <w:rPr>
          <w:spacing w:val="-3"/>
        </w:rPr>
        <w:t xml:space="preserve"> </w:t>
      </w:r>
      <w:r>
        <w:t>materials</w:t>
      </w:r>
      <w:r>
        <w:rPr>
          <w:spacing w:val="-3"/>
        </w:rPr>
        <w:t xml:space="preserve"> </w:t>
      </w:r>
      <w:r>
        <w:t>issued</w:t>
      </w:r>
      <w:r>
        <w:rPr>
          <w:spacing w:val="-3"/>
        </w:rPr>
        <w:t xml:space="preserve"> </w:t>
      </w:r>
      <w:r>
        <w:t>by the AUASB, and informs stakeholders on how they can participate in the process.</w:t>
      </w:r>
    </w:p>
    <w:p w14:paraId="1E805997" w14:textId="77777777" w:rsidR="00AA4A02" w:rsidRDefault="00960F31">
      <w:pPr>
        <w:pStyle w:val="ListParagraph"/>
        <w:numPr>
          <w:ilvl w:val="1"/>
          <w:numId w:val="30"/>
        </w:numPr>
        <w:tabs>
          <w:tab w:val="left" w:pos="851"/>
        </w:tabs>
        <w:spacing w:before="176"/>
      </w:pPr>
      <w:r>
        <w:t>The</w:t>
      </w:r>
      <w:r>
        <w:rPr>
          <w:spacing w:val="-4"/>
        </w:rPr>
        <w:t xml:space="preserve"> </w:t>
      </w:r>
      <w:r>
        <w:t>AUASB</w:t>
      </w:r>
      <w:r>
        <w:rPr>
          <w:spacing w:val="-5"/>
        </w:rPr>
        <w:t xml:space="preserve"> </w:t>
      </w:r>
      <w:r>
        <w:t>Due</w:t>
      </w:r>
      <w:r>
        <w:rPr>
          <w:spacing w:val="-3"/>
        </w:rPr>
        <w:t xml:space="preserve"> </w:t>
      </w:r>
      <w:r>
        <w:t>Process</w:t>
      </w:r>
      <w:r>
        <w:rPr>
          <w:spacing w:val="-6"/>
        </w:rPr>
        <w:t xml:space="preserve"> </w:t>
      </w:r>
      <w:r>
        <w:t>Framework</w:t>
      </w:r>
      <w:r>
        <w:rPr>
          <w:spacing w:val="-5"/>
        </w:rPr>
        <w:t xml:space="preserve"> </w:t>
      </w:r>
      <w:r>
        <w:t>operates</w:t>
      </w:r>
      <w:r>
        <w:rPr>
          <w:spacing w:val="-5"/>
        </w:rPr>
        <w:t xml:space="preserve"> </w:t>
      </w:r>
      <w:r>
        <w:t>in</w:t>
      </w:r>
      <w:r>
        <w:rPr>
          <w:spacing w:val="-4"/>
        </w:rPr>
        <w:t xml:space="preserve"> </w:t>
      </w:r>
      <w:r>
        <w:t>conjunction</w:t>
      </w:r>
      <w:r>
        <w:rPr>
          <w:spacing w:val="-3"/>
        </w:rPr>
        <w:t xml:space="preserve"> </w:t>
      </w:r>
      <w:r>
        <w:t xml:space="preserve">with </w:t>
      </w:r>
      <w:r>
        <w:rPr>
          <w:spacing w:val="-4"/>
        </w:rPr>
        <w:t>the:</w:t>
      </w:r>
    </w:p>
    <w:p w14:paraId="1E805998" w14:textId="77777777" w:rsidR="00AA4A02" w:rsidRDefault="00960F31">
      <w:pPr>
        <w:pStyle w:val="ListParagraph"/>
        <w:numPr>
          <w:ilvl w:val="2"/>
          <w:numId w:val="30"/>
        </w:numPr>
        <w:tabs>
          <w:tab w:val="left" w:pos="1562"/>
        </w:tabs>
        <w:spacing w:before="167"/>
      </w:pPr>
      <w:hyperlink r:id="rId54">
        <w:r>
          <w:rPr>
            <w:i/>
            <w:color w:val="0000FF"/>
            <w:u w:val="single" w:color="0000FF"/>
          </w:rPr>
          <w:t>AASB</w:t>
        </w:r>
        <w:r>
          <w:rPr>
            <w:i/>
            <w:color w:val="0000FF"/>
            <w:spacing w:val="-3"/>
            <w:u w:val="single" w:color="0000FF"/>
          </w:rPr>
          <w:t xml:space="preserve"> </w:t>
        </w:r>
        <w:r>
          <w:rPr>
            <w:i/>
            <w:color w:val="0000FF"/>
            <w:u w:val="single" w:color="0000FF"/>
          </w:rPr>
          <w:t>and</w:t>
        </w:r>
        <w:r>
          <w:rPr>
            <w:i/>
            <w:color w:val="0000FF"/>
            <w:spacing w:val="-3"/>
            <w:u w:val="single" w:color="0000FF"/>
          </w:rPr>
          <w:t xml:space="preserve"> </w:t>
        </w:r>
        <w:r>
          <w:rPr>
            <w:i/>
            <w:color w:val="0000FF"/>
            <w:u w:val="single" w:color="0000FF"/>
          </w:rPr>
          <w:t>AUASB</w:t>
        </w:r>
        <w:r>
          <w:rPr>
            <w:i/>
            <w:color w:val="0000FF"/>
            <w:spacing w:val="-3"/>
            <w:u w:val="single" w:color="0000FF"/>
          </w:rPr>
          <w:t xml:space="preserve"> </w:t>
        </w:r>
        <w:r>
          <w:rPr>
            <w:i/>
            <w:color w:val="0000FF"/>
            <w:u w:val="single" w:color="0000FF"/>
          </w:rPr>
          <w:t>Board</w:t>
        </w:r>
        <w:r>
          <w:rPr>
            <w:i/>
            <w:color w:val="0000FF"/>
            <w:spacing w:val="-3"/>
            <w:u w:val="single" w:color="0000FF"/>
          </w:rPr>
          <w:t xml:space="preserve"> </w:t>
        </w:r>
        <w:r>
          <w:rPr>
            <w:i/>
            <w:color w:val="0000FF"/>
            <w:u w:val="single" w:color="0000FF"/>
          </w:rPr>
          <w:t>Charter</w:t>
        </w:r>
      </w:hyperlink>
      <w:r>
        <w:rPr>
          <w:i/>
          <w:color w:val="0000FF"/>
          <w:spacing w:val="-1"/>
        </w:rPr>
        <w:t xml:space="preserve"> </w:t>
      </w:r>
      <w:r>
        <w:t>(Board</w:t>
      </w:r>
      <w:r>
        <w:rPr>
          <w:spacing w:val="-2"/>
        </w:rPr>
        <w:t xml:space="preserve"> Charter)</w:t>
      </w:r>
    </w:p>
    <w:p w14:paraId="1E805999" w14:textId="77777777" w:rsidR="00AA4A02" w:rsidRDefault="00960F31">
      <w:pPr>
        <w:pStyle w:val="BodyText"/>
        <w:spacing w:before="191" w:line="208" w:lineRule="auto"/>
        <w:ind w:left="1562" w:right="95"/>
      </w:pPr>
      <w:r>
        <w:t>The</w:t>
      </w:r>
      <w:r>
        <w:rPr>
          <w:spacing w:val="-3"/>
        </w:rPr>
        <w:t xml:space="preserve"> </w:t>
      </w:r>
      <w:r>
        <w:t>Board</w:t>
      </w:r>
      <w:r>
        <w:rPr>
          <w:spacing w:val="-3"/>
        </w:rPr>
        <w:t xml:space="preserve"> </w:t>
      </w:r>
      <w:r>
        <w:t>Charter</w:t>
      </w:r>
      <w:r>
        <w:rPr>
          <w:spacing w:val="-3"/>
        </w:rPr>
        <w:t xml:space="preserve"> </w:t>
      </w:r>
      <w:r>
        <w:t>outlines</w:t>
      </w:r>
      <w:r>
        <w:rPr>
          <w:spacing w:val="-5"/>
        </w:rPr>
        <w:t xml:space="preserve"> </w:t>
      </w:r>
      <w:r>
        <w:t>the</w:t>
      </w:r>
      <w:r>
        <w:rPr>
          <w:spacing w:val="-5"/>
        </w:rPr>
        <w:t xml:space="preserve"> </w:t>
      </w:r>
      <w:r>
        <w:t>main</w:t>
      </w:r>
      <w:r>
        <w:rPr>
          <w:spacing w:val="-3"/>
        </w:rPr>
        <w:t xml:space="preserve"> </w:t>
      </w:r>
      <w:r>
        <w:t>corporate</w:t>
      </w:r>
      <w:r>
        <w:rPr>
          <w:spacing w:val="-3"/>
        </w:rPr>
        <w:t xml:space="preserve"> </w:t>
      </w:r>
      <w:r>
        <w:t>governance</w:t>
      </w:r>
      <w:r>
        <w:rPr>
          <w:spacing w:val="-3"/>
        </w:rPr>
        <w:t xml:space="preserve"> </w:t>
      </w:r>
      <w:r>
        <w:t>principles</w:t>
      </w:r>
      <w:r>
        <w:rPr>
          <w:spacing w:val="-5"/>
        </w:rPr>
        <w:t xml:space="preserve"> </w:t>
      </w:r>
      <w:r>
        <w:t>that</w:t>
      </w:r>
      <w:r>
        <w:rPr>
          <w:spacing w:val="-2"/>
        </w:rPr>
        <w:t xml:space="preserve"> </w:t>
      </w:r>
      <w:r>
        <w:t>apply</w:t>
      </w:r>
      <w:r>
        <w:rPr>
          <w:spacing w:val="-6"/>
        </w:rPr>
        <w:t xml:space="preserve"> </w:t>
      </w:r>
      <w:r>
        <w:t>to</w:t>
      </w:r>
      <w:r>
        <w:rPr>
          <w:spacing w:val="-6"/>
        </w:rPr>
        <w:t xml:space="preserve"> </w:t>
      </w:r>
      <w:r>
        <w:t>the AUASB, including meeting and voting procedures.</w:t>
      </w:r>
    </w:p>
    <w:p w14:paraId="1E80599A" w14:textId="77777777" w:rsidR="00AA4A02" w:rsidRDefault="00960F31">
      <w:pPr>
        <w:pStyle w:val="ListParagraph"/>
        <w:numPr>
          <w:ilvl w:val="2"/>
          <w:numId w:val="30"/>
        </w:numPr>
        <w:tabs>
          <w:tab w:val="left" w:pos="1562"/>
        </w:tabs>
        <w:spacing w:before="174"/>
      </w:pPr>
      <w:hyperlink r:id="rId55">
        <w:r>
          <w:rPr>
            <w:i/>
            <w:color w:val="0000FF"/>
            <w:u w:val="single" w:color="0000FF"/>
          </w:rPr>
          <w:t>Foreword</w:t>
        </w:r>
        <w:r>
          <w:rPr>
            <w:i/>
            <w:color w:val="0000FF"/>
            <w:spacing w:val="-8"/>
            <w:u w:val="single" w:color="0000FF"/>
          </w:rPr>
          <w:t xml:space="preserve"> </w:t>
        </w:r>
        <w:r>
          <w:rPr>
            <w:i/>
            <w:color w:val="0000FF"/>
            <w:u w:val="single" w:color="0000FF"/>
          </w:rPr>
          <w:t>to</w:t>
        </w:r>
        <w:r>
          <w:rPr>
            <w:i/>
            <w:color w:val="0000FF"/>
            <w:spacing w:val="-3"/>
            <w:u w:val="single" w:color="0000FF"/>
          </w:rPr>
          <w:t xml:space="preserve"> </w:t>
        </w:r>
        <w:r>
          <w:rPr>
            <w:i/>
            <w:color w:val="0000FF"/>
            <w:u w:val="single" w:color="0000FF"/>
          </w:rPr>
          <w:t>AUASB</w:t>
        </w:r>
        <w:r>
          <w:rPr>
            <w:i/>
            <w:color w:val="0000FF"/>
            <w:spacing w:val="-4"/>
            <w:u w:val="single" w:color="0000FF"/>
          </w:rPr>
          <w:t xml:space="preserve"> </w:t>
        </w:r>
        <w:r>
          <w:rPr>
            <w:i/>
            <w:color w:val="0000FF"/>
            <w:u w:val="single" w:color="0000FF"/>
          </w:rPr>
          <w:t>Pronouncements</w:t>
        </w:r>
      </w:hyperlink>
      <w:r>
        <w:rPr>
          <w:i/>
          <w:color w:val="0000FF"/>
          <w:spacing w:val="-2"/>
        </w:rPr>
        <w:t xml:space="preserve"> </w:t>
      </w:r>
      <w:r>
        <w:rPr>
          <w:spacing w:val="-2"/>
        </w:rPr>
        <w:t>(Foreword)</w:t>
      </w:r>
    </w:p>
    <w:p w14:paraId="1E80599B" w14:textId="77777777" w:rsidR="00AA4A02" w:rsidRDefault="00960F31">
      <w:pPr>
        <w:pStyle w:val="BodyText"/>
        <w:spacing w:before="194" w:line="208" w:lineRule="auto"/>
        <w:ind w:left="1562"/>
      </w:pPr>
      <w:r>
        <w:t>The</w:t>
      </w:r>
      <w:r>
        <w:rPr>
          <w:spacing w:val="-2"/>
        </w:rPr>
        <w:t xml:space="preserve"> </w:t>
      </w:r>
      <w:r>
        <w:t>Foreword</w:t>
      </w:r>
      <w:r>
        <w:rPr>
          <w:spacing w:val="-4"/>
        </w:rPr>
        <w:t xml:space="preserve"> </w:t>
      </w:r>
      <w:r>
        <w:t>sets</w:t>
      </w:r>
      <w:r>
        <w:rPr>
          <w:spacing w:val="-2"/>
        </w:rPr>
        <w:t xml:space="preserve"> </w:t>
      </w:r>
      <w:r>
        <w:t>out an</w:t>
      </w:r>
      <w:r>
        <w:rPr>
          <w:spacing w:val="-2"/>
        </w:rPr>
        <w:t xml:space="preserve"> </w:t>
      </w:r>
      <w:r>
        <w:t>overview</w:t>
      </w:r>
      <w:r>
        <w:rPr>
          <w:spacing w:val="-2"/>
        </w:rPr>
        <w:t xml:space="preserve"> </w:t>
      </w:r>
      <w:r>
        <w:t>of</w:t>
      </w:r>
      <w:r>
        <w:rPr>
          <w:spacing w:val="-4"/>
        </w:rPr>
        <w:t xml:space="preserve"> </w:t>
      </w:r>
      <w:r>
        <w:t>the</w:t>
      </w:r>
      <w:r>
        <w:rPr>
          <w:spacing w:val="-2"/>
        </w:rPr>
        <w:t xml:space="preserve"> </w:t>
      </w:r>
      <w:r>
        <w:t>range</w:t>
      </w:r>
      <w:r>
        <w:rPr>
          <w:spacing w:val="-2"/>
        </w:rPr>
        <w:t xml:space="preserve"> </w:t>
      </w:r>
      <w:r>
        <w:t>and</w:t>
      </w:r>
      <w:r>
        <w:rPr>
          <w:spacing w:val="-2"/>
        </w:rPr>
        <w:t xml:space="preserve"> </w:t>
      </w:r>
      <w:r>
        <w:t>hierarchy</w:t>
      </w:r>
      <w:r>
        <w:rPr>
          <w:spacing w:val="-2"/>
        </w:rPr>
        <w:t xml:space="preserve"> </w:t>
      </w:r>
      <w:r>
        <w:t>of</w:t>
      </w:r>
      <w:r>
        <w:rPr>
          <w:spacing w:val="-2"/>
        </w:rPr>
        <w:t xml:space="preserve"> </w:t>
      </w:r>
      <w:r>
        <w:t>pronouncements</w:t>
      </w:r>
      <w:r>
        <w:rPr>
          <w:spacing w:val="-4"/>
        </w:rPr>
        <w:t xml:space="preserve"> </w:t>
      </w:r>
      <w:r>
        <w:t>and other</w:t>
      </w:r>
      <w:r>
        <w:rPr>
          <w:spacing w:val="-2"/>
        </w:rPr>
        <w:t xml:space="preserve"> </w:t>
      </w:r>
      <w:r>
        <w:t>materials</w:t>
      </w:r>
      <w:r>
        <w:rPr>
          <w:spacing w:val="-2"/>
        </w:rPr>
        <w:t xml:space="preserve"> </w:t>
      </w:r>
      <w:r>
        <w:t>issued</w:t>
      </w:r>
      <w:r>
        <w:rPr>
          <w:spacing w:val="-3"/>
        </w:rPr>
        <w:t xml:space="preserve"> </w:t>
      </w:r>
      <w:r>
        <w:t>by</w:t>
      </w:r>
      <w:r>
        <w:rPr>
          <w:spacing w:val="-6"/>
        </w:rPr>
        <w:t xml:space="preserve"> </w:t>
      </w:r>
      <w:r>
        <w:t>the</w:t>
      </w:r>
      <w:r>
        <w:rPr>
          <w:spacing w:val="-3"/>
        </w:rPr>
        <w:t xml:space="preserve"> </w:t>
      </w:r>
      <w:r>
        <w:t>AUASB.</w:t>
      </w:r>
      <w:r>
        <w:rPr>
          <w:spacing w:val="40"/>
        </w:rPr>
        <w:t xml:space="preserve"> </w:t>
      </w:r>
      <w:r>
        <w:t>The</w:t>
      </w:r>
      <w:r>
        <w:rPr>
          <w:spacing w:val="-3"/>
        </w:rPr>
        <w:t xml:space="preserve"> </w:t>
      </w:r>
      <w:r>
        <w:t>Foreword</w:t>
      </w:r>
      <w:r>
        <w:rPr>
          <w:spacing w:val="-6"/>
        </w:rPr>
        <w:t xml:space="preserve"> </w:t>
      </w:r>
      <w:r>
        <w:t>includes</w:t>
      </w:r>
      <w:r>
        <w:rPr>
          <w:spacing w:val="-3"/>
        </w:rPr>
        <w:t xml:space="preserve"> </w:t>
      </w:r>
      <w:r>
        <w:t>high</w:t>
      </w:r>
      <w:r>
        <w:rPr>
          <w:spacing w:val="-6"/>
        </w:rPr>
        <w:t xml:space="preserve"> </w:t>
      </w:r>
      <w:r>
        <w:t>level</w:t>
      </w:r>
      <w:r>
        <w:rPr>
          <w:spacing w:val="-2"/>
        </w:rPr>
        <w:t xml:space="preserve"> </w:t>
      </w:r>
      <w:r>
        <w:t>principles</w:t>
      </w:r>
      <w:r>
        <w:rPr>
          <w:spacing w:val="-3"/>
        </w:rPr>
        <w:t xml:space="preserve"> </w:t>
      </w:r>
      <w:r>
        <w:t>to determine the purpose, authority, legal status and content of pronouncements and materials issued by the AUASB.</w:t>
      </w:r>
    </w:p>
    <w:p w14:paraId="1E80599C" w14:textId="77777777" w:rsidR="00AA4A02" w:rsidRDefault="00960F31">
      <w:pPr>
        <w:pStyle w:val="ListParagraph"/>
        <w:numPr>
          <w:ilvl w:val="2"/>
          <w:numId w:val="30"/>
        </w:numPr>
        <w:tabs>
          <w:tab w:val="left" w:pos="1562"/>
        </w:tabs>
        <w:spacing w:before="174"/>
      </w:pPr>
      <w:hyperlink r:id="rId56">
        <w:r>
          <w:rPr>
            <w:color w:val="0000FF"/>
            <w:u w:val="single" w:color="0000FF"/>
          </w:rPr>
          <w:t>Auditing</w:t>
        </w:r>
        <w:r>
          <w:rPr>
            <w:color w:val="0000FF"/>
            <w:spacing w:val="-6"/>
            <w:u w:val="single" w:color="0000FF"/>
          </w:rPr>
          <w:t xml:space="preserve"> </w:t>
        </w:r>
        <w:r>
          <w:rPr>
            <w:color w:val="0000FF"/>
            <w:u w:val="single" w:color="0000FF"/>
          </w:rPr>
          <w:t>Standard</w:t>
        </w:r>
        <w:r>
          <w:rPr>
            <w:color w:val="0000FF"/>
            <w:spacing w:val="-3"/>
            <w:u w:val="single" w:color="0000FF"/>
          </w:rPr>
          <w:t xml:space="preserve"> </w:t>
        </w:r>
        <w:r>
          <w:rPr>
            <w:color w:val="0000FF"/>
            <w:u w:val="single" w:color="0000FF"/>
          </w:rPr>
          <w:t>ASA</w:t>
        </w:r>
        <w:r>
          <w:rPr>
            <w:color w:val="0000FF"/>
            <w:spacing w:val="-6"/>
            <w:u w:val="single" w:color="0000FF"/>
          </w:rPr>
          <w:t xml:space="preserve"> </w:t>
        </w:r>
        <w:r>
          <w:rPr>
            <w:color w:val="0000FF"/>
            <w:u w:val="single" w:color="0000FF"/>
          </w:rPr>
          <w:t>101</w:t>
        </w:r>
        <w:r>
          <w:rPr>
            <w:color w:val="0000FF"/>
            <w:spacing w:val="-2"/>
            <w:u w:val="single" w:color="0000FF"/>
          </w:rPr>
          <w:t xml:space="preserve"> </w:t>
        </w:r>
        <w:r>
          <w:rPr>
            <w:i/>
            <w:color w:val="0000FF"/>
            <w:u w:val="single" w:color="0000FF"/>
          </w:rPr>
          <w:t>Preamble</w:t>
        </w:r>
        <w:r>
          <w:rPr>
            <w:i/>
            <w:color w:val="0000FF"/>
            <w:spacing w:val="-3"/>
            <w:u w:val="single" w:color="0000FF"/>
          </w:rPr>
          <w:t xml:space="preserve"> </w:t>
        </w:r>
        <w:r>
          <w:rPr>
            <w:i/>
            <w:color w:val="0000FF"/>
            <w:u w:val="single" w:color="0000FF"/>
          </w:rPr>
          <w:t>to</w:t>
        </w:r>
        <w:r>
          <w:rPr>
            <w:i/>
            <w:color w:val="0000FF"/>
            <w:spacing w:val="-4"/>
            <w:u w:val="single" w:color="0000FF"/>
          </w:rPr>
          <w:t xml:space="preserve"> </w:t>
        </w:r>
        <w:r>
          <w:rPr>
            <w:i/>
            <w:color w:val="0000FF"/>
            <w:u w:val="single" w:color="0000FF"/>
          </w:rPr>
          <w:t>AUASB</w:t>
        </w:r>
        <w:r>
          <w:rPr>
            <w:i/>
            <w:color w:val="0000FF"/>
            <w:spacing w:val="-4"/>
            <w:u w:val="single" w:color="0000FF"/>
          </w:rPr>
          <w:t xml:space="preserve"> </w:t>
        </w:r>
        <w:r>
          <w:rPr>
            <w:i/>
            <w:color w:val="0000FF"/>
            <w:u w:val="single" w:color="0000FF"/>
          </w:rPr>
          <w:t>Standards</w:t>
        </w:r>
      </w:hyperlink>
      <w:r>
        <w:rPr>
          <w:i/>
          <w:color w:val="0000FF"/>
          <w:spacing w:val="-5"/>
        </w:rPr>
        <w:t xml:space="preserve"> </w:t>
      </w:r>
      <w:r>
        <w:rPr>
          <w:spacing w:val="-2"/>
        </w:rPr>
        <w:t>(Preamble)</w:t>
      </w:r>
    </w:p>
    <w:p w14:paraId="1E80599D" w14:textId="77777777" w:rsidR="00AA4A02" w:rsidRDefault="00960F31">
      <w:pPr>
        <w:pStyle w:val="BodyText"/>
        <w:spacing w:before="193" w:line="208" w:lineRule="auto"/>
        <w:ind w:left="1562"/>
      </w:pPr>
      <w:r>
        <w:t>The</w:t>
      </w:r>
      <w:r>
        <w:rPr>
          <w:spacing w:val="-3"/>
        </w:rPr>
        <w:t xml:space="preserve"> </w:t>
      </w:r>
      <w:r>
        <w:t>Preamble</w:t>
      </w:r>
      <w:r>
        <w:rPr>
          <w:spacing w:val="-4"/>
        </w:rPr>
        <w:t xml:space="preserve"> </w:t>
      </w:r>
      <w:r>
        <w:t>explains</w:t>
      </w:r>
      <w:r>
        <w:rPr>
          <w:spacing w:val="-5"/>
        </w:rPr>
        <w:t xml:space="preserve"> </w:t>
      </w:r>
      <w:r>
        <w:t>the</w:t>
      </w:r>
      <w:r>
        <w:rPr>
          <w:spacing w:val="-5"/>
        </w:rPr>
        <w:t xml:space="preserve"> </w:t>
      </w:r>
      <w:r>
        <w:t>authority</w:t>
      </w:r>
      <w:r>
        <w:rPr>
          <w:spacing w:val="-3"/>
        </w:rPr>
        <w:t xml:space="preserve"> </w:t>
      </w:r>
      <w:r>
        <w:t>and</w:t>
      </w:r>
      <w:r>
        <w:rPr>
          <w:spacing w:val="-3"/>
        </w:rPr>
        <w:t xml:space="preserve"> </w:t>
      </w:r>
      <w:r>
        <w:t>legal</w:t>
      </w:r>
      <w:r>
        <w:rPr>
          <w:spacing w:val="-1"/>
        </w:rPr>
        <w:t xml:space="preserve"> </w:t>
      </w:r>
      <w:r>
        <w:t>status</w:t>
      </w:r>
      <w:r>
        <w:rPr>
          <w:spacing w:val="-3"/>
        </w:rPr>
        <w:t xml:space="preserve"> </w:t>
      </w:r>
      <w:r>
        <w:t>of</w:t>
      </w:r>
      <w:r>
        <w:rPr>
          <w:spacing w:val="-5"/>
        </w:rPr>
        <w:t xml:space="preserve"> </w:t>
      </w:r>
      <w:r>
        <w:t>AUASB</w:t>
      </w:r>
      <w:r>
        <w:rPr>
          <w:spacing w:val="-5"/>
        </w:rPr>
        <w:t xml:space="preserve"> </w:t>
      </w:r>
      <w:r>
        <w:t>Standards</w:t>
      </w:r>
      <w:r>
        <w:rPr>
          <w:spacing w:val="-2"/>
        </w:rPr>
        <w:t xml:space="preserve"> </w:t>
      </w:r>
      <w:r>
        <w:t>and</w:t>
      </w:r>
      <w:r>
        <w:rPr>
          <w:spacing w:val="-3"/>
        </w:rPr>
        <w:t xml:space="preserve"> </w:t>
      </w:r>
      <w:r>
        <w:t>how standards are to be understood, interpreted and applied.</w:t>
      </w:r>
    </w:p>
    <w:p w14:paraId="1E80599E" w14:textId="77777777" w:rsidR="00AA4A02" w:rsidRDefault="00960F31">
      <w:pPr>
        <w:pStyle w:val="Heading7"/>
      </w:pPr>
      <w:bookmarkStart w:id="37" w:name="Structure_of_Due_Process_Framework"/>
      <w:bookmarkEnd w:id="37"/>
      <w:r>
        <w:t>Structure</w:t>
      </w:r>
      <w:r>
        <w:rPr>
          <w:spacing w:val="-5"/>
        </w:rPr>
        <w:t xml:space="preserve"> </w:t>
      </w:r>
      <w:r>
        <w:t>of</w:t>
      </w:r>
      <w:r>
        <w:rPr>
          <w:spacing w:val="-6"/>
        </w:rPr>
        <w:t xml:space="preserve"> </w:t>
      </w:r>
      <w:r>
        <w:t>Due</w:t>
      </w:r>
      <w:r>
        <w:rPr>
          <w:spacing w:val="-5"/>
        </w:rPr>
        <w:t xml:space="preserve"> </w:t>
      </w:r>
      <w:r>
        <w:t>Process</w:t>
      </w:r>
      <w:r>
        <w:rPr>
          <w:spacing w:val="-5"/>
        </w:rPr>
        <w:t xml:space="preserve"> </w:t>
      </w:r>
      <w:r>
        <w:rPr>
          <w:spacing w:val="-2"/>
        </w:rPr>
        <w:t>Framework</w:t>
      </w:r>
    </w:p>
    <w:p w14:paraId="1E80599F" w14:textId="77777777" w:rsidR="00AA4A02" w:rsidRDefault="00960F31">
      <w:pPr>
        <w:pStyle w:val="ListParagraph"/>
        <w:numPr>
          <w:ilvl w:val="1"/>
          <w:numId w:val="30"/>
        </w:numPr>
        <w:tabs>
          <w:tab w:val="left" w:pos="851"/>
        </w:tabs>
        <w:spacing w:before="168"/>
      </w:pPr>
      <w:r>
        <w:t>This</w:t>
      </w:r>
      <w:r>
        <w:rPr>
          <w:spacing w:val="-6"/>
        </w:rPr>
        <w:t xml:space="preserve"> </w:t>
      </w:r>
      <w:r>
        <w:t>framework</w:t>
      </w:r>
      <w:r>
        <w:rPr>
          <w:spacing w:val="-4"/>
        </w:rPr>
        <w:t xml:space="preserve"> </w:t>
      </w:r>
      <w:r>
        <w:t>document</w:t>
      </w:r>
      <w:r>
        <w:rPr>
          <w:spacing w:val="-5"/>
        </w:rPr>
        <w:t xml:space="preserve"> </w:t>
      </w:r>
      <w:r>
        <w:t>comprises</w:t>
      </w:r>
      <w:r>
        <w:rPr>
          <w:spacing w:val="-4"/>
        </w:rPr>
        <w:t xml:space="preserve"> </w:t>
      </w:r>
      <w:r>
        <w:t>two</w:t>
      </w:r>
      <w:r>
        <w:rPr>
          <w:spacing w:val="-3"/>
        </w:rPr>
        <w:t xml:space="preserve"> </w:t>
      </w:r>
      <w:r>
        <w:rPr>
          <w:spacing w:val="-2"/>
        </w:rPr>
        <w:t>parts:</w:t>
      </w:r>
    </w:p>
    <w:p w14:paraId="1E8059A0" w14:textId="77777777" w:rsidR="00AA4A02" w:rsidRDefault="00960F31">
      <w:pPr>
        <w:pStyle w:val="ListParagraph"/>
        <w:numPr>
          <w:ilvl w:val="2"/>
          <w:numId w:val="30"/>
        </w:numPr>
        <w:tabs>
          <w:tab w:val="left" w:pos="1562"/>
        </w:tabs>
        <w:spacing w:before="191" w:line="208" w:lineRule="auto"/>
        <w:ind w:right="146"/>
      </w:pPr>
      <w:r>
        <w:t>Part A – outlines the principles underlying the due process requirements for developing,</w:t>
      </w:r>
      <w:r>
        <w:rPr>
          <w:spacing w:val="-3"/>
        </w:rPr>
        <w:t xml:space="preserve"> </w:t>
      </w:r>
      <w:r>
        <w:t>issuing</w:t>
      </w:r>
      <w:r>
        <w:rPr>
          <w:spacing w:val="-3"/>
        </w:rPr>
        <w:t xml:space="preserve"> </w:t>
      </w:r>
      <w:r>
        <w:t>and</w:t>
      </w:r>
      <w:r>
        <w:rPr>
          <w:spacing w:val="-4"/>
        </w:rPr>
        <w:t xml:space="preserve"> </w:t>
      </w:r>
      <w:r>
        <w:t>maintaining</w:t>
      </w:r>
      <w:r>
        <w:rPr>
          <w:spacing w:val="-2"/>
        </w:rPr>
        <w:t xml:space="preserve"> </w:t>
      </w:r>
      <w:r>
        <w:t>pronouncements</w:t>
      </w:r>
      <w:r>
        <w:rPr>
          <w:spacing w:val="-5"/>
        </w:rPr>
        <w:t xml:space="preserve"> </w:t>
      </w:r>
      <w:r>
        <w:t>and</w:t>
      </w:r>
      <w:r>
        <w:rPr>
          <w:spacing w:val="-2"/>
        </w:rPr>
        <w:t xml:space="preserve"> </w:t>
      </w:r>
      <w:r>
        <w:t>other</w:t>
      </w:r>
      <w:r>
        <w:rPr>
          <w:spacing w:val="-5"/>
        </w:rPr>
        <w:t xml:space="preserve"> </w:t>
      </w:r>
      <w:r>
        <w:t>materials</w:t>
      </w:r>
      <w:r>
        <w:rPr>
          <w:spacing w:val="-5"/>
        </w:rPr>
        <w:t xml:space="preserve"> </w:t>
      </w:r>
      <w:r>
        <w:t>issued</w:t>
      </w:r>
      <w:r>
        <w:rPr>
          <w:spacing w:val="-3"/>
        </w:rPr>
        <w:t xml:space="preserve"> </w:t>
      </w:r>
      <w:r>
        <w:t>by</w:t>
      </w:r>
      <w:r>
        <w:rPr>
          <w:spacing w:val="-3"/>
        </w:rPr>
        <w:t xml:space="preserve"> </w:t>
      </w:r>
      <w:r>
        <w:t>the AUASB. Part A also provides the necessary background and explanatory material to provide context to the processes and procedures set out in Part B; and</w:t>
      </w:r>
    </w:p>
    <w:p w14:paraId="1E8059A1" w14:textId="77777777" w:rsidR="00AA4A02" w:rsidRDefault="00960F31">
      <w:pPr>
        <w:pStyle w:val="ListParagraph"/>
        <w:numPr>
          <w:ilvl w:val="2"/>
          <w:numId w:val="30"/>
        </w:numPr>
        <w:tabs>
          <w:tab w:val="left" w:pos="1562"/>
        </w:tabs>
        <w:spacing w:before="200" w:line="208" w:lineRule="auto"/>
        <w:ind w:right="170"/>
      </w:pPr>
      <w:r>
        <w:t>Part B – outlines specific matters of due process and the working procedures adopted by</w:t>
      </w:r>
      <w:r>
        <w:rPr>
          <w:spacing w:val="-2"/>
        </w:rPr>
        <w:t xml:space="preserve"> </w:t>
      </w:r>
      <w:r>
        <w:t>the</w:t>
      </w:r>
      <w:r>
        <w:rPr>
          <w:spacing w:val="-2"/>
        </w:rPr>
        <w:t xml:space="preserve"> </w:t>
      </w:r>
      <w:r>
        <w:t>AUASB</w:t>
      </w:r>
      <w:r>
        <w:rPr>
          <w:spacing w:val="-3"/>
        </w:rPr>
        <w:t xml:space="preserve"> </w:t>
      </w:r>
      <w:r>
        <w:t>to</w:t>
      </w:r>
      <w:r>
        <w:rPr>
          <w:spacing w:val="-2"/>
        </w:rPr>
        <w:t xml:space="preserve"> </w:t>
      </w:r>
      <w:r>
        <w:t>achieve</w:t>
      </w:r>
      <w:r>
        <w:rPr>
          <w:spacing w:val="-2"/>
        </w:rPr>
        <w:t xml:space="preserve"> </w:t>
      </w:r>
      <w:r>
        <w:t>the</w:t>
      </w:r>
      <w:r>
        <w:rPr>
          <w:spacing w:val="-2"/>
        </w:rPr>
        <w:t xml:space="preserve"> </w:t>
      </w:r>
      <w:r>
        <w:t>principles</w:t>
      </w:r>
      <w:r>
        <w:rPr>
          <w:spacing w:val="-2"/>
        </w:rPr>
        <w:t xml:space="preserve"> </w:t>
      </w:r>
      <w:r>
        <w:t>outlined</w:t>
      </w:r>
      <w:r>
        <w:rPr>
          <w:spacing w:val="-2"/>
        </w:rPr>
        <w:t xml:space="preserve"> </w:t>
      </w:r>
      <w:r>
        <w:t>in</w:t>
      </w:r>
      <w:r>
        <w:rPr>
          <w:spacing w:val="-5"/>
        </w:rPr>
        <w:t xml:space="preserve"> </w:t>
      </w:r>
      <w:r>
        <w:t>Part</w:t>
      </w:r>
      <w:r>
        <w:rPr>
          <w:spacing w:val="-1"/>
        </w:rPr>
        <w:t xml:space="preserve"> </w:t>
      </w:r>
      <w:r>
        <w:t>A</w:t>
      </w:r>
      <w:r>
        <w:rPr>
          <w:spacing w:val="-1"/>
        </w:rPr>
        <w:t xml:space="preserve"> </w:t>
      </w:r>
      <w:r>
        <w:t>for</w:t>
      </w:r>
      <w:r>
        <w:rPr>
          <w:spacing w:val="-1"/>
        </w:rPr>
        <w:t xml:space="preserve"> </w:t>
      </w:r>
      <w:r>
        <w:t>developing,</w:t>
      </w:r>
      <w:r>
        <w:rPr>
          <w:spacing w:val="-5"/>
        </w:rPr>
        <w:t xml:space="preserve"> </w:t>
      </w:r>
      <w:r>
        <w:t>issuing</w:t>
      </w:r>
      <w:r>
        <w:rPr>
          <w:spacing w:val="-5"/>
        </w:rPr>
        <w:t xml:space="preserve"> </w:t>
      </w:r>
      <w:r>
        <w:t>and maintaining (as applicable):</w:t>
      </w:r>
    </w:p>
    <w:p w14:paraId="1E8059A2" w14:textId="77777777" w:rsidR="00AA4A02" w:rsidRDefault="00960F31">
      <w:pPr>
        <w:pStyle w:val="ListParagraph"/>
        <w:numPr>
          <w:ilvl w:val="3"/>
          <w:numId w:val="30"/>
        </w:numPr>
        <w:tabs>
          <w:tab w:val="left" w:pos="2128"/>
        </w:tabs>
        <w:spacing w:before="175"/>
        <w:ind w:hanging="566"/>
      </w:pPr>
      <w:r>
        <w:t>AUASB</w:t>
      </w:r>
      <w:r>
        <w:rPr>
          <w:spacing w:val="-8"/>
        </w:rPr>
        <w:t xml:space="preserve"> </w:t>
      </w:r>
      <w:r>
        <w:t>Standards</w:t>
      </w:r>
      <w:r>
        <w:rPr>
          <w:spacing w:val="-5"/>
        </w:rPr>
        <w:t xml:space="preserve"> </w:t>
      </w:r>
      <w:r>
        <w:t>(Section</w:t>
      </w:r>
      <w:r>
        <w:rPr>
          <w:spacing w:val="-5"/>
        </w:rPr>
        <w:t xml:space="preserve"> </w:t>
      </w:r>
      <w:r>
        <w:rPr>
          <w:spacing w:val="-2"/>
        </w:rPr>
        <w:t>VIII);</w:t>
      </w:r>
    </w:p>
    <w:p w14:paraId="1E8059A3" w14:textId="77777777" w:rsidR="00AA4A02" w:rsidRDefault="00960F31">
      <w:pPr>
        <w:pStyle w:val="ListParagraph"/>
        <w:numPr>
          <w:ilvl w:val="3"/>
          <w:numId w:val="30"/>
        </w:numPr>
        <w:tabs>
          <w:tab w:val="left" w:pos="2128"/>
        </w:tabs>
        <w:spacing w:before="167"/>
        <w:ind w:hanging="566"/>
      </w:pPr>
      <w:r>
        <w:t>AUASB</w:t>
      </w:r>
      <w:r>
        <w:rPr>
          <w:spacing w:val="-7"/>
        </w:rPr>
        <w:t xml:space="preserve"> </w:t>
      </w:r>
      <w:r>
        <w:t>Guidance</w:t>
      </w:r>
      <w:r>
        <w:rPr>
          <w:spacing w:val="-5"/>
        </w:rPr>
        <w:t xml:space="preserve"> </w:t>
      </w:r>
      <w:r>
        <w:t>Statements</w:t>
      </w:r>
      <w:r>
        <w:rPr>
          <w:spacing w:val="-5"/>
        </w:rPr>
        <w:t xml:space="preserve"> </w:t>
      </w:r>
      <w:r>
        <w:t>(Section</w:t>
      </w:r>
      <w:r>
        <w:rPr>
          <w:spacing w:val="-5"/>
        </w:rPr>
        <w:t xml:space="preserve"> </w:t>
      </w:r>
      <w:r>
        <w:t>IX);</w:t>
      </w:r>
      <w:r>
        <w:rPr>
          <w:spacing w:val="-4"/>
        </w:rPr>
        <w:t xml:space="preserve"> </w:t>
      </w:r>
      <w:r>
        <w:rPr>
          <w:spacing w:val="-5"/>
        </w:rPr>
        <w:t>and</w:t>
      </w:r>
    </w:p>
    <w:p w14:paraId="1E8059A4" w14:textId="77777777" w:rsidR="00AA4A02" w:rsidRDefault="00960F31">
      <w:pPr>
        <w:pStyle w:val="ListParagraph"/>
        <w:numPr>
          <w:ilvl w:val="3"/>
          <w:numId w:val="30"/>
        </w:numPr>
        <w:tabs>
          <w:tab w:val="left" w:pos="2128"/>
        </w:tabs>
        <w:spacing w:before="167"/>
        <w:ind w:hanging="566"/>
      </w:pPr>
      <w:r>
        <w:t>other</w:t>
      </w:r>
      <w:r>
        <w:rPr>
          <w:spacing w:val="-7"/>
        </w:rPr>
        <w:t xml:space="preserve"> </w:t>
      </w:r>
      <w:r>
        <w:t>non-authoritative</w:t>
      </w:r>
      <w:r>
        <w:rPr>
          <w:spacing w:val="-6"/>
        </w:rPr>
        <w:t xml:space="preserve"> </w:t>
      </w:r>
      <w:r>
        <w:t>publications</w:t>
      </w:r>
      <w:r>
        <w:rPr>
          <w:spacing w:val="-7"/>
        </w:rPr>
        <w:t xml:space="preserve"> </w:t>
      </w:r>
      <w:r>
        <w:t>and</w:t>
      </w:r>
      <w:r>
        <w:rPr>
          <w:spacing w:val="-5"/>
        </w:rPr>
        <w:t xml:space="preserve"> </w:t>
      </w:r>
      <w:r>
        <w:t>guidance</w:t>
      </w:r>
      <w:r>
        <w:rPr>
          <w:spacing w:val="-7"/>
        </w:rPr>
        <w:t xml:space="preserve"> </w:t>
      </w:r>
      <w:r>
        <w:t>materials</w:t>
      </w:r>
      <w:r>
        <w:rPr>
          <w:spacing w:val="-5"/>
        </w:rPr>
        <w:t xml:space="preserve"> </w:t>
      </w:r>
      <w:r>
        <w:t>(Section</w:t>
      </w:r>
      <w:r>
        <w:rPr>
          <w:spacing w:val="-4"/>
        </w:rPr>
        <w:t xml:space="preserve"> </w:t>
      </w:r>
      <w:r>
        <w:rPr>
          <w:spacing w:val="-5"/>
        </w:rPr>
        <w:t>X).</w:t>
      </w:r>
    </w:p>
    <w:p w14:paraId="1E8059A5" w14:textId="77777777" w:rsidR="00AA4A02" w:rsidRDefault="00AA4A02">
      <w:pPr>
        <w:pStyle w:val="ListParagraph"/>
        <w:sectPr w:rsidR="00AA4A02">
          <w:pgSz w:w="11910" w:h="16840"/>
          <w:pgMar w:top="1380" w:right="1275" w:bottom="1040" w:left="1275" w:header="689" w:footer="842" w:gutter="0"/>
          <w:cols w:space="720"/>
        </w:sectPr>
      </w:pPr>
    </w:p>
    <w:p w14:paraId="1E8059A6" w14:textId="77777777" w:rsidR="00AA4A02" w:rsidRDefault="00960F31">
      <w:pPr>
        <w:pStyle w:val="Heading3"/>
        <w:ind w:firstLine="0"/>
      </w:pPr>
      <w:bookmarkStart w:id="38" w:name="_TOC_250018"/>
      <w:r>
        <w:lastRenderedPageBreak/>
        <w:t>PART</w:t>
      </w:r>
      <w:r>
        <w:rPr>
          <w:spacing w:val="-3"/>
        </w:rPr>
        <w:t xml:space="preserve"> </w:t>
      </w:r>
      <w:r>
        <w:t>A</w:t>
      </w:r>
      <w:r>
        <w:rPr>
          <w:spacing w:val="2"/>
        </w:rPr>
        <w:t xml:space="preserve"> </w:t>
      </w:r>
      <w:r>
        <w:t>—</w:t>
      </w:r>
      <w:r>
        <w:rPr>
          <w:spacing w:val="-4"/>
        </w:rPr>
        <w:t xml:space="preserve"> </w:t>
      </w:r>
      <w:bookmarkEnd w:id="38"/>
      <w:r>
        <w:rPr>
          <w:spacing w:val="-2"/>
        </w:rPr>
        <w:t>PRINCIPLES</w:t>
      </w:r>
    </w:p>
    <w:p w14:paraId="1E8059A7" w14:textId="77777777" w:rsidR="00AA4A02" w:rsidRDefault="00960F31">
      <w:pPr>
        <w:pStyle w:val="Heading4"/>
        <w:numPr>
          <w:ilvl w:val="0"/>
          <w:numId w:val="30"/>
        </w:numPr>
        <w:tabs>
          <w:tab w:val="left" w:pos="851"/>
        </w:tabs>
        <w:spacing w:before="153"/>
      </w:pPr>
      <w:bookmarkStart w:id="39" w:name="_TOC_250017"/>
      <w:r>
        <w:t>AUASB</w:t>
      </w:r>
      <w:r>
        <w:rPr>
          <w:spacing w:val="-5"/>
        </w:rPr>
        <w:t xml:space="preserve"> </w:t>
      </w:r>
      <w:r>
        <w:t>Mandate</w:t>
      </w:r>
      <w:r>
        <w:rPr>
          <w:spacing w:val="-2"/>
        </w:rPr>
        <w:t xml:space="preserve"> </w:t>
      </w:r>
      <w:r>
        <w:t>and</w:t>
      </w:r>
      <w:r>
        <w:rPr>
          <w:spacing w:val="-6"/>
        </w:rPr>
        <w:t xml:space="preserve"> </w:t>
      </w:r>
      <w:r>
        <w:t>Strategic</w:t>
      </w:r>
      <w:r>
        <w:rPr>
          <w:spacing w:val="-1"/>
        </w:rPr>
        <w:t xml:space="preserve"> </w:t>
      </w:r>
      <w:bookmarkEnd w:id="39"/>
      <w:r>
        <w:rPr>
          <w:spacing w:val="-2"/>
        </w:rPr>
        <w:t>Directive</w:t>
      </w:r>
    </w:p>
    <w:p w14:paraId="1E8059A8" w14:textId="77777777" w:rsidR="00AA4A02" w:rsidRDefault="00960F31">
      <w:pPr>
        <w:pStyle w:val="ListParagraph"/>
        <w:numPr>
          <w:ilvl w:val="0"/>
          <w:numId w:val="29"/>
        </w:numPr>
        <w:tabs>
          <w:tab w:val="left" w:pos="851"/>
        </w:tabs>
        <w:spacing w:before="193" w:line="208" w:lineRule="auto"/>
        <w:ind w:right="309"/>
      </w:pPr>
      <w:r>
        <w:t>The</w:t>
      </w:r>
      <w:r>
        <w:rPr>
          <w:spacing w:val="-2"/>
        </w:rPr>
        <w:t xml:space="preserve"> </w:t>
      </w:r>
      <w:r>
        <w:t>AUASB</w:t>
      </w:r>
      <w:r>
        <w:rPr>
          <w:spacing w:val="-4"/>
        </w:rPr>
        <w:t xml:space="preserve"> </w:t>
      </w:r>
      <w:r>
        <w:t>operates</w:t>
      </w:r>
      <w:r>
        <w:rPr>
          <w:spacing w:val="-4"/>
        </w:rPr>
        <w:t xml:space="preserve"> </w:t>
      </w:r>
      <w:r>
        <w:t>within</w:t>
      </w:r>
      <w:r>
        <w:rPr>
          <w:spacing w:val="-2"/>
        </w:rPr>
        <w:t xml:space="preserve"> </w:t>
      </w:r>
      <w:r>
        <w:t>a</w:t>
      </w:r>
      <w:r>
        <w:rPr>
          <w:spacing w:val="-2"/>
        </w:rPr>
        <w:t xml:space="preserve"> </w:t>
      </w:r>
      <w:r>
        <w:t>framework</w:t>
      </w:r>
      <w:r>
        <w:rPr>
          <w:spacing w:val="-4"/>
        </w:rPr>
        <w:t xml:space="preserve"> </w:t>
      </w:r>
      <w:r>
        <w:t>set</w:t>
      </w:r>
      <w:r>
        <w:rPr>
          <w:spacing w:val="-1"/>
        </w:rPr>
        <w:t xml:space="preserve"> </w:t>
      </w:r>
      <w:r>
        <w:t>out</w:t>
      </w:r>
      <w:r>
        <w:rPr>
          <w:spacing w:val="-1"/>
        </w:rPr>
        <w:t xml:space="preserve"> </w:t>
      </w:r>
      <w:r>
        <w:t>in</w:t>
      </w:r>
      <w:r>
        <w:rPr>
          <w:spacing w:val="-5"/>
        </w:rPr>
        <w:t xml:space="preserve"> </w:t>
      </w:r>
      <w:r>
        <w:t>Part</w:t>
      </w:r>
      <w:r>
        <w:rPr>
          <w:spacing w:val="-1"/>
        </w:rPr>
        <w:t xml:space="preserve"> </w:t>
      </w:r>
      <w:r>
        <w:t>12</w:t>
      </w:r>
      <w:r>
        <w:rPr>
          <w:spacing w:val="-5"/>
        </w:rPr>
        <w:t xml:space="preserve"> </w:t>
      </w:r>
      <w:r>
        <w:t>of</w:t>
      </w:r>
      <w:r>
        <w:rPr>
          <w:spacing w:val="-4"/>
        </w:rPr>
        <w:t xml:space="preserve"> </w:t>
      </w:r>
      <w:r>
        <w:t>the ASIC</w:t>
      </w:r>
      <w:r>
        <w:rPr>
          <w:spacing w:val="-3"/>
        </w:rPr>
        <w:t xml:space="preserve"> </w:t>
      </w:r>
      <w:r>
        <w:t>Act.</w:t>
      </w:r>
      <w:r>
        <w:rPr>
          <w:spacing w:val="40"/>
        </w:rPr>
        <w:t xml:space="preserve"> </w:t>
      </w:r>
      <w:r>
        <w:t>The</w:t>
      </w:r>
      <w:r>
        <w:rPr>
          <w:spacing w:val="-4"/>
        </w:rPr>
        <w:t xml:space="preserve"> </w:t>
      </w:r>
      <w:r>
        <w:t>ASIC</w:t>
      </w:r>
      <w:r>
        <w:rPr>
          <w:spacing w:val="-3"/>
        </w:rPr>
        <w:t xml:space="preserve"> </w:t>
      </w:r>
      <w:r>
        <w:t>Act sets out the core objectives for auditing and assurance standard setting in Australia.</w:t>
      </w:r>
    </w:p>
    <w:p w14:paraId="1E8059A9" w14:textId="77777777" w:rsidR="00AA4A02" w:rsidRDefault="00960F31">
      <w:pPr>
        <w:pStyle w:val="ListParagraph"/>
        <w:numPr>
          <w:ilvl w:val="0"/>
          <w:numId w:val="29"/>
        </w:numPr>
        <w:tabs>
          <w:tab w:val="left" w:pos="851"/>
        </w:tabs>
        <w:spacing w:before="174"/>
      </w:pPr>
      <w:r>
        <w:t>Under</w:t>
      </w:r>
      <w:r>
        <w:rPr>
          <w:spacing w:val="-4"/>
        </w:rPr>
        <w:t xml:space="preserve"> </w:t>
      </w:r>
      <w:r>
        <w:t>section</w:t>
      </w:r>
      <w:r>
        <w:rPr>
          <w:spacing w:val="-6"/>
        </w:rPr>
        <w:t xml:space="preserve"> </w:t>
      </w:r>
      <w:r>
        <w:t>227B</w:t>
      </w:r>
      <w:r>
        <w:rPr>
          <w:spacing w:val="-3"/>
        </w:rPr>
        <w:t xml:space="preserve"> </w:t>
      </w:r>
      <w:r>
        <w:t>of</w:t>
      </w:r>
      <w:r>
        <w:rPr>
          <w:spacing w:val="-5"/>
        </w:rPr>
        <w:t xml:space="preserve"> </w:t>
      </w:r>
      <w:r>
        <w:t>the</w:t>
      </w:r>
      <w:r>
        <w:rPr>
          <w:spacing w:val="-4"/>
        </w:rPr>
        <w:t xml:space="preserve"> </w:t>
      </w:r>
      <w:r>
        <w:t>ASIC</w:t>
      </w:r>
      <w:r>
        <w:rPr>
          <w:spacing w:val="-4"/>
        </w:rPr>
        <w:t xml:space="preserve"> </w:t>
      </w:r>
      <w:r>
        <w:t>Act,</w:t>
      </w:r>
      <w:r>
        <w:rPr>
          <w:spacing w:val="-2"/>
        </w:rPr>
        <w:t xml:space="preserve"> </w:t>
      </w:r>
      <w:r>
        <w:t>the</w:t>
      </w:r>
      <w:r>
        <w:rPr>
          <w:spacing w:val="-3"/>
        </w:rPr>
        <w:t xml:space="preserve"> </w:t>
      </w:r>
      <w:r>
        <w:t>AUASB’s</w:t>
      </w:r>
      <w:r>
        <w:rPr>
          <w:spacing w:val="-4"/>
        </w:rPr>
        <w:t xml:space="preserve"> </w:t>
      </w:r>
      <w:r>
        <w:t>functions</w:t>
      </w:r>
      <w:r>
        <w:rPr>
          <w:spacing w:val="-5"/>
        </w:rPr>
        <w:t xml:space="preserve"> </w:t>
      </w:r>
      <w:r>
        <w:t>are</w:t>
      </w:r>
      <w:r>
        <w:rPr>
          <w:spacing w:val="-4"/>
        </w:rPr>
        <w:t xml:space="preserve"> </w:t>
      </w:r>
      <w:r>
        <w:rPr>
          <w:spacing w:val="-5"/>
        </w:rPr>
        <w:t>to:</w:t>
      </w:r>
    </w:p>
    <w:p w14:paraId="1E8059AA" w14:textId="77777777" w:rsidR="00AA4A02" w:rsidRDefault="00960F31">
      <w:pPr>
        <w:pStyle w:val="ListParagraph"/>
        <w:numPr>
          <w:ilvl w:val="1"/>
          <w:numId w:val="29"/>
        </w:numPr>
        <w:tabs>
          <w:tab w:val="left" w:pos="1562"/>
        </w:tabs>
        <w:spacing w:before="192" w:line="208" w:lineRule="auto"/>
        <w:ind w:right="295"/>
      </w:pPr>
      <w:r>
        <w:t>make</w:t>
      </w:r>
      <w:r>
        <w:rPr>
          <w:spacing w:val="-4"/>
        </w:rPr>
        <w:t xml:space="preserve"> </w:t>
      </w:r>
      <w:r>
        <w:t>auditing</w:t>
      </w:r>
      <w:r>
        <w:rPr>
          <w:spacing w:val="-5"/>
        </w:rPr>
        <w:t xml:space="preserve"> </w:t>
      </w:r>
      <w:r>
        <w:t>standards</w:t>
      </w:r>
      <w:r>
        <w:rPr>
          <w:spacing w:val="-2"/>
        </w:rPr>
        <w:t xml:space="preserve"> </w:t>
      </w:r>
      <w:r>
        <w:t>under</w:t>
      </w:r>
      <w:r>
        <w:rPr>
          <w:spacing w:val="-1"/>
        </w:rPr>
        <w:t xml:space="preserve"> </w:t>
      </w:r>
      <w:r>
        <w:t>section</w:t>
      </w:r>
      <w:r>
        <w:rPr>
          <w:spacing w:val="-5"/>
        </w:rPr>
        <w:t xml:space="preserve"> </w:t>
      </w:r>
      <w:r>
        <w:t>336</w:t>
      </w:r>
      <w:r>
        <w:rPr>
          <w:spacing w:val="-2"/>
        </w:rPr>
        <w:t xml:space="preserve"> </w:t>
      </w:r>
      <w:r>
        <w:t>of</w:t>
      </w:r>
      <w:r>
        <w:rPr>
          <w:spacing w:val="-2"/>
        </w:rPr>
        <w:t xml:space="preserve"> </w:t>
      </w:r>
      <w:r>
        <w:t xml:space="preserve">the </w:t>
      </w:r>
      <w:r>
        <w:rPr>
          <w:i/>
        </w:rPr>
        <w:t>Corporations</w:t>
      </w:r>
      <w:r>
        <w:rPr>
          <w:i/>
          <w:spacing w:val="-2"/>
        </w:rPr>
        <w:t xml:space="preserve"> </w:t>
      </w:r>
      <w:r>
        <w:rPr>
          <w:i/>
        </w:rPr>
        <w:t>Act</w:t>
      </w:r>
      <w:r>
        <w:rPr>
          <w:i/>
          <w:spacing w:val="-4"/>
        </w:rPr>
        <w:t xml:space="preserve"> </w:t>
      </w:r>
      <w:r>
        <w:rPr>
          <w:i/>
        </w:rPr>
        <w:t>2001</w:t>
      </w:r>
      <w:r>
        <w:rPr>
          <w:i/>
          <w:spacing w:val="-1"/>
        </w:rPr>
        <w:t xml:space="preserve"> </w:t>
      </w:r>
      <w:r>
        <w:t>as</w:t>
      </w:r>
      <w:r>
        <w:rPr>
          <w:spacing w:val="-2"/>
        </w:rPr>
        <w:t xml:space="preserve"> </w:t>
      </w:r>
      <w:r>
        <w:t>amended (Corporations Act);</w:t>
      </w:r>
    </w:p>
    <w:p w14:paraId="1E8059AB" w14:textId="77777777" w:rsidR="00AA4A02" w:rsidRDefault="00960F31">
      <w:pPr>
        <w:pStyle w:val="ListParagraph"/>
        <w:numPr>
          <w:ilvl w:val="1"/>
          <w:numId w:val="29"/>
        </w:numPr>
        <w:tabs>
          <w:tab w:val="left" w:pos="1562"/>
        </w:tabs>
        <w:spacing w:before="94"/>
      </w:pPr>
      <w:r>
        <w:t>formulate</w:t>
      </w:r>
      <w:r>
        <w:rPr>
          <w:spacing w:val="-4"/>
        </w:rPr>
        <w:t xml:space="preserve"> </w:t>
      </w:r>
      <w:r>
        <w:t>auditing</w:t>
      </w:r>
      <w:r>
        <w:rPr>
          <w:spacing w:val="-7"/>
        </w:rPr>
        <w:t xml:space="preserve"> </w:t>
      </w:r>
      <w:r>
        <w:t>and</w:t>
      </w:r>
      <w:r>
        <w:rPr>
          <w:spacing w:val="-3"/>
        </w:rPr>
        <w:t xml:space="preserve"> </w:t>
      </w:r>
      <w:r>
        <w:t>assurance</w:t>
      </w:r>
      <w:r>
        <w:rPr>
          <w:spacing w:val="-4"/>
        </w:rPr>
        <w:t xml:space="preserve"> </w:t>
      </w:r>
      <w:r>
        <w:t>standards</w:t>
      </w:r>
      <w:r>
        <w:rPr>
          <w:spacing w:val="-5"/>
        </w:rPr>
        <w:t xml:space="preserve"> </w:t>
      </w:r>
      <w:r>
        <w:t>for</w:t>
      </w:r>
      <w:r>
        <w:rPr>
          <w:spacing w:val="-4"/>
        </w:rPr>
        <w:t xml:space="preserve"> </w:t>
      </w:r>
      <w:r>
        <w:t>other</w:t>
      </w:r>
      <w:r>
        <w:rPr>
          <w:spacing w:val="-5"/>
        </w:rPr>
        <w:t xml:space="preserve"> </w:t>
      </w:r>
      <w:r>
        <w:rPr>
          <w:spacing w:val="-2"/>
        </w:rPr>
        <w:t>purposes;</w:t>
      </w:r>
    </w:p>
    <w:p w14:paraId="1E8059AC" w14:textId="77777777" w:rsidR="00AA4A02" w:rsidRDefault="00960F31">
      <w:pPr>
        <w:pStyle w:val="ListParagraph"/>
        <w:numPr>
          <w:ilvl w:val="1"/>
          <w:numId w:val="29"/>
        </w:numPr>
        <w:tabs>
          <w:tab w:val="left" w:pos="1562"/>
        </w:tabs>
        <w:spacing w:before="88"/>
      </w:pPr>
      <w:r>
        <w:t>formulate</w:t>
      </w:r>
      <w:r>
        <w:rPr>
          <w:spacing w:val="-4"/>
        </w:rPr>
        <w:t xml:space="preserve"> </w:t>
      </w:r>
      <w:r>
        <w:t>guidance</w:t>
      </w:r>
      <w:r>
        <w:rPr>
          <w:spacing w:val="-3"/>
        </w:rPr>
        <w:t xml:space="preserve"> </w:t>
      </w:r>
      <w:r>
        <w:t>on</w:t>
      </w:r>
      <w:r>
        <w:rPr>
          <w:spacing w:val="-6"/>
        </w:rPr>
        <w:t xml:space="preserve"> </w:t>
      </w:r>
      <w:r>
        <w:t>auditing</w:t>
      </w:r>
      <w:r>
        <w:rPr>
          <w:spacing w:val="-6"/>
        </w:rPr>
        <w:t xml:space="preserve"> </w:t>
      </w:r>
      <w:r>
        <w:t>and</w:t>
      </w:r>
      <w:r>
        <w:rPr>
          <w:spacing w:val="-3"/>
        </w:rPr>
        <w:t xml:space="preserve"> </w:t>
      </w:r>
      <w:r>
        <w:t>assurance</w:t>
      </w:r>
      <w:r>
        <w:rPr>
          <w:spacing w:val="-5"/>
        </w:rPr>
        <w:t xml:space="preserve"> </w:t>
      </w:r>
      <w:r>
        <w:rPr>
          <w:spacing w:val="-2"/>
        </w:rPr>
        <w:t>matters;</w:t>
      </w:r>
    </w:p>
    <w:p w14:paraId="1E8059AD" w14:textId="77777777" w:rsidR="00AA4A02" w:rsidRDefault="00960F31">
      <w:pPr>
        <w:pStyle w:val="ListParagraph"/>
        <w:numPr>
          <w:ilvl w:val="1"/>
          <w:numId w:val="29"/>
        </w:numPr>
        <w:tabs>
          <w:tab w:val="left" w:pos="1562"/>
        </w:tabs>
        <w:spacing w:before="112" w:line="208" w:lineRule="auto"/>
        <w:ind w:right="409"/>
      </w:pPr>
      <w:r>
        <w:t>participate</w:t>
      </w:r>
      <w:r>
        <w:rPr>
          <w:spacing w:val="-4"/>
        </w:rPr>
        <w:t xml:space="preserve"> </w:t>
      </w:r>
      <w:r>
        <w:t>in</w:t>
      </w:r>
      <w:r>
        <w:rPr>
          <w:spacing w:val="-2"/>
        </w:rPr>
        <w:t xml:space="preserve"> </w:t>
      </w:r>
      <w:r>
        <w:t>and</w:t>
      </w:r>
      <w:r>
        <w:rPr>
          <w:spacing w:val="-2"/>
        </w:rPr>
        <w:t xml:space="preserve"> </w:t>
      </w:r>
      <w:r>
        <w:t>contribute</w:t>
      </w:r>
      <w:r>
        <w:rPr>
          <w:spacing w:val="-2"/>
        </w:rPr>
        <w:t xml:space="preserve"> </w:t>
      </w:r>
      <w:r>
        <w:t>to</w:t>
      </w:r>
      <w:r>
        <w:rPr>
          <w:spacing w:val="-5"/>
        </w:rPr>
        <w:t xml:space="preserve"> </w:t>
      </w:r>
      <w:r>
        <w:t>the</w:t>
      </w:r>
      <w:r>
        <w:rPr>
          <w:spacing w:val="-2"/>
        </w:rPr>
        <w:t xml:space="preserve"> </w:t>
      </w:r>
      <w:r>
        <w:t>development</w:t>
      </w:r>
      <w:r>
        <w:rPr>
          <w:spacing w:val="-2"/>
        </w:rPr>
        <w:t xml:space="preserve"> </w:t>
      </w:r>
      <w:r>
        <w:t>of</w:t>
      </w:r>
      <w:r>
        <w:rPr>
          <w:spacing w:val="-4"/>
        </w:rPr>
        <w:t xml:space="preserve"> </w:t>
      </w:r>
      <w:r>
        <w:t>a</w:t>
      </w:r>
      <w:r>
        <w:rPr>
          <w:spacing w:val="-2"/>
        </w:rPr>
        <w:t xml:space="preserve"> </w:t>
      </w:r>
      <w:r>
        <w:t>single</w:t>
      </w:r>
      <w:r>
        <w:rPr>
          <w:spacing w:val="-4"/>
        </w:rPr>
        <w:t xml:space="preserve"> </w:t>
      </w:r>
      <w:r>
        <w:t>set</w:t>
      </w:r>
      <w:r>
        <w:rPr>
          <w:spacing w:val="-4"/>
        </w:rPr>
        <w:t xml:space="preserve"> </w:t>
      </w:r>
      <w:r>
        <w:t>of</w:t>
      </w:r>
      <w:r>
        <w:rPr>
          <w:spacing w:val="-4"/>
        </w:rPr>
        <w:t xml:space="preserve"> </w:t>
      </w:r>
      <w:r>
        <w:t>auditing</w:t>
      </w:r>
      <w:r>
        <w:rPr>
          <w:spacing w:val="-2"/>
        </w:rPr>
        <w:t xml:space="preserve"> </w:t>
      </w:r>
      <w:r>
        <w:t>standards for world-wide use; and</w:t>
      </w:r>
    </w:p>
    <w:p w14:paraId="1E8059AE" w14:textId="77777777" w:rsidR="00AA4A02" w:rsidRDefault="00960F31">
      <w:pPr>
        <w:pStyle w:val="ListParagraph"/>
        <w:numPr>
          <w:ilvl w:val="1"/>
          <w:numId w:val="29"/>
        </w:numPr>
        <w:tabs>
          <w:tab w:val="left" w:pos="1562"/>
        </w:tabs>
        <w:spacing w:before="96"/>
      </w:pPr>
      <w:r>
        <w:t>advance</w:t>
      </w:r>
      <w:r>
        <w:rPr>
          <w:spacing w:val="-3"/>
        </w:rPr>
        <w:t xml:space="preserve"> </w:t>
      </w:r>
      <w:r>
        <w:t>and</w:t>
      </w:r>
      <w:r>
        <w:rPr>
          <w:spacing w:val="-5"/>
        </w:rPr>
        <w:t xml:space="preserve"> </w:t>
      </w:r>
      <w:r>
        <w:t>promote</w:t>
      </w:r>
      <w:r>
        <w:rPr>
          <w:spacing w:val="-4"/>
        </w:rPr>
        <w:t xml:space="preserve"> </w:t>
      </w:r>
      <w:r>
        <w:t>the</w:t>
      </w:r>
      <w:r>
        <w:rPr>
          <w:spacing w:val="-5"/>
        </w:rPr>
        <w:t xml:space="preserve"> </w:t>
      </w:r>
      <w:r>
        <w:t>main</w:t>
      </w:r>
      <w:r>
        <w:rPr>
          <w:spacing w:val="-2"/>
        </w:rPr>
        <w:t xml:space="preserve"> </w:t>
      </w:r>
      <w:r>
        <w:t>objectives</w:t>
      </w:r>
      <w:r>
        <w:rPr>
          <w:spacing w:val="-4"/>
        </w:rPr>
        <w:t xml:space="preserve"> </w:t>
      </w:r>
      <w:r>
        <w:t>of</w:t>
      </w:r>
      <w:r>
        <w:rPr>
          <w:spacing w:val="-3"/>
        </w:rPr>
        <w:t xml:space="preserve"> </w:t>
      </w:r>
      <w:r>
        <w:t>Part</w:t>
      </w:r>
      <w:r>
        <w:rPr>
          <w:spacing w:val="-1"/>
        </w:rPr>
        <w:t xml:space="preserve"> </w:t>
      </w:r>
      <w:r>
        <w:t>12</w:t>
      </w:r>
      <w:r>
        <w:rPr>
          <w:spacing w:val="-2"/>
        </w:rPr>
        <w:t xml:space="preserve"> </w:t>
      </w:r>
      <w:r>
        <w:t>of</w:t>
      </w:r>
      <w:r>
        <w:rPr>
          <w:spacing w:val="-5"/>
        </w:rPr>
        <w:t xml:space="preserve"> </w:t>
      </w:r>
      <w:r>
        <w:t>the</w:t>
      </w:r>
      <w:r>
        <w:rPr>
          <w:spacing w:val="-2"/>
        </w:rPr>
        <w:t xml:space="preserve"> </w:t>
      </w:r>
      <w:r>
        <w:t>ASIC</w:t>
      </w:r>
      <w:r>
        <w:rPr>
          <w:spacing w:val="1"/>
        </w:rPr>
        <w:t xml:space="preserve"> </w:t>
      </w:r>
      <w:r>
        <w:rPr>
          <w:spacing w:val="-4"/>
        </w:rPr>
        <w:t>Act.</w:t>
      </w:r>
    </w:p>
    <w:p w14:paraId="1E8059AF" w14:textId="77777777" w:rsidR="00AA4A02" w:rsidRDefault="00960F31">
      <w:pPr>
        <w:pStyle w:val="ListParagraph"/>
        <w:numPr>
          <w:ilvl w:val="0"/>
          <w:numId w:val="29"/>
        </w:numPr>
        <w:tabs>
          <w:tab w:val="left" w:pos="851"/>
        </w:tabs>
        <w:spacing w:before="191" w:line="208" w:lineRule="auto"/>
        <w:ind w:right="445"/>
      </w:pPr>
      <w:r>
        <w:t>The</w:t>
      </w:r>
      <w:r>
        <w:rPr>
          <w:spacing w:val="-2"/>
        </w:rPr>
        <w:t xml:space="preserve"> </w:t>
      </w:r>
      <w:r>
        <w:t>ASIC</w:t>
      </w:r>
      <w:r>
        <w:rPr>
          <w:spacing w:val="-3"/>
        </w:rPr>
        <w:t xml:space="preserve"> </w:t>
      </w:r>
      <w:r>
        <w:t>Act</w:t>
      </w:r>
      <w:r>
        <w:rPr>
          <w:vertAlign w:val="superscript"/>
        </w:rPr>
        <w:t>2</w:t>
      </w:r>
      <w:r>
        <w:rPr>
          <w:spacing w:val="-2"/>
        </w:rPr>
        <w:t xml:space="preserve"> </w:t>
      </w:r>
      <w:r>
        <w:t>requires</w:t>
      </w:r>
      <w:r>
        <w:rPr>
          <w:spacing w:val="-4"/>
        </w:rPr>
        <w:t xml:space="preserve"> </w:t>
      </w:r>
      <w:r>
        <w:t>the</w:t>
      </w:r>
      <w:r>
        <w:rPr>
          <w:spacing w:val="-4"/>
        </w:rPr>
        <w:t xml:space="preserve"> </w:t>
      </w:r>
      <w:r>
        <w:t>AUASB,</w:t>
      </w:r>
      <w:r>
        <w:rPr>
          <w:spacing w:val="-2"/>
        </w:rPr>
        <w:t xml:space="preserve"> </w:t>
      </w:r>
      <w:r>
        <w:t>when</w:t>
      </w:r>
      <w:r>
        <w:rPr>
          <w:spacing w:val="-2"/>
        </w:rPr>
        <w:t xml:space="preserve"> </w:t>
      </w:r>
      <w:r>
        <w:t>making</w:t>
      </w:r>
      <w:r>
        <w:rPr>
          <w:spacing w:val="-2"/>
        </w:rPr>
        <w:t xml:space="preserve"> </w:t>
      </w:r>
      <w:r>
        <w:t>and</w:t>
      </w:r>
      <w:r>
        <w:rPr>
          <w:spacing w:val="-5"/>
        </w:rPr>
        <w:t xml:space="preserve"> </w:t>
      </w:r>
      <w:r>
        <w:t>formulating</w:t>
      </w:r>
      <w:r>
        <w:rPr>
          <w:spacing w:val="-5"/>
        </w:rPr>
        <w:t xml:space="preserve"> </w:t>
      </w:r>
      <w:r>
        <w:t>auditing</w:t>
      </w:r>
      <w:r>
        <w:rPr>
          <w:spacing w:val="-2"/>
        </w:rPr>
        <w:t xml:space="preserve"> </w:t>
      </w:r>
      <w:r>
        <w:t>and</w:t>
      </w:r>
      <w:r>
        <w:rPr>
          <w:spacing w:val="-2"/>
        </w:rPr>
        <w:t xml:space="preserve"> </w:t>
      </w:r>
      <w:r>
        <w:t>assurance standards and related guidance on auditing and assurance matters, to:</w:t>
      </w:r>
    </w:p>
    <w:p w14:paraId="1E8059B0" w14:textId="77777777" w:rsidR="00AA4A02" w:rsidRDefault="00960F31">
      <w:pPr>
        <w:pStyle w:val="ListParagraph"/>
        <w:numPr>
          <w:ilvl w:val="1"/>
          <w:numId w:val="29"/>
        </w:numPr>
        <w:tabs>
          <w:tab w:val="left" w:pos="1562"/>
        </w:tabs>
        <w:spacing w:before="174"/>
      </w:pPr>
      <w:r>
        <w:t>comply</w:t>
      </w:r>
      <w:r>
        <w:rPr>
          <w:spacing w:val="-4"/>
        </w:rPr>
        <w:t xml:space="preserve"> </w:t>
      </w:r>
      <w:r>
        <w:t>with</w:t>
      </w:r>
      <w:r>
        <w:rPr>
          <w:spacing w:val="-7"/>
        </w:rPr>
        <w:t xml:space="preserve"> </w:t>
      </w:r>
      <w:r>
        <w:t>the</w:t>
      </w:r>
      <w:r>
        <w:rPr>
          <w:spacing w:val="-2"/>
        </w:rPr>
        <w:t xml:space="preserve"> </w:t>
      </w:r>
      <w:r>
        <w:t>broad</w:t>
      </w:r>
      <w:r>
        <w:rPr>
          <w:spacing w:val="-4"/>
        </w:rPr>
        <w:t xml:space="preserve"> </w:t>
      </w:r>
      <w:r>
        <w:t>strategic</w:t>
      </w:r>
      <w:r>
        <w:rPr>
          <w:spacing w:val="-6"/>
        </w:rPr>
        <w:t xml:space="preserve"> </w:t>
      </w:r>
      <w:r>
        <w:t>direction</w:t>
      </w:r>
      <w:r>
        <w:rPr>
          <w:spacing w:val="-4"/>
        </w:rPr>
        <w:t xml:space="preserve"> </w:t>
      </w:r>
      <w:r>
        <w:t>of</w:t>
      </w:r>
      <w:r>
        <w:rPr>
          <w:spacing w:val="-6"/>
        </w:rPr>
        <w:t xml:space="preserve"> </w:t>
      </w:r>
      <w:r>
        <w:t>the</w:t>
      </w:r>
      <w:r>
        <w:rPr>
          <w:spacing w:val="-2"/>
        </w:rPr>
        <w:t xml:space="preserve"> </w:t>
      </w:r>
      <w:r>
        <w:t>Financial</w:t>
      </w:r>
      <w:r>
        <w:rPr>
          <w:spacing w:val="-3"/>
        </w:rPr>
        <w:t xml:space="preserve"> </w:t>
      </w:r>
      <w:r>
        <w:t>Reporting</w:t>
      </w:r>
      <w:r>
        <w:rPr>
          <w:spacing w:val="-4"/>
        </w:rPr>
        <w:t xml:space="preserve"> </w:t>
      </w:r>
      <w:r>
        <w:t>Council</w:t>
      </w:r>
      <w:r>
        <w:rPr>
          <w:spacing w:val="-2"/>
        </w:rPr>
        <w:t xml:space="preserve"> (FRC);</w:t>
      </w:r>
    </w:p>
    <w:p w14:paraId="1E8059B1" w14:textId="77777777" w:rsidR="00AA4A02" w:rsidRDefault="00960F31">
      <w:pPr>
        <w:pStyle w:val="ListParagraph"/>
        <w:numPr>
          <w:ilvl w:val="1"/>
          <w:numId w:val="29"/>
        </w:numPr>
        <w:tabs>
          <w:tab w:val="left" w:pos="1562"/>
        </w:tabs>
        <w:spacing w:before="114" w:line="208" w:lineRule="auto"/>
        <w:ind w:right="348"/>
      </w:pPr>
      <w:r>
        <w:t>comply</w:t>
      </w:r>
      <w:r>
        <w:rPr>
          <w:spacing w:val="-3"/>
        </w:rPr>
        <w:t xml:space="preserve"> </w:t>
      </w:r>
      <w:r>
        <w:t>with</w:t>
      </w:r>
      <w:r>
        <w:rPr>
          <w:spacing w:val="-6"/>
        </w:rPr>
        <w:t xml:space="preserve"> </w:t>
      </w:r>
      <w:r>
        <w:t>a</w:t>
      </w:r>
      <w:r>
        <w:rPr>
          <w:spacing w:val="-3"/>
        </w:rPr>
        <w:t xml:space="preserve"> </w:t>
      </w:r>
      <w:r>
        <w:t>Ministerial</w:t>
      </w:r>
      <w:r>
        <w:rPr>
          <w:spacing w:val="-5"/>
        </w:rPr>
        <w:t xml:space="preserve"> </w:t>
      </w:r>
      <w:r>
        <w:t>direction</w:t>
      </w:r>
      <w:r>
        <w:rPr>
          <w:spacing w:val="-3"/>
        </w:rPr>
        <w:t xml:space="preserve"> </w:t>
      </w:r>
      <w:r>
        <w:t>about</w:t>
      </w:r>
      <w:r>
        <w:rPr>
          <w:spacing w:val="-5"/>
        </w:rPr>
        <w:t xml:space="preserve"> </w:t>
      </w:r>
      <w:r>
        <w:t>the</w:t>
      </w:r>
      <w:r>
        <w:rPr>
          <w:spacing w:val="-3"/>
        </w:rPr>
        <w:t xml:space="preserve"> </w:t>
      </w:r>
      <w:r>
        <w:t>role</w:t>
      </w:r>
      <w:r>
        <w:rPr>
          <w:spacing w:val="-3"/>
        </w:rPr>
        <w:t xml:space="preserve"> </w:t>
      </w:r>
      <w:r>
        <w:t>of</w:t>
      </w:r>
      <w:r>
        <w:rPr>
          <w:spacing w:val="-3"/>
        </w:rPr>
        <w:t xml:space="preserve"> </w:t>
      </w:r>
      <w:r>
        <w:t>international</w:t>
      </w:r>
      <w:r>
        <w:rPr>
          <w:spacing w:val="-2"/>
        </w:rPr>
        <w:t xml:space="preserve"> </w:t>
      </w:r>
      <w:r>
        <w:t>auditing</w:t>
      </w:r>
      <w:r>
        <w:rPr>
          <w:spacing w:val="-3"/>
        </w:rPr>
        <w:t xml:space="preserve"> </w:t>
      </w:r>
      <w:r>
        <w:t>standards in the Australian auditing standard-setting system; and</w:t>
      </w:r>
    </w:p>
    <w:p w14:paraId="1E8059B2" w14:textId="77777777" w:rsidR="00AA4A02" w:rsidRDefault="00960F31">
      <w:pPr>
        <w:pStyle w:val="ListParagraph"/>
        <w:numPr>
          <w:ilvl w:val="1"/>
          <w:numId w:val="29"/>
        </w:numPr>
        <w:tabs>
          <w:tab w:val="left" w:pos="1562"/>
        </w:tabs>
        <w:spacing w:before="119" w:line="208" w:lineRule="auto"/>
        <w:ind w:right="264"/>
      </w:pPr>
      <w:r>
        <w:t>where appropriate, make or formulate auditing standards by issuing the text of an international</w:t>
      </w:r>
      <w:r>
        <w:rPr>
          <w:spacing w:val="-2"/>
        </w:rPr>
        <w:t xml:space="preserve"> </w:t>
      </w:r>
      <w:r>
        <w:t>auditing</w:t>
      </w:r>
      <w:r>
        <w:rPr>
          <w:spacing w:val="-5"/>
        </w:rPr>
        <w:t xml:space="preserve"> </w:t>
      </w:r>
      <w:r>
        <w:t>standard</w:t>
      </w:r>
      <w:r>
        <w:rPr>
          <w:spacing w:val="-2"/>
        </w:rPr>
        <w:t xml:space="preserve"> </w:t>
      </w:r>
      <w:r>
        <w:t>which</w:t>
      </w:r>
      <w:r>
        <w:rPr>
          <w:spacing w:val="-4"/>
        </w:rPr>
        <w:t xml:space="preserve"> </w:t>
      </w:r>
      <w:r>
        <w:t>may</w:t>
      </w:r>
      <w:r>
        <w:rPr>
          <w:spacing w:val="-3"/>
        </w:rPr>
        <w:t xml:space="preserve"> </w:t>
      </w:r>
      <w:r>
        <w:t>be</w:t>
      </w:r>
      <w:r>
        <w:rPr>
          <w:spacing w:val="-4"/>
        </w:rPr>
        <w:t xml:space="preserve"> </w:t>
      </w:r>
      <w:r>
        <w:t>modified</w:t>
      </w:r>
      <w:r>
        <w:rPr>
          <w:spacing w:val="-4"/>
        </w:rPr>
        <w:t xml:space="preserve"> </w:t>
      </w:r>
      <w:r>
        <w:t>to</w:t>
      </w:r>
      <w:r>
        <w:rPr>
          <w:spacing w:val="-3"/>
        </w:rPr>
        <w:t xml:space="preserve"> </w:t>
      </w:r>
      <w:r>
        <w:t>the</w:t>
      </w:r>
      <w:r>
        <w:rPr>
          <w:spacing w:val="-3"/>
        </w:rPr>
        <w:t xml:space="preserve"> </w:t>
      </w:r>
      <w:r>
        <w:t>extent</w:t>
      </w:r>
      <w:r>
        <w:rPr>
          <w:spacing w:val="-2"/>
        </w:rPr>
        <w:t xml:space="preserve"> </w:t>
      </w:r>
      <w:r>
        <w:t>necessary</w:t>
      </w:r>
      <w:r>
        <w:rPr>
          <w:spacing w:val="-3"/>
        </w:rPr>
        <w:t xml:space="preserve"> </w:t>
      </w:r>
      <w:r>
        <w:t>to</w:t>
      </w:r>
      <w:r>
        <w:rPr>
          <w:spacing w:val="-5"/>
        </w:rPr>
        <w:t xml:space="preserve"> </w:t>
      </w:r>
      <w:r>
        <w:t>take account of the Australian legal or institutional environment.</w:t>
      </w:r>
    </w:p>
    <w:p w14:paraId="1E8059B3" w14:textId="77777777" w:rsidR="00AA4A02" w:rsidRDefault="00960F31">
      <w:pPr>
        <w:pStyle w:val="ListParagraph"/>
        <w:numPr>
          <w:ilvl w:val="0"/>
          <w:numId w:val="29"/>
        </w:numPr>
        <w:tabs>
          <w:tab w:val="left" w:pos="851"/>
        </w:tabs>
        <w:spacing w:before="199" w:line="208" w:lineRule="auto"/>
        <w:ind w:right="176"/>
      </w:pPr>
      <w:r>
        <w:t>The</w:t>
      </w:r>
      <w:r>
        <w:rPr>
          <w:spacing w:val="-2"/>
        </w:rPr>
        <w:t xml:space="preserve"> </w:t>
      </w:r>
      <w:r>
        <w:t>FRC</w:t>
      </w:r>
      <w:r>
        <w:rPr>
          <w:spacing w:val="-3"/>
        </w:rPr>
        <w:t xml:space="preserve"> </w:t>
      </w:r>
      <w:r>
        <w:t>provides</w:t>
      </w:r>
      <w:r>
        <w:rPr>
          <w:spacing w:val="-2"/>
        </w:rPr>
        <w:t xml:space="preserve"> </w:t>
      </w:r>
      <w:r>
        <w:t>broad</w:t>
      </w:r>
      <w:r>
        <w:rPr>
          <w:spacing w:val="-2"/>
        </w:rPr>
        <w:t xml:space="preserve"> </w:t>
      </w:r>
      <w:r>
        <w:t>strategic</w:t>
      </w:r>
      <w:r>
        <w:rPr>
          <w:spacing w:val="-2"/>
        </w:rPr>
        <w:t xml:space="preserve"> </w:t>
      </w:r>
      <w:r>
        <w:t>direction</w:t>
      </w:r>
      <w:r>
        <w:rPr>
          <w:spacing w:val="-2"/>
        </w:rPr>
        <w:t xml:space="preserve"> </w:t>
      </w:r>
      <w:r>
        <w:t>and</w:t>
      </w:r>
      <w:r>
        <w:rPr>
          <w:spacing w:val="-2"/>
        </w:rPr>
        <w:t xml:space="preserve"> </w:t>
      </w:r>
      <w:r>
        <w:t>advice</w:t>
      </w:r>
      <w:r>
        <w:rPr>
          <w:spacing w:val="-4"/>
        </w:rPr>
        <w:t xml:space="preserve"> </w:t>
      </w:r>
      <w:r>
        <w:t>to</w:t>
      </w:r>
      <w:r>
        <w:rPr>
          <w:spacing w:val="-2"/>
        </w:rPr>
        <w:t xml:space="preserve"> </w:t>
      </w:r>
      <w:r>
        <w:t>the</w:t>
      </w:r>
      <w:r>
        <w:rPr>
          <w:spacing w:val="-2"/>
        </w:rPr>
        <w:t xml:space="preserve"> </w:t>
      </w:r>
      <w:r>
        <w:t>AUASB</w:t>
      </w:r>
      <w:r>
        <w:rPr>
          <w:spacing w:val="-4"/>
        </w:rPr>
        <w:t xml:space="preserve"> </w:t>
      </w:r>
      <w:r>
        <w:t>and</w:t>
      </w:r>
      <w:r>
        <w:rPr>
          <w:spacing w:val="-2"/>
        </w:rPr>
        <w:t xml:space="preserve"> </w:t>
      </w:r>
      <w:r>
        <w:t>has</w:t>
      </w:r>
      <w:r>
        <w:rPr>
          <w:spacing w:val="-2"/>
        </w:rPr>
        <w:t xml:space="preserve"> </w:t>
      </w:r>
      <w:r>
        <w:t>oversight</w:t>
      </w:r>
      <w:r>
        <w:rPr>
          <w:spacing w:val="-1"/>
        </w:rPr>
        <w:t xml:space="preserve"> </w:t>
      </w:r>
      <w:r>
        <w:t>of</w:t>
      </w:r>
      <w:r>
        <w:rPr>
          <w:spacing w:val="-4"/>
        </w:rPr>
        <w:t xml:space="preserve"> </w:t>
      </w:r>
      <w:r>
        <w:t>the process for setting auditing and assurance standards in Australia.</w:t>
      </w:r>
      <w:r>
        <w:rPr>
          <w:spacing w:val="40"/>
        </w:rPr>
        <w:t xml:space="preserve"> </w:t>
      </w:r>
      <w:r>
        <w:t>Under the ASIC Act, the AUASB may determine its own procedural rules, but must have regard to the advice and feedback of the FRC.</w:t>
      </w:r>
      <w:r>
        <w:rPr>
          <w:vertAlign w:val="superscript"/>
        </w:rPr>
        <w:t>3</w:t>
      </w:r>
    </w:p>
    <w:p w14:paraId="1E8059B4" w14:textId="77777777" w:rsidR="00AA4A02" w:rsidRDefault="00960F31">
      <w:pPr>
        <w:pStyle w:val="ListParagraph"/>
        <w:numPr>
          <w:ilvl w:val="0"/>
          <w:numId w:val="29"/>
        </w:numPr>
        <w:tabs>
          <w:tab w:val="left" w:pos="851"/>
        </w:tabs>
        <w:spacing w:before="176"/>
      </w:pPr>
      <w:r>
        <w:t>In</w:t>
      </w:r>
      <w:r>
        <w:rPr>
          <w:spacing w:val="-3"/>
        </w:rPr>
        <w:t xml:space="preserve"> </w:t>
      </w:r>
      <w:r>
        <w:t>April</w:t>
      </w:r>
      <w:r>
        <w:rPr>
          <w:spacing w:val="-1"/>
        </w:rPr>
        <w:t xml:space="preserve"> </w:t>
      </w:r>
      <w:r>
        <w:t>2005,</w:t>
      </w:r>
      <w:r>
        <w:rPr>
          <w:spacing w:val="-5"/>
        </w:rPr>
        <w:t xml:space="preserve"> </w:t>
      </w:r>
      <w:r>
        <w:t>the</w:t>
      </w:r>
      <w:r>
        <w:rPr>
          <w:spacing w:val="-2"/>
        </w:rPr>
        <w:t xml:space="preserve"> </w:t>
      </w:r>
      <w:r>
        <w:t>FRC</w:t>
      </w:r>
      <w:r>
        <w:rPr>
          <w:spacing w:val="-3"/>
        </w:rPr>
        <w:t xml:space="preserve"> </w:t>
      </w:r>
      <w:r>
        <w:t>directed</w:t>
      </w:r>
      <w:r>
        <w:rPr>
          <w:spacing w:val="-3"/>
        </w:rPr>
        <w:t xml:space="preserve"> </w:t>
      </w:r>
      <w:r>
        <w:t>the</w:t>
      </w:r>
      <w:r>
        <w:rPr>
          <w:spacing w:val="-3"/>
        </w:rPr>
        <w:t xml:space="preserve"> </w:t>
      </w:r>
      <w:r>
        <w:t>AUASB</w:t>
      </w:r>
      <w:r>
        <w:rPr>
          <w:spacing w:val="-3"/>
        </w:rPr>
        <w:t xml:space="preserve"> </w:t>
      </w:r>
      <w:r>
        <w:rPr>
          <w:spacing w:val="-5"/>
        </w:rPr>
        <w:t>to:</w:t>
      </w:r>
    </w:p>
    <w:p w14:paraId="1E8059B5" w14:textId="77777777" w:rsidR="00AA4A02" w:rsidRDefault="00960F31">
      <w:pPr>
        <w:pStyle w:val="ListParagraph"/>
        <w:numPr>
          <w:ilvl w:val="1"/>
          <w:numId w:val="29"/>
        </w:numPr>
        <w:tabs>
          <w:tab w:val="left" w:pos="1562"/>
        </w:tabs>
        <w:spacing w:before="191" w:line="208" w:lineRule="auto"/>
        <w:ind w:right="336"/>
      </w:pPr>
      <w:r>
        <w:t>develop</w:t>
      </w:r>
      <w:r>
        <w:rPr>
          <w:spacing w:val="-3"/>
        </w:rPr>
        <w:t xml:space="preserve"> </w:t>
      </w:r>
      <w:r>
        <w:t>Australian</w:t>
      </w:r>
      <w:r>
        <w:rPr>
          <w:spacing w:val="-3"/>
        </w:rPr>
        <w:t xml:space="preserve"> </w:t>
      </w:r>
      <w:r>
        <w:t>Auditing</w:t>
      </w:r>
      <w:r>
        <w:rPr>
          <w:spacing w:val="-3"/>
        </w:rPr>
        <w:t xml:space="preserve"> </w:t>
      </w:r>
      <w:r>
        <w:t>Standards</w:t>
      </w:r>
      <w:r>
        <w:rPr>
          <w:spacing w:val="-3"/>
        </w:rPr>
        <w:t xml:space="preserve"> </w:t>
      </w:r>
      <w:r>
        <w:t>that</w:t>
      </w:r>
      <w:r>
        <w:rPr>
          <w:spacing w:val="-5"/>
        </w:rPr>
        <w:t xml:space="preserve"> </w:t>
      </w:r>
      <w:r>
        <w:t>have</w:t>
      </w:r>
      <w:r>
        <w:rPr>
          <w:spacing w:val="-2"/>
        </w:rPr>
        <w:t xml:space="preserve"> </w:t>
      </w:r>
      <w:r>
        <w:t>a</w:t>
      </w:r>
      <w:r>
        <w:rPr>
          <w:spacing w:val="-3"/>
        </w:rPr>
        <w:t xml:space="preserve"> </w:t>
      </w:r>
      <w:r>
        <w:t>clear</w:t>
      </w:r>
      <w:r>
        <w:rPr>
          <w:spacing w:val="-3"/>
        </w:rPr>
        <w:t xml:space="preserve"> </w:t>
      </w:r>
      <w:r>
        <w:t>public</w:t>
      </w:r>
      <w:r>
        <w:rPr>
          <w:spacing w:val="-5"/>
        </w:rPr>
        <w:t xml:space="preserve"> </w:t>
      </w:r>
      <w:r>
        <w:t>interest</w:t>
      </w:r>
      <w:r>
        <w:rPr>
          <w:spacing w:val="-2"/>
        </w:rPr>
        <w:t xml:space="preserve"> </w:t>
      </w:r>
      <w:r>
        <w:t>focus</w:t>
      </w:r>
      <w:r>
        <w:rPr>
          <w:spacing w:val="-5"/>
        </w:rPr>
        <w:t xml:space="preserve"> </w:t>
      </w:r>
      <w:r>
        <w:t>and</w:t>
      </w:r>
      <w:r>
        <w:rPr>
          <w:spacing w:val="-3"/>
        </w:rPr>
        <w:t xml:space="preserve"> </w:t>
      </w:r>
      <w:r>
        <w:t>are of the highest quality;</w:t>
      </w:r>
    </w:p>
    <w:p w14:paraId="1E8059B6" w14:textId="77777777" w:rsidR="00AA4A02" w:rsidRDefault="00960F31">
      <w:pPr>
        <w:pStyle w:val="ListParagraph"/>
        <w:numPr>
          <w:ilvl w:val="1"/>
          <w:numId w:val="29"/>
        </w:numPr>
        <w:tabs>
          <w:tab w:val="left" w:pos="1562"/>
        </w:tabs>
        <w:spacing w:before="122" w:line="208" w:lineRule="auto"/>
        <w:ind w:right="404"/>
      </w:pPr>
      <w:r>
        <w:t>use, as appropriate, International Standards on Auditing (ISAs) of the International Auditing</w:t>
      </w:r>
      <w:r>
        <w:rPr>
          <w:spacing w:val="-3"/>
        </w:rPr>
        <w:t xml:space="preserve"> </w:t>
      </w:r>
      <w:r>
        <w:t>and</w:t>
      </w:r>
      <w:r>
        <w:rPr>
          <w:spacing w:val="-3"/>
        </w:rPr>
        <w:t xml:space="preserve"> </w:t>
      </w:r>
      <w:r>
        <w:t>Assurance</w:t>
      </w:r>
      <w:r>
        <w:rPr>
          <w:spacing w:val="-3"/>
        </w:rPr>
        <w:t xml:space="preserve"> </w:t>
      </w:r>
      <w:r>
        <w:t>Standards</w:t>
      </w:r>
      <w:r>
        <w:rPr>
          <w:spacing w:val="-3"/>
        </w:rPr>
        <w:t xml:space="preserve"> </w:t>
      </w:r>
      <w:r>
        <w:t>Board</w:t>
      </w:r>
      <w:r>
        <w:rPr>
          <w:spacing w:val="-6"/>
        </w:rPr>
        <w:t xml:space="preserve"> </w:t>
      </w:r>
      <w:r>
        <w:t>(IAASB)</w:t>
      </w:r>
      <w:r>
        <w:rPr>
          <w:spacing w:val="-3"/>
        </w:rPr>
        <w:t xml:space="preserve"> </w:t>
      </w:r>
      <w:r>
        <w:t>as</w:t>
      </w:r>
      <w:r>
        <w:rPr>
          <w:spacing w:val="-5"/>
        </w:rPr>
        <w:t xml:space="preserve"> </w:t>
      </w:r>
      <w:r>
        <w:t>a</w:t>
      </w:r>
      <w:r>
        <w:rPr>
          <w:spacing w:val="-3"/>
        </w:rPr>
        <w:t xml:space="preserve"> </w:t>
      </w:r>
      <w:r>
        <w:t>base</w:t>
      </w:r>
      <w:r>
        <w:rPr>
          <w:spacing w:val="-3"/>
        </w:rPr>
        <w:t xml:space="preserve"> </w:t>
      </w:r>
      <w:r>
        <w:t>from</w:t>
      </w:r>
      <w:r>
        <w:rPr>
          <w:spacing w:val="-2"/>
        </w:rPr>
        <w:t xml:space="preserve"> </w:t>
      </w:r>
      <w:r>
        <w:t>which</w:t>
      </w:r>
      <w:r>
        <w:rPr>
          <w:spacing w:val="-5"/>
        </w:rPr>
        <w:t xml:space="preserve"> </w:t>
      </w:r>
      <w:r>
        <w:t>to</w:t>
      </w:r>
      <w:r>
        <w:rPr>
          <w:spacing w:val="-3"/>
        </w:rPr>
        <w:t xml:space="preserve"> </w:t>
      </w:r>
      <w:r>
        <w:t>develop Australian Auditing Standards;</w:t>
      </w:r>
    </w:p>
    <w:p w14:paraId="1E8059B7" w14:textId="77777777" w:rsidR="00AA4A02" w:rsidRDefault="00960F31">
      <w:pPr>
        <w:pStyle w:val="ListParagraph"/>
        <w:numPr>
          <w:ilvl w:val="1"/>
          <w:numId w:val="29"/>
        </w:numPr>
        <w:tabs>
          <w:tab w:val="left" w:pos="1562"/>
        </w:tabs>
        <w:spacing w:before="120" w:line="208" w:lineRule="auto"/>
        <w:ind w:right="246"/>
      </w:pPr>
      <w:r>
        <w:t>make such amendments to ISAs as necessary to accommodate and ensure that Australian Auditing Standards both exhibit and conform to the Australian regulatory environment and statutory requirements, including amendments as necessary for Australian</w:t>
      </w:r>
      <w:r>
        <w:rPr>
          <w:spacing w:val="-3"/>
        </w:rPr>
        <w:t xml:space="preserve"> </w:t>
      </w:r>
      <w:r>
        <w:t>Auditing</w:t>
      </w:r>
      <w:r>
        <w:rPr>
          <w:spacing w:val="-3"/>
        </w:rPr>
        <w:t xml:space="preserve"> </w:t>
      </w:r>
      <w:r>
        <w:t>Standards</w:t>
      </w:r>
      <w:r>
        <w:rPr>
          <w:spacing w:val="-3"/>
        </w:rPr>
        <w:t xml:space="preserve"> </w:t>
      </w:r>
      <w:r>
        <w:t>to</w:t>
      </w:r>
      <w:r>
        <w:rPr>
          <w:spacing w:val="-3"/>
        </w:rPr>
        <w:t xml:space="preserve"> </w:t>
      </w:r>
      <w:r>
        <w:t>be</w:t>
      </w:r>
      <w:r>
        <w:rPr>
          <w:spacing w:val="-5"/>
        </w:rPr>
        <w:t xml:space="preserve"> </w:t>
      </w:r>
      <w:r>
        <w:t>legally</w:t>
      </w:r>
      <w:r>
        <w:rPr>
          <w:spacing w:val="-3"/>
        </w:rPr>
        <w:t xml:space="preserve"> </w:t>
      </w:r>
      <w:r>
        <w:t>enforceable</w:t>
      </w:r>
      <w:r>
        <w:rPr>
          <w:spacing w:val="-3"/>
        </w:rPr>
        <w:t xml:space="preserve"> </w:t>
      </w:r>
      <w:r>
        <w:t>under</w:t>
      </w:r>
      <w:r>
        <w:rPr>
          <w:spacing w:val="-3"/>
        </w:rPr>
        <w:t xml:space="preserve"> </w:t>
      </w:r>
      <w:r>
        <w:t>the</w:t>
      </w:r>
      <w:r>
        <w:rPr>
          <w:spacing w:val="-3"/>
        </w:rPr>
        <w:t xml:space="preserve"> </w:t>
      </w:r>
      <w:r>
        <w:t>requirements</w:t>
      </w:r>
      <w:r>
        <w:rPr>
          <w:spacing w:val="-5"/>
        </w:rPr>
        <w:t xml:space="preserve"> </w:t>
      </w:r>
      <w:r>
        <w:t>of</w:t>
      </w:r>
      <w:r>
        <w:rPr>
          <w:spacing w:val="-5"/>
        </w:rPr>
        <w:t xml:space="preserve"> </w:t>
      </w:r>
      <w:r>
        <w:t>the Corporations Act;</w:t>
      </w:r>
    </w:p>
    <w:p w14:paraId="1E8059B8" w14:textId="77777777" w:rsidR="00AA4A02" w:rsidRDefault="00960F31">
      <w:pPr>
        <w:pStyle w:val="ListParagraph"/>
        <w:numPr>
          <w:ilvl w:val="1"/>
          <w:numId w:val="29"/>
        </w:numPr>
        <w:tabs>
          <w:tab w:val="left" w:pos="1562"/>
        </w:tabs>
        <w:spacing w:before="118" w:line="208" w:lineRule="auto"/>
        <w:ind w:right="274"/>
      </w:pPr>
      <w:r>
        <w:t>monitor</w:t>
      </w:r>
      <w:r>
        <w:rPr>
          <w:spacing w:val="-3"/>
        </w:rPr>
        <w:t xml:space="preserve"> </w:t>
      </w:r>
      <w:r>
        <w:t>and</w:t>
      </w:r>
      <w:r>
        <w:rPr>
          <w:spacing w:val="-5"/>
        </w:rPr>
        <w:t xml:space="preserve"> </w:t>
      </w:r>
      <w:r>
        <w:t>review</w:t>
      </w:r>
      <w:r>
        <w:rPr>
          <w:spacing w:val="-3"/>
        </w:rPr>
        <w:t xml:space="preserve"> </w:t>
      </w:r>
      <w:r>
        <w:t>auditing</w:t>
      </w:r>
      <w:r>
        <w:rPr>
          <w:spacing w:val="-3"/>
        </w:rPr>
        <w:t xml:space="preserve"> </w:t>
      </w:r>
      <w:r>
        <w:t>and</w:t>
      </w:r>
      <w:r>
        <w:rPr>
          <w:spacing w:val="-3"/>
        </w:rPr>
        <w:t xml:space="preserve"> </w:t>
      </w:r>
      <w:r>
        <w:t>assurance</w:t>
      </w:r>
      <w:r>
        <w:rPr>
          <w:spacing w:val="-3"/>
        </w:rPr>
        <w:t xml:space="preserve"> </w:t>
      </w:r>
      <w:r>
        <w:t>standards</w:t>
      </w:r>
      <w:r>
        <w:rPr>
          <w:spacing w:val="-5"/>
        </w:rPr>
        <w:t xml:space="preserve"> </w:t>
      </w:r>
      <w:r>
        <w:t>issued</w:t>
      </w:r>
      <w:r>
        <w:rPr>
          <w:spacing w:val="-5"/>
        </w:rPr>
        <w:t xml:space="preserve"> </w:t>
      </w:r>
      <w:r>
        <w:t>by</w:t>
      </w:r>
      <w:r>
        <w:rPr>
          <w:spacing w:val="-3"/>
        </w:rPr>
        <w:t xml:space="preserve"> </w:t>
      </w:r>
      <w:r>
        <w:t>other</w:t>
      </w:r>
      <w:r>
        <w:rPr>
          <w:spacing w:val="-5"/>
        </w:rPr>
        <w:t xml:space="preserve"> </w:t>
      </w:r>
      <w:r>
        <w:t>standard-setting bodies</w:t>
      </w:r>
      <w:r>
        <w:rPr>
          <w:spacing w:val="-1"/>
        </w:rPr>
        <w:t xml:space="preserve"> </w:t>
      </w:r>
      <w:r>
        <w:t>in</w:t>
      </w:r>
      <w:r>
        <w:rPr>
          <w:spacing w:val="-4"/>
        </w:rPr>
        <w:t xml:space="preserve"> </w:t>
      </w:r>
      <w:r>
        <w:t>other national</w:t>
      </w:r>
      <w:r>
        <w:rPr>
          <w:spacing w:val="-3"/>
        </w:rPr>
        <w:t xml:space="preserve"> </w:t>
      </w:r>
      <w:r>
        <w:t>jurisdictions</w:t>
      </w:r>
      <w:r>
        <w:rPr>
          <w:spacing w:val="-1"/>
        </w:rPr>
        <w:t xml:space="preserve"> </w:t>
      </w:r>
      <w:r>
        <w:t>and</w:t>
      </w:r>
      <w:r>
        <w:rPr>
          <w:spacing w:val="-1"/>
        </w:rPr>
        <w:t xml:space="preserve"> </w:t>
      </w:r>
      <w:r>
        <w:t>consider</w:t>
      </w:r>
      <w:r>
        <w:rPr>
          <w:spacing w:val="-3"/>
        </w:rPr>
        <w:t xml:space="preserve"> </w:t>
      </w:r>
      <w:r>
        <w:t>other</w:t>
      </w:r>
      <w:r>
        <w:rPr>
          <w:spacing w:val="-1"/>
        </w:rPr>
        <w:t xml:space="preserve"> </w:t>
      </w:r>
      <w:r>
        <w:t>matters</w:t>
      </w:r>
      <w:r>
        <w:rPr>
          <w:spacing w:val="-1"/>
        </w:rPr>
        <w:t xml:space="preserve"> </w:t>
      </w:r>
      <w:r>
        <w:t>relevant to</w:t>
      </w:r>
      <w:r>
        <w:rPr>
          <w:spacing w:val="-4"/>
        </w:rPr>
        <w:t xml:space="preserve"> </w:t>
      </w:r>
      <w:r>
        <w:t>achieving the objectives of Part 12 of the ASIC Act.</w:t>
      </w:r>
      <w:r>
        <w:rPr>
          <w:spacing w:val="40"/>
        </w:rPr>
        <w:t xml:space="preserve"> </w:t>
      </w:r>
      <w:r>
        <w:t>Consequently, where appropriate and considered to be in the public interest and necessary to produce standards of the highest quality, the AUASB should incorporate additional requirements in its Australian Auditing Standards; and</w:t>
      </w:r>
    </w:p>
    <w:p w14:paraId="1E8059B9" w14:textId="77777777" w:rsidR="00AA4A02" w:rsidRDefault="00960F31">
      <w:pPr>
        <w:pStyle w:val="ListParagraph"/>
        <w:numPr>
          <w:ilvl w:val="1"/>
          <w:numId w:val="29"/>
        </w:numPr>
        <w:tabs>
          <w:tab w:val="left" w:pos="1562"/>
        </w:tabs>
        <w:spacing w:before="120" w:line="208" w:lineRule="auto"/>
        <w:ind w:right="163"/>
      </w:pPr>
      <w:r>
        <w:t>continue</w:t>
      </w:r>
      <w:r>
        <w:rPr>
          <w:spacing w:val="-5"/>
        </w:rPr>
        <w:t xml:space="preserve"> </w:t>
      </w:r>
      <w:r>
        <w:t>to</w:t>
      </w:r>
      <w:r>
        <w:rPr>
          <w:spacing w:val="-3"/>
        </w:rPr>
        <w:t xml:space="preserve"> </w:t>
      </w:r>
      <w:r>
        <w:t>develop</w:t>
      </w:r>
      <w:r>
        <w:rPr>
          <w:spacing w:val="-3"/>
        </w:rPr>
        <w:t xml:space="preserve"> </w:t>
      </w:r>
      <w:r>
        <w:t>auditing</w:t>
      </w:r>
      <w:r>
        <w:rPr>
          <w:spacing w:val="-3"/>
        </w:rPr>
        <w:t xml:space="preserve"> </w:t>
      </w:r>
      <w:r>
        <w:t>and</w:t>
      </w:r>
      <w:r>
        <w:rPr>
          <w:spacing w:val="-3"/>
        </w:rPr>
        <w:t xml:space="preserve"> </w:t>
      </w:r>
      <w:r>
        <w:t>assurance</w:t>
      </w:r>
      <w:r>
        <w:rPr>
          <w:spacing w:val="-3"/>
        </w:rPr>
        <w:t xml:space="preserve"> </w:t>
      </w:r>
      <w:r>
        <w:t>standards</w:t>
      </w:r>
      <w:r>
        <w:rPr>
          <w:spacing w:val="-5"/>
        </w:rPr>
        <w:t xml:space="preserve"> </w:t>
      </w:r>
      <w:r>
        <w:t>other</w:t>
      </w:r>
      <w:r>
        <w:rPr>
          <w:spacing w:val="-4"/>
        </w:rPr>
        <w:t xml:space="preserve"> </w:t>
      </w:r>
      <w:r>
        <w:t>than</w:t>
      </w:r>
      <w:r>
        <w:rPr>
          <w:spacing w:val="-3"/>
        </w:rPr>
        <w:t xml:space="preserve"> </w:t>
      </w:r>
      <w:r>
        <w:t>for</w:t>
      </w:r>
      <w:r>
        <w:rPr>
          <w:spacing w:val="-3"/>
        </w:rPr>
        <w:t xml:space="preserve"> </w:t>
      </w:r>
      <w:r>
        <w:t>historical</w:t>
      </w:r>
      <w:r>
        <w:rPr>
          <w:spacing w:val="-2"/>
        </w:rPr>
        <w:t xml:space="preserve"> </w:t>
      </w:r>
      <w:r>
        <w:t>financial information as well as develop and issue other guidance on auditing and assurance</w:t>
      </w:r>
    </w:p>
    <w:p w14:paraId="1E8059BA" w14:textId="77777777" w:rsidR="00AA4A02" w:rsidRDefault="00960F31">
      <w:pPr>
        <w:pStyle w:val="BodyText"/>
        <w:spacing w:before="37"/>
        <w:rPr>
          <w:sz w:val="20"/>
        </w:rPr>
      </w:pPr>
      <w:r>
        <w:rPr>
          <w:noProof/>
          <w:sz w:val="20"/>
        </w:rPr>
        <mc:AlternateContent>
          <mc:Choice Requires="wps">
            <w:drawing>
              <wp:anchor distT="0" distB="0" distL="0" distR="0" simplePos="0" relativeHeight="487599616" behindDoc="1" locked="0" layoutInCell="1" allowOverlap="1" wp14:anchorId="1E805F41" wp14:editId="1E805F42">
                <wp:simplePos x="0" y="0"/>
                <wp:positionH relativeFrom="page">
                  <wp:posOffset>900988</wp:posOffset>
                </wp:positionH>
                <wp:positionV relativeFrom="paragraph">
                  <wp:posOffset>184909</wp:posOffset>
                </wp:positionV>
                <wp:extent cx="1829435"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1671F6" id="Graphic 46" o:spid="_x0000_s1026" style="position:absolute;margin-left:70.95pt;margin-top:14.55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" path="m1829053,l,,,7619r1829053,l1829053,xe" fillcolor="black" stroked="f">
                <v:path arrowok="t"/>
                <w10:wrap type="topAndBottom" anchorx="page"/>
              </v:shape>
            </w:pict>
          </mc:Fallback>
        </mc:AlternateContent>
      </w:r>
    </w:p>
    <w:p w14:paraId="1E8059BB" w14:textId="77777777" w:rsidR="00AA4A02" w:rsidRDefault="00960F31">
      <w:pPr>
        <w:tabs>
          <w:tab w:val="left" w:pos="426"/>
        </w:tabs>
        <w:spacing w:before="74" w:line="172" w:lineRule="exact"/>
        <w:ind w:left="143"/>
        <w:rPr>
          <w:sz w:val="16"/>
        </w:rPr>
      </w:pPr>
      <w:r>
        <w:rPr>
          <w:spacing w:val="-10"/>
          <w:sz w:val="16"/>
          <w:vertAlign w:val="superscript"/>
        </w:rPr>
        <w:t>2</w:t>
      </w:r>
      <w:r>
        <w:rPr>
          <w:sz w:val="16"/>
        </w:rPr>
        <w:tab/>
        <w:t>See</w:t>
      </w:r>
      <w:r>
        <w:rPr>
          <w:spacing w:val="-5"/>
          <w:sz w:val="16"/>
        </w:rPr>
        <w:t xml:space="preserve"> </w:t>
      </w:r>
      <w:r>
        <w:rPr>
          <w:sz w:val="16"/>
        </w:rPr>
        <w:t>ASIC</w:t>
      </w:r>
      <w:r>
        <w:rPr>
          <w:spacing w:val="-2"/>
          <w:sz w:val="16"/>
        </w:rPr>
        <w:t xml:space="preserve"> </w:t>
      </w:r>
      <w:r>
        <w:rPr>
          <w:sz w:val="16"/>
        </w:rPr>
        <w:t>Act,</w:t>
      </w:r>
      <w:r>
        <w:rPr>
          <w:spacing w:val="-2"/>
          <w:sz w:val="16"/>
        </w:rPr>
        <w:t xml:space="preserve"> </w:t>
      </w:r>
      <w:r>
        <w:rPr>
          <w:sz w:val="16"/>
        </w:rPr>
        <w:t>sections</w:t>
      </w:r>
      <w:r>
        <w:rPr>
          <w:spacing w:val="-5"/>
          <w:sz w:val="16"/>
        </w:rPr>
        <w:t xml:space="preserve"> </w:t>
      </w:r>
      <w:r>
        <w:rPr>
          <w:sz w:val="16"/>
        </w:rPr>
        <w:t>227B,</w:t>
      </w:r>
      <w:r>
        <w:rPr>
          <w:spacing w:val="-5"/>
          <w:sz w:val="16"/>
        </w:rPr>
        <w:t xml:space="preserve"> </w:t>
      </w:r>
      <w:r>
        <w:rPr>
          <w:sz w:val="16"/>
        </w:rPr>
        <w:t>234C</w:t>
      </w:r>
      <w:r>
        <w:rPr>
          <w:spacing w:val="-4"/>
          <w:sz w:val="16"/>
        </w:rPr>
        <w:t xml:space="preserve"> </w:t>
      </w:r>
      <w:r>
        <w:rPr>
          <w:sz w:val="16"/>
        </w:rPr>
        <w:t>and</w:t>
      </w:r>
      <w:r>
        <w:rPr>
          <w:spacing w:val="-2"/>
          <w:sz w:val="16"/>
        </w:rPr>
        <w:t xml:space="preserve"> </w:t>
      </w:r>
      <w:r>
        <w:rPr>
          <w:sz w:val="16"/>
        </w:rPr>
        <w:t>234D.</w:t>
      </w:r>
      <w:r>
        <w:rPr>
          <w:spacing w:val="-2"/>
          <w:sz w:val="16"/>
        </w:rPr>
        <w:t xml:space="preserve"> </w:t>
      </w:r>
      <w:r>
        <w:rPr>
          <w:sz w:val="16"/>
        </w:rPr>
        <w:t>Also</w:t>
      </w:r>
      <w:r>
        <w:rPr>
          <w:spacing w:val="-4"/>
          <w:sz w:val="16"/>
        </w:rPr>
        <w:t xml:space="preserve"> </w:t>
      </w:r>
      <w:r>
        <w:rPr>
          <w:sz w:val="16"/>
        </w:rPr>
        <w:t>refer</w:t>
      </w:r>
      <w:r>
        <w:rPr>
          <w:spacing w:val="-6"/>
          <w:sz w:val="16"/>
        </w:rPr>
        <w:t xml:space="preserve"> </w:t>
      </w:r>
      <w:r>
        <w:rPr>
          <w:sz w:val="16"/>
        </w:rPr>
        <w:t>to</w:t>
      </w:r>
      <w:r>
        <w:rPr>
          <w:spacing w:val="-4"/>
          <w:sz w:val="16"/>
        </w:rPr>
        <w:t xml:space="preserve"> </w:t>
      </w:r>
      <w:r>
        <w:rPr>
          <w:sz w:val="16"/>
        </w:rPr>
        <w:t>section</w:t>
      </w:r>
      <w:r>
        <w:rPr>
          <w:spacing w:val="-4"/>
          <w:sz w:val="16"/>
        </w:rPr>
        <w:t xml:space="preserve"> </w:t>
      </w:r>
      <w:r>
        <w:rPr>
          <w:sz w:val="16"/>
        </w:rPr>
        <w:t>4</w:t>
      </w:r>
      <w:r>
        <w:rPr>
          <w:spacing w:val="-4"/>
          <w:sz w:val="16"/>
        </w:rPr>
        <w:t xml:space="preserve"> </w:t>
      </w:r>
      <w:r>
        <w:rPr>
          <w:sz w:val="16"/>
        </w:rPr>
        <w:t>of</w:t>
      </w:r>
      <w:r>
        <w:rPr>
          <w:spacing w:val="-4"/>
          <w:sz w:val="16"/>
        </w:rPr>
        <w:t xml:space="preserve"> </w:t>
      </w:r>
      <w:r>
        <w:rPr>
          <w:sz w:val="16"/>
        </w:rPr>
        <w:t>the</w:t>
      </w:r>
      <w:r>
        <w:rPr>
          <w:spacing w:val="-2"/>
          <w:sz w:val="16"/>
        </w:rPr>
        <w:t xml:space="preserve"> </w:t>
      </w:r>
      <w:r>
        <w:rPr>
          <w:sz w:val="16"/>
        </w:rPr>
        <w:t>AUASB</w:t>
      </w:r>
      <w:r>
        <w:rPr>
          <w:spacing w:val="-4"/>
          <w:sz w:val="16"/>
        </w:rPr>
        <w:t xml:space="preserve"> </w:t>
      </w:r>
      <w:r>
        <w:rPr>
          <w:sz w:val="16"/>
        </w:rPr>
        <w:t>Board</w:t>
      </w:r>
      <w:r>
        <w:rPr>
          <w:spacing w:val="-4"/>
          <w:sz w:val="16"/>
        </w:rPr>
        <w:t xml:space="preserve"> </w:t>
      </w:r>
      <w:r>
        <w:rPr>
          <w:spacing w:val="-2"/>
          <w:sz w:val="16"/>
        </w:rPr>
        <w:t>Charter.</w:t>
      </w:r>
    </w:p>
    <w:p w14:paraId="1E8059BC" w14:textId="77777777" w:rsidR="00AA4A02" w:rsidRDefault="00960F31">
      <w:pPr>
        <w:tabs>
          <w:tab w:val="left" w:pos="426"/>
        </w:tabs>
        <w:spacing w:line="172" w:lineRule="exact"/>
        <w:ind w:left="143"/>
        <w:rPr>
          <w:sz w:val="16"/>
        </w:rPr>
      </w:pPr>
      <w:r>
        <w:rPr>
          <w:spacing w:val="-10"/>
          <w:sz w:val="16"/>
          <w:vertAlign w:val="superscript"/>
        </w:rPr>
        <w:t>3</w:t>
      </w:r>
      <w:r>
        <w:rPr>
          <w:sz w:val="16"/>
        </w:rPr>
        <w:tab/>
        <w:t>See</w:t>
      </w:r>
      <w:r>
        <w:rPr>
          <w:spacing w:val="-3"/>
          <w:sz w:val="16"/>
        </w:rPr>
        <w:t xml:space="preserve"> </w:t>
      </w:r>
      <w:r>
        <w:rPr>
          <w:sz w:val="16"/>
        </w:rPr>
        <w:t>ASIC</w:t>
      </w:r>
      <w:r>
        <w:rPr>
          <w:spacing w:val="-3"/>
          <w:sz w:val="16"/>
        </w:rPr>
        <w:t xml:space="preserve"> </w:t>
      </w:r>
      <w:r>
        <w:rPr>
          <w:sz w:val="16"/>
        </w:rPr>
        <w:t>Act,</w:t>
      </w:r>
      <w:r>
        <w:rPr>
          <w:spacing w:val="-3"/>
          <w:sz w:val="16"/>
        </w:rPr>
        <w:t xml:space="preserve"> </w:t>
      </w:r>
      <w:r>
        <w:rPr>
          <w:sz w:val="16"/>
        </w:rPr>
        <w:t>sections</w:t>
      </w:r>
      <w:r>
        <w:rPr>
          <w:spacing w:val="-6"/>
          <w:sz w:val="16"/>
        </w:rPr>
        <w:t xml:space="preserve"> </w:t>
      </w:r>
      <w:r>
        <w:rPr>
          <w:sz w:val="16"/>
        </w:rPr>
        <w:t>234C,</w:t>
      </w:r>
      <w:r>
        <w:rPr>
          <w:spacing w:val="-5"/>
          <w:sz w:val="16"/>
        </w:rPr>
        <w:t xml:space="preserve"> </w:t>
      </w:r>
      <w:r>
        <w:rPr>
          <w:sz w:val="16"/>
        </w:rPr>
        <w:t>236E</w:t>
      </w:r>
      <w:r>
        <w:rPr>
          <w:spacing w:val="-6"/>
          <w:sz w:val="16"/>
        </w:rPr>
        <w:t xml:space="preserve"> </w:t>
      </w:r>
      <w:r>
        <w:rPr>
          <w:sz w:val="16"/>
        </w:rPr>
        <w:t>and</w:t>
      </w:r>
      <w:r>
        <w:rPr>
          <w:spacing w:val="-4"/>
          <w:sz w:val="16"/>
        </w:rPr>
        <w:t xml:space="preserve"> </w:t>
      </w:r>
      <w:r>
        <w:rPr>
          <w:spacing w:val="-2"/>
          <w:sz w:val="16"/>
        </w:rPr>
        <w:t>236EA.</w:t>
      </w:r>
    </w:p>
    <w:p w14:paraId="1E8059BD"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9BE" w14:textId="77777777" w:rsidR="00AA4A02" w:rsidRDefault="00960F31">
      <w:pPr>
        <w:pStyle w:val="BodyText"/>
        <w:spacing w:before="219" w:line="208" w:lineRule="auto"/>
        <w:ind w:left="1562"/>
      </w:pPr>
      <w:r>
        <w:lastRenderedPageBreak/>
        <w:t>matters,</w:t>
      </w:r>
      <w:r>
        <w:rPr>
          <w:spacing w:val="-4"/>
        </w:rPr>
        <w:t xml:space="preserve"> </w:t>
      </w:r>
      <w:r>
        <w:t>and</w:t>
      </w:r>
      <w:r>
        <w:rPr>
          <w:spacing w:val="-3"/>
        </w:rPr>
        <w:t xml:space="preserve"> </w:t>
      </w:r>
      <w:r>
        <w:t>participate</w:t>
      </w:r>
      <w:r>
        <w:rPr>
          <w:spacing w:val="-4"/>
        </w:rPr>
        <w:t xml:space="preserve"> </w:t>
      </w:r>
      <w:r>
        <w:t>in</w:t>
      </w:r>
      <w:r>
        <w:rPr>
          <w:spacing w:val="-3"/>
        </w:rPr>
        <w:t xml:space="preserve"> </w:t>
      </w:r>
      <w:r>
        <w:t>audit</w:t>
      </w:r>
      <w:r>
        <w:rPr>
          <w:spacing w:val="-4"/>
        </w:rPr>
        <w:t xml:space="preserve"> </w:t>
      </w:r>
      <w:r>
        <w:t>research</w:t>
      </w:r>
      <w:r>
        <w:rPr>
          <w:spacing w:val="-4"/>
        </w:rPr>
        <w:t xml:space="preserve"> </w:t>
      </w:r>
      <w:r>
        <w:t>that</w:t>
      </w:r>
      <w:r>
        <w:rPr>
          <w:spacing w:val="-2"/>
        </w:rPr>
        <w:t xml:space="preserve"> </w:t>
      </w:r>
      <w:r>
        <w:t>is</w:t>
      </w:r>
      <w:r>
        <w:rPr>
          <w:spacing w:val="-3"/>
        </w:rPr>
        <w:t xml:space="preserve"> </w:t>
      </w:r>
      <w:r>
        <w:t>conducive</w:t>
      </w:r>
      <w:r>
        <w:rPr>
          <w:spacing w:val="-4"/>
        </w:rPr>
        <w:t xml:space="preserve"> </w:t>
      </w:r>
      <w:r>
        <w:t>to,</w:t>
      </w:r>
      <w:r>
        <w:rPr>
          <w:spacing w:val="-3"/>
        </w:rPr>
        <w:t xml:space="preserve"> </w:t>
      </w:r>
      <w:r>
        <w:t>and which</w:t>
      </w:r>
      <w:r>
        <w:rPr>
          <w:spacing w:val="-3"/>
        </w:rPr>
        <w:t xml:space="preserve"> </w:t>
      </w:r>
      <w:r>
        <w:t>significantly benefits, the standard-setting activities of the AUASB and its stakeholders.</w:t>
      </w:r>
    </w:p>
    <w:p w14:paraId="1E8059BF" w14:textId="77777777" w:rsidR="00AA4A02" w:rsidRDefault="00960F31">
      <w:pPr>
        <w:pStyle w:val="ListParagraph"/>
        <w:numPr>
          <w:ilvl w:val="0"/>
          <w:numId w:val="29"/>
        </w:numPr>
        <w:tabs>
          <w:tab w:val="left" w:pos="851"/>
        </w:tabs>
        <w:spacing w:line="208" w:lineRule="auto"/>
        <w:ind w:right="288"/>
      </w:pPr>
      <w:r>
        <w:t>Although funded by the government, the AUASB is an independent standard-setter as the ASIC</w:t>
      </w:r>
      <w:r>
        <w:rPr>
          <w:spacing w:val="-3"/>
        </w:rPr>
        <w:t xml:space="preserve"> </w:t>
      </w:r>
      <w:r>
        <w:t>Act</w:t>
      </w:r>
      <w:r>
        <w:rPr>
          <w:spacing w:val="-1"/>
        </w:rPr>
        <w:t xml:space="preserve"> </w:t>
      </w:r>
      <w:r>
        <w:t>expressly</w:t>
      </w:r>
      <w:r>
        <w:rPr>
          <w:spacing w:val="-2"/>
        </w:rPr>
        <w:t xml:space="preserve"> </w:t>
      </w:r>
      <w:r>
        <w:t>limits</w:t>
      </w:r>
      <w:r>
        <w:rPr>
          <w:spacing w:val="-4"/>
        </w:rPr>
        <w:t xml:space="preserve"> </w:t>
      </w:r>
      <w:r>
        <w:t>the</w:t>
      </w:r>
      <w:r>
        <w:rPr>
          <w:spacing w:val="-2"/>
        </w:rPr>
        <w:t xml:space="preserve"> </w:t>
      </w:r>
      <w:r>
        <w:t>FRC’s</w:t>
      </w:r>
      <w:r>
        <w:rPr>
          <w:spacing w:val="-2"/>
        </w:rPr>
        <w:t xml:space="preserve"> </w:t>
      </w:r>
      <w:r>
        <w:t>and</w:t>
      </w:r>
      <w:r>
        <w:rPr>
          <w:spacing w:val="-2"/>
        </w:rPr>
        <w:t xml:space="preserve"> </w:t>
      </w:r>
      <w:r>
        <w:t>the</w:t>
      </w:r>
      <w:r>
        <w:rPr>
          <w:spacing w:val="-2"/>
        </w:rPr>
        <w:t xml:space="preserve"> </w:t>
      </w:r>
      <w:r>
        <w:t>relevant</w:t>
      </w:r>
      <w:r>
        <w:rPr>
          <w:spacing w:val="-3"/>
        </w:rPr>
        <w:t xml:space="preserve"> </w:t>
      </w:r>
      <w:r>
        <w:t>Minister’s</w:t>
      </w:r>
      <w:r>
        <w:rPr>
          <w:spacing w:val="-4"/>
        </w:rPr>
        <w:t xml:space="preserve"> </w:t>
      </w:r>
      <w:r>
        <w:t>ability</w:t>
      </w:r>
      <w:r>
        <w:rPr>
          <w:spacing w:val="-5"/>
        </w:rPr>
        <w:t xml:space="preserve"> </w:t>
      </w:r>
      <w:r>
        <w:t>to</w:t>
      </w:r>
      <w:r>
        <w:rPr>
          <w:spacing w:val="-2"/>
        </w:rPr>
        <w:t xml:space="preserve"> </w:t>
      </w:r>
      <w:r>
        <w:t>direct</w:t>
      </w:r>
      <w:r>
        <w:rPr>
          <w:spacing w:val="-4"/>
        </w:rPr>
        <w:t xml:space="preserve"> </w:t>
      </w:r>
      <w:r>
        <w:t>the</w:t>
      </w:r>
      <w:r>
        <w:rPr>
          <w:spacing w:val="-2"/>
        </w:rPr>
        <w:t xml:space="preserve"> </w:t>
      </w:r>
      <w:r>
        <w:t>AUASB in relation to the development, or</w:t>
      </w:r>
      <w:r>
        <w:rPr>
          <w:spacing w:val="-1"/>
        </w:rPr>
        <w:t xml:space="preserve"> </w:t>
      </w:r>
      <w:r>
        <w:t>making, of a particular standard. The FRC and</w:t>
      </w:r>
      <w:r>
        <w:rPr>
          <w:spacing w:val="-4"/>
        </w:rPr>
        <w:t xml:space="preserve"> </w:t>
      </w:r>
      <w:r>
        <w:t>Minister do not</w:t>
      </w:r>
      <w:r>
        <w:rPr>
          <w:spacing w:val="-1"/>
        </w:rPr>
        <w:t xml:space="preserve"> </w:t>
      </w:r>
      <w:r>
        <w:t>have</w:t>
      </w:r>
      <w:r>
        <w:rPr>
          <w:spacing w:val="-2"/>
        </w:rPr>
        <w:t xml:space="preserve"> </w:t>
      </w:r>
      <w:r>
        <w:t>the</w:t>
      </w:r>
      <w:r>
        <w:rPr>
          <w:spacing w:val="-2"/>
        </w:rPr>
        <w:t xml:space="preserve"> </w:t>
      </w:r>
      <w:r>
        <w:t>power</w:t>
      </w:r>
      <w:r>
        <w:rPr>
          <w:spacing w:val="-4"/>
        </w:rPr>
        <w:t xml:space="preserve"> </w:t>
      </w:r>
      <w:r>
        <w:t>to</w:t>
      </w:r>
      <w:r>
        <w:rPr>
          <w:spacing w:val="-2"/>
        </w:rPr>
        <w:t xml:space="preserve"> </w:t>
      </w:r>
      <w:r>
        <w:t>veto</w:t>
      </w:r>
      <w:r>
        <w:rPr>
          <w:spacing w:val="-5"/>
        </w:rPr>
        <w:t xml:space="preserve"> </w:t>
      </w:r>
      <w:r>
        <w:t>a</w:t>
      </w:r>
      <w:r>
        <w:rPr>
          <w:spacing w:val="-2"/>
        </w:rPr>
        <w:t xml:space="preserve"> </w:t>
      </w:r>
      <w:r>
        <w:t>standard</w:t>
      </w:r>
      <w:r>
        <w:rPr>
          <w:spacing w:val="-5"/>
        </w:rPr>
        <w:t xml:space="preserve"> </w:t>
      </w:r>
      <w:r>
        <w:t>made,</w:t>
      </w:r>
      <w:r>
        <w:rPr>
          <w:spacing w:val="-5"/>
        </w:rPr>
        <w:t xml:space="preserve"> </w:t>
      </w:r>
      <w:r>
        <w:t>formulated</w:t>
      </w:r>
      <w:r>
        <w:rPr>
          <w:spacing w:val="-2"/>
        </w:rPr>
        <w:t xml:space="preserve"> </w:t>
      </w:r>
      <w:r>
        <w:t>or</w:t>
      </w:r>
      <w:r>
        <w:rPr>
          <w:spacing w:val="-2"/>
        </w:rPr>
        <w:t xml:space="preserve"> </w:t>
      </w:r>
      <w:r>
        <w:t>recommended</w:t>
      </w:r>
      <w:r>
        <w:rPr>
          <w:spacing w:val="-2"/>
        </w:rPr>
        <w:t xml:space="preserve"> </w:t>
      </w:r>
      <w:r>
        <w:t>by</w:t>
      </w:r>
      <w:r>
        <w:rPr>
          <w:spacing w:val="-4"/>
        </w:rPr>
        <w:t xml:space="preserve"> </w:t>
      </w:r>
      <w:r>
        <w:t>the</w:t>
      </w:r>
      <w:r>
        <w:rPr>
          <w:spacing w:val="-4"/>
        </w:rPr>
        <w:t xml:space="preserve"> </w:t>
      </w:r>
      <w:r>
        <w:t>AUASB and neither the FRC nor the Minister can direct a particular technical outcome.</w:t>
      </w:r>
      <w:r>
        <w:rPr>
          <w:vertAlign w:val="superscript"/>
        </w:rPr>
        <w:t>4</w:t>
      </w:r>
    </w:p>
    <w:p w14:paraId="1E8059C0" w14:textId="77777777" w:rsidR="00AA4A02" w:rsidRDefault="00960F31">
      <w:pPr>
        <w:pStyle w:val="ListParagraph"/>
        <w:numPr>
          <w:ilvl w:val="0"/>
          <w:numId w:val="29"/>
        </w:numPr>
        <w:tabs>
          <w:tab w:val="left" w:pos="851"/>
        </w:tabs>
        <w:spacing w:line="208" w:lineRule="auto"/>
        <w:ind w:right="397"/>
      </w:pPr>
      <w:r>
        <w:t>In Australia, the Accounting Professional &amp; Ethical Standards Board (APESB), an independent</w:t>
      </w:r>
      <w:r>
        <w:rPr>
          <w:spacing w:val="-2"/>
        </w:rPr>
        <w:t xml:space="preserve"> </w:t>
      </w:r>
      <w:r>
        <w:t>national</w:t>
      </w:r>
      <w:r>
        <w:rPr>
          <w:spacing w:val="-1"/>
        </w:rPr>
        <w:t xml:space="preserve"> </w:t>
      </w:r>
      <w:r>
        <w:t>body</w:t>
      </w:r>
      <w:r>
        <w:rPr>
          <w:spacing w:val="-8"/>
        </w:rPr>
        <w:t xml:space="preserve"> </w:t>
      </w:r>
      <w:r>
        <w:t>funded</w:t>
      </w:r>
      <w:r>
        <w:rPr>
          <w:spacing w:val="-5"/>
        </w:rPr>
        <w:t xml:space="preserve"> </w:t>
      </w:r>
      <w:r>
        <w:t>by</w:t>
      </w:r>
      <w:r>
        <w:rPr>
          <w:spacing w:val="-3"/>
        </w:rPr>
        <w:t xml:space="preserve"> </w:t>
      </w:r>
      <w:r>
        <w:t>the</w:t>
      </w:r>
      <w:r>
        <w:rPr>
          <w:spacing w:val="-3"/>
        </w:rPr>
        <w:t xml:space="preserve"> </w:t>
      </w:r>
      <w:r>
        <w:t>professional</w:t>
      </w:r>
      <w:r>
        <w:rPr>
          <w:spacing w:val="-5"/>
        </w:rPr>
        <w:t xml:space="preserve"> </w:t>
      </w:r>
      <w:r>
        <w:t>accounting</w:t>
      </w:r>
      <w:r>
        <w:rPr>
          <w:spacing w:val="-3"/>
        </w:rPr>
        <w:t xml:space="preserve"> </w:t>
      </w:r>
      <w:r>
        <w:t>bodies</w:t>
      </w:r>
      <w:r>
        <w:rPr>
          <w:vertAlign w:val="superscript"/>
        </w:rPr>
        <w:t>5</w:t>
      </w:r>
      <w:r>
        <w:t>,</w:t>
      </w:r>
      <w:r>
        <w:rPr>
          <w:spacing w:val="-3"/>
        </w:rPr>
        <w:t xml:space="preserve"> </w:t>
      </w:r>
      <w:r>
        <w:t>has</w:t>
      </w:r>
      <w:r>
        <w:rPr>
          <w:spacing w:val="-3"/>
        </w:rPr>
        <w:t xml:space="preserve"> </w:t>
      </w:r>
      <w:r>
        <w:t>responsibility for developing and issuing professional and ethical standards, including independence requirements, for audit and assurance practitioners through its Code of Ethics</w:t>
      </w:r>
      <w:r>
        <w:rPr>
          <w:vertAlign w:val="superscript"/>
        </w:rPr>
        <w:t>6</w:t>
      </w:r>
      <w:r>
        <w:t>. Pronouncements and other materials issued by the AUASB should have regard to and incorporate relevant APESB standards and guidance where appropriate.</w:t>
      </w:r>
    </w:p>
    <w:p w14:paraId="1E8059C1" w14:textId="77777777" w:rsidR="00AA4A02" w:rsidRDefault="00960F31">
      <w:pPr>
        <w:pStyle w:val="Heading4"/>
        <w:numPr>
          <w:ilvl w:val="0"/>
          <w:numId w:val="30"/>
        </w:numPr>
        <w:tabs>
          <w:tab w:val="left" w:pos="851"/>
        </w:tabs>
        <w:spacing w:before="159"/>
      </w:pPr>
      <w:bookmarkStart w:id="40" w:name="_TOC_250016"/>
      <w:r>
        <w:t>Due</w:t>
      </w:r>
      <w:r>
        <w:rPr>
          <w:spacing w:val="-4"/>
        </w:rPr>
        <w:t xml:space="preserve"> </w:t>
      </w:r>
      <w:r>
        <w:t>Process</w:t>
      </w:r>
      <w:r>
        <w:rPr>
          <w:spacing w:val="-1"/>
        </w:rPr>
        <w:t xml:space="preserve"> </w:t>
      </w:r>
      <w:bookmarkEnd w:id="40"/>
      <w:r>
        <w:rPr>
          <w:spacing w:val="-2"/>
        </w:rPr>
        <w:t>Principles</w:t>
      </w:r>
    </w:p>
    <w:p w14:paraId="1E8059C2" w14:textId="77777777" w:rsidR="00AA4A02" w:rsidRDefault="00960F31">
      <w:pPr>
        <w:pStyle w:val="ListParagraph"/>
        <w:numPr>
          <w:ilvl w:val="0"/>
          <w:numId w:val="29"/>
        </w:numPr>
        <w:tabs>
          <w:tab w:val="left" w:pos="851"/>
        </w:tabs>
        <w:spacing w:before="170"/>
      </w:pPr>
      <w:r>
        <w:t>The</w:t>
      </w:r>
      <w:r>
        <w:rPr>
          <w:spacing w:val="-6"/>
        </w:rPr>
        <w:t xml:space="preserve"> </w:t>
      </w:r>
      <w:r>
        <w:t>AUASB’s</w:t>
      </w:r>
      <w:r>
        <w:rPr>
          <w:spacing w:val="-3"/>
        </w:rPr>
        <w:t xml:space="preserve"> </w:t>
      </w:r>
      <w:r>
        <w:t>due</w:t>
      </w:r>
      <w:r>
        <w:rPr>
          <w:spacing w:val="-5"/>
        </w:rPr>
        <w:t xml:space="preserve"> </w:t>
      </w:r>
      <w:r>
        <w:t>process</w:t>
      </w:r>
      <w:r>
        <w:rPr>
          <w:spacing w:val="-7"/>
        </w:rPr>
        <w:t xml:space="preserve"> </w:t>
      </w:r>
      <w:r>
        <w:t>requirements</w:t>
      </w:r>
      <w:r>
        <w:rPr>
          <w:spacing w:val="-5"/>
        </w:rPr>
        <w:t xml:space="preserve"> </w:t>
      </w:r>
      <w:r>
        <w:t>are</w:t>
      </w:r>
      <w:r>
        <w:rPr>
          <w:spacing w:val="-4"/>
        </w:rPr>
        <w:t xml:space="preserve"> </w:t>
      </w:r>
      <w:r>
        <w:t>built</w:t>
      </w:r>
      <w:r>
        <w:rPr>
          <w:spacing w:val="-2"/>
        </w:rPr>
        <w:t xml:space="preserve"> </w:t>
      </w:r>
      <w:r>
        <w:t>on</w:t>
      </w:r>
      <w:r>
        <w:rPr>
          <w:spacing w:val="-6"/>
        </w:rPr>
        <w:t xml:space="preserve"> </w:t>
      </w:r>
      <w:r>
        <w:t>the</w:t>
      </w:r>
      <w:r>
        <w:rPr>
          <w:spacing w:val="-3"/>
        </w:rPr>
        <w:t xml:space="preserve"> </w:t>
      </w:r>
      <w:r>
        <w:t>following</w:t>
      </w:r>
      <w:r>
        <w:rPr>
          <w:spacing w:val="-3"/>
        </w:rPr>
        <w:t xml:space="preserve"> </w:t>
      </w:r>
      <w:r>
        <w:rPr>
          <w:spacing w:val="-2"/>
        </w:rPr>
        <w:t>principles:</w:t>
      </w:r>
    </w:p>
    <w:p w14:paraId="1E8059C3" w14:textId="77777777" w:rsidR="00AA4A02" w:rsidRDefault="00960F31">
      <w:pPr>
        <w:pStyle w:val="ListParagraph"/>
        <w:numPr>
          <w:ilvl w:val="1"/>
          <w:numId w:val="29"/>
        </w:numPr>
        <w:tabs>
          <w:tab w:val="left" w:pos="1562"/>
        </w:tabs>
        <w:spacing w:before="191" w:line="208" w:lineRule="auto"/>
        <w:ind w:right="690"/>
      </w:pPr>
      <w:r>
        <w:rPr>
          <w:i/>
        </w:rPr>
        <w:t>Public</w:t>
      </w:r>
      <w:r>
        <w:rPr>
          <w:i/>
          <w:spacing w:val="-3"/>
        </w:rPr>
        <w:t xml:space="preserve"> </w:t>
      </w:r>
      <w:r>
        <w:rPr>
          <w:i/>
        </w:rPr>
        <w:t>interest</w:t>
      </w:r>
      <w:r>
        <w:rPr>
          <w:i/>
          <w:spacing w:val="-2"/>
        </w:rPr>
        <w:t xml:space="preserve"> </w:t>
      </w:r>
      <w:r>
        <w:rPr>
          <w:i/>
        </w:rPr>
        <w:t>focus</w:t>
      </w:r>
      <w:r>
        <w:rPr>
          <w:vertAlign w:val="superscript"/>
        </w:rPr>
        <w:t>7</w:t>
      </w:r>
      <w:r>
        <w:rPr>
          <w:spacing w:val="-3"/>
        </w:rPr>
        <w:t xml:space="preserve"> </w:t>
      </w:r>
      <w:r>
        <w:t>–</w:t>
      </w:r>
      <w:r>
        <w:rPr>
          <w:spacing w:val="-3"/>
        </w:rPr>
        <w:t xml:space="preserve"> </w:t>
      </w:r>
      <w:r>
        <w:t>ensuring</w:t>
      </w:r>
      <w:r>
        <w:rPr>
          <w:spacing w:val="-6"/>
        </w:rPr>
        <w:t xml:space="preserve"> </w:t>
      </w:r>
      <w:r>
        <w:t>due</w:t>
      </w:r>
      <w:r>
        <w:rPr>
          <w:spacing w:val="-3"/>
        </w:rPr>
        <w:t xml:space="preserve"> </w:t>
      </w:r>
      <w:r>
        <w:t>process</w:t>
      </w:r>
      <w:r>
        <w:rPr>
          <w:spacing w:val="-5"/>
        </w:rPr>
        <w:t xml:space="preserve"> </w:t>
      </w:r>
      <w:r>
        <w:t>in</w:t>
      </w:r>
      <w:r>
        <w:rPr>
          <w:spacing w:val="-3"/>
        </w:rPr>
        <w:t xml:space="preserve"> </w:t>
      </w:r>
      <w:r>
        <w:t>setting</w:t>
      </w:r>
      <w:r>
        <w:rPr>
          <w:spacing w:val="-3"/>
        </w:rPr>
        <w:t xml:space="preserve"> </w:t>
      </w:r>
      <w:r>
        <w:t>standards</w:t>
      </w:r>
      <w:r>
        <w:rPr>
          <w:spacing w:val="-5"/>
        </w:rPr>
        <w:t xml:space="preserve"> </w:t>
      </w:r>
      <w:r>
        <w:t>and</w:t>
      </w:r>
      <w:r>
        <w:rPr>
          <w:spacing w:val="-3"/>
        </w:rPr>
        <w:t xml:space="preserve"> </w:t>
      </w:r>
      <w:r>
        <w:t>developing guidance is followed effectively with proper regard for the public interest.</w:t>
      </w:r>
    </w:p>
    <w:p w14:paraId="1E8059C4" w14:textId="77777777" w:rsidR="00AA4A02" w:rsidRDefault="00960F31">
      <w:pPr>
        <w:pStyle w:val="ListParagraph"/>
        <w:numPr>
          <w:ilvl w:val="1"/>
          <w:numId w:val="29"/>
        </w:numPr>
        <w:tabs>
          <w:tab w:val="left" w:pos="1562"/>
        </w:tabs>
        <w:spacing w:line="208" w:lineRule="auto"/>
        <w:ind w:right="187"/>
      </w:pPr>
      <w:r>
        <w:rPr>
          <w:i/>
        </w:rPr>
        <w:t>Transparency</w:t>
      </w:r>
      <w:r>
        <w:rPr>
          <w:vertAlign w:val="superscript"/>
        </w:rPr>
        <w:t>8</w:t>
      </w:r>
      <w:r>
        <w:t xml:space="preserve"> – conducting the standard-setting process in a transparent manner and making public</w:t>
      </w:r>
      <w:r>
        <w:rPr>
          <w:spacing w:val="-2"/>
        </w:rPr>
        <w:t xml:space="preserve"> </w:t>
      </w:r>
      <w:r>
        <w:t>the</w:t>
      </w:r>
      <w:r>
        <w:rPr>
          <w:spacing w:val="-2"/>
        </w:rPr>
        <w:t xml:space="preserve"> </w:t>
      </w:r>
      <w:r>
        <w:t>information on which</w:t>
      </w:r>
      <w:r>
        <w:rPr>
          <w:spacing w:val="-2"/>
        </w:rPr>
        <w:t xml:space="preserve"> </w:t>
      </w:r>
      <w:r>
        <w:t>the AUASB</w:t>
      </w:r>
      <w:r>
        <w:rPr>
          <w:spacing w:val="-2"/>
        </w:rPr>
        <w:t xml:space="preserve"> </w:t>
      </w:r>
      <w:r>
        <w:t>bases</w:t>
      </w:r>
      <w:r>
        <w:rPr>
          <w:spacing w:val="-2"/>
        </w:rPr>
        <w:t xml:space="preserve"> </w:t>
      </w:r>
      <w:r>
        <w:t>its decisions at the earliest opportunity, including public board papers and meetings, timely notification of tentative</w:t>
      </w:r>
      <w:r>
        <w:rPr>
          <w:spacing w:val="-4"/>
        </w:rPr>
        <w:t xml:space="preserve"> </w:t>
      </w:r>
      <w:r>
        <w:t>and</w:t>
      </w:r>
      <w:r>
        <w:rPr>
          <w:spacing w:val="-4"/>
        </w:rPr>
        <w:t xml:space="preserve"> </w:t>
      </w:r>
      <w:r>
        <w:t>final</w:t>
      </w:r>
      <w:r>
        <w:rPr>
          <w:spacing w:val="-1"/>
        </w:rPr>
        <w:t xml:space="preserve"> </w:t>
      </w:r>
      <w:r>
        <w:t>decisions</w:t>
      </w:r>
      <w:r>
        <w:rPr>
          <w:spacing w:val="-2"/>
        </w:rPr>
        <w:t xml:space="preserve"> </w:t>
      </w:r>
      <w:r>
        <w:t>and,</w:t>
      </w:r>
      <w:r>
        <w:rPr>
          <w:spacing w:val="-5"/>
        </w:rPr>
        <w:t xml:space="preserve"> </w:t>
      </w:r>
      <w:r>
        <w:t>for</w:t>
      </w:r>
      <w:r>
        <w:rPr>
          <w:spacing w:val="-4"/>
        </w:rPr>
        <w:t xml:space="preserve"> </w:t>
      </w:r>
      <w:r>
        <w:t>new</w:t>
      </w:r>
      <w:r>
        <w:rPr>
          <w:spacing w:val="-2"/>
        </w:rPr>
        <w:t xml:space="preserve"> </w:t>
      </w:r>
      <w:r>
        <w:t>and</w:t>
      </w:r>
      <w:r>
        <w:rPr>
          <w:spacing w:val="-5"/>
        </w:rPr>
        <w:t xml:space="preserve"> </w:t>
      </w:r>
      <w:r>
        <w:t>revised</w:t>
      </w:r>
      <w:r>
        <w:rPr>
          <w:spacing w:val="-4"/>
        </w:rPr>
        <w:t xml:space="preserve"> </w:t>
      </w:r>
      <w:r>
        <w:t>AUASB</w:t>
      </w:r>
      <w:r>
        <w:rPr>
          <w:spacing w:val="-4"/>
        </w:rPr>
        <w:t xml:space="preserve"> </w:t>
      </w:r>
      <w:r>
        <w:t>Standards, publishing</w:t>
      </w:r>
      <w:r>
        <w:rPr>
          <w:spacing w:val="-2"/>
        </w:rPr>
        <w:t xml:space="preserve"> </w:t>
      </w:r>
      <w:r>
        <w:t>a Basis for Conclusions</w:t>
      </w:r>
      <w:r>
        <w:rPr>
          <w:vertAlign w:val="superscript"/>
        </w:rPr>
        <w:t>9</w:t>
      </w:r>
      <w:r>
        <w:t xml:space="preserve"> that indicates how decisions were reached and public comments responded to.</w:t>
      </w:r>
    </w:p>
    <w:p w14:paraId="1E8059C5" w14:textId="77777777" w:rsidR="00AA4A02" w:rsidRDefault="00960F31">
      <w:pPr>
        <w:pStyle w:val="ListParagraph"/>
        <w:numPr>
          <w:ilvl w:val="1"/>
          <w:numId w:val="29"/>
        </w:numPr>
        <w:tabs>
          <w:tab w:val="left" w:pos="1562"/>
        </w:tabs>
        <w:spacing w:before="199" w:line="208" w:lineRule="auto"/>
        <w:ind w:right="622"/>
      </w:pPr>
      <w:r>
        <w:rPr>
          <w:i/>
        </w:rPr>
        <w:t>Evidence-informed</w:t>
      </w:r>
      <w:r>
        <w:rPr>
          <w:vertAlign w:val="superscript"/>
        </w:rPr>
        <w:t>10</w:t>
      </w:r>
      <w:r>
        <w:rPr>
          <w:spacing w:val="-4"/>
        </w:rPr>
        <w:t xml:space="preserve"> </w:t>
      </w:r>
      <w:r>
        <w:t>–</w:t>
      </w:r>
      <w:r>
        <w:rPr>
          <w:spacing w:val="-4"/>
        </w:rPr>
        <w:t xml:space="preserve"> </w:t>
      </w:r>
      <w:r>
        <w:t>directing</w:t>
      </w:r>
      <w:r>
        <w:rPr>
          <w:spacing w:val="-4"/>
        </w:rPr>
        <w:t xml:space="preserve"> </w:t>
      </w:r>
      <w:r>
        <w:t>AUASB</w:t>
      </w:r>
      <w:r>
        <w:rPr>
          <w:spacing w:val="-6"/>
        </w:rPr>
        <w:t xml:space="preserve"> </w:t>
      </w:r>
      <w:r>
        <w:t>activities</w:t>
      </w:r>
      <w:r>
        <w:rPr>
          <w:spacing w:val="-4"/>
        </w:rPr>
        <w:t xml:space="preserve"> </w:t>
      </w:r>
      <w:r>
        <w:t>to</w:t>
      </w:r>
      <w:r>
        <w:rPr>
          <w:spacing w:val="-4"/>
        </w:rPr>
        <w:t xml:space="preserve"> </w:t>
      </w:r>
      <w:r>
        <w:t>ensure</w:t>
      </w:r>
      <w:r>
        <w:rPr>
          <w:spacing w:val="-6"/>
        </w:rPr>
        <w:t xml:space="preserve"> </w:t>
      </w:r>
      <w:r>
        <w:t>that</w:t>
      </w:r>
      <w:r>
        <w:rPr>
          <w:spacing w:val="-3"/>
        </w:rPr>
        <w:t xml:space="preserve"> </w:t>
      </w:r>
      <w:r>
        <w:t>standard-setting deliberations and decisions are informed by relevant and reliable evidence.</w:t>
      </w:r>
    </w:p>
    <w:p w14:paraId="1E8059C6" w14:textId="77777777" w:rsidR="00AA4A02" w:rsidRDefault="00960F31">
      <w:pPr>
        <w:pStyle w:val="ListParagraph"/>
        <w:numPr>
          <w:ilvl w:val="1"/>
          <w:numId w:val="29"/>
        </w:numPr>
        <w:tabs>
          <w:tab w:val="left" w:pos="1562"/>
        </w:tabs>
        <w:spacing w:before="200" w:line="208" w:lineRule="auto"/>
        <w:ind w:right="141"/>
      </w:pPr>
      <w:r>
        <w:rPr>
          <w:i/>
        </w:rPr>
        <w:t>Independence</w:t>
      </w:r>
      <w:r>
        <w:rPr>
          <w:i/>
          <w:spacing w:val="-4"/>
        </w:rPr>
        <w:t xml:space="preserve"> </w:t>
      </w:r>
      <w:r>
        <w:rPr>
          <w:i/>
        </w:rPr>
        <w:t>(both</w:t>
      </w:r>
      <w:r>
        <w:rPr>
          <w:i/>
          <w:spacing w:val="-2"/>
        </w:rPr>
        <w:t xml:space="preserve"> </w:t>
      </w:r>
      <w:r>
        <w:rPr>
          <w:i/>
        </w:rPr>
        <w:t>real</w:t>
      </w:r>
      <w:r>
        <w:rPr>
          <w:i/>
          <w:spacing w:val="-2"/>
        </w:rPr>
        <w:t xml:space="preserve"> </w:t>
      </w:r>
      <w:r>
        <w:rPr>
          <w:i/>
        </w:rPr>
        <w:t>and</w:t>
      </w:r>
      <w:r>
        <w:rPr>
          <w:i/>
          <w:spacing w:val="-2"/>
        </w:rPr>
        <w:t xml:space="preserve"> </w:t>
      </w:r>
      <w:r>
        <w:rPr>
          <w:i/>
        </w:rPr>
        <w:t>perceived)</w:t>
      </w:r>
      <w:r>
        <w:rPr>
          <w:i/>
          <w:spacing w:val="-2"/>
        </w:rPr>
        <w:t xml:space="preserve"> </w:t>
      </w:r>
      <w:r>
        <w:t>–</w:t>
      </w:r>
      <w:r>
        <w:rPr>
          <w:spacing w:val="-2"/>
        </w:rPr>
        <w:t xml:space="preserve"> </w:t>
      </w:r>
      <w:r>
        <w:t>putting</w:t>
      </w:r>
      <w:r>
        <w:rPr>
          <w:spacing w:val="-5"/>
        </w:rPr>
        <w:t xml:space="preserve"> </w:t>
      </w:r>
      <w:r>
        <w:t>mechanisms</w:t>
      </w:r>
      <w:r>
        <w:rPr>
          <w:spacing w:val="-2"/>
        </w:rPr>
        <w:t xml:space="preserve"> </w:t>
      </w:r>
      <w:r>
        <w:t>in</w:t>
      </w:r>
      <w:r>
        <w:rPr>
          <w:spacing w:val="-5"/>
        </w:rPr>
        <w:t xml:space="preserve"> </w:t>
      </w:r>
      <w:r>
        <w:t>place</w:t>
      </w:r>
      <w:r>
        <w:rPr>
          <w:spacing w:val="-4"/>
        </w:rPr>
        <w:t xml:space="preserve"> </w:t>
      </w:r>
      <w:r>
        <w:t>to</w:t>
      </w:r>
      <w:r>
        <w:rPr>
          <w:spacing w:val="-2"/>
        </w:rPr>
        <w:t xml:space="preserve"> </w:t>
      </w:r>
      <w:r>
        <w:t>reinforce</w:t>
      </w:r>
      <w:r>
        <w:rPr>
          <w:spacing w:val="-2"/>
        </w:rPr>
        <w:t xml:space="preserve"> </w:t>
      </w:r>
      <w:r>
        <w:t>the importance of objectivity in the standard-setting process, benefitting from deep technical</w:t>
      </w:r>
      <w:r>
        <w:rPr>
          <w:spacing w:val="-4"/>
        </w:rPr>
        <w:t xml:space="preserve"> </w:t>
      </w:r>
      <w:r>
        <w:t>expertise</w:t>
      </w:r>
      <w:r>
        <w:rPr>
          <w:spacing w:val="-4"/>
        </w:rPr>
        <w:t xml:space="preserve"> </w:t>
      </w:r>
      <w:r>
        <w:t>and a</w:t>
      </w:r>
      <w:r>
        <w:rPr>
          <w:spacing w:val="-4"/>
        </w:rPr>
        <w:t xml:space="preserve"> </w:t>
      </w:r>
      <w:r>
        <w:t>diversity</w:t>
      </w:r>
      <w:r>
        <w:rPr>
          <w:spacing w:val="-5"/>
        </w:rPr>
        <w:t xml:space="preserve"> </w:t>
      </w:r>
      <w:r>
        <w:t>of</w:t>
      </w:r>
      <w:r>
        <w:rPr>
          <w:spacing w:val="-2"/>
        </w:rPr>
        <w:t xml:space="preserve"> </w:t>
      </w:r>
      <w:r>
        <w:t>perspectives but</w:t>
      </w:r>
      <w:r>
        <w:rPr>
          <w:spacing w:val="-4"/>
        </w:rPr>
        <w:t xml:space="preserve"> </w:t>
      </w:r>
      <w:r>
        <w:t>without</w:t>
      </w:r>
      <w:r>
        <w:rPr>
          <w:spacing w:val="-1"/>
        </w:rPr>
        <w:t xml:space="preserve"> </w:t>
      </w:r>
      <w:r>
        <w:t>undue</w:t>
      </w:r>
      <w:r>
        <w:rPr>
          <w:spacing w:val="-4"/>
        </w:rPr>
        <w:t xml:space="preserve"> </w:t>
      </w:r>
      <w:r>
        <w:t>influences</w:t>
      </w:r>
      <w:r>
        <w:rPr>
          <w:spacing w:val="-2"/>
        </w:rPr>
        <w:t xml:space="preserve"> </w:t>
      </w:r>
      <w:r>
        <w:t>or</w:t>
      </w:r>
      <w:r>
        <w:rPr>
          <w:spacing w:val="-2"/>
        </w:rPr>
        <w:t xml:space="preserve"> </w:t>
      </w:r>
      <w:r>
        <w:t>bias towards special interest groups, political pressures or personal interests.</w:t>
      </w:r>
    </w:p>
    <w:p w14:paraId="1E8059C7" w14:textId="77777777" w:rsidR="00AA4A02" w:rsidRDefault="00960F31">
      <w:pPr>
        <w:pStyle w:val="ListParagraph"/>
        <w:numPr>
          <w:ilvl w:val="1"/>
          <w:numId w:val="29"/>
        </w:numPr>
        <w:tabs>
          <w:tab w:val="left" w:pos="1562"/>
        </w:tabs>
        <w:spacing w:before="200" w:line="208" w:lineRule="auto"/>
        <w:ind w:right="761"/>
      </w:pPr>
      <w:r>
        <w:rPr>
          <w:i/>
        </w:rPr>
        <w:t>International</w:t>
      </w:r>
      <w:r>
        <w:rPr>
          <w:i/>
          <w:spacing w:val="-6"/>
        </w:rPr>
        <w:t xml:space="preserve"> </w:t>
      </w:r>
      <w:r>
        <w:rPr>
          <w:i/>
        </w:rPr>
        <w:t>cooperation</w:t>
      </w:r>
      <w:r>
        <w:rPr>
          <w:i/>
          <w:spacing w:val="-7"/>
        </w:rPr>
        <w:t xml:space="preserve"> </w:t>
      </w:r>
      <w:r>
        <w:rPr>
          <w:i/>
        </w:rPr>
        <w:t>and</w:t>
      </w:r>
      <w:r>
        <w:rPr>
          <w:i/>
          <w:spacing w:val="-4"/>
        </w:rPr>
        <w:t xml:space="preserve"> </w:t>
      </w:r>
      <w:r>
        <w:rPr>
          <w:i/>
        </w:rPr>
        <w:t>engagement</w:t>
      </w:r>
      <w:r>
        <w:rPr>
          <w:vertAlign w:val="superscript"/>
        </w:rPr>
        <w:t>11</w:t>
      </w:r>
      <w:r>
        <w:rPr>
          <w:spacing w:val="-4"/>
        </w:rPr>
        <w:t xml:space="preserve"> </w:t>
      </w:r>
      <w:r>
        <w:t>–</w:t>
      </w:r>
      <w:r>
        <w:rPr>
          <w:spacing w:val="-7"/>
        </w:rPr>
        <w:t xml:space="preserve"> </w:t>
      </w:r>
      <w:r>
        <w:t>maximising</w:t>
      </w:r>
      <w:r>
        <w:rPr>
          <w:spacing w:val="-4"/>
        </w:rPr>
        <w:t xml:space="preserve"> </w:t>
      </w:r>
      <w:r>
        <w:t>Australian</w:t>
      </w:r>
      <w:r>
        <w:rPr>
          <w:spacing w:val="-4"/>
        </w:rPr>
        <w:t xml:space="preserve"> </w:t>
      </w:r>
      <w:r>
        <w:t>input</w:t>
      </w:r>
      <w:r>
        <w:rPr>
          <w:spacing w:val="-6"/>
        </w:rPr>
        <w:t xml:space="preserve"> </w:t>
      </w:r>
      <w:r>
        <w:t xml:space="preserve">and influence with the IAASB and, when relevant, other national and international </w:t>
      </w:r>
      <w:r>
        <w:rPr>
          <w:spacing w:val="-2"/>
        </w:rPr>
        <w:t>standard-setters.</w:t>
      </w:r>
    </w:p>
    <w:p w14:paraId="1E8059C8" w14:textId="77777777" w:rsidR="00AA4A02" w:rsidRDefault="00960F31">
      <w:pPr>
        <w:pStyle w:val="ListParagraph"/>
        <w:numPr>
          <w:ilvl w:val="1"/>
          <w:numId w:val="29"/>
        </w:numPr>
        <w:tabs>
          <w:tab w:val="left" w:pos="1562"/>
        </w:tabs>
        <w:spacing w:before="199" w:line="208" w:lineRule="auto"/>
        <w:ind w:right="425"/>
      </w:pPr>
      <w:r>
        <w:rPr>
          <w:i/>
        </w:rPr>
        <w:t>Convergence to international standards and harmonisation with New Zealand standards</w:t>
      </w:r>
      <w:r>
        <w:rPr>
          <w:vertAlign w:val="superscript"/>
        </w:rPr>
        <w:t>12</w:t>
      </w:r>
      <w:r>
        <w:rPr>
          <w:spacing w:val="-2"/>
        </w:rPr>
        <w:t xml:space="preserve"> </w:t>
      </w:r>
      <w:r>
        <w:t>–</w:t>
      </w:r>
      <w:r>
        <w:rPr>
          <w:spacing w:val="-2"/>
        </w:rPr>
        <w:t xml:space="preserve"> </w:t>
      </w:r>
      <w:r>
        <w:t>setting</w:t>
      </w:r>
      <w:r>
        <w:rPr>
          <w:spacing w:val="-5"/>
        </w:rPr>
        <w:t xml:space="preserve"> </w:t>
      </w:r>
      <w:r>
        <w:t>the</w:t>
      </w:r>
      <w:r>
        <w:rPr>
          <w:spacing w:val="-4"/>
        </w:rPr>
        <w:t xml:space="preserve"> </w:t>
      </w:r>
      <w:r>
        <w:t>framework</w:t>
      </w:r>
      <w:r>
        <w:rPr>
          <w:spacing w:val="-2"/>
        </w:rPr>
        <w:t xml:space="preserve"> </w:t>
      </w:r>
      <w:r>
        <w:t>for</w:t>
      </w:r>
      <w:r>
        <w:rPr>
          <w:spacing w:val="-2"/>
        </w:rPr>
        <w:t xml:space="preserve"> </w:t>
      </w:r>
      <w:r>
        <w:t>the</w:t>
      </w:r>
      <w:r>
        <w:rPr>
          <w:spacing w:val="-2"/>
        </w:rPr>
        <w:t xml:space="preserve"> </w:t>
      </w:r>
      <w:r>
        <w:t>standard</w:t>
      </w:r>
      <w:r>
        <w:rPr>
          <w:spacing w:val="-5"/>
        </w:rPr>
        <w:t xml:space="preserve"> </w:t>
      </w:r>
      <w:r>
        <w:t>setting</w:t>
      </w:r>
      <w:r>
        <w:rPr>
          <w:spacing w:val="-5"/>
        </w:rPr>
        <w:t xml:space="preserve"> </w:t>
      </w:r>
      <w:r>
        <w:t>process</w:t>
      </w:r>
      <w:r>
        <w:rPr>
          <w:spacing w:val="-2"/>
        </w:rPr>
        <w:t xml:space="preserve"> </w:t>
      </w:r>
      <w:r>
        <w:t>of</w:t>
      </w:r>
      <w:r>
        <w:rPr>
          <w:spacing w:val="-4"/>
        </w:rPr>
        <w:t xml:space="preserve"> </w:t>
      </w:r>
      <w:r>
        <w:t>the</w:t>
      </w:r>
      <w:r>
        <w:rPr>
          <w:spacing w:val="-2"/>
        </w:rPr>
        <w:t xml:space="preserve"> </w:t>
      </w:r>
      <w:r>
        <w:t>AUASB.</w:t>
      </w:r>
    </w:p>
    <w:p w14:paraId="1E8059C9" w14:textId="77777777" w:rsidR="00AA4A02" w:rsidRDefault="00960F31">
      <w:pPr>
        <w:pStyle w:val="ListParagraph"/>
        <w:numPr>
          <w:ilvl w:val="1"/>
          <w:numId w:val="29"/>
        </w:numPr>
        <w:tabs>
          <w:tab w:val="left" w:pos="1562"/>
        </w:tabs>
        <w:spacing w:line="208" w:lineRule="auto"/>
        <w:ind w:right="166"/>
      </w:pPr>
      <w:r>
        <w:rPr>
          <w:i/>
        </w:rPr>
        <w:t>Appropriate consultation</w:t>
      </w:r>
      <w:r>
        <w:rPr>
          <w:vertAlign w:val="superscript"/>
        </w:rPr>
        <w:t>13</w:t>
      </w:r>
      <w:r>
        <w:t xml:space="preserve"> – consulting in a genuine and timely manner with interested</w:t>
      </w:r>
      <w:r>
        <w:rPr>
          <w:spacing w:val="-2"/>
        </w:rPr>
        <w:t xml:space="preserve"> </w:t>
      </w:r>
      <w:r>
        <w:t>and</w:t>
      </w:r>
      <w:r>
        <w:rPr>
          <w:spacing w:val="-4"/>
        </w:rPr>
        <w:t xml:space="preserve"> </w:t>
      </w:r>
      <w:r>
        <w:t>affected</w:t>
      </w:r>
      <w:r>
        <w:rPr>
          <w:spacing w:val="-4"/>
        </w:rPr>
        <w:t xml:space="preserve"> </w:t>
      </w:r>
      <w:r>
        <w:t>parties,</w:t>
      </w:r>
      <w:r>
        <w:rPr>
          <w:spacing w:val="-2"/>
        </w:rPr>
        <w:t xml:space="preserve"> </w:t>
      </w:r>
      <w:r>
        <w:t>to</w:t>
      </w:r>
      <w:r>
        <w:rPr>
          <w:spacing w:val="-5"/>
        </w:rPr>
        <w:t xml:space="preserve"> </w:t>
      </w:r>
      <w:r>
        <w:t>enhance</w:t>
      </w:r>
      <w:r>
        <w:rPr>
          <w:spacing w:val="-4"/>
        </w:rPr>
        <w:t xml:space="preserve"> </w:t>
      </w:r>
      <w:r>
        <w:t>the</w:t>
      </w:r>
      <w:r>
        <w:rPr>
          <w:spacing w:val="-4"/>
        </w:rPr>
        <w:t xml:space="preserve"> </w:t>
      </w:r>
      <w:r>
        <w:t>quality</w:t>
      </w:r>
      <w:r>
        <w:rPr>
          <w:spacing w:val="-2"/>
        </w:rPr>
        <w:t xml:space="preserve"> </w:t>
      </w:r>
      <w:r>
        <w:t>of</w:t>
      </w:r>
      <w:r>
        <w:rPr>
          <w:spacing w:val="-2"/>
        </w:rPr>
        <w:t xml:space="preserve"> </w:t>
      </w:r>
      <w:r>
        <w:t>standards</w:t>
      </w:r>
      <w:r>
        <w:rPr>
          <w:spacing w:val="-4"/>
        </w:rPr>
        <w:t xml:space="preserve"> </w:t>
      </w:r>
      <w:r>
        <w:t>and</w:t>
      </w:r>
      <w:r>
        <w:rPr>
          <w:spacing w:val="-2"/>
        </w:rPr>
        <w:t xml:space="preserve"> </w:t>
      </w:r>
      <w:r>
        <w:t>guidance</w:t>
      </w:r>
      <w:r>
        <w:rPr>
          <w:spacing w:val="-4"/>
        </w:rPr>
        <w:t xml:space="preserve"> </w:t>
      </w:r>
      <w:r>
        <w:t>and</w:t>
      </w:r>
      <w:r>
        <w:rPr>
          <w:spacing w:val="-2"/>
        </w:rPr>
        <w:t xml:space="preserve"> </w:t>
      </w:r>
      <w:r>
        <w:t>to be satisfied that the standard-setting process is appropriate and responsive to the</w:t>
      </w:r>
      <w:r>
        <w:rPr>
          <w:spacing w:val="40"/>
        </w:rPr>
        <w:t xml:space="preserve"> </w:t>
      </w:r>
      <w:r>
        <w:t>public interest.</w:t>
      </w:r>
    </w:p>
    <w:p w14:paraId="1E8059CA" w14:textId="77777777" w:rsidR="00AA4A02" w:rsidRDefault="00AA4A02">
      <w:pPr>
        <w:pStyle w:val="BodyText"/>
        <w:rPr>
          <w:sz w:val="20"/>
        </w:rPr>
      </w:pPr>
    </w:p>
    <w:p w14:paraId="1E8059CB" w14:textId="77777777" w:rsidR="00AA4A02" w:rsidRDefault="00960F31">
      <w:pPr>
        <w:pStyle w:val="BodyText"/>
        <w:spacing w:before="228"/>
        <w:rPr>
          <w:sz w:val="20"/>
        </w:rPr>
      </w:pPr>
      <w:r>
        <w:rPr>
          <w:noProof/>
          <w:sz w:val="20"/>
        </w:rPr>
        <mc:AlternateContent>
          <mc:Choice Requires="wps">
            <w:drawing>
              <wp:anchor distT="0" distB="0" distL="0" distR="0" simplePos="0" relativeHeight="487600128" behindDoc="1" locked="0" layoutInCell="1" allowOverlap="1" wp14:anchorId="1E805F43" wp14:editId="1E805F44">
                <wp:simplePos x="0" y="0"/>
                <wp:positionH relativeFrom="page">
                  <wp:posOffset>900988</wp:posOffset>
                </wp:positionH>
                <wp:positionV relativeFrom="paragraph">
                  <wp:posOffset>306059</wp:posOffset>
                </wp:positionV>
                <wp:extent cx="1829435" cy="762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A257D" id="Graphic 47" o:spid="_x0000_s1026" style="position:absolute;margin-left:70.95pt;margin-top:24.1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ApeFgDfAAAACQEAAA8AAAAAAAAAAAAAAAAAfQQAAGRycy9kb3du&#10;cmV2LnhtbFBLBQYAAAAABAAEAPMAAACJBQAAAAA=&#10;" path="m1829053,l,,,7619r1829053,l1829053,xe" fillcolor="black" stroked="f">
                <v:path arrowok="t"/>
                <w10:wrap type="topAndBottom" anchorx="page"/>
              </v:shape>
            </w:pict>
          </mc:Fallback>
        </mc:AlternateContent>
      </w:r>
    </w:p>
    <w:p w14:paraId="1E8059CC" w14:textId="77777777" w:rsidR="00AA4A02" w:rsidRDefault="00960F31">
      <w:pPr>
        <w:tabs>
          <w:tab w:val="left" w:pos="426"/>
        </w:tabs>
        <w:spacing w:before="74" w:line="171" w:lineRule="exact"/>
        <w:ind w:left="143"/>
        <w:rPr>
          <w:sz w:val="16"/>
        </w:rPr>
      </w:pPr>
      <w:r>
        <w:rPr>
          <w:spacing w:val="-10"/>
          <w:sz w:val="16"/>
          <w:vertAlign w:val="superscript"/>
        </w:rPr>
        <w:t>4</w:t>
      </w:r>
      <w:r>
        <w:rPr>
          <w:sz w:val="16"/>
        </w:rPr>
        <w:tab/>
        <w:t>See</w:t>
      </w:r>
      <w:r>
        <w:rPr>
          <w:spacing w:val="-3"/>
          <w:sz w:val="16"/>
        </w:rPr>
        <w:t xml:space="preserve"> </w:t>
      </w:r>
      <w:r>
        <w:rPr>
          <w:sz w:val="16"/>
        </w:rPr>
        <w:t>section</w:t>
      </w:r>
      <w:r>
        <w:rPr>
          <w:spacing w:val="-3"/>
          <w:sz w:val="16"/>
        </w:rPr>
        <w:t xml:space="preserve"> </w:t>
      </w:r>
      <w:r>
        <w:rPr>
          <w:sz w:val="16"/>
        </w:rPr>
        <w:t>4</w:t>
      </w:r>
      <w:r>
        <w:rPr>
          <w:spacing w:val="-4"/>
          <w:sz w:val="16"/>
        </w:rPr>
        <w:t xml:space="preserve"> </w:t>
      </w:r>
      <w:r>
        <w:rPr>
          <w:sz w:val="16"/>
        </w:rPr>
        <w:t>of</w:t>
      </w:r>
      <w:r>
        <w:rPr>
          <w:spacing w:val="-6"/>
          <w:sz w:val="16"/>
        </w:rPr>
        <w:t xml:space="preserve"> </w:t>
      </w:r>
      <w:r>
        <w:rPr>
          <w:sz w:val="16"/>
        </w:rPr>
        <w:t>the</w:t>
      </w:r>
      <w:r>
        <w:rPr>
          <w:spacing w:val="-3"/>
          <w:sz w:val="16"/>
        </w:rPr>
        <w:t xml:space="preserve"> </w:t>
      </w:r>
      <w:hyperlink r:id="rId57">
        <w:r>
          <w:rPr>
            <w:color w:val="0000FF"/>
            <w:sz w:val="16"/>
            <w:u w:val="single" w:color="0000FF"/>
          </w:rPr>
          <w:t>Board</w:t>
        </w:r>
        <w:r>
          <w:rPr>
            <w:color w:val="0000FF"/>
            <w:spacing w:val="-4"/>
            <w:sz w:val="16"/>
            <w:u w:val="single" w:color="0000FF"/>
          </w:rPr>
          <w:t xml:space="preserve"> </w:t>
        </w:r>
        <w:r>
          <w:rPr>
            <w:color w:val="0000FF"/>
            <w:sz w:val="16"/>
            <w:u w:val="single" w:color="0000FF"/>
          </w:rPr>
          <w:t>Charter</w:t>
        </w:r>
      </w:hyperlink>
      <w:r>
        <w:rPr>
          <w:color w:val="0000FF"/>
          <w:spacing w:val="-2"/>
          <w:sz w:val="16"/>
        </w:rPr>
        <w:t xml:space="preserve"> </w:t>
      </w:r>
      <w:r>
        <w:rPr>
          <w:sz w:val="16"/>
        </w:rPr>
        <w:t>and</w:t>
      </w:r>
      <w:r>
        <w:rPr>
          <w:spacing w:val="-2"/>
          <w:sz w:val="16"/>
        </w:rPr>
        <w:t xml:space="preserve"> </w:t>
      </w:r>
      <w:r>
        <w:rPr>
          <w:sz w:val="16"/>
        </w:rPr>
        <w:t>section</w:t>
      </w:r>
      <w:r>
        <w:rPr>
          <w:spacing w:val="-4"/>
          <w:sz w:val="16"/>
        </w:rPr>
        <w:t xml:space="preserve"> </w:t>
      </w:r>
      <w:r>
        <w:rPr>
          <w:sz w:val="16"/>
        </w:rPr>
        <w:t>225</w:t>
      </w:r>
      <w:r>
        <w:rPr>
          <w:spacing w:val="-4"/>
          <w:sz w:val="16"/>
        </w:rPr>
        <w:t xml:space="preserve"> </w:t>
      </w:r>
      <w:r>
        <w:rPr>
          <w:sz w:val="16"/>
        </w:rPr>
        <w:t>of</w:t>
      </w:r>
      <w:r>
        <w:rPr>
          <w:spacing w:val="-5"/>
          <w:sz w:val="16"/>
        </w:rPr>
        <w:t xml:space="preserve"> </w:t>
      </w:r>
      <w:r>
        <w:rPr>
          <w:sz w:val="16"/>
        </w:rPr>
        <w:t>the</w:t>
      </w:r>
      <w:r>
        <w:rPr>
          <w:spacing w:val="-2"/>
          <w:sz w:val="16"/>
        </w:rPr>
        <w:t xml:space="preserve"> </w:t>
      </w:r>
      <w:r>
        <w:rPr>
          <w:sz w:val="16"/>
        </w:rPr>
        <w:t>ASIC</w:t>
      </w:r>
      <w:r>
        <w:rPr>
          <w:spacing w:val="-2"/>
          <w:sz w:val="16"/>
        </w:rPr>
        <w:t xml:space="preserve"> </w:t>
      </w:r>
      <w:r>
        <w:rPr>
          <w:spacing w:val="-4"/>
          <w:sz w:val="16"/>
        </w:rPr>
        <w:t>Act.</w:t>
      </w:r>
    </w:p>
    <w:p w14:paraId="1E8059CD" w14:textId="77777777" w:rsidR="00AA4A02" w:rsidRDefault="00960F31">
      <w:pPr>
        <w:tabs>
          <w:tab w:val="left" w:pos="426"/>
        </w:tabs>
        <w:spacing w:line="160" w:lineRule="exact"/>
        <w:ind w:left="143"/>
        <w:rPr>
          <w:sz w:val="16"/>
        </w:rPr>
      </w:pPr>
      <w:r>
        <w:rPr>
          <w:spacing w:val="-10"/>
          <w:sz w:val="16"/>
          <w:vertAlign w:val="superscript"/>
        </w:rPr>
        <w:t>5</w:t>
      </w:r>
      <w:r>
        <w:rPr>
          <w:sz w:val="16"/>
        </w:rPr>
        <w:tab/>
        <w:t>Chartered</w:t>
      </w:r>
      <w:r>
        <w:rPr>
          <w:spacing w:val="-7"/>
          <w:sz w:val="16"/>
        </w:rPr>
        <w:t xml:space="preserve"> </w:t>
      </w:r>
      <w:r>
        <w:rPr>
          <w:sz w:val="16"/>
        </w:rPr>
        <w:t>Accountants</w:t>
      </w:r>
      <w:r>
        <w:rPr>
          <w:spacing w:val="-6"/>
          <w:sz w:val="16"/>
        </w:rPr>
        <w:t xml:space="preserve"> </w:t>
      </w:r>
      <w:r>
        <w:rPr>
          <w:sz w:val="16"/>
        </w:rPr>
        <w:t>Australia</w:t>
      </w:r>
      <w:r>
        <w:rPr>
          <w:spacing w:val="-7"/>
          <w:sz w:val="16"/>
        </w:rPr>
        <w:t xml:space="preserve"> </w:t>
      </w:r>
      <w:r>
        <w:rPr>
          <w:sz w:val="16"/>
        </w:rPr>
        <w:t>and</w:t>
      </w:r>
      <w:r>
        <w:rPr>
          <w:spacing w:val="-8"/>
          <w:sz w:val="16"/>
        </w:rPr>
        <w:t xml:space="preserve"> </w:t>
      </w:r>
      <w:r>
        <w:rPr>
          <w:sz w:val="16"/>
        </w:rPr>
        <w:t>New</w:t>
      </w:r>
      <w:r>
        <w:rPr>
          <w:spacing w:val="-5"/>
          <w:sz w:val="16"/>
        </w:rPr>
        <w:t xml:space="preserve"> </w:t>
      </w:r>
      <w:r>
        <w:rPr>
          <w:sz w:val="16"/>
        </w:rPr>
        <w:t>Zealand</w:t>
      </w:r>
      <w:r>
        <w:rPr>
          <w:spacing w:val="-5"/>
          <w:sz w:val="16"/>
        </w:rPr>
        <w:t xml:space="preserve"> </w:t>
      </w:r>
      <w:r>
        <w:rPr>
          <w:sz w:val="16"/>
        </w:rPr>
        <w:t>(CA</w:t>
      </w:r>
      <w:r>
        <w:rPr>
          <w:spacing w:val="-7"/>
          <w:sz w:val="16"/>
        </w:rPr>
        <w:t xml:space="preserve"> </w:t>
      </w:r>
      <w:r>
        <w:rPr>
          <w:sz w:val="16"/>
        </w:rPr>
        <w:t>ANZ),</w:t>
      </w:r>
      <w:r>
        <w:rPr>
          <w:spacing w:val="-7"/>
          <w:sz w:val="16"/>
        </w:rPr>
        <w:t xml:space="preserve"> </w:t>
      </w:r>
      <w:r>
        <w:rPr>
          <w:sz w:val="16"/>
        </w:rPr>
        <w:t>CPA</w:t>
      </w:r>
      <w:r>
        <w:rPr>
          <w:spacing w:val="-6"/>
          <w:sz w:val="16"/>
        </w:rPr>
        <w:t xml:space="preserve"> </w:t>
      </w:r>
      <w:r>
        <w:rPr>
          <w:sz w:val="16"/>
        </w:rPr>
        <w:t>Australia</w:t>
      </w:r>
      <w:r>
        <w:rPr>
          <w:spacing w:val="-6"/>
          <w:sz w:val="16"/>
        </w:rPr>
        <w:t xml:space="preserve"> </w:t>
      </w:r>
      <w:r>
        <w:rPr>
          <w:sz w:val="16"/>
        </w:rPr>
        <w:t>and</w:t>
      </w:r>
      <w:r>
        <w:rPr>
          <w:spacing w:val="-6"/>
          <w:sz w:val="16"/>
        </w:rPr>
        <w:t xml:space="preserve"> </w:t>
      </w:r>
      <w:r>
        <w:rPr>
          <w:sz w:val="16"/>
        </w:rPr>
        <w:t>the</w:t>
      </w:r>
      <w:r>
        <w:rPr>
          <w:spacing w:val="-7"/>
          <w:sz w:val="16"/>
        </w:rPr>
        <w:t xml:space="preserve"> </w:t>
      </w:r>
      <w:r>
        <w:rPr>
          <w:sz w:val="16"/>
        </w:rPr>
        <w:t>Institute</w:t>
      </w:r>
      <w:r>
        <w:rPr>
          <w:spacing w:val="-7"/>
          <w:sz w:val="16"/>
        </w:rPr>
        <w:t xml:space="preserve"> </w:t>
      </w:r>
      <w:r>
        <w:rPr>
          <w:sz w:val="16"/>
        </w:rPr>
        <w:t>of</w:t>
      </w:r>
      <w:r>
        <w:rPr>
          <w:spacing w:val="-5"/>
          <w:sz w:val="16"/>
        </w:rPr>
        <w:t xml:space="preserve"> </w:t>
      </w:r>
      <w:r>
        <w:rPr>
          <w:sz w:val="16"/>
        </w:rPr>
        <w:t>Public</w:t>
      </w:r>
      <w:r>
        <w:rPr>
          <w:spacing w:val="-5"/>
          <w:sz w:val="16"/>
        </w:rPr>
        <w:t xml:space="preserve"> </w:t>
      </w:r>
      <w:r>
        <w:rPr>
          <w:sz w:val="16"/>
        </w:rPr>
        <w:t>Accountants</w:t>
      </w:r>
      <w:r>
        <w:rPr>
          <w:spacing w:val="-4"/>
          <w:sz w:val="16"/>
        </w:rPr>
        <w:t xml:space="preserve"> </w:t>
      </w:r>
      <w:r>
        <w:rPr>
          <w:spacing w:val="-2"/>
          <w:sz w:val="16"/>
        </w:rPr>
        <w:t>(IPA).</w:t>
      </w:r>
    </w:p>
    <w:p w14:paraId="1E8059CE" w14:textId="77777777" w:rsidR="00AA4A02" w:rsidRDefault="00960F31">
      <w:pPr>
        <w:tabs>
          <w:tab w:val="left" w:pos="426"/>
        </w:tabs>
        <w:spacing w:before="8" w:line="208" w:lineRule="auto"/>
        <w:ind w:left="427" w:right="220" w:hanging="284"/>
        <w:rPr>
          <w:sz w:val="16"/>
        </w:rPr>
      </w:pPr>
      <w:r>
        <w:rPr>
          <w:spacing w:val="-10"/>
          <w:sz w:val="16"/>
          <w:vertAlign w:val="superscript"/>
        </w:rPr>
        <w:t>6</w:t>
      </w:r>
      <w:r>
        <w:rPr>
          <w:sz w:val="16"/>
        </w:rPr>
        <w:tab/>
        <w:t>See</w:t>
      </w:r>
      <w:r>
        <w:rPr>
          <w:spacing w:val="-1"/>
          <w:sz w:val="16"/>
        </w:rPr>
        <w:t xml:space="preserve"> </w:t>
      </w:r>
      <w:hyperlink r:id="rId58">
        <w:r>
          <w:rPr>
            <w:color w:val="0000FF"/>
            <w:sz w:val="16"/>
            <w:u w:val="single" w:color="0000FF"/>
          </w:rPr>
          <w:t>APES</w:t>
        </w:r>
        <w:r>
          <w:rPr>
            <w:color w:val="0000FF"/>
            <w:spacing w:val="-5"/>
            <w:sz w:val="16"/>
            <w:u w:val="single" w:color="0000FF"/>
          </w:rPr>
          <w:t xml:space="preserve"> </w:t>
        </w:r>
        <w:r>
          <w:rPr>
            <w:color w:val="0000FF"/>
            <w:sz w:val="16"/>
            <w:u w:val="single" w:color="0000FF"/>
          </w:rPr>
          <w:t>110</w:t>
        </w:r>
        <w:r>
          <w:rPr>
            <w:color w:val="0000FF"/>
            <w:spacing w:val="-3"/>
            <w:sz w:val="16"/>
            <w:u w:val="single" w:color="0000FF"/>
          </w:rPr>
          <w:t xml:space="preserve"> </w:t>
        </w:r>
        <w:r>
          <w:rPr>
            <w:i/>
            <w:color w:val="0000FF"/>
            <w:sz w:val="16"/>
            <w:u w:val="single" w:color="0000FF"/>
          </w:rPr>
          <w:t>Code</w:t>
        </w:r>
        <w:r>
          <w:rPr>
            <w:i/>
            <w:color w:val="0000FF"/>
            <w:spacing w:val="-4"/>
            <w:sz w:val="16"/>
            <w:u w:val="single" w:color="0000FF"/>
          </w:rPr>
          <w:t xml:space="preserve"> </w:t>
        </w:r>
        <w:r>
          <w:rPr>
            <w:i/>
            <w:color w:val="0000FF"/>
            <w:sz w:val="16"/>
            <w:u w:val="single" w:color="0000FF"/>
          </w:rPr>
          <w:t>of</w:t>
        </w:r>
        <w:r>
          <w:rPr>
            <w:i/>
            <w:color w:val="0000FF"/>
            <w:spacing w:val="-3"/>
            <w:sz w:val="16"/>
            <w:u w:val="single" w:color="0000FF"/>
          </w:rPr>
          <w:t xml:space="preserve"> </w:t>
        </w:r>
        <w:r>
          <w:rPr>
            <w:i/>
            <w:color w:val="0000FF"/>
            <w:sz w:val="16"/>
            <w:u w:val="single" w:color="0000FF"/>
          </w:rPr>
          <w:t>Ethics</w:t>
        </w:r>
        <w:r>
          <w:rPr>
            <w:i/>
            <w:color w:val="0000FF"/>
            <w:spacing w:val="-4"/>
            <w:sz w:val="16"/>
            <w:u w:val="single" w:color="0000FF"/>
          </w:rPr>
          <w:t xml:space="preserve"> </w:t>
        </w:r>
        <w:r>
          <w:rPr>
            <w:i/>
            <w:color w:val="0000FF"/>
            <w:sz w:val="16"/>
            <w:u w:val="single" w:color="0000FF"/>
          </w:rPr>
          <w:t>for</w:t>
        </w:r>
        <w:r>
          <w:rPr>
            <w:i/>
            <w:color w:val="0000FF"/>
            <w:spacing w:val="-2"/>
            <w:sz w:val="16"/>
            <w:u w:val="single" w:color="0000FF"/>
          </w:rPr>
          <w:t xml:space="preserve"> </w:t>
        </w:r>
        <w:r>
          <w:rPr>
            <w:i/>
            <w:color w:val="0000FF"/>
            <w:sz w:val="16"/>
            <w:u w:val="single" w:color="0000FF"/>
          </w:rPr>
          <w:t>Professional</w:t>
        </w:r>
        <w:r>
          <w:rPr>
            <w:i/>
            <w:color w:val="0000FF"/>
            <w:spacing w:val="-3"/>
            <w:sz w:val="16"/>
            <w:u w:val="single" w:color="0000FF"/>
          </w:rPr>
          <w:t xml:space="preserve"> </w:t>
        </w:r>
        <w:r>
          <w:rPr>
            <w:i/>
            <w:color w:val="0000FF"/>
            <w:sz w:val="16"/>
            <w:u w:val="single" w:color="0000FF"/>
          </w:rPr>
          <w:t>Accountants</w:t>
        </w:r>
        <w:r>
          <w:rPr>
            <w:i/>
            <w:color w:val="0000FF"/>
            <w:spacing w:val="-2"/>
            <w:sz w:val="16"/>
            <w:u w:val="single" w:color="0000FF"/>
          </w:rPr>
          <w:t xml:space="preserve"> </w:t>
        </w:r>
        <w:r>
          <w:rPr>
            <w:i/>
            <w:color w:val="0000FF"/>
            <w:sz w:val="16"/>
            <w:u w:val="single" w:color="0000FF"/>
          </w:rPr>
          <w:t>(including</w:t>
        </w:r>
        <w:r>
          <w:rPr>
            <w:i/>
            <w:color w:val="0000FF"/>
            <w:spacing w:val="-1"/>
            <w:sz w:val="16"/>
            <w:u w:val="single" w:color="0000FF"/>
          </w:rPr>
          <w:t xml:space="preserve"> </w:t>
        </w:r>
        <w:r>
          <w:rPr>
            <w:i/>
            <w:color w:val="0000FF"/>
            <w:sz w:val="16"/>
            <w:u w:val="single" w:color="0000FF"/>
          </w:rPr>
          <w:t>Independence</w:t>
        </w:r>
        <w:r>
          <w:rPr>
            <w:i/>
            <w:color w:val="0000FF"/>
            <w:spacing w:val="-4"/>
            <w:sz w:val="16"/>
            <w:u w:val="single" w:color="0000FF"/>
          </w:rPr>
          <w:t xml:space="preserve"> </w:t>
        </w:r>
        <w:r>
          <w:rPr>
            <w:i/>
            <w:color w:val="0000FF"/>
            <w:sz w:val="16"/>
            <w:u w:val="single" w:color="0000FF"/>
          </w:rPr>
          <w:t>Standards)</w:t>
        </w:r>
      </w:hyperlink>
      <w:r>
        <w:rPr>
          <w:i/>
          <w:color w:val="0000FF"/>
          <w:sz w:val="16"/>
        </w:rPr>
        <w:t xml:space="preserve"> </w:t>
      </w:r>
      <w:r>
        <w:rPr>
          <w:sz w:val="16"/>
        </w:rPr>
        <w:t>which</w:t>
      </w:r>
      <w:r>
        <w:rPr>
          <w:spacing w:val="-3"/>
          <w:sz w:val="16"/>
        </w:rPr>
        <w:t xml:space="preserve"> </w:t>
      </w:r>
      <w:r>
        <w:rPr>
          <w:sz w:val="16"/>
        </w:rPr>
        <w:t>has</w:t>
      </w:r>
      <w:r>
        <w:rPr>
          <w:spacing w:val="-4"/>
          <w:sz w:val="16"/>
        </w:rPr>
        <w:t xml:space="preserve"> </w:t>
      </w:r>
      <w:r>
        <w:rPr>
          <w:sz w:val="16"/>
        </w:rPr>
        <w:t>the</w:t>
      </w:r>
      <w:r>
        <w:rPr>
          <w:spacing w:val="-1"/>
          <w:sz w:val="16"/>
        </w:rPr>
        <w:t xml:space="preserve"> </w:t>
      </w:r>
      <w:r>
        <w:rPr>
          <w:sz w:val="16"/>
        </w:rPr>
        <w:t>force</w:t>
      </w:r>
      <w:r>
        <w:rPr>
          <w:spacing w:val="-4"/>
          <w:sz w:val="16"/>
        </w:rPr>
        <w:t xml:space="preserve"> </w:t>
      </w:r>
      <w:r>
        <w:rPr>
          <w:sz w:val="16"/>
        </w:rPr>
        <w:t>of</w:t>
      </w:r>
      <w:r>
        <w:rPr>
          <w:spacing w:val="-3"/>
          <w:sz w:val="16"/>
        </w:rPr>
        <w:t xml:space="preserve"> </w:t>
      </w:r>
      <w:r>
        <w:rPr>
          <w:sz w:val="16"/>
        </w:rPr>
        <w:t>law</w:t>
      </w:r>
      <w:r>
        <w:rPr>
          <w:spacing w:val="-3"/>
          <w:sz w:val="16"/>
        </w:rPr>
        <w:t xml:space="preserve"> </w:t>
      </w:r>
      <w:r>
        <w:rPr>
          <w:sz w:val="16"/>
        </w:rPr>
        <w:t>in</w:t>
      </w:r>
      <w:r>
        <w:rPr>
          <w:spacing w:val="-1"/>
          <w:sz w:val="16"/>
        </w:rPr>
        <w:t xml:space="preserve"> </w:t>
      </w:r>
      <w:r>
        <w:rPr>
          <w:sz w:val="16"/>
        </w:rPr>
        <w:t>Australia</w:t>
      </w:r>
      <w:r>
        <w:rPr>
          <w:spacing w:val="40"/>
          <w:sz w:val="16"/>
        </w:rPr>
        <w:t xml:space="preserve"> </w:t>
      </w:r>
      <w:r>
        <w:rPr>
          <w:sz w:val="16"/>
        </w:rPr>
        <w:t>through the auditing standards</w:t>
      </w:r>
      <w:r>
        <w:rPr>
          <w:i/>
          <w:sz w:val="16"/>
        </w:rPr>
        <w:t xml:space="preserve">. </w:t>
      </w:r>
      <w:r>
        <w:rPr>
          <w:sz w:val="16"/>
        </w:rPr>
        <w:t>The APESB uses relevant international standards and guidance issued by the International Ethics</w:t>
      </w:r>
      <w:r>
        <w:rPr>
          <w:spacing w:val="40"/>
          <w:sz w:val="16"/>
        </w:rPr>
        <w:t xml:space="preserve"> </w:t>
      </w:r>
      <w:r>
        <w:rPr>
          <w:sz w:val="16"/>
        </w:rPr>
        <w:t>Standards Board for Accountants (IESBA) as basis for the development of local APESB professional and ethical standards.</w:t>
      </w:r>
    </w:p>
    <w:p w14:paraId="1E8059CF" w14:textId="77777777" w:rsidR="00AA4A02" w:rsidRDefault="00960F31">
      <w:pPr>
        <w:tabs>
          <w:tab w:val="left" w:pos="426"/>
        </w:tabs>
        <w:spacing w:line="153" w:lineRule="exact"/>
        <w:ind w:left="143"/>
        <w:rPr>
          <w:sz w:val="16"/>
        </w:rPr>
      </w:pPr>
      <w:r>
        <w:rPr>
          <w:spacing w:val="-10"/>
          <w:sz w:val="16"/>
          <w:vertAlign w:val="superscript"/>
        </w:rPr>
        <w:t>7</w:t>
      </w:r>
      <w:r>
        <w:rPr>
          <w:sz w:val="16"/>
        </w:rPr>
        <w:tab/>
        <w:t>Refer</w:t>
      </w:r>
      <w:r>
        <w:rPr>
          <w:spacing w:val="-8"/>
          <w:sz w:val="16"/>
        </w:rPr>
        <w:t xml:space="preserve"> </w:t>
      </w:r>
      <w:r>
        <w:rPr>
          <w:sz w:val="16"/>
        </w:rPr>
        <w:t>to</w:t>
      </w:r>
      <w:r>
        <w:rPr>
          <w:spacing w:val="-5"/>
          <w:sz w:val="16"/>
        </w:rPr>
        <w:t xml:space="preserve"> </w:t>
      </w:r>
      <w:r>
        <w:rPr>
          <w:sz w:val="16"/>
        </w:rPr>
        <w:t>details</w:t>
      </w:r>
      <w:r>
        <w:rPr>
          <w:spacing w:val="-6"/>
          <w:sz w:val="16"/>
        </w:rPr>
        <w:t xml:space="preserve"> </w:t>
      </w:r>
      <w:r>
        <w:rPr>
          <w:sz w:val="16"/>
        </w:rPr>
        <w:t>of</w:t>
      </w:r>
      <w:r>
        <w:rPr>
          <w:spacing w:val="-5"/>
          <w:sz w:val="16"/>
        </w:rPr>
        <w:t xml:space="preserve"> </w:t>
      </w:r>
      <w:r>
        <w:rPr>
          <w:sz w:val="16"/>
        </w:rPr>
        <w:t>the</w:t>
      </w:r>
      <w:r>
        <w:rPr>
          <w:spacing w:val="-6"/>
          <w:sz w:val="16"/>
        </w:rPr>
        <w:t xml:space="preserve"> </w:t>
      </w:r>
      <w:r>
        <w:rPr>
          <w:sz w:val="16"/>
        </w:rPr>
        <w:t>AUASB’s</w:t>
      </w:r>
      <w:r>
        <w:rPr>
          <w:spacing w:val="-3"/>
          <w:sz w:val="16"/>
        </w:rPr>
        <w:t xml:space="preserve"> </w:t>
      </w:r>
      <w:r>
        <w:rPr>
          <w:sz w:val="16"/>
        </w:rPr>
        <w:t>Public</w:t>
      </w:r>
      <w:r>
        <w:rPr>
          <w:spacing w:val="-3"/>
          <w:sz w:val="16"/>
        </w:rPr>
        <w:t xml:space="preserve"> </w:t>
      </w:r>
      <w:r>
        <w:rPr>
          <w:sz w:val="16"/>
        </w:rPr>
        <w:t>Interest</w:t>
      </w:r>
      <w:r>
        <w:rPr>
          <w:spacing w:val="-6"/>
          <w:sz w:val="16"/>
        </w:rPr>
        <w:t xml:space="preserve"> </w:t>
      </w:r>
      <w:r>
        <w:rPr>
          <w:sz w:val="16"/>
        </w:rPr>
        <w:t>Framework</w:t>
      </w:r>
      <w:r>
        <w:rPr>
          <w:spacing w:val="-5"/>
          <w:sz w:val="16"/>
        </w:rPr>
        <w:t xml:space="preserve"> </w:t>
      </w:r>
      <w:r>
        <w:rPr>
          <w:sz w:val="16"/>
        </w:rPr>
        <w:t>in</w:t>
      </w:r>
      <w:r>
        <w:rPr>
          <w:spacing w:val="-3"/>
          <w:sz w:val="16"/>
        </w:rPr>
        <w:t xml:space="preserve"> </w:t>
      </w:r>
      <w:r>
        <w:rPr>
          <w:sz w:val="16"/>
        </w:rPr>
        <w:t>Appendix</w:t>
      </w:r>
      <w:r>
        <w:rPr>
          <w:spacing w:val="-5"/>
          <w:sz w:val="16"/>
        </w:rPr>
        <w:t xml:space="preserve"> 1.</w:t>
      </w:r>
    </w:p>
    <w:p w14:paraId="1E8059D0" w14:textId="77777777" w:rsidR="00AA4A02" w:rsidRDefault="00960F31">
      <w:pPr>
        <w:tabs>
          <w:tab w:val="left" w:pos="426"/>
        </w:tabs>
        <w:spacing w:line="160" w:lineRule="exact"/>
        <w:ind w:left="143"/>
        <w:rPr>
          <w:sz w:val="16"/>
        </w:rPr>
      </w:pPr>
      <w:r>
        <w:rPr>
          <w:spacing w:val="-10"/>
          <w:sz w:val="16"/>
          <w:vertAlign w:val="superscript"/>
        </w:rPr>
        <w:t>8</w:t>
      </w:r>
      <w:r>
        <w:rPr>
          <w:sz w:val="16"/>
        </w:rPr>
        <w:tab/>
        <w:t>Also</w:t>
      </w:r>
      <w:r>
        <w:rPr>
          <w:spacing w:val="-3"/>
          <w:sz w:val="16"/>
        </w:rPr>
        <w:t xml:space="preserve"> </w:t>
      </w:r>
      <w:r>
        <w:rPr>
          <w:sz w:val="16"/>
        </w:rPr>
        <w:t>refer</w:t>
      </w:r>
      <w:r>
        <w:rPr>
          <w:spacing w:val="-4"/>
          <w:sz w:val="16"/>
        </w:rPr>
        <w:t xml:space="preserve"> </w:t>
      </w:r>
      <w:r>
        <w:rPr>
          <w:sz w:val="16"/>
        </w:rPr>
        <w:t>to</w:t>
      </w:r>
      <w:r>
        <w:rPr>
          <w:spacing w:val="-5"/>
          <w:sz w:val="16"/>
        </w:rPr>
        <w:t xml:space="preserve"> </w:t>
      </w:r>
      <w:r>
        <w:rPr>
          <w:sz w:val="16"/>
        </w:rPr>
        <w:t>the</w:t>
      </w:r>
      <w:r>
        <w:rPr>
          <w:spacing w:val="-3"/>
          <w:sz w:val="16"/>
        </w:rPr>
        <w:t xml:space="preserve"> </w:t>
      </w:r>
      <w:hyperlink r:id="rId59">
        <w:r>
          <w:rPr>
            <w:color w:val="0000FF"/>
            <w:sz w:val="16"/>
            <w:u w:val="single" w:color="0000FF"/>
          </w:rPr>
          <w:t>Board</w:t>
        </w:r>
        <w:r>
          <w:rPr>
            <w:color w:val="0000FF"/>
            <w:spacing w:val="-5"/>
            <w:sz w:val="16"/>
            <w:u w:val="single" w:color="0000FF"/>
          </w:rPr>
          <w:t xml:space="preserve"> </w:t>
        </w:r>
        <w:r>
          <w:rPr>
            <w:color w:val="0000FF"/>
            <w:sz w:val="16"/>
            <w:u w:val="single" w:color="0000FF"/>
          </w:rPr>
          <w:t>Charter</w:t>
        </w:r>
      </w:hyperlink>
      <w:r>
        <w:rPr>
          <w:color w:val="0000FF"/>
          <w:spacing w:val="-2"/>
          <w:sz w:val="16"/>
        </w:rPr>
        <w:t xml:space="preserve"> </w:t>
      </w:r>
      <w:r>
        <w:rPr>
          <w:sz w:val="16"/>
        </w:rPr>
        <w:t>which</w:t>
      </w:r>
      <w:r>
        <w:rPr>
          <w:spacing w:val="-4"/>
          <w:sz w:val="16"/>
        </w:rPr>
        <w:t xml:space="preserve"> </w:t>
      </w:r>
      <w:r>
        <w:rPr>
          <w:sz w:val="16"/>
        </w:rPr>
        <w:t>sets</w:t>
      </w:r>
      <w:r>
        <w:rPr>
          <w:spacing w:val="-6"/>
          <w:sz w:val="16"/>
        </w:rPr>
        <w:t xml:space="preserve"> </w:t>
      </w:r>
      <w:r>
        <w:rPr>
          <w:sz w:val="16"/>
        </w:rPr>
        <w:t>out</w:t>
      </w:r>
      <w:r>
        <w:rPr>
          <w:spacing w:val="-4"/>
          <w:sz w:val="16"/>
        </w:rPr>
        <w:t xml:space="preserve"> </w:t>
      </w:r>
      <w:r>
        <w:rPr>
          <w:sz w:val="16"/>
        </w:rPr>
        <w:t>processes</w:t>
      </w:r>
      <w:r>
        <w:rPr>
          <w:spacing w:val="-5"/>
          <w:sz w:val="16"/>
        </w:rPr>
        <w:t xml:space="preserve"> </w:t>
      </w:r>
      <w:r>
        <w:rPr>
          <w:sz w:val="16"/>
        </w:rPr>
        <w:t>to</w:t>
      </w:r>
      <w:r>
        <w:rPr>
          <w:spacing w:val="-5"/>
          <w:sz w:val="16"/>
        </w:rPr>
        <w:t xml:space="preserve"> </w:t>
      </w:r>
      <w:r>
        <w:rPr>
          <w:sz w:val="16"/>
        </w:rPr>
        <w:t>achieve</w:t>
      </w:r>
      <w:r>
        <w:rPr>
          <w:spacing w:val="-2"/>
          <w:sz w:val="16"/>
        </w:rPr>
        <w:t xml:space="preserve"> </w:t>
      </w:r>
      <w:r>
        <w:rPr>
          <w:sz w:val="16"/>
        </w:rPr>
        <w:t>this</w:t>
      </w:r>
      <w:r>
        <w:rPr>
          <w:spacing w:val="-5"/>
          <w:sz w:val="16"/>
        </w:rPr>
        <w:t xml:space="preserve"> </w:t>
      </w:r>
      <w:r>
        <w:rPr>
          <w:spacing w:val="-2"/>
          <w:sz w:val="16"/>
        </w:rPr>
        <w:t>principle.</w:t>
      </w:r>
    </w:p>
    <w:p w14:paraId="1E8059D1" w14:textId="77777777" w:rsidR="00AA4A02" w:rsidRDefault="00960F31">
      <w:pPr>
        <w:tabs>
          <w:tab w:val="left" w:pos="426"/>
        </w:tabs>
        <w:spacing w:line="160" w:lineRule="exact"/>
        <w:ind w:left="143"/>
        <w:rPr>
          <w:sz w:val="16"/>
        </w:rPr>
      </w:pPr>
      <w:r>
        <w:rPr>
          <w:spacing w:val="-10"/>
          <w:sz w:val="16"/>
          <w:vertAlign w:val="superscript"/>
        </w:rPr>
        <w:t>9</w:t>
      </w:r>
      <w:r>
        <w:rPr>
          <w:sz w:val="16"/>
        </w:rPr>
        <w:tab/>
        <w:t>See</w:t>
      </w:r>
      <w:r>
        <w:rPr>
          <w:spacing w:val="-5"/>
          <w:sz w:val="16"/>
        </w:rPr>
        <w:t xml:space="preserve"> </w:t>
      </w:r>
      <w:r>
        <w:rPr>
          <w:sz w:val="16"/>
        </w:rPr>
        <w:t>paragraphs</w:t>
      </w:r>
      <w:r>
        <w:rPr>
          <w:spacing w:val="-5"/>
          <w:sz w:val="16"/>
        </w:rPr>
        <w:t xml:space="preserve"> </w:t>
      </w:r>
      <w:r>
        <w:rPr>
          <w:sz w:val="16"/>
        </w:rPr>
        <w:t>22</w:t>
      </w:r>
      <w:r>
        <w:rPr>
          <w:spacing w:val="-4"/>
          <w:sz w:val="16"/>
        </w:rPr>
        <w:t xml:space="preserve"> </w:t>
      </w:r>
      <w:r>
        <w:rPr>
          <w:sz w:val="16"/>
        </w:rPr>
        <w:t>and</w:t>
      </w:r>
      <w:r>
        <w:rPr>
          <w:spacing w:val="-2"/>
          <w:sz w:val="16"/>
        </w:rPr>
        <w:t xml:space="preserve"> </w:t>
      </w:r>
      <w:r>
        <w:rPr>
          <w:sz w:val="16"/>
        </w:rPr>
        <w:t>238-240</w:t>
      </w:r>
      <w:r>
        <w:rPr>
          <w:spacing w:val="-3"/>
          <w:sz w:val="16"/>
        </w:rPr>
        <w:t xml:space="preserve"> </w:t>
      </w:r>
      <w:r>
        <w:rPr>
          <w:sz w:val="16"/>
        </w:rPr>
        <w:t>of</w:t>
      </w:r>
      <w:r>
        <w:rPr>
          <w:spacing w:val="-6"/>
          <w:sz w:val="16"/>
        </w:rPr>
        <w:t xml:space="preserve"> </w:t>
      </w:r>
      <w:r>
        <w:rPr>
          <w:sz w:val="16"/>
        </w:rPr>
        <w:t>this</w:t>
      </w:r>
      <w:r>
        <w:rPr>
          <w:spacing w:val="-2"/>
          <w:sz w:val="16"/>
        </w:rPr>
        <w:t xml:space="preserve"> document.</w:t>
      </w:r>
    </w:p>
    <w:p w14:paraId="1E8059D2" w14:textId="77777777" w:rsidR="00AA4A02" w:rsidRDefault="00960F31">
      <w:pPr>
        <w:spacing w:line="161" w:lineRule="exact"/>
        <w:ind w:left="143"/>
        <w:rPr>
          <w:i/>
          <w:sz w:val="16"/>
        </w:rPr>
      </w:pPr>
      <w:r>
        <w:rPr>
          <w:sz w:val="16"/>
          <w:vertAlign w:val="superscript"/>
        </w:rPr>
        <w:t>10</w:t>
      </w:r>
      <w:r>
        <w:rPr>
          <w:spacing w:val="48"/>
          <w:sz w:val="16"/>
        </w:rPr>
        <w:t xml:space="preserve">  </w:t>
      </w:r>
      <w:r>
        <w:rPr>
          <w:sz w:val="16"/>
        </w:rPr>
        <w:t xml:space="preserve">See </w:t>
      </w:r>
      <w:hyperlink r:id="rId60">
        <w:r>
          <w:rPr>
            <w:color w:val="0000FF"/>
            <w:sz w:val="16"/>
            <w:u w:val="single" w:color="0000FF"/>
          </w:rPr>
          <w:t>AUASB</w:t>
        </w:r>
        <w:r>
          <w:rPr>
            <w:color w:val="0000FF"/>
            <w:spacing w:val="-2"/>
            <w:sz w:val="16"/>
            <w:u w:val="single" w:color="0000FF"/>
          </w:rPr>
          <w:t xml:space="preserve"> </w:t>
        </w:r>
        <w:r>
          <w:rPr>
            <w:color w:val="0000FF"/>
            <w:sz w:val="16"/>
            <w:u w:val="single" w:color="0000FF"/>
          </w:rPr>
          <w:t>EISS</w:t>
        </w:r>
        <w:r>
          <w:rPr>
            <w:color w:val="0000FF"/>
            <w:spacing w:val="-1"/>
            <w:sz w:val="16"/>
            <w:u w:val="single" w:color="0000FF"/>
          </w:rPr>
          <w:t xml:space="preserve"> </w:t>
        </w:r>
        <w:r>
          <w:rPr>
            <w:color w:val="0000FF"/>
            <w:spacing w:val="-2"/>
            <w:sz w:val="16"/>
            <w:u w:val="single" w:color="0000FF"/>
          </w:rPr>
          <w:t>Strategy</w:t>
        </w:r>
        <w:r>
          <w:rPr>
            <w:i/>
            <w:spacing w:val="-2"/>
            <w:sz w:val="16"/>
          </w:rPr>
          <w:t>.</w:t>
        </w:r>
      </w:hyperlink>
    </w:p>
    <w:p w14:paraId="1E8059D3" w14:textId="77777777" w:rsidR="00AA4A02" w:rsidRDefault="00960F31">
      <w:pPr>
        <w:spacing w:line="160" w:lineRule="exact"/>
        <w:ind w:left="143"/>
        <w:rPr>
          <w:sz w:val="16"/>
        </w:rPr>
      </w:pPr>
      <w:r>
        <w:rPr>
          <w:sz w:val="16"/>
          <w:vertAlign w:val="superscript"/>
        </w:rPr>
        <w:t>11</w:t>
      </w:r>
      <w:r>
        <w:rPr>
          <w:spacing w:val="45"/>
          <w:sz w:val="16"/>
        </w:rPr>
        <w:t xml:space="preserve">  </w:t>
      </w:r>
      <w:r>
        <w:rPr>
          <w:sz w:val="16"/>
        </w:rPr>
        <w:t>See</w:t>
      </w:r>
      <w:r>
        <w:rPr>
          <w:spacing w:val="-1"/>
          <w:sz w:val="16"/>
        </w:rPr>
        <w:t xml:space="preserve"> </w:t>
      </w:r>
      <w:hyperlink r:id="rId61">
        <w:r>
          <w:rPr>
            <w:i/>
            <w:color w:val="0000FF"/>
            <w:sz w:val="16"/>
            <w:u w:val="single" w:color="0000FF"/>
          </w:rPr>
          <w:t>AUASB</w:t>
        </w:r>
        <w:r>
          <w:rPr>
            <w:i/>
            <w:color w:val="0000FF"/>
            <w:spacing w:val="-4"/>
            <w:sz w:val="16"/>
            <w:u w:val="single" w:color="0000FF"/>
          </w:rPr>
          <w:t xml:space="preserve"> </w:t>
        </w:r>
        <w:r>
          <w:rPr>
            <w:i/>
            <w:color w:val="0000FF"/>
            <w:sz w:val="16"/>
            <w:u w:val="single" w:color="0000FF"/>
          </w:rPr>
          <w:t>International</w:t>
        </w:r>
        <w:r>
          <w:rPr>
            <w:i/>
            <w:color w:val="0000FF"/>
            <w:spacing w:val="-3"/>
            <w:sz w:val="16"/>
            <w:u w:val="single" w:color="0000FF"/>
          </w:rPr>
          <w:t xml:space="preserve"> </w:t>
        </w:r>
        <w:r>
          <w:rPr>
            <w:i/>
            <w:color w:val="0000FF"/>
            <w:spacing w:val="-2"/>
            <w:sz w:val="16"/>
            <w:u w:val="single" w:color="0000FF"/>
          </w:rPr>
          <w:t>Strategy</w:t>
        </w:r>
        <w:r>
          <w:rPr>
            <w:spacing w:val="-2"/>
            <w:sz w:val="16"/>
          </w:rPr>
          <w:t>.</w:t>
        </w:r>
      </w:hyperlink>
    </w:p>
    <w:p w14:paraId="1E8059D4" w14:textId="77777777" w:rsidR="00AA4A02" w:rsidRDefault="00960F31">
      <w:pPr>
        <w:spacing w:line="160" w:lineRule="exact"/>
        <w:ind w:left="143"/>
        <w:rPr>
          <w:i/>
          <w:sz w:val="16"/>
        </w:rPr>
      </w:pPr>
      <w:r>
        <w:rPr>
          <w:sz w:val="16"/>
          <w:vertAlign w:val="superscript"/>
        </w:rPr>
        <w:t>12</w:t>
      </w:r>
      <w:r>
        <w:rPr>
          <w:spacing w:val="40"/>
          <w:sz w:val="16"/>
        </w:rPr>
        <w:t xml:space="preserve">  </w:t>
      </w:r>
      <w:r>
        <w:rPr>
          <w:sz w:val="16"/>
        </w:rPr>
        <w:t>See</w:t>
      </w:r>
      <w:r>
        <w:rPr>
          <w:spacing w:val="-2"/>
          <w:sz w:val="16"/>
        </w:rPr>
        <w:t xml:space="preserve"> </w:t>
      </w:r>
      <w:hyperlink r:id="rId62">
        <w:r>
          <w:rPr>
            <w:i/>
            <w:color w:val="0000FF"/>
            <w:sz w:val="16"/>
            <w:u w:val="single" w:color="0000FF"/>
          </w:rPr>
          <w:t>AUASB</w:t>
        </w:r>
        <w:r>
          <w:rPr>
            <w:i/>
            <w:color w:val="0000FF"/>
            <w:spacing w:val="-6"/>
            <w:sz w:val="16"/>
            <w:u w:val="single" w:color="0000FF"/>
          </w:rPr>
          <w:t xml:space="preserve"> </w:t>
        </w:r>
        <w:r>
          <w:rPr>
            <w:i/>
            <w:color w:val="0000FF"/>
            <w:sz w:val="16"/>
            <w:u w:val="single" w:color="0000FF"/>
          </w:rPr>
          <w:t>Policy</w:t>
        </w:r>
        <w:r>
          <w:rPr>
            <w:i/>
            <w:color w:val="0000FF"/>
            <w:spacing w:val="-5"/>
            <w:sz w:val="16"/>
            <w:u w:val="single" w:color="0000FF"/>
          </w:rPr>
          <w:t xml:space="preserve"> </w:t>
        </w:r>
        <w:r>
          <w:rPr>
            <w:i/>
            <w:color w:val="0000FF"/>
            <w:sz w:val="16"/>
            <w:u w:val="single" w:color="0000FF"/>
          </w:rPr>
          <w:t>and</w:t>
        </w:r>
        <w:r>
          <w:rPr>
            <w:i/>
            <w:color w:val="0000FF"/>
            <w:spacing w:val="-3"/>
            <w:sz w:val="16"/>
            <w:u w:val="single" w:color="0000FF"/>
          </w:rPr>
          <w:t xml:space="preserve"> </w:t>
        </w:r>
        <w:r>
          <w:rPr>
            <w:i/>
            <w:color w:val="0000FF"/>
            <w:sz w:val="16"/>
            <w:u w:val="single" w:color="0000FF"/>
          </w:rPr>
          <w:t>Process</w:t>
        </w:r>
        <w:r>
          <w:rPr>
            <w:i/>
            <w:color w:val="0000FF"/>
            <w:spacing w:val="-6"/>
            <w:sz w:val="16"/>
            <w:u w:val="single" w:color="0000FF"/>
          </w:rPr>
          <w:t xml:space="preserve"> </w:t>
        </w:r>
        <w:r>
          <w:rPr>
            <w:i/>
            <w:color w:val="0000FF"/>
            <w:sz w:val="16"/>
            <w:u w:val="single" w:color="0000FF"/>
          </w:rPr>
          <w:t>for</w:t>
        </w:r>
        <w:r>
          <w:rPr>
            <w:i/>
            <w:color w:val="0000FF"/>
            <w:spacing w:val="-3"/>
            <w:sz w:val="16"/>
            <w:u w:val="single" w:color="0000FF"/>
          </w:rPr>
          <w:t xml:space="preserve"> </w:t>
        </w:r>
        <w:r>
          <w:rPr>
            <w:i/>
            <w:color w:val="0000FF"/>
            <w:sz w:val="16"/>
            <w:u w:val="single" w:color="0000FF"/>
          </w:rPr>
          <w:t>International</w:t>
        </w:r>
        <w:r>
          <w:rPr>
            <w:i/>
            <w:color w:val="0000FF"/>
            <w:spacing w:val="-5"/>
            <w:sz w:val="16"/>
            <w:u w:val="single" w:color="0000FF"/>
          </w:rPr>
          <w:t xml:space="preserve"> </w:t>
        </w:r>
        <w:r>
          <w:rPr>
            <w:i/>
            <w:color w:val="0000FF"/>
            <w:sz w:val="16"/>
            <w:u w:val="single" w:color="0000FF"/>
          </w:rPr>
          <w:t>Conformance</w:t>
        </w:r>
        <w:r>
          <w:rPr>
            <w:i/>
            <w:color w:val="0000FF"/>
            <w:spacing w:val="-6"/>
            <w:sz w:val="16"/>
            <w:u w:val="single" w:color="0000FF"/>
          </w:rPr>
          <w:t xml:space="preserve"> </w:t>
        </w:r>
        <w:r>
          <w:rPr>
            <w:i/>
            <w:color w:val="0000FF"/>
            <w:sz w:val="16"/>
            <w:u w:val="single" w:color="0000FF"/>
          </w:rPr>
          <w:t>and</w:t>
        </w:r>
        <w:r>
          <w:rPr>
            <w:i/>
            <w:color w:val="0000FF"/>
            <w:spacing w:val="-4"/>
            <w:sz w:val="16"/>
            <w:u w:val="single" w:color="0000FF"/>
          </w:rPr>
          <w:t xml:space="preserve"> </w:t>
        </w:r>
        <w:r>
          <w:rPr>
            <w:i/>
            <w:color w:val="0000FF"/>
            <w:sz w:val="16"/>
            <w:u w:val="single" w:color="0000FF"/>
          </w:rPr>
          <w:t>Harmonisation</w:t>
        </w:r>
        <w:r>
          <w:rPr>
            <w:i/>
            <w:color w:val="0000FF"/>
            <w:spacing w:val="-5"/>
            <w:sz w:val="16"/>
            <w:u w:val="single" w:color="0000FF"/>
          </w:rPr>
          <w:t xml:space="preserve"> </w:t>
        </w:r>
        <w:r>
          <w:rPr>
            <w:i/>
            <w:color w:val="0000FF"/>
            <w:sz w:val="16"/>
            <w:u w:val="single" w:color="0000FF"/>
          </w:rPr>
          <w:t>of</w:t>
        </w:r>
        <w:r>
          <w:rPr>
            <w:i/>
            <w:color w:val="0000FF"/>
            <w:spacing w:val="-4"/>
            <w:sz w:val="16"/>
            <w:u w:val="single" w:color="0000FF"/>
          </w:rPr>
          <w:t xml:space="preserve"> </w:t>
        </w:r>
        <w:r>
          <w:rPr>
            <w:i/>
            <w:color w:val="0000FF"/>
            <w:spacing w:val="-2"/>
            <w:sz w:val="16"/>
            <w:u w:val="single" w:color="0000FF"/>
          </w:rPr>
          <w:t>Standards</w:t>
        </w:r>
        <w:r>
          <w:rPr>
            <w:i/>
            <w:spacing w:val="-2"/>
            <w:sz w:val="16"/>
          </w:rPr>
          <w:t>.</w:t>
        </w:r>
      </w:hyperlink>
    </w:p>
    <w:p w14:paraId="1E8059D5" w14:textId="77777777" w:rsidR="00AA4A02" w:rsidRDefault="00960F31">
      <w:pPr>
        <w:spacing w:line="172" w:lineRule="exact"/>
        <w:ind w:left="143"/>
        <w:rPr>
          <w:sz w:val="16"/>
        </w:rPr>
      </w:pPr>
      <w:r>
        <w:rPr>
          <w:sz w:val="16"/>
          <w:vertAlign w:val="superscript"/>
        </w:rPr>
        <w:t>13</w:t>
      </w:r>
      <w:r>
        <w:rPr>
          <w:spacing w:val="48"/>
          <w:sz w:val="16"/>
        </w:rPr>
        <w:t xml:space="preserve">  </w:t>
      </w:r>
      <w:r>
        <w:rPr>
          <w:sz w:val="16"/>
        </w:rPr>
        <w:t>See</w:t>
      </w:r>
      <w:r>
        <w:rPr>
          <w:spacing w:val="1"/>
          <w:sz w:val="16"/>
        </w:rPr>
        <w:t xml:space="preserve"> </w:t>
      </w:r>
      <w:r>
        <w:rPr>
          <w:sz w:val="16"/>
        </w:rPr>
        <w:t>Section</w:t>
      </w:r>
      <w:r>
        <w:rPr>
          <w:spacing w:val="-1"/>
          <w:sz w:val="16"/>
        </w:rPr>
        <w:t xml:space="preserve"> </w:t>
      </w:r>
      <w:r>
        <w:rPr>
          <w:sz w:val="16"/>
        </w:rPr>
        <w:t>VI</w:t>
      </w:r>
      <w:r>
        <w:rPr>
          <w:spacing w:val="-3"/>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9D6"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9D7" w14:textId="77777777" w:rsidR="00AA4A02" w:rsidRDefault="00960F31">
      <w:pPr>
        <w:pStyle w:val="ListParagraph"/>
        <w:numPr>
          <w:ilvl w:val="1"/>
          <w:numId w:val="29"/>
        </w:numPr>
        <w:tabs>
          <w:tab w:val="left" w:pos="1562"/>
        </w:tabs>
        <w:spacing w:before="219" w:line="208" w:lineRule="auto"/>
        <w:ind w:right="192"/>
      </w:pPr>
      <w:r>
        <w:rPr>
          <w:i/>
        </w:rPr>
        <w:lastRenderedPageBreak/>
        <w:t>Accountability</w:t>
      </w:r>
      <w:r>
        <w:rPr>
          <w:i/>
          <w:spacing w:val="-4"/>
        </w:rPr>
        <w:t xml:space="preserve"> </w:t>
      </w:r>
      <w:r>
        <w:t>–</w:t>
      </w:r>
      <w:r>
        <w:rPr>
          <w:spacing w:val="-3"/>
        </w:rPr>
        <w:t xml:space="preserve"> </w:t>
      </w:r>
      <w:r>
        <w:t>analysing</w:t>
      </w:r>
      <w:r>
        <w:rPr>
          <w:spacing w:val="-6"/>
        </w:rPr>
        <w:t xml:space="preserve"> </w:t>
      </w:r>
      <w:r>
        <w:t>the</w:t>
      </w:r>
      <w:r>
        <w:rPr>
          <w:spacing w:val="-3"/>
        </w:rPr>
        <w:t xml:space="preserve"> </w:t>
      </w:r>
      <w:r>
        <w:t>potential</w:t>
      </w:r>
      <w:r>
        <w:rPr>
          <w:spacing w:val="-5"/>
        </w:rPr>
        <w:t xml:space="preserve"> </w:t>
      </w:r>
      <w:r>
        <w:t>impact</w:t>
      </w:r>
      <w:r>
        <w:rPr>
          <w:spacing w:val="-2"/>
        </w:rPr>
        <w:t xml:space="preserve"> </w:t>
      </w:r>
      <w:r>
        <w:t>of</w:t>
      </w:r>
      <w:r>
        <w:rPr>
          <w:spacing w:val="-3"/>
        </w:rPr>
        <w:t xml:space="preserve"> </w:t>
      </w:r>
      <w:r>
        <w:t>its</w:t>
      </w:r>
      <w:r>
        <w:rPr>
          <w:spacing w:val="-3"/>
        </w:rPr>
        <w:t xml:space="preserve"> </w:t>
      </w:r>
      <w:r>
        <w:t>proposals</w:t>
      </w:r>
      <w:r>
        <w:rPr>
          <w:spacing w:val="-5"/>
        </w:rPr>
        <w:t xml:space="preserve"> </w:t>
      </w:r>
      <w:r>
        <w:t>on</w:t>
      </w:r>
      <w:r>
        <w:rPr>
          <w:spacing w:val="-3"/>
        </w:rPr>
        <w:t xml:space="preserve"> </w:t>
      </w:r>
      <w:r>
        <w:t>affected</w:t>
      </w:r>
      <w:r>
        <w:rPr>
          <w:spacing w:val="-3"/>
        </w:rPr>
        <w:t xml:space="preserve"> </w:t>
      </w:r>
      <w:r>
        <w:t>parties</w:t>
      </w:r>
      <w:r>
        <w:rPr>
          <w:spacing w:val="-5"/>
        </w:rPr>
        <w:t xml:space="preserve"> </w:t>
      </w:r>
      <w:r>
        <w:t>and explaining the rationale for decisions made.</w:t>
      </w:r>
    </w:p>
    <w:p w14:paraId="1E8059D8" w14:textId="77777777" w:rsidR="00AA4A02" w:rsidRDefault="00960F31">
      <w:pPr>
        <w:pStyle w:val="Heading4"/>
        <w:numPr>
          <w:ilvl w:val="0"/>
          <w:numId w:val="30"/>
        </w:numPr>
        <w:tabs>
          <w:tab w:val="left" w:pos="851"/>
        </w:tabs>
        <w:spacing w:before="199" w:line="208" w:lineRule="auto"/>
        <w:ind w:right="153"/>
      </w:pPr>
      <w:bookmarkStart w:id="41" w:name="_TOC_250015"/>
      <w:r>
        <w:t>Categories</w:t>
      </w:r>
      <w:r>
        <w:rPr>
          <w:spacing w:val="-5"/>
        </w:rPr>
        <w:t xml:space="preserve"> </w:t>
      </w:r>
      <w:r>
        <w:t>of</w:t>
      </w:r>
      <w:r>
        <w:rPr>
          <w:spacing w:val="-5"/>
        </w:rPr>
        <w:t xml:space="preserve"> </w:t>
      </w:r>
      <w:r>
        <w:t>Pronouncements</w:t>
      </w:r>
      <w:r>
        <w:rPr>
          <w:spacing w:val="-4"/>
        </w:rPr>
        <w:t xml:space="preserve"> </w:t>
      </w:r>
      <w:r>
        <w:t>and</w:t>
      </w:r>
      <w:r>
        <w:rPr>
          <w:spacing w:val="-2"/>
        </w:rPr>
        <w:t xml:space="preserve"> </w:t>
      </w:r>
      <w:r>
        <w:t>Other</w:t>
      </w:r>
      <w:r>
        <w:rPr>
          <w:spacing w:val="-5"/>
        </w:rPr>
        <w:t xml:space="preserve"> </w:t>
      </w:r>
      <w:r>
        <w:t>Materials</w:t>
      </w:r>
      <w:r>
        <w:rPr>
          <w:spacing w:val="-5"/>
        </w:rPr>
        <w:t xml:space="preserve"> </w:t>
      </w:r>
      <w:r>
        <w:t>issued</w:t>
      </w:r>
      <w:r>
        <w:rPr>
          <w:spacing w:val="-5"/>
        </w:rPr>
        <w:t xml:space="preserve"> </w:t>
      </w:r>
      <w:r>
        <w:t>by</w:t>
      </w:r>
      <w:r>
        <w:rPr>
          <w:spacing w:val="-5"/>
        </w:rPr>
        <w:t xml:space="preserve"> </w:t>
      </w:r>
      <w:r>
        <w:t xml:space="preserve">the </w:t>
      </w:r>
      <w:bookmarkEnd w:id="41"/>
      <w:r>
        <w:rPr>
          <w:spacing w:val="-2"/>
        </w:rPr>
        <w:t>AUASB</w:t>
      </w:r>
    </w:p>
    <w:p w14:paraId="1E8059D9" w14:textId="77777777" w:rsidR="00AA4A02" w:rsidRDefault="00960F31">
      <w:pPr>
        <w:pStyle w:val="ListParagraph"/>
        <w:numPr>
          <w:ilvl w:val="0"/>
          <w:numId w:val="29"/>
        </w:numPr>
        <w:tabs>
          <w:tab w:val="left" w:pos="851"/>
        </w:tabs>
        <w:spacing w:line="208" w:lineRule="auto"/>
        <w:ind w:right="398"/>
      </w:pPr>
      <w:r>
        <w:t>AUASB</w:t>
      </w:r>
      <w:r>
        <w:rPr>
          <w:spacing w:val="-5"/>
        </w:rPr>
        <w:t xml:space="preserve"> </w:t>
      </w:r>
      <w:r>
        <w:t>Standards,</w:t>
      </w:r>
      <w:r>
        <w:rPr>
          <w:spacing w:val="-2"/>
        </w:rPr>
        <w:t xml:space="preserve"> </w:t>
      </w:r>
      <w:r>
        <w:t>framework</w:t>
      </w:r>
      <w:r>
        <w:rPr>
          <w:spacing w:val="-3"/>
        </w:rPr>
        <w:t xml:space="preserve"> </w:t>
      </w:r>
      <w:r>
        <w:t>pronouncements,</w:t>
      </w:r>
      <w:r>
        <w:rPr>
          <w:spacing w:val="-1"/>
        </w:rPr>
        <w:t xml:space="preserve"> </w:t>
      </w:r>
      <w:r>
        <w:t>guidance</w:t>
      </w:r>
      <w:r>
        <w:rPr>
          <w:spacing w:val="-3"/>
        </w:rPr>
        <w:t xml:space="preserve"> </w:t>
      </w:r>
      <w:r>
        <w:t>and</w:t>
      </w:r>
      <w:r>
        <w:rPr>
          <w:spacing w:val="-3"/>
        </w:rPr>
        <w:t xml:space="preserve"> </w:t>
      </w:r>
      <w:r>
        <w:t>other</w:t>
      </w:r>
      <w:r>
        <w:rPr>
          <w:spacing w:val="-4"/>
        </w:rPr>
        <w:t xml:space="preserve"> </w:t>
      </w:r>
      <w:r>
        <w:t>materials</w:t>
      </w:r>
      <w:r>
        <w:rPr>
          <w:spacing w:val="-5"/>
        </w:rPr>
        <w:t xml:space="preserve"> </w:t>
      </w:r>
      <w:r>
        <w:t>issued</w:t>
      </w:r>
      <w:r>
        <w:rPr>
          <w:spacing w:val="-3"/>
        </w:rPr>
        <w:t xml:space="preserve"> </w:t>
      </w:r>
      <w:r>
        <w:t>by</w:t>
      </w:r>
      <w:r>
        <w:rPr>
          <w:spacing w:val="-3"/>
        </w:rPr>
        <w:t xml:space="preserve"> </w:t>
      </w:r>
      <w:r>
        <w:t>the AUASB adhere to a hierarchy of authority and will fall into one of the categories below.</w:t>
      </w:r>
    </w:p>
    <w:p w14:paraId="1E8059DA" w14:textId="77777777" w:rsidR="00AA4A02" w:rsidRDefault="00960F31">
      <w:pPr>
        <w:pStyle w:val="BodyText"/>
        <w:spacing w:before="201" w:line="208" w:lineRule="auto"/>
        <w:ind w:left="851"/>
      </w:pPr>
      <w:r>
        <w:t>The</w:t>
      </w:r>
      <w:r>
        <w:rPr>
          <w:spacing w:val="-2"/>
        </w:rPr>
        <w:t xml:space="preserve"> </w:t>
      </w:r>
      <w:r>
        <w:t>diagram</w:t>
      </w:r>
      <w:r>
        <w:rPr>
          <w:spacing w:val="-4"/>
        </w:rPr>
        <w:t xml:space="preserve"> </w:t>
      </w:r>
      <w:r>
        <w:t>in</w:t>
      </w:r>
      <w:r>
        <w:rPr>
          <w:spacing w:val="-2"/>
        </w:rPr>
        <w:t xml:space="preserve"> </w:t>
      </w:r>
      <w:r>
        <w:t>Appendix</w:t>
      </w:r>
      <w:r>
        <w:rPr>
          <w:spacing w:val="-2"/>
        </w:rPr>
        <w:t xml:space="preserve"> </w:t>
      </w:r>
      <w:r>
        <w:t>2</w:t>
      </w:r>
      <w:r>
        <w:rPr>
          <w:spacing w:val="-5"/>
        </w:rPr>
        <w:t xml:space="preserve"> </w:t>
      </w:r>
      <w:r>
        <w:t>to</w:t>
      </w:r>
      <w:r>
        <w:rPr>
          <w:spacing w:val="-2"/>
        </w:rPr>
        <w:t xml:space="preserve"> </w:t>
      </w:r>
      <w:r>
        <w:t>this</w:t>
      </w:r>
      <w:r>
        <w:rPr>
          <w:spacing w:val="-4"/>
        </w:rPr>
        <w:t xml:space="preserve"> </w:t>
      </w:r>
      <w:r>
        <w:t>document</w:t>
      </w:r>
      <w:r>
        <w:rPr>
          <w:spacing w:val="-1"/>
        </w:rPr>
        <w:t xml:space="preserve"> </w:t>
      </w:r>
      <w:r>
        <w:t>provides</w:t>
      </w:r>
      <w:r>
        <w:rPr>
          <w:spacing w:val="-4"/>
        </w:rPr>
        <w:t xml:space="preserve"> </w:t>
      </w:r>
      <w:r>
        <w:t>an outline</w:t>
      </w:r>
      <w:r>
        <w:rPr>
          <w:spacing w:val="-2"/>
        </w:rPr>
        <w:t xml:space="preserve"> </w:t>
      </w:r>
      <w:r>
        <w:t>of</w:t>
      </w:r>
      <w:r>
        <w:rPr>
          <w:spacing w:val="-1"/>
        </w:rPr>
        <w:t xml:space="preserve"> </w:t>
      </w:r>
      <w:r>
        <w:t>the</w:t>
      </w:r>
      <w:r>
        <w:rPr>
          <w:spacing w:val="-2"/>
        </w:rPr>
        <w:t xml:space="preserve"> </w:t>
      </w:r>
      <w:r>
        <w:t>range</w:t>
      </w:r>
      <w:r>
        <w:rPr>
          <w:spacing w:val="-3"/>
        </w:rPr>
        <w:t xml:space="preserve"> </w:t>
      </w:r>
      <w:r>
        <w:t>and</w:t>
      </w:r>
      <w:r>
        <w:rPr>
          <w:spacing w:val="-4"/>
        </w:rPr>
        <w:t xml:space="preserve"> </w:t>
      </w:r>
      <w:r>
        <w:t>hierarchy</w:t>
      </w:r>
      <w:r>
        <w:rPr>
          <w:spacing w:val="-2"/>
        </w:rPr>
        <w:t xml:space="preserve"> </w:t>
      </w:r>
      <w:r>
        <w:t xml:space="preserve">of pronouncements and other materials issued by the AUASB. For further detail, refer to the </w:t>
      </w:r>
      <w:hyperlink r:id="rId63">
        <w:r>
          <w:rPr>
            <w:color w:val="0000FF"/>
            <w:u w:val="single" w:color="0000FF"/>
          </w:rPr>
          <w:t>Foreword</w:t>
        </w:r>
        <w:r>
          <w:t>,</w:t>
        </w:r>
      </w:hyperlink>
      <w:r>
        <w:t xml:space="preserve"> which includes the high-level principles to determine the purpose, authority, legal status and enforceability of pronouncements and other materials issued by the AUASB.</w:t>
      </w:r>
    </w:p>
    <w:p w14:paraId="1E8059DB" w14:textId="77777777" w:rsidR="00AA4A02" w:rsidRDefault="00960F31">
      <w:pPr>
        <w:pStyle w:val="Heading7"/>
        <w:spacing w:before="167"/>
      </w:pPr>
      <w:bookmarkStart w:id="42" w:name="Authoritative_AUASB_Pronouncements"/>
      <w:bookmarkEnd w:id="42"/>
      <w:r>
        <w:t>Authoritative</w:t>
      </w:r>
      <w:r>
        <w:rPr>
          <w:spacing w:val="-11"/>
        </w:rPr>
        <w:t xml:space="preserve"> </w:t>
      </w:r>
      <w:r>
        <w:t>AUASB</w:t>
      </w:r>
      <w:r>
        <w:rPr>
          <w:spacing w:val="-9"/>
        </w:rPr>
        <w:t xml:space="preserve"> </w:t>
      </w:r>
      <w:r>
        <w:rPr>
          <w:spacing w:val="-2"/>
        </w:rPr>
        <w:t>Pronouncements</w:t>
      </w:r>
    </w:p>
    <w:p w14:paraId="1E8059DC" w14:textId="77777777" w:rsidR="00AA4A02" w:rsidRDefault="00960F31">
      <w:pPr>
        <w:pStyle w:val="ListParagraph"/>
        <w:numPr>
          <w:ilvl w:val="0"/>
          <w:numId w:val="29"/>
        </w:numPr>
        <w:tabs>
          <w:tab w:val="left" w:pos="851"/>
        </w:tabs>
        <w:spacing w:before="192" w:line="211" w:lineRule="auto"/>
        <w:ind w:right="807"/>
      </w:pPr>
      <w:r>
        <w:t>The</w:t>
      </w:r>
      <w:r>
        <w:rPr>
          <w:spacing w:val="-3"/>
        </w:rPr>
        <w:t xml:space="preserve"> </w:t>
      </w:r>
      <w:r>
        <w:t>AUASB</w:t>
      </w:r>
      <w:r>
        <w:rPr>
          <w:spacing w:val="-5"/>
        </w:rPr>
        <w:t xml:space="preserve"> </w:t>
      </w:r>
      <w:r>
        <w:t>issues</w:t>
      </w:r>
      <w:r>
        <w:rPr>
          <w:spacing w:val="-3"/>
        </w:rPr>
        <w:t xml:space="preserve"> </w:t>
      </w:r>
      <w:r>
        <w:t>the</w:t>
      </w:r>
      <w:r>
        <w:rPr>
          <w:spacing w:val="-5"/>
        </w:rPr>
        <w:t xml:space="preserve"> </w:t>
      </w:r>
      <w:r>
        <w:t>following</w:t>
      </w:r>
      <w:r>
        <w:rPr>
          <w:spacing w:val="-3"/>
        </w:rPr>
        <w:t xml:space="preserve"> </w:t>
      </w:r>
      <w:r>
        <w:t>types</w:t>
      </w:r>
      <w:r>
        <w:rPr>
          <w:spacing w:val="-5"/>
        </w:rPr>
        <w:t xml:space="preserve"> </w:t>
      </w:r>
      <w:r>
        <w:t>of</w:t>
      </w:r>
      <w:r>
        <w:rPr>
          <w:spacing w:val="-1"/>
        </w:rPr>
        <w:t xml:space="preserve"> </w:t>
      </w:r>
      <w:r>
        <w:t>authoritative</w:t>
      </w:r>
      <w:r>
        <w:rPr>
          <w:spacing w:val="-2"/>
        </w:rPr>
        <w:t xml:space="preserve"> </w:t>
      </w:r>
      <w:r>
        <w:t>pronouncements</w:t>
      </w:r>
      <w:r>
        <w:rPr>
          <w:spacing w:val="-4"/>
        </w:rPr>
        <w:t xml:space="preserve"> </w:t>
      </w:r>
      <w:r>
        <w:t>pursuant</w:t>
      </w:r>
      <w:r>
        <w:rPr>
          <w:spacing w:val="-5"/>
        </w:rPr>
        <w:t xml:space="preserve"> </w:t>
      </w:r>
      <w:r>
        <w:t>to</w:t>
      </w:r>
      <w:r>
        <w:rPr>
          <w:spacing w:val="-2"/>
        </w:rPr>
        <w:t xml:space="preserve"> </w:t>
      </w:r>
      <w:r>
        <w:t>its mandate under section 227B of the ASIC Act:</w:t>
      </w:r>
    </w:p>
    <w:p w14:paraId="1E8059DD" w14:textId="77777777" w:rsidR="00AA4A02" w:rsidRDefault="00AA4A02">
      <w:pPr>
        <w:pStyle w:val="BodyText"/>
        <w:spacing w:before="128"/>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112"/>
      </w:tblGrid>
      <w:tr w:rsidR="00AA4A02" w14:paraId="1E8059E0" w14:textId="77777777">
        <w:trPr>
          <w:trHeight w:val="400"/>
        </w:trPr>
        <w:tc>
          <w:tcPr>
            <w:tcW w:w="4112" w:type="dxa"/>
            <w:shd w:val="clear" w:color="auto" w:fill="DDD9C3"/>
          </w:tcPr>
          <w:p w14:paraId="1E8059DE" w14:textId="77777777" w:rsidR="00AA4A02" w:rsidRDefault="00960F31">
            <w:pPr>
              <w:pStyle w:val="TableParagraph"/>
              <w:spacing w:before="13"/>
              <w:rPr>
                <w:b/>
                <w:sz w:val="24"/>
              </w:rPr>
            </w:pPr>
            <w:r>
              <w:rPr>
                <w:b/>
                <w:spacing w:val="-2"/>
                <w:sz w:val="24"/>
              </w:rPr>
              <w:t>Pronouncements</w:t>
            </w:r>
          </w:p>
        </w:tc>
        <w:tc>
          <w:tcPr>
            <w:tcW w:w="4112" w:type="dxa"/>
            <w:shd w:val="clear" w:color="auto" w:fill="DDD9C3"/>
          </w:tcPr>
          <w:p w14:paraId="1E8059DF" w14:textId="77777777" w:rsidR="00AA4A02" w:rsidRDefault="00960F31">
            <w:pPr>
              <w:pStyle w:val="TableParagraph"/>
              <w:spacing w:before="8"/>
              <w:ind w:left="108"/>
              <w:rPr>
                <w:b/>
                <w:position w:val="8"/>
                <w:sz w:val="16"/>
              </w:rPr>
            </w:pPr>
            <w:r>
              <w:rPr>
                <w:b/>
                <w:sz w:val="24"/>
              </w:rPr>
              <w:t>Authority</w:t>
            </w:r>
            <w:r>
              <w:rPr>
                <w:b/>
                <w:spacing w:val="-2"/>
                <w:sz w:val="24"/>
              </w:rPr>
              <w:t xml:space="preserve"> </w:t>
            </w:r>
            <w:r>
              <w:rPr>
                <w:b/>
                <w:sz w:val="24"/>
              </w:rPr>
              <w:t xml:space="preserve">and Legal </w:t>
            </w:r>
            <w:r>
              <w:rPr>
                <w:b/>
                <w:spacing w:val="-2"/>
                <w:sz w:val="24"/>
              </w:rPr>
              <w:t>Status</w:t>
            </w:r>
            <w:r>
              <w:rPr>
                <w:b/>
                <w:spacing w:val="-2"/>
                <w:position w:val="8"/>
                <w:sz w:val="16"/>
              </w:rPr>
              <w:t>14</w:t>
            </w:r>
          </w:p>
        </w:tc>
      </w:tr>
      <w:tr w:rsidR="00AA4A02" w14:paraId="1E8059E2" w14:textId="77777777">
        <w:trPr>
          <w:trHeight w:val="400"/>
        </w:trPr>
        <w:tc>
          <w:tcPr>
            <w:tcW w:w="8224" w:type="dxa"/>
            <w:gridSpan w:val="2"/>
            <w:shd w:val="clear" w:color="auto" w:fill="DDD9C3"/>
          </w:tcPr>
          <w:p w14:paraId="1E8059E1" w14:textId="77777777" w:rsidR="00AA4A02" w:rsidRDefault="00960F31">
            <w:pPr>
              <w:pStyle w:val="TableParagraph"/>
              <w:spacing w:before="13"/>
              <w:rPr>
                <w:sz w:val="24"/>
              </w:rPr>
            </w:pPr>
            <w:r>
              <w:rPr>
                <w:b/>
                <w:sz w:val="24"/>
              </w:rPr>
              <w:t xml:space="preserve">AUASB </w:t>
            </w:r>
            <w:r>
              <w:rPr>
                <w:b/>
                <w:spacing w:val="-2"/>
                <w:sz w:val="24"/>
              </w:rPr>
              <w:t>Standards</w:t>
            </w:r>
            <w:r>
              <w:rPr>
                <w:spacing w:val="-2"/>
                <w:sz w:val="24"/>
                <w:vertAlign w:val="superscript"/>
              </w:rPr>
              <w:t>15</w:t>
            </w:r>
          </w:p>
        </w:tc>
      </w:tr>
      <w:tr w:rsidR="00AA4A02" w14:paraId="1E8059ED" w14:textId="77777777">
        <w:trPr>
          <w:trHeight w:val="5580"/>
        </w:trPr>
        <w:tc>
          <w:tcPr>
            <w:tcW w:w="4112" w:type="dxa"/>
          </w:tcPr>
          <w:p w14:paraId="1E8059E3" w14:textId="77777777" w:rsidR="00AA4A02" w:rsidRDefault="00960F31">
            <w:pPr>
              <w:pStyle w:val="TableParagraph"/>
              <w:spacing w:before="118" w:line="208" w:lineRule="auto"/>
            </w:pPr>
            <w:r>
              <w:t>The</w:t>
            </w:r>
            <w:r>
              <w:rPr>
                <w:spacing w:val="-6"/>
              </w:rPr>
              <w:t xml:space="preserve"> </w:t>
            </w:r>
            <w:r>
              <w:t>AUASB</w:t>
            </w:r>
            <w:r>
              <w:rPr>
                <w:spacing w:val="-7"/>
              </w:rPr>
              <w:t xml:space="preserve"> </w:t>
            </w:r>
            <w:r>
              <w:t>issues</w:t>
            </w:r>
            <w:r>
              <w:rPr>
                <w:spacing w:val="-5"/>
              </w:rPr>
              <w:t xml:space="preserve"> </w:t>
            </w:r>
            <w:r>
              <w:t>the</w:t>
            </w:r>
            <w:r>
              <w:rPr>
                <w:spacing w:val="-7"/>
              </w:rPr>
              <w:t xml:space="preserve"> </w:t>
            </w:r>
            <w:r>
              <w:t>following</w:t>
            </w:r>
            <w:r>
              <w:rPr>
                <w:spacing w:val="-6"/>
              </w:rPr>
              <w:t xml:space="preserve"> </w:t>
            </w:r>
            <w:r>
              <w:t>types</w:t>
            </w:r>
            <w:r>
              <w:rPr>
                <w:spacing w:val="-7"/>
              </w:rPr>
              <w:t xml:space="preserve"> </w:t>
            </w:r>
            <w:r>
              <w:t xml:space="preserve">of </w:t>
            </w:r>
            <w:r>
              <w:rPr>
                <w:spacing w:val="-2"/>
              </w:rPr>
              <w:t>standards:</w:t>
            </w:r>
          </w:p>
          <w:p w14:paraId="1E8059E4" w14:textId="77777777" w:rsidR="00AA4A02" w:rsidRDefault="00960F31">
            <w:pPr>
              <w:pStyle w:val="TableParagraph"/>
              <w:numPr>
                <w:ilvl w:val="0"/>
                <w:numId w:val="28"/>
              </w:numPr>
              <w:tabs>
                <w:tab w:val="left" w:pos="707"/>
              </w:tabs>
              <w:spacing w:before="199" w:line="208" w:lineRule="auto"/>
              <w:ind w:right="560"/>
            </w:pPr>
            <w:r>
              <w:t>Australian</w:t>
            </w:r>
            <w:r>
              <w:rPr>
                <w:spacing w:val="-12"/>
              </w:rPr>
              <w:t xml:space="preserve"> </w:t>
            </w:r>
            <w:r>
              <w:t>Standards</w:t>
            </w:r>
            <w:r>
              <w:rPr>
                <w:spacing w:val="-12"/>
              </w:rPr>
              <w:t xml:space="preserve"> </w:t>
            </w:r>
            <w:r>
              <w:t>on</w:t>
            </w:r>
            <w:r>
              <w:rPr>
                <w:spacing w:val="-12"/>
              </w:rPr>
              <w:t xml:space="preserve"> </w:t>
            </w:r>
            <w:r>
              <w:t>Quality Management (ASQMs)</w:t>
            </w:r>
            <w:r>
              <w:rPr>
                <w:vertAlign w:val="superscript"/>
              </w:rPr>
              <w:t>16</w:t>
            </w:r>
            <w:r>
              <w:t>;</w:t>
            </w:r>
          </w:p>
          <w:p w14:paraId="1E8059E5" w14:textId="77777777" w:rsidR="00AA4A02" w:rsidRDefault="00960F31">
            <w:pPr>
              <w:pStyle w:val="TableParagraph"/>
              <w:numPr>
                <w:ilvl w:val="0"/>
                <w:numId w:val="28"/>
              </w:numPr>
              <w:tabs>
                <w:tab w:val="left" w:pos="707"/>
              </w:tabs>
              <w:spacing w:before="121" w:line="208" w:lineRule="auto"/>
              <w:ind w:right="714"/>
            </w:pPr>
            <w:r>
              <w:t>Australian</w:t>
            </w:r>
            <w:r>
              <w:rPr>
                <w:spacing w:val="-14"/>
              </w:rPr>
              <w:t xml:space="preserve"> </w:t>
            </w:r>
            <w:r>
              <w:t>Auditing</w:t>
            </w:r>
            <w:r>
              <w:rPr>
                <w:spacing w:val="-14"/>
              </w:rPr>
              <w:t xml:space="preserve"> </w:t>
            </w:r>
            <w:r>
              <w:t xml:space="preserve">Standards </w:t>
            </w:r>
            <w:r>
              <w:rPr>
                <w:spacing w:val="-2"/>
              </w:rPr>
              <w:t>(ASAs);</w:t>
            </w:r>
          </w:p>
          <w:p w14:paraId="1E8059E6" w14:textId="77777777" w:rsidR="00AA4A02" w:rsidRDefault="00960F31">
            <w:pPr>
              <w:pStyle w:val="TableParagraph"/>
              <w:numPr>
                <w:ilvl w:val="0"/>
                <w:numId w:val="28"/>
              </w:numPr>
              <w:tabs>
                <w:tab w:val="left" w:pos="707"/>
              </w:tabs>
              <w:spacing w:before="119" w:line="208" w:lineRule="auto"/>
              <w:ind w:right="279"/>
            </w:pPr>
            <w:r>
              <w:t>Standards</w:t>
            </w:r>
            <w:r>
              <w:rPr>
                <w:spacing w:val="-12"/>
              </w:rPr>
              <w:t xml:space="preserve"> </w:t>
            </w:r>
            <w:r>
              <w:t>on</w:t>
            </w:r>
            <w:r>
              <w:rPr>
                <w:spacing w:val="-11"/>
              </w:rPr>
              <w:t xml:space="preserve"> </w:t>
            </w:r>
            <w:r>
              <w:t>Review</w:t>
            </w:r>
            <w:r>
              <w:rPr>
                <w:spacing w:val="-12"/>
              </w:rPr>
              <w:t xml:space="preserve"> </w:t>
            </w:r>
            <w:r>
              <w:t xml:space="preserve">Engagements </w:t>
            </w:r>
            <w:r>
              <w:rPr>
                <w:spacing w:val="-2"/>
              </w:rPr>
              <w:t>(ASREs);</w:t>
            </w:r>
          </w:p>
          <w:p w14:paraId="1E8059E7" w14:textId="77777777" w:rsidR="00AA4A02" w:rsidRDefault="00960F31">
            <w:pPr>
              <w:pStyle w:val="TableParagraph"/>
              <w:numPr>
                <w:ilvl w:val="0"/>
                <w:numId w:val="28"/>
              </w:numPr>
              <w:tabs>
                <w:tab w:val="left" w:pos="707"/>
              </w:tabs>
              <w:spacing w:before="119" w:line="208" w:lineRule="auto"/>
              <w:ind w:right="909"/>
            </w:pPr>
            <w:r>
              <w:t>Standards on Assurance Engagements</w:t>
            </w:r>
            <w:r>
              <w:rPr>
                <w:spacing w:val="-14"/>
              </w:rPr>
              <w:t xml:space="preserve"> </w:t>
            </w:r>
            <w:r>
              <w:t>(ASAEs);</w:t>
            </w:r>
            <w:r>
              <w:rPr>
                <w:spacing w:val="-14"/>
              </w:rPr>
              <w:t xml:space="preserve"> </w:t>
            </w:r>
            <w:r>
              <w:t>and</w:t>
            </w:r>
          </w:p>
          <w:p w14:paraId="1E8059E8" w14:textId="77777777" w:rsidR="00AA4A02" w:rsidRDefault="00960F31">
            <w:pPr>
              <w:pStyle w:val="TableParagraph"/>
              <w:numPr>
                <w:ilvl w:val="0"/>
                <w:numId w:val="28"/>
              </w:numPr>
              <w:tabs>
                <w:tab w:val="left" w:pos="707"/>
              </w:tabs>
              <w:spacing w:before="122" w:line="208" w:lineRule="auto"/>
              <w:ind w:right="721"/>
            </w:pPr>
            <w:r>
              <w:t>Standards</w:t>
            </w:r>
            <w:r>
              <w:rPr>
                <w:spacing w:val="-13"/>
              </w:rPr>
              <w:t xml:space="preserve"> </w:t>
            </w:r>
            <w:r>
              <w:t>on</w:t>
            </w:r>
            <w:r>
              <w:rPr>
                <w:spacing w:val="-12"/>
              </w:rPr>
              <w:t xml:space="preserve"> </w:t>
            </w:r>
            <w:r>
              <w:t>Related</w:t>
            </w:r>
            <w:r>
              <w:rPr>
                <w:spacing w:val="-12"/>
              </w:rPr>
              <w:t xml:space="preserve"> </w:t>
            </w:r>
            <w:r>
              <w:t xml:space="preserve">Services </w:t>
            </w:r>
            <w:r>
              <w:rPr>
                <w:spacing w:val="-2"/>
              </w:rPr>
              <w:t>(ASRSs).</w:t>
            </w:r>
          </w:p>
          <w:p w14:paraId="1E8059E9" w14:textId="77777777" w:rsidR="00AA4A02" w:rsidRDefault="00960F31">
            <w:pPr>
              <w:pStyle w:val="TableParagraph"/>
              <w:spacing w:before="198" w:line="208" w:lineRule="auto"/>
              <w:ind w:right="147"/>
            </w:pPr>
            <w:r>
              <w:t>Standards made by the AUASB establish mandatory requirements and also include related application and other explanatory material essential for a proper understanding</w:t>
            </w:r>
            <w:r>
              <w:rPr>
                <w:spacing w:val="-7"/>
              </w:rPr>
              <w:t xml:space="preserve"> </w:t>
            </w:r>
            <w:r>
              <w:t>of</w:t>
            </w:r>
            <w:r>
              <w:rPr>
                <w:spacing w:val="-8"/>
              </w:rPr>
              <w:t xml:space="preserve"> </w:t>
            </w:r>
            <w:r>
              <w:t>a</w:t>
            </w:r>
            <w:r>
              <w:rPr>
                <w:spacing w:val="-7"/>
              </w:rPr>
              <w:t xml:space="preserve"> </w:t>
            </w:r>
            <w:r>
              <w:t>standard</w:t>
            </w:r>
            <w:r>
              <w:rPr>
                <w:spacing w:val="-9"/>
              </w:rPr>
              <w:t xml:space="preserve"> </w:t>
            </w:r>
            <w:r>
              <w:t>and</w:t>
            </w:r>
            <w:r>
              <w:rPr>
                <w:spacing w:val="-7"/>
              </w:rPr>
              <w:t xml:space="preserve"> </w:t>
            </w:r>
            <w:r>
              <w:t>application of its requirements.</w:t>
            </w:r>
          </w:p>
        </w:tc>
        <w:tc>
          <w:tcPr>
            <w:tcW w:w="4112" w:type="dxa"/>
          </w:tcPr>
          <w:p w14:paraId="1E8059EA" w14:textId="77777777" w:rsidR="00AA4A02" w:rsidRDefault="00960F31">
            <w:pPr>
              <w:pStyle w:val="TableParagraph"/>
              <w:spacing w:before="118" w:line="208" w:lineRule="auto"/>
              <w:ind w:left="108" w:right="172"/>
            </w:pPr>
            <w:r>
              <w:t>AUASB</w:t>
            </w:r>
            <w:r>
              <w:rPr>
                <w:spacing w:val="-8"/>
              </w:rPr>
              <w:t xml:space="preserve"> </w:t>
            </w:r>
            <w:r>
              <w:t>Standards</w:t>
            </w:r>
            <w:r>
              <w:rPr>
                <w:spacing w:val="-7"/>
              </w:rPr>
              <w:t xml:space="preserve"> </w:t>
            </w:r>
            <w:r>
              <w:t>are</w:t>
            </w:r>
            <w:r>
              <w:rPr>
                <w:spacing w:val="-8"/>
              </w:rPr>
              <w:t xml:space="preserve"> </w:t>
            </w:r>
            <w:r>
              <w:t>not</w:t>
            </w:r>
            <w:r>
              <w:rPr>
                <w:spacing w:val="-8"/>
              </w:rPr>
              <w:t xml:space="preserve"> </w:t>
            </w:r>
            <w:r>
              <w:t>legally</w:t>
            </w:r>
            <w:r>
              <w:rPr>
                <w:spacing w:val="-8"/>
              </w:rPr>
              <w:t xml:space="preserve"> </w:t>
            </w:r>
            <w:r>
              <w:t>binding in all contexts.</w:t>
            </w:r>
            <w:r>
              <w:rPr>
                <w:spacing w:val="40"/>
              </w:rPr>
              <w:t xml:space="preserve"> </w:t>
            </w:r>
            <w:r>
              <w:t>However:</w:t>
            </w:r>
          </w:p>
          <w:p w14:paraId="1E8059EB" w14:textId="77777777" w:rsidR="00AA4A02" w:rsidRDefault="00960F31">
            <w:pPr>
              <w:pStyle w:val="TableParagraph"/>
              <w:numPr>
                <w:ilvl w:val="0"/>
                <w:numId w:val="27"/>
              </w:numPr>
              <w:tabs>
                <w:tab w:val="left" w:pos="468"/>
              </w:tabs>
              <w:spacing w:before="199" w:line="208" w:lineRule="auto"/>
              <w:ind w:right="171"/>
            </w:pPr>
            <w:r>
              <w:t>Standards made and issued under section</w:t>
            </w:r>
            <w:r>
              <w:rPr>
                <w:spacing w:val="-8"/>
              </w:rPr>
              <w:t xml:space="preserve"> </w:t>
            </w:r>
            <w:r>
              <w:t>336</w:t>
            </w:r>
            <w:r>
              <w:rPr>
                <w:spacing w:val="-7"/>
              </w:rPr>
              <w:t xml:space="preserve"> </w:t>
            </w:r>
            <w:r>
              <w:t>of</w:t>
            </w:r>
            <w:r>
              <w:rPr>
                <w:spacing w:val="-6"/>
              </w:rPr>
              <w:t xml:space="preserve"> </w:t>
            </w:r>
            <w:r>
              <w:t>the</w:t>
            </w:r>
            <w:r>
              <w:rPr>
                <w:spacing w:val="-7"/>
              </w:rPr>
              <w:t xml:space="preserve"> </w:t>
            </w:r>
            <w:r>
              <w:t>Corporations</w:t>
            </w:r>
            <w:r>
              <w:rPr>
                <w:spacing w:val="-6"/>
              </w:rPr>
              <w:t xml:space="preserve"> </w:t>
            </w:r>
            <w:r>
              <w:t>Act</w:t>
            </w:r>
            <w:r>
              <w:rPr>
                <w:spacing w:val="-6"/>
              </w:rPr>
              <w:t xml:space="preserve"> </w:t>
            </w:r>
            <w:r>
              <w:t>for the purposes of the corporations legislation have the status of law.</w:t>
            </w:r>
            <w:r>
              <w:rPr>
                <w:vertAlign w:val="superscript"/>
              </w:rPr>
              <w:t>17</w:t>
            </w:r>
            <w:r>
              <w:t xml:space="preserve"> Where engagements covered by these standards are undertaken for the purposes of complying with the Corporations Act, full compliance is required as a matter of law.</w:t>
            </w:r>
            <w:r>
              <w:rPr>
                <w:vertAlign w:val="superscript"/>
              </w:rPr>
              <w:t>18</w:t>
            </w:r>
          </w:p>
          <w:p w14:paraId="1E8059EC" w14:textId="77777777" w:rsidR="00AA4A02" w:rsidRDefault="00960F31">
            <w:pPr>
              <w:pStyle w:val="TableParagraph"/>
              <w:numPr>
                <w:ilvl w:val="0"/>
                <w:numId w:val="27"/>
              </w:numPr>
              <w:tabs>
                <w:tab w:val="left" w:pos="468"/>
              </w:tabs>
              <w:spacing w:before="201" w:line="208" w:lineRule="auto"/>
              <w:ind w:right="130"/>
            </w:pPr>
            <w:r>
              <w:t>Auditing and assurance standards may also be issued or used for other purposes.</w:t>
            </w:r>
            <w:r>
              <w:rPr>
                <w:vertAlign w:val="superscript"/>
              </w:rPr>
              <w:t>19</w:t>
            </w:r>
            <w:r>
              <w:rPr>
                <w:spacing w:val="40"/>
              </w:rPr>
              <w:t xml:space="preserve"> </w:t>
            </w:r>
            <w:r>
              <w:t>Where auditing and assurance standards are used for purposes</w:t>
            </w:r>
            <w:r>
              <w:rPr>
                <w:spacing w:val="-5"/>
              </w:rPr>
              <w:t xml:space="preserve"> </w:t>
            </w:r>
            <w:r>
              <w:t>other</w:t>
            </w:r>
            <w:r>
              <w:rPr>
                <w:spacing w:val="-5"/>
              </w:rPr>
              <w:t xml:space="preserve"> </w:t>
            </w:r>
            <w:r>
              <w:t>than</w:t>
            </w:r>
            <w:r>
              <w:rPr>
                <w:spacing w:val="-6"/>
              </w:rPr>
              <w:t xml:space="preserve"> </w:t>
            </w:r>
            <w:r>
              <w:t>complying</w:t>
            </w:r>
            <w:r>
              <w:rPr>
                <w:spacing w:val="-5"/>
              </w:rPr>
              <w:t xml:space="preserve"> </w:t>
            </w:r>
            <w:r>
              <w:t>with</w:t>
            </w:r>
            <w:r>
              <w:rPr>
                <w:spacing w:val="-7"/>
              </w:rPr>
              <w:t xml:space="preserve"> </w:t>
            </w:r>
            <w:r>
              <w:t>the Corporations Act, compliance with those standards may not be required as a matter of law.</w:t>
            </w:r>
            <w:r>
              <w:rPr>
                <w:spacing w:val="40"/>
              </w:rPr>
              <w:t xml:space="preserve"> </w:t>
            </w:r>
            <w:r>
              <w:t>However, there are circumstances in which compliance is required</w:t>
            </w:r>
            <w:r>
              <w:rPr>
                <w:spacing w:val="-10"/>
              </w:rPr>
              <w:t xml:space="preserve"> </w:t>
            </w:r>
            <w:r>
              <w:t>by</w:t>
            </w:r>
            <w:r>
              <w:rPr>
                <w:spacing w:val="-10"/>
              </w:rPr>
              <w:t xml:space="preserve"> </w:t>
            </w:r>
            <w:r>
              <w:t>other</w:t>
            </w:r>
            <w:r>
              <w:rPr>
                <w:spacing w:val="-9"/>
              </w:rPr>
              <w:t xml:space="preserve"> </w:t>
            </w:r>
            <w:r>
              <w:t>legislation,</w:t>
            </w:r>
            <w:r>
              <w:rPr>
                <w:spacing w:val="-9"/>
              </w:rPr>
              <w:t xml:space="preserve"> </w:t>
            </w:r>
            <w:r>
              <w:t>regulatory or contractual arrangements.</w:t>
            </w:r>
          </w:p>
        </w:tc>
      </w:tr>
    </w:tbl>
    <w:p w14:paraId="1E8059EE" w14:textId="77777777" w:rsidR="00AA4A02" w:rsidRDefault="00AA4A02">
      <w:pPr>
        <w:pStyle w:val="BodyText"/>
        <w:rPr>
          <w:sz w:val="20"/>
        </w:rPr>
      </w:pPr>
    </w:p>
    <w:p w14:paraId="1E8059EF" w14:textId="77777777" w:rsidR="00AA4A02" w:rsidRDefault="00AA4A02">
      <w:pPr>
        <w:pStyle w:val="BodyText"/>
        <w:rPr>
          <w:sz w:val="20"/>
        </w:rPr>
      </w:pPr>
    </w:p>
    <w:p w14:paraId="1E8059F0" w14:textId="77777777" w:rsidR="00AA4A02" w:rsidRDefault="00AA4A02">
      <w:pPr>
        <w:pStyle w:val="BodyText"/>
        <w:rPr>
          <w:sz w:val="20"/>
        </w:rPr>
      </w:pPr>
    </w:p>
    <w:p w14:paraId="1E8059F1" w14:textId="77777777" w:rsidR="00AA4A02" w:rsidRDefault="00960F31">
      <w:pPr>
        <w:pStyle w:val="BodyText"/>
        <w:spacing w:before="48"/>
        <w:rPr>
          <w:sz w:val="20"/>
        </w:rPr>
      </w:pPr>
      <w:r>
        <w:rPr>
          <w:noProof/>
          <w:sz w:val="20"/>
        </w:rPr>
        <mc:AlternateContent>
          <mc:Choice Requires="wps">
            <w:drawing>
              <wp:anchor distT="0" distB="0" distL="0" distR="0" simplePos="0" relativeHeight="487600640" behindDoc="1" locked="0" layoutInCell="1" allowOverlap="1" wp14:anchorId="1E805F45" wp14:editId="1E805F46">
                <wp:simplePos x="0" y="0"/>
                <wp:positionH relativeFrom="page">
                  <wp:posOffset>900988</wp:posOffset>
                </wp:positionH>
                <wp:positionV relativeFrom="paragraph">
                  <wp:posOffset>191933</wp:posOffset>
                </wp:positionV>
                <wp:extent cx="1829435" cy="762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8347E" id="Graphic 48" o:spid="_x0000_s1026" style="position:absolute;margin-left:70.95pt;margin-top:15.1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" path="m1829053,l,,,7620r1829053,l1829053,xe" fillcolor="black" stroked="f">
                <v:path arrowok="t"/>
                <w10:wrap type="topAndBottom" anchorx="page"/>
              </v:shape>
            </w:pict>
          </mc:Fallback>
        </mc:AlternateContent>
      </w:r>
    </w:p>
    <w:p w14:paraId="1E8059F2" w14:textId="77777777" w:rsidR="00AA4A02" w:rsidRDefault="00960F31">
      <w:pPr>
        <w:spacing w:before="74" w:line="171" w:lineRule="exact"/>
        <w:ind w:left="143"/>
        <w:rPr>
          <w:sz w:val="16"/>
        </w:rPr>
      </w:pPr>
      <w:r>
        <w:rPr>
          <w:sz w:val="16"/>
          <w:vertAlign w:val="superscript"/>
        </w:rPr>
        <w:t>14</w:t>
      </w:r>
      <w:r>
        <w:rPr>
          <w:spacing w:val="48"/>
          <w:sz w:val="16"/>
        </w:rPr>
        <w:t xml:space="preserve">  </w:t>
      </w:r>
      <w:r>
        <w:rPr>
          <w:sz w:val="16"/>
        </w:rPr>
        <w:t>See</w:t>
      </w:r>
      <w:r>
        <w:rPr>
          <w:spacing w:val="-3"/>
          <w:sz w:val="16"/>
        </w:rPr>
        <w:t xml:space="preserve"> </w:t>
      </w:r>
      <w:r>
        <w:rPr>
          <w:sz w:val="16"/>
        </w:rPr>
        <w:t>paragraphs</w:t>
      </w:r>
      <w:r>
        <w:rPr>
          <w:spacing w:val="-3"/>
          <w:sz w:val="16"/>
        </w:rPr>
        <w:t xml:space="preserve"> </w:t>
      </w:r>
      <w:r>
        <w:rPr>
          <w:sz w:val="16"/>
        </w:rPr>
        <w:t>18-19</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9F3" w14:textId="77777777" w:rsidR="00AA4A02" w:rsidRDefault="00960F31">
      <w:pPr>
        <w:spacing w:before="6" w:line="208" w:lineRule="auto"/>
        <w:ind w:left="427" w:right="173" w:hanging="284"/>
        <w:rPr>
          <w:sz w:val="16"/>
        </w:rPr>
      </w:pPr>
      <w:r>
        <w:rPr>
          <w:sz w:val="16"/>
          <w:vertAlign w:val="superscript"/>
        </w:rPr>
        <w:t>15</w:t>
      </w:r>
      <w:r>
        <w:rPr>
          <w:spacing w:val="40"/>
          <w:sz w:val="16"/>
        </w:rPr>
        <w:t xml:space="preserve">  </w:t>
      </w:r>
      <w:r>
        <w:rPr>
          <w:sz w:val="16"/>
        </w:rPr>
        <w:t>See</w:t>
      </w:r>
      <w:r>
        <w:rPr>
          <w:spacing w:val="-1"/>
          <w:sz w:val="16"/>
        </w:rPr>
        <w:t xml:space="preserve"> </w:t>
      </w:r>
      <w:hyperlink r:id="rId64">
        <w:r>
          <w:rPr>
            <w:color w:val="0000FF"/>
            <w:sz w:val="16"/>
            <w:u w:val="single" w:color="0000FF"/>
          </w:rPr>
          <w:t>Foreword</w:t>
        </w:r>
        <w:r>
          <w:rPr>
            <w:sz w:val="16"/>
          </w:rPr>
          <w:t>,</w:t>
        </w:r>
      </w:hyperlink>
      <w:r>
        <w:rPr>
          <w:spacing w:val="-3"/>
          <w:sz w:val="16"/>
        </w:rPr>
        <w:t xml:space="preserve"> </w:t>
      </w:r>
      <w:r>
        <w:rPr>
          <w:sz w:val="16"/>
        </w:rPr>
        <w:t>paragraphs</w:t>
      </w:r>
      <w:r>
        <w:rPr>
          <w:spacing w:val="-3"/>
          <w:sz w:val="16"/>
        </w:rPr>
        <w:t xml:space="preserve"> </w:t>
      </w:r>
      <w:r>
        <w:rPr>
          <w:sz w:val="16"/>
        </w:rPr>
        <w:t>17-19.</w:t>
      </w:r>
      <w:r>
        <w:rPr>
          <w:spacing w:val="36"/>
          <w:sz w:val="16"/>
        </w:rPr>
        <w:t xml:space="preserve"> </w:t>
      </w:r>
      <w:r>
        <w:rPr>
          <w:sz w:val="16"/>
        </w:rPr>
        <w:t>AUASB</w:t>
      </w:r>
      <w:r>
        <w:rPr>
          <w:spacing w:val="-1"/>
          <w:sz w:val="16"/>
        </w:rPr>
        <w:t xml:space="preserve"> </w:t>
      </w:r>
      <w:r>
        <w:rPr>
          <w:sz w:val="16"/>
        </w:rPr>
        <w:t>Standards</w:t>
      </w:r>
      <w:r>
        <w:rPr>
          <w:spacing w:val="-2"/>
          <w:sz w:val="16"/>
        </w:rPr>
        <w:t xml:space="preserve"> </w:t>
      </w:r>
      <w:r>
        <w:rPr>
          <w:sz w:val="16"/>
        </w:rPr>
        <w:t>are</w:t>
      </w:r>
      <w:r>
        <w:rPr>
          <w:spacing w:val="-1"/>
          <w:sz w:val="16"/>
        </w:rPr>
        <w:t xml:space="preserve"> </w:t>
      </w:r>
      <w:r>
        <w:rPr>
          <w:sz w:val="16"/>
        </w:rPr>
        <w:t>to</w:t>
      </w:r>
      <w:r>
        <w:rPr>
          <w:spacing w:val="-3"/>
          <w:sz w:val="16"/>
        </w:rPr>
        <w:t xml:space="preserve"> </w:t>
      </w:r>
      <w:r>
        <w:rPr>
          <w:sz w:val="16"/>
        </w:rPr>
        <w:t>be</w:t>
      </w:r>
      <w:r>
        <w:rPr>
          <w:spacing w:val="-1"/>
          <w:sz w:val="16"/>
        </w:rPr>
        <w:t xml:space="preserve"> </w:t>
      </w:r>
      <w:r>
        <w:rPr>
          <w:sz w:val="16"/>
        </w:rPr>
        <w:t>read</w:t>
      </w:r>
      <w:r>
        <w:rPr>
          <w:spacing w:val="-3"/>
          <w:sz w:val="16"/>
        </w:rPr>
        <w:t xml:space="preserve"> </w:t>
      </w:r>
      <w:r>
        <w:rPr>
          <w:sz w:val="16"/>
        </w:rPr>
        <w:t>an</w:t>
      </w:r>
      <w:r>
        <w:rPr>
          <w:spacing w:val="-1"/>
          <w:sz w:val="16"/>
        </w:rPr>
        <w:t xml:space="preserve"> </w:t>
      </w:r>
      <w:r>
        <w:rPr>
          <w:sz w:val="16"/>
        </w:rPr>
        <w:t>applied</w:t>
      </w:r>
      <w:r>
        <w:rPr>
          <w:spacing w:val="-3"/>
          <w:sz w:val="16"/>
        </w:rPr>
        <w:t xml:space="preserve"> </w:t>
      </w:r>
      <w:r>
        <w:rPr>
          <w:sz w:val="16"/>
        </w:rPr>
        <w:t>in</w:t>
      </w:r>
      <w:r>
        <w:rPr>
          <w:spacing w:val="-1"/>
          <w:sz w:val="16"/>
        </w:rPr>
        <w:t xml:space="preserve"> </w:t>
      </w:r>
      <w:r>
        <w:rPr>
          <w:sz w:val="16"/>
        </w:rPr>
        <w:t>conjunction</w:t>
      </w:r>
      <w:r>
        <w:rPr>
          <w:spacing w:val="-1"/>
          <w:sz w:val="16"/>
        </w:rPr>
        <w:t xml:space="preserve"> </w:t>
      </w:r>
      <w:r>
        <w:rPr>
          <w:sz w:val="16"/>
        </w:rPr>
        <w:t>with</w:t>
      </w:r>
      <w:r>
        <w:rPr>
          <w:spacing w:val="-3"/>
          <w:sz w:val="16"/>
        </w:rPr>
        <w:t xml:space="preserve"> </w:t>
      </w:r>
      <w:r>
        <w:rPr>
          <w:sz w:val="16"/>
        </w:rPr>
        <w:t xml:space="preserve">the </w:t>
      </w:r>
      <w:hyperlink r:id="rId65">
        <w:r>
          <w:rPr>
            <w:color w:val="0000FF"/>
            <w:sz w:val="16"/>
            <w:u w:val="single" w:color="0000FF"/>
          </w:rPr>
          <w:t>Preamble</w:t>
        </w:r>
        <w:r>
          <w:rPr>
            <w:sz w:val="16"/>
          </w:rPr>
          <w:t>.</w:t>
        </w:r>
      </w:hyperlink>
      <w:r>
        <w:rPr>
          <w:spacing w:val="36"/>
          <w:sz w:val="16"/>
        </w:rPr>
        <w:t xml:space="preserve"> </w:t>
      </w:r>
      <w:r>
        <w:rPr>
          <w:sz w:val="16"/>
        </w:rPr>
        <w:t>The</w:t>
      </w:r>
      <w:r>
        <w:rPr>
          <w:spacing w:val="-4"/>
          <w:sz w:val="16"/>
        </w:rPr>
        <w:t xml:space="preserve"> </w:t>
      </w:r>
      <w:r>
        <w:rPr>
          <w:sz w:val="16"/>
        </w:rPr>
        <w:t>Preamble</w:t>
      </w:r>
      <w:r>
        <w:rPr>
          <w:spacing w:val="-2"/>
          <w:sz w:val="16"/>
        </w:rPr>
        <w:t xml:space="preserve"> </w:t>
      </w:r>
      <w:r>
        <w:rPr>
          <w:sz w:val="16"/>
        </w:rPr>
        <w:t>explains</w:t>
      </w:r>
      <w:r>
        <w:rPr>
          <w:spacing w:val="40"/>
          <w:sz w:val="16"/>
        </w:rPr>
        <w:t xml:space="preserve"> </w:t>
      </w:r>
      <w:r>
        <w:rPr>
          <w:sz w:val="16"/>
        </w:rPr>
        <w:t>in greater detail the authority and legal status of AUASB Standards and how AUASB Standards are to be understood, interpreted and</w:t>
      </w:r>
      <w:r>
        <w:rPr>
          <w:spacing w:val="40"/>
          <w:sz w:val="16"/>
        </w:rPr>
        <w:t xml:space="preserve"> </w:t>
      </w:r>
      <w:r>
        <w:rPr>
          <w:spacing w:val="-2"/>
          <w:sz w:val="16"/>
        </w:rPr>
        <w:t>applied.</w:t>
      </w:r>
    </w:p>
    <w:p w14:paraId="1E8059F4" w14:textId="77777777" w:rsidR="00AA4A02" w:rsidRDefault="00960F31">
      <w:pPr>
        <w:spacing w:line="208" w:lineRule="auto"/>
        <w:ind w:left="427" w:right="173" w:hanging="284"/>
        <w:rPr>
          <w:sz w:val="16"/>
        </w:rPr>
      </w:pPr>
      <w:r>
        <w:rPr>
          <w:sz w:val="16"/>
          <w:vertAlign w:val="superscript"/>
        </w:rPr>
        <w:t>16</w:t>
      </w:r>
      <w:r>
        <w:rPr>
          <w:spacing w:val="80"/>
          <w:w w:val="150"/>
          <w:sz w:val="16"/>
        </w:rPr>
        <w:t xml:space="preserve"> </w:t>
      </w:r>
      <w:r>
        <w:rPr>
          <w:sz w:val="16"/>
        </w:rPr>
        <w:t>For</w:t>
      </w:r>
      <w:r>
        <w:rPr>
          <w:spacing w:val="-2"/>
          <w:sz w:val="16"/>
        </w:rPr>
        <w:t xml:space="preserve"> </w:t>
      </w:r>
      <w:r>
        <w:rPr>
          <w:sz w:val="16"/>
        </w:rPr>
        <w:t>legislative</w:t>
      </w:r>
      <w:r>
        <w:rPr>
          <w:spacing w:val="-2"/>
          <w:sz w:val="16"/>
        </w:rPr>
        <w:t xml:space="preserve"> </w:t>
      </w:r>
      <w:r>
        <w:rPr>
          <w:sz w:val="16"/>
        </w:rPr>
        <w:t>purposes,</w:t>
      </w:r>
      <w:r>
        <w:rPr>
          <w:spacing w:val="-2"/>
          <w:sz w:val="16"/>
        </w:rPr>
        <w:t xml:space="preserve"> </w:t>
      </w:r>
      <w:r>
        <w:rPr>
          <w:sz w:val="16"/>
        </w:rPr>
        <w:t>Australian Standards</w:t>
      </w:r>
      <w:r>
        <w:rPr>
          <w:spacing w:val="-3"/>
          <w:sz w:val="16"/>
        </w:rPr>
        <w:t xml:space="preserve"> </w:t>
      </w:r>
      <w:r>
        <w:rPr>
          <w:sz w:val="16"/>
        </w:rPr>
        <w:t>on</w:t>
      </w:r>
      <w:r>
        <w:rPr>
          <w:spacing w:val="-2"/>
          <w:sz w:val="16"/>
        </w:rPr>
        <w:t xml:space="preserve"> </w:t>
      </w:r>
      <w:r>
        <w:rPr>
          <w:sz w:val="16"/>
        </w:rPr>
        <w:t>Quality</w:t>
      </w:r>
      <w:r>
        <w:rPr>
          <w:spacing w:val="-2"/>
          <w:sz w:val="16"/>
        </w:rPr>
        <w:t xml:space="preserve"> </w:t>
      </w:r>
      <w:r>
        <w:rPr>
          <w:sz w:val="16"/>
        </w:rPr>
        <w:t>Management are</w:t>
      </w:r>
      <w:r>
        <w:rPr>
          <w:spacing w:val="-3"/>
          <w:sz w:val="16"/>
        </w:rPr>
        <w:t xml:space="preserve"> </w:t>
      </w:r>
      <w:r>
        <w:rPr>
          <w:sz w:val="16"/>
        </w:rPr>
        <w:t>included</w:t>
      </w:r>
      <w:r>
        <w:rPr>
          <w:spacing w:val="-2"/>
          <w:sz w:val="16"/>
        </w:rPr>
        <w:t xml:space="preserve"> </w:t>
      </w:r>
      <w:r>
        <w:rPr>
          <w:sz w:val="16"/>
        </w:rPr>
        <w:t>in</w:t>
      </w:r>
      <w:r>
        <w:rPr>
          <w:spacing w:val="-1"/>
          <w:sz w:val="16"/>
        </w:rPr>
        <w:t xml:space="preserve"> </w:t>
      </w:r>
      <w:r>
        <w:rPr>
          <w:sz w:val="16"/>
        </w:rPr>
        <w:t>corporations</w:t>
      </w:r>
      <w:r>
        <w:rPr>
          <w:spacing w:val="-2"/>
          <w:sz w:val="16"/>
        </w:rPr>
        <w:t xml:space="preserve"> </w:t>
      </w:r>
      <w:r>
        <w:rPr>
          <w:sz w:val="16"/>
        </w:rPr>
        <w:t>legislation</w:t>
      </w:r>
      <w:r>
        <w:rPr>
          <w:spacing w:val="-2"/>
          <w:sz w:val="16"/>
        </w:rPr>
        <w:t xml:space="preserve"> </w:t>
      </w:r>
      <w:r>
        <w:rPr>
          <w:sz w:val="16"/>
        </w:rPr>
        <w:t>as</w:t>
      </w:r>
      <w:r>
        <w:rPr>
          <w:spacing w:val="-3"/>
          <w:sz w:val="16"/>
        </w:rPr>
        <w:t xml:space="preserve"> </w:t>
      </w:r>
      <w:r>
        <w:rPr>
          <w:sz w:val="16"/>
        </w:rPr>
        <w:t>“Auditing</w:t>
      </w:r>
      <w:r>
        <w:rPr>
          <w:spacing w:val="-2"/>
          <w:sz w:val="16"/>
        </w:rPr>
        <w:t xml:space="preserve"> </w:t>
      </w:r>
      <w:r>
        <w:rPr>
          <w:sz w:val="16"/>
        </w:rPr>
        <w:t>Standards”.</w:t>
      </w:r>
      <w:r>
        <w:rPr>
          <w:spacing w:val="40"/>
          <w:sz w:val="16"/>
        </w:rPr>
        <w:t xml:space="preserve"> </w:t>
      </w:r>
      <w:r>
        <w:rPr>
          <w:sz w:val="16"/>
        </w:rPr>
        <w:t xml:space="preserve">The terms “Auditing Standards” and “Australian Auditing Standards” are further explained in paragraph 10 of the </w:t>
      </w:r>
      <w:hyperlink r:id="rId66">
        <w:r>
          <w:rPr>
            <w:color w:val="0000FF"/>
            <w:sz w:val="16"/>
            <w:u w:val="single" w:color="0000FF"/>
          </w:rPr>
          <w:t>Preamble</w:t>
        </w:r>
        <w:r>
          <w:rPr>
            <w:sz w:val="16"/>
          </w:rPr>
          <w:t>.</w:t>
        </w:r>
      </w:hyperlink>
    </w:p>
    <w:p w14:paraId="1E8059F5" w14:textId="77777777" w:rsidR="00AA4A02" w:rsidRDefault="00960F31">
      <w:pPr>
        <w:spacing w:line="153" w:lineRule="exact"/>
        <w:ind w:left="143"/>
        <w:rPr>
          <w:sz w:val="16"/>
        </w:rPr>
      </w:pPr>
      <w:r>
        <w:rPr>
          <w:sz w:val="16"/>
          <w:vertAlign w:val="superscript"/>
        </w:rPr>
        <w:t>17</w:t>
      </w:r>
      <w:r>
        <w:rPr>
          <w:spacing w:val="45"/>
          <w:sz w:val="16"/>
        </w:rPr>
        <w:t xml:space="preserve">  </w:t>
      </w:r>
      <w:r>
        <w:rPr>
          <w:sz w:val="16"/>
        </w:rPr>
        <w:t>Pursuant</w:t>
      </w:r>
      <w:r>
        <w:rPr>
          <w:spacing w:val="-2"/>
          <w:sz w:val="16"/>
        </w:rPr>
        <w:t xml:space="preserve"> </w:t>
      </w:r>
      <w:r>
        <w:rPr>
          <w:sz w:val="16"/>
        </w:rPr>
        <w:t>to</w:t>
      </w:r>
      <w:r>
        <w:rPr>
          <w:spacing w:val="-3"/>
          <w:sz w:val="16"/>
        </w:rPr>
        <w:t xml:space="preserve"> </w:t>
      </w:r>
      <w:r>
        <w:rPr>
          <w:sz w:val="16"/>
        </w:rPr>
        <w:t>section</w:t>
      </w:r>
      <w:r>
        <w:rPr>
          <w:spacing w:val="-4"/>
          <w:sz w:val="16"/>
        </w:rPr>
        <w:t xml:space="preserve"> </w:t>
      </w:r>
      <w:r>
        <w:rPr>
          <w:sz w:val="16"/>
        </w:rPr>
        <w:t>227B(1)(a)</w:t>
      </w:r>
      <w:r>
        <w:rPr>
          <w:spacing w:val="-5"/>
          <w:sz w:val="16"/>
        </w:rPr>
        <w:t xml:space="preserve"> </w:t>
      </w:r>
      <w:r>
        <w:rPr>
          <w:sz w:val="16"/>
        </w:rPr>
        <w:t>of</w:t>
      </w:r>
      <w:r>
        <w:rPr>
          <w:spacing w:val="-4"/>
          <w:sz w:val="16"/>
        </w:rPr>
        <w:t xml:space="preserve"> </w:t>
      </w:r>
      <w:r>
        <w:rPr>
          <w:sz w:val="16"/>
        </w:rPr>
        <w:t>the</w:t>
      </w:r>
      <w:r>
        <w:rPr>
          <w:spacing w:val="-6"/>
          <w:sz w:val="16"/>
        </w:rPr>
        <w:t xml:space="preserve"> </w:t>
      </w:r>
      <w:r>
        <w:rPr>
          <w:sz w:val="16"/>
        </w:rPr>
        <w:t>ASIC</w:t>
      </w:r>
      <w:r>
        <w:rPr>
          <w:spacing w:val="-1"/>
          <w:sz w:val="16"/>
        </w:rPr>
        <w:t xml:space="preserve"> </w:t>
      </w:r>
      <w:r>
        <w:rPr>
          <w:spacing w:val="-4"/>
          <w:sz w:val="16"/>
        </w:rPr>
        <w:t>Act.</w:t>
      </w:r>
    </w:p>
    <w:p w14:paraId="1E8059F6" w14:textId="77777777" w:rsidR="00AA4A02" w:rsidRDefault="00960F31">
      <w:pPr>
        <w:spacing w:line="160" w:lineRule="exact"/>
        <w:ind w:left="143"/>
        <w:rPr>
          <w:sz w:val="16"/>
        </w:rPr>
      </w:pPr>
      <w:r>
        <w:rPr>
          <w:sz w:val="16"/>
          <w:vertAlign w:val="superscript"/>
        </w:rPr>
        <w:t>18</w:t>
      </w:r>
      <w:r>
        <w:rPr>
          <w:spacing w:val="46"/>
          <w:sz w:val="16"/>
        </w:rPr>
        <w:t xml:space="preserve">  </w:t>
      </w:r>
      <w:r>
        <w:rPr>
          <w:sz w:val="16"/>
        </w:rPr>
        <w:t>For</w:t>
      </w:r>
      <w:r>
        <w:rPr>
          <w:spacing w:val="-3"/>
          <w:sz w:val="16"/>
        </w:rPr>
        <w:t xml:space="preserve"> </w:t>
      </w:r>
      <w:r>
        <w:rPr>
          <w:sz w:val="16"/>
        </w:rPr>
        <w:t>further</w:t>
      </w:r>
      <w:r>
        <w:rPr>
          <w:spacing w:val="-3"/>
          <w:sz w:val="16"/>
        </w:rPr>
        <w:t xml:space="preserve"> </w:t>
      </w:r>
      <w:r>
        <w:rPr>
          <w:sz w:val="16"/>
        </w:rPr>
        <w:t>detail,</w:t>
      </w:r>
      <w:r>
        <w:rPr>
          <w:spacing w:val="-1"/>
          <w:sz w:val="16"/>
        </w:rPr>
        <w:t xml:space="preserve"> </w:t>
      </w:r>
      <w:r>
        <w:rPr>
          <w:sz w:val="16"/>
        </w:rPr>
        <w:t>refer</w:t>
      </w:r>
      <w:r>
        <w:rPr>
          <w:spacing w:val="-3"/>
          <w:sz w:val="16"/>
        </w:rPr>
        <w:t xml:space="preserve"> </w:t>
      </w:r>
      <w:r>
        <w:rPr>
          <w:sz w:val="16"/>
        </w:rPr>
        <w:t>to</w:t>
      </w:r>
      <w:r>
        <w:rPr>
          <w:spacing w:val="-3"/>
          <w:sz w:val="16"/>
        </w:rPr>
        <w:t xml:space="preserve"> </w:t>
      </w:r>
      <w:r>
        <w:rPr>
          <w:sz w:val="16"/>
        </w:rPr>
        <w:t>paragraphs</w:t>
      </w:r>
      <w:r>
        <w:rPr>
          <w:spacing w:val="-4"/>
          <w:sz w:val="16"/>
        </w:rPr>
        <w:t xml:space="preserve"> </w:t>
      </w:r>
      <w:r>
        <w:rPr>
          <w:sz w:val="16"/>
        </w:rPr>
        <w:t>A7-A10</w:t>
      </w:r>
      <w:r>
        <w:rPr>
          <w:spacing w:val="-3"/>
          <w:sz w:val="16"/>
        </w:rPr>
        <w:t xml:space="preserve"> </w:t>
      </w:r>
      <w:r>
        <w:rPr>
          <w:sz w:val="16"/>
        </w:rPr>
        <w:t>of</w:t>
      </w:r>
      <w:r>
        <w:rPr>
          <w:spacing w:val="-5"/>
          <w:sz w:val="16"/>
        </w:rPr>
        <w:t xml:space="preserve"> </w:t>
      </w:r>
      <w:r>
        <w:rPr>
          <w:sz w:val="16"/>
        </w:rPr>
        <w:t xml:space="preserve">the </w:t>
      </w:r>
      <w:hyperlink r:id="rId67">
        <w:r>
          <w:rPr>
            <w:color w:val="0000FF"/>
            <w:spacing w:val="-2"/>
            <w:sz w:val="16"/>
            <w:u w:val="single" w:color="0000FF"/>
          </w:rPr>
          <w:t>Preamble</w:t>
        </w:r>
        <w:r>
          <w:rPr>
            <w:spacing w:val="-2"/>
            <w:sz w:val="16"/>
          </w:rPr>
          <w:t>.</w:t>
        </w:r>
      </w:hyperlink>
    </w:p>
    <w:p w14:paraId="1E8059F7" w14:textId="77777777" w:rsidR="00AA4A02" w:rsidRDefault="00960F31">
      <w:pPr>
        <w:spacing w:line="172" w:lineRule="exact"/>
        <w:ind w:left="143"/>
        <w:rPr>
          <w:sz w:val="16"/>
        </w:rPr>
      </w:pPr>
      <w:r>
        <w:rPr>
          <w:sz w:val="16"/>
          <w:vertAlign w:val="superscript"/>
        </w:rPr>
        <w:t>19</w:t>
      </w:r>
      <w:r>
        <w:rPr>
          <w:spacing w:val="45"/>
          <w:sz w:val="16"/>
        </w:rPr>
        <w:t xml:space="preserve">  </w:t>
      </w:r>
      <w:r>
        <w:rPr>
          <w:sz w:val="16"/>
        </w:rPr>
        <w:t>Pursuant</w:t>
      </w:r>
      <w:r>
        <w:rPr>
          <w:spacing w:val="-2"/>
          <w:sz w:val="16"/>
        </w:rPr>
        <w:t xml:space="preserve"> </w:t>
      </w:r>
      <w:r>
        <w:rPr>
          <w:sz w:val="16"/>
        </w:rPr>
        <w:t>to</w:t>
      </w:r>
      <w:r>
        <w:rPr>
          <w:spacing w:val="-3"/>
          <w:sz w:val="16"/>
        </w:rPr>
        <w:t xml:space="preserve"> </w:t>
      </w:r>
      <w:r>
        <w:rPr>
          <w:sz w:val="16"/>
        </w:rPr>
        <w:t>section</w:t>
      </w:r>
      <w:r>
        <w:rPr>
          <w:spacing w:val="-4"/>
          <w:sz w:val="16"/>
        </w:rPr>
        <w:t xml:space="preserve"> </w:t>
      </w:r>
      <w:r>
        <w:rPr>
          <w:sz w:val="16"/>
        </w:rPr>
        <w:t>227B(1)(b)</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ASIC</w:t>
      </w:r>
      <w:r>
        <w:rPr>
          <w:spacing w:val="-1"/>
          <w:sz w:val="16"/>
        </w:rPr>
        <w:t xml:space="preserve"> </w:t>
      </w:r>
      <w:r>
        <w:rPr>
          <w:spacing w:val="-4"/>
          <w:sz w:val="16"/>
        </w:rPr>
        <w:t>Act.</w:t>
      </w:r>
    </w:p>
    <w:p w14:paraId="1E8059F8"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9F9" w14:textId="77777777" w:rsidR="00AA4A02" w:rsidRDefault="00AA4A02">
      <w:pPr>
        <w:pStyle w:val="BodyText"/>
        <w:spacing w:before="4"/>
        <w:rPr>
          <w:sz w:val="19"/>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112"/>
      </w:tblGrid>
      <w:tr w:rsidR="00AA4A02" w14:paraId="1E8059FB" w14:textId="77777777">
        <w:trPr>
          <w:trHeight w:val="398"/>
        </w:trPr>
        <w:tc>
          <w:tcPr>
            <w:tcW w:w="8224" w:type="dxa"/>
            <w:gridSpan w:val="2"/>
            <w:shd w:val="clear" w:color="auto" w:fill="DDD9C3"/>
          </w:tcPr>
          <w:p w14:paraId="1E8059FA" w14:textId="77777777" w:rsidR="00AA4A02" w:rsidRDefault="00960F31">
            <w:pPr>
              <w:pStyle w:val="TableParagraph"/>
              <w:spacing w:before="13"/>
              <w:rPr>
                <w:sz w:val="24"/>
              </w:rPr>
            </w:pPr>
            <w:r>
              <w:rPr>
                <w:b/>
                <w:sz w:val="24"/>
              </w:rPr>
              <w:t>AUASB</w:t>
            </w:r>
            <w:r>
              <w:rPr>
                <w:b/>
                <w:spacing w:val="-1"/>
                <w:sz w:val="24"/>
              </w:rPr>
              <w:t xml:space="preserve"> </w:t>
            </w:r>
            <w:r>
              <w:rPr>
                <w:b/>
                <w:sz w:val="24"/>
              </w:rPr>
              <w:t>Pronouncements</w:t>
            </w:r>
            <w:r>
              <w:rPr>
                <w:b/>
                <w:spacing w:val="-1"/>
                <w:sz w:val="24"/>
              </w:rPr>
              <w:t xml:space="preserve"> </w:t>
            </w:r>
            <w:r>
              <w:rPr>
                <w:b/>
                <w:sz w:val="24"/>
              </w:rPr>
              <w:t>other</w:t>
            </w:r>
            <w:r>
              <w:rPr>
                <w:b/>
                <w:spacing w:val="-4"/>
                <w:sz w:val="24"/>
              </w:rPr>
              <w:t xml:space="preserve"> </w:t>
            </w:r>
            <w:r>
              <w:rPr>
                <w:b/>
                <w:sz w:val="24"/>
              </w:rPr>
              <w:t xml:space="preserve">than </w:t>
            </w:r>
            <w:r>
              <w:rPr>
                <w:b/>
                <w:spacing w:val="-2"/>
                <w:sz w:val="24"/>
              </w:rPr>
              <w:t>Standards</w:t>
            </w:r>
            <w:r>
              <w:rPr>
                <w:spacing w:val="-2"/>
                <w:sz w:val="24"/>
                <w:vertAlign w:val="superscript"/>
              </w:rPr>
              <w:t>20</w:t>
            </w:r>
          </w:p>
        </w:tc>
      </w:tr>
      <w:tr w:rsidR="00AA4A02" w14:paraId="1E805A04" w14:textId="77777777">
        <w:trPr>
          <w:trHeight w:val="3501"/>
        </w:trPr>
        <w:tc>
          <w:tcPr>
            <w:tcW w:w="4112" w:type="dxa"/>
          </w:tcPr>
          <w:p w14:paraId="1E8059FC" w14:textId="77777777" w:rsidR="00AA4A02" w:rsidRDefault="00960F31">
            <w:pPr>
              <w:pStyle w:val="TableParagraph"/>
              <w:numPr>
                <w:ilvl w:val="0"/>
                <w:numId w:val="26"/>
              </w:numPr>
              <w:tabs>
                <w:tab w:val="left" w:pos="707"/>
              </w:tabs>
              <w:spacing w:before="75"/>
              <w:ind w:hanging="566"/>
              <w:rPr>
                <w:position w:val="8"/>
                <w:sz w:val="14"/>
              </w:rPr>
            </w:pPr>
            <w:r>
              <w:rPr>
                <w:b/>
                <w:sz w:val="24"/>
              </w:rPr>
              <w:t>Framework</w:t>
            </w:r>
            <w:r>
              <w:rPr>
                <w:b/>
                <w:spacing w:val="-3"/>
                <w:sz w:val="24"/>
              </w:rPr>
              <w:t xml:space="preserve"> </w:t>
            </w:r>
            <w:r>
              <w:rPr>
                <w:b/>
                <w:spacing w:val="-2"/>
                <w:sz w:val="24"/>
              </w:rPr>
              <w:t>Pronouncements</w:t>
            </w:r>
            <w:r>
              <w:rPr>
                <w:spacing w:val="-2"/>
                <w:position w:val="8"/>
                <w:sz w:val="14"/>
              </w:rPr>
              <w:t>21</w:t>
            </w:r>
          </w:p>
          <w:p w14:paraId="1E8059FD" w14:textId="77777777" w:rsidR="00AA4A02" w:rsidRDefault="00960F31">
            <w:pPr>
              <w:pStyle w:val="TableParagraph"/>
              <w:spacing w:before="187" w:line="208" w:lineRule="auto"/>
              <w:ind w:left="707"/>
            </w:pPr>
            <w:r>
              <w:t>Provide information, structure and context</w:t>
            </w:r>
            <w:r>
              <w:rPr>
                <w:spacing w:val="-9"/>
              </w:rPr>
              <w:t xml:space="preserve"> </w:t>
            </w:r>
            <w:r>
              <w:t>to</w:t>
            </w:r>
            <w:r>
              <w:rPr>
                <w:spacing w:val="-8"/>
              </w:rPr>
              <w:t xml:space="preserve"> </w:t>
            </w:r>
            <w:r>
              <w:t>pronouncements</w:t>
            </w:r>
            <w:r>
              <w:rPr>
                <w:spacing w:val="-9"/>
              </w:rPr>
              <w:t xml:space="preserve"> </w:t>
            </w:r>
            <w:r>
              <w:t>and</w:t>
            </w:r>
            <w:r>
              <w:rPr>
                <w:spacing w:val="-8"/>
              </w:rPr>
              <w:t xml:space="preserve"> </w:t>
            </w:r>
            <w:r>
              <w:t>other materials that the AUASB issues.</w:t>
            </w:r>
          </w:p>
          <w:p w14:paraId="1E8059FE" w14:textId="77777777" w:rsidR="00AA4A02" w:rsidRDefault="00960F31">
            <w:pPr>
              <w:pStyle w:val="TableParagraph"/>
              <w:spacing w:before="202" w:line="208" w:lineRule="auto"/>
              <w:ind w:left="707" w:right="865"/>
            </w:pPr>
            <w:r>
              <w:t>Framework</w:t>
            </w:r>
            <w:r>
              <w:rPr>
                <w:spacing w:val="-14"/>
              </w:rPr>
              <w:t xml:space="preserve"> </w:t>
            </w:r>
            <w:r>
              <w:t>pronouncements comprise of:</w:t>
            </w:r>
          </w:p>
          <w:p w14:paraId="1E8059FF" w14:textId="77777777" w:rsidR="00AA4A02" w:rsidRDefault="00960F31">
            <w:pPr>
              <w:pStyle w:val="TableParagraph"/>
              <w:numPr>
                <w:ilvl w:val="1"/>
                <w:numId w:val="26"/>
              </w:numPr>
              <w:tabs>
                <w:tab w:val="left" w:pos="1274"/>
              </w:tabs>
              <w:spacing w:before="119" w:line="208" w:lineRule="auto"/>
              <w:ind w:right="988"/>
              <w:rPr>
                <w:i/>
              </w:rPr>
            </w:pPr>
            <w:hyperlink r:id="rId68">
              <w:r>
                <w:rPr>
                  <w:i/>
                  <w:color w:val="0000FF"/>
                  <w:u w:val="single" w:color="0000FF"/>
                </w:rPr>
                <w:t>Foreword</w:t>
              </w:r>
              <w:r>
                <w:rPr>
                  <w:i/>
                  <w:color w:val="0000FF"/>
                  <w:spacing w:val="-14"/>
                  <w:u w:val="single" w:color="0000FF"/>
                </w:rPr>
                <w:t xml:space="preserve"> </w:t>
              </w:r>
              <w:r>
                <w:rPr>
                  <w:i/>
                  <w:color w:val="0000FF"/>
                  <w:u w:val="single" w:color="0000FF"/>
                </w:rPr>
                <w:t>to</w:t>
              </w:r>
              <w:r>
                <w:rPr>
                  <w:i/>
                  <w:color w:val="0000FF"/>
                  <w:spacing w:val="-14"/>
                  <w:u w:val="single" w:color="0000FF"/>
                </w:rPr>
                <w:t xml:space="preserve"> </w:t>
              </w:r>
              <w:r>
                <w:rPr>
                  <w:i/>
                  <w:color w:val="0000FF"/>
                  <w:u w:val="single" w:color="0000FF"/>
                </w:rPr>
                <w:t>AUASB</w:t>
              </w:r>
            </w:hyperlink>
            <w:r>
              <w:rPr>
                <w:i/>
                <w:color w:val="0000FF"/>
              </w:rPr>
              <w:t xml:space="preserve"> </w:t>
            </w:r>
            <w:hyperlink r:id="rId69">
              <w:r>
                <w:rPr>
                  <w:i/>
                  <w:color w:val="0000FF"/>
                  <w:spacing w:val="-2"/>
                  <w:u w:val="single" w:color="0000FF"/>
                </w:rPr>
                <w:t>Pronouncements</w:t>
              </w:r>
            </w:hyperlink>
          </w:p>
          <w:p w14:paraId="1E805A00" w14:textId="77777777" w:rsidR="00AA4A02" w:rsidRDefault="00960F31">
            <w:pPr>
              <w:pStyle w:val="TableParagraph"/>
              <w:numPr>
                <w:ilvl w:val="1"/>
                <w:numId w:val="26"/>
              </w:numPr>
              <w:tabs>
                <w:tab w:val="left" w:pos="1274"/>
              </w:tabs>
              <w:spacing w:before="119" w:line="208" w:lineRule="auto"/>
              <w:ind w:right="514"/>
              <w:rPr>
                <w:i/>
              </w:rPr>
            </w:pPr>
            <w:hyperlink r:id="rId70">
              <w:r>
                <w:rPr>
                  <w:i/>
                  <w:color w:val="0000FF"/>
                  <w:u w:val="single" w:color="0000FF"/>
                </w:rPr>
                <w:t>Framework</w:t>
              </w:r>
              <w:r>
                <w:rPr>
                  <w:i/>
                  <w:color w:val="0000FF"/>
                  <w:spacing w:val="-14"/>
                  <w:u w:val="single" w:color="0000FF"/>
                </w:rPr>
                <w:t xml:space="preserve"> </w:t>
              </w:r>
              <w:r>
                <w:rPr>
                  <w:i/>
                  <w:color w:val="0000FF"/>
                  <w:u w:val="single" w:color="0000FF"/>
                </w:rPr>
                <w:t>for</w:t>
              </w:r>
              <w:r>
                <w:rPr>
                  <w:i/>
                  <w:color w:val="0000FF"/>
                  <w:spacing w:val="-14"/>
                  <w:u w:val="single" w:color="0000FF"/>
                </w:rPr>
                <w:t xml:space="preserve"> </w:t>
              </w:r>
              <w:r>
                <w:rPr>
                  <w:i/>
                  <w:color w:val="0000FF"/>
                  <w:u w:val="single" w:color="0000FF"/>
                </w:rPr>
                <w:t>Assurance</w:t>
              </w:r>
            </w:hyperlink>
            <w:r>
              <w:rPr>
                <w:i/>
                <w:color w:val="0000FF"/>
              </w:rPr>
              <w:t xml:space="preserve"> </w:t>
            </w:r>
            <w:hyperlink r:id="rId71">
              <w:r>
                <w:rPr>
                  <w:i/>
                  <w:color w:val="0000FF"/>
                  <w:spacing w:val="-2"/>
                  <w:u w:val="single" w:color="0000FF"/>
                </w:rPr>
                <w:t>Engagements</w:t>
              </w:r>
            </w:hyperlink>
          </w:p>
          <w:p w14:paraId="1E805A01" w14:textId="77777777" w:rsidR="00AA4A02" w:rsidRDefault="00960F31">
            <w:pPr>
              <w:pStyle w:val="TableParagraph"/>
              <w:numPr>
                <w:ilvl w:val="1"/>
                <w:numId w:val="26"/>
              </w:numPr>
              <w:tabs>
                <w:tab w:val="left" w:pos="1274"/>
              </w:tabs>
              <w:spacing w:before="76"/>
              <w:rPr>
                <w:i/>
                <w:sz w:val="24"/>
              </w:rPr>
            </w:pPr>
            <w:hyperlink r:id="rId72">
              <w:r>
                <w:rPr>
                  <w:i/>
                  <w:color w:val="0000FF"/>
                  <w:u w:val="single" w:color="0000FF"/>
                </w:rPr>
                <w:t>AUASB</w:t>
              </w:r>
              <w:r>
                <w:rPr>
                  <w:i/>
                  <w:color w:val="0000FF"/>
                  <w:spacing w:val="-3"/>
                  <w:u w:val="single" w:color="0000FF"/>
                </w:rPr>
                <w:t xml:space="preserve"> </w:t>
              </w:r>
              <w:r>
                <w:rPr>
                  <w:i/>
                  <w:color w:val="0000FF"/>
                  <w:spacing w:val="-2"/>
                  <w:u w:val="single" w:color="0000FF"/>
                </w:rPr>
                <w:t>Glossary</w:t>
              </w:r>
            </w:hyperlink>
          </w:p>
        </w:tc>
        <w:tc>
          <w:tcPr>
            <w:tcW w:w="4112" w:type="dxa"/>
          </w:tcPr>
          <w:p w14:paraId="1E805A02" w14:textId="77777777" w:rsidR="00AA4A02" w:rsidRDefault="00960F31">
            <w:pPr>
              <w:pStyle w:val="TableParagraph"/>
              <w:spacing w:before="118" w:line="208" w:lineRule="auto"/>
              <w:ind w:left="108" w:right="147"/>
            </w:pPr>
            <w:r>
              <w:t>AUASB</w:t>
            </w:r>
            <w:r>
              <w:rPr>
                <w:spacing w:val="-14"/>
              </w:rPr>
              <w:t xml:space="preserve"> </w:t>
            </w:r>
            <w:r>
              <w:t>framework</w:t>
            </w:r>
            <w:r>
              <w:rPr>
                <w:spacing w:val="-13"/>
              </w:rPr>
              <w:t xml:space="preserve"> </w:t>
            </w:r>
            <w:r>
              <w:t>pronouncements</w:t>
            </w:r>
            <w:r>
              <w:rPr>
                <w:spacing w:val="-12"/>
              </w:rPr>
              <w:t xml:space="preserve"> </w:t>
            </w:r>
            <w:r>
              <w:t xml:space="preserve">are formally approved and issued by the </w:t>
            </w:r>
            <w:r>
              <w:rPr>
                <w:spacing w:val="-2"/>
              </w:rPr>
              <w:t>AUASB.</w:t>
            </w:r>
          </w:p>
          <w:p w14:paraId="1E805A03" w14:textId="77777777" w:rsidR="00AA4A02" w:rsidRDefault="00960F31">
            <w:pPr>
              <w:pStyle w:val="TableParagraph"/>
              <w:spacing w:before="202" w:line="208" w:lineRule="auto"/>
              <w:ind w:left="108" w:right="147"/>
            </w:pPr>
            <w:r>
              <w:t>Framework</w:t>
            </w:r>
            <w:r>
              <w:rPr>
                <w:spacing w:val="-11"/>
              </w:rPr>
              <w:t xml:space="preserve"> </w:t>
            </w:r>
            <w:r>
              <w:t>pronouncements</w:t>
            </w:r>
            <w:r>
              <w:rPr>
                <w:spacing w:val="-8"/>
              </w:rPr>
              <w:t xml:space="preserve"> </w:t>
            </w:r>
            <w:r>
              <w:t>do</w:t>
            </w:r>
            <w:r>
              <w:rPr>
                <w:spacing w:val="-9"/>
              </w:rPr>
              <w:t xml:space="preserve"> </w:t>
            </w:r>
            <w:r>
              <w:t>not</w:t>
            </w:r>
            <w:r>
              <w:rPr>
                <w:spacing w:val="-8"/>
              </w:rPr>
              <w:t xml:space="preserve"> </w:t>
            </w:r>
            <w:r>
              <w:t xml:space="preserve">include any additional requirements or extend or vary the existing requirements of any AUASB Standards and are not legally </w:t>
            </w:r>
            <w:r>
              <w:rPr>
                <w:spacing w:val="-2"/>
              </w:rPr>
              <w:t>enforceable.</w:t>
            </w:r>
          </w:p>
        </w:tc>
      </w:tr>
      <w:tr w:rsidR="00AA4A02" w14:paraId="1E805A0C" w14:textId="77777777">
        <w:trPr>
          <w:trHeight w:val="5580"/>
        </w:trPr>
        <w:tc>
          <w:tcPr>
            <w:tcW w:w="4112" w:type="dxa"/>
          </w:tcPr>
          <w:p w14:paraId="1E805A05" w14:textId="77777777" w:rsidR="00AA4A02" w:rsidRDefault="00960F31">
            <w:pPr>
              <w:pStyle w:val="TableParagraph"/>
              <w:numPr>
                <w:ilvl w:val="0"/>
                <w:numId w:val="25"/>
              </w:numPr>
              <w:tabs>
                <w:tab w:val="left" w:pos="707"/>
              </w:tabs>
              <w:spacing w:before="74"/>
              <w:ind w:hanging="566"/>
              <w:rPr>
                <w:position w:val="8"/>
                <w:sz w:val="14"/>
              </w:rPr>
            </w:pPr>
            <w:r>
              <w:rPr>
                <w:b/>
                <w:sz w:val="24"/>
              </w:rPr>
              <w:t>AUASB</w:t>
            </w:r>
            <w:r>
              <w:rPr>
                <w:b/>
                <w:spacing w:val="-3"/>
                <w:sz w:val="24"/>
              </w:rPr>
              <w:t xml:space="preserve"> </w:t>
            </w:r>
            <w:r>
              <w:rPr>
                <w:b/>
                <w:sz w:val="24"/>
              </w:rPr>
              <w:t>Guidance</w:t>
            </w:r>
            <w:r>
              <w:rPr>
                <w:b/>
                <w:spacing w:val="-1"/>
                <w:sz w:val="24"/>
              </w:rPr>
              <w:t xml:space="preserve"> </w:t>
            </w:r>
            <w:r>
              <w:rPr>
                <w:b/>
                <w:spacing w:val="-2"/>
                <w:sz w:val="24"/>
              </w:rPr>
              <w:t>Statements</w:t>
            </w:r>
            <w:r>
              <w:rPr>
                <w:spacing w:val="-2"/>
                <w:position w:val="8"/>
                <w:sz w:val="14"/>
              </w:rPr>
              <w:t>22</w:t>
            </w:r>
          </w:p>
          <w:p w14:paraId="1E805A06" w14:textId="77777777" w:rsidR="00AA4A02" w:rsidRDefault="00960F31">
            <w:pPr>
              <w:pStyle w:val="TableParagraph"/>
              <w:spacing w:before="189" w:line="208" w:lineRule="auto"/>
              <w:ind w:left="707" w:right="112"/>
            </w:pPr>
            <w:r>
              <w:t>Guidance Statements provide guidance to auditors and assurance practitioners on the application of AUASB Standards and assist auditors and assurance providers to comply with Standards. Guidance Statements are intended to assist auditors and assurance practitioners in</w:t>
            </w:r>
            <w:r>
              <w:rPr>
                <w:spacing w:val="-7"/>
              </w:rPr>
              <w:t xml:space="preserve"> </w:t>
            </w:r>
            <w:r>
              <w:t>applying</w:t>
            </w:r>
            <w:r>
              <w:rPr>
                <w:spacing w:val="-6"/>
              </w:rPr>
              <w:t xml:space="preserve"> </w:t>
            </w:r>
            <w:r>
              <w:t>an</w:t>
            </w:r>
            <w:r>
              <w:rPr>
                <w:spacing w:val="-7"/>
              </w:rPr>
              <w:t xml:space="preserve"> </w:t>
            </w:r>
            <w:r>
              <w:t>existing</w:t>
            </w:r>
            <w:r>
              <w:rPr>
                <w:spacing w:val="-9"/>
              </w:rPr>
              <w:t xml:space="preserve"> </w:t>
            </w:r>
            <w:r>
              <w:t>standard(s)</w:t>
            </w:r>
            <w:r>
              <w:rPr>
                <w:spacing w:val="-9"/>
              </w:rPr>
              <w:t xml:space="preserve"> </w:t>
            </w:r>
            <w:r>
              <w:t xml:space="preserve">of general application to particular circumstances or specialised </w:t>
            </w:r>
            <w:r>
              <w:rPr>
                <w:spacing w:val="-2"/>
              </w:rPr>
              <w:t>industries/sectors.</w:t>
            </w:r>
            <w:r>
              <w:rPr>
                <w:spacing w:val="-2"/>
                <w:vertAlign w:val="superscript"/>
              </w:rPr>
              <w:t>23</w:t>
            </w:r>
          </w:p>
          <w:p w14:paraId="1E805A07" w14:textId="77777777" w:rsidR="00AA4A02" w:rsidRDefault="00960F31">
            <w:pPr>
              <w:pStyle w:val="TableParagraph"/>
              <w:spacing w:before="198" w:line="208" w:lineRule="auto"/>
              <w:ind w:left="707" w:right="147"/>
            </w:pPr>
            <w:r>
              <w:t>Accordingly,</w:t>
            </w:r>
            <w:r>
              <w:rPr>
                <w:spacing w:val="-14"/>
              </w:rPr>
              <w:t xml:space="preserve"> </w:t>
            </w:r>
            <w:r>
              <w:t>Guidance</w:t>
            </w:r>
            <w:r>
              <w:rPr>
                <w:spacing w:val="-14"/>
              </w:rPr>
              <w:t xml:space="preserve"> </w:t>
            </w:r>
            <w:r>
              <w:t>Statements refer to, and are written in the context of:</w:t>
            </w:r>
          </w:p>
          <w:p w14:paraId="1E805A08" w14:textId="77777777" w:rsidR="00AA4A02" w:rsidRDefault="00960F31">
            <w:pPr>
              <w:pStyle w:val="TableParagraph"/>
              <w:numPr>
                <w:ilvl w:val="1"/>
                <w:numId w:val="25"/>
              </w:numPr>
              <w:tabs>
                <w:tab w:val="left" w:pos="1274"/>
              </w:tabs>
              <w:spacing w:before="199" w:line="208" w:lineRule="auto"/>
              <w:ind w:right="246"/>
            </w:pPr>
            <w:r>
              <w:t>specified</w:t>
            </w:r>
            <w:r>
              <w:rPr>
                <w:spacing w:val="-14"/>
              </w:rPr>
              <w:t xml:space="preserve"> </w:t>
            </w:r>
            <w:r>
              <w:t>AUASB</w:t>
            </w:r>
            <w:r>
              <w:rPr>
                <w:spacing w:val="-14"/>
              </w:rPr>
              <w:t xml:space="preserve"> </w:t>
            </w:r>
            <w:r>
              <w:t xml:space="preserve">Standards; </w:t>
            </w:r>
            <w:r>
              <w:rPr>
                <w:spacing w:val="-4"/>
              </w:rPr>
              <w:t>and</w:t>
            </w:r>
          </w:p>
          <w:p w14:paraId="1E805A09" w14:textId="77777777" w:rsidR="00AA4A02" w:rsidRDefault="00960F31">
            <w:pPr>
              <w:pStyle w:val="TableParagraph"/>
              <w:numPr>
                <w:ilvl w:val="1"/>
                <w:numId w:val="25"/>
              </w:numPr>
              <w:tabs>
                <w:tab w:val="left" w:pos="1274"/>
              </w:tabs>
              <w:spacing w:before="122" w:line="208" w:lineRule="auto"/>
              <w:ind w:right="440"/>
            </w:pPr>
            <w:r>
              <w:t>where</w:t>
            </w:r>
            <w:r>
              <w:rPr>
                <w:spacing w:val="-14"/>
              </w:rPr>
              <w:t xml:space="preserve"> </w:t>
            </w:r>
            <w:r>
              <w:t>relevant,</w:t>
            </w:r>
            <w:r>
              <w:rPr>
                <w:spacing w:val="-14"/>
              </w:rPr>
              <w:t xml:space="preserve"> </w:t>
            </w:r>
            <w:r>
              <w:t>legislation, regulation or other authoritative publication.</w:t>
            </w:r>
          </w:p>
        </w:tc>
        <w:tc>
          <w:tcPr>
            <w:tcW w:w="4112" w:type="dxa"/>
          </w:tcPr>
          <w:p w14:paraId="1E805A0A" w14:textId="77777777" w:rsidR="00AA4A02" w:rsidRDefault="00960F31">
            <w:pPr>
              <w:pStyle w:val="TableParagraph"/>
              <w:spacing w:before="119" w:line="208" w:lineRule="auto"/>
              <w:ind w:left="108"/>
            </w:pPr>
            <w:r>
              <w:t>Whilst</w:t>
            </w:r>
            <w:r>
              <w:rPr>
                <w:spacing w:val="-6"/>
              </w:rPr>
              <w:t xml:space="preserve"> </w:t>
            </w:r>
            <w:r>
              <w:t>formally</w:t>
            </w:r>
            <w:r>
              <w:rPr>
                <w:spacing w:val="-7"/>
              </w:rPr>
              <w:t xml:space="preserve"> </w:t>
            </w:r>
            <w:r>
              <w:t>approved</w:t>
            </w:r>
            <w:r>
              <w:rPr>
                <w:spacing w:val="-6"/>
              </w:rPr>
              <w:t xml:space="preserve"> </w:t>
            </w:r>
            <w:r>
              <w:t>and</w:t>
            </w:r>
            <w:r>
              <w:rPr>
                <w:spacing w:val="-7"/>
              </w:rPr>
              <w:t xml:space="preserve"> </w:t>
            </w:r>
            <w:r>
              <w:t>issued</w:t>
            </w:r>
            <w:r>
              <w:rPr>
                <w:spacing w:val="-7"/>
              </w:rPr>
              <w:t xml:space="preserve"> </w:t>
            </w:r>
            <w:r>
              <w:t>by</w:t>
            </w:r>
            <w:r>
              <w:rPr>
                <w:spacing w:val="-7"/>
              </w:rPr>
              <w:t xml:space="preserve"> </w:t>
            </w:r>
            <w:r>
              <w:t xml:space="preserve">the AUASB, Guidance Statements do not establish new principles or amend existing </w:t>
            </w:r>
            <w:r>
              <w:rPr>
                <w:spacing w:val="-2"/>
              </w:rPr>
              <w:t>standards.</w:t>
            </w:r>
          </w:p>
          <w:p w14:paraId="1E805A0B" w14:textId="77777777" w:rsidR="00AA4A02" w:rsidRDefault="00960F31">
            <w:pPr>
              <w:pStyle w:val="TableParagraph"/>
              <w:spacing w:before="200" w:line="208" w:lineRule="auto"/>
              <w:ind w:left="108" w:right="147"/>
            </w:pPr>
            <w:r>
              <w:t>Guidance Statements do not include any additional requirements or extend or</w:t>
            </w:r>
            <w:r>
              <w:rPr>
                <w:spacing w:val="-1"/>
              </w:rPr>
              <w:t xml:space="preserve"> </w:t>
            </w:r>
            <w:r>
              <w:t>vary the existing requirements of any AUASB Standards</w:t>
            </w:r>
            <w:r>
              <w:rPr>
                <w:spacing w:val="-8"/>
              </w:rPr>
              <w:t xml:space="preserve"> </w:t>
            </w:r>
            <w:r>
              <w:t>and</w:t>
            </w:r>
            <w:r>
              <w:rPr>
                <w:spacing w:val="-8"/>
              </w:rPr>
              <w:t xml:space="preserve"> </w:t>
            </w:r>
            <w:r>
              <w:t>are</w:t>
            </w:r>
            <w:r>
              <w:rPr>
                <w:spacing w:val="-8"/>
              </w:rPr>
              <w:t xml:space="preserve"> </w:t>
            </w:r>
            <w:r>
              <w:t>not</w:t>
            </w:r>
            <w:r>
              <w:rPr>
                <w:spacing w:val="-8"/>
              </w:rPr>
              <w:t xml:space="preserve"> </w:t>
            </w:r>
            <w:r>
              <w:t>legally</w:t>
            </w:r>
            <w:r>
              <w:rPr>
                <w:spacing w:val="-6"/>
              </w:rPr>
              <w:t xml:space="preserve"> </w:t>
            </w:r>
            <w:r>
              <w:t>enforceable.</w:t>
            </w:r>
          </w:p>
        </w:tc>
      </w:tr>
    </w:tbl>
    <w:p w14:paraId="1E805A0D" w14:textId="77777777" w:rsidR="00AA4A02" w:rsidRDefault="00AA4A02">
      <w:pPr>
        <w:pStyle w:val="BodyText"/>
        <w:spacing w:before="166"/>
      </w:pPr>
    </w:p>
    <w:p w14:paraId="1E805A0E" w14:textId="77777777" w:rsidR="00AA4A02" w:rsidRDefault="00960F31">
      <w:pPr>
        <w:pStyle w:val="ListParagraph"/>
        <w:numPr>
          <w:ilvl w:val="0"/>
          <w:numId w:val="29"/>
        </w:numPr>
        <w:tabs>
          <w:tab w:val="left" w:pos="851"/>
        </w:tabs>
        <w:spacing w:before="0" w:line="208" w:lineRule="auto"/>
        <w:ind w:right="624"/>
      </w:pPr>
      <w:r>
        <w:t>The term “authoritative” is used to refer to AUASB pronouncements that are formally approved</w:t>
      </w:r>
      <w:r>
        <w:rPr>
          <w:spacing w:val="-3"/>
        </w:rPr>
        <w:t xml:space="preserve"> </w:t>
      </w:r>
      <w:r>
        <w:t>and</w:t>
      </w:r>
      <w:r>
        <w:rPr>
          <w:spacing w:val="-3"/>
        </w:rPr>
        <w:t xml:space="preserve"> </w:t>
      </w:r>
      <w:r>
        <w:t>issued</w:t>
      </w:r>
      <w:r>
        <w:rPr>
          <w:spacing w:val="-3"/>
        </w:rPr>
        <w:t xml:space="preserve"> </w:t>
      </w:r>
      <w:r>
        <w:t>by</w:t>
      </w:r>
      <w:r>
        <w:rPr>
          <w:spacing w:val="-5"/>
        </w:rPr>
        <w:t xml:space="preserve"> </w:t>
      </w:r>
      <w:r>
        <w:t>the</w:t>
      </w:r>
      <w:r>
        <w:rPr>
          <w:spacing w:val="-4"/>
        </w:rPr>
        <w:t xml:space="preserve"> </w:t>
      </w:r>
      <w:r>
        <w:t>AUASB.</w:t>
      </w:r>
      <w:r>
        <w:rPr>
          <w:spacing w:val="-3"/>
        </w:rPr>
        <w:t xml:space="preserve"> </w:t>
      </w:r>
      <w:r>
        <w:t>AUASB</w:t>
      </w:r>
      <w:r>
        <w:rPr>
          <w:spacing w:val="-5"/>
        </w:rPr>
        <w:t xml:space="preserve"> </w:t>
      </w:r>
      <w:r>
        <w:t>pronouncements</w:t>
      </w:r>
      <w:r>
        <w:rPr>
          <w:spacing w:val="-3"/>
        </w:rPr>
        <w:t xml:space="preserve"> </w:t>
      </w:r>
      <w:r>
        <w:t>are</w:t>
      </w:r>
      <w:r>
        <w:rPr>
          <w:spacing w:val="-3"/>
        </w:rPr>
        <w:t xml:space="preserve"> </w:t>
      </w:r>
      <w:r>
        <w:t>developed,</w:t>
      </w:r>
      <w:r>
        <w:rPr>
          <w:spacing w:val="-5"/>
        </w:rPr>
        <w:t xml:space="preserve"> </w:t>
      </w:r>
      <w:r>
        <w:t>issued</w:t>
      </w:r>
      <w:r>
        <w:rPr>
          <w:spacing w:val="-3"/>
        </w:rPr>
        <w:t xml:space="preserve"> </w:t>
      </w:r>
      <w:r>
        <w:t>and maintained in accordance with the AUASB’s due process framework.</w:t>
      </w:r>
    </w:p>
    <w:p w14:paraId="1E805A0F" w14:textId="77777777" w:rsidR="00AA4A02" w:rsidRDefault="00960F31">
      <w:pPr>
        <w:pStyle w:val="ListParagraph"/>
        <w:numPr>
          <w:ilvl w:val="0"/>
          <w:numId w:val="29"/>
        </w:numPr>
        <w:tabs>
          <w:tab w:val="left" w:pos="851"/>
        </w:tabs>
        <w:spacing w:before="199" w:line="208" w:lineRule="auto"/>
        <w:ind w:right="171"/>
      </w:pPr>
      <w:r>
        <w:t>As</w:t>
      </w:r>
      <w:r>
        <w:rPr>
          <w:spacing w:val="-1"/>
        </w:rPr>
        <w:t xml:space="preserve"> </w:t>
      </w:r>
      <w:r>
        <w:t>outlined</w:t>
      </w:r>
      <w:r>
        <w:rPr>
          <w:spacing w:val="-1"/>
        </w:rPr>
        <w:t xml:space="preserve"> </w:t>
      </w:r>
      <w:r>
        <w:t>in</w:t>
      </w:r>
      <w:r>
        <w:rPr>
          <w:spacing w:val="-1"/>
        </w:rPr>
        <w:t xml:space="preserve"> </w:t>
      </w:r>
      <w:r>
        <w:t>the</w:t>
      </w:r>
      <w:r>
        <w:rPr>
          <w:spacing w:val="-1"/>
        </w:rPr>
        <w:t xml:space="preserve"> </w:t>
      </w:r>
      <w:r>
        <w:t>table</w:t>
      </w:r>
      <w:r>
        <w:rPr>
          <w:spacing w:val="-1"/>
        </w:rPr>
        <w:t xml:space="preserve"> </w:t>
      </w:r>
      <w:r>
        <w:t>above,</w:t>
      </w:r>
      <w:r>
        <w:rPr>
          <w:spacing w:val="-1"/>
        </w:rPr>
        <w:t xml:space="preserve"> </w:t>
      </w:r>
      <w:r>
        <w:t>not</w:t>
      </w:r>
      <w:r>
        <w:rPr>
          <w:spacing w:val="-2"/>
        </w:rPr>
        <w:t xml:space="preserve"> </w:t>
      </w:r>
      <w:r>
        <w:t>all authoritative pronouncements</w:t>
      </w:r>
      <w:r>
        <w:rPr>
          <w:spacing w:val="-3"/>
        </w:rPr>
        <w:t xml:space="preserve"> </w:t>
      </w:r>
      <w:r>
        <w:t>issued</w:t>
      </w:r>
      <w:r>
        <w:rPr>
          <w:spacing w:val="-1"/>
        </w:rPr>
        <w:t xml:space="preserve"> </w:t>
      </w:r>
      <w:r>
        <w:t>by</w:t>
      </w:r>
      <w:r>
        <w:rPr>
          <w:spacing w:val="-1"/>
        </w:rPr>
        <w:t xml:space="preserve"> </w:t>
      </w:r>
      <w:r>
        <w:t>the</w:t>
      </w:r>
      <w:r>
        <w:rPr>
          <w:spacing w:val="-2"/>
        </w:rPr>
        <w:t xml:space="preserve"> </w:t>
      </w:r>
      <w:r>
        <w:t>AUASB</w:t>
      </w:r>
      <w:r>
        <w:rPr>
          <w:spacing w:val="-2"/>
        </w:rPr>
        <w:t xml:space="preserve"> </w:t>
      </w:r>
      <w:r>
        <w:t xml:space="preserve">are legally binding. The </w:t>
      </w:r>
      <w:hyperlink r:id="rId73">
        <w:r>
          <w:rPr>
            <w:color w:val="0000FF"/>
            <w:u w:val="single" w:color="0000FF"/>
          </w:rPr>
          <w:t>Preamble</w:t>
        </w:r>
      </w:hyperlink>
      <w:r>
        <w:rPr>
          <w:color w:val="0000FF"/>
        </w:rPr>
        <w:t xml:space="preserve"> </w:t>
      </w:r>
      <w:r>
        <w:t>explains in greater detail the authority and legal status of AUASB</w:t>
      </w:r>
      <w:r>
        <w:rPr>
          <w:spacing w:val="-4"/>
        </w:rPr>
        <w:t xml:space="preserve"> </w:t>
      </w:r>
      <w:r>
        <w:t>Standards,</w:t>
      </w:r>
      <w:r>
        <w:rPr>
          <w:spacing w:val="-2"/>
        </w:rPr>
        <w:t xml:space="preserve"> </w:t>
      </w:r>
      <w:r>
        <w:t>how</w:t>
      </w:r>
      <w:r>
        <w:rPr>
          <w:spacing w:val="-3"/>
        </w:rPr>
        <w:t xml:space="preserve"> </w:t>
      </w:r>
      <w:r>
        <w:t>standards</w:t>
      </w:r>
      <w:r>
        <w:rPr>
          <w:spacing w:val="-2"/>
        </w:rPr>
        <w:t xml:space="preserve"> </w:t>
      </w:r>
      <w:r>
        <w:t>are</w:t>
      </w:r>
      <w:r>
        <w:rPr>
          <w:spacing w:val="-4"/>
        </w:rPr>
        <w:t xml:space="preserve"> </w:t>
      </w:r>
      <w:r>
        <w:t>to</w:t>
      </w:r>
      <w:r>
        <w:rPr>
          <w:spacing w:val="-2"/>
        </w:rPr>
        <w:t xml:space="preserve"> </w:t>
      </w:r>
      <w:r>
        <w:t>be</w:t>
      </w:r>
      <w:r>
        <w:rPr>
          <w:spacing w:val="-4"/>
        </w:rPr>
        <w:t xml:space="preserve"> </w:t>
      </w:r>
      <w:r>
        <w:t>understood,</w:t>
      </w:r>
      <w:r>
        <w:rPr>
          <w:spacing w:val="-2"/>
        </w:rPr>
        <w:t xml:space="preserve"> </w:t>
      </w:r>
      <w:r>
        <w:t>interpreted</w:t>
      </w:r>
      <w:r>
        <w:rPr>
          <w:spacing w:val="-4"/>
        </w:rPr>
        <w:t xml:space="preserve"> </w:t>
      </w:r>
      <w:r>
        <w:t>and</w:t>
      </w:r>
      <w:r>
        <w:rPr>
          <w:spacing w:val="-2"/>
        </w:rPr>
        <w:t xml:space="preserve"> </w:t>
      </w:r>
      <w:r>
        <w:t>applied,</w:t>
      </w:r>
      <w:r>
        <w:rPr>
          <w:spacing w:val="-5"/>
        </w:rPr>
        <w:t xml:space="preserve"> </w:t>
      </w:r>
      <w:r>
        <w:t>and</w:t>
      </w:r>
      <w:r>
        <w:rPr>
          <w:spacing w:val="-2"/>
        </w:rPr>
        <w:t xml:space="preserve"> </w:t>
      </w:r>
      <w:r>
        <w:t>identifies the mandatory and non-mandatory components of standards. Each pronouncement explains</w:t>
      </w:r>
      <w:r>
        <w:rPr>
          <w:spacing w:val="40"/>
        </w:rPr>
        <w:t xml:space="preserve"> </w:t>
      </w:r>
      <w:r>
        <w:t>the status of the material it contains.</w:t>
      </w:r>
    </w:p>
    <w:p w14:paraId="1E805A10" w14:textId="77777777" w:rsidR="00AA4A02" w:rsidRDefault="00AA4A02">
      <w:pPr>
        <w:pStyle w:val="BodyText"/>
        <w:rPr>
          <w:sz w:val="20"/>
        </w:rPr>
      </w:pPr>
    </w:p>
    <w:p w14:paraId="1E805A11" w14:textId="77777777" w:rsidR="00AA4A02" w:rsidRDefault="00960F31">
      <w:pPr>
        <w:pStyle w:val="BodyText"/>
        <w:spacing w:before="88"/>
        <w:rPr>
          <w:sz w:val="20"/>
        </w:rPr>
      </w:pPr>
      <w:r>
        <w:rPr>
          <w:noProof/>
          <w:sz w:val="20"/>
        </w:rPr>
        <mc:AlternateContent>
          <mc:Choice Requires="wps">
            <w:drawing>
              <wp:anchor distT="0" distB="0" distL="0" distR="0" simplePos="0" relativeHeight="487601152" behindDoc="1" locked="0" layoutInCell="1" allowOverlap="1" wp14:anchorId="1E805F47" wp14:editId="1E805F48">
                <wp:simplePos x="0" y="0"/>
                <wp:positionH relativeFrom="page">
                  <wp:posOffset>900988</wp:posOffset>
                </wp:positionH>
                <wp:positionV relativeFrom="paragraph">
                  <wp:posOffset>217367</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FD14A" id="Graphic 49" o:spid="_x0000_s1026" style="position:absolute;margin-left:70.95pt;margin-top:17.1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" path="m1829053,l,,,7619r1829053,l1829053,xe" fillcolor="black" stroked="f">
                <v:path arrowok="t"/>
                <w10:wrap type="topAndBottom" anchorx="page"/>
              </v:shape>
            </w:pict>
          </mc:Fallback>
        </mc:AlternateContent>
      </w:r>
    </w:p>
    <w:p w14:paraId="1E805A12" w14:textId="77777777" w:rsidR="00AA4A02" w:rsidRDefault="00960F31">
      <w:pPr>
        <w:spacing w:before="74" w:line="172" w:lineRule="exact"/>
        <w:ind w:left="143"/>
        <w:rPr>
          <w:sz w:val="16"/>
        </w:rPr>
      </w:pPr>
      <w:r>
        <w:rPr>
          <w:sz w:val="16"/>
          <w:vertAlign w:val="superscript"/>
        </w:rPr>
        <w:t>20</w:t>
      </w:r>
      <w:r>
        <w:rPr>
          <w:spacing w:val="45"/>
          <w:sz w:val="16"/>
        </w:rPr>
        <w:t xml:space="preserve">  </w:t>
      </w:r>
      <w:r>
        <w:rPr>
          <w:sz w:val="16"/>
        </w:rPr>
        <w:t>Pursuant</w:t>
      </w:r>
      <w:r>
        <w:rPr>
          <w:spacing w:val="-2"/>
          <w:sz w:val="16"/>
        </w:rPr>
        <w:t xml:space="preserve"> </w:t>
      </w:r>
      <w:r>
        <w:rPr>
          <w:sz w:val="16"/>
        </w:rPr>
        <w:t>to</w:t>
      </w:r>
      <w:r>
        <w:rPr>
          <w:spacing w:val="-3"/>
          <w:sz w:val="16"/>
        </w:rPr>
        <w:t xml:space="preserve"> </w:t>
      </w:r>
      <w:r>
        <w:rPr>
          <w:sz w:val="16"/>
        </w:rPr>
        <w:t>section</w:t>
      </w:r>
      <w:r>
        <w:rPr>
          <w:spacing w:val="-4"/>
          <w:sz w:val="16"/>
        </w:rPr>
        <w:t xml:space="preserve"> </w:t>
      </w:r>
      <w:r>
        <w:rPr>
          <w:sz w:val="16"/>
        </w:rPr>
        <w:t>227B(1)(c)</w:t>
      </w:r>
      <w:r>
        <w:rPr>
          <w:spacing w:val="-5"/>
          <w:sz w:val="16"/>
        </w:rPr>
        <w:t xml:space="preserve"> </w:t>
      </w:r>
      <w:r>
        <w:rPr>
          <w:sz w:val="16"/>
        </w:rPr>
        <w:t>of</w:t>
      </w:r>
      <w:r>
        <w:rPr>
          <w:spacing w:val="-4"/>
          <w:sz w:val="16"/>
        </w:rPr>
        <w:t xml:space="preserve"> </w:t>
      </w:r>
      <w:r>
        <w:rPr>
          <w:sz w:val="16"/>
        </w:rPr>
        <w:t>the</w:t>
      </w:r>
      <w:r>
        <w:rPr>
          <w:spacing w:val="-6"/>
          <w:sz w:val="16"/>
        </w:rPr>
        <w:t xml:space="preserve"> </w:t>
      </w:r>
      <w:r>
        <w:rPr>
          <w:sz w:val="16"/>
        </w:rPr>
        <w:t>ASIC</w:t>
      </w:r>
      <w:r>
        <w:rPr>
          <w:spacing w:val="-1"/>
          <w:sz w:val="16"/>
        </w:rPr>
        <w:t xml:space="preserve"> </w:t>
      </w:r>
      <w:r>
        <w:rPr>
          <w:spacing w:val="-4"/>
          <w:sz w:val="16"/>
        </w:rPr>
        <w:t>Act.</w:t>
      </w:r>
    </w:p>
    <w:p w14:paraId="1E805A13" w14:textId="77777777" w:rsidR="00AA4A02" w:rsidRDefault="00960F31">
      <w:pPr>
        <w:spacing w:line="161" w:lineRule="exact"/>
        <w:ind w:left="143"/>
        <w:rPr>
          <w:sz w:val="16"/>
        </w:rPr>
      </w:pPr>
      <w:r>
        <w:rPr>
          <w:sz w:val="16"/>
          <w:vertAlign w:val="superscript"/>
        </w:rPr>
        <w:t>21</w:t>
      </w:r>
      <w:r>
        <w:rPr>
          <w:spacing w:val="44"/>
          <w:sz w:val="16"/>
        </w:rPr>
        <w:t xml:space="preserve">  </w:t>
      </w:r>
      <w:r>
        <w:rPr>
          <w:sz w:val="16"/>
        </w:rPr>
        <w:t xml:space="preserve">See </w:t>
      </w:r>
      <w:hyperlink r:id="rId74">
        <w:r>
          <w:rPr>
            <w:color w:val="0000FF"/>
            <w:sz w:val="16"/>
            <w:u w:val="single" w:color="0000FF"/>
          </w:rPr>
          <w:t>Foreword</w:t>
        </w:r>
        <w:r>
          <w:rPr>
            <w:sz w:val="16"/>
          </w:rPr>
          <w:t>,</w:t>
        </w:r>
      </w:hyperlink>
      <w:r>
        <w:rPr>
          <w:spacing w:val="-5"/>
          <w:sz w:val="16"/>
        </w:rPr>
        <w:t xml:space="preserve"> </w:t>
      </w:r>
      <w:r>
        <w:rPr>
          <w:sz w:val="16"/>
        </w:rPr>
        <w:t>paragraphs</w:t>
      </w:r>
      <w:r>
        <w:rPr>
          <w:spacing w:val="-3"/>
          <w:sz w:val="16"/>
        </w:rPr>
        <w:t xml:space="preserve"> </w:t>
      </w:r>
      <w:r>
        <w:rPr>
          <w:sz w:val="16"/>
        </w:rPr>
        <w:t>15-</w:t>
      </w:r>
      <w:r>
        <w:rPr>
          <w:spacing w:val="-5"/>
          <w:sz w:val="16"/>
        </w:rPr>
        <w:t>16.</w:t>
      </w:r>
    </w:p>
    <w:p w14:paraId="1E805A14" w14:textId="77777777" w:rsidR="00AA4A02" w:rsidRDefault="00960F31">
      <w:pPr>
        <w:spacing w:line="160" w:lineRule="exact"/>
        <w:ind w:left="143"/>
        <w:rPr>
          <w:sz w:val="16"/>
        </w:rPr>
      </w:pPr>
      <w:r>
        <w:rPr>
          <w:sz w:val="16"/>
          <w:vertAlign w:val="superscript"/>
        </w:rPr>
        <w:t>22</w:t>
      </w:r>
      <w:r>
        <w:rPr>
          <w:spacing w:val="44"/>
          <w:sz w:val="16"/>
        </w:rPr>
        <w:t xml:space="preserve">  </w:t>
      </w:r>
      <w:r>
        <w:rPr>
          <w:sz w:val="16"/>
        </w:rPr>
        <w:t xml:space="preserve">See </w:t>
      </w:r>
      <w:hyperlink r:id="rId75">
        <w:r>
          <w:rPr>
            <w:color w:val="0000FF"/>
            <w:sz w:val="16"/>
            <w:u w:val="single" w:color="0000FF"/>
          </w:rPr>
          <w:t>Foreword</w:t>
        </w:r>
        <w:r>
          <w:rPr>
            <w:sz w:val="16"/>
          </w:rPr>
          <w:t>,</w:t>
        </w:r>
      </w:hyperlink>
      <w:r>
        <w:rPr>
          <w:spacing w:val="-4"/>
          <w:sz w:val="16"/>
        </w:rPr>
        <w:t xml:space="preserve"> </w:t>
      </w:r>
      <w:r>
        <w:rPr>
          <w:sz w:val="16"/>
        </w:rPr>
        <w:t>paragraphs</w:t>
      </w:r>
      <w:r>
        <w:rPr>
          <w:spacing w:val="-3"/>
          <w:sz w:val="16"/>
        </w:rPr>
        <w:t xml:space="preserve"> </w:t>
      </w:r>
      <w:r>
        <w:rPr>
          <w:sz w:val="16"/>
        </w:rPr>
        <w:t>20-</w:t>
      </w:r>
      <w:r>
        <w:rPr>
          <w:spacing w:val="-5"/>
          <w:sz w:val="16"/>
        </w:rPr>
        <w:t>23.</w:t>
      </w:r>
    </w:p>
    <w:p w14:paraId="1E805A15" w14:textId="77777777" w:rsidR="00AA4A02" w:rsidRDefault="00960F31">
      <w:pPr>
        <w:spacing w:before="6" w:line="208" w:lineRule="auto"/>
        <w:ind w:left="427" w:right="173" w:hanging="284"/>
        <w:rPr>
          <w:sz w:val="16"/>
        </w:rPr>
      </w:pPr>
      <w:r>
        <w:rPr>
          <w:sz w:val="16"/>
          <w:vertAlign w:val="superscript"/>
        </w:rPr>
        <w:t>23</w:t>
      </w:r>
      <w:r>
        <w:rPr>
          <w:spacing w:val="80"/>
          <w:w w:val="150"/>
          <w:sz w:val="16"/>
        </w:rPr>
        <w:t xml:space="preserve"> </w:t>
      </w:r>
      <w:r>
        <w:rPr>
          <w:sz w:val="16"/>
        </w:rPr>
        <w:t>See</w:t>
      </w:r>
      <w:r>
        <w:rPr>
          <w:spacing w:val="-2"/>
          <w:sz w:val="16"/>
        </w:rPr>
        <w:t xml:space="preserve"> </w:t>
      </w:r>
      <w:r>
        <w:rPr>
          <w:sz w:val="16"/>
        </w:rPr>
        <w:t>paragraphs</w:t>
      </w:r>
      <w:r>
        <w:rPr>
          <w:spacing w:val="-2"/>
          <w:sz w:val="16"/>
        </w:rPr>
        <w:t xml:space="preserve"> </w:t>
      </w:r>
      <w:r>
        <w:rPr>
          <w:sz w:val="16"/>
        </w:rPr>
        <w:t>256-257</w:t>
      </w:r>
      <w:r>
        <w:rPr>
          <w:spacing w:val="-1"/>
          <w:sz w:val="16"/>
        </w:rPr>
        <w:t xml:space="preserve"> </w:t>
      </w:r>
      <w:r>
        <w:rPr>
          <w:sz w:val="16"/>
        </w:rPr>
        <w:t>of</w:t>
      </w:r>
      <w:r>
        <w:rPr>
          <w:spacing w:val="-1"/>
          <w:sz w:val="16"/>
        </w:rPr>
        <w:t xml:space="preserve"> </w:t>
      </w:r>
      <w:r>
        <w:rPr>
          <w:sz w:val="16"/>
        </w:rPr>
        <w:t>this</w:t>
      </w:r>
      <w:r>
        <w:rPr>
          <w:spacing w:val="-2"/>
          <w:sz w:val="16"/>
        </w:rPr>
        <w:t xml:space="preserve"> </w:t>
      </w:r>
      <w:r>
        <w:rPr>
          <w:sz w:val="16"/>
        </w:rPr>
        <w:t>document for</w:t>
      </w:r>
      <w:r>
        <w:rPr>
          <w:spacing w:val="-3"/>
          <w:sz w:val="16"/>
        </w:rPr>
        <w:t xml:space="preserve"> </w:t>
      </w:r>
      <w:r>
        <w:rPr>
          <w:sz w:val="16"/>
        </w:rPr>
        <w:t>further</w:t>
      </w:r>
      <w:r>
        <w:rPr>
          <w:spacing w:val="-3"/>
          <w:sz w:val="16"/>
        </w:rPr>
        <w:t xml:space="preserve"> </w:t>
      </w:r>
      <w:r>
        <w:rPr>
          <w:sz w:val="16"/>
        </w:rPr>
        <w:t>information</w:t>
      </w:r>
      <w:r>
        <w:rPr>
          <w:spacing w:val="-1"/>
          <w:sz w:val="16"/>
        </w:rPr>
        <w:t xml:space="preserve"> </w:t>
      </w:r>
      <w:r>
        <w:rPr>
          <w:sz w:val="16"/>
        </w:rPr>
        <w:t>on</w:t>
      </w:r>
      <w:r>
        <w:rPr>
          <w:spacing w:val="-1"/>
          <w:sz w:val="16"/>
        </w:rPr>
        <w:t xml:space="preserve"> </w:t>
      </w:r>
      <w:r>
        <w:rPr>
          <w:sz w:val="16"/>
        </w:rPr>
        <w:t>circumstances that may lead</w:t>
      </w:r>
      <w:r>
        <w:rPr>
          <w:spacing w:val="-1"/>
          <w:sz w:val="16"/>
        </w:rPr>
        <w:t xml:space="preserve"> </w:t>
      </w:r>
      <w:r>
        <w:rPr>
          <w:sz w:val="16"/>
        </w:rPr>
        <w:t>to</w:t>
      </w:r>
      <w:r>
        <w:rPr>
          <w:spacing w:val="-1"/>
          <w:sz w:val="16"/>
        </w:rPr>
        <w:t xml:space="preserve"> </w:t>
      </w:r>
      <w:r>
        <w:rPr>
          <w:sz w:val="16"/>
        </w:rPr>
        <w:t>the AUASB issuing</w:t>
      </w:r>
      <w:r>
        <w:rPr>
          <w:spacing w:val="-1"/>
          <w:sz w:val="16"/>
        </w:rPr>
        <w:t xml:space="preserve"> </w:t>
      </w:r>
      <w:r>
        <w:rPr>
          <w:sz w:val="16"/>
        </w:rPr>
        <w:t>guidance and</w:t>
      </w:r>
      <w:r>
        <w:rPr>
          <w:spacing w:val="40"/>
          <w:sz w:val="16"/>
        </w:rPr>
        <w:t xml:space="preserve"> </w:t>
      </w:r>
      <w:r>
        <w:rPr>
          <w:sz w:val="16"/>
        </w:rPr>
        <w:t>factors</w:t>
      </w:r>
      <w:r>
        <w:rPr>
          <w:spacing w:val="-6"/>
          <w:sz w:val="16"/>
        </w:rPr>
        <w:t xml:space="preserve"> </w:t>
      </w:r>
      <w:r>
        <w:rPr>
          <w:sz w:val="16"/>
        </w:rPr>
        <w:t>the</w:t>
      </w:r>
      <w:r>
        <w:rPr>
          <w:spacing w:val="-6"/>
          <w:sz w:val="16"/>
        </w:rPr>
        <w:t xml:space="preserve"> </w:t>
      </w:r>
      <w:r>
        <w:rPr>
          <w:sz w:val="16"/>
        </w:rPr>
        <w:t>AUASB</w:t>
      </w:r>
      <w:r>
        <w:rPr>
          <w:spacing w:val="-3"/>
          <w:sz w:val="16"/>
        </w:rPr>
        <w:t xml:space="preserve"> </w:t>
      </w:r>
      <w:r>
        <w:rPr>
          <w:sz w:val="16"/>
        </w:rPr>
        <w:t>will</w:t>
      </w:r>
      <w:r>
        <w:rPr>
          <w:spacing w:val="-4"/>
          <w:sz w:val="16"/>
        </w:rPr>
        <w:t xml:space="preserve"> </w:t>
      </w:r>
      <w:r>
        <w:rPr>
          <w:sz w:val="16"/>
        </w:rPr>
        <w:t>consider</w:t>
      </w:r>
      <w:r>
        <w:rPr>
          <w:spacing w:val="-7"/>
          <w:sz w:val="16"/>
        </w:rPr>
        <w:t xml:space="preserve"> </w:t>
      </w:r>
      <w:r>
        <w:rPr>
          <w:sz w:val="16"/>
        </w:rPr>
        <w:t>in</w:t>
      </w:r>
      <w:r>
        <w:rPr>
          <w:spacing w:val="-4"/>
          <w:sz w:val="16"/>
        </w:rPr>
        <w:t xml:space="preserve"> </w:t>
      </w:r>
      <w:r>
        <w:rPr>
          <w:sz w:val="16"/>
        </w:rPr>
        <w:t>determining</w:t>
      </w:r>
      <w:r>
        <w:rPr>
          <w:spacing w:val="-5"/>
          <w:sz w:val="16"/>
        </w:rPr>
        <w:t xml:space="preserve"> </w:t>
      </w:r>
      <w:r>
        <w:rPr>
          <w:sz w:val="16"/>
        </w:rPr>
        <w:t>whether</w:t>
      </w:r>
      <w:r>
        <w:rPr>
          <w:spacing w:val="-6"/>
          <w:sz w:val="16"/>
        </w:rPr>
        <w:t xml:space="preserve"> </w:t>
      </w:r>
      <w:r>
        <w:rPr>
          <w:sz w:val="16"/>
        </w:rPr>
        <w:t>it</w:t>
      </w:r>
      <w:r>
        <w:rPr>
          <w:spacing w:val="-5"/>
          <w:sz w:val="16"/>
        </w:rPr>
        <w:t xml:space="preserve"> </w:t>
      </w:r>
      <w:r>
        <w:rPr>
          <w:sz w:val="16"/>
        </w:rPr>
        <w:t>is</w:t>
      </w:r>
      <w:r>
        <w:rPr>
          <w:spacing w:val="-5"/>
          <w:sz w:val="16"/>
        </w:rPr>
        <w:t xml:space="preserve"> </w:t>
      </w:r>
      <w:r>
        <w:rPr>
          <w:sz w:val="16"/>
        </w:rPr>
        <w:t>appropriate</w:t>
      </w:r>
      <w:r>
        <w:rPr>
          <w:spacing w:val="-3"/>
          <w:sz w:val="16"/>
        </w:rPr>
        <w:t xml:space="preserve"> </w:t>
      </w:r>
      <w:r>
        <w:rPr>
          <w:sz w:val="16"/>
        </w:rPr>
        <w:t>to</w:t>
      </w:r>
      <w:r>
        <w:rPr>
          <w:spacing w:val="-3"/>
          <w:sz w:val="16"/>
        </w:rPr>
        <w:t xml:space="preserve"> </w:t>
      </w:r>
      <w:r>
        <w:rPr>
          <w:sz w:val="16"/>
        </w:rPr>
        <w:t>issue</w:t>
      </w:r>
      <w:r>
        <w:rPr>
          <w:spacing w:val="-3"/>
          <w:sz w:val="16"/>
        </w:rPr>
        <w:t xml:space="preserve"> </w:t>
      </w:r>
      <w:r>
        <w:rPr>
          <w:sz w:val="16"/>
        </w:rPr>
        <w:t>a</w:t>
      </w:r>
      <w:r>
        <w:rPr>
          <w:spacing w:val="-5"/>
          <w:sz w:val="16"/>
        </w:rPr>
        <w:t xml:space="preserve"> </w:t>
      </w:r>
      <w:r>
        <w:rPr>
          <w:sz w:val="16"/>
        </w:rPr>
        <w:t>Guidance</w:t>
      </w:r>
      <w:r>
        <w:rPr>
          <w:spacing w:val="-5"/>
          <w:sz w:val="16"/>
        </w:rPr>
        <w:t xml:space="preserve"> </w:t>
      </w:r>
      <w:r>
        <w:rPr>
          <w:sz w:val="16"/>
        </w:rPr>
        <w:t>Statement</w:t>
      </w:r>
      <w:r>
        <w:rPr>
          <w:spacing w:val="-4"/>
          <w:sz w:val="16"/>
        </w:rPr>
        <w:t xml:space="preserve"> </w:t>
      </w:r>
      <w:r>
        <w:rPr>
          <w:sz w:val="16"/>
        </w:rPr>
        <w:t>in</w:t>
      </w:r>
      <w:r>
        <w:rPr>
          <w:spacing w:val="-4"/>
          <w:sz w:val="16"/>
        </w:rPr>
        <w:t xml:space="preserve"> </w:t>
      </w:r>
      <w:r>
        <w:rPr>
          <w:sz w:val="16"/>
        </w:rPr>
        <w:t>the</w:t>
      </w:r>
      <w:r>
        <w:rPr>
          <w:spacing w:val="-6"/>
          <w:sz w:val="16"/>
        </w:rPr>
        <w:t xml:space="preserve"> </w:t>
      </w:r>
      <w:r>
        <w:rPr>
          <w:sz w:val="16"/>
        </w:rPr>
        <w:t>specific</w:t>
      </w:r>
      <w:r>
        <w:rPr>
          <w:spacing w:val="-2"/>
          <w:sz w:val="16"/>
        </w:rPr>
        <w:t xml:space="preserve"> circumstances.</w:t>
      </w:r>
    </w:p>
    <w:p w14:paraId="1E805A16"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A17" w14:textId="77777777" w:rsidR="00AA4A02" w:rsidRDefault="00960F31">
      <w:pPr>
        <w:pStyle w:val="ListParagraph"/>
        <w:numPr>
          <w:ilvl w:val="0"/>
          <w:numId w:val="29"/>
        </w:numPr>
        <w:tabs>
          <w:tab w:val="left" w:pos="851"/>
        </w:tabs>
        <w:spacing w:before="219" w:line="208" w:lineRule="auto"/>
        <w:ind w:right="212"/>
      </w:pPr>
      <w:r>
        <w:lastRenderedPageBreak/>
        <w:t>AUASB</w:t>
      </w:r>
      <w:r>
        <w:rPr>
          <w:spacing w:val="-4"/>
        </w:rPr>
        <w:t xml:space="preserve"> </w:t>
      </w:r>
      <w:r>
        <w:t>Standards</w:t>
      </w:r>
      <w:r>
        <w:rPr>
          <w:spacing w:val="-2"/>
        </w:rPr>
        <w:t xml:space="preserve"> </w:t>
      </w:r>
      <w:r>
        <w:t>will</w:t>
      </w:r>
      <w:r>
        <w:rPr>
          <w:spacing w:val="-4"/>
        </w:rPr>
        <w:t xml:space="preserve"> </w:t>
      </w:r>
      <w:r>
        <w:t>be</w:t>
      </w:r>
      <w:r>
        <w:rPr>
          <w:spacing w:val="-4"/>
        </w:rPr>
        <w:t xml:space="preserve"> </w:t>
      </w:r>
      <w:r>
        <w:t>developed,</w:t>
      </w:r>
      <w:r>
        <w:rPr>
          <w:spacing w:val="-4"/>
        </w:rPr>
        <w:t xml:space="preserve"> </w:t>
      </w:r>
      <w:r>
        <w:t>issued</w:t>
      </w:r>
      <w:r>
        <w:rPr>
          <w:spacing w:val="-5"/>
        </w:rPr>
        <w:t xml:space="preserve"> </w:t>
      </w:r>
      <w:r>
        <w:t>and</w:t>
      </w:r>
      <w:r>
        <w:rPr>
          <w:spacing w:val="-4"/>
        </w:rPr>
        <w:t xml:space="preserve"> </w:t>
      </w:r>
      <w:r>
        <w:t>maintained</w:t>
      </w:r>
      <w:r>
        <w:rPr>
          <w:spacing w:val="-4"/>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processes outlined in Section VIII of this document. The process for developing AUASB Guidance Statements and AUASB framework pronouncements are described in Section IX.</w:t>
      </w:r>
    </w:p>
    <w:p w14:paraId="1E805A18" w14:textId="77777777" w:rsidR="00AA4A02" w:rsidRDefault="00960F31">
      <w:pPr>
        <w:pStyle w:val="Heading7"/>
        <w:spacing w:before="169"/>
      </w:pPr>
      <w:bookmarkStart w:id="43" w:name="Non-Authoritative_Materials"/>
      <w:bookmarkEnd w:id="43"/>
      <w:r>
        <w:rPr>
          <w:spacing w:val="-2"/>
        </w:rPr>
        <w:t>Non-Authoritative</w:t>
      </w:r>
      <w:r>
        <w:rPr>
          <w:spacing w:val="16"/>
        </w:rPr>
        <w:t xml:space="preserve"> </w:t>
      </w:r>
      <w:r>
        <w:rPr>
          <w:spacing w:val="-2"/>
        </w:rPr>
        <w:t>Materials</w:t>
      </w:r>
    </w:p>
    <w:p w14:paraId="1E805A19" w14:textId="77777777" w:rsidR="00AA4A02" w:rsidRDefault="00960F31">
      <w:pPr>
        <w:pStyle w:val="ListParagraph"/>
        <w:numPr>
          <w:ilvl w:val="0"/>
          <w:numId w:val="29"/>
        </w:numPr>
        <w:tabs>
          <w:tab w:val="left" w:pos="851"/>
        </w:tabs>
        <w:spacing w:before="193" w:line="208" w:lineRule="auto"/>
        <w:ind w:right="257"/>
      </w:pPr>
      <w:r>
        <w:t>The AUASB may also issue non-authoritative materials if it considers that doing so would improve audit and assurance quality and consistency in application, or to raise awareness of the</w:t>
      </w:r>
      <w:r>
        <w:rPr>
          <w:spacing w:val="-2"/>
        </w:rPr>
        <w:t xml:space="preserve"> </w:t>
      </w:r>
      <w:r>
        <w:t>auditing</w:t>
      </w:r>
      <w:r>
        <w:rPr>
          <w:spacing w:val="-2"/>
        </w:rPr>
        <w:t xml:space="preserve"> </w:t>
      </w:r>
      <w:r>
        <w:t>and</w:t>
      </w:r>
      <w:r>
        <w:rPr>
          <w:spacing w:val="-4"/>
        </w:rPr>
        <w:t xml:space="preserve"> </w:t>
      </w:r>
      <w:r>
        <w:t>assurance</w:t>
      </w:r>
      <w:r>
        <w:rPr>
          <w:spacing w:val="-3"/>
        </w:rPr>
        <w:t xml:space="preserve"> </w:t>
      </w:r>
      <w:r>
        <w:t>implications</w:t>
      </w:r>
      <w:r>
        <w:rPr>
          <w:spacing w:val="-1"/>
        </w:rPr>
        <w:t xml:space="preserve"> </w:t>
      </w:r>
      <w:r>
        <w:t>of</w:t>
      </w:r>
      <w:r>
        <w:rPr>
          <w:spacing w:val="-1"/>
        </w:rPr>
        <w:t xml:space="preserve"> </w:t>
      </w:r>
      <w:r>
        <w:t>new</w:t>
      </w:r>
      <w:r>
        <w:rPr>
          <w:spacing w:val="-3"/>
        </w:rPr>
        <w:t xml:space="preserve"> </w:t>
      </w:r>
      <w:r>
        <w:t>or</w:t>
      </w:r>
      <w:r>
        <w:rPr>
          <w:spacing w:val="-2"/>
        </w:rPr>
        <w:t xml:space="preserve"> </w:t>
      </w:r>
      <w:r>
        <w:t>emerging</w:t>
      </w:r>
      <w:r>
        <w:rPr>
          <w:spacing w:val="-5"/>
        </w:rPr>
        <w:t xml:space="preserve"> </w:t>
      </w:r>
      <w:r>
        <w:t>issues</w:t>
      </w:r>
      <w:r>
        <w:rPr>
          <w:spacing w:val="-3"/>
        </w:rPr>
        <w:t xml:space="preserve"> </w:t>
      </w:r>
      <w:r>
        <w:t>in</w:t>
      </w:r>
      <w:r>
        <w:rPr>
          <w:spacing w:val="-2"/>
        </w:rPr>
        <w:t xml:space="preserve"> </w:t>
      </w:r>
      <w:r>
        <w:t>the</w:t>
      </w:r>
      <w:r>
        <w:rPr>
          <w:spacing w:val="-2"/>
        </w:rPr>
        <w:t xml:space="preserve"> </w:t>
      </w:r>
      <w:r>
        <w:t>public</w:t>
      </w:r>
      <w:r>
        <w:rPr>
          <w:spacing w:val="-2"/>
        </w:rPr>
        <w:t xml:space="preserve"> </w:t>
      </w:r>
      <w:r>
        <w:t>interest.</w:t>
      </w:r>
      <w:r>
        <w:rPr>
          <w:spacing w:val="-2"/>
        </w:rPr>
        <w:t xml:space="preserve"> </w:t>
      </w:r>
      <w:r>
        <w:t>Such non-authoritative materials do not have the status of AUASB Standards or Guidance Statements. Non-authoritative materials do not establish or extend requirements for the performance of engagements under the AUASB Standards.</w:t>
      </w:r>
    </w:p>
    <w:p w14:paraId="1E805A1A" w14:textId="77777777" w:rsidR="00AA4A02" w:rsidRDefault="00960F31">
      <w:pPr>
        <w:pStyle w:val="ListParagraph"/>
        <w:numPr>
          <w:ilvl w:val="0"/>
          <w:numId w:val="29"/>
        </w:numPr>
        <w:tabs>
          <w:tab w:val="left" w:pos="851"/>
        </w:tabs>
        <w:spacing w:before="174"/>
      </w:pPr>
      <w:r>
        <w:t>Non-authoritative</w:t>
      </w:r>
      <w:r>
        <w:rPr>
          <w:spacing w:val="-8"/>
        </w:rPr>
        <w:t xml:space="preserve"> </w:t>
      </w:r>
      <w:r>
        <w:t>materials</w:t>
      </w:r>
      <w:r>
        <w:rPr>
          <w:spacing w:val="-8"/>
        </w:rPr>
        <w:t xml:space="preserve"> </w:t>
      </w:r>
      <w:r>
        <w:rPr>
          <w:spacing w:val="-2"/>
        </w:rPr>
        <w:t>include:</w:t>
      </w:r>
    </w:p>
    <w:p w14:paraId="1E805A1B" w14:textId="77777777" w:rsidR="00AA4A02" w:rsidRDefault="00AA4A02">
      <w:pPr>
        <w:pStyle w:val="BodyText"/>
        <w:spacing w:before="11"/>
        <w:rPr>
          <w:sz w:val="16"/>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8"/>
      </w:tblGrid>
      <w:tr w:rsidR="00AA4A02" w14:paraId="1E805A1D" w14:textId="77777777">
        <w:trPr>
          <w:trHeight w:val="400"/>
        </w:trPr>
        <w:tc>
          <w:tcPr>
            <w:tcW w:w="8358" w:type="dxa"/>
            <w:shd w:val="clear" w:color="auto" w:fill="DDD9C3"/>
          </w:tcPr>
          <w:p w14:paraId="1E805A1C" w14:textId="77777777" w:rsidR="00AA4A02" w:rsidRDefault="00960F31">
            <w:pPr>
              <w:pStyle w:val="TableParagraph"/>
              <w:spacing w:before="13"/>
              <w:rPr>
                <w:b/>
                <w:sz w:val="24"/>
              </w:rPr>
            </w:pPr>
            <w:r>
              <w:rPr>
                <w:b/>
                <w:sz w:val="24"/>
              </w:rPr>
              <w:t>AUASB</w:t>
            </w:r>
            <w:r>
              <w:rPr>
                <w:b/>
                <w:spacing w:val="-3"/>
                <w:sz w:val="24"/>
              </w:rPr>
              <w:t xml:space="preserve"> </w:t>
            </w:r>
            <w:r>
              <w:rPr>
                <w:b/>
                <w:sz w:val="24"/>
              </w:rPr>
              <w:t>publications</w:t>
            </w:r>
            <w:r>
              <w:rPr>
                <w:b/>
                <w:spacing w:val="-2"/>
                <w:sz w:val="24"/>
              </w:rPr>
              <w:t xml:space="preserve"> </w:t>
            </w:r>
            <w:r>
              <w:rPr>
                <w:b/>
                <w:sz w:val="24"/>
              </w:rPr>
              <w:t>and</w:t>
            </w:r>
            <w:r>
              <w:rPr>
                <w:b/>
                <w:spacing w:val="-2"/>
                <w:sz w:val="24"/>
              </w:rPr>
              <w:t xml:space="preserve"> </w:t>
            </w:r>
            <w:r>
              <w:rPr>
                <w:b/>
                <w:sz w:val="24"/>
              </w:rPr>
              <w:t>guidance</w:t>
            </w:r>
            <w:r>
              <w:rPr>
                <w:b/>
                <w:spacing w:val="-1"/>
                <w:sz w:val="24"/>
              </w:rPr>
              <w:t xml:space="preserve"> </w:t>
            </w:r>
            <w:r>
              <w:rPr>
                <w:b/>
                <w:spacing w:val="-2"/>
                <w:sz w:val="24"/>
              </w:rPr>
              <w:t>materials</w:t>
            </w:r>
          </w:p>
        </w:tc>
      </w:tr>
      <w:tr w:rsidR="00AA4A02" w14:paraId="1E805A23" w14:textId="77777777">
        <w:trPr>
          <w:trHeight w:val="1800"/>
        </w:trPr>
        <w:tc>
          <w:tcPr>
            <w:tcW w:w="8358" w:type="dxa"/>
          </w:tcPr>
          <w:p w14:paraId="1E805A1E" w14:textId="77777777" w:rsidR="00AA4A02" w:rsidRDefault="00960F31">
            <w:pPr>
              <w:pStyle w:val="TableParagraph"/>
              <w:spacing w:before="92"/>
            </w:pPr>
            <w:r>
              <w:t>For</w:t>
            </w:r>
            <w:r>
              <w:rPr>
                <w:spacing w:val="-2"/>
              </w:rPr>
              <w:t xml:space="preserve"> example:</w:t>
            </w:r>
          </w:p>
          <w:p w14:paraId="1E805A1F" w14:textId="77777777" w:rsidR="00AA4A02" w:rsidRDefault="00960F31">
            <w:pPr>
              <w:pStyle w:val="TableParagraph"/>
              <w:numPr>
                <w:ilvl w:val="0"/>
                <w:numId w:val="24"/>
              </w:numPr>
              <w:tabs>
                <w:tab w:val="left" w:pos="707"/>
              </w:tabs>
              <w:spacing w:before="152"/>
              <w:ind w:hanging="566"/>
            </w:pPr>
            <w:r>
              <w:t>Explanatory</w:t>
            </w:r>
            <w:r>
              <w:rPr>
                <w:spacing w:val="-5"/>
              </w:rPr>
              <w:t xml:space="preserve"> </w:t>
            </w:r>
            <w:r>
              <w:rPr>
                <w:spacing w:val="-2"/>
              </w:rPr>
              <w:t>Guides</w:t>
            </w:r>
          </w:p>
          <w:p w14:paraId="1E805A20" w14:textId="77777777" w:rsidR="00AA4A02" w:rsidRDefault="00960F31">
            <w:pPr>
              <w:pStyle w:val="TableParagraph"/>
              <w:numPr>
                <w:ilvl w:val="0"/>
                <w:numId w:val="24"/>
              </w:numPr>
              <w:tabs>
                <w:tab w:val="left" w:pos="707"/>
              </w:tabs>
              <w:spacing w:before="11"/>
              <w:ind w:hanging="566"/>
            </w:pPr>
            <w:r>
              <w:t>Basis</w:t>
            </w:r>
            <w:r>
              <w:rPr>
                <w:spacing w:val="-4"/>
              </w:rPr>
              <w:t xml:space="preserve"> </w:t>
            </w:r>
            <w:r>
              <w:t>for</w:t>
            </w:r>
            <w:r>
              <w:rPr>
                <w:spacing w:val="-2"/>
              </w:rPr>
              <w:t xml:space="preserve"> Conclusions</w:t>
            </w:r>
          </w:p>
          <w:p w14:paraId="1E805A21" w14:textId="77777777" w:rsidR="00AA4A02" w:rsidRDefault="00960F31">
            <w:pPr>
              <w:pStyle w:val="TableParagraph"/>
              <w:numPr>
                <w:ilvl w:val="0"/>
                <w:numId w:val="24"/>
              </w:numPr>
              <w:tabs>
                <w:tab w:val="left" w:pos="707"/>
              </w:tabs>
              <w:spacing w:before="9"/>
              <w:ind w:hanging="566"/>
            </w:pPr>
            <w:r>
              <w:t>AUASB</w:t>
            </w:r>
            <w:r>
              <w:rPr>
                <w:spacing w:val="-8"/>
              </w:rPr>
              <w:t xml:space="preserve"> </w:t>
            </w:r>
            <w:r>
              <w:rPr>
                <w:spacing w:val="-2"/>
              </w:rPr>
              <w:t>Bulletins</w:t>
            </w:r>
          </w:p>
          <w:p w14:paraId="1E805A22" w14:textId="77777777" w:rsidR="00AA4A02" w:rsidRDefault="00960F31">
            <w:pPr>
              <w:pStyle w:val="TableParagraph"/>
              <w:numPr>
                <w:ilvl w:val="0"/>
                <w:numId w:val="24"/>
              </w:numPr>
              <w:tabs>
                <w:tab w:val="left" w:pos="707"/>
              </w:tabs>
              <w:spacing w:before="11"/>
              <w:ind w:hanging="566"/>
            </w:pPr>
            <w:r>
              <w:t>AUASB</w:t>
            </w:r>
            <w:r>
              <w:rPr>
                <w:spacing w:val="-6"/>
              </w:rPr>
              <w:t xml:space="preserve"> </w:t>
            </w:r>
            <w:r>
              <w:t>Consultative</w:t>
            </w:r>
            <w:r>
              <w:rPr>
                <w:spacing w:val="-4"/>
              </w:rPr>
              <w:t xml:space="preserve"> </w:t>
            </w:r>
            <w:r>
              <w:rPr>
                <w:spacing w:val="-2"/>
              </w:rPr>
              <w:t>Documents</w:t>
            </w:r>
          </w:p>
        </w:tc>
      </w:tr>
      <w:tr w:rsidR="00AA4A02" w14:paraId="1E805A25" w14:textId="77777777">
        <w:trPr>
          <w:trHeight w:val="400"/>
        </w:trPr>
        <w:tc>
          <w:tcPr>
            <w:tcW w:w="8358" w:type="dxa"/>
            <w:shd w:val="clear" w:color="auto" w:fill="DDD9C3"/>
          </w:tcPr>
          <w:p w14:paraId="1E805A24" w14:textId="77777777" w:rsidR="00AA4A02" w:rsidRDefault="00960F31">
            <w:pPr>
              <w:pStyle w:val="TableParagraph"/>
              <w:spacing w:before="13"/>
              <w:rPr>
                <w:b/>
                <w:sz w:val="24"/>
              </w:rPr>
            </w:pPr>
            <w:r>
              <w:rPr>
                <w:b/>
                <w:sz w:val="24"/>
              </w:rPr>
              <w:t>Technical</w:t>
            </w:r>
            <w:r>
              <w:rPr>
                <w:b/>
                <w:spacing w:val="-2"/>
                <w:sz w:val="24"/>
              </w:rPr>
              <w:t xml:space="preserve"> </w:t>
            </w:r>
            <w:r>
              <w:rPr>
                <w:b/>
                <w:sz w:val="24"/>
              </w:rPr>
              <w:t>staff</w:t>
            </w:r>
            <w:r>
              <w:rPr>
                <w:b/>
                <w:spacing w:val="-1"/>
                <w:sz w:val="24"/>
              </w:rPr>
              <w:t xml:space="preserve"> </w:t>
            </w:r>
            <w:r>
              <w:rPr>
                <w:b/>
                <w:sz w:val="24"/>
              </w:rPr>
              <w:t>guidance</w:t>
            </w:r>
            <w:r>
              <w:rPr>
                <w:b/>
                <w:spacing w:val="-2"/>
                <w:sz w:val="24"/>
              </w:rPr>
              <w:t xml:space="preserve"> </w:t>
            </w:r>
            <w:r>
              <w:rPr>
                <w:b/>
                <w:sz w:val="24"/>
              </w:rPr>
              <w:t>and</w:t>
            </w:r>
            <w:r>
              <w:rPr>
                <w:b/>
                <w:spacing w:val="-1"/>
                <w:sz w:val="24"/>
              </w:rPr>
              <w:t xml:space="preserve"> </w:t>
            </w:r>
            <w:r>
              <w:rPr>
                <w:b/>
                <w:sz w:val="24"/>
              </w:rPr>
              <w:t>other</w:t>
            </w:r>
            <w:r>
              <w:rPr>
                <w:b/>
                <w:spacing w:val="-2"/>
                <w:sz w:val="24"/>
              </w:rPr>
              <w:t xml:space="preserve"> materials</w:t>
            </w:r>
          </w:p>
        </w:tc>
      </w:tr>
      <w:tr w:rsidR="00AA4A02" w14:paraId="1E805A2C" w14:textId="77777777">
        <w:trPr>
          <w:trHeight w:val="2299"/>
        </w:trPr>
        <w:tc>
          <w:tcPr>
            <w:tcW w:w="8358" w:type="dxa"/>
          </w:tcPr>
          <w:p w14:paraId="1E805A26" w14:textId="77777777" w:rsidR="00AA4A02" w:rsidRDefault="00960F31">
            <w:pPr>
              <w:pStyle w:val="TableParagraph"/>
              <w:spacing w:before="92"/>
            </w:pPr>
            <w:r>
              <w:t>For</w:t>
            </w:r>
            <w:r>
              <w:rPr>
                <w:spacing w:val="-2"/>
              </w:rPr>
              <w:t xml:space="preserve"> example:</w:t>
            </w:r>
          </w:p>
          <w:p w14:paraId="1E805A27" w14:textId="77777777" w:rsidR="00AA4A02" w:rsidRDefault="00960F31">
            <w:pPr>
              <w:pStyle w:val="TableParagraph"/>
              <w:numPr>
                <w:ilvl w:val="0"/>
                <w:numId w:val="23"/>
              </w:numPr>
              <w:tabs>
                <w:tab w:val="left" w:pos="707"/>
              </w:tabs>
              <w:spacing w:before="151"/>
              <w:ind w:hanging="566"/>
            </w:pPr>
            <w:r>
              <w:t>Frequently</w:t>
            </w:r>
            <w:r>
              <w:rPr>
                <w:spacing w:val="-6"/>
              </w:rPr>
              <w:t xml:space="preserve"> </w:t>
            </w:r>
            <w:r>
              <w:t>Asked</w:t>
            </w:r>
            <w:r>
              <w:rPr>
                <w:spacing w:val="-6"/>
              </w:rPr>
              <w:t xml:space="preserve"> </w:t>
            </w:r>
            <w:r>
              <w:t>Questions</w:t>
            </w:r>
            <w:r>
              <w:rPr>
                <w:spacing w:val="-5"/>
              </w:rPr>
              <w:t xml:space="preserve"> </w:t>
            </w:r>
            <w:r>
              <w:rPr>
                <w:spacing w:val="-2"/>
              </w:rPr>
              <w:t>(FAQs)</w:t>
            </w:r>
          </w:p>
          <w:p w14:paraId="1E805A28" w14:textId="77777777" w:rsidR="00AA4A02" w:rsidRDefault="00960F31">
            <w:pPr>
              <w:pStyle w:val="TableParagraph"/>
              <w:numPr>
                <w:ilvl w:val="0"/>
                <w:numId w:val="23"/>
              </w:numPr>
              <w:tabs>
                <w:tab w:val="left" w:pos="707"/>
              </w:tabs>
              <w:spacing w:before="11"/>
              <w:ind w:hanging="566"/>
            </w:pPr>
            <w:r>
              <w:t>Newsletters</w:t>
            </w:r>
            <w:r>
              <w:rPr>
                <w:spacing w:val="-4"/>
              </w:rPr>
              <w:t xml:space="preserve"> </w:t>
            </w:r>
            <w:r>
              <w:t>and</w:t>
            </w:r>
            <w:r>
              <w:rPr>
                <w:spacing w:val="-3"/>
              </w:rPr>
              <w:t xml:space="preserve"> </w:t>
            </w:r>
            <w:r>
              <w:t>news</w:t>
            </w:r>
            <w:r>
              <w:rPr>
                <w:spacing w:val="-2"/>
              </w:rPr>
              <w:t xml:space="preserve"> alerts</w:t>
            </w:r>
          </w:p>
          <w:p w14:paraId="1E805A29" w14:textId="77777777" w:rsidR="00AA4A02" w:rsidRDefault="00960F31">
            <w:pPr>
              <w:pStyle w:val="TableParagraph"/>
              <w:numPr>
                <w:ilvl w:val="0"/>
                <w:numId w:val="23"/>
              </w:numPr>
              <w:tabs>
                <w:tab w:val="left" w:pos="707"/>
              </w:tabs>
              <w:spacing w:before="9"/>
              <w:ind w:hanging="566"/>
            </w:pPr>
            <w:r>
              <w:t>Implementation</w:t>
            </w:r>
            <w:r>
              <w:rPr>
                <w:spacing w:val="-8"/>
              </w:rPr>
              <w:t xml:space="preserve"> </w:t>
            </w:r>
            <w:r>
              <w:t>support</w:t>
            </w:r>
            <w:r>
              <w:rPr>
                <w:spacing w:val="-6"/>
              </w:rPr>
              <w:t xml:space="preserve"> </w:t>
            </w:r>
            <w:r>
              <w:rPr>
                <w:spacing w:val="-2"/>
              </w:rPr>
              <w:t>materials</w:t>
            </w:r>
          </w:p>
          <w:p w14:paraId="1E805A2A" w14:textId="77777777" w:rsidR="00AA4A02" w:rsidRDefault="00960F31">
            <w:pPr>
              <w:pStyle w:val="TableParagraph"/>
              <w:numPr>
                <w:ilvl w:val="0"/>
                <w:numId w:val="23"/>
              </w:numPr>
              <w:tabs>
                <w:tab w:val="left" w:pos="707"/>
              </w:tabs>
              <w:spacing w:before="40" w:line="208" w:lineRule="auto"/>
              <w:ind w:right="163"/>
            </w:pPr>
            <w:r>
              <w:t>Other</w:t>
            </w:r>
            <w:r>
              <w:rPr>
                <w:spacing w:val="-6"/>
              </w:rPr>
              <w:t xml:space="preserve"> </w:t>
            </w:r>
            <w:r>
              <w:t>contextual,</w:t>
            </w:r>
            <w:r>
              <w:rPr>
                <w:spacing w:val="-5"/>
              </w:rPr>
              <w:t xml:space="preserve"> </w:t>
            </w:r>
            <w:r>
              <w:t>supportive</w:t>
            </w:r>
            <w:r>
              <w:rPr>
                <w:spacing w:val="-5"/>
              </w:rPr>
              <w:t xml:space="preserve"> </w:t>
            </w:r>
            <w:r>
              <w:t>and</w:t>
            </w:r>
            <w:r>
              <w:rPr>
                <w:spacing w:val="-5"/>
              </w:rPr>
              <w:t xml:space="preserve"> </w:t>
            </w:r>
            <w:r>
              <w:t>educational</w:t>
            </w:r>
            <w:r>
              <w:rPr>
                <w:spacing w:val="-4"/>
              </w:rPr>
              <w:t xml:space="preserve"> </w:t>
            </w:r>
            <w:r>
              <w:t>materials</w:t>
            </w:r>
            <w:r>
              <w:rPr>
                <w:spacing w:val="-4"/>
              </w:rPr>
              <w:t xml:space="preserve"> </w:t>
            </w:r>
            <w:r>
              <w:t>including</w:t>
            </w:r>
            <w:r>
              <w:rPr>
                <w:spacing w:val="-5"/>
              </w:rPr>
              <w:t xml:space="preserve"> </w:t>
            </w:r>
            <w:r>
              <w:t>webcasts,</w:t>
            </w:r>
            <w:r>
              <w:rPr>
                <w:spacing w:val="-5"/>
              </w:rPr>
              <w:t xml:space="preserve"> </w:t>
            </w:r>
            <w:r>
              <w:t>podcasts, articles, presentations and training materials</w:t>
            </w:r>
          </w:p>
          <w:p w14:paraId="1E805A2B" w14:textId="77777777" w:rsidR="00AA4A02" w:rsidRDefault="00960F31">
            <w:pPr>
              <w:pStyle w:val="TableParagraph"/>
              <w:numPr>
                <w:ilvl w:val="0"/>
                <w:numId w:val="23"/>
              </w:numPr>
              <w:tabs>
                <w:tab w:val="left" w:pos="707"/>
              </w:tabs>
              <w:spacing w:before="16"/>
              <w:ind w:hanging="566"/>
            </w:pPr>
            <w:r>
              <w:t>Research</w:t>
            </w:r>
            <w:r>
              <w:rPr>
                <w:spacing w:val="-5"/>
              </w:rPr>
              <w:t xml:space="preserve"> </w:t>
            </w:r>
            <w:r>
              <w:rPr>
                <w:spacing w:val="-2"/>
              </w:rPr>
              <w:t>reports</w:t>
            </w:r>
          </w:p>
        </w:tc>
      </w:tr>
    </w:tbl>
    <w:p w14:paraId="1E805A2D" w14:textId="77777777" w:rsidR="00AA4A02" w:rsidRDefault="00AA4A02">
      <w:pPr>
        <w:pStyle w:val="BodyText"/>
        <w:spacing w:before="166"/>
      </w:pPr>
    </w:p>
    <w:p w14:paraId="1E805A2E" w14:textId="77777777" w:rsidR="00AA4A02" w:rsidRDefault="00960F31">
      <w:pPr>
        <w:pStyle w:val="ListParagraph"/>
        <w:numPr>
          <w:ilvl w:val="0"/>
          <w:numId w:val="29"/>
        </w:numPr>
        <w:tabs>
          <w:tab w:val="left" w:pos="851"/>
        </w:tabs>
        <w:spacing w:before="0" w:line="208" w:lineRule="auto"/>
        <w:ind w:right="614"/>
      </w:pPr>
      <w:r>
        <w:t>The Foreword explains the purpose of each of the above categories of non-authoritative materials.</w:t>
      </w:r>
      <w:r>
        <w:rPr>
          <w:spacing w:val="-23"/>
        </w:rPr>
        <w:t xml:space="preserve"> </w:t>
      </w:r>
      <w:r>
        <w:rPr>
          <w:vertAlign w:val="superscript"/>
        </w:rPr>
        <w:t>24</w:t>
      </w:r>
      <w:r>
        <w:rPr>
          <w:spacing w:val="40"/>
        </w:rPr>
        <w:t xml:space="preserve"> </w:t>
      </w:r>
      <w:r>
        <w:t>Non-authoritative</w:t>
      </w:r>
      <w:r>
        <w:rPr>
          <w:spacing w:val="-3"/>
        </w:rPr>
        <w:t xml:space="preserve"> </w:t>
      </w:r>
      <w:r>
        <w:t>materials</w:t>
      </w:r>
      <w:r>
        <w:rPr>
          <w:spacing w:val="-2"/>
        </w:rPr>
        <w:t xml:space="preserve"> </w:t>
      </w:r>
      <w:r>
        <w:t>will</w:t>
      </w:r>
      <w:r>
        <w:rPr>
          <w:spacing w:val="-2"/>
        </w:rPr>
        <w:t xml:space="preserve"> </w:t>
      </w:r>
      <w:r>
        <w:t>be</w:t>
      </w:r>
      <w:r>
        <w:rPr>
          <w:spacing w:val="-3"/>
        </w:rPr>
        <w:t xml:space="preserve"> </w:t>
      </w:r>
      <w:r>
        <w:t>developed</w:t>
      </w:r>
      <w:r>
        <w:rPr>
          <w:spacing w:val="-1"/>
        </w:rPr>
        <w:t xml:space="preserve"> </w:t>
      </w:r>
      <w:r>
        <w:t>and</w:t>
      </w:r>
      <w:r>
        <w:rPr>
          <w:spacing w:val="-5"/>
        </w:rPr>
        <w:t xml:space="preserve"> </w:t>
      </w:r>
      <w:r>
        <w:t>issued</w:t>
      </w:r>
      <w:r>
        <w:rPr>
          <w:spacing w:val="-5"/>
        </w:rPr>
        <w:t xml:space="preserve"> </w:t>
      </w:r>
      <w:r>
        <w:t>in</w:t>
      </w:r>
      <w:r>
        <w:rPr>
          <w:spacing w:val="-3"/>
        </w:rPr>
        <w:t xml:space="preserve"> </w:t>
      </w:r>
      <w:r>
        <w:t>accordance</w:t>
      </w:r>
      <w:r>
        <w:rPr>
          <w:spacing w:val="-3"/>
        </w:rPr>
        <w:t xml:space="preserve"> </w:t>
      </w:r>
      <w:r>
        <w:t>with Section X of this document.</w:t>
      </w:r>
    </w:p>
    <w:p w14:paraId="1E805A2F" w14:textId="77777777" w:rsidR="00AA4A02" w:rsidRDefault="00960F31">
      <w:pPr>
        <w:pStyle w:val="Heading7"/>
        <w:spacing w:before="169"/>
      </w:pPr>
      <w:bookmarkStart w:id="44" w:name="Choice_of_Pronouncement_or_Non-Authorita"/>
      <w:bookmarkEnd w:id="44"/>
      <w:r>
        <w:t>Choice</w:t>
      </w:r>
      <w:r>
        <w:rPr>
          <w:spacing w:val="-10"/>
        </w:rPr>
        <w:t xml:space="preserve"> </w:t>
      </w:r>
      <w:r>
        <w:t>of</w:t>
      </w:r>
      <w:r>
        <w:rPr>
          <w:spacing w:val="-7"/>
        </w:rPr>
        <w:t xml:space="preserve"> </w:t>
      </w:r>
      <w:r>
        <w:t>Pronouncement</w:t>
      </w:r>
      <w:r>
        <w:rPr>
          <w:spacing w:val="-9"/>
        </w:rPr>
        <w:t xml:space="preserve"> </w:t>
      </w:r>
      <w:r>
        <w:t>or</w:t>
      </w:r>
      <w:r>
        <w:rPr>
          <w:spacing w:val="-8"/>
        </w:rPr>
        <w:t xml:space="preserve"> </w:t>
      </w:r>
      <w:r>
        <w:t>Non-Authoritative</w:t>
      </w:r>
      <w:r>
        <w:rPr>
          <w:spacing w:val="-9"/>
        </w:rPr>
        <w:t xml:space="preserve"> </w:t>
      </w:r>
      <w:r>
        <w:rPr>
          <w:spacing w:val="-2"/>
        </w:rPr>
        <w:t>Material</w:t>
      </w:r>
    </w:p>
    <w:p w14:paraId="1E805A30" w14:textId="77777777" w:rsidR="00AA4A02" w:rsidRDefault="00960F31">
      <w:pPr>
        <w:pStyle w:val="ListParagraph"/>
        <w:numPr>
          <w:ilvl w:val="0"/>
          <w:numId w:val="29"/>
        </w:numPr>
        <w:tabs>
          <w:tab w:val="left" w:pos="851"/>
        </w:tabs>
        <w:spacing w:before="192" w:line="208" w:lineRule="auto"/>
        <w:ind w:right="900"/>
      </w:pPr>
      <w:r>
        <w:t>Circumstances</w:t>
      </w:r>
      <w:r>
        <w:rPr>
          <w:spacing w:val="-5"/>
        </w:rPr>
        <w:t xml:space="preserve"> </w:t>
      </w:r>
      <w:r>
        <w:t>that</w:t>
      </w:r>
      <w:r>
        <w:rPr>
          <w:spacing w:val="-5"/>
        </w:rPr>
        <w:t xml:space="preserve"> </w:t>
      </w:r>
      <w:r>
        <w:t>may</w:t>
      </w:r>
      <w:r>
        <w:rPr>
          <w:spacing w:val="-5"/>
        </w:rPr>
        <w:t xml:space="preserve"> </w:t>
      </w:r>
      <w:r>
        <w:t>lead</w:t>
      </w:r>
      <w:r>
        <w:rPr>
          <w:spacing w:val="-3"/>
        </w:rPr>
        <w:t xml:space="preserve"> </w:t>
      </w:r>
      <w:r>
        <w:t>to</w:t>
      </w:r>
      <w:r>
        <w:rPr>
          <w:spacing w:val="-6"/>
        </w:rPr>
        <w:t xml:space="preserve"> </w:t>
      </w:r>
      <w:r>
        <w:t>the</w:t>
      </w:r>
      <w:r>
        <w:rPr>
          <w:spacing w:val="-3"/>
        </w:rPr>
        <w:t xml:space="preserve"> </w:t>
      </w:r>
      <w:r>
        <w:t>AUASB</w:t>
      </w:r>
      <w:r>
        <w:rPr>
          <w:spacing w:val="-1"/>
        </w:rPr>
        <w:t xml:space="preserve"> </w:t>
      </w:r>
      <w:r>
        <w:t>introducing,</w:t>
      </w:r>
      <w:r>
        <w:rPr>
          <w:spacing w:val="-3"/>
        </w:rPr>
        <w:t xml:space="preserve"> </w:t>
      </w:r>
      <w:r>
        <w:t>amending</w:t>
      </w:r>
      <w:r>
        <w:rPr>
          <w:spacing w:val="-3"/>
        </w:rPr>
        <w:t xml:space="preserve"> </w:t>
      </w:r>
      <w:r>
        <w:t>or</w:t>
      </w:r>
      <w:r>
        <w:rPr>
          <w:spacing w:val="-3"/>
        </w:rPr>
        <w:t xml:space="preserve"> </w:t>
      </w:r>
      <w:r>
        <w:t>withdrawing</w:t>
      </w:r>
      <w:r>
        <w:rPr>
          <w:spacing w:val="-3"/>
        </w:rPr>
        <w:t xml:space="preserve"> </w:t>
      </w:r>
      <w:r>
        <w:t>an AUASB</w:t>
      </w:r>
      <w:r>
        <w:rPr>
          <w:spacing w:val="-1"/>
        </w:rPr>
        <w:t xml:space="preserve"> </w:t>
      </w:r>
      <w:r>
        <w:t>Standard, Guidance Statement or related non-authoritative materials include:</w:t>
      </w:r>
    </w:p>
    <w:p w14:paraId="1E805A31" w14:textId="77777777" w:rsidR="00AA4A02" w:rsidRDefault="00960F31">
      <w:pPr>
        <w:pStyle w:val="ListParagraph"/>
        <w:numPr>
          <w:ilvl w:val="1"/>
          <w:numId w:val="29"/>
        </w:numPr>
        <w:tabs>
          <w:tab w:val="left" w:pos="1562"/>
        </w:tabs>
        <w:spacing w:line="208" w:lineRule="auto"/>
        <w:ind w:right="679"/>
      </w:pPr>
      <w:r>
        <w:t>the</w:t>
      </w:r>
      <w:r>
        <w:rPr>
          <w:spacing w:val="-3"/>
        </w:rPr>
        <w:t xml:space="preserve"> </w:t>
      </w:r>
      <w:r>
        <w:t>IAASB</w:t>
      </w:r>
      <w:r>
        <w:rPr>
          <w:spacing w:val="-5"/>
        </w:rPr>
        <w:t xml:space="preserve"> </w:t>
      </w:r>
      <w:r>
        <w:t>(or</w:t>
      </w:r>
      <w:r>
        <w:rPr>
          <w:spacing w:val="-3"/>
        </w:rPr>
        <w:t xml:space="preserve"> </w:t>
      </w:r>
      <w:r>
        <w:t>other</w:t>
      </w:r>
      <w:r>
        <w:rPr>
          <w:spacing w:val="-3"/>
        </w:rPr>
        <w:t xml:space="preserve"> </w:t>
      </w:r>
      <w:r>
        <w:t>national</w:t>
      </w:r>
      <w:r>
        <w:rPr>
          <w:spacing w:val="-2"/>
        </w:rPr>
        <w:t xml:space="preserve"> </w:t>
      </w:r>
      <w:r>
        <w:t>standard</w:t>
      </w:r>
      <w:r>
        <w:rPr>
          <w:spacing w:val="-6"/>
        </w:rPr>
        <w:t xml:space="preserve"> </w:t>
      </w:r>
      <w:r>
        <w:t>setter)</w:t>
      </w:r>
      <w:r>
        <w:rPr>
          <w:spacing w:val="-1"/>
        </w:rPr>
        <w:t xml:space="preserve"> </w:t>
      </w:r>
      <w:r>
        <w:t>has</w:t>
      </w:r>
      <w:r>
        <w:rPr>
          <w:spacing w:val="-5"/>
        </w:rPr>
        <w:t xml:space="preserve"> </w:t>
      </w:r>
      <w:r>
        <w:t>issued</w:t>
      </w:r>
      <w:r>
        <w:rPr>
          <w:spacing w:val="-3"/>
        </w:rPr>
        <w:t xml:space="preserve"> </w:t>
      </w:r>
      <w:r>
        <w:t>materials</w:t>
      </w:r>
      <w:r>
        <w:rPr>
          <w:spacing w:val="-5"/>
        </w:rPr>
        <w:t xml:space="preserve"> </w:t>
      </w:r>
      <w:r>
        <w:t>on</w:t>
      </w:r>
      <w:r>
        <w:rPr>
          <w:spacing w:val="-3"/>
        </w:rPr>
        <w:t xml:space="preserve"> </w:t>
      </w:r>
      <w:r>
        <w:t>a</w:t>
      </w:r>
      <w:r>
        <w:rPr>
          <w:spacing w:val="-3"/>
        </w:rPr>
        <w:t xml:space="preserve"> </w:t>
      </w:r>
      <w:r>
        <w:t xml:space="preserve">particular </w:t>
      </w:r>
      <w:r>
        <w:rPr>
          <w:spacing w:val="-2"/>
        </w:rPr>
        <w:t>matter;</w:t>
      </w:r>
    </w:p>
    <w:p w14:paraId="1E805A32" w14:textId="77777777" w:rsidR="00AA4A02" w:rsidRDefault="00960F31">
      <w:pPr>
        <w:pStyle w:val="ListParagraph"/>
        <w:numPr>
          <w:ilvl w:val="1"/>
          <w:numId w:val="29"/>
        </w:numPr>
        <w:tabs>
          <w:tab w:val="left" w:pos="1562"/>
        </w:tabs>
        <w:spacing w:before="174"/>
      </w:pPr>
      <w:r>
        <w:t>a</w:t>
      </w:r>
      <w:r>
        <w:rPr>
          <w:spacing w:val="-3"/>
        </w:rPr>
        <w:t xml:space="preserve"> </w:t>
      </w:r>
      <w:r>
        <w:t>gap</w:t>
      </w:r>
      <w:r>
        <w:rPr>
          <w:spacing w:val="-2"/>
        </w:rPr>
        <w:t xml:space="preserve"> </w:t>
      </w:r>
      <w:r>
        <w:t>has</w:t>
      </w:r>
      <w:r>
        <w:rPr>
          <w:spacing w:val="-2"/>
        </w:rPr>
        <w:t xml:space="preserve"> </w:t>
      </w:r>
      <w:r>
        <w:t>been</w:t>
      </w:r>
      <w:r>
        <w:rPr>
          <w:spacing w:val="-4"/>
        </w:rPr>
        <w:t xml:space="preserve"> </w:t>
      </w:r>
      <w:r>
        <w:t>identified</w:t>
      </w:r>
      <w:r>
        <w:rPr>
          <w:spacing w:val="-3"/>
        </w:rPr>
        <w:t xml:space="preserve"> </w:t>
      </w:r>
      <w:r>
        <w:t>in</w:t>
      </w:r>
      <w:r>
        <w:rPr>
          <w:spacing w:val="-5"/>
        </w:rPr>
        <w:t xml:space="preserve"> </w:t>
      </w:r>
      <w:r>
        <w:t>the</w:t>
      </w:r>
      <w:r>
        <w:rPr>
          <w:spacing w:val="-3"/>
        </w:rPr>
        <w:t xml:space="preserve"> </w:t>
      </w:r>
      <w:r>
        <w:t>existing AUASB</w:t>
      </w:r>
      <w:r>
        <w:rPr>
          <w:spacing w:val="-3"/>
        </w:rPr>
        <w:t xml:space="preserve"> </w:t>
      </w:r>
      <w:r>
        <w:rPr>
          <w:spacing w:val="-2"/>
        </w:rPr>
        <w:t>framework;</w:t>
      </w:r>
    </w:p>
    <w:p w14:paraId="1E805A33" w14:textId="77777777" w:rsidR="00AA4A02" w:rsidRDefault="00960F31">
      <w:pPr>
        <w:pStyle w:val="ListParagraph"/>
        <w:numPr>
          <w:ilvl w:val="1"/>
          <w:numId w:val="29"/>
        </w:numPr>
        <w:tabs>
          <w:tab w:val="left" w:pos="1562"/>
        </w:tabs>
        <w:spacing w:before="192" w:line="208" w:lineRule="auto"/>
        <w:ind w:right="886"/>
      </w:pPr>
      <w:r>
        <w:t>stakeholders</w:t>
      </w:r>
      <w:r>
        <w:rPr>
          <w:spacing w:val="-2"/>
        </w:rPr>
        <w:t xml:space="preserve"> </w:t>
      </w:r>
      <w:r>
        <w:t>have</w:t>
      </w:r>
      <w:r>
        <w:rPr>
          <w:spacing w:val="-3"/>
        </w:rPr>
        <w:t xml:space="preserve"> </w:t>
      </w:r>
      <w:r>
        <w:t>requested</w:t>
      </w:r>
      <w:r>
        <w:rPr>
          <w:spacing w:val="-3"/>
        </w:rPr>
        <w:t xml:space="preserve"> </w:t>
      </w:r>
      <w:r>
        <w:t>action</w:t>
      </w:r>
      <w:r>
        <w:rPr>
          <w:spacing w:val="-5"/>
        </w:rPr>
        <w:t xml:space="preserve"> </w:t>
      </w:r>
      <w:r>
        <w:t>and</w:t>
      </w:r>
      <w:r>
        <w:rPr>
          <w:spacing w:val="-5"/>
        </w:rPr>
        <w:t xml:space="preserve"> </w:t>
      </w:r>
      <w:r>
        <w:t>the</w:t>
      </w:r>
      <w:r>
        <w:rPr>
          <w:spacing w:val="-3"/>
        </w:rPr>
        <w:t xml:space="preserve"> </w:t>
      </w:r>
      <w:r>
        <w:t>AUASB</w:t>
      </w:r>
      <w:r>
        <w:rPr>
          <w:spacing w:val="-5"/>
        </w:rPr>
        <w:t xml:space="preserve"> </w:t>
      </w:r>
      <w:r>
        <w:t>considers</w:t>
      </w:r>
      <w:r>
        <w:rPr>
          <w:spacing w:val="-5"/>
        </w:rPr>
        <w:t xml:space="preserve"> </w:t>
      </w:r>
      <w:r>
        <w:t>it</w:t>
      </w:r>
      <w:r>
        <w:rPr>
          <w:spacing w:val="-2"/>
        </w:rPr>
        <w:t xml:space="preserve"> </w:t>
      </w:r>
      <w:r>
        <w:t>appropriate</w:t>
      </w:r>
      <w:r>
        <w:rPr>
          <w:spacing w:val="-5"/>
        </w:rPr>
        <w:t xml:space="preserve"> </w:t>
      </w:r>
      <w:r>
        <w:t>to respond; or</w:t>
      </w:r>
    </w:p>
    <w:p w14:paraId="1E805A34" w14:textId="77777777" w:rsidR="00AA4A02" w:rsidRDefault="00960F31">
      <w:pPr>
        <w:pStyle w:val="ListParagraph"/>
        <w:numPr>
          <w:ilvl w:val="1"/>
          <w:numId w:val="29"/>
        </w:numPr>
        <w:tabs>
          <w:tab w:val="left" w:pos="1562"/>
        </w:tabs>
        <w:spacing w:before="174"/>
      </w:pPr>
      <w:r>
        <w:t>the</w:t>
      </w:r>
      <w:r>
        <w:rPr>
          <w:spacing w:val="-5"/>
        </w:rPr>
        <w:t xml:space="preserve"> </w:t>
      </w:r>
      <w:r>
        <w:t>relevant</w:t>
      </w:r>
      <w:r>
        <w:rPr>
          <w:spacing w:val="-2"/>
        </w:rPr>
        <w:t xml:space="preserve"> </w:t>
      </w:r>
      <w:r>
        <w:t>subject</w:t>
      </w:r>
      <w:r>
        <w:rPr>
          <w:spacing w:val="-4"/>
        </w:rPr>
        <w:t xml:space="preserve"> </w:t>
      </w:r>
      <w:r>
        <w:t>matter</w:t>
      </w:r>
      <w:r>
        <w:rPr>
          <w:spacing w:val="-5"/>
        </w:rPr>
        <w:t xml:space="preserve"> </w:t>
      </w:r>
      <w:r>
        <w:t>has</w:t>
      </w:r>
      <w:r>
        <w:rPr>
          <w:spacing w:val="-2"/>
        </w:rPr>
        <w:t xml:space="preserve"> </w:t>
      </w:r>
      <w:r>
        <w:t>been</w:t>
      </w:r>
      <w:r>
        <w:rPr>
          <w:spacing w:val="-3"/>
        </w:rPr>
        <w:t xml:space="preserve"> </w:t>
      </w:r>
      <w:r>
        <w:t>superseded</w:t>
      </w:r>
      <w:r>
        <w:rPr>
          <w:spacing w:val="-2"/>
        </w:rPr>
        <w:t xml:space="preserve"> </w:t>
      </w:r>
      <w:r>
        <w:t>or</w:t>
      </w:r>
      <w:r>
        <w:rPr>
          <w:spacing w:val="-5"/>
        </w:rPr>
        <w:t xml:space="preserve"> </w:t>
      </w:r>
      <w:r>
        <w:t>is</w:t>
      </w:r>
      <w:r>
        <w:rPr>
          <w:spacing w:val="-4"/>
        </w:rPr>
        <w:t xml:space="preserve"> </w:t>
      </w:r>
      <w:r>
        <w:t>no</w:t>
      </w:r>
      <w:r>
        <w:rPr>
          <w:spacing w:val="-3"/>
        </w:rPr>
        <w:t xml:space="preserve"> </w:t>
      </w:r>
      <w:r>
        <w:t>longer</w:t>
      </w:r>
      <w:r>
        <w:rPr>
          <w:spacing w:val="-4"/>
        </w:rPr>
        <w:t xml:space="preserve"> </w:t>
      </w:r>
      <w:r>
        <w:t>fit</w:t>
      </w:r>
      <w:r>
        <w:rPr>
          <w:spacing w:val="-2"/>
        </w:rPr>
        <w:t xml:space="preserve"> </w:t>
      </w:r>
      <w:r>
        <w:t>for</w:t>
      </w:r>
      <w:r>
        <w:rPr>
          <w:spacing w:val="-2"/>
        </w:rPr>
        <w:t xml:space="preserve"> purpose.</w:t>
      </w:r>
    </w:p>
    <w:p w14:paraId="1E805A35" w14:textId="77777777" w:rsidR="00AA4A02" w:rsidRDefault="00AA4A02">
      <w:pPr>
        <w:pStyle w:val="BodyText"/>
        <w:rPr>
          <w:sz w:val="20"/>
        </w:rPr>
      </w:pPr>
    </w:p>
    <w:p w14:paraId="1E805A36" w14:textId="77777777" w:rsidR="00AA4A02" w:rsidRDefault="00960F31">
      <w:pPr>
        <w:pStyle w:val="BodyText"/>
        <w:spacing w:before="111"/>
        <w:rPr>
          <w:sz w:val="20"/>
        </w:rPr>
      </w:pPr>
      <w:r>
        <w:rPr>
          <w:noProof/>
          <w:sz w:val="20"/>
        </w:rPr>
        <mc:AlternateContent>
          <mc:Choice Requires="wps">
            <w:drawing>
              <wp:anchor distT="0" distB="0" distL="0" distR="0" simplePos="0" relativeHeight="487601664" behindDoc="1" locked="0" layoutInCell="1" allowOverlap="1" wp14:anchorId="1E805F49" wp14:editId="1E805F4A">
                <wp:simplePos x="0" y="0"/>
                <wp:positionH relativeFrom="page">
                  <wp:posOffset>900988</wp:posOffset>
                </wp:positionH>
                <wp:positionV relativeFrom="paragraph">
                  <wp:posOffset>232084</wp:posOffset>
                </wp:positionV>
                <wp:extent cx="1829435" cy="76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B4D99" id="Graphic 50" o:spid="_x0000_s1026" style="position:absolute;margin-left:70.95pt;margin-top:18.25pt;width:144.05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" path="m1829053,l,,,7619r1829053,l1829053,xe" fillcolor="black" stroked="f">
                <v:path arrowok="t"/>
                <w10:wrap type="topAndBottom" anchorx="page"/>
              </v:shape>
            </w:pict>
          </mc:Fallback>
        </mc:AlternateContent>
      </w:r>
    </w:p>
    <w:p w14:paraId="1E805A37" w14:textId="77777777" w:rsidR="00AA4A02" w:rsidRDefault="00960F31">
      <w:pPr>
        <w:spacing w:before="73"/>
        <w:ind w:left="143"/>
        <w:rPr>
          <w:sz w:val="16"/>
        </w:rPr>
      </w:pPr>
      <w:r>
        <w:rPr>
          <w:sz w:val="16"/>
          <w:vertAlign w:val="superscript"/>
        </w:rPr>
        <w:t>24</w:t>
      </w:r>
      <w:r>
        <w:rPr>
          <w:spacing w:val="44"/>
          <w:sz w:val="16"/>
        </w:rPr>
        <w:t xml:space="preserve">  </w:t>
      </w:r>
      <w:r>
        <w:rPr>
          <w:sz w:val="16"/>
        </w:rPr>
        <w:t xml:space="preserve">See </w:t>
      </w:r>
      <w:hyperlink r:id="rId76">
        <w:r>
          <w:rPr>
            <w:color w:val="0000FF"/>
            <w:sz w:val="16"/>
            <w:u w:val="single" w:color="0000FF"/>
          </w:rPr>
          <w:t>Foreword</w:t>
        </w:r>
        <w:r>
          <w:rPr>
            <w:sz w:val="16"/>
          </w:rPr>
          <w:t>,</w:t>
        </w:r>
      </w:hyperlink>
      <w:r>
        <w:rPr>
          <w:spacing w:val="-5"/>
          <w:sz w:val="16"/>
        </w:rPr>
        <w:t xml:space="preserve"> </w:t>
      </w:r>
      <w:r>
        <w:rPr>
          <w:sz w:val="16"/>
        </w:rPr>
        <w:t>paragraphs</w:t>
      </w:r>
      <w:r>
        <w:rPr>
          <w:spacing w:val="-4"/>
          <w:sz w:val="16"/>
        </w:rPr>
        <w:t xml:space="preserve"> </w:t>
      </w:r>
      <w:r>
        <w:rPr>
          <w:sz w:val="16"/>
        </w:rPr>
        <w:t>24-</w:t>
      </w:r>
      <w:r>
        <w:rPr>
          <w:spacing w:val="-5"/>
          <w:sz w:val="16"/>
        </w:rPr>
        <w:t>34.</w:t>
      </w:r>
    </w:p>
    <w:p w14:paraId="1E805A38" w14:textId="77777777" w:rsidR="00AA4A02" w:rsidRDefault="00AA4A02">
      <w:pPr>
        <w:rPr>
          <w:sz w:val="16"/>
        </w:rPr>
        <w:sectPr w:rsidR="00AA4A02">
          <w:pgSz w:w="11910" w:h="16840"/>
          <w:pgMar w:top="1380" w:right="1275" w:bottom="1040" w:left="1275" w:header="689" w:footer="842" w:gutter="0"/>
          <w:cols w:space="720"/>
        </w:sectPr>
      </w:pPr>
    </w:p>
    <w:p w14:paraId="1E805A39" w14:textId="77777777" w:rsidR="00AA4A02" w:rsidRDefault="00960F31">
      <w:pPr>
        <w:pStyle w:val="ListParagraph"/>
        <w:numPr>
          <w:ilvl w:val="0"/>
          <w:numId w:val="29"/>
        </w:numPr>
        <w:tabs>
          <w:tab w:val="left" w:pos="851"/>
        </w:tabs>
        <w:spacing w:before="219" w:line="208" w:lineRule="auto"/>
        <w:ind w:right="325"/>
      </w:pPr>
      <w:r>
        <w:lastRenderedPageBreak/>
        <w:t>Where</w:t>
      </w:r>
      <w:r>
        <w:rPr>
          <w:spacing w:val="-2"/>
        </w:rPr>
        <w:t xml:space="preserve"> </w:t>
      </w:r>
      <w:r>
        <w:t>a</w:t>
      </w:r>
      <w:r>
        <w:rPr>
          <w:spacing w:val="-2"/>
        </w:rPr>
        <w:t xml:space="preserve"> </w:t>
      </w:r>
      <w:r>
        <w:t>gap</w:t>
      </w:r>
      <w:r>
        <w:rPr>
          <w:spacing w:val="-1"/>
        </w:rPr>
        <w:t xml:space="preserve"> </w:t>
      </w:r>
      <w:r>
        <w:t>has</w:t>
      </w:r>
      <w:r>
        <w:rPr>
          <w:spacing w:val="-2"/>
        </w:rPr>
        <w:t xml:space="preserve"> </w:t>
      </w:r>
      <w:r>
        <w:t>been</w:t>
      </w:r>
      <w:r>
        <w:rPr>
          <w:spacing w:val="-1"/>
        </w:rPr>
        <w:t xml:space="preserve"> </w:t>
      </w:r>
      <w:r>
        <w:t>identified</w:t>
      </w:r>
      <w:r>
        <w:rPr>
          <w:spacing w:val="-4"/>
        </w:rPr>
        <w:t xml:space="preserve"> </w:t>
      </w:r>
      <w:r>
        <w:t>in</w:t>
      </w:r>
      <w:r>
        <w:rPr>
          <w:spacing w:val="-2"/>
        </w:rPr>
        <w:t xml:space="preserve"> </w:t>
      </w:r>
      <w:r>
        <w:t>the</w:t>
      </w:r>
      <w:r>
        <w:rPr>
          <w:spacing w:val="-2"/>
        </w:rPr>
        <w:t xml:space="preserve"> </w:t>
      </w:r>
      <w:r>
        <w:t>AUASB’s</w:t>
      </w:r>
      <w:r>
        <w:rPr>
          <w:spacing w:val="-2"/>
        </w:rPr>
        <w:t xml:space="preserve"> </w:t>
      </w:r>
      <w:r>
        <w:t>existing</w:t>
      </w:r>
      <w:r>
        <w:rPr>
          <w:spacing w:val="-2"/>
        </w:rPr>
        <w:t xml:space="preserve"> </w:t>
      </w:r>
      <w:r>
        <w:t>framework,</w:t>
      </w:r>
      <w:r>
        <w:rPr>
          <w:spacing w:val="-4"/>
        </w:rPr>
        <w:t xml:space="preserve"> </w:t>
      </w:r>
      <w:r>
        <w:t>the</w:t>
      </w:r>
      <w:r>
        <w:rPr>
          <w:spacing w:val="-4"/>
        </w:rPr>
        <w:t xml:space="preserve"> </w:t>
      </w:r>
      <w:r>
        <w:t>AUASB</w:t>
      </w:r>
      <w:r>
        <w:rPr>
          <w:spacing w:val="-4"/>
        </w:rPr>
        <w:t xml:space="preserve"> </w:t>
      </w:r>
      <w:r>
        <w:t>considers which of the following responses will be most appropriate in the circumstances:</w:t>
      </w:r>
    </w:p>
    <w:p w14:paraId="1E805A3A" w14:textId="77777777" w:rsidR="00AA4A02" w:rsidRDefault="00960F31">
      <w:pPr>
        <w:pStyle w:val="ListParagraph"/>
        <w:numPr>
          <w:ilvl w:val="1"/>
          <w:numId w:val="29"/>
        </w:numPr>
        <w:tabs>
          <w:tab w:val="left" w:pos="1562"/>
        </w:tabs>
        <w:spacing w:before="175"/>
      </w:pPr>
      <w:r>
        <w:t>develop</w:t>
      </w:r>
      <w:r>
        <w:rPr>
          <w:spacing w:val="-3"/>
        </w:rPr>
        <w:t xml:space="preserve"> </w:t>
      </w:r>
      <w:r>
        <w:t>a</w:t>
      </w:r>
      <w:r>
        <w:rPr>
          <w:spacing w:val="-2"/>
        </w:rPr>
        <w:t xml:space="preserve"> </w:t>
      </w:r>
      <w:r>
        <w:t>new,</w:t>
      </w:r>
      <w:r>
        <w:rPr>
          <w:spacing w:val="-2"/>
        </w:rPr>
        <w:t xml:space="preserve"> </w:t>
      </w:r>
      <w:r>
        <w:t>or</w:t>
      </w:r>
      <w:r>
        <w:rPr>
          <w:spacing w:val="-4"/>
        </w:rPr>
        <w:t xml:space="preserve"> </w:t>
      </w:r>
      <w:r>
        <w:t>amend</w:t>
      </w:r>
      <w:r>
        <w:rPr>
          <w:spacing w:val="-2"/>
        </w:rPr>
        <w:t xml:space="preserve"> </w:t>
      </w:r>
      <w:r>
        <w:t>an</w:t>
      </w:r>
      <w:r>
        <w:rPr>
          <w:spacing w:val="-2"/>
        </w:rPr>
        <w:t xml:space="preserve"> </w:t>
      </w:r>
      <w:r>
        <w:t>existing,</w:t>
      </w:r>
      <w:r>
        <w:rPr>
          <w:spacing w:val="-2"/>
        </w:rPr>
        <w:t xml:space="preserve"> </w:t>
      </w:r>
      <w:r>
        <w:t>AUASB</w:t>
      </w:r>
      <w:r>
        <w:rPr>
          <w:spacing w:val="-4"/>
        </w:rPr>
        <w:t xml:space="preserve"> </w:t>
      </w:r>
      <w:r>
        <w:rPr>
          <w:spacing w:val="-2"/>
        </w:rPr>
        <w:t>Standard;</w:t>
      </w:r>
    </w:p>
    <w:p w14:paraId="1E805A3B" w14:textId="77777777" w:rsidR="00AA4A02" w:rsidRDefault="00960F31">
      <w:pPr>
        <w:pStyle w:val="ListParagraph"/>
        <w:numPr>
          <w:ilvl w:val="1"/>
          <w:numId w:val="29"/>
        </w:numPr>
        <w:tabs>
          <w:tab w:val="left" w:pos="1562"/>
        </w:tabs>
        <w:spacing w:before="88"/>
      </w:pPr>
      <w:r>
        <w:t>develop</w:t>
      </w:r>
      <w:r>
        <w:rPr>
          <w:spacing w:val="-4"/>
        </w:rPr>
        <w:t xml:space="preserve"> </w:t>
      </w:r>
      <w:r>
        <w:t>a</w:t>
      </w:r>
      <w:r>
        <w:rPr>
          <w:spacing w:val="-3"/>
        </w:rPr>
        <w:t xml:space="preserve"> </w:t>
      </w:r>
      <w:r>
        <w:t>new,</w:t>
      </w:r>
      <w:r>
        <w:rPr>
          <w:spacing w:val="-3"/>
        </w:rPr>
        <w:t xml:space="preserve"> </w:t>
      </w:r>
      <w:r>
        <w:t>or</w:t>
      </w:r>
      <w:r>
        <w:rPr>
          <w:spacing w:val="-5"/>
        </w:rPr>
        <w:t xml:space="preserve"> </w:t>
      </w:r>
      <w:r>
        <w:t>amend</w:t>
      </w:r>
      <w:r>
        <w:rPr>
          <w:spacing w:val="-3"/>
        </w:rPr>
        <w:t xml:space="preserve"> </w:t>
      </w:r>
      <w:r>
        <w:t>an</w:t>
      </w:r>
      <w:r>
        <w:rPr>
          <w:spacing w:val="-3"/>
        </w:rPr>
        <w:t xml:space="preserve"> </w:t>
      </w:r>
      <w:r>
        <w:t>existing,</w:t>
      </w:r>
      <w:r>
        <w:rPr>
          <w:spacing w:val="-3"/>
        </w:rPr>
        <w:t xml:space="preserve"> </w:t>
      </w:r>
      <w:r>
        <w:t>AUASB</w:t>
      </w:r>
      <w:r>
        <w:rPr>
          <w:spacing w:val="-5"/>
        </w:rPr>
        <w:t xml:space="preserve"> </w:t>
      </w:r>
      <w:r>
        <w:t>Guidance</w:t>
      </w:r>
      <w:r>
        <w:rPr>
          <w:spacing w:val="-3"/>
        </w:rPr>
        <w:t xml:space="preserve"> </w:t>
      </w:r>
      <w:r>
        <w:t>Statement;</w:t>
      </w:r>
      <w:r>
        <w:rPr>
          <w:spacing w:val="-2"/>
        </w:rPr>
        <w:t xml:space="preserve"> </w:t>
      </w:r>
      <w:r>
        <w:rPr>
          <w:spacing w:val="-5"/>
        </w:rPr>
        <w:t>or</w:t>
      </w:r>
    </w:p>
    <w:p w14:paraId="1E805A3C" w14:textId="77777777" w:rsidR="00AA4A02" w:rsidRDefault="00960F31">
      <w:pPr>
        <w:pStyle w:val="ListParagraph"/>
        <w:numPr>
          <w:ilvl w:val="1"/>
          <w:numId w:val="29"/>
        </w:numPr>
        <w:tabs>
          <w:tab w:val="left" w:pos="1562"/>
        </w:tabs>
        <w:spacing w:before="87"/>
      </w:pPr>
      <w:r>
        <w:t>issue</w:t>
      </w:r>
      <w:r>
        <w:rPr>
          <w:spacing w:val="-7"/>
        </w:rPr>
        <w:t xml:space="preserve"> </w:t>
      </w:r>
      <w:r>
        <w:t>non-authoritative</w:t>
      </w:r>
      <w:r>
        <w:rPr>
          <w:spacing w:val="-7"/>
        </w:rPr>
        <w:t xml:space="preserve"> </w:t>
      </w:r>
      <w:r>
        <w:rPr>
          <w:spacing w:val="-2"/>
        </w:rPr>
        <w:t>materials.</w:t>
      </w:r>
    </w:p>
    <w:p w14:paraId="1E805A3D" w14:textId="77777777" w:rsidR="00AA4A02" w:rsidRDefault="00960F31">
      <w:pPr>
        <w:pStyle w:val="ListParagraph"/>
        <w:numPr>
          <w:ilvl w:val="0"/>
          <w:numId w:val="29"/>
        </w:numPr>
        <w:tabs>
          <w:tab w:val="left" w:pos="851"/>
        </w:tabs>
        <w:spacing w:before="192" w:line="208" w:lineRule="auto"/>
        <w:ind w:right="427"/>
      </w:pPr>
      <w:r>
        <w:t>The AUASB’s choice of pronouncement and/or other non-authoritative material for addressing an identified issue will be influenced by a range of factors. The factors outlined below</w:t>
      </w:r>
      <w:r>
        <w:rPr>
          <w:spacing w:val="-3"/>
        </w:rPr>
        <w:t xml:space="preserve"> </w:t>
      </w:r>
      <w:r>
        <w:t>are</w:t>
      </w:r>
      <w:r>
        <w:rPr>
          <w:spacing w:val="-4"/>
        </w:rPr>
        <w:t xml:space="preserve"> </w:t>
      </w:r>
      <w:r>
        <w:t>intended</w:t>
      </w:r>
      <w:r>
        <w:rPr>
          <w:spacing w:val="-1"/>
        </w:rPr>
        <w:t xml:space="preserve"> </w:t>
      </w:r>
      <w:r>
        <w:t>to</w:t>
      </w:r>
      <w:r>
        <w:rPr>
          <w:spacing w:val="-5"/>
        </w:rPr>
        <w:t xml:space="preserve"> </w:t>
      </w:r>
      <w:r>
        <w:t>inform</w:t>
      </w:r>
      <w:r>
        <w:rPr>
          <w:spacing w:val="-1"/>
        </w:rPr>
        <w:t xml:space="preserve"> </w:t>
      </w:r>
      <w:r>
        <w:t>standard-setting,</w:t>
      </w:r>
      <w:r>
        <w:rPr>
          <w:spacing w:val="-5"/>
        </w:rPr>
        <w:t xml:space="preserve"> </w:t>
      </w:r>
      <w:r>
        <w:t>not</w:t>
      </w:r>
      <w:r>
        <w:rPr>
          <w:spacing w:val="-4"/>
        </w:rPr>
        <w:t xml:space="preserve"> </w:t>
      </w:r>
      <w:r>
        <w:t>set</w:t>
      </w:r>
      <w:r>
        <w:rPr>
          <w:spacing w:val="-1"/>
        </w:rPr>
        <w:t xml:space="preserve"> </w:t>
      </w:r>
      <w:r>
        <w:t>limits</w:t>
      </w:r>
      <w:r>
        <w:rPr>
          <w:spacing w:val="-2"/>
        </w:rPr>
        <w:t xml:space="preserve"> </w:t>
      </w:r>
      <w:r>
        <w:t>to</w:t>
      </w:r>
      <w:r>
        <w:rPr>
          <w:spacing w:val="-5"/>
        </w:rPr>
        <w:t xml:space="preserve"> </w:t>
      </w:r>
      <w:r>
        <w:t>the</w:t>
      </w:r>
      <w:r>
        <w:rPr>
          <w:spacing w:val="-4"/>
        </w:rPr>
        <w:t xml:space="preserve"> </w:t>
      </w:r>
      <w:r>
        <w:t>AUASB’s</w:t>
      </w:r>
      <w:r>
        <w:rPr>
          <w:spacing w:val="-2"/>
        </w:rPr>
        <w:t xml:space="preserve"> </w:t>
      </w:r>
      <w:r>
        <w:t>activities.</w:t>
      </w:r>
      <w:r>
        <w:rPr>
          <w:spacing w:val="-2"/>
        </w:rPr>
        <w:t xml:space="preserve"> </w:t>
      </w:r>
      <w:r>
        <w:t>The AUASB will apply appropriate judgement to determine the most suitable response in the circumstances, having regard to the principles outlined in Section III.</w:t>
      </w:r>
    </w:p>
    <w:p w14:paraId="1E805A3E" w14:textId="77777777" w:rsidR="00AA4A02" w:rsidRDefault="00960F31">
      <w:pPr>
        <w:pStyle w:val="ListParagraph"/>
        <w:numPr>
          <w:ilvl w:val="0"/>
          <w:numId w:val="29"/>
        </w:numPr>
        <w:tabs>
          <w:tab w:val="left" w:pos="851"/>
        </w:tabs>
        <w:spacing w:before="200" w:line="208" w:lineRule="auto"/>
        <w:ind w:right="641"/>
      </w:pPr>
      <w:r>
        <w:t>In</w:t>
      </w:r>
      <w:r>
        <w:rPr>
          <w:spacing w:val="-3"/>
        </w:rPr>
        <w:t xml:space="preserve"> </w:t>
      </w:r>
      <w:r>
        <w:t>determining</w:t>
      </w:r>
      <w:r>
        <w:rPr>
          <w:spacing w:val="-3"/>
        </w:rPr>
        <w:t xml:space="preserve"> </w:t>
      </w:r>
      <w:r>
        <w:t>whether</w:t>
      </w:r>
      <w:r>
        <w:rPr>
          <w:spacing w:val="-3"/>
        </w:rPr>
        <w:t xml:space="preserve"> </w:t>
      </w:r>
      <w:r>
        <w:t>a</w:t>
      </w:r>
      <w:r>
        <w:rPr>
          <w:spacing w:val="-3"/>
        </w:rPr>
        <w:t xml:space="preserve"> </w:t>
      </w:r>
      <w:r>
        <w:t>standard-setting</w:t>
      </w:r>
      <w:r>
        <w:rPr>
          <w:spacing w:val="-3"/>
        </w:rPr>
        <w:t xml:space="preserve"> </w:t>
      </w:r>
      <w:r>
        <w:t>solution</w:t>
      </w:r>
      <w:r>
        <w:rPr>
          <w:spacing w:val="-3"/>
        </w:rPr>
        <w:t xml:space="preserve"> </w:t>
      </w:r>
      <w:r>
        <w:t>will</w:t>
      </w:r>
      <w:r>
        <w:rPr>
          <w:spacing w:val="-5"/>
        </w:rPr>
        <w:t xml:space="preserve"> </w:t>
      </w:r>
      <w:r>
        <w:t>be</w:t>
      </w:r>
      <w:r>
        <w:rPr>
          <w:spacing w:val="-3"/>
        </w:rPr>
        <w:t xml:space="preserve"> </w:t>
      </w:r>
      <w:r>
        <w:t>the</w:t>
      </w:r>
      <w:r>
        <w:rPr>
          <w:spacing w:val="-3"/>
        </w:rPr>
        <w:t xml:space="preserve"> </w:t>
      </w:r>
      <w:r>
        <w:t>appropriate</w:t>
      </w:r>
      <w:r>
        <w:rPr>
          <w:spacing w:val="-5"/>
        </w:rPr>
        <w:t xml:space="preserve"> </w:t>
      </w:r>
      <w:r>
        <w:t>response</w:t>
      </w:r>
      <w:r>
        <w:rPr>
          <w:spacing w:val="-3"/>
        </w:rPr>
        <w:t xml:space="preserve"> </w:t>
      </w:r>
      <w:r>
        <w:t>in</w:t>
      </w:r>
      <w:r>
        <w:rPr>
          <w:spacing w:val="-2"/>
        </w:rPr>
        <w:t xml:space="preserve"> </w:t>
      </w:r>
      <w:r>
        <w:t xml:space="preserve">the circumstances, the AUASB considers whether one or more of the following factors are </w:t>
      </w:r>
      <w:r>
        <w:rPr>
          <w:spacing w:val="-2"/>
        </w:rPr>
        <w:t>relevant:</w:t>
      </w:r>
    </w:p>
    <w:p w14:paraId="1E805A3F" w14:textId="77777777" w:rsidR="00AA4A02" w:rsidRDefault="00960F31">
      <w:pPr>
        <w:pStyle w:val="ListParagraph"/>
        <w:numPr>
          <w:ilvl w:val="1"/>
          <w:numId w:val="29"/>
        </w:numPr>
        <w:tabs>
          <w:tab w:val="left" w:pos="1562"/>
        </w:tabs>
        <w:spacing w:before="175"/>
      </w:pPr>
      <w:r>
        <w:t>a</w:t>
      </w:r>
      <w:r>
        <w:rPr>
          <w:spacing w:val="-5"/>
        </w:rPr>
        <w:t xml:space="preserve"> </w:t>
      </w:r>
      <w:r>
        <w:t>permanent</w:t>
      </w:r>
      <w:r>
        <w:rPr>
          <w:spacing w:val="-2"/>
        </w:rPr>
        <w:t xml:space="preserve"> </w:t>
      </w:r>
      <w:r>
        <w:t>solution</w:t>
      </w:r>
      <w:r>
        <w:rPr>
          <w:spacing w:val="-6"/>
        </w:rPr>
        <w:t xml:space="preserve"> </w:t>
      </w:r>
      <w:r>
        <w:t>is</w:t>
      </w:r>
      <w:r>
        <w:rPr>
          <w:spacing w:val="-2"/>
        </w:rPr>
        <w:t xml:space="preserve"> </w:t>
      </w:r>
      <w:r>
        <w:t>needed</w:t>
      </w:r>
      <w:r>
        <w:rPr>
          <w:spacing w:val="-3"/>
        </w:rPr>
        <w:t xml:space="preserve"> </w:t>
      </w:r>
      <w:r>
        <w:t>to</w:t>
      </w:r>
      <w:r>
        <w:rPr>
          <w:spacing w:val="-6"/>
        </w:rPr>
        <w:t xml:space="preserve"> </w:t>
      </w:r>
      <w:r>
        <w:t>address</w:t>
      </w:r>
      <w:r>
        <w:rPr>
          <w:spacing w:val="-2"/>
        </w:rPr>
        <w:t xml:space="preserve"> </w:t>
      </w:r>
      <w:r>
        <w:t>an</w:t>
      </w:r>
      <w:r>
        <w:rPr>
          <w:spacing w:val="-3"/>
        </w:rPr>
        <w:t xml:space="preserve"> </w:t>
      </w:r>
      <w:r>
        <w:t>ongoing</w:t>
      </w:r>
      <w:r>
        <w:rPr>
          <w:spacing w:val="-3"/>
        </w:rPr>
        <w:t xml:space="preserve"> </w:t>
      </w:r>
      <w:r>
        <w:t>auditing</w:t>
      </w:r>
      <w:r>
        <w:rPr>
          <w:spacing w:val="-5"/>
        </w:rPr>
        <w:t xml:space="preserve"> </w:t>
      </w:r>
      <w:r>
        <w:t>and/or</w:t>
      </w:r>
      <w:r>
        <w:rPr>
          <w:spacing w:val="-5"/>
        </w:rPr>
        <w:t xml:space="preserve"> </w:t>
      </w:r>
      <w:r>
        <w:t>assurance</w:t>
      </w:r>
      <w:r>
        <w:rPr>
          <w:spacing w:val="-4"/>
        </w:rPr>
        <w:t xml:space="preserve"> </w:t>
      </w:r>
      <w:r>
        <w:rPr>
          <w:spacing w:val="-2"/>
        </w:rPr>
        <w:t>issue;</w:t>
      </w:r>
    </w:p>
    <w:p w14:paraId="1E805A40" w14:textId="77777777" w:rsidR="00AA4A02" w:rsidRDefault="00960F31">
      <w:pPr>
        <w:pStyle w:val="ListParagraph"/>
        <w:numPr>
          <w:ilvl w:val="1"/>
          <w:numId w:val="29"/>
        </w:numPr>
        <w:tabs>
          <w:tab w:val="left" w:pos="1562"/>
        </w:tabs>
        <w:spacing w:before="86"/>
      </w:pPr>
      <w:r>
        <w:t>a</w:t>
      </w:r>
      <w:r>
        <w:rPr>
          <w:spacing w:val="-2"/>
        </w:rPr>
        <w:t xml:space="preserve"> </w:t>
      </w:r>
      <w:r>
        <w:t>change</w:t>
      </w:r>
      <w:r>
        <w:rPr>
          <w:spacing w:val="-2"/>
        </w:rPr>
        <w:t xml:space="preserve"> </w:t>
      </w:r>
      <w:r>
        <w:t>is</w:t>
      </w:r>
      <w:r>
        <w:rPr>
          <w:spacing w:val="-2"/>
        </w:rPr>
        <w:t xml:space="preserve"> </w:t>
      </w:r>
      <w:r>
        <w:t>necessary</w:t>
      </w:r>
      <w:r>
        <w:rPr>
          <w:spacing w:val="-2"/>
        </w:rPr>
        <w:t xml:space="preserve"> </w:t>
      </w:r>
      <w:r>
        <w:t>to</w:t>
      </w:r>
      <w:r>
        <w:rPr>
          <w:spacing w:val="-5"/>
        </w:rPr>
        <w:t xml:space="preserve"> </w:t>
      </w:r>
      <w:r>
        <w:t>comply</w:t>
      </w:r>
      <w:r>
        <w:rPr>
          <w:spacing w:val="-2"/>
        </w:rPr>
        <w:t xml:space="preserve"> </w:t>
      </w:r>
      <w:r>
        <w:t>or</w:t>
      </w:r>
      <w:r>
        <w:rPr>
          <w:spacing w:val="-4"/>
        </w:rPr>
        <w:t xml:space="preserve"> </w:t>
      </w:r>
      <w:r>
        <w:t>align</w:t>
      </w:r>
      <w:r>
        <w:rPr>
          <w:spacing w:val="-2"/>
        </w:rPr>
        <w:t xml:space="preserve"> </w:t>
      </w:r>
      <w:r>
        <w:t>with</w:t>
      </w:r>
      <w:r>
        <w:rPr>
          <w:spacing w:val="-5"/>
        </w:rPr>
        <w:t xml:space="preserve"> </w:t>
      </w:r>
      <w:r>
        <w:t>a</w:t>
      </w:r>
      <w:r>
        <w:rPr>
          <w:spacing w:val="-2"/>
        </w:rPr>
        <w:t xml:space="preserve"> </w:t>
      </w:r>
      <w:r>
        <w:t>legal</w:t>
      </w:r>
      <w:r>
        <w:rPr>
          <w:spacing w:val="-2"/>
        </w:rPr>
        <w:t xml:space="preserve"> requirement;</w:t>
      </w:r>
    </w:p>
    <w:p w14:paraId="1E805A41" w14:textId="77777777" w:rsidR="00AA4A02" w:rsidRDefault="00960F31">
      <w:pPr>
        <w:pStyle w:val="ListParagraph"/>
        <w:numPr>
          <w:ilvl w:val="1"/>
          <w:numId w:val="29"/>
        </w:numPr>
        <w:tabs>
          <w:tab w:val="left" w:pos="1562"/>
        </w:tabs>
        <w:spacing w:before="114" w:line="208" w:lineRule="auto"/>
        <w:ind w:right="259"/>
      </w:pPr>
      <w:r>
        <w:t>the desired outcome of the new or revised standard will address relevant compliance obligations</w:t>
      </w:r>
      <w:r>
        <w:rPr>
          <w:spacing w:val="-3"/>
        </w:rPr>
        <w:t xml:space="preserve"> </w:t>
      </w:r>
      <w:r>
        <w:t>and/or</w:t>
      </w:r>
      <w:r>
        <w:rPr>
          <w:spacing w:val="-5"/>
        </w:rPr>
        <w:t xml:space="preserve"> </w:t>
      </w:r>
      <w:r>
        <w:t>promote</w:t>
      </w:r>
      <w:r>
        <w:rPr>
          <w:spacing w:val="-5"/>
        </w:rPr>
        <w:t xml:space="preserve"> </w:t>
      </w:r>
      <w:r>
        <w:t>significant</w:t>
      </w:r>
      <w:r>
        <w:rPr>
          <w:spacing w:val="-5"/>
        </w:rPr>
        <w:t xml:space="preserve"> </w:t>
      </w:r>
      <w:r>
        <w:t>improvements</w:t>
      </w:r>
      <w:r>
        <w:rPr>
          <w:spacing w:val="-3"/>
        </w:rPr>
        <w:t xml:space="preserve"> </w:t>
      </w:r>
      <w:r>
        <w:t>in</w:t>
      </w:r>
      <w:r>
        <w:rPr>
          <w:spacing w:val="-3"/>
        </w:rPr>
        <w:t xml:space="preserve"> </w:t>
      </w:r>
      <w:r>
        <w:t>audit/assurance</w:t>
      </w:r>
      <w:r>
        <w:rPr>
          <w:spacing w:val="-3"/>
        </w:rPr>
        <w:t xml:space="preserve"> </w:t>
      </w:r>
      <w:r>
        <w:t>quality</w:t>
      </w:r>
      <w:r>
        <w:rPr>
          <w:spacing w:val="-3"/>
        </w:rPr>
        <w:t xml:space="preserve"> </w:t>
      </w:r>
      <w:r>
        <w:t>in</w:t>
      </w:r>
      <w:r>
        <w:rPr>
          <w:spacing w:val="-6"/>
        </w:rPr>
        <w:t xml:space="preserve"> </w:t>
      </w:r>
      <w:r>
        <w:t>the Australian environment;</w:t>
      </w:r>
    </w:p>
    <w:p w14:paraId="1E805A42" w14:textId="77777777" w:rsidR="00AA4A02" w:rsidRDefault="00960F31">
      <w:pPr>
        <w:pStyle w:val="ListParagraph"/>
        <w:numPr>
          <w:ilvl w:val="1"/>
          <w:numId w:val="29"/>
        </w:numPr>
        <w:tabs>
          <w:tab w:val="left" w:pos="1562"/>
        </w:tabs>
        <w:spacing w:before="120" w:line="208" w:lineRule="auto"/>
        <w:ind w:right="448"/>
      </w:pPr>
      <w:r>
        <w:t>it</w:t>
      </w:r>
      <w:r>
        <w:rPr>
          <w:spacing w:val="-2"/>
        </w:rPr>
        <w:t xml:space="preserve"> </w:t>
      </w:r>
      <w:r>
        <w:t>will</w:t>
      </w:r>
      <w:r>
        <w:rPr>
          <w:spacing w:val="-2"/>
        </w:rPr>
        <w:t xml:space="preserve"> </w:t>
      </w:r>
      <w:r>
        <w:t>create</w:t>
      </w:r>
      <w:r>
        <w:rPr>
          <w:spacing w:val="-3"/>
        </w:rPr>
        <w:t xml:space="preserve"> </w:t>
      </w:r>
      <w:r>
        <w:t>significant</w:t>
      </w:r>
      <w:r>
        <w:rPr>
          <w:spacing w:val="-2"/>
        </w:rPr>
        <w:t xml:space="preserve"> </w:t>
      </w:r>
      <w:r>
        <w:t>additional</w:t>
      </w:r>
      <w:r>
        <w:rPr>
          <w:spacing w:val="-2"/>
        </w:rPr>
        <w:t xml:space="preserve"> </w:t>
      </w:r>
      <w:r>
        <w:t>benefits</w:t>
      </w:r>
      <w:r>
        <w:rPr>
          <w:spacing w:val="-3"/>
        </w:rPr>
        <w:t xml:space="preserve"> </w:t>
      </w:r>
      <w:r>
        <w:t>in</w:t>
      </w:r>
      <w:r>
        <w:rPr>
          <w:spacing w:val="-6"/>
        </w:rPr>
        <w:t xml:space="preserve"> </w:t>
      </w:r>
      <w:r>
        <w:t>the</w:t>
      </w:r>
      <w:r>
        <w:rPr>
          <w:spacing w:val="-3"/>
        </w:rPr>
        <w:t xml:space="preserve"> </w:t>
      </w:r>
      <w:r>
        <w:t>public</w:t>
      </w:r>
      <w:r>
        <w:rPr>
          <w:spacing w:val="-3"/>
        </w:rPr>
        <w:t xml:space="preserve"> </w:t>
      </w:r>
      <w:r>
        <w:t>interest</w:t>
      </w:r>
      <w:r>
        <w:rPr>
          <w:spacing w:val="-2"/>
        </w:rPr>
        <w:t xml:space="preserve"> </w:t>
      </w:r>
      <w:r>
        <w:t>and</w:t>
      </w:r>
      <w:r>
        <w:rPr>
          <w:spacing w:val="-5"/>
        </w:rPr>
        <w:t xml:space="preserve"> </w:t>
      </w:r>
      <w:r>
        <w:t>the</w:t>
      </w:r>
      <w:r>
        <w:rPr>
          <w:spacing w:val="-5"/>
        </w:rPr>
        <w:t xml:space="preserve"> </w:t>
      </w:r>
      <w:r>
        <w:t>anticipated benefits of the change or new material will outweigh the costs; and</w:t>
      </w:r>
    </w:p>
    <w:p w14:paraId="1E805A43" w14:textId="77777777" w:rsidR="00AA4A02" w:rsidRDefault="00960F31">
      <w:pPr>
        <w:pStyle w:val="ListParagraph"/>
        <w:numPr>
          <w:ilvl w:val="1"/>
          <w:numId w:val="29"/>
        </w:numPr>
        <w:tabs>
          <w:tab w:val="left" w:pos="1562"/>
        </w:tabs>
        <w:spacing w:before="92"/>
      </w:pPr>
      <w:r>
        <w:t>the</w:t>
      </w:r>
      <w:r>
        <w:rPr>
          <w:spacing w:val="-4"/>
        </w:rPr>
        <w:t xml:space="preserve"> </w:t>
      </w:r>
      <w:r>
        <w:t>risk</w:t>
      </w:r>
      <w:r>
        <w:rPr>
          <w:spacing w:val="-2"/>
        </w:rPr>
        <w:t xml:space="preserve"> </w:t>
      </w:r>
      <w:r>
        <w:t>to</w:t>
      </w:r>
      <w:r>
        <w:rPr>
          <w:spacing w:val="-5"/>
        </w:rPr>
        <w:t xml:space="preserve"> </w:t>
      </w:r>
      <w:r>
        <w:t>the</w:t>
      </w:r>
      <w:r>
        <w:rPr>
          <w:spacing w:val="-3"/>
        </w:rPr>
        <w:t xml:space="preserve"> </w:t>
      </w:r>
      <w:r>
        <w:t>public</w:t>
      </w:r>
      <w:r>
        <w:rPr>
          <w:spacing w:val="-4"/>
        </w:rPr>
        <w:t xml:space="preserve"> </w:t>
      </w:r>
      <w:r>
        <w:t>interest</w:t>
      </w:r>
      <w:r>
        <w:rPr>
          <w:spacing w:val="-1"/>
        </w:rPr>
        <w:t xml:space="preserve"> </w:t>
      </w:r>
      <w:r>
        <w:t>of</w:t>
      </w:r>
      <w:r>
        <w:rPr>
          <w:spacing w:val="-1"/>
        </w:rPr>
        <w:t xml:space="preserve"> </w:t>
      </w:r>
      <w:r>
        <w:t>not</w:t>
      </w:r>
      <w:r>
        <w:rPr>
          <w:spacing w:val="-4"/>
        </w:rPr>
        <w:t xml:space="preserve"> </w:t>
      </w:r>
      <w:r>
        <w:t>acting</w:t>
      </w:r>
      <w:r>
        <w:rPr>
          <w:spacing w:val="-5"/>
        </w:rPr>
        <w:t xml:space="preserve"> </w:t>
      </w:r>
      <w:r>
        <w:t>is</w:t>
      </w:r>
      <w:r>
        <w:rPr>
          <w:spacing w:val="-3"/>
        </w:rPr>
        <w:t xml:space="preserve"> </w:t>
      </w:r>
      <w:r>
        <w:rPr>
          <w:spacing w:val="-2"/>
        </w:rPr>
        <w:t>significant.</w:t>
      </w:r>
    </w:p>
    <w:p w14:paraId="1E805A44" w14:textId="77777777" w:rsidR="00AA4A02" w:rsidRDefault="00960F31">
      <w:pPr>
        <w:pStyle w:val="ListParagraph"/>
        <w:numPr>
          <w:ilvl w:val="0"/>
          <w:numId w:val="29"/>
        </w:numPr>
        <w:tabs>
          <w:tab w:val="left" w:pos="851"/>
        </w:tabs>
        <w:spacing w:before="115" w:line="208" w:lineRule="auto"/>
        <w:ind w:right="594"/>
      </w:pPr>
      <w:r>
        <w:t>A further consideration is whether the issue being addressed in a proposed standard has general application or is specific to</w:t>
      </w:r>
      <w:r>
        <w:rPr>
          <w:spacing w:val="-1"/>
        </w:rPr>
        <w:t xml:space="preserve"> </w:t>
      </w:r>
      <w:r>
        <w:t>a particular stakeholder group or sector. The</w:t>
      </w:r>
      <w:r>
        <w:rPr>
          <w:spacing w:val="-1"/>
        </w:rPr>
        <w:t xml:space="preserve"> </w:t>
      </w:r>
      <w:r>
        <w:t>AUASB should</w:t>
      </w:r>
      <w:r>
        <w:rPr>
          <w:spacing w:val="-3"/>
        </w:rPr>
        <w:t xml:space="preserve"> </w:t>
      </w:r>
      <w:r>
        <w:t>target</w:t>
      </w:r>
      <w:r>
        <w:rPr>
          <w:spacing w:val="-4"/>
        </w:rPr>
        <w:t xml:space="preserve"> </w:t>
      </w:r>
      <w:r>
        <w:t>the</w:t>
      </w:r>
      <w:r>
        <w:rPr>
          <w:spacing w:val="-3"/>
        </w:rPr>
        <w:t xml:space="preserve"> </w:t>
      </w:r>
      <w:r>
        <w:t>development</w:t>
      </w:r>
      <w:r>
        <w:rPr>
          <w:spacing w:val="-2"/>
        </w:rPr>
        <w:t xml:space="preserve"> </w:t>
      </w:r>
      <w:r>
        <w:t>of</w:t>
      </w:r>
      <w:r>
        <w:rPr>
          <w:spacing w:val="-3"/>
        </w:rPr>
        <w:t xml:space="preserve"> </w:t>
      </w:r>
      <w:r>
        <w:t>new</w:t>
      </w:r>
      <w:r>
        <w:rPr>
          <w:spacing w:val="-3"/>
        </w:rPr>
        <w:t xml:space="preserve"> </w:t>
      </w:r>
      <w:r>
        <w:t>or</w:t>
      </w:r>
      <w:r>
        <w:rPr>
          <w:spacing w:val="-3"/>
        </w:rPr>
        <w:t xml:space="preserve"> </w:t>
      </w:r>
      <w:r>
        <w:t>revised</w:t>
      </w:r>
      <w:r>
        <w:rPr>
          <w:spacing w:val="-5"/>
        </w:rPr>
        <w:t xml:space="preserve"> </w:t>
      </w:r>
      <w:r>
        <w:t>standards</w:t>
      </w:r>
      <w:r>
        <w:rPr>
          <w:spacing w:val="-3"/>
        </w:rPr>
        <w:t xml:space="preserve"> </w:t>
      </w:r>
      <w:r>
        <w:t>where</w:t>
      </w:r>
      <w:r>
        <w:rPr>
          <w:spacing w:val="-4"/>
        </w:rPr>
        <w:t xml:space="preserve"> </w:t>
      </w:r>
      <w:r>
        <w:t>the</w:t>
      </w:r>
      <w:r>
        <w:rPr>
          <w:spacing w:val="-4"/>
        </w:rPr>
        <w:t xml:space="preserve"> </w:t>
      </w:r>
      <w:r>
        <w:t>impact</w:t>
      </w:r>
      <w:r>
        <w:rPr>
          <w:spacing w:val="-4"/>
        </w:rPr>
        <w:t xml:space="preserve"> </w:t>
      </w:r>
      <w:r>
        <w:t>is</w:t>
      </w:r>
      <w:r>
        <w:rPr>
          <w:spacing w:val="-3"/>
        </w:rPr>
        <w:t xml:space="preserve"> </w:t>
      </w:r>
      <w:r>
        <w:t>considered systemically important to the Australian economy and aligned with stakeholder needs.</w:t>
      </w:r>
    </w:p>
    <w:p w14:paraId="1E805A45" w14:textId="77777777" w:rsidR="00AA4A02" w:rsidRDefault="00960F31">
      <w:pPr>
        <w:pStyle w:val="ListParagraph"/>
        <w:numPr>
          <w:ilvl w:val="0"/>
          <w:numId w:val="29"/>
        </w:numPr>
        <w:tabs>
          <w:tab w:val="left" w:pos="851"/>
        </w:tabs>
        <w:spacing w:before="199" w:line="208" w:lineRule="auto"/>
        <w:ind w:right="244"/>
      </w:pPr>
      <w:r>
        <w:t>Where</w:t>
      </w:r>
      <w:r>
        <w:rPr>
          <w:spacing w:val="-2"/>
        </w:rPr>
        <w:t xml:space="preserve"> </w:t>
      </w:r>
      <w:r>
        <w:t>the</w:t>
      </w:r>
      <w:r>
        <w:rPr>
          <w:spacing w:val="-2"/>
        </w:rPr>
        <w:t xml:space="preserve"> </w:t>
      </w:r>
      <w:r>
        <w:t>factors</w:t>
      </w:r>
      <w:r>
        <w:rPr>
          <w:spacing w:val="-4"/>
        </w:rPr>
        <w:t xml:space="preserve"> </w:t>
      </w:r>
      <w:r>
        <w:t>listed</w:t>
      </w:r>
      <w:r>
        <w:rPr>
          <w:spacing w:val="-4"/>
        </w:rPr>
        <w:t xml:space="preserve"> </w:t>
      </w:r>
      <w:r>
        <w:t>in</w:t>
      </w:r>
      <w:r>
        <w:rPr>
          <w:spacing w:val="-5"/>
        </w:rPr>
        <w:t xml:space="preserve"> </w:t>
      </w:r>
      <w:r>
        <w:t>paragraph 27</w:t>
      </w:r>
      <w:r>
        <w:rPr>
          <w:spacing w:val="-2"/>
        </w:rPr>
        <w:t xml:space="preserve"> </w:t>
      </w:r>
      <w:r>
        <w:t>are</w:t>
      </w:r>
      <w:r>
        <w:rPr>
          <w:spacing w:val="-2"/>
        </w:rPr>
        <w:t xml:space="preserve"> </w:t>
      </w:r>
      <w:r>
        <w:t>not</w:t>
      </w:r>
      <w:r>
        <w:rPr>
          <w:spacing w:val="-4"/>
        </w:rPr>
        <w:t xml:space="preserve"> </w:t>
      </w:r>
      <w:r>
        <w:t>met</w:t>
      </w:r>
      <w:r>
        <w:rPr>
          <w:spacing w:val="-1"/>
        </w:rPr>
        <w:t xml:space="preserve"> </w:t>
      </w:r>
      <w:r>
        <w:t>(for</w:t>
      </w:r>
      <w:r>
        <w:rPr>
          <w:spacing w:val="-2"/>
        </w:rPr>
        <w:t xml:space="preserve"> </w:t>
      </w:r>
      <w:r>
        <w:t>example,</w:t>
      </w:r>
      <w:r>
        <w:rPr>
          <w:spacing w:val="-4"/>
        </w:rPr>
        <w:t xml:space="preserve"> </w:t>
      </w:r>
      <w:r>
        <w:t>if</w:t>
      </w:r>
      <w:r>
        <w:rPr>
          <w:spacing w:val="-4"/>
        </w:rPr>
        <w:t xml:space="preserve"> </w:t>
      </w:r>
      <w:r>
        <w:t>the</w:t>
      </w:r>
      <w:r>
        <w:rPr>
          <w:spacing w:val="-4"/>
        </w:rPr>
        <w:t xml:space="preserve"> </w:t>
      </w:r>
      <w:r>
        <w:t>desired</w:t>
      </w:r>
      <w:r>
        <w:rPr>
          <w:spacing w:val="-2"/>
        </w:rPr>
        <w:t xml:space="preserve"> </w:t>
      </w:r>
      <w:r>
        <w:t>outcome</w:t>
      </w:r>
      <w:r>
        <w:rPr>
          <w:spacing w:val="-4"/>
        </w:rPr>
        <w:t xml:space="preserve"> </w:t>
      </w:r>
      <w:r>
        <w:t>is</w:t>
      </w:r>
      <w:r>
        <w:rPr>
          <w:spacing w:val="-4"/>
        </w:rPr>
        <w:t xml:space="preserve"> </w:t>
      </w:r>
      <w:r>
        <w:t>to encourage a change of behaviour or promote the use of judgement, or relates to a temporary scenario rather than a permanent situation), then a new or revised standard may not be required and the AUASB considers whether an AUASB Guidance Statement or non-authoritative materials may be more relevant.</w:t>
      </w:r>
    </w:p>
    <w:p w14:paraId="1E805A46" w14:textId="77777777" w:rsidR="00AA4A02" w:rsidRDefault="00960F31">
      <w:pPr>
        <w:pStyle w:val="ListParagraph"/>
        <w:numPr>
          <w:ilvl w:val="0"/>
          <w:numId w:val="29"/>
        </w:numPr>
        <w:tabs>
          <w:tab w:val="left" w:pos="851"/>
        </w:tabs>
        <w:spacing w:before="199" w:line="208" w:lineRule="auto"/>
        <w:ind w:right="287"/>
      </w:pPr>
      <w:r>
        <w:t>In</w:t>
      </w:r>
      <w:r>
        <w:rPr>
          <w:spacing w:val="-1"/>
        </w:rPr>
        <w:t xml:space="preserve"> </w:t>
      </w:r>
      <w:r>
        <w:t>deciding</w:t>
      </w:r>
      <w:r>
        <w:rPr>
          <w:spacing w:val="-1"/>
        </w:rPr>
        <w:t xml:space="preserve"> </w:t>
      </w:r>
      <w:r>
        <w:t>on</w:t>
      </w:r>
      <w:r>
        <w:rPr>
          <w:spacing w:val="-4"/>
        </w:rPr>
        <w:t xml:space="preserve"> </w:t>
      </w:r>
      <w:r>
        <w:t>the</w:t>
      </w:r>
      <w:r>
        <w:rPr>
          <w:spacing w:val="-1"/>
        </w:rPr>
        <w:t xml:space="preserve"> </w:t>
      </w:r>
      <w:r>
        <w:t>form</w:t>
      </w:r>
      <w:r>
        <w:rPr>
          <w:spacing w:val="-3"/>
        </w:rPr>
        <w:t xml:space="preserve"> </w:t>
      </w:r>
      <w:r>
        <w:t>of</w:t>
      </w:r>
      <w:r>
        <w:rPr>
          <w:spacing w:val="-3"/>
        </w:rPr>
        <w:t xml:space="preserve"> </w:t>
      </w:r>
      <w:r>
        <w:t>guidance</w:t>
      </w:r>
      <w:r>
        <w:rPr>
          <w:spacing w:val="-3"/>
        </w:rPr>
        <w:t xml:space="preserve"> </w:t>
      </w:r>
      <w:r>
        <w:t>to</w:t>
      </w:r>
      <w:r>
        <w:rPr>
          <w:spacing w:val="-1"/>
        </w:rPr>
        <w:t xml:space="preserve"> </w:t>
      </w:r>
      <w:r>
        <w:t>be</w:t>
      </w:r>
      <w:r>
        <w:rPr>
          <w:spacing w:val="-3"/>
        </w:rPr>
        <w:t xml:space="preserve"> </w:t>
      </w:r>
      <w:r>
        <w:t>issued,</w:t>
      </w:r>
      <w:r>
        <w:rPr>
          <w:spacing w:val="-4"/>
        </w:rPr>
        <w:t xml:space="preserve"> </w:t>
      </w:r>
      <w:r>
        <w:t>the</w:t>
      </w:r>
      <w:r>
        <w:rPr>
          <w:spacing w:val="-3"/>
        </w:rPr>
        <w:t xml:space="preserve"> </w:t>
      </w:r>
      <w:r>
        <w:t>AUASB</w:t>
      </w:r>
      <w:r>
        <w:rPr>
          <w:spacing w:val="-3"/>
        </w:rPr>
        <w:t xml:space="preserve"> </w:t>
      </w:r>
      <w:r>
        <w:t>considers</w:t>
      </w:r>
      <w:r>
        <w:rPr>
          <w:spacing w:val="-3"/>
        </w:rPr>
        <w:t xml:space="preserve"> </w:t>
      </w:r>
      <w:r>
        <w:t>the</w:t>
      </w:r>
      <w:r>
        <w:rPr>
          <w:spacing w:val="-3"/>
        </w:rPr>
        <w:t xml:space="preserve"> </w:t>
      </w:r>
      <w:r>
        <w:t>level</w:t>
      </w:r>
      <w:r>
        <w:rPr>
          <w:spacing w:val="-2"/>
        </w:rPr>
        <w:t xml:space="preserve"> </w:t>
      </w:r>
      <w:r>
        <w:t>of</w:t>
      </w:r>
      <w:r>
        <w:rPr>
          <w:spacing w:val="-1"/>
        </w:rPr>
        <w:t xml:space="preserve"> </w:t>
      </w:r>
      <w:r>
        <w:t>authority required</w:t>
      </w:r>
      <w:r>
        <w:rPr>
          <w:spacing w:val="-2"/>
        </w:rPr>
        <w:t xml:space="preserve"> </w:t>
      </w:r>
      <w:r>
        <w:t>to</w:t>
      </w:r>
      <w:r>
        <w:rPr>
          <w:spacing w:val="-5"/>
        </w:rPr>
        <w:t xml:space="preserve"> </w:t>
      </w:r>
      <w:r>
        <w:t>meet</w:t>
      </w:r>
      <w:r>
        <w:rPr>
          <w:spacing w:val="-4"/>
        </w:rPr>
        <w:t xml:space="preserve"> </w:t>
      </w:r>
      <w:r>
        <w:t>the</w:t>
      </w:r>
      <w:r>
        <w:rPr>
          <w:spacing w:val="-4"/>
        </w:rPr>
        <w:t xml:space="preserve"> </w:t>
      </w:r>
      <w:r>
        <w:t>informational</w:t>
      </w:r>
      <w:r>
        <w:rPr>
          <w:spacing w:val="-1"/>
        </w:rPr>
        <w:t xml:space="preserve"> </w:t>
      </w:r>
      <w:r>
        <w:t>need.</w:t>
      </w:r>
      <w:r>
        <w:rPr>
          <w:spacing w:val="-2"/>
        </w:rPr>
        <w:t xml:space="preserve"> </w:t>
      </w:r>
      <w:r>
        <w:t>Where</w:t>
      </w:r>
      <w:r>
        <w:rPr>
          <w:spacing w:val="-4"/>
        </w:rPr>
        <w:t xml:space="preserve"> </w:t>
      </w:r>
      <w:r>
        <w:t>there</w:t>
      </w:r>
      <w:r>
        <w:rPr>
          <w:spacing w:val="-4"/>
        </w:rPr>
        <w:t xml:space="preserve"> </w:t>
      </w:r>
      <w:r>
        <w:t>is</w:t>
      </w:r>
      <w:r>
        <w:rPr>
          <w:spacing w:val="-2"/>
        </w:rPr>
        <w:t xml:space="preserve"> </w:t>
      </w:r>
      <w:r>
        <w:t>a</w:t>
      </w:r>
      <w:r>
        <w:rPr>
          <w:spacing w:val="-2"/>
        </w:rPr>
        <w:t xml:space="preserve"> </w:t>
      </w:r>
      <w:r>
        <w:t>need</w:t>
      </w:r>
      <w:r>
        <w:rPr>
          <w:spacing w:val="-2"/>
        </w:rPr>
        <w:t xml:space="preserve"> </w:t>
      </w:r>
      <w:r>
        <w:t>for</w:t>
      </w:r>
      <w:r>
        <w:rPr>
          <w:spacing w:val="-2"/>
        </w:rPr>
        <w:t xml:space="preserve"> </w:t>
      </w:r>
      <w:r>
        <w:t>authoritative</w:t>
      </w:r>
      <w:r>
        <w:rPr>
          <w:spacing w:val="-2"/>
        </w:rPr>
        <w:t xml:space="preserve"> </w:t>
      </w:r>
      <w:r>
        <w:t>guidance,</w:t>
      </w:r>
      <w:r>
        <w:rPr>
          <w:spacing w:val="-5"/>
        </w:rPr>
        <w:t xml:space="preserve"> </w:t>
      </w:r>
      <w:r>
        <w:t>the AUASB has the option to include the guidance in the standard as new/amended application and explanatory material, or to issue a separate Guidance Statement.</w:t>
      </w:r>
    </w:p>
    <w:p w14:paraId="1E805A47" w14:textId="77777777" w:rsidR="00AA4A02" w:rsidRDefault="00960F31">
      <w:pPr>
        <w:pStyle w:val="ListParagraph"/>
        <w:numPr>
          <w:ilvl w:val="0"/>
          <w:numId w:val="29"/>
        </w:numPr>
        <w:tabs>
          <w:tab w:val="left" w:pos="851"/>
        </w:tabs>
        <w:spacing w:before="199" w:line="208" w:lineRule="auto"/>
        <w:ind w:right="580"/>
      </w:pPr>
      <w:r>
        <w:t>In choosing whether to amend and/or develop new application material for inclusion in a standard or to issue guidance in another form, the AUASB uses professional judgement, taking</w:t>
      </w:r>
      <w:r>
        <w:rPr>
          <w:spacing w:val="-3"/>
        </w:rPr>
        <w:t xml:space="preserve"> </w:t>
      </w:r>
      <w:r>
        <w:t>into</w:t>
      </w:r>
      <w:r>
        <w:rPr>
          <w:spacing w:val="-6"/>
        </w:rPr>
        <w:t xml:space="preserve"> </w:t>
      </w:r>
      <w:r>
        <w:t>consideration</w:t>
      </w:r>
      <w:r>
        <w:rPr>
          <w:spacing w:val="-3"/>
        </w:rPr>
        <w:t xml:space="preserve"> </w:t>
      </w:r>
      <w:r>
        <w:t>the</w:t>
      </w:r>
      <w:r>
        <w:rPr>
          <w:spacing w:val="-3"/>
        </w:rPr>
        <w:t xml:space="preserve"> </w:t>
      </w:r>
      <w:r>
        <w:t>nature</w:t>
      </w:r>
      <w:r>
        <w:rPr>
          <w:spacing w:val="-5"/>
        </w:rPr>
        <w:t xml:space="preserve"> </w:t>
      </w:r>
      <w:r>
        <w:t>and</w:t>
      </w:r>
      <w:r>
        <w:rPr>
          <w:spacing w:val="-3"/>
        </w:rPr>
        <w:t xml:space="preserve"> </w:t>
      </w:r>
      <w:r>
        <w:t>extent</w:t>
      </w:r>
      <w:r>
        <w:rPr>
          <w:spacing w:val="-2"/>
        </w:rPr>
        <w:t xml:space="preserve"> </w:t>
      </w:r>
      <w:r>
        <w:t>of</w:t>
      </w:r>
      <w:r>
        <w:rPr>
          <w:spacing w:val="-3"/>
        </w:rPr>
        <w:t xml:space="preserve"> </w:t>
      </w:r>
      <w:r>
        <w:t>all</w:t>
      </w:r>
      <w:r>
        <w:rPr>
          <w:spacing w:val="-5"/>
        </w:rPr>
        <w:t xml:space="preserve"> </w:t>
      </w:r>
      <w:r>
        <w:t>prevailing</w:t>
      </w:r>
      <w:r>
        <w:rPr>
          <w:spacing w:val="-3"/>
        </w:rPr>
        <w:t xml:space="preserve"> </w:t>
      </w:r>
      <w:r>
        <w:t>circumstances.</w:t>
      </w:r>
      <w:r>
        <w:rPr>
          <w:spacing w:val="-3"/>
        </w:rPr>
        <w:t xml:space="preserve"> </w:t>
      </w:r>
      <w:r>
        <w:t>Factors</w:t>
      </w:r>
      <w:r>
        <w:rPr>
          <w:spacing w:val="-5"/>
        </w:rPr>
        <w:t xml:space="preserve"> </w:t>
      </w:r>
      <w:r>
        <w:t>the AUASB</w:t>
      </w:r>
      <w:r>
        <w:rPr>
          <w:spacing w:val="-2"/>
        </w:rPr>
        <w:t xml:space="preserve"> </w:t>
      </w:r>
      <w:r>
        <w:t>may take</w:t>
      </w:r>
      <w:r>
        <w:rPr>
          <w:spacing w:val="-1"/>
        </w:rPr>
        <w:t xml:space="preserve"> </w:t>
      </w:r>
      <w:r>
        <w:t>into</w:t>
      </w:r>
      <w:r>
        <w:rPr>
          <w:spacing w:val="-3"/>
        </w:rPr>
        <w:t xml:space="preserve"> </w:t>
      </w:r>
      <w:r>
        <w:t>consideration</w:t>
      </w:r>
      <w:r>
        <w:rPr>
          <w:spacing w:val="-3"/>
        </w:rPr>
        <w:t xml:space="preserve"> </w:t>
      </w:r>
      <w:r>
        <w:t>when deciding</w:t>
      </w:r>
      <w:r>
        <w:rPr>
          <w:spacing w:val="-3"/>
        </w:rPr>
        <w:t xml:space="preserve"> </w:t>
      </w:r>
      <w:r>
        <w:t>on whether</w:t>
      </w:r>
      <w:r>
        <w:rPr>
          <w:spacing w:val="-2"/>
        </w:rPr>
        <w:t xml:space="preserve"> </w:t>
      </w:r>
      <w:r>
        <w:t>to amend</w:t>
      </w:r>
      <w:r>
        <w:rPr>
          <w:spacing w:val="-2"/>
        </w:rPr>
        <w:t xml:space="preserve"> </w:t>
      </w:r>
      <w:r>
        <w:t>application and explanatory material in a standard include:</w:t>
      </w:r>
    </w:p>
    <w:p w14:paraId="1E805A48" w14:textId="77777777" w:rsidR="00AA4A02" w:rsidRDefault="00960F31">
      <w:pPr>
        <w:pStyle w:val="ListParagraph"/>
        <w:numPr>
          <w:ilvl w:val="1"/>
          <w:numId w:val="29"/>
        </w:numPr>
        <w:tabs>
          <w:tab w:val="left" w:pos="1562"/>
        </w:tabs>
        <w:spacing w:before="199" w:line="211" w:lineRule="auto"/>
        <w:ind w:right="422"/>
      </w:pPr>
      <w:r>
        <w:t>Whether</w:t>
      </w:r>
      <w:r>
        <w:rPr>
          <w:spacing w:val="-4"/>
        </w:rPr>
        <w:t xml:space="preserve"> </w:t>
      </w:r>
      <w:r>
        <w:t>inclusion</w:t>
      </w:r>
      <w:r>
        <w:rPr>
          <w:spacing w:val="-6"/>
        </w:rPr>
        <w:t xml:space="preserve"> </w:t>
      </w:r>
      <w:r>
        <w:t>of</w:t>
      </w:r>
      <w:r>
        <w:rPr>
          <w:spacing w:val="-5"/>
        </w:rPr>
        <w:t xml:space="preserve"> </w:t>
      </w:r>
      <w:r>
        <w:t>the</w:t>
      </w:r>
      <w:r>
        <w:rPr>
          <w:spacing w:val="-3"/>
        </w:rPr>
        <w:t xml:space="preserve"> </w:t>
      </w:r>
      <w:r>
        <w:t>guidance</w:t>
      </w:r>
      <w:r>
        <w:rPr>
          <w:spacing w:val="-3"/>
        </w:rPr>
        <w:t xml:space="preserve"> </w:t>
      </w:r>
      <w:r>
        <w:t>within</w:t>
      </w:r>
      <w:r>
        <w:rPr>
          <w:spacing w:val="-3"/>
        </w:rPr>
        <w:t xml:space="preserve"> </w:t>
      </w:r>
      <w:r>
        <w:t>the</w:t>
      </w:r>
      <w:r>
        <w:rPr>
          <w:spacing w:val="-3"/>
        </w:rPr>
        <w:t xml:space="preserve"> </w:t>
      </w:r>
      <w:r>
        <w:t>standard</w:t>
      </w:r>
      <w:r>
        <w:rPr>
          <w:spacing w:val="-6"/>
        </w:rPr>
        <w:t xml:space="preserve"> </w:t>
      </w:r>
      <w:r>
        <w:t>itself</w:t>
      </w:r>
      <w:r>
        <w:rPr>
          <w:spacing w:val="-5"/>
        </w:rPr>
        <w:t xml:space="preserve"> </w:t>
      </w:r>
      <w:r>
        <w:t>is</w:t>
      </w:r>
      <w:r>
        <w:rPr>
          <w:spacing w:val="-3"/>
        </w:rPr>
        <w:t xml:space="preserve"> </w:t>
      </w:r>
      <w:r>
        <w:t>essential</w:t>
      </w:r>
      <w:r>
        <w:rPr>
          <w:spacing w:val="-2"/>
        </w:rPr>
        <w:t xml:space="preserve"> </w:t>
      </w:r>
      <w:r>
        <w:t>for</w:t>
      </w:r>
      <w:r>
        <w:rPr>
          <w:spacing w:val="-3"/>
        </w:rPr>
        <w:t xml:space="preserve"> </w:t>
      </w:r>
      <w:r>
        <w:t>a</w:t>
      </w:r>
      <w:r>
        <w:rPr>
          <w:spacing w:val="-3"/>
        </w:rPr>
        <w:t xml:space="preserve"> </w:t>
      </w:r>
      <w:r>
        <w:t>proper understanding of the standard and application of its requirements.</w:t>
      </w:r>
      <w:r>
        <w:rPr>
          <w:vertAlign w:val="superscript"/>
        </w:rPr>
        <w:t>25</w:t>
      </w:r>
    </w:p>
    <w:p w14:paraId="1E805A49" w14:textId="77777777" w:rsidR="00AA4A02" w:rsidRDefault="00960F31">
      <w:pPr>
        <w:pStyle w:val="ListParagraph"/>
        <w:numPr>
          <w:ilvl w:val="1"/>
          <w:numId w:val="29"/>
        </w:numPr>
        <w:tabs>
          <w:tab w:val="left" w:pos="1562"/>
        </w:tabs>
        <w:spacing w:before="116" w:line="208" w:lineRule="auto"/>
        <w:ind w:right="181"/>
      </w:pPr>
      <w:r>
        <w:t>How promptly the guidance needs to be made available. As the development</w:t>
      </w:r>
      <w:r>
        <w:rPr>
          <w:spacing w:val="40"/>
        </w:rPr>
        <w:t xml:space="preserve"> </w:t>
      </w:r>
      <w:r>
        <w:t>processes for Guidance Statements and non-authoritative materials are more flexible than</w:t>
      </w:r>
      <w:r>
        <w:rPr>
          <w:spacing w:val="-4"/>
        </w:rPr>
        <w:t xml:space="preserve"> </w:t>
      </w:r>
      <w:r>
        <w:t>the</w:t>
      </w:r>
      <w:r>
        <w:rPr>
          <w:spacing w:val="-2"/>
        </w:rPr>
        <w:t xml:space="preserve"> </w:t>
      </w:r>
      <w:r>
        <w:t>due</w:t>
      </w:r>
      <w:r>
        <w:rPr>
          <w:spacing w:val="-2"/>
        </w:rPr>
        <w:t xml:space="preserve"> </w:t>
      </w:r>
      <w:r>
        <w:t>process</w:t>
      </w:r>
      <w:r>
        <w:rPr>
          <w:spacing w:val="-4"/>
        </w:rPr>
        <w:t xml:space="preserve"> </w:t>
      </w:r>
      <w:r>
        <w:t>for</w:t>
      </w:r>
      <w:r>
        <w:rPr>
          <w:spacing w:val="-2"/>
        </w:rPr>
        <w:t xml:space="preserve"> </w:t>
      </w:r>
      <w:r>
        <w:t>AUASB</w:t>
      </w:r>
      <w:r>
        <w:rPr>
          <w:spacing w:val="-4"/>
        </w:rPr>
        <w:t xml:space="preserve"> </w:t>
      </w:r>
      <w:r>
        <w:t>Standards,</w:t>
      </w:r>
      <w:r>
        <w:rPr>
          <w:spacing w:val="-4"/>
        </w:rPr>
        <w:t xml:space="preserve"> </w:t>
      </w:r>
      <w:r>
        <w:t>issuing</w:t>
      </w:r>
      <w:r>
        <w:rPr>
          <w:spacing w:val="-5"/>
        </w:rPr>
        <w:t xml:space="preserve"> </w:t>
      </w:r>
      <w:r>
        <w:t>guidance</w:t>
      </w:r>
      <w:r>
        <w:rPr>
          <w:spacing w:val="-2"/>
        </w:rPr>
        <w:t xml:space="preserve"> </w:t>
      </w:r>
      <w:r>
        <w:t>using these</w:t>
      </w:r>
      <w:r>
        <w:rPr>
          <w:spacing w:val="-4"/>
        </w:rPr>
        <w:t xml:space="preserve"> </w:t>
      </w:r>
      <w:r>
        <w:t>formats</w:t>
      </w:r>
      <w:r>
        <w:rPr>
          <w:spacing w:val="-4"/>
        </w:rPr>
        <w:t xml:space="preserve"> </w:t>
      </w:r>
      <w:r>
        <w:t>may offer a</w:t>
      </w:r>
      <w:r>
        <w:rPr>
          <w:spacing w:val="-1"/>
        </w:rPr>
        <w:t xml:space="preserve"> </w:t>
      </w:r>
      <w:r>
        <w:t>timelier</w:t>
      </w:r>
      <w:r>
        <w:rPr>
          <w:spacing w:val="-1"/>
        </w:rPr>
        <w:t xml:space="preserve"> </w:t>
      </w:r>
      <w:r>
        <w:t>response in</w:t>
      </w:r>
      <w:r>
        <w:rPr>
          <w:spacing w:val="-2"/>
        </w:rPr>
        <w:t xml:space="preserve"> </w:t>
      </w:r>
      <w:r>
        <w:t>circumstances where a</w:t>
      </w:r>
      <w:r>
        <w:rPr>
          <w:spacing w:val="-1"/>
        </w:rPr>
        <w:t xml:space="preserve"> </w:t>
      </w:r>
      <w:r>
        <w:t>delay in</w:t>
      </w:r>
      <w:r>
        <w:rPr>
          <w:spacing w:val="-2"/>
        </w:rPr>
        <w:t xml:space="preserve"> </w:t>
      </w:r>
      <w:r>
        <w:t>issuing</w:t>
      </w:r>
      <w:r>
        <w:rPr>
          <w:spacing w:val="-2"/>
        </w:rPr>
        <w:t xml:space="preserve"> </w:t>
      </w:r>
      <w:r>
        <w:t>a standard</w:t>
      </w:r>
      <w:r>
        <w:rPr>
          <w:spacing w:val="-2"/>
        </w:rPr>
        <w:t xml:space="preserve"> </w:t>
      </w:r>
      <w:r>
        <w:t>may</w:t>
      </w:r>
      <w:r>
        <w:rPr>
          <w:spacing w:val="-1"/>
        </w:rPr>
        <w:t xml:space="preserve"> </w:t>
      </w:r>
      <w:r>
        <w:t>not be in the public interest.</w:t>
      </w:r>
    </w:p>
    <w:p w14:paraId="1E805A4A" w14:textId="77777777" w:rsidR="00AA4A02" w:rsidRDefault="00960F31">
      <w:pPr>
        <w:pStyle w:val="BodyText"/>
        <w:spacing w:before="178"/>
        <w:rPr>
          <w:sz w:val="20"/>
        </w:rPr>
      </w:pPr>
      <w:r>
        <w:rPr>
          <w:noProof/>
          <w:sz w:val="20"/>
        </w:rPr>
        <mc:AlternateContent>
          <mc:Choice Requires="wps">
            <w:drawing>
              <wp:anchor distT="0" distB="0" distL="0" distR="0" simplePos="0" relativeHeight="487602176" behindDoc="1" locked="0" layoutInCell="1" allowOverlap="1" wp14:anchorId="1E805F4B" wp14:editId="1E805F4C">
                <wp:simplePos x="0" y="0"/>
                <wp:positionH relativeFrom="page">
                  <wp:posOffset>900988</wp:posOffset>
                </wp:positionH>
                <wp:positionV relativeFrom="paragraph">
                  <wp:posOffset>274585</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8B7A2" id="Graphic 51" o:spid="_x0000_s1026" style="position:absolute;margin-left:70.95pt;margin-top:21.6pt;width:144.0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" path="m1829053,l,,,7619r1829053,l1829053,xe" fillcolor="black" stroked="f">
                <v:path arrowok="t"/>
                <w10:wrap type="topAndBottom" anchorx="page"/>
              </v:shape>
            </w:pict>
          </mc:Fallback>
        </mc:AlternateContent>
      </w:r>
    </w:p>
    <w:p w14:paraId="1E805A4B" w14:textId="77777777" w:rsidR="00AA4A02" w:rsidRDefault="00960F31">
      <w:pPr>
        <w:spacing w:before="73"/>
        <w:ind w:left="143"/>
        <w:rPr>
          <w:sz w:val="16"/>
        </w:rPr>
      </w:pPr>
      <w:r>
        <w:rPr>
          <w:sz w:val="16"/>
          <w:vertAlign w:val="superscript"/>
        </w:rPr>
        <w:t>25</w:t>
      </w:r>
      <w:r>
        <w:rPr>
          <w:spacing w:val="43"/>
          <w:sz w:val="16"/>
        </w:rPr>
        <w:t xml:space="preserve">  </w:t>
      </w:r>
      <w:r>
        <w:rPr>
          <w:sz w:val="16"/>
        </w:rPr>
        <w:t>See</w:t>
      </w:r>
      <w:r>
        <w:rPr>
          <w:spacing w:val="-1"/>
          <w:sz w:val="16"/>
        </w:rPr>
        <w:t xml:space="preserve"> </w:t>
      </w:r>
      <w:hyperlink r:id="rId77">
        <w:r>
          <w:rPr>
            <w:color w:val="0000FF"/>
            <w:sz w:val="16"/>
            <w:u w:val="single" w:color="0000FF"/>
          </w:rPr>
          <w:t>Preamble</w:t>
        </w:r>
        <w:r>
          <w:rPr>
            <w:sz w:val="16"/>
          </w:rPr>
          <w:t>,</w:t>
        </w:r>
      </w:hyperlink>
      <w:r>
        <w:rPr>
          <w:spacing w:val="-5"/>
          <w:sz w:val="16"/>
        </w:rPr>
        <w:t xml:space="preserve"> </w:t>
      </w:r>
      <w:r>
        <w:rPr>
          <w:sz w:val="16"/>
        </w:rPr>
        <w:t>paragraph</w:t>
      </w:r>
      <w:r>
        <w:rPr>
          <w:spacing w:val="-4"/>
          <w:sz w:val="16"/>
        </w:rPr>
        <w:t xml:space="preserve"> </w:t>
      </w:r>
      <w:r>
        <w:rPr>
          <w:sz w:val="16"/>
        </w:rPr>
        <w:t>13</w:t>
      </w:r>
      <w:r>
        <w:rPr>
          <w:spacing w:val="-4"/>
          <w:sz w:val="16"/>
        </w:rPr>
        <w:t xml:space="preserve"> </w:t>
      </w:r>
      <w:r>
        <w:rPr>
          <w:sz w:val="16"/>
        </w:rPr>
        <w:t>and,</w:t>
      </w:r>
      <w:r>
        <w:rPr>
          <w:spacing w:val="-4"/>
          <w:sz w:val="16"/>
        </w:rPr>
        <w:t xml:space="preserve"> </w:t>
      </w:r>
      <w:r>
        <w:rPr>
          <w:sz w:val="16"/>
        </w:rPr>
        <w:t>more</w:t>
      </w:r>
      <w:r>
        <w:rPr>
          <w:spacing w:val="-2"/>
          <w:sz w:val="16"/>
        </w:rPr>
        <w:t xml:space="preserve"> </w:t>
      </w:r>
      <w:r>
        <w:rPr>
          <w:sz w:val="16"/>
        </w:rPr>
        <w:t>specifically,</w:t>
      </w:r>
      <w:r>
        <w:rPr>
          <w:spacing w:val="-4"/>
          <w:sz w:val="16"/>
        </w:rPr>
        <w:t xml:space="preserve"> </w:t>
      </w:r>
      <w:r>
        <w:rPr>
          <w:sz w:val="16"/>
        </w:rPr>
        <w:t>paragraphs</w:t>
      </w:r>
      <w:r>
        <w:rPr>
          <w:spacing w:val="-3"/>
          <w:sz w:val="16"/>
        </w:rPr>
        <w:t xml:space="preserve"> </w:t>
      </w:r>
      <w:r>
        <w:rPr>
          <w:sz w:val="16"/>
        </w:rPr>
        <w:t>A51-</w:t>
      </w:r>
      <w:r>
        <w:rPr>
          <w:spacing w:val="-4"/>
          <w:sz w:val="16"/>
        </w:rPr>
        <w:t>A53.</w:t>
      </w:r>
    </w:p>
    <w:p w14:paraId="1E805A4C" w14:textId="77777777" w:rsidR="00AA4A02" w:rsidRDefault="00AA4A02">
      <w:pPr>
        <w:rPr>
          <w:sz w:val="16"/>
        </w:rPr>
        <w:sectPr w:rsidR="00AA4A02">
          <w:pgSz w:w="11910" w:h="16840"/>
          <w:pgMar w:top="1380" w:right="1275" w:bottom="1040" w:left="1275" w:header="689" w:footer="842" w:gutter="0"/>
          <w:cols w:space="720"/>
        </w:sectPr>
      </w:pPr>
    </w:p>
    <w:p w14:paraId="1E805A4D" w14:textId="77777777" w:rsidR="00AA4A02" w:rsidRDefault="00960F31">
      <w:pPr>
        <w:pStyle w:val="ListParagraph"/>
        <w:numPr>
          <w:ilvl w:val="1"/>
          <w:numId w:val="29"/>
        </w:numPr>
        <w:tabs>
          <w:tab w:val="left" w:pos="1562"/>
        </w:tabs>
        <w:spacing w:before="219" w:line="208" w:lineRule="auto"/>
        <w:ind w:right="248"/>
      </w:pPr>
      <w:r>
        <w:lastRenderedPageBreak/>
        <w:t>Whether</w:t>
      </w:r>
      <w:r>
        <w:rPr>
          <w:spacing w:val="-4"/>
        </w:rPr>
        <w:t xml:space="preserve"> </w:t>
      </w:r>
      <w:r>
        <w:t>the</w:t>
      </w:r>
      <w:r>
        <w:rPr>
          <w:spacing w:val="-3"/>
        </w:rPr>
        <w:t xml:space="preserve"> </w:t>
      </w:r>
      <w:r>
        <w:t>additional</w:t>
      </w:r>
      <w:r>
        <w:rPr>
          <w:spacing w:val="-5"/>
        </w:rPr>
        <w:t xml:space="preserve"> </w:t>
      </w:r>
      <w:r>
        <w:t>material</w:t>
      </w:r>
      <w:r>
        <w:rPr>
          <w:spacing w:val="-5"/>
        </w:rPr>
        <w:t xml:space="preserve"> </w:t>
      </w:r>
      <w:r>
        <w:t>impacts</w:t>
      </w:r>
      <w:r>
        <w:rPr>
          <w:spacing w:val="-5"/>
        </w:rPr>
        <w:t xml:space="preserve"> </w:t>
      </w:r>
      <w:r>
        <w:t>international</w:t>
      </w:r>
      <w:r>
        <w:rPr>
          <w:spacing w:val="-5"/>
        </w:rPr>
        <w:t xml:space="preserve"> </w:t>
      </w:r>
      <w:r>
        <w:t>or</w:t>
      </w:r>
      <w:r>
        <w:rPr>
          <w:spacing w:val="-3"/>
        </w:rPr>
        <w:t xml:space="preserve"> </w:t>
      </w:r>
      <w:r>
        <w:t>only</w:t>
      </w:r>
      <w:r>
        <w:rPr>
          <w:spacing w:val="-3"/>
        </w:rPr>
        <w:t xml:space="preserve"> </w:t>
      </w:r>
      <w:r>
        <w:t>local</w:t>
      </w:r>
      <w:r>
        <w:rPr>
          <w:spacing w:val="-2"/>
        </w:rPr>
        <w:t xml:space="preserve"> </w:t>
      </w:r>
      <w:r>
        <w:t>requirements.</w:t>
      </w:r>
      <w:r>
        <w:rPr>
          <w:spacing w:val="-5"/>
        </w:rPr>
        <w:t xml:space="preserve"> </w:t>
      </w:r>
      <w:r>
        <w:t>Due to the AUASB’s mandate to adopt international standards, and application of the</w:t>
      </w:r>
    </w:p>
    <w:p w14:paraId="1E805A4E" w14:textId="77777777" w:rsidR="00AA4A02" w:rsidRDefault="00960F31">
      <w:pPr>
        <w:pStyle w:val="BodyText"/>
        <w:spacing w:before="2" w:line="208" w:lineRule="auto"/>
        <w:ind w:left="1562"/>
      </w:pPr>
      <w:r>
        <w:t>‘Compelling</w:t>
      </w:r>
      <w:r>
        <w:rPr>
          <w:spacing w:val="-2"/>
        </w:rPr>
        <w:t xml:space="preserve"> </w:t>
      </w:r>
      <w:r>
        <w:t>Reason</w:t>
      </w:r>
      <w:r>
        <w:rPr>
          <w:spacing w:val="-2"/>
        </w:rPr>
        <w:t xml:space="preserve"> </w:t>
      </w:r>
      <w:r>
        <w:t>Test’</w:t>
      </w:r>
      <w:r>
        <w:rPr>
          <w:spacing w:val="-2"/>
        </w:rPr>
        <w:t xml:space="preserve"> </w:t>
      </w:r>
      <w:r>
        <w:t>for</w:t>
      </w:r>
      <w:r>
        <w:rPr>
          <w:spacing w:val="-2"/>
        </w:rPr>
        <w:t xml:space="preserve"> </w:t>
      </w:r>
      <w:r>
        <w:t>modification</w:t>
      </w:r>
      <w:r>
        <w:rPr>
          <w:spacing w:val="-5"/>
        </w:rPr>
        <w:t xml:space="preserve"> </w:t>
      </w:r>
      <w:r>
        <w:t>of</w:t>
      </w:r>
      <w:r>
        <w:rPr>
          <w:spacing w:val="-4"/>
        </w:rPr>
        <w:t xml:space="preserve"> </w:t>
      </w:r>
      <w:r>
        <w:t>international</w:t>
      </w:r>
      <w:r>
        <w:rPr>
          <w:spacing w:val="-4"/>
        </w:rPr>
        <w:t xml:space="preserve"> </w:t>
      </w:r>
      <w:r>
        <w:t>standards</w:t>
      </w:r>
      <w:r>
        <w:rPr>
          <w:spacing w:val="-4"/>
        </w:rPr>
        <w:t xml:space="preserve"> </w:t>
      </w:r>
      <w:r>
        <w:t>for</w:t>
      </w:r>
      <w:r>
        <w:rPr>
          <w:spacing w:val="-4"/>
        </w:rPr>
        <w:t xml:space="preserve"> </w:t>
      </w:r>
      <w:r>
        <w:t>adoption</w:t>
      </w:r>
      <w:r>
        <w:rPr>
          <w:spacing w:val="-7"/>
        </w:rPr>
        <w:t xml:space="preserve"> </w:t>
      </w:r>
      <w:r>
        <w:t>in Australia,</w:t>
      </w:r>
      <w:r>
        <w:rPr>
          <w:vertAlign w:val="superscript"/>
        </w:rPr>
        <w:t>26</w:t>
      </w:r>
      <w:r>
        <w:rPr>
          <w:spacing w:val="-15"/>
        </w:rPr>
        <w:t xml:space="preserve"> </w:t>
      </w:r>
      <w:r>
        <w:t>it may be more appropriate to issue additional guidance in the form of a Guidance Statement/non-authoritative materials instead of amending the application material in AUASB Standards based on international standards.</w:t>
      </w:r>
    </w:p>
    <w:p w14:paraId="1E805A4F" w14:textId="77777777" w:rsidR="00AA4A02" w:rsidRDefault="00960F31">
      <w:pPr>
        <w:pStyle w:val="ListParagraph"/>
        <w:numPr>
          <w:ilvl w:val="1"/>
          <w:numId w:val="29"/>
        </w:numPr>
        <w:tabs>
          <w:tab w:val="left" w:pos="1562"/>
        </w:tabs>
        <w:spacing w:before="118" w:line="208" w:lineRule="auto"/>
        <w:ind w:right="373"/>
      </w:pPr>
      <w:r>
        <w:t>Whether there is a need to educate and/or inform stakeholders when developing the additional material. As Guidance Statements/non-authoritative materials offer more flexibility</w:t>
      </w:r>
      <w:r>
        <w:rPr>
          <w:spacing w:val="-6"/>
        </w:rPr>
        <w:t xml:space="preserve"> </w:t>
      </w:r>
      <w:r>
        <w:t>in</w:t>
      </w:r>
      <w:r>
        <w:rPr>
          <w:spacing w:val="-6"/>
        </w:rPr>
        <w:t xml:space="preserve"> </w:t>
      </w:r>
      <w:r>
        <w:t>their</w:t>
      </w:r>
      <w:r>
        <w:rPr>
          <w:spacing w:val="-5"/>
        </w:rPr>
        <w:t xml:space="preserve"> </w:t>
      </w:r>
      <w:r>
        <w:t>content,</w:t>
      </w:r>
      <w:r>
        <w:rPr>
          <w:spacing w:val="-3"/>
        </w:rPr>
        <w:t xml:space="preserve"> </w:t>
      </w:r>
      <w:r>
        <w:t>it</w:t>
      </w:r>
      <w:r>
        <w:rPr>
          <w:spacing w:val="-2"/>
        </w:rPr>
        <w:t xml:space="preserve"> </w:t>
      </w:r>
      <w:r>
        <w:t>may</w:t>
      </w:r>
      <w:r>
        <w:rPr>
          <w:spacing w:val="-3"/>
        </w:rPr>
        <w:t xml:space="preserve"> </w:t>
      </w:r>
      <w:r>
        <w:t>be</w:t>
      </w:r>
      <w:r>
        <w:rPr>
          <w:spacing w:val="-5"/>
        </w:rPr>
        <w:t xml:space="preserve"> </w:t>
      </w:r>
      <w:r>
        <w:t>possible</w:t>
      </w:r>
      <w:r>
        <w:rPr>
          <w:spacing w:val="-5"/>
        </w:rPr>
        <w:t xml:space="preserve"> </w:t>
      </w:r>
      <w:r>
        <w:t>to</w:t>
      </w:r>
      <w:r>
        <w:rPr>
          <w:spacing w:val="-3"/>
        </w:rPr>
        <w:t xml:space="preserve"> </w:t>
      </w:r>
      <w:r>
        <w:t>include</w:t>
      </w:r>
      <w:r>
        <w:rPr>
          <w:spacing w:val="-3"/>
        </w:rPr>
        <w:t xml:space="preserve"> </w:t>
      </w:r>
      <w:r>
        <w:t>educational</w:t>
      </w:r>
      <w:r>
        <w:rPr>
          <w:spacing w:val="-2"/>
        </w:rPr>
        <w:t xml:space="preserve"> </w:t>
      </w:r>
      <w:r>
        <w:t>and</w:t>
      </w:r>
      <w:r>
        <w:rPr>
          <w:spacing w:val="-3"/>
        </w:rPr>
        <w:t xml:space="preserve"> </w:t>
      </w:r>
      <w:r>
        <w:t>background material appropriate to the issue being addressed.</w:t>
      </w:r>
    </w:p>
    <w:p w14:paraId="1E805A50" w14:textId="77777777" w:rsidR="00AA4A02" w:rsidRDefault="00960F31">
      <w:pPr>
        <w:pStyle w:val="ListParagraph"/>
        <w:numPr>
          <w:ilvl w:val="1"/>
          <w:numId w:val="29"/>
        </w:numPr>
        <w:tabs>
          <w:tab w:val="left" w:pos="1562"/>
        </w:tabs>
        <w:spacing w:before="121" w:line="208" w:lineRule="auto"/>
        <w:ind w:right="188"/>
      </w:pPr>
      <w:r>
        <w:t>Whether the additional material draws upon requirements from just one or multiple AUASB</w:t>
      </w:r>
      <w:r>
        <w:rPr>
          <w:spacing w:val="-5"/>
        </w:rPr>
        <w:t xml:space="preserve"> </w:t>
      </w:r>
      <w:r>
        <w:t>Standards.</w:t>
      </w:r>
      <w:r>
        <w:rPr>
          <w:spacing w:val="-3"/>
        </w:rPr>
        <w:t xml:space="preserve"> </w:t>
      </w:r>
      <w:r>
        <w:t>If</w:t>
      </w:r>
      <w:r>
        <w:rPr>
          <w:spacing w:val="-5"/>
        </w:rPr>
        <w:t xml:space="preserve"> </w:t>
      </w:r>
      <w:r>
        <w:t>the</w:t>
      </w:r>
      <w:r>
        <w:rPr>
          <w:spacing w:val="-3"/>
        </w:rPr>
        <w:t xml:space="preserve"> </w:t>
      </w:r>
      <w:r>
        <w:t>additional</w:t>
      </w:r>
      <w:r>
        <w:rPr>
          <w:spacing w:val="-5"/>
        </w:rPr>
        <w:t xml:space="preserve"> </w:t>
      </w:r>
      <w:r>
        <w:t>material</w:t>
      </w:r>
      <w:r>
        <w:rPr>
          <w:spacing w:val="-2"/>
        </w:rPr>
        <w:t xml:space="preserve"> </w:t>
      </w:r>
      <w:r>
        <w:t>is</w:t>
      </w:r>
      <w:r>
        <w:rPr>
          <w:spacing w:val="-3"/>
        </w:rPr>
        <w:t xml:space="preserve"> </w:t>
      </w:r>
      <w:r>
        <w:t>specific</w:t>
      </w:r>
      <w:r>
        <w:rPr>
          <w:spacing w:val="-3"/>
        </w:rPr>
        <w:t xml:space="preserve"> </w:t>
      </w:r>
      <w:r>
        <w:t>to</w:t>
      </w:r>
      <w:r>
        <w:rPr>
          <w:spacing w:val="-3"/>
        </w:rPr>
        <w:t xml:space="preserve"> </w:t>
      </w:r>
      <w:r>
        <w:t>one</w:t>
      </w:r>
      <w:r>
        <w:rPr>
          <w:spacing w:val="-3"/>
        </w:rPr>
        <w:t xml:space="preserve"> </w:t>
      </w:r>
      <w:r>
        <w:t>standard</w:t>
      </w:r>
      <w:r>
        <w:rPr>
          <w:spacing w:val="-6"/>
        </w:rPr>
        <w:t xml:space="preserve"> </w:t>
      </w:r>
      <w:r>
        <w:t>then</w:t>
      </w:r>
      <w:r>
        <w:rPr>
          <w:spacing w:val="-3"/>
        </w:rPr>
        <w:t xml:space="preserve"> </w:t>
      </w:r>
      <w:r>
        <w:t>it</w:t>
      </w:r>
      <w:r>
        <w:rPr>
          <w:spacing w:val="-2"/>
        </w:rPr>
        <w:t xml:space="preserve"> </w:t>
      </w:r>
      <w:r>
        <w:t>may</w:t>
      </w:r>
      <w:r>
        <w:rPr>
          <w:spacing w:val="-3"/>
        </w:rPr>
        <w:t xml:space="preserve"> </w:t>
      </w:r>
      <w:r>
        <w:t>be more appropriate to develop new application material and include it in a Standard; however, Guidance Statements and non-authoritative materials make it possible to provide guidance on issues that affect several standards within a single document.</w:t>
      </w:r>
    </w:p>
    <w:p w14:paraId="1E805A51" w14:textId="77777777" w:rsidR="00AA4A02" w:rsidRDefault="00960F31">
      <w:pPr>
        <w:pStyle w:val="ListParagraph"/>
        <w:numPr>
          <w:ilvl w:val="0"/>
          <w:numId w:val="29"/>
        </w:numPr>
        <w:tabs>
          <w:tab w:val="left" w:pos="851"/>
        </w:tabs>
        <w:spacing w:before="118" w:line="208" w:lineRule="auto"/>
        <w:ind w:right="182"/>
      </w:pPr>
      <w:r>
        <w:t>In</w:t>
      </w:r>
      <w:r>
        <w:rPr>
          <w:spacing w:val="-2"/>
        </w:rPr>
        <w:t xml:space="preserve"> </w:t>
      </w:r>
      <w:r>
        <w:t>the</w:t>
      </w:r>
      <w:r>
        <w:rPr>
          <w:spacing w:val="-2"/>
        </w:rPr>
        <w:t xml:space="preserve"> </w:t>
      </w:r>
      <w:r>
        <w:t>following</w:t>
      </w:r>
      <w:r>
        <w:rPr>
          <w:spacing w:val="-5"/>
        </w:rPr>
        <w:t xml:space="preserve"> </w:t>
      </w:r>
      <w:r>
        <w:t>circumstances,</w:t>
      </w:r>
      <w:r>
        <w:rPr>
          <w:spacing w:val="-4"/>
        </w:rPr>
        <w:t xml:space="preserve"> </w:t>
      </w:r>
      <w:r>
        <w:t>instead</w:t>
      </w:r>
      <w:r>
        <w:rPr>
          <w:spacing w:val="-5"/>
        </w:rPr>
        <w:t xml:space="preserve"> </w:t>
      </w:r>
      <w:r>
        <w:t>of</w:t>
      </w:r>
      <w:r>
        <w:rPr>
          <w:spacing w:val="-2"/>
        </w:rPr>
        <w:t xml:space="preserve"> </w:t>
      </w:r>
      <w:r>
        <w:t>developing</w:t>
      </w:r>
      <w:r>
        <w:rPr>
          <w:spacing w:val="-2"/>
        </w:rPr>
        <w:t xml:space="preserve"> </w:t>
      </w:r>
      <w:r>
        <w:t>a</w:t>
      </w:r>
      <w:r>
        <w:rPr>
          <w:spacing w:val="-4"/>
        </w:rPr>
        <w:t xml:space="preserve"> </w:t>
      </w:r>
      <w:r>
        <w:t>new</w:t>
      </w:r>
      <w:r>
        <w:rPr>
          <w:spacing w:val="-2"/>
        </w:rPr>
        <w:t xml:space="preserve"> </w:t>
      </w:r>
      <w:r>
        <w:t>standard</w:t>
      </w:r>
      <w:r>
        <w:rPr>
          <w:spacing w:val="-2"/>
        </w:rPr>
        <w:t xml:space="preserve"> </w:t>
      </w:r>
      <w:r>
        <w:t>or</w:t>
      </w:r>
      <w:r>
        <w:rPr>
          <w:spacing w:val="-2"/>
        </w:rPr>
        <w:t xml:space="preserve"> </w:t>
      </w:r>
      <w:r>
        <w:t>modifying</w:t>
      </w:r>
      <w:r>
        <w:rPr>
          <w:spacing w:val="-5"/>
        </w:rPr>
        <w:t xml:space="preserve"> </w:t>
      </w:r>
      <w:r>
        <w:t>an</w:t>
      </w:r>
      <w:r>
        <w:rPr>
          <w:spacing w:val="-2"/>
        </w:rPr>
        <w:t xml:space="preserve"> </w:t>
      </w:r>
      <w:r>
        <w:t>existing standard, it may be more appropriate to develop a new, or update an existing, AUASB Guidance Statement, or to issue non-authoritative materials:</w:t>
      </w:r>
    </w:p>
    <w:p w14:paraId="1E805A52" w14:textId="77777777" w:rsidR="00AA4A02" w:rsidRDefault="00960F31">
      <w:pPr>
        <w:pStyle w:val="ListParagraph"/>
        <w:numPr>
          <w:ilvl w:val="1"/>
          <w:numId w:val="29"/>
        </w:numPr>
        <w:tabs>
          <w:tab w:val="left" w:pos="1562"/>
        </w:tabs>
        <w:spacing w:before="176"/>
      </w:pPr>
      <w:r>
        <w:t>it</w:t>
      </w:r>
      <w:r>
        <w:rPr>
          <w:spacing w:val="-8"/>
        </w:rPr>
        <w:t xml:space="preserve"> </w:t>
      </w:r>
      <w:r>
        <w:t>is</w:t>
      </w:r>
      <w:r>
        <w:rPr>
          <w:spacing w:val="-4"/>
        </w:rPr>
        <w:t xml:space="preserve"> </w:t>
      </w:r>
      <w:r>
        <w:t>only</w:t>
      </w:r>
      <w:r>
        <w:rPr>
          <w:spacing w:val="-4"/>
        </w:rPr>
        <w:t xml:space="preserve"> </w:t>
      </w:r>
      <w:r>
        <w:t>necessary</w:t>
      </w:r>
      <w:r>
        <w:rPr>
          <w:spacing w:val="-4"/>
        </w:rPr>
        <w:t xml:space="preserve"> </w:t>
      </w:r>
      <w:r>
        <w:t>to</w:t>
      </w:r>
      <w:r>
        <w:rPr>
          <w:spacing w:val="-4"/>
        </w:rPr>
        <w:t xml:space="preserve"> </w:t>
      </w:r>
      <w:r>
        <w:t>provide</w:t>
      </w:r>
      <w:r>
        <w:rPr>
          <w:spacing w:val="-4"/>
        </w:rPr>
        <w:t xml:space="preserve"> </w:t>
      </w:r>
      <w:r>
        <w:t>clarification,</w:t>
      </w:r>
      <w:r>
        <w:rPr>
          <w:spacing w:val="-5"/>
        </w:rPr>
        <w:t xml:space="preserve"> </w:t>
      </w:r>
      <w:r>
        <w:t>explanation</w:t>
      </w:r>
      <w:r>
        <w:rPr>
          <w:spacing w:val="-4"/>
        </w:rPr>
        <w:t xml:space="preserve"> </w:t>
      </w:r>
      <w:r>
        <w:t>or</w:t>
      </w:r>
      <w:r>
        <w:rPr>
          <w:spacing w:val="-4"/>
        </w:rPr>
        <w:t xml:space="preserve"> </w:t>
      </w:r>
      <w:r>
        <w:t>interpretation</w:t>
      </w:r>
      <w:r>
        <w:rPr>
          <w:spacing w:val="-4"/>
        </w:rPr>
        <w:t xml:space="preserve"> </w:t>
      </w:r>
      <w:r>
        <w:t>of</w:t>
      </w:r>
      <w:r>
        <w:rPr>
          <w:spacing w:val="-4"/>
        </w:rPr>
        <w:t xml:space="preserve"> </w:t>
      </w:r>
      <w:r>
        <w:t>a</w:t>
      </w:r>
      <w:r>
        <w:rPr>
          <w:spacing w:val="-5"/>
        </w:rPr>
        <w:t xml:space="preserve"> </w:t>
      </w:r>
      <w:r>
        <w:rPr>
          <w:spacing w:val="-2"/>
        </w:rPr>
        <w:t>standard;</w:t>
      </w:r>
    </w:p>
    <w:p w14:paraId="1E805A53" w14:textId="77777777" w:rsidR="00AA4A02" w:rsidRDefault="00960F31">
      <w:pPr>
        <w:pStyle w:val="ListParagraph"/>
        <w:numPr>
          <w:ilvl w:val="1"/>
          <w:numId w:val="29"/>
        </w:numPr>
        <w:tabs>
          <w:tab w:val="left" w:pos="1562"/>
        </w:tabs>
        <w:spacing w:before="112" w:line="208" w:lineRule="auto"/>
        <w:ind w:right="379"/>
      </w:pPr>
      <w:r>
        <w:t>existing</w:t>
      </w:r>
      <w:r>
        <w:rPr>
          <w:spacing w:val="-3"/>
        </w:rPr>
        <w:t xml:space="preserve"> </w:t>
      </w:r>
      <w:r>
        <w:t>material</w:t>
      </w:r>
      <w:r>
        <w:rPr>
          <w:spacing w:val="-3"/>
        </w:rPr>
        <w:t xml:space="preserve"> </w:t>
      </w:r>
      <w:r>
        <w:t>is</w:t>
      </w:r>
      <w:r>
        <w:rPr>
          <w:spacing w:val="-4"/>
        </w:rPr>
        <w:t xml:space="preserve"> </w:t>
      </w:r>
      <w:r>
        <w:t>sufficient</w:t>
      </w:r>
      <w:r>
        <w:rPr>
          <w:spacing w:val="-2"/>
        </w:rPr>
        <w:t xml:space="preserve"> </w:t>
      </w:r>
      <w:r>
        <w:t>to</w:t>
      </w:r>
      <w:r>
        <w:rPr>
          <w:spacing w:val="-5"/>
        </w:rPr>
        <w:t xml:space="preserve"> </w:t>
      </w:r>
      <w:r>
        <w:t>lead</w:t>
      </w:r>
      <w:r>
        <w:rPr>
          <w:spacing w:val="-3"/>
        </w:rPr>
        <w:t xml:space="preserve"> </w:t>
      </w:r>
      <w:r>
        <w:t>practitioners</w:t>
      </w:r>
      <w:r>
        <w:rPr>
          <w:spacing w:val="-3"/>
        </w:rPr>
        <w:t xml:space="preserve"> </w:t>
      </w:r>
      <w:r>
        <w:t>to</w:t>
      </w:r>
      <w:r>
        <w:rPr>
          <w:spacing w:val="-3"/>
        </w:rPr>
        <w:t xml:space="preserve"> </w:t>
      </w:r>
      <w:r>
        <w:t>the</w:t>
      </w:r>
      <w:r>
        <w:rPr>
          <w:spacing w:val="-3"/>
        </w:rPr>
        <w:t xml:space="preserve"> </w:t>
      </w:r>
      <w:r>
        <w:t>right</w:t>
      </w:r>
      <w:r>
        <w:rPr>
          <w:spacing w:val="-2"/>
        </w:rPr>
        <w:t xml:space="preserve"> </w:t>
      </w:r>
      <w:r>
        <w:t>outcome</w:t>
      </w:r>
      <w:r>
        <w:rPr>
          <w:spacing w:val="-3"/>
        </w:rPr>
        <w:t xml:space="preserve"> </w:t>
      </w:r>
      <w:r>
        <w:t>provided</w:t>
      </w:r>
      <w:r>
        <w:rPr>
          <w:spacing w:val="-3"/>
        </w:rPr>
        <w:t xml:space="preserve"> </w:t>
      </w:r>
      <w:r>
        <w:t>it</w:t>
      </w:r>
      <w:r>
        <w:rPr>
          <w:spacing w:val="-4"/>
        </w:rPr>
        <w:t xml:space="preserve"> </w:t>
      </w:r>
      <w:r>
        <w:t>is applied appropriately;</w:t>
      </w:r>
    </w:p>
    <w:p w14:paraId="1E805A54" w14:textId="77777777" w:rsidR="00AA4A02" w:rsidRDefault="00960F31">
      <w:pPr>
        <w:pStyle w:val="ListParagraph"/>
        <w:numPr>
          <w:ilvl w:val="1"/>
          <w:numId w:val="29"/>
        </w:numPr>
        <w:tabs>
          <w:tab w:val="left" w:pos="1562"/>
        </w:tabs>
        <w:spacing w:before="95"/>
      </w:pPr>
      <w:r>
        <w:t>there</w:t>
      </w:r>
      <w:r>
        <w:rPr>
          <w:spacing w:val="-3"/>
        </w:rPr>
        <w:t xml:space="preserve"> </w:t>
      </w:r>
      <w:r>
        <w:t>is</w:t>
      </w:r>
      <w:r>
        <w:rPr>
          <w:spacing w:val="-3"/>
        </w:rPr>
        <w:t xml:space="preserve"> </w:t>
      </w:r>
      <w:r>
        <w:t>a</w:t>
      </w:r>
      <w:r>
        <w:rPr>
          <w:spacing w:val="-2"/>
        </w:rPr>
        <w:t xml:space="preserve"> </w:t>
      </w:r>
      <w:r>
        <w:t>need</w:t>
      </w:r>
      <w:r>
        <w:rPr>
          <w:spacing w:val="-6"/>
        </w:rPr>
        <w:t xml:space="preserve"> </w:t>
      </w:r>
      <w:r>
        <w:t>to</w:t>
      </w:r>
      <w:r>
        <w:rPr>
          <w:spacing w:val="-5"/>
        </w:rPr>
        <w:t xml:space="preserve"> </w:t>
      </w:r>
      <w:r>
        <w:t>issue</w:t>
      </w:r>
      <w:r>
        <w:rPr>
          <w:spacing w:val="-3"/>
        </w:rPr>
        <w:t xml:space="preserve"> </w:t>
      </w:r>
      <w:r>
        <w:t>a</w:t>
      </w:r>
      <w:r>
        <w:rPr>
          <w:spacing w:val="-2"/>
        </w:rPr>
        <w:t xml:space="preserve"> </w:t>
      </w:r>
      <w:r>
        <w:t>swift</w:t>
      </w:r>
      <w:r>
        <w:rPr>
          <w:spacing w:val="-2"/>
        </w:rPr>
        <w:t xml:space="preserve"> </w:t>
      </w:r>
      <w:r>
        <w:t>response</w:t>
      </w:r>
      <w:r>
        <w:rPr>
          <w:spacing w:val="-3"/>
        </w:rPr>
        <w:t xml:space="preserve"> </w:t>
      </w:r>
      <w:r>
        <w:t>to</w:t>
      </w:r>
      <w:r>
        <w:rPr>
          <w:spacing w:val="-2"/>
        </w:rPr>
        <w:t xml:space="preserve"> </w:t>
      </w:r>
      <w:r>
        <w:t>a</w:t>
      </w:r>
      <w:r>
        <w:rPr>
          <w:spacing w:val="-3"/>
        </w:rPr>
        <w:t xml:space="preserve"> </w:t>
      </w:r>
      <w:r>
        <w:t>development</w:t>
      </w:r>
      <w:r>
        <w:rPr>
          <w:spacing w:val="-2"/>
        </w:rPr>
        <w:t xml:space="preserve"> </w:t>
      </w:r>
      <w:r>
        <w:t>in</w:t>
      </w:r>
      <w:r>
        <w:rPr>
          <w:spacing w:val="-5"/>
        </w:rPr>
        <w:t xml:space="preserve"> </w:t>
      </w:r>
      <w:r>
        <w:t>the</w:t>
      </w:r>
      <w:r>
        <w:rPr>
          <w:spacing w:val="-3"/>
        </w:rPr>
        <w:t xml:space="preserve"> </w:t>
      </w:r>
      <w:r>
        <w:t>market;</w:t>
      </w:r>
      <w:r>
        <w:rPr>
          <w:spacing w:val="4"/>
        </w:rPr>
        <w:t xml:space="preserve"> </w:t>
      </w:r>
      <w:r>
        <w:rPr>
          <w:spacing w:val="-5"/>
        </w:rPr>
        <w:t>and</w:t>
      </w:r>
    </w:p>
    <w:p w14:paraId="1E805A55" w14:textId="77777777" w:rsidR="00AA4A02" w:rsidRDefault="00960F31">
      <w:pPr>
        <w:pStyle w:val="ListParagraph"/>
        <w:numPr>
          <w:ilvl w:val="1"/>
          <w:numId w:val="29"/>
        </w:numPr>
        <w:tabs>
          <w:tab w:val="left" w:pos="1562"/>
        </w:tabs>
        <w:spacing w:before="87"/>
      </w:pPr>
      <w:r>
        <w:t>a</w:t>
      </w:r>
      <w:r>
        <w:rPr>
          <w:spacing w:val="-4"/>
        </w:rPr>
        <w:t xml:space="preserve"> </w:t>
      </w:r>
      <w:r>
        <w:t>non-regulatory</w:t>
      </w:r>
      <w:r>
        <w:rPr>
          <w:spacing w:val="-3"/>
        </w:rPr>
        <w:t xml:space="preserve"> </w:t>
      </w:r>
      <w:r>
        <w:t>response</w:t>
      </w:r>
      <w:r>
        <w:rPr>
          <w:spacing w:val="-5"/>
        </w:rPr>
        <w:t xml:space="preserve"> </w:t>
      </w:r>
      <w:r>
        <w:t>is</w:t>
      </w:r>
      <w:r>
        <w:rPr>
          <w:spacing w:val="-3"/>
        </w:rPr>
        <w:t xml:space="preserve"> </w:t>
      </w:r>
      <w:r>
        <w:t>viable</w:t>
      </w:r>
      <w:r>
        <w:rPr>
          <w:spacing w:val="-5"/>
        </w:rPr>
        <w:t xml:space="preserve"> </w:t>
      </w:r>
      <w:r>
        <w:t>and</w:t>
      </w:r>
      <w:r>
        <w:rPr>
          <w:spacing w:val="-3"/>
        </w:rPr>
        <w:t xml:space="preserve"> </w:t>
      </w:r>
      <w:r>
        <w:t>offers</w:t>
      </w:r>
      <w:r>
        <w:rPr>
          <w:spacing w:val="-5"/>
        </w:rPr>
        <w:t xml:space="preserve"> </w:t>
      </w:r>
      <w:r>
        <w:t>a</w:t>
      </w:r>
      <w:r>
        <w:rPr>
          <w:spacing w:val="-3"/>
        </w:rPr>
        <w:t xml:space="preserve"> </w:t>
      </w:r>
      <w:r>
        <w:t>potentially</w:t>
      </w:r>
      <w:r>
        <w:rPr>
          <w:spacing w:val="-3"/>
        </w:rPr>
        <w:t xml:space="preserve"> </w:t>
      </w:r>
      <w:r>
        <w:t>effective</w:t>
      </w:r>
      <w:r>
        <w:rPr>
          <w:spacing w:val="-5"/>
        </w:rPr>
        <w:t xml:space="preserve"> </w:t>
      </w:r>
      <w:r>
        <w:rPr>
          <w:spacing w:val="-2"/>
        </w:rPr>
        <w:t>response.</w:t>
      </w:r>
    </w:p>
    <w:p w14:paraId="1E805A56" w14:textId="77777777" w:rsidR="00AA4A02" w:rsidRDefault="00960F31">
      <w:pPr>
        <w:pStyle w:val="ListParagraph"/>
        <w:numPr>
          <w:ilvl w:val="0"/>
          <w:numId w:val="29"/>
        </w:numPr>
        <w:tabs>
          <w:tab w:val="left" w:pos="851"/>
        </w:tabs>
        <w:spacing w:before="192" w:line="208" w:lineRule="auto"/>
        <w:ind w:right="495"/>
      </w:pPr>
      <w:r>
        <w:t>Additionally, the AUASB may determine that development of an AUASB Guidance Statement</w:t>
      </w:r>
      <w:r>
        <w:rPr>
          <w:spacing w:val="-3"/>
        </w:rPr>
        <w:t xml:space="preserve"> </w:t>
      </w:r>
      <w:r>
        <w:t>may</w:t>
      </w:r>
      <w:r>
        <w:rPr>
          <w:spacing w:val="-2"/>
        </w:rPr>
        <w:t xml:space="preserve"> </w:t>
      </w:r>
      <w:r>
        <w:t>not</w:t>
      </w:r>
      <w:r>
        <w:rPr>
          <w:spacing w:val="-1"/>
        </w:rPr>
        <w:t xml:space="preserve"> </w:t>
      </w:r>
      <w:r>
        <w:t>be</w:t>
      </w:r>
      <w:r>
        <w:rPr>
          <w:spacing w:val="-4"/>
        </w:rPr>
        <w:t xml:space="preserve"> </w:t>
      </w:r>
      <w:r>
        <w:t>appropriate</w:t>
      </w:r>
      <w:r>
        <w:rPr>
          <w:spacing w:val="-4"/>
        </w:rPr>
        <w:t xml:space="preserve"> </w:t>
      </w:r>
      <w:r>
        <w:t>but</w:t>
      </w:r>
      <w:r>
        <w:rPr>
          <w:spacing w:val="-4"/>
        </w:rPr>
        <w:t xml:space="preserve"> </w:t>
      </w:r>
      <w:r>
        <w:t>that</w:t>
      </w:r>
      <w:r>
        <w:rPr>
          <w:spacing w:val="-2"/>
        </w:rPr>
        <w:t xml:space="preserve"> </w:t>
      </w:r>
      <w:r>
        <w:t>instead</w:t>
      </w:r>
      <w:r>
        <w:rPr>
          <w:spacing w:val="-5"/>
        </w:rPr>
        <w:t xml:space="preserve"> </w:t>
      </w:r>
      <w:r>
        <w:t>other non-authoritative</w:t>
      </w:r>
      <w:r>
        <w:rPr>
          <w:spacing w:val="-4"/>
        </w:rPr>
        <w:t xml:space="preserve"> </w:t>
      </w:r>
      <w:r>
        <w:t>materials</w:t>
      </w:r>
      <w:r>
        <w:rPr>
          <w:spacing w:val="-1"/>
        </w:rPr>
        <w:t xml:space="preserve"> </w:t>
      </w:r>
      <w:r>
        <w:t>may</w:t>
      </w:r>
      <w:r>
        <w:rPr>
          <w:spacing w:val="-2"/>
        </w:rPr>
        <w:t xml:space="preserve"> </w:t>
      </w:r>
      <w:r>
        <w:t>be more suitable, for example, where:</w:t>
      </w:r>
    </w:p>
    <w:p w14:paraId="1E805A57" w14:textId="77777777" w:rsidR="00AA4A02" w:rsidRDefault="00960F31">
      <w:pPr>
        <w:pStyle w:val="ListParagraph"/>
        <w:numPr>
          <w:ilvl w:val="1"/>
          <w:numId w:val="29"/>
        </w:numPr>
        <w:tabs>
          <w:tab w:val="left" w:pos="1562"/>
        </w:tabs>
        <w:spacing w:line="208" w:lineRule="auto"/>
        <w:ind w:right="231"/>
      </w:pPr>
      <w:r>
        <w:t>urgent guidance is necessary to address a significant issue or support the implementation</w:t>
      </w:r>
      <w:r>
        <w:rPr>
          <w:spacing w:val="-2"/>
        </w:rPr>
        <w:t xml:space="preserve"> </w:t>
      </w:r>
      <w:r>
        <w:t>of</w:t>
      </w:r>
      <w:r>
        <w:rPr>
          <w:spacing w:val="-4"/>
        </w:rPr>
        <w:t xml:space="preserve"> </w:t>
      </w:r>
      <w:r>
        <w:t>a</w:t>
      </w:r>
      <w:r>
        <w:rPr>
          <w:spacing w:val="-2"/>
        </w:rPr>
        <w:t xml:space="preserve"> </w:t>
      </w:r>
      <w:r>
        <w:t>new/revised</w:t>
      </w:r>
      <w:r>
        <w:rPr>
          <w:spacing w:val="-5"/>
        </w:rPr>
        <w:t xml:space="preserve"> </w:t>
      </w:r>
      <w:r>
        <w:t>standard,</w:t>
      </w:r>
      <w:r>
        <w:rPr>
          <w:spacing w:val="-2"/>
        </w:rPr>
        <w:t xml:space="preserve"> </w:t>
      </w:r>
      <w:r>
        <w:t>and</w:t>
      </w:r>
      <w:r>
        <w:rPr>
          <w:spacing w:val="-2"/>
        </w:rPr>
        <w:t xml:space="preserve"> </w:t>
      </w:r>
      <w:r>
        <w:t>this</w:t>
      </w:r>
      <w:r>
        <w:rPr>
          <w:spacing w:val="-4"/>
        </w:rPr>
        <w:t xml:space="preserve"> </w:t>
      </w:r>
      <w:r>
        <w:t>can</w:t>
      </w:r>
      <w:r>
        <w:rPr>
          <w:spacing w:val="-5"/>
        </w:rPr>
        <w:t xml:space="preserve"> </w:t>
      </w:r>
      <w:r>
        <w:t>be</w:t>
      </w:r>
      <w:r>
        <w:rPr>
          <w:spacing w:val="-2"/>
        </w:rPr>
        <w:t xml:space="preserve"> </w:t>
      </w:r>
      <w:r>
        <w:t>developed</w:t>
      </w:r>
      <w:r>
        <w:rPr>
          <w:spacing w:val="-2"/>
        </w:rPr>
        <w:t xml:space="preserve"> </w:t>
      </w:r>
      <w:r>
        <w:t>and</w:t>
      </w:r>
      <w:r>
        <w:rPr>
          <w:spacing w:val="-2"/>
        </w:rPr>
        <w:t xml:space="preserve"> </w:t>
      </w:r>
      <w:r>
        <w:t>issued</w:t>
      </w:r>
      <w:r>
        <w:rPr>
          <w:spacing w:val="-2"/>
        </w:rPr>
        <w:t xml:space="preserve"> </w:t>
      </w:r>
      <w:r>
        <w:t>more promptly than the development/revision of an authoritative Guidance Statement; or</w:t>
      </w:r>
    </w:p>
    <w:p w14:paraId="1E805A58" w14:textId="77777777" w:rsidR="00AA4A02" w:rsidRDefault="00960F31">
      <w:pPr>
        <w:pStyle w:val="ListParagraph"/>
        <w:numPr>
          <w:ilvl w:val="1"/>
          <w:numId w:val="29"/>
        </w:numPr>
        <w:tabs>
          <w:tab w:val="left" w:pos="1562"/>
        </w:tabs>
        <w:spacing w:before="120" w:line="208" w:lineRule="auto"/>
        <w:ind w:right="427"/>
      </w:pPr>
      <w:r>
        <w:t>further guidance is desired to clarify, explain or interpret the requirements of a new/revised</w:t>
      </w:r>
      <w:r>
        <w:rPr>
          <w:spacing w:val="-2"/>
        </w:rPr>
        <w:t xml:space="preserve"> </w:t>
      </w:r>
      <w:r>
        <w:t>Standard</w:t>
      </w:r>
      <w:r>
        <w:rPr>
          <w:spacing w:val="-5"/>
        </w:rPr>
        <w:t xml:space="preserve"> </w:t>
      </w:r>
      <w:r>
        <w:t>or</w:t>
      </w:r>
      <w:r>
        <w:rPr>
          <w:spacing w:val="-3"/>
        </w:rPr>
        <w:t xml:space="preserve"> </w:t>
      </w:r>
      <w:r>
        <w:t>Guidance</w:t>
      </w:r>
      <w:r>
        <w:rPr>
          <w:spacing w:val="-3"/>
        </w:rPr>
        <w:t xml:space="preserve"> </w:t>
      </w:r>
      <w:r>
        <w:t>Statement</w:t>
      </w:r>
      <w:r>
        <w:rPr>
          <w:spacing w:val="-3"/>
        </w:rPr>
        <w:t xml:space="preserve"> </w:t>
      </w:r>
      <w:r>
        <w:t>for</w:t>
      </w:r>
      <w:r>
        <w:rPr>
          <w:spacing w:val="-3"/>
        </w:rPr>
        <w:t xml:space="preserve"> </w:t>
      </w:r>
      <w:r>
        <w:t>a</w:t>
      </w:r>
      <w:r>
        <w:rPr>
          <w:spacing w:val="-3"/>
        </w:rPr>
        <w:t xml:space="preserve"> </w:t>
      </w:r>
      <w:r>
        <w:t>particular</w:t>
      </w:r>
      <w:r>
        <w:rPr>
          <w:spacing w:val="-3"/>
        </w:rPr>
        <w:t xml:space="preserve"> </w:t>
      </w:r>
      <w:r>
        <w:t>industry</w:t>
      </w:r>
      <w:r>
        <w:rPr>
          <w:spacing w:val="-4"/>
        </w:rPr>
        <w:t xml:space="preserve"> </w:t>
      </w:r>
      <w:r>
        <w:t>or</w:t>
      </w:r>
      <w:r>
        <w:rPr>
          <w:spacing w:val="-5"/>
        </w:rPr>
        <w:t xml:space="preserve"> </w:t>
      </w:r>
      <w:r>
        <w:t>sub-sector.</w:t>
      </w:r>
    </w:p>
    <w:p w14:paraId="1E805A59" w14:textId="77777777" w:rsidR="00AA4A02" w:rsidRDefault="00960F31">
      <w:pPr>
        <w:pStyle w:val="ListParagraph"/>
        <w:numPr>
          <w:ilvl w:val="0"/>
          <w:numId w:val="29"/>
        </w:numPr>
        <w:tabs>
          <w:tab w:val="left" w:pos="851"/>
        </w:tabs>
        <w:spacing w:before="119" w:line="208" w:lineRule="auto"/>
        <w:ind w:right="1107"/>
      </w:pPr>
      <w:r>
        <w:t>Refer to Sections IX and X of this document for matters the AUASB will take into consideration</w:t>
      </w:r>
      <w:r>
        <w:rPr>
          <w:spacing w:val="-6"/>
        </w:rPr>
        <w:t xml:space="preserve"> </w:t>
      </w:r>
      <w:r>
        <w:t>in</w:t>
      </w:r>
      <w:r>
        <w:rPr>
          <w:spacing w:val="-4"/>
        </w:rPr>
        <w:t xml:space="preserve"> </w:t>
      </w:r>
      <w:r>
        <w:t>determining</w:t>
      </w:r>
      <w:r>
        <w:rPr>
          <w:spacing w:val="-4"/>
        </w:rPr>
        <w:t xml:space="preserve"> </w:t>
      </w:r>
      <w:r>
        <w:t>whether</w:t>
      </w:r>
      <w:r>
        <w:rPr>
          <w:spacing w:val="-1"/>
        </w:rPr>
        <w:t xml:space="preserve"> </w:t>
      </w:r>
      <w:r>
        <w:t>an</w:t>
      </w:r>
      <w:r>
        <w:rPr>
          <w:spacing w:val="-4"/>
        </w:rPr>
        <w:t xml:space="preserve"> </w:t>
      </w:r>
      <w:r>
        <w:t>AUASB</w:t>
      </w:r>
      <w:r>
        <w:rPr>
          <w:spacing w:val="-6"/>
        </w:rPr>
        <w:t xml:space="preserve"> </w:t>
      </w:r>
      <w:r>
        <w:t>Guidance</w:t>
      </w:r>
      <w:r>
        <w:rPr>
          <w:spacing w:val="-4"/>
        </w:rPr>
        <w:t xml:space="preserve"> </w:t>
      </w:r>
      <w:r>
        <w:t>Statement</w:t>
      </w:r>
      <w:r>
        <w:rPr>
          <w:spacing w:val="-3"/>
        </w:rPr>
        <w:t xml:space="preserve"> </w:t>
      </w:r>
      <w:r>
        <w:t>or</w:t>
      </w:r>
      <w:r>
        <w:rPr>
          <w:spacing w:val="-4"/>
        </w:rPr>
        <w:t xml:space="preserve"> </w:t>
      </w:r>
      <w:r>
        <w:t>other</w:t>
      </w:r>
      <w:r>
        <w:rPr>
          <w:spacing w:val="-2"/>
        </w:rPr>
        <w:t xml:space="preserve"> </w:t>
      </w:r>
      <w:r>
        <w:t>non-authoritative materials will be appropriate in the circumstances.</w:t>
      </w:r>
    </w:p>
    <w:p w14:paraId="1E805A5A" w14:textId="77777777" w:rsidR="00AA4A02" w:rsidRDefault="00960F31">
      <w:pPr>
        <w:pStyle w:val="Heading4"/>
        <w:numPr>
          <w:ilvl w:val="0"/>
          <w:numId w:val="30"/>
        </w:numPr>
        <w:tabs>
          <w:tab w:val="left" w:pos="851"/>
        </w:tabs>
        <w:spacing w:before="162"/>
      </w:pPr>
      <w:bookmarkStart w:id="45" w:name="_TOC_250014"/>
      <w:r>
        <w:t>International</w:t>
      </w:r>
      <w:r>
        <w:rPr>
          <w:spacing w:val="-4"/>
        </w:rPr>
        <w:t xml:space="preserve"> </w:t>
      </w:r>
      <w:r>
        <w:t>Cooperation</w:t>
      </w:r>
      <w:r>
        <w:rPr>
          <w:spacing w:val="-4"/>
        </w:rPr>
        <w:t xml:space="preserve"> </w:t>
      </w:r>
      <w:r>
        <w:t>and</w:t>
      </w:r>
      <w:r>
        <w:rPr>
          <w:spacing w:val="-3"/>
        </w:rPr>
        <w:t xml:space="preserve"> </w:t>
      </w:r>
      <w:bookmarkEnd w:id="45"/>
      <w:r>
        <w:rPr>
          <w:spacing w:val="-2"/>
        </w:rPr>
        <w:t>Engagement</w:t>
      </w:r>
    </w:p>
    <w:p w14:paraId="1E805A5B" w14:textId="77777777" w:rsidR="00AA4A02" w:rsidRDefault="00960F31">
      <w:pPr>
        <w:pStyle w:val="ListParagraph"/>
        <w:numPr>
          <w:ilvl w:val="0"/>
          <w:numId w:val="29"/>
        </w:numPr>
        <w:tabs>
          <w:tab w:val="left" w:pos="851"/>
        </w:tabs>
        <w:spacing w:before="194" w:line="208" w:lineRule="auto"/>
        <w:ind w:right="304"/>
      </w:pPr>
      <w:r>
        <w:t>The AUASB is required, by virtue of its legislative mandate and under its directive from the FRC,</w:t>
      </w:r>
      <w:r>
        <w:rPr>
          <w:spacing w:val="-2"/>
        </w:rPr>
        <w:t xml:space="preserve"> </w:t>
      </w:r>
      <w:r>
        <w:t>to</w:t>
      </w:r>
      <w:r>
        <w:rPr>
          <w:spacing w:val="-2"/>
        </w:rPr>
        <w:t xml:space="preserve"> </w:t>
      </w:r>
      <w:r>
        <w:t>be</w:t>
      </w:r>
      <w:r>
        <w:rPr>
          <w:spacing w:val="-4"/>
        </w:rPr>
        <w:t xml:space="preserve"> </w:t>
      </w:r>
      <w:r>
        <w:t>actively</w:t>
      </w:r>
      <w:r>
        <w:rPr>
          <w:spacing w:val="-2"/>
        </w:rPr>
        <w:t xml:space="preserve"> </w:t>
      </w:r>
      <w:r>
        <w:t>engaged</w:t>
      </w:r>
      <w:r>
        <w:rPr>
          <w:spacing w:val="-2"/>
        </w:rPr>
        <w:t xml:space="preserve"> </w:t>
      </w:r>
      <w:r>
        <w:t>in</w:t>
      </w:r>
      <w:r>
        <w:rPr>
          <w:spacing w:val="-5"/>
        </w:rPr>
        <w:t xml:space="preserve"> </w:t>
      </w:r>
      <w:r>
        <w:t>international</w:t>
      </w:r>
      <w:r>
        <w:rPr>
          <w:spacing w:val="-2"/>
        </w:rPr>
        <w:t xml:space="preserve"> </w:t>
      </w:r>
      <w:r>
        <w:t>auditing</w:t>
      </w:r>
      <w:r>
        <w:rPr>
          <w:spacing w:val="-5"/>
        </w:rPr>
        <w:t xml:space="preserve"> </w:t>
      </w:r>
      <w:r>
        <w:t>and</w:t>
      </w:r>
      <w:r>
        <w:rPr>
          <w:spacing w:val="-2"/>
        </w:rPr>
        <w:t xml:space="preserve"> </w:t>
      </w:r>
      <w:r>
        <w:t>assurance</w:t>
      </w:r>
      <w:r>
        <w:rPr>
          <w:spacing w:val="-3"/>
        </w:rPr>
        <w:t xml:space="preserve"> </w:t>
      </w:r>
      <w:r>
        <w:t>matters.</w:t>
      </w:r>
      <w:r>
        <w:rPr>
          <w:vertAlign w:val="superscript"/>
        </w:rPr>
        <w:t>27</w:t>
      </w:r>
      <w:r>
        <w:rPr>
          <w:spacing w:val="40"/>
        </w:rPr>
        <w:t xml:space="preserve"> </w:t>
      </w:r>
      <w:r>
        <w:t>This</w:t>
      </w:r>
      <w:r>
        <w:rPr>
          <w:spacing w:val="-4"/>
        </w:rPr>
        <w:t xml:space="preserve"> </w:t>
      </w:r>
      <w:r>
        <w:t>includes:</w:t>
      </w:r>
    </w:p>
    <w:p w14:paraId="1E805A5C" w14:textId="77777777" w:rsidR="00AA4A02" w:rsidRDefault="00960F31">
      <w:pPr>
        <w:pStyle w:val="ListParagraph"/>
        <w:numPr>
          <w:ilvl w:val="1"/>
          <w:numId w:val="29"/>
        </w:numPr>
        <w:tabs>
          <w:tab w:val="left" w:pos="1562"/>
        </w:tabs>
        <w:spacing w:before="198" w:line="208" w:lineRule="auto"/>
        <w:ind w:right="573"/>
      </w:pPr>
      <w:r>
        <w:t>a</w:t>
      </w:r>
      <w:r>
        <w:rPr>
          <w:spacing w:val="-2"/>
        </w:rPr>
        <w:t xml:space="preserve"> </w:t>
      </w:r>
      <w:r>
        <w:t>requirement</w:t>
      </w:r>
      <w:r>
        <w:rPr>
          <w:spacing w:val="-1"/>
        </w:rPr>
        <w:t xml:space="preserve"> </w:t>
      </w:r>
      <w:r>
        <w:t>to</w:t>
      </w:r>
      <w:r>
        <w:rPr>
          <w:spacing w:val="-5"/>
        </w:rPr>
        <w:t xml:space="preserve"> </w:t>
      </w:r>
      <w:r>
        <w:t>participate</w:t>
      </w:r>
      <w:r>
        <w:rPr>
          <w:spacing w:val="-4"/>
        </w:rPr>
        <w:t xml:space="preserve"> </w:t>
      </w:r>
      <w:r>
        <w:t>in</w:t>
      </w:r>
      <w:r>
        <w:rPr>
          <w:spacing w:val="-2"/>
        </w:rPr>
        <w:t xml:space="preserve"> </w:t>
      </w:r>
      <w:r>
        <w:t>and</w:t>
      </w:r>
      <w:r>
        <w:rPr>
          <w:spacing w:val="-4"/>
        </w:rPr>
        <w:t xml:space="preserve"> </w:t>
      </w:r>
      <w:r>
        <w:t>contribute</w:t>
      </w:r>
      <w:r>
        <w:rPr>
          <w:spacing w:val="-4"/>
        </w:rPr>
        <w:t xml:space="preserve"> </w:t>
      </w:r>
      <w:r>
        <w:t>to</w:t>
      </w:r>
      <w:r>
        <w:rPr>
          <w:spacing w:val="-2"/>
        </w:rPr>
        <w:t xml:space="preserve"> </w:t>
      </w:r>
      <w:r>
        <w:t>the</w:t>
      </w:r>
      <w:r>
        <w:rPr>
          <w:spacing w:val="-2"/>
        </w:rPr>
        <w:t xml:space="preserve"> </w:t>
      </w:r>
      <w:r>
        <w:t>development</w:t>
      </w:r>
      <w:r>
        <w:rPr>
          <w:spacing w:val="-1"/>
        </w:rPr>
        <w:t xml:space="preserve"> </w:t>
      </w:r>
      <w:r>
        <w:t>of</w:t>
      </w:r>
      <w:r>
        <w:rPr>
          <w:spacing w:val="-2"/>
        </w:rPr>
        <w:t xml:space="preserve"> </w:t>
      </w:r>
      <w:r>
        <w:t>a</w:t>
      </w:r>
      <w:r>
        <w:rPr>
          <w:spacing w:val="-4"/>
        </w:rPr>
        <w:t xml:space="preserve"> </w:t>
      </w:r>
      <w:r>
        <w:t>single</w:t>
      </w:r>
      <w:r>
        <w:rPr>
          <w:spacing w:val="-4"/>
        </w:rPr>
        <w:t xml:space="preserve"> </w:t>
      </w:r>
      <w:r>
        <w:t>set</w:t>
      </w:r>
      <w:r>
        <w:rPr>
          <w:spacing w:val="-4"/>
        </w:rPr>
        <w:t xml:space="preserve"> </w:t>
      </w:r>
      <w:r>
        <w:t>of auditing standards for world-wide use; and</w:t>
      </w:r>
    </w:p>
    <w:p w14:paraId="1E805A5D" w14:textId="77777777" w:rsidR="00AA4A02" w:rsidRDefault="00960F31">
      <w:pPr>
        <w:pStyle w:val="ListParagraph"/>
        <w:numPr>
          <w:ilvl w:val="1"/>
          <w:numId w:val="29"/>
        </w:numPr>
        <w:tabs>
          <w:tab w:val="left" w:pos="1562"/>
        </w:tabs>
        <w:spacing w:before="198" w:line="211" w:lineRule="auto"/>
        <w:ind w:right="269"/>
      </w:pPr>
      <w:r>
        <w:t>to</w:t>
      </w:r>
      <w:r>
        <w:rPr>
          <w:spacing w:val="-2"/>
        </w:rPr>
        <w:t xml:space="preserve"> </w:t>
      </w:r>
      <w:r>
        <w:t>use</w:t>
      </w:r>
      <w:r>
        <w:rPr>
          <w:spacing w:val="-2"/>
        </w:rPr>
        <w:t xml:space="preserve"> </w:t>
      </w:r>
      <w:r>
        <w:t>auditing</w:t>
      </w:r>
      <w:r>
        <w:rPr>
          <w:spacing w:val="-4"/>
        </w:rPr>
        <w:t xml:space="preserve"> </w:t>
      </w:r>
      <w:r>
        <w:t>and</w:t>
      </w:r>
      <w:r>
        <w:rPr>
          <w:spacing w:val="-2"/>
        </w:rPr>
        <w:t xml:space="preserve"> </w:t>
      </w:r>
      <w:r>
        <w:t>assurance</w:t>
      </w:r>
      <w:r>
        <w:rPr>
          <w:spacing w:val="-1"/>
        </w:rPr>
        <w:t xml:space="preserve"> </w:t>
      </w:r>
      <w:r>
        <w:t>standards</w:t>
      </w:r>
      <w:r>
        <w:rPr>
          <w:spacing w:val="-4"/>
        </w:rPr>
        <w:t xml:space="preserve"> </w:t>
      </w:r>
      <w:r>
        <w:t>issued</w:t>
      </w:r>
      <w:r>
        <w:rPr>
          <w:spacing w:val="-5"/>
        </w:rPr>
        <w:t xml:space="preserve"> </w:t>
      </w:r>
      <w:r>
        <w:t>by</w:t>
      </w:r>
      <w:r>
        <w:rPr>
          <w:spacing w:val="-2"/>
        </w:rPr>
        <w:t xml:space="preserve"> </w:t>
      </w:r>
      <w:r>
        <w:t>the</w:t>
      </w:r>
      <w:r>
        <w:rPr>
          <w:spacing w:val="-2"/>
        </w:rPr>
        <w:t xml:space="preserve"> </w:t>
      </w:r>
      <w:r>
        <w:t>IAASB</w:t>
      </w:r>
      <w:r>
        <w:rPr>
          <w:spacing w:val="-4"/>
        </w:rPr>
        <w:t xml:space="preserve"> </w:t>
      </w:r>
      <w:r>
        <w:t>as</w:t>
      </w:r>
      <w:r>
        <w:rPr>
          <w:spacing w:val="-2"/>
        </w:rPr>
        <w:t xml:space="preserve"> </w:t>
      </w:r>
      <w:r>
        <w:t>a</w:t>
      </w:r>
      <w:r>
        <w:rPr>
          <w:spacing w:val="-2"/>
        </w:rPr>
        <w:t xml:space="preserve"> </w:t>
      </w:r>
      <w:r>
        <w:t>base</w:t>
      </w:r>
      <w:r>
        <w:rPr>
          <w:spacing w:val="-2"/>
        </w:rPr>
        <w:t xml:space="preserve"> </w:t>
      </w:r>
      <w:r>
        <w:t>from</w:t>
      </w:r>
      <w:r>
        <w:rPr>
          <w:spacing w:val="-1"/>
        </w:rPr>
        <w:t xml:space="preserve"> </w:t>
      </w:r>
      <w:r>
        <w:t>which</w:t>
      </w:r>
      <w:r>
        <w:rPr>
          <w:spacing w:val="-2"/>
        </w:rPr>
        <w:t xml:space="preserve"> </w:t>
      </w:r>
      <w:r>
        <w:t>to develop local auditing and assurance standards.</w:t>
      </w:r>
    </w:p>
    <w:p w14:paraId="1E805A5E" w14:textId="77777777" w:rsidR="00AA4A02" w:rsidRDefault="00AA4A02">
      <w:pPr>
        <w:pStyle w:val="BodyText"/>
        <w:rPr>
          <w:sz w:val="20"/>
        </w:rPr>
      </w:pPr>
    </w:p>
    <w:p w14:paraId="1E805A5F" w14:textId="77777777" w:rsidR="00AA4A02" w:rsidRDefault="00AA4A02">
      <w:pPr>
        <w:pStyle w:val="BodyText"/>
        <w:rPr>
          <w:sz w:val="20"/>
        </w:rPr>
      </w:pPr>
    </w:p>
    <w:p w14:paraId="1E805A60" w14:textId="77777777" w:rsidR="00AA4A02" w:rsidRDefault="00AA4A02">
      <w:pPr>
        <w:pStyle w:val="BodyText"/>
        <w:rPr>
          <w:sz w:val="20"/>
        </w:rPr>
      </w:pPr>
    </w:p>
    <w:p w14:paraId="1E805A61" w14:textId="77777777" w:rsidR="00AA4A02" w:rsidRDefault="00AA4A02">
      <w:pPr>
        <w:pStyle w:val="BodyText"/>
        <w:rPr>
          <w:sz w:val="20"/>
        </w:rPr>
      </w:pPr>
    </w:p>
    <w:p w14:paraId="1E805A62" w14:textId="77777777" w:rsidR="00AA4A02" w:rsidRDefault="00AA4A02">
      <w:pPr>
        <w:pStyle w:val="BodyText"/>
        <w:rPr>
          <w:sz w:val="20"/>
        </w:rPr>
      </w:pPr>
    </w:p>
    <w:p w14:paraId="1E805A63" w14:textId="77777777" w:rsidR="00AA4A02" w:rsidRDefault="00960F31">
      <w:pPr>
        <w:pStyle w:val="BodyText"/>
        <w:spacing w:before="84"/>
        <w:rPr>
          <w:sz w:val="20"/>
        </w:rPr>
      </w:pPr>
      <w:r>
        <w:rPr>
          <w:noProof/>
          <w:sz w:val="20"/>
        </w:rPr>
        <mc:AlternateContent>
          <mc:Choice Requires="wps">
            <w:drawing>
              <wp:anchor distT="0" distB="0" distL="0" distR="0" simplePos="0" relativeHeight="487602688" behindDoc="1" locked="0" layoutInCell="1" allowOverlap="1" wp14:anchorId="1E805F4D" wp14:editId="1E805F4E">
                <wp:simplePos x="0" y="0"/>
                <wp:positionH relativeFrom="page">
                  <wp:posOffset>900988</wp:posOffset>
                </wp:positionH>
                <wp:positionV relativeFrom="paragraph">
                  <wp:posOffset>215235</wp:posOffset>
                </wp:positionV>
                <wp:extent cx="1829435" cy="762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47B44" id="Graphic 52" o:spid="_x0000_s1026" style="position:absolute;margin-left:70.95pt;margin-top:16.95pt;width:144.05pt;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" path="m1829053,l,,,7619r1829053,l1829053,xe" fillcolor="black" stroked="f">
                <v:path arrowok="t"/>
                <w10:wrap type="topAndBottom" anchorx="page"/>
              </v:shape>
            </w:pict>
          </mc:Fallback>
        </mc:AlternateContent>
      </w:r>
    </w:p>
    <w:p w14:paraId="1E805A64" w14:textId="77777777" w:rsidR="00AA4A02" w:rsidRDefault="00960F31">
      <w:pPr>
        <w:spacing w:before="74" w:line="172" w:lineRule="exact"/>
        <w:ind w:left="143"/>
        <w:rPr>
          <w:sz w:val="16"/>
        </w:rPr>
      </w:pPr>
      <w:r>
        <w:rPr>
          <w:sz w:val="16"/>
          <w:vertAlign w:val="superscript"/>
        </w:rPr>
        <w:t>26</w:t>
      </w:r>
      <w:r>
        <w:rPr>
          <w:spacing w:val="48"/>
          <w:sz w:val="16"/>
        </w:rPr>
        <w:t xml:space="preserve">  </w:t>
      </w:r>
      <w:r>
        <w:rPr>
          <w:sz w:val="16"/>
        </w:rPr>
        <w:t>See</w:t>
      </w:r>
      <w:r>
        <w:rPr>
          <w:spacing w:val="-2"/>
          <w:sz w:val="16"/>
        </w:rPr>
        <w:t xml:space="preserve"> </w:t>
      </w:r>
      <w:r>
        <w:rPr>
          <w:sz w:val="16"/>
        </w:rPr>
        <w:t>paragraph</w:t>
      </w:r>
      <w:r>
        <w:rPr>
          <w:spacing w:val="-2"/>
          <w:sz w:val="16"/>
        </w:rPr>
        <w:t xml:space="preserve"> </w:t>
      </w:r>
      <w:r>
        <w:rPr>
          <w:sz w:val="16"/>
        </w:rPr>
        <w:t>43</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A65" w14:textId="77777777" w:rsidR="00AA4A02" w:rsidRDefault="00960F31">
      <w:pPr>
        <w:spacing w:line="172" w:lineRule="exact"/>
        <w:ind w:left="143"/>
        <w:rPr>
          <w:sz w:val="16"/>
        </w:rPr>
      </w:pPr>
      <w:r>
        <w:rPr>
          <w:sz w:val="16"/>
          <w:vertAlign w:val="superscript"/>
        </w:rPr>
        <w:t>27</w:t>
      </w:r>
      <w:r>
        <w:rPr>
          <w:spacing w:val="47"/>
          <w:sz w:val="16"/>
        </w:rPr>
        <w:t xml:space="preserve">  </w:t>
      </w:r>
      <w:r>
        <w:rPr>
          <w:sz w:val="16"/>
        </w:rPr>
        <w:t>See</w:t>
      </w:r>
      <w:r>
        <w:rPr>
          <w:spacing w:val="1"/>
          <w:sz w:val="16"/>
        </w:rPr>
        <w:t xml:space="preserve"> </w:t>
      </w:r>
      <w:r>
        <w:rPr>
          <w:sz w:val="16"/>
        </w:rPr>
        <w:t>Section</w:t>
      </w:r>
      <w:r>
        <w:rPr>
          <w:spacing w:val="-1"/>
          <w:sz w:val="16"/>
        </w:rPr>
        <w:t xml:space="preserve"> </w:t>
      </w:r>
      <w:r>
        <w:rPr>
          <w:sz w:val="16"/>
        </w:rPr>
        <w:t>II</w:t>
      </w:r>
      <w:r>
        <w:rPr>
          <w:spacing w:val="-4"/>
          <w:sz w:val="16"/>
        </w:rPr>
        <w:t xml:space="preserve"> </w:t>
      </w:r>
      <w:r>
        <w:rPr>
          <w:sz w:val="16"/>
        </w:rPr>
        <w:t>of</w:t>
      </w:r>
      <w:r>
        <w:rPr>
          <w:spacing w:val="-2"/>
          <w:sz w:val="16"/>
        </w:rPr>
        <w:t xml:space="preserve"> </w:t>
      </w:r>
      <w:r>
        <w:rPr>
          <w:sz w:val="16"/>
        </w:rPr>
        <w:t>this</w:t>
      </w:r>
      <w:r>
        <w:rPr>
          <w:spacing w:val="-3"/>
          <w:sz w:val="16"/>
        </w:rPr>
        <w:t xml:space="preserve"> </w:t>
      </w:r>
      <w:r>
        <w:rPr>
          <w:spacing w:val="-2"/>
          <w:sz w:val="16"/>
        </w:rPr>
        <w:t>document.</w:t>
      </w:r>
    </w:p>
    <w:p w14:paraId="1E805A66"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A67" w14:textId="77777777" w:rsidR="00AA4A02" w:rsidRDefault="00960F31">
      <w:pPr>
        <w:pStyle w:val="ListParagraph"/>
        <w:numPr>
          <w:ilvl w:val="0"/>
          <w:numId w:val="29"/>
        </w:numPr>
        <w:tabs>
          <w:tab w:val="left" w:pos="851"/>
        </w:tabs>
        <w:spacing w:before="219" w:line="208" w:lineRule="auto"/>
        <w:ind w:right="278"/>
      </w:pPr>
      <w:r>
        <w:lastRenderedPageBreak/>
        <w:t>The</w:t>
      </w:r>
      <w:r>
        <w:rPr>
          <w:spacing w:val="-3"/>
        </w:rPr>
        <w:t xml:space="preserve"> </w:t>
      </w:r>
      <w:r>
        <w:t>AUASB’s</w:t>
      </w:r>
      <w:r>
        <w:rPr>
          <w:spacing w:val="-2"/>
        </w:rPr>
        <w:t xml:space="preserve"> </w:t>
      </w:r>
      <w:r>
        <w:t>interaction</w:t>
      </w:r>
      <w:r>
        <w:rPr>
          <w:spacing w:val="-5"/>
        </w:rPr>
        <w:t xml:space="preserve"> </w:t>
      </w:r>
      <w:r>
        <w:t>with</w:t>
      </w:r>
      <w:r>
        <w:rPr>
          <w:spacing w:val="-5"/>
        </w:rPr>
        <w:t xml:space="preserve"> </w:t>
      </w:r>
      <w:r>
        <w:t>relevant</w:t>
      </w:r>
      <w:r>
        <w:rPr>
          <w:spacing w:val="-5"/>
        </w:rPr>
        <w:t xml:space="preserve"> </w:t>
      </w:r>
      <w:r>
        <w:t>international</w:t>
      </w:r>
      <w:r>
        <w:rPr>
          <w:spacing w:val="-5"/>
        </w:rPr>
        <w:t xml:space="preserve"> </w:t>
      </w:r>
      <w:r>
        <w:t>bodies is</w:t>
      </w:r>
      <w:r>
        <w:rPr>
          <w:spacing w:val="-3"/>
        </w:rPr>
        <w:t xml:space="preserve"> </w:t>
      </w:r>
      <w:r>
        <w:t>carried</w:t>
      </w:r>
      <w:r>
        <w:rPr>
          <w:spacing w:val="-3"/>
        </w:rPr>
        <w:t xml:space="preserve"> </w:t>
      </w:r>
      <w:r>
        <w:t>out</w:t>
      </w:r>
      <w:r>
        <w:rPr>
          <w:spacing w:val="-5"/>
        </w:rPr>
        <w:t xml:space="preserve"> </w:t>
      </w:r>
      <w:r>
        <w:t>in</w:t>
      </w:r>
      <w:r>
        <w:rPr>
          <w:spacing w:val="-3"/>
        </w:rPr>
        <w:t xml:space="preserve"> </w:t>
      </w:r>
      <w:r>
        <w:t>accordance</w:t>
      </w:r>
      <w:r>
        <w:rPr>
          <w:spacing w:val="-3"/>
        </w:rPr>
        <w:t xml:space="preserve"> </w:t>
      </w:r>
      <w:r>
        <w:t>with the following AUASB strategies and protocols:</w:t>
      </w:r>
    </w:p>
    <w:p w14:paraId="1E805A68" w14:textId="77777777" w:rsidR="00AA4A02" w:rsidRDefault="00960F31">
      <w:pPr>
        <w:pStyle w:val="ListParagraph"/>
        <w:numPr>
          <w:ilvl w:val="1"/>
          <w:numId w:val="29"/>
        </w:numPr>
        <w:tabs>
          <w:tab w:val="left" w:pos="1562"/>
        </w:tabs>
        <w:spacing w:before="175"/>
      </w:pPr>
      <w:hyperlink r:id="rId78">
        <w:r>
          <w:rPr>
            <w:i/>
            <w:color w:val="0000FF"/>
            <w:u w:val="single" w:color="0000FF"/>
          </w:rPr>
          <w:t>AUASB</w:t>
        </w:r>
        <w:r>
          <w:rPr>
            <w:i/>
            <w:color w:val="0000FF"/>
            <w:spacing w:val="-6"/>
            <w:u w:val="single" w:color="0000FF"/>
          </w:rPr>
          <w:t xml:space="preserve"> </w:t>
        </w:r>
        <w:r>
          <w:rPr>
            <w:i/>
            <w:color w:val="0000FF"/>
            <w:u w:val="single" w:color="0000FF"/>
          </w:rPr>
          <w:t>International</w:t>
        </w:r>
        <w:r>
          <w:rPr>
            <w:i/>
            <w:color w:val="0000FF"/>
            <w:spacing w:val="-4"/>
            <w:u w:val="single" w:color="0000FF"/>
          </w:rPr>
          <w:t xml:space="preserve"> </w:t>
        </w:r>
        <w:r>
          <w:rPr>
            <w:i/>
            <w:color w:val="0000FF"/>
            <w:spacing w:val="-2"/>
            <w:u w:val="single" w:color="0000FF"/>
          </w:rPr>
          <w:t>Strategy</w:t>
        </w:r>
      </w:hyperlink>
      <w:r>
        <w:rPr>
          <w:spacing w:val="-2"/>
        </w:rPr>
        <w:t>;</w:t>
      </w:r>
    </w:p>
    <w:p w14:paraId="1E805A69" w14:textId="77777777" w:rsidR="00AA4A02" w:rsidRDefault="00960F31">
      <w:pPr>
        <w:pStyle w:val="ListParagraph"/>
        <w:numPr>
          <w:ilvl w:val="1"/>
          <w:numId w:val="29"/>
        </w:numPr>
        <w:tabs>
          <w:tab w:val="left" w:pos="1562"/>
        </w:tabs>
        <w:spacing w:before="193" w:line="208" w:lineRule="auto"/>
        <w:ind w:right="397"/>
      </w:pPr>
      <w:hyperlink r:id="rId79">
        <w:r>
          <w:rPr>
            <w:i/>
            <w:color w:val="0000FF"/>
            <w:u w:val="single" w:color="0000FF"/>
          </w:rPr>
          <w:t>Protocol</w:t>
        </w:r>
        <w:r>
          <w:rPr>
            <w:i/>
            <w:color w:val="0000FF"/>
            <w:spacing w:val="-5"/>
            <w:u w:val="single" w:color="0000FF"/>
          </w:rPr>
          <w:t xml:space="preserve"> </w:t>
        </w:r>
        <w:r>
          <w:rPr>
            <w:i/>
            <w:color w:val="0000FF"/>
            <w:u w:val="single" w:color="0000FF"/>
          </w:rPr>
          <w:t>for</w:t>
        </w:r>
        <w:r>
          <w:rPr>
            <w:i/>
            <w:color w:val="0000FF"/>
            <w:spacing w:val="-4"/>
            <w:u w:val="single" w:color="0000FF"/>
          </w:rPr>
          <w:t xml:space="preserve"> </w:t>
        </w:r>
        <w:r>
          <w:rPr>
            <w:i/>
            <w:color w:val="0000FF"/>
            <w:u w:val="single" w:color="0000FF"/>
          </w:rPr>
          <w:t>Co-operation</w:t>
        </w:r>
        <w:r>
          <w:rPr>
            <w:i/>
            <w:color w:val="0000FF"/>
            <w:spacing w:val="-6"/>
            <w:u w:val="single" w:color="0000FF"/>
          </w:rPr>
          <w:t xml:space="preserve"> </w:t>
        </w:r>
        <w:r>
          <w:rPr>
            <w:i/>
            <w:color w:val="0000FF"/>
            <w:u w:val="single" w:color="0000FF"/>
          </w:rPr>
          <w:t>between</w:t>
        </w:r>
        <w:r>
          <w:rPr>
            <w:i/>
            <w:color w:val="0000FF"/>
            <w:spacing w:val="-4"/>
            <w:u w:val="single" w:color="0000FF"/>
          </w:rPr>
          <w:t xml:space="preserve"> </w:t>
        </w:r>
        <w:r>
          <w:rPr>
            <w:i/>
            <w:color w:val="0000FF"/>
            <w:u w:val="single" w:color="0000FF"/>
          </w:rPr>
          <w:t>the</w:t>
        </w:r>
        <w:r>
          <w:rPr>
            <w:i/>
            <w:color w:val="0000FF"/>
            <w:spacing w:val="-4"/>
            <w:u w:val="single" w:color="0000FF"/>
          </w:rPr>
          <w:t xml:space="preserve"> </w:t>
        </w:r>
        <w:r>
          <w:rPr>
            <w:i/>
            <w:color w:val="0000FF"/>
            <w:u w:val="single" w:color="0000FF"/>
          </w:rPr>
          <w:t>Australian</w:t>
        </w:r>
        <w:r>
          <w:rPr>
            <w:i/>
            <w:color w:val="0000FF"/>
            <w:spacing w:val="-4"/>
            <w:u w:val="single" w:color="0000FF"/>
          </w:rPr>
          <w:t xml:space="preserve"> </w:t>
        </w:r>
        <w:r>
          <w:rPr>
            <w:i/>
            <w:color w:val="0000FF"/>
            <w:u w:val="single" w:color="0000FF"/>
          </w:rPr>
          <w:t>Accounting</w:t>
        </w:r>
        <w:r>
          <w:rPr>
            <w:i/>
            <w:color w:val="0000FF"/>
            <w:spacing w:val="-4"/>
            <w:u w:val="single" w:color="0000FF"/>
          </w:rPr>
          <w:t xml:space="preserve"> </w:t>
        </w:r>
        <w:r>
          <w:rPr>
            <w:i/>
            <w:color w:val="0000FF"/>
            <w:u w:val="single" w:color="0000FF"/>
          </w:rPr>
          <w:t>Standards</w:t>
        </w:r>
        <w:r>
          <w:rPr>
            <w:i/>
            <w:color w:val="0000FF"/>
            <w:spacing w:val="-3"/>
            <w:u w:val="single" w:color="0000FF"/>
          </w:rPr>
          <w:t xml:space="preserve"> </w:t>
        </w:r>
        <w:r>
          <w:rPr>
            <w:i/>
            <w:color w:val="0000FF"/>
            <w:u w:val="single" w:color="0000FF"/>
          </w:rPr>
          <w:t>Board,</w:t>
        </w:r>
        <w:r>
          <w:rPr>
            <w:i/>
            <w:color w:val="0000FF"/>
            <w:spacing w:val="-5"/>
            <w:u w:val="single" w:color="0000FF"/>
          </w:rPr>
          <w:t xml:space="preserve"> </w:t>
        </w:r>
        <w:r>
          <w:rPr>
            <w:i/>
            <w:color w:val="0000FF"/>
            <w:u w:val="single" w:color="0000FF"/>
          </w:rPr>
          <w:t>the</w:t>
        </w:r>
      </w:hyperlink>
      <w:r>
        <w:rPr>
          <w:i/>
          <w:color w:val="0000FF"/>
        </w:rPr>
        <w:t xml:space="preserve"> </w:t>
      </w:r>
      <w:hyperlink r:id="rId80">
        <w:r>
          <w:rPr>
            <w:i/>
            <w:color w:val="0000FF"/>
            <w:u w:val="single" w:color="0000FF"/>
          </w:rPr>
          <w:t>Australian Auditing and Assurance Standards Board, the Australian Financial</w:t>
        </w:r>
      </w:hyperlink>
      <w:r>
        <w:rPr>
          <w:i/>
          <w:color w:val="0000FF"/>
        </w:rPr>
        <w:t xml:space="preserve"> </w:t>
      </w:r>
      <w:hyperlink r:id="rId81">
        <w:r>
          <w:rPr>
            <w:i/>
            <w:color w:val="0000FF"/>
            <w:u w:val="single" w:color="0000FF"/>
          </w:rPr>
          <w:t>Reporting Council and the New Zealand External Reporting Board</w:t>
        </w:r>
      </w:hyperlink>
      <w:r>
        <w:t>; and</w:t>
      </w:r>
    </w:p>
    <w:p w14:paraId="1E805A6A" w14:textId="77777777" w:rsidR="00AA4A02" w:rsidRDefault="00960F31">
      <w:pPr>
        <w:pStyle w:val="ListParagraph"/>
        <w:numPr>
          <w:ilvl w:val="1"/>
          <w:numId w:val="29"/>
        </w:numPr>
        <w:tabs>
          <w:tab w:val="left" w:pos="1562"/>
        </w:tabs>
        <w:spacing w:before="199" w:line="208" w:lineRule="auto"/>
        <w:ind w:right="583"/>
      </w:pPr>
      <w:hyperlink r:id="rId82">
        <w:r>
          <w:rPr>
            <w:i/>
            <w:color w:val="0000FF"/>
            <w:u w:val="single" w:color="0000FF"/>
          </w:rPr>
          <w:t>AUASB</w:t>
        </w:r>
        <w:r>
          <w:rPr>
            <w:i/>
            <w:color w:val="0000FF"/>
            <w:spacing w:val="-4"/>
            <w:u w:val="single" w:color="0000FF"/>
          </w:rPr>
          <w:t xml:space="preserve"> </w:t>
        </w:r>
        <w:r>
          <w:rPr>
            <w:i/>
            <w:color w:val="0000FF"/>
            <w:u w:val="single" w:color="0000FF"/>
          </w:rPr>
          <w:t>Policy</w:t>
        </w:r>
        <w:r>
          <w:rPr>
            <w:i/>
            <w:color w:val="0000FF"/>
            <w:spacing w:val="-3"/>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Process</w:t>
        </w:r>
        <w:r>
          <w:rPr>
            <w:i/>
            <w:color w:val="0000FF"/>
            <w:spacing w:val="-5"/>
            <w:u w:val="single" w:color="0000FF"/>
          </w:rPr>
          <w:t xml:space="preserve"> </w:t>
        </w:r>
        <w:r>
          <w:rPr>
            <w:i/>
            <w:color w:val="0000FF"/>
            <w:u w:val="single" w:color="0000FF"/>
          </w:rPr>
          <w:t>for</w:t>
        </w:r>
        <w:r>
          <w:rPr>
            <w:i/>
            <w:color w:val="0000FF"/>
            <w:spacing w:val="-5"/>
            <w:u w:val="single" w:color="0000FF"/>
          </w:rPr>
          <w:t xml:space="preserve"> </w:t>
        </w:r>
        <w:r>
          <w:rPr>
            <w:i/>
            <w:color w:val="0000FF"/>
            <w:u w:val="single" w:color="0000FF"/>
          </w:rPr>
          <w:t>International</w:t>
        </w:r>
        <w:r>
          <w:rPr>
            <w:i/>
            <w:color w:val="0000FF"/>
            <w:spacing w:val="-2"/>
            <w:u w:val="single" w:color="0000FF"/>
          </w:rPr>
          <w:t xml:space="preserve"> </w:t>
        </w:r>
        <w:r>
          <w:rPr>
            <w:i/>
            <w:color w:val="0000FF"/>
            <w:u w:val="single" w:color="0000FF"/>
          </w:rPr>
          <w:t>Conformance</w:t>
        </w:r>
        <w:r>
          <w:rPr>
            <w:i/>
            <w:color w:val="0000FF"/>
            <w:spacing w:val="-3"/>
            <w:u w:val="single" w:color="0000FF"/>
          </w:rPr>
          <w:t xml:space="preserve"> </w:t>
        </w:r>
        <w:r>
          <w:rPr>
            <w:i/>
            <w:color w:val="0000FF"/>
            <w:u w:val="single" w:color="0000FF"/>
          </w:rPr>
          <w:t>and</w:t>
        </w:r>
        <w:r>
          <w:rPr>
            <w:i/>
            <w:color w:val="0000FF"/>
            <w:spacing w:val="-3"/>
            <w:u w:val="single" w:color="0000FF"/>
          </w:rPr>
          <w:t xml:space="preserve"> </w:t>
        </w:r>
        <w:r>
          <w:rPr>
            <w:i/>
            <w:color w:val="0000FF"/>
            <w:u w:val="single" w:color="0000FF"/>
          </w:rPr>
          <w:t>Harmonisation</w:t>
        </w:r>
        <w:r>
          <w:rPr>
            <w:i/>
            <w:color w:val="0000FF"/>
            <w:spacing w:val="-6"/>
            <w:u w:val="single" w:color="0000FF"/>
          </w:rPr>
          <w:t xml:space="preserve"> </w:t>
        </w:r>
        <w:r>
          <w:rPr>
            <w:i/>
            <w:color w:val="0000FF"/>
            <w:u w:val="single" w:color="0000FF"/>
          </w:rPr>
          <w:t>of</w:t>
        </w:r>
      </w:hyperlink>
      <w:r>
        <w:rPr>
          <w:i/>
          <w:color w:val="0000FF"/>
        </w:rPr>
        <w:t xml:space="preserve"> </w:t>
      </w:r>
      <w:hyperlink r:id="rId83">
        <w:r>
          <w:rPr>
            <w:i/>
            <w:color w:val="0000FF"/>
            <w:spacing w:val="-2"/>
            <w:u w:val="single" w:color="0000FF"/>
          </w:rPr>
          <w:t>Standards</w:t>
        </w:r>
      </w:hyperlink>
      <w:r>
        <w:rPr>
          <w:spacing w:val="-2"/>
        </w:rPr>
        <w:t>.</w:t>
      </w:r>
    </w:p>
    <w:p w14:paraId="1E805A6B" w14:textId="77777777" w:rsidR="00AA4A02" w:rsidRDefault="00960F31">
      <w:pPr>
        <w:pStyle w:val="ListParagraph"/>
        <w:numPr>
          <w:ilvl w:val="0"/>
          <w:numId w:val="29"/>
        </w:numPr>
        <w:tabs>
          <w:tab w:val="left" w:pos="851"/>
        </w:tabs>
        <w:spacing w:line="208" w:lineRule="auto"/>
        <w:ind w:right="447"/>
      </w:pPr>
      <w:r>
        <w:t>The</w:t>
      </w:r>
      <w:r>
        <w:rPr>
          <w:spacing w:val="-3"/>
        </w:rPr>
        <w:t xml:space="preserve"> </w:t>
      </w:r>
      <w:r>
        <w:t>key</w:t>
      </w:r>
      <w:r>
        <w:rPr>
          <w:spacing w:val="-3"/>
        </w:rPr>
        <w:t xml:space="preserve"> </w:t>
      </w:r>
      <w:r>
        <w:t>national</w:t>
      </w:r>
      <w:r>
        <w:rPr>
          <w:spacing w:val="-2"/>
        </w:rPr>
        <w:t xml:space="preserve"> </w:t>
      </w:r>
      <w:r>
        <w:t>and</w:t>
      </w:r>
      <w:r>
        <w:rPr>
          <w:spacing w:val="-2"/>
        </w:rPr>
        <w:t xml:space="preserve"> </w:t>
      </w:r>
      <w:r>
        <w:t>international</w:t>
      </w:r>
      <w:r>
        <w:rPr>
          <w:spacing w:val="-2"/>
        </w:rPr>
        <w:t xml:space="preserve"> </w:t>
      </w:r>
      <w:r>
        <w:t>bodies</w:t>
      </w:r>
      <w:r>
        <w:rPr>
          <w:spacing w:val="-5"/>
        </w:rPr>
        <w:t xml:space="preserve"> </w:t>
      </w:r>
      <w:r>
        <w:t>the</w:t>
      </w:r>
      <w:r>
        <w:rPr>
          <w:spacing w:val="-3"/>
        </w:rPr>
        <w:t xml:space="preserve"> </w:t>
      </w:r>
      <w:r>
        <w:t>AUASB</w:t>
      </w:r>
      <w:r>
        <w:rPr>
          <w:spacing w:val="-7"/>
        </w:rPr>
        <w:t xml:space="preserve"> </w:t>
      </w:r>
      <w:r>
        <w:t>cooperates</w:t>
      </w:r>
      <w:r>
        <w:rPr>
          <w:spacing w:val="-3"/>
        </w:rPr>
        <w:t xml:space="preserve"> </w:t>
      </w:r>
      <w:r>
        <w:t>and</w:t>
      </w:r>
      <w:r>
        <w:rPr>
          <w:spacing w:val="-3"/>
        </w:rPr>
        <w:t xml:space="preserve"> </w:t>
      </w:r>
      <w:r>
        <w:t>engages</w:t>
      </w:r>
      <w:r>
        <w:rPr>
          <w:spacing w:val="-3"/>
        </w:rPr>
        <w:t xml:space="preserve"> </w:t>
      </w:r>
      <w:r>
        <w:t>with include international and national auditing and assurance standard setters,</w:t>
      </w:r>
      <w:r>
        <w:rPr>
          <w:vertAlign w:val="superscript"/>
        </w:rPr>
        <w:t>28</w:t>
      </w:r>
      <w:r>
        <w:t xml:space="preserve"> such as:</w:t>
      </w:r>
    </w:p>
    <w:p w14:paraId="1E805A6C" w14:textId="77777777" w:rsidR="00AA4A02" w:rsidRDefault="00960F31">
      <w:pPr>
        <w:pStyle w:val="ListParagraph"/>
        <w:numPr>
          <w:ilvl w:val="1"/>
          <w:numId w:val="29"/>
        </w:numPr>
        <w:tabs>
          <w:tab w:val="left" w:pos="1562"/>
        </w:tabs>
        <w:spacing w:before="174"/>
      </w:pPr>
      <w:r>
        <w:t xml:space="preserve">the </w:t>
      </w:r>
      <w:r>
        <w:rPr>
          <w:spacing w:val="-2"/>
        </w:rPr>
        <w:t>IAASB</w:t>
      </w:r>
      <w:r>
        <w:rPr>
          <w:spacing w:val="-2"/>
          <w:vertAlign w:val="superscript"/>
        </w:rPr>
        <w:t>29</w:t>
      </w:r>
      <w:r>
        <w:rPr>
          <w:spacing w:val="-2"/>
        </w:rPr>
        <w:t>;</w:t>
      </w:r>
    </w:p>
    <w:p w14:paraId="1E805A6D" w14:textId="77777777" w:rsidR="00AA4A02" w:rsidRDefault="00960F31">
      <w:pPr>
        <w:pStyle w:val="ListParagraph"/>
        <w:numPr>
          <w:ilvl w:val="1"/>
          <w:numId w:val="29"/>
        </w:numPr>
        <w:tabs>
          <w:tab w:val="left" w:pos="1562"/>
        </w:tabs>
        <w:spacing w:before="88"/>
      </w:pPr>
      <w:r>
        <w:t>the</w:t>
      </w:r>
      <w:r>
        <w:rPr>
          <w:spacing w:val="-6"/>
        </w:rPr>
        <w:t xml:space="preserve"> </w:t>
      </w:r>
      <w:r>
        <w:t>New</w:t>
      </w:r>
      <w:r>
        <w:rPr>
          <w:spacing w:val="-4"/>
        </w:rPr>
        <w:t xml:space="preserve"> </w:t>
      </w:r>
      <w:r>
        <w:t>Zealand</w:t>
      </w:r>
      <w:r>
        <w:rPr>
          <w:spacing w:val="-2"/>
        </w:rPr>
        <w:t xml:space="preserve"> </w:t>
      </w:r>
      <w:r>
        <w:t>Auditing</w:t>
      </w:r>
      <w:r>
        <w:rPr>
          <w:spacing w:val="-5"/>
        </w:rPr>
        <w:t xml:space="preserve"> </w:t>
      </w:r>
      <w:r>
        <w:t>and</w:t>
      </w:r>
      <w:r>
        <w:rPr>
          <w:spacing w:val="-3"/>
        </w:rPr>
        <w:t xml:space="preserve"> </w:t>
      </w:r>
      <w:r>
        <w:t>Assurance</w:t>
      </w:r>
      <w:r>
        <w:rPr>
          <w:spacing w:val="-2"/>
        </w:rPr>
        <w:t xml:space="preserve"> </w:t>
      </w:r>
      <w:r>
        <w:t>Standards</w:t>
      </w:r>
      <w:r>
        <w:rPr>
          <w:spacing w:val="-5"/>
        </w:rPr>
        <w:t xml:space="preserve"> </w:t>
      </w:r>
      <w:r>
        <w:t>Board</w:t>
      </w:r>
      <w:r>
        <w:rPr>
          <w:spacing w:val="-6"/>
        </w:rPr>
        <w:t xml:space="preserve"> </w:t>
      </w:r>
      <w:r>
        <w:rPr>
          <w:spacing w:val="-2"/>
        </w:rPr>
        <w:t>(NZAuASB);</w:t>
      </w:r>
    </w:p>
    <w:p w14:paraId="1E805A6E" w14:textId="77777777" w:rsidR="00AA4A02" w:rsidRDefault="00960F31">
      <w:pPr>
        <w:pStyle w:val="ListParagraph"/>
        <w:numPr>
          <w:ilvl w:val="1"/>
          <w:numId w:val="29"/>
        </w:numPr>
        <w:tabs>
          <w:tab w:val="left" w:pos="1562"/>
        </w:tabs>
        <w:spacing w:before="86"/>
      </w:pPr>
      <w:r>
        <w:t>the</w:t>
      </w:r>
      <w:r>
        <w:rPr>
          <w:spacing w:val="-5"/>
        </w:rPr>
        <w:t xml:space="preserve"> </w:t>
      </w:r>
      <w:r>
        <w:t>IAASB</w:t>
      </w:r>
      <w:r>
        <w:rPr>
          <w:spacing w:val="-4"/>
        </w:rPr>
        <w:t xml:space="preserve"> </w:t>
      </w:r>
      <w:r>
        <w:t>National</w:t>
      </w:r>
      <w:r>
        <w:rPr>
          <w:spacing w:val="-5"/>
        </w:rPr>
        <w:t xml:space="preserve"> </w:t>
      </w:r>
      <w:r>
        <w:t>Standard</w:t>
      </w:r>
      <w:r>
        <w:rPr>
          <w:spacing w:val="-4"/>
        </w:rPr>
        <w:t xml:space="preserve"> </w:t>
      </w:r>
      <w:r>
        <w:t>Setters</w:t>
      </w:r>
      <w:r>
        <w:rPr>
          <w:spacing w:val="-4"/>
        </w:rPr>
        <w:t xml:space="preserve"> </w:t>
      </w:r>
      <w:r>
        <w:t>Group</w:t>
      </w:r>
      <w:r>
        <w:rPr>
          <w:spacing w:val="-5"/>
        </w:rPr>
        <w:t xml:space="preserve"> </w:t>
      </w:r>
      <w:r>
        <w:t>(IAASB</w:t>
      </w:r>
      <w:r>
        <w:rPr>
          <w:spacing w:val="-5"/>
        </w:rPr>
        <w:t xml:space="preserve"> </w:t>
      </w:r>
      <w:r>
        <w:t>NSS);</w:t>
      </w:r>
      <w:r>
        <w:rPr>
          <w:spacing w:val="-3"/>
        </w:rPr>
        <w:t xml:space="preserve"> </w:t>
      </w:r>
      <w:r>
        <w:rPr>
          <w:spacing w:val="-5"/>
        </w:rPr>
        <w:t>and</w:t>
      </w:r>
    </w:p>
    <w:p w14:paraId="1E805A6F" w14:textId="77777777" w:rsidR="00AA4A02" w:rsidRDefault="00960F31">
      <w:pPr>
        <w:pStyle w:val="ListParagraph"/>
        <w:numPr>
          <w:ilvl w:val="1"/>
          <w:numId w:val="29"/>
        </w:numPr>
        <w:tabs>
          <w:tab w:val="left" w:pos="1562"/>
        </w:tabs>
        <w:spacing w:before="88"/>
      </w:pPr>
      <w:r>
        <w:t>where</w:t>
      </w:r>
      <w:r>
        <w:rPr>
          <w:spacing w:val="-5"/>
        </w:rPr>
        <w:t xml:space="preserve"> </w:t>
      </w:r>
      <w:r>
        <w:t>appropriate,</w:t>
      </w:r>
      <w:r>
        <w:rPr>
          <w:spacing w:val="-4"/>
        </w:rPr>
        <w:t xml:space="preserve"> </w:t>
      </w:r>
      <w:r>
        <w:t>other</w:t>
      </w:r>
      <w:r>
        <w:rPr>
          <w:spacing w:val="-4"/>
        </w:rPr>
        <w:t xml:space="preserve"> </w:t>
      </w:r>
      <w:r>
        <w:t>national</w:t>
      </w:r>
      <w:r>
        <w:rPr>
          <w:spacing w:val="-5"/>
        </w:rPr>
        <w:t xml:space="preserve"> </w:t>
      </w:r>
      <w:r>
        <w:t>auditing</w:t>
      </w:r>
      <w:r>
        <w:rPr>
          <w:spacing w:val="-5"/>
        </w:rPr>
        <w:t xml:space="preserve"> </w:t>
      </w:r>
      <w:r>
        <w:t>standard</w:t>
      </w:r>
      <w:r>
        <w:rPr>
          <w:spacing w:val="-6"/>
        </w:rPr>
        <w:t xml:space="preserve"> </w:t>
      </w:r>
      <w:r>
        <w:rPr>
          <w:spacing w:val="-2"/>
        </w:rPr>
        <w:t>setters.</w:t>
      </w:r>
    </w:p>
    <w:p w14:paraId="1E805A70" w14:textId="77777777" w:rsidR="00AA4A02" w:rsidRDefault="00960F31">
      <w:pPr>
        <w:pStyle w:val="ListParagraph"/>
        <w:numPr>
          <w:ilvl w:val="0"/>
          <w:numId w:val="29"/>
        </w:numPr>
        <w:tabs>
          <w:tab w:val="left" w:pos="851"/>
        </w:tabs>
        <w:spacing w:before="193" w:line="208" w:lineRule="auto"/>
        <w:ind w:right="151"/>
      </w:pPr>
      <w:r>
        <w:t>One</w:t>
      </w:r>
      <w:r>
        <w:rPr>
          <w:spacing w:val="-2"/>
        </w:rPr>
        <w:t xml:space="preserve"> </w:t>
      </w:r>
      <w:r>
        <w:t>of</w:t>
      </w:r>
      <w:r>
        <w:rPr>
          <w:spacing w:val="-4"/>
        </w:rPr>
        <w:t xml:space="preserve"> </w:t>
      </w:r>
      <w:r>
        <w:t>the</w:t>
      </w:r>
      <w:r>
        <w:rPr>
          <w:spacing w:val="-1"/>
        </w:rPr>
        <w:t xml:space="preserve"> </w:t>
      </w:r>
      <w:r>
        <w:t>strategic</w:t>
      </w:r>
      <w:r>
        <w:rPr>
          <w:spacing w:val="-1"/>
        </w:rPr>
        <w:t xml:space="preserve"> </w:t>
      </w:r>
      <w:r>
        <w:t>objectives</w:t>
      </w:r>
      <w:r>
        <w:rPr>
          <w:spacing w:val="-2"/>
        </w:rPr>
        <w:t xml:space="preserve"> </w:t>
      </w:r>
      <w:r>
        <w:t>of</w:t>
      </w:r>
      <w:r>
        <w:rPr>
          <w:spacing w:val="-2"/>
        </w:rPr>
        <w:t xml:space="preserve"> </w:t>
      </w:r>
      <w:r>
        <w:t>the</w:t>
      </w:r>
      <w:r>
        <w:rPr>
          <w:spacing w:val="-2"/>
        </w:rPr>
        <w:t xml:space="preserve"> </w:t>
      </w:r>
      <w:r>
        <w:t>AUASB</w:t>
      </w:r>
      <w:r>
        <w:rPr>
          <w:spacing w:val="-2"/>
        </w:rPr>
        <w:t xml:space="preserve"> </w:t>
      </w:r>
      <w:r>
        <w:t>is</w:t>
      </w:r>
      <w:r>
        <w:rPr>
          <w:spacing w:val="-2"/>
        </w:rPr>
        <w:t xml:space="preserve"> </w:t>
      </w:r>
      <w:r>
        <w:t>to</w:t>
      </w:r>
      <w:r>
        <w:rPr>
          <w:spacing w:val="-2"/>
        </w:rPr>
        <w:t xml:space="preserve"> </w:t>
      </w:r>
      <w:r>
        <w:t>maximise</w:t>
      </w:r>
      <w:r>
        <w:rPr>
          <w:spacing w:val="-2"/>
        </w:rPr>
        <w:t xml:space="preserve"> </w:t>
      </w:r>
      <w:r>
        <w:t>Australian</w:t>
      </w:r>
      <w:r>
        <w:rPr>
          <w:spacing w:val="-2"/>
        </w:rPr>
        <w:t xml:space="preserve"> </w:t>
      </w:r>
      <w:r>
        <w:t>input</w:t>
      </w:r>
      <w:r>
        <w:rPr>
          <w:spacing w:val="-4"/>
        </w:rPr>
        <w:t xml:space="preserve"> </w:t>
      </w:r>
      <w:r>
        <w:t>and</w:t>
      </w:r>
      <w:r>
        <w:rPr>
          <w:spacing w:val="-3"/>
        </w:rPr>
        <w:t xml:space="preserve"> </w:t>
      </w:r>
      <w:r>
        <w:t>influence</w:t>
      </w:r>
      <w:r>
        <w:rPr>
          <w:spacing w:val="-1"/>
        </w:rPr>
        <w:t xml:space="preserve"> </w:t>
      </w:r>
      <w:r>
        <w:t xml:space="preserve">of international standards and guidance to achieve public interest outcomes and also to serve as the most effective base possible for Australian auditing and assurance standards. The </w:t>
      </w:r>
      <w:hyperlink r:id="rId84">
        <w:r>
          <w:rPr>
            <w:i/>
            <w:color w:val="0000FF"/>
            <w:u w:val="single" w:color="0000FF"/>
          </w:rPr>
          <w:t>AUASB</w:t>
        </w:r>
      </w:hyperlink>
      <w:r>
        <w:rPr>
          <w:i/>
          <w:color w:val="0000FF"/>
        </w:rPr>
        <w:t xml:space="preserve"> </w:t>
      </w:r>
      <w:hyperlink r:id="rId85">
        <w:r>
          <w:rPr>
            <w:i/>
            <w:color w:val="0000FF"/>
            <w:u w:val="single" w:color="0000FF"/>
          </w:rPr>
          <w:t>International</w:t>
        </w:r>
        <w:r>
          <w:rPr>
            <w:i/>
            <w:color w:val="0000FF"/>
            <w:spacing w:val="-1"/>
            <w:u w:val="single" w:color="0000FF"/>
          </w:rPr>
          <w:t xml:space="preserve"> </w:t>
        </w:r>
        <w:r>
          <w:rPr>
            <w:i/>
            <w:color w:val="0000FF"/>
            <w:u w:val="single" w:color="0000FF"/>
          </w:rPr>
          <w:t>Strategy</w:t>
        </w:r>
      </w:hyperlink>
      <w:r>
        <w:rPr>
          <w:i/>
          <w:color w:val="0000FF"/>
        </w:rPr>
        <w:t xml:space="preserve"> </w:t>
      </w:r>
      <w:r>
        <w:t>outlines</w:t>
      </w:r>
      <w:r>
        <w:rPr>
          <w:spacing w:val="-2"/>
        </w:rPr>
        <w:t xml:space="preserve"> </w:t>
      </w:r>
      <w:r>
        <w:t>the</w:t>
      </w:r>
      <w:r>
        <w:rPr>
          <w:spacing w:val="-4"/>
        </w:rPr>
        <w:t xml:space="preserve"> </w:t>
      </w:r>
      <w:r>
        <w:t>methods</w:t>
      </w:r>
      <w:r>
        <w:rPr>
          <w:spacing w:val="-4"/>
        </w:rPr>
        <w:t xml:space="preserve"> </w:t>
      </w:r>
      <w:r>
        <w:t>the</w:t>
      </w:r>
      <w:r>
        <w:rPr>
          <w:spacing w:val="-2"/>
        </w:rPr>
        <w:t xml:space="preserve"> </w:t>
      </w:r>
      <w:r>
        <w:t>AUASB</w:t>
      </w:r>
      <w:r>
        <w:rPr>
          <w:spacing w:val="-2"/>
        </w:rPr>
        <w:t xml:space="preserve"> </w:t>
      </w:r>
      <w:r>
        <w:t>applies</w:t>
      </w:r>
      <w:r>
        <w:rPr>
          <w:spacing w:val="-3"/>
        </w:rPr>
        <w:t xml:space="preserve"> </w:t>
      </w:r>
      <w:r>
        <w:t>to</w:t>
      </w:r>
      <w:r>
        <w:rPr>
          <w:spacing w:val="-2"/>
        </w:rPr>
        <w:t xml:space="preserve"> </w:t>
      </w:r>
      <w:r>
        <w:t>participate</w:t>
      </w:r>
      <w:r>
        <w:rPr>
          <w:spacing w:val="-3"/>
        </w:rPr>
        <w:t xml:space="preserve"> </w:t>
      </w:r>
      <w:r>
        <w:t>in,</w:t>
      </w:r>
      <w:r>
        <w:rPr>
          <w:spacing w:val="-5"/>
        </w:rPr>
        <w:t xml:space="preserve"> </w:t>
      </w:r>
      <w:r>
        <w:t>contribute</w:t>
      </w:r>
      <w:r>
        <w:rPr>
          <w:spacing w:val="-4"/>
        </w:rPr>
        <w:t xml:space="preserve"> </w:t>
      </w:r>
      <w:r>
        <w:t>to, and influence the international standard-setting agenda.</w:t>
      </w:r>
      <w:r>
        <w:rPr>
          <w:vertAlign w:val="superscript"/>
        </w:rPr>
        <w:t>30</w:t>
      </w:r>
      <w:r>
        <w:t xml:space="preserve"> This involves:</w:t>
      </w:r>
    </w:p>
    <w:p w14:paraId="1E805A71" w14:textId="77777777" w:rsidR="00AA4A02" w:rsidRDefault="00960F31">
      <w:pPr>
        <w:pStyle w:val="ListParagraph"/>
        <w:numPr>
          <w:ilvl w:val="1"/>
          <w:numId w:val="29"/>
        </w:numPr>
        <w:tabs>
          <w:tab w:val="left" w:pos="1562"/>
        </w:tabs>
        <w:spacing w:before="198" w:line="208" w:lineRule="auto"/>
        <w:ind w:right="696"/>
      </w:pPr>
      <w:r>
        <w:t>regular</w:t>
      </w:r>
      <w:r>
        <w:rPr>
          <w:spacing w:val="-4"/>
        </w:rPr>
        <w:t xml:space="preserve"> </w:t>
      </w:r>
      <w:r>
        <w:t>international</w:t>
      </w:r>
      <w:r>
        <w:rPr>
          <w:spacing w:val="-5"/>
        </w:rPr>
        <w:t xml:space="preserve"> </w:t>
      </w:r>
      <w:r>
        <w:t>activities</w:t>
      </w:r>
      <w:r>
        <w:rPr>
          <w:spacing w:val="-3"/>
        </w:rPr>
        <w:t xml:space="preserve"> </w:t>
      </w:r>
      <w:r>
        <w:t>by</w:t>
      </w:r>
      <w:r>
        <w:rPr>
          <w:spacing w:val="-3"/>
        </w:rPr>
        <w:t xml:space="preserve"> </w:t>
      </w:r>
      <w:r>
        <w:t>AUASB</w:t>
      </w:r>
      <w:r>
        <w:rPr>
          <w:spacing w:val="-5"/>
        </w:rPr>
        <w:t xml:space="preserve"> </w:t>
      </w:r>
      <w:r>
        <w:t>members</w:t>
      </w:r>
      <w:r>
        <w:rPr>
          <w:spacing w:val="-5"/>
        </w:rPr>
        <w:t xml:space="preserve"> </w:t>
      </w:r>
      <w:r>
        <w:t>and</w:t>
      </w:r>
      <w:r>
        <w:rPr>
          <w:spacing w:val="-3"/>
        </w:rPr>
        <w:t xml:space="preserve"> </w:t>
      </w:r>
      <w:r>
        <w:t>technical</w:t>
      </w:r>
      <w:r>
        <w:rPr>
          <w:spacing w:val="-5"/>
        </w:rPr>
        <w:t xml:space="preserve"> </w:t>
      </w:r>
      <w:r>
        <w:t>staff</w:t>
      </w:r>
      <w:r>
        <w:rPr>
          <w:spacing w:val="-3"/>
        </w:rPr>
        <w:t xml:space="preserve"> </w:t>
      </w:r>
      <w:r>
        <w:t>to</w:t>
      </w:r>
      <w:r>
        <w:rPr>
          <w:spacing w:val="-6"/>
        </w:rPr>
        <w:t xml:space="preserve"> </w:t>
      </w:r>
      <w:r>
        <w:t>ensure adequate analysis of, and input to, regular IAASB activities; and</w:t>
      </w:r>
    </w:p>
    <w:p w14:paraId="1E805A72" w14:textId="77777777" w:rsidR="00AA4A02" w:rsidRDefault="00960F31">
      <w:pPr>
        <w:pStyle w:val="ListParagraph"/>
        <w:numPr>
          <w:ilvl w:val="1"/>
          <w:numId w:val="29"/>
        </w:numPr>
        <w:tabs>
          <w:tab w:val="left" w:pos="1562"/>
        </w:tabs>
        <w:spacing w:line="208" w:lineRule="auto"/>
        <w:ind w:right="984"/>
      </w:pPr>
      <w:r>
        <w:t>other</w:t>
      </w:r>
      <w:r>
        <w:rPr>
          <w:spacing w:val="-4"/>
        </w:rPr>
        <w:t xml:space="preserve"> </w:t>
      </w:r>
      <w:r>
        <w:t>operational</w:t>
      </w:r>
      <w:r>
        <w:rPr>
          <w:spacing w:val="-6"/>
        </w:rPr>
        <w:t xml:space="preserve"> </w:t>
      </w:r>
      <w:r>
        <w:t>or</w:t>
      </w:r>
      <w:r>
        <w:rPr>
          <w:spacing w:val="-4"/>
        </w:rPr>
        <w:t xml:space="preserve"> </w:t>
      </w:r>
      <w:r>
        <w:t>strategic</w:t>
      </w:r>
      <w:r>
        <w:rPr>
          <w:spacing w:val="-4"/>
        </w:rPr>
        <w:t xml:space="preserve"> </w:t>
      </w:r>
      <w:r>
        <w:t>tasks</w:t>
      </w:r>
      <w:r>
        <w:rPr>
          <w:spacing w:val="-6"/>
        </w:rPr>
        <w:t xml:space="preserve"> </w:t>
      </w:r>
      <w:r>
        <w:t>that</w:t>
      </w:r>
      <w:r>
        <w:rPr>
          <w:spacing w:val="-3"/>
        </w:rPr>
        <w:t xml:space="preserve"> </w:t>
      </w:r>
      <w:r>
        <w:t>support</w:t>
      </w:r>
      <w:r>
        <w:rPr>
          <w:spacing w:val="-3"/>
        </w:rPr>
        <w:t xml:space="preserve"> </w:t>
      </w:r>
      <w:r>
        <w:t>the</w:t>
      </w:r>
      <w:r>
        <w:rPr>
          <w:spacing w:val="-4"/>
        </w:rPr>
        <w:t xml:space="preserve"> </w:t>
      </w:r>
      <w:r>
        <w:t>AUASB’s</w:t>
      </w:r>
      <w:r>
        <w:rPr>
          <w:spacing w:val="-4"/>
        </w:rPr>
        <w:t xml:space="preserve"> </w:t>
      </w:r>
      <w:r>
        <w:t>engagement</w:t>
      </w:r>
      <w:r>
        <w:rPr>
          <w:spacing w:val="-3"/>
        </w:rPr>
        <w:t xml:space="preserve"> </w:t>
      </w:r>
      <w:r>
        <w:t>on international standard-setting issues.</w:t>
      </w:r>
    </w:p>
    <w:p w14:paraId="1E805A73" w14:textId="77777777" w:rsidR="00AA4A02" w:rsidRDefault="00960F31">
      <w:pPr>
        <w:spacing w:before="205"/>
        <w:ind w:left="143"/>
        <w:rPr>
          <w:b/>
        </w:rPr>
      </w:pPr>
      <w:bookmarkStart w:id="46" w:name="Engagement_with_the_IAASB"/>
      <w:bookmarkEnd w:id="46"/>
      <w:r>
        <w:rPr>
          <w:b/>
        </w:rPr>
        <w:t>Engagement</w:t>
      </w:r>
      <w:r>
        <w:rPr>
          <w:b/>
          <w:spacing w:val="-4"/>
        </w:rPr>
        <w:t xml:space="preserve"> </w:t>
      </w:r>
      <w:r>
        <w:rPr>
          <w:b/>
        </w:rPr>
        <w:t>with</w:t>
      </w:r>
      <w:r>
        <w:rPr>
          <w:b/>
          <w:spacing w:val="-4"/>
        </w:rPr>
        <w:t xml:space="preserve"> </w:t>
      </w:r>
      <w:r>
        <w:rPr>
          <w:b/>
        </w:rPr>
        <w:t>the</w:t>
      </w:r>
      <w:r>
        <w:rPr>
          <w:b/>
          <w:spacing w:val="-1"/>
        </w:rPr>
        <w:t xml:space="preserve"> </w:t>
      </w:r>
      <w:r>
        <w:rPr>
          <w:b/>
          <w:spacing w:val="-2"/>
        </w:rPr>
        <w:t>IAASB</w:t>
      </w:r>
    </w:p>
    <w:p w14:paraId="1E805A74" w14:textId="77777777" w:rsidR="00AA4A02" w:rsidRDefault="00960F31">
      <w:pPr>
        <w:pStyle w:val="ListParagraph"/>
        <w:numPr>
          <w:ilvl w:val="0"/>
          <w:numId w:val="29"/>
        </w:numPr>
        <w:tabs>
          <w:tab w:val="left" w:pos="851"/>
        </w:tabs>
        <w:spacing w:line="208" w:lineRule="auto"/>
        <w:ind w:right="171"/>
      </w:pPr>
      <w:r>
        <w:t>The IAASB develops international audit, assurance and audit-related standards and guidance for</w:t>
      </w:r>
      <w:r>
        <w:rPr>
          <w:spacing w:val="-2"/>
        </w:rPr>
        <w:t xml:space="preserve"> </w:t>
      </w:r>
      <w:r>
        <w:t>use</w:t>
      </w:r>
      <w:r>
        <w:rPr>
          <w:spacing w:val="-2"/>
        </w:rPr>
        <w:t xml:space="preserve"> </w:t>
      </w:r>
      <w:r>
        <w:t>by</w:t>
      </w:r>
      <w:r>
        <w:rPr>
          <w:spacing w:val="-5"/>
        </w:rPr>
        <w:t xml:space="preserve"> </w:t>
      </w:r>
      <w:r>
        <w:t>all</w:t>
      </w:r>
      <w:r>
        <w:rPr>
          <w:spacing w:val="-1"/>
        </w:rPr>
        <w:t xml:space="preserve"> </w:t>
      </w:r>
      <w:r>
        <w:t>professional</w:t>
      </w:r>
      <w:r>
        <w:rPr>
          <w:spacing w:val="-1"/>
        </w:rPr>
        <w:t xml:space="preserve"> </w:t>
      </w:r>
      <w:r>
        <w:t>accountants</w:t>
      </w:r>
      <w:r>
        <w:rPr>
          <w:spacing w:val="-2"/>
        </w:rPr>
        <w:t xml:space="preserve"> </w:t>
      </w:r>
      <w:r>
        <w:t>under</w:t>
      </w:r>
      <w:r>
        <w:rPr>
          <w:spacing w:val="-4"/>
        </w:rPr>
        <w:t xml:space="preserve"> </w:t>
      </w:r>
      <w:r>
        <w:t>a</w:t>
      </w:r>
      <w:r>
        <w:rPr>
          <w:spacing w:val="-2"/>
        </w:rPr>
        <w:t xml:space="preserve"> </w:t>
      </w:r>
      <w:r>
        <w:t>shared</w:t>
      </w:r>
      <w:r>
        <w:rPr>
          <w:spacing w:val="-2"/>
        </w:rPr>
        <w:t xml:space="preserve"> </w:t>
      </w:r>
      <w:r>
        <w:t>standard-setting</w:t>
      </w:r>
      <w:r>
        <w:rPr>
          <w:spacing w:val="-2"/>
        </w:rPr>
        <w:t xml:space="preserve"> </w:t>
      </w:r>
      <w:r>
        <w:t>process</w:t>
      </w:r>
      <w:r>
        <w:rPr>
          <w:spacing w:val="-3"/>
        </w:rPr>
        <w:t xml:space="preserve"> </w:t>
      </w:r>
      <w:r>
        <w:t>overseen</w:t>
      </w:r>
      <w:r>
        <w:rPr>
          <w:spacing w:val="-2"/>
        </w:rPr>
        <w:t xml:space="preserve"> </w:t>
      </w:r>
      <w:r>
        <w:t>by</w:t>
      </w:r>
      <w:r>
        <w:rPr>
          <w:spacing w:val="-4"/>
        </w:rPr>
        <w:t xml:space="preserve"> </w:t>
      </w:r>
      <w:r>
        <w:t>the Public Interest Oversight Board (PIOB). This is done in consultation with the IAASB Consultative Advisory Group, which provides public interest input into the development of standards and guidance. Participation in, and contribution to, the work of the IAASB is considered integral to the ability of the AUASB to continue as an effective national standard-setter and is important to the AUASB maintaining, and further developing, the audit,</w:t>
      </w:r>
      <w:r>
        <w:rPr>
          <w:spacing w:val="40"/>
        </w:rPr>
        <w:t xml:space="preserve"> </w:t>
      </w:r>
      <w:r>
        <w:t>assurance and audit-related standards and guidance used in Australia.</w:t>
      </w:r>
    </w:p>
    <w:p w14:paraId="1E805A75" w14:textId="77777777" w:rsidR="00AA4A02" w:rsidRDefault="00960F31">
      <w:pPr>
        <w:pStyle w:val="ListParagraph"/>
        <w:numPr>
          <w:ilvl w:val="0"/>
          <w:numId w:val="29"/>
        </w:numPr>
        <w:tabs>
          <w:tab w:val="left" w:pos="851"/>
        </w:tabs>
        <w:spacing w:before="200" w:line="208" w:lineRule="auto"/>
        <w:ind w:right="233"/>
      </w:pPr>
      <w:r>
        <w:t>The</w:t>
      </w:r>
      <w:r>
        <w:rPr>
          <w:spacing w:val="-2"/>
        </w:rPr>
        <w:t xml:space="preserve"> </w:t>
      </w:r>
      <w:r>
        <w:t>AUASB</w:t>
      </w:r>
      <w:r>
        <w:rPr>
          <w:spacing w:val="-4"/>
        </w:rPr>
        <w:t xml:space="preserve"> </w:t>
      </w:r>
      <w:r>
        <w:t>participates</w:t>
      </w:r>
      <w:r>
        <w:rPr>
          <w:spacing w:val="-4"/>
        </w:rPr>
        <w:t xml:space="preserve"> </w:t>
      </w:r>
      <w:r>
        <w:t>in,</w:t>
      </w:r>
      <w:r>
        <w:rPr>
          <w:spacing w:val="-2"/>
        </w:rPr>
        <w:t xml:space="preserve"> </w:t>
      </w:r>
      <w:r>
        <w:t>and</w:t>
      </w:r>
      <w:r>
        <w:rPr>
          <w:spacing w:val="-2"/>
        </w:rPr>
        <w:t xml:space="preserve"> </w:t>
      </w:r>
      <w:r>
        <w:t>contributes</w:t>
      </w:r>
      <w:r>
        <w:rPr>
          <w:spacing w:val="-2"/>
        </w:rPr>
        <w:t xml:space="preserve"> </w:t>
      </w:r>
      <w:r>
        <w:t>to,</w:t>
      </w:r>
      <w:r>
        <w:rPr>
          <w:spacing w:val="-5"/>
        </w:rPr>
        <w:t xml:space="preserve"> </w:t>
      </w:r>
      <w:r>
        <w:t>global</w:t>
      </w:r>
      <w:r>
        <w:rPr>
          <w:spacing w:val="-4"/>
        </w:rPr>
        <w:t xml:space="preserve"> </w:t>
      </w:r>
      <w:r>
        <w:t>standard-setting</w:t>
      </w:r>
      <w:r>
        <w:rPr>
          <w:spacing w:val="-5"/>
        </w:rPr>
        <w:t xml:space="preserve"> </w:t>
      </w:r>
      <w:r>
        <w:t>by</w:t>
      </w:r>
      <w:r>
        <w:rPr>
          <w:spacing w:val="-2"/>
        </w:rPr>
        <w:t xml:space="preserve"> </w:t>
      </w:r>
      <w:r>
        <w:t>communicating</w:t>
      </w:r>
      <w:r>
        <w:rPr>
          <w:spacing w:val="-2"/>
        </w:rPr>
        <w:t xml:space="preserve"> </w:t>
      </w:r>
      <w:r>
        <w:t xml:space="preserve">the Board’s views (taking into account the views of Australian stakeholders), on consultation papers, invitations to comment and exposure drafts issued by the IAASB, through written submissions; and through meeting and liaising with the IAASB and other national standard </w:t>
      </w:r>
      <w:r>
        <w:rPr>
          <w:spacing w:val="-2"/>
        </w:rPr>
        <w:t>setters.</w:t>
      </w:r>
    </w:p>
    <w:p w14:paraId="1E805A76" w14:textId="77777777" w:rsidR="00AA4A02" w:rsidRDefault="00AA4A02">
      <w:pPr>
        <w:pStyle w:val="BodyText"/>
        <w:rPr>
          <w:sz w:val="20"/>
        </w:rPr>
      </w:pPr>
    </w:p>
    <w:p w14:paraId="1E805A77" w14:textId="77777777" w:rsidR="00AA4A02" w:rsidRDefault="00AA4A02">
      <w:pPr>
        <w:pStyle w:val="BodyText"/>
        <w:rPr>
          <w:sz w:val="20"/>
        </w:rPr>
      </w:pPr>
    </w:p>
    <w:p w14:paraId="1E805A78" w14:textId="77777777" w:rsidR="00AA4A02" w:rsidRDefault="00960F31">
      <w:pPr>
        <w:pStyle w:val="BodyText"/>
        <w:spacing w:before="57"/>
        <w:rPr>
          <w:sz w:val="20"/>
        </w:rPr>
      </w:pPr>
      <w:r>
        <w:rPr>
          <w:noProof/>
          <w:sz w:val="20"/>
        </w:rPr>
        <mc:AlternateContent>
          <mc:Choice Requires="wps">
            <w:drawing>
              <wp:anchor distT="0" distB="0" distL="0" distR="0" simplePos="0" relativeHeight="487603200" behindDoc="1" locked="0" layoutInCell="1" allowOverlap="1" wp14:anchorId="1E805F4F" wp14:editId="1E805F50">
                <wp:simplePos x="0" y="0"/>
                <wp:positionH relativeFrom="page">
                  <wp:posOffset>900988</wp:posOffset>
                </wp:positionH>
                <wp:positionV relativeFrom="paragraph">
                  <wp:posOffset>197826</wp:posOffset>
                </wp:positionV>
                <wp:extent cx="1829435"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17FD4" id="Graphic 53" o:spid="_x0000_s1026" style="position:absolute;margin-left:70.95pt;margin-top:15.6pt;width:144.0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" path="m1829053,l,,,7619r1829053,l1829053,xe" fillcolor="black" stroked="f">
                <v:path arrowok="t"/>
                <w10:wrap type="topAndBottom" anchorx="page"/>
              </v:shape>
            </w:pict>
          </mc:Fallback>
        </mc:AlternateContent>
      </w:r>
    </w:p>
    <w:p w14:paraId="1E805A79" w14:textId="77777777" w:rsidR="00AA4A02" w:rsidRDefault="00960F31">
      <w:pPr>
        <w:spacing w:before="93" w:line="208" w:lineRule="auto"/>
        <w:ind w:left="427" w:hanging="284"/>
        <w:rPr>
          <w:sz w:val="16"/>
        </w:rPr>
      </w:pPr>
      <w:r>
        <w:rPr>
          <w:sz w:val="16"/>
          <w:vertAlign w:val="superscript"/>
        </w:rPr>
        <w:t>28</w:t>
      </w:r>
      <w:r>
        <w:rPr>
          <w:spacing w:val="80"/>
          <w:w w:val="150"/>
          <w:sz w:val="16"/>
        </w:rPr>
        <w:t xml:space="preserve"> </w:t>
      </w:r>
      <w:r>
        <w:rPr>
          <w:sz w:val="16"/>
        </w:rPr>
        <w:t>For</w:t>
      </w:r>
      <w:r>
        <w:rPr>
          <w:spacing w:val="-2"/>
          <w:sz w:val="16"/>
        </w:rPr>
        <w:t xml:space="preserve"> </w:t>
      </w:r>
      <w:r>
        <w:rPr>
          <w:sz w:val="16"/>
        </w:rPr>
        <w:t>strategies</w:t>
      </w:r>
      <w:r>
        <w:rPr>
          <w:spacing w:val="-3"/>
          <w:sz w:val="16"/>
        </w:rPr>
        <w:t xml:space="preserve"> </w:t>
      </w:r>
      <w:r>
        <w:rPr>
          <w:sz w:val="16"/>
        </w:rPr>
        <w:t>and methods</w:t>
      </w:r>
      <w:r>
        <w:rPr>
          <w:spacing w:val="-3"/>
          <w:sz w:val="16"/>
        </w:rPr>
        <w:t xml:space="preserve"> </w:t>
      </w:r>
      <w:r>
        <w:rPr>
          <w:sz w:val="16"/>
        </w:rPr>
        <w:t>used</w:t>
      </w:r>
      <w:r>
        <w:rPr>
          <w:spacing w:val="-2"/>
          <w:sz w:val="16"/>
        </w:rPr>
        <w:t xml:space="preserve"> </w:t>
      </w:r>
      <w:r>
        <w:rPr>
          <w:sz w:val="16"/>
        </w:rPr>
        <w:t>by</w:t>
      </w:r>
      <w:r>
        <w:rPr>
          <w:spacing w:val="-2"/>
          <w:sz w:val="16"/>
        </w:rPr>
        <w:t xml:space="preserve"> </w:t>
      </w:r>
      <w:r>
        <w:rPr>
          <w:sz w:val="16"/>
        </w:rPr>
        <w:t>the AUASB</w:t>
      </w:r>
      <w:r>
        <w:rPr>
          <w:spacing w:val="-2"/>
          <w:sz w:val="16"/>
        </w:rPr>
        <w:t xml:space="preserve"> </w:t>
      </w:r>
      <w:r>
        <w:rPr>
          <w:sz w:val="16"/>
        </w:rPr>
        <w:t>to</w:t>
      </w:r>
      <w:r>
        <w:rPr>
          <w:spacing w:val="-2"/>
          <w:sz w:val="16"/>
        </w:rPr>
        <w:t xml:space="preserve"> </w:t>
      </w:r>
      <w:r>
        <w:rPr>
          <w:sz w:val="16"/>
        </w:rPr>
        <w:t>cooperate</w:t>
      </w:r>
      <w:r>
        <w:rPr>
          <w:spacing w:val="-3"/>
          <w:sz w:val="16"/>
        </w:rPr>
        <w:t xml:space="preserve"> </w:t>
      </w:r>
      <w:r>
        <w:rPr>
          <w:sz w:val="16"/>
        </w:rPr>
        <w:t>and engage with</w:t>
      </w:r>
      <w:r>
        <w:rPr>
          <w:spacing w:val="-2"/>
          <w:sz w:val="16"/>
        </w:rPr>
        <w:t xml:space="preserve"> </w:t>
      </w:r>
      <w:r>
        <w:rPr>
          <w:sz w:val="16"/>
        </w:rPr>
        <w:t>these</w:t>
      </w:r>
      <w:r>
        <w:rPr>
          <w:spacing w:val="-3"/>
          <w:sz w:val="16"/>
        </w:rPr>
        <w:t xml:space="preserve"> </w:t>
      </w:r>
      <w:r>
        <w:rPr>
          <w:sz w:val="16"/>
        </w:rPr>
        <w:t>and</w:t>
      </w:r>
      <w:r>
        <w:rPr>
          <w:spacing w:val="-2"/>
          <w:sz w:val="16"/>
        </w:rPr>
        <w:t xml:space="preserve"> </w:t>
      </w:r>
      <w:r>
        <w:rPr>
          <w:sz w:val="16"/>
        </w:rPr>
        <w:t>other</w:t>
      </w:r>
      <w:r>
        <w:rPr>
          <w:spacing w:val="-4"/>
          <w:sz w:val="16"/>
        </w:rPr>
        <w:t xml:space="preserve"> </w:t>
      </w:r>
      <w:r>
        <w:rPr>
          <w:sz w:val="16"/>
        </w:rPr>
        <w:t>international</w:t>
      </w:r>
      <w:r>
        <w:rPr>
          <w:spacing w:val="-2"/>
          <w:sz w:val="16"/>
        </w:rPr>
        <w:t xml:space="preserve"> </w:t>
      </w:r>
      <w:r>
        <w:rPr>
          <w:sz w:val="16"/>
        </w:rPr>
        <w:t>bodies</w:t>
      </w:r>
      <w:r>
        <w:rPr>
          <w:spacing w:val="-3"/>
          <w:sz w:val="16"/>
        </w:rPr>
        <w:t xml:space="preserve"> </w:t>
      </w:r>
      <w:r>
        <w:rPr>
          <w:sz w:val="16"/>
        </w:rPr>
        <w:t>and</w:t>
      </w:r>
      <w:r>
        <w:rPr>
          <w:spacing w:val="-2"/>
          <w:sz w:val="16"/>
        </w:rPr>
        <w:t xml:space="preserve"> </w:t>
      </w:r>
      <w:r>
        <w:rPr>
          <w:sz w:val="16"/>
        </w:rPr>
        <w:t>international</w:t>
      </w:r>
      <w:r>
        <w:rPr>
          <w:spacing w:val="40"/>
          <w:sz w:val="16"/>
        </w:rPr>
        <w:t xml:space="preserve"> </w:t>
      </w:r>
      <w:r>
        <w:rPr>
          <w:sz w:val="16"/>
        </w:rPr>
        <w:t xml:space="preserve">stakeholder groups, refer to the </w:t>
      </w:r>
      <w:hyperlink r:id="rId86">
        <w:r>
          <w:rPr>
            <w:i/>
            <w:color w:val="0000FF"/>
            <w:sz w:val="16"/>
            <w:u w:val="single" w:color="0000FF"/>
          </w:rPr>
          <w:t>AUASB International Strategy</w:t>
        </w:r>
        <w:r>
          <w:rPr>
            <w:sz w:val="16"/>
          </w:rPr>
          <w:t>.</w:t>
        </w:r>
      </w:hyperlink>
    </w:p>
    <w:p w14:paraId="1E805A7A" w14:textId="77777777" w:rsidR="00AA4A02" w:rsidRDefault="00960F31">
      <w:pPr>
        <w:spacing w:line="153" w:lineRule="exact"/>
        <w:ind w:left="143"/>
        <w:rPr>
          <w:sz w:val="16"/>
        </w:rPr>
      </w:pPr>
      <w:r>
        <w:rPr>
          <w:sz w:val="16"/>
          <w:vertAlign w:val="superscript"/>
        </w:rPr>
        <w:t>29</w:t>
      </w:r>
      <w:r>
        <w:rPr>
          <w:spacing w:val="41"/>
          <w:sz w:val="16"/>
        </w:rPr>
        <w:t xml:space="preserve">  </w:t>
      </w:r>
      <w:r>
        <w:rPr>
          <w:sz w:val="16"/>
        </w:rPr>
        <w:t>The</w:t>
      </w:r>
      <w:r>
        <w:rPr>
          <w:spacing w:val="-5"/>
          <w:sz w:val="16"/>
        </w:rPr>
        <w:t xml:space="preserve"> </w:t>
      </w:r>
      <w:r>
        <w:rPr>
          <w:sz w:val="16"/>
        </w:rPr>
        <w:t>work</w:t>
      </w:r>
      <w:r>
        <w:rPr>
          <w:spacing w:val="-5"/>
          <w:sz w:val="16"/>
        </w:rPr>
        <w:t xml:space="preserve"> </w:t>
      </w:r>
      <w:r>
        <w:rPr>
          <w:sz w:val="16"/>
        </w:rPr>
        <w:t>of</w:t>
      </w:r>
      <w:r>
        <w:rPr>
          <w:spacing w:val="-4"/>
          <w:sz w:val="16"/>
        </w:rPr>
        <w:t xml:space="preserve"> </w:t>
      </w:r>
      <w:r>
        <w:rPr>
          <w:sz w:val="16"/>
        </w:rPr>
        <w:t>the</w:t>
      </w:r>
      <w:r>
        <w:rPr>
          <w:spacing w:val="-5"/>
          <w:sz w:val="16"/>
        </w:rPr>
        <w:t xml:space="preserve"> </w:t>
      </w:r>
      <w:r>
        <w:rPr>
          <w:sz w:val="16"/>
        </w:rPr>
        <w:t>IAASB</w:t>
      </w:r>
      <w:r>
        <w:rPr>
          <w:spacing w:val="-3"/>
          <w:sz w:val="16"/>
        </w:rPr>
        <w:t xml:space="preserve"> </w:t>
      </w:r>
      <w:r>
        <w:rPr>
          <w:sz w:val="16"/>
        </w:rPr>
        <w:t>and</w:t>
      </w:r>
      <w:r>
        <w:rPr>
          <w:spacing w:val="-2"/>
          <w:sz w:val="16"/>
        </w:rPr>
        <w:t xml:space="preserve"> </w:t>
      </w:r>
      <w:r>
        <w:rPr>
          <w:sz w:val="16"/>
        </w:rPr>
        <w:t>IESBA</w:t>
      </w:r>
      <w:r>
        <w:rPr>
          <w:spacing w:val="-3"/>
          <w:sz w:val="16"/>
        </w:rPr>
        <w:t xml:space="preserve"> </w:t>
      </w:r>
      <w:r>
        <w:rPr>
          <w:sz w:val="16"/>
        </w:rPr>
        <w:t>is</w:t>
      </w:r>
      <w:r>
        <w:rPr>
          <w:spacing w:val="-4"/>
          <w:sz w:val="16"/>
        </w:rPr>
        <w:t xml:space="preserve"> </w:t>
      </w:r>
      <w:r>
        <w:rPr>
          <w:sz w:val="16"/>
        </w:rPr>
        <w:t>overseen</w:t>
      </w:r>
      <w:r>
        <w:rPr>
          <w:spacing w:val="-4"/>
          <w:sz w:val="16"/>
        </w:rPr>
        <w:t xml:space="preserve"> </w:t>
      </w:r>
      <w:r>
        <w:rPr>
          <w:sz w:val="16"/>
        </w:rPr>
        <w:t>by</w:t>
      </w:r>
      <w:r>
        <w:rPr>
          <w:spacing w:val="-5"/>
          <w:sz w:val="16"/>
        </w:rPr>
        <w:t xml:space="preserve"> </w:t>
      </w:r>
      <w:r>
        <w:rPr>
          <w:sz w:val="16"/>
        </w:rPr>
        <w:t>the</w:t>
      </w:r>
      <w:r>
        <w:rPr>
          <w:spacing w:val="-2"/>
          <w:sz w:val="16"/>
        </w:rPr>
        <w:t xml:space="preserve"> </w:t>
      </w:r>
      <w:r>
        <w:rPr>
          <w:sz w:val="16"/>
        </w:rPr>
        <w:t>Public</w:t>
      </w:r>
      <w:r>
        <w:rPr>
          <w:spacing w:val="-3"/>
          <w:sz w:val="16"/>
        </w:rPr>
        <w:t xml:space="preserve"> </w:t>
      </w:r>
      <w:r>
        <w:rPr>
          <w:sz w:val="16"/>
        </w:rPr>
        <w:t>Interest</w:t>
      </w:r>
      <w:r>
        <w:rPr>
          <w:spacing w:val="-4"/>
          <w:sz w:val="16"/>
        </w:rPr>
        <w:t xml:space="preserve"> </w:t>
      </w:r>
      <w:r>
        <w:rPr>
          <w:sz w:val="16"/>
        </w:rPr>
        <w:t>Oversight</w:t>
      </w:r>
      <w:r>
        <w:rPr>
          <w:spacing w:val="-4"/>
          <w:sz w:val="16"/>
        </w:rPr>
        <w:t xml:space="preserve"> </w:t>
      </w:r>
      <w:r>
        <w:rPr>
          <w:sz w:val="16"/>
        </w:rPr>
        <w:t>Board</w:t>
      </w:r>
      <w:r>
        <w:rPr>
          <w:spacing w:val="-3"/>
          <w:sz w:val="16"/>
        </w:rPr>
        <w:t xml:space="preserve"> </w:t>
      </w:r>
      <w:r>
        <w:rPr>
          <w:sz w:val="16"/>
        </w:rPr>
        <w:t>(PIOB)</w:t>
      </w:r>
      <w:r>
        <w:rPr>
          <w:spacing w:val="-4"/>
          <w:sz w:val="16"/>
        </w:rPr>
        <w:t xml:space="preserve"> </w:t>
      </w:r>
      <w:r>
        <w:rPr>
          <w:sz w:val="16"/>
        </w:rPr>
        <w:t>and</w:t>
      </w:r>
      <w:r>
        <w:rPr>
          <w:spacing w:val="-4"/>
          <w:sz w:val="16"/>
        </w:rPr>
        <w:t xml:space="preserve"> </w:t>
      </w:r>
      <w:r>
        <w:rPr>
          <w:sz w:val="16"/>
        </w:rPr>
        <w:t>the</w:t>
      </w:r>
      <w:r>
        <w:rPr>
          <w:spacing w:val="-6"/>
          <w:sz w:val="16"/>
        </w:rPr>
        <w:t xml:space="preserve"> </w:t>
      </w:r>
      <w:r>
        <w:rPr>
          <w:sz w:val="16"/>
        </w:rPr>
        <w:t>Monitoring</w:t>
      </w:r>
      <w:r>
        <w:rPr>
          <w:spacing w:val="-2"/>
          <w:sz w:val="16"/>
        </w:rPr>
        <w:t xml:space="preserve"> </w:t>
      </w:r>
      <w:r>
        <w:rPr>
          <w:sz w:val="16"/>
        </w:rPr>
        <w:t>Group</w:t>
      </w:r>
      <w:r>
        <w:rPr>
          <w:spacing w:val="-2"/>
          <w:sz w:val="16"/>
        </w:rPr>
        <w:t xml:space="preserve"> (MG).</w:t>
      </w:r>
    </w:p>
    <w:p w14:paraId="1E805A7B" w14:textId="77777777" w:rsidR="00AA4A02" w:rsidRDefault="00960F31">
      <w:pPr>
        <w:pStyle w:val="ListParagraph"/>
        <w:numPr>
          <w:ilvl w:val="0"/>
          <w:numId w:val="22"/>
        </w:numPr>
        <w:tabs>
          <w:tab w:val="left" w:pos="863"/>
        </w:tabs>
        <w:spacing w:before="7" w:line="208" w:lineRule="auto"/>
        <w:ind w:right="337"/>
        <w:rPr>
          <w:sz w:val="16"/>
        </w:rPr>
      </w:pPr>
      <w:r>
        <w:rPr>
          <w:sz w:val="16"/>
        </w:rPr>
        <w:t>The</w:t>
      </w:r>
      <w:r>
        <w:rPr>
          <w:spacing w:val="-4"/>
          <w:sz w:val="16"/>
        </w:rPr>
        <w:t xml:space="preserve"> </w:t>
      </w:r>
      <w:r>
        <w:rPr>
          <w:sz w:val="16"/>
        </w:rPr>
        <w:t>PIOB</w:t>
      </w:r>
      <w:r>
        <w:rPr>
          <w:spacing w:val="-1"/>
          <w:sz w:val="16"/>
        </w:rPr>
        <w:t xml:space="preserve"> </w:t>
      </w:r>
      <w:r>
        <w:rPr>
          <w:sz w:val="16"/>
        </w:rPr>
        <w:t>is</w:t>
      </w:r>
      <w:r>
        <w:rPr>
          <w:spacing w:val="-2"/>
          <w:sz w:val="16"/>
        </w:rPr>
        <w:t xml:space="preserve"> </w:t>
      </w:r>
      <w:r>
        <w:rPr>
          <w:sz w:val="16"/>
        </w:rPr>
        <w:t>an</w:t>
      </w:r>
      <w:r>
        <w:rPr>
          <w:spacing w:val="-3"/>
          <w:sz w:val="16"/>
        </w:rPr>
        <w:t xml:space="preserve"> </w:t>
      </w:r>
      <w:r>
        <w:rPr>
          <w:sz w:val="16"/>
        </w:rPr>
        <w:t>independent</w:t>
      </w:r>
      <w:r>
        <w:rPr>
          <w:spacing w:val="-3"/>
          <w:sz w:val="16"/>
        </w:rPr>
        <w:t xml:space="preserve"> </w:t>
      </w:r>
      <w:r>
        <w:rPr>
          <w:sz w:val="16"/>
        </w:rPr>
        <w:t>oversight</w:t>
      </w:r>
      <w:r>
        <w:rPr>
          <w:spacing w:val="-3"/>
          <w:sz w:val="16"/>
        </w:rPr>
        <w:t xml:space="preserve"> </w:t>
      </w:r>
      <w:r>
        <w:rPr>
          <w:sz w:val="16"/>
        </w:rPr>
        <w:t>body</w:t>
      </w:r>
      <w:r>
        <w:rPr>
          <w:spacing w:val="-1"/>
          <w:sz w:val="16"/>
        </w:rPr>
        <w:t xml:space="preserve"> </w:t>
      </w:r>
      <w:r>
        <w:rPr>
          <w:sz w:val="16"/>
        </w:rPr>
        <w:t>with</w:t>
      </w:r>
      <w:r>
        <w:rPr>
          <w:spacing w:val="-1"/>
          <w:sz w:val="16"/>
        </w:rPr>
        <w:t xml:space="preserve"> </w:t>
      </w:r>
      <w:r>
        <w:rPr>
          <w:sz w:val="16"/>
        </w:rPr>
        <w:t>responsibility</w:t>
      </w:r>
      <w:r>
        <w:rPr>
          <w:spacing w:val="-3"/>
          <w:sz w:val="16"/>
        </w:rPr>
        <w:t xml:space="preserve"> </w:t>
      </w:r>
      <w:r>
        <w:rPr>
          <w:sz w:val="16"/>
        </w:rPr>
        <w:t>to</w:t>
      </w:r>
      <w:r>
        <w:rPr>
          <w:spacing w:val="-1"/>
          <w:sz w:val="16"/>
        </w:rPr>
        <w:t xml:space="preserve"> </w:t>
      </w:r>
      <w:r>
        <w:rPr>
          <w:sz w:val="16"/>
        </w:rPr>
        <w:t>ensure</w:t>
      </w:r>
      <w:r>
        <w:rPr>
          <w:spacing w:val="-4"/>
          <w:sz w:val="16"/>
        </w:rPr>
        <w:t xml:space="preserve"> </w:t>
      </w:r>
      <w:r>
        <w:rPr>
          <w:sz w:val="16"/>
        </w:rPr>
        <w:t>that</w:t>
      </w:r>
      <w:r>
        <w:rPr>
          <w:spacing w:val="-1"/>
          <w:sz w:val="16"/>
        </w:rPr>
        <w:t xml:space="preserve"> </w:t>
      </w:r>
      <w:r>
        <w:rPr>
          <w:sz w:val="16"/>
        </w:rPr>
        <w:t>standard-setting</w:t>
      </w:r>
      <w:r>
        <w:rPr>
          <w:spacing w:val="-3"/>
          <w:sz w:val="16"/>
        </w:rPr>
        <w:t xml:space="preserve"> </w:t>
      </w:r>
      <w:r>
        <w:rPr>
          <w:sz w:val="16"/>
        </w:rPr>
        <w:t>at</w:t>
      </w:r>
      <w:r>
        <w:rPr>
          <w:spacing w:val="-3"/>
          <w:sz w:val="16"/>
        </w:rPr>
        <w:t xml:space="preserve"> </w:t>
      </w:r>
      <w:r>
        <w:rPr>
          <w:sz w:val="16"/>
        </w:rPr>
        <w:t>international</w:t>
      </w:r>
      <w:r>
        <w:rPr>
          <w:spacing w:val="-1"/>
          <w:sz w:val="16"/>
        </w:rPr>
        <w:t xml:space="preserve"> </w:t>
      </w:r>
      <w:r>
        <w:rPr>
          <w:sz w:val="16"/>
        </w:rPr>
        <w:t>level</w:t>
      </w:r>
      <w:r>
        <w:rPr>
          <w:spacing w:val="-1"/>
          <w:sz w:val="16"/>
        </w:rPr>
        <w:t xml:space="preserve"> </w:t>
      </w:r>
      <w:r>
        <w:rPr>
          <w:sz w:val="16"/>
        </w:rPr>
        <w:t>follows</w:t>
      </w:r>
      <w:r>
        <w:rPr>
          <w:spacing w:val="-4"/>
          <w:sz w:val="16"/>
        </w:rPr>
        <w:t xml:space="preserve"> </w:t>
      </w:r>
      <w:r>
        <w:rPr>
          <w:sz w:val="16"/>
        </w:rPr>
        <w:t>due</w:t>
      </w:r>
      <w:r>
        <w:rPr>
          <w:spacing w:val="40"/>
          <w:sz w:val="16"/>
        </w:rPr>
        <w:t xml:space="preserve"> </w:t>
      </w:r>
      <w:r>
        <w:rPr>
          <w:sz w:val="16"/>
        </w:rPr>
        <w:t>process and is responsive to the public interest.</w:t>
      </w:r>
    </w:p>
    <w:p w14:paraId="1E805A7C" w14:textId="77777777" w:rsidR="00AA4A02" w:rsidRDefault="00960F31">
      <w:pPr>
        <w:pStyle w:val="ListParagraph"/>
        <w:numPr>
          <w:ilvl w:val="0"/>
          <w:numId w:val="22"/>
        </w:numPr>
        <w:tabs>
          <w:tab w:val="left" w:pos="863"/>
        </w:tabs>
        <w:spacing w:before="1" w:line="208" w:lineRule="auto"/>
        <w:ind w:right="421"/>
        <w:rPr>
          <w:sz w:val="16"/>
        </w:rPr>
      </w:pPr>
      <w:r>
        <w:rPr>
          <w:sz w:val="16"/>
        </w:rPr>
        <w:t>The MG is a group of international financial institutions and regulatory bodies (see footnote 79) committed to advancing the</w:t>
      </w:r>
      <w:r>
        <w:rPr>
          <w:spacing w:val="40"/>
          <w:sz w:val="16"/>
        </w:rPr>
        <w:t xml:space="preserve"> </w:t>
      </w:r>
      <w:r>
        <w:rPr>
          <w:sz w:val="16"/>
        </w:rPr>
        <w:t>public interest in areas related to international audit-related standard-setting and audit quality. The MG is responsible for the</w:t>
      </w:r>
      <w:r>
        <w:rPr>
          <w:spacing w:val="40"/>
          <w:sz w:val="16"/>
        </w:rPr>
        <w:t xml:space="preserve"> </w:t>
      </w:r>
      <w:r>
        <w:rPr>
          <w:sz w:val="16"/>
        </w:rPr>
        <w:t>overall</w:t>
      </w:r>
      <w:r>
        <w:rPr>
          <w:spacing w:val="-2"/>
          <w:sz w:val="16"/>
        </w:rPr>
        <w:t xml:space="preserve"> </w:t>
      </w:r>
      <w:r>
        <w:rPr>
          <w:sz w:val="16"/>
        </w:rPr>
        <w:t>governance</w:t>
      </w:r>
      <w:r>
        <w:rPr>
          <w:spacing w:val="-3"/>
          <w:sz w:val="16"/>
        </w:rPr>
        <w:t xml:space="preserve"> </w:t>
      </w:r>
      <w:r>
        <w:rPr>
          <w:sz w:val="16"/>
        </w:rPr>
        <w:t>of</w:t>
      </w:r>
      <w:r>
        <w:rPr>
          <w:spacing w:val="-4"/>
          <w:sz w:val="16"/>
        </w:rPr>
        <w:t xml:space="preserve"> </w:t>
      </w:r>
      <w:r>
        <w:rPr>
          <w:sz w:val="16"/>
        </w:rPr>
        <w:t>the</w:t>
      </w:r>
      <w:r>
        <w:rPr>
          <w:spacing w:val="-1"/>
          <w:sz w:val="16"/>
        </w:rPr>
        <w:t xml:space="preserve"> </w:t>
      </w:r>
      <w:r>
        <w:rPr>
          <w:sz w:val="16"/>
        </w:rPr>
        <w:t>international</w:t>
      </w:r>
      <w:r>
        <w:rPr>
          <w:spacing w:val="-1"/>
          <w:sz w:val="16"/>
        </w:rPr>
        <w:t xml:space="preserve"> </w:t>
      </w:r>
      <w:r>
        <w:rPr>
          <w:sz w:val="16"/>
        </w:rPr>
        <w:t>audit</w:t>
      </w:r>
      <w:r>
        <w:rPr>
          <w:spacing w:val="-2"/>
          <w:sz w:val="16"/>
        </w:rPr>
        <w:t xml:space="preserve"> </w:t>
      </w:r>
      <w:r>
        <w:rPr>
          <w:sz w:val="16"/>
        </w:rPr>
        <w:t>and</w:t>
      </w:r>
      <w:r>
        <w:rPr>
          <w:spacing w:val="-1"/>
          <w:sz w:val="16"/>
        </w:rPr>
        <w:t xml:space="preserve"> </w:t>
      </w:r>
      <w:r>
        <w:rPr>
          <w:sz w:val="16"/>
        </w:rPr>
        <w:t>ethics</w:t>
      </w:r>
      <w:r>
        <w:rPr>
          <w:spacing w:val="-3"/>
          <w:sz w:val="16"/>
        </w:rPr>
        <w:t xml:space="preserve"> </w:t>
      </w:r>
      <w:r>
        <w:rPr>
          <w:sz w:val="16"/>
        </w:rPr>
        <w:t>standard-setting</w:t>
      </w:r>
      <w:r>
        <w:rPr>
          <w:spacing w:val="-2"/>
          <w:sz w:val="16"/>
        </w:rPr>
        <w:t xml:space="preserve"> </w:t>
      </w:r>
      <w:r>
        <w:rPr>
          <w:sz w:val="16"/>
        </w:rPr>
        <w:t>process</w:t>
      </w:r>
      <w:r>
        <w:rPr>
          <w:spacing w:val="-3"/>
          <w:sz w:val="16"/>
        </w:rPr>
        <w:t xml:space="preserve"> </w:t>
      </w:r>
      <w:r>
        <w:rPr>
          <w:sz w:val="16"/>
        </w:rPr>
        <w:t>and</w:t>
      </w:r>
      <w:r>
        <w:rPr>
          <w:spacing w:val="-2"/>
          <w:sz w:val="16"/>
        </w:rPr>
        <w:t xml:space="preserve"> </w:t>
      </w:r>
      <w:r>
        <w:rPr>
          <w:sz w:val="16"/>
        </w:rPr>
        <w:t>the</w:t>
      </w:r>
      <w:r>
        <w:rPr>
          <w:spacing w:val="-1"/>
          <w:sz w:val="16"/>
        </w:rPr>
        <w:t xml:space="preserve"> </w:t>
      </w:r>
      <w:r>
        <w:rPr>
          <w:sz w:val="16"/>
        </w:rPr>
        <w:t>review</w:t>
      </w:r>
      <w:r>
        <w:rPr>
          <w:spacing w:val="-4"/>
          <w:sz w:val="16"/>
        </w:rPr>
        <w:t xml:space="preserve"> </w:t>
      </w:r>
      <w:r>
        <w:rPr>
          <w:sz w:val="16"/>
        </w:rPr>
        <w:t>of</w:t>
      </w:r>
      <w:r>
        <w:rPr>
          <w:spacing w:val="-2"/>
          <w:sz w:val="16"/>
        </w:rPr>
        <w:t xml:space="preserve"> </w:t>
      </w:r>
      <w:r>
        <w:rPr>
          <w:sz w:val="16"/>
        </w:rPr>
        <w:t>its</w:t>
      </w:r>
      <w:r>
        <w:rPr>
          <w:spacing w:val="-3"/>
          <w:sz w:val="16"/>
        </w:rPr>
        <w:t xml:space="preserve"> </w:t>
      </w:r>
      <w:r>
        <w:rPr>
          <w:sz w:val="16"/>
        </w:rPr>
        <w:t>effectiveness.</w:t>
      </w:r>
      <w:r>
        <w:rPr>
          <w:spacing w:val="-1"/>
          <w:sz w:val="16"/>
        </w:rPr>
        <w:t xml:space="preserve"> </w:t>
      </w:r>
      <w:r>
        <w:rPr>
          <w:sz w:val="16"/>
        </w:rPr>
        <w:t>The</w:t>
      </w:r>
      <w:r>
        <w:rPr>
          <w:spacing w:val="-3"/>
          <w:sz w:val="16"/>
        </w:rPr>
        <w:t xml:space="preserve"> </w:t>
      </w:r>
      <w:r>
        <w:rPr>
          <w:sz w:val="16"/>
        </w:rPr>
        <w:t>MG’s</w:t>
      </w:r>
      <w:r>
        <w:rPr>
          <w:spacing w:val="40"/>
          <w:sz w:val="16"/>
        </w:rPr>
        <w:t xml:space="preserve"> </w:t>
      </w:r>
      <w:r>
        <w:rPr>
          <w:sz w:val="16"/>
        </w:rPr>
        <w:t>responsibilities include monitoring the PIOB’s public interest oversight role.</w:t>
      </w:r>
    </w:p>
    <w:p w14:paraId="1E805A7D" w14:textId="77777777" w:rsidR="00AA4A02" w:rsidRDefault="00960F31">
      <w:pPr>
        <w:spacing w:line="208" w:lineRule="auto"/>
        <w:ind w:left="427" w:right="173" w:hanging="284"/>
        <w:rPr>
          <w:sz w:val="16"/>
        </w:rPr>
      </w:pPr>
      <w:r>
        <w:rPr>
          <w:sz w:val="16"/>
          <w:vertAlign w:val="superscript"/>
        </w:rPr>
        <w:t>30</w:t>
      </w:r>
      <w:r>
        <w:rPr>
          <w:spacing w:val="80"/>
          <w:w w:val="150"/>
          <w:sz w:val="16"/>
        </w:rPr>
        <w:t xml:space="preserve"> </w:t>
      </w:r>
      <w:r>
        <w:rPr>
          <w:sz w:val="16"/>
        </w:rPr>
        <w:t>For</w:t>
      </w:r>
      <w:r>
        <w:rPr>
          <w:spacing w:val="-3"/>
          <w:sz w:val="16"/>
        </w:rPr>
        <w:t xml:space="preserve"> </w:t>
      </w:r>
      <w:r>
        <w:rPr>
          <w:sz w:val="16"/>
        </w:rPr>
        <w:t>further</w:t>
      </w:r>
      <w:r>
        <w:rPr>
          <w:spacing w:val="-3"/>
          <w:sz w:val="16"/>
        </w:rPr>
        <w:t xml:space="preserve"> </w:t>
      </w:r>
      <w:r>
        <w:rPr>
          <w:sz w:val="16"/>
        </w:rPr>
        <w:t>details,</w:t>
      </w:r>
      <w:r>
        <w:rPr>
          <w:spacing w:val="-3"/>
          <w:sz w:val="16"/>
        </w:rPr>
        <w:t xml:space="preserve"> </w:t>
      </w:r>
      <w:r>
        <w:rPr>
          <w:sz w:val="16"/>
        </w:rPr>
        <w:t>including</w:t>
      </w:r>
      <w:r>
        <w:rPr>
          <w:spacing w:val="-3"/>
          <w:sz w:val="16"/>
        </w:rPr>
        <w:t xml:space="preserve"> </w:t>
      </w:r>
      <w:r>
        <w:rPr>
          <w:sz w:val="16"/>
        </w:rPr>
        <w:t>an</w:t>
      </w:r>
      <w:r>
        <w:rPr>
          <w:spacing w:val="-3"/>
          <w:sz w:val="16"/>
        </w:rPr>
        <w:t xml:space="preserve"> </w:t>
      </w:r>
      <w:r>
        <w:rPr>
          <w:sz w:val="16"/>
        </w:rPr>
        <w:t>outline</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guiding</w:t>
      </w:r>
      <w:r>
        <w:rPr>
          <w:spacing w:val="-3"/>
          <w:sz w:val="16"/>
        </w:rPr>
        <w:t xml:space="preserve"> </w:t>
      </w:r>
      <w:r>
        <w:rPr>
          <w:sz w:val="16"/>
        </w:rPr>
        <w:t>principles</w:t>
      </w:r>
      <w:r>
        <w:rPr>
          <w:spacing w:val="-2"/>
          <w:sz w:val="16"/>
        </w:rPr>
        <w:t xml:space="preserve"> </w:t>
      </w:r>
      <w:r>
        <w:rPr>
          <w:sz w:val="16"/>
        </w:rPr>
        <w:t>which</w:t>
      </w:r>
      <w:r>
        <w:rPr>
          <w:spacing w:val="-3"/>
          <w:sz w:val="16"/>
        </w:rPr>
        <w:t xml:space="preserve"> </w:t>
      </w:r>
      <w:r>
        <w:rPr>
          <w:sz w:val="16"/>
        </w:rPr>
        <w:t>underpin</w:t>
      </w:r>
      <w:r>
        <w:rPr>
          <w:spacing w:val="-3"/>
          <w:sz w:val="16"/>
        </w:rPr>
        <w:t xml:space="preserve"> </w:t>
      </w:r>
      <w:r>
        <w:rPr>
          <w:sz w:val="16"/>
        </w:rPr>
        <w:t>the</w:t>
      </w:r>
      <w:r>
        <w:rPr>
          <w:spacing w:val="-1"/>
          <w:sz w:val="16"/>
        </w:rPr>
        <w:t xml:space="preserve"> </w:t>
      </w:r>
      <w:r>
        <w:rPr>
          <w:sz w:val="16"/>
        </w:rPr>
        <w:t>responsibilities</w:t>
      </w:r>
      <w:r>
        <w:rPr>
          <w:spacing w:val="-3"/>
          <w:sz w:val="16"/>
        </w:rPr>
        <w:t xml:space="preserve"> </w:t>
      </w:r>
      <w:r>
        <w:rPr>
          <w:sz w:val="16"/>
        </w:rPr>
        <w:t>of</w:t>
      </w:r>
      <w:r>
        <w:rPr>
          <w:spacing w:val="-3"/>
          <w:sz w:val="16"/>
        </w:rPr>
        <w:t xml:space="preserve"> </w:t>
      </w:r>
      <w:r>
        <w:rPr>
          <w:sz w:val="16"/>
        </w:rPr>
        <w:t>AUASB</w:t>
      </w:r>
      <w:r>
        <w:rPr>
          <w:spacing w:val="-3"/>
          <w:sz w:val="16"/>
        </w:rPr>
        <w:t xml:space="preserve"> </w:t>
      </w:r>
      <w:r>
        <w:rPr>
          <w:sz w:val="16"/>
        </w:rPr>
        <w:t>members</w:t>
      </w:r>
      <w:r>
        <w:rPr>
          <w:spacing w:val="-2"/>
          <w:sz w:val="16"/>
        </w:rPr>
        <w:t xml:space="preserve"> </w:t>
      </w:r>
      <w:r>
        <w:rPr>
          <w:sz w:val="16"/>
        </w:rPr>
        <w:t>and technical</w:t>
      </w:r>
      <w:r>
        <w:rPr>
          <w:spacing w:val="40"/>
          <w:sz w:val="16"/>
        </w:rPr>
        <w:t xml:space="preserve"> </w:t>
      </w:r>
      <w:r>
        <w:rPr>
          <w:sz w:val="16"/>
        </w:rPr>
        <w:t>staff when considering and implementing the AUASB’s</w:t>
      </w:r>
      <w:r>
        <w:rPr>
          <w:spacing w:val="-1"/>
          <w:sz w:val="16"/>
        </w:rPr>
        <w:t xml:space="preserve"> </w:t>
      </w:r>
      <w:r>
        <w:rPr>
          <w:sz w:val="16"/>
        </w:rPr>
        <w:t xml:space="preserve">international influencing activities, refer to the </w:t>
      </w:r>
      <w:hyperlink r:id="rId87">
        <w:r>
          <w:rPr>
            <w:i/>
            <w:color w:val="0000FF"/>
            <w:sz w:val="16"/>
            <w:u w:val="single" w:color="0000FF"/>
          </w:rPr>
          <w:t>AUASB</w:t>
        </w:r>
        <w:r>
          <w:rPr>
            <w:i/>
            <w:color w:val="0000FF"/>
            <w:spacing w:val="-1"/>
            <w:sz w:val="16"/>
            <w:u w:val="single" w:color="0000FF"/>
          </w:rPr>
          <w:t xml:space="preserve"> </w:t>
        </w:r>
        <w:r>
          <w:rPr>
            <w:i/>
            <w:color w:val="0000FF"/>
            <w:sz w:val="16"/>
            <w:u w:val="single" w:color="0000FF"/>
          </w:rPr>
          <w:t>International Strategy</w:t>
        </w:r>
        <w:r>
          <w:rPr>
            <w:sz w:val="16"/>
          </w:rPr>
          <w:t>.</w:t>
        </w:r>
      </w:hyperlink>
    </w:p>
    <w:p w14:paraId="1E805A7E"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A7F" w14:textId="77777777" w:rsidR="00AA4A02" w:rsidRDefault="00960F31">
      <w:pPr>
        <w:pStyle w:val="ListParagraph"/>
        <w:numPr>
          <w:ilvl w:val="0"/>
          <w:numId w:val="29"/>
        </w:numPr>
        <w:tabs>
          <w:tab w:val="left" w:pos="851"/>
        </w:tabs>
        <w:spacing w:before="219" w:line="208" w:lineRule="auto"/>
        <w:ind w:right="330"/>
      </w:pPr>
      <w:r>
        <w:lastRenderedPageBreak/>
        <w:t>In conjunction with the FRC, the AUASB identifies and promotes the appointment of high-quality Australian representatives on relevant international auditing and assurance standards committees</w:t>
      </w:r>
      <w:r>
        <w:rPr>
          <w:spacing w:val="-5"/>
        </w:rPr>
        <w:t xml:space="preserve"> </w:t>
      </w:r>
      <w:r>
        <w:t>and</w:t>
      </w:r>
      <w:r>
        <w:rPr>
          <w:spacing w:val="-3"/>
        </w:rPr>
        <w:t xml:space="preserve"> </w:t>
      </w:r>
      <w:r>
        <w:t>working</w:t>
      </w:r>
      <w:r>
        <w:rPr>
          <w:spacing w:val="-3"/>
        </w:rPr>
        <w:t xml:space="preserve"> </w:t>
      </w:r>
      <w:r>
        <w:t>groups</w:t>
      </w:r>
      <w:r>
        <w:rPr>
          <w:spacing w:val="-3"/>
        </w:rPr>
        <w:t xml:space="preserve"> </w:t>
      </w:r>
      <w:r>
        <w:t>and,</w:t>
      </w:r>
      <w:r>
        <w:rPr>
          <w:spacing w:val="-3"/>
        </w:rPr>
        <w:t xml:space="preserve"> </w:t>
      </w:r>
      <w:r>
        <w:t>once</w:t>
      </w:r>
      <w:r>
        <w:rPr>
          <w:spacing w:val="-3"/>
        </w:rPr>
        <w:t xml:space="preserve"> </w:t>
      </w:r>
      <w:r>
        <w:t>appointed,</w:t>
      </w:r>
      <w:r>
        <w:rPr>
          <w:spacing w:val="-5"/>
        </w:rPr>
        <w:t xml:space="preserve"> </w:t>
      </w:r>
      <w:r>
        <w:t>supports</w:t>
      </w:r>
      <w:r>
        <w:rPr>
          <w:spacing w:val="-5"/>
        </w:rPr>
        <w:t xml:space="preserve"> </w:t>
      </w:r>
      <w:r>
        <w:t>them</w:t>
      </w:r>
      <w:r>
        <w:rPr>
          <w:spacing w:val="-2"/>
        </w:rPr>
        <w:t xml:space="preserve"> </w:t>
      </w:r>
      <w:r>
        <w:t>in</w:t>
      </w:r>
      <w:r>
        <w:rPr>
          <w:spacing w:val="-3"/>
        </w:rPr>
        <w:t xml:space="preserve"> </w:t>
      </w:r>
      <w:r>
        <w:t>their</w:t>
      </w:r>
      <w:r>
        <w:rPr>
          <w:spacing w:val="-3"/>
        </w:rPr>
        <w:t xml:space="preserve"> </w:t>
      </w:r>
      <w:r>
        <w:t>roles,</w:t>
      </w:r>
      <w:r>
        <w:rPr>
          <w:spacing w:val="-5"/>
        </w:rPr>
        <w:t xml:space="preserve"> </w:t>
      </w:r>
      <w:r>
        <w:t>and</w:t>
      </w:r>
      <w:r>
        <w:rPr>
          <w:spacing w:val="-3"/>
        </w:rPr>
        <w:t xml:space="preserve"> </w:t>
      </w:r>
      <w:r>
        <w:t xml:space="preserve">aligns the AUASB’s activities wherever possible to increase the AUASB’s global input and </w:t>
      </w:r>
      <w:r>
        <w:rPr>
          <w:spacing w:val="-2"/>
        </w:rPr>
        <w:t>influence.</w:t>
      </w:r>
    </w:p>
    <w:p w14:paraId="1E805A80" w14:textId="77777777" w:rsidR="00AA4A02" w:rsidRDefault="00960F31">
      <w:pPr>
        <w:pStyle w:val="ListParagraph"/>
        <w:numPr>
          <w:ilvl w:val="0"/>
          <w:numId w:val="29"/>
        </w:numPr>
        <w:tabs>
          <w:tab w:val="left" w:pos="851"/>
        </w:tabs>
        <w:spacing w:line="208" w:lineRule="auto"/>
        <w:ind w:right="177"/>
      </w:pPr>
      <w:r>
        <w:t>From time to time, a member of the AUASB may also serve as a member of the IAASB. In these circumstances, the Board member is encouraged to utilise their experience relating to both roles to share knowledge and support the objectives of both Boards. However, it is important</w:t>
      </w:r>
      <w:r>
        <w:rPr>
          <w:spacing w:val="-1"/>
        </w:rPr>
        <w:t xml:space="preserve"> </w:t>
      </w:r>
      <w:r>
        <w:t>to</w:t>
      </w:r>
      <w:r>
        <w:rPr>
          <w:spacing w:val="-5"/>
        </w:rPr>
        <w:t xml:space="preserve"> </w:t>
      </w:r>
      <w:r>
        <w:t>note</w:t>
      </w:r>
      <w:r>
        <w:rPr>
          <w:spacing w:val="-2"/>
        </w:rPr>
        <w:t xml:space="preserve"> </w:t>
      </w:r>
      <w:r>
        <w:t>that</w:t>
      </w:r>
      <w:r>
        <w:rPr>
          <w:spacing w:val="-4"/>
        </w:rPr>
        <w:t xml:space="preserve"> </w:t>
      </w:r>
      <w:r>
        <w:t>any</w:t>
      </w:r>
      <w:r>
        <w:rPr>
          <w:spacing w:val="-4"/>
        </w:rPr>
        <w:t xml:space="preserve"> </w:t>
      </w:r>
      <w:r>
        <w:t>AUASB</w:t>
      </w:r>
      <w:r>
        <w:rPr>
          <w:spacing w:val="-4"/>
        </w:rPr>
        <w:t xml:space="preserve"> </w:t>
      </w:r>
      <w:r>
        <w:t>member</w:t>
      </w:r>
      <w:r>
        <w:rPr>
          <w:spacing w:val="-1"/>
        </w:rPr>
        <w:t xml:space="preserve"> </w:t>
      </w:r>
      <w:r>
        <w:t>who</w:t>
      </w:r>
      <w:r>
        <w:rPr>
          <w:spacing w:val="-5"/>
        </w:rPr>
        <w:t xml:space="preserve"> </w:t>
      </w:r>
      <w:r>
        <w:t>is</w:t>
      </w:r>
      <w:r>
        <w:rPr>
          <w:spacing w:val="-4"/>
        </w:rPr>
        <w:t xml:space="preserve"> </w:t>
      </w:r>
      <w:r>
        <w:t>also an</w:t>
      </w:r>
      <w:r>
        <w:rPr>
          <w:spacing w:val="-2"/>
        </w:rPr>
        <w:t xml:space="preserve"> </w:t>
      </w:r>
      <w:r>
        <w:t>IAASB</w:t>
      </w:r>
      <w:r>
        <w:rPr>
          <w:spacing w:val="-4"/>
        </w:rPr>
        <w:t xml:space="preserve"> </w:t>
      </w:r>
      <w:r>
        <w:t>member</w:t>
      </w:r>
      <w:r>
        <w:rPr>
          <w:spacing w:val="-2"/>
        </w:rPr>
        <w:t xml:space="preserve"> </w:t>
      </w:r>
      <w:r>
        <w:t>is</w:t>
      </w:r>
      <w:r>
        <w:rPr>
          <w:spacing w:val="-2"/>
        </w:rPr>
        <w:t xml:space="preserve"> </w:t>
      </w:r>
      <w:r>
        <w:t>appointed</w:t>
      </w:r>
      <w:r>
        <w:rPr>
          <w:spacing w:val="-4"/>
        </w:rPr>
        <w:t xml:space="preserve"> </w:t>
      </w:r>
      <w:r>
        <w:t>to</w:t>
      </w:r>
      <w:r>
        <w:rPr>
          <w:spacing w:val="-2"/>
        </w:rPr>
        <w:t xml:space="preserve"> </w:t>
      </w:r>
      <w:r>
        <w:t>the IAASB in their individual capacity and not as a representative of the AUASB.</w:t>
      </w:r>
    </w:p>
    <w:p w14:paraId="1E805A81" w14:textId="77777777" w:rsidR="00AA4A02" w:rsidRDefault="00960F31">
      <w:pPr>
        <w:pStyle w:val="ListParagraph"/>
        <w:numPr>
          <w:ilvl w:val="0"/>
          <w:numId w:val="29"/>
        </w:numPr>
        <w:tabs>
          <w:tab w:val="left" w:pos="851"/>
        </w:tabs>
        <w:spacing w:before="200" w:line="208" w:lineRule="auto"/>
        <w:ind w:right="479"/>
      </w:pPr>
      <w:r>
        <w:t>Where appropriate, the AUASB adopts pronouncements issued by the IAASB. Under the AUASB’s convergence policy</w:t>
      </w:r>
      <w:r>
        <w:rPr>
          <w:vertAlign w:val="superscript"/>
        </w:rPr>
        <w:t>31</w:t>
      </w:r>
      <w:r>
        <w:t>, international standards adopted in Australia are modified only</w:t>
      </w:r>
      <w:r>
        <w:rPr>
          <w:spacing w:val="-4"/>
        </w:rPr>
        <w:t xml:space="preserve"> </w:t>
      </w:r>
      <w:r>
        <w:t>if</w:t>
      </w:r>
      <w:r>
        <w:rPr>
          <w:spacing w:val="-3"/>
        </w:rPr>
        <w:t xml:space="preserve"> </w:t>
      </w:r>
      <w:r>
        <w:t>there</w:t>
      </w:r>
      <w:r>
        <w:rPr>
          <w:spacing w:val="-1"/>
        </w:rPr>
        <w:t xml:space="preserve"> </w:t>
      </w:r>
      <w:r>
        <w:t>are</w:t>
      </w:r>
      <w:r>
        <w:rPr>
          <w:spacing w:val="-3"/>
        </w:rPr>
        <w:t xml:space="preserve"> </w:t>
      </w:r>
      <w:r>
        <w:t>compelling</w:t>
      </w:r>
      <w:r>
        <w:rPr>
          <w:spacing w:val="-4"/>
        </w:rPr>
        <w:t xml:space="preserve"> </w:t>
      </w:r>
      <w:r>
        <w:t>reasons</w:t>
      </w:r>
      <w:r>
        <w:rPr>
          <w:spacing w:val="-3"/>
        </w:rPr>
        <w:t xml:space="preserve"> </w:t>
      </w:r>
      <w:r>
        <w:t>to</w:t>
      </w:r>
      <w:r>
        <w:rPr>
          <w:spacing w:val="-1"/>
        </w:rPr>
        <w:t xml:space="preserve"> </w:t>
      </w:r>
      <w:r>
        <w:t>do</w:t>
      </w:r>
      <w:r>
        <w:rPr>
          <w:spacing w:val="-4"/>
        </w:rPr>
        <w:t xml:space="preserve"> </w:t>
      </w:r>
      <w:r>
        <w:t>so,</w:t>
      </w:r>
      <w:r>
        <w:rPr>
          <w:spacing w:val="-4"/>
        </w:rPr>
        <w:t xml:space="preserve"> </w:t>
      </w:r>
      <w:r>
        <w:t>referred</w:t>
      </w:r>
      <w:r>
        <w:rPr>
          <w:spacing w:val="-3"/>
        </w:rPr>
        <w:t xml:space="preserve"> </w:t>
      </w:r>
      <w:r>
        <w:t>to</w:t>
      </w:r>
      <w:r>
        <w:rPr>
          <w:spacing w:val="-1"/>
        </w:rPr>
        <w:t xml:space="preserve"> </w:t>
      </w:r>
      <w:r>
        <w:t>as</w:t>
      </w:r>
      <w:r>
        <w:rPr>
          <w:spacing w:val="-1"/>
        </w:rPr>
        <w:t xml:space="preserve"> </w:t>
      </w:r>
      <w:r>
        <w:t>the</w:t>
      </w:r>
      <w:r>
        <w:rPr>
          <w:spacing w:val="-3"/>
        </w:rPr>
        <w:t xml:space="preserve"> </w:t>
      </w:r>
      <w:r>
        <w:t>‘Compelling</w:t>
      </w:r>
      <w:r>
        <w:rPr>
          <w:spacing w:val="-1"/>
        </w:rPr>
        <w:t xml:space="preserve"> </w:t>
      </w:r>
      <w:r>
        <w:t>Reasons</w:t>
      </w:r>
      <w:r>
        <w:rPr>
          <w:spacing w:val="-1"/>
        </w:rPr>
        <w:t xml:space="preserve"> </w:t>
      </w:r>
      <w:r>
        <w:t>Test’. The convergence policy explains the limited circumstances where such modifications are acceptable, provided they consider the public interest and do not conflict with, or result in lesser requirements than, the international standards.</w:t>
      </w:r>
    </w:p>
    <w:p w14:paraId="1E805A82" w14:textId="77777777" w:rsidR="00AA4A02" w:rsidRDefault="00960F31">
      <w:pPr>
        <w:pStyle w:val="BodyText"/>
        <w:spacing w:before="173"/>
        <w:ind w:left="851"/>
      </w:pPr>
      <w:r>
        <w:t>For</w:t>
      </w:r>
      <w:r>
        <w:rPr>
          <w:spacing w:val="-3"/>
        </w:rPr>
        <w:t xml:space="preserve"> </w:t>
      </w:r>
      <w:r>
        <w:t>details,</w:t>
      </w:r>
      <w:r>
        <w:rPr>
          <w:spacing w:val="-3"/>
        </w:rPr>
        <w:t xml:space="preserve"> </w:t>
      </w:r>
      <w:r>
        <w:t>refer</w:t>
      </w:r>
      <w:r>
        <w:rPr>
          <w:spacing w:val="-2"/>
        </w:rPr>
        <w:t xml:space="preserve"> </w:t>
      </w:r>
      <w:r>
        <w:t>to</w:t>
      </w:r>
      <w:r>
        <w:rPr>
          <w:spacing w:val="-6"/>
        </w:rPr>
        <w:t xml:space="preserve"> </w:t>
      </w:r>
      <w:r>
        <w:t>the</w:t>
      </w:r>
      <w:r>
        <w:rPr>
          <w:spacing w:val="-3"/>
        </w:rPr>
        <w:t xml:space="preserve"> </w:t>
      </w:r>
      <w:r>
        <w:t>policy</w:t>
      </w:r>
      <w:r>
        <w:rPr>
          <w:spacing w:val="-3"/>
        </w:rPr>
        <w:t xml:space="preserve"> </w:t>
      </w:r>
      <w:r>
        <w:t>document</w:t>
      </w:r>
      <w:r>
        <w:rPr>
          <w:spacing w:val="-1"/>
        </w:rPr>
        <w:t xml:space="preserve"> </w:t>
      </w:r>
      <w:r>
        <w:rPr>
          <w:spacing w:val="-2"/>
        </w:rPr>
        <w:t>which:</w:t>
      </w:r>
    </w:p>
    <w:p w14:paraId="1E805A83" w14:textId="77777777" w:rsidR="00AA4A02" w:rsidRDefault="00960F31">
      <w:pPr>
        <w:pStyle w:val="ListParagraph"/>
        <w:numPr>
          <w:ilvl w:val="1"/>
          <w:numId w:val="29"/>
        </w:numPr>
        <w:tabs>
          <w:tab w:val="left" w:pos="1624"/>
        </w:tabs>
        <w:spacing w:before="194" w:line="208" w:lineRule="auto"/>
        <w:ind w:left="1624" w:right="262" w:hanging="773"/>
      </w:pPr>
      <w:r>
        <w:t>identifies</w:t>
      </w:r>
      <w:r>
        <w:rPr>
          <w:spacing w:val="-3"/>
        </w:rPr>
        <w:t xml:space="preserve"> </w:t>
      </w:r>
      <w:r>
        <w:t>factors</w:t>
      </w:r>
      <w:r>
        <w:rPr>
          <w:spacing w:val="-3"/>
        </w:rPr>
        <w:t xml:space="preserve"> </w:t>
      </w:r>
      <w:r>
        <w:t>the</w:t>
      </w:r>
      <w:r>
        <w:rPr>
          <w:spacing w:val="-3"/>
        </w:rPr>
        <w:t xml:space="preserve"> </w:t>
      </w:r>
      <w:r>
        <w:t>AUASB</w:t>
      </w:r>
      <w:r>
        <w:rPr>
          <w:spacing w:val="-4"/>
        </w:rPr>
        <w:t xml:space="preserve"> </w:t>
      </w:r>
      <w:r>
        <w:t>considers</w:t>
      </w:r>
      <w:r>
        <w:rPr>
          <w:spacing w:val="-3"/>
        </w:rPr>
        <w:t xml:space="preserve"> </w:t>
      </w:r>
      <w:r>
        <w:t>when</w:t>
      </w:r>
      <w:r>
        <w:rPr>
          <w:spacing w:val="-5"/>
        </w:rPr>
        <w:t xml:space="preserve"> </w:t>
      </w:r>
      <w:r>
        <w:t>assessing</w:t>
      </w:r>
      <w:r>
        <w:rPr>
          <w:spacing w:val="-6"/>
        </w:rPr>
        <w:t xml:space="preserve"> </w:t>
      </w:r>
      <w:r>
        <w:t>whether</w:t>
      </w:r>
      <w:r>
        <w:rPr>
          <w:spacing w:val="-5"/>
        </w:rPr>
        <w:t xml:space="preserve"> </w:t>
      </w:r>
      <w:r>
        <w:t>modifications</w:t>
      </w:r>
      <w:r>
        <w:rPr>
          <w:spacing w:val="-3"/>
        </w:rPr>
        <w:t xml:space="preserve"> </w:t>
      </w:r>
      <w:r>
        <w:t>to</w:t>
      </w:r>
      <w:r>
        <w:rPr>
          <w:spacing w:val="-3"/>
        </w:rPr>
        <w:t xml:space="preserve"> </w:t>
      </w:r>
      <w:r>
        <w:t>the international standards are in the public interest;</w:t>
      </w:r>
    </w:p>
    <w:p w14:paraId="1E805A84" w14:textId="77777777" w:rsidR="00AA4A02" w:rsidRDefault="00960F31">
      <w:pPr>
        <w:pStyle w:val="ListParagraph"/>
        <w:numPr>
          <w:ilvl w:val="1"/>
          <w:numId w:val="29"/>
        </w:numPr>
        <w:tabs>
          <w:tab w:val="left" w:pos="1624"/>
        </w:tabs>
        <w:spacing w:before="200" w:line="208" w:lineRule="auto"/>
        <w:ind w:left="1624" w:right="176" w:hanging="773"/>
      </w:pPr>
      <w:r>
        <w:t>identifies</w:t>
      </w:r>
      <w:r>
        <w:rPr>
          <w:spacing w:val="-2"/>
        </w:rPr>
        <w:t xml:space="preserve"> </w:t>
      </w:r>
      <w:r>
        <w:t>the</w:t>
      </w:r>
      <w:r>
        <w:rPr>
          <w:spacing w:val="-4"/>
        </w:rPr>
        <w:t xml:space="preserve"> </w:t>
      </w:r>
      <w:r>
        <w:t>circumstances</w:t>
      </w:r>
      <w:r>
        <w:rPr>
          <w:spacing w:val="-6"/>
        </w:rPr>
        <w:t xml:space="preserve"> </w:t>
      </w:r>
      <w:r>
        <w:t>that</w:t>
      </w:r>
      <w:r>
        <w:rPr>
          <w:spacing w:val="-3"/>
        </w:rPr>
        <w:t xml:space="preserve"> </w:t>
      </w:r>
      <w:r>
        <w:t>would</w:t>
      </w:r>
      <w:r>
        <w:rPr>
          <w:spacing w:val="-4"/>
        </w:rPr>
        <w:t xml:space="preserve"> </w:t>
      </w:r>
      <w:r>
        <w:t>trigger</w:t>
      </w:r>
      <w:r>
        <w:rPr>
          <w:spacing w:val="-4"/>
        </w:rPr>
        <w:t xml:space="preserve"> </w:t>
      </w:r>
      <w:r>
        <w:t>application</w:t>
      </w:r>
      <w:r>
        <w:rPr>
          <w:spacing w:val="-4"/>
        </w:rPr>
        <w:t xml:space="preserve"> </w:t>
      </w:r>
      <w:r>
        <w:t>of</w:t>
      </w:r>
      <w:r>
        <w:rPr>
          <w:spacing w:val="-5"/>
        </w:rPr>
        <w:t xml:space="preserve"> </w:t>
      </w:r>
      <w:r>
        <w:t>the</w:t>
      </w:r>
      <w:r>
        <w:rPr>
          <w:spacing w:val="-4"/>
        </w:rPr>
        <w:t xml:space="preserve"> </w:t>
      </w:r>
      <w:r>
        <w:t>Compelling</w:t>
      </w:r>
      <w:r>
        <w:rPr>
          <w:spacing w:val="-4"/>
        </w:rPr>
        <w:t xml:space="preserve"> </w:t>
      </w:r>
      <w:r>
        <w:t>Reasons Test for modifications;</w:t>
      </w:r>
    </w:p>
    <w:p w14:paraId="1E805A85" w14:textId="77777777" w:rsidR="00AA4A02" w:rsidRDefault="00960F31">
      <w:pPr>
        <w:pStyle w:val="ListParagraph"/>
        <w:numPr>
          <w:ilvl w:val="1"/>
          <w:numId w:val="29"/>
        </w:numPr>
        <w:tabs>
          <w:tab w:val="left" w:pos="1624"/>
        </w:tabs>
        <w:spacing w:before="199" w:line="208" w:lineRule="auto"/>
        <w:ind w:left="1624" w:right="279" w:hanging="773"/>
      </w:pPr>
      <w:r>
        <w:t>identifies</w:t>
      </w:r>
      <w:r>
        <w:rPr>
          <w:spacing w:val="-1"/>
        </w:rPr>
        <w:t xml:space="preserve"> </w:t>
      </w:r>
      <w:r>
        <w:t>the</w:t>
      </w:r>
      <w:r>
        <w:rPr>
          <w:spacing w:val="-3"/>
        </w:rPr>
        <w:t xml:space="preserve"> </w:t>
      </w:r>
      <w:r>
        <w:t>criteria</w:t>
      </w:r>
      <w:r>
        <w:rPr>
          <w:spacing w:val="-5"/>
        </w:rPr>
        <w:t xml:space="preserve"> </w:t>
      </w:r>
      <w:r>
        <w:t>that</w:t>
      </w:r>
      <w:r>
        <w:rPr>
          <w:spacing w:val="-2"/>
        </w:rPr>
        <w:t xml:space="preserve"> </w:t>
      </w:r>
      <w:r>
        <w:t>have</w:t>
      </w:r>
      <w:r>
        <w:rPr>
          <w:spacing w:val="-3"/>
        </w:rPr>
        <w:t xml:space="preserve"> </w:t>
      </w:r>
      <w:r>
        <w:t>to</w:t>
      </w:r>
      <w:r>
        <w:rPr>
          <w:spacing w:val="-3"/>
        </w:rPr>
        <w:t xml:space="preserve"> </w:t>
      </w:r>
      <w:r>
        <w:t>be</w:t>
      </w:r>
      <w:r>
        <w:rPr>
          <w:spacing w:val="-5"/>
        </w:rPr>
        <w:t xml:space="preserve"> </w:t>
      </w:r>
      <w:r>
        <w:t>met</w:t>
      </w:r>
      <w:r>
        <w:rPr>
          <w:spacing w:val="-2"/>
        </w:rPr>
        <w:t xml:space="preserve"> </w:t>
      </w:r>
      <w:r>
        <w:t>before</w:t>
      </w:r>
      <w:r>
        <w:rPr>
          <w:spacing w:val="-2"/>
        </w:rPr>
        <w:t xml:space="preserve"> </w:t>
      </w:r>
      <w:r>
        <w:t>an</w:t>
      </w:r>
      <w:r>
        <w:rPr>
          <w:spacing w:val="-5"/>
        </w:rPr>
        <w:t xml:space="preserve"> </w:t>
      </w:r>
      <w:r>
        <w:t>international</w:t>
      </w:r>
      <w:r>
        <w:rPr>
          <w:spacing w:val="-5"/>
        </w:rPr>
        <w:t xml:space="preserve"> </w:t>
      </w:r>
      <w:r>
        <w:t>standard</w:t>
      </w:r>
      <w:r>
        <w:rPr>
          <w:spacing w:val="-3"/>
        </w:rPr>
        <w:t xml:space="preserve"> </w:t>
      </w:r>
      <w:r>
        <w:t>is</w:t>
      </w:r>
      <w:r>
        <w:rPr>
          <w:spacing w:val="-1"/>
        </w:rPr>
        <w:t xml:space="preserve"> </w:t>
      </w:r>
      <w:r>
        <w:t>modified for adoption in Australia; and</w:t>
      </w:r>
    </w:p>
    <w:p w14:paraId="1E805A86" w14:textId="77777777" w:rsidR="00AA4A02" w:rsidRDefault="00960F31">
      <w:pPr>
        <w:pStyle w:val="ListParagraph"/>
        <w:numPr>
          <w:ilvl w:val="1"/>
          <w:numId w:val="29"/>
        </w:numPr>
        <w:tabs>
          <w:tab w:val="left" w:pos="1624"/>
        </w:tabs>
        <w:spacing w:before="200" w:line="208" w:lineRule="auto"/>
        <w:ind w:left="1624" w:right="342" w:hanging="773"/>
      </w:pPr>
      <w:r>
        <w:t>includes</w:t>
      </w:r>
      <w:r>
        <w:rPr>
          <w:spacing w:val="-4"/>
        </w:rPr>
        <w:t xml:space="preserve"> </w:t>
      </w:r>
      <w:r>
        <w:t>a</w:t>
      </w:r>
      <w:r>
        <w:rPr>
          <w:spacing w:val="-2"/>
        </w:rPr>
        <w:t xml:space="preserve"> </w:t>
      </w:r>
      <w:r>
        <w:t>diagram</w:t>
      </w:r>
      <w:r>
        <w:rPr>
          <w:spacing w:val="-2"/>
        </w:rPr>
        <w:t xml:space="preserve"> </w:t>
      </w:r>
      <w:r>
        <w:t>which</w:t>
      </w:r>
      <w:r>
        <w:rPr>
          <w:spacing w:val="-3"/>
        </w:rPr>
        <w:t xml:space="preserve"> </w:t>
      </w:r>
      <w:r>
        <w:t>illustrates</w:t>
      </w:r>
      <w:r>
        <w:rPr>
          <w:spacing w:val="-3"/>
        </w:rPr>
        <w:t xml:space="preserve"> </w:t>
      </w:r>
      <w:r>
        <w:t>the</w:t>
      </w:r>
      <w:r>
        <w:rPr>
          <w:spacing w:val="-3"/>
        </w:rPr>
        <w:t xml:space="preserve"> </w:t>
      </w:r>
      <w:r>
        <w:t>AUASB’s</w:t>
      </w:r>
      <w:r>
        <w:rPr>
          <w:spacing w:val="-3"/>
        </w:rPr>
        <w:t xml:space="preserve"> </w:t>
      </w:r>
      <w:r>
        <w:t>approach</w:t>
      </w:r>
      <w:r>
        <w:rPr>
          <w:spacing w:val="-6"/>
        </w:rPr>
        <w:t xml:space="preserve"> </w:t>
      </w:r>
      <w:r>
        <w:t>to</w:t>
      </w:r>
      <w:r>
        <w:rPr>
          <w:spacing w:val="-6"/>
        </w:rPr>
        <w:t xml:space="preserve"> </w:t>
      </w:r>
      <w:r>
        <w:t>achieve</w:t>
      </w:r>
      <w:r>
        <w:rPr>
          <w:spacing w:val="-5"/>
        </w:rPr>
        <w:t xml:space="preserve"> </w:t>
      </w:r>
      <w:r>
        <w:t>its</w:t>
      </w:r>
      <w:r>
        <w:rPr>
          <w:spacing w:val="-3"/>
        </w:rPr>
        <w:t xml:space="preserve"> </w:t>
      </w:r>
      <w:r>
        <w:t>objective of convergence to international standards, including how the Compelling Reasons Test for modifications in the public interest is applied.</w:t>
      </w:r>
    </w:p>
    <w:p w14:paraId="1E805A87" w14:textId="77777777" w:rsidR="00AA4A02" w:rsidRDefault="00960F31">
      <w:pPr>
        <w:spacing w:before="206"/>
        <w:ind w:left="143"/>
        <w:rPr>
          <w:b/>
        </w:rPr>
      </w:pPr>
      <w:bookmarkStart w:id="47" w:name="Engagement_with_the_NZAuASB"/>
      <w:bookmarkEnd w:id="47"/>
      <w:r>
        <w:rPr>
          <w:b/>
        </w:rPr>
        <w:t>Engagement</w:t>
      </w:r>
      <w:r>
        <w:rPr>
          <w:b/>
          <w:spacing w:val="-4"/>
        </w:rPr>
        <w:t xml:space="preserve"> </w:t>
      </w:r>
      <w:r>
        <w:rPr>
          <w:b/>
        </w:rPr>
        <w:t>with</w:t>
      </w:r>
      <w:r>
        <w:rPr>
          <w:b/>
          <w:spacing w:val="-4"/>
        </w:rPr>
        <w:t xml:space="preserve"> </w:t>
      </w:r>
      <w:r>
        <w:rPr>
          <w:b/>
        </w:rPr>
        <w:t>the</w:t>
      </w:r>
      <w:r>
        <w:rPr>
          <w:b/>
          <w:spacing w:val="-1"/>
        </w:rPr>
        <w:t xml:space="preserve"> </w:t>
      </w:r>
      <w:r>
        <w:rPr>
          <w:b/>
          <w:spacing w:val="-2"/>
        </w:rPr>
        <w:t>NZAuASB</w:t>
      </w:r>
    </w:p>
    <w:p w14:paraId="1E805A88" w14:textId="77777777" w:rsidR="00AA4A02" w:rsidRDefault="00960F31">
      <w:pPr>
        <w:pStyle w:val="ListParagraph"/>
        <w:numPr>
          <w:ilvl w:val="0"/>
          <w:numId w:val="29"/>
        </w:numPr>
        <w:tabs>
          <w:tab w:val="left" w:pos="851"/>
        </w:tabs>
        <w:spacing w:line="208" w:lineRule="auto"/>
        <w:ind w:right="248"/>
      </w:pPr>
      <w:r>
        <w:t>The</w:t>
      </w:r>
      <w:r>
        <w:rPr>
          <w:spacing w:val="-2"/>
        </w:rPr>
        <w:t xml:space="preserve"> </w:t>
      </w:r>
      <w:r>
        <w:t>AUASB</w:t>
      </w:r>
      <w:r>
        <w:rPr>
          <w:spacing w:val="-4"/>
        </w:rPr>
        <w:t xml:space="preserve"> </w:t>
      </w:r>
      <w:r>
        <w:t>and</w:t>
      </w:r>
      <w:r>
        <w:rPr>
          <w:spacing w:val="-2"/>
        </w:rPr>
        <w:t xml:space="preserve"> </w:t>
      </w:r>
      <w:r>
        <w:t>the</w:t>
      </w:r>
      <w:r>
        <w:rPr>
          <w:spacing w:val="-2"/>
        </w:rPr>
        <w:t xml:space="preserve"> </w:t>
      </w:r>
      <w:r>
        <w:t>NZAuASB</w:t>
      </w:r>
      <w:r>
        <w:rPr>
          <w:spacing w:val="-4"/>
        </w:rPr>
        <w:t xml:space="preserve"> </w:t>
      </w:r>
      <w:r>
        <w:t>have</w:t>
      </w:r>
      <w:r>
        <w:rPr>
          <w:spacing w:val="-2"/>
        </w:rPr>
        <w:t xml:space="preserve"> </w:t>
      </w:r>
      <w:r>
        <w:t>established</w:t>
      </w:r>
      <w:r>
        <w:rPr>
          <w:spacing w:val="-2"/>
        </w:rPr>
        <w:t xml:space="preserve"> </w:t>
      </w:r>
      <w:r>
        <w:t>broad</w:t>
      </w:r>
      <w:r>
        <w:rPr>
          <w:spacing w:val="-2"/>
        </w:rPr>
        <w:t xml:space="preserve"> </w:t>
      </w:r>
      <w:r>
        <w:t>strategies</w:t>
      </w:r>
      <w:r>
        <w:rPr>
          <w:spacing w:val="-4"/>
        </w:rPr>
        <w:t xml:space="preserve"> </w:t>
      </w:r>
      <w:r>
        <w:t>and</w:t>
      </w:r>
      <w:r>
        <w:rPr>
          <w:spacing w:val="-4"/>
        </w:rPr>
        <w:t xml:space="preserve"> </w:t>
      </w:r>
      <w:r>
        <w:t>initiatives</w:t>
      </w:r>
      <w:r>
        <w:rPr>
          <w:spacing w:val="-4"/>
        </w:rPr>
        <w:t xml:space="preserve"> </w:t>
      </w:r>
      <w:r>
        <w:t>aimed</w:t>
      </w:r>
      <w:r>
        <w:rPr>
          <w:spacing w:val="-2"/>
        </w:rPr>
        <w:t xml:space="preserve"> </w:t>
      </w:r>
      <w:r>
        <w:t>at</w:t>
      </w:r>
      <w:r>
        <w:rPr>
          <w:spacing w:val="-4"/>
        </w:rPr>
        <w:t xml:space="preserve"> </w:t>
      </w:r>
      <w:r>
        <w:t>the establishment of harmonised standards based on international standards. For example, the Chair of each Board is allocated membership on the Board of the other standard-setter.</w:t>
      </w:r>
    </w:p>
    <w:p w14:paraId="1E805A89" w14:textId="77777777" w:rsidR="00AA4A02" w:rsidRDefault="00960F31">
      <w:pPr>
        <w:pStyle w:val="ListParagraph"/>
        <w:numPr>
          <w:ilvl w:val="0"/>
          <w:numId w:val="29"/>
        </w:numPr>
        <w:tabs>
          <w:tab w:val="left" w:pos="851"/>
        </w:tabs>
        <w:spacing w:before="199" w:line="208" w:lineRule="auto"/>
        <w:ind w:right="417"/>
      </w:pPr>
      <w:r>
        <w:t>The</w:t>
      </w:r>
      <w:r>
        <w:rPr>
          <w:spacing w:val="-3"/>
        </w:rPr>
        <w:t xml:space="preserve"> </w:t>
      </w:r>
      <w:r>
        <w:t>AUASB</w:t>
      </w:r>
      <w:r>
        <w:rPr>
          <w:spacing w:val="-4"/>
        </w:rPr>
        <w:t xml:space="preserve"> </w:t>
      </w:r>
      <w:r>
        <w:t>and</w:t>
      </w:r>
      <w:r>
        <w:rPr>
          <w:spacing w:val="-3"/>
        </w:rPr>
        <w:t xml:space="preserve"> </w:t>
      </w:r>
      <w:r>
        <w:t>the</w:t>
      </w:r>
      <w:r>
        <w:rPr>
          <w:spacing w:val="-3"/>
        </w:rPr>
        <w:t xml:space="preserve"> </w:t>
      </w:r>
      <w:r>
        <w:t>NZAuASB,</w:t>
      </w:r>
      <w:r>
        <w:rPr>
          <w:spacing w:val="-3"/>
        </w:rPr>
        <w:t xml:space="preserve"> </w:t>
      </w:r>
      <w:r>
        <w:t>as</w:t>
      </w:r>
      <w:r>
        <w:rPr>
          <w:spacing w:val="-3"/>
        </w:rPr>
        <w:t xml:space="preserve"> </w:t>
      </w:r>
      <w:r>
        <w:t>well</w:t>
      </w:r>
      <w:r>
        <w:rPr>
          <w:spacing w:val="-2"/>
        </w:rPr>
        <w:t xml:space="preserve"> </w:t>
      </w:r>
      <w:r>
        <w:t>their</w:t>
      </w:r>
      <w:r>
        <w:rPr>
          <w:spacing w:val="-4"/>
        </w:rPr>
        <w:t xml:space="preserve"> </w:t>
      </w:r>
      <w:r>
        <w:t>respective</w:t>
      </w:r>
      <w:r>
        <w:rPr>
          <w:spacing w:val="-3"/>
        </w:rPr>
        <w:t xml:space="preserve"> </w:t>
      </w:r>
      <w:r>
        <w:t>oversight</w:t>
      </w:r>
      <w:r>
        <w:rPr>
          <w:spacing w:val="-2"/>
        </w:rPr>
        <w:t xml:space="preserve"> </w:t>
      </w:r>
      <w:r>
        <w:t>bodies</w:t>
      </w:r>
      <w:r>
        <w:rPr>
          <w:spacing w:val="-3"/>
        </w:rPr>
        <w:t xml:space="preserve"> </w:t>
      </w:r>
      <w:r>
        <w:t>(the</w:t>
      </w:r>
      <w:r>
        <w:rPr>
          <w:spacing w:val="-3"/>
        </w:rPr>
        <w:t xml:space="preserve"> </w:t>
      </w:r>
      <w:r>
        <w:t>FRC</w:t>
      </w:r>
      <w:r>
        <w:rPr>
          <w:spacing w:val="-4"/>
        </w:rPr>
        <w:t xml:space="preserve"> </w:t>
      </w:r>
      <w:r>
        <w:t>and</w:t>
      </w:r>
      <w:r>
        <w:rPr>
          <w:spacing w:val="-3"/>
        </w:rPr>
        <w:t xml:space="preserve"> </w:t>
      </w:r>
      <w:r>
        <w:t>the NZ XRB) have agreed to reciprocal policies on:</w:t>
      </w:r>
    </w:p>
    <w:p w14:paraId="1E805A8A" w14:textId="77777777" w:rsidR="00AA4A02" w:rsidRDefault="00960F31">
      <w:pPr>
        <w:pStyle w:val="ListParagraph"/>
        <w:numPr>
          <w:ilvl w:val="1"/>
          <w:numId w:val="29"/>
        </w:numPr>
        <w:tabs>
          <w:tab w:val="left" w:pos="1562"/>
        </w:tabs>
        <w:spacing w:before="174"/>
      </w:pPr>
      <w:r>
        <w:t>the</w:t>
      </w:r>
      <w:r>
        <w:rPr>
          <w:spacing w:val="-4"/>
        </w:rPr>
        <w:t xml:space="preserve"> </w:t>
      </w:r>
      <w:r>
        <w:t>principles</w:t>
      </w:r>
      <w:r>
        <w:rPr>
          <w:spacing w:val="-3"/>
        </w:rPr>
        <w:t xml:space="preserve"> </w:t>
      </w:r>
      <w:r>
        <w:t>of</w:t>
      </w:r>
      <w:r>
        <w:rPr>
          <w:spacing w:val="-6"/>
        </w:rPr>
        <w:t xml:space="preserve"> </w:t>
      </w:r>
      <w:r>
        <w:t>convergence</w:t>
      </w:r>
      <w:r>
        <w:rPr>
          <w:spacing w:val="-1"/>
        </w:rPr>
        <w:t xml:space="preserve"> </w:t>
      </w:r>
      <w:r>
        <w:t>to</w:t>
      </w:r>
      <w:r>
        <w:rPr>
          <w:spacing w:val="-3"/>
        </w:rPr>
        <w:t xml:space="preserve"> </w:t>
      </w:r>
      <w:r>
        <w:t>IAASB</w:t>
      </w:r>
      <w:r>
        <w:rPr>
          <w:spacing w:val="-4"/>
        </w:rPr>
        <w:t xml:space="preserve"> </w:t>
      </w:r>
      <w:r>
        <w:rPr>
          <w:spacing w:val="-2"/>
        </w:rPr>
        <w:t>Standards;</w:t>
      </w:r>
    </w:p>
    <w:p w14:paraId="1E805A8B" w14:textId="77777777" w:rsidR="00AA4A02" w:rsidRDefault="00960F31">
      <w:pPr>
        <w:pStyle w:val="ListParagraph"/>
        <w:numPr>
          <w:ilvl w:val="1"/>
          <w:numId w:val="29"/>
        </w:numPr>
        <w:tabs>
          <w:tab w:val="left" w:pos="1562"/>
        </w:tabs>
        <w:spacing w:before="88"/>
      </w:pPr>
      <w:r>
        <w:t>the</w:t>
      </w:r>
      <w:r>
        <w:rPr>
          <w:spacing w:val="-4"/>
        </w:rPr>
        <w:t xml:space="preserve"> </w:t>
      </w:r>
      <w:r>
        <w:t>principles</w:t>
      </w:r>
      <w:r>
        <w:rPr>
          <w:spacing w:val="-4"/>
        </w:rPr>
        <w:t xml:space="preserve"> </w:t>
      </w:r>
      <w:r>
        <w:t>of</w:t>
      </w:r>
      <w:r>
        <w:rPr>
          <w:spacing w:val="-4"/>
        </w:rPr>
        <w:t xml:space="preserve"> </w:t>
      </w:r>
      <w:r>
        <w:t>harmonisation</w:t>
      </w:r>
      <w:r>
        <w:rPr>
          <w:spacing w:val="-4"/>
        </w:rPr>
        <w:t xml:space="preserve"> </w:t>
      </w:r>
      <w:r>
        <w:t>with</w:t>
      </w:r>
      <w:r>
        <w:rPr>
          <w:spacing w:val="-6"/>
        </w:rPr>
        <w:t xml:space="preserve"> </w:t>
      </w:r>
      <w:r>
        <w:t>the</w:t>
      </w:r>
      <w:r>
        <w:rPr>
          <w:spacing w:val="-4"/>
        </w:rPr>
        <w:t xml:space="preserve"> </w:t>
      </w:r>
      <w:r>
        <w:t>standards</w:t>
      </w:r>
      <w:r>
        <w:rPr>
          <w:spacing w:val="-6"/>
        </w:rPr>
        <w:t xml:space="preserve"> </w:t>
      </w:r>
      <w:r>
        <w:t>of</w:t>
      </w:r>
      <w:r>
        <w:rPr>
          <w:spacing w:val="-5"/>
        </w:rPr>
        <w:t xml:space="preserve"> </w:t>
      </w:r>
      <w:r>
        <w:t>the</w:t>
      </w:r>
      <w:r>
        <w:rPr>
          <w:spacing w:val="-4"/>
        </w:rPr>
        <w:t xml:space="preserve"> </w:t>
      </w:r>
      <w:r>
        <w:t>respective</w:t>
      </w:r>
      <w:r>
        <w:rPr>
          <w:spacing w:val="-4"/>
        </w:rPr>
        <w:t xml:space="preserve"> </w:t>
      </w:r>
      <w:r>
        <w:t>Boards;</w:t>
      </w:r>
      <w:r>
        <w:rPr>
          <w:spacing w:val="-2"/>
        </w:rPr>
        <w:t xml:space="preserve"> </w:t>
      </w:r>
      <w:r>
        <w:rPr>
          <w:spacing w:val="-5"/>
        </w:rPr>
        <w:t>and</w:t>
      </w:r>
    </w:p>
    <w:p w14:paraId="1E805A8C" w14:textId="77777777" w:rsidR="00AA4A02" w:rsidRDefault="00960F31">
      <w:pPr>
        <w:pStyle w:val="ListParagraph"/>
        <w:numPr>
          <w:ilvl w:val="1"/>
          <w:numId w:val="29"/>
        </w:numPr>
        <w:tabs>
          <w:tab w:val="left" w:pos="1562"/>
        </w:tabs>
        <w:spacing w:before="88"/>
      </w:pPr>
      <w:r>
        <w:t>communications</w:t>
      </w:r>
      <w:r>
        <w:rPr>
          <w:spacing w:val="-9"/>
        </w:rPr>
        <w:t xml:space="preserve"> </w:t>
      </w:r>
      <w:r>
        <w:rPr>
          <w:spacing w:val="-2"/>
        </w:rPr>
        <w:t>protocols.</w:t>
      </w:r>
    </w:p>
    <w:p w14:paraId="1E805A8D" w14:textId="77777777" w:rsidR="00AA4A02" w:rsidRDefault="00960F31">
      <w:pPr>
        <w:spacing w:before="191" w:line="208" w:lineRule="auto"/>
        <w:ind w:left="851"/>
        <w:rPr>
          <w:i/>
        </w:rPr>
      </w:pPr>
      <w:r>
        <w:t>These</w:t>
      </w:r>
      <w:r>
        <w:rPr>
          <w:spacing w:val="-4"/>
        </w:rPr>
        <w:t xml:space="preserve"> </w:t>
      </w:r>
      <w:r>
        <w:t>shared</w:t>
      </w:r>
      <w:r>
        <w:rPr>
          <w:spacing w:val="-2"/>
        </w:rPr>
        <w:t xml:space="preserve"> </w:t>
      </w:r>
      <w:r>
        <w:t>policies</w:t>
      </w:r>
      <w:r>
        <w:rPr>
          <w:spacing w:val="-1"/>
        </w:rPr>
        <w:t xml:space="preserve"> </w:t>
      </w:r>
      <w:r>
        <w:t>are</w:t>
      </w:r>
      <w:r>
        <w:rPr>
          <w:spacing w:val="-2"/>
        </w:rPr>
        <w:t xml:space="preserve"> </w:t>
      </w:r>
      <w:r>
        <w:t>set</w:t>
      </w:r>
      <w:r>
        <w:rPr>
          <w:spacing w:val="-1"/>
        </w:rPr>
        <w:t xml:space="preserve"> </w:t>
      </w:r>
      <w:r>
        <w:t>out</w:t>
      </w:r>
      <w:r>
        <w:rPr>
          <w:spacing w:val="-3"/>
        </w:rPr>
        <w:t xml:space="preserve"> </w:t>
      </w:r>
      <w:r>
        <w:t>in</w:t>
      </w:r>
      <w:r>
        <w:rPr>
          <w:spacing w:val="-5"/>
        </w:rPr>
        <w:t xml:space="preserve"> </w:t>
      </w:r>
      <w:r>
        <w:t>the</w:t>
      </w:r>
      <w:r>
        <w:rPr>
          <w:spacing w:val="-2"/>
        </w:rPr>
        <w:t xml:space="preserve"> </w:t>
      </w:r>
      <w:hyperlink r:id="rId88">
        <w:r>
          <w:rPr>
            <w:i/>
            <w:color w:val="0000FF"/>
            <w:u w:val="single" w:color="0000FF"/>
          </w:rPr>
          <w:t>AUASB</w:t>
        </w:r>
        <w:r>
          <w:rPr>
            <w:i/>
            <w:color w:val="0000FF"/>
            <w:spacing w:val="-3"/>
            <w:u w:val="single" w:color="0000FF"/>
          </w:rPr>
          <w:t xml:space="preserve"> </w:t>
        </w:r>
        <w:r>
          <w:rPr>
            <w:i/>
            <w:color w:val="0000FF"/>
            <w:u w:val="single" w:color="0000FF"/>
          </w:rPr>
          <w:t>Policy</w:t>
        </w:r>
        <w:r>
          <w:rPr>
            <w:i/>
            <w:color w:val="0000FF"/>
            <w:spacing w:val="-4"/>
            <w:u w:val="single" w:color="0000FF"/>
          </w:rPr>
          <w:t xml:space="preserve"> </w:t>
        </w:r>
        <w:r>
          <w:rPr>
            <w:i/>
            <w:color w:val="0000FF"/>
            <w:u w:val="single" w:color="0000FF"/>
          </w:rPr>
          <w:t>and</w:t>
        </w:r>
        <w:r>
          <w:rPr>
            <w:i/>
            <w:color w:val="0000FF"/>
            <w:spacing w:val="-2"/>
            <w:u w:val="single" w:color="0000FF"/>
          </w:rPr>
          <w:t xml:space="preserve"> </w:t>
        </w:r>
        <w:r>
          <w:rPr>
            <w:i/>
            <w:color w:val="0000FF"/>
            <w:u w:val="single" w:color="0000FF"/>
          </w:rPr>
          <w:t>Process</w:t>
        </w:r>
        <w:r>
          <w:rPr>
            <w:i/>
            <w:color w:val="0000FF"/>
            <w:spacing w:val="-4"/>
            <w:u w:val="single" w:color="0000FF"/>
          </w:rPr>
          <w:t xml:space="preserve"> </w:t>
        </w:r>
        <w:r>
          <w:rPr>
            <w:i/>
            <w:color w:val="0000FF"/>
            <w:u w:val="single" w:color="0000FF"/>
          </w:rPr>
          <w:t>for</w:t>
        </w:r>
        <w:r>
          <w:rPr>
            <w:i/>
            <w:color w:val="0000FF"/>
            <w:spacing w:val="-4"/>
            <w:u w:val="single" w:color="0000FF"/>
          </w:rPr>
          <w:t xml:space="preserve"> </w:t>
        </w:r>
        <w:r>
          <w:rPr>
            <w:i/>
            <w:color w:val="0000FF"/>
            <w:u w:val="single" w:color="0000FF"/>
          </w:rPr>
          <w:t>International</w:t>
        </w:r>
      </w:hyperlink>
      <w:r>
        <w:rPr>
          <w:i/>
          <w:color w:val="0000FF"/>
        </w:rPr>
        <w:t xml:space="preserve"> </w:t>
      </w:r>
      <w:hyperlink r:id="rId89">
        <w:r>
          <w:rPr>
            <w:i/>
            <w:color w:val="0000FF"/>
            <w:u w:val="single" w:color="0000FF"/>
          </w:rPr>
          <w:t>Conformance and Harmonisation of Standards</w:t>
        </w:r>
        <w:r>
          <w:rPr>
            <w:i/>
          </w:rPr>
          <w:t>.</w:t>
        </w:r>
      </w:hyperlink>
    </w:p>
    <w:p w14:paraId="1E805A8E" w14:textId="77777777" w:rsidR="00AA4A02" w:rsidRDefault="00960F31">
      <w:pPr>
        <w:pStyle w:val="ListParagraph"/>
        <w:numPr>
          <w:ilvl w:val="0"/>
          <w:numId w:val="29"/>
        </w:numPr>
        <w:tabs>
          <w:tab w:val="left" w:pos="851"/>
        </w:tabs>
        <w:spacing w:line="208" w:lineRule="auto"/>
        <w:ind w:right="322"/>
      </w:pPr>
      <w:r>
        <w:t>In accordance with these reciprocal policies and protocols for co-operation between the AUASB and NZAuASB, the two standard-setting bodies have agreed to use their best endeavours to minimise differences between auditing and assurance standards issued in Australia and New Zealand. All AUASB Standards are therefore developed and issued in accordance with the principles of harmonisation policy with New Zealand Standards and AUASB/NZAuASB</w:t>
      </w:r>
      <w:r>
        <w:rPr>
          <w:spacing w:val="-4"/>
        </w:rPr>
        <w:t xml:space="preserve"> </w:t>
      </w:r>
      <w:r>
        <w:t>communication</w:t>
      </w:r>
      <w:r>
        <w:rPr>
          <w:spacing w:val="-3"/>
        </w:rPr>
        <w:t xml:space="preserve"> </w:t>
      </w:r>
      <w:r>
        <w:t>protocols.</w:t>
      </w:r>
      <w:r>
        <w:rPr>
          <w:spacing w:val="-3"/>
        </w:rPr>
        <w:t xml:space="preserve"> </w:t>
      </w:r>
      <w:r>
        <w:t>In</w:t>
      </w:r>
      <w:r>
        <w:rPr>
          <w:spacing w:val="-3"/>
        </w:rPr>
        <w:t xml:space="preserve"> </w:t>
      </w:r>
      <w:r>
        <w:t>most</w:t>
      </w:r>
      <w:r>
        <w:rPr>
          <w:spacing w:val="-2"/>
        </w:rPr>
        <w:t xml:space="preserve"> </w:t>
      </w:r>
      <w:r>
        <w:t>cases,</w:t>
      </w:r>
      <w:r>
        <w:rPr>
          <w:spacing w:val="-6"/>
        </w:rPr>
        <w:t xml:space="preserve"> </w:t>
      </w:r>
      <w:r>
        <w:t>harmonisation</w:t>
      </w:r>
      <w:r>
        <w:rPr>
          <w:spacing w:val="-3"/>
        </w:rPr>
        <w:t xml:space="preserve"> </w:t>
      </w:r>
      <w:r>
        <w:t>will</w:t>
      </w:r>
      <w:r>
        <w:rPr>
          <w:spacing w:val="-5"/>
        </w:rPr>
        <w:t xml:space="preserve"> </w:t>
      </w:r>
      <w:r>
        <w:t>follow</w:t>
      </w:r>
      <w:r>
        <w:rPr>
          <w:spacing w:val="-4"/>
        </w:rPr>
        <w:t xml:space="preserve"> </w:t>
      </w:r>
      <w:r>
        <w:t>as</w:t>
      </w:r>
      <w:r>
        <w:rPr>
          <w:spacing w:val="-3"/>
        </w:rPr>
        <w:t xml:space="preserve"> </w:t>
      </w:r>
      <w:r>
        <w:t>a result of the Boards’ respective policies of converging to international standards.</w:t>
      </w:r>
    </w:p>
    <w:p w14:paraId="1E805A8F" w14:textId="77777777" w:rsidR="00AA4A02" w:rsidRDefault="00AA4A02">
      <w:pPr>
        <w:pStyle w:val="BodyText"/>
        <w:rPr>
          <w:sz w:val="20"/>
        </w:rPr>
      </w:pPr>
    </w:p>
    <w:p w14:paraId="1E805A90" w14:textId="77777777" w:rsidR="00AA4A02" w:rsidRDefault="00960F31">
      <w:pPr>
        <w:pStyle w:val="BodyText"/>
        <w:spacing w:before="67"/>
        <w:rPr>
          <w:sz w:val="20"/>
        </w:rPr>
      </w:pPr>
      <w:r>
        <w:rPr>
          <w:noProof/>
          <w:sz w:val="20"/>
        </w:rPr>
        <mc:AlternateContent>
          <mc:Choice Requires="wps">
            <w:drawing>
              <wp:anchor distT="0" distB="0" distL="0" distR="0" simplePos="0" relativeHeight="487603712" behindDoc="1" locked="0" layoutInCell="1" allowOverlap="1" wp14:anchorId="1E805F51" wp14:editId="1E805F52">
                <wp:simplePos x="0" y="0"/>
                <wp:positionH relativeFrom="page">
                  <wp:posOffset>900988</wp:posOffset>
                </wp:positionH>
                <wp:positionV relativeFrom="paragraph">
                  <wp:posOffset>204194</wp:posOffset>
                </wp:positionV>
                <wp:extent cx="1829435" cy="762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6E7D4" id="Graphic 54" o:spid="_x0000_s1026" style="position:absolute;margin-left:70.95pt;margin-top:16.1pt;width:144.05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" path="m1829053,l,,,7619r1829053,l1829053,xe" fillcolor="black" stroked="f">
                <v:path arrowok="t"/>
                <w10:wrap type="topAndBottom" anchorx="page"/>
              </v:shape>
            </w:pict>
          </mc:Fallback>
        </mc:AlternateContent>
      </w:r>
    </w:p>
    <w:p w14:paraId="1E805A91" w14:textId="77777777" w:rsidR="00AA4A02" w:rsidRDefault="00960F31">
      <w:pPr>
        <w:spacing w:before="73"/>
        <w:ind w:left="143"/>
        <w:rPr>
          <w:sz w:val="16"/>
        </w:rPr>
      </w:pPr>
      <w:r>
        <w:rPr>
          <w:sz w:val="16"/>
          <w:vertAlign w:val="superscript"/>
        </w:rPr>
        <w:t>31</w:t>
      </w:r>
      <w:r>
        <w:rPr>
          <w:spacing w:val="40"/>
          <w:sz w:val="16"/>
        </w:rPr>
        <w:t xml:space="preserve">  </w:t>
      </w:r>
      <w:r>
        <w:rPr>
          <w:sz w:val="16"/>
        </w:rPr>
        <w:t>See</w:t>
      </w:r>
      <w:r>
        <w:rPr>
          <w:spacing w:val="-3"/>
          <w:sz w:val="16"/>
        </w:rPr>
        <w:t xml:space="preserve"> </w:t>
      </w:r>
      <w:hyperlink r:id="rId90">
        <w:r>
          <w:rPr>
            <w:i/>
            <w:color w:val="0000FF"/>
            <w:sz w:val="16"/>
            <w:u w:val="single" w:color="0000FF"/>
          </w:rPr>
          <w:t>AUASB</w:t>
        </w:r>
        <w:r>
          <w:rPr>
            <w:i/>
            <w:color w:val="0000FF"/>
            <w:spacing w:val="-6"/>
            <w:sz w:val="16"/>
            <w:u w:val="single" w:color="0000FF"/>
          </w:rPr>
          <w:t xml:space="preserve"> </w:t>
        </w:r>
        <w:r>
          <w:rPr>
            <w:i/>
            <w:color w:val="0000FF"/>
            <w:sz w:val="16"/>
            <w:u w:val="single" w:color="0000FF"/>
          </w:rPr>
          <w:t>Policy</w:t>
        </w:r>
        <w:r>
          <w:rPr>
            <w:i/>
            <w:color w:val="0000FF"/>
            <w:spacing w:val="-6"/>
            <w:sz w:val="16"/>
            <w:u w:val="single" w:color="0000FF"/>
          </w:rPr>
          <w:t xml:space="preserve"> </w:t>
        </w:r>
        <w:r>
          <w:rPr>
            <w:i/>
            <w:color w:val="0000FF"/>
            <w:sz w:val="16"/>
            <w:u w:val="single" w:color="0000FF"/>
          </w:rPr>
          <w:t>and</w:t>
        </w:r>
        <w:r>
          <w:rPr>
            <w:i/>
            <w:color w:val="0000FF"/>
            <w:spacing w:val="-3"/>
            <w:sz w:val="16"/>
            <w:u w:val="single" w:color="0000FF"/>
          </w:rPr>
          <w:t xml:space="preserve"> </w:t>
        </w:r>
        <w:r>
          <w:rPr>
            <w:i/>
            <w:color w:val="0000FF"/>
            <w:sz w:val="16"/>
            <w:u w:val="single" w:color="0000FF"/>
          </w:rPr>
          <w:t>Process</w:t>
        </w:r>
        <w:r>
          <w:rPr>
            <w:i/>
            <w:color w:val="0000FF"/>
            <w:spacing w:val="-6"/>
            <w:sz w:val="16"/>
            <w:u w:val="single" w:color="0000FF"/>
          </w:rPr>
          <w:t xml:space="preserve"> </w:t>
        </w:r>
        <w:r>
          <w:rPr>
            <w:i/>
            <w:color w:val="0000FF"/>
            <w:sz w:val="16"/>
            <w:u w:val="single" w:color="0000FF"/>
          </w:rPr>
          <w:t>for</w:t>
        </w:r>
        <w:r>
          <w:rPr>
            <w:i/>
            <w:color w:val="0000FF"/>
            <w:spacing w:val="-3"/>
            <w:sz w:val="16"/>
            <w:u w:val="single" w:color="0000FF"/>
          </w:rPr>
          <w:t xml:space="preserve"> </w:t>
        </w:r>
        <w:r>
          <w:rPr>
            <w:i/>
            <w:color w:val="0000FF"/>
            <w:sz w:val="16"/>
            <w:u w:val="single" w:color="0000FF"/>
          </w:rPr>
          <w:t>International</w:t>
        </w:r>
        <w:r>
          <w:rPr>
            <w:i/>
            <w:color w:val="0000FF"/>
            <w:spacing w:val="-5"/>
            <w:sz w:val="16"/>
            <w:u w:val="single" w:color="0000FF"/>
          </w:rPr>
          <w:t xml:space="preserve"> </w:t>
        </w:r>
        <w:r>
          <w:rPr>
            <w:i/>
            <w:color w:val="0000FF"/>
            <w:sz w:val="16"/>
            <w:u w:val="single" w:color="0000FF"/>
          </w:rPr>
          <w:t>Conformance</w:t>
        </w:r>
        <w:r>
          <w:rPr>
            <w:i/>
            <w:color w:val="0000FF"/>
            <w:spacing w:val="-6"/>
            <w:sz w:val="16"/>
            <w:u w:val="single" w:color="0000FF"/>
          </w:rPr>
          <w:t xml:space="preserve"> </w:t>
        </w:r>
        <w:r>
          <w:rPr>
            <w:i/>
            <w:color w:val="0000FF"/>
            <w:sz w:val="16"/>
            <w:u w:val="single" w:color="0000FF"/>
          </w:rPr>
          <w:t>and</w:t>
        </w:r>
        <w:r>
          <w:rPr>
            <w:i/>
            <w:color w:val="0000FF"/>
            <w:spacing w:val="-5"/>
            <w:sz w:val="16"/>
            <w:u w:val="single" w:color="0000FF"/>
          </w:rPr>
          <w:t xml:space="preserve"> </w:t>
        </w:r>
        <w:r>
          <w:rPr>
            <w:i/>
            <w:color w:val="0000FF"/>
            <w:sz w:val="16"/>
            <w:u w:val="single" w:color="0000FF"/>
          </w:rPr>
          <w:t>Harmonisation</w:t>
        </w:r>
        <w:r>
          <w:rPr>
            <w:i/>
            <w:color w:val="0000FF"/>
            <w:spacing w:val="-5"/>
            <w:sz w:val="16"/>
            <w:u w:val="single" w:color="0000FF"/>
          </w:rPr>
          <w:t xml:space="preserve"> </w:t>
        </w:r>
        <w:r>
          <w:rPr>
            <w:i/>
            <w:color w:val="0000FF"/>
            <w:sz w:val="16"/>
            <w:u w:val="single" w:color="0000FF"/>
          </w:rPr>
          <w:t>of</w:t>
        </w:r>
        <w:r>
          <w:rPr>
            <w:i/>
            <w:color w:val="0000FF"/>
            <w:spacing w:val="-4"/>
            <w:sz w:val="16"/>
            <w:u w:val="single" w:color="0000FF"/>
          </w:rPr>
          <w:t xml:space="preserve"> </w:t>
        </w:r>
        <w:r>
          <w:rPr>
            <w:i/>
            <w:color w:val="0000FF"/>
            <w:spacing w:val="-2"/>
            <w:sz w:val="16"/>
            <w:u w:val="single" w:color="0000FF"/>
          </w:rPr>
          <w:t>Standards</w:t>
        </w:r>
        <w:r>
          <w:rPr>
            <w:spacing w:val="-2"/>
            <w:sz w:val="16"/>
          </w:rPr>
          <w:t>.</w:t>
        </w:r>
      </w:hyperlink>
    </w:p>
    <w:p w14:paraId="1E805A92" w14:textId="77777777" w:rsidR="00AA4A02" w:rsidRDefault="00AA4A02">
      <w:pPr>
        <w:rPr>
          <w:sz w:val="16"/>
        </w:rPr>
        <w:sectPr w:rsidR="00AA4A02">
          <w:pgSz w:w="11910" w:h="16840"/>
          <w:pgMar w:top="1380" w:right="1275" w:bottom="1040" w:left="1275" w:header="689" w:footer="842" w:gutter="0"/>
          <w:cols w:space="720"/>
        </w:sectPr>
      </w:pPr>
    </w:p>
    <w:p w14:paraId="1E805A93" w14:textId="77777777" w:rsidR="00AA4A02" w:rsidRDefault="00960F31">
      <w:pPr>
        <w:pStyle w:val="ListParagraph"/>
        <w:numPr>
          <w:ilvl w:val="0"/>
          <w:numId w:val="29"/>
        </w:numPr>
        <w:tabs>
          <w:tab w:val="left" w:pos="851"/>
        </w:tabs>
        <w:spacing w:before="219" w:line="208" w:lineRule="auto"/>
        <w:ind w:right="324"/>
      </w:pPr>
      <w:r>
        <w:lastRenderedPageBreak/>
        <w:t>Under</w:t>
      </w:r>
      <w:r>
        <w:rPr>
          <w:spacing w:val="-1"/>
        </w:rPr>
        <w:t xml:space="preserve"> </w:t>
      </w:r>
      <w:r>
        <w:t xml:space="preserve">the </w:t>
      </w:r>
      <w:hyperlink r:id="rId91">
        <w:r>
          <w:rPr>
            <w:i/>
            <w:color w:val="0000FF"/>
            <w:u w:val="single" w:color="0000FF"/>
          </w:rPr>
          <w:t>AUASB Policy and Process</w:t>
        </w:r>
        <w:r>
          <w:rPr>
            <w:i/>
            <w:color w:val="0000FF"/>
            <w:spacing w:val="-1"/>
            <w:u w:val="single" w:color="0000FF"/>
          </w:rPr>
          <w:t xml:space="preserve"> </w:t>
        </w:r>
        <w:r>
          <w:rPr>
            <w:i/>
            <w:color w:val="0000FF"/>
            <w:u w:val="single" w:color="0000FF"/>
          </w:rPr>
          <w:t>for</w:t>
        </w:r>
        <w:r>
          <w:rPr>
            <w:i/>
            <w:color w:val="0000FF"/>
            <w:spacing w:val="-1"/>
            <w:u w:val="single" w:color="0000FF"/>
          </w:rPr>
          <w:t xml:space="preserve"> </w:t>
        </w:r>
        <w:r>
          <w:rPr>
            <w:i/>
            <w:color w:val="0000FF"/>
            <w:u w:val="single" w:color="0000FF"/>
          </w:rPr>
          <w:t>International Conformance and Harmonisation of</w:t>
        </w:r>
      </w:hyperlink>
      <w:r>
        <w:rPr>
          <w:i/>
          <w:color w:val="0000FF"/>
        </w:rPr>
        <w:t xml:space="preserve"> </w:t>
      </w:r>
      <w:hyperlink r:id="rId92">
        <w:r>
          <w:rPr>
            <w:i/>
            <w:color w:val="0000FF"/>
            <w:u w:val="single" w:color="0000FF"/>
          </w:rPr>
          <w:t>Standards</w:t>
        </w:r>
      </w:hyperlink>
      <w:r>
        <w:rPr>
          <w:i/>
          <w:color w:val="0000FF"/>
        </w:rPr>
        <w:t xml:space="preserve"> </w:t>
      </w:r>
      <w:r>
        <w:t>both the AUASB and NZAuASB agree to adopt IAASB Standards and only consider making modifications to the IAASB Standards if modifications are in the public interest and do not conflict with, or result in lesser requirements than, the international standards.</w:t>
      </w:r>
      <w:r>
        <w:rPr>
          <w:spacing w:val="-2"/>
        </w:rPr>
        <w:t xml:space="preserve"> </w:t>
      </w:r>
      <w:r>
        <w:t>Harmonisation</w:t>
      </w:r>
      <w:r>
        <w:rPr>
          <w:spacing w:val="-5"/>
        </w:rPr>
        <w:t xml:space="preserve"> </w:t>
      </w:r>
      <w:r>
        <w:t>is</w:t>
      </w:r>
      <w:r>
        <w:rPr>
          <w:spacing w:val="-4"/>
        </w:rPr>
        <w:t xml:space="preserve"> </w:t>
      </w:r>
      <w:r>
        <w:t>therefore</w:t>
      </w:r>
      <w:r>
        <w:rPr>
          <w:spacing w:val="-4"/>
        </w:rPr>
        <w:t xml:space="preserve"> </w:t>
      </w:r>
      <w:r>
        <w:t>ideally</w:t>
      </w:r>
      <w:r>
        <w:rPr>
          <w:spacing w:val="-2"/>
        </w:rPr>
        <w:t xml:space="preserve"> </w:t>
      </w:r>
      <w:r>
        <w:t>achieved</w:t>
      </w:r>
      <w:r>
        <w:rPr>
          <w:spacing w:val="-5"/>
        </w:rPr>
        <w:t xml:space="preserve"> </w:t>
      </w:r>
      <w:r>
        <w:t>by</w:t>
      </w:r>
      <w:r>
        <w:rPr>
          <w:spacing w:val="-2"/>
        </w:rPr>
        <w:t xml:space="preserve"> </w:t>
      </w:r>
      <w:r>
        <w:t>adopting</w:t>
      </w:r>
      <w:r>
        <w:rPr>
          <w:spacing w:val="-2"/>
        </w:rPr>
        <w:t xml:space="preserve"> </w:t>
      </w:r>
      <w:r>
        <w:t>modifications</w:t>
      </w:r>
      <w:r>
        <w:rPr>
          <w:spacing w:val="-4"/>
        </w:rPr>
        <w:t xml:space="preserve"> </w:t>
      </w:r>
      <w:r>
        <w:t>made</w:t>
      </w:r>
      <w:r>
        <w:rPr>
          <w:spacing w:val="-4"/>
        </w:rPr>
        <w:t xml:space="preserve"> </w:t>
      </w:r>
      <w:r>
        <w:t>to</w:t>
      </w:r>
      <w:r>
        <w:rPr>
          <w:spacing w:val="-2"/>
        </w:rPr>
        <w:t xml:space="preserve"> </w:t>
      </w:r>
      <w:r>
        <w:t>an IAASB standard by one country that have relevance and application in the other country. However, both standard-setters acknowledge that each of the Boards act autonomously and independently and there may be instances where standards may differ because of country specific requirements and public interest considerations in each jurisdiction.</w:t>
      </w:r>
    </w:p>
    <w:p w14:paraId="1E805A94" w14:textId="77777777" w:rsidR="00AA4A02" w:rsidRDefault="00960F31">
      <w:pPr>
        <w:pStyle w:val="ListParagraph"/>
        <w:numPr>
          <w:ilvl w:val="0"/>
          <w:numId w:val="29"/>
        </w:numPr>
        <w:tabs>
          <w:tab w:val="left" w:pos="851"/>
        </w:tabs>
        <w:spacing w:before="202" w:line="208" w:lineRule="auto"/>
        <w:ind w:right="201"/>
      </w:pPr>
      <w:r>
        <w:t>For</w:t>
      </w:r>
      <w:r>
        <w:rPr>
          <w:spacing w:val="-2"/>
        </w:rPr>
        <w:t xml:space="preserve"> </w:t>
      </w:r>
      <w:r>
        <w:t>further</w:t>
      </w:r>
      <w:r>
        <w:rPr>
          <w:spacing w:val="-4"/>
        </w:rPr>
        <w:t xml:space="preserve"> </w:t>
      </w:r>
      <w:r>
        <w:t>details</w:t>
      </w:r>
      <w:r>
        <w:rPr>
          <w:spacing w:val="-2"/>
        </w:rPr>
        <w:t xml:space="preserve"> </w:t>
      </w:r>
      <w:r>
        <w:t>on</w:t>
      </w:r>
      <w:r>
        <w:rPr>
          <w:spacing w:val="-2"/>
        </w:rPr>
        <w:t xml:space="preserve"> </w:t>
      </w:r>
      <w:r>
        <w:t>the</w:t>
      </w:r>
      <w:r>
        <w:rPr>
          <w:spacing w:val="-2"/>
        </w:rPr>
        <w:t xml:space="preserve"> </w:t>
      </w:r>
      <w:r>
        <w:t>AUASB’s</w:t>
      </w:r>
      <w:r>
        <w:rPr>
          <w:spacing w:val="-2"/>
        </w:rPr>
        <w:t xml:space="preserve"> </w:t>
      </w:r>
      <w:r>
        <w:t>harmonisation</w:t>
      </w:r>
      <w:r>
        <w:rPr>
          <w:spacing w:val="-2"/>
        </w:rPr>
        <w:t xml:space="preserve"> </w:t>
      </w:r>
      <w:r>
        <w:t>policy,</w:t>
      </w:r>
      <w:r>
        <w:rPr>
          <w:spacing w:val="-4"/>
        </w:rPr>
        <w:t xml:space="preserve"> </w:t>
      </w:r>
      <w:r>
        <w:t>refer</w:t>
      </w:r>
      <w:r>
        <w:rPr>
          <w:spacing w:val="-4"/>
        </w:rPr>
        <w:t xml:space="preserve"> </w:t>
      </w:r>
      <w:r>
        <w:t>to</w:t>
      </w:r>
      <w:r>
        <w:rPr>
          <w:spacing w:val="-1"/>
        </w:rPr>
        <w:t xml:space="preserve"> </w:t>
      </w:r>
      <w:hyperlink r:id="rId93">
        <w:r>
          <w:rPr>
            <w:i/>
            <w:color w:val="0000FF"/>
            <w:u w:val="single" w:color="0000FF"/>
          </w:rPr>
          <w:t>AUASB</w:t>
        </w:r>
        <w:r>
          <w:rPr>
            <w:i/>
            <w:color w:val="0000FF"/>
            <w:spacing w:val="-3"/>
            <w:u w:val="single" w:color="0000FF"/>
          </w:rPr>
          <w:t xml:space="preserve"> </w:t>
        </w:r>
        <w:r>
          <w:rPr>
            <w:i/>
            <w:color w:val="0000FF"/>
            <w:u w:val="single" w:color="0000FF"/>
          </w:rPr>
          <w:t>Policy</w:t>
        </w:r>
        <w:r>
          <w:rPr>
            <w:i/>
            <w:color w:val="0000FF"/>
            <w:spacing w:val="-4"/>
            <w:u w:val="single" w:color="0000FF"/>
          </w:rPr>
          <w:t xml:space="preserve"> </w:t>
        </w:r>
        <w:r>
          <w:rPr>
            <w:i/>
            <w:color w:val="0000FF"/>
            <w:u w:val="single" w:color="0000FF"/>
          </w:rPr>
          <w:t>and</w:t>
        </w:r>
        <w:r>
          <w:rPr>
            <w:i/>
            <w:color w:val="0000FF"/>
            <w:spacing w:val="-2"/>
            <w:u w:val="single" w:color="0000FF"/>
          </w:rPr>
          <w:t xml:space="preserve"> </w:t>
        </w:r>
        <w:r>
          <w:rPr>
            <w:i/>
            <w:color w:val="0000FF"/>
            <w:u w:val="single" w:color="0000FF"/>
          </w:rPr>
          <w:t>Process</w:t>
        </w:r>
      </w:hyperlink>
      <w:r>
        <w:rPr>
          <w:i/>
          <w:color w:val="0000FF"/>
        </w:rPr>
        <w:t xml:space="preserve"> </w:t>
      </w:r>
      <w:hyperlink r:id="rId94">
        <w:r>
          <w:rPr>
            <w:i/>
            <w:color w:val="0000FF"/>
            <w:u w:val="single" w:color="0000FF"/>
          </w:rPr>
          <w:t>for International Conformance and Harmonisation of Standards</w:t>
        </w:r>
        <w:r>
          <w:rPr>
            <w:i/>
          </w:rPr>
          <w:t>.</w:t>
        </w:r>
      </w:hyperlink>
      <w:r>
        <w:rPr>
          <w:i/>
        </w:rPr>
        <w:t xml:space="preserve"> </w:t>
      </w:r>
      <w:r>
        <w:t>This policy document also includes a diagram which shows how the Compelling Reasons Test is applied in harmonising Australian and New Zealand standards.</w:t>
      </w:r>
    </w:p>
    <w:p w14:paraId="1E805A95" w14:textId="77777777" w:rsidR="00AA4A02" w:rsidRDefault="00960F31">
      <w:pPr>
        <w:pStyle w:val="ListParagraph"/>
        <w:numPr>
          <w:ilvl w:val="0"/>
          <w:numId w:val="29"/>
        </w:numPr>
        <w:tabs>
          <w:tab w:val="left" w:pos="851"/>
        </w:tabs>
        <w:spacing w:before="199" w:line="208" w:lineRule="auto"/>
        <w:ind w:right="515"/>
      </w:pPr>
      <w:r>
        <w:t>The AUASB communicates any Trans-Tasman issues identified, including any potential compelling</w:t>
      </w:r>
      <w:r>
        <w:rPr>
          <w:spacing w:val="-3"/>
        </w:rPr>
        <w:t xml:space="preserve"> </w:t>
      </w:r>
      <w:r>
        <w:t>reasons</w:t>
      </w:r>
      <w:r>
        <w:rPr>
          <w:spacing w:val="-3"/>
        </w:rPr>
        <w:t xml:space="preserve"> </w:t>
      </w:r>
      <w:r>
        <w:t>modifications,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3"/>
        </w:rPr>
        <w:t xml:space="preserve"> </w:t>
      </w:r>
      <w:r>
        <w:t>NZAuASB,</w:t>
      </w:r>
      <w:r>
        <w:rPr>
          <w:spacing w:val="-3"/>
        </w:rPr>
        <w:t xml:space="preserve"> </w:t>
      </w:r>
      <w:r>
        <w:t>in</w:t>
      </w:r>
      <w:r>
        <w:rPr>
          <w:spacing w:val="-6"/>
        </w:rPr>
        <w:t xml:space="preserve"> </w:t>
      </w:r>
      <w:r>
        <w:t>accordance</w:t>
      </w:r>
      <w:r>
        <w:rPr>
          <w:spacing w:val="-3"/>
        </w:rPr>
        <w:t xml:space="preserve"> </w:t>
      </w:r>
      <w:r>
        <w:t>with AUASB/NZAuASB communication protocols.</w:t>
      </w:r>
    </w:p>
    <w:p w14:paraId="1E805A96" w14:textId="77777777" w:rsidR="00AA4A02" w:rsidRDefault="00960F31">
      <w:pPr>
        <w:pStyle w:val="Heading4"/>
        <w:numPr>
          <w:ilvl w:val="0"/>
          <w:numId w:val="30"/>
        </w:numPr>
        <w:tabs>
          <w:tab w:val="left" w:pos="851"/>
        </w:tabs>
      </w:pPr>
      <w:bookmarkStart w:id="48" w:name="_TOC_250013"/>
      <w:r>
        <w:t>Appropriate</w:t>
      </w:r>
      <w:bookmarkEnd w:id="48"/>
      <w:r>
        <w:rPr>
          <w:spacing w:val="-2"/>
        </w:rPr>
        <w:t xml:space="preserve"> Consultation</w:t>
      </w:r>
    </w:p>
    <w:p w14:paraId="1E805A97" w14:textId="77777777" w:rsidR="00AA4A02" w:rsidRDefault="00960F31">
      <w:pPr>
        <w:pStyle w:val="ListParagraph"/>
        <w:numPr>
          <w:ilvl w:val="0"/>
          <w:numId w:val="29"/>
        </w:numPr>
        <w:tabs>
          <w:tab w:val="left" w:pos="851"/>
        </w:tabs>
        <w:spacing w:before="193" w:line="208" w:lineRule="auto"/>
        <w:ind w:right="280"/>
      </w:pPr>
      <w:r>
        <w:t>The</w:t>
      </w:r>
      <w:r>
        <w:rPr>
          <w:spacing w:val="-2"/>
        </w:rPr>
        <w:t xml:space="preserve"> </w:t>
      </w:r>
      <w:r>
        <w:t>AUASB’s</w:t>
      </w:r>
      <w:r>
        <w:rPr>
          <w:spacing w:val="-2"/>
        </w:rPr>
        <w:t xml:space="preserve"> </w:t>
      </w:r>
      <w:r>
        <w:t>due</w:t>
      </w:r>
      <w:r>
        <w:rPr>
          <w:spacing w:val="-4"/>
        </w:rPr>
        <w:t xml:space="preserve"> </w:t>
      </w:r>
      <w:r>
        <w:t>process</w:t>
      </w:r>
      <w:r>
        <w:rPr>
          <w:spacing w:val="-6"/>
        </w:rPr>
        <w:t xml:space="preserve"> </w:t>
      </w:r>
      <w:r>
        <w:t>is</w:t>
      </w:r>
      <w:r>
        <w:rPr>
          <w:spacing w:val="-2"/>
        </w:rPr>
        <w:t xml:space="preserve"> </w:t>
      </w:r>
      <w:r>
        <w:t>iterative</w:t>
      </w:r>
      <w:r>
        <w:rPr>
          <w:spacing w:val="-2"/>
        </w:rPr>
        <w:t xml:space="preserve"> </w:t>
      </w:r>
      <w:r>
        <w:t>in</w:t>
      </w:r>
      <w:r>
        <w:rPr>
          <w:spacing w:val="-5"/>
        </w:rPr>
        <w:t xml:space="preserve"> </w:t>
      </w:r>
      <w:r>
        <w:t>nature,</w:t>
      </w:r>
      <w:r>
        <w:rPr>
          <w:spacing w:val="-2"/>
        </w:rPr>
        <w:t xml:space="preserve"> </w:t>
      </w:r>
      <w:r>
        <w:t>with</w:t>
      </w:r>
      <w:r>
        <w:rPr>
          <w:spacing w:val="-2"/>
        </w:rPr>
        <w:t xml:space="preserve"> </w:t>
      </w:r>
      <w:r>
        <w:t>a</w:t>
      </w:r>
      <w:r>
        <w:rPr>
          <w:spacing w:val="-4"/>
        </w:rPr>
        <w:t xml:space="preserve"> </w:t>
      </w:r>
      <w:r>
        <w:t>strong</w:t>
      </w:r>
      <w:r>
        <w:rPr>
          <w:spacing w:val="-2"/>
        </w:rPr>
        <w:t xml:space="preserve"> </w:t>
      </w:r>
      <w:r>
        <w:t>emphasis</w:t>
      </w:r>
      <w:r>
        <w:rPr>
          <w:spacing w:val="-2"/>
        </w:rPr>
        <w:t xml:space="preserve"> </w:t>
      </w:r>
      <w:r>
        <w:t>on</w:t>
      </w:r>
      <w:r>
        <w:rPr>
          <w:spacing w:val="-4"/>
        </w:rPr>
        <w:t xml:space="preserve"> </w:t>
      </w:r>
      <w:r>
        <w:t>consultation</w:t>
      </w:r>
      <w:r>
        <w:rPr>
          <w:spacing w:val="-2"/>
        </w:rPr>
        <w:t xml:space="preserve"> </w:t>
      </w:r>
      <w:r>
        <w:t>at</w:t>
      </w:r>
      <w:r>
        <w:rPr>
          <w:spacing w:val="-1"/>
        </w:rPr>
        <w:t xml:space="preserve"> </w:t>
      </w:r>
      <w:r>
        <w:t>all stages of the process to ensure that:</w:t>
      </w:r>
    </w:p>
    <w:p w14:paraId="1E805A98" w14:textId="77777777" w:rsidR="00AA4A02" w:rsidRDefault="00960F31">
      <w:pPr>
        <w:pStyle w:val="ListParagraph"/>
        <w:numPr>
          <w:ilvl w:val="1"/>
          <w:numId w:val="29"/>
        </w:numPr>
        <w:tabs>
          <w:tab w:val="left" w:pos="1562"/>
        </w:tabs>
        <w:spacing w:before="174"/>
      </w:pPr>
      <w:r>
        <w:t>all</w:t>
      </w:r>
      <w:r>
        <w:rPr>
          <w:spacing w:val="-8"/>
        </w:rPr>
        <w:t xml:space="preserve"> </w:t>
      </w:r>
      <w:r>
        <w:t>interested</w:t>
      </w:r>
      <w:r>
        <w:rPr>
          <w:spacing w:val="-4"/>
        </w:rPr>
        <w:t xml:space="preserve"> </w:t>
      </w:r>
      <w:r>
        <w:t>parties</w:t>
      </w:r>
      <w:r>
        <w:rPr>
          <w:spacing w:val="-4"/>
        </w:rPr>
        <w:t xml:space="preserve"> </w:t>
      </w:r>
      <w:r>
        <w:t>are</w:t>
      </w:r>
      <w:r>
        <w:rPr>
          <w:spacing w:val="-4"/>
        </w:rPr>
        <w:t xml:space="preserve"> </w:t>
      </w:r>
      <w:r>
        <w:t>given</w:t>
      </w:r>
      <w:r>
        <w:rPr>
          <w:spacing w:val="-4"/>
        </w:rPr>
        <w:t xml:space="preserve"> </w:t>
      </w:r>
      <w:r>
        <w:t>ample</w:t>
      </w:r>
      <w:r>
        <w:rPr>
          <w:spacing w:val="-4"/>
        </w:rPr>
        <w:t xml:space="preserve"> </w:t>
      </w:r>
      <w:r>
        <w:t>opportunity</w:t>
      </w:r>
      <w:r>
        <w:rPr>
          <w:spacing w:val="-4"/>
        </w:rPr>
        <w:t xml:space="preserve"> </w:t>
      </w:r>
      <w:r>
        <w:t>to</w:t>
      </w:r>
      <w:r>
        <w:rPr>
          <w:spacing w:val="-4"/>
        </w:rPr>
        <w:t xml:space="preserve"> </w:t>
      </w:r>
      <w:r>
        <w:t>express</w:t>
      </w:r>
      <w:r>
        <w:rPr>
          <w:spacing w:val="-3"/>
        </w:rPr>
        <w:t xml:space="preserve"> </w:t>
      </w:r>
      <w:r>
        <w:t>their views;</w:t>
      </w:r>
      <w:r>
        <w:rPr>
          <w:spacing w:val="-5"/>
        </w:rPr>
        <w:t xml:space="preserve"> and</w:t>
      </w:r>
    </w:p>
    <w:p w14:paraId="1E805A99" w14:textId="77777777" w:rsidR="00AA4A02" w:rsidRDefault="00960F31">
      <w:pPr>
        <w:pStyle w:val="ListParagraph"/>
        <w:numPr>
          <w:ilvl w:val="1"/>
          <w:numId w:val="29"/>
        </w:numPr>
        <w:tabs>
          <w:tab w:val="left" w:pos="1562"/>
        </w:tabs>
        <w:spacing w:before="114" w:line="208" w:lineRule="auto"/>
        <w:ind w:right="141"/>
      </w:pPr>
      <w:r>
        <w:t>pronouncements</w:t>
      </w:r>
      <w:r>
        <w:rPr>
          <w:spacing w:val="-3"/>
        </w:rPr>
        <w:t xml:space="preserve"> </w:t>
      </w:r>
      <w:r>
        <w:t>and</w:t>
      </w:r>
      <w:r>
        <w:rPr>
          <w:spacing w:val="-3"/>
        </w:rPr>
        <w:t xml:space="preserve"> </w:t>
      </w:r>
      <w:r>
        <w:t>other</w:t>
      </w:r>
      <w:r>
        <w:rPr>
          <w:spacing w:val="-4"/>
        </w:rPr>
        <w:t xml:space="preserve"> </w:t>
      </w:r>
      <w:r>
        <w:t>materials</w:t>
      </w:r>
      <w:r>
        <w:rPr>
          <w:spacing w:val="-5"/>
        </w:rPr>
        <w:t xml:space="preserve"> </w:t>
      </w:r>
      <w:r>
        <w:t>issued</w:t>
      </w:r>
      <w:r>
        <w:rPr>
          <w:spacing w:val="-3"/>
        </w:rPr>
        <w:t xml:space="preserve"> </w:t>
      </w:r>
      <w:r>
        <w:t>by</w:t>
      </w:r>
      <w:r>
        <w:rPr>
          <w:spacing w:val="-5"/>
        </w:rPr>
        <w:t xml:space="preserve"> </w:t>
      </w:r>
      <w:r>
        <w:t>the</w:t>
      </w:r>
      <w:r>
        <w:rPr>
          <w:spacing w:val="-3"/>
        </w:rPr>
        <w:t xml:space="preserve"> </w:t>
      </w:r>
      <w:r>
        <w:t>AUASB</w:t>
      </w:r>
      <w:r>
        <w:rPr>
          <w:spacing w:val="-4"/>
        </w:rPr>
        <w:t xml:space="preserve"> </w:t>
      </w:r>
      <w:r>
        <w:t>are</w:t>
      </w:r>
      <w:r>
        <w:rPr>
          <w:spacing w:val="-3"/>
        </w:rPr>
        <w:t xml:space="preserve"> </w:t>
      </w:r>
      <w:r>
        <w:t>relevant,</w:t>
      </w:r>
      <w:r>
        <w:rPr>
          <w:spacing w:val="-3"/>
        </w:rPr>
        <w:t xml:space="preserve"> </w:t>
      </w:r>
      <w:r>
        <w:t>consistent</w:t>
      </w:r>
      <w:r>
        <w:rPr>
          <w:spacing w:val="-2"/>
        </w:rPr>
        <w:t xml:space="preserve"> </w:t>
      </w:r>
      <w:r>
        <w:t>and logically derived.</w:t>
      </w:r>
    </w:p>
    <w:p w14:paraId="1E805A9A" w14:textId="77777777" w:rsidR="00AA4A02" w:rsidRDefault="00960F31">
      <w:pPr>
        <w:pStyle w:val="ListParagraph"/>
        <w:numPr>
          <w:ilvl w:val="0"/>
          <w:numId w:val="29"/>
        </w:numPr>
        <w:tabs>
          <w:tab w:val="left" w:pos="851"/>
        </w:tabs>
        <w:spacing w:before="199" w:line="208" w:lineRule="auto"/>
        <w:ind w:right="155"/>
      </w:pPr>
      <w:r>
        <w:t>To ensure pronouncements and other materials issued by the AUASB are responsive to the public interest, due process includes processes to collaborate and engage in a timely manner with a broad range of interested and affected stakeholders considered to represent the public interest on identified issues. This may include active solicitation of feedback, where appropriate.</w:t>
      </w:r>
      <w:r>
        <w:rPr>
          <w:spacing w:val="-2"/>
        </w:rPr>
        <w:t xml:space="preserve"> </w:t>
      </w:r>
      <w:r>
        <w:t>These</w:t>
      </w:r>
      <w:r>
        <w:rPr>
          <w:spacing w:val="-2"/>
        </w:rPr>
        <w:t xml:space="preserve"> </w:t>
      </w:r>
      <w:r>
        <w:t>activities</w:t>
      </w:r>
      <w:r>
        <w:rPr>
          <w:spacing w:val="-2"/>
        </w:rPr>
        <w:t xml:space="preserve"> </w:t>
      </w:r>
      <w:r>
        <w:t>provide</w:t>
      </w:r>
      <w:r>
        <w:rPr>
          <w:spacing w:val="-4"/>
        </w:rPr>
        <w:t xml:space="preserve"> </w:t>
      </w:r>
      <w:r>
        <w:t>essential</w:t>
      </w:r>
      <w:r>
        <w:rPr>
          <w:spacing w:val="-2"/>
        </w:rPr>
        <w:t xml:space="preserve"> </w:t>
      </w:r>
      <w:r>
        <w:t>evidence</w:t>
      </w:r>
      <w:r>
        <w:rPr>
          <w:spacing w:val="-1"/>
        </w:rPr>
        <w:t xml:space="preserve"> </w:t>
      </w:r>
      <w:r>
        <w:t>as</w:t>
      </w:r>
      <w:r>
        <w:rPr>
          <w:spacing w:val="-4"/>
        </w:rPr>
        <w:t xml:space="preserve"> </w:t>
      </w:r>
      <w:r>
        <w:t>regards</w:t>
      </w:r>
      <w:r>
        <w:rPr>
          <w:spacing w:val="-3"/>
        </w:rPr>
        <w:t xml:space="preserve"> </w:t>
      </w:r>
      <w:r>
        <w:t>the</w:t>
      </w:r>
      <w:r>
        <w:rPr>
          <w:spacing w:val="-4"/>
        </w:rPr>
        <w:t xml:space="preserve"> </w:t>
      </w:r>
      <w:r>
        <w:t>views</w:t>
      </w:r>
      <w:r>
        <w:rPr>
          <w:spacing w:val="-2"/>
        </w:rPr>
        <w:t xml:space="preserve"> </w:t>
      </w:r>
      <w:r>
        <w:t>of,</w:t>
      </w:r>
      <w:r>
        <w:rPr>
          <w:spacing w:val="-5"/>
        </w:rPr>
        <w:t xml:space="preserve"> </w:t>
      </w:r>
      <w:r>
        <w:t>and</w:t>
      </w:r>
      <w:r>
        <w:rPr>
          <w:spacing w:val="-2"/>
        </w:rPr>
        <w:t xml:space="preserve"> </w:t>
      </w:r>
      <w:r>
        <w:t>impact</w:t>
      </w:r>
      <w:r>
        <w:rPr>
          <w:spacing w:val="-2"/>
        </w:rPr>
        <w:t xml:space="preserve"> </w:t>
      </w:r>
      <w:r>
        <w:t>on, stakeholders of audit-related standard-setting activities.</w:t>
      </w:r>
      <w:r>
        <w:rPr>
          <w:vertAlign w:val="superscript"/>
        </w:rPr>
        <w:t>32</w:t>
      </w:r>
    </w:p>
    <w:p w14:paraId="1E805A9B" w14:textId="77777777" w:rsidR="00AA4A02" w:rsidRDefault="00960F31">
      <w:pPr>
        <w:pStyle w:val="ListParagraph"/>
        <w:numPr>
          <w:ilvl w:val="0"/>
          <w:numId w:val="29"/>
        </w:numPr>
        <w:tabs>
          <w:tab w:val="left" w:pos="851"/>
        </w:tabs>
        <w:spacing w:line="208" w:lineRule="auto"/>
        <w:ind w:right="330"/>
      </w:pPr>
      <w:r>
        <w:t>The</w:t>
      </w:r>
      <w:r>
        <w:rPr>
          <w:spacing w:val="-2"/>
        </w:rPr>
        <w:t xml:space="preserve"> </w:t>
      </w:r>
      <w:r>
        <w:t>AUASB’s</w:t>
      </w:r>
      <w:r>
        <w:rPr>
          <w:spacing w:val="-2"/>
        </w:rPr>
        <w:t xml:space="preserve"> </w:t>
      </w:r>
      <w:r>
        <w:t>Public</w:t>
      </w:r>
      <w:r>
        <w:rPr>
          <w:spacing w:val="-2"/>
        </w:rPr>
        <w:t xml:space="preserve"> </w:t>
      </w:r>
      <w:r>
        <w:t>Interest</w:t>
      </w:r>
      <w:r>
        <w:rPr>
          <w:spacing w:val="-1"/>
        </w:rPr>
        <w:t xml:space="preserve"> </w:t>
      </w:r>
      <w:r>
        <w:t>Framework identifies</w:t>
      </w:r>
      <w:r>
        <w:rPr>
          <w:spacing w:val="-1"/>
        </w:rPr>
        <w:t xml:space="preserve"> </w:t>
      </w:r>
      <w:r>
        <w:t>the</w:t>
      </w:r>
      <w:r>
        <w:rPr>
          <w:spacing w:val="-2"/>
        </w:rPr>
        <w:t xml:space="preserve"> </w:t>
      </w:r>
      <w:r>
        <w:t>different</w:t>
      </w:r>
      <w:r>
        <w:rPr>
          <w:spacing w:val="-1"/>
        </w:rPr>
        <w:t xml:space="preserve"> </w:t>
      </w:r>
      <w:r>
        <w:t>classes</w:t>
      </w:r>
      <w:r>
        <w:rPr>
          <w:spacing w:val="-4"/>
        </w:rPr>
        <w:t xml:space="preserve"> </w:t>
      </w:r>
      <w:r>
        <w:t>of</w:t>
      </w:r>
      <w:r>
        <w:rPr>
          <w:spacing w:val="-2"/>
        </w:rPr>
        <w:t xml:space="preserve"> </w:t>
      </w:r>
      <w:r>
        <w:t>stakeholders</w:t>
      </w:r>
      <w:r>
        <w:rPr>
          <w:spacing w:val="-4"/>
        </w:rPr>
        <w:t xml:space="preserve"> </w:t>
      </w:r>
      <w:r>
        <w:t>that may</w:t>
      </w:r>
      <w:r>
        <w:rPr>
          <w:spacing w:val="-2"/>
        </w:rPr>
        <w:t xml:space="preserve"> </w:t>
      </w:r>
      <w:r>
        <w:t>have</w:t>
      </w:r>
      <w:r>
        <w:rPr>
          <w:spacing w:val="-4"/>
        </w:rPr>
        <w:t xml:space="preserve"> </w:t>
      </w:r>
      <w:r>
        <w:t>a</w:t>
      </w:r>
      <w:r>
        <w:rPr>
          <w:spacing w:val="-2"/>
        </w:rPr>
        <w:t xml:space="preserve"> </w:t>
      </w:r>
      <w:r>
        <w:t>legitimate</w:t>
      </w:r>
      <w:r>
        <w:rPr>
          <w:spacing w:val="-4"/>
        </w:rPr>
        <w:t xml:space="preserve"> </w:t>
      </w:r>
      <w:r>
        <w:t>interest</w:t>
      </w:r>
      <w:r>
        <w:rPr>
          <w:spacing w:val="-4"/>
        </w:rPr>
        <w:t xml:space="preserve"> </w:t>
      </w:r>
      <w:r>
        <w:t>in</w:t>
      </w:r>
      <w:r>
        <w:rPr>
          <w:spacing w:val="-5"/>
        </w:rPr>
        <w:t xml:space="preserve"> </w:t>
      </w:r>
      <w:r>
        <w:t>the</w:t>
      </w:r>
      <w:r>
        <w:rPr>
          <w:spacing w:val="-2"/>
        </w:rPr>
        <w:t xml:space="preserve"> </w:t>
      </w:r>
      <w:r>
        <w:t>adequacy</w:t>
      </w:r>
      <w:r>
        <w:rPr>
          <w:spacing w:val="-2"/>
        </w:rPr>
        <w:t xml:space="preserve"> </w:t>
      </w:r>
      <w:r>
        <w:t>of pronouncements</w:t>
      </w:r>
      <w:r>
        <w:rPr>
          <w:spacing w:val="-4"/>
        </w:rPr>
        <w:t xml:space="preserve"> </w:t>
      </w:r>
      <w:r>
        <w:t>and</w:t>
      </w:r>
      <w:r>
        <w:rPr>
          <w:spacing w:val="-2"/>
        </w:rPr>
        <w:t xml:space="preserve"> </w:t>
      </w:r>
      <w:r>
        <w:t>other</w:t>
      </w:r>
      <w:r>
        <w:rPr>
          <w:spacing w:val="-1"/>
        </w:rPr>
        <w:t xml:space="preserve"> </w:t>
      </w:r>
      <w:r>
        <w:t>materials</w:t>
      </w:r>
      <w:r>
        <w:rPr>
          <w:spacing w:val="-4"/>
        </w:rPr>
        <w:t xml:space="preserve"> </w:t>
      </w:r>
      <w:r>
        <w:t>issued by the AUASB - that is, the AUASB’s ‘public’.</w:t>
      </w:r>
      <w:r>
        <w:rPr>
          <w:vertAlign w:val="superscript"/>
        </w:rPr>
        <w:t>33</w:t>
      </w:r>
      <w:r>
        <w:t xml:space="preserve"> This framework also outlines the steps the AUASB will follow to assess whether its actions, decisions or policies are in the public </w:t>
      </w:r>
      <w:r>
        <w:rPr>
          <w:spacing w:val="-2"/>
        </w:rPr>
        <w:t>interest.</w:t>
      </w:r>
    </w:p>
    <w:p w14:paraId="1E805A9C" w14:textId="77777777" w:rsidR="00AA4A02" w:rsidRDefault="00960F31">
      <w:pPr>
        <w:pStyle w:val="ListParagraph"/>
        <w:numPr>
          <w:ilvl w:val="0"/>
          <w:numId w:val="29"/>
        </w:numPr>
        <w:tabs>
          <w:tab w:val="left" w:pos="851"/>
        </w:tabs>
        <w:spacing w:before="174"/>
      </w:pPr>
      <w:r>
        <w:t>In</w:t>
      </w:r>
      <w:r>
        <w:rPr>
          <w:spacing w:val="-6"/>
        </w:rPr>
        <w:t xml:space="preserve"> </w:t>
      </w:r>
      <w:r>
        <w:t>order</w:t>
      </w:r>
      <w:r>
        <w:rPr>
          <w:spacing w:val="-5"/>
        </w:rPr>
        <w:t xml:space="preserve"> </w:t>
      </w:r>
      <w:r>
        <w:t>to</w:t>
      </w:r>
      <w:r>
        <w:rPr>
          <w:spacing w:val="-4"/>
        </w:rPr>
        <w:t xml:space="preserve"> </w:t>
      </w:r>
      <w:r>
        <w:t>address</w:t>
      </w:r>
      <w:r>
        <w:rPr>
          <w:spacing w:val="-5"/>
        </w:rPr>
        <w:t xml:space="preserve"> </w:t>
      </w:r>
      <w:r>
        <w:t>stakeholder</w:t>
      </w:r>
      <w:r>
        <w:rPr>
          <w:spacing w:val="-6"/>
        </w:rPr>
        <w:t xml:space="preserve"> </w:t>
      </w:r>
      <w:r>
        <w:t>interests,</w:t>
      </w:r>
      <w:r>
        <w:rPr>
          <w:spacing w:val="-3"/>
        </w:rPr>
        <w:t xml:space="preserve"> </w:t>
      </w:r>
      <w:r>
        <w:t>it</w:t>
      </w:r>
      <w:r>
        <w:rPr>
          <w:spacing w:val="-3"/>
        </w:rPr>
        <w:t xml:space="preserve"> </w:t>
      </w:r>
      <w:r>
        <w:t>is</w:t>
      </w:r>
      <w:r>
        <w:rPr>
          <w:spacing w:val="-3"/>
        </w:rPr>
        <w:t xml:space="preserve"> </w:t>
      </w:r>
      <w:r>
        <w:t>essential</w:t>
      </w:r>
      <w:r>
        <w:rPr>
          <w:spacing w:val="-5"/>
        </w:rPr>
        <w:t xml:space="preserve"> </w:t>
      </w:r>
      <w:r>
        <w:t>that</w:t>
      </w:r>
      <w:r>
        <w:rPr>
          <w:spacing w:val="-6"/>
        </w:rPr>
        <w:t xml:space="preserve"> </w:t>
      </w:r>
      <w:r>
        <w:t>the AUASB’s</w:t>
      </w:r>
      <w:r>
        <w:rPr>
          <w:spacing w:val="-5"/>
        </w:rPr>
        <w:t xml:space="preserve"> </w:t>
      </w:r>
      <w:r>
        <w:t>consultation</w:t>
      </w:r>
      <w:r>
        <w:rPr>
          <w:spacing w:val="-1"/>
        </w:rPr>
        <w:t xml:space="preserve"> </w:t>
      </w:r>
      <w:r>
        <w:rPr>
          <w:spacing w:val="-2"/>
        </w:rPr>
        <w:t>process:</w:t>
      </w:r>
    </w:p>
    <w:p w14:paraId="1E805A9D" w14:textId="77777777" w:rsidR="00AA4A02" w:rsidRDefault="00960F31">
      <w:pPr>
        <w:pStyle w:val="ListParagraph"/>
        <w:numPr>
          <w:ilvl w:val="1"/>
          <w:numId w:val="29"/>
        </w:numPr>
        <w:tabs>
          <w:tab w:val="left" w:pos="1562"/>
        </w:tabs>
        <w:spacing w:before="191" w:line="208" w:lineRule="auto"/>
        <w:ind w:right="489"/>
      </w:pPr>
      <w:r>
        <w:t>considers</w:t>
      </w:r>
      <w:r>
        <w:rPr>
          <w:spacing w:val="-4"/>
        </w:rPr>
        <w:t xml:space="preserve"> </w:t>
      </w:r>
      <w:r>
        <w:t>all</w:t>
      </w:r>
      <w:r>
        <w:rPr>
          <w:spacing w:val="-6"/>
        </w:rPr>
        <w:t xml:space="preserve"> </w:t>
      </w:r>
      <w:r>
        <w:t>stakeholder</w:t>
      </w:r>
      <w:r>
        <w:rPr>
          <w:spacing w:val="-4"/>
        </w:rPr>
        <w:t xml:space="preserve"> </w:t>
      </w:r>
      <w:r>
        <w:t>input</w:t>
      </w:r>
      <w:r>
        <w:rPr>
          <w:spacing w:val="-3"/>
        </w:rPr>
        <w:t xml:space="preserve"> </w:t>
      </w:r>
      <w:r>
        <w:t>and</w:t>
      </w:r>
      <w:r>
        <w:rPr>
          <w:spacing w:val="-4"/>
        </w:rPr>
        <w:t xml:space="preserve"> </w:t>
      </w:r>
      <w:r>
        <w:t>identifies</w:t>
      </w:r>
      <w:r>
        <w:rPr>
          <w:spacing w:val="-4"/>
        </w:rPr>
        <w:t xml:space="preserve"> </w:t>
      </w:r>
      <w:r>
        <w:t>the</w:t>
      </w:r>
      <w:r>
        <w:rPr>
          <w:spacing w:val="-4"/>
        </w:rPr>
        <w:t xml:space="preserve"> </w:t>
      </w:r>
      <w:r>
        <w:t>different</w:t>
      </w:r>
      <w:r>
        <w:rPr>
          <w:spacing w:val="-3"/>
        </w:rPr>
        <w:t xml:space="preserve"> </w:t>
      </w:r>
      <w:r>
        <w:t>stakeholder</w:t>
      </w:r>
      <w:r>
        <w:rPr>
          <w:spacing w:val="-4"/>
        </w:rPr>
        <w:t xml:space="preserve"> </w:t>
      </w:r>
      <w:r>
        <w:t>interests</w:t>
      </w:r>
      <w:r>
        <w:rPr>
          <w:spacing w:val="-6"/>
        </w:rPr>
        <w:t xml:space="preserve"> </w:t>
      </w:r>
      <w:r>
        <w:t>that affect the public interest;</w:t>
      </w:r>
    </w:p>
    <w:p w14:paraId="1E805A9E" w14:textId="77777777" w:rsidR="00AA4A02" w:rsidRDefault="00960F31">
      <w:pPr>
        <w:pStyle w:val="ListParagraph"/>
        <w:numPr>
          <w:ilvl w:val="1"/>
          <w:numId w:val="29"/>
        </w:numPr>
        <w:tabs>
          <w:tab w:val="left" w:pos="1562"/>
        </w:tabs>
        <w:spacing w:line="208" w:lineRule="auto"/>
        <w:ind w:right="577"/>
      </w:pPr>
      <w:r>
        <w:t>defines</w:t>
      </w:r>
      <w:r>
        <w:rPr>
          <w:spacing w:val="-4"/>
        </w:rPr>
        <w:t xml:space="preserve"> </w:t>
      </w:r>
      <w:r>
        <w:t>relevant</w:t>
      </w:r>
      <w:r>
        <w:rPr>
          <w:spacing w:val="-2"/>
        </w:rPr>
        <w:t xml:space="preserve"> </w:t>
      </w:r>
      <w:r>
        <w:t>public</w:t>
      </w:r>
      <w:r>
        <w:rPr>
          <w:spacing w:val="-4"/>
        </w:rPr>
        <w:t xml:space="preserve"> </w:t>
      </w:r>
      <w:r>
        <w:t>interest</w:t>
      </w:r>
      <w:r>
        <w:rPr>
          <w:spacing w:val="-2"/>
        </w:rPr>
        <w:t xml:space="preserve"> </w:t>
      </w:r>
      <w:r>
        <w:t>criteria</w:t>
      </w:r>
      <w:r>
        <w:rPr>
          <w:spacing w:val="-4"/>
        </w:rPr>
        <w:t xml:space="preserve"> </w:t>
      </w:r>
      <w:r>
        <w:t>to</w:t>
      </w:r>
      <w:r>
        <w:rPr>
          <w:spacing w:val="-3"/>
        </w:rPr>
        <w:t xml:space="preserve"> </w:t>
      </w:r>
      <w:r>
        <w:t>consider</w:t>
      </w:r>
      <w:r>
        <w:rPr>
          <w:spacing w:val="-3"/>
        </w:rPr>
        <w:t xml:space="preserve"> </w:t>
      </w:r>
      <w:r>
        <w:t>how</w:t>
      </w:r>
      <w:r>
        <w:rPr>
          <w:spacing w:val="-6"/>
        </w:rPr>
        <w:t xml:space="preserve"> </w:t>
      </w:r>
      <w:r>
        <w:t>to</w:t>
      </w:r>
      <w:r>
        <w:rPr>
          <w:spacing w:val="-3"/>
        </w:rPr>
        <w:t xml:space="preserve"> </w:t>
      </w:r>
      <w:r>
        <w:t>appropriately</w:t>
      </w:r>
      <w:r>
        <w:rPr>
          <w:spacing w:val="-3"/>
        </w:rPr>
        <w:t xml:space="preserve"> </w:t>
      </w:r>
      <w:r>
        <w:t>weigh</w:t>
      </w:r>
      <w:r>
        <w:rPr>
          <w:spacing w:val="-5"/>
        </w:rPr>
        <w:t xml:space="preserve"> </w:t>
      </w:r>
      <w:r>
        <w:t>the input received in terms of the public interest impact of the relative interests; and</w:t>
      </w:r>
    </w:p>
    <w:p w14:paraId="1E805A9F" w14:textId="77777777" w:rsidR="00AA4A02" w:rsidRDefault="00960F31">
      <w:pPr>
        <w:pStyle w:val="ListParagraph"/>
        <w:numPr>
          <w:ilvl w:val="1"/>
          <w:numId w:val="29"/>
        </w:numPr>
        <w:tabs>
          <w:tab w:val="left" w:pos="1562"/>
        </w:tabs>
        <w:spacing w:before="200" w:line="208" w:lineRule="auto"/>
        <w:ind w:right="462"/>
      </w:pPr>
      <w:r>
        <w:t>appropriately</w:t>
      </w:r>
      <w:r>
        <w:rPr>
          <w:spacing w:val="-6"/>
        </w:rPr>
        <w:t xml:space="preserve"> </w:t>
      </w:r>
      <w:r>
        <w:t>balances</w:t>
      </w:r>
      <w:r>
        <w:rPr>
          <w:spacing w:val="-3"/>
        </w:rPr>
        <w:t xml:space="preserve"> </w:t>
      </w:r>
      <w:r>
        <w:t>alternative</w:t>
      </w:r>
      <w:r>
        <w:rPr>
          <w:spacing w:val="-3"/>
        </w:rPr>
        <w:t xml:space="preserve"> </w:t>
      </w:r>
      <w:r>
        <w:t>outcomes</w:t>
      </w:r>
      <w:r>
        <w:rPr>
          <w:spacing w:val="-3"/>
        </w:rPr>
        <w:t xml:space="preserve"> </w:t>
      </w:r>
      <w:r>
        <w:t>and</w:t>
      </w:r>
      <w:r>
        <w:rPr>
          <w:spacing w:val="-6"/>
        </w:rPr>
        <w:t xml:space="preserve"> </w:t>
      </w:r>
      <w:r>
        <w:t>interests</w:t>
      </w:r>
      <w:r>
        <w:rPr>
          <w:spacing w:val="-3"/>
        </w:rPr>
        <w:t xml:space="preserve"> </w:t>
      </w:r>
      <w:r>
        <w:t>in</w:t>
      </w:r>
      <w:r>
        <w:rPr>
          <w:spacing w:val="-3"/>
        </w:rPr>
        <w:t xml:space="preserve"> </w:t>
      </w:r>
      <w:r>
        <w:t>terms</w:t>
      </w:r>
      <w:r>
        <w:rPr>
          <w:spacing w:val="-3"/>
        </w:rPr>
        <w:t xml:space="preserve"> </w:t>
      </w:r>
      <w:r>
        <w:t>of</w:t>
      </w:r>
      <w:r>
        <w:rPr>
          <w:spacing w:val="-3"/>
        </w:rPr>
        <w:t xml:space="preserve"> </w:t>
      </w:r>
      <w:r>
        <w:t>their</w:t>
      </w:r>
      <w:r>
        <w:rPr>
          <w:spacing w:val="-3"/>
        </w:rPr>
        <w:t xml:space="preserve"> </w:t>
      </w:r>
      <w:r>
        <w:t>expected responsiveness to the public interest.</w:t>
      </w:r>
    </w:p>
    <w:p w14:paraId="1E805AA0" w14:textId="77777777" w:rsidR="00AA4A02" w:rsidRDefault="00960F31">
      <w:pPr>
        <w:pStyle w:val="ListParagraph"/>
        <w:numPr>
          <w:ilvl w:val="0"/>
          <w:numId w:val="29"/>
        </w:numPr>
        <w:tabs>
          <w:tab w:val="left" w:pos="851"/>
        </w:tabs>
        <w:spacing w:before="199" w:line="208" w:lineRule="auto"/>
        <w:ind w:right="158"/>
      </w:pPr>
      <w:r>
        <w:t>Public</w:t>
      </w:r>
      <w:r>
        <w:rPr>
          <w:spacing w:val="-3"/>
        </w:rPr>
        <w:t xml:space="preserve"> </w:t>
      </w:r>
      <w:r>
        <w:t>interest</w:t>
      </w:r>
      <w:r>
        <w:rPr>
          <w:spacing w:val="-4"/>
        </w:rPr>
        <w:t xml:space="preserve"> </w:t>
      </w:r>
      <w:r>
        <w:t>responsiveness</w:t>
      </w:r>
      <w:r>
        <w:rPr>
          <w:spacing w:val="-2"/>
        </w:rPr>
        <w:t xml:space="preserve"> </w:t>
      </w:r>
      <w:r>
        <w:t>cannot</w:t>
      </w:r>
      <w:r>
        <w:rPr>
          <w:spacing w:val="-2"/>
        </w:rPr>
        <w:t xml:space="preserve"> </w:t>
      </w:r>
      <w:r>
        <w:t>be</w:t>
      </w:r>
      <w:r>
        <w:rPr>
          <w:spacing w:val="-5"/>
        </w:rPr>
        <w:t xml:space="preserve"> </w:t>
      </w:r>
      <w:r>
        <w:t>ensured</w:t>
      </w:r>
      <w:r>
        <w:rPr>
          <w:spacing w:val="-5"/>
        </w:rPr>
        <w:t xml:space="preserve"> </w:t>
      </w:r>
      <w:r>
        <w:t>through</w:t>
      </w:r>
      <w:r>
        <w:rPr>
          <w:spacing w:val="-3"/>
        </w:rPr>
        <w:t xml:space="preserve"> </w:t>
      </w:r>
      <w:r>
        <w:t>a</w:t>
      </w:r>
      <w:r>
        <w:rPr>
          <w:spacing w:val="-3"/>
        </w:rPr>
        <w:t xml:space="preserve"> </w:t>
      </w:r>
      <w:r>
        <w:t>mere</w:t>
      </w:r>
      <w:r>
        <w:rPr>
          <w:spacing w:val="-3"/>
        </w:rPr>
        <w:t xml:space="preserve"> </w:t>
      </w:r>
      <w:r>
        <w:t>aggregation</w:t>
      </w:r>
      <w:r>
        <w:rPr>
          <w:spacing w:val="-3"/>
        </w:rPr>
        <w:t xml:space="preserve"> </w:t>
      </w:r>
      <w:r>
        <w:t>of</w:t>
      </w:r>
      <w:r>
        <w:rPr>
          <w:spacing w:val="-3"/>
        </w:rPr>
        <w:t xml:space="preserve"> </w:t>
      </w:r>
      <w:r>
        <w:t>all</w:t>
      </w:r>
      <w:r>
        <w:rPr>
          <w:spacing w:val="-2"/>
        </w:rPr>
        <w:t xml:space="preserve"> </w:t>
      </w:r>
      <w:r>
        <w:t>stakeholder interests, as such interests may be mutually inconsistent. Assessing public interest therefore</w:t>
      </w:r>
    </w:p>
    <w:p w14:paraId="1E805AA1" w14:textId="77777777" w:rsidR="00AA4A02" w:rsidRDefault="00960F31">
      <w:pPr>
        <w:pStyle w:val="BodyText"/>
        <w:spacing w:before="58"/>
        <w:rPr>
          <w:sz w:val="20"/>
        </w:rPr>
      </w:pPr>
      <w:r>
        <w:rPr>
          <w:noProof/>
          <w:sz w:val="20"/>
        </w:rPr>
        <mc:AlternateContent>
          <mc:Choice Requires="wps">
            <w:drawing>
              <wp:anchor distT="0" distB="0" distL="0" distR="0" simplePos="0" relativeHeight="487604224" behindDoc="1" locked="0" layoutInCell="1" allowOverlap="1" wp14:anchorId="1E805F53" wp14:editId="1E805F54">
                <wp:simplePos x="0" y="0"/>
                <wp:positionH relativeFrom="page">
                  <wp:posOffset>900988</wp:posOffset>
                </wp:positionH>
                <wp:positionV relativeFrom="paragraph">
                  <wp:posOffset>198444</wp:posOffset>
                </wp:positionV>
                <wp:extent cx="1829435"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70738" id="Graphic 55" o:spid="_x0000_s1026" style="position:absolute;margin-left:70.95pt;margin-top:15.65pt;width:144.05pt;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" path="m1829053,l,,,7619r1829053,l1829053,xe" fillcolor="black" stroked="f">
                <v:path arrowok="t"/>
                <w10:wrap type="topAndBottom" anchorx="page"/>
              </v:shape>
            </w:pict>
          </mc:Fallback>
        </mc:AlternateContent>
      </w:r>
    </w:p>
    <w:p w14:paraId="1E805AA2" w14:textId="77777777" w:rsidR="00AA4A02" w:rsidRDefault="00960F31">
      <w:pPr>
        <w:spacing w:before="93" w:line="208" w:lineRule="auto"/>
        <w:ind w:left="427" w:right="220" w:hanging="284"/>
        <w:rPr>
          <w:sz w:val="16"/>
        </w:rPr>
      </w:pPr>
      <w:r>
        <w:rPr>
          <w:sz w:val="16"/>
          <w:vertAlign w:val="superscript"/>
        </w:rPr>
        <w:t>32</w:t>
      </w:r>
      <w:r>
        <w:rPr>
          <w:spacing w:val="80"/>
          <w:w w:val="150"/>
          <w:sz w:val="16"/>
        </w:rPr>
        <w:t xml:space="preserve"> </w:t>
      </w:r>
      <w:r>
        <w:rPr>
          <w:sz w:val="16"/>
        </w:rPr>
        <w:t xml:space="preserve">Refer to the </w:t>
      </w:r>
      <w:hyperlink r:id="rId95">
        <w:r>
          <w:rPr>
            <w:color w:val="0000FF"/>
            <w:sz w:val="16"/>
            <w:u w:val="single" w:color="0000FF"/>
          </w:rPr>
          <w:t>AUASB EISS Strategy</w:t>
        </w:r>
      </w:hyperlink>
      <w:r>
        <w:rPr>
          <w:color w:val="0000FF"/>
          <w:sz w:val="16"/>
        </w:rPr>
        <w:t xml:space="preserve"> </w:t>
      </w:r>
      <w:r>
        <w:rPr>
          <w:sz w:val="16"/>
        </w:rPr>
        <w:t>which directs AUASB activities to ensure the deliberations and decisions of the AUASB are</w:t>
      </w:r>
      <w:r>
        <w:rPr>
          <w:spacing w:val="40"/>
          <w:sz w:val="16"/>
        </w:rPr>
        <w:t xml:space="preserve"> </w:t>
      </w:r>
      <w:r>
        <w:rPr>
          <w:sz w:val="16"/>
        </w:rPr>
        <w:t>informed</w:t>
      </w:r>
      <w:r>
        <w:rPr>
          <w:spacing w:val="-3"/>
          <w:sz w:val="16"/>
        </w:rPr>
        <w:t xml:space="preserve"> </w:t>
      </w:r>
      <w:r>
        <w:rPr>
          <w:sz w:val="16"/>
        </w:rPr>
        <w:t>by</w:t>
      </w:r>
      <w:r>
        <w:rPr>
          <w:spacing w:val="-3"/>
          <w:sz w:val="16"/>
        </w:rPr>
        <w:t xml:space="preserve"> </w:t>
      </w:r>
      <w:r>
        <w:rPr>
          <w:sz w:val="16"/>
        </w:rPr>
        <w:t>relevant</w:t>
      </w:r>
      <w:r>
        <w:rPr>
          <w:spacing w:val="-3"/>
          <w:sz w:val="16"/>
        </w:rPr>
        <w:t xml:space="preserve"> </w:t>
      </w:r>
      <w:r>
        <w:rPr>
          <w:sz w:val="16"/>
        </w:rPr>
        <w:t>and</w:t>
      </w:r>
      <w:r>
        <w:rPr>
          <w:spacing w:val="-1"/>
          <w:sz w:val="16"/>
        </w:rPr>
        <w:t xml:space="preserve"> </w:t>
      </w:r>
      <w:r>
        <w:rPr>
          <w:sz w:val="16"/>
        </w:rPr>
        <w:t>reliable</w:t>
      </w:r>
      <w:r>
        <w:rPr>
          <w:spacing w:val="-4"/>
          <w:sz w:val="16"/>
        </w:rPr>
        <w:t xml:space="preserve"> </w:t>
      </w:r>
      <w:r>
        <w:rPr>
          <w:sz w:val="16"/>
        </w:rPr>
        <w:t>evidence,</w:t>
      </w:r>
      <w:r>
        <w:rPr>
          <w:spacing w:val="-4"/>
          <w:sz w:val="16"/>
        </w:rPr>
        <w:t xml:space="preserve"> </w:t>
      </w:r>
      <w:r>
        <w:rPr>
          <w:sz w:val="16"/>
        </w:rPr>
        <w:t>including</w:t>
      </w:r>
      <w:r>
        <w:rPr>
          <w:spacing w:val="-3"/>
          <w:sz w:val="16"/>
        </w:rPr>
        <w:t xml:space="preserve"> </w:t>
      </w:r>
      <w:r>
        <w:rPr>
          <w:sz w:val="16"/>
        </w:rPr>
        <w:t>information</w:t>
      </w:r>
      <w:r>
        <w:rPr>
          <w:spacing w:val="-3"/>
          <w:sz w:val="16"/>
        </w:rPr>
        <w:t xml:space="preserve"> </w:t>
      </w:r>
      <w:r>
        <w:rPr>
          <w:sz w:val="16"/>
        </w:rPr>
        <w:t>collection</w:t>
      </w:r>
      <w:r>
        <w:rPr>
          <w:spacing w:val="-3"/>
          <w:sz w:val="16"/>
        </w:rPr>
        <w:t xml:space="preserve"> </w:t>
      </w:r>
      <w:r>
        <w:rPr>
          <w:sz w:val="16"/>
        </w:rPr>
        <w:t>through</w:t>
      </w:r>
      <w:r>
        <w:rPr>
          <w:spacing w:val="-1"/>
          <w:sz w:val="16"/>
        </w:rPr>
        <w:t xml:space="preserve"> </w:t>
      </w:r>
      <w:r>
        <w:rPr>
          <w:sz w:val="16"/>
        </w:rPr>
        <w:t>stakeholder</w:t>
      </w:r>
      <w:r>
        <w:rPr>
          <w:spacing w:val="-5"/>
          <w:sz w:val="16"/>
        </w:rPr>
        <w:t xml:space="preserve"> </w:t>
      </w:r>
      <w:r>
        <w:rPr>
          <w:sz w:val="16"/>
        </w:rPr>
        <w:t>engagement.</w:t>
      </w:r>
      <w:r>
        <w:rPr>
          <w:spacing w:val="37"/>
          <w:sz w:val="16"/>
        </w:rPr>
        <w:t xml:space="preserve"> </w:t>
      </w:r>
      <w:r>
        <w:rPr>
          <w:sz w:val="16"/>
        </w:rPr>
        <w:t>See</w:t>
      </w:r>
      <w:r>
        <w:rPr>
          <w:spacing w:val="-1"/>
          <w:sz w:val="16"/>
        </w:rPr>
        <w:t xml:space="preserve"> </w:t>
      </w:r>
      <w:r>
        <w:rPr>
          <w:sz w:val="16"/>
        </w:rPr>
        <w:t>paragraph</w:t>
      </w:r>
      <w:r>
        <w:rPr>
          <w:spacing w:val="-3"/>
          <w:sz w:val="16"/>
        </w:rPr>
        <w:t xml:space="preserve"> </w:t>
      </w:r>
      <w:r>
        <w:rPr>
          <w:sz w:val="16"/>
        </w:rPr>
        <w:t>4 of</w:t>
      </w:r>
      <w:r>
        <w:rPr>
          <w:spacing w:val="-5"/>
          <w:sz w:val="16"/>
        </w:rPr>
        <w:t xml:space="preserve"> </w:t>
      </w:r>
      <w:r>
        <w:rPr>
          <w:sz w:val="16"/>
        </w:rPr>
        <w:t>this</w:t>
      </w:r>
      <w:r>
        <w:rPr>
          <w:spacing w:val="40"/>
          <w:sz w:val="16"/>
        </w:rPr>
        <w:t xml:space="preserve"> </w:t>
      </w:r>
      <w:r>
        <w:rPr>
          <w:spacing w:val="-2"/>
          <w:sz w:val="16"/>
        </w:rPr>
        <w:t>document.</w:t>
      </w:r>
    </w:p>
    <w:p w14:paraId="1E805AA3" w14:textId="77777777" w:rsidR="00AA4A02" w:rsidRDefault="00960F31">
      <w:pPr>
        <w:spacing w:line="208" w:lineRule="auto"/>
        <w:ind w:left="427" w:right="137" w:hanging="284"/>
        <w:rPr>
          <w:sz w:val="16"/>
        </w:rPr>
      </w:pPr>
      <w:r>
        <w:rPr>
          <w:sz w:val="16"/>
          <w:vertAlign w:val="superscript"/>
        </w:rPr>
        <w:t>33</w:t>
      </w:r>
      <w:r>
        <w:rPr>
          <w:spacing w:val="80"/>
          <w:w w:val="150"/>
          <w:sz w:val="16"/>
        </w:rPr>
        <w:t xml:space="preserve"> </w:t>
      </w:r>
      <w:r>
        <w:rPr>
          <w:sz w:val="16"/>
        </w:rPr>
        <w:t>Refer to the AUASB’s Public Interest Framework in Appendix 1.</w:t>
      </w:r>
      <w:r>
        <w:rPr>
          <w:spacing w:val="40"/>
          <w:sz w:val="16"/>
        </w:rPr>
        <w:t xml:space="preserve"> </w:t>
      </w:r>
      <w:r>
        <w:rPr>
          <w:sz w:val="16"/>
        </w:rPr>
        <w:t>As explained in Appendix 1, although the standard-setting process</w:t>
      </w:r>
      <w:r>
        <w:rPr>
          <w:spacing w:val="40"/>
          <w:sz w:val="16"/>
        </w:rPr>
        <w:t xml:space="preserve"> </w:t>
      </w:r>
      <w:r>
        <w:rPr>
          <w:sz w:val="16"/>
        </w:rPr>
        <w:t>endeavours</w:t>
      </w:r>
      <w:r>
        <w:rPr>
          <w:spacing w:val="-1"/>
          <w:sz w:val="16"/>
        </w:rPr>
        <w:t xml:space="preserve"> </w:t>
      </w:r>
      <w:r>
        <w:rPr>
          <w:sz w:val="16"/>
        </w:rPr>
        <w:t>to recognise and</w:t>
      </w:r>
      <w:r>
        <w:rPr>
          <w:spacing w:val="-2"/>
          <w:sz w:val="16"/>
        </w:rPr>
        <w:t xml:space="preserve"> </w:t>
      </w:r>
      <w:r>
        <w:rPr>
          <w:sz w:val="16"/>
        </w:rPr>
        <w:t>consider</w:t>
      </w:r>
      <w:r>
        <w:rPr>
          <w:spacing w:val="-6"/>
          <w:sz w:val="16"/>
        </w:rPr>
        <w:t xml:space="preserve"> </w:t>
      </w:r>
      <w:r>
        <w:rPr>
          <w:sz w:val="16"/>
        </w:rPr>
        <w:t>the</w:t>
      </w:r>
      <w:r>
        <w:rPr>
          <w:spacing w:val="-3"/>
          <w:sz w:val="16"/>
        </w:rPr>
        <w:t xml:space="preserve"> </w:t>
      </w:r>
      <w:r>
        <w:rPr>
          <w:sz w:val="16"/>
        </w:rPr>
        <w:t>views</w:t>
      </w:r>
      <w:r>
        <w:rPr>
          <w:spacing w:val="-3"/>
          <w:sz w:val="16"/>
        </w:rPr>
        <w:t xml:space="preserve"> </w:t>
      </w:r>
      <w:r>
        <w:rPr>
          <w:sz w:val="16"/>
        </w:rPr>
        <w:t>of</w:t>
      </w:r>
      <w:r>
        <w:rPr>
          <w:spacing w:val="-4"/>
          <w:sz w:val="16"/>
        </w:rPr>
        <w:t xml:space="preserve"> </w:t>
      </w:r>
      <w:r>
        <w:rPr>
          <w:sz w:val="16"/>
        </w:rPr>
        <w:t>all stakeholders,</w:t>
      </w:r>
      <w:r>
        <w:rPr>
          <w:spacing w:val="-3"/>
          <w:sz w:val="16"/>
        </w:rPr>
        <w:t xml:space="preserve"> </w:t>
      </w:r>
      <w:r>
        <w:rPr>
          <w:sz w:val="16"/>
        </w:rPr>
        <w:t>the</w:t>
      </w:r>
      <w:r>
        <w:rPr>
          <w:spacing w:val="-3"/>
          <w:sz w:val="16"/>
        </w:rPr>
        <w:t xml:space="preserve"> </w:t>
      </w:r>
      <w:r>
        <w:rPr>
          <w:sz w:val="16"/>
        </w:rPr>
        <w:t>interests</w:t>
      </w:r>
      <w:r>
        <w:rPr>
          <w:spacing w:val="-3"/>
          <w:sz w:val="16"/>
        </w:rPr>
        <w:t xml:space="preserve"> </w:t>
      </w:r>
      <w:r>
        <w:rPr>
          <w:sz w:val="16"/>
        </w:rPr>
        <w:t>of</w:t>
      </w:r>
      <w:r>
        <w:rPr>
          <w:spacing w:val="-4"/>
          <w:sz w:val="16"/>
        </w:rPr>
        <w:t xml:space="preserve"> </w:t>
      </w:r>
      <w:r>
        <w:rPr>
          <w:sz w:val="16"/>
        </w:rPr>
        <w:t>“users” will take</w:t>
      </w:r>
      <w:r>
        <w:rPr>
          <w:spacing w:val="-3"/>
          <w:sz w:val="16"/>
        </w:rPr>
        <w:t xml:space="preserve"> </w:t>
      </w:r>
      <w:r>
        <w:rPr>
          <w:sz w:val="16"/>
        </w:rPr>
        <w:t>prominence.</w:t>
      </w:r>
      <w:r>
        <w:rPr>
          <w:spacing w:val="-3"/>
          <w:sz w:val="16"/>
        </w:rPr>
        <w:t xml:space="preserve"> </w:t>
      </w:r>
      <w:r>
        <w:rPr>
          <w:sz w:val="16"/>
        </w:rPr>
        <w:t>The</w:t>
      </w:r>
      <w:r>
        <w:rPr>
          <w:spacing w:val="-3"/>
          <w:sz w:val="16"/>
        </w:rPr>
        <w:t xml:space="preserve"> </w:t>
      </w:r>
      <w:r>
        <w:rPr>
          <w:sz w:val="16"/>
        </w:rPr>
        <w:t>term</w:t>
      </w:r>
      <w:r>
        <w:rPr>
          <w:spacing w:val="-1"/>
          <w:sz w:val="16"/>
        </w:rPr>
        <w:t xml:space="preserve"> </w:t>
      </w:r>
      <w:r>
        <w:rPr>
          <w:sz w:val="16"/>
        </w:rPr>
        <w:t>“users” refers</w:t>
      </w:r>
      <w:r>
        <w:rPr>
          <w:spacing w:val="40"/>
          <w:sz w:val="16"/>
        </w:rPr>
        <w:t xml:space="preserve"> </w:t>
      </w:r>
      <w:r>
        <w:rPr>
          <w:sz w:val="16"/>
        </w:rPr>
        <w:t>to</w:t>
      </w:r>
      <w:r>
        <w:rPr>
          <w:spacing w:val="-1"/>
          <w:sz w:val="16"/>
        </w:rPr>
        <w:t xml:space="preserve"> </w:t>
      </w:r>
      <w:r>
        <w:rPr>
          <w:sz w:val="16"/>
        </w:rPr>
        <w:t>the</w:t>
      </w:r>
      <w:r>
        <w:rPr>
          <w:spacing w:val="-2"/>
          <w:sz w:val="16"/>
        </w:rPr>
        <w:t xml:space="preserve"> </w:t>
      </w:r>
      <w:r>
        <w:rPr>
          <w:sz w:val="16"/>
        </w:rPr>
        <w:t>users</w:t>
      </w:r>
      <w:r>
        <w:rPr>
          <w:spacing w:val="-3"/>
          <w:sz w:val="16"/>
        </w:rPr>
        <w:t xml:space="preserve"> </w:t>
      </w:r>
      <w:r>
        <w:rPr>
          <w:sz w:val="16"/>
        </w:rPr>
        <w:t>of</w:t>
      </w:r>
      <w:r>
        <w:rPr>
          <w:spacing w:val="-3"/>
          <w:sz w:val="16"/>
        </w:rPr>
        <w:t xml:space="preserve"> </w:t>
      </w:r>
      <w:r>
        <w:rPr>
          <w:sz w:val="16"/>
        </w:rPr>
        <w:t>information subject</w:t>
      </w:r>
      <w:r>
        <w:rPr>
          <w:spacing w:val="-1"/>
          <w:sz w:val="16"/>
        </w:rPr>
        <w:t xml:space="preserve"> </w:t>
      </w:r>
      <w:r>
        <w:rPr>
          <w:sz w:val="16"/>
        </w:rPr>
        <w:t>to</w:t>
      </w:r>
      <w:r>
        <w:rPr>
          <w:spacing w:val="-1"/>
          <w:sz w:val="16"/>
        </w:rPr>
        <w:t xml:space="preserve"> </w:t>
      </w:r>
      <w:r>
        <w:rPr>
          <w:sz w:val="16"/>
        </w:rPr>
        <w:t>an</w:t>
      </w:r>
      <w:r>
        <w:rPr>
          <w:spacing w:val="-1"/>
          <w:sz w:val="16"/>
        </w:rPr>
        <w:t xml:space="preserve"> </w:t>
      </w:r>
      <w:r>
        <w:rPr>
          <w:sz w:val="16"/>
        </w:rPr>
        <w:t>audit</w:t>
      </w:r>
      <w:r>
        <w:rPr>
          <w:spacing w:val="-1"/>
          <w:sz w:val="16"/>
        </w:rPr>
        <w:t xml:space="preserve"> </w:t>
      </w:r>
      <w:r>
        <w:rPr>
          <w:sz w:val="16"/>
        </w:rPr>
        <w:t>or</w:t>
      </w:r>
      <w:r>
        <w:rPr>
          <w:spacing w:val="-3"/>
          <w:sz w:val="16"/>
        </w:rPr>
        <w:t xml:space="preserve"> </w:t>
      </w:r>
      <w:r>
        <w:rPr>
          <w:sz w:val="16"/>
        </w:rPr>
        <w:t>other</w:t>
      </w:r>
      <w:r>
        <w:rPr>
          <w:spacing w:val="-3"/>
          <w:sz w:val="16"/>
        </w:rPr>
        <w:t xml:space="preserve"> </w:t>
      </w:r>
      <w:r>
        <w:rPr>
          <w:sz w:val="16"/>
        </w:rPr>
        <w:t>assurance</w:t>
      </w:r>
      <w:r>
        <w:rPr>
          <w:spacing w:val="-2"/>
          <w:sz w:val="16"/>
        </w:rPr>
        <w:t xml:space="preserve"> </w:t>
      </w:r>
      <w:r>
        <w:rPr>
          <w:sz w:val="16"/>
        </w:rPr>
        <w:t>engagement.</w:t>
      </w:r>
      <w:r>
        <w:rPr>
          <w:spacing w:val="39"/>
          <w:sz w:val="16"/>
        </w:rPr>
        <w:t xml:space="preserve"> </w:t>
      </w:r>
      <w:r>
        <w:rPr>
          <w:sz w:val="16"/>
        </w:rPr>
        <w:t>For</w:t>
      </w:r>
      <w:r>
        <w:rPr>
          <w:spacing w:val="-1"/>
          <w:sz w:val="16"/>
        </w:rPr>
        <w:t xml:space="preserve"> </w:t>
      </w:r>
      <w:r>
        <w:rPr>
          <w:sz w:val="16"/>
        </w:rPr>
        <w:t>financial reports,</w:t>
      </w:r>
      <w:r>
        <w:rPr>
          <w:spacing w:val="-2"/>
          <w:sz w:val="16"/>
        </w:rPr>
        <w:t xml:space="preserve"> </w:t>
      </w:r>
      <w:r>
        <w:rPr>
          <w:sz w:val="16"/>
        </w:rPr>
        <w:t>this</w:t>
      </w:r>
      <w:r>
        <w:rPr>
          <w:spacing w:val="-2"/>
          <w:sz w:val="16"/>
        </w:rPr>
        <w:t xml:space="preserve"> </w:t>
      </w:r>
      <w:r>
        <w:rPr>
          <w:sz w:val="16"/>
        </w:rPr>
        <w:t>group includes mainly</w:t>
      </w:r>
      <w:r>
        <w:rPr>
          <w:spacing w:val="-1"/>
          <w:sz w:val="16"/>
        </w:rPr>
        <w:t xml:space="preserve"> </w:t>
      </w:r>
      <w:r>
        <w:rPr>
          <w:sz w:val="16"/>
        </w:rPr>
        <w:t>investors</w:t>
      </w:r>
      <w:r>
        <w:rPr>
          <w:spacing w:val="40"/>
          <w:sz w:val="16"/>
        </w:rPr>
        <w:t xml:space="preserve"> </w:t>
      </w:r>
      <w:r>
        <w:rPr>
          <w:sz w:val="16"/>
        </w:rPr>
        <w:t>(present and potential), lenders and other creditors, who rely on the audited financial report to make resource allocation decisions.</w:t>
      </w:r>
    </w:p>
    <w:p w14:paraId="1E805AA4"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AA5" w14:textId="77777777" w:rsidR="00AA4A02" w:rsidRDefault="00960F31">
      <w:pPr>
        <w:pStyle w:val="BodyText"/>
        <w:spacing w:before="219" w:line="208" w:lineRule="auto"/>
        <w:ind w:left="851" w:right="159"/>
      </w:pPr>
      <w:r>
        <w:lastRenderedPageBreak/>
        <w:t>requires careful application of judgement. Judgement is best informed when the process and consultation</w:t>
      </w:r>
      <w:r>
        <w:rPr>
          <w:spacing w:val="-2"/>
        </w:rPr>
        <w:t xml:space="preserve"> </w:t>
      </w:r>
      <w:r>
        <w:t>elicits</w:t>
      </w:r>
      <w:r>
        <w:rPr>
          <w:spacing w:val="-2"/>
        </w:rPr>
        <w:t xml:space="preserve"> </w:t>
      </w:r>
      <w:r>
        <w:t>views</w:t>
      </w:r>
      <w:r>
        <w:rPr>
          <w:spacing w:val="-5"/>
        </w:rPr>
        <w:t xml:space="preserve"> </w:t>
      </w:r>
      <w:r>
        <w:t>from</w:t>
      </w:r>
      <w:r>
        <w:rPr>
          <w:spacing w:val="-1"/>
        </w:rPr>
        <w:t xml:space="preserve"> </w:t>
      </w:r>
      <w:r>
        <w:t>all</w:t>
      </w:r>
      <w:r>
        <w:rPr>
          <w:spacing w:val="-4"/>
        </w:rPr>
        <w:t xml:space="preserve"> </w:t>
      </w:r>
      <w:r>
        <w:t>interested</w:t>
      </w:r>
      <w:r>
        <w:rPr>
          <w:spacing w:val="-2"/>
        </w:rPr>
        <w:t xml:space="preserve"> </w:t>
      </w:r>
      <w:r>
        <w:t>stakeholders</w:t>
      </w:r>
      <w:r>
        <w:rPr>
          <w:spacing w:val="-2"/>
        </w:rPr>
        <w:t xml:space="preserve"> </w:t>
      </w:r>
      <w:r>
        <w:t>and</w:t>
      </w:r>
      <w:r>
        <w:rPr>
          <w:spacing w:val="-2"/>
        </w:rPr>
        <w:t xml:space="preserve"> </w:t>
      </w:r>
      <w:r>
        <w:t>balances</w:t>
      </w:r>
      <w:r>
        <w:rPr>
          <w:spacing w:val="-4"/>
        </w:rPr>
        <w:t xml:space="preserve"> </w:t>
      </w:r>
      <w:r>
        <w:t>the</w:t>
      </w:r>
      <w:r>
        <w:rPr>
          <w:spacing w:val="-4"/>
        </w:rPr>
        <w:t xml:space="preserve"> </w:t>
      </w:r>
      <w:r>
        <w:t>merits</w:t>
      </w:r>
      <w:r>
        <w:rPr>
          <w:spacing w:val="-4"/>
        </w:rPr>
        <w:t xml:space="preserve"> </w:t>
      </w:r>
      <w:r>
        <w:t>of</w:t>
      </w:r>
      <w:r>
        <w:rPr>
          <w:spacing w:val="-2"/>
        </w:rPr>
        <w:t xml:space="preserve"> </w:t>
      </w:r>
      <w:r>
        <w:t>the</w:t>
      </w:r>
      <w:r>
        <w:rPr>
          <w:spacing w:val="-2"/>
        </w:rPr>
        <w:t xml:space="preserve"> </w:t>
      </w:r>
      <w:r>
        <w:t>views, irrespective of whether a minority or majority view. Stakeholder input is weighted based on the merit of the viewpoints presented rather than the volume of comments received.</w:t>
      </w:r>
    </w:p>
    <w:p w14:paraId="1E805AA6" w14:textId="77777777" w:rsidR="00AA4A02" w:rsidRDefault="00960F31">
      <w:pPr>
        <w:pStyle w:val="ListParagraph"/>
        <w:numPr>
          <w:ilvl w:val="0"/>
          <w:numId w:val="29"/>
        </w:numPr>
        <w:tabs>
          <w:tab w:val="left" w:pos="851"/>
        </w:tabs>
        <w:spacing w:before="200" w:line="208" w:lineRule="auto"/>
        <w:ind w:right="340"/>
      </w:pPr>
      <w:r>
        <w:t>An</w:t>
      </w:r>
      <w:r>
        <w:rPr>
          <w:spacing w:val="-2"/>
        </w:rPr>
        <w:t xml:space="preserve"> </w:t>
      </w:r>
      <w:r>
        <w:t>important</w:t>
      </w:r>
      <w:r>
        <w:rPr>
          <w:spacing w:val="-2"/>
        </w:rPr>
        <w:t xml:space="preserve"> </w:t>
      </w:r>
      <w:r>
        <w:t>consideration</w:t>
      </w:r>
      <w:r>
        <w:rPr>
          <w:spacing w:val="-5"/>
        </w:rPr>
        <w:t xml:space="preserve"> </w:t>
      </w:r>
      <w:r>
        <w:t>is</w:t>
      </w:r>
      <w:r>
        <w:rPr>
          <w:spacing w:val="-4"/>
        </w:rPr>
        <w:t xml:space="preserve"> </w:t>
      </w:r>
      <w:r>
        <w:t>to</w:t>
      </w:r>
      <w:r>
        <w:rPr>
          <w:spacing w:val="-2"/>
        </w:rPr>
        <w:t xml:space="preserve"> </w:t>
      </w:r>
      <w:r>
        <w:t>safeguard</w:t>
      </w:r>
      <w:r>
        <w:rPr>
          <w:spacing w:val="-5"/>
        </w:rPr>
        <w:t xml:space="preserve"> </w:t>
      </w:r>
      <w:r>
        <w:t>against</w:t>
      </w:r>
      <w:r>
        <w:rPr>
          <w:spacing w:val="-2"/>
        </w:rPr>
        <w:t xml:space="preserve"> </w:t>
      </w:r>
      <w:r>
        <w:t>undue</w:t>
      </w:r>
      <w:r>
        <w:rPr>
          <w:spacing w:val="-2"/>
        </w:rPr>
        <w:t xml:space="preserve"> </w:t>
      </w:r>
      <w:r>
        <w:t>and</w:t>
      </w:r>
      <w:r>
        <w:rPr>
          <w:spacing w:val="-2"/>
        </w:rPr>
        <w:t xml:space="preserve"> </w:t>
      </w:r>
      <w:r>
        <w:t>dominant</w:t>
      </w:r>
      <w:r>
        <w:rPr>
          <w:spacing w:val="-4"/>
        </w:rPr>
        <w:t xml:space="preserve"> </w:t>
      </w:r>
      <w:r>
        <w:t>influences,</w:t>
      </w:r>
      <w:r>
        <w:rPr>
          <w:spacing w:val="-2"/>
        </w:rPr>
        <w:t xml:space="preserve"> </w:t>
      </w:r>
      <w:r>
        <w:t>and</w:t>
      </w:r>
      <w:r>
        <w:rPr>
          <w:spacing w:val="-2"/>
        </w:rPr>
        <w:t xml:space="preserve"> </w:t>
      </w:r>
      <w:r>
        <w:t>to</w:t>
      </w:r>
      <w:r>
        <w:rPr>
          <w:spacing w:val="-2"/>
        </w:rPr>
        <w:t xml:space="preserve"> </w:t>
      </w:r>
      <w:r>
        <w:t>be alert for any activities that might be perceived as primarily protecting or serving the self-interest of one stakeholder at the expense of another.</w:t>
      </w:r>
    </w:p>
    <w:p w14:paraId="1E805AA7" w14:textId="77777777" w:rsidR="00AA4A02" w:rsidRDefault="00960F31">
      <w:pPr>
        <w:pStyle w:val="Heading7"/>
        <w:spacing w:before="169"/>
      </w:pPr>
      <w:bookmarkStart w:id="49" w:name="Types_of_Consultation"/>
      <w:bookmarkEnd w:id="49"/>
      <w:r>
        <w:t>Types</w:t>
      </w:r>
      <w:r>
        <w:rPr>
          <w:spacing w:val="-6"/>
        </w:rPr>
        <w:t xml:space="preserve"> </w:t>
      </w:r>
      <w:r>
        <w:t>of</w:t>
      </w:r>
      <w:r>
        <w:rPr>
          <w:spacing w:val="-2"/>
        </w:rPr>
        <w:t xml:space="preserve"> Consultation</w:t>
      </w:r>
    </w:p>
    <w:p w14:paraId="1E805AA8" w14:textId="77777777" w:rsidR="00AA4A02" w:rsidRDefault="00960F31">
      <w:pPr>
        <w:pStyle w:val="ListParagraph"/>
        <w:numPr>
          <w:ilvl w:val="0"/>
          <w:numId w:val="29"/>
        </w:numPr>
        <w:tabs>
          <w:tab w:val="left" w:pos="851"/>
        </w:tabs>
        <w:spacing w:before="168"/>
      </w:pPr>
      <w:r>
        <w:t>The</w:t>
      </w:r>
      <w:r>
        <w:rPr>
          <w:spacing w:val="-4"/>
        </w:rPr>
        <w:t xml:space="preserve"> </w:t>
      </w:r>
      <w:r>
        <w:t>AUASB</w:t>
      </w:r>
      <w:r>
        <w:rPr>
          <w:spacing w:val="-4"/>
        </w:rPr>
        <w:t xml:space="preserve"> </w:t>
      </w:r>
      <w:r>
        <w:t>undertakes</w:t>
      </w:r>
      <w:r>
        <w:rPr>
          <w:spacing w:val="-3"/>
        </w:rPr>
        <w:t xml:space="preserve"> </w:t>
      </w:r>
      <w:r>
        <w:t>the</w:t>
      </w:r>
      <w:r>
        <w:rPr>
          <w:spacing w:val="-3"/>
        </w:rPr>
        <w:t xml:space="preserve"> </w:t>
      </w:r>
      <w:r>
        <w:t>following</w:t>
      </w:r>
      <w:r>
        <w:rPr>
          <w:spacing w:val="-6"/>
        </w:rPr>
        <w:t xml:space="preserve"> </w:t>
      </w:r>
      <w:r>
        <w:t>types</w:t>
      </w:r>
      <w:r>
        <w:rPr>
          <w:spacing w:val="-5"/>
        </w:rPr>
        <w:t xml:space="preserve"> </w:t>
      </w:r>
      <w:r>
        <w:t>of public</w:t>
      </w:r>
      <w:r>
        <w:rPr>
          <w:spacing w:val="-5"/>
        </w:rPr>
        <w:t xml:space="preserve"> </w:t>
      </w:r>
      <w:r>
        <w:rPr>
          <w:spacing w:val="-2"/>
        </w:rPr>
        <w:t>consultation:</w:t>
      </w:r>
    </w:p>
    <w:p w14:paraId="1E805AA9" w14:textId="77777777" w:rsidR="00AA4A02" w:rsidRDefault="00960F31">
      <w:pPr>
        <w:pStyle w:val="ListParagraph"/>
        <w:numPr>
          <w:ilvl w:val="1"/>
          <w:numId w:val="29"/>
        </w:numPr>
        <w:tabs>
          <w:tab w:val="left" w:pos="1562"/>
        </w:tabs>
        <w:spacing w:before="191" w:line="208" w:lineRule="auto"/>
        <w:ind w:right="683"/>
      </w:pPr>
      <w:r>
        <w:t>undertaking</w:t>
      </w:r>
      <w:r>
        <w:rPr>
          <w:spacing w:val="-6"/>
        </w:rPr>
        <w:t xml:space="preserve"> </w:t>
      </w:r>
      <w:r>
        <w:t>a</w:t>
      </w:r>
      <w:r>
        <w:rPr>
          <w:spacing w:val="-3"/>
        </w:rPr>
        <w:t xml:space="preserve"> </w:t>
      </w:r>
      <w:r>
        <w:t>formal</w:t>
      </w:r>
      <w:r>
        <w:rPr>
          <w:spacing w:val="-5"/>
        </w:rPr>
        <w:t xml:space="preserve"> </w:t>
      </w:r>
      <w:r>
        <w:t>agenda</w:t>
      </w:r>
      <w:r>
        <w:rPr>
          <w:spacing w:val="-3"/>
        </w:rPr>
        <w:t xml:space="preserve"> </w:t>
      </w:r>
      <w:r>
        <w:t>consultation</w:t>
      </w:r>
      <w:r>
        <w:rPr>
          <w:spacing w:val="-6"/>
        </w:rPr>
        <w:t xml:space="preserve"> </w:t>
      </w:r>
      <w:r>
        <w:t>process</w:t>
      </w:r>
      <w:r>
        <w:rPr>
          <w:spacing w:val="-5"/>
        </w:rPr>
        <w:t xml:space="preserve"> </w:t>
      </w:r>
      <w:r>
        <w:t>with</w:t>
      </w:r>
      <w:r>
        <w:rPr>
          <w:spacing w:val="-6"/>
        </w:rPr>
        <w:t xml:space="preserve"> </w:t>
      </w:r>
      <w:r>
        <w:t>stakeholders</w:t>
      </w:r>
      <w:r>
        <w:rPr>
          <w:spacing w:val="-3"/>
        </w:rPr>
        <w:t xml:space="preserve"> </w:t>
      </w:r>
      <w:r>
        <w:t>at</w:t>
      </w:r>
      <w:r>
        <w:rPr>
          <w:spacing w:val="-2"/>
        </w:rPr>
        <w:t xml:space="preserve"> </w:t>
      </w:r>
      <w:r>
        <w:t>least</w:t>
      </w:r>
      <w:r>
        <w:rPr>
          <w:spacing w:val="-2"/>
        </w:rPr>
        <w:t xml:space="preserve"> </w:t>
      </w:r>
      <w:r>
        <w:t>once every five years to identify issues that need resolution;</w:t>
      </w:r>
    </w:p>
    <w:p w14:paraId="1E805AAA" w14:textId="77777777" w:rsidR="00AA4A02" w:rsidRDefault="00960F31">
      <w:pPr>
        <w:pStyle w:val="ListParagraph"/>
        <w:numPr>
          <w:ilvl w:val="1"/>
          <w:numId w:val="29"/>
        </w:numPr>
        <w:tabs>
          <w:tab w:val="left" w:pos="1562"/>
        </w:tabs>
        <w:spacing w:before="174"/>
      </w:pPr>
      <w:r>
        <w:t>exposing</w:t>
      </w:r>
      <w:r>
        <w:rPr>
          <w:spacing w:val="-6"/>
        </w:rPr>
        <w:t xml:space="preserve"> </w:t>
      </w:r>
      <w:r>
        <w:t>for</w:t>
      </w:r>
      <w:r>
        <w:rPr>
          <w:spacing w:val="-2"/>
        </w:rPr>
        <w:t xml:space="preserve"> </w:t>
      </w:r>
      <w:r>
        <w:t>public</w:t>
      </w:r>
      <w:r>
        <w:rPr>
          <w:spacing w:val="-5"/>
        </w:rPr>
        <w:t xml:space="preserve"> </w:t>
      </w:r>
      <w:r>
        <w:t>comment</w:t>
      </w:r>
      <w:r>
        <w:rPr>
          <w:spacing w:val="-1"/>
        </w:rPr>
        <w:t xml:space="preserve"> </w:t>
      </w:r>
      <w:r>
        <w:t>a</w:t>
      </w:r>
      <w:r>
        <w:rPr>
          <w:spacing w:val="-3"/>
        </w:rPr>
        <w:t xml:space="preserve"> </w:t>
      </w:r>
      <w:r>
        <w:t>draft</w:t>
      </w:r>
      <w:r>
        <w:rPr>
          <w:spacing w:val="-1"/>
        </w:rPr>
        <w:t xml:space="preserve"> </w:t>
      </w:r>
      <w:r>
        <w:t>of</w:t>
      </w:r>
      <w:r>
        <w:rPr>
          <w:spacing w:val="-3"/>
        </w:rPr>
        <w:t xml:space="preserve"> </w:t>
      </w:r>
      <w:r>
        <w:t>any</w:t>
      </w:r>
      <w:r>
        <w:rPr>
          <w:spacing w:val="-2"/>
        </w:rPr>
        <w:t xml:space="preserve"> proposals;</w:t>
      </w:r>
    </w:p>
    <w:p w14:paraId="1E805AAB" w14:textId="77777777" w:rsidR="00AA4A02" w:rsidRDefault="00960F31">
      <w:pPr>
        <w:pStyle w:val="ListParagraph"/>
        <w:numPr>
          <w:ilvl w:val="1"/>
          <w:numId w:val="29"/>
        </w:numPr>
        <w:tabs>
          <w:tab w:val="left" w:pos="1562"/>
        </w:tabs>
        <w:spacing w:before="168"/>
      </w:pPr>
      <w:r>
        <w:t>making</w:t>
      </w:r>
      <w:r>
        <w:rPr>
          <w:spacing w:val="-4"/>
        </w:rPr>
        <w:t xml:space="preserve"> </w:t>
      </w:r>
      <w:r>
        <w:t>wider</w:t>
      </w:r>
      <w:r>
        <w:rPr>
          <w:spacing w:val="-5"/>
        </w:rPr>
        <w:t xml:space="preserve"> </w:t>
      </w:r>
      <w:r>
        <w:t>appeals</w:t>
      </w:r>
      <w:r>
        <w:rPr>
          <w:spacing w:val="-3"/>
        </w:rPr>
        <w:t xml:space="preserve"> </w:t>
      </w:r>
      <w:r>
        <w:t>to</w:t>
      </w:r>
      <w:r>
        <w:rPr>
          <w:spacing w:val="-6"/>
        </w:rPr>
        <w:t xml:space="preserve"> </w:t>
      </w:r>
      <w:r>
        <w:t>stakeholders</w:t>
      </w:r>
      <w:r>
        <w:rPr>
          <w:spacing w:val="-4"/>
        </w:rPr>
        <w:t xml:space="preserve"> </w:t>
      </w:r>
      <w:r>
        <w:t>generally,</w:t>
      </w:r>
      <w:r>
        <w:rPr>
          <w:spacing w:val="-3"/>
        </w:rPr>
        <w:t xml:space="preserve"> </w:t>
      </w:r>
      <w:r>
        <w:t>including</w:t>
      </w:r>
      <w:r>
        <w:rPr>
          <w:spacing w:val="-3"/>
        </w:rPr>
        <w:t xml:space="preserve"> </w:t>
      </w:r>
      <w:r>
        <w:t>the</w:t>
      </w:r>
      <w:r>
        <w:rPr>
          <w:spacing w:val="-6"/>
        </w:rPr>
        <w:t xml:space="preserve"> </w:t>
      </w:r>
      <w:r>
        <w:t>use</w:t>
      </w:r>
      <w:r>
        <w:rPr>
          <w:spacing w:val="-5"/>
        </w:rPr>
        <w:t xml:space="preserve"> </w:t>
      </w:r>
      <w:r>
        <w:t>of</w:t>
      </w:r>
      <w:r>
        <w:rPr>
          <w:spacing w:val="-3"/>
        </w:rPr>
        <w:t xml:space="preserve"> </w:t>
      </w:r>
      <w:r>
        <w:t>surveys;</w:t>
      </w:r>
      <w:r>
        <w:rPr>
          <w:spacing w:val="-2"/>
        </w:rPr>
        <w:t xml:space="preserve"> </w:t>
      </w:r>
      <w:r>
        <w:rPr>
          <w:spacing w:val="-5"/>
        </w:rPr>
        <w:t>and</w:t>
      </w:r>
    </w:p>
    <w:p w14:paraId="1E805AAC" w14:textId="77777777" w:rsidR="00AA4A02" w:rsidRDefault="00960F31">
      <w:pPr>
        <w:pStyle w:val="ListParagraph"/>
        <w:numPr>
          <w:ilvl w:val="1"/>
          <w:numId w:val="29"/>
        </w:numPr>
        <w:tabs>
          <w:tab w:val="left" w:pos="1562"/>
        </w:tabs>
        <w:spacing w:before="193" w:line="208" w:lineRule="auto"/>
        <w:ind w:right="355"/>
      </w:pPr>
      <w:r>
        <w:t>meeting</w:t>
      </w:r>
      <w:r>
        <w:rPr>
          <w:spacing w:val="-3"/>
        </w:rPr>
        <w:t xml:space="preserve"> </w:t>
      </w:r>
      <w:r>
        <w:t>with</w:t>
      </w:r>
      <w:r>
        <w:rPr>
          <w:spacing w:val="-3"/>
        </w:rPr>
        <w:t xml:space="preserve"> </w:t>
      </w:r>
      <w:r>
        <w:t>interested</w:t>
      </w:r>
      <w:r>
        <w:rPr>
          <w:spacing w:val="-3"/>
        </w:rPr>
        <w:t xml:space="preserve"> </w:t>
      </w:r>
      <w:r>
        <w:t>individuals</w:t>
      </w:r>
      <w:r>
        <w:rPr>
          <w:spacing w:val="-3"/>
        </w:rPr>
        <w:t xml:space="preserve"> </w:t>
      </w:r>
      <w:r>
        <w:t>and</w:t>
      </w:r>
      <w:r>
        <w:rPr>
          <w:spacing w:val="-6"/>
        </w:rPr>
        <w:t xml:space="preserve"> </w:t>
      </w:r>
      <w:r>
        <w:t>representatives</w:t>
      </w:r>
      <w:r>
        <w:rPr>
          <w:spacing w:val="-5"/>
        </w:rPr>
        <w:t xml:space="preserve"> </w:t>
      </w:r>
      <w:r>
        <w:t>of</w:t>
      </w:r>
      <w:r>
        <w:rPr>
          <w:spacing w:val="-3"/>
        </w:rPr>
        <w:t xml:space="preserve"> </w:t>
      </w:r>
      <w:r>
        <w:t>organisations</w:t>
      </w:r>
      <w:r>
        <w:rPr>
          <w:spacing w:val="-3"/>
        </w:rPr>
        <w:t xml:space="preserve"> </w:t>
      </w:r>
      <w:r>
        <w:t>on</w:t>
      </w:r>
      <w:r>
        <w:rPr>
          <w:spacing w:val="-5"/>
        </w:rPr>
        <w:t xml:space="preserve"> </w:t>
      </w:r>
      <w:r>
        <w:t>technical and public interest issues.</w:t>
      </w:r>
    </w:p>
    <w:p w14:paraId="1E805AAD" w14:textId="77777777" w:rsidR="00AA4A02" w:rsidRDefault="00960F31">
      <w:pPr>
        <w:pStyle w:val="ListParagraph"/>
        <w:numPr>
          <w:ilvl w:val="0"/>
          <w:numId w:val="29"/>
        </w:numPr>
        <w:tabs>
          <w:tab w:val="left" w:pos="851"/>
        </w:tabs>
        <w:spacing w:before="174"/>
      </w:pPr>
      <w:r>
        <w:t>In</w:t>
      </w:r>
      <w:r>
        <w:rPr>
          <w:spacing w:val="-5"/>
        </w:rPr>
        <w:t xml:space="preserve"> </w:t>
      </w:r>
      <w:r>
        <w:t>addition,</w:t>
      </w:r>
      <w:r>
        <w:rPr>
          <w:spacing w:val="-5"/>
        </w:rPr>
        <w:t xml:space="preserve"> </w:t>
      </w:r>
      <w:r>
        <w:t>the</w:t>
      </w:r>
      <w:r>
        <w:rPr>
          <w:spacing w:val="-4"/>
        </w:rPr>
        <w:t xml:space="preserve"> </w:t>
      </w:r>
      <w:r>
        <w:t>AUASB</w:t>
      </w:r>
      <w:r>
        <w:rPr>
          <w:spacing w:val="-3"/>
        </w:rPr>
        <w:t xml:space="preserve"> </w:t>
      </w:r>
      <w:r>
        <w:t>may</w:t>
      </w:r>
      <w:r>
        <w:rPr>
          <w:spacing w:val="-2"/>
        </w:rPr>
        <w:t xml:space="preserve"> </w:t>
      </w:r>
      <w:r>
        <w:t>undertake</w:t>
      </w:r>
      <w:r>
        <w:rPr>
          <w:spacing w:val="-4"/>
        </w:rPr>
        <w:t xml:space="preserve"> </w:t>
      </w:r>
      <w:r>
        <w:t>the</w:t>
      </w:r>
      <w:r>
        <w:rPr>
          <w:spacing w:val="-4"/>
        </w:rPr>
        <w:t xml:space="preserve"> </w:t>
      </w:r>
      <w:r>
        <w:t>following</w:t>
      </w:r>
      <w:r>
        <w:rPr>
          <w:spacing w:val="-6"/>
        </w:rPr>
        <w:t xml:space="preserve"> </w:t>
      </w:r>
      <w:r>
        <w:t>types</w:t>
      </w:r>
      <w:r>
        <w:rPr>
          <w:spacing w:val="-4"/>
        </w:rPr>
        <w:t xml:space="preserve"> </w:t>
      </w:r>
      <w:r>
        <w:t>of</w:t>
      </w:r>
      <w:r>
        <w:rPr>
          <w:spacing w:val="-4"/>
        </w:rPr>
        <w:t xml:space="preserve"> </w:t>
      </w:r>
      <w:r>
        <w:t>targeted</w:t>
      </w:r>
      <w:r>
        <w:rPr>
          <w:spacing w:val="-2"/>
        </w:rPr>
        <w:t xml:space="preserve"> consultation:</w:t>
      </w:r>
    </w:p>
    <w:p w14:paraId="1E805AAE" w14:textId="77777777" w:rsidR="00AA4A02" w:rsidRDefault="00960F31">
      <w:pPr>
        <w:pStyle w:val="ListParagraph"/>
        <w:numPr>
          <w:ilvl w:val="1"/>
          <w:numId w:val="29"/>
        </w:numPr>
        <w:tabs>
          <w:tab w:val="left" w:pos="1562"/>
        </w:tabs>
        <w:spacing w:before="194" w:line="208" w:lineRule="auto"/>
        <w:ind w:right="591"/>
      </w:pPr>
      <w:r>
        <w:t>establishing Project Advisory Groups (see paragraphs 60-63) or other types of specialist</w:t>
      </w:r>
      <w:r>
        <w:rPr>
          <w:spacing w:val="-2"/>
        </w:rPr>
        <w:t xml:space="preserve"> </w:t>
      </w:r>
      <w:r>
        <w:t>Project</w:t>
      </w:r>
      <w:r>
        <w:rPr>
          <w:spacing w:val="-2"/>
        </w:rPr>
        <w:t xml:space="preserve"> </w:t>
      </w:r>
      <w:r>
        <w:t>Advisory</w:t>
      </w:r>
      <w:r>
        <w:rPr>
          <w:spacing w:val="-6"/>
        </w:rPr>
        <w:t xml:space="preserve"> </w:t>
      </w:r>
      <w:r>
        <w:t>Panels</w:t>
      </w:r>
      <w:r>
        <w:rPr>
          <w:spacing w:val="-3"/>
        </w:rPr>
        <w:t xml:space="preserve"> </w:t>
      </w:r>
      <w:r>
        <w:t>comprising</w:t>
      </w:r>
      <w:r>
        <w:rPr>
          <w:spacing w:val="-6"/>
        </w:rPr>
        <w:t xml:space="preserve"> </w:t>
      </w:r>
      <w:r>
        <w:t>subject</w:t>
      </w:r>
      <w:r>
        <w:rPr>
          <w:spacing w:val="-2"/>
        </w:rPr>
        <w:t xml:space="preserve"> </w:t>
      </w:r>
      <w:r>
        <w:t>matter</w:t>
      </w:r>
      <w:r>
        <w:rPr>
          <w:spacing w:val="-2"/>
        </w:rPr>
        <w:t xml:space="preserve"> </w:t>
      </w:r>
      <w:r>
        <w:t>experts</w:t>
      </w:r>
      <w:r>
        <w:rPr>
          <w:spacing w:val="-4"/>
        </w:rPr>
        <w:t xml:space="preserve"> </w:t>
      </w:r>
      <w:r>
        <w:t>to</w:t>
      </w:r>
      <w:r>
        <w:rPr>
          <w:spacing w:val="-3"/>
        </w:rPr>
        <w:t xml:space="preserve"> </w:t>
      </w:r>
      <w:r>
        <w:t>advise</w:t>
      </w:r>
      <w:r>
        <w:rPr>
          <w:spacing w:val="-3"/>
        </w:rPr>
        <w:t xml:space="preserve"> </w:t>
      </w:r>
      <w:r>
        <w:t>the Board on topics requiring specialist input (see paragraphs 64-67);</w:t>
      </w:r>
    </w:p>
    <w:p w14:paraId="1E805AAF" w14:textId="77777777" w:rsidR="00AA4A02" w:rsidRDefault="00960F31">
      <w:pPr>
        <w:pStyle w:val="ListParagraph"/>
        <w:numPr>
          <w:ilvl w:val="1"/>
          <w:numId w:val="29"/>
        </w:numPr>
        <w:tabs>
          <w:tab w:val="left" w:pos="1560"/>
          <w:tab w:val="left" w:pos="1562"/>
        </w:tabs>
        <w:spacing w:before="199" w:line="208" w:lineRule="auto"/>
        <w:ind w:right="198"/>
        <w:jc w:val="both"/>
      </w:pPr>
      <w:r>
        <w:t>roundtable discussion groups and</w:t>
      </w:r>
      <w:r>
        <w:rPr>
          <w:spacing w:val="-1"/>
        </w:rPr>
        <w:t xml:space="preserve"> </w:t>
      </w:r>
      <w:r>
        <w:t>information</w:t>
      </w:r>
      <w:r>
        <w:rPr>
          <w:spacing w:val="-1"/>
        </w:rPr>
        <w:t xml:space="preserve"> </w:t>
      </w:r>
      <w:r>
        <w:t>sessions, including educative webinars, to</w:t>
      </w:r>
      <w:r>
        <w:rPr>
          <w:spacing w:val="-3"/>
        </w:rPr>
        <w:t xml:space="preserve"> </w:t>
      </w:r>
      <w:r>
        <w:t>seek</w:t>
      </w:r>
      <w:r>
        <w:rPr>
          <w:spacing w:val="-3"/>
        </w:rPr>
        <w:t xml:space="preserve"> </w:t>
      </w:r>
      <w:r>
        <w:t>specific</w:t>
      </w:r>
      <w:r>
        <w:rPr>
          <w:spacing w:val="-3"/>
        </w:rPr>
        <w:t xml:space="preserve"> </w:t>
      </w:r>
      <w:r>
        <w:t>engagement</w:t>
      </w:r>
      <w:r>
        <w:rPr>
          <w:spacing w:val="-2"/>
        </w:rPr>
        <w:t xml:space="preserve"> </w:t>
      </w:r>
      <w:r>
        <w:t>with,</w:t>
      </w:r>
      <w:r>
        <w:rPr>
          <w:spacing w:val="-3"/>
        </w:rPr>
        <w:t xml:space="preserve"> </w:t>
      </w:r>
      <w:r>
        <w:t>and</w:t>
      </w:r>
      <w:r>
        <w:rPr>
          <w:spacing w:val="-5"/>
        </w:rPr>
        <w:t xml:space="preserve"> </w:t>
      </w:r>
      <w:r>
        <w:t>comment</w:t>
      </w:r>
      <w:r>
        <w:rPr>
          <w:spacing w:val="-5"/>
        </w:rPr>
        <w:t xml:space="preserve"> </w:t>
      </w:r>
      <w:r>
        <w:t>from,</w:t>
      </w:r>
      <w:r>
        <w:rPr>
          <w:spacing w:val="-6"/>
        </w:rPr>
        <w:t xml:space="preserve"> </w:t>
      </w:r>
      <w:r>
        <w:t>stakeholders</w:t>
      </w:r>
      <w:r>
        <w:rPr>
          <w:spacing w:val="-3"/>
        </w:rPr>
        <w:t xml:space="preserve"> </w:t>
      </w:r>
      <w:r>
        <w:t>on</w:t>
      </w:r>
      <w:r>
        <w:rPr>
          <w:spacing w:val="-5"/>
        </w:rPr>
        <w:t xml:space="preserve"> </w:t>
      </w:r>
      <w:r>
        <w:t>selected</w:t>
      </w:r>
      <w:r>
        <w:rPr>
          <w:spacing w:val="-5"/>
        </w:rPr>
        <w:t xml:space="preserve"> </w:t>
      </w:r>
      <w:r>
        <w:t xml:space="preserve">topics; </w:t>
      </w:r>
      <w:r>
        <w:rPr>
          <w:spacing w:val="-4"/>
        </w:rPr>
        <w:t>and</w:t>
      </w:r>
    </w:p>
    <w:p w14:paraId="1E805AB0" w14:textId="77777777" w:rsidR="00AA4A02" w:rsidRDefault="00960F31">
      <w:pPr>
        <w:pStyle w:val="ListParagraph"/>
        <w:numPr>
          <w:ilvl w:val="1"/>
          <w:numId w:val="29"/>
        </w:numPr>
        <w:tabs>
          <w:tab w:val="left" w:pos="1562"/>
        </w:tabs>
        <w:spacing w:before="199" w:line="208" w:lineRule="auto"/>
        <w:ind w:right="358"/>
      </w:pPr>
      <w:r>
        <w:t>direct</w:t>
      </w:r>
      <w:r>
        <w:rPr>
          <w:spacing w:val="-6"/>
        </w:rPr>
        <w:t xml:space="preserve"> </w:t>
      </w:r>
      <w:r>
        <w:t>consultation</w:t>
      </w:r>
      <w:r>
        <w:rPr>
          <w:spacing w:val="-4"/>
        </w:rPr>
        <w:t xml:space="preserve"> </w:t>
      </w:r>
      <w:r>
        <w:t>with</w:t>
      </w:r>
      <w:r>
        <w:rPr>
          <w:spacing w:val="-7"/>
        </w:rPr>
        <w:t xml:space="preserve"> </w:t>
      </w:r>
      <w:r>
        <w:t>stakeholders,</w:t>
      </w:r>
      <w:r>
        <w:rPr>
          <w:spacing w:val="-4"/>
        </w:rPr>
        <w:t xml:space="preserve"> </w:t>
      </w:r>
      <w:r>
        <w:t>either</w:t>
      </w:r>
      <w:r>
        <w:rPr>
          <w:spacing w:val="-6"/>
        </w:rPr>
        <w:t xml:space="preserve"> </w:t>
      </w:r>
      <w:r>
        <w:t>through</w:t>
      </w:r>
      <w:r>
        <w:rPr>
          <w:spacing w:val="-3"/>
        </w:rPr>
        <w:t xml:space="preserve"> </w:t>
      </w:r>
      <w:r>
        <w:t>regularly</w:t>
      </w:r>
      <w:r>
        <w:rPr>
          <w:spacing w:val="-7"/>
        </w:rPr>
        <w:t xml:space="preserve"> </w:t>
      </w:r>
      <w:r>
        <w:t>scheduled</w:t>
      </w:r>
      <w:r>
        <w:rPr>
          <w:spacing w:val="-4"/>
        </w:rPr>
        <w:t xml:space="preserve"> </w:t>
      </w:r>
      <w:r>
        <w:t>stakeholder meetings, site visits or presentations at AUASB meetings.</w:t>
      </w:r>
    </w:p>
    <w:p w14:paraId="1E805AB1" w14:textId="77777777" w:rsidR="00AA4A02" w:rsidRDefault="00960F31">
      <w:pPr>
        <w:pStyle w:val="ListParagraph"/>
        <w:numPr>
          <w:ilvl w:val="0"/>
          <w:numId w:val="29"/>
        </w:numPr>
        <w:tabs>
          <w:tab w:val="left" w:pos="851"/>
        </w:tabs>
        <w:spacing w:before="174"/>
      </w:pPr>
      <w:r>
        <w:t>The</w:t>
      </w:r>
      <w:r>
        <w:rPr>
          <w:spacing w:val="-4"/>
        </w:rPr>
        <w:t xml:space="preserve"> </w:t>
      </w:r>
      <w:r>
        <w:t>AUASB</w:t>
      </w:r>
      <w:r>
        <w:rPr>
          <w:spacing w:val="-4"/>
        </w:rPr>
        <w:t xml:space="preserve"> </w:t>
      </w:r>
      <w:r>
        <w:t>also</w:t>
      </w:r>
      <w:r>
        <w:rPr>
          <w:spacing w:val="-5"/>
        </w:rPr>
        <w:t xml:space="preserve"> </w:t>
      </w:r>
      <w:r>
        <w:t>encourages</w:t>
      </w:r>
      <w:r>
        <w:rPr>
          <w:spacing w:val="-3"/>
        </w:rPr>
        <w:t xml:space="preserve"> </w:t>
      </w:r>
      <w:r>
        <w:t>stakeholders</w:t>
      </w:r>
      <w:r>
        <w:rPr>
          <w:spacing w:val="-5"/>
        </w:rPr>
        <w:t xml:space="preserve"> </w:t>
      </w:r>
      <w:r>
        <w:t>to</w:t>
      </w:r>
      <w:r>
        <w:rPr>
          <w:spacing w:val="-7"/>
        </w:rPr>
        <w:t xml:space="preserve"> </w:t>
      </w:r>
      <w:r>
        <w:t>participate actively</w:t>
      </w:r>
      <w:r>
        <w:rPr>
          <w:spacing w:val="-6"/>
        </w:rPr>
        <w:t xml:space="preserve"> </w:t>
      </w:r>
      <w:r>
        <w:t>throughout</w:t>
      </w:r>
      <w:r>
        <w:rPr>
          <w:spacing w:val="-6"/>
        </w:rPr>
        <w:t xml:space="preserve"> </w:t>
      </w:r>
      <w:r>
        <w:t>the</w:t>
      </w:r>
      <w:r>
        <w:rPr>
          <w:spacing w:val="-3"/>
        </w:rPr>
        <w:t xml:space="preserve"> </w:t>
      </w:r>
      <w:r>
        <w:t>process</w:t>
      </w:r>
      <w:r>
        <w:rPr>
          <w:spacing w:val="-5"/>
        </w:rPr>
        <w:t xml:space="preserve"> by:</w:t>
      </w:r>
    </w:p>
    <w:p w14:paraId="1E805AB2" w14:textId="77777777" w:rsidR="00AA4A02" w:rsidRDefault="00960F31">
      <w:pPr>
        <w:pStyle w:val="ListParagraph"/>
        <w:numPr>
          <w:ilvl w:val="1"/>
          <w:numId w:val="29"/>
        </w:numPr>
        <w:tabs>
          <w:tab w:val="left" w:pos="1562"/>
        </w:tabs>
        <w:spacing w:before="194" w:line="208" w:lineRule="auto"/>
        <w:ind w:right="181"/>
      </w:pPr>
      <w:r>
        <w:t>issuing media and information releases relating to its activities, including an alert (‘AUASB</w:t>
      </w:r>
      <w:r>
        <w:rPr>
          <w:spacing w:val="-5"/>
        </w:rPr>
        <w:t xml:space="preserve"> </w:t>
      </w:r>
      <w:r>
        <w:t>Meeting</w:t>
      </w:r>
      <w:r>
        <w:rPr>
          <w:spacing w:val="-3"/>
        </w:rPr>
        <w:t xml:space="preserve"> </w:t>
      </w:r>
      <w:r>
        <w:t>Highlights’)</w:t>
      </w:r>
      <w:r>
        <w:rPr>
          <w:spacing w:val="-5"/>
        </w:rPr>
        <w:t xml:space="preserve"> </w:t>
      </w:r>
      <w:r>
        <w:t>the</w:t>
      </w:r>
      <w:r>
        <w:rPr>
          <w:spacing w:val="-3"/>
        </w:rPr>
        <w:t xml:space="preserve"> </w:t>
      </w:r>
      <w:r>
        <w:t>day</w:t>
      </w:r>
      <w:r>
        <w:rPr>
          <w:spacing w:val="-3"/>
        </w:rPr>
        <w:t xml:space="preserve"> </w:t>
      </w:r>
      <w:r>
        <w:t>after</w:t>
      </w:r>
      <w:r>
        <w:rPr>
          <w:spacing w:val="-5"/>
        </w:rPr>
        <w:t xml:space="preserve"> </w:t>
      </w:r>
      <w:r>
        <w:t>the</w:t>
      </w:r>
      <w:r>
        <w:rPr>
          <w:spacing w:val="-3"/>
        </w:rPr>
        <w:t xml:space="preserve"> </w:t>
      </w:r>
      <w:r>
        <w:t>completion</w:t>
      </w:r>
      <w:r>
        <w:rPr>
          <w:spacing w:val="-3"/>
        </w:rPr>
        <w:t xml:space="preserve"> </w:t>
      </w:r>
      <w:r>
        <w:t>of</w:t>
      </w:r>
      <w:r>
        <w:rPr>
          <w:spacing w:val="-3"/>
        </w:rPr>
        <w:t xml:space="preserve"> </w:t>
      </w:r>
      <w:r>
        <w:t>each</w:t>
      </w:r>
      <w:r>
        <w:rPr>
          <w:spacing w:val="-3"/>
        </w:rPr>
        <w:t xml:space="preserve"> </w:t>
      </w:r>
      <w:r>
        <w:t>Board</w:t>
      </w:r>
      <w:r>
        <w:rPr>
          <w:spacing w:val="-6"/>
        </w:rPr>
        <w:t xml:space="preserve"> </w:t>
      </w:r>
      <w:r>
        <w:t>meeting</w:t>
      </w:r>
      <w:r>
        <w:rPr>
          <w:spacing w:val="-3"/>
        </w:rPr>
        <w:t xml:space="preserve"> </w:t>
      </w:r>
      <w:r>
        <w:t xml:space="preserve">to keep stakeholders informed of significant matters discussed and agreed during the meeting, and a periodic newsletter reporting on the AUASB’s activities and recent </w:t>
      </w:r>
      <w:r>
        <w:rPr>
          <w:spacing w:val="-2"/>
        </w:rPr>
        <w:t>developments;</w:t>
      </w:r>
    </w:p>
    <w:p w14:paraId="1E805AB3" w14:textId="77777777" w:rsidR="00AA4A02" w:rsidRDefault="00960F31">
      <w:pPr>
        <w:pStyle w:val="ListParagraph"/>
        <w:numPr>
          <w:ilvl w:val="1"/>
          <w:numId w:val="29"/>
        </w:numPr>
        <w:tabs>
          <w:tab w:val="left" w:pos="1562"/>
        </w:tabs>
        <w:spacing w:before="200" w:line="208" w:lineRule="auto"/>
        <w:ind w:right="157"/>
      </w:pPr>
      <w:r>
        <w:t xml:space="preserve">maintaining a </w:t>
      </w:r>
      <w:hyperlink r:id="rId96">
        <w:r>
          <w:rPr>
            <w:color w:val="0000FF"/>
            <w:u w:val="single" w:color="0000FF"/>
          </w:rPr>
          <w:t>website</w:t>
        </w:r>
      </w:hyperlink>
      <w:r>
        <w:rPr>
          <w:color w:val="0000FF"/>
        </w:rPr>
        <w:t xml:space="preserve"> </w:t>
      </w:r>
      <w:r>
        <w:t>on which the AUASB publishes exposure drafts and other consultative</w:t>
      </w:r>
      <w:r>
        <w:rPr>
          <w:spacing w:val="-3"/>
        </w:rPr>
        <w:t xml:space="preserve"> </w:t>
      </w:r>
      <w:r>
        <w:t>documents,</w:t>
      </w:r>
      <w:r>
        <w:rPr>
          <w:spacing w:val="-3"/>
        </w:rPr>
        <w:t xml:space="preserve"> </w:t>
      </w:r>
      <w:r>
        <w:t>standards</w:t>
      </w:r>
      <w:r>
        <w:rPr>
          <w:spacing w:val="-3"/>
        </w:rPr>
        <w:t xml:space="preserve"> </w:t>
      </w:r>
      <w:r>
        <w:t>and</w:t>
      </w:r>
      <w:r>
        <w:rPr>
          <w:spacing w:val="-6"/>
        </w:rPr>
        <w:t xml:space="preserve"> </w:t>
      </w:r>
      <w:r>
        <w:t>guidance,</w:t>
      </w:r>
      <w:r>
        <w:rPr>
          <w:spacing w:val="-3"/>
        </w:rPr>
        <w:t xml:space="preserve"> </w:t>
      </w:r>
      <w:r>
        <w:t>approved</w:t>
      </w:r>
      <w:r>
        <w:rPr>
          <w:spacing w:val="-3"/>
        </w:rPr>
        <w:t xml:space="preserve"> </w:t>
      </w:r>
      <w:r>
        <w:t>minutes</w:t>
      </w:r>
      <w:r>
        <w:rPr>
          <w:spacing w:val="-5"/>
        </w:rPr>
        <w:t xml:space="preserve"> </w:t>
      </w:r>
      <w:r>
        <w:t>of</w:t>
      </w:r>
      <w:r>
        <w:rPr>
          <w:spacing w:val="-5"/>
        </w:rPr>
        <w:t xml:space="preserve"> </w:t>
      </w:r>
      <w:r>
        <w:t>its</w:t>
      </w:r>
      <w:r>
        <w:rPr>
          <w:spacing w:val="-3"/>
        </w:rPr>
        <w:t xml:space="preserve"> </w:t>
      </w:r>
      <w:r>
        <w:t>meetings</w:t>
      </w:r>
      <w:r>
        <w:rPr>
          <w:spacing w:val="-5"/>
        </w:rPr>
        <w:t xml:space="preserve"> </w:t>
      </w:r>
      <w:r>
        <w:t>and selected Board agenda papers; and</w:t>
      </w:r>
    </w:p>
    <w:p w14:paraId="1E805AB4" w14:textId="77777777" w:rsidR="00AA4A02" w:rsidRDefault="00960F31">
      <w:pPr>
        <w:pStyle w:val="ListParagraph"/>
        <w:numPr>
          <w:ilvl w:val="1"/>
          <w:numId w:val="29"/>
        </w:numPr>
        <w:tabs>
          <w:tab w:val="left" w:pos="1562"/>
        </w:tabs>
        <w:spacing w:before="199" w:line="208" w:lineRule="auto"/>
        <w:ind w:right="195"/>
      </w:pPr>
      <w:r>
        <w:t>publishing</w:t>
      </w:r>
      <w:r>
        <w:rPr>
          <w:spacing w:val="-2"/>
        </w:rPr>
        <w:t xml:space="preserve"> </w:t>
      </w:r>
      <w:r>
        <w:t>on</w:t>
      </w:r>
      <w:r>
        <w:rPr>
          <w:spacing w:val="-5"/>
        </w:rPr>
        <w:t xml:space="preserve"> </w:t>
      </w:r>
      <w:r>
        <w:t>its</w:t>
      </w:r>
      <w:r>
        <w:rPr>
          <w:spacing w:val="-2"/>
        </w:rPr>
        <w:t xml:space="preserve"> </w:t>
      </w:r>
      <w:hyperlink r:id="rId97">
        <w:r>
          <w:rPr>
            <w:color w:val="0000FF"/>
            <w:u w:val="single" w:color="0000FF"/>
          </w:rPr>
          <w:t>website</w:t>
        </w:r>
      </w:hyperlink>
      <w:r>
        <w:rPr>
          <w:color w:val="0000FF"/>
          <w:spacing w:val="-2"/>
        </w:rPr>
        <w:t xml:space="preserve"> </w:t>
      </w:r>
      <w:r>
        <w:t>its</w:t>
      </w:r>
      <w:r>
        <w:rPr>
          <w:spacing w:val="-2"/>
        </w:rPr>
        <w:t xml:space="preserve"> </w:t>
      </w:r>
      <w:r>
        <w:t>strategy,</w:t>
      </w:r>
      <w:r>
        <w:rPr>
          <w:spacing w:val="-4"/>
        </w:rPr>
        <w:t xml:space="preserve"> </w:t>
      </w:r>
      <w:r>
        <w:t>corporate</w:t>
      </w:r>
      <w:r>
        <w:rPr>
          <w:spacing w:val="-4"/>
        </w:rPr>
        <w:t xml:space="preserve"> </w:t>
      </w:r>
      <w:r>
        <w:t>plan,</w:t>
      </w:r>
      <w:r>
        <w:rPr>
          <w:spacing w:val="-5"/>
        </w:rPr>
        <w:t xml:space="preserve"> </w:t>
      </w:r>
      <w:r>
        <w:t>work</w:t>
      </w:r>
      <w:r>
        <w:rPr>
          <w:spacing w:val="-2"/>
        </w:rPr>
        <w:t xml:space="preserve"> </w:t>
      </w:r>
      <w:r>
        <w:t>program</w:t>
      </w:r>
      <w:r>
        <w:rPr>
          <w:spacing w:val="-2"/>
        </w:rPr>
        <w:t xml:space="preserve"> </w:t>
      </w:r>
      <w:r>
        <w:t>and</w:t>
      </w:r>
      <w:r>
        <w:rPr>
          <w:spacing w:val="-2"/>
        </w:rPr>
        <w:t xml:space="preserve"> </w:t>
      </w:r>
      <w:r>
        <w:t>priorities,</w:t>
      </w:r>
      <w:r>
        <w:rPr>
          <w:spacing w:val="-2"/>
        </w:rPr>
        <w:t xml:space="preserve"> </w:t>
      </w:r>
      <w:r>
        <w:t>and other key policy documents such as its International Strategy, Principles of Convergence and Harmonisation Policy, and EISS Strategy.</w:t>
      </w:r>
    </w:p>
    <w:p w14:paraId="1E805AB5" w14:textId="77777777" w:rsidR="00AA4A02" w:rsidRDefault="00960F31">
      <w:pPr>
        <w:pStyle w:val="ListParagraph"/>
        <w:numPr>
          <w:ilvl w:val="0"/>
          <w:numId w:val="29"/>
        </w:numPr>
        <w:tabs>
          <w:tab w:val="left" w:pos="851"/>
        </w:tabs>
        <w:spacing w:before="197" w:line="211" w:lineRule="auto"/>
        <w:ind w:right="1109"/>
      </w:pPr>
      <w:r>
        <w:t>Where</w:t>
      </w:r>
      <w:r>
        <w:rPr>
          <w:spacing w:val="-3"/>
        </w:rPr>
        <w:t xml:space="preserve"> </w:t>
      </w:r>
      <w:r>
        <w:t>appropriate,</w:t>
      </w:r>
      <w:r>
        <w:rPr>
          <w:spacing w:val="-4"/>
        </w:rPr>
        <w:t xml:space="preserve"> </w:t>
      </w:r>
      <w:r>
        <w:t>the</w:t>
      </w:r>
      <w:r>
        <w:rPr>
          <w:spacing w:val="-1"/>
        </w:rPr>
        <w:t xml:space="preserve"> </w:t>
      </w:r>
      <w:r>
        <w:t>AUASB</w:t>
      </w:r>
      <w:r>
        <w:rPr>
          <w:spacing w:val="-4"/>
        </w:rPr>
        <w:t xml:space="preserve"> </w:t>
      </w:r>
      <w:r>
        <w:t>arranges</w:t>
      </w:r>
      <w:r>
        <w:rPr>
          <w:spacing w:val="-4"/>
        </w:rPr>
        <w:t xml:space="preserve"> </w:t>
      </w:r>
      <w:r>
        <w:t>for</w:t>
      </w:r>
      <w:r>
        <w:rPr>
          <w:spacing w:val="-4"/>
        </w:rPr>
        <w:t xml:space="preserve"> </w:t>
      </w:r>
      <w:r>
        <w:t>IAASB</w:t>
      </w:r>
      <w:r>
        <w:rPr>
          <w:spacing w:val="-4"/>
        </w:rPr>
        <w:t xml:space="preserve"> </w:t>
      </w:r>
      <w:r>
        <w:t>Board</w:t>
      </w:r>
      <w:r>
        <w:rPr>
          <w:spacing w:val="-5"/>
        </w:rPr>
        <w:t xml:space="preserve"> </w:t>
      </w:r>
      <w:r>
        <w:t>members</w:t>
      </w:r>
      <w:r>
        <w:rPr>
          <w:spacing w:val="-3"/>
        </w:rPr>
        <w:t xml:space="preserve"> </w:t>
      </w:r>
      <w:r>
        <w:t>and/or</w:t>
      </w:r>
      <w:r>
        <w:rPr>
          <w:spacing w:val="-3"/>
        </w:rPr>
        <w:t xml:space="preserve"> </w:t>
      </w:r>
      <w:r>
        <w:t>staff</w:t>
      </w:r>
      <w:r>
        <w:rPr>
          <w:spacing w:val="-3"/>
        </w:rPr>
        <w:t xml:space="preserve"> </w:t>
      </w:r>
      <w:r>
        <w:t>to participate in Australian outreach events.</w:t>
      </w:r>
    </w:p>
    <w:p w14:paraId="1E805AB6" w14:textId="77777777" w:rsidR="00AA4A02" w:rsidRDefault="00960F31">
      <w:pPr>
        <w:spacing w:before="172"/>
        <w:ind w:left="143"/>
        <w:rPr>
          <w:i/>
        </w:rPr>
      </w:pPr>
      <w:bookmarkStart w:id="50" w:name="Project_Advisory_Groups_(PAGs)"/>
      <w:bookmarkEnd w:id="50"/>
      <w:r>
        <w:rPr>
          <w:i/>
        </w:rPr>
        <w:t>Project</w:t>
      </w:r>
      <w:r>
        <w:rPr>
          <w:i/>
          <w:spacing w:val="-3"/>
        </w:rPr>
        <w:t xml:space="preserve"> </w:t>
      </w:r>
      <w:r>
        <w:rPr>
          <w:i/>
        </w:rPr>
        <w:t>Advisory</w:t>
      </w:r>
      <w:r>
        <w:rPr>
          <w:i/>
          <w:spacing w:val="-4"/>
        </w:rPr>
        <w:t xml:space="preserve"> </w:t>
      </w:r>
      <w:r>
        <w:rPr>
          <w:i/>
        </w:rPr>
        <w:t>Groups</w:t>
      </w:r>
      <w:r>
        <w:rPr>
          <w:i/>
          <w:spacing w:val="-5"/>
        </w:rPr>
        <w:t xml:space="preserve"> </w:t>
      </w:r>
      <w:r>
        <w:rPr>
          <w:i/>
          <w:spacing w:val="-2"/>
        </w:rPr>
        <w:t>(PAGs)</w:t>
      </w:r>
    </w:p>
    <w:p w14:paraId="1E805AB7" w14:textId="77777777" w:rsidR="00AA4A02" w:rsidRDefault="00960F31">
      <w:pPr>
        <w:pStyle w:val="ListParagraph"/>
        <w:numPr>
          <w:ilvl w:val="0"/>
          <w:numId w:val="29"/>
        </w:numPr>
        <w:tabs>
          <w:tab w:val="left" w:pos="851"/>
        </w:tabs>
        <w:spacing w:before="167" w:line="237" w:lineRule="exact"/>
      </w:pPr>
      <w:r>
        <w:t>A</w:t>
      </w:r>
      <w:r>
        <w:rPr>
          <w:spacing w:val="-6"/>
        </w:rPr>
        <w:t xml:space="preserve"> </w:t>
      </w:r>
      <w:r>
        <w:t>PAG</w:t>
      </w:r>
      <w:r>
        <w:rPr>
          <w:spacing w:val="-4"/>
        </w:rPr>
        <w:t xml:space="preserve"> </w:t>
      </w:r>
      <w:r>
        <w:t>is</w:t>
      </w:r>
      <w:r>
        <w:rPr>
          <w:spacing w:val="-3"/>
        </w:rPr>
        <w:t xml:space="preserve"> </w:t>
      </w:r>
      <w:r>
        <w:t>a</w:t>
      </w:r>
      <w:r>
        <w:rPr>
          <w:spacing w:val="-3"/>
        </w:rPr>
        <w:t xml:space="preserve"> </w:t>
      </w:r>
      <w:r>
        <w:t>temporary</w:t>
      </w:r>
      <w:r>
        <w:rPr>
          <w:spacing w:val="-3"/>
        </w:rPr>
        <w:t xml:space="preserve"> </w:t>
      </w:r>
      <w:r>
        <w:t>working</w:t>
      </w:r>
      <w:r>
        <w:rPr>
          <w:spacing w:val="-3"/>
        </w:rPr>
        <w:t xml:space="preserve"> </w:t>
      </w:r>
      <w:r>
        <w:t>group</w:t>
      </w:r>
      <w:r>
        <w:rPr>
          <w:spacing w:val="-6"/>
        </w:rPr>
        <w:t xml:space="preserve"> </w:t>
      </w:r>
      <w:r>
        <w:t>appointed</w:t>
      </w:r>
      <w:r>
        <w:rPr>
          <w:spacing w:val="-3"/>
        </w:rPr>
        <w:t xml:space="preserve"> </w:t>
      </w:r>
      <w:r>
        <w:t>for</w:t>
      </w:r>
      <w:r>
        <w:rPr>
          <w:spacing w:val="-5"/>
        </w:rPr>
        <w:t xml:space="preserve"> </w:t>
      </w:r>
      <w:r>
        <w:t>topics</w:t>
      </w:r>
      <w:r>
        <w:rPr>
          <w:spacing w:val="-5"/>
        </w:rPr>
        <w:t xml:space="preserve"> </w:t>
      </w:r>
      <w:r>
        <w:t>requiring</w:t>
      </w:r>
      <w:r>
        <w:rPr>
          <w:spacing w:val="-6"/>
        </w:rPr>
        <w:t xml:space="preserve"> </w:t>
      </w:r>
      <w:r>
        <w:t>specialist</w:t>
      </w:r>
      <w:r>
        <w:rPr>
          <w:spacing w:val="-3"/>
        </w:rPr>
        <w:t xml:space="preserve"> </w:t>
      </w:r>
      <w:r>
        <w:rPr>
          <w:spacing w:val="-2"/>
        </w:rPr>
        <w:t>practitioner</w:t>
      </w:r>
    </w:p>
    <w:p w14:paraId="1E805AB8" w14:textId="77777777" w:rsidR="00AA4A02" w:rsidRDefault="00960F31">
      <w:pPr>
        <w:pStyle w:val="BodyText"/>
        <w:spacing w:before="10" w:line="208" w:lineRule="auto"/>
        <w:ind w:left="851"/>
      </w:pPr>
      <w:r>
        <w:t>and/or</w:t>
      </w:r>
      <w:r>
        <w:rPr>
          <w:spacing w:val="-2"/>
        </w:rPr>
        <w:t xml:space="preserve"> </w:t>
      </w:r>
      <w:r>
        <w:t>industry</w:t>
      </w:r>
      <w:r>
        <w:rPr>
          <w:spacing w:val="-5"/>
        </w:rPr>
        <w:t xml:space="preserve"> </w:t>
      </w:r>
      <w:r>
        <w:t>input.</w:t>
      </w:r>
      <w:r>
        <w:rPr>
          <w:spacing w:val="-2"/>
        </w:rPr>
        <w:t xml:space="preserve"> </w:t>
      </w:r>
      <w:r>
        <w:t>A</w:t>
      </w:r>
      <w:r>
        <w:rPr>
          <w:spacing w:val="-3"/>
        </w:rPr>
        <w:t xml:space="preserve"> </w:t>
      </w:r>
      <w:r>
        <w:t>PAG’s</w:t>
      </w:r>
      <w:r>
        <w:rPr>
          <w:spacing w:val="-2"/>
        </w:rPr>
        <w:t xml:space="preserve"> </w:t>
      </w:r>
      <w:r>
        <w:t>primary</w:t>
      </w:r>
      <w:r>
        <w:rPr>
          <w:spacing w:val="-5"/>
        </w:rPr>
        <w:t xml:space="preserve"> </w:t>
      </w:r>
      <w:r>
        <w:t>objective</w:t>
      </w:r>
      <w:r>
        <w:rPr>
          <w:spacing w:val="-2"/>
        </w:rPr>
        <w:t xml:space="preserve"> </w:t>
      </w:r>
      <w:r>
        <w:t>is</w:t>
      </w:r>
      <w:r>
        <w:rPr>
          <w:spacing w:val="-2"/>
        </w:rPr>
        <w:t xml:space="preserve"> </w:t>
      </w:r>
      <w:r>
        <w:t>to</w:t>
      </w:r>
      <w:r>
        <w:rPr>
          <w:spacing w:val="-5"/>
        </w:rPr>
        <w:t xml:space="preserve"> </w:t>
      </w:r>
      <w:r>
        <w:t>provide</w:t>
      </w:r>
      <w:r>
        <w:rPr>
          <w:spacing w:val="-1"/>
        </w:rPr>
        <w:t xml:space="preserve"> </w:t>
      </w:r>
      <w:r>
        <w:t>the</w:t>
      </w:r>
      <w:r>
        <w:rPr>
          <w:spacing w:val="-2"/>
        </w:rPr>
        <w:t xml:space="preserve"> </w:t>
      </w:r>
      <w:r>
        <w:t>AUASB</w:t>
      </w:r>
      <w:r>
        <w:rPr>
          <w:spacing w:val="-4"/>
        </w:rPr>
        <w:t xml:space="preserve"> </w:t>
      </w:r>
      <w:r>
        <w:t>with</w:t>
      </w:r>
      <w:r>
        <w:rPr>
          <w:spacing w:val="-3"/>
        </w:rPr>
        <w:t xml:space="preserve"> </w:t>
      </w:r>
      <w:r>
        <w:t>expertise</w:t>
      </w:r>
      <w:r>
        <w:rPr>
          <w:spacing w:val="-2"/>
        </w:rPr>
        <w:t xml:space="preserve"> </w:t>
      </w:r>
      <w:r>
        <w:t>and advice on a specialised topic, and assist technical staff on the development of AUASB pronouncements and guidance.</w:t>
      </w:r>
      <w:r>
        <w:rPr>
          <w:spacing w:val="40"/>
        </w:rPr>
        <w:t xml:space="preserve"> </w:t>
      </w:r>
      <w:r>
        <w:t>A PAG is disbanded once its objectives have been achieved.</w:t>
      </w:r>
    </w:p>
    <w:p w14:paraId="1E805AB9" w14:textId="77777777" w:rsidR="00AA4A02" w:rsidRDefault="00AA4A02">
      <w:pPr>
        <w:pStyle w:val="BodyText"/>
        <w:spacing w:line="208" w:lineRule="auto"/>
        <w:sectPr w:rsidR="00AA4A02">
          <w:pgSz w:w="11910" w:h="16840"/>
          <w:pgMar w:top="1380" w:right="1275" w:bottom="1040" w:left="1275" w:header="689" w:footer="842" w:gutter="0"/>
          <w:cols w:space="720"/>
        </w:sectPr>
      </w:pPr>
    </w:p>
    <w:p w14:paraId="1E805ABA" w14:textId="77777777" w:rsidR="00AA4A02" w:rsidRDefault="00960F31">
      <w:pPr>
        <w:pStyle w:val="ListParagraph"/>
        <w:numPr>
          <w:ilvl w:val="0"/>
          <w:numId w:val="29"/>
        </w:numPr>
        <w:tabs>
          <w:tab w:val="left" w:pos="851"/>
        </w:tabs>
        <w:spacing w:before="219" w:line="208" w:lineRule="auto"/>
        <w:ind w:right="216"/>
      </w:pPr>
      <w:r>
        <w:lastRenderedPageBreak/>
        <w:t>Although</w:t>
      </w:r>
      <w:r>
        <w:rPr>
          <w:spacing w:val="-2"/>
        </w:rPr>
        <w:t xml:space="preserve"> </w:t>
      </w:r>
      <w:r>
        <w:t>a</w:t>
      </w:r>
      <w:r>
        <w:rPr>
          <w:spacing w:val="-2"/>
        </w:rPr>
        <w:t xml:space="preserve"> </w:t>
      </w:r>
      <w:r>
        <w:t>PAG</w:t>
      </w:r>
      <w:r>
        <w:rPr>
          <w:spacing w:val="-6"/>
        </w:rPr>
        <w:t xml:space="preserve"> </w:t>
      </w:r>
      <w:r>
        <w:t>may</w:t>
      </w:r>
      <w:r>
        <w:rPr>
          <w:spacing w:val="-2"/>
        </w:rPr>
        <w:t xml:space="preserve"> </w:t>
      </w:r>
      <w:r>
        <w:t>be</w:t>
      </w:r>
      <w:r>
        <w:rPr>
          <w:spacing w:val="-1"/>
        </w:rPr>
        <w:t xml:space="preserve"> </w:t>
      </w:r>
      <w:r>
        <w:t>used</w:t>
      </w:r>
      <w:r>
        <w:rPr>
          <w:spacing w:val="-2"/>
        </w:rPr>
        <w:t xml:space="preserve"> </w:t>
      </w:r>
      <w:r>
        <w:t>in</w:t>
      </w:r>
      <w:r>
        <w:rPr>
          <w:spacing w:val="-5"/>
        </w:rPr>
        <w:t xml:space="preserve"> </w:t>
      </w:r>
      <w:r>
        <w:t>the</w:t>
      </w:r>
      <w:r>
        <w:rPr>
          <w:spacing w:val="-4"/>
        </w:rPr>
        <w:t xml:space="preserve"> </w:t>
      </w:r>
      <w:r>
        <w:t>development</w:t>
      </w:r>
      <w:r>
        <w:rPr>
          <w:spacing w:val="-1"/>
        </w:rPr>
        <w:t xml:space="preserve"> </w:t>
      </w:r>
      <w:r>
        <w:t>of</w:t>
      </w:r>
      <w:r>
        <w:rPr>
          <w:spacing w:val="-2"/>
        </w:rPr>
        <w:t xml:space="preserve"> </w:t>
      </w:r>
      <w:r>
        <w:t>a</w:t>
      </w:r>
      <w:r>
        <w:rPr>
          <w:spacing w:val="-4"/>
        </w:rPr>
        <w:t xml:space="preserve"> </w:t>
      </w:r>
      <w:r>
        <w:t>pronouncement,</w:t>
      </w:r>
      <w:r>
        <w:rPr>
          <w:spacing w:val="-2"/>
        </w:rPr>
        <w:t xml:space="preserve"> </w:t>
      </w:r>
      <w:r>
        <w:t>the</w:t>
      </w:r>
      <w:r>
        <w:rPr>
          <w:spacing w:val="-2"/>
        </w:rPr>
        <w:t xml:space="preserve"> </w:t>
      </w:r>
      <w:r>
        <w:t>AUASB</w:t>
      </w:r>
      <w:r>
        <w:rPr>
          <w:spacing w:val="-4"/>
        </w:rPr>
        <w:t xml:space="preserve"> </w:t>
      </w:r>
      <w:r>
        <w:t>retains</w:t>
      </w:r>
      <w:r>
        <w:rPr>
          <w:spacing w:val="-2"/>
        </w:rPr>
        <w:t xml:space="preserve"> </w:t>
      </w:r>
      <w:r>
        <w:t>all responsibility, including for independence, quality, documentation and archiving, and maintaining the public interest. The discussions and papers of a PAG are confidential and the AUASB owns the intellectual property in the PAG’s work.</w:t>
      </w:r>
    </w:p>
    <w:p w14:paraId="1E805ABB" w14:textId="77777777" w:rsidR="00AA4A02" w:rsidRDefault="00960F31">
      <w:pPr>
        <w:pStyle w:val="ListParagraph"/>
        <w:numPr>
          <w:ilvl w:val="0"/>
          <w:numId w:val="29"/>
        </w:numPr>
        <w:tabs>
          <w:tab w:val="left" w:pos="851"/>
        </w:tabs>
        <w:spacing w:before="200" w:line="208" w:lineRule="auto"/>
        <w:ind w:right="280"/>
      </w:pPr>
      <w:r>
        <w:t>The decision on whether to establish a PAG, is considered by the AUASB as part of the process of approving the Project Plan, which is further described in Section VIII of this document.</w:t>
      </w:r>
      <w:r>
        <w:rPr>
          <w:spacing w:val="-2"/>
        </w:rPr>
        <w:t xml:space="preserve"> </w:t>
      </w:r>
      <w:r>
        <w:t>The</w:t>
      </w:r>
      <w:r>
        <w:rPr>
          <w:spacing w:val="-4"/>
        </w:rPr>
        <w:t xml:space="preserve"> </w:t>
      </w:r>
      <w:r>
        <w:t>role</w:t>
      </w:r>
      <w:r>
        <w:rPr>
          <w:spacing w:val="-2"/>
        </w:rPr>
        <w:t xml:space="preserve"> </w:t>
      </w:r>
      <w:r>
        <w:t>of</w:t>
      </w:r>
      <w:r>
        <w:rPr>
          <w:spacing w:val="-3"/>
        </w:rPr>
        <w:t xml:space="preserve"> </w:t>
      </w:r>
      <w:r>
        <w:t>PAG</w:t>
      </w:r>
      <w:r>
        <w:rPr>
          <w:spacing w:val="-2"/>
        </w:rPr>
        <w:t xml:space="preserve"> </w:t>
      </w:r>
      <w:r>
        <w:t>Chair</w:t>
      </w:r>
      <w:r>
        <w:rPr>
          <w:spacing w:val="-3"/>
        </w:rPr>
        <w:t xml:space="preserve"> </w:t>
      </w:r>
      <w:r>
        <w:t>(who</w:t>
      </w:r>
      <w:r>
        <w:rPr>
          <w:spacing w:val="-2"/>
        </w:rPr>
        <w:t xml:space="preserve"> </w:t>
      </w:r>
      <w:r>
        <w:t>generally</w:t>
      </w:r>
      <w:r>
        <w:rPr>
          <w:spacing w:val="-4"/>
        </w:rPr>
        <w:t xml:space="preserve"> </w:t>
      </w:r>
      <w:r>
        <w:t>is</w:t>
      </w:r>
      <w:r>
        <w:rPr>
          <w:spacing w:val="-2"/>
        </w:rPr>
        <w:t xml:space="preserve"> </w:t>
      </w:r>
      <w:r>
        <w:t>also</w:t>
      </w:r>
      <w:r>
        <w:rPr>
          <w:spacing w:val="-1"/>
        </w:rPr>
        <w:t xml:space="preserve"> </w:t>
      </w:r>
      <w:r>
        <w:t>an</w:t>
      </w:r>
      <w:r>
        <w:rPr>
          <w:spacing w:val="-2"/>
        </w:rPr>
        <w:t xml:space="preserve"> </w:t>
      </w:r>
      <w:r>
        <w:t>AUASB</w:t>
      </w:r>
      <w:r>
        <w:rPr>
          <w:spacing w:val="-3"/>
        </w:rPr>
        <w:t xml:space="preserve"> </w:t>
      </w:r>
      <w:r>
        <w:t>member)</w:t>
      </w:r>
      <w:r>
        <w:rPr>
          <w:spacing w:val="-2"/>
        </w:rPr>
        <w:t xml:space="preserve"> </w:t>
      </w:r>
      <w:r>
        <w:t>and</w:t>
      </w:r>
      <w:r>
        <w:rPr>
          <w:spacing w:val="-3"/>
        </w:rPr>
        <w:t xml:space="preserve"> </w:t>
      </w:r>
      <w:r>
        <w:t>individual PAG members are appointed by the AUASB Chair.</w:t>
      </w:r>
      <w:r>
        <w:rPr>
          <w:spacing w:val="40"/>
        </w:rPr>
        <w:t xml:space="preserve"> </w:t>
      </w:r>
      <w:r>
        <w:t>When determining the composition of a PAG, every effort is taken to secure a good cross-section of participants to reflect the public interest, including auditors and assurance practitioners who have practical experience in the field, as well as other interested stakeholders.</w:t>
      </w:r>
    </w:p>
    <w:p w14:paraId="1E805ABC" w14:textId="77777777" w:rsidR="00AA4A02" w:rsidRDefault="00960F31">
      <w:pPr>
        <w:pStyle w:val="ListParagraph"/>
        <w:numPr>
          <w:ilvl w:val="0"/>
          <w:numId w:val="29"/>
        </w:numPr>
        <w:tabs>
          <w:tab w:val="left" w:pos="851"/>
        </w:tabs>
        <w:spacing w:before="200" w:line="208" w:lineRule="auto"/>
        <w:ind w:right="651"/>
      </w:pPr>
      <w:r>
        <w:t>The PAG Chair and relevant project manager plan the involvement of PAG members, including the review of drafted material. Planning also includes scheduling a series of meetings,</w:t>
      </w:r>
      <w:r>
        <w:rPr>
          <w:spacing w:val="-2"/>
        </w:rPr>
        <w:t xml:space="preserve"> </w:t>
      </w:r>
      <w:r>
        <w:t>as</w:t>
      </w:r>
      <w:r>
        <w:rPr>
          <w:spacing w:val="-2"/>
        </w:rPr>
        <w:t xml:space="preserve"> </w:t>
      </w:r>
      <w:r>
        <w:t>well</w:t>
      </w:r>
      <w:r>
        <w:rPr>
          <w:spacing w:val="-1"/>
        </w:rPr>
        <w:t xml:space="preserve"> </w:t>
      </w:r>
      <w:r>
        <w:t>as</w:t>
      </w:r>
      <w:r>
        <w:rPr>
          <w:spacing w:val="-1"/>
        </w:rPr>
        <w:t xml:space="preserve"> </w:t>
      </w:r>
      <w:r>
        <w:t>setting</w:t>
      </w:r>
      <w:r>
        <w:rPr>
          <w:spacing w:val="-7"/>
        </w:rPr>
        <w:t xml:space="preserve"> </w:t>
      </w:r>
      <w:r>
        <w:t>the</w:t>
      </w:r>
      <w:r>
        <w:rPr>
          <w:spacing w:val="-2"/>
        </w:rPr>
        <w:t xml:space="preserve"> </w:t>
      </w:r>
      <w:r>
        <w:t>broad</w:t>
      </w:r>
      <w:r>
        <w:rPr>
          <w:spacing w:val="-4"/>
        </w:rPr>
        <w:t xml:space="preserve"> </w:t>
      </w:r>
      <w:r>
        <w:t>objectives</w:t>
      </w:r>
      <w:r>
        <w:rPr>
          <w:spacing w:val="-2"/>
        </w:rPr>
        <w:t xml:space="preserve"> </w:t>
      </w:r>
      <w:r>
        <w:t>and</w:t>
      </w:r>
      <w:r>
        <w:rPr>
          <w:spacing w:val="-5"/>
        </w:rPr>
        <w:t xml:space="preserve"> </w:t>
      </w:r>
      <w:r>
        <w:t>expected</w:t>
      </w:r>
      <w:r>
        <w:rPr>
          <w:spacing w:val="-2"/>
        </w:rPr>
        <w:t xml:space="preserve"> </w:t>
      </w:r>
      <w:r>
        <w:t>outcomes</w:t>
      </w:r>
      <w:r>
        <w:rPr>
          <w:spacing w:val="-2"/>
        </w:rPr>
        <w:t xml:space="preserve"> </w:t>
      </w:r>
      <w:r>
        <w:t>of</w:t>
      </w:r>
      <w:r>
        <w:rPr>
          <w:spacing w:val="-4"/>
        </w:rPr>
        <w:t xml:space="preserve"> </w:t>
      </w:r>
      <w:r>
        <w:t>each</w:t>
      </w:r>
      <w:r>
        <w:rPr>
          <w:spacing w:val="-4"/>
        </w:rPr>
        <w:t xml:space="preserve"> </w:t>
      </w:r>
      <w:r>
        <w:t>meeting.</w:t>
      </w:r>
    </w:p>
    <w:p w14:paraId="1E805ABD" w14:textId="77777777" w:rsidR="00AA4A02" w:rsidRDefault="00960F31">
      <w:pPr>
        <w:spacing w:before="174"/>
        <w:ind w:left="143"/>
        <w:rPr>
          <w:i/>
        </w:rPr>
      </w:pPr>
      <w:bookmarkStart w:id="51" w:name="Project_Advisory_Panels_(PAPs)"/>
      <w:bookmarkEnd w:id="51"/>
      <w:r>
        <w:rPr>
          <w:i/>
        </w:rPr>
        <w:t>Project</w:t>
      </w:r>
      <w:r>
        <w:rPr>
          <w:i/>
          <w:spacing w:val="-4"/>
        </w:rPr>
        <w:t xml:space="preserve"> </w:t>
      </w:r>
      <w:r>
        <w:rPr>
          <w:i/>
        </w:rPr>
        <w:t>Advisory</w:t>
      </w:r>
      <w:r>
        <w:rPr>
          <w:i/>
          <w:spacing w:val="-4"/>
        </w:rPr>
        <w:t xml:space="preserve"> </w:t>
      </w:r>
      <w:r>
        <w:rPr>
          <w:i/>
        </w:rPr>
        <w:t>Panels</w:t>
      </w:r>
      <w:r>
        <w:rPr>
          <w:i/>
          <w:spacing w:val="-4"/>
        </w:rPr>
        <w:t xml:space="preserve"> </w:t>
      </w:r>
      <w:r>
        <w:rPr>
          <w:i/>
          <w:spacing w:val="-2"/>
        </w:rPr>
        <w:t>(PAPs)</w:t>
      </w:r>
    </w:p>
    <w:p w14:paraId="1E805ABE" w14:textId="77777777" w:rsidR="00AA4A02" w:rsidRDefault="00960F31">
      <w:pPr>
        <w:pStyle w:val="ListParagraph"/>
        <w:numPr>
          <w:ilvl w:val="0"/>
          <w:numId w:val="29"/>
        </w:numPr>
        <w:tabs>
          <w:tab w:val="left" w:pos="851"/>
        </w:tabs>
        <w:spacing w:before="195" w:line="208" w:lineRule="auto"/>
        <w:ind w:right="143"/>
      </w:pPr>
      <w:r>
        <w:t>The</w:t>
      </w:r>
      <w:r>
        <w:rPr>
          <w:spacing w:val="-2"/>
        </w:rPr>
        <w:t xml:space="preserve"> </w:t>
      </w:r>
      <w:r>
        <w:t>AUASB</w:t>
      </w:r>
      <w:r>
        <w:rPr>
          <w:spacing w:val="-4"/>
        </w:rPr>
        <w:t xml:space="preserve"> </w:t>
      </w:r>
      <w:r>
        <w:t>may</w:t>
      </w:r>
      <w:r>
        <w:rPr>
          <w:spacing w:val="-1"/>
        </w:rPr>
        <w:t xml:space="preserve"> </w:t>
      </w:r>
      <w:r>
        <w:t>decide</w:t>
      </w:r>
      <w:r>
        <w:rPr>
          <w:spacing w:val="-4"/>
        </w:rPr>
        <w:t xml:space="preserve"> </w:t>
      </w:r>
      <w:r>
        <w:t>to</w:t>
      </w:r>
      <w:r>
        <w:rPr>
          <w:spacing w:val="-5"/>
        </w:rPr>
        <w:t xml:space="preserve"> </w:t>
      </w:r>
      <w:r>
        <w:t>set</w:t>
      </w:r>
      <w:r>
        <w:rPr>
          <w:spacing w:val="-1"/>
        </w:rPr>
        <w:t xml:space="preserve"> </w:t>
      </w:r>
      <w:r>
        <w:t>up</w:t>
      </w:r>
      <w:r>
        <w:rPr>
          <w:spacing w:val="-1"/>
        </w:rPr>
        <w:t xml:space="preserve"> </w:t>
      </w:r>
      <w:r>
        <w:t>a</w:t>
      </w:r>
      <w:r>
        <w:rPr>
          <w:spacing w:val="-2"/>
        </w:rPr>
        <w:t xml:space="preserve"> </w:t>
      </w:r>
      <w:r>
        <w:t>PAP</w:t>
      </w:r>
      <w:r>
        <w:rPr>
          <w:spacing w:val="-5"/>
        </w:rPr>
        <w:t xml:space="preserve"> </w:t>
      </w:r>
      <w:r>
        <w:t>to</w:t>
      </w:r>
      <w:r>
        <w:rPr>
          <w:spacing w:val="-2"/>
        </w:rPr>
        <w:t xml:space="preserve"> </w:t>
      </w:r>
      <w:r>
        <w:t>provide</w:t>
      </w:r>
      <w:r>
        <w:rPr>
          <w:spacing w:val="-2"/>
        </w:rPr>
        <w:t xml:space="preserve"> </w:t>
      </w:r>
      <w:r>
        <w:t>a</w:t>
      </w:r>
      <w:r>
        <w:rPr>
          <w:spacing w:val="-4"/>
        </w:rPr>
        <w:t xml:space="preserve"> </w:t>
      </w:r>
      <w:r>
        <w:t>forum</w:t>
      </w:r>
      <w:r>
        <w:rPr>
          <w:spacing w:val="-4"/>
        </w:rPr>
        <w:t xml:space="preserve"> </w:t>
      </w:r>
      <w:r>
        <w:t>for</w:t>
      </w:r>
      <w:r>
        <w:rPr>
          <w:spacing w:val="-2"/>
        </w:rPr>
        <w:t xml:space="preserve"> </w:t>
      </w:r>
      <w:r>
        <w:t>the</w:t>
      </w:r>
      <w:r>
        <w:rPr>
          <w:spacing w:val="-2"/>
        </w:rPr>
        <w:t xml:space="preserve"> </w:t>
      </w:r>
      <w:r>
        <w:t>AUASB</w:t>
      </w:r>
      <w:r>
        <w:rPr>
          <w:spacing w:val="-4"/>
        </w:rPr>
        <w:t xml:space="preserve"> </w:t>
      </w:r>
      <w:r>
        <w:t>to</w:t>
      </w:r>
      <w:r>
        <w:rPr>
          <w:spacing w:val="-2"/>
        </w:rPr>
        <w:t xml:space="preserve"> </w:t>
      </w:r>
      <w:r>
        <w:t>consult</w:t>
      </w:r>
      <w:r>
        <w:rPr>
          <w:spacing w:val="-1"/>
        </w:rPr>
        <w:t xml:space="preserve"> </w:t>
      </w:r>
      <w:r>
        <w:t>experts on particularly complex issues.</w:t>
      </w:r>
      <w:r>
        <w:rPr>
          <w:spacing w:val="40"/>
        </w:rPr>
        <w:t xml:space="preserve"> </w:t>
      </w:r>
      <w:r>
        <w:t>A PAP is an informal consultative group only, not a formal decision-making group.</w:t>
      </w:r>
    </w:p>
    <w:p w14:paraId="1E805ABF" w14:textId="77777777" w:rsidR="00AA4A02" w:rsidRDefault="00960F31">
      <w:pPr>
        <w:pStyle w:val="ListParagraph"/>
        <w:numPr>
          <w:ilvl w:val="0"/>
          <w:numId w:val="29"/>
        </w:numPr>
        <w:tabs>
          <w:tab w:val="left" w:pos="851"/>
        </w:tabs>
        <w:spacing w:before="199" w:line="208" w:lineRule="auto"/>
        <w:ind w:right="427"/>
      </w:pPr>
      <w:r>
        <w:t>PAP members act in an advisory capacity to the AUASB, providing specific and industry technical</w:t>
      </w:r>
      <w:r>
        <w:rPr>
          <w:spacing w:val="-3"/>
        </w:rPr>
        <w:t xml:space="preserve"> </w:t>
      </w:r>
      <w:r>
        <w:t>expertise,</w:t>
      </w:r>
      <w:r>
        <w:rPr>
          <w:spacing w:val="-4"/>
        </w:rPr>
        <w:t xml:space="preserve"> </w:t>
      </w:r>
      <w:r>
        <w:t>as</w:t>
      </w:r>
      <w:r>
        <w:rPr>
          <w:spacing w:val="-1"/>
        </w:rPr>
        <w:t xml:space="preserve"> </w:t>
      </w:r>
      <w:r>
        <w:t>well</w:t>
      </w:r>
      <w:r>
        <w:rPr>
          <w:spacing w:val="-3"/>
        </w:rPr>
        <w:t xml:space="preserve"> </w:t>
      </w:r>
      <w:r>
        <w:t>as</w:t>
      </w:r>
      <w:r>
        <w:rPr>
          <w:spacing w:val="-1"/>
        </w:rPr>
        <w:t xml:space="preserve"> </w:t>
      </w:r>
      <w:r>
        <w:t>the</w:t>
      </w:r>
      <w:r>
        <w:rPr>
          <w:spacing w:val="-1"/>
        </w:rPr>
        <w:t xml:space="preserve"> </w:t>
      </w:r>
      <w:r>
        <w:t>perspective(s)</w:t>
      </w:r>
      <w:r>
        <w:rPr>
          <w:spacing w:val="-1"/>
        </w:rPr>
        <w:t xml:space="preserve"> </w:t>
      </w:r>
      <w:r>
        <w:t>of</w:t>
      </w:r>
      <w:r>
        <w:rPr>
          <w:spacing w:val="-3"/>
        </w:rPr>
        <w:t xml:space="preserve"> </w:t>
      </w:r>
      <w:r>
        <w:t>the</w:t>
      </w:r>
      <w:r>
        <w:rPr>
          <w:spacing w:val="-6"/>
        </w:rPr>
        <w:t xml:space="preserve"> </w:t>
      </w:r>
      <w:r>
        <w:t>PAP</w:t>
      </w:r>
      <w:r>
        <w:rPr>
          <w:spacing w:val="-2"/>
        </w:rPr>
        <w:t xml:space="preserve"> </w:t>
      </w:r>
      <w:r>
        <w:t>Member</w:t>
      </w:r>
      <w:r>
        <w:rPr>
          <w:spacing w:val="-3"/>
        </w:rPr>
        <w:t xml:space="preserve"> </w:t>
      </w:r>
      <w:r>
        <w:t>and</w:t>
      </w:r>
      <w:r>
        <w:rPr>
          <w:spacing w:val="-3"/>
        </w:rPr>
        <w:t xml:space="preserve"> </w:t>
      </w:r>
      <w:r>
        <w:t>their</w:t>
      </w:r>
      <w:r>
        <w:rPr>
          <w:spacing w:val="-1"/>
        </w:rPr>
        <w:t xml:space="preserve"> </w:t>
      </w:r>
      <w:r>
        <w:t>organisation. Panel members are encouraged to bring ideas and share information; however, their contributions are not binding or authoritative on the AUASB.</w:t>
      </w:r>
    </w:p>
    <w:p w14:paraId="1E805AC0" w14:textId="77777777" w:rsidR="00AA4A02" w:rsidRDefault="00960F31">
      <w:pPr>
        <w:pStyle w:val="ListParagraph"/>
        <w:numPr>
          <w:ilvl w:val="0"/>
          <w:numId w:val="29"/>
        </w:numPr>
        <w:tabs>
          <w:tab w:val="left" w:pos="851"/>
        </w:tabs>
        <w:spacing w:before="199" w:line="208" w:lineRule="auto"/>
        <w:ind w:right="210"/>
      </w:pPr>
      <w:r>
        <w:t>Members</w:t>
      </w:r>
      <w:r>
        <w:rPr>
          <w:spacing w:val="-1"/>
        </w:rPr>
        <w:t xml:space="preserve"> </w:t>
      </w:r>
      <w:r>
        <w:t>will be</w:t>
      </w:r>
      <w:r>
        <w:rPr>
          <w:spacing w:val="-1"/>
        </w:rPr>
        <w:t xml:space="preserve"> </w:t>
      </w:r>
      <w:r>
        <w:t>expected</w:t>
      </w:r>
      <w:r>
        <w:rPr>
          <w:spacing w:val="-3"/>
        </w:rPr>
        <w:t xml:space="preserve"> </w:t>
      </w:r>
      <w:r>
        <w:t>from</w:t>
      </w:r>
      <w:r>
        <w:rPr>
          <w:spacing w:val="-3"/>
        </w:rPr>
        <w:t xml:space="preserve"> </w:t>
      </w:r>
      <w:r>
        <w:t>time</w:t>
      </w:r>
      <w:r>
        <w:rPr>
          <w:spacing w:val="-3"/>
        </w:rPr>
        <w:t xml:space="preserve"> </w:t>
      </w:r>
      <w:r>
        <w:t>to</w:t>
      </w:r>
      <w:r>
        <w:rPr>
          <w:spacing w:val="-4"/>
        </w:rPr>
        <w:t xml:space="preserve"> </w:t>
      </w:r>
      <w:r>
        <w:t>time</w:t>
      </w:r>
      <w:r>
        <w:rPr>
          <w:spacing w:val="-3"/>
        </w:rPr>
        <w:t xml:space="preserve"> </w:t>
      </w:r>
      <w:r>
        <w:t>to</w:t>
      </w:r>
      <w:r>
        <w:rPr>
          <w:spacing w:val="-4"/>
        </w:rPr>
        <w:t xml:space="preserve"> </w:t>
      </w:r>
      <w:r>
        <w:t>contribute</w:t>
      </w:r>
      <w:r>
        <w:rPr>
          <w:spacing w:val="-3"/>
        </w:rPr>
        <w:t xml:space="preserve"> </w:t>
      </w:r>
      <w:r>
        <w:t>to</w:t>
      </w:r>
      <w:r>
        <w:rPr>
          <w:spacing w:val="-1"/>
        </w:rPr>
        <w:t xml:space="preserve"> </w:t>
      </w:r>
      <w:r>
        <w:t>issues</w:t>
      </w:r>
      <w:r>
        <w:rPr>
          <w:spacing w:val="-1"/>
        </w:rPr>
        <w:t xml:space="preserve"> </w:t>
      </w:r>
      <w:r>
        <w:t>papers</w:t>
      </w:r>
      <w:r>
        <w:rPr>
          <w:spacing w:val="-1"/>
        </w:rPr>
        <w:t xml:space="preserve"> </w:t>
      </w:r>
      <w:r>
        <w:t>or</w:t>
      </w:r>
      <w:r>
        <w:rPr>
          <w:spacing w:val="-3"/>
        </w:rPr>
        <w:t xml:space="preserve"> </w:t>
      </w:r>
      <w:r>
        <w:t>other</w:t>
      </w:r>
      <w:r>
        <w:rPr>
          <w:spacing w:val="-2"/>
        </w:rPr>
        <w:t xml:space="preserve"> </w:t>
      </w:r>
      <w:r>
        <w:t>documents and review draft versions of pronouncements for the purpose of providing feedback to the AUASB, including identifying any practical implementation issues.</w:t>
      </w:r>
      <w:r>
        <w:rPr>
          <w:spacing w:val="40"/>
        </w:rPr>
        <w:t xml:space="preserve"> </w:t>
      </w:r>
      <w:r>
        <w:t>Members may also be requested to identify other key stakeholder groups or individuals that the AUASB staff and Board should consult with.</w:t>
      </w:r>
    </w:p>
    <w:p w14:paraId="1E805AC1" w14:textId="77777777" w:rsidR="00AA4A02" w:rsidRDefault="00960F31">
      <w:pPr>
        <w:pStyle w:val="ListParagraph"/>
        <w:numPr>
          <w:ilvl w:val="0"/>
          <w:numId w:val="29"/>
        </w:numPr>
        <w:tabs>
          <w:tab w:val="left" w:pos="851"/>
        </w:tabs>
        <w:spacing w:line="208" w:lineRule="auto"/>
        <w:ind w:right="213"/>
      </w:pPr>
      <w:r>
        <w:t>The</w:t>
      </w:r>
      <w:r>
        <w:rPr>
          <w:spacing w:val="-2"/>
        </w:rPr>
        <w:t xml:space="preserve"> </w:t>
      </w:r>
      <w:r>
        <w:t>AUASB</w:t>
      </w:r>
      <w:r>
        <w:rPr>
          <w:spacing w:val="-4"/>
        </w:rPr>
        <w:t xml:space="preserve"> </w:t>
      </w:r>
      <w:r>
        <w:t>Chair</w:t>
      </w:r>
      <w:r>
        <w:rPr>
          <w:spacing w:val="-2"/>
        </w:rPr>
        <w:t xml:space="preserve"> </w:t>
      </w:r>
      <w:r>
        <w:t>determines</w:t>
      </w:r>
      <w:r>
        <w:rPr>
          <w:spacing w:val="-2"/>
        </w:rPr>
        <w:t xml:space="preserve"> </w:t>
      </w:r>
      <w:r>
        <w:t>when</w:t>
      </w:r>
      <w:r>
        <w:rPr>
          <w:spacing w:val="-4"/>
        </w:rPr>
        <w:t xml:space="preserve"> </w:t>
      </w:r>
      <w:r>
        <w:t>a PAP</w:t>
      </w:r>
      <w:r>
        <w:rPr>
          <w:spacing w:val="-3"/>
        </w:rPr>
        <w:t xml:space="preserve"> </w:t>
      </w:r>
      <w:r>
        <w:t>should</w:t>
      </w:r>
      <w:r>
        <w:rPr>
          <w:spacing w:val="-2"/>
        </w:rPr>
        <w:t xml:space="preserve"> </w:t>
      </w:r>
      <w:r>
        <w:t>be</w:t>
      </w:r>
      <w:r>
        <w:rPr>
          <w:spacing w:val="-4"/>
        </w:rPr>
        <w:t xml:space="preserve"> </w:t>
      </w:r>
      <w:r>
        <w:t>established,</w:t>
      </w:r>
      <w:r>
        <w:rPr>
          <w:spacing w:val="-2"/>
        </w:rPr>
        <w:t xml:space="preserve"> </w:t>
      </w:r>
      <w:r>
        <w:t>who</w:t>
      </w:r>
      <w:r>
        <w:rPr>
          <w:spacing w:val="-2"/>
        </w:rPr>
        <w:t xml:space="preserve"> </w:t>
      </w:r>
      <w:r>
        <w:t>should</w:t>
      </w:r>
      <w:r>
        <w:rPr>
          <w:spacing w:val="-2"/>
        </w:rPr>
        <w:t xml:space="preserve"> </w:t>
      </w:r>
      <w:r>
        <w:t>be</w:t>
      </w:r>
      <w:r>
        <w:rPr>
          <w:spacing w:val="-4"/>
        </w:rPr>
        <w:t xml:space="preserve"> </w:t>
      </w:r>
      <w:r>
        <w:t>the</w:t>
      </w:r>
      <w:r>
        <w:rPr>
          <w:spacing w:val="-2"/>
        </w:rPr>
        <w:t xml:space="preserve"> </w:t>
      </w:r>
      <w:r>
        <w:t>Chair</w:t>
      </w:r>
      <w:r>
        <w:rPr>
          <w:spacing w:val="-4"/>
        </w:rPr>
        <w:t xml:space="preserve"> </w:t>
      </w:r>
      <w:r>
        <w:t>of the Panel and the selection of PAP Members.</w:t>
      </w:r>
    </w:p>
    <w:p w14:paraId="1E805AC2" w14:textId="77777777" w:rsidR="00AA4A02" w:rsidRDefault="00960F31">
      <w:pPr>
        <w:pStyle w:val="Heading7"/>
      </w:pPr>
      <w:bookmarkStart w:id="52" w:name="Types_of_Consultative_Documents"/>
      <w:bookmarkEnd w:id="52"/>
      <w:r>
        <w:t>Types</w:t>
      </w:r>
      <w:r>
        <w:rPr>
          <w:spacing w:val="-9"/>
        </w:rPr>
        <w:t xml:space="preserve"> </w:t>
      </w:r>
      <w:r>
        <w:t>of</w:t>
      </w:r>
      <w:r>
        <w:rPr>
          <w:spacing w:val="-5"/>
        </w:rPr>
        <w:t xml:space="preserve"> </w:t>
      </w:r>
      <w:r>
        <w:t>Consultative</w:t>
      </w:r>
      <w:r>
        <w:rPr>
          <w:spacing w:val="-4"/>
        </w:rPr>
        <w:t xml:space="preserve"> </w:t>
      </w:r>
      <w:r>
        <w:rPr>
          <w:spacing w:val="-2"/>
        </w:rPr>
        <w:t>Documents</w:t>
      </w:r>
    </w:p>
    <w:p w14:paraId="1E805AC3" w14:textId="77777777" w:rsidR="00AA4A02" w:rsidRDefault="00960F31">
      <w:pPr>
        <w:pStyle w:val="ListParagraph"/>
        <w:numPr>
          <w:ilvl w:val="0"/>
          <w:numId w:val="29"/>
        </w:numPr>
        <w:tabs>
          <w:tab w:val="left" w:pos="851"/>
        </w:tabs>
        <w:spacing w:before="165"/>
      </w:pPr>
      <w:r>
        <w:t>The</w:t>
      </w:r>
      <w:r>
        <w:rPr>
          <w:spacing w:val="-4"/>
        </w:rPr>
        <w:t xml:space="preserve"> </w:t>
      </w:r>
      <w:r>
        <w:t>typical</w:t>
      </w:r>
      <w:r>
        <w:rPr>
          <w:spacing w:val="-3"/>
        </w:rPr>
        <w:t xml:space="preserve"> </w:t>
      </w:r>
      <w:r>
        <w:t>consultative</w:t>
      </w:r>
      <w:r>
        <w:rPr>
          <w:spacing w:val="-3"/>
        </w:rPr>
        <w:t xml:space="preserve"> </w:t>
      </w:r>
      <w:r>
        <w:t>documents</w:t>
      </w:r>
      <w:r>
        <w:rPr>
          <w:spacing w:val="-6"/>
        </w:rPr>
        <w:t xml:space="preserve"> </w:t>
      </w:r>
      <w:r>
        <w:t>issued</w:t>
      </w:r>
      <w:r>
        <w:rPr>
          <w:spacing w:val="-4"/>
        </w:rPr>
        <w:t xml:space="preserve"> </w:t>
      </w:r>
      <w:r>
        <w:t>by</w:t>
      </w:r>
      <w:r>
        <w:rPr>
          <w:spacing w:val="-3"/>
        </w:rPr>
        <w:t xml:space="preserve"> </w:t>
      </w:r>
      <w:r>
        <w:t>the</w:t>
      </w:r>
      <w:r>
        <w:rPr>
          <w:spacing w:val="-4"/>
        </w:rPr>
        <w:t xml:space="preserve"> </w:t>
      </w:r>
      <w:r>
        <w:t>AUASB</w:t>
      </w:r>
      <w:r>
        <w:rPr>
          <w:spacing w:val="-4"/>
        </w:rPr>
        <w:t xml:space="preserve"> </w:t>
      </w:r>
      <w:r>
        <w:rPr>
          <w:spacing w:val="-2"/>
        </w:rPr>
        <w:t>include:</w:t>
      </w:r>
    </w:p>
    <w:p w14:paraId="1E805AC4" w14:textId="77777777" w:rsidR="00AA4A02" w:rsidRDefault="00960F31">
      <w:pPr>
        <w:pStyle w:val="ListParagraph"/>
        <w:numPr>
          <w:ilvl w:val="1"/>
          <w:numId w:val="29"/>
        </w:numPr>
        <w:tabs>
          <w:tab w:val="left" w:pos="1562"/>
        </w:tabs>
        <w:spacing w:before="194" w:line="208" w:lineRule="auto"/>
        <w:ind w:right="299"/>
      </w:pPr>
      <w:r>
        <w:rPr>
          <w:i/>
        </w:rPr>
        <w:t>Exposure</w:t>
      </w:r>
      <w:r>
        <w:rPr>
          <w:i/>
          <w:spacing w:val="-2"/>
        </w:rPr>
        <w:t xml:space="preserve"> </w:t>
      </w:r>
      <w:r>
        <w:rPr>
          <w:i/>
        </w:rPr>
        <w:t xml:space="preserve">Draft </w:t>
      </w:r>
      <w:r>
        <w:t>–</w:t>
      </w:r>
      <w:r>
        <w:rPr>
          <w:spacing w:val="-5"/>
        </w:rPr>
        <w:t xml:space="preserve"> </w:t>
      </w:r>
      <w:r>
        <w:t>An</w:t>
      </w:r>
      <w:r>
        <w:rPr>
          <w:spacing w:val="-2"/>
        </w:rPr>
        <w:t xml:space="preserve"> </w:t>
      </w:r>
      <w:r>
        <w:t>Exposure</w:t>
      </w:r>
      <w:r>
        <w:rPr>
          <w:spacing w:val="-2"/>
        </w:rPr>
        <w:t xml:space="preserve"> </w:t>
      </w:r>
      <w:r>
        <w:t>Draft</w:t>
      </w:r>
      <w:r>
        <w:rPr>
          <w:spacing w:val="-1"/>
        </w:rPr>
        <w:t xml:space="preserve"> </w:t>
      </w:r>
      <w:r>
        <w:t>(ED)</w:t>
      </w:r>
      <w:r>
        <w:rPr>
          <w:spacing w:val="-1"/>
        </w:rPr>
        <w:t xml:space="preserve"> </w:t>
      </w:r>
      <w:r>
        <w:t>typically</w:t>
      </w:r>
      <w:r>
        <w:rPr>
          <w:spacing w:val="-4"/>
        </w:rPr>
        <w:t xml:space="preserve"> </w:t>
      </w:r>
      <w:r>
        <w:t>is</w:t>
      </w:r>
      <w:r>
        <w:rPr>
          <w:spacing w:val="-4"/>
        </w:rPr>
        <w:t xml:space="preserve"> </w:t>
      </w:r>
      <w:r>
        <w:t>a</w:t>
      </w:r>
      <w:r>
        <w:rPr>
          <w:spacing w:val="-2"/>
        </w:rPr>
        <w:t xml:space="preserve"> </w:t>
      </w:r>
      <w:r>
        <w:t>draft</w:t>
      </w:r>
      <w:r>
        <w:rPr>
          <w:spacing w:val="-4"/>
        </w:rPr>
        <w:t xml:space="preserve"> </w:t>
      </w:r>
      <w:r>
        <w:t>of</w:t>
      </w:r>
      <w:r>
        <w:rPr>
          <w:spacing w:val="-4"/>
        </w:rPr>
        <w:t xml:space="preserve"> </w:t>
      </w:r>
      <w:r>
        <w:t>a</w:t>
      </w:r>
      <w:r>
        <w:rPr>
          <w:spacing w:val="-2"/>
        </w:rPr>
        <w:t xml:space="preserve"> </w:t>
      </w:r>
      <w:r>
        <w:t>proposed</w:t>
      </w:r>
      <w:r>
        <w:rPr>
          <w:spacing w:val="-2"/>
        </w:rPr>
        <w:t xml:space="preserve"> </w:t>
      </w:r>
      <w:r>
        <w:t>Standard (or other pronouncement) or a draft amendment to a Standard.</w:t>
      </w:r>
      <w:r>
        <w:rPr>
          <w:vertAlign w:val="superscript"/>
        </w:rPr>
        <w:t>34</w:t>
      </w:r>
    </w:p>
    <w:p w14:paraId="1E805AC5" w14:textId="77777777" w:rsidR="00AA4A02" w:rsidRDefault="00960F31">
      <w:pPr>
        <w:pStyle w:val="ListParagraph"/>
        <w:numPr>
          <w:ilvl w:val="1"/>
          <w:numId w:val="29"/>
        </w:numPr>
        <w:tabs>
          <w:tab w:val="left" w:pos="1562"/>
        </w:tabs>
        <w:spacing w:line="208" w:lineRule="auto"/>
        <w:ind w:right="289"/>
      </w:pPr>
      <w:r>
        <w:rPr>
          <w:i/>
        </w:rPr>
        <w:t xml:space="preserve">Discussion Papers and other Consultation Papers </w:t>
      </w:r>
      <w:r>
        <w:t>– Discussion Papers (DP) and Consultation Papers (CP) are documents used to set out the details of the matters on which</w:t>
      </w:r>
      <w:r>
        <w:rPr>
          <w:spacing w:val="-4"/>
        </w:rPr>
        <w:t xml:space="preserve"> </w:t>
      </w:r>
      <w:r>
        <w:t>the</w:t>
      </w:r>
      <w:r>
        <w:rPr>
          <w:spacing w:val="-2"/>
        </w:rPr>
        <w:t xml:space="preserve"> </w:t>
      </w:r>
      <w:r>
        <w:t>AUASB</w:t>
      </w:r>
      <w:r>
        <w:rPr>
          <w:spacing w:val="-3"/>
        </w:rPr>
        <w:t xml:space="preserve"> </w:t>
      </w:r>
      <w:r>
        <w:t>is</w:t>
      </w:r>
      <w:r>
        <w:rPr>
          <w:spacing w:val="-4"/>
        </w:rPr>
        <w:t xml:space="preserve"> </w:t>
      </w:r>
      <w:r>
        <w:t>consulting</w:t>
      </w:r>
      <w:r>
        <w:rPr>
          <w:spacing w:val="-2"/>
        </w:rPr>
        <w:t xml:space="preserve"> </w:t>
      </w:r>
      <w:r>
        <w:t>and</w:t>
      </w:r>
      <w:r>
        <w:rPr>
          <w:spacing w:val="-2"/>
        </w:rPr>
        <w:t xml:space="preserve"> </w:t>
      </w:r>
      <w:r>
        <w:t>seeking</w:t>
      </w:r>
      <w:r>
        <w:rPr>
          <w:spacing w:val="-2"/>
        </w:rPr>
        <w:t xml:space="preserve"> </w:t>
      </w:r>
      <w:r>
        <w:t>input</w:t>
      </w:r>
      <w:r>
        <w:rPr>
          <w:spacing w:val="-4"/>
        </w:rPr>
        <w:t xml:space="preserve"> </w:t>
      </w:r>
      <w:r>
        <w:t>from</w:t>
      </w:r>
      <w:r>
        <w:rPr>
          <w:spacing w:val="-2"/>
        </w:rPr>
        <w:t xml:space="preserve"> </w:t>
      </w:r>
      <w:r>
        <w:t>stakeholders</w:t>
      </w:r>
      <w:r>
        <w:rPr>
          <w:spacing w:val="-2"/>
        </w:rPr>
        <w:t xml:space="preserve"> </w:t>
      </w:r>
      <w:r>
        <w:t>prior</w:t>
      </w:r>
      <w:r>
        <w:rPr>
          <w:spacing w:val="-4"/>
        </w:rPr>
        <w:t xml:space="preserve"> </w:t>
      </w:r>
      <w:r>
        <w:t>to</w:t>
      </w:r>
      <w:r>
        <w:rPr>
          <w:spacing w:val="-5"/>
        </w:rPr>
        <w:t xml:space="preserve"> </w:t>
      </w:r>
      <w:r>
        <w:t xml:space="preserve">making </w:t>
      </w:r>
      <w:r>
        <w:rPr>
          <w:spacing w:val="-2"/>
        </w:rPr>
        <w:t>decisions.</w:t>
      </w:r>
    </w:p>
    <w:p w14:paraId="1E805AC6" w14:textId="77777777" w:rsidR="00AA4A02" w:rsidRDefault="00960F31">
      <w:pPr>
        <w:pStyle w:val="ListParagraph"/>
        <w:numPr>
          <w:ilvl w:val="2"/>
          <w:numId w:val="29"/>
        </w:numPr>
        <w:tabs>
          <w:tab w:val="left" w:pos="1987"/>
        </w:tabs>
        <w:spacing w:before="199" w:line="208" w:lineRule="auto"/>
        <w:ind w:right="236"/>
      </w:pPr>
      <w:r>
        <w:t>A DP usually outlines a wide range of possible positions based on appropriate research</w:t>
      </w:r>
      <w:r>
        <w:rPr>
          <w:spacing w:val="-2"/>
        </w:rPr>
        <w:t xml:space="preserve"> </w:t>
      </w:r>
      <w:r>
        <w:t>and</w:t>
      </w:r>
      <w:r>
        <w:rPr>
          <w:spacing w:val="-5"/>
        </w:rPr>
        <w:t xml:space="preserve"> </w:t>
      </w:r>
      <w:r>
        <w:t>consultation,</w:t>
      </w:r>
      <w:r>
        <w:rPr>
          <w:spacing w:val="-5"/>
        </w:rPr>
        <w:t xml:space="preserve"> </w:t>
      </w:r>
      <w:r>
        <w:t>and</w:t>
      </w:r>
      <w:r>
        <w:rPr>
          <w:spacing w:val="-2"/>
        </w:rPr>
        <w:t xml:space="preserve"> </w:t>
      </w:r>
      <w:r>
        <w:t>is</w:t>
      </w:r>
      <w:r>
        <w:rPr>
          <w:spacing w:val="-4"/>
        </w:rPr>
        <w:t xml:space="preserve"> </w:t>
      </w:r>
      <w:r>
        <w:t>typically</w:t>
      </w:r>
      <w:r>
        <w:rPr>
          <w:spacing w:val="-2"/>
        </w:rPr>
        <w:t xml:space="preserve"> </w:t>
      </w:r>
      <w:r>
        <w:t>used</w:t>
      </w:r>
      <w:r>
        <w:rPr>
          <w:spacing w:val="-2"/>
        </w:rPr>
        <w:t xml:space="preserve"> </w:t>
      </w:r>
      <w:r>
        <w:t>to</w:t>
      </w:r>
      <w:r>
        <w:rPr>
          <w:spacing w:val="-3"/>
        </w:rPr>
        <w:t xml:space="preserve"> </w:t>
      </w:r>
      <w:r>
        <w:t>stimulate</w:t>
      </w:r>
      <w:r>
        <w:rPr>
          <w:spacing w:val="-2"/>
        </w:rPr>
        <w:t xml:space="preserve"> </w:t>
      </w:r>
      <w:r>
        <w:t>debate</w:t>
      </w:r>
      <w:r>
        <w:rPr>
          <w:spacing w:val="-2"/>
        </w:rPr>
        <w:t xml:space="preserve"> </w:t>
      </w:r>
      <w:r>
        <w:t>and</w:t>
      </w:r>
      <w:r>
        <w:rPr>
          <w:spacing w:val="-3"/>
        </w:rPr>
        <w:t xml:space="preserve"> </w:t>
      </w:r>
      <w:r>
        <w:t>refine</w:t>
      </w:r>
      <w:r>
        <w:rPr>
          <w:spacing w:val="-2"/>
        </w:rPr>
        <w:t xml:space="preserve"> </w:t>
      </w:r>
      <w:r>
        <w:t>the number of options being considered as the solution to an issue.</w:t>
      </w:r>
    </w:p>
    <w:p w14:paraId="1E805AC7" w14:textId="77777777" w:rsidR="00AA4A02" w:rsidRDefault="00960F31">
      <w:pPr>
        <w:pStyle w:val="ListParagraph"/>
        <w:numPr>
          <w:ilvl w:val="2"/>
          <w:numId w:val="29"/>
        </w:numPr>
        <w:tabs>
          <w:tab w:val="left" w:pos="1987"/>
        </w:tabs>
        <w:spacing w:before="200" w:line="208" w:lineRule="auto"/>
        <w:ind w:right="312"/>
      </w:pPr>
      <w:r>
        <w:t>A CP is used to solicit views on matters under consideration and assist the AUASB</w:t>
      </w:r>
      <w:r>
        <w:rPr>
          <w:spacing w:val="-4"/>
        </w:rPr>
        <w:t xml:space="preserve"> </w:t>
      </w:r>
      <w:r>
        <w:t>in</w:t>
      </w:r>
      <w:r>
        <w:rPr>
          <w:spacing w:val="-3"/>
        </w:rPr>
        <w:t xml:space="preserve"> </w:t>
      </w:r>
      <w:r>
        <w:t>developing</w:t>
      </w:r>
      <w:r>
        <w:rPr>
          <w:spacing w:val="-3"/>
        </w:rPr>
        <w:t xml:space="preserve"> </w:t>
      </w:r>
      <w:r>
        <w:t>a</w:t>
      </w:r>
      <w:r>
        <w:rPr>
          <w:spacing w:val="-3"/>
        </w:rPr>
        <w:t xml:space="preserve"> </w:t>
      </w:r>
      <w:r>
        <w:t>draft</w:t>
      </w:r>
      <w:r>
        <w:rPr>
          <w:spacing w:val="-4"/>
        </w:rPr>
        <w:t xml:space="preserve"> </w:t>
      </w:r>
      <w:r>
        <w:t>of</w:t>
      </w:r>
      <w:r>
        <w:rPr>
          <w:spacing w:val="-3"/>
        </w:rPr>
        <w:t xml:space="preserve"> </w:t>
      </w:r>
      <w:r>
        <w:t>a</w:t>
      </w:r>
      <w:r>
        <w:rPr>
          <w:spacing w:val="-4"/>
        </w:rPr>
        <w:t xml:space="preserve"> </w:t>
      </w:r>
      <w:r>
        <w:t>proposed</w:t>
      </w:r>
      <w:r>
        <w:rPr>
          <w:spacing w:val="-4"/>
        </w:rPr>
        <w:t xml:space="preserve"> </w:t>
      </w:r>
      <w:r>
        <w:t>standard</w:t>
      </w:r>
      <w:r>
        <w:rPr>
          <w:spacing w:val="-3"/>
        </w:rPr>
        <w:t xml:space="preserve"> </w:t>
      </w:r>
      <w:r>
        <w:t>(or</w:t>
      </w:r>
      <w:r>
        <w:rPr>
          <w:spacing w:val="-3"/>
        </w:rPr>
        <w:t xml:space="preserve"> </w:t>
      </w:r>
      <w:r>
        <w:t>other</w:t>
      </w:r>
      <w:r>
        <w:rPr>
          <w:spacing w:val="-4"/>
        </w:rPr>
        <w:t xml:space="preserve"> </w:t>
      </w:r>
      <w:r>
        <w:t>pronouncement).</w:t>
      </w:r>
    </w:p>
    <w:p w14:paraId="1E805AC8" w14:textId="77777777" w:rsidR="00AA4A02" w:rsidRDefault="00960F31">
      <w:pPr>
        <w:pStyle w:val="BodyText"/>
        <w:spacing w:before="203" w:line="206" w:lineRule="auto"/>
        <w:ind w:left="1562"/>
      </w:pPr>
      <w:r>
        <w:t>The AUASB may issue its own DP/CP or, alternatively, issue a DP/CP that has been published</w:t>
      </w:r>
      <w:r>
        <w:rPr>
          <w:spacing w:val="-3"/>
        </w:rPr>
        <w:t xml:space="preserve"> </w:t>
      </w:r>
      <w:r>
        <w:t>internationally</w:t>
      </w:r>
      <w:r>
        <w:rPr>
          <w:spacing w:val="-3"/>
        </w:rPr>
        <w:t xml:space="preserve"> </w:t>
      </w:r>
      <w:r>
        <w:t>by</w:t>
      </w:r>
      <w:r>
        <w:rPr>
          <w:spacing w:val="-3"/>
        </w:rPr>
        <w:t xml:space="preserve"> </w:t>
      </w:r>
      <w:r>
        <w:t>the</w:t>
      </w:r>
      <w:r>
        <w:rPr>
          <w:spacing w:val="-3"/>
        </w:rPr>
        <w:t xml:space="preserve"> </w:t>
      </w:r>
      <w:r>
        <w:t>IAASB</w:t>
      </w:r>
      <w:r>
        <w:rPr>
          <w:spacing w:val="-5"/>
        </w:rPr>
        <w:t xml:space="preserve"> </w:t>
      </w:r>
      <w:r>
        <w:t>or</w:t>
      </w:r>
      <w:r>
        <w:rPr>
          <w:spacing w:val="-3"/>
        </w:rPr>
        <w:t xml:space="preserve"> </w:t>
      </w:r>
      <w:r>
        <w:t>another</w:t>
      </w:r>
      <w:r>
        <w:rPr>
          <w:spacing w:val="-5"/>
        </w:rPr>
        <w:t xml:space="preserve"> </w:t>
      </w:r>
      <w:r>
        <w:t>standard</w:t>
      </w:r>
      <w:r>
        <w:rPr>
          <w:spacing w:val="-6"/>
        </w:rPr>
        <w:t xml:space="preserve"> </w:t>
      </w:r>
      <w:r>
        <w:t>setter, sometimes</w:t>
      </w:r>
      <w:r>
        <w:rPr>
          <w:spacing w:val="-3"/>
        </w:rPr>
        <w:t xml:space="preserve"> </w:t>
      </w:r>
      <w:r>
        <w:t>with</w:t>
      </w:r>
      <w:r>
        <w:rPr>
          <w:spacing w:val="-3"/>
        </w:rPr>
        <w:t xml:space="preserve"> </w:t>
      </w:r>
      <w:r>
        <w:t>an</w:t>
      </w:r>
    </w:p>
    <w:p w14:paraId="1E805AC9" w14:textId="77777777" w:rsidR="00AA4A02" w:rsidRDefault="00AA4A02">
      <w:pPr>
        <w:pStyle w:val="BodyText"/>
        <w:rPr>
          <w:sz w:val="20"/>
        </w:rPr>
      </w:pPr>
    </w:p>
    <w:p w14:paraId="1E805ACA" w14:textId="77777777" w:rsidR="00AA4A02" w:rsidRDefault="00960F31">
      <w:pPr>
        <w:pStyle w:val="BodyText"/>
        <w:spacing w:before="109"/>
        <w:rPr>
          <w:sz w:val="20"/>
        </w:rPr>
      </w:pPr>
      <w:r>
        <w:rPr>
          <w:noProof/>
          <w:sz w:val="20"/>
        </w:rPr>
        <mc:AlternateContent>
          <mc:Choice Requires="wps">
            <w:drawing>
              <wp:anchor distT="0" distB="0" distL="0" distR="0" simplePos="0" relativeHeight="487604736" behindDoc="1" locked="0" layoutInCell="1" allowOverlap="1" wp14:anchorId="1E805F55" wp14:editId="1E805F56">
                <wp:simplePos x="0" y="0"/>
                <wp:positionH relativeFrom="page">
                  <wp:posOffset>900988</wp:posOffset>
                </wp:positionH>
                <wp:positionV relativeFrom="paragraph">
                  <wp:posOffset>230761</wp:posOffset>
                </wp:positionV>
                <wp:extent cx="1829435" cy="762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9C75C" id="Graphic 56" o:spid="_x0000_s1026" style="position:absolute;margin-left:70.95pt;margin-top:18.1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" path="m1829053,l,,,7619r1829053,l1829053,xe" fillcolor="black" stroked="f">
                <v:path arrowok="t"/>
                <w10:wrap type="topAndBottom" anchorx="page"/>
              </v:shape>
            </w:pict>
          </mc:Fallback>
        </mc:AlternateContent>
      </w:r>
    </w:p>
    <w:p w14:paraId="1E805ACB" w14:textId="77777777" w:rsidR="00AA4A02" w:rsidRDefault="00960F31">
      <w:pPr>
        <w:spacing w:before="73"/>
        <w:ind w:left="143"/>
        <w:rPr>
          <w:sz w:val="16"/>
        </w:rPr>
      </w:pPr>
      <w:r>
        <w:rPr>
          <w:sz w:val="16"/>
          <w:vertAlign w:val="superscript"/>
        </w:rPr>
        <w:t>34</w:t>
      </w:r>
      <w:r>
        <w:rPr>
          <w:spacing w:val="48"/>
          <w:sz w:val="16"/>
        </w:rPr>
        <w:t xml:space="preserve">  </w:t>
      </w:r>
      <w:r>
        <w:rPr>
          <w:sz w:val="16"/>
        </w:rPr>
        <w:t>A</w:t>
      </w:r>
      <w:r>
        <w:rPr>
          <w:spacing w:val="-3"/>
          <w:sz w:val="16"/>
        </w:rPr>
        <w:t xml:space="preserve"> </w:t>
      </w:r>
      <w:r>
        <w:rPr>
          <w:sz w:val="16"/>
        </w:rPr>
        <w:t>fatal-flaw</w:t>
      </w:r>
      <w:r>
        <w:rPr>
          <w:spacing w:val="-2"/>
          <w:sz w:val="16"/>
        </w:rPr>
        <w:t xml:space="preserve"> </w:t>
      </w:r>
      <w:r>
        <w:rPr>
          <w:sz w:val="16"/>
        </w:rPr>
        <w:t>review</w:t>
      </w:r>
      <w:r>
        <w:rPr>
          <w:spacing w:val="-4"/>
          <w:sz w:val="16"/>
        </w:rPr>
        <w:t xml:space="preserve"> </w:t>
      </w:r>
      <w:r>
        <w:rPr>
          <w:sz w:val="16"/>
        </w:rPr>
        <w:t>draft</w:t>
      </w:r>
      <w:r>
        <w:rPr>
          <w:spacing w:val="-2"/>
          <w:sz w:val="16"/>
        </w:rPr>
        <w:t xml:space="preserve"> </w:t>
      </w:r>
      <w:r>
        <w:rPr>
          <w:sz w:val="16"/>
        </w:rPr>
        <w:t>is</w:t>
      </w:r>
      <w:r>
        <w:rPr>
          <w:spacing w:val="-4"/>
          <w:sz w:val="16"/>
        </w:rPr>
        <w:t xml:space="preserve"> </w:t>
      </w:r>
      <w:r>
        <w:rPr>
          <w:sz w:val="16"/>
        </w:rPr>
        <w:t>a form</w:t>
      </w:r>
      <w:r>
        <w:rPr>
          <w:spacing w:val="-3"/>
          <w:sz w:val="16"/>
        </w:rPr>
        <w:t xml:space="preserve"> </w:t>
      </w:r>
      <w:r>
        <w:rPr>
          <w:sz w:val="16"/>
        </w:rPr>
        <w:t>of</w:t>
      </w:r>
      <w:r>
        <w:rPr>
          <w:spacing w:val="-4"/>
          <w:sz w:val="16"/>
        </w:rPr>
        <w:t xml:space="preserve"> </w:t>
      </w:r>
      <w:r>
        <w:rPr>
          <w:spacing w:val="-5"/>
          <w:sz w:val="16"/>
        </w:rPr>
        <w:t>ED.</w:t>
      </w:r>
    </w:p>
    <w:p w14:paraId="1E805ACC" w14:textId="77777777" w:rsidR="00AA4A02" w:rsidRDefault="00AA4A02">
      <w:pPr>
        <w:rPr>
          <w:sz w:val="16"/>
        </w:rPr>
        <w:sectPr w:rsidR="00AA4A02">
          <w:pgSz w:w="11910" w:h="16840"/>
          <w:pgMar w:top="1380" w:right="1275" w:bottom="1040" w:left="1275" w:header="689" w:footer="842" w:gutter="0"/>
          <w:cols w:space="720"/>
        </w:sectPr>
      </w:pPr>
    </w:p>
    <w:p w14:paraId="1E805ACD" w14:textId="77777777" w:rsidR="00AA4A02" w:rsidRDefault="00960F31">
      <w:pPr>
        <w:pStyle w:val="BodyText"/>
        <w:spacing w:before="219" w:line="208" w:lineRule="auto"/>
        <w:ind w:left="1562" w:right="95"/>
      </w:pPr>
      <w:r>
        <w:lastRenderedPageBreak/>
        <w:t>Australian</w:t>
      </w:r>
      <w:r>
        <w:rPr>
          <w:spacing w:val="-2"/>
        </w:rPr>
        <w:t xml:space="preserve"> </w:t>
      </w:r>
      <w:r>
        <w:t>Preface</w:t>
      </w:r>
      <w:r>
        <w:rPr>
          <w:spacing w:val="-4"/>
        </w:rPr>
        <w:t xml:space="preserve"> </w:t>
      </w:r>
      <w:r>
        <w:t>added</w:t>
      </w:r>
      <w:r>
        <w:rPr>
          <w:spacing w:val="-2"/>
        </w:rPr>
        <w:t xml:space="preserve"> </w:t>
      </w:r>
      <w:r>
        <w:t>to</w:t>
      </w:r>
      <w:r>
        <w:rPr>
          <w:spacing w:val="-5"/>
        </w:rPr>
        <w:t xml:space="preserve"> </w:t>
      </w:r>
      <w:r>
        <w:t>explain</w:t>
      </w:r>
      <w:r>
        <w:rPr>
          <w:spacing w:val="-5"/>
        </w:rPr>
        <w:t xml:space="preserve"> </w:t>
      </w:r>
      <w:r>
        <w:t>the</w:t>
      </w:r>
      <w:r>
        <w:rPr>
          <w:spacing w:val="-4"/>
        </w:rPr>
        <w:t xml:space="preserve"> </w:t>
      </w:r>
      <w:r>
        <w:t>context and</w:t>
      </w:r>
      <w:r>
        <w:rPr>
          <w:spacing w:val="-4"/>
        </w:rPr>
        <w:t xml:space="preserve"> </w:t>
      </w:r>
      <w:r>
        <w:t>focus</w:t>
      </w:r>
      <w:r>
        <w:rPr>
          <w:spacing w:val="-2"/>
        </w:rPr>
        <w:t xml:space="preserve"> </w:t>
      </w:r>
      <w:r>
        <w:t>stakeholders’</w:t>
      </w:r>
      <w:r>
        <w:rPr>
          <w:spacing w:val="-2"/>
        </w:rPr>
        <w:t xml:space="preserve"> </w:t>
      </w:r>
      <w:r>
        <w:t>attention</w:t>
      </w:r>
      <w:r>
        <w:rPr>
          <w:spacing w:val="-2"/>
        </w:rPr>
        <w:t xml:space="preserve"> </w:t>
      </w:r>
      <w:r>
        <w:t>on Australian specific matters.</w:t>
      </w:r>
      <w:r>
        <w:rPr>
          <w:spacing w:val="-3"/>
        </w:rPr>
        <w:t xml:space="preserve"> </w:t>
      </w:r>
      <w:r>
        <w:rPr>
          <w:vertAlign w:val="superscript"/>
        </w:rPr>
        <w:t>35</w:t>
      </w:r>
    </w:p>
    <w:p w14:paraId="1E805ACE" w14:textId="77777777" w:rsidR="00AA4A02" w:rsidRDefault="00960F31">
      <w:pPr>
        <w:pStyle w:val="ListParagraph"/>
        <w:numPr>
          <w:ilvl w:val="1"/>
          <w:numId w:val="29"/>
        </w:numPr>
        <w:tabs>
          <w:tab w:val="left" w:pos="1562"/>
        </w:tabs>
        <w:spacing w:line="208" w:lineRule="auto"/>
        <w:ind w:right="522"/>
      </w:pPr>
      <w:r>
        <w:rPr>
          <w:i/>
        </w:rPr>
        <w:t>Invitation</w:t>
      </w:r>
      <w:r>
        <w:rPr>
          <w:i/>
          <w:spacing w:val="-3"/>
        </w:rPr>
        <w:t xml:space="preserve"> </w:t>
      </w:r>
      <w:r>
        <w:rPr>
          <w:i/>
        </w:rPr>
        <w:t>to</w:t>
      </w:r>
      <w:r>
        <w:rPr>
          <w:i/>
          <w:spacing w:val="-3"/>
        </w:rPr>
        <w:t xml:space="preserve"> </w:t>
      </w:r>
      <w:r>
        <w:rPr>
          <w:i/>
        </w:rPr>
        <w:t xml:space="preserve">Comment </w:t>
      </w:r>
      <w:r>
        <w:t>–</w:t>
      </w:r>
      <w:r>
        <w:rPr>
          <w:spacing w:val="-3"/>
        </w:rPr>
        <w:t xml:space="preserve"> </w:t>
      </w:r>
      <w:r>
        <w:t>An</w:t>
      </w:r>
      <w:r>
        <w:rPr>
          <w:spacing w:val="-3"/>
        </w:rPr>
        <w:t xml:space="preserve"> </w:t>
      </w:r>
      <w:r>
        <w:t>Invitation</w:t>
      </w:r>
      <w:r>
        <w:rPr>
          <w:spacing w:val="-3"/>
        </w:rPr>
        <w:t xml:space="preserve"> </w:t>
      </w:r>
      <w:r>
        <w:t>to</w:t>
      </w:r>
      <w:r>
        <w:rPr>
          <w:spacing w:val="-3"/>
        </w:rPr>
        <w:t xml:space="preserve"> </w:t>
      </w:r>
      <w:r>
        <w:t>Comment</w:t>
      </w:r>
      <w:r>
        <w:rPr>
          <w:spacing w:val="-5"/>
        </w:rPr>
        <w:t xml:space="preserve"> </w:t>
      </w:r>
      <w:r>
        <w:t>(ITC)</w:t>
      </w:r>
      <w:r>
        <w:rPr>
          <w:spacing w:val="-3"/>
        </w:rPr>
        <w:t xml:space="preserve"> </w:t>
      </w:r>
      <w:r>
        <w:t>precede</w:t>
      </w:r>
      <w:r>
        <w:rPr>
          <w:spacing w:val="-5"/>
        </w:rPr>
        <w:t xml:space="preserve"> </w:t>
      </w:r>
      <w:r>
        <w:t>or</w:t>
      </w:r>
      <w:r>
        <w:rPr>
          <w:spacing w:val="-5"/>
        </w:rPr>
        <w:t xml:space="preserve"> </w:t>
      </w:r>
      <w:r>
        <w:t>accompany</w:t>
      </w:r>
      <w:r>
        <w:rPr>
          <w:spacing w:val="-5"/>
        </w:rPr>
        <w:t xml:space="preserve"> </w:t>
      </w:r>
      <w:r>
        <w:t>a DP, CP or ED and set out matters on which the AUASB is seeking feedback.</w:t>
      </w:r>
    </w:p>
    <w:p w14:paraId="1E805ACF" w14:textId="77777777" w:rsidR="00AA4A02" w:rsidRDefault="00960F31">
      <w:pPr>
        <w:pStyle w:val="ListParagraph"/>
        <w:numPr>
          <w:ilvl w:val="1"/>
          <w:numId w:val="29"/>
        </w:numPr>
        <w:tabs>
          <w:tab w:val="left" w:pos="1562"/>
        </w:tabs>
        <w:spacing w:line="208" w:lineRule="auto"/>
        <w:ind w:right="146"/>
      </w:pPr>
      <w:r>
        <w:rPr>
          <w:i/>
        </w:rPr>
        <w:t xml:space="preserve">Request for information </w:t>
      </w:r>
      <w:r>
        <w:t>– A request for information is used to consult on a specific aspect</w:t>
      </w:r>
      <w:r>
        <w:rPr>
          <w:spacing w:val="-1"/>
        </w:rPr>
        <w:t xml:space="preserve"> </w:t>
      </w:r>
      <w:r>
        <w:t>of</w:t>
      </w:r>
      <w:r>
        <w:rPr>
          <w:spacing w:val="-2"/>
        </w:rPr>
        <w:t xml:space="preserve"> </w:t>
      </w:r>
      <w:r>
        <w:t>one</w:t>
      </w:r>
      <w:r>
        <w:rPr>
          <w:spacing w:val="-4"/>
        </w:rPr>
        <w:t xml:space="preserve"> </w:t>
      </w:r>
      <w:r>
        <w:t>of</w:t>
      </w:r>
      <w:r>
        <w:rPr>
          <w:spacing w:val="-4"/>
        </w:rPr>
        <w:t xml:space="preserve"> </w:t>
      </w:r>
      <w:r>
        <w:t>the</w:t>
      </w:r>
      <w:r>
        <w:rPr>
          <w:spacing w:val="-2"/>
        </w:rPr>
        <w:t xml:space="preserve"> </w:t>
      </w:r>
      <w:r>
        <w:t>AUASB’s</w:t>
      </w:r>
      <w:r>
        <w:rPr>
          <w:spacing w:val="-2"/>
        </w:rPr>
        <w:t xml:space="preserve"> </w:t>
      </w:r>
      <w:r>
        <w:t>projects,</w:t>
      </w:r>
      <w:r>
        <w:rPr>
          <w:spacing w:val="-2"/>
        </w:rPr>
        <w:t xml:space="preserve"> </w:t>
      </w:r>
      <w:r>
        <w:t>for</w:t>
      </w:r>
      <w:r>
        <w:rPr>
          <w:spacing w:val="-2"/>
        </w:rPr>
        <w:t xml:space="preserve"> </w:t>
      </w:r>
      <w:r>
        <w:t>example,</w:t>
      </w:r>
      <w:r>
        <w:rPr>
          <w:spacing w:val="-4"/>
        </w:rPr>
        <w:t xml:space="preserve"> </w:t>
      </w:r>
      <w:r>
        <w:t>to</w:t>
      </w:r>
      <w:r>
        <w:rPr>
          <w:spacing w:val="-2"/>
        </w:rPr>
        <w:t xml:space="preserve"> </w:t>
      </w:r>
      <w:r>
        <w:t>help</w:t>
      </w:r>
      <w:r>
        <w:rPr>
          <w:spacing w:val="-5"/>
        </w:rPr>
        <w:t xml:space="preserve"> </w:t>
      </w:r>
      <w:r>
        <w:t>the</w:t>
      </w:r>
      <w:r>
        <w:rPr>
          <w:spacing w:val="-4"/>
        </w:rPr>
        <w:t xml:space="preserve"> </w:t>
      </w:r>
      <w:r>
        <w:t>AUASB</w:t>
      </w:r>
      <w:r>
        <w:rPr>
          <w:spacing w:val="-4"/>
        </w:rPr>
        <w:t xml:space="preserve"> </w:t>
      </w:r>
      <w:r>
        <w:t>to</w:t>
      </w:r>
      <w:r>
        <w:rPr>
          <w:spacing w:val="-2"/>
        </w:rPr>
        <w:t xml:space="preserve"> </w:t>
      </w:r>
      <w:r>
        <w:t>prepare</w:t>
      </w:r>
      <w:r>
        <w:rPr>
          <w:spacing w:val="-2"/>
        </w:rPr>
        <w:t xml:space="preserve"> </w:t>
      </w:r>
      <w:r>
        <w:t>an ED or finalise a pronouncement.</w:t>
      </w:r>
    </w:p>
    <w:p w14:paraId="1E805AD0" w14:textId="77777777" w:rsidR="00AA4A02" w:rsidRDefault="00960F31">
      <w:pPr>
        <w:pStyle w:val="ListParagraph"/>
        <w:numPr>
          <w:ilvl w:val="1"/>
          <w:numId w:val="29"/>
        </w:numPr>
        <w:tabs>
          <w:tab w:val="left" w:pos="1562"/>
        </w:tabs>
        <w:spacing w:before="199" w:line="208" w:lineRule="auto"/>
        <w:ind w:right="807"/>
      </w:pPr>
      <w:r>
        <w:rPr>
          <w:i/>
        </w:rPr>
        <w:t>Draft</w:t>
      </w:r>
      <w:r>
        <w:rPr>
          <w:i/>
          <w:spacing w:val="-1"/>
        </w:rPr>
        <w:t xml:space="preserve"> </w:t>
      </w:r>
      <w:r>
        <w:rPr>
          <w:i/>
        </w:rPr>
        <w:t>AUASB</w:t>
      </w:r>
      <w:r>
        <w:rPr>
          <w:i/>
          <w:spacing w:val="-3"/>
        </w:rPr>
        <w:t xml:space="preserve"> </w:t>
      </w:r>
      <w:r>
        <w:rPr>
          <w:i/>
        </w:rPr>
        <w:t>Guidance</w:t>
      </w:r>
      <w:r>
        <w:rPr>
          <w:i/>
          <w:spacing w:val="-2"/>
        </w:rPr>
        <w:t xml:space="preserve"> </w:t>
      </w:r>
      <w:r>
        <w:rPr>
          <w:i/>
        </w:rPr>
        <w:t xml:space="preserve">Statement </w:t>
      </w:r>
      <w:r>
        <w:t>–</w:t>
      </w:r>
      <w:r>
        <w:rPr>
          <w:spacing w:val="-2"/>
        </w:rPr>
        <w:t xml:space="preserve"> </w:t>
      </w:r>
      <w:r>
        <w:t>A</w:t>
      </w:r>
      <w:r>
        <w:rPr>
          <w:spacing w:val="-3"/>
        </w:rPr>
        <w:t xml:space="preserve"> </w:t>
      </w:r>
      <w:r>
        <w:t>Draft</w:t>
      </w:r>
      <w:r>
        <w:rPr>
          <w:spacing w:val="-4"/>
        </w:rPr>
        <w:t xml:space="preserve"> </w:t>
      </w:r>
      <w:r>
        <w:t>Guidance</w:t>
      </w:r>
      <w:r>
        <w:rPr>
          <w:spacing w:val="-4"/>
        </w:rPr>
        <w:t xml:space="preserve"> </w:t>
      </w:r>
      <w:r>
        <w:t>Statement</w:t>
      </w:r>
      <w:r>
        <w:rPr>
          <w:spacing w:val="-4"/>
        </w:rPr>
        <w:t xml:space="preserve"> </w:t>
      </w:r>
      <w:r>
        <w:t>is</w:t>
      </w:r>
      <w:r>
        <w:rPr>
          <w:spacing w:val="-4"/>
        </w:rPr>
        <w:t xml:space="preserve"> </w:t>
      </w:r>
      <w:r>
        <w:t>a</w:t>
      </w:r>
      <w:r>
        <w:rPr>
          <w:spacing w:val="-2"/>
        </w:rPr>
        <w:t xml:space="preserve"> </w:t>
      </w:r>
      <w:r>
        <w:t>draft</w:t>
      </w:r>
      <w:r>
        <w:rPr>
          <w:spacing w:val="-1"/>
        </w:rPr>
        <w:t xml:space="preserve"> </w:t>
      </w:r>
      <w:r>
        <w:t>of</w:t>
      </w:r>
      <w:r>
        <w:rPr>
          <w:spacing w:val="-4"/>
        </w:rPr>
        <w:t xml:space="preserve"> </w:t>
      </w:r>
      <w:r>
        <w:t>a proposed Guidance Statement and is the equivalent of an ED for a Standard.</w:t>
      </w:r>
    </w:p>
    <w:p w14:paraId="1E805AD1" w14:textId="77777777" w:rsidR="00AA4A02" w:rsidRDefault="00960F31">
      <w:pPr>
        <w:pStyle w:val="Heading7"/>
      </w:pPr>
      <w:bookmarkStart w:id="53" w:name="Due_process_for_Public_Consultation_and_"/>
      <w:bookmarkEnd w:id="53"/>
      <w:r>
        <w:t>Due</w:t>
      </w:r>
      <w:r>
        <w:rPr>
          <w:spacing w:val="-7"/>
        </w:rPr>
        <w:t xml:space="preserve"> </w:t>
      </w:r>
      <w:r>
        <w:t>process</w:t>
      </w:r>
      <w:r>
        <w:rPr>
          <w:spacing w:val="-6"/>
        </w:rPr>
        <w:t xml:space="preserve"> </w:t>
      </w:r>
      <w:r>
        <w:t>for</w:t>
      </w:r>
      <w:r>
        <w:rPr>
          <w:spacing w:val="-7"/>
        </w:rPr>
        <w:t xml:space="preserve"> </w:t>
      </w:r>
      <w:r>
        <w:t>Public</w:t>
      </w:r>
      <w:r>
        <w:rPr>
          <w:spacing w:val="-5"/>
        </w:rPr>
        <w:t xml:space="preserve"> </w:t>
      </w:r>
      <w:r>
        <w:t>Consultation</w:t>
      </w:r>
      <w:r>
        <w:rPr>
          <w:spacing w:val="-6"/>
        </w:rPr>
        <w:t xml:space="preserve"> </w:t>
      </w:r>
      <w:r>
        <w:t>and</w:t>
      </w:r>
      <w:r>
        <w:rPr>
          <w:spacing w:val="-6"/>
        </w:rPr>
        <w:t xml:space="preserve"> </w:t>
      </w:r>
      <w:r>
        <w:t>Exposure</w:t>
      </w:r>
      <w:r>
        <w:rPr>
          <w:spacing w:val="-6"/>
        </w:rPr>
        <w:t xml:space="preserve"> </w:t>
      </w:r>
      <w:r>
        <w:t>of</w:t>
      </w:r>
      <w:r>
        <w:rPr>
          <w:spacing w:val="-6"/>
        </w:rPr>
        <w:t xml:space="preserve"> </w:t>
      </w:r>
      <w:r>
        <w:t>AUASB</w:t>
      </w:r>
      <w:r>
        <w:rPr>
          <w:spacing w:val="-6"/>
        </w:rPr>
        <w:t xml:space="preserve"> </w:t>
      </w:r>
      <w:r>
        <w:rPr>
          <w:spacing w:val="-2"/>
        </w:rPr>
        <w:t>Standards</w:t>
      </w:r>
    </w:p>
    <w:p w14:paraId="1E805AD2" w14:textId="77777777" w:rsidR="00AA4A02" w:rsidRDefault="00960F31">
      <w:pPr>
        <w:pStyle w:val="ListParagraph"/>
        <w:numPr>
          <w:ilvl w:val="0"/>
          <w:numId w:val="29"/>
        </w:numPr>
        <w:tabs>
          <w:tab w:val="left" w:pos="851"/>
        </w:tabs>
        <w:spacing w:before="192" w:line="208" w:lineRule="auto"/>
        <w:ind w:right="159"/>
      </w:pPr>
      <w:r>
        <w:t>To ensure appropriate consultation is undertaken for all major projects undertaken by the AUASB,</w:t>
      </w:r>
      <w:r>
        <w:rPr>
          <w:spacing w:val="-3"/>
        </w:rPr>
        <w:t xml:space="preserve"> </w:t>
      </w:r>
      <w:r>
        <w:t>such</w:t>
      </w:r>
      <w:r>
        <w:rPr>
          <w:spacing w:val="-3"/>
        </w:rPr>
        <w:t xml:space="preserve"> </w:t>
      </w:r>
      <w:r>
        <w:t>as</w:t>
      </w:r>
      <w:r>
        <w:rPr>
          <w:spacing w:val="-5"/>
        </w:rPr>
        <w:t xml:space="preserve"> </w:t>
      </w:r>
      <w:r>
        <w:t>the</w:t>
      </w:r>
      <w:r>
        <w:rPr>
          <w:spacing w:val="-3"/>
        </w:rPr>
        <w:t xml:space="preserve"> </w:t>
      </w:r>
      <w:r>
        <w:t>development</w:t>
      </w:r>
      <w:r>
        <w:rPr>
          <w:spacing w:val="-2"/>
        </w:rPr>
        <w:t xml:space="preserve"> </w:t>
      </w:r>
      <w:r>
        <w:t>of</w:t>
      </w:r>
      <w:r>
        <w:rPr>
          <w:spacing w:val="-1"/>
        </w:rPr>
        <w:t xml:space="preserve"> </w:t>
      </w:r>
      <w:r>
        <w:t>a</w:t>
      </w:r>
      <w:r>
        <w:rPr>
          <w:spacing w:val="-3"/>
        </w:rPr>
        <w:t xml:space="preserve"> </w:t>
      </w:r>
      <w:r>
        <w:t>new</w:t>
      </w:r>
      <w:r>
        <w:rPr>
          <w:spacing w:val="-3"/>
        </w:rPr>
        <w:t xml:space="preserve"> </w:t>
      </w:r>
      <w:r>
        <w:t>standard</w:t>
      </w:r>
      <w:r>
        <w:rPr>
          <w:spacing w:val="-2"/>
        </w:rPr>
        <w:t xml:space="preserve"> </w:t>
      </w:r>
      <w:r>
        <w:t>or</w:t>
      </w:r>
      <w:r>
        <w:rPr>
          <w:spacing w:val="-2"/>
        </w:rPr>
        <w:t xml:space="preserve"> </w:t>
      </w:r>
      <w:r>
        <w:t>comprehensive</w:t>
      </w:r>
      <w:r>
        <w:rPr>
          <w:spacing w:val="-3"/>
        </w:rPr>
        <w:t xml:space="preserve"> </w:t>
      </w:r>
      <w:r>
        <w:t>revisions</w:t>
      </w:r>
      <w:r>
        <w:rPr>
          <w:spacing w:val="-3"/>
        </w:rPr>
        <w:t xml:space="preserve"> </w:t>
      </w:r>
      <w:r>
        <w:t>to</w:t>
      </w:r>
      <w:r>
        <w:rPr>
          <w:spacing w:val="-3"/>
        </w:rPr>
        <w:t xml:space="preserve"> </w:t>
      </w:r>
      <w:r>
        <w:t>an</w:t>
      </w:r>
      <w:r>
        <w:rPr>
          <w:spacing w:val="-3"/>
        </w:rPr>
        <w:t xml:space="preserve"> </w:t>
      </w:r>
      <w:r>
        <w:t>existing standard, the following due process is applied:</w:t>
      </w:r>
      <w:r>
        <w:rPr>
          <w:spacing w:val="-6"/>
        </w:rPr>
        <w:t xml:space="preserve"> </w:t>
      </w:r>
      <w:r>
        <w:rPr>
          <w:vertAlign w:val="superscript"/>
        </w:rPr>
        <w:t>36</w:t>
      </w:r>
    </w:p>
    <w:p w14:paraId="1E805AD3" w14:textId="77777777" w:rsidR="00AA4A02" w:rsidRDefault="00960F31">
      <w:pPr>
        <w:pStyle w:val="ListParagraph"/>
        <w:numPr>
          <w:ilvl w:val="1"/>
          <w:numId w:val="29"/>
        </w:numPr>
        <w:tabs>
          <w:tab w:val="left" w:pos="1562"/>
        </w:tabs>
        <w:spacing w:before="202" w:line="208" w:lineRule="auto"/>
        <w:ind w:right="208"/>
      </w:pPr>
      <w:r>
        <w:t>Obtain</w:t>
      </w:r>
      <w:r>
        <w:rPr>
          <w:spacing w:val="-4"/>
        </w:rPr>
        <w:t xml:space="preserve"> </w:t>
      </w:r>
      <w:r>
        <w:t>stakeholder</w:t>
      </w:r>
      <w:r>
        <w:rPr>
          <w:spacing w:val="-3"/>
        </w:rPr>
        <w:t xml:space="preserve"> </w:t>
      </w:r>
      <w:r>
        <w:t>input to</w:t>
      </w:r>
      <w:r>
        <w:rPr>
          <w:spacing w:val="-4"/>
        </w:rPr>
        <w:t xml:space="preserve"> </w:t>
      </w:r>
      <w:r>
        <w:t>identify</w:t>
      </w:r>
      <w:r>
        <w:rPr>
          <w:spacing w:val="-1"/>
        </w:rPr>
        <w:t xml:space="preserve"> </w:t>
      </w:r>
      <w:r>
        <w:t>issues</w:t>
      </w:r>
      <w:r>
        <w:rPr>
          <w:spacing w:val="-3"/>
        </w:rPr>
        <w:t xml:space="preserve"> </w:t>
      </w:r>
      <w:r>
        <w:t>to</w:t>
      </w:r>
      <w:r>
        <w:rPr>
          <w:spacing w:val="-1"/>
        </w:rPr>
        <w:t xml:space="preserve"> </w:t>
      </w:r>
      <w:r>
        <w:t>be</w:t>
      </w:r>
      <w:r>
        <w:rPr>
          <w:spacing w:val="-3"/>
        </w:rPr>
        <w:t xml:space="preserve"> </w:t>
      </w:r>
      <w:r>
        <w:t>addressed,</w:t>
      </w:r>
      <w:r>
        <w:rPr>
          <w:spacing w:val="-1"/>
        </w:rPr>
        <w:t xml:space="preserve"> </w:t>
      </w:r>
      <w:r>
        <w:t>the</w:t>
      </w:r>
      <w:r>
        <w:rPr>
          <w:spacing w:val="-1"/>
        </w:rPr>
        <w:t xml:space="preserve"> </w:t>
      </w:r>
      <w:r>
        <w:t>scope</w:t>
      </w:r>
      <w:r>
        <w:rPr>
          <w:spacing w:val="-3"/>
        </w:rPr>
        <w:t xml:space="preserve"> </w:t>
      </w:r>
      <w:r>
        <w:t>of</w:t>
      </w:r>
      <w:r>
        <w:rPr>
          <w:spacing w:val="-3"/>
        </w:rPr>
        <w:t xml:space="preserve"> </w:t>
      </w:r>
      <w:r>
        <w:t>the</w:t>
      </w:r>
      <w:r>
        <w:rPr>
          <w:spacing w:val="-3"/>
        </w:rPr>
        <w:t xml:space="preserve"> </w:t>
      </w:r>
      <w:r>
        <w:t>issues</w:t>
      </w:r>
      <w:r>
        <w:rPr>
          <w:spacing w:val="-3"/>
        </w:rPr>
        <w:t xml:space="preserve"> </w:t>
      </w:r>
      <w:r>
        <w:t>and the rationale for needing a ‘standard-setting’ solution.</w:t>
      </w:r>
    </w:p>
    <w:p w14:paraId="1E805AD4" w14:textId="77777777" w:rsidR="00AA4A02" w:rsidRDefault="00960F31">
      <w:pPr>
        <w:pStyle w:val="ListParagraph"/>
        <w:numPr>
          <w:ilvl w:val="1"/>
          <w:numId w:val="29"/>
        </w:numPr>
        <w:tabs>
          <w:tab w:val="left" w:pos="1562"/>
        </w:tabs>
        <w:spacing w:before="198" w:line="208" w:lineRule="auto"/>
        <w:ind w:right="469"/>
      </w:pPr>
      <w:r>
        <w:t>Conduct</w:t>
      </w:r>
      <w:r>
        <w:rPr>
          <w:spacing w:val="-5"/>
        </w:rPr>
        <w:t xml:space="preserve"> </w:t>
      </w:r>
      <w:r>
        <w:t>initial</w:t>
      </w:r>
      <w:r>
        <w:rPr>
          <w:spacing w:val="-2"/>
        </w:rPr>
        <w:t xml:space="preserve"> </w:t>
      </w:r>
      <w:r>
        <w:t>outreach</w:t>
      </w:r>
      <w:r>
        <w:rPr>
          <w:spacing w:val="-3"/>
        </w:rPr>
        <w:t xml:space="preserve"> </w:t>
      </w:r>
      <w:r>
        <w:t>and</w:t>
      </w:r>
      <w:r>
        <w:rPr>
          <w:spacing w:val="-3"/>
        </w:rPr>
        <w:t xml:space="preserve"> </w:t>
      </w:r>
      <w:r>
        <w:t>information</w:t>
      </w:r>
      <w:r>
        <w:rPr>
          <w:spacing w:val="-6"/>
        </w:rPr>
        <w:t xml:space="preserve"> </w:t>
      </w:r>
      <w:r>
        <w:t>gathering</w:t>
      </w:r>
      <w:r>
        <w:rPr>
          <w:spacing w:val="-6"/>
        </w:rPr>
        <w:t xml:space="preserve"> </w:t>
      </w:r>
      <w:r>
        <w:t>in</w:t>
      </w:r>
      <w:r>
        <w:rPr>
          <w:spacing w:val="-6"/>
        </w:rPr>
        <w:t xml:space="preserve"> </w:t>
      </w:r>
      <w:r>
        <w:t>accordance</w:t>
      </w:r>
      <w:r>
        <w:rPr>
          <w:spacing w:val="-3"/>
        </w:rPr>
        <w:t xml:space="preserve"> </w:t>
      </w:r>
      <w:r>
        <w:t>with</w:t>
      </w:r>
      <w:r>
        <w:rPr>
          <w:spacing w:val="-6"/>
        </w:rPr>
        <w:t xml:space="preserve"> </w:t>
      </w:r>
      <w:r>
        <w:t xml:space="preserve">the </w:t>
      </w:r>
      <w:hyperlink r:id="rId98">
        <w:r>
          <w:rPr>
            <w:color w:val="0000FF"/>
            <w:u w:val="single" w:color="0000FF"/>
          </w:rPr>
          <w:t>AUASB</w:t>
        </w:r>
      </w:hyperlink>
      <w:r>
        <w:rPr>
          <w:color w:val="0000FF"/>
        </w:rPr>
        <w:t xml:space="preserve"> </w:t>
      </w:r>
      <w:hyperlink r:id="rId99">
        <w:r>
          <w:rPr>
            <w:color w:val="0000FF"/>
            <w:u w:val="single" w:color="0000FF"/>
          </w:rPr>
          <w:t>EISS Strategy</w:t>
        </w:r>
      </w:hyperlink>
      <w:r>
        <w:t>.</w:t>
      </w:r>
    </w:p>
    <w:p w14:paraId="1E805AD5" w14:textId="77777777" w:rsidR="00AA4A02" w:rsidRDefault="00960F31">
      <w:pPr>
        <w:pStyle w:val="ListParagraph"/>
        <w:numPr>
          <w:ilvl w:val="1"/>
          <w:numId w:val="29"/>
        </w:numPr>
        <w:tabs>
          <w:tab w:val="left" w:pos="1562"/>
        </w:tabs>
        <w:spacing w:line="208" w:lineRule="auto"/>
        <w:ind w:right="405"/>
      </w:pPr>
      <w:r>
        <w:t>Determine</w:t>
      </w:r>
      <w:r>
        <w:rPr>
          <w:spacing w:val="-4"/>
        </w:rPr>
        <w:t xml:space="preserve"> </w:t>
      </w:r>
      <w:r>
        <w:t>the</w:t>
      </w:r>
      <w:r>
        <w:rPr>
          <w:spacing w:val="-4"/>
        </w:rPr>
        <w:t xml:space="preserve"> </w:t>
      </w:r>
      <w:r>
        <w:t>appropriate</w:t>
      </w:r>
      <w:r>
        <w:rPr>
          <w:spacing w:val="-3"/>
        </w:rPr>
        <w:t xml:space="preserve"> </w:t>
      </w:r>
      <w:r>
        <w:t>response</w:t>
      </w:r>
      <w:r>
        <w:rPr>
          <w:spacing w:val="-3"/>
        </w:rPr>
        <w:t xml:space="preserve"> </w:t>
      </w:r>
      <w:r>
        <w:t>required</w:t>
      </w:r>
      <w:r>
        <w:rPr>
          <w:spacing w:val="-4"/>
        </w:rPr>
        <w:t xml:space="preserve"> </w:t>
      </w:r>
      <w:r>
        <w:t>by</w:t>
      </w:r>
      <w:r>
        <w:rPr>
          <w:spacing w:val="-3"/>
        </w:rPr>
        <w:t xml:space="preserve"> </w:t>
      </w:r>
      <w:r>
        <w:t>the</w:t>
      </w:r>
      <w:r>
        <w:rPr>
          <w:spacing w:val="-3"/>
        </w:rPr>
        <w:t xml:space="preserve"> </w:t>
      </w:r>
      <w:r>
        <w:t>AUASB</w:t>
      </w:r>
      <w:r>
        <w:rPr>
          <w:spacing w:val="-4"/>
        </w:rPr>
        <w:t xml:space="preserve"> </w:t>
      </w:r>
      <w:r>
        <w:t>via</w:t>
      </w:r>
      <w:r>
        <w:rPr>
          <w:spacing w:val="-3"/>
        </w:rPr>
        <w:t xml:space="preserve"> </w:t>
      </w:r>
      <w:r>
        <w:t>the</w:t>
      </w:r>
      <w:r>
        <w:rPr>
          <w:spacing w:val="-3"/>
        </w:rPr>
        <w:t xml:space="preserve"> </w:t>
      </w:r>
      <w:r>
        <w:t>completion</w:t>
      </w:r>
      <w:r>
        <w:rPr>
          <w:spacing w:val="-5"/>
        </w:rPr>
        <w:t xml:space="preserve"> </w:t>
      </w:r>
      <w:r>
        <w:t>and approval of an AUASB Project Plan.</w:t>
      </w:r>
      <w:r>
        <w:rPr>
          <w:vertAlign w:val="superscript"/>
        </w:rPr>
        <w:t>37</w:t>
      </w:r>
    </w:p>
    <w:p w14:paraId="1E805AD6" w14:textId="77777777" w:rsidR="00AA4A02" w:rsidRDefault="00960F31">
      <w:pPr>
        <w:pStyle w:val="ListParagraph"/>
        <w:numPr>
          <w:ilvl w:val="1"/>
          <w:numId w:val="29"/>
        </w:numPr>
        <w:tabs>
          <w:tab w:val="left" w:pos="1562"/>
        </w:tabs>
        <w:spacing w:before="174"/>
      </w:pPr>
      <w:r>
        <w:t>Debate</w:t>
      </w:r>
      <w:r>
        <w:rPr>
          <w:spacing w:val="-5"/>
        </w:rPr>
        <w:t xml:space="preserve"> </w:t>
      </w:r>
      <w:r>
        <w:t>proposals</w:t>
      </w:r>
      <w:r>
        <w:rPr>
          <w:spacing w:val="-4"/>
        </w:rPr>
        <w:t xml:space="preserve"> </w:t>
      </w:r>
      <w:r>
        <w:t>in</w:t>
      </w:r>
      <w:r>
        <w:rPr>
          <w:spacing w:val="-2"/>
        </w:rPr>
        <w:t xml:space="preserve"> </w:t>
      </w:r>
      <w:r>
        <w:t>one</w:t>
      </w:r>
      <w:r>
        <w:rPr>
          <w:spacing w:val="-2"/>
        </w:rPr>
        <w:t xml:space="preserve"> </w:t>
      </w:r>
      <w:r>
        <w:t>or</w:t>
      </w:r>
      <w:r>
        <w:rPr>
          <w:spacing w:val="-4"/>
        </w:rPr>
        <w:t xml:space="preserve"> </w:t>
      </w:r>
      <w:r>
        <w:t>more</w:t>
      </w:r>
      <w:r>
        <w:rPr>
          <w:spacing w:val="-2"/>
        </w:rPr>
        <w:t xml:space="preserve"> </w:t>
      </w:r>
      <w:r>
        <w:t>public</w:t>
      </w:r>
      <w:r>
        <w:rPr>
          <w:spacing w:val="-2"/>
        </w:rPr>
        <w:t xml:space="preserve"> meetings.</w:t>
      </w:r>
    </w:p>
    <w:p w14:paraId="1E805AD7" w14:textId="77777777" w:rsidR="00AA4A02" w:rsidRDefault="00960F31">
      <w:pPr>
        <w:pStyle w:val="ListParagraph"/>
        <w:numPr>
          <w:ilvl w:val="1"/>
          <w:numId w:val="29"/>
        </w:numPr>
        <w:tabs>
          <w:tab w:val="left" w:pos="1562"/>
        </w:tabs>
        <w:spacing w:before="193" w:line="208" w:lineRule="auto"/>
        <w:ind w:right="336"/>
      </w:pPr>
      <w:r>
        <w:t>Use</w:t>
      </w:r>
      <w:r>
        <w:rPr>
          <w:spacing w:val="-3"/>
        </w:rPr>
        <w:t xml:space="preserve"> </w:t>
      </w:r>
      <w:r>
        <w:t>an</w:t>
      </w:r>
      <w:r>
        <w:rPr>
          <w:spacing w:val="-3"/>
        </w:rPr>
        <w:t xml:space="preserve"> </w:t>
      </w:r>
      <w:r>
        <w:t>evidence-informed</w:t>
      </w:r>
      <w:r>
        <w:rPr>
          <w:spacing w:val="-5"/>
        </w:rPr>
        <w:t xml:space="preserve"> </w:t>
      </w:r>
      <w:r>
        <w:t>approach</w:t>
      </w:r>
      <w:r>
        <w:rPr>
          <w:spacing w:val="-6"/>
        </w:rPr>
        <w:t xml:space="preserve"> </w:t>
      </w:r>
      <w:r>
        <w:t>to</w:t>
      </w:r>
      <w:r>
        <w:rPr>
          <w:spacing w:val="-3"/>
        </w:rPr>
        <w:t xml:space="preserve"> </w:t>
      </w:r>
      <w:r>
        <w:t>standard-setting</w:t>
      </w:r>
      <w:r>
        <w:rPr>
          <w:spacing w:val="-3"/>
        </w:rPr>
        <w:t xml:space="preserve"> </w:t>
      </w:r>
      <w:r>
        <w:t>to</w:t>
      </w:r>
      <w:r>
        <w:rPr>
          <w:spacing w:val="-3"/>
        </w:rPr>
        <w:t xml:space="preserve"> </w:t>
      </w:r>
      <w:r>
        <w:t>ensure</w:t>
      </w:r>
      <w:r>
        <w:rPr>
          <w:spacing w:val="-3"/>
        </w:rPr>
        <w:t xml:space="preserve"> </w:t>
      </w:r>
      <w:r>
        <w:t>action</w:t>
      </w:r>
      <w:r>
        <w:rPr>
          <w:spacing w:val="-3"/>
        </w:rPr>
        <w:t xml:space="preserve"> </w:t>
      </w:r>
      <w:r>
        <w:t>is</w:t>
      </w:r>
      <w:r>
        <w:rPr>
          <w:spacing w:val="-3"/>
        </w:rPr>
        <w:t xml:space="preserve"> </w:t>
      </w:r>
      <w:r>
        <w:t>warranted and that all necessary regulatory requirements are complied with. This will include:</w:t>
      </w:r>
    </w:p>
    <w:p w14:paraId="1E805AD8" w14:textId="77777777" w:rsidR="00AA4A02" w:rsidRDefault="00960F31">
      <w:pPr>
        <w:pStyle w:val="ListParagraph"/>
        <w:numPr>
          <w:ilvl w:val="0"/>
          <w:numId w:val="21"/>
        </w:numPr>
        <w:tabs>
          <w:tab w:val="left" w:pos="2282"/>
        </w:tabs>
        <w:spacing w:before="174"/>
      </w:pPr>
      <w:r>
        <w:t>information</w:t>
      </w:r>
      <w:r>
        <w:rPr>
          <w:spacing w:val="-10"/>
        </w:rPr>
        <w:t xml:space="preserve"> </w:t>
      </w:r>
      <w:r>
        <w:t>collection</w:t>
      </w:r>
      <w:r>
        <w:rPr>
          <w:spacing w:val="-7"/>
        </w:rPr>
        <w:t xml:space="preserve"> </w:t>
      </w:r>
      <w:r>
        <w:t>through</w:t>
      </w:r>
      <w:r>
        <w:rPr>
          <w:spacing w:val="-7"/>
        </w:rPr>
        <w:t xml:space="preserve"> </w:t>
      </w:r>
      <w:r>
        <w:t>stakeholder</w:t>
      </w:r>
      <w:r>
        <w:rPr>
          <w:spacing w:val="-5"/>
        </w:rPr>
        <w:t xml:space="preserve"> </w:t>
      </w:r>
      <w:r>
        <w:t>engagement;</w:t>
      </w:r>
      <w:r>
        <w:rPr>
          <w:vertAlign w:val="superscript"/>
        </w:rPr>
        <w:t>38</w:t>
      </w:r>
      <w:r>
        <w:rPr>
          <w:spacing w:val="-7"/>
        </w:rPr>
        <w:t xml:space="preserve"> </w:t>
      </w:r>
      <w:r>
        <w:rPr>
          <w:spacing w:val="-5"/>
        </w:rPr>
        <w:t>and</w:t>
      </w:r>
    </w:p>
    <w:p w14:paraId="1E805AD9" w14:textId="77777777" w:rsidR="00AA4A02" w:rsidRDefault="00960F31">
      <w:pPr>
        <w:pStyle w:val="ListParagraph"/>
        <w:numPr>
          <w:ilvl w:val="0"/>
          <w:numId w:val="21"/>
        </w:numPr>
        <w:tabs>
          <w:tab w:val="left" w:pos="2282"/>
        </w:tabs>
        <w:spacing w:before="112" w:line="208" w:lineRule="auto"/>
        <w:ind w:right="257"/>
      </w:pPr>
      <w:r>
        <w:t>establishing</w:t>
      </w:r>
      <w:r>
        <w:rPr>
          <w:spacing w:val="-2"/>
        </w:rPr>
        <w:t xml:space="preserve"> </w:t>
      </w:r>
      <w:r>
        <w:t>a</w:t>
      </w:r>
      <w:r>
        <w:rPr>
          <w:spacing w:val="-4"/>
        </w:rPr>
        <w:t xml:space="preserve"> </w:t>
      </w:r>
      <w:r>
        <w:t>PAG</w:t>
      </w:r>
      <w:r>
        <w:rPr>
          <w:spacing w:val="-3"/>
        </w:rPr>
        <w:t xml:space="preserve"> </w:t>
      </w:r>
      <w:r>
        <w:t>or</w:t>
      </w:r>
      <w:r>
        <w:rPr>
          <w:spacing w:val="-2"/>
        </w:rPr>
        <w:t xml:space="preserve"> </w:t>
      </w:r>
      <w:r>
        <w:t>other</w:t>
      </w:r>
      <w:r>
        <w:rPr>
          <w:spacing w:val="-4"/>
        </w:rPr>
        <w:t xml:space="preserve"> </w:t>
      </w:r>
      <w:r>
        <w:t>type of</w:t>
      </w:r>
      <w:r>
        <w:rPr>
          <w:spacing w:val="-1"/>
        </w:rPr>
        <w:t xml:space="preserve"> </w:t>
      </w:r>
      <w:r>
        <w:t>specialist</w:t>
      </w:r>
      <w:r>
        <w:rPr>
          <w:spacing w:val="-1"/>
        </w:rPr>
        <w:t xml:space="preserve"> </w:t>
      </w:r>
      <w:r>
        <w:t>advisory</w:t>
      </w:r>
      <w:r>
        <w:rPr>
          <w:spacing w:val="-5"/>
        </w:rPr>
        <w:t xml:space="preserve"> </w:t>
      </w:r>
      <w:r>
        <w:t>group</w:t>
      </w:r>
      <w:r>
        <w:rPr>
          <w:spacing w:val="-5"/>
        </w:rPr>
        <w:t xml:space="preserve"> </w:t>
      </w:r>
      <w:r>
        <w:t>to</w:t>
      </w:r>
      <w:r>
        <w:rPr>
          <w:spacing w:val="-2"/>
        </w:rPr>
        <w:t xml:space="preserve"> </w:t>
      </w:r>
      <w:r>
        <w:t>advise</w:t>
      </w:r>
      <w:r>
        <w:rPr>
          <w:spacing w:val="-2"/>
        </w:rPr>
        <w:t xml:space="preserve"> </w:t>
      </w:r>
      <w:r>
        <w:t>on</w:t>
      </w:r>
      <w:r>
        <w:rPr>
          <w:spacing w:val="-4"/>
        </w:rPr>
        <w:t xml:space="preserve"> </w:t>
      </w:r>
      <w:r>
        <w:t>the proposed standard (if necessary);</w:t>
      </w:r>
    </w:p>
    <w:p w14:paraId="1E805ADA" w14:textId="77777777" w:rsidR="00AA4A02" w:rsidRDefault="00960F31">
      <w:pPr>
        <w:pStyle w:val="ListParagraph"/>
        <w:numPr>
          <w:ilvl w:val="1"/>
          <w:numId w:val="29"/>
        </w:numPr>
        <w:tabs>
          <w:tab w:val="left" w:pos="1562"/>
        </w:tabs>
        <w:spacing w:before="175"/>
      </w:pPr>
      <w:r>
        <w:t>Expose</w:t>
      </w:r>
      <w:r>
        <w:rPr>
          <w:spacing w:val="-3"/>
        </w:rPr>
        <w:t xml:space="preserve"> </w:t>
      </w:r>
      <w:r>
        <w:t>for</w:t>
      </w:r>
      <w:r>
        <w:rPr>
          <w:spacing w:val="-3"/>
        </w:rPr>
        <w:t xml:space="preserve"> </w:t>
      </w:r>
      <w:r>
        <w:t>public</w:t>
      </w:r>
      <w:r>
        <w:rPr>
          <w:spacing w:val="-3"/>
        </w:rPr>
        <w:t xml:space="preserve"> </w:t>
      </w:r>
      <w:r>
        <w:t>comment</w:t>
      </w:r>
      <w:r>
        <w:rPr>
          <w:spacing w:val="-2"/>
        </w:rPr>
        <w:t xml:space="preserve"> </w:t>
      </w:r>
      <w:r>
        <w:t>a</w:t>
      </w:r>
      <w:r>
        <w:rPr>
          <w:spacing w:val="-1"/>
        </w:rPr>
        <w:t xml:space="preserve"> </w:t>
      </w:r>
      <w:r>
        <w:t>draft</w:t>
      </w:r>
      <w:r>
        <w:rPr>
          <w:spacing w:val="-3"/>
        </w:rPr>
        <w:t xml:space="preserve"> </w:t>
      </w:r>
      <w:r>
        <w:t>of</w:t>
      </w:r>
      <w:r>
        <w:rPr>
          <w:spacing w:val="-3"/>
        </w:rPr>
        <w:t xml:space="preserve"> </w:t>
      </w:r>
      <w:r>
        <w:t>any</w:t>
      </w:r>
      <w:r>
        <w:rPr>
          <w:spacing w:val="-1"/>
        </w:rPr>
        <w:t xml:space="preserve"> </w:t>
      </w:r>
      <w:r>
        <w:rPr>
          <w:spacing w:val="-2"/>
        </w:rPr>
        <w:t>proposals.</w:t>
      </w:r>
    </w:p>
    <w:p w14:paraId="1E805ADB" w14:textId="77777777" w:rsidR="00AA4A02" w:rsidRDefault="00960F31">
      <w:pPr>
        <w:pStyle w:val="ListParagraph"/>
        <w:numPr>
          <w:ilvl w:val="1"/>
          <w:numId w:val="29"/>
        </w:numPr>
        <w:tabs>
          <w:tab w:val="left" w:pos="1562"/>
        </w:tabs>
        <w:spacing w:before="193" w:line="208" w:lineRule="auto"/>
        <w:ind w:right="978"/>
      </w:pPr>
      <w:r>
        <w:t>Make</w:t>
      </w:r>
      <w:r>
        <w:rPr>
          <w:spacing w:val="-4"/>
        </w:rPr>
        <w:t xml:space="preserve"> </w:t>
      </w:r>
      <w:r>
        <w:t>public</w:t>
      </w:r>
      <w:r>
        <w:rPr>
          <w:spacing w:val="-4"/>
        </w:rPr>
        <w:t xml:space="preserve"> </w:t>
      </w:r>
      <w:r>
        <w:t>submissions</w:t>
      </w:r>
      <w:r>
        <w:rPr>
          <w:spacing w:val="-4"/>
        </w:rPr>
        <w:t xml:space="preserve"> </w:t>
      </w:r>
      <w:r>
        <w:t>received</w:t>
      </w:r>
      <w:r>
        <w:rPr>
          <w:spacing w:val="-2"/>
        </w:rPr>
        <w:t xml:space="preserve"> </w:t>
      </w:r>
      <w:r>
        <w:t>(unless</w:t>
      </w:r>
      <w:r>
        <w:rPr>
          <w:spacing w:val="-4"/>
        </w:rPr>
        <w:t xml:space="preserve"> </w:t>
      </w:r>
      <w:r>
        <w:t>marked</w:t>
      </w:r>
      <w:r>
        <w:rPr>
          <w:spacing w:val="-2"/>
        </w:rPr>
        <w:t xml:space="preserve"> </w:t>
      </w:r>
      <w:r>
        <w:t>as</w:t>
      </w:r>
      <w:r>
        <w:rPr>
          <w:spacing w:val="-4"/>
        </w:rPr>
        <w:t xml:space="preserve"> </w:t>
      </w:r>
      <w:r>
        <w:t>confidential),</w:t>
      </w:r>
      <w:r>
        <w:rPr>
          <w:spacing w:val="-5"/>
        </w:rPr>
        <w:t xml:space="preserve"> </w:t>
      </w:r>
      <w:r>
        <w:t>as</w:t>
      </w:r>
      <w:r>
        <w:rPr>
          <w:spacing w:val="-2"/>
        </w:rPr>
        <w:t xml:space="preserve"> </w:t>
      </w:r>
      <w:r>
        <w:t>well</w:t>
      </w:r>
      <w:r>
        <w:rPr>
          <w:spacing w:val="-4"/>
        </w:rPr>
        <w:t xml:space="preserve"> </w:t>
      </w:r>
      <w:r>
        <w:t>as summaries of outreach events and other targeted consultations.</w:t>
      </w:r>
    </w:p>
    <w:p w14:paraId="1E805ADC" w14:textId="77777777" w:rsidR="00AA4A02" w:rsidRDefault="00960F31">
      <w:pPr>
        <w:pStyle w:val="ListParagraph"/>
        <w:numPr>
          <w:ilvl w:val="1"/>
          <w:numId w:val="29"/>
        </w:numPr>
        <w:tabs>
          <w:tab w:val="left" w:pos="1562"/>
        </w:tabs>
        <w:spacing w:before="199" w:line="208" w:lineRule="auto"/>
        <w:ind w:right="808"/>
      </w:pPr>
      <w:r>
        <w:t>Consider</w:t>
      </w:r>
      <w:r>
        <w:rPr>
          <w:spacing w:val="-5"/>
        </w:rPr>
        <w:t xml:space="preserve"> </w:t>
      </w:r>
      <w:r>
        <w:t>in</w:t>
      </w:r>
      <w:r>
        <w:rPr>
          <w:spacing w:val="-2"/>
        </w:rPr>
        <w:t xml:space="preserve"> </w:t>
      </w:r>
      <w:r>
        <w:t>a</w:t>
      </w:r>
      <w:r>
        <w:rPr>
          <w:spacing w:val="-5"/>
        </w:rPr>
        <w:t xml:space="preserve"> </w:t>
      </w:r>
      <w:r>
        <w:t>timely</w:t>
      </w:r>
      <w:r>
        <w:rPr>
          <w:spacing w:val="-6"/>
        </w:rPr>
        <w:t xml:space="preserve"> </w:t>
      </w:r>
      <w:r>
        <w:t>manner</w:t>
      </w:r>
      <w:r>
        <w:rPr>
          <w:spacing w:val="-3"/>
        </w:rPr>
        <w:t xml:space="preserve"> </w:t>
      </w:r>
      <w:r>
        <w:t>feedback</w:t>
      </w:r>
      <w:r>
        <w:rPr>
          <w:spacing w:val="-3"/>
        </w:rPr>
        <w:t xml:space="preserve"> </w:t>
      </w:r>
      <w:r>
        <w:t>received</w:t>
      </w:r>
      <w:r>
        <w:rPr>
          <w:spacing w:val="-5"/>
        </w:rPr>
        <w:t xml:space="preserve"> </w:t>
      </w:r>
      <w:r>
        <w:t>from</w:t>
      </w:r>
      <w:r>
        <w:rPr>
          <w:spacing w:val="-5"/>
        </w:rPr>
        <w:t xml:space="preserve"> </w:t>
      </w:r>
      <w:r>
        <w:t>comment</w:t>
      </w:r>
      <w:r>
        <w:rPr>
          <w:spacing w:val="-2"/>
        </w:rPr>
        <w:t xml:space="preserve"> </w:t>
      </w:r>
      <w:r>
        <w:t>letters</w:t>
      </w:r>
      <w:r>
        <w:rPr>
          <w:spacing w:val="-3"/>
        </w:rPr>
        <w:t xml:space="preserve"> </w:t>
      </w:r>
      <w:r>
        <w:t>and</w:t>
      </w:r>
      <w:r>
        <w:rPr>
          <w:spacing w:val="-2"/>
        </w:rPr>
        <w:t xml:space="preserve"> </w:t>
      </w:r>
      <w:r>
        <w:t>other outreach events.</w:t>
      </w:r>
    </w:p>
    <w:p w14:paraId="1E805ADD" w14:textId="77777777" w:rsidR="00AA4A02" w:rsidRDefault="00960F31">
      <w:pPr>
        <w:pStyle w:val="ListParagraph"/>
        <w:numPr>
          <w:ilvl w:val="1"/>
          <w:numId w:val="29"/>
        </w:numPr>
        <w:tabs>
          <w:tab w:val="left" w:pos="1562"/>
        </w:tabs>
        <w:spacing w:before="200" w:line="208" w:lineRule="auto"/>
        <w:ind w:right="396"/>
      </w:pPr>
      <w:r>
        <w:t>Hold additional meetings with the AUASB (or AUASB members) to review preliminary findings from consultation with stakeholders over the course of the exposure</w:t>
      </w:r>
      <w:r>
        <w:rPr>
          <w:spacing w:val="-4"/>
        </w:rPr>
        <w:t xml:space="preserve"> </w:t>
      </w:r>
      <w:r>
        <w:t>or</w:t>
      </w:r>
      <w:r>
        <w:rPr>
          <w:spacing w:val="-4"/>
        </w:rPr>
        <w:t xml:space="preserve"> </w:t>
      </w:r>
      <w:r>
        <w:t>consultation</w:t>
      </w:r>
      <w:r>
        <w:rPr>
          <w:spacing w:val="-4"/>
        </w:rPr>
        <w:t xml:space="preserve"> </w:t>
      </w:r>
      <w:r>
        <w:t>period,</w:t>
      </w:r>
      <w:r>
        <w:rPr>
          <w:spacing w:val="-7"/>
        </w:rPr>
        <w:t xml:space="preserve"> </w:t>
      </w:r>
      <w:r>
        <w:t>to</w:t>
      </w:r>
      <w:r>
        <w:rPr>
          <w:spacing w:val="-4"/>
        </w:rPr>
        <w:t xml:space="preserve"> </w:t>
      </w:r>
      <w:r>
        <w:t>determine</w:t>
      </w:r>
      <w:r>
        <w:rPr>
          <w:spacing w:val="-4"/>
        </w:rPr>
        <w:t xml:space="preserve"> </w:t>
      </w:r>
      <w:r>
        <w:t>what</w:t>
      </w:r>
      <w:r>
        <w:rPr>
          <w:spacing w:val="-3"/>
        </w:rPr>
        <w:t xml:space="preserve"> </w:t>
      </w:r>
      <w:r>
        <w:t>additional</w:t>
      </w:r>
      <w:r>
        <w:rPr>
          <w:spacing w:val="-3"/>
        </w:rPr>
        <w:t xml:space="preserve"> </w:t>
      </w:r>
      <w:r>
        <w:t>consultation</w:t>
      </w:r>
      <w:r>
        <w:rPr>
          <w:spacing w:val="-4"/>
        </w:rPr>
        <w:t xml:space="preserve"> </w:t>
      </w:r>
      <w:r>
        <w:t>activities may be in the public interest.</w:t>
      </w:r>
    </w:p>
    <w:p w14:paraId="1E805ADE" w14:textId="77777777" w:rsidR="00AA4A02" w:rsidRDefault="00960F31">
      <w:pPr>
        <w:pStyle w:val="ListParagraph"/>
        <w:numPr>
          <w:ilvl w:val="1"/>
          <w:numId w:val="29"/>
        </w:numPr>
        <w:tabs>
          <w:tab w:val="left" w:pos="1562"/>
        </w:tabs>
        <w:spacing w:before="200" w:line="208" w:lineRule="auto"/>
        <w:ind w:right="383"/>
      </w:pPr>
      <w:r>
        <w:t>Make</w:t>
      </w:r>
      <w:r>
        <w:rPr>
          <w:spacing w:val="-4"/>
        </w:rPr>
        <w:t xml:space="preserve"> </w:t>
      </w:r>
      <w:r>
        <w:t>public</w:t>
      </w:r>
      <w:r>
        <w:rPr>
          <w:spacing w:val="-4"/>
        </w:rPr>
        <w:t xml:space="preserve"> </w:t>
      </w:r>
      <w:r>
        <w:t>the</w:t>
      </w:r>
      <w:r>
        <w:rPr>
          <w:spacing w:val="-4"/>
        </w:rPr>
        <w:t xml:space="preserve"> </w:t>
      </w:r>
      <w:r>
        <w:t>information</w:t>
      </w:r>
      <w:r>
        <w:rPr>
          <w:spacing w:val="-3"/>
        </w:rPr>
        <w:t xml:space="preserve"> </w:t>
      </w:r>
      <w:r>
        <w:t>on</w:t>
      </w:r>
      <w:r>
        <w:rPr>
          <w:spacing w:val="-3"/>
        </w:rPr>
        <w:t xml:space="preserve"> </w:t>
      </w:r>
      <w:r>
        <w:t>which</w:t>
      </w:r>
      <w:r>
        <w:rPr>
          <w:spacing w:val="-3"/>
        </w:rPr>
        <w:t xml:space="preserve"> </w:t>
      </w:r>
      <w:r>
        <w:t>the</w:t>
      </w:r>
      <w:r>
        <w:rPr>
          <w:spacing w:val="-3"/>
        </w:rPr>
        <w:t xml:space="preserve"> </w:t>
      </w:r>
      <w:r>
        <w:t>AUASB</w:t>
      </w:r>
      <w:r>
        <w:rPr>
          <w:spacing w:val="-4"/>
        </w:rPr>
        <w:t xml:space="preserve"> </w:t>
      </w:r>
      <w:r>
        <w:t>bases</w:t>
      </w:r>
      <w:r>
        <w:rPr>
          <w:spacing w:val="-3"/>
        </w:rPr>
        <w:t xml:space="preserve"> </w:t>
      </w:r>
      <w:r>
        <w:t>its</w:t>
      </w:r>
      <w:r>
        <w:rPr>
          <w:spacing w:val="-3"/>
        </w:rPr>
        <w:t xml:space="preserve"> </w:t>
      </w:r>
      <w:r>
        <w:t>decisions</w:t>
      </w:r>
      <w:r>
        <w:rPr>
          <w:spacing w:val="-3"/>
        </w:rPr>
        <w:t xml:space="preserve"> </w:t>
      </w:r>
      <w:r>
        <w:t>at</w:t>
      </w:r>
      <w:r>
        <w:rPr>
          <w:spacing w:val="-4"/>
        </w:rPr>
        <w:t xml:space="preserve"> </w:t>
      </w:r>
      <w:r>
        <w:t>the</w:t>
      </w:r>
      <w:r>
        <w:rPr>
          <w:spacing w:val="-3"/>
        </w:rPr>
        <w:t xml:space="preserve"> </w:t>
      </w:r>
      <w:r>
        <w:t>earliest opportunity, including any analysis of stakeholder feedback, timely notification of</w:t>
      </w:r>
    </w:p>
    <w:p w14:paraId="1E805ADF" w14:textId="77777777" w:rsidR="00AA4A02" w:rsidRDefault="00960F31">
      <w:pPr>
        <w:pStyle w:val="BodyText"/>
        <w:rPr>
          <w:sz w:val="18"/>
        </w:rPr>
      </w:pPr>
      <w:r>
        <w:rPr>
          <w:noProof/>
          <w:sz w:val="18"/>
        </w:rPr>
        <mc:AlternateContent>
          <mc:Choice Requires="wps">
            <w:drawing>
              <wp:anchor distT="0" distB="0" distL="0" distR="0" simplePos="0" relativeHeight="487605248" behindDoc="1" locked="0" layoutInCell="1" allowOverlap="1" wp14:anchorId="1E805F57" wp14:editId="1E805F58">
                <wp:simplePos x="0" y="0"/>
                <wp:positionH relativeFrom="page">
                  <wp:posOffset>900988</wp:posOffset>
                </wp:positionH>
                <wp:positionV relativeFrom="paragraph">
                  <wp:posOffset>146918</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E80FA" id="Graphic 57" o:spid="_x0000_s1026" style="position:absolute;margin-left:70.95pt;margin-top:11.55pt;width:144.0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" path="m1829053,l,,,7619r1829053,l1829053,xe" fillcolor="black" stroked="f">
                <v:path arrowok="t"/>
                <w10:wrap type="topAndBottom" anchorx="page"/>
              </v:shape>
            </w:pict>
          </mc:Fallback>
        </mc:AlternateContent>
      </w:r>
    </w:p>
    <w:p w14:paraId="1E805AE0" w14:textId="77777777" w:rsidR="00AA4A02" w:rsidRDefault="00960F31">
      <w:pPr>
        <w:spacing w:before="93" w:line="208" w:lineRule="auto"/>
        <w:ind w:left="427" w:right="656" w:hanging="284"/>
        <w:jc w:val="both"/>
        <w:rPr>
          <w:sz w:val="16"/>
        </w:rPr>
      </w:pPr>
      <w:r>
        <w:rPr>
          <w:sz w:val="16"/>
          <w:vertAlign w:val="superscript"/>
        </w:rPr>
        <w:t>35</w:t>
      </w:r>
      <w:r>
        <w:rPr>
          <w:spacing w:val="80"/>
          <w:sz w:val="16"/>
        </w:rPr>
        <w:t xml:space="preserve"> </w:t>
      </w:r>
      <w:r>
        <w:rPr>
          <w:sz w:val="16"/>
        </w:rPr>
        <w:t>For</w:t>
      </w:r>
      <w:r>
        <w:rPr>
          <w:spacing w:val="-3"/>
          <w:sz w:val="16"/>
        </w:rPr>
        <w:t xml:space="preserve"> </w:t>
      </w:r>
      <w:r>
        <w:rPr>
          <w:sz w:val="16"/>
        </w:rPr>
        <w:t>example,</w:t>
      </w:r>
      <w:r>
        <w:rPr>
          <w:spacing w:val="-4"/>
          <w:sz w:val="16"/>
        </w:rPr>
        <w:t xml:space="preserve"> </w:t>
      </w:r>
      <w:r>
        <w:rPr>
          <w:sz w:val="16"/>
        </w:rPr>
        <w:t>when</w:t>
      </w:r>
      <w:r>
        <w:rPr>
          <w:spacing w:val="-3"/>
          <w:sz w:val="16"/>
        </w:rPr>
        <w:t xml:space="preserve"> </w:t>
      </w:r>
      <w:r>
        <w:rPr>
          <w:sz w:val="16"/>
        </w:rPr>
        <w:t>the</w:t>
      </w:r>
      <w:r>
        <w:rPr>
          <w:spacing w:val="-1"/>
          <w:sz w:val="16"/>
        </w:rPr>
        <w:t xml:space="preserve"> </w:t>
      </w:r>
      <w:r>
        <w:rPr>
          <w:sz w:val="16"/>
        </w:rPr>
        <w:t>IAASB</w:t>
      </w:r>
      <w:r>
        <w:rPr>
          <w:spacing w:val="-1"/>
          <w:sz w:val="16"/>
        </w:rPr>
        <w:t xml:space="preserve"> </w:t>
      </w:r>
      <w:r>
        <w:rPr>
          <w:sz w:val="16"/>
        </w:rPr>
        <w:t>issues</w:t>
      </w:r>
      <w:r>
        <w:rPr>
          <w:spacing w:val="-7"/>
          <w:sz w:val="16"/>
        </w:rPr>
        <w:t xml:space="preserve"> </w:t>
      </w:r>
      <w:r>
        <w:rPr>
          <w:sz w:val="16"/>
        </w:rPr>
        <w:t>an</w:t>
      </w:r>
      <w:r>
        <w:rPr>
          <w:spacing w:val="-3"/>
          <w:sz w:val="16"/>
        </w:rPr>
        <w:t xml:space="preserve"> </w:t>
      </w:r>
      <w:r>
        <w:rPr>
          <w:sz w:val="16"/>
        </w:rPr>
        <w:t>ED,</w:t>
      </w:r>
      <w:r>
        <w:rPr>
          <w:spacing w:val="-4"/>
          <w:sz w:val="16"/>
        </w:rPr>
        <w:t xml:space="preserve"> </w:t>
      </w:r>
      <w:r>
        <w:rPr>
          <w:sz w:val="16"/>
        </w:rPr>
        <w:t>the</w:t>
      </w:r>
      <w:r>
        <w:rPr>
          <w:spacing w:val="-1"/>
          <w:sz w:val="16"/>
        </w:rPr>
        <w:t xml:space="preserve"> </w:t>
      </w:r>
      <w:r>
        <w:rPr>
          <w:sz w:val="16"/>
        </w:rPr>
        <w:t>AUASB</w:t>
      </w:r>
      <w:r>
        <w:rPr>
          <w:spacing w:val="-3"/>
          <w:sz w:val="16"/>
        </w:rPr>
        <w:t xml:space="preserve"> </w:t>
      </w:r>
      <w:r>
        <w:rPr>
          <w:sz w:val="16"/>
        </w:rPr>
        <w:t>concurrently</w:t>
      </w:r>
      <w:r>
        <w:rPr>
          <w:spacing w:val="-1"/>
          <w:sz w:val="16"/>
        </w:rPr>
        <w:t xml:space="preserve"> </w:t>
      </w:r>
      <w:r>
        <w:rPr>
          <w:sz w:val="16"/>
        </w:rPr>
        <w:t>issues</w:t>
      </w:r>
      <w:r>
        <w:rPr>
          <w:spacing w:val="-2"/>
          <w:sz w:val="16"/>
        </w:rPr>
        <w:t xml:space="preserve"> </w:t>
      </w:r>
      <w:r>
        <w:rPr>
          <w:sz w:val="16"/>
        </w:rPr>
        <w:t>the</w:t>
      </w:r>
      <w:r>
        <w:rPr>
          <w:spacing w:val="-4"/>
          <w:sz w:val="16"/>
        </w:rPr>
        <w:t xml:space="preserve"> </w:t>
      </w:r>
      <w:r>
        <w:rPr>
          <w:sz w:val="16"/>
        </w:rPr>
        <w:t>unmodified</w:t>
      </w:r>
      <w:r>
        <w:rPr>
          <w:spacing w:val="-3"/>
          <w:sz w:val="16"/>
        </w:rPr>
        <w:t xml:space="preserve"> </w:t>
      </w:r>
      <w:r>
        <w:rPr>
          <w:sz w:val="16"/>
        </w:rPr>
        <w:t>IAASB</w:t>
      </w:r>
      <w:r>
        <w:rPr>
          <w:spacing w:val="-1"/>
          <w:sz w:val="16"/>
        </w:rPr>
        <w:t xml:space="preserve"> </w:t>
      </w:r>
      <w:r>
        <w:rPr>
          <w:sz w:val="16"/>
        </w:rPr>
        <w:t>ED</w:t>
      </w:r>
      <w:r>
        <w:rPr>
          <w:spacing w:val="-3"/>
          <w:sz w:val="16"/>
        </w:rPr>
        <w:t xml:space="preserve"> </w:t>
      </w:r>
      <w:r>
        <w:rPr>
          <w:sz w:val="16"/>
        </w:rPr>
        <w:t>in</w:t>
      </w:r>
      <w:r>
        <w:rPr>
          <w:spacing w:val="-1"/>
          <w:sz w:val="16"/>
        </w:rPr>
        <w:t xml:space="preserve"> </w:t>
      </w:r>
      <w:r>
        <w:rPr>
          <w:sz w:val="16"/>
        </w:rPr>
        <w:t>Australia</w:t>
      </w:r>
      <w:r>
        <w:rPr>
          <w:spacing w:val="-1"/>
          <w:sz w:val="16"/>
        </w:rPr>
        <w:t xml:space="preserve"> </w:t>
      </w:r>
      <w:r>
        <w:rPr>
          <w:sz w:val="16"/>
        </w:rPr>
        <w:t>along</w:t>
      </w:r>
      <w:r>
        <w:rPr>
          <w:spacing w:val="-1"/>
          <w:sz w:val="16"/>
        </w:rPr>
        <w:t xml:space="preserve"> </w:t>
      </w:r>
      <w:r>
        <w:rPr>
          <w:sz w:val="16"/>
        </w:rPr>
        <w:t>with</w:t>
      </w:r>
      <w:r>
        <w:rPr>
          <w:spacing w:val="40"/>
          <w:sz w:val="16"/>
        </w:rPr>
        <w:t xml:space="preserve"> </w:t>
      </w:r>
      <w:r>
        <w:rPr>
          <w:sz w:val="16"/>
        </w:rPr>
        <w:t>Australian-specific</w:t>
      </w:r>
      <w:r>
        <w:rPr>
          <w:spacing w:val="-2"/>
          <w:sz w:val="16"/>
        </w:rPr>
        <w:t xml:space="preserve"> </w:t>
      </w:r>
      <w:r>
        <w:rPr>
          <w:sz w:val="16"/>
        </w:rPr>
        <w:t>commentary</w:t>
      </w:r>
      <w:r>
        <w:rPr>
          <w:spacing w:val="-1"/>
          <w:sz w:val="16"/>
        </w:rPr>
        <w:t xml:space="preserve"> </w:t>
      </w:r>
      <w:r>
        <w:rPr>
          <w:sz w:val="16"/>
        </w:rPr>
        <w:t>in</w:t>
      </w:r>
      <w:r>
        <w:rPr>
          <w:spacing w:val="-1"/>
          <w:sz w:val="16"/>
        </w:rPr>
        <w:t xml:space="preserve"> </w:t>
      </w:r>
      <w:r>
        <w:rPr>
          <w:sz w:val="16"/>
        </w:rPr>
        <w:t>the form</w:t>
      </w:r>
      <w:r>
        <w:rPr>
          <w:spacing w:val="-2"/>
          <w:sz w:val="16"/>
        </w:rPr>
        <w:t xml:space="preserve"> </w:t>
      </w:r>
      <w:r>
        <w:rPr>
          <w:sz w:val="16"/>
        </w:rPr>
        <w:t>of</w:t>
      </w:r>
      <w:r>
        <w:rPr>
          <w:spacing w:val="-3"/>
          <w:sz w:val="16"/>
        </w:rPr>
        <w:t xml:space="preserve"> </w:t>
      </w:r>
      <w:r>
        <w:rPr>
          <w:sz w:val="16"/>
        </w:rPr>
        <w:t>an</w:t>
      </w:r>
      <w:r>
        <w:rPr>
          <w:spacing w:val="-1"/>
          <w:sz w:val="16"/>
        </w:rPr>
        <w:t xml:space="preserve"> </w:t>
      </w:r>
      <w:r>
        <w:rPr>
          <w:sz w:val="16"/>
        </w:rPr>
        <w:t>AUASB</w:t>
      </w:r>
      <w:r>
        <w:rPr>
          <w:spacing w:val="-1"/>
          <w:sz w:val="16"/>
        </w:rPr>
        <w:t xml:space="preserve"> </w:t>
      </w:r>
      <w:r>
        <w:rPr>
          <w:sz w:val="16"/>
        </w:rPr>
        <w:t>CP ‘wrapped</w:t>
      </w:r>
      <w:r>
        <w:rPr>
          <w:spacing w:val="-1"/>
          <w:sz w:val="16"/>
        </w:rPr>
        <w:t xml:space="preserve"> </w:t>
      </w:r>
      <w:r>
        <w:rPr>
          <w:sz w:val="16"/>
        </w:rPr>
        <w:t>around’</w:t>
      </w:r>
      <w:r>
        <w:rPr>
          <w:spacing w:val="-1"/>
          <w:sz w:val="16"/>
        </w:rPr>
        <w:t xml:space="preserve"> </w:t>
      </w:r>
      <w:r>
        <w:rPr>
          <w:sz w:val="16"/>
        </w:rPr>
        <w:t>the</w:t>
      </w:r>
      <w:r>
        <w:rPr>
          <w:spacing w:val="-2"/>
          <w:sz w:val="16"/>
        </w:rPr>
        <w:t xml:space="preserve"> </w:t>
      </w:r>
      <w:r>
        <w:rPr>
          <w:sz w:val="16"/>
        </w:rPr>
        <w:t>IAASB ED. See</w:t>
      </w:r>
      <w:r>
        <w:rPr>
          <w:spacing w:val="-2"/>
          <w:sz w:val="16"/>
        </w:rPr>
        <w:t xml:space="preserve"> </w:t>
      </w:r>
      <w:r>
        <w:rPr>
          <w:sz w:val="16"/>
        </w:rPr>
        <w:t>paragraphs</w:t>
      </w:r>
      <w:r>
        <w:rPr>
          <w:spacing w:val="-2"/>
          <w:sz w:val="16"/>
        </w:rPr>
        <w:t xml:space="preserve"> </w:t>
      </w:r>
      <w:r>
        <w:rPr>
          <w:sz w:val="16"/>
        </w:rPr>
        <w:t>106-114</w:t>
      </w:r>
      <w:r>
        <w:rPr>
          <w:spacing w:val="-1"/>
          <w:sz w:val="16"/>
        </w:rPr>
        <w:t xml:space="preserve"> </w:t>
      </w:r>
      <w:r>
        <w:rPr>
          <w:sz w:val="16"/>
        </w:rPr>
        <w:t>of</w:t>
      </w:r>
      <w:r>
        <w:rPr>
          <w:spacing w:val="-3"/>
          <w:sz w:val="16"/>
        </w:rPr>
        <w:t xml:space="preserve"> </w:t>
      </w:r>
      <w:r>
        <w:rPr>
          <w:sz w:val="16"/>
        </w:rPr>
        <w:t>this</w:t>
      </w:r>
      <w:r>
        <w:rPr>
          <w:spacing w:val="40"/>
          <w:sz w:val="16"/>
        </w:rPr>
        <w:t xml:space="preserve"> </w:t>
      </w:r>
      <w:r>
        <w:rPr>
          <w:spacing w:val="-2"/>
          <w:sz w:val="16"/>
        </w:rPr>
        <w:t>document.</w:t>
      </w:r>
    </w:p>
    <w:p w14:paraId="1E805AE1" w14:textId="77777777" w:rsidR="00AA4A02" w:rsidRDefault="00960F31">
      <w:pPr>
        <w:spacing w:line="208" w:lineRule="auto"/>
        <w:ind w:left="427" w:right="193" w:hanging="284"/>
        <w:rPr>
          <w:sz w:val="16"/>
        </w:rPr>
      </w:pPr>
      <w:r>
        <w:rPr>
          <w:sz w:val="16"/>
          <w:vertAlign w:val="superscript"/>
        </w:rPr>
        <w:t>36</w:t>
      </w:r>
      <w:r>
        <w:rPr>
          <w:spacing w:val="40"/>
          <w:sz w:val="16"/>
        </w:rPr>
        <w:t xml:space="preserve">  </w:t>
      </w:r>
      <w:r>
        <w:rPr>
          <w:sz w:val="16"/>
        </w:rPr>
        <w:t>The</w:t>
      </w:r>
      <w:r>
        <w:rPr>
          <w:spacing w:val="-3"/>
          <w:sz w:val="16"/>
        </w:rPr>
        <w:t xml:space="preserve"> </w:t>
      </w:r>
      <w:r>
        <w:rPr>
          <w:sz w:val="16"/>
        </w:rPr>
        <w:t>AUASB</w:t>
      </w:r>
      <w:r>
        <w:rPr>
          <w:spacing w:val="-2"/>
          <w:sz w:val="16"/>
        </w:rPr>
        <w:t xml:space="preserve"> </w:t>
      </w:r>
      <w:r>
        <w:rPr>
          <w:sz w:val="16"/>
        </w:rPr>
        <w:t>has</w:t>
      </w:r>
      <w:r>
        <w:rPr>
          <w:spacing w:val="-3"/>
          <w:sz w:val="16"/>
        </w:rPr>
        <w:t xml:space="preserve"> </w:t>
      </w:r>
      <w:r>
        <w:rPr>
          <w:sz w:val="16"/>
        </w:rPr>
        <w:t>adopted</w:t>
      </w:r>
      <w:r>
        <w:rPr>
          <w:spacing w:val="-2"/>
          <w:sz w:val="16"/>
        </w:rPr>
        <w:t xml:space="preserve"> </w:t>
      </w:r>
      <w:r>
        <w:rPr>
          <w:sz w:val="16"/>
        </w:rPr>
        <w:t>a</w:t>
      </w:r>
      <w:r>
        <w:rPr>
          <w:spacing w:val="-3"/>
          <w:sz w:val="16"/>
        </w:rPr>
        <w:t xml:space="preserve"> </w:t>
      </w:r>
      <w:r>
        <w:rPr>
          <w:sz w:val="16"/>
        </w:rPr>
        <w:t>simplified</w:t>
      </w:r>
      <w:r>
        <w:rPr>
          <w:spacing w:val="-2"/>
          <w:sz w:val="16"/>
        </w:rPr>
        <w:t xml:space="preserve"> </w:t>
      </w:r>
      <w:r>
        <w:rPr>
          <w:sz w:val="16"/>
        </w:rPr>
        <w:t>due</w:t>
      </w:r>
      <w:r>
        <w:rPr>
          <w:spacing w:val="-3"/>
          <w:sz w:val="16"/>
        </w:rPr>
        <w:t xml:space="preserve"> </w:t>
      </w:r>
      <w:r>
        <w:rPr>
          <w:sz w:val="16"/>
        </w:rPr>
        <w:t>process</w:t>
      </w:r>
      <w:r>
        <w:rPr>
          <w:spacing w:val="-4"/>
          <w:sz w:val="16"/>
        </w:rPr>
        <w:t xml:space="preserve"> </w:t>
      </w:r>
      <w:r>
        <w:rPr>
          <w:sz w:val="16"/>
        </w:rPr>
        <w:t>for</w:t>
      </w:r>
      <w:r>
        <w:rPr>
          <w:spacing w:val="-4"/>
          <w:sz w:val="16"/>
        </w:rPr>
        <w:t xml:space="preserve"> </w:t>
      </w:r>
      <w:r>
        <w:rPr>
          <w:sz w:val="16"/>
        </w:rPr>
        <w:t>addressing</w:t>
      </w:r>
      <w:r>
        <w:rPr>
          <w:spacing w:val="-2"/>
          <w:sz w:val="16"/>
        </w:rPr>
        <w:t xml:space="preserve"> </w:t>
      </w:r>
      <w:r>
        <w:rPr>
          <w:sz w:val="16"/>
        </w:rPr>
        <w:t>changes</w:t>
      </w:r>
      <w:r>
        <w:rPr>
          <w:spacing w:val="-3"/>
          <w:sz w:val="16"/>
        </w:rPr>
        <w:t xml:space="preserve"> </w:t>
      </w:r>
      <w:r>
        <w:rPr>
          <w:sz w:val="16"/>
        </w:rPr>
        <w:t>to existing standards</w:t>
      </w:r>
      <w:r>
        <w:rPr>
          <w:spacing w:val="-3"/>
          <w:sz w:val="16"/>
        </w:rPr>
        <w:t xml:space="preserve"> </w:t>
      </w:r>
      <w:r>
        <w:rPr>
          <w:sz w:val="16"/>
        </w:rPr>
        <w:t>that are considered to</w:t>
      </w:r>
      <w:r>
        <w:rPr>
          <w:spacing w:val="-2"/>
          <w:sz w:val="16"/>
        </w:rPr>
        <w:t xml:space="preserve"> </w:t>
      </w:r>
      <w:r>
        <w:rPr>
          <w:sz w:val="16"/>
        </w:rPr>
        <w:t>be</w:t>
      </w:r>
      <w:r>
        <w:rPr>
          <w:spacing w:val="-3"/>
          <w:sz w:val="16"/>
        </w:rPr>
        <w:t xml:space="preserve"> </w:t>
      </w:r>
      <w:r>
        <w:rPr>
          <w:sz w:val="16"/>
        </w:rPr>
        <w:t>narrow</w:t>
      </w:r>
      <w:r>
        <w:rPr>
          <w:spacing w:val="7"/>
          <w:sz w:val="16"/>
        </w:rPr>
        <w:t xml:space="preserve"> </w:t>
      </w:r>
      <w:r>
        <w:rPr>
          <w:sz w:val="16"/>
        </w:rPr>
        <w:t>in scope</w:t>
      </w:r>
      <w:r>
        <w:rPr>
          <w:spacing w:val="40"/>
          <w:sz w:val="16"/>
        </w:rPr>
        <w:t xml:space="preserve"> </w:t>
      </w:r>
      <w:r>
        <w:rPr>
          <w:sz w:val="16"/>
        </w:rPr>
        <w:t>– see paragraphs 176-197.</w:t>
      </w:r>
    </w:p>
    <w:p w14:paraId="1E805AE2" w14:textId="77777777" w:rsidR="00AA4A02" w:rsidRDefault="00960F31">
      <w:pPr>
        <w:spacing w:before="1" w:line="208" w:lineRule="auto"/>
        <w:ind w:left="427" w:right="246" w:hanging="284"/>
        <w:rPr>
          <w:sz w:val="16"/>
        </w:rPr>
      </w:pPr>
      <w:r>
        <w:rPr>
          <w:sz w:val="16"/>
          <w:vertAlign w:val="superscript"/>
        </w:rPr>
        <w:t>37</w:t>
      </w:r>
      <w:r>
        <w:rPr>
          <w:spacing w:val="80"/>
          <w:w w:val="150"/>
          <w:sz w:val="16"/>
        </w:rPr>
        <w:t xml:space="preserve"> </w:t>
      </w:r>
      <w:r>
        <w:rPr>
          <w:sz w:val="16"/>
        </w:rPr>
        <w:t>Formal</w:t>
      </w:r>
      <w:r>
        <w:rPr>
          <w:spacing w:val="-2"/>
          <w:sz w:val="16"/>
        </w:rPr>
        <w:t xml:space="preserve"> </w:t>
      </w:r>
      <w:r>
        <w:rPr>
          <w:sz w:val="16"/>
        </w:rPr>
        <w:t>Project Plans</w:t>
      </w:r>
      <w:r>
        <w:rPr>
          <w:spacing w:val="-1"/>
          <w:sz w:val="16"/>
        </w:rPr>
        <w:t xml:space="preserve"> </w:t>
      </w:r>
      <w:r>
        <w:rPr>
          <w:sz w:val="16"/>
        </w:rPr>
        <w:t>(using</w:t>
      </w:r>
      <w:r>
        <w:rPr>
          <w:spacing w:val="-2"/>
          <w:sz w:val="16"/>
        </w:rPr>
        <w:t xml:space="preserve"> </w:t>
      </w:r>
      <w:r>
        <w:rPr>
          <w:sz w:val="16"/>
        </w:rPr>
        <w:t xml:space="preserve">the </w:t>
      </w:r>
      <w:r>
        <w:rPr>
          <w:i/>
          <w:sz w:val="16"/>
        </w:rPr>
        <w:t>AUASB</w:t>
      </w:r>
      <w:r>
        <w:rPr>
          <w:i/>
          <w:spacing w:val="-1"/>
          <w:sz w:val="16"/>
        </w:rPr>
        <w:t xml:space="preserve"> </w:t>
      </w:r>
      <w:r>
        <w:rPr>
          <w:i/>
          <w:sz w:val="16"/>
        </w:rPr>
        <w:t>Project</w:t>
      </w:r>
      <w:r>
        <w:rPr>
          <w:i/>
          <w:spacing w:val="-2"/>
          <w:sz w:val="16"/>
        </w:rPr>
        <w:t xml:space="preserve"> </w:t>
      </w:r>
      <w:r>
        <w:rPr>
          <w:i/>
          <w:sz w:val="16"/>
        </w:rPr>
        <w:t>Plan Template</w:t>
      </w:r>
      <w:r>
        <w:rPr>
          <w:sz w:val="16"/>
        </w:rPr>
        <w:t>)</w:t>
      </w:r>
      <w:r>
        <w:rPr>
          <w:spacing w:val="-4"/>
          <w:sz w:val="16"/>
        </w:rPr>
        <w:t xml:space="preserve"> </w:t>
      </w:r>
      <w:r>
        <w:rPr>
          <w:sz w:val="16"/>
        </w:rPr>
        <w:t>are a</w:t>
      </w:r>
      <w:r>
        <w:rPr>
          <w:spacing w:val="-3"/>
          <w:sz w:val="16"/>
        </w:rPr>
        <w:t xml:space="preserve"> </w:t>
      </w:r>
      <w:r>
        <w:rPr>
          <w:sz w:val="16"/>
        </w:rPr>
        <w:t>requirement for</w:t>
      </w:r>
      <w:r>
        <w:rPr>
          <w:spacing w:val="-2"/>
          <w:sz w:val="16"/>
        </w:rPr>
        <w:t xml:space="preserve"> </w:t>
      </w:r>
      <w:r>
        <w:rPr>
          <w:sz w:val="16"/>
        </w:rPr>
        <w:t>all</w:t>
      </w:r>
      <w:r>
        <w:rPr>
          <w:spacing w:val="-2"/>
          <w:sz w:val="16"/>
        </w:rPr>
        <w:t xml:space="preserve"> </w:t>
      </w:r>
      <w:r>
        <w:rPr>
          <w:sz w:val="16"/>
        </w:rPr>
        <w:t>major</w:t>
      </w:r>
      <w:r>
        <w:rPr>
          <w:spacing w:val="-4"/>
          <w:sz w:val="16"/>
        </w:rPr>
        <w:t xml:space="preserve"> </w:t>
      </w:r>
      <w:r>
        <w:rPr>
          <w:sz w:val="16"/>
        </w:rPr>
        <w:t>projects</w:t>
      </w:r>
      <w:r>
        <w:rPr>
          <w:spacing w:val="-3"/>
          <w:sz w:val="16"/>
        </w:rPr>
        <w:t xml:space="preserve"> </w:t>
      </w:r>
      <w:r>
        <w:rPr>
          <w:sz w:val="16"/>
        </w:rPr>
        <w:t>such as</w:t>
      </w:r>
      <w:r>
        <w:rPr>
          <w:spacing w:val="-3"/>
          <w:sz w:val="16"/>
        </w:rPr>
        <w:t xml:space="preserve"> </w:t>
      </w:r>
      <w:r>
        <w:rPr>
          <w:sz w:val="16"/>
        </w:rPr>
        <w:t>the development</w:t>
      </w:r>
      <w:r>
        <w:rPr>
          <w:spacing w:val="-2"/>
          <w:sz w:val="16"/>
        </w:rPr>
        <w:t xml:space="preserve"> </w:t>
      </w:r>
      <w:r>
        <w:rPr>
          <w:sz w:val="16"/>
        </w:rPr>
        <w:t>of a</w:t>
      </w:r>
      <w:r>
        <w:rPr>
          <w:spacing w:val="40"/>
          <w:sz w:val="16"/>
        </w:rPr>
        <w:t xml:space="preserve"> </w:t>
      </w:r>
      <w:r>
        <w:rPr>
          <w:sz w:val="16"/>
        </w:rPr>
        <w:t>new standard or comprehensive revision of an existing standard. See paragraphs 95-96 and 151-153 for due process considerations</w:t>
      </w:r>
      <w:r>
        <w:rPr>
          <w:spacing w:val="40"/>
          <w:sz w:val="16"/>
        </w:rPr>
        <w:t xml:space="preserve"> </w:t>
      </w:r>
      <w:r>
        <w:rPr>
          <w:sz w:val="16"/>
        </w:rPr>
        <w:t>relevant to the development and approval of AUASB Project Plans.</w:t>
      </w:r>
    </w:p>
    <w:p w14:paraId="1E805AE3" w14:textId="77777777" w:rsidR="00AA4A02" w:rsidRDefault="00960F31">
      <w:pPr>
        <w:spacing w:line="208" w:lineRule="auto"/>
        <w:ind w:left="427" w:hanging="284"/>
        <w:rPr>
          <w:sz w:val="16"/>
        </w:rPr>
      </w:pPr>
      <w:r>
        <w:rPr>
          <w:sz w:val="16"/>
          <w:vertAlign w:val="superscript"/>
        </w:rPr>
        <w:t>38</w:t>
      </w:r>
      <w:r>
        <w:rPr>
          <w:spacing w:val="80"/>
          <w:w w:val="150"/>
          <w:sz w:val="16"/>
        </w:rPr>
        <w:t xml:space="preserve"> </w:t>
      </w:r>
      <w:r>
        <w:rPr>
          <w:sz w:val="16"/>
        </w:rPr>
        <w:t>For</w:t>
      </w:r>
      <w:r>
        <w:rPr>
          <w:spacing w:val="-1"/>
          <w:sz w:val="16"/>
        </w:rPr>
        <w:t xml:space="preserve"> </w:t>
      </w:r>
      <w:r>
        <w:rPr>
          <w:sz w:val="16"/>
        </w:rPr>
        <w:t>example,</w:t>
      </w:r>
      <w:r>
        <w:rPr>
          <w:spacing w:val="-3"/>
          <w:sz w:val="16"/>
        </w:rPr>
        <w:t xml:space="preserve"> </w:t>
      </w:r>
      <w:r>
        <w:rPr>
          <w:sz w:val="16"/>
        </w:rPr>
        <w:t>by</w:t>
      </w:r>
      <w:r>
        <w:rPr>
          <w:spacing w:val="-1"/>
          <w:sz w:val="16"/>
        </w:rPr>
        <w:t xml:space="preserve"> </w:t>
      </w:r>
      <w:r>
        <w:rPr>
          <w:sz w:val="16"/>
        </w:rPr>
        <w:t>publishing a</w:t>
      </w:r>
      <w:r>
        <w:rPr>
          <w:spacing w:val="-2"/>
          <w:sz w:val="16"/>
        </w:rPr>
        <w:t xml:space="preserve"> </w:t>
      </w:r>
      <w:r>
        <w:rPr>
          <w:sz w:val="16"/>
        </w:rPr>
        <w:t>DP,</w:t>
      </w:r>
      <w:r>
        <w:rPr>
          <w:spacing w:val="-3"/>
          <w:sz w:val="16"/>
        </w:rPr>
        <w:t xml:space="preserve"> </w:t>
      </w:r>
      <w:r>
        <w:rPr>
          <w:sz w:val="16"/>
        </w:rPr>
        <w:t>or</w:t>
      </w:r>
      <w:r>
        <w:rPr>
          <w:spacing w:val="-3"/>
          <w:sz w:val="16"/>
        </w:rPr>
        <w:t xml:space="preserve"> </w:t>
      </w:r>
      <w:r>
        <w:rPr>
          <w:sz w:val="16"/>
        </w:rPr>
        <w:t>hosting</w:t>
      </w:r>
      <w:r>
        <w:rPr>
          <w:spacing w:val="-2"/>
          <w:sz w:val="16"/>
        </w:rPr>
        <w:t xml:space="preserve"> </w:t>
      </w:r>
      <w:r>
        <w:rPr>
          <w:sz w:val="16"/>
        </w:rPr>
        <w:t>a</w:t>
      </w:r>
      <w:r>
        <w:rPr>
          <w:spacing w:val="-2"/>
          <w:sz w:val="16"/>
        </w:rPr>
        <w:t xml:space="preserve"> </w:t>
      </w:r>
      <w:r>
        <w:rPr>
          <w:sz w:val="16"/>
        </w:rPr>
        <w:t>public</w:t>
      </w:r>
      <w:r>
        <w:rPr>
          <w:spacing w:val="-3"/>
          <w:sz w:val="16"/>
        </w:rPr>
        <w:t xml:space="preserve"> </w:t>
      </w:r>
      <w:r>
        <w:rPr>
          <w:sz w:val="16"/>
        </w:rPr>
        <w:t>forum</w:t>
      </w:r>
      <w:r>
        <w:rPr>
          <w:spacing w:val="-2"/>
          <w:sz w:val="16"/>
        </w:rPr>
        <w:t xml:space="preserve"> </w:t>
      </w:r>
      <w:r>
        <w:rPr>
          <w:sz w:val="16"/>
        </w:rPr>
        <w:t>or</w:t>
      </w:r>
      <w:r>
        <w:rPr>
          <w:spacing w:val="-2"/>
          <w:sz w:val="16"/>
        </w:rPr>
        <w:t xml:space="preserve"> </w:t>
      </w:r>
      <w:r>
        <w:rPr>
          <w:sz w:val="16"/>
        </w:rPr>
        <w:t>roundtable,</w:t>
      </w:r>
      <w:r>
        <w:rPr>
          <w:spacing w:val="-2"/>
          <w:sz w:val="16"/>
        </w:rPr>
        <w:t xml:space="preserve"> </w:t>
      </w:r>
      <w:r>
        <w:rPr>
          <w:sz w:val="16"/>
        </w:rPr>
        <w:t>to solicit feedback</w:t>
      </w:r>
      <w:r>
        <w:rPr>
          <w:spacing w:val="-1"/>
          <w:sz w:val="16"/>
        </w:rPr>
        <w:t xml:space="preserve"> </w:t>
      </w:r>
      <w:r>
        <w:rPr>
          <w:sz w:val="16"/>
        </w:rPr>
        <w:t>in</w:t>
      </w:r>
      <w:r>
        <w:rPr>
          <w:spacing w:val="-2"/>
          <w:sz w:val="16"/>
        </w:rPr>
        <w:t xml:space="preserve"> </w:t>
      </w:r>
      <w:r>
        <w:rPr>
          <w:sz w:val="16"/>
        </w:rPr>
        <w:t>advance</w:t>
      </w:r>
      <w:r>
        <w:rPr>
          <w:spacing w:val="-2"/>
          <w:sz w:val="16"/>
        </w:rPr>
        <w:t xml:space="preserve"> </w:t>
      </w:r>
      <w:r>
        <w:rPr>
          <w:sz w:val="16"/>
        </w:rPr>
        <w:t>of</w:t>
      </w:r>
      <w:r>
        <w:rPr>
          <w:spacing w:val="-4"/>
          <w:sz w:val="16"/>
        </w:rPr>
        <w:t xml:space="preserve"> </w:t>
      </w:r>
      <w:r>
        <w:rPr>
          <w:sz w:val="16"/>
        </w:rPr>
        <w:t>a</w:t>
      </w:r>
      <w:r>
        <w:rPr>
          <w:spacing w:val="-2"/>
          <w:sz w:val="16"/>
        </w:rPr>
        <w:t xml:space="preserve"> </w:t>
      </w:r>
      <w:r>
        <w:rPr>
          <w:sz w:val="16"/>
        </w:rPr>
        <w:t>proposed</w:t>
      </w:r>
      <w:r>
        <w:rPr>
          <w:spacing w:val="-2"/>
          <w:sz w:val="16"/>
        </w:rPr>
        <w:t xml:space="preserve"> </w:t>
      </w:r>
      <w:r>
        <w:rPr>
          <w:sz w:val="16"/>
        </w:rPr>
        <w:t>standard</w:t>
      </w:r>
      <w:r>
        <w:rPr>
          <w:spacing w:val="-1"/>
          <w:sz w:val="16"/>
        </w:rPr>
        <w:t xml:space="preserve"> </w:t>
      </w:r>
      <w:r>
        <w:rPr>
          <w:sz w:val="16"/>
        </w:rPr>
        <w:t>being</w:t>
      </w:r>
      <w:r>
        <w:rPr>
          <w:spacing w:val="40"/>
          <w:sz w:val="16"/>
        </w:rPr>
        <w:t xml:space="preserve"> </w:t>
      </w:r>
      <w:r>
        <w:rPr>
          <w:sz w:val="16"/>
        </w:rPr>
        <w:t>exposed. The AUASB may also consider undertaking fieldwork or pilot testing of proposed standards in conjunction with relevant</w:t>
      </w:r>
      <w:r>
        <w:rPr>
          <w:spacing w:val="40"/>
          <w:sz w:val="16"/>
        </w:rPr>
        <w:t xml:space="preserve"> </w:t>
      </w:r>
      <w:r>
        <w:rPr>
          <w:spacing w:val="-2"/>
          <w:sz w:val="16"/>
        </w:rPr>
        <w:t>stakeholders.</w:t>
      </w:r>
    </w:p>
    <w:p w14:paraId="1E805AE4"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AE5" w14:textId="77777777" w:rsidR="00AA4A02" w:rsidRDefault="00960F31">
      <w:pPr>
        <w:pStyle w:val="BodyText"/>
        <w:spacing w:before="219" w:line="208" w:lineRule="auto"/>
        <w:ind w:left="1562" w:right="95"/>
      </w:pPr>
      <w:r>
        <w:lastRenderedPageBreak/>
        <w:t>tentative and final board decisions, and, for new and revised AUASB Standards, publish</w:t>
      </w:r>
      <w:r>
        <w:rPr>
          <w:spacing w:val="-3"/>
        </w:rPr>
        <w:t xml:space="preserve"> </w:t>
      </w:r>
      <w:r>
        <w:t>a</w:t>
      </w:r>
      <w:r>
        <w:rPr>
          <w:spacing w:val="-5"/>
        </w:rPr>
        <w:t xml:space="preserve"> </w:t>
      </w:r>
      <w:r>
        <w:t>Basis</w:t>
      </w:r>
      <w:r>
        <w:rPr>
          <w:spacing w:val="-3"/>
        </w:rPr>
        <w:t xml:space="preserve"> </w:t>
      </w:r>
      <w:r>
        <w:t>for</w:t>
      </w:r>
      <w:r>
        <w:rPr>
          <w:spacing w:val="-3"/>
        </w:rPr>
        <w:t xml:space="preserve"> </w:t>
      </w:r>
      <w:r>
        <w:t>Conclusions</w:t>
      </w:r>
      <w:r>
        <w:rPr>
          <w:spacing w:val="-5"/>
        </w:rPr>
        <w:t xml:space="preserve"> </w:t>
      </w:r>
      <w:r>
        <w:t>that</w:t>
      </w:r>
      <w:r>
        <w:rPr>
          <w:spacing w:val="-2"/>
        </w:rPr>
        <w:t xml:space="preserve"> </w:t>
      </w:r>
      <w:r>
        <w:t>indicates</w:t>
      </w:r>
      <w:r>
        <w:rPr>
          <w:spacing w:val="-3"/>
        </w:rPr>
        <w:t xml:space="preserve"> </w:t>
      </w:r>
      <w:r>
        <w:t>how</w:t>
      </w:r>
      <w:r>
        <w:rPr>
          <w:spacing w:val="-4"/>
        </w:rPr>
        <w:t xml:space="preserve"> </w:t>
      </w:r>
      <w:r>
        <w:t>decisions</w:t>
      </w:r>
      <w:r>
        <w:rPr>
          <w:spacing w:val="-3"/>
        </w:rPr>
        <w:t xml:space="preserve"> </w:t>
      </w:r>
      <w:r>
        <w:t>were</w:t>
      </w:r>
      <w:r>
        <w:rPr>
          <w:spacing w:val="-5"/>
        </w:rPr>
        <w:t xml:space="preserve"> </w:t>
      </w:r>
      <w:r>
        <w:t>reached</w:t>
      </w:r>
      <w:r>
        <w:rPr>
          <w:spacing w:val="-3"/>
        </w:rPr>
        <w:t xml:space="preserve"> </w:t>
      </w:r>
      <w:r>
        <w:t>and</w:t>
      </w:r>
      <w:r>
        <w:rPr>
          <w:spacing w:val="-5"/>
        </w:rPr>
        <w:t xml:space="preserve"> </w:t>
      </w:r>
      <w:r>
        <w:t>public comments responded to.</w:t>
      </w:r>
    </w:p>
    <w:p w14:paraId="1E805AE6" w14:textId="77777777" w:rsidR="00AA4A02" w:rsidRDefault="00960F31">
      <w:pPr>
        <w:pStyle w:val="ListParagraph"/>
        <w:numPr>
          <w:ilvl w:val="1"/>
          <w:numId w:val="29"/>
        </w:numPr>
        <w:tabs>
          <w:tab w:val="left" w:pos="1562"/>
        </w:tabs>
        <w:spacing w:before="175"/>
      </w:pPr>
      <w:r>
        <w:t>Consider</w:t>
      </w:r>
      <w:r>
        <w:rPr>
          <w:spacing w:val="-4"/>
        </w:rPr>
        <w:t xml:space="preserve"> </w:t>
      </w:r>
      <w:r>
        <w:t>whether</w:t>
      </w:r>
      <w:r>
        <w:rPr>
          <w:spacing w:val="-3"/>
        </w:rPr>
        <w:t xml:space="preserve"> </w:t>
      </w:r>
      <w:r>
        <w:t>any</w:t>
      </w:r>
      <w:r>
        <w:rPr>
          <w:spacing w:val="-5"/>
        </w:rPr>
        <w:t xml:space="preserve"> </w:t>
      </w:r>
      <w:r>
        <w:t>proposals</w:t>
      </w:r>
      <w:r>
        <w:rPr>
          <w:spacing w:val="-4"/>
        </w:rPr>
        <w:t xml:space="preserve"> </w:t>
      </w:r>
      <w:r>
        <w:t>require</w:t>
      </w:r>
      <w:r>
        <w:rPr>
          <w:spacing w:val="-6"/>
        </w:rPr>
        <w:t xml:space="preserve"> </w:t>
      </w:r>
      <w:r>
        <w:t>re-exposure</w:t>
      </w:r>
      <w:r>
        <w:rPr>
          <w:spacing w:val="-5"/>
        </w:rPr>
        <w:t xml:space="preserve"> </w:t>
      </w:r>
      <w:r>
        <w:t>(see</w:t>
      </w:r>
      <w:r>
        <w:rPr>
          <w:spacing w:val="-4"/>
        </w:rPr>
        <w:t xml:space="preserve"> </w:t>
      </w:r>
      <w:r>
        <w:t>paragraphs</w:t>
      </w:r>
      <w:r>
        <w:rPr>
          <w:spacing w:val="-3"/>
        </w:rPr>
        <w:t xml:space="preserve"> </w:t>
      </w:r>
      <w:r>
        <w:t>72-</w:t>
      </w:r>
      <w:r>
        <w:rPr>
          <w:spacing w:val="-4"/>
        </w:rPr>
        <w:t>74).</w:t>
      </w:r>
    </w:p>
    <w:p w14:paraId="1E805AE7" w14:textId="77777777" w:rsidR="00AA4A02" w:rsidRDefault="00960F31">
      <w:pPr>
        <w:pStyle w:val="ListParagraph"/>
        <w:numPr>
          <w:ilvl w:val="1"/>
          <w:numId w:val="29"/>
        </w:numPr>
        <w:tabs>
          <w:tab w:val="left" w:pos="1562"/>
        </w:tabs>
        <w:spacing w:before="194" w:line="208" w:lineRule="auto"/>
        <w:ind w:right="490"/>
      </w:pPr>
      <w:r>
        <w:t>Consider</w:t>
      </w:r>
      <w:r>
        <w:rPr>
          <w:spacing w:val="-2"/>
        </w:rPr>
        <w:t xml:space="preserve"> </w:t>
      </w:r>
      <w:r>
        <w:t>whether</w:t>
      </w:r>
      <w:r>
        <w:rPr>
          <w:spacing w:val="-1"/>
        </w:rPr>
        <w:t xml:space="preserve"> </w:t>
      </w:r>
      <w:r>
        <w:t>the</w:t>
      </w:r>
      <w:r>
        <w:rPr>
          <w:spacing w:val="-3"/>
        </w:rPr>
        <w:t xml:space="preserve"> </w:t>
      </w:r>
      <w:r>
        <w:t>final</w:t>
      </w:r>
      <w:r>
        <w:rPr>
          <w:spacing w:val="-4"/>
        </w:rPr>
        <w:t xml:space="preserve"> </w:t>
      </w:r>
      <w:r>
        <w:t>standard</w:t>
      </w:r>
      <w:r>
        <w:rPr>
          <w:spacing w:val="-5"/>
        </w:rPr>
        <w:t xml:space="preserve"> </w:t>
      </w:r>
      <w:r>
        <w:t>was</w:t>
      </w:r>
      <w:r>
        <w:rPr>
          <w:spacing w:val="-2"/>
        </w:rPr>
        <w:t xml:space="preserve"> </w:t>
      </w:r>
      <w:r>
        <w:t>developed</w:t>
      </w:r>
      <w:r>
        <w:rPr>
          <w:spacing w:val="-5"/>
        </w:rPr>
        <w:t xml:space="preserve"> </w:t>
      </w:r>
      <w:r>
        <w:t>in</w:t>
      </w:r>
      <w:r>
        <w:rPr>
          <w:spacing w:val="-6"/>
        </w:rPr>
        <w:t xml:space="preserve"> </w:t>
      </w:r>
      <w:r>
        <w:t>accordance</w:t>
      </w:r>
      <w:r>
        <w:rPr>
          <w:spacing w:val="-3"/>
        </w:rPr>
        <w:t xml:space="preserve"> </w:t>
      </w:r>
      <w:r>
        <w:t>with</w:t>
      </w:r>
      <w:r>
        <w:rPr>
          <w:spacing w:val="-3"/>
        </w:rPr>
        <w:t xml:space="preserve"> </w:t>
      </w:r>
      <w:r>
        <w:t>due</w:t>
      </w:r>
      <w:r>
        <w:rPr>
          <w:spacing w:val="-3"/>
        </w:rPr>
        <w:t xml:space="preserve"> </w:t>
      </w:r>
      <w:r>
        <w:t>process and with proper regard for the public interest.</w:t>
      </w:r>
    </w:p>
    <w:p w14:paraId="1E805AE8" w14:textId="77777777" w:rsidR="00AA4A02" w:rsidRDefault="00960F31">
      <w:pPr>
        <w:pStyle w:val="ListParagraph"/>
        <w:numPr>
          <w:ilvl w:val="1"/>
          <w:numId w:val="29"/>
        </w:numPr>
        <w:tabs>
          <w:tab w:val="left" w:pos="1562"/>
        </w:tabs>
        <w:spacing w:before="174"/>
      </w:pPr>
      <w:r>
        <w:t>Report</w:t>
      </w:r>
      <w:r>
        <w:rPr>
          <w:spacing w:val="-4"/>
        </w:rPr>
        <w:t xml:space="preserve"> </w:t>
      </w:r>
      <w:r>
        <w:t>to</w:t>
      </w:r>
      <w:r>
        <w:rPr>
          <w:spacing w:val="-5"/>
        </w:rPr>
        <w:t xml:space="preserve"> </w:t>
      </w:r>
      <w:r>
        <w:t>the</w:t>
      </w:r>
      <w:r>
        <w:rPr>
          <w:spacing w:val="-1"/>
        </w:rPr>
        <w:t xml:space="preserve"> </w:t>
      </w:r>
      <w:r>
        <w:t>FRC</w:t>
      </w:r>
      <w:r>
        <w:rPr>
          <w:spacing w:val="-2"/>
        </w:rPr>
        <w:t xml:space="preserve"> </w:t>
      </w:r>
      <w:r>
        <w:t>on</w:t>
      </w:r>
      <w:r>
        <w:rPr>
          <w:spacing w:val="-2"/>
        </w:rPr>
        <w:t xml:space="preserve"> </w:t>
      </w:r>
      <w:r>
        <w:t>the</w:t>
      </w:r>
      <w:r>
        <w:rPr>
          <w:spacing w:val="-2"/>
        </w:rPr>
        <w:t xml:space="preserve"> </w:t>
      </w:r>
      <w:r>
        <w:t>due</w:t>
      </w:r>
      <w:r>
        <w:rPr>
          <w:spacing w:val="-2"/>
        </w:rPr>
        <w:t xml:space="preserve"> </w:t>
      </w:r>
      <w:r>
        <w:t>process</w:t>
      </w:r>
      <w:r>
        <w:rPr>
          <w:spacing w:val="-1"/>
        </w:rPr>
        <w:t xml:space="preserve"> </w:t>
      </w:r>
      <w:r>
        <w:rPr>
          <w:spacing w:val="-2"/>
        </w:rPr>
        <w:t>followed.</w:t>
      </w:r>
    </w:p>
    <w:p w14:paraId="1E805AE9" w14:textId="77777777" w:rsidR="00AA4A02" w:rsidRDefault="00960F31">
      <w:pPr>
        <w:pStyle w:val="ListParagraph"/>
        <w:numPr>
          <w:ilvl w:val="0"/>
          <w:numId w:val="29"/>
        </w:numPr>
        <w:tabs>
          <w:tab w:val="left" w:pos="851"/>
        </w:tabs>
        <w:spacing w:before="191" w:line="208" w:lineRule="auto"/>
        <w:ind w:right="321"/>
      </w:pPr>
      <w:r>
        <w:t>The AUASB may elect to alter this due process for consultation in certain circumstances. However, any variances from the usual due process must be approved by the AUASB and communicated</w:t>
      </w:r>
      <w:r>
        <w:rPr>
          <w:spacing w:val="-5"/>
        </w:rPr>
        <w:t xml:space="preserve"> </w:t>
      </w:r>
      <w:r>
        <w:t>to</w:t>
      </w:r>
      <w:r>
        <w:rPr>
          <w:spacing w:val="-6"/>
        </w:rPr>
        <w:t xml:space="preserve"> </w:t>
      </w:r>
      <w:r>
        <w:t>stakeholders</w:t>
      </w:r>
      <w:r>
        <w:rPr>
          <w:spacing w:val="-5"/>
        </w:rPr>
        <w:t xml:space="preserve"> </w:t>
      </w:r>
      <w:r>
        <w:t>in</w:t>
      </w:r>
      <w:r>
        <w:rPr>
          <w:spacing w:val="-3"/>
        </w:rPr>
        <w:t xml:space="preserve"> </w:t>
      </w:r>
      <w:r>
        <w:t>the Explanatory</w:t>
      </w:r>
      <w:r>
        <w:rPr>
          <w:spacing w:val="-5"/>
        </w:rPr>
        <w:t xml:space="preserve"> </w:t>
      </w:r>
      <w:r>
        <w:t>Memorandum</w:t>
      </w:r>
      <w:r>
        <w:rPr>
          <w:spacing w:val="-5"/>
        </w:rPr>
        <w:t xml:space="preserve"> </w:t>
      </w:r>
      <w:r>
        <w:t>accompanying</w:t>
      </w:r>
      <w:r>
        <w:rPr>
          <w:spacing w:val="-3"/>
        </w:rPr>
        <w:t xml:space="preserve"> </w:t>
      </w:r>
      <w:r>
        <w:t>the</w:t>
      </w:r>
      <w:r>
        <w:rPr>
          <w:spacing w:val="-5"/>
        </w:rPr>
        <w:t xml:space="preserve"> </w:t>
      </w:r>
      <w:r>
        <w:t>proposed AUASB pronouncement.</w:t>
      </w:r>
    </w:p>
    <w:p w14:paraId="1E805AEA" w14:textId="77777777" w:rsidR="00AA4A02" w:rsidRDefault="00960F31">
      <w:pPr>
        <w:pStyle w:val="ListParagraph"/>
        <w:numPr>
          <w:ilvl w:val="0"/>
          <w:numId w:val="29"/>
        </w:numPr>
        <w:tabs>
          <w:tab w:val="left" w:pos="851"/>
        </w:tabs>
        <w:spacing w:before="200" w:line="208" w:lineRule="auto"/>
        <w:ind w:right="357"/>
      </w:pPr>
      <w:r>
        <w:t>Although the views of all interested and affected parties are carefully considered by the AUASB, the ultimate content of standards and related guidance must be determined by the AUASB</w:t>
      </w:r>
      <w:r>
        <w:rPr>
          <w:spacing w:val="-4"/>
        </w:rPr>
        <w:t xml:space="preserve"> </w:t>
      </w:r>
      <w:r>
        <w:t>after</w:t>
      </w:r>
      <w:r>
        <w:rPr>
          <w:spacing w:val="-3"/>
        </w:rPr>
        <w:t xml:space="preserve"> </w:t>
      </w:r>
      <w:r>
        <w:t>balancing</w:t>
      </w:r>
      <w:r>
        <w:rPr>
          <w:spacing w:val="-5"/>
        </w:rPr>
        <w:t xml:space="preserve"> </w:t>
      </w:r>
      <w:r>
        <w:t>all</w:t>
      </w:r>
      <w:r>
        <w:rPr>
          <w:spacing w:val="-4"/>
        </w:rPr>
        <w:t xml:space="preserve"> </w:t>
      </w:r>
      <w:r>
        <w:t>the</w:t>
      </w:r>
      <w:r>
        <w:rPr>
          <w:spacing w:val="-2"/>
        </w:rPr>
        <w:t xml:space="preserve"> </w:t>
      </w:r>
      <w:r>
        <w:t>evidence</w:t>
      </w:r>
      <w:r>
        <w:rPr>
          <w:spacing w:val="-4"/>
        </w:rPr>
        <w:t xml:space="preserve"> </w:t>
      </w:r>
      <w:r>
        <w:t>from</w:t>
      </w:r>
      <w:r>
        <w:rPr>
          <w:spacing w:val="-4"/>
        </w:rPr>
        <w:t xml:space="preserve"> </w:t>
      </w:r>
      <w:r>
        <w:t>research,</w:t>
      </w:r>
      <w:r>
        <w:rPr>
          <w:spacing w:val="-4"/>
        </w:rPr>
        <w:t xml:space="preserve"> </w:t>
      </w:r>
      <w:r>
        <w:t>consultation</w:t>
      </w:r>
      <w:r>
        <w:rPr>
          <w:spacing w:val="-2"/>
        </w:rPr>
        <w:t xml:space="preserve"> </w:t>
      </w:r>
      <w:r>
        <w:t>and</w:t>
      </w:r>
      <w:r>
        <w:rPr>
          <w:spacing w:val="-2"/>
        </w:rPr>
        <w:t xml:space="preserve"> </w:t>
      </w:r>
      <w:r>
        <w:t>careful</w:t>
      </w:r>
      <w:r>
        <w:rPr>
          <w:spacing w:val="-4"/>
        </w:rPr>
        <w:t xml:space="preserve"> </w:t>
      </w:r>
      <w:r>
        <w:t>deliberation about the benefits and costs of proposals.</w:t>
      </w:r>
    </w:p>
    <w:p w14:paraId="1E805AEB" w14:textId="77777777" w:rsidR="00AA4A02" w:rsidRDefault="00960F31">
      <w:pPr>
        <w:spacing w:before="176"/>
        <w:ind w:left="143"/>
        <w:rPr>
          <w:i/>
        </w:rPr>
      </w:pPr>
      <w:r>
        <w:rPr>
          <w:i/>
        </w:rPr>
        <w:t>Criteria</w:t>
      </w:r>
      <w:r>
        <w:rPr>
          <w:i/>
          <w:spacing w:val="-4"/>
        </w:rPr>
        <w:t xml:space="preserve"> </w:t>
      </w:r>
      <w:r>
        <w:rPr>
          <w:i/>
        </w:rPr>
        <w:t>for</w:t>
      </w:r>
      <w:r>
        <w:rPr>
          <w:i/>
          <w:spacing w:val="-2"/>
        </w:rPr>
        <w:t xml:space="preserve"> </w:t>
      </w:r>
      <w:r>
        <w:rPr>
          <w:i/>
        </w:rPr>
        <w:t>Re-exposure</w:t>
      </w:r>
      <w:r>
        <w:rPr>
          <w:i/>
          <w:spacing w:val="-4"/>
        </w:rPr>
        <w:t xml:space="preserve"> </w:t>
      </w:r>
      <w:r>
        <w:rPr>
          <w:i/>
        </w:rPr>
        <w:t>of</w:t>
      </w:r>
      <w:r>
        <w:rPr>
          <w:i/>
          <w:spacing w:val="-4"/>
        </w:rPr>
        <w:t xml:space="preserve"> </w:t>
      </w:r>
      <w:r>
        <w:rPr>
          <w:i/>
        </w:rPr>
        <w:t>AUASB</w:t>
      </w:r>
      <w:r>
        <w:rPr>
          <w:i/>
          <w:spacing w:val="-4"/>
        </w:rPr>
        <w:t xml:space="preserve"> </w:t>
      </w:r>
      <w:r>
        <w:rPr>
          <w:i/>
          <w:spacing w:val="-2"/>
        </w:rPr>
        <w:t>Standards</w:t>
      </w:r>
    </w:p>
    <w:p w14:paraId="1E805AEC" w14:textId="77777777" w:rsidR="00AA4A02" w:rsidRDefault="00960F31">
      <w:pPr>
        <w:pStyle w:val="ListParagraph"/>
        <w:numPr>
          <w:ilvl w:val="0"/>
          <w:numId w:val="29"/>
        </w:numPr>
        <w:tabs>
          <w:tab w:val="left" w:pos="851"/>
        </w:tabs>
        <w:spacing w:before="191" w:line="208" w:lineRule="auto"/>
        <w:ind w:right="191"/>
      </w:pPr>
      <w:r>
        <w:t>Circumstances may exist where the AUASB considers it would be in the public interest to re-expose</w:t>
      </w:r>
      <w:r>
        <w:rPr>
          <w:spacing w:val="-4"/>
        </w:rPr>
        <w:t xml:space="preserve"> </w:t>
      </w:r>
      <w:r>
        <w:t>the</w:t>
      </w:r>
      <w:r>
        <w:rPr>
          <w:spacing w:val="-2"/>
        </w:rPr>
        <w:t xml:space="preserve"> </w:t>
      </w:r>
      <w:r>
        <w:t>original</w:t>
      </w:r>
      <w:r>
        <w:rPr>
          <w:spacing w:val="-3"/>
        </w:rPr>
        <w:t xml:space="preserve"> </w:t>
      </w:r>
      <w:r>
        <w:t>ED.</w:t>
      </w:r>
      <w:r>
        <w:rPr>
          <w:spacing w:val="-1"/>
        </w:rPr>
        <w:t xml:space="preserve"> </w:t>
      </w:r>
      <w:r>
        <w:t>In</w:t>
      </w:r>
      <w:r>
        <w:rPr>
          <w:spacing w:val="-2"/>
        </w:rPr>
        <w:t xml:space="preserve"> </w:t>
      </w:r>
      <w:r>
        <w:t>considering</w:t>
      </w:r>
      <w:r>
        <w:rPr>
          <w:spacing w:val="-2"/>
        </w:rPr>
        <w:t xml:space="preserve"> </w:t>
      </w:r>
      <w:r>
        <w:t>whether</w:t>
      </w:r>
      <w:r>
        <w:rPr>
          <w:spacing w:val="-4"/>
        </w:rPr>
        <w:t xml:space="preserve"> </w:t>
      </w:r>
      <w:r>
        <w:t>there</w:t>
      </w:r>
      <w:r>
        <w:rPr>
          <w:spacing w:val="-4"/>
        </w:rPr>
        <w:t xml:space="preserve"> </w:t>
      </w:r>
      <w:r>
        <w:t>is</w:t>
      </w:r>
      <w:r>
        <w:rPr>
          <w:spacing w:val="-2"/>
        </w:rPr>
        <w:t xml:space="preserve"> </w:t>
      </w:r>
      <w:r>
        <w:t>a</w:t>
      </w:r>
      <w:r>
        <w:rPr>
          <w:spacing w:val="-2"/>
        </w:rPr>
        <w:t xml:space="preserve"> </w:t>
      </w:r>
      <w:r>
        <w:t>need</w:t>
      </w:r>
      <w:r>
        <w:rPr>
          <w:spacing w:val="-2"/>
        </w:rPr>
        <w:t xml:space="preserve"> </w:t>
      </w:r>
      <w:r>
        <w:t>for</w:t>
      </w:r>
      <w:r>
        <w:rPr>
          <w:spacing w:val="-2"/>
        </w:rPr>
        <w:t xml:space="preserve"> </w:t>
      </w:r>
      <w:r>
        <w:t>re-exposure</w:t>
      </w:r>
      <w:r>
        <w:rPr>
          <w:spacing w:val="-4"/>
        </w:rPr>
        <w:t xml:space="preserve"> </w:t>
      </w:r>
      <w:r>
        <w:t>of</w:t>
      </w:r>
      <w:r>
        <w:rPr>
          <w:spacing w:val="-4"/>
        </w:rPr>
        <w:t xml:space="preserve"> </w:t>
      </w:r>
      <w:r>
        <w:t>the</w:t>
      </w:r>
      <w:r>
        <w:rPr>
          <w:spacing w:val="-2"/>
        </w:rPr>
        <w:t xml:space="preserve"> </w:t>
      </w:r>
      <w:r>
        <w:t>proposed standard, or parts thereof, the AUASB applies the following criteria:</w:t>
      </w:r>
    </w:p>
    <w:p w14:paraId="1E805AED" w14:textId="77777777" w:rsidR="00AA4A02" w:rsidRDefault="00960F31">
      <w:pPr>
        <w:pStyle w:val="ListParagraph"/>
        <w:numPr>
          <w:ilvl w:val="1"/>
          <w:numId w:val="29"/>
        </w:numPr>
        <w:tabs>
          <w:tab w:val="left" w:pos="1562"/>
        </w:tabs>
        <w:spacing w:before="202" w:line="208" w:lineRule="auto"/>
        <w:ind w:right="349"/>
      </w:pPr>
      <w:r>
        <w:t>the</w:t>
      </w:r>
      <w:r>
        <w:rPr>
          <w:spacing w:val="-3"/>
        </w:rPr>
        <w:t xml:space="preserve"> </w:t>
      </w:r>
      <w:r>
        <w:t>nature</w:t>
      </w:r>
      <w:r>
        <w:rPr>
          <w:spacing w:val="-3"/>
        </w:rPr>
        <w:t xml:space="preserve"> </w:t>
      </w:r>
      <w:r>
        <w:t>and</w:t>
      </w:r>
      <w:r>
        <w:rPr>
          <w:spacing w:val="-2"/>
        </w:rPr>
        <w:t xml:space="preserve"> </w:t>
      </w:r>
      <w:r>
        <w:t>extent</w:t>
      </w:r>
      <w:r>
        <w:rPr>
          <w:spacing w:val="-2"/>
        </w:rPr>
        <w:t xml:space="preserve"> </w:t>
      </w:r>
      <w:r>
        <w:t>of</w:t>
      </w:r>
      <w:r>
        <w:rPr>
          <w:spacing w:val="-3"/>
        </w:rPr>
        <w:t xml:space="preserve"> </w:t>
      </w:r>
      <w:r>
        <w:t>changes</w:t>
      </w:r>
      <w:r>
        <w:rPr>
          <w:spacing w:val="-5"/>
        </w:rPr>
        <w:t xml:space="preserve"> </w:t>
      </w:r>
      <w:r>
        <w:t>to</w:t>
      </w:r>
      <w:r>
        <w:rPr>
          <w:spacing w:val="-3"/>
        </w:rPr>
        <w:t xml:space="preserve"> </w:t>
      </w:r>
      <w:r>
        <w:t>the</w:t>
      </w:r>
      <w:r>
        <w:rPr>
          <w:spacing w:val="-3"/>
        </w:rPr>
        <w:t xml:space="preserve"> </w:t>
      </w:r>
      <w:r>
        <w:t>original</w:t>
      </w:r>
      <w:r>
        <w:rPr>
          <w:spacing w:val="-2"/>
        </w:rPr>
        <w:t xml:space="preserve"> </w:t>
      </w:r>
      <w:r>
        <w:t>proposals</w:t>
      </w:r>
      <w:r>
        <w:rPr>
          <w:spacing w:val="-2"/>
        </w:rPr>
        <w:t xml:space="preserve"> </w:t>
      </w:r>
      <w:r>
        <w:t>in</w:t>
      </w:r>
      <w:r>
        <w:rPr>
          <w:spacing w:val="-3"/>
        </w:rPr>
        <w:t xml:space="preserve"> </w:t>
      </w:r>
      <w:r>
        <w:t>the</w:t>
      </w:r>
      <w:r>
        <w:rPr>
          <w:spacing w:val="-3"/>
        </w:rPr>
        <w:t xml:space="preserve"> </w:t>
      </w:r>
      <w:r>
        <w:t>ED,</w:t>
      </w:r>
      <w:r>
        <w:rPr>
          <w:spacing w:val="-3"/>
        </w:rPr>
        <w:t xml:space="preserve"> </w:t>
      </w:r>
      <w:r>
        <w:t>and</w:t>
      </w:r>
      <w:r>
        <w:rPr>
          <w:spacing w:val="-3"/>
        </w:rPr>
        <w:t xml:space="preserve"> </w:t>
      </w:r>
      <w:r>
        <w:t>whether</w:t>
      </w:r>
      <w:r>
        <w:rPr>
          <w:spacing w:val="-5"/>
        </w:rPr>
        <w:t xml:space="preserve"> </w:t>
      </w:r>
      <w:r>
        <w:t>the substance of the proposed standard has changed (see paragraph 73);</w:t>
      </w:r>
    </w:p>
    <w:p w14:paraId="1E805AEE" w14:textId="77777777" w:rsidR="00AA4A02" w:rsidRDefault="00960F31">
      <w:pPr>
        <w:pStyle w:val="ListParagraph"/>
        <w:numPr>
          <w:ilvl w:val="1"/>
          <w:numId w:val="29"/>
        </w:numPr>
        <w:tabs>
          <w:tab w:val="left" w:pos="1562"/>
        </w:tabs>
        <w:spacing w:before="198" w:line="208" w:lineRule="auto"/>
        <w:ind w:right="799"/>
      </w:pPr>
      <w:r>
        <w:t>the</w:t>
      </w:r>
      <w:r>
        <w:rPr>
          <w:spacing w:val="-2"/>
        </w:rPr>
        <w:t xml:space="preserve"> </w:t>
      </w:r>
      <w:r>
        <w:t>nature</w:t>
      </w:r>
      <w:r>
        <w:rPr>
          <w:spacing w:val="-2"/>
        </w:rPr>
        <w:t xml:space="preserve"> </w:t>
      </w:r>
      <w:r>
        <w:t>and</w:t>
      </w:r>
      <w:r>
        <w:rPr>
          <w:spacing w:val="-1"/>
        </w:rPr>
        <w:t xml:space="preserve"> </w:t>
      </w:r>
      <w:r>
        <w:t>extent</w:t>
      </w:r>
      <w:r>
        <w:rPr>
          <w:spacing w:val="-1"/>
        </w:rPr>
        <w:t xml:space="preserve"> </w:t>
      </w:r>
      <w:r>
        <w:t>of</w:t>
      </w:r>
      <w:r>
        <w:rPr>
          <w:spacing w:val="-2"/>
        </w:rPr>
        <w:t xml:space="preserve"> </w:t>
      </w:r>
      <w:r>
        <w:t>new</w:t>
      </w:r>
      <w:r>
        <w:rPr>
          <w:spacing w:val="-3"/>
        </w:rPr>
        <w:t xml:space="preserve"> </w:t>
      </w:r>
      <w:r>
        <w:t>substantive</w:t>
      </w:r>
      <w:r>
        <w:rPr>
          <w:spacing w:val="-4"/>
        </w:rPr>
        <w:t xml:space="preserve"> </w:t>
      </w:r>
      <w:r>
        <w:t>issues</w:t>
      </w:r>
      <w:r>
        <w:rPr>
          <w:spacing w:val="-4"/>
        </w:rPr>
        <w:t xml:space="preserve"> </w:t>
      </w:r>
      <w:r>
        <w:t>not</w:t>
      </w:r>
      <w:r>
        <w:rPr>
          <w:spacing w:val="-2"/>
        </w:rPr>
        <w:t xml:space="preserve"> </w:t>
      </w:r>
      <w:r>
        <w:t>considered</w:t>
      </w:r>
      <w:r>
        <w:rPr>
          <w:spacing w:val="-4"/>
        </w:rPr>
        <w:t xml:space="preserve"> </w:t>
      </w:r>
      <w:r>
        <w:t>during</w:t>
      </w:r>
      <w:r>
        <w:rPr>
          <w:spacing w:val="-5"/>
        </w:rPr>
        <w:t xml:space="preserve"> </w:t>
      </w:r>
      <w:r>
        <w:t>the</w:t>
      </w:r>
      <w:r>
        <w:rPr>
          <w:spacing w:val="-4"/>
        </w:rPr>
        <w:t xml:space="preserve"> </w:t>
      </w:r>
      <w:r>
        <w:t xml:space="preserve">initial </w:t>
      </w:r>
      <w:r>
        <w:rPr>
          <w:spacing w:val="-2"/>
        </w:rPr>
        <w:t>consultation;</w:t>
      </w:r>
    </w:p>
    <w:p w14:paraId="1E805AEF" w14:textId="77777777" w:rsidR="00AA4A02" w:rsidRDefault="00960F31">
      <w:pPr>
        <w:pStyle w:val="ListParagraph"/>
        <w:numPr>
          <w:ilvl w:val="1"/>
          <w:numId w:val="29"/>
        </w:numPr>
        <w:tabs>
          <w:tab w:val="left" w:pos="1562"/>
        </w:tabs>
        <w:spacing w:before="200" w:line="208" w:lineRule="auto"/>
        <w:ind w:right="482"/>
      </w:pPr>
      <w:r>
        <w:t>for</w:t>
      </w:r>
      <w:r>
        <w:rPr>
          <w:spacing w:val="-6"/>
        </w:rPr>
        <w:t xml:space="preserve"> </w:t>
      </w:r>
      <w:r>
        <w:t>international</w:t>
      </w:r>
      <w:r>
        <w:rPr>
          <w:spacing w:val="-3"/>
        </w:rPr>
        <w:t xml:space="preserve"> </w:t>
      </w:r>
      <w:r>
        <w:t>equivalent</w:t>
      </w:r>
      <w:r>
        <w:rPr>
          <w:spacing w:val="-6"/>
        </w:rPr>
        <w:t xml:space="preserve"> </w:t>
      </w:r>
      <w:r>
        <w:t>standards,</w:t>
      </w:r>
      <w:r>
        <w:rPr>
          <w:spacing w:val="-4"/>
        </w:rPr>
        <w:t xml:space="preserve"> </w:t>
      </w:r>
      <w:r>
        <w:t>whether</w:t>
      </w:r>
      <w:r>
        <w:rPr>
          <w:spacing w:val="-4"/>
        </w:rPr>
        <w:t xml:space="preserve"> </w:t>
      </w:r>
      <w:r>
        <w:t>there</w:t>
      </w:r>
      <w:r>
        <w:rPr>
          <w:spacing w:val="-4"/>
        </w:rPr>
        <w:t xml:space="preserve"> </w:t>
      </w:r>
      <w:r>
        <w:t>are</w:t>
      </w:r>
      <w:r>
        <w:rPr>
          <w:spacing w:val="-4"/>
        </w:rPr>
        <w:t xml:space="preserve"> </w:t>
      </w:r>
      <w:r>
        <w:t>unique</w:t>
      </w:r>
      <w:r>
        <w:rPr>
          <w:spacing w:val="-4"/>
        </w:rPr>
        <w:t xml:space="preserve"> </w:t>
      </w:r>
      <w:r>
        <w:t>factors</w:t>
      </w:r>
      <w:r>
        <w:rPr>
          <w:spacing w:val="-4"/>
        </w:rPr>
        <w:t xml:space="preserve"> </w:t>
      </w:r>
      <w:r>
        <w:t>in</w:t>
      </w:r>
      <w:r>
        <w:rPr>
          <w:spacing w:val="-4"/>
        </w:rPr>
        <w:t xml:space="preserve"> </w:t>
      </w:r>
      <w:r>
        <w:t>Australia driving re-exposure (ensuring that any re-exposure does not conflict with the AUASB’s policy of convergence to international standards);</w:t>
      </w:r>
    </w:p>
    <w:p w14:paraId="1E805AF0" w14:textId="77777777" w:rsidR="00AA4A02" w:rsidRDefault="00960F31">
      <w:pPr>
        <w:pStyle w:val="ListParagraph"/>
        <w:numPr>
          <w:ilvl w:val="1"/>
          <w:numId w:val="29"/>
        </w:numPr>
        <w:tabs>
          <w:tab w:val="left" w:pos="1562"/>
        </w:tabs>
        <w:spacing w:before="175"/>
      </w:pPr>
      <w:r>
        <w:t>the</w:t>
      </w:r>
      <w:r>
        <w:rPr>
          <w:spacing w:val="-5"/>
        </w:rPr>
        <w:t xml:space="preserve"> </w:t>
      </w:r>
      <w:r>
        <w:t>nature</w:t>
      </w:r>
      <w:r>
        <w:rPr>
          <w:spacing w:val="-3"/>
        </w:rPr>
        <w:t xml:space="preserve"> </w:t>
      </w:r>
      <w:r>
        <w:t>and</w:t>
      </w:r>
      <w:r>
        <w:rPr>
          <w:spacing w:val="-3"/>
        </w:rPr>
        <w:t xml:space="preserve"> </w:t>
      </w:r>
      <w:r>
        <w:t>extent</w:t>
      </w:r>
      <w:r>
        <w:rPr>
          <w:spacing w:val="-2"/>
        </w:rPr>
        <w:t xml:space="preserve"> </w:t>
      </w:r>
      <w:r>
        <w:t>of</w:t>
      </w:r>
      <w:r>
        <w:rPr>
          <w:spacing w:val="-3"/>
        </w:rPr>
        <w:t xml:space="preserve"> </w:t>
      </w:r>
      <w:r>
        <w:t>input</w:t>
      </w:r>
      <w:r>
        <w:rPr>
          <w:spacing w:val="-2"/>
        </w:rPr>
        <w:t xml:space="preserve"> </w:t>
      </w:r>
      <w:r>
        <w:t>from</w:t>
      </w:r>
      <w:r>
        <w:rPr>
          <w:spacing w:val="-2"/>
        </w:rPr>
        <w:t xml:space="preserve"> </w:t>
      </w:r>
      <w:r>
        <w:t>stakeholders</w:t>
      </w:r>
      <w:r>
        <w:rPr>
          <w:spacing w:val="-5"/>
        </w:rPr>
        <w:t xml:space="preserve"> </w:t>
      </w:r>
      <w:r>
        <w:t xml:space="preserve">and </w:t>
      </w:r>
      <w:r>
        <w:rPr>
          <w:spacing w:val="-2"/>
        </w:rPr>
        <w:t>whether:</w:t>
      </w:r>
    </w:p>
    <w:p w14:paraId="1E805AF1" w14:textId="77777777" w:rsidR="00AA4A02" w:rsidRDefault="00960F31">
      <w:pPr>
        <w:pStyle w:val="ListParagraph"/>
        <w:numPr>
          <w:ilvl w:val="0"/>
          <w:numId w:val="20"/>
        </w:numPr>
        <w:tabs>
          <w:tab w:val="left" w:pos="2128"/>
        </w:tabs>
        <w:spacing w:before="167"/>
        <w:ind w:hanging="566"/>
      </w:pPr>
      <w:r>
        <w:t>further</w:t>
      </w:r>
      <w:r>
        <w:rPr>
          <w:spacing w:val="-5"/>
        </w:rPr>
        <w:t xml:space="preserve"> </w:t>
      </w:r>
      <w:r>
        <w:t>consultation</w:t>
      </w:r>
      <w:r>
        <w:rPr>
          <w:spacing w:val="-5"/>
        </w:rPr>
        <w:t xml:space="preserve"> </w:t>
      </w:r>
      <w:r>
        <w:t>with</w:t>
      </w:r>
      <w:r>
        <w:rPr>
          <w:spacing w:val="-3"/>
        </w:rPr>
        <w:t xml:space="preserve"> </w:t>
      </w:r>
      <w:r>
        <w:t>those</w:t>
      </w:r>
      <w:r>
        <w:rPr>
          <w:spacing w:val="-4"/>
        </w:rPr>
        <w:t xml:space="preserve"> </w:t>
      </w:r>
      <w:r>
        <w:t>stakeholders</w:t>
      </w:r>
      <w:r>
        <w:rPr>
          <w:spacing w:val="-5"/>
        </w:rPr>
        <w:t xml:space="preserve"> </w:t>
      </w:r>
      <w:r>
        <w:t>is</w:t>
      </w:r>
      <w:r>
        <w:rPr>
          <w:spacing w:val="-4"/>
        </w:rPr>
        <w:t xml:space="preserve"> </w:t>
      </w:r>
      <w:r>
        <w:t>required;</w:t>
      </w:r>
      <w:r>
        <w:rPr>
          <w:spacing w:val="-3"/>
        </w:rPr>
        <w:t xml:space="preserve"> </w:t>
      </w:r>
      <w:r>
        <w:rPr>
          <w:spacing w:val="-5"/>
        </w:rPr>
        <w:t>or</w:t>
      </w:r>
    </w:p>
    <w:p w14:paraId="1E805AF2" w14:textId="77777777" w:rsidR="00AA4A02" w:rsidRDefault="00960F31">
      <w:pPr>
        <w:pStyle w:val="ListParagraph"/>
        <w:numPr>
          <w:ilvl w:val="0"/>
          <w:numId w:val="20"/>
        </w:numPr>
        <w:tabs>
          <w:tab w:val="left" w:pos="2128"/>
        </w:tabs>
        <w:spacing w:before="192" w:line="208" w:lineRule="auto"/>
        <w:ind w:right="190"/>
      </w:pPr>
      <w:r>
        <w:t>additional</w:t>
      </w:r>
      <w:r>
        <w:rPr>
          <w:spacing w:val="-4"/>
        </w:rPr>
        <w:t xml:space="preserve"> </w:t>
      </w:r>
      <w:r>
        <w:t>consultation</w:t>
      </w:r>
      <w:r>
        <w:rPr>
          <w:spacing w:val="-5"/>
        </w:rPr>
        <w:t xml:space="preserve"> </w:t>
      </w:r>
      <w:r>
        <w:t>is</w:t>
      </w:r>
      <w:r>
        <w:rPr>
          <w:spacing w:val="-4"/>
        </w:rPr>
        <w:t xml:space="preserve"> </w:t>
      </w:r>
      <w:r>
        <w:t>necessary</w:t>
      </w:r>
      <w:r>
        <w:rPr>
          <w:spacing w:val="-2"/>
        </w:rPr>
        <w:t xml:space="preserve"> </w:t>
      </w:r>
      <w:r>
        <w:t>with key</w:t>
      </w:r>
      <w:r>
        <w:rPr>
          <w:spacing w:val="-4"/>
        </w:rPr>
        <w:t xml:space="preserve"> </w:t>
      </w:r>
      <w:r>
        <w:t>stakeholders</w:t>
      </w:r>
      <w:r>
        <w:rPr>
          <w:spacing w:val="-2"/>
        </w:rPr>
        <w:t xml:space="preserve"> </w:t>
      </w:r>
      <w:r>
        <w:t>who</w:t>
      </w:r>
      <w:r>
        <w:rPr>
          <w:spacing w:val="-4"/>
        </w:rPr>
        <w:t xml:space="preserve"> </w:t>
      </w:r>
      <w:r>
        <w:t>have</w:t>
      </w:r>
      <w:r>
        <w:rPr>
          <w:spacing w:val="-2"/>
        </w:rPr>
        <w:t xml:space="preserve"> </w:t>
      </w:r>
      <w:r>
        <w:t>not</w:t>
      </w:r>
      <w:r>
        <w:rPr>
          <w:spacing w:val="-4"/>
        </w:rPr>
        <w:t xml:space="preserve"> </w:t>
      </w:r>
      <w:r>
        <w:t>had</w:t>
      </w:r>
      <w:r>
        <w:rPr>
          <w:spacing w:val="-4"/>
        </w:rPr>
        <w:t xml:space="preserve"> </w:t>
      </w:r>
      <w:r>
        <w:t>the opportunity to provide feedback on the proposed standard; and</w:t>
      </w:r>
    </w:p>
    <w:p w14:paraId="1E805AF3" w14:textId="77777777" w:rsidR="00AA4A02" w:rsidRDefault="00960F31">
      <w:pPr>
        <w:pStyle w:val="ListParagraph"/>
        <w:numPr>
          <w:ilvl w:val="1"/>
          <w:numId w:val="29"/>
        </w:numPr>
        <w:tabs>
          <w:tab w:val="left" w:pos="1562"/>
        </w:tabs>
        <w:spacing w:before="200" w:line="208" w:lineRule="auto"/>
        <w:ind w:right="501"/>
      </w:pPr>
      <w:r>
        <w:t>whether</w:t>
      </w:r>
      <w:r>
        <w:rPr>
          <w:spacing w:val="-2"/>
        </w:rPr>
        <w:t xml:space="preserve"> </w:t>
      </w:r>
      <w:r>
        <w:t>any</w:t>
      </w:r>
      <w:r>
        <w:rPr>
          <w:spacing w:val="-4"/>
        </w:rPr>
        <w:t xml:space="preserve"> </w:t>
      </w:r>
      <w:r>
        <w:t>persuasive</w:t>
      </w:r>
      <w:r>
        <w:rPr>
          <w:spacing w:val="-3"/>
        </w:rPr>
        <w:t xml:space="preserve"> </w:t>
      </w:r>
      <w:r>
        <w:t>or</w:t>
      </w:r>
      <w:r>
        <w:rPr>
          <w:spacing w:val="-4"/>
        </w:rPr>
        <w:t xml:space="preserve"> </w:t>
      </w:r>
      <w:r>
        <w:t>significant</w:t>
      </w:r>
      <w:r>
        <w:rPr>
          <w:spacing w:val="-1"/>
        </w:rPr>
        <w:t xml:space="preserve"> </w:t>
      </w:r>
      <w:r>
        <w:t>new</w:t>
      </w:r>
      <w:r>
        <w:rPr>
          <w:spacing w:val="-3"/>
        </w:rPr>
        <w:t xml:space="preserve"> </w:t>
      </w:r>
      <w:r>
        <w:t>evidence</w:t>
      </w:r>
      <w:r>
        <w:rPr>
          <w:spacing w:val="-3"/>
        </w:rPr>
        <w:t xml:space="preserve"> </w:t>
      </w:r>
      <w:r>
        <w:t>has</w:t>
      </w:r>
      <w:r>
        <w:rPr>
          <w:spacing w:val="-4"/>
        </w:rPr>
        <w:t xml:space="preserve"> </w:t>
      </w:r>
      <w:r>
        <w:t>been</w:t>
      </w:r>
      <w:r>
        <w:rPr>
          <w:spacing w:val="-5"/>
        </w:rPr>
        <w:t xml:space="preserve"> </w:t>
      </w:r>
      <w:r>
        <w:t>identified</w:t>
      </w:r>
      <w:r>
        <w:rPr>
          <w:spacing w:val="-3"/>
        </w:rPr>
        <w:t xml:space="preserve"> </w:t>
      </w:r>
      <w:r>
        <w:t>which</w:t>
      </w:r>
      <w:r>
        <w:rPr>
          <w:spacing w:val="-4"/>
        </w:rPr>
        <w:t xml:space="preserve"> </w:t>
      </w:r>
      <w:r>
        <w:t>may impact recommended changes to the proposed standard.</w:t>
      </w:r>
    </w:p>
    <w:p w14:paraId="1E805AF4" w14:textId="77777777" w:rsidR="00AA4A02" w:rsidRDefault="00960F31">
      <w:pPr>
        <w:pStyle w:val="ListParagraph"/>
        <w:numPr>
          <w:ilvl w:val="0"/>
          <w:numId w:val="29"/>
        </w:numPr>
        <w:tabs>
          <w:tab w:val="left" w:pos="851"/>
        </w:tabs>
        <w:spacing w:line="208" w:lineRule="auto"/>
        <w:ind w:right="479"/>
      </w:pPr>
      <w:r>
        <w:t>To determine whether the ED has changed substantially, the Board considers whether the objectives of the project have changed or if significant new requirements or recommended practices,</w:t>
      </w:r>
      <w:r>
        <w:rPr>
          <w:spacing w:val="-5"/>
        </w:rPr>
        <w:t xml:space="preserve"> </w:t>
      </w:r>
      <w:r>
        <w:t>that</w:t>
      </w:r>
      <w:r>
        <w:rPr>
          <w:spacing w:val="-1"/>
        </w:rPr>
        <w:t xml:space="preserve"> </w:t>
      </w:r>
      <w:r>
        <w:t>would</w:t>
      </w:r>
      <w:r>
        <w:rPr>
          <w:spacing w:val="-2"/>
        </w:rPr>
        <w:t xml:space="preserve"> </w:t>
      </w:r>
      <w:r>
        <w:t>cause</w:t>
      </w:r>
      <w:r>
        <w:rPr>
          <w:spacing w:val="-4"/>
        </w:rPr>
        <w:t xml:space="preserve"> </w:t>
      </w:r>
      <w:r>
        <w:t>a</w:t>
      </w:r>
      <w:r>
        <w:rPr>
          <w:spacing w:val="-2"/>
        </w:rPr>
        <w:t xml:space="preserve"> </w:t>
      </w:r>
      <w:r>
        <w:t>major</w:t>
      </w:r>
      <w:r>
        <w:rPr>
          <w:spacing w:val="-2"/>
        </w:rPr>
        <w:t xml:space="preserve"> </w:t>
      </w:r>
      <w:r>
        <w:t>change</w:t>
      </w:r>
      <w:r>
        <w:rPr>
          <w:spacing w:val="-4"/>
        </w:rPr>
        <w:t xml:space="preserve"> </w:t>
      </w:r>
      <w:r>
        <w:t>in</w:t>
      </w:r>
      <w:r>
        <w:rPr>
          <w:spacing w:val="-2"/>
        </w:rPr>
        <w:t xml:space="preserve"> </w:t>
      </w:r>
      <w:r>
        <w:t>practice,</w:t>
      </w:r>
      <w:r>
        <w:rPr>
          <w:spacing w:val="-5"/>
        </w:rPr>
        <w:t xml:space="preserve"> </w:t>
      </w:r>
      <w:r>
        <w:t>have</w:t>
      </w:r>
      <w:r>
        <w:rPr>
          <w:spacing w:val="-2"/>
        </w:rPr>
        <w:t xml:space="preserve"> </w:t>
      </w:r>
      <w:r>
        <w:t>been</w:t>
      </w:r>
      <w:r>
        <w:rPr>
          <w:spacing w:val="-5"/>
        </w:rPr>
        <w:t xml:space="preserve"> </w:t>
      </w:r>
      <w:r>
        <w:t>introduced.</w:t>
      </w:r>
      <w:r>
        <w:rPr>
          <w:spacing w:val="-2"/>
        </w:rPr>
        <w:t xml:space="preserve"> </w:t>
      </w:r>
      <w:r>
        <w:t>Additionally:</w:t>
      </w:r>
    </w:p>
    <w:p w14:paraId="1E805AF5" w14:textId="77777777" w:rsidR="00AA4A02" w:rsidRDefault="00960F31">
      <w:pPr>
        <w:pStyle w:val="ListParagraph"/>
        <w:numPr>
          <w:ilvl w:val="1"/>
          <w:numId w:val="29"/>
        </w:numPr>
        <w:tabs>
          <w:tab w:val="left" w:pos="1562"/>
        </w:tabs>
        <w:spacing w:before="199" w:line="208" w:lineRule="auto"/>
        <w:ind w:right="421"/>
      </w:pPr>
      <w:r>
        <w:t>changes impacting on potential compelling reasons modifications to international standards</w:t>
      </w:r>
      <w:r>
        <w:rPr>
          <w:spacing w:val="-3"/>
        </w:rPr>
        <w:t xml:space="preserve"> </w:t>
      </w:r>
      <w:r>
        <w:t>adopted</w:t>
      </w:r>
      <w:r>
        <w:rPr>
          <w:spacing w:val="-3"/>
        </w:rPr>
        <w:t xml:space="preserve"> </w:t>
      </w:r>
      <w:r>
        <w:t>in</w:t>
      </w:r>
      <w:r>
        <w:rPr>
          <w:spacing w:val="-6"/>
        </w:rPr>
        <w:t xml:space="preserve"> </w:t>
      </w:r>
      <w:r>
        <w:t>Australia,</w:t>
      </w:r>
      <w:r>
        <w:rPr>
          <w:spacing w:val="-6"/>
        </w:rPr>
        <w:t xml:space="preserve"> </w:t>
      </w:r>
      <w:r>
        <w:t>are</w:t>
      </w:r>
      <w:r>
        <w:rPr>
          <w:spacing w:val="-3"/>
        </w:rPr>
        <w:t xml:space="preserve"> </w:t>
      </w:r>
      <w:r>
        <w:t>generally</w:t>
      </w:r>
      <w:r>
        <w:rPr>
          <w:spacing w:val="-3"/>
        </w:rPr>
        <w:t xml:space="preserve"> </w:t>
      </w:r>
      <w:r>
        <w:t>considered</w:t>
      </w:r>
      <w:r>
        <w:rPr>
          <w:spacing w:val="-3"/>
        </w:rPr>
        <w:t xml:space="preserve"> </w:t>
      </w:r>
      <w:r>
        <w:t>to</w:t>
      </w:r>
      <w:r>
        <w:rPr>
          <w:spacing w:val="-3"/>
        </w:rPr>
        <w:t xml:space="preserve"> </w:t>
      </w:r>
      <w:r>
        <w:t>be</w:t>
      </w:r>
      <w:r>
        <w:rPr>
          <w:spacing w:val="-4"/>
        </w:rPr>
        <w:t xml:space="preserve"> </w:t>
      </w:r>
      <w:r>
        <w:t>significant</w:t>
      </w:r>
      <w:r>
        <w:rPr>
          <w:spacing w:val="-2"/>
        </w:rPr>
        <w:t xml:space="preserve"> </w:t>
      </w:r>
      <w:r>
        <w:t>changes</w:t>
      </w:r>
      <w:r>
        <w:rPr>
          <w:vertAlign w:val="superscript"/>
        </w:rPr>
        <w:t>39</w:t>
      </w:r>
      <w:r>
        <w:t>;</w:t>
      </w:r>
    </w:p>
    <w:p w14:paraId="1E805AF6" w14:textId="77777777" w:rsidR="00AA4A02" w:rsidRDefault="00960F31">
      <w:pPr>
        <w:pStyle w:val="ListParagraph"/>
        <w:numPr>
          <w:ilvl w:val="1"/>
          <w:numId w:val="29"/>
        </w:numPr>
        <w:tabs>
          <w:tab w:val="left" w:pos="1562"/>
        </w:tabs>
        <w:spacing w:line="208" w:lineRule="auto"/>
        <w:ind w:right="210"/>
      </w:pPr>
      <w:r>
        <w:t>where key elements of the exposed standard have been modified in response to comments received on exposure to clarify and enhance understanding, re-exposure is generally</w:t>
      </w:r>
      <w:r>
        <w:rPr>
          <w:spacing w:val="-1"/>
        </w:rPr>
        <w:t xml:space="preserve"> </w:t>
      </w:r>
      <w:r>
        <w:t>not</w:t>
      </w:r>
      <w:r>
        <w:rPr>
          <w:spacing w:val="-1"/>
        </w:rPr>
        <w:t xml:space="preserve"> </w:t>
      </w:r>
      <w:r>
        <w:t>required</w:t>
      </w:r>
      <w:r>
        <w:rPr>
          <w:spacing w:val="-1"/>
        </w:rPr>
        <w:t xml:space="preserve"> </w:t>
      </w:r>
      <w:r>
        <w:t>as</w:t>
      </w:r>
      <w:r>
        <w:rPr>
          <w:spacing w:val="-3"/>
        </w:rPr>
        <w:t xml:space="preserve"> </w:t>
      </w:r>
      <w:r>
        <w:t>long</w:t>
      </w:r>
      <w:r>
        <w:rPr>
          <w:spacing w:val="-1"/>
        </w:rPr>
        <w:t xml:space="preserve"> </w:t>
      </w:r>
      <w:r>
        <w:t>as</w:t>
      </w:r>
      <w:r>
        <w:rPr>
          <w:spacing w:val="-3"/>
        </w:rPr>
        <w:t xml:space="preserve"> </w:t>
      </w:r>
      <w:r>
        <w:t>the</w:t>
      </w:r>
      <w:r>
        <w:rPr>
          <w:spacing w:val="-1"/>
        </w:rPr>
        <w:t xml:space="preserve"> </w:t>
      </w:r>
      <w:r>
        <w:t>Board</w:t>
      </w:r>
      <w:r>
        <w:rPr>
          <w:spacing w:val="-4"/>
        </w:rPr>
        <w:t xml:space="preserve"> </w:t>
      </w:r>
      <w:r>
        <w:t>considers</w:t>
      </w:r>
      <w:r>
        <w:rPr>
          <w:spacing w:val="-3"/>
        </w:rPr>
        <w:t xml:space="preserve"> </w:t>
      </w:r>
      <w:r>
        <w:t>the</w:t>
      </w:r>
      <w:r>
        <w:rPr>
          <w:spacing w:val="-1"/>
        </w:rPr>
        <w:t xml:space="preserve"> </w:t>
      </w:r>
      <w:r>
        <w:t>key</w:t>
      </w:r>
      <w:r>
        <w:rPr>
          <w:spacing w:val="-4"/>
        </w:rPr>
        <w:t xml:space="preserve"> </w:t>
      </w:r>
      <w:r>
        <w:t>elements</w:t>
      </w:r>
      <w:r>
        <w:rPr>
          <w:spacing w:val="-3"/>
        </w:rPr>
        <w:t xml:space="preserve"> </w:t>
      </w:r>
      <w:r>
        <w:t>of</w:t>
      </w:r>
      <w:r>
        <w:rPr>
          <w:spacing w:val="-3"/>
        </w:rPr>
        <w:t xml:space="preserve"> </w:t>
      </w:r>
      <w:r>
        <w:t>the</w:t>
      </w:r>
      <w:r>
        <w:rPr>
          <w:spacing w:val="-1"/>
        </w:rPr>
        <w:t xml:space="preserve"> </w:t>
      </w:r>
      <w:r>
        <w:t>ED</w:t>
      </w:r>
      <w:r>
        <w:rPr>
          <w:spacing w:val="-5"/>
        </w:rPr>
        <w:t xml:space="preserve"> </w:t>
      </w:r>
      <w:r>
        <w:t>have been retained; and</w:t>
      </w:r>
    </w:p>
    <w:p w14:paraId="1E805AF7" w14:textId="77777777" w:rsidR="00AA4A02" w:rsidRDefault="00AA4A02">
      <w:pPr>
        <w:pStyle w:val="BodyText"/>
        <w:rPr>
          <w:sz w:val="20"/>
        </w:rPr>
      </w:pPr>
    </w:p>
    <w:p w14:paraId="1E805AF8" w14:textId="77777777" w:rsidR="00AA4A02" w:rsidRDefault="00960F31">
      <w:pPr>
        <w:pStyle w:val="BodyText"/>
        <w:spacing w:before="206"/>
        <w:rPr>
          <w:sz w:val="20"/>
        </w:rPr>
      </w:pPr>
      <w:r>
        <w:rPr>
          <w:noProof/>
          <w:sz w:val="20"/>
        </w:rPr>
        <mc:AlternateContent>
          <mc:Choice Requires="wps">
            <w:drawing>
              <wp:anchor distT="0" distB="0" distL="0" distR="0" simplePos="0" relativeHeight="487605760" behindDoc="1" locked="0" layoutInCell="1" allowOverlap="1" wp14:anchorId="1E805F59" wp14:editId="1E805F5A">
                <wp:simplePos x="0" y="0"/>
                <wp:positionH relativeFrom="page">
                  <wp:posOffset>900988</wp:posOffset>
                </wp:positionH>
                <wp:positionV relativeFrom="paragraph">
                  <wp:posOffset>292633</wp:posOffset>
                </wp:positionV>
                <wp:extent cx="1829435" cy="762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F3931" id="Graphic 58" o:spid="_x0000_s1026" style="position:absolute;margin-left:70.95pt;margin-top:23.05pt;width:144.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GY2VF/fAAAACQEAAA8AAAAAAAAAAAAAAAAAfQQAAGRycy9kb3du&#10;cmV2LnhtbFBLBQYAAAAABAAEAPMAAACJBQAAAAA=&#10;" path="m1829053,l,,,7619r1829053,l1829053,xe" fillcolor="black" stroked="f">
                <v:path arrowok="t"/>
                <w10:wrap type="topAndBottom" anchorx="page"/>
              </v:shape>
            </w:pict>
          </mc:Fallback>
        </mc:AlternateContent>
      </w:r>
    </w:p>
    <w:p w14:paraId="1E805AF9" w14:textId="77777777" w:rsidR="00AA4A02" w:rsidRDefault="00960F31">
      <w:pPr>
        <w:spacing w:before="73"/>
        <w:ind w:left="143"/>
        <w:rPr>
          <w:sz w:val="16"/>
        </w:rPr>
      </w:pPr>
      <w:r>
        <w:rPr>
          <w:sz w:val="16"/>
          <w:vertAlign w:val="superscript"/>
        </w:rPr>
        <w:t>39</w:t>
      </w:r>
      <w:r>
        <w:rPr>
          <w:spacing w:val="48"/>
          <w:sz w:val="16"/>
        </w:rPr>
        <w:t xml:space="preserve">  </w:t>
      </w:r>
      <w:r>
        <w:rPr>
          <w:sz w:val="16"/>
        </w:rPr>
        <w:t>See</w:t>
      </w:r>
      <w:r>
        <w:rPr>
          <w:spacing w:val="-2"/>
          <w:sz w:val="16"/>
        </w:rPr>
        <w:t xml:space="preserve"> </w:t>
      </w:r>
      <w:r>
        <w:rPr>
          <w:sz w:val="16"/>
        </w:rPr>
        <w:t>paragraph</w:t>
      </w:r>
      <w:r>
        <w:rPr>
          <w:spacing w:val="-2"/>
          <w:sz w:val="16"/>
        </w:rPr>
        <w:t xml:space="preserve"> </w:t>
      </w:r>
      <w:r>
        <w:rPr>
          <w:sz w:val="16"/>
        </w:rPr>
        <w:t>43</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AFA" w14:textId="77777777" w:rsidR="00AA4A02" w:rsidRDefault="00AA4A02">
      <w:pPr>
        <w:rPr>
          <w:sz w:val="16"/>
        </w:rPr>
        <w:sectPr w:rsidR="00AA4A02">
          <w:pgSz w:w="11910" w:h="16840"/>
          <w:pgMar w:top="1380" w:right="1275" w:bottom="1040" w:left="1275" w:header="689" w:footer="842" w:gutter="0"/>
          <w:cols w:space="720"/>
        </w:sectPr>
      </w:pPr>
    </w:p>
    <w:p w14:paraId="1E805AFB" w14:textId="77777777" w:rsidR="00AA4A02" w:rsidRDefault="00960F31">
      <w:pPr>
        <w:pStyle w:val="ListParagraph"/>
        <w:numPr>
          <w:ilvl w:val="1"/>
          <w:numId w:val="29"/>
        </w:numPr>
        <w:tabs>
          <w:tab w:val="left" w:pos="1562"/>
        </w:tabs>
        <w:spacing w:before="219" w:line="208" w:lineRule="auto"/>
        <w:ind w:right="196"/>
      </w:pPr>
      <w:r>
        <w:lastRenderedPageBreak/>
        <w:t>matters</w:t>
      </w:r>
      <w:r>
        <w:rPr>
          <w:spacing w:val="-4"/>
        </w:rPr>
        <w:t xml:space="preserve"> </w:t>
      </w:r>
      <w:r>
        <w:t>relating</w:t>
      </w:r>
      <w:r>
        <w:rPr>
          <w:spacing w:val="-5"/>
        </w:rPr>
        <w:t xml:space="preserve"> </w:t>
      </w:r>
      <w:r>
        <w:t>to</w:t>
      </w:r>
      <w:r>
        <w:rPr>
          <w:spacing w:val="-5"/>
        </w:rPr>
        <w:t xml:space="preserve"> </w:t>
      </w:r>
      <w:r>
        <w:t>the</w:t>
      </w:r>
      <w:r>
        <w:rPr>
          <w:spacing w:val="-4"/>
        </w:rPr>
        <w:t xml:space="preserve"> </w:t>
      </w:r>
      <w:r>
        <w:t>structure</w:t>
      </w:r>
      <w:r>
        <w:rPr>
          <w:spacing w:val="-4"/>
        </w:rPr>
        <w:t xml:space="preserve"> </w:t>
      </w:r>
      <w:r>
        <w:t>or</w:t>
      </w:r>
      <w:r>
        <w:rPr>
          <w:spacing w:val="-2"/>
        </w:rPr>
        <w:t xml:space="preserve"> </w:t>
      </w:r>
      <w:r>
        <w:t>presentation</w:t>
      </w:r>
      <w:r>
        <w:rPr>
          <w:spacing w:val="-2"/>
        </w:rPr>
        <w:t xml:space="preserve"> </w:t>
      </w:r>
      <w:r>
        <w:t>of</w:t>
      </w:r>
      <w:r>
        <w:rPr>
          <w:spacing w:val="-2"/>
        </w:rPr>
        <w:t xml:space="preserve"> </w:t>
      </w:r>
      <w:r>
        <w:t>a</w:t>
      </w:r>
      <w:r>
        <w:rPr>
          <w:spacing w:val="-4"/>
        </w:rPr>
        <w:t xml:space="preserve"> </w:t>
      </w:r>
      <w:r>
        <w:t>standard</w:t>
      </w:r>
      <w:r>
        <w:rPr>
          <w:spacing w:val="-2"/>
        </w:rPr>
        <w:t xml:space="preserve"> </w:t>
      </w:r>
      <w:r>
        <w:t>will</w:t>
      </w:r>
      <w:r>
        <w:rPr>
          <w:spacing w:val="-1"/>
        </w:rPr>
        <w:t xml:space="preserve"> </w:t>
      </w:r>
      <w:r>
        <w:t>typically</w:t>
      </w:r>
      <w:r>
        <w:rPr>
          <w:spacing w:val="-2"/>
        </w:rPr>
        <w:t xml:space="preserve"> </w:t>
      </w:r>
      <w:r>
        <w:t>not</w:t>
      </w:r>
      <w:r>
        <w:rPr>
          <w:spacing w:val="-1"/>
        </w:rPr>
        <w:t xml:space="preserve"> </w:t>
      </w:r>
      <w:r>
        <w:t xml:space="preserve">warrant </w:t>
      </w:r>
      <w:r>
        <w:rPr>
          <w:spacing w:val="-2"/>
        </w:rPr>
        <w:t>re-exposure.</w:t>
      </w:r>
    </w:p>
    <w:p w14:paraId="1E805AFC" w14:textId="77777777" w:rsidR="00AA4A02" w:rsidRDefault="00960F31">
      <w:pPr>
        <w:pStyle w:val="BodyText"/>
        <w:spacing w:before="201" w:line="208" w:lineRule="auto"/>
        <w:ind w:left="851" w:right="173"/>
      </w:pPr>
      <w:r>
        <w:t>The more extensive and/or fundamental the changes to the original ED and current practice are, the more likely it is that the revisions to the ED will have a significant impact on Australian</w:t>
      </w:r>
      <w:r>
        <w:rPr>
          <w:spacing w:val="-4"/>
        </w:rPr>
        <w:t xml:space="preserve"> </w:t>
      </w:r>
      <w:r>
        <w:t>stakeholders</w:t>
      </w:r>
      <w:r>
        <w:rPr>
          <w:spacing w:val="-2"/>
        </w:rPr>
        <w:t xml:space="preserve"> </w:t>
      </w:r>
      <w:r>
        <w:t>and</w:t>
      </w:r>
      <w:r>
        <w:rPr>
          <w:spacing w:val="-5"/>
        </w:rPr>
        <w:t xml:space="preserve"> </w:t>
      </w:r>
      <w:r>
        <w:t>that</w:t>
      </w:r>
      <w:r>
        <w:rPr>
          <w:spacing w:val="-1"/>
        </w:rPr>
        <w:t xml:space="preserve"> </w:t>
      </w:r>
      <w:r>
        <w:t>the</w:t>
      </w:r>
      <w:r>
        <w:rPr>
          <w:spacing w:val="-2"/>
        </w:rPr>
        <w:t xml:space="preserve"> </w:t>
      </w:r>
      <w:r>
        <w:t>proposals</w:t>
      </w:r>
      <w:r>
        <w:rPr>
          <w:spacing w:val="-4"/>
        </w:rPr>
        <w:t xml:space="preserve"> </w:t>
      </w:r>
      <w:r>
        <w:t>therefore</w:t>
      </w:r>
      <w:r>
        <w:rPr>
          <w:spacing w:val="-4"/>
        </w:rPr>
        <w:t xml:space="preserve"> </w:t>
      </w:r>
      <w:r>
        <w:t>should</w:t>
      </w:r>
      <w:r>
        <w:rPr>
          <w:spacing w:val="-2"/>
        </w:rPr>
        <w:t xml:space="preserve"> </w:t>
      </w:r>
      <w:r>
        <w:t>be</w:t>
      </w:r>
      <w:r>
        <w:rPr>
          <w:spacing w:val="-4"/>
        </w:rPr>
        <w:t xml:space="preserve"> </w:t>
      </w:r>
      <w:r>
        <w:t>exposed</w:t>
      </w:r>
      <w:r>
        <w:rPr>
          <w:spacing w:val="-2"/>
        </w:rPr>
        <w:t xml:space="preserve"> </w:t>
      </w:r>
      <w:r>
        <w:t>for</w:t>
      </w:r>
      <w:r>
        <w:rPr>
          <w:spacing w:val="-2"/>
        </w:rPr>
        <w:t xml:space="preserve"> </w:t>
      </w:r>
      <w:r>
        <w:t>a</w:t>
      </w:r>
      <w:r>
        <w:rPr>
          <w:spacing w:val="-4"/>
        </w:rPr>
        <w:t xml:space="preserve"> </w:t>
      </w:r>
      <w:r>
        <w:t>second</w:t>
      </w:r>
      <w:r>
        <w:rPr>
          <w:spacing w:val="-2"/>
        </w:rPr>
        <w:t xml:space="preserve"> </w:t>
      </w:r>
      <w:r>
        <w:t>time.</w:t>
      </w:r>
    </w:p>
    <w:p w14:paraId="1E805AFD" w14:textId="77777777" w:rsidR="00AA4A02" w:rsidRDefault="00960F31">
      <w:pPr>
        <w:pStyle w:val="ListParagraph"/>
        <w:numPr>
          <w:ilvl w:val="0"/>
          <w:numId w:val="29"/>
        </w:numPr>
        <w:tabs>
          <w:tab w:val="left" w:pos="851"/>
        </w:tabs>
        <w:spacing w:before="199" w:line="208" w:lineRule="auto"/>
        <w:ind w:right="217"/>
      </w:pPr>
      <w:r>
        <w:t>When evaluating if re-exposure is required, the AUASB assesses the impact of delaying implementation due to re-exposure against the relative urgency and importance of any additional changes to a proposed standard. The Board considers the additional steps it has taken to consult with stakeholders since issuing the ED and whether using committees or targeted consultation could provide the Board with information to support a decision to finalise</w:t>
      </w:r>
      <w:r>
        <w:rPr>
          <w:spacing w:val="-5"/>
        </w:rPr>
        <w:t xml:space="preserve"> </w:t>
      </w:r>
      <w:r>
        <w:t>a</w:t>
      </w:r>
      <w:r>
        <w:rPr>
          <w:spacing w:val="-3"/>
        </w:rPr>
        <w:t xml:space="preserve"> </w:t>
      </w:r>
      <w:r>
        <w:t>revised</w:t>
      </w:r>
      <w:r>
        <w:rPr>
          <w:spacing w:val="-3"/>
        </w:rPr>
        <w:t xml:space="preserve"> </w:t>
      </w:r>
      <w:r>
        <w:t>draft</w:t>
      </w:r>
      <w:r>
        <w:rPr>
          <w:spacing w:val="-2"/>
        </w:rPr>
        <w:t xml:space="preserve"> </w:t>
      </w:r>
      <w:r>
        <w:t>without</w:t>
      </w:r>
      <w:r>
        <w:rPr>
          <w:spacing w:val="-2"/>
        </w:rPr>
        <w:t xml:space="preserve"> </w:t>
      </w:r>
      <w:r>
        <w:t>re-exposure.</w:t>
      </w:r>
      <w:r>
        <w:rPr>
          <w:spacing w:val="-3"/>
        </w:rPr>
        <w:t xml:space="preserve"> </w:t>
      </w:r>
      <w:r>
        <w:t>The</w:t>
      </w:r>
      <w:r>
        <w:rPr>
          <w:spacing w:val="-3"/>
        </w:rPr>
        <w:t xml:space="preserve"> </w:t>
      </w:r>
      <w:r>
        <w:t>Board</w:t>
      </w:r>
      <w:r>
        <w:rPr>
          <w:spacing w:val="-6"/>
        </w:rPr>
        <w:t xml:space="preserve"> </w:t>
      </w:r>
      <w:r>
        <w:t>considers</w:t>
      </w:r>
      <w:r>
        <w:rPr>
          <w:spacing w:val="-3"/>
        </w:rPr>
        <w:t xml:space="preserve"> </w:t>
      </w:r>
      <w:r>
        <w:t>whether</w:t>
      </w:r>
      <w:r>
        <w:rPr>
          <w:spacing w:val="-3"/>
        </w:rPr>
        <w:t xml:space="preserve"> </w:t>
      </w:r>
      <w:r>
        <w:t>any</w:t>
      </w:r>
      <w:r>
        <w:rPr>
          <w:spacing w:val="-5"/>
        </w:rPr>
        <w:t xml:space="preserve"> </w:t>
      </w:r>
      <w:r>
        <w:t>implementation support, for example, the issuance of additional non-authoritative implementation guidance material or staff FAQs would address concerns.</w:t>
      </w:r>
    </w:p>
    <w:p w14:paraId="1E805AFE" w14:textId="77777777" w:rsidR="00AA4A02" w:rsidRDefault="00960F31">
      <w:pPr>
        <w:spacing w:before="174"/>
        <w:ind w:left="143"/>
      </w:pPr>
      <w:r>
        <w:rPr>
          <w:i/>
        </w:rPr>
        <w:t>Comment</w:t>
      </w:r>
      <w:r>
        <w:rPr>
          <w:i/>
          <w:spacing w:val="-5"/>
        </w:rPr>
        <w:t xml:space="preserve"> </w:t>
      </w:r>
      <w:r>
        <w:rPr>
          <w:i/>
        </w:rPr>
        <w:t>Periods</w:t>
      </w:r>
      <w:r>
        <w:rPr>
          <w:i/>
          <w:spacing w:val="-3"/>
        </w:rPr>
        <w:t xml:space="preserve"> </w:t>
      </w:r>
      <w:r>
        <w:rPr>
          <w:i/>
        </w:rPr>
        <w:t>for</w:t>
      </w:r>
      <w:r>
        <w:rPr>
          <w:i/>
          <w:spacing w:val="-3"/>
        </w:rPr>
        <w:t xml:space="preserve"> </w:t>
      </w:r>
      <w:r>
        <w:rPr>
          <w:i/>
        </w:rPr>
        <w:t>Public</w:t>
      </w:r>
      <w:r>
        <w:rPr>
          <w:i/>
          <w:spacing w:val="-4"/>
        </w:rPr>
        <w:t xml:space="preserve"> </w:t>
      </w:r>
      <w:r>
        <w:rPr>
          <w:i/>
        </w:rPr>
        <w:t>Exposure</w:t>
      </w:r>
      <w:r>
        <w:rPr>
          <w:i/>
          <w:spacing w:val="-1"/>
        </w:rPr>
        <w:t xml:space="preserve"> </w:t>
      </w:r>
      <w:r>
        <w:rPr>
          <w:i/>
        </w:rPr>
        <w:t>of</w:t>
      </w:r>
      <w:r>
        <w:rPr>
          <w:i/>
          <w:spacing w:val="-2"/>
        </w:rPr>
        <w:t xml:space="preserve"> </w:t>
      </w:r>
      <w:r>
        <w:rPr>
          <w:i/>
        </w:rPr>
        <w:t>Proposed</w:t>
      </w:r>
      <w:r>
        <w:rPr>
          <w:i/>
          <w:spacing w:val="-4"/>
        </w:rPr>
        <w:t xml:space="preserve"> </w:t>
      </w:r>
      <w:r>
        <w:rPr>
          <w:i/>
        </w:rPr>
        <w:t>New</w:t>
      </w:r>
      <w:r>
        <w:rPr>
          <w:i/>
          <w:spacing w:val="-4"/>
        </w:rPr>
        <w:t xml:space="preserve"> </w:t>
      </w:r>
      <w:r>
        <w:rPr>
          <w:i/>
        </w:rPr>
        <w:t>or</w:t>
      </w:r>
      <w:r>
        <w:rPr>
          <w:i/>
          <w:spacing w:val="-3"/>
        </w:rPr>
        <w:t xml:space="preserve"> </w:t>
      </w:r>
      <w:r>
        <w:rPr>
          <w:i/>
        </w:rPr>
        <w:t>Revised</w:t>
      </w:r>
      <w:r>
        <w:rPr>
          <w:i/>
          <w:spacing w:val="-5"/>
        </w:rPr>
        <w:t xml:space="preserve"> </w:t>
      </w:r>
      <w:r>
        <w:rPr>
          <w:i/>
        </w:rPr>
        <w:t>AUASB</w:t>
      </w:r>
      <w:r>
        <w:rPr>
          <w:i/>
          <w:spacing w:val="-4"/>
        </w:rPr>
        <w:t xml:space="preserve"> </w:t>
      </w:r>
      <w:r>
        <w:rPr>
          <w:i/>
          <w:spacing w:val="-2"/>
        </w:rPr>
        <w:t>Standards</w:t>
      </w:r>
      <w:r>
        <w:rPr>
          <w:spacing w:val="-2"/>
          <w:vertAlign w:val="superscript"/>
        </w:rPr>
        <w:t>40</w:t>
      </w:r>
    </w:p>
    <w:p w14:paraId="1E805AFF" w14:textId="77777777" w:rsidR="00AA4A02" w:rsidRDefault="00960F31">
      <w:pPr>
        <w:pStyle w:val="ListParagraph"/>
        <w:numPr>
          <w:ilvl w:val="0"/>
          <w:numId w:val="29"/>
        </w:numPr>
        <w:tabs>
          <w:tab w:val="left" w:pos="851"/>
        </w:tabs>
        <w:spacing w:before="194" w:line="208" w:lineRule="auto"/>
        <w:ind w:right="440"/>
      </w:pPr>
      <w:r>
        <w:t>Comment</w:t>
      </w:r>
      <w:r>
        <w:rPr>
          <w:spacing w:val="-4"/>
        </w:rPr>
        <w:t xml:space="preserve"> </w:t>
      </w:r>
      <w:r>
        <w:t>periods</w:t>
      </w:r>
      <w:r>
        <w:rPr>
          <w:spacing w:val="-2"/>
        </w:rPr>
        <w:t xml:space="preserve"> </w:t>
      </w:r>
      <w:r>
        <w:t>for</w:t>
      </w:r>
      <w:r>
        <w:rPr>
          <w:spacing w:val="-2"/>
        </w:rPr>
        <w:t xml:space="preserve"> </w:t>
      </w:r>
      <w:r>
        <w:t>the</w:t>
      </w:r>
      <w:r>
        <w:rPr>
          <w:spacing w:val="-2"/>
        </w:rPr>
        <w:t xml:space="preserve"> </w:t>
      </w:r>
      <w:r>
        <w:t>public</w:t>
      </w:r>
      <w:r>
        <w:rPr>
          <w:spacing w:val="-2"/>
        </w:rPr>
        <w:t xml:space="preserve"> </w:t>
      </w:r>
      <w:r>
        <w:t>exposure</w:t>
      </w:r>
      <w:r>
        <w:rPr>
          <w:spacing w:val="-2"/>
        </w:rPr>
        <w:t xml:space="preserve"> </w:t>
      </w:r>
      <w:r>
        <w:t>of</w:t>
      </w:r>
      <w:r>
        <w:rPr>
          <w:spacing w:val="-2"/>
        </w:rPr>
        <w:t xml:space="preserve"> </w:t>
      </w:r>
      <w:r>
        <w:t>proposed</w:t>
      </w:r>
      <w:r>
        <w:rPr>
          <w:spacing w:val="-4"/>
        </w:rPr>
        <w:t xml:space="preserve"> </w:t>
      </w:r>
      <w:r>
        <w:t>new</w:t>
      </w:r>
      <w:r>
        <w:rPr>
          <w:spacing w:val="-3"/>
        </w:rPr>
        <w:t xml:space="preserve"> </w:t>
      </w:r>
      <w:r>
        <w:t>AUASB</w:t>
      </w:r>
      <w:r>
        <w:rPr>
          <w:spacing w:val="-3"/>
        </w:rPr>
        <w:t xml:space="preserve"> </w:t>
      </w:r>
      <w:r>
        <w:t>Standards,</w:t>
      </w:r>
      <w:r>
        <w:rPr>
          <w:spacing w:val="-2"/>
        </w:rPr>
        <w:t xml:space="preserve"> </w:t>
      </w:r>
      <w:r>
        <w:t>or</w:t>
      </w:r>
      <w:r>
        <w:rPr>
          <w:spacing w:val="-4"/>
        </w:rPr>
        <w:t xml:space="preserve"> </w:t>
      </w:r>
      <w:r>
        <w:t>proposed amendments to standards, are as follows:</w:t>
      </w:r>
    </w:p>
    <w:p w14:paraId="1E805B00" w14:textId="77777777" w:rsidR="00AA4A02" w:rsidRDefault="00AA4A02">
      <w:pPr>
        <w:pStyle w:val="BodyText"/>
        <w:spacing w:before="6"/>
        <w:rPr>
          <w:sz w:val="17"/>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558"/>
        <w:gridCol w:w="4821"/>
      </w:tblGrid>
      <w:tr w:rsidR="00AA4A02" w14:paraId="1E805B04" w14:textId="77777777">
        <w:trPr>
          <w:trHeight w:val="582"/>
        </w:trPr>
        <w:tc>
          <w:tcPr>
            <w:tcW w:w="1988" w:type="dxa"/>
          </w:tcPr>
          <w:p w14:paraId="1E805B01" w14:textId="77777777" w:rsidR="00AA4A02" w:rsidRDefault="00960F31">
            <w:pPr>
              <w:pStyle w:val="TableParagraph"/>
              <w:spacing w:line="225" w:lineRule="exact"/>
              <w:rPr>
                <w:b/>
              </w:rPr>
            </w:pPr>
            <w:r>
              <w:rPr>
                <w:b/>
                <w:spacing w:val="-2"/>
              </w:rPr>
              <w:t>Pronouncement</w:t>
            </w:r>
          </w:p>
        </w:tc>
        <w:tc>
          <w:tcPr>
            <w:tcW w:w="1558" w:type="dxa"/>
          </w:tcPr>
          <w:p w14:paraId="1E805B02" w14:textId="77777777" w:rsidR="00AA4A02" w:rsidRDefault="00960F31">
            <w:pPr>
              <w:pStyle w:val="TableParagraph"/>
              <w:ind w:left="105"/>
              <w:rPr>
                <w:b/>
              </w:rPr>
            </w:pPr>
            <w:r>
              <w:rPr>
                <w:b/>
                <w:spacing w:val="-2"/>
              </w:rPr>
              <w:t>Consultation Document</w:t>
            </w:r>
          </w:p>
        </w:tc>
        <w:tc>
          <w:tcPr>
            <w:tcW w:w="4821" w:type="dxa"/>
          </w:tcPr>
          <w:p w14:paraId="1E805B03" w14:textId="77777777" w:rsidR="00AA4A02" w:rsidRDefault="00960F31">
            <w:pPr>
              <w:pStyle w:val="TableParagraph"/>
              <w:spacing w:line="251" w:lineRule="exact"/>
              <w:rPr>
                <w:b/>
              </w:rPr>
            </w:pPr>
            <w:r>
              <w:rPr>
                <w:b/>
              </w:rPr>
              <w:t>Comment</w:t>
            </w:r>
            <w:r>
              <w:rPr>
                <w:b/>
                <w:spacing w:val="-4"/>
              </w:rPr>
              <w:t xml:space="preserve"> </w:t>
            </w:r>
            <w:r>
              <w:rPr>
                <w:b/>
                <w:spacing w:val="-2"/>
              </w:rPr>
              <w:t>period</w:t>
            </w:r>
          </w:p>
        </w:tc>
      </w:tr>
      <w:tr w:rsidR="00AA4A02" w14:paraId="1E805B0C" w14:textId="77777777">
        <w:trPr>
          <w:trHeight w:val="3664"/>
        </w:trPr>
        <w:tc>
          <w:tcPr>
            <w:tcW w:w="1988" w:type="dxa"/>
          </w:tcPr>
          <w:p w14:paraId="1E805B05" w14:textId="77777777" w:rsidR="00AA4A02" w:rsidRDefault="00960F31">
            <w:pPr>
              <w:pStyle w:val="TableParagraph"/>
              <w:spacing w:before="118" w:line="208" w:lineRule="auto"/>
              <w:ind w:right="111"/>
            </w:pPr>
            <w:r>
              <w:t>AUASB Standard based on a new or revised IAASB-equivalent</w:t>
            </w:r>
            <w:r>
              <w:rPr>
                <w:spacing w:val="-14"/>
              </w:rPr>
              <w:t xml:space="preserve"> </w:t>
            </w:r>
            <w:r>
              <w:t>Standard</w:t>
            </w:r>
          </w:p>
          <w:p w14:paraId="1E805B06" w14:textId="77777777" w:rsidR="00AA4A02" w:rsidRDefault="00960F31">
            <w:pPr>
              <w:pStyle w:val="TableParagraph"/>
              <w:spacing w:before="219" w:line="208" w:lineRule="auto"/>
              <w:ind w:right="245"/>
            </w:pPr>
            <w:r>
              <w:t>(including</w:t>
            </w:r>
            <w:r>
              <w:rPr>
                <w:spacing w:val="-14"/>
              </w:rPr>
              <w:t xml:space="preserve"> </w:t>
            </w:r>
            <w:r>
              <w:t xml:space="preserve">IAASB </w:t>
            </w:r>
            <w:r>
              <w:rPr>
                <w:spacing w:val="-2"/>
              </w:rPr>
              <w:t>Amending Standards)</w:t>
            </w:r>
          </w:p>
        </w:tc>
        <w:tc>
          <w:tcPr>
            <w:tcW w:w="1558" w:type="dxa"/>
          </w:tcPr>
          <w:p w14:paraId="1E805B07" w14:textId="77777777" w:rsidR="00AA4A02" w:rsidRDefault="00960F31">
            <w:pPr>
              <w:pStyle w:val="TableParagraph"/>
              <w:spacing w:before="92" w:line="236" w:lineRule="exact"/>
              <w:ind w:left="105"/>
            </w:pPr>
            <w:r>
              <w:t>IAASB</w:t>
            </w:r>
            <w:r>
              <w:rPr>
                <w:spacing w:val="-7"/>
              </w:rPr>
              <w:t xml:space="preserve"> </w:t>
            </w:r>
            <w:r>
              <w:rPr>
                <w:spacing w:val="-5"/>
              </w:rPr>
              <w:t>ED,</w:t>
            </w:r>
          </w:p>
          <w:p w14:paraId="1E805B08" w14:textId="77777777" w:rsidR="00AA4A02" w:rsidRDefault="00960F31">
            <w:pPr>
              <w:pStyle w:val="TableParagraph"/>
              <w:spacing w:before="9" w:line="208" w:lineRule="auto"/>
              <w:ind w:left="105" w:right="185"/>
            </w:pPr>
            <w:r>
              <w:rPr>
                <w:spacing w:val="-2"/>
              </w:rPr>
              <w:t xml:space="preserve">accompanied </w:t>
            </w:r>
            <w:r>
              <w:t xml:space="preserve">by AUASB </w:t>
            </w:r>
            <w:r>
              <w:rPr>
                <w:spacing w:val="-6"/>
              </w:rPr>
              <w:t>CP</w:t>
            </w:r>
          </w:p>
        </w:tc>
        <w:tc>
          <w:tcPr>
            <w:tcW w:w="4821" w:type="dxa"/>
          </w:tcPr>
          <w:p w14:paraId="1E805B09" w14:textId="77777777" w:rsidR="00AA4A02" w:rsidRDefault="00960F31">
            <w:pPr>
              <w:pStyle w:val="TableParagraph"/>
              <w:spacing w:before="118" w:line="208" w:lineRule="auto"/>
              <w:ind w:right="141"/>
            </w:pPr>
            <w:r>
              <w:t>The</w:t>
            </w:r>
            <w:r>
              <w:rPr>
                <w:spacing w:val="-5"/>
              </w:rPr>
              <w:t xml:space="preserve"> </w:t>
            </w:r>
            <w:r>
              <w:t>standard</w:t>
            </w:r>
            <w:r>
              <w:rPr>
                <w:spacing w:val="-5"/>
              </w:rPr>
              <w:t xml:space="preserve"> </w:t>
            </w:r>
            <w:r>
              <w:t>comment</w:t>
            </w:r>
            <w:r>
              <w:rPr>
                <w:spacing w:val="-4"/>
              </w:rPr>
              <w:t xml:space="preserve"> </w:t>
            </w:r>
            <w:r>
              <w:t>period</w:t>
            </w:r>
            <w:r>
              <w:rPr>
                <w:spacing w:val="-5"/>
              </w:rPr>
              <w:t xml:space="preserve"> </w:t>
            </w:r>
            <w:r>
              <w:t>for</w:t>
            </w:r>
            <w:r>
              <w:rPr>
                <w:spacing w:val="-5"/>
              </w:rPr>
              <w:t xml:space="preserve"> </w:t>
            </w:r>
            <w:r>
              <w:t>a</w:t>
            </w:r>
            <w:r>
              <w:rPr>
                <w:spacing w:val="-5"/>
              </w:rPr>
              <w:t xml:space="preserve"> </w:t>
            </w:r>
            <w:r>
              <w:t>standard</w:t>
            </w:r>
            <w:r>
              <w:rPr>
                <w:spacing w:val="-8"/>
              </w:rPr>
              <w:t xml:space="preserve"> </w:t>
            </w:r>
            <w:r>
              <w:t>issued by the IAASB is 120 days. However, this may be varied on a case by case approach, taking into account the complexity or urgency of the standard and other relevant factors.</w:t>
            </w:r>
            <w:r>
              <w:rPr>
                <w:vertAlign w:val="superscript"/>
              </w:rPr>
              <w:t>41</w:t>
            </w:r>
          </w:p>
          <w:p w14:paraId="1E805B0A" w14:textId="77777777" w:rsidR="00AA4A02" w:rsidRDefault="00960F31">
            <w:pPr>
              <w:pStyle w:val="TableParagraph"/>
              <w:spacing w:before="119" w:line="208" w:lineRule="auto"/>
              <w:ind w:right="141"/>
            </w:pPr>
            <w:r>
              <w:t>AUASB EDs based on IAASB-equivalent Standards are normally exposed for a minimum period</w:t>
            </w:r>
            <w:r>
              <w:rPr>
                <w:spacing w:val="-4"/>
              </w:rPr>
              <w:t xml:space="preserve"> </w:t>
            </w:r>
            <w:r>
              <w:t>of</w:t>
            </w:r>
            <w:r>
              <w:rPr>
                <w:spacing w:val="-4"/>
              </w:rPr>
              <w:t xml:space="preserve"> </w:t>
            </w:r>
            <w:r>
              <w:t>60</w:t>
            </w:r>
            <w:r>
              <w:rPr>
                <w:spacing w:val="-4"/>
              </w:rPr>
              <w:t xml:space="preserve"> </w:t>
            </w:r>
            <w:r>
              <w:t>days.</w:t>
            </w:r>
            <w:r>
              <w:rPr>
                <w:spacing w:val="-4"/>
              </w:rPr>
              <w:t xml:space="preserve"> </w:t>
            </w:r>
            <w:r>
              <w:t>This</w:t>
            </w:r>
            <w:r>
              <w:rPr>
                <w:spacing w:val="-4"/>
              </w:rPr>
              <w:t xml:space="preserve"> </w:t>
            </w:r>
            <w:r>
              <w:t>period</w:t>
            </w:r>
            <w:r>
              <w:rPr>
                <w:spacing w:val="-4"/>
              </w:rPr>
              <w:t xml:space="preserve"> </w:t>
            </w:r>
            <w:r>
              <w:t>may</w:t>
            </w:r>
            <w:r>
              <w:rPr>
                <w:spacing w:val="-4"/>
              </w:rPr>
              <w:t xml:space="preserve"> </w:t>
            </w:r>
            <w:r>
              <w:t>be</w:t>
            </w:r>
            <w:r>
              <w:rPr>
                <w:spacing w:val="-4"/>
              </w:rPr>
              <w:t xml:space="preserve"> </w:t>
            </w:r>
            <w:r>
              <w:t>varied</w:t>
            </w:r>
            <w:r>
              <w:rPr>
                <w:spacing w:val="-4"/>
              </w:rPr>
              <w:t xml:space="preserve"> </w:t>
            </w:r>
            <w:r>
              <w:t>by</w:t>
            </w:r>
            <w:r>
              <w:rPr>
                <w:spacing w:val="-4"/>
              </w:rPr>
              <w:t xml:space="preserve"> </w:t>
            </w:r>
            <w:r>
              <w:t>the AUASB when considered appropriate but is never less than 30 days.</w:t>
            </w:r>
          </w:p>
          <w:p w14:paraId="1E805B0B" w14:textId="77777777" w:rsidR="00AA4A02" w:rsidRDefault="00960F31">
            <w:pPr>
              <w:pStyle w:val="TableParagraph"/>
              <w:spacing w:before="119" w:line="208" w:lineRule="auto"/>
              <w:ind w:right="280"/>
              <w:jc w:val="both"/>
            </w:pPr>
            <w:r>
              <w:t>The AUASB’s comment period usually ends four weeks</w:t>
            </w:r>
            <w:r>
              <w:rPr>
                <w:spacing w:val="-1"/>
              </w:rPr>
              <w:t xml:space="preserve"> </w:t>
            </w:r>
            <w:r>
              <w:t>before</w:t>
            </w:r>
            <w:r>
              <w:rPr>
                <w:spacing w:val="-1"/>
              </w:rPr>
              <w:t xml:space="preserve"> </w:t>
            </w:r>
            <w:r>
              <w:t>the IAASB’s</w:t>
            </w:r>
            <w:r>
              <w:rPr>
                <w:spacing w:val="-3"/>
              </w:rPr>
              <w:t xml:space="preserve"> </w:t>
            </w:r>
            <w:r>
              <w:t>due</w:t>
            </w:r>
            <w:r>
              <w:rPr>
                <w:spacing w:val="-1"/>
              </w:rPr>
              <w:t xml:space="preserve"> </w:t>
            </w:r>
            <w:r>
              <w:t>date,</w:t>
            </w:r>
            <w:r>
              <w:rPr>
                <w:spacing w:val="-4"/>
              </w:rPr>
              <w:t xml:space="preserve"> </w:t>
            </w:r>
            <w:r>
              <w:t>to</w:t>
            </w:r>
            <w:r>
              <w:rPr>
                <w:spacing w:val="-1"/>
              </w:rPr>
              <w:t xml:space="preserve"> </w:t>
            </w:r>
            <w:r>
              <w:t>enable</w:t>
            </w:r>
            <w:r>
              <w:rPr>
                <w:spacing w:val="-1"/>
              </w:rPr>
              <w:t xml:space="preserve"> </w:t>
            </w:r>
            <w:r>
              <w:t>the AUASB</w:t>
            </w:r>
            <w:r>
              <w:rPr>
                <w:spacing w:val="-8"/>
              </w:rPr>
              <w:t xml:space="preserve"> </w:t>
            </w:r>
            <w:r>
              <w:t>time</w:t>
            </w:r>
            <w:r>
              <w:rPr>
                <w:spacing w:val="-9"/>
              </w:rPr>
              <w:t xml:space="preserve"> </w:t>
            </w:r>
            <w:r>
              <w:t>to</w:t>
            </w:r>
            <w:r>
              <w:rPr>
                <w:spacing w:val="-9"/>
              </w:rPr>
              <w:t xml:space="preserve"> </w:t>
            </w:r>
            <w:r>
              <w:t>consider</w:t>
            </w:r>
            <w:r>
              <w:rPr>
                <w:spacing w:val="-6"/>
              </w:rPr>
              <w:t xml:space="preserve"> </w:t>
            </w:r>
            <w:r>
              <w:t>stakeholder</w:t>
            </w:r>
            <w:r>
              <w:rPr>
                <w:spacing w:val="-5"/>
              </w:rPr>
              <w:t xml:space="preserve"> </w:t>
            </w:r>
            <w:r>
              <w:t>submissions and to finalise its own submission to the IAASB.</w:t>
            </w:r>
          </w:p>
        </w:tc>
      </w:tr>
      <w:tr w:rsidR="00AA4A02" w14:paraId="1E805B12" w14:textId="77777777">
        <w:trPr>
          <w:trHeight w:val="2980"/>
        </w:trPr>
        <w:tc>
          <w:tcPr>
            <w:tcW w:w="1988" w:type="dxa"/>
          </w:tcPr>
          <w:p w14:paraId="1E805B0D" w14:textId="77777777" w:rsidR="00AA4A02" w:rsidRDefault="00960F31">
            <w:pPr>
              <w:pStyle w:val="TableParagraph"/>
              <w:spacing w:before="118" w:line="208" w:lineRule="auto"/>
            </w:pPr>
            <w:r>
              <w:t>New Domestic AUASB</w:t>
            </w:r>
            <w:r>
              <w:rPr>
                <w:spacing w:val="-8"/>
              </w:rPr>
              <w:t xml:space="preserve"> </w:t>
            </w:r>
            <w:r>
              <w:rPr>
                <w:spacing w:val="-2"/>
              </w:rPr>
              <w:t>Standard</w:t>
            </w:r>
          </w:p>
          <w:p w14:paraId="1E805B0E" w14:textId="77777777" w:rsidR="00AA4A02" w:rsidRDefault="00960F31">
            <w:pPr>
              <w:pStyle w:val="TableParagraph"/>
              <w:spacing w:before="220" w:line="208" w:lineRule="auto"/>
            </w:pPr>
            <w:r>
              <w:t>Revised</w:t>
            </w:r>
            <w:r>
              <w:rPr>
                <w:spacing w:val="-14"/>
              </w:rPr>
              <w:t xml:space="preserve"> </w:t>
            </w:r>
            <w:r>
              <w:t>Domestic AUASB</w:t>
            </w:r>
            <w:r>
              <w:rPr>
                <w:spacing w:val="-10"/>
              </w:rPr>
              <w:t xml:space="preserve"> </w:t>
            </w:r>
            <w:r>
              <w:t xml:space="preserve">Standard </w:t>
            </w:r>
            <w:r>
              <w:rPr>
                <w:spacing w:val="-2"/>
              </w:rPr>
              <w:t>(comprehensive revision)</w:t>
            </w:r>
          </w:p>
          <w:p w14:paraId="1E805B0F" w14:textId="77777777" w:rsidR="00AA4A02" w:rsidRDefault="00960F31">
            <w:pPr>
              <w:pStyle w:val="TableParagraph"/>
              <w:spacing w:before="219" w:line="208" w:lineRule="auto"/>
            </w:pPr>
            <w:r>
              <w:t>AUASB</w:t>
            </w:r>
            <w:r>
              <w:rPr>
                <w:spacing w:val="-14"/>
              </w:rPr>
              <w:t xml:space="preserve"> </w:t>
            </w:r>
            <w:r>
              <w:t xml:space="preserve">Amending </w:t>
            </w:r>
            <w:r>
              <w:rPr>
                <w:spacing w:val="-2"/>
              </w:rPr>
              <w:t>Standard (comprehensive revision)</w:t>
            </w:r>
          </w:p>
        </w:tc>
        <w:tc>
          <w:tcPr>
            <w:tcW w:w="1558" w:type="dxa"/>
          </w:tcPr>
          <w:p w14:paraId="1E805B10" w14:textId="77777777" w:rsidR="00AA4A02" w:rsidRDefault="00960F31">
            <w:pPr>
              <w:pStyle w:val="TableParagraph"/>
              <w:spacing w:before="92"/>
              <w:ind w:left="105"/>
            </w:pPr>
            <w:r>
              <w:t>AUASB</w:t>
            </w:r>
            <w:r>
              <w:rPr>
                <w:spacing w:val="-8"/>
              </w:rPr>
              <w:t xml:space="preserve"> </w:t>
            </w:r>
            <w:r>
              <w:rPr>
                <w:spacing w:val="-5"/>
              </w:rPr>
              <w:t>ED</w:t>
            </w:r>
          </w:p>
        </w:tc>
        <w:tc>
          <w:tcPr>
            <w:tcW w:w="4821" w:type="dxa"/>
          </w:tcPr>
          <w:p w14:paraId="1E805B11" w14:textId="77777777" w:rsidR="00AA4A02" w:rsidRDefault="00960F31">
            <w:pPr>
              <w:pStyle w:val="TableParagraph"/>
              <w:spacing w:before="118" w:line="208" w:lineRule="auto"/>
              <w:ind w:right="141"/>
            </w:pPr>
            <w:r>
              <w:t>Generally,</w:t>
            </w:r>
            <w:r>
              <w:rPr>
                <w:spacing w:val="-6"/>
              </w:rPr>
              <w:t xml:space="preserve"> </w:t>
            </w:r>
            <w:r>
              <w:t>a</w:t>
            </w:r>
            <w:r>
              <w:rPr>
                <w:spacing w:val="-6"/>
              </w:rPr>
              <w:t xml:space="preserve"> </w:t>
            </w:r>
            <w:r>
              <w:t>90-day</w:t>
            </w:r>
            <w:r>
              <w:rPr>
                <w:spacing w:val="-6"/>
              </w:rPr>
              <w:t xml:space="preserve"> </w:t>
            </w:r>
            <w:r>
              <w:t>comment</w:t>
            </w:r>
            <w:r>
              <w:rPr>
                <w:spacing w:val="-5"/>
              </w:rPr>
              <w:t xml:space="preserve"> </w:t>
            </w:r>
            <w:r>
              <w:t>period;</w:t>
            </w:r>
            <w:r>
              <w:rPr>
                <w:spacing w:val="-5"/>
              </w:rPr>
              <w:t xml:space="preserve"> </w:t>
            </w:r>
            <w:r>
              <w:t>but</w:t>
            </w:r>
            <w:r>
              <w:rPr>
                <w:spacing w:val="-8"/>
              </w:rPr>
              <w:t xml:space="preserve"> </w:t>
            </w:r>
            <w:r>
              <w:t>if</w:t>
            </w:r>
            <w:r>
              <w:rPr>
                <w:spacing w:val="-6"/>
              </w:rPr>
              <w:t xml:space="preserve"> </w:t>
            </w:r>
            <w:r>
              <w:t>narrow in</w:t>
            </w:r>
            <w:r>
              <w:rPr>
                <w:spacing w:val="-1"/>
              </w:rPr>
              <w:t xml:space="preserve"> </w:t>
            </w:r>
            <w:r>
              <w:t>scope</w:t>
            </w:r>
            <w:r>
              <w:rPr>
                <w:spacing w:val="-1"/>
              </w:rPr>
              <w:t xml:space="preserve"> </w:t>
            </w:r>
            <w:r>
              <w:t>and</w:t>
            </w:r>
            <w:r>
              <w:rPr>
                <w:spacing w:val="-1"/>
              </w:rPr>
              <w:t xml:space="preserve"> </w:t>
            </w:r>
            <w:r>
              <w:t>urgent a</w:t>
            </w:r>
            <w:r>
              <w:rPr>
                <w:spacing w:val="-1"/>
              </w:rPr>
              <w:t xml:space="preserve"> </w:t>
            </w:r>
            <w:r>
              <w:t>shorter comment period</w:t>
            </w:r>
            <w:r>
              <w:rPr>
                <w:spacing w:val="-1"/>
              </w:rPr>
              <w:t xml:space="preserve"> </w:t>
            </w:r>
            <w:r>
              <w:t>may be approved by the AUASB but is never less than 30 days.</w:t>
            </w:r>
          </w:p>
        </w:tc>
      </w:tr>
    </w:tbl>
    <w:p w14:paraId="1E805B13" w14:textId="77777777" w:rsidR="00AA4A02" w:rsidRDefault="00AA4A02">
      <w:pPr>
        <w:pStyle w:val="BodyText"/>
        <w:rPr>
          <w:sz w:val="20"/>
        </w:rPr>
      </w:pPr>
    </w:p>
    <w:p w14:paraId="1E805B14" w14:textId="77777777" w:rsidR="00AA4A02" w:rsidRDefault="00960F31">
      <w:pPr>
        <w:pStyle w:val="BodyText"/>
        <w:spacing w:before="41"/>
        <w:rPr>
          <w:sz w:val="20"/>
        </w:rPr>
      </w:pPr>
      <w:r>
        <w:rPr>
          <w:noProof/>
          <w:sz w:val="20"/>
        </w:rPr>
        <mc:AlternateContent>
          <mc:Choice Requires="wps">
            <w:drawing>
              <wp:anchor distT="0" distB="0" distL="0" distR="0" simplePos="0" relativeHeight="487606272" behindDoc="1" locked="0" layoutInCell="1" allowOverlap="1" wp14:anchorId="1E805F5B" wp14:editId="1E805F5C">
                <wp:simplePos x="0" y="0"/>
                <wp:positionH relativeFrom="page">
                  <wp:posOffset>900988</wp:posOffset>
                </wp:positionH>
                <wp:positionV relativeFrom="paragraph">
                  <wp:posOffset>187591</wp:posOffset>
                </wp:positionV>
                <wp:extent cx="1829435" cy="762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35F5C" id="Graphic 59" o:spid="_x0000_s1026" style="position:absolute;margin-left:70.95pt;margin-top:14.75pt;width:144.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" path="m1829053,l,,,7620r1829053,l1829053,xe" fillcolor="black" stroked="f">
                <v:path arrowok="t"/>
                <w10:wrap type="topAndBottom" anchorx="page"/>
              </v:shape>
            </w:pict>
          </mc:Fallback>
        </mc:AlternateContent>
      </w:r>
    </w:p>
    <w:p w14:paraId="1E805B15" w14:textId="77777777" w:rsidR="00AA4A02" w:rsidRDefault="00960F31">
      <w:pPr>
        <w:spacing w:before="93" w:line="208" w:lineRule="auto"/>
        <w:ind w:left="427" w:right="220" w:hanging="284"/>
        <w:rPr>
          <w:sz w:val="16"/>
        </w:rPr>
      </w:pPr>
      <w:r>
        <w:rPr>
          <w:sz w:val="16"/>
          <w:vertAlign w:val="superscript"/>
        </w:rPr>
        <w:t>40</w:t>
      </w:r>
      <w:r>
        <w:rPr>
          <w:spacing w:val="80"/>
          <w:w w:val="150"/>
          <w:sz w:val="16"/>
        </w:rPr>
        <w:t xml:space="preserve"> </w:t>
      </w:r>
      <w:r>
        <w:rPr>
          <w:sz w:val="16"/>
        </w:rPr>
        <w:t>AUASB</w:t>
      </w:r>
      <w:r>
        <w:rPr>
          <w:spacing w:val="-1"/>
          <w:sz w:val="16"/>
        </w:rPr>
        <w:t xml:space="preserve"> </w:t>
      </w:r>
      <w:r>
        <w:rPr>
          <w:sz w:val="16"/>
        </w:rPr>
        <w:t>Guidance</w:t>
      </w:r>
      <w:r>
        <w:rPr>
          <w:spacing w:val="-1"/>
          <w:sz w:val="16"/>
        </w:rPr>
        <w:t xml:space="preserve"> </w:t>
      </w:r>
      <w:r>
        <w:rPr>
          <w:sz w:val="16"/>
        </w:rPr>
        <w:t>Statements</w:t>
      </w:r>
      <w:r>
        <w:rPr>
          <w:spacing w:val="-2"/>
          <w:sz w:val="16"/>
        </w:rPr>
        <w:t xml:space="preserve"> </w:t>
      </w:r>
      <w:r>
        <w:rPr>
          <w:sz w:val="16"/>
        </w:rPr>
        <w:t>and</w:t>
      </w:r>
      <w:r>
        <w:rPr>
          <w:spacing w:val="-3"/>
          <w:sz w:val="16"/>
        </w:rPr>
        <w:t xml:space="preserve"> </w:t>
      </w:r>
      <w:r>
        <w:rPr>
          <w:sz w:val="16"/>
        </w:rPr>
        <w:t>other</w:t>
      </w:r>
      <w:r>
        <w:rPr>
          <w:spacing w:val="-3"/>
          <w:sz w:val="16"/>
        </w:rPr>
        <w:t xml:space="preserve"> </w:t>
      </w:r>
      <w:r>
        <w:rPr>
          <w:sz w:val="16"/>
        </w:rPr>
        <w:t>AUASB</w:t>
      </w:r>
      <w:r>
        <w:rPr>
          <w:spacing w:val="-3"/>
          <w:sz w:val="16"/>
        </w:rPr>
        <w:t xml:space="preserve"> </w:t>
      </w:r>
      <w:r>
        <w:rPr>
          <w:sz w:val="16"/>
        </w:rPr>
        <w:t>pronouncements</w:t>
      </w:r>
      <w:r>
        <w:rPr>
          <w:spacing w:val="-4"/>
          <w:sz w:val="16"/>
        </w:rPr>
        <w:t xml:space="preserve"> </w:t>
      </w:r>
      <w:r>
        <w:rPr>
          <w:sz w:val="16"/>
        </w:rPr>
        <w:t>are</w:t>
      </w:r>
      <w:r>
        <w:rPr>
          <w:spacing w:val="-4"/>
          <w:sz w:val="16"/>
        </w:rPr>
        <w:t xml:space="preserve"> </w:t>
      </w:r>
      <w:r>
        <w:rPr>
          <w:sz w:val="16"/>
        </w:rPr>
        <w:t>generally</w:t>
      </w:r>
      <w:r>
        <w:rPr>
          <w:spacing w:val="-3"/>
          <w:sz w:val="16"/>
        </w:rPr>
        <w:t xml:space="preserve"> </w:t>
      </w:r>
      <w:r>
        <w:rPr>
          <w:sz w:val="16"/>
        </w:rPr>
        <w:t>not</w:t>
      </w:r>
      <w:r>
        <w:rPr>
          <w:spacing w:val="-3"/>
          <w:sz w:val="16"/>
        </w:rPr>
        <w:t xml:space="preserve"> </w:t>
      </w:r>
      <w:r>
        <w:rPr>
          <w:sz w:val="16"/>
        </w:rPr>
        <w:t>subject</w:t>
      </w:r>
      <w:r>
        <w:rPr>
          <w:spacing w:val="-1"/>
          <w:sz w:val="16"/>
        </w:rPr>
        <w:t xml:space="preserve"> </w:t>
      </w:r>
      <w:r>
        <w:rPr>
          <w:sz w:val="16"/>
        </w:rPr>
        <w:t>to public</w:t>
      </w:r>
      <w:r>
        <w:rPr>
          <w:spacing w:val="-4"/>
          <w:sz w:val="16"/>
        </w:rPr>
        <w:t xml:space="preserve"> </w:t>
      </w:r>
      <w:r>
        <w:rPr>
          <w:sz w:val="16"/>
        </w:rPr>
        <w:t>exposure;</w:t>
      </w:r>
      <w:r>
        <w:rPr>
          <w:spacing w:val="-3"/>
          <w:sz w:val="16"/>
        </w:rPr>
        <w:t xml:space="preserve"> </w:t>
      </w:r>
      <w:r>
        <w:rPr>
          <w:sz w:val="16"/>
        </w:rPr>
        <w:t>however,</w:t>
      </w:r>
      <w:r>
        <w:rPr>
          <w:spacing w:val="-4"/>
          <w:sz w:val="16"/>
        </w:rPr>
        <w:t xml:space="preserve"> </w:t>
      </w:r>
      <w:r>
        <w:rPr>
          <w:sz w:val="16"/>
        </w:rPr>
        <w:t>the</w:t>
      </w:r>
      <w:r>
        <w:rPr>
          <w:spacing w:val="-4"/>
          <w:sz w:val="16"/>
        </w:rPr>
        <w:t xml:space="preserve"> </w:t>
      </w:r>
      <w:r>
        <w:rPr>
          <w:sz w:val="16"/>
        </w:rPr>
        <w:t>AUASB</w:t>
      </w:r>
      <w:r>
        <w:rPr>
          <w:spacing w:val="40"/>
          <w:sz w:val="16"/>
        </w:rPr>
        <w:t xml:space="preserve"> </w:t>
      </w:r>
      <w:r>
        <w:rPr>
          <w:sz w:val="16"/>
        </w:rPr>
        <w:t>may determine in some cases that targeted consultation or a more formal consultation and exposure process (similar to that for an</w:t>
      </w:r>
      <w:r>
        <w:rPr>
          <w:spacing w:val="40"/>
          <w:sz w:val="16"/>
        </w:rPr>
        <w:t xml:space="preserve"> </w:t>
      </w:r>
      <w:r>
        <w:rPr>
          <w:sz w:val="16"/>
        </w:rPr>
        <w:t>AUASB Standard) may be necessary.</w:t>
      </w:r>
    </w:p>
    <w:p w14:paraId="1E805B16" w14:textId="77777777" w:rsidR="00AA4A02" w:rsidRDefault="00960F31">
      <w:pPr>
        <w:spacing w:line="208" w:lineRule="auto"/>
        <w:ind w:left="427" w:right="173" w:hanging="284"/>
        <w:rPr>
          <w:sz w:val="16"/>
        </w:rPr>
      </w:pPr>
      <w:r>
        <w:rPr>
          <w:sz w:val="16"/>
          <w:vertAlign w:val="superscript"/>
        </w:rPr>
        <w:t>41</w:t>
      </w:r>
      <w:r>
        <w:rPr>
          <w:spacing w:val="80"/>
          <w:w w:val="150"/>
          <w:sz w:val="16"/>
        </w:rPr>
        <w:t xml:space="preserve"> </w:t>
      </w:r>
      <w:r>
        <w:rPr>
          <w:sz w:val="16"/>
        </w:rPr>
        <w:t>A</w:t>
      </w:r>
      <w:r>
        <w:rPr>
          <w:spacing w:val="-2"/>
          <w:sz w:val="16"/>
        </w:rPr>
        <w:t xml:space="preserve"> </w:t>
      </w:r>
      <w:r>
        <w:rPr>
          <w:sz w:val="16"/>
        </w:rPr>
        <w:t>longer</w:t>
      </w:r>
      <w:r>
        <w:rPr>
          <w:spacing w:val="-4"/>
          <w:sz w:val="16"/>
        </w:rPr>
        <w:t xml:space="preserve"> </w:t>
      </w:r>
      <w:r>
        <w:rPr>
          <w:sz w:val="16"/>
        </w:rPr>
        <w:t>comment</w:t>
      </w:r>
      <w:r>
        <w:rPr>
          <w:spacing w:val="-2"/>
          <w:sz w:val="16"/>
        </w:rPr>
        <w:t xml:space="preserve"> </w:t>
      </w:r>
      <w:r>
        <w:rPr>
          <w:sz w:val="16"/>
        </w:rPr>
        <w:t>period</w:t>
      </w:r>
      <w:r>
        <w:rPr>
          <w:spacing w:val="-2"/>
          <w:sz w:val="16"/>
        </w:rPr>
        <w:t xml:space="preserve"> </w:t>
      </w:r>
      <w:r>
        <w:rPr>
          <w:sz w:val="16"/>
        </w:rPr>
        <w:t>may</w:t>
      </w:r>
      <w:r>
        <w:rPr>
          <w:spacing w:val="-2"/>
          <w:sz w:val="16"/>
        </w:rPr>
        <w:t xml:space="preserve"> </w:t>
      </w:r>
      <w:r>
        <w:rPr>
          <w:sz w:val="16"/>
        </w:rPr>
        <w:t>be</w:t>
      </w:r>
      <w:r>
        <w:rPr>
          <w:spacing w:val="-3"/>
          <w:sz w:val="16"/>
        </w:rPr>
        <w:t xml:space="preserve"> </w:t>
      </w:r>
      <w:r>
        <w:rPr>
          <w:sz w:val="16"/>
        </w:rPr>
        <w:t>necessary</w:t>
      </w:r>
      <w:r>
        <w:rPr>
          <w:spacing w:val="-2"/>
          <w:sz w:val="16"/>
        </w:rPr>
        <w:t xml:space="preserve"> </w:t>
      </w:r>
      <w:r>
        <w:rPr>
          <w:sz w:val="16"/>
        </w:rPr>
        <w:t>where</w:t>
      </w:r>
      <w:r>
        <w:rPr>
          <w:spacing w:val="-3"/>
          <w:sz w:val="16"/>
        </w:rPr>
        <w:t xml:space="preserve"> </w:t>
      </w:r>
      <w:r>
        <w:rPr>
          <w:sz w:val="16"/>
        </w:rPr>
        <w:t>complex</w:t>
      </w:r>
      <w:r>
        <w:rPr>
          <w:spacing w:val="-2"/>
          <w:sz w:val="16"/>
        </w:rPr>
        <w:t xml:space="preserve"> </w:t>
      </w:r>
      <w:r>
        <w:rPr>
          <w:sz w:val="16"/>
        </w:rPr>
        <w:t>or</w:t>
      </w:r>
      <w:r>
        <w:rPr>
          <w:spacing w:val="-2"/>
          <w:sz w:val="16"/>
        </w:rPr>
        <w:t xml:space="preserve"> </w:t>
      </w:r>
      <w:r>
        <w:rPr>
          <w:sz w:val="16"/>
        </w:rPr>
        <w:t>pervasive</w:t>
      </w:r>
      <w:r>
        <w:rPr>
          <w:spacing w:val="-3"/>
          <w:sz w:val="16"/>
        </w:rPr>
        <w:t xml:space="preserve"> </w:t>
      </w:r>
      <w:r>
        <w:rPr>
          <w:sz w:val="16"/>
        </w:rPr>
        <w:t>changes</w:t>
      </w:r>
      <w:r>
        <w:rPr>
          <w:spacing w:val="-3"/>
          <w:sz w:val="16"/>
        </w:rPr>
        <w:t xml:space="preserve"> </w:t>
      </w:r>
      <w:r>
        <w:rPr>
          <w:sz w:val="16"/>
        </w:rPr>
        <w:t>require wider</w:t>
      </w:r>
      <w:r>
        <w:rPr>
          <w:spacing w:val="-4"/>
          <w:sz w:val="16"/>
        </w:rPr>
        <w:t xml:space="preserve"> </w:t>
      </w:r>
      <w:r>
        <w:rPr>
          <w:sz w:val="16"/>
        </w:rPr>
        <w:t>consultation.</w:t>
      </w:r>
      <w:r>
        <w:rPr>
          <w:spacing w:val="38"/>
          <w:sz w:val="16"/>
        </w:rPr>
        <w:t xml:space="preserve"> </w:t>
      </w:r>
      <w:r>
        <w:rPr>
          <w:sz w:val="16"/>
        </w:rPr>
        <w:t>A</w:t>
      </w:r>
      <w:r>
        <w:rPr>
          <w:spacing w:val="-2"/>
          <w:sz w:val="16"/>
        </w:rPr>
        <w:t xml:space="preserve"> </w:t>
      </w:r>
      <w:r>
        <w:rPr>
          <w:sz w:val="16"/>
        </w:rPr>
        <w:t>shorter</w:t>
      </w:r>
      <w:r>
        <w:rPr>
          <w:spacing w:val="-4"/>
          <w:sz w:val="16"/>
        </w:rPr>
        <w:t xml:space="preserve"> </w:t>
      </w:r>
      <w:r>
        <w:rPr>
          <w:sz w:val="16"/>
        </w:rPr>
        <w:t>comment</w:t>
      </w:r>
      <w:r>
        <w:rPr>
          <w:spacing w:val="-2"/>
          <w:sz w:val="16"/>
        </w:rPr>
        <w:t xml:space="preserve"> </w:t>
      </w:r>
      <w:r>
        <w:rPr>
          <w:sz w:val="16"/>
        </w:rPr>
        <w:t>period</w:t>
      </w:r>
      <w:r>
        <w:rPr>
          <w:spacing w:val="40"/>
          <w:sz w:val="16"/>
        </w:rPr>
        <w:t xml:space="preserve"> </w:t>
      </w:r>
      <w:r>
        <w:rPr>
          <w:sz w:val="16"/>
        </w:rPr>
        <w:t>may be set where, for example, it is in the public interest to conclude on a matter more quickly, where the ED is relatively</w:t>
      </w:r>
      <w:r>
        <w:rPr>
          <w:spacing w:val="16"/>
          <w:sz w:val="16"/>
        </w:rPr>
        <w:t xml:space="preserve"> </w:t>
      </w:r>
      <w:r>
        <w:rPr>
          <w:sz w:val="16"/>
        </w:rPr>
        <w:t>simple or</w:t>
      </w:r>
      <w:r>
        <w:rPr>
          <w:spacing w:val="40"/>
          <w:sz w:val="16"/>
        </w:rPr>
        <w:t xml:space="preserve"> </w:t>
      </w:r>
      <w:r>
        <w:rPr>
          <w:sz w:val="16"/>
        </w:rPr>
        <w:t>short, or where the AUASB decides to re-expose all or part of a draft pronouncement that has been previously exposed.</w:t>
      </w:r>
    </w:p>
    <w:p w14:paraId="1E805B17"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B18" w14:textId="77777777" w:rsidR="00AA4A02" w:rsidRDefault="00AA4A02">
      <w:pPr>
        <w:pStyle w:val="BodyText"/>
        <w:spacing w:before="4"/>
        <w:rPr>
          <w:sz w:val="19"/>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558"/>
        <w:gridCol w:w="4821"/>
      </w:tblGrid>
      <w:tr w:rsidR="00AA4A02" w14:paraId="1E805B1D" w14:textId="77777777">
        <w:trPr>
          <w:trHeight w:val="979"/>
        </w:trPr>
        <w:tc>
          <w:tcPr>
            <w:tcW w:w="1988" w:type="dxa"/>
          </w:tcPr>
          <w:p w14:paraId="1E805B19" w14:textId="77777777" w:rsidR="00AA4A02" w:rsidRDefault="00960F31">
            <w:pPr>
              <w:pStyle w:val="TableParagraph"/>
              <w:spacing w:before="116" w:line="208" w:lineRule="auto"/>
              <w:ind w:right="141"/>
            </w:pPr>
            <w:r>
              <w:rPr>
                <w:spacing w:val="-2"/>
              </w:rPr>
              <w:t xml:space="preserve">Narrow-scope </w:t>
            </w:r>
            <w:r>
              <w:t>amendments to AUASB</w:t>
            </w:r>
            <w:r>
              <w:rPr>
                <w:spacing w:val="-14"/>
              </w:rPr>
              <w:t xml:space="preserve"> </w:t>
            </w:r>
            <w:r>
              <w:t>Standards.</w:t>
            </w:r>
          </w:p>
        </w:tc>
        <w:tc>
          <w:tcPr>
            <w:tcW w:w="1558" w:type="dxa"/>
          </w:tcPr>
          <w:p w14:paraId="1E805B1A" w14:textId="77777777" w:rsidR="00AA4A02" w:rsidRDefault="00960F31">
            <w:pPr>
              <w:pStyle w:val="TableParagraph"/>
              <w:spacing w:before="90" w:line="237" w:lineRule="exact"/>
              <w:ind w:left="105"/>
            </w:pPr>
            <w:r>
              <w:t>AUASB</w:t>
            </w:r>
            <w:r>
              <w:rPr>
                <w:spacing w:val="-8"/>
              </w:rPr>
              <w:t xml:space="preserve"> </w:t>
            </w:r>
            <w:r>
              <w:rPr>
                <w:spacing w:val="-5"/>
              </w:rPr>
              <w:t>ED</w:t>
            </w:r>
          </w:p>
          <w:p w14:paraId="1E805B1B" w14:textId="77777777" w:rsidR="00AA4A02" w:rsidRDefault="00960F31">
            <w:pPr>
              <w:pStyle w:val="TableParagraph"/>
              <w:spacing w:before="10" w:line="208" w:lineRule="auto"/>
              <w:ind w:left="105"/>
            </w:pPr>
            <w:r>
              <w:rPr>
                <w:spacing w:val="-2"/>
              </w:rPr>
              <w:t>(where appropriate)</w:t>
            </w:r>
          </w:p>
        </w:tc>
        <w:tc>
          <w:tcPr>
            <w:tcW w:w="4821" w:type="dxa"/>
          </w:tcPr>
          <w:p w14:paraId="1E805B1C" w14:textId="77777777" w:rsidR="00AA4A02" w:rsidRDefault="00960F31">
            <w:pPr>
              <w:pStyle w:val="TableParagraph"/>
              <w:spacing w:before="116" w:line="208" w:lineRule="auto"/>
            </w:pPr>
            <w:r>
              <w:t>The comment period may vary depending on the nature</w:t>
            </w:r>
            <w:r>
              <w:rPr>
                <w:spacing w:val="-4"/>
              </w:rPr>
              <w:t xml:space="preserve"> </w:t>
            </w:r>
            <w:r>
              <w:t>and</w:t>
            </w:r>
            <w:r>
              <w:rPr>
                <w:spacing w:val="-4"/>
              </w:rPr>
              <w:t xml:space="preserve"> </w:t>
            </w:r>
            <w:r>
              <w:t>urgency</w:t>
            </w:r>
            <w:r>
              <w:rPr>
                <w:spacing w:val="-7"/>
              </w:rPr>
              <w:t xml:space="preserve"> </w:t>
            </w:r>
            <w:r>
              <w:t>of</w:t>
            </w:r>
            <w:r>
              <w:rPr>
                <w:spacing w:val="-6"/>
              </w:rPr>
              <w:t xml:space="preserve"> </w:t>
            </w:r>
            <w:r>
              <w:t>the</w:t>
            </w:r>
            <w:r>
              <w:rPr>
                <w:spacing w:val="-6"/>
              </w:rPr>
              <w:t xml:space="preserve"> </w:t>
            </w:r>
            <w:r>
              <w:t>amendments</w:t>
            </w:r>
            <w:r>
              <w:rPr>
                <w:spacing w:val="-6"/>
              </w:rPr>
              <w:t xml:space="preserve"> </w:t>
            </w:r>
            <w:r>
              <w:t>but</w:t>
            </w:r>
            <w:r>
              <w:rPr>
                <w:spacing w:val="-3"/>
              </w:rPr>
              <w:t xml:space="preserve"> </w:t>
            </w:r>
            <w:r>
              <w:t>is</w:t>
            </w:r>
            <w:r>
              <w:rPr>
                <w:spacing w:val="-4"/>
              </w:rPr>
              <w:t xml:space="preserve"> </w:t>
            </w:r>
            <w:r>
              <w:t>never less than 30 days.</w:t>
            </w:r>
          </w:p>
        </w:tc>
      </w:tr>
    </w:tbl>
    <w:p w14:paraId="1E805B1E" w14:textId="77777777" w:rsidR="00AA4A02" w:rsidRDefault="00AA4A02">
      <w:pPr>
        <w:pStyle w:val="BodyText"/>
        <w:spacing w:before="34"/>
        <w:rPr>
          <w:sz w:val="30"/>
        </w:rPr>
      </w:pPr>
    </w:p>
    <w:p w14:paraId="1E805B1F" w14:textId="77777777" w:rsidR="00AA4A02" w:rsidRDefault="00960F31">
      <w:pPr>
        <w:pStyle w:val="Heading4"/>
        <w:numPr>
          <w:ilvl w:val="0"/>
          <w:numId w:val="30"/>
        </w:numPr>
        <w:tabs>
          <w:tab w:val="left" w:pos="851"/>
        </w:tabs>
        <w:spacing w:before="0"/>
      </w:pPr>
      <w:bookmarkStart w:id="54" w:name="_TOC_250012"/>
      <w:r>
        <w:t>Protocols</w:t>
      </w:r>
      <w:r>
        <w:rPr>
          <w:spacing w:val="-6"/>
        </w:rPr>
        <w:t xml:space="preserve"> </w:t>
      </w:r>
      <w:r>
        <w:t>for</w:t>
      </w:r>
      <w:r>
        <w:rPr>
          <w:spacing w:val="-5"/>
        </w:rPr>
        <w:t xml:space="preserve"> </w:t>
      </w:r>
      <w:r>
        <w:t>Perceived</w:t>
      </w:r>
      <w:r>
        <w:rPr>
          <w:spacing w:val="-4"/>
        </w:rPr>
        <w:t xml:space="preserve"> </w:t>
      </w:r>
      <w:r>
        <w:t>Breaches</w:t>
      </w:r>
      <w:r>
        <w:rPr>
          <w:spacing w:val="-5"/>
        </w:rPr>
        <w:t xml:space="preserve"> </w:t>
      </w:r>
      <w:r>
        <w:t>of</w:t>
      </w:r>
      <w:r>
        <w:rPr>
          <w:spacing w:val="-4"/>
        </w:rPr>
        <w:t xml:space="preserve"> </w:t>
      </w:r>
      <w:r>
        <w:t>Due</w:t>
      </w:r>
      <w:r>
        <w:rPr>
          <w:spacing w:val="-4"/>
        </w:rPr>
        <w:t xml:space="preserve"> </w:t>
      </w:r>
      <w:bookmarkEnd w:id="54"/>
      <w:r>
        <w:rPr>
          <w:spacing w:val="-2"/>
        </w:rPr>
        <w:t>Process</w:t>
      </w:r>
    </w:p>
    <w:p w14:paraId="1E805B20" w14:textId="77777777" w:rsidR="00AA4A02" w:rsidRDefault="00960F31">
      <w:pPr>
        <w:pStyle w:val="ListParagraph"/>
        <w:numPr>
          <w:ilvl w:val="0"/>
          <w:numId w:val="29"/>
        </w:numPr>
        <w:tabs>
          <w:tab w:val="left" w:pos="851"/>
        </w:tabs>
        <w:spacing w:before="194" w:line="208" w:lineRule="auto"/>
        <w:ind w:right="186"/>
      </w:pPr>
      <w:r>
        <w:t>Where a formal complaint regarding a breach of due process is advised to either the AUASB Chair</w:t>
      </w:r>
      <w:r>
        <w:rPr>
          <w:spacing w:val="-4"/>
        </w:rPr>
        <w:t xml:space="preserve"> </w:t>
      </w:r>
      <w:r>
        <w:t>or</w:t>
      </w:r>
      <w:r>
        <w:rPr>
          <w:spacing w:val="-4"/>
        </w:rPr>
        <w:t xml:space="preserve"> </w:t>
      </w:r>
      <w:r>
        <w:t>the</w:t>
      </w:r>
      <w:r>
        <w:rPr>
          <w:spacing w:val="-2"/>
        </w:rPr>
        <w:t xml:space="preserve"> </w:t>
      </w:r>
      <w:r>
        <w:t>FRC</w:t>
      </w:r>
      <w:r>
        <w:rPr>
          <w:spacing w:val="-3"/>
        </w:rPr>
        <w:t xml:space="preserve"> </w:t>
      </w:r>
      <w:r>
        <w:t>Chair,</w:t>
      </w:r>
      <w:r>
        <w:rPr>
          <w:spacing w:val="-5"/>
        </w:rPr>
        <w:t xml:space="preserve"> </w:t>
      </w:r>
      <w:r>
        <w:t>the</w:t>
      </w:r>
      <w:r>
        <w:rPr>
          <w:spacing w:val="-4"/>
        </w:rPr>
        <w:t xml:space="preserve"> </w:t>
      </w:r>
      <w:r>
        <w:t>alleged</w:t>
      </w:r>
      <w:r>
        <w:rPr>
          <w:spacing w:val="-5"/>
        </w:rPr>
        <w:t xml:space="preserve"> </w:t>
      </w:r>
      <w:r>
        <w:t>breach</w:t>
      </w:r>
      <w:r>
        <w:rPr>
          <w:spacing w:val="-2"/>
        </w:rPr>
        <w:t xml:space="preserve"> </w:t>
      </w:r>
      <w:r>
        <w:t>will</w:t>
      </w:r>
      <w:r>
        <w:rPr>
          <w:spacing w:val="-1"/>
        </w:rPr>
        <w:t xml:space="preserve"> </w:t>
      </w:r>
      <w:r>
        <w:t>be</w:t>
      </w:r>
      <w:r>
        <w:rPr>
          <w:spacing w:val="-4"/>
        </w:rPr>
        <w:t xml:space="preserve"> </w:t>
      </w:r>
      <w:r>
        <w:t>assessed</w:t>
      </w:r>
      <w:r>
        <w:rPr>
          <w:spacing w:val="-2"/>
        </w:rPr>
        <w:t xml:space="preserve"> </w:t>
      </w:r>
      <w:r>
        <w:t>via</w:t>
      </w:r>
      <w:r>
        <w:rPr>
          <w:spacing w:val="-4"/>
        </w:rPr>
        <w:t xml:space="preserve"> </w:t>
      </w:r>
      <w:r>
        <w:t>the</w:t>
      </w:r>
      <w:r>
        <w:rPr>
          <w:spacing w:val="-4"/>
        </w:rPr>
        <w:t xml:space="preserve"> </w:t>
      </w:r>
      <w:r>
        <w:t>reporting</w:t>
      </w:r>
      <w:r>
        <w:rPr>
          <w:spacing w:val="-5"/>
        </w:rPr>
        <w:t xml:space="preserve"> </w:t>
      </w:r>
      <w:r>
        <w:t>process</w:t>
      </w:r>
      <w:r>
        <w:rPr>
          <w:spacing w:val="-1"/>
        </w:rPr>
        <w:t xml:space="preserve"> </w:t>
      </w:r>
      <w:r>
        <w:t>set</w:t>
      </w:r>
      <w:r>
        <w:rPr>
          <w:spacing w:val="-1"/>
        </w:rPr>
        <w:t xml:space="preserve"> </w:t>
      </w:r>
      <w:r>
        <w:t>out</w:t>
      </w:r>
      <w:r>
        <w:rPr>
          <w:spacing w:val="-1"/>
        </w:rPr>
        <w:t xml:space="preserve"> </w:t>
      </w:r>
      <w:r>
        <w:t>in this section.</w:t>
      </w:r>
    </w:p>
    <w:p w14:paraId="1E805B21" w14:textId="77777777" w:rsidR="00AA4A02" w:rsidRDefault="00960F31">
      <w:pPr>
        <w:pStyle w:val="ListParagraph"/>
        <w:numPr>
          <w:ilvl w:val="0"/>
          <w:numId w:val="29"/>
        </w:numPr>
        <w:tabs>
          <w:tab w:val="left" w:pos="851"/>
        </w:tabs>
        <w:spacing w:line="208" w:lineRule="auto"/>
        <w:ind w:right="151"/>
      </w:pPr>
      <w:r>
        <w:t>A</w:t>
      </w:r>
      <w:r>
        <w:rPr>
          <w:spacing w:val="-2"/>
        </w:rPr>
        <w:t xml:space="preserve"> </w:t>
      </w:r>
      <w:r>
        <w:t>formal complaint,</w:t>
      </w:r>
      <w:r>
        <w:rPr>
          <w:spacing w:val="-4"/>
        </w:rPr>
        <w:t xml:space="preserve"> </w:t>
      </w:r>
      <w:r>
        <w:t>together with</w:t>
      </w:r>
      <w:r>
        <w:rPr>
          <w:spacing w:val="-1"/>
        </w:rPr>
        <w:t xml:space="preserve"> </w:t>
      </w:r>
      <w:r>
        <w:t>the</w:t>
      </w:r>
      <w:r>
        <w:rPr>
          <w:spacing w:val="-1"/>
        </w:rPr>
        <w:t xml:space="preserve"> </w:t>
      </w:r>
      <w:r>
        <w:t>name</w:t>
      </w:r>
      <w:r>
        <w:rPr>
          <w:spacing w:val="-1"/>
        </w:rPr>
        <w:t xml:space="preserve"> </w:t>
      </w:r>
      <w:r>
        <w:t>and</w:t>
      </w:r>
      <w:r>
        <w:rPr>
          <w:spacing w:val="-4"/>
        </w:rPr>
        <w:t xml:space="preserve"> </w:t>
      </w:r>
      <w:r>
        <w:t>affiliation</w:t>
      </w:r>
      <w:r>
        <w:rPr>
          <w:spacing w:val="-4"/>
        </w:rPr>
        <w:t xml:space="preserve"> </w:t>
      </w:r>
      <w:r>
        <w:t>of</w:t>
      </w:r>
      <w:r>
        <w:rPr>
          <w:spacing w:val="-3"/>
        </w:rPr>
        <w:t xml:space="preserve"> </w:t>
      </w:r>
      <w:r>
        <w:t>the</w:t>
      </w:r>
      <w:r>
        <w:rPr>
          <w:spacing w:val="-3"/>
        </w:rPr>
        <w:t xml:space="preserve"> </w:t>
      </w:r>
      <w:r>
        <w:t>complainant,</w:t>
      </w:r>
      <w:r>
        <w:rPr>
          <w:spacing w:val="-4"/>
        </w:rPr>
        <w:t xml:space="preserve"> </w:t>
      </w:r>
      <w:r>
        <w:t>is</w:t>
      </w:r>
      <w:r>
        <w:rPr>
          <w:spacing w:val="-3"/>
        </w:rPr>
        <w:t xml:space="preserve"> </w:t>
      </w:r>
      <w:r>
        <w:t>posted</w:t>
      </w:r>
      <w:r>
        <w:rPr>
          <w:spacing w:val="-1"/>
        </w:rPr>
        <w:t xml:space="preserve"> </w:t>
      </w:r>
      <w:r>
        <w:t>on</w:t>
      </w:r>
      <w:r>
        <w:rPr>
          <w:spacing w:val="-4"/>
        </w:rPr>
        <w:t xml:space="preserve"> </w:t>
      </w:r>
      <w:r>
        <w:t>the AUASB’s website.</w:t>
      </w:r>
    </w:p>
    <w:p w14:paraId="1E805B22" w14:textId="77777777" w:rsidR="00AA4A02" w:rsidRDefault="00960F31">
      <w:pPr>
        <w:pStyle w:val="ListParagraph"/>
        <w:numPr>
          <w:ilvl w:val="0"/>
          <w:numId w:val="29"/>
        </w:numPr>
        <w:tabs>
          <w:tab w:val="left" w:pos="851"/>
        </w:tabs>
        <w:spacing w:before="198" w:line="208" w:lineRule="auto"/>
        <w:ind w:right="475"/>
      </w:pPr>
      <w:r>
        <w:t>Technical staff investigate the complaint and prepare a</w:t>
      </w:r>
      <w:r>
        <w:rPr>
          <w:spacing w:val="-2"/>
        </w:rPr>
        <w:t xml:space="preserve"> </w:t>
      </w:r>
      <w:r>
        <w:t>report</w:t>
      </w:r>
      <w:r>
        <w:rPr>
          <w:spacing w:val="-2"/>
        </w:rPr>
        <w:t xml:space="preserve"> </w:t>
      </w:r>
      <w:r>
        <w:t>in response</w:t>
      </w:r>
      <w:r>
        <w:rPr>
          <w:spacing w:val="-2"/>
        </w:rPr>
        <w:t xml:space="preserve"> </w:t>
      </w:r>
      <w:r>
        <w:t>to</w:t>
      </w:r>
      <w:r>
        <w:rPr>
          <w:spacing w:val="-3"/>
        </w:rPr>
        <w:t xml:space="preserve"> </w:t>
      </w:r>
      <w:r>
        <w:t>the complaint. The report is provided to the FRC Chair and the AUASB members and is posted on the AUASB’s</w:t>
      </w:r>
      <w:r>
        <w:rPr>
          <w:spacing w:val="-2"/>
        </w:rPr>
        <w:t xml:space="preserve"> </w:t>
      </w:r>
      <w:r>
        <w:t>website.</w:t>
      </w:r>
      <w:r>
        <w:rPr>
          <w:spacing w:val="-2"/>
        </w:rPr>
        <w:t xml:space="preserve"> </w:t>
      </w:r>
      <w:r>
        <w:t>The</w:t>
      </w:r>
      <w:r>
        <w:rPr>
          <w:spacing w:val="-2"/>
        </w:rPr>
        <w:t xml:space="preserve"> </w:t>
      </w:r>
      <w:r>
        <w:t>FRC’s</w:t>
      </w:r>
      <w:r>
        <w:rPr>
          <w:spacing w:val="-2"/>
        </w:rPr>
        <w:t xml:space="preserve"> </w:t>
      </w:r>
      <w:r>
        <w:t>response</w:t>
      </w:r>
      <w:r>
        <w:rPr>
          <w:spacing w:val="-4"/>
        </w:rPr>
        <w:t xml:space="preserve"> </w:t>
      </w:r>
      <w:r>
        <w:t>to</w:t>
      </w:r>
      <w:r>
        <w:rPr>
          <w:spacing w:val="-2"/>
        </w:rPr>
        <w:t xml:space="preserve"> </w:t>
      </w:r>
      <w:r>
        <w:t>the</w:t>
      </w:r>
      <w:r>
        <w:rPr>
          <w:spacing w:val="-2"/>
        </w:rPr>
        <w:t xml:space="preserve"> </w:t>
      </w:r>
      <w:r>
        <w:t>report,</w:t>
      </w:r>
      <w:r>
        <w:rPr>
          <w:spacing w:val="-5"/>
        </w:rPr>
        <w:t xml:space="preserve"> </w:t>
      </w:r>
      <w:r>
        <w:t>typically</w:t>
      </w:r>
      <w:r>
        <w:rPr>
          <w:spacing w:val="-2"/>
        </w:rPr>
        <w:t xml:space="preserve"> </w:t>
      </w:r>
      <w:r>
        <w:t>in</w:t>
      </w:r>
      <w:r>
        <w:rPr>
          <w:spacing w:val="-5"/>
        </w:rPr>
        <w:t xml:space="preserve"> </w:t>
      </w:r>
      <w:r>
        <w:t>the</w:t>
      </w:r>
      <w:r>
        <w:rPr>
          <w:spacing w:val="-2"/>
        </w:rPr>
        <w:t xml:space="preserve"> </w:t>
      </w:r>
      <w:r>
        <w:t>form</w:t>
      </w:r>
      <w:r>
        <w:rPr>
          <w:spacing w:val="-4"/>
        </w:rPr>
        <w:t xml:space="preserve"> </w:t>
      </w:r>
      <w:r>
        <w:t>of</w:t>
      </w:r>
      <w:r>
        <w:rPr>
          <w:spacing w:val="-4"/>
        </w:rPr>
        <w:t xml:space="preserve"> </w:t>
      </w:r>
      <w:r>
        <w:t>a</w:t>
      </w:r>
      <w:r>
        <w:rPr>
          <w:spacing w:val="-2"/>
        </w:rPr>
        <w:t xml:space="preserve"> </w:t>
      </w:r>
      <w:r>
        <w:t>letter</w:t>
      </w:r>
      <w:r>
        <w:rPr>
          <w:spacing w:val="-4"/>
        </w:rPr>
        <w:t xml:space="preserve"> </w:t>
      </w:r>
      <w:r>
        <w:t>to</w:t>
      </w:r>
      <w:r>
        <w:rPr>
          <w:spacing w:val="-5"/>
        </w:rPr>
        <w:t xml:space="preserve"> </w:t>
      </w:r>
      <w:r>
        <w:t>the complainant, is also posted on the AUASB website.</w:t>
      </w:r>
    </w:p>
    <w:p w14:paraId="1E805B23" w14:textId="77777777" w:rsidR="00AA4A02" w:rsidRDefault="00960F31">
      <w:pPr>
        <w:pStyle w:val="ListParagraph"/>
        <w:numPr>
          <w:ilvl w:val="0"/>
          <w:numId w:val="29"/>
        </w:numPr>
        <w:tabs>
          <w:tab w:val="left" w:pos="851"/>
        </w:tabs>
        <w:spacing w:before="176"/>
      </w:pPr>
      <w:r>
        <w:t>A</w:t>
      </w:r>
      <w:r>
        <w:rPr>
          <w:spacing w:val="-6"/>
        </w:rPr>
        <w:t xml:space="preserve"> </w:t>
      </w:r>
      <w:r>
        <w:t>breach</w:t>
      </w:r>
      <w:r>
        <w:rPr>
          <w:spacing w:val="-3"/>
        </w:rPr>
        <w:t xml:space="preserve"> </w:t>
      </w:r>
      <w:r>
        <w:t>of</w:t>
      </w:r>
      <w:r>
        <w:rPr>
          <w:spacing w:val="-5"/>
        </w:rPr>
        <w:t xml:space="preserve"> </w:t>
      </w:r>
      <w:r>
        <w:t>due</w:t>
      </w:r>
      <w:r>
        <w:rPr>
          <w:spacing w:val="-3"/>
        </w:rPr>
        <w:t xml:space="preserve"> </w:t>
      </w:r>
      <w:r>
        <w:t>process</w:t>
      </w:r>
      <w:r>
        <w:rPr>
          <w:spacing w:val="-2"/>
        </w:rPr>
        <w:t xml:space="preserve"> </w:t>
      </w:r>
      <w:r>
        <w:t>does</w:t>
      </w:r>
      <w:r>
        <w:rPr>
          <w:spacing w:val="-3"/>
        </w:rPr>
        <w:t xml:space="preserve"> </w:t>
      </w:r>
      <w:r>
        <w:t>not</w:t>
      </w:r>
      <w:r>
        <w:rPr>
          <w:spacing w:val="-2"/>
        </w:rPr>
        <w:t xml:space="preserve"> </w:t>
      </w:r>
      <w:r>
        <w:t>invalidate</w:t>
      </w:r>
      <w:r>
        <w:rPr>
          <w:spacing w:val="-5"/>
        </w:rPr>
        <w:t xml:space="preserve"> </w:t>
      </w:r>
      <w:r>
        <w:t>a</w:t>
      </w:r>
      <w:r>
        <w:rPr>
          <w:spacing w:val="-2"/>
        </w:rPr>
        <w:t xml:space="preserve"> </w:t>
      </w:r>
      <w:r>
        <w:t>pronouncement</w:t>
      </w:r>
      <w:r>
        <w:rPr>
          <w:spacing w:val="-5"/>
        </w:rPr>
        <w:t xml:space="preserve"> </w:t>
      </w:r>
      <w:r>
        <w:t>issued</w:t>
      </w:r>
      <w:r>
        <w:rPr>
          <w:spacing w:val="-3"/>
        </w:rPr>
        <w:t xml:space="preserve"> </w:t>
      </w:r>
      <w:r>
        <w:t>by</w:t>
      </w:r>
      <w:r>
        <w:rPr>
          <w:spacing w:val="-3"/>
        </w:rPr>
        <w:t xml:space="preserve"> </w:t>
      </w:r>
      <w:r>
        <w:t>the</w:t>
      </w:r>
      <w:r>
        <w:rPr>
          <w:spacing w:val="-2"/>
        </w:rPr>
        <w:t xml:space="preserve"> AUASB.</w:t>
      </w:r>
    </w:p>
    <w:p w14:paraId="1E805B24" w14:textId="77777777" w:rsidR="00AA4A02" w:rsidRDefault="00960F31">
      <w:pPr>
        <w:pStyle w:val="ListParagraph"/>
        <w:numPr>
          <w:ilvl w:val="0"/>
          <w:numId w:val="29"/>
        </w:numPr>
        <w:tabs>
          <w:tab w:val="left" w:pos="851"/>
        </w:tabs>
        <w:spacing w:before="191" w:line="208" w:lineRule="auto"/>
        <w:ind w:right="244"/>
      </w:pPr>
      <w:r>
        <w:t>If the FRC considers that</w:t>
      </w:r>
      <w:r>
        <w:rPr>
          <w:spacing w:val="-1"/>
        </w:rPr>
        <w:t xml:space="preserve"> </w:t>
      </w:r>
      <w:r>
        <w:t>the AUASB</w:t>
      </w:r>
      <w:r>
        <w:rPr>
          <w:spacing w:val="-1"/>
        </w:rPr>
        <w:t xml:space="preserve"> </w:t>
      </w:r>
      <w:r>
        <w:t>has breached its</w:t>
      </w:r>
      <w:r>
        <w:rPr>
          <w:spacing w:val="-1"/>
        </w:rPr>
        <w:t xml:space="preserve"> </w:t>
      </w:r>
      <w:r>
        <w:t>due process, the FRC will</w:t>
      </w:r>
      <w:r>
        <w:rPr>
          <w:spacing w:val="-1"/>
        </w:rPr>
        <w:t xml:space="preserve"> </w:t>
      </w:r>
      <w:r>
        <w:t>request that the</w:t>
      </w:r>
      <w:r>
        <w:rPr>
          <w:spacing w:val="-2"/>
        </w:rPr>
        <w:t xml:space="preserve"> </w:t>
      </w:r>
      <w:r>
        <w:t>AUASB</w:t>
      </w:r>
      <w:r>
        <w:rPr>
          <w:spacing w:val="-4"/>
        </w:rPr>
        <w:t xml:space="preserve"> </w:t>
      </w:r>
      <w:r>
        <w:t>takes</w:t>
      </w:r>
      <w:r>
        <w:rPr>
          <w:spacing w:val="-2"/>
        </w:rPr>
        <w:t xml:space="preserve"> </w:t>
      </w:r>
      <w:r>
        <w:t>action</w:t>
      </w:r>
      <w:r>
        <w:rPr>
          <w:spacing w:val="-5"/>
        </w:rPr>
        <w:t xml:space="preserve"> </w:t>
      </w:r>
      <w:r>
        <w:t>to</w:t>
      </w:r>
      <w:r>
        <w:rPr>
          <w:spacing w:val="-5"/>
        </w:rPr>
        <w:t xml:space="preserve"> </w:t>
      </w:r>
      <w:r>
        <w:t>remedy</w:t>
      </w:r>
      <w:r>
        <w:rPr>
          <w:spacing w:val="-4"/>
        </w:rPr>
        <w:t xml:space="preserve"> </w:t>
      </w:r>
      <w:r>
        <w:t>the breach</w:t>
      </w:r>
      <w:r>
        <w:rPr>
          <w:spacing w:val="-2"/>
        </w:rPr>
        <w:t xml:space="preserve"> </w:t>
      </w:r>
      <w:r>
        <w:t>either</w:t>
      </w:r>
      <w:r>
        <w:rPr>
          <w:spacing w:val="-1"/>
        </w:rPr>
        <w:t xml:space="preserve"> </w:t>
      </w:r>
      <w:r>
        <w:t>within</w:t>
      </w:r>
      <w:r>
        <w:rPr>
          <w:spacing w:val="-5"/>
        </w:rPr>
        <w:t xml:space="preserve"> </w:t>
      </w:r>
      <w:r>
        <w:t>the</w:t>
      </w:r>
      <w:r>
        <w:rPr>
          <w:spacing w:val="-4"/>
        </w:rPr>
        <w:t xml:space="preserve"> </w:t>
      </w:r>
      <w:r>
        <w:t>current</w:t>
      </w:r>
      <w:r>
        <w:rPr>
          <w:spacing w:val="-1"/>
        </w:rPr>
        <w:t xml:space="preserve"> </w:t>
      </w:r>
      <w:r>
        <w:t>phase</w:t>
      </w:r>
      <w:r>
        <w:rPr>
          <w:spacing w:val="-4"/>
        </w:rPr>
        <w:t xml:space="preserve"> </w:t>
      </w:r>
      <w:r>
        <w:t>of</w:t>
      </w:r>
      <w:r>
        <w:rPr>
          <w:spacing w:val="-4"/>
        </w:rPr>
        <w:t xml:space="preserve"> </w:t>
      </w:r>
      <w:r>
        <w:t>the</w:t>
      </w:r>
      <w:r>
        <w:rPr>
          <w:spacing w:val="-2"/>
        </w:rPr>
        <w:t xml:space="preserve"> </w:t>
      </w:r>
      <w:r>
        <w:t>project</w:t>
      </w:r>
      <w:r>
        <w:rPr>
          <w:spacing w:val="-1"/>
        </w:rPr>
        <w:t xml:space="preserve"> </w:t>
      </w:r>
      <w:r>
        <w:t>to which the breach relates or by taking some additional steps in a future phase of that project, such as the post-implementation review.</w:t>
      </w:r>
    </w:p>
    <w:p w14:paraId="1E805B25" w14:textId="77777777" w:rsidR="00AA4A02" w:rsidRDefault="00960F31">
      <w:pPr>
        <w:pStyle w:val="ListParagraph"/>
        <w:numPr>
          <w:ilvl w:val="0"/>
          <w:numId w:val="29"/>
        </w:numPr>
        <w:tabs>
          <w:tab w:val="left" w:pos="851"/>
        </w:tabs>
        <w:spacing w:before="200" w:line="208" w:lineRule="auto"/>
        <w:ind w:right="839"/>
      </w:pPr>
      <w:r>
        <w:t>The</w:t>
      </w:r>
      <w:r>
        <w:rPr>
          <w:spacing w:val="-2"/>
        </w:rPr>
        <w:t xml:space="preserve"> </w:t>
      </w:r>
      <w:r>
        <w:t>FRC</w:t>
      </w:r>
      <w:r>
        <w:rPr>
          <w:spacing w:val="-3"/>
        </w:rPr>
        <w:t xml:space="preserve"> </w:t>
      </w:r>
      <w:r>
        <w:t>is</w:t>
      </w:r>
      <w:r>
        <w:rPr>
          <w:spacing w:val="-2"/>
        </w:rPr>
        <w:t xml:space="preserve"> </w:t>
      </w:r>
      <w:r>
        <w:t>not</w:t>
      </w:r>
      <w:r>
        <w:rPr>
          <w:spacing w:val="-1"/>
        </w:rPr>
        <w:t xml:space="preserve"> </w:t>
      </w:r>
      <w:r>
        <w:t>permitted</w:t>
      </w:r>
      <w:r>
        <w:rPr>
          <w:spacing w:val="-2"/>
        </w:rPr>
        <w:t xml:space="preserve"> </w:t>
      </w:r>
      <w:r>
        <w:t>under</w:t>
      </w:r>
      <w:r>
        <w:rPr>
          <w:spacing w:val="-4"/>
        </w:rPr>
        <w:t xml:space="preserve"> </w:t>
      </w:r>
      <w:r>
        <w:t>the</w:t>
      </w:r>
      <w:r>
        <w:rPr>
          <w:spacing w:val="-2"/>
        </w:rPr>
        <w:t xml:space="preserve"> </w:t>
      </w:r>
      <w:r>
        <w:t>ASIC</w:t>
      </w:r>
      <w:r>
        <w:rPr>
          <w:spacing w:val="-3"/>
        </w:rPr>
        <w:t xml:space="preserve"> </w:t>
      </w:r>
      <w:r>
        <w:t>Act</w:t>
      </w:r>
      <w:r>
        <w:rPr>
          <w:spacing w:val="-4"/>
        </w:rPr>
        <w:t xml:space="preserve"> </w:t>
      </w:r>
      <w:r>
        <w:t>to</w:t>
      </w:r>
      <w:r>
        <w:rPr>
          <w:spacing w:val="-2"/>
        </w:rPr>
        <w:t xml:space="preserve"> </w:t>
      </w:r>
      <w:r>
        <w:t>raise</w:t>
      </w:r>
      <w:r>
        <w:rPr>
          <w:spacing w:val="-4"/>
        </w:rPr>
        <w:t xml:space="preserve"> </w:t>
      </w:r>
      <w:r>
        <w:t>technical auditing</w:t>
      </w:r>
      <w:r>
        <w:rPr>
          <w:spacing w:val="-5"/>
        </w:rPr>
        <w:t xml:space="preserve"> </w:t>
      </w:r>
      <w:r>
        <w:t>and</w:t>
      </w:r>
      <w:r>
        <w:rPr>
          <w:spacing w:val="-2"/>
        </w:rPr>
        <w:t xml:space="preserve"> </w:t>
      </w:r>
      <w:r>
        <w:t>assurance considerations as evidence of a breach of due process.</w:t>
      </w:r>
      <w:r>
        <w:rPr>
          <w:vertAlign w:val="superscript"/>
        </w:rPr>
        <w:t>42</w:t>
      </w:r>
    </w:p>
    <w:p w14:paraId="1E805B26" w14:textId="77777777" w:rsidR="00AA4A02" w:rsidRDefault="00AA4A02">
      <w:pPr>
        <w:pStyle w:val="BodyText"/>
        <w:rPr>
          <w:sz w:val="20"/>
        </w:rPr>
      </w:pPr>
    </w:p>
    <w:p w14:paraId="1E805B27" w14:textId="77777777" w:rsidR="00AA4A02" w:rsidRDefault="00AA4A02">
      <w:pPr>
        <w:pStyle w:val="BodyText"/>
        <w:rPr>
          <w:sz w:val="20"/>
        </w:rPr>
      </w:pPr>
    </w:p>
    <w:p w14:paraId="1E805B28" w14:textId="77777777" w:rsidR="00AA4A02" w:rsidRDefault="00AA4A02">
      <w:pPr>
        <w:pStyle w:val="BodyText"/>
        <w:rPr>
          <w:sz w:val="20"/>
        </w:rPr>
      </w:pPr>
    </w:p>
    <w:p w14:paraId="1E805B29" w14:textId="77777777" w:rsidR="00AA4A02" w:rsidRDefault="00AA4A02">
      <w:pPr>
        <w:pStyle w:val="BodyText"/>
        <w:rPr>
          <w:sz w:val="20"/>
        </w:rPr>
      </w:pPr>
    </w:p>
    <w:p w14:paraId="1E805B2A" w14:textId="77777777" w:rsidR="00AA4A02" w:rsidRDefault="00AA4A02">
      <w:pPr>
        <w:pStyle w:val="BodyText"/>
        <w:rPr>
          <w:sz w:val="20"/>
        </w:rPr>
      </w:pPr>
    </w:p>
    <w:p w14:paraId="1E805B2B" w14:textId="77777777" w:rsidR="00AA4A02" w:rsidRDefault="00AA4A02">
      <w:pPr>
        <w:pStyle w:val="BodyText"/>
        <w:rPr>
          <w:sz w:val="20"/>
        </w:rPr>
      </w:pPr>
    </w:p>
    <w:p w14:paraId="1E805B2C" w14:textId="77777777" w:rsidR="00AA4A02" w:rsidRDefault="00AA4A02">
      <w:pPr>
        <w:pStyle w:val="BodyText"/>
        <w:rPr>
          <w:sz w:val="20"/>
        </w:rPr>
      </w:pPr>
    </w:p>
    <w:p w14:paraId="1E805B2D" w14:textId="77777777" w:rsidR="00AA4A02" w:rsidRDefault="00AA4A02">
      <w:pPr>
        <w:pStyle w:val="BodyText"/>
        <w:rPr>
          <w:sz w:val="20"/>
        </w:rPr>
      </w:pPr>
    </w:p>
    <w:p w14:paraId="1E805B2E" w14:textId="77777777" w:rsidR="00AA4A02" w:rsidRDefault="00AA4A02">
      <w:pPr>
        <w:pStyle w:val="BodyText"/>
        <w:rPr>
          <w:sz w:val="20"/>
        </w:rPr>
      </w:pPr>
    </w:p>
    <w:p w14:paraId="1E805B2F" w14:textId="77777777" w:rsidR="00AA4A02" w:rsidRDefault="00AA4A02">
      <w:pPr>
        <w:pStyle w:val="BodyText"/>
        <w:rPr>
          <w:sz w:val="20"/>
        </w:rPr>
      </w:pPr>
    </w:p>
    <w:p w14:paraId="1E805B30" w14:textId="77777777" w:rsidR="00AA4A02" w:rsidRDefault="00AA4A02">
      <w:pPr>
        <w:pStyle w:val="BodyText"/>
        <w:rPr>
          <w:sz w:val="20"/>
        </w:rPr>
      </w:pPr>
    </w:p>
    <w:p w14:paraId="1E805B31" w14:textId="77777777" w:rsidR="00AA4A02" w:rsidRDefault="00AA4A02">
      <w:pPr>
        <w:pStyle w:val="BodyText"/>
        <w:rPr>
          <w:sz w:val="20"/>
        </w:rPr>
      </w:pPr>
    </w:p>
    <w:p w14:paraId="1E805B32" w14:textId="77777777" w:rsidR="00AA4A02" w:rsidRDefault="00AA4A02">
      <w:pPr>
        <w:pStyle w:val="BodyText"/>
        <w:rPr>
          <w:sz w:val="20"/>
        </w:rPr>
      </w:pPr>
    </w:p>
    <w:p w14:paraId="1E805B33" w14:textId="77777777" w:rsidR="00AA4A02" w:rsidRDefault="00AA4A02">
      <w:pPr>
        <w:pStyle w:val="BodyText"/>
        <w:rPr>
          <w:sz w:val="20"/>
        </w:rPr>
      </w:pPr>
    </w:p>
    <w:p w14:paraId="1E805B34" w14:textId="77777777" w:rsidR="00AA4A02" w:rsidRDefault="00AA4A02">
      <w:pPr>
        <w:pStyle w:val="BodyText"/>
        <w:rPr>
          <w:sz w:val="20"/>
        </w:rPr>
      </w:pPr>
    </w:p>
    <w:p w14:paraId="1E805B35" w14:textId="77777777" w:rsidR="00AA4A02" w:rsidRDefault="00AA4A02">
      <w:pPr>
        <w:pStyle w:val="BodyText"/>
        <w:rPr>
          <w:sz w:val="20"/>
        </w:rPr>
      </w:pPr>
    </w:p>
    <w:p w14:paraId="1E805B36" w14:textId="77777777" w:rsidR="00AA4A02" w:rsidRDefault="00AA4A02">
      <w:pPr>
        <w:pStyle w:val="BodyText"/>
        <w:rPr>
          <w:sz w:val="20"/>
        </w:rPr>
      </w:pPr>
    </w:p>
    <w:p w14:paraId="1E805B37" w14:textId="77777777" w:rsidR="00AA4A02" w:rsidRDefault="00AA4A02">
      <w:pPr>
        <w:pStyle w:val="BodyText"/>
        <w:rPr>
          <w:sz w:val="20"/>
        </w:rPr>
      </w:pPr>
    </w:p>
    <w:p w14:paraId="1E805B38" w14:textId="77777777" w:rsidR="00AA4A02" w:rsidRDefault="00AA4A02">
      <w:pPr>
        <w:pStyle w:val="BodyText"/>
        <w:rPr>
          <w:sz w:val="20"/>
        </w:rPr>
      </w:pPr>
    </w:p>
    <w:p w14:paraId="1E805B39" w14:textId="77777777" w:rsidR="00AA4A02" w:rsidRDefault="00AA4A02">
      <w:pPr>
        <w:pStyle w:val="BodyText"/>
        <w:rPr>
          <w:sz w:val="20"/>
        </w:rPr>
      </w:pPr>
    </w:p>
    <w:p w14:paraId="1E805B3A" w14:textId="77777777" w:rsidR="00AA4A02" w:rsidRDefault="00AA4A02">
      <w:pPr>
        <w:pStyle w:val="BodyText"/>
        <w:rPr>
          <w:sz w:val="20"/>
        </w:rPr>
      </w:pPr>
    </w:p>
    <w:p w14:paraId="1E805B3B" w14:textId="77777777" w:rsidR="00AA4A02" w:rsidRDefault="00AA4A02">
      <w:pPr>
        <w:pStyle w:val="BodyText"/>
        <w:rPr>
          <w:sz w:val="20"/>
        </w:rPr>
      </w:pPr>
    </w:p>
    <w:p w14:paraId="1E805B3C" w14:textId="77777777" w:rsidR="00AA4A02" w:rsidRDefault="00AA4A02">
      <w:pPr>
        <w:pStyle w:val="BodyText"/>
        <w:rPr>
          <w:sz w:val="20"/>
        </w:rPr>
      </w:pPr>
    </w:p>
    <w:p w14:paraId="1E805B3D" w14:textId="77777777" w:rsidR="00AA4A02" w:rsidRDefault="00AA4A02">
      <w:pPr>
        <w:pStyle w:val="BodyText"/>
        <w:rPr>
          <w:sz w:val="20"/>
        </w:rPr>
      </w:pPr>
    </w:p>
    <w:p w14:paraId="1E805B3E" w14:textId="77777777" w:rsidR="00AA4A02" w:rsidRDefault="00AA4A02">
      <w:pPr>
        <w:pStyle w:val="BodyText"/>
        <w:rPr>
          <w:sz w:val="20"/>
        </w:rPr>
      </w:pPr>
    </w:p>
    <w:p w14:paraId="1E805B3F" w14:textId="77777777" w:rsidR="00AA4A02" w:rsidRDefault="00AA4A02">
      <w:pPr>
        <w:pStyle w:val="BodyText"/>
        <w:rPr>
          <w:sz w:val="20"/>
        </w:rPr>
      </w:pPr>
    </w:p>
    <w:p w14:paraId="1E805B40" w14:textId="77777777" w:rsidR="00AA4A02" w:rsidRDefault="00AA4A02">
      <w:pPr>
        <w:pStyle w:val="BodyText"/>
        <w:rPr>
          <w:sz w:val="20"/>
        </w:rPr>
      </w:pPr>
    </w:p>
    <w:p w14:paraId="1E805B41" w14:textId="77777777" w:rsidR="00AA4A02" w:rsidRDefault="00960F31">
      <w:pPr>
        <w:pStyle w:val="BodyText"/>
        <w:spacing w:before="49"/>
        <w:rPr>
          <w:sz w:val="20"/>
        </w:rPr>
      </w:pPr>
      <w:r>
        <w:rPr>
          <w:noProof/>
          <w:sz w:val="20"/>
        </w:rPr>
        <mc:AlternateContent>
          <mc:Choice Requires="wps">
            <w:drawing>
              <wp:anchor distT="0" distB="0" distL="0" distR="0" simplePos="0" relativeHeight="487606784" behindDoc="1" locked="0" layoutInCell="1" allowOverlap="1" wp14:anchorId="1E805F5D" wp14:editId="1E805F5E">
                <wp:simplePos x="0" y="0"/>
                <wp:positionH relativeFrom="page">
                  <wp:posOffset>900988</wp:posOffset>
                </wp:positionH>
                <wp:positionV relativeFrom="paragraph">
                  <wp:posOffset>192556</wp:posOffset>
                </wp:positionV>
                <wp:extent cx="1829435"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70C1F" id="Graphic 60" o:spid="_x0000_s1026" style="position:absolute;margin-left:70.95pt;margin-top:15.15pt;width:144.0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" path="m1829053,l,,,7619r1829053,l1829053,xe" fillcolor="black" stroked="f">
                <v:path arrowok="t"/>
                <w10:wrap type="topAndBottom" anchorx="page"/>
              </v:shape>
            </w:pict>
          </mc:Fallback>
        </mc:AlternateContent>
      </w:r>
    </w:p>
    <w:p w14:paraId="1E805B42" w14:textId="77777777" w:rsidR="00AA4A02" w:rsidRDefault="00960F31">
      <w:pPr>
        <w:spacing w:before="93" w:line="208" w:lineRule="auto"/>
        <w:ind w:left="427" w:right="220" w:hanging="284"/>
        <w:rPr>
          <w:sz w:val="16"/>
        </w:rPr>
      </w:pPr>
      <w:r>
        <w:rPr>
          <w:sz w:val="16"/>
          <w:vertAlign w:val="superscript"/>
        </w:rPr>
        <w:t>42</w:t>
      </w:r>
      <w:r>
        <w:rPr>
          <w:spacing w:val="80"/>
          <w:w w:val="150"/>
          <w:sz w:val="16"/>
        </w:rPr>
        <w:t xml:space="preserve"> </w:t>
      </w:r>
      <w:r>
        <w:rPr>
          <w:sz w:val="16"/>
        </w:rPr>
        <w:t>Under</w:t>
      </w:r>
      <w:r>
        <w:rPr>
          <w:spacing w:val="-2"/>
          <w:sz w:val="16"/>
        </w:rPr>
        <w:t xml:space="preserve"> </w:t>
      </w:r>
      <w:r>
        <w:rPr>
          <w:sz w:val="16"/>
        </w:rPr>
        <w:t>ASIC Act s225(7),</w:t>
      </w:r>
      <w:r>
        <w:rPr>
          <w:spacing w:val="-3"/>
          <w:sz w:val="16"/>
        </w:rPr>
        <w:t xml:space="preserve"> </w:t>
      </w:r>
      <w:r>
        <w:rPr>
          <w:sz w:val="16"/>
        </w:rPr>
        <w:t>the FRC</w:t>
      </w:r>
      <w:r>
        <w:rPr>
          <w:spacing w:val="-2"/>
          <w:sz w:val="16"/>
        </w:rPr>
        <w:t xml:space="preserve"> </w:t>
      </w:r>
      <w:r>
        <w:rPr>
          <w:sz w:val="16"/>
        </w:rPr>
        <w:t>does</w:t>
      </w:r>
      <w:r>
        <w:rPr>
          <w:spacing w:val="-1"/>
          <w:sz w:val="16"/>
        </w:rPr>
        <w:t xml:space="preserve"> </w:t>
      </w:r>
      <w:r>
        <w:rPr>
          <w:sz w:val="16"/>
        </w:rPr>
        <w:t>not</w:t>
      </w:r>
      <w:r>
        <w:rPr>
          <w:spacing w:val="-2"/>
          <w:sz w:val="16"/>
        </w:rPr>
        <w:t xml:space="preserve"> </w:t>
      </w:r>
      <w:r>
        <w:rPr>
          <w:sz w:val="16"/>
        </w:rPr>
        <w:t>have</w:t>
      </w:r>
      <w:r>
        <w:rPr>
          <w:spacing w:val="-3"/>
          <w:sz w:val="16"/>
        </w:rPr>
        <w:t xml:space="preserve"> </w:t>
      </w:r>
      <w:r>
        <w:rPr>
          <w:sz w:val="16"/>
        </w:rPr>
        <w:t>the</w:t>
      </w:r>
      <w:r>
        <w:rPr>
          <w:spacing w:val="-3"/>
          <w:sz w:val="16"/>
        </w:rPr>
        <w:t xml:space="preserve"> </w:t>
      </w:r>
      <w:r>
        <w:rPr>
          <w:sz w:val="16"/>
        </w:rPr>
        <w:t>power</w:t>
      </w:r>
      <w:r>
        <w:rPr>
          <w:spacing w:val="-2"/>
          <w:sz w:val="16"/>
        </w:rPr>
        <w:t xml:space="preserve"> </w:t>
      </w:r>
      <w:r>
        <w:rPr>
          <w:sz w:val="16"/>
        </w:rPr>
        <w:t>to</w:t>
      </w:r>
      <w:r>
        <w:rPr>
          <w:spacing w:val="-2"/>
          <w:sz w:val="16"/>
        </w:rPr>
        <w:t xml:space="preserve"> </w:t>
      </w:r>
      <w:r>
        <w:rPr>
          <w:sz w:val="16"/>
        </w:rPr>
        <w:t>direct</w:t>
      </w:r>
      <w:r>
        <w:rPr>
          <w:spacing w:val="-2"/>
          <w:sz w:val="16"/>
        </w:rPr>
        <w:t xml:space="preserve"> </w:t>
      </w:r>
      <w:r>
        <w:rPr>
          <w:sz w:val="16"/>
        </w:rPr>
        <w:t>the AUASB in relation</w:t>
      </w:r>
      <w:r>
        <w:rPr>
          <w:spacing w:val="-2"/>
          <w:sz w:val="16"/>
        </w:rPr>
        <w:t xml:space="preserve"> </w:t>
      </w:r>
      <w:r>
        <w:rPr>
          <w:sz w:val="16"/>
        </w:rPr>
        <w:t>to</w:t>
      </w:r>
      <w:r>
        <w:rPr>
          <w:spacing w:val="-2"/>
          <w:sz w:val="16"/>
        </w:rPr>
        <w:t xml:space="preserve"> </w:t>
      </w:r>
      <w:r>
        <w:rPr>
          <w:sz w:val="16"/>
        </w:rPr>
        <w:t>the</w:t>
      </w:r>
      <w:r>
        <w:rPr>
          <w:spacing w:val="-3"/>
          <w:sz w:val="16"/>
        </w:rPr>
        <w:t xml:space="preserve"> </w:t>
      </w:r>
      <w:r>
        <w:rPr>
          <w:sz w:val="16"/>
        </w:rPr>
        <w:t>development,</w:t>
      </w:r>
      <w:r>
        <w:rPr>
          <w:spacing w:val="-3"/>
          <w:sz w:val="16"/>
        </w:rPr>
        <w:t xml:space="preserve"> </w:t>
      </w:r>
      <w:r>
        <w:rPr>
          <w:sz w:val="16"/>
        </w:rPr>
        <w:t>or</w:t>
      </w:r>
      <w:r>
        <w:rPr>
          <w:spacing w:val="-2"/>
          <w:sz w:val="16"/>
        </w:rPr>
        <w:t xml:space="preserve"> </w:t>
      </w:r>
      <w:r>
        <w:rPr>
          <w:sz w:val="16"/>
        </w:rPr>
        <w:t>making,</w:t>
      </w:r>
      <w:r>
        <w:rPr>
          <w:spacing w:val="-3"/>
          <w:sz w:val="16"/>
        </w:rPr>
        <w:t xml:space="preserve"> </w:t>
      </w:r>
      <w:r>
        <w:rPr>
          <w:sz w:val="16"/>
        </w:rPr>
        <w:t>of</w:t>
      </w:r>
      <w:r>
        <w:rPr>
          <w:spacing w:val="-4"/>
          <w:sz w:val="16"/>
        </w:rPr>
        <w:t xml:space="preserve"> </w:t>
      </w:r>
      <w:r>
        <w:rPr>
          <w:sz w:val="16"/>
        </w:rPr>
        <w:t>a</w:t>
      </w:r>
      <w:r>
        <w:rPr>
          <w:spacing w:val="40"/>
          <w:sz w:val="16"/>
        </w:rPr>
        <w:t xml:space="preserve"> </w:t>
      </w:r>
      <w:r>
        <w:rPr>
          <w:sz w:val="16"/>
        </w:rPr>
        <w:t>particular</w:t>
      </w:r>
      <w:r>
        <w:rPr>
          <w:spacing w:val="-1"/>
          <w:sz w:val="16"/>
        </w:rPr>
        <w:t xml:space="preserve"> </w:t>
      </w:r>
      <w:r>
        <w:rPr>
          <w:sz w:val="16"/>
        </w:rPr>
        <w:t>standard.</w:t>
      </w:r>
    </w:p>
    <w:p w14:paraId="1E805B43"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B44" w14:textId="77777777" w:rsidR="00AA4A02" w:rsidRDefault="00AA4A02">
      <w:pPr>
        <w:pStyle w:val="BodyText"/>
        <w:spacing w:before="3"/>
        <w:rPr>
          <w:sz w:val="20"/>
        </w:rPr>
      </w:pPr>
    </w:p>
    <w:p w14:paraId="1E805B45" w14:textId="77777777" w:rsidR="00AA4A02" w:rsidRDefault="00960F31">
      <w:pPr>
        <w:spacing w:line="20" w:lineRule="exact"/>
        <w:ind w:left="115"/>
        <w:rPr>
          <w:sz w:val="2"/>
        </w:rPr>
      </w:pPr>
      <w:r>
        <w:rPr>
          <w:noProof/>
          <w:sz w:val="2"/>
        </w:rPr>
        <mc:AlternateContent>
          <mc:Choice Requires="wpg">
            <w:drawing>
              <wp:inline distT="0" distB="0" distL="0" distR="0" wp14:anchorId="1E805F5F" wp14:editId="1E805F60">
                <wp:extent cx="5796915" cy="635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350"/>
                          <a:chOff x="0" y="0"/>
                          <a:chExt cx="5796915" cy="6350"/>
                        </a:xfrm>
                      </wpg:grpSpPr>
                      <wps:wsp>
                        <wps:cNvPr id="64" name="Graphic 64"/>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360C0A" id="Group 63" o:spid="_x0000_s1026" style="width:456.45pt;height:.5pt;mso-position-horizontal-relative:char;mso-position-vertical-relative:line" coordsize="579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">
                <v:shape id="Graphic 64" o:spid="_x0000_s1027" style="position:absolute;width:57969;height:63;visibility:visible;mso-wrap-style:square;v-text-anchor:top" coordsize="5796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" path="m5796660,l,,,6096r5796660,l5796660,xe" fillcolor="black" stroked="f">
                  <v:path arrowok="t"/>
                </v:shape>
                <w10:anchorlock/>
              </v:group>
            </w:pict>
          </mc:Fallback>
        </mc:AlternateContent>
      </w:r>
    </w:p>
    <w:p w14:paraId="1E805B46" w14:textId="77777777" w:rsidR="00AA4A02" w:rsidRDefault="00960F31">
      <w:pPr>
        <w:pStyle w:val="Heading3"/>
        <w:spacing w:before="208" w:line="208" w:lineRule="auto"/>
        <w:ind w:left="1931"/>
      </w:pPr>
      <w:bookmarkStart w:id="55" w:name="PART_B_—_PROCESSES_FOR_PRONOUNCEMENTS_an"/>
      <w:bookmarkEnd w:id="55"/>
      <w:r>
        <w:t xml:space="preserve">PART B — PROCESSES FOR PRONOUNCEMENTS AND </w:t>
      </w:r>
      <w:bookmarkStart w:id="56" w:name="other_materials_issued_by_the_auasb"/>
      <w:bookmarkEnd w:id="56"/>
      <w:r>
        <w:t>OTHER</w:t>
      </w:r>
      <w:r>
        <w:rPr>
          <w:spacing w:val="-8"/>
        </w:rPr>
        <w:t xml:space="preserve"> </w:t>
      </w:r>
      <w:r>
        <w:t>MATERIALS</w:t>
      </w:r>
      <w:r>
        <w:rPr>
          <w:spacing w:val="-8"/>
        </w:rPr>
        <w:t xml:space="preserve"> </w:t>
      </w:r>
      <w:r>
        <w:t>ISSUED</w:t>
      </w:r>
      <w:r>
        <w:rPr>
          <w:spacing w:val="-8"/>
        </w:rPr>
        <w:t xml:space="preserve"> </w:t>
      </w:r>
      <w:r>
        <w:t>BY</w:t>
      </w:r>
      <w:r>
        <w:rPr>
          <w:spacing w:val="-7"/>
        </w:rPr>
        <w:t xml:space="preserve"> </w:t>
      </w:r>
      <w:r>
        <w:t>THE</w:t>
      </w:r>
      <w:r>
        <w:rPr>
          <w:spacing w:val="-7"/>
        </w:rPr>
        <w:t xml:space="preserve"> </w:t>
      </w:r>
      <w:r>
        <w:t>AUASB</w:t>
      </w:r>
    </w:p>
    <w:p w14:paraId="1E805B47" w14:textId="77777777" w:rsidR="00AA4A02" w:rsidRDefault="00960F31">
      <w:pPr>
        <w:pStyle w:val="Heading4"/>
        <w:numPr>
          <w:ilvl w:val="0"/>
          <w:numId w:val="30"/>
        </w:numPr>
        <w:tabs>
          <w:tab w:val="left" w:pos="849"/>
        </w:tabs>
        <w:spacing w:before="163"/>
        <w:ind w:left="849" w:hanging="706"/>
      </w:pPr>
      <w:bookmarkStart w:id="57" w:name="_TOC_250011"/>
      <w:r>
        <w:t>Standard-Setting</w:t>
      </w:r>
      <w:r>
        <w:rPr>
          <w:spacing w:val="-11"/>
        </w:rPr>
        <w:t xml:space="preserve"> </w:t>
      </w:r>
      <w:bookmarkEnd w:id="57"/>
      <w:r>
        <w:rPr>
          <w:spacing w:val="-2"/>
        </w:rPr>
        <w:t>Processes</w:t>
      </w:r>
    </w:p>
    <w:p w14:paraId="1E805B48" w14:textId="77777777" w:rsidR="00AA4A02" w:rsidRDefault="00960F31">
      <w:pPr>
        <w:pStyle w:val="ListParagraph"/>
        <w:numPr>
          <w:ilvl w:val="0"/>
          <w:numId w:val="29"/>
        </w:numPr>
        <w:tabs>
          <w:tab w:val="left" w:pos="851"/>
        </w:tabs>
        <w:spacing w:before="193" w:line="208" w:lineRule="auto"/>
        <w:ind w:right="214"/>
      </w:pPr>
      <w:r>
        <w:t>The</w:t>
      </w:r>
      <w:r>
        <w:rPr>
          <w:spacing w:val="-2"/>
        </w:rPr>
        <w:t xml:space="preserve"> </w:t>
      </w:r>
      <w:r>
        <w:t>AUASB</w:t>
      </w:r>
      <w:r>
        <w:rPr>
          <w:spacing w:val="-4"/>
        </w:rPr>
        <w:t xml:space="preserve"> </w:t>
      </w:r>
      <w:r>
        <w:t>standard-setting</w:t>
      </w:r>
      <w:r>
        <w:rPr>
          <w:spacing w:val="-2"/>
        </w:rPr>
        <w:t xml:space="preserve"> </w:t>
      </w:r>
      <w:r>
        <w:t>processes</w:t>
      </w:r>
      <w:r>
        <w:rPr>
          <w:spacing w:val="-2"/>
        </w:rPr>
        <w:t xml:space="preserve"> </w:t>
      </w:r>
      <w:r>
        <w:t>used</w:t>
      </w:r>
      <w:r>
        <w:rPr>
          <w:spacing w:val="-5"/>
        </w:rPr>
        <w:t xml:space="preserve"> </w:t>
      </w:r>
      <w:r>
        <w:t>to</w:t>
      </w:r>
      <w:r>
        <w:rPr>
          <w:spacing w:val="-2"/>
        </w:rPr>
        <w:t xml:space="preserve"> </w:t>
      </w:r>
      <w:r>
        <w:t>achieve</w:t>
      </w:r>
      <w:r>
        <w:rPr>
          <w:spacing w:val="-2"/>
        </w:rPr>
        <w:t xml:space="preserve"> </w:t>
      </w:r>
      <w:r>
        <w:t>the</w:t>
      </w:r>
      <w:r>
        <w:rPr>
          <w:spacing w:val="-4"/>
        </w:rPr>
        <w:t xml:space="preserve"> </w:t>
      </w:r>
      <w:r>
        <w:t>principles</w:t>
      </w:r>
      <w:r>
        <w:rPr>
          <w:spacing w:val="-2"/>
        </w:rPr>
        <w:t xml:space="preserve"> </w:t>
      </w:r>
      <w:r>
        <w:t>identified</w:t>
      </w:r>
      <w:r>
        <w:rPr>
          <w:spacing w:val="-2"/>
        </w:rPr>
        <w:t xml:space="preserve"> </w:t>
      </w:r>
      <w:r>
        <w:t>in</w:t>
      </w:r>
      <w:r>
        <w:rPr>
          <w:spacing w:val="-2"/>
        </w:rPr>
        <w:t xml:space="preserve"> </w:t>
      </w:r>
      <w:r>
        <w:t>Part</w:t>
      </w:r>
      <w:r>
        <w:rPr>
          <w:spacing w:val="-2"/>
        </w:rPr>
        <w:t xml:space="preserve"> </w:t>
      </w:r>
      <w:r>
        <w:t>A,</w:t>
      </w:r>
      <w:r>
        <w:rPr>
          <w:spacing w:val="-2"/>
        </w:rPr>
        <w:t xml:space="preserve"> </w:t>
      </w:r>
      <w:r>
        <w:t>are set out below.</w:t>
      </w:r>
    </w:p>
    <w:p w14:paraId="1E805B49" w14:textId="77777777" w:rsidR="00AA4A02" w:rsidRDefault="00960F31">
      <w:pPr>
        <w:pStyle w:val="ListParagraph"/>
        <w:numPr>
          <w:ilvl w:val="0"/>
          <w:numId w:val="29"/>
        </w:numPr>
        <w:tabs>
          <w:tab w:val="left" w:pos="851"/>
        </w:tabs>
        <w:spacing w:before="203"/>
      </w:pPr>
      <w:r>
        <w:t>In</w:t>
      </w:r>
      <w:r>
        <w:rPr>
          <w:spacing w:val="-5"/>
        </w:rPr>
        <w:t xml:space="preserve"> </w:t>
      </w:r>
      <w:r>
        <w:t>broad</w:t>
      </w:r>
      <w:r>
        <w:rPr>
          <w:spacing w:val="-5"/>
        </w:rPr>
        <w:t xml:space="preserve"> </w:t>
      </w:r>
      <w:r>
        <w:t>terms,</w:t>
      </w:r>
      <w:r>
        <w:rPr>
          <w:spacing w:val="-5"/>
        </w:rPr>
        <w:t xml:space="preserve"> </w:t>
      </w:r>
      <w:r>
        <w:t>the</w:t>
      </w:r>
      <w:r>
        <w:rPr>
          <w:spacing w:val="-2"/>
        </w:rPr>
        <w:t xml:space="preserve"> </w:t>
      </w:r>
      <w:r>
        <w:t>AUASB</w:t>
      </w:r>
      <w:r>
        <w:rPr>
          <w:spacing w:val="-4"/>
        </w:rPr>
        <w:t xml:space="preserve"> </w:t>
      </w:r>
      <w:r>
        <w:t>issues</w:t>
      </w:r>
      <w:r>
        <w:rPr>
          <w:spacing w:val="-4"/>
        </w:rPr>
        <w:t xml:space="preserve"> </w:t>
      </w:r>
      <w:r>
        <w:t>two</w:t>
      </w:r>
      <w:r>
        <w:rPr>
          <w:spacing w:val="-3"/>
        </w:rPr>
        <w:t xml:space="preserve"> </w:t>
      </w:r>
      <w:r>
        <w:t>types</w:t>
      </w:r>
      <w:r>
        <w:rPr>
          <w:spacing w:val="-3"/>
        </w:rPr>
        <w:t xml:space="preserve"> </w:t>
      </w:r>
      <w:r>
        <w:t xml:space="preserve">of </w:t>
      </w:r>
      <w:r>
        <w:rPr>
          <w:spacing w:val="-2"/>
        </w:rPr>
        <w:t>standards:</w:t>
      </w:r>
    </w:p>
    <w:p w14:paraId="1E805B4A" w14:textId="77777777" w:rsidR="00AA4A02" w:rsidRDefault="00960F31">
      <w:pPr>
        <w:pStyle w:val="ListParagraph"/>
        <w:numPr>
          <w:ilvl w:val="1"/>
          <w:numId w:val="29"/>
        </w:numPr>
        <w:tabs>
          <w:tab w:val="left" w:pos="1562"/>
        </w:tabs>
        <w:spacing w:before="198" w:line="208" w:lineRule="auto"/>
        <w:ind w:right="569"/>
      </w:pPr>
      <w:r>
        <w:t>standards</w:t>
      </w:r>
      <w:r>
        <w:rPr>
          <w:spacing w:val="-2"/>
        </w:rPr>
        <w:t xml:space="preserve"> </w:t>
      </w:r>
      <w:r>
        <w:t>based</w:t>
      </w:r>
      <w:r>
        <w:rPr>
          <w:spacing w:val="-3"/>
        </w:rPr>
        <w:t xml:space="preserve"> </w:t>
      </w:r>
      <w:r>
        <w:t>on</w:t>
      </w:r>
      <w:r>
        <w:rPr>
          <w:spacing w:val="-3"/>
        </w:rPr>
        <w:t xml:space="preserve"> </w:t>
      </w:r>
      <w:r>
        <w:t>equivalent</w:t>
      </w:r>
      <w:r>
        <w:rPr>
          <w:spacing w:val="-4"/>
        </w:rPr>
        <w:t xml:space="preserve"> </w:t>
      </w:r>
      <w:r>
        <w:t>international</w:t>
      </w:r>
      <w:r>
        <w:rPr>
          <w:spacing w:val="-1"/>
        </w:rPr>
        <w:t xml:space="preserve"> </w:t>
      </w:r>
      <w:r>
        <w:t>standards</w:t>
      </w:r>
      <w:r>
        <w:rPr>
          <w:spacing w:val="-5"/>
        </w:rPr>
        <w:t xml:space="preserve"> </w:t>
      </w:r>
      <w:r>
        <w:t>developed</w:t>
      </w:r>
      <w:r>
        <w:rPr>
          <w:spacing w:val="-5"/>
        </w:rPr>
        <w:t xml:space="preserve"> </w:t>
      </w:r>
      <w:r>
        <w:t>and</w:t>
      </w:r>
      <w:r>
        <w:rPr>
          <w:spacing w:val="-5"/>
        </w:rPr>
        <w:t xml:space="preserve"> </w:t>
      </w:r>
      <w:r>
        <w:t>issued</w:t>
      </w:r>
      <w:r>
        <w:rPr>
          <w:spacing w:val="-3"/>
        </w:rPr>
        <w:t xml:space="preserve"> </w:t>
      </w:r>
      <w:r>
        <w:t>by</w:t>
      </w:r>
      <w:r>
        <w:rPr>
          <w:spacing w:val="-6"/>
        </w:rPr>
        <w:t xml:space="preserve"> </w:t>
      </w:r>
      <w:r>
        <w:t>the IAASB;</w:t>
      </w:r>
      <w:r>
        <w:rPr>
          <w:vertAlign w:val="superscript"/>
        </w:rPr>
        <w:t>43</w:t>
      </w:r>
      <w:r>
        <w:t xml:space="preserve"> or</w:t>
      </w:r>
    </w:p>
    <w:p w14:paraId="1E805B4B" w14:textId="77777777" w:rsidR="00AA4A02" w:rsidRDefault="00960F31">
      <w:pPr>
        <w:pStyle w:val="ListParagraph"/>
        <w:numPr>
          <w:ilvl w:val="1"/>
          <w:numId w:val="29"/>
        </w:numPr>
        <w:tabs>
          <w:tab w:val="left" w:pos="1562"/>
        </w:tabs>
        <w:spacing w:before="199" w:line="208" w:lineRule="auto"/>
        <w:ind w:right="502"/>
      </w:pPr>
      <w:r>
        <w:t>domestic</w:t>
      </w:r>
      <w:r>
        <w:rPr>
          <w:spacing w:val="-3"/>
        </w:rPr>
        <w:t xml:space="preserve"> </w:t>
      </w:r>
      <w:r>
        <w:t>standards</w:t>
      </w:r>
      <w:r>
        <w:rPr>
          <w:spacing w:val="-5"/>
        </w:rPr>
        <w:t xml:space="preserve"> </w:t>
      </w:r>
      <w:r>
        <w:t>may</w:t>
      </w:r>
      <w:r>
        <w:rPr>
          <w:spacing w:val="-3"/>
        </w:rPr>
        <w:t xml:space="preserve"> </w:t>
      </w:r>
      <w:r>
        <w:t>be</w:t>
      </w:r>
      <w:r>
        <w:rPr>
          <w:spacing w:val="-5"/>
        </w:rPr>
        <w:t xml:space="preserve"> </w:t>
      </w:r>
      <w:r>
        <w:t>developed</w:t>
      </w:r>
      <w:r>
        <w:rPr>
          <w:spacing w:val="-2"/>
        </w:rPr>
        <w:t xml:space="preserve"> </w:t>
      </w:r>
      <w:r>
        <w:t>where</w:t>
      </w:r>
      <w:r>
        <w:rPr>
          <w:spacing w:val="-5"/>
        </w:rPr>
        <w:t xml:space="preserve"> </w:t>
      </w:r>
      <w:r>
        <w:t>international</w:t>
      </w:r>
      <w:r>
        <w:rPr>
          <w:spacing w:val="-1"/>
        </w:rPr>
        <w:t xml:space="preserve"> </w:t>
      </w:r>
      <w:r>
        <w:t>standards</w:t>
      </w:r>
      <w:r>
        <w:rPr>
          <w:spacing w:val="-2"/>
        </w:rPr>
        <w:t xml:space="preserve"> </w:t>
      </w:r>
      <w:r>
        <w:t>do</w:t>
      </w:r>
      <w:r>
        <w:rPr>
          <w:spacing w:val="-3"/>
        </w:rPr>
        <w:t xml:space="preserve"> </w:t>
      </w:r>
      <w:r>
        <w:t>not</w:t>
      </w:r>
      <w:r>
        <w:rPr>
          <w:spacing w:val="-5"/>
        </w:rPr>
        <w:t xml:space="preserve"> </w:t>
      </w:r>
      <w:r>
        <w:t>cover</w:t>
      </w:r>
      <w:r>
        <w:rPr>
          <w:spacing w:val="-5"/>
        </w:rPr>
        <w:t xml:space="preserve"> </w:t>
      </w:r>
      <w:r>
        <w:t>a topic of importance.</w:t>
      </w:r>
    </w:p>
    <w:p w14:paraId="1E805B4C" w14:textId="77777777" w:rsidR="00AA4A02" w:rsidRDefault="00960F31">
      <w:pPr>
        <w:pStyle w:val="ListParagraph"/>
        <w:numPr>
          <w:ilvl w:val="0"/>
          <w:numId w:val="29"/>
        </w:numPr>
        <w:tabs>
          <w:tab w:val="left" w:pos="851"/>
        </w:tabs>
        <w:spacing w:before="200" w:line="208" w:lineRule="auto"/>
        <w:ind w:right="432"/>
      </w:pPr>
      <w:r>
        <w:t>The AUASB therefore uses two different processes to develop and revise standards. For standards</w:t>
      </w:r>
      <w:r>
        <w:rPr>
          <w:spacing w:val="-2"/>
        </w:rPr>
        <w:t xml:space="preserve"> </w:t>
      </w:r>
      <w:r>
        <w:t>based</w:t>
      </w:r>
      <w:r>
        <w:rPr>
          <w:spacing w:val="-2"/>
        </w:rPr>
        <w:t xml:space="preserve"> </w:t>
      </w:r>
      <w:r>
        <w:t>on</w:t>
      </w:r>
      <w:r>
        <w:rPr>
          <w:spacing w:val="-2"/>
        </w:rPr>
        <w:t xml:space="preserve"> </w:t>
      </w:r>
      <w:r>
        <w:t>an</w:t>
      </w:r>
      <w:r>
        <w:rPr>
          <w:spacing w:val="-1"/>
        </w:rPr>
        <w:t xml:space="preserve"> </w:t>
      </w:r>
      <w:r>
        <w:t>equivalent</w:t>
      </w:r>
      <w:r>
        <w:rPr>
          <w:spacing w:val="-3"/>
        </w:rPr>
        <w:t xml:space="preserve"> </w:t>
      </w:r>
      <w:r>
        <w:t>international</w:t>
      </w:r>
      <w:r>
        <w:rPr>
          <w:spacing w:val="-1"/>
        </w:rPr>
        <w:t xml:space="preserve"> </w:t>
      </w:r>
      <w:r>
        <w:t>standard,</w:t>
      </w:r>
      <w:r>
        <w:rPr>
          <w:spacing w:val="-2"/>
        </w:rPr>
        <w:t xml:space="preserve"> </w:t>
      </w:r>
      <w:r>
        <w:t>see</w:t>
      </w:r>
      <w:r>
        <w:rPr>
          <w:spacing w:val="-2"/>
        </w:rPr>
        <w:t xml:space="preserve"> </w:t>
      </w:r>
      <w:r>
        <w:t>Process</w:t>
      </w:r>
      <w:r>
        <w:rPr>
          <w:spacing w:val="-4"/>
        </w:rPr>
        <w:t xml:space="preserve"> </w:t>
      </w:r>
      <w:r>
        <w:t>1</w:t>
      </w:r>
      <w:r>
        <w:rPr>
          <w:spacing w:val="-2"/>
        </w:rPr>
        <w:t xml:space="preserve"> </w:t>
      </w:r>
      <w:r>
        <w:t>below;</w:t>
      </w:r>
      <w:r>
        <w:rPr>
          <w:spacing w:val="-4"/>
        </w:rPr>
        <w:t xml:space="preserve"> </w:t>
      </w:r>
      <w:r>
        <w:t>for</w:t>
      </w:r>
      <w:r>
        <w:rPr>
          <w:spacing w:val="-4"/>
        </w:rPr>
        <w:t xml:space="preserve"> </w:t>
      </w:r>
      <w:r>
        <w:t>a</w:t>
      </w:r>
      <w:r>
        <w:rPr>
          <w:spacing w:val="-2"/>
        </w:rPr>
        <w:t xml:space="preserve"> </w:t>
      </w:r>
      <w:r>
        <w:t>standard developed domestically, see Process 2 below.</w:t>
      </w:r>
    </w:p>
    <w:p w14:paraId="1E805B4D" w14:textId="77777777" w:rsidR="00AA4A02" w:rsidRDefault="00960F31">
      <w:pPr>
        <w:pStyle w:val="ListParagraph"/>
        <w:numPr>
          <w:ilvl w:val="0"/>
          <w:numId w:val="29"/>
        </w:numPr>
        <w:tabs>
          <w:tab w:val="left" w:pos="851"/>
        </w:tabs>
        <w:spacing w:before="200" w:line="208" w:lineRule="auto"/>
        <w:ind w:right="173"/>
      </w:pPr>
      <w:r>
        <w:t>Processes</w:t>
      </w:r>
      <w:r>
        <w:rPr>
          <w:spacing w:val="-2"/>
        </w:rPr>
        <w:t xml:space="preserve"> </w:t>
      </w:r>
      <w:r>
        <w:t>1</w:t>
      </w:r>
      <w:r>
        <w:rPr>
          <w:spacing w:val="-2"/>
        </w:rPr>
        <w:t xml:space="preserve"> </w:t>
      </w:r>
      <w:r>
        <w:t>and</w:t>
      </w:r>
      <w:r>
        <w:rPr>
          <w:spacing w:val="-2"/>
        </w:rPr>
        <w:t xml:space="preserve"> </w:t>
      </w:r>
      <w:r>
        <w:t>2,</w:t>
      </w:r>
      <w:r>
        <w:rPr>
          <w:spacing w:val="-2"/>
        </w:rPr>
        <w:t xml:space="preserve"> </w:t>
      </w:r>
      <w:r>
        <w:t>as</w:t>
      </w:r>
      <w:r>
        <w:rPr>
          <w:spacing w:val="-2"/>
        </w:rPr>
        <w:t xml:space="preserve"> </w:t>
      </w:r>
      <w:r>
        <w:t>described</w:t>
      </w:r>
      <w:r>
        <w:rPr>
          <w:spacing w:val="-2"/>
        </w:rPr>
        <w:t xml:space="preserve"> </w:t>
      </w:r>
      <w:r>
        <w:t>below,</w:t>
      </w:r>
      <w:r>
        <w:rPr>
          <w:spacing w:val="-1"/>
        </w:rPr>
        <w:t xml:space="preserve"> </w:t>
      </w:r>
      <w:r>
        <w:t>have</w:t>
      </w:r>
      <w:r>
        <w:rPr>
          <w:spacing w:val="-2"/>
        </w:rPr>
        <w:t xml:space="preserve"> </w:t>
      </w:r>
      <w:r>
        <w:t>been</w:t>
      </w:r>
      <w:r>
        <w:rPr>
          <w:spacing w:val="-2"/>
        </w:rPr>
        <w:t xml:space="preserve"> </w:t>
      </w:r>
      <w:r>
        <w:t>designed</w:t>
      </w:r>
      <w:r>
        <w:rPr>
          <w:spacing w:val="-2"/>
        </w:rPr>
        <w:t xml:space="preserve"> </w:t>
      </w:r>
      <w:r>
        <w:t>and</w:t>
      </w:r>
      <w:r>
        <w:rPr>
          <w:spacing w:val="-5"/>
        </w:rPr>
        <w:t xml:space="preserve"> </w:t>
      </w:r>
      <w:r>
        <w:t>are</w:t>
      </w:r>
      <w:r>
        <w:rPr>
          <w:spacing w:val="-2"/>
        </w:rPr>
        <w:t xml:space="preserve"> </w:t>
      </w:r>
      <w:r>
        <w:t>intended</w:t>
      </w:r>
      <w:r>
        <w:rPr>
          <w:spacing w:val="-4"/>
        </w:rPr>
        <w:t xml:space="preserve"> </w:t>
      </w:r>
      <w:r>
        <w:t>to</w:t>
      </w:r>
      <w:r>
        <w:rPr>
          <w:spacing w:val="-2"/>
        </w:rPr>
        <w:t xml:space="preserve"> </w:t>
      </w:r>
      <w:r>
        <w:t>apply</w:t>
      </w:r>
      <w:r>
        <w:rPr>
          <w:spacing w:val="-2"/>
        </w:rPr>
        <w:t xml:space="preserve"> </w:t>
      </w:r>
      <w:r>
        <w:t>primarily to the development of new standards and subsequent comprehensive revisions to such standards.</w:t>
      </w:r>
      <w:r>
        <w:rPr>
          <w:spacing w:val="40"/>
        </w:rPr>
        <w:t xml:space="preserve"> </w:t>
      </w:r>
      <w:r>
        <w:t>For narrow-scope amendments to standards, the AUASB has adopted a simplified due process, which is outlined in paragraphs 176-197 below.</w:t>
      </w:r>
    </w:p>
    <w:p w14:paraId="1E805B4E" w14:textId="77777777" w:rsidR="00AA4A02" w:rsidRDefault="00960F31">
      <w:pPr>
        <w:pStyle w:val="ListParagraph"/>
        <w:numPr>
          <w:ilvl w:val="0"/>
          <w:numId w:val="29"/>
        </w:numPr>
        <w:tabs>
          <w:tab w:val="left" w:pos="851"/>
        </w:tabs>
        <w:spacing w:before="199" w:line="208" w:lineRule="auto"/>
        <w:ind w:right="344"/>
      </w:pPr>
      <w:r>
        <w:t>Processes</w:t>
      </w:r>
      <w:r>
        <w:rPr>
          <w:spacing w:val="-2"/>
        </w:rPr>
        <w:t xml:space="preserve"> </w:t>
      </w:r>
      <w:r>
        <w:t>that</w:t>
      </w:r>
      <w:r>
        <w:rPr>
          <w:spacing w:val="-3"/>
        </w:rPr>
        <w:t xml:space="preserve"> </w:t>
      </w:r>
      <w:r>
        <w:t>may</w:t>
      </w:r>
      <w:r>
        <w:rPr>
          <w:spacing w:val="-4"/>
        </w:rPr>
        <w:t xml:space="preserve"> </w:t>
      </w:r>
      <w:r>
        <w:t>apply</w:t>
      </w:r>
      <w:r>
        <w:rPr>
          <w:spacing w:val="-2"/>
        </w:rPr>
        <w:t xml:space="preserve"> </w:t>
      </w:r>
      <w:r>
        <w:t>to</w:t>
      </w:r>
      <w:r>
        <w:rPr>
          <w:spacing w:val="-5"/>
        </w:rPr>
        <w:t xml:space="preserve"> </w:t>
      </w:r>
      <w:r>
        <w:t>the</w:t>
      </w:r>
      <w:r>
        <w:rPr>
          <w:spacing w:val="-2"/>
        </w:rPr>
        <w:t xml:space="preserve"> </w:t>
      </w:r>
      <w:r>
        <w:t>development</w:t>
      </w:r>
      <w:r>
        <w:rPr>
          <w:spacing w:val="-1"/>
        </w:rPr>
        <w:t xml:space="preserve"> </w:t>
      </w:r>
      <w:r>
        <w:t>of</w:t>
      </w:r>
      <w:r>
        <w:rPr>
          <w:spacing w:val="-4"/>
        </w:rPr>
        <w:t xml:space="preserve"> </w:t>
      </w:r>
      <w:r>
        <w:t>all</w:t>
      </w:r>
      <w:r>
        <w:rPr>
          <w:spacing w:val="-1"/>
        </w:rPr>
        <w:t xml:space="preserve"> </w:t>
      </w:r>
      <w:r>
        <w:t>new</w:t>
      </w:r>
      <w:r>
        <w:rPr>
          <w:spacing w:val="-5"/>
        </w:rPr>
        <w:t xml:space="preserve"> </w:t>
      </w:r>
      <w:r>
        <w:t>AUASB</w:t>
      </w:r>
      <w:r>
        <w:rPr>
          <w:spacing w:val="-4"/>
        </w:rPr>
        <w:t xml:space="preserve"> </w:t>
      </w:r>
      <w:r>
        <w:t>Standards and</w:t>
      </w:r>
      <w:r>
        <w:rPr>
          <w:spacing w:val="-2"/>
        </w:rPr>
        <w:t xml:space="preserve"> </w:t>
      </w:r>
      <w:r>
        <w:t>amendments to AUASB Standards, are outlined in paragraphs 212-254.</w:t>
      </w:r>
    </w:p>
    <w:p w14:paraId="1E805B4F" w14:textId="77777777" w:rsidR="00AA4A02" w:rsidRDefault="00960F31">
      <w:pPr>
        <w:pStyle w:val="ListParagraph"/>
        <w:numPr>
          <w:ilvl w:val="0"/>
          <w:numId w:val="29"/>
        </w:numPr>
        <w:tabs>
          <w:tab w:val="left" w:pos="851"/>
        </w:tabs>
        <w:spacing w:line="208" w:lineRule="auto"/>
        <w:ind w:right="328"/>
      </w:pPr>
      <w:r>
        <w:t>In line with the AUASB’s policy to work collaboratively with the NZAuASB, all AUASB Standards</w:t>
      </w:r>
      <w:r>
        <w:rPr>
          <w:spacing w:val="-5"/>
        </w:rPr>
        <w:t xml:space="preserve"> </w:t>
      </w:r>
      <w:r>
        <w:t>are</w:t>
      </w:r>
      <w:r>
        <w:rPr>
          <w:spacing w:val="-3"/>
        </w:rPr>
        <w:t xml:space="preserve"> </w:t>
      </w:r>
      <w:r>
        <w:t>developed</w:t>
      </w:r>
      <w:r>
        <w:rPr>
          <w:spacing w:val="-3"/>
        </w:rPr>
        <w:t xml:space="preserve"> </w:t>
      </w:r>
      <w:r>
        <w:t>and</w:t>
      </w:r>
      <w:r>
        <w:rPr>
          <w:spacing w:val="-1"/>
        </w:rPr>
        <w:t xml:space="preserve"> </w:t>
      </w:r>
      <w:r>
        <w:t>revised</w:t>
      </w:r>
      <w:r>
        <w:rPr>
          <w:spacing w:val="-3"/>
        </w:rPr>
        <w:t xml:space="preserve"> </w:t>
      </w:r>
      <w:r>
        <w:t>in</w:t>
      </w:r>
      <w:r>
        <w:rPr>
          <w:spacing w:val="-6"/>
        </w:rPr>
        <w:t xml:space="preserve"> </w:t>
      </w:r>
      <w:r>
        <w:t>accordance</w:t>
      </w:r>
      <w:r>
        <w:rPr>
          <w:spacing w:val="-3"/>
        </w:rPr>
        <w:t xml:space="preserve"> </w:t>
      </w:r>
      <w:r>
        <w:t>with</w:t>
      </w:r>
      <w:r>
        <w:rPr>
          <w:spacing w:val="-3"/>
        </w:rPr>
        <w:t xml:space="preserve"> </w:t>
      </w:r>
      <w:r>
        <w:t>the</w:t>
      </w:r>
      <w:r>
        <w:rPr>
          <w:spacing w:val="-3"/>
        </w:rPr>
        <w:t xml:space="preserve"> </w:t>
      </w:r>
      <w:r>
        <w:t>principles</w:t>
      </w:r>
      <w:r>
        <w:rPr>
          <w:spacing w:val="-3"/>
        </w:rPr>
        <w:t xml:space="preserve"> </w:t>
      </w:r>
      <w:r>
        <w:t>of</w:t>
      </w:r>
      <w:r>
        <w:rPr>
          <w:spacing w:val="-3"/>
        </w:rPr>
        <w:t xml:space="preserve"> </w:t>
      </w:r>
      <w:r>
        <w:t>harmonisation</w:t>
      </w:r>
      <w:r>
        <w:rPr>
          <w:spacing w:val="-3"/>
        </w:rPr>
        <w:t xml:space="preserve"> </w:t>
      </w:r>
      <w:r>
        <w:t>with New Zealand standards.</w:t>
      </w:r>
      <w:r>
        <w:rPr>
          <w:vertAlign w:val="superscript"/>
        </w:rPr>
        <w:t>44</w:t>
      </w:r>
    </w:p>
    <w:p w14:paraId="1E805B50" w14:textId="77777777" w:rsidR="00AA4A02" w:rsidRDefault="00AA4A02">
      <w:pPr>
        <w:pStyle w:val="BodyText"/>
        <w:rPr>
          <w:sz w:val="20"/>
        </w:rPr>
      </w:pPr>
    </w:p>
    <w:p w14:paraId="1E805B51" w14:textId="77777777" w:rsidR="00AA4A02" w:rsidRDefault="00AA4A02">
      <w:pPr>
        <w:pStyle w:val="BodyText"/>
        <w:rPr>
          <w:sz w:val="20"/>
        </w:rPr>
      </w:pPr>
    </w:p>
    <w:p w14:paraId="1E805B52" w14:textId="77777777" w:rsidR="00AA4A02" w:rsidRDefault="00AA4A02">
      <w:pPr>
        <w:pStyle w:val="BodyText"/>
        <w:rPr>
          <w:sz w:val="20"/>
        </w:rPr>
      </w:pPr>
    </w:p>
    <w:p w14:paraId="1E805B53" w14:textId="77777777" w:rsidR="00AA4A02" w:rsidRDefault="00AA4A02">
      <w:pPr>
        <w:pStyle w:val="BodyText"/>
        <w:rPr>
          <w:sz w:val="20"/>
        </w:rPr>
      </w:pPr>
    </w:p>
    <w:p w14:paraId="1E805B54" w14:textId="77777777" w:rsidR="00AA4A02" w:rsidRDefault="00AA4A02">
      <w:pPr>
        <w:pStyle w:val="BodyText"/>
        <w:rPr>
          <w:sz w:val="20"/>
        </w:rPr>
      </w:pPr>
    </w:p>
    <w:p w14:paraId="1E805B55" w14:textId="77777777" w:rsidR="00AA4A02" w:rsidRDefault="00AA4A02">
      <w:pPr>
        <w:pStyle w:val="BodyText"/>
        <w:rPr>
          <w:sz w:val="20"/>
        </w:rPr>
      </w:pPr>
    </w:p>
    <w:p w14:paraId="1E805B56" w14:textId="77777777" w:rsidR="00AA4A02" w:rsidRDefault="00AA4A02">
      <w:pPr>
        <w:pStyle w:val="BodyText"/>
        <w:rPr>
          <w:sz w:val="20"/>
        </w:rPr>
      </w:pPr>
    </w:p>
    <w:p w14:paraId="1E805B57" w14:textId="77777777" w:rsidR="00AA4A02" w:rsidRDefault="00AA4A02">
      <w:pPr>
        <w:pStyle w:val="BodyText"/>
        <w:rPr>
          <w:sz w:val="20"/>
        </w:rPr>
      </w:pPr>
    </w:p>
    <w:p w14:paraId="1E805B58" w14:textId="77777777" w:rsidR="00AA4A02" w:rsidRDefault="00AA4A02">
      <w:pPr>
        <w:pStyle w:val="BodyText"/>
        <w:rPr>
          <w:sz w:val="20"/>
        </w:rPr>
      </w:pPr>
    </w:p>
    <w:p w14:paraId="1E805B59" w14:textId="77777777" w:rsidR="00AA4A02" w:rsidRDefault="00AA4A02">
      <w:pPr>
        <w:pStyle w:val="BodyText"/>
        <w:rPr>
          <w:sz w:val="20"/>
        </w:rPr>
      </w:pPr>
    </w:p>
    <w:p w14:paraId="1E805B5A" w14:textId="77777777" w:rsidR="00AA4A02" w:rsidRDefault="00AA4A02">
      <w:pPr>
        <w:pStyle w:val="BodyText"/>
        <w:rPr>
          <w:sz w:val="20"/>
        </w:rPr>
      </w:pPr>
    </w:p>
    <w:p w14:paraId="1E805B5B" w14:textId="77777777" w:rsidR="00AA4A02" w:rsidRDefault="00AA4A02">
      <w:pPr>
        <w:pStyle w:val="BodyText"/>
        <w:rPr>
          <w:sz w:val="20"/>
        </w:rPr>
      </w:pPr>
    </w:p>
    <w:p w14:paraId="1E805B5C" w14:textId="77777777" w:rsidR="00AA4A02" w:rsidRDefault="00AA4A02">
      <w:pPr>
        <w:pStyle w:val="BodyText"/>
        <w:rPr>
          <w:sz w:val="20"/>
        </w:rPr>
      </w:pPr>
    </w:p>
    <w:p w14:paraId="1E805B5D" w14:textId="77777777" w:rsidR="00AA4A02" w:rsidRDefault="00AA4A02">
      <w:pPr>
        <w:pStyle w:val="BodyText"/>
        <w:rPr>
          <w:sz w:val="20"/>
        </w:rPr>
      </w:pPr>
    </w:p>
    <w:p w14:paraId="1E805B5E" w14:textId="77777777" w:rsidR="00AA4A02" w:rsidRDefault="00AA4A02">
      <w:pPr>
        <w:pStyle w:val="BodyText"/>
        <w:rPr>
          <w:sz w:val="20"/>
        </w:rPr>
      </w:pPr>
    </w:p>
    <w:p w14:paraId="1E805B5F" w14:textId="77777777" w:rsidR="00AA4A02" w:rsidRDefault="00AA4A02">
      <w:pPr>
        <w:pStyle w:val="BodyText"/>
        <w:rPr>
          <w:sz w:val="20"/>
        </w:rPr>
      </w:pPr>
    </w:p>
    <w:p w14:paraId="1E805B60" w14:textId="77777777" w:rsidR="00AA4A02" w:rsidRDefault="00AA4A02">
      <w:pPr>
        <w:pStyle w:val="BodyText"/>
        <w:rPr>
          <w:sz w:val="20"/>
        </w:rPr>
      </w:pPr>
    </w:p>
    <w:p w14:paraId="1E805B61" w14:textId="77777777" w:rsidR="00AA4A02" w:rsidRDefault="00AA4A02">
      <w:pPr>
        <w:pStyle w:val="BodyText"/>
        <w:rPr>
          <w:sz w:val="20"/>
        </w:rPr>
      </w:pPr>
    </w:p>
    <w:p w14:paraId="1E805B62" w14:textId="77777777" w:rsidR="00AA4A02" w:rsidRDefault="00AA4A02">
      <w:pPr>
        <w:pStyle w:val="BodyText"/>
        <w:rPr>
          <w:sz w:val="20"/>
        </w:rPr>
      </w:pPr>
    </w:p>
    <w:p w14:paraId="1E805B63" w14:textId="77777777" w:rsidR="00AA4A02" w:rsidRDefault="00AA4A02">
      <w:pPr>
        <w:pStyle w:val="BodyText"/>
        <w:rPr>
          <w:sz w:val="20"/>
        </w:rPr>
      </w:pPr>
    </w:p>
    <w:p w14:paraId="1E805B64" w14:textId="77777777" w:rsidR="00AA4A02" w:rsidRDefault="00AA4A02">
      <w:pPr>
        <w:pStyle w:val="BodyText"/>
        <w:rPr>
          <w:sz w:val="20"/>
        </w:rPr>
      </w:pPr>
    </w:p>
    <w:p w14:paraId="1E805B65" w14:textId="77777777" w:rsidR="00AA4A02" w:rsidRDefault="00AA4A02">
      <w:pPr>
        <w:pStyle w:val="BodyText"/>
        <w:rPr>
          <w:sz w:val="20"/>
        </w:rPr>
      </w:pPr>
    </w:p>
    <w:p w14:paraId="1E805B66" w14:textId="77777777" w:rsidR="00AA4A02" w:rsidRDefault="00AA4A02">
      <w:pPr>
        <w:pStyle w:val="BodyText"/>
        <w:rPr>
          <w:sz w:val="20"/>
        </w:rPr>
      </w:pPr>
    </w:p>
    <w:p w14:paraId="1E805B67" w14:textId="77777777" w:rsidR="00AA4A02" w:rsidRDefault="00AA4A02">
      <w:pPr>
        <w:pStyle w:val="BodyText"/>
        <w:rPr>
          <w:sz w:val="20"/>
        </w:rPr>
      </w:pPr>
    </w:p>
    <w:p w14:paraId="1E805B68" w14:textId="77777777" w:rsidR="00AA4A02" w:rsidRDefault="00960F31">
      <w:pPr>
        <w:pStyle w:val="BodyText"/>
        <w:spacing w:before="185"/>
        <w:rPr>
          <w:sz w:val="20"/>
        </w:rPr>
      </w:pPr>
      <w:r>
        <w:rPr>
          <w:noProof/>
          <w:sz w:val="20"/>
        </w:rPr>
        <mc:AlternateContent>
          <mc:Choice Requires="wps">
            <w:drawing>
              <wp:anchor distT="0" distB="0" distL="0" distR="0" simplePos="0" relativeHeight="487607808" behindDoc="1" locked="0" layoutInCell="1" allowOverlap="1" wp14:anchorId="1E805F61" wp14:editId="1E805F62">
                <wp:simplePos x="0" y="0"/>
                <wp:positionH relativeFrom="page">
                  <wp:posOffset>900988</wp:posOffset>
                </wp:positionH>
                <wp:positionV relativeFrom="paragraph">
                  <wp:posOffset>279015</wp:posOffset>
                </wp:positionV>
                <wp:extent cx="18294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E6A10" id="Graphic 65" o:spid="_x0000_s1026" style="position:absolute;margin-left:70.95pt;margin-top:21.95pt;width:144.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" path="m1829053,l,,,7619r1829053,l1829053,xe" fillcolor="black" stroked="f">
                <v:path arrowok="t"/>
                <w10:wrap type="topAndBottom" anchorx="page"/>
              </v:shape>
            </w:pict>
          </mc:Fallback>
        </mc:AlternateContent>
      </w:r>
    </w:p>
    <w:p w14:paraId="1E805B69" w14:textId="77777777" w:rsidR="00AA4A02" w:rsidRDefault="00960F31">
      <w:pPr>
        <w:spacing w:before="74" w:line="172" w:lineRule="exact"/>
        <w:ind w:left="143"/>
        <w:rPr>
          <w:sz w:val="16"/>
        </w:rPr>
      </w:pPr>
      <w:r>
        <w:rPr>
          <w:sz w:val="16"/>
          <w:vertAlign w:val="superscript"/>
        </w:rPr>
        <w:t>43</w:t>
      </w:r>
      <w:r>
        <w:rPr>
          <w:spacing w:val="48"/>
          <w:sz w:val="16"/>
        </w:rPr>
        <w:t xml:space="preserve">  </w:t>
      </w:r>
      <w:r>
        <w:rPr>
          <w:sz w:val="16"/>
        </w:rPr>
        <w:t>See</w:t>
      </w:r>
      <w:r>
        <w:rPr>
          <w:spacing w:val="1"/>
          <w:sz w:val="16"/>
        </w:rPr>
        <w:t xml:space="preserve"> </w:t>
      </w:r>
      <w:r>
        <w:rPr>
          <w:sz w:val="16"/>
        </w:rPr>
        <w:t>Section V</w:t>
      </w:r>
      <w:r>
        <w:rPr>
          <w:spacing w:val="-4"/>
          <w:sz w:val="16"/>
        </w:rPr>
        <w:t xml:space="preserve"> </w:t>
      </w:r>
      <w:r>
        <w:rPr>
          <w:sz w:val="16"/>
        </w:rPr>
        <w:t>of</w:t>
      </w:r>
      <w:r>
        <w:rPr>
          <w:spacing w:val="-4"/>
          <w:sz w:val="16"/>
        </w:rPr>
        <w:t xml:space="preserve"> </w:t>
      </w:r>
      <w:r>
        <w:rPr>
          <w:sz w:val="16"/>
        </w:rPr>
        <w:t>this</w:t>
      </w:r>
      <w:r>
        <w:rPr>
          <w:spacing w:val="-2"/>
          <w:sz w:val="16"/>
        </w:rPr>
        <w:t xml:space="preserve"> document.</w:t>
      </w:r>
    </w:p>
    <w:p w14:paraId="1E805B6A" w14:textId="77777777" w:rsidR="00AA4A02" w:rsidRDefault="00960F31">
      <w:pPr>
        <w:spacing w:line="172" w:lineRule="exact"/>
        <w:ind w:left="143"/>
        <w:rPr>
          <w:sz w:val="16"/>
        </w:rPr>
      </w:pPr>
      <w:r>
        <w:rPr>
          <w:sz w:val="16"/>
          <w:vertAlign w:val="superscript"/>
        </w:rPr>
        <w:t>44</w:t>
      </w:r>
      <w:r>
        <w:rPr>
          <w:spacing w:val="48"/>
          <w:sz w:val="16"/>
        </w:rPr>
        <w:t xml:space="preserve">  </w:t>
      </w:r>
      <w:r>
        <w:rPr>
          <w:sz w:val="16"/>
        </w:rPr>
        <w:t>See</w:t>
      </w:r>
      <w:r>
        <w:rPr>
          <w:spacing w:val="1"/>
          <w:sz w:val="16"/>
        </w:rPr>
        <w:t xml:space="preserve"> </w:t>
      </w:r>
      <w:r>
        <w:rPr>
          <w:sz w:val="16"/>
        </w:rPr>
        <w:t>Section</w:t>
      </w:r>
      <w:r>
        <w:rPr>
          <w:spacing w:val="1"/>
          <w:sz w:val="16"/>
        </w:rPr>
        <w:t xml:space="preserve"> </w:t>
      </w:r>
      <w:r>
        <w:rPr>
          <w:sz w:val="16"/>
        </w:rPr>
        <w:t>V</w:t>
      </w:r>
      <w:r>
        <w:rPr>
          <w:spacing w:val="-4"/>
          <w:sz w:val="16"/>
        </w:rPr>
        <w:t xml:space="preserve"> </w:t>
      </w:r>
      <w:r>
        <w:rPr>
          <w:sz w:val="16"/>
        </w:rPr>
        <w:t>of</w:t>
      </w:r>
      <w:r>
        <w:rPr>
          <w:spacing w:val="-4"/>
          <w:sz w:val="16"/>
        </w:rPr>
        <w:t xml:space="preserve"> </w:t>
      </w:r>
      <w:r>
        <w:rPr>
          <w:sz w:val="16"/>
        </w:rPr>
        <w:t>this</w:t>
      </w:r>
      <w:r>
        <w:rPr>
          <w:spacing w:val="-2"/>
          <w:sz w:val="16"/>
        </w:rPr>
        <w:t xml:space="preserve"> document.</w:t>
      </w:r>
    </w:p>
    <w:p w14:paraId="1E805B6B" w14:textId="77777777" w:rsidR="00AA4A02" w:rsidRDefault="00AA4A02">
      <w:pPr>
        <w:spacing w:line="172" w:lineRule="exact"/>
        <w:rPr>
          <w:sz w:val="16"/>
        </w:rPr>
        <w:sectPr w:rsidR="00AA4A02">
          <w:headerReference w:type="default" r:id="rId100"/>
          <w:footerReference w:type="default" r:id="rId101"/>
          <w:pgSz w:w="11910" w:h="16840"/>
          <w:pgMar w:top="1140" w:right="1275" w:bottom="1040" w:left="1275" w:header="689" w:footer="842" w:gutter="0"/>
          <w:cols w:space="720"/>
        </w:sectPr>
      </w:pPr>
    </w:p>
    <w:p w14:paraId="1E805B6C" w14:textId="77777777" w:rsidR="00AA4A02" w:rsidRDefault="00960F31">
      <w:pPr>
        <w:pStyle w:val="Heading4"/>
        <w:spacing w:before="220" w:line="208" w:lineRule="auto"/>
        <w:ind w:left="1562" w:hanging="1419"/>
      </w:pPr>
      <w:bookmarkStart w:id="58" w:name="_TOC_250010"/>
      <w:r>
        <w:rPr>
          <w:u w:val="single"/>
        </w:rPr>
        <w:lastRenderedPageBreak/>
        <w:t>Process 1</w:t>
      </w:r>
      <w:r>
        <w:t>:</w:t>
      </w:r>
      <w:r>
        <w:rPr>
          <w:spacing w:val="40"/>
        </w:rPr>
        <w:t xml:space="preserve"> </w:t>
      </w:r>
      <w:r>
        <w:t>Standards based on Equivalent International Standards issued</w:t>
      </w:r>
      <w:r>
        <w:rPr>
          <w:spacing w:val="-7"/>
        </w:rPr>
        <w:t xml:space="preserve"> </w:t>
      </w:r>
      <w:r>
        <w:t>by</w:t>
      </w:r>
      <w:r>
        <w:rPr>
          <w:spacing w:val="-4"/>
        </w:rPr>
        <w:t xml:space="preserve"> </w:t>
      </w:r>
      <w:r>
        <w:t>the</w:t>
      </w:r>
      <w:r>
        <w:rPr>
          <w:spacing w:val="-4"/>
        </w:rPr>
        <w:t xml:space="preserve"> </w:t>
      </w:r>
      <w:r>
        <w:t>IAASB</w:t>
      </w:r>
      <w:r>
        <w:rPr>
          <w:spacing w:val="-4"/>
        </w:rPr>
        <w:t xml:space="preserve"> </w:t>
      </w:r>
      <w:r>
        <w:t>(including</w:t>
      </w:r>
      <w:r>
        <w:rPr>
          <w:spacing w:val="-4"/>
        </w:rPr>
        <w:t xml:space="preserve"> </w:t>
      </w:r>
      <w:r>
        <w:t>comprehensive</w:t>
      </w:r>
      <w:r>
        <w:rPr>
          <w:spacing w:val="-4"/>
        </w:rPr>
        <w:t xml:space="preserve"> </w:t>
      </w:r>
      <w:r>
        <w:t>revisions</w:t>
      </w:r>
      <w:r>
        <w:rPr>
          <w:spacing w:val="-7"/>
        </w:rPr>
        <w:t xml:space="preserve"> </w:t>
      </w:r>
      <w:bookmarkEnd w:id="58"/>
      <w:r>
        <w:t>to IAASB Standards)</w:t>
      </w:r>
    </w:p>
    <w:p w14:paraId="1E805B6D" w14:textId="77777777" w:rsidR="00AA4A02" w:rsidRDefault="00960F31">
      <w:pPr>
        <w:pStyle w:val="ListParagraph"/>
        <w:numPr>
          <w:ilvl w:val="0"/>
          <w:numId w:val="29"/>
        </w:numPr>
        <w:tabs>
          <w:tab w:val="left" w:pos="851"/>
        </w:tabs>
        <w:spacing w:line="208" w:lineRule="auto"/>
        <w:ind w:right="1133"/>
      </w:pPr>
      <w:r>
        <w:t>Refer</w:t>
      </w:r>
      <w:r>
        <w:rPr>
          <w:spacing w:val="-3"/>
        </w:rPr>
        <w:t xml:space="preserve"> </w:t>
      </w:r>
      <w:r>
        <w:t>to</w:t>
      </w:r>
      <w:r>
        <w:rPr>
          <w:spacing w:val="-2"/>
        </w:rPr>
        <w:t xml:space="preserve"> </w:t>
      </w:r>
      <w:r>
        <w:t>Appendix</w:t>
      </w:r>
      <w:r>
        <w:rPr>
          <w:spacing w:val="-2"/>
        </w:rPr>
        <w:t xml:space="preserve"> </w:t>
      </w:r>
      <w:r>
        <w:t>3</w:t>
      </w:r>
      <w:r>
        <w:rPr>
          <w:spacing w:val="-5"/>
        </w:rPr>
        <w:t xml:space="preserve"> </w:t>
      </w:r>
      <w:r>
        <w:t>for</w:t>
      </w:r>
      <w:r>
        <w:rPr>
          <w:spacing w:val="-4"/>
        </w:rPr>
        <w:t xml:space="preserve"> </w:t>
      </w:r>
      <w:r>
        <w:t>a</w:t>
      </w:r>
      <w:r>
        <w:rPr>
          <w:spacing w:val="-1"/>
        </w:rPr>
        <w:t xml:space="preserve"> </w:t>
      </w:r>
      <w:r>
        <w:t>diagram</w:t>
      </w:r>
      <w:r>
        <w:rPr>
          <w:spacing w:val="-3"/>
        </w:rPr>
        <w:t xml:space="preserve"> </w:t>
      </w:r>
      <w:r>
        <w:t>that</w:t>
      </w:r>
      <w:r>
        <w:rPr>
          <w:spacing w:val="-1"/>
        </w:rPr>
        <w:t xml:space="preserve"> </w:t>
      </w:r>
      <w:r>
        <w:t>outlines</w:t>
      </w:r>
      <w:r>
        <w:rPr>
          <w:spacing w:val="-3"/>
        </w:rPr>
        <w:t xml:space="preserve"> </w:t>
      </w:r>
      <w:r>
        <w:t>the</w:t>
      </w:r>
      <w:r>
        <w:rPr>
          <w:spacing w:val="-2"/>
        </w:rPr>
        <w:t xml:space="preserve"> </w:t>
      </w:r>
      <w:r>
        <w:t>process</w:t>
      </w:r>
      <w:r>
        <w:rPr>
          <w:spacing w:val="-3"/>
        </w:rPr>
        <w:t xml:space="preserve"> </w:t>
      </w:r>
      <w:r>
        <w:t>the</w:t>
      </w:r>
      <w:r>
        <w:rPr>
          <w:spacing w:val="-2"/>
        </w:rPr>
        <w:t xml:space="preserve"> </w:t>
      </w:r>
      <w:r>
        <w:t>AUASB</w:t>
      </w:r>
      <w:r>
        <w:rPr>
          <w:spacing w:val="-4"/>
        </w:rPr>
        <w:t xml:space="preserve"> </w:t>
      </w:r>
      <w:r>
        <w:t>follows</w:t>
      </w:r>
      <w:r>
        <w:rPr>
          <w:spacing w:val="-2"/>
        </w:rPr>
        <w:t xml:space="preserve"> </w:t>
      </w:r>
      <w:r>
        <w:t>for developing standards based on international standards issued by the IAASB.</w:t>
      </w:r>
    </w:p>
    <w:p w14:paraId="1E805B6E" w14:textId="77777777" w:rsidR="00AA4A02" w:rsidRDefault="00960F31">
      <w:pPr>
        <w:numPr>
          <w:ilvl w:val="0"/>
          <w:numId w:val="19"/>
        </w:numPr>
        <w:tabs>
          <w:tab w:val="left" w:pos="863"/>
        </w:tabs>
        <w:spacing w:before="155"/>
        <w:rPr>
          <w:b/>
          <w:i/>
          <w:sz w:val="24"/>
        </w:rPr>
      </w:pPr>
      <w:bookmarkStart w:id="59" w:name="A._International_Due_Process"/>
      <w:bookmarkEnd w:id="59"/>
      <w:r>
        <w:rPr>
          <w:b/>
          <w:i/>
          <w:sz w:val="24"/>
        </w:rPr>
        <w:t>International</w:t>
      </w:r>
      <w:r>
        <w:rPr>
          <w:b/>
          <w:i/>
          <w:spacing w:val="-1"/>
          <w:sz w:val="24"/>
        </w:rPr>
        <w:t xml:space="preserve"> </w:t>
      </w:r>
      <w:r>
        <w:rPr>
          <w:b/>
          <w:i/>
          <w:sz w:val="24"/>
        </w:rPr>
        <w:t>Due</w:t>
      </w:r>
      <w:r>
        <w:rPr>
          <w:b/>
          <w:i/>
          <w:spacing w:val="-2"/>
          <w:sz w:val="24"/>
        </w:rPr>
        <w:t xml:space="preserve"> Process</w:t>
      </w:r>
    </w:p>
    <w:p w14:paraId="1E805B6F" w14:textId="77777777" w:rsidR="00AA4A02" w:rsidRDefault="00960F31">
      <w:pPr>
        <w:pStyle w:val="ListParagraph"/>
        <w:numPr>
          <w:ilvl w:val="0"/>
          <w:numId w:val="29"/>
        </w:numPr>
        <w:tabs>
          <w:tab w:val="left" w:pos="851"/>
        </w:tabs>
        <w:spacing w:before="187" w:line="208" w:lineRule="auto"/>
        <w:ind w:right="164"/>
      </w:pPr>
      <w:r>
        <w:t>The IAASB follows a rigorous due process for developing international standards.</w:t>
      </w:r>
      <w:r>
        <w:rPr>
          <w:spacing w:val="-15"/>
        </w:rPr>
        <w:t xml:space="preserve"> </w:t>
      </w:r>
      <w:r>
        <w:rPr>
          <w:vertAlign w:val="superscript"/>
        </w:rPr>
        <w:t>45</w:t>
      </w:r>
      <w:r>
        <w:t xml:space="preserve"> The process the AUASB follows in developing standards based on international standards issued by the IAASB is aligned with the IAASB’s due process for setting international standards and the</w:t>
      </w:r>
      <w:r>
        <w:rPr>
          <w:spacing w:val="-4"/>
        </w:rPr>
        <w:t xml:space="preserve"> </w:t>
      </w:r>
      <w:r>
        <w:t>‘Public</w:t>
      </w:r>
      <w:r>
        <w:rPr>
          <w:spacing w:val="-2"/>
        </w:rPr>
        <w:t xml:space="preserve"> </w:t>
      </w:r>
      <w:r>
        <w:t>Interest</w:t>
      </w:r>
      <w:r>
        <w:rPr>
          <w:spacing w:val="-4"/>
        </w:rPr>
        <w:t xml:space="preserve"> </w:t>
      </w:r>
      <w:r>
        <w:t>Framework</w:t>
      </w:r>
      <w:r>
        <w:rPr>
          <w:spacing w:val="-2"/>
        </w:rPr>
        <w:t xml:space="preserve"> </w:t>
      </w:r>
      <w:r>
        <w:t>for</w:t>
      </w:r>
      <w:r>
        <w:rPr>
          <w:spacing w:val="-4"/>
        </w:rPr>
        <w:t xml:space="preserve"> </w:t>
      </w:r>
      <w:r>
        <w:t>the</w:t>
      </w:r>
      <w:r>
        <w:rPr>
          <w:spacing w:val="-2"/>
        </w:rPr>
        <w:t xml:space="preserve"> </w:t>
      </w:r>
      <w:r>
        <w:t>Development</w:t>
      </w:r>
      <w:r>
        <w:rPr>
          <w:spacing w:val="-4"/>
        </w:rPr>
        <w:t xml:space="preserve"> </w:t>
      </w:r>
      <w:r>
        <w:t>of</w:t>
      </w:r>
      <w:r>
        <w:rPr>
          <w:spacing w:val="-4"/>
        </w:rPr>
        <w:t xml:space="preserve"> </w:t>
      </w:r>
      <w:r>
        <w:t>International</w:t>
      </w:r>
      <w:r>
        <w:rPr>
          <w:spacing w:val="-1"/>
        </w:rPr>
        <w:t xml:space="preserve"> </w:t>
      </w:r>
      <w:r>
        <w:t>Audit-Related</w:t>
      </w:r>
      <w:r>
        <w:rPr>
          <w:spacing w:val="-2"/>
        </w:rPr>
        <w:t xml:space="preserve"> </w:t>
      </w:r>
      <w:r>
        <w:t>Standards’ issued by the Monitoring Group</w:t>
      </w:r>
      <w:r>
        <w:rPr>
          <w:vertAlign w:val="superscript"/>
        </w:rPr>
        <w:t>46</w:t>
      </w:r>
      <w:r>
        <w:t xml:space="preserve"> in their </w:t>
      </w:r>
      <w:r>
        <w:rPr>
          <w:i/>
        </w:rPr>
        <w:t xml:space="preserve">Strengthening the International Audit and Ethics Standard-Setting System </w:t>
      </w:r>
      <w:r>
        <w:t>paper in July 2020.</w:t>
      </w:r>
    </w:p>
    <w:p w14:paraId="1E805B70" w14:textId="77777777" w:rsidR="00AA4A02" w:rsidRDefault="00960F31">
      <w:pPr>
        <w:pStyle w:val="ListParagraph"/>
        <w:numPr>
          <w:ilvl w:val="0"/>
          <w:numId w:val="29"/>
        </w:numPr>
        <w:tabs>
          <w:tab w:val="left" w:pos="851"/>
        </w:tabs>
        <w:spacing w:line="208" w:lineRule="auto"/>
        <w:ind w:right="198"/>
      </w:pPr>
      <w:r>
        <w:t>When</w:t>
      </w:r>
      <w:r>
        <w:rPr>
          <w:spacing w:val="-5"/>
        </w:rPr>
        <w:t xml:space="preserve"> </w:t>
      </w:r>
      <w:r>
        <w:t>the</w:t>
      </w:r>
      <w:r>
        <w:rPr>
          <w:spacing w:val="-3"/>
        </w:rPr>
        <w:t xml:space="preserve"> </w:t>
      </w:r>
      <w:r>
        <w:t>AUASB</w:t>
      </w:r>
      <w:r>
        <w:rPr>
          <w:spacing w:val="-5"/>
        </w:rPr>
        <w:t xml:space="preserve"> </w:t>
      </w:r>
      <w:r>
        <w:t>adopts</w:t>
      </w:r>
      <w:r>
        <w:rPr>
          <w:spacing w:val="-5"/>
        </w:rPr>
        <w:t xml:space="preserve"> </w:t>
      </w:r>
      <w:r>
        <w:t>an</w:t>
      </w:r>
      <w:r>
        <w:rPr>
          <w:spacing w:val="-3"/>
        </w:rPr>
        <w:t xml:space="preserve"> </w:t>
      </w:r>
      <w:r>
        <w:t>international</w:t>
      </w:r>
      <w:r>
        <w:rPr>
          <w:spacing w:val="-2"/>
        </w:rPr>
        <w:t xml:space="preserve"> </w:t>
      </w:r>
      <w:r>
        <w:t>standard,</w:t>
      </w:r>
      <w:r>
        <w:rPr>
          <w:spacing w:val="-3"/>
        </w:rPr>
        <w:t xml:space="preserve"> </w:t>
      </w:r>
      <w:r>
        <w:t>certain</w:t>
      </w:r>
      <w:r>
        <w:rPr>
          <w:spacing w:val="-3"/>
        </w:rPr>
        <w:t xml:space="preserve"> </w:t>
      </w:r>
      <w:r>
        <w:t>aspects</w:t>
      </w:r>
      <w:r>
        <w:rPr>
          <w:spacing w:val="-3"/>
        </w:rPr>
        <w:t xml:space="preserve"> </w:t>
      </w:r>
      <w:r>
        <w:t>of</w:t>
      </w:r>
      <w:r>
        <w:rPr>
          <w:spacing w:val="-3"/>
        </w:rPr>
        <w:t xml:space="preserve"> </w:t>
      </w:r>
      <w:r>
        <w:t>due</w:t>
      </w:r>
      <w:r>
        <w:rPr>
          <w:spacing w:val="-5"/>
        </w:rPr>
        <w:t xml:space="preserve"> </w:t>
      </w:r>
      <w:r>
        <w:t>process</w:t>
      </w:r>
      <w:r>
        <w:rPr>
          <w:spacing w:val="-6"/>
        </w:rPr>
        <w:t xml:space="preserve"> </w:t>
      </w:r>
      <w:r>
        <w:t>would</w:t>
      </w:r>
      <w:r>
        <w:rPr>
          <w:spacing w:val="-3"/>
        </w:rPr>
        <w:t xml:space="preserve"> </w:t>
      </w:r>
      <w:r>
        <w:t>have been completed internationally. Much of the AUASB’s efforts, and related processes, are focused on providing input to the IAASB processes and determining, through stakeholder consultation, whether there are any compelling reasons for modification of a standard for application in Australia and, if so, what that modification should be.</w:t>
      </w:r>
      <w:r>
        <w:rPr>
          <w:vertAlign w:val="superscript"/>
        </w:rPr>
        <w:t>47</w:t>
      </w:r>
    </w:p>
    <w:p w14:paraId="1E805B71" w14:textId="77777777" w:rsidR="00AA4A02" w:rsidRDefault="00960F31">
      <w:pPr>
        <w:pStyle w:val="ListParagraph"/>
        <w:numPr>
          <w:ilvl w:val="0"/>
          <w:numId w:val="29"/>
        </w:numPr>
        <w:tabs>
          <w:tab w:val="left" w:pos="851"/>
        </w:tabs>
        <w:spacing w:before="199" w:line="208" w:lineRule="auto"/>
        <w:ind w:right="354"/>
      </w:pPr>
      <w:r>
        <w:t>While</w:t>
      </w:r>
      <w:r>
        <w:rPr>
          <w:spacing w:val="-4"/>
        </w:rPr>
        <w:t xml:space="preserve"> </w:t>
      </w:r>
      <w:r>
        <w:t>the</w:t>
      </w:r>
      <w:r>
        <w:rPr>
          <w:spacing w:val="-4"/>
        </w:rPr>
        <w:t xml:space="preserve"> </w:t>
      </w:r>
      <w:r>
        <w:t>international</w:t>
      </w:r>
      <w:r>
        <w:rPr>
          <w:spacing w:val="-1"/>
        </w:rPr>
        <w:t xml:space="preserve"> </w:t>
      </w:r>
      <w:r>
        <w:t>due</w:t>
      </w:r>
      <w:r>
        <w:rPr>
          <w:spacing w:val="-4"/>
        </w:rPr>
        <w:t xml:space="preserve"> </w:t>
      </w:r>
      <w:r>
        <w:t>process</w:t>
      </w:r>
      <w:r>
        <w:rPr>
          <w:spacing w:val="-4"/>
        </w:rPr>
        <w:t xml:space="preserve"> </w:t>
      </w:r>
      <w:r>
        <w:t>is</w:t>
      </w:r>
      <w:r>
        <w:rPr>
          <w:spacing w:val="-2"/>
        </w:rPr>
        <w:t xml:space="preserve"> </w:t>
      </w:r>
      <w:r>
        <w:t>a</w:t>
      </w:r>
      <w:r>
        <w:rPr>
          <w:spacing w:val="-4"/>
        </w:rPr>
        <w:t xml:space="preserve"> </w:t>
      </w:r>
      <w:r>
        <w:t>critical</w:t>
      </w:r>
      <w:r>
        <w:rPr>
          <w:spacing w:val="-1"/>
        </w:rPr>
        <w:t xml:space="preserve"> </w:t>
      </w:r>
      <w:r>
        <w:t>aspect</w:t>
      </w:r>
      <w:r>
        <w:rPr>
          <w:spacing w:val="-1"/>
        </w:rPr>
        <w:t xml:space="preserve"> </w:t>
      </w:r>
      <w:r>
        <w:t>of</w:t>
      </w:r>
      <w:r>
        <w:rPr>
          <w:spacing w:val="-2"/>
        </w:rPr>
        <w:t xml:space="preserve"> </w:t>
      </w:r>
      <w:r>
        <w:t>the</w:t>
      </w:r>
      <w:r>
        <w:rPr>
          <w:spacing w:val="-2"/>
        </w:rPr>
        <w:t xml:space="preserve"> </w:t>
      </w:r>
      <w:r>
        <w:t>overall</w:t>
      </w:r>
      <w:r>
        <w:rPr>
          <w:spacing w:val="-4"/>
        </w:rPr>
        <w:t xml:space="preserve"> </w:t>
      </w:r>
      <w:r>
        <w:t>standard-setting</w:t>
      </w:r>
      <w:r>
        <w:rPr>
          <w:spacing w:val="-2"/>
        </w:rPr>
        <w:t xml:space="preserve"> </w:t>
      </w:r>
      <w:r>
        <w:t>process in Australia, and is observed and attested to by the PIOB and relied on by the AUASB, the description of Process 1 in this section of the framework focuses on the steps the AUASB takes when issuing standards based on IAASB Standards.</w:t>
      </w:r>
    </w:p>
    <w:p w14:paraId="1E805B72" w14:textId="77777777" w:rsidR="00AA4A02" w:rsidRDefault="00960F31">
      <w:pPr>
        <w:pStyle w:val="ListParagraph"/>
        <w:numPr>
          <w:ilvl w:val="0"/>
          <w:numId w:val="29"/>
        </w:numPr>
        <w:tabs>
          <w:tab w:val="left" w:pos="851"/>
        </w:tabs>
        <w:spacing w:before="200" w:line="208" w:lineRule="auto"/>
        <w:ind w:right="202"/>
      </w:pPr>
      <w:r>
        <w:t>The AUASB should remain alert throughout the standard-setting process that what is considered to be in</w:t>
      </w:r>
      <w:r>
        <w:rPr>
          <w:spacing w:val="-1"/>
        </w:rPr>
        <w:t xml:space="preserve"> </w:t>
      </w:r>
      <w:r>
        <w:t>the public interest at an international level, might not necessarily be in</w:t>
      </w:r>
      <w:r>
        <w:rPr>
          <w:spacing w:val="-1"/>
        </w:rPr>
        <w:t xml:space="preserve"> </w:t>
      </w:r>
      <w:r>
        <w:t>the public</w:t>
      </w:r>
      <w:r>
        <w:rPr>
          <w:spacing w:val="-3"/>
        </w:rPr>
        <w:t xml:space="preserve"> </w:t>
      </w:r>
      <w:r>
        <w:t>interest</w:t>
      </w:r>
      <w:r>
        <w:rPr>
          <w:spacing w:val="-3"/>
        </w:rPr>
        <w:t xml:space="preserve"> </w:t>
      </w:r>
      <w:r>
        <w:t>in</w:t>
      </w:r>
      <w:r>
        <w:rPr>
          <w:spacing w:val="-3"/>
        </w:rPr>
        <w:t xml:space="preserve"> </w:t>
      </w:r>
      <w:r>
        <w:t>Australia.</w:t>
      </w:r>
      <w:r>
        <w:rPr>
          <w:spacing w:val="-3"/>
        </w:rPr>
        <w:t xml:space="preserve"> </w:t>
      </w:r>
      <w:r>
        <w:t>The</w:t>
      </w:r>
      <w:r>
        <w:rPr>
          <w:spacing w:val="-3"/>
        </w:rPr>
        <w:t xml:space="preserve"> </w:t>
      </w:r>
      <w:r>
        <w:t>ultimate</w:t>
      </w:r>
      <w:r>
        <w:rPr>
          <w:spacing w:val="-4"/>
        </w:rPr>
        <w:t xml:space="preserve"> </w:t>
      </w:r>
      <w:r>
        <w:t>content</w:t>
      </w:r>
      <w:r>
        <w:rPr>
          <w:spacing w:val="-4"/>
        </w:rPr>
        <w:t xml:space="preserve"> </w:t>
      </w:r>
      <w:r>
        <w:t>of</w:t>
      </w:r>
      <w:r>
        <w:rPr>
          <w:spacing w:val="-3"/>
        </w:rPr>
        <w:t xml:space="preserve"> </w:t>
      </w:r>
      <w:r>
        <w:t>AUASB</w:t>
      </w:r>
      <w:r>
        <w:rPr>
          <w:spacing w:val="-3"/>
        </w:rPr>
        <w:t xml:space="preserve"> </w:t>
      </w:r>
      <w:r>
        <w:t>Standards</w:t>
      </w:r>
      <w:r>
        <w:rPr>
          <w:spacing w:val="-4"/>
        </w:rPr>
        <w:t xml:space="preserve"> </w:t>
      </w:r>
      <w:r>
        <w:t>must</w:t>
      </w:r>
      <w:r>
        <w:rPr>
          <w:spacing w:val="-2"/>
        </w:rPr>
        <w:t xml:space="preserve"> </w:t>
      </w:r>
      <w:r>
        <w:t>be</w:t>
      </w:r>
      <w:r>
        <w:rPr>
          <w:spacing w:val="-1"/>
        </w:rPr>
        <w:t xml:space="preserve"> </w:t>
      </w:r>
      <w:r>
        <w:t>determined</w:t>
      </w:r>
      <w:r>
        <w:rPr>
          <w:spacing w:val="-3"/>
        </w:rPr>
        <w:t xml:space="preserve"> </w:t>
      </w:r>
      <w:r>
        <w:t>by the AUASB after balancing all the evidence from research, public consultation and careful deliberation by the Board about</w:t>
      </w:r>
      <w:r>
        <w:rPr>
          <w:spacing w:val="-1"/>
        </w:rPr>
        <w:t xml:space="preserve"> </w:t>
      </w:r>
      <w:r>
        <w:t>the benefits and costs</w:t>
      </w:r>
      <w:r>
        <w:rPr>
          <w:spacing w:val="-4"/>
        </w:rPr>
        <w:t xml:space="preserve"> </w:t>
      </w:r>
      <w:r>
        <w:t>of any</w:t>
      </w:r>
      <w:r>
        <w:rPr>
          <w:spacing w:val="-1"/>
        </w:rPr>
        <w:t xml:space="preserve"> </w:t>
      </w:r>
      <w:r>
        <w:t>proposals,</w:t>
      </w:r>
      <w:r>
        <w:rPr>
          <w:spacing w:val="-2"/>
        </w:rPr>
        <w:t xml:space="preserve"> </w:t>
      </w:r>
      <w:r>
        <w:t>to assess</w:t>
      </w:r>
      <w:r>
        <w:rPr>
          <w:spacing w:val="-1"/>
        </w:rPr>
        <w:t xml:space="preserve"> </w:t>
      </w:r>
      <w:r>
        <w:t>whether it is appropriate and responsive to the public interest in Australia.</w:t>
      </w:r>
    </w:p>
    <w:p w14:paraId="1E805B73" w14:textId="77777777" w:rsidR="00AA4A02" w:rsidRDefault="00960F31">
      <w:pPr>
        <w:spacing w:before="201" w:line="208" w:lineRule="auto"/>
        <w:ind w:left="143"/>
        <w:rPr>
          <w:b/>
          <w:i/>
        </w:rPr>
      </w:pPr>
      <w:bookmarkStart w:id="60" w:name="Participate_in,_and_contribute_to,_the_d"/>
      <w:bookmarkEnd w:id="60"/>
      <w:r>
        <w:rPr>
          <w:b/>
          <w:i/>
        </w:rPr>
        <w:t>Participate</w:t>
      </w:r>
      <w:r>
        <w:rPr>
          <w:b/>
          <w:i/>
          <w:spacing w:val="-2"/>
        </w:rPr>
        <w:t xml:space="preserve"> </w:t>
      </w:r>
      <w:r>
        <w:rPr>
          <w:b/>
          <w:i/>
        </w:rPr>
        <w:t>in,</w:t>
      </w:r>
      <w:r>
        <w:rPr>
          <w:b/>
          <w:i/>
          <w:spacing w:val="-5"/>
        </w:rPr>
        <w:t xml:space="preserve"> </w:t>
      </w:r>
      <w:r>
        <w:rPr>
          <w:b/>
          <w:i/>
        </w:rPr>
        <w:t>and</w:t>
      </w:r>
      <w:r>
        <w:rPr>
          <w:b/>
          <w:i/>
          <w:spacing w:val="-3"/>
        </w:rPr>
        <w:t xml:space="preserve"> </w:t>
      </w:r>
      <w:r>
        <w:rPr>
          <w:b/>
          <w:i/>
        </w:rPr>
        <w:t>contribute</w:t>
      </w:r>
      <w:r>
        <w:rPr>
          <w:b/>
          <w:i/>
          <w:spacing w:val="-1"/>
        </w:rPr>
        <w:t xml:space="preserve"> </w:t>
      </w:r>
      <w:r>
        <w:rPr>
          <w:b/>
          <w:i/>
        </w:rPr>
        <w:t>to,</w:t>
      </w:r>
      <w:r>
        <w:rPr>
          <w:b/>
          <w:i/>
          <w:spacing w:val="-2"/>
        </w:rPr>
        <w:t xml:space="preserve"> </w:t>
      </w:r>
      <w:r>
        <w:rPr>
          <w:b/>
          <w:i/>
        </w:rPr>
        <w:t>the</w:t>
      </w:r>
      <w:r>
        <w:rPr>
          <w:b/>
          <w:i/>
          <w:spacing w:val="-2"/>
        </w:rPr>
        <w:t xml:space="preserve"> </w:t>
      </w:r>
      <w:r>
        <w:rPr>
          <w:b/>
          <w:i/>
        </w:rPr>
        <w:t>development</w:t>
      </w:r>
      <w:r>
        <w:rPr>
          <w:b/>
          <w:i/>
          <w:spacing w:val="-1"/>
        </w:rPr>
        <w:t xml:space="preserve"> </w:t>
      </w:r>
      <w:r>
        <w:rPr>
          <w:b/>
          <w:i/>
        </w:rPr>
        <w:t>of</w:t>
      </w:r>
      <w:r>
        <w:rPr>
          <w:b/>
          <w:i/>
          <w:spacing w:val="-4"/>
        </w:rPr>
        <w:t xml:space="preserve"> </w:t>
      </w:r>
      <w:r>
        <w:rPr>
          <w:b/>
          <w:i/>
        </w:rPr>
        <w:t>international</w:t>
      </w:r>
      <w:r>
        <w:rPr>
          <w:b/>
          <w:i/>
          <w:spacing w:val="-4"/>
        </w:rPr>
        <w:t xml:space="preserve"> </w:t>
      </w:r>
      <w:r>
        <w:rPr>
          <w:b/>
          <w:i/>
        </w:rPr>
        <w:t>standards</w:t>
      </w:r>
      <w:r>
        <w:rPr>
          <w:b/>
          <w:i/>
          <w:spacing w:val="-2"/>
        </w:rPr>
        <w:t xml:space="preserve"> </w:t>
      </w:r>
      <w:r>
        <w:rPr>
          <w:b/>
          <w:i/>
        </w:rPr>
        <w:t>in</w:t>
      </w:r>
      <w:r>
        <w:rPr>
          <w:b/>
          <w:i/>
          <w:spacing w:val="-5"/>
        </w:rPr>
        <w:t xml:space="preserve"> </w:t>
      </w:r>
      <w:r>
        <w:rPr>
          <w:b/>
          <w:i/>
        </w:rPr>
        <w:t>accordance</w:t>
      </w:r>
      <w:r>
        <w:rPr>
          <w:b/>
          <w:i/>
          <w:spacing w:val="-2"/>
        </w:rPr>
        <w:t xml:space="preserve"> </w:t>
      </w:r>
      <w:r>
        <w:rPr>
          <w:b/>
          <w:i/>
        </w:rPr>
        <w:t>with</w:t>
      </w:r>
      <w:r>
        <w:rPr>
          <w:b/>
          <w:i/>
          <w:spacing w:val="-5"/>
        </w:rPr>
        <w:t xml:space="preserve"> </w:t>
      </w:r>
      <w:r>
        <w:rPr>
          <w:b/>
          <w:i/>
        </w:rPr>
        <w:t>the AUASB International Strategy</w:t>
      </w:r>
    </w:p>
    <w:p w14:paraId="1E805B74" w14:textId="77777777" w:rsidR="00AA4A02" w:rsidRDefault="00960F31">
      <w:pPr>
        <w:pStyle w:val="ListParagraph"/>
        <w:numPr>
          <w:ilvl w:val="0"/>
          <w:numId w:val="29"/>
        </w:numPr>
        <w:tabs>
          <w:tab w:val="left" w:pos="851"/>
        </w:tabs>
        <w:spacing w:before="198" w:line="208" w:lineRule="auto"/>
        <w:ind w:right="287"/>
      </w:pPr>
      <w:r>
        <w:t>The</w:t>
      </w:r>
      <w:r>
        <w:rPr>
          <w:spacing w:val="-2"/>
        </w:rPr>
        <w:t xml:space="preserve"> </w:t>
      </w:r>
      <w:r>
        <w:t>AUASB</w:t>
      </w:r>
      <w:r>
        <w:rPr>
          <w:spacing w:val="-4"/>
        </w:rPr>
        <w:t xml:space="preserve"> </w:t>
      </w:r>
      <w:r>
        <w:t>actively</w:t>
      </w:r>
      <w:r>
        <w:rPr>
          <w:spacing w:val="-5"/>
        </w:rPr>
        <w:t xml:space="preserve"> </w:t>
      </w:r>
      <w:r>
        <w:t>monitors</w:t>
      </w:r>
      <w:r>
        <w:rPr>
          <w:spacing w:val="-4"/>
        </w:rPr>
        <w:t xml:space="preserve"> </w:t>
      </w:r>
      <w:r>
        <w:t>the</w:t>
      </w:r>
      <w:r>
        <w:rPr>
          <w:spacing w:val="-2"/>
        </w:rPr>
        <w:t xml:space="preserve"> </w:t>
      </w:r>
      <w:r>
        <w:t>development</w:t>
      </w:r>
      <w:r>
        <w:rPr>
          <w:spacing w:val="-1"/>
        </w:rPr>
        <w:t xml:space="preserve"> </w:t>
      </w:r>
      <w:r>
        <w:t>of</w:t>
      </w:r>
      <w:r>
        <w:rPr>
          <w:spacing w:val="-2"/>
        </w:rPr>
        <w:t xml:space="preserve"> </w:t>
      </w:r>
      <w:r>
        <w:t>an</w:t>
      </w:r>
      <w:r>
        <w:rPr>
          <w:spacing w:val="-7"/>
        </w:rPr>
        <w:t xml:space="preserve"> </w:t>
      </w:r>
      <w:r>
        <w:t>international</w:t>
      </w:r>
      <w:r>
        <w:rPr>
          <w:spacing w:val="-1"/>
        </w:rPr>
        <w:t xml:space="preserve"> </w:t>
      </w:r>
      <w:r>
        <w:t>ED</w:t>
      </w:r>
      <w:r>
        <w:rPr>
          <w:spacing w:val="-4"/>
        </w:rPr>
        <w:t xml:space="preserve"> </w:t>
      </w:r>
      <w:r>
        <w:t>and</w:t>
      </w:r>
      <w:r>
        <w:rPr>
          <w:spacing w:val="-4"/>
        </w:rPr>
        <w:t xml:space="preserve"> </w:t>
      </w:r>
      <w:r>
        <w:t>raises</w:t>
      </w:r>
      <w:r>
        <w:rPr>
          <w:spacing w:val="-4"/>
        </w:rPr>
        <w:t xml:space="preserve"> </w:t>
      </w:r>
      <w:r>
        <w:t>issues</w:t>
      </w:r>
      <w:r>
        <w:rPr>
          <w:spacing w:val="-2"/>
        </w:rPr>
        <w:t xml:space="preserve"> </w:t>
      </w:r>
      <w:r>
        <w:t>with the</w:t>
      </w:r>
      <w:r>
        <w:rPr>
          <w:spacing w:val="-2"/>
        </w:rPr>
        <w:t xml:space="preserve"> </w:t>
      </w:r>
      <w:r>
        <w:t>IAASB</w:t>
      </w:r>
      <w:r>
        <w:rPr>
          <w:spacing w:val="-4"/>
        </w:rPr>
        <w:t xml:space="preserve"> </w:t>
      </w:r>
      <w:r>
        <w:t>in</w:t>
      </w:r>
      <w:r>
        <w:rPr>
          <w:spacing w:val="-2"/>
        </w:rPr>
        <w:t xml:space="preserve"> </w:t>
      </w:r>
      <w:r>
        <w:t>accordance</w:t>
      </w:r>
      <w:r>
        <w:rPr>
          <w:spacing w:val="-4"/>
        </w:rPr>
        <w:t xml:space="preserve"> </w:t>
      </w:r>
      <w:r>
        <w:t>with</w:t>
      </w:r>
      <w:r>
        <w:rPr>
          <w:spacing w:val="-5"/>
        </w:rPr>
        <w:t xml:space="preserve"> </w:t>
      </w:r>
      <w:r>
        <w:t xml:space="preserve">the </w:t>
      </w:r>
      <w:hyperlink r:id="rId102">
        <w:r>
          <w:rPr>
            <w:i/>
            <w:color w:val="0000FF"/>
            <w:u w:val="single" w:color="0000FF"/>
          </w:rPr>
          <w:t>AUASB</w:t>
        </w:r>
        <w:r>
          <w:rPr>
            <w:i/>
            <w:color w:val="0000FF"/>
            <w:spacing w:val="-6"/>
            <w:u w:val="single" w:color="0000FF"/>
          </w:rPr>
          <w:t xml:space="preserve"> </w:t>
        </w:r>
        <w:r>
          <w:rPr>
            <w:i/>
            <w:color w:val="0000FF"/>
            <w:u w:val="single" w:color="0000FF"/>
          </w:rPr>
          <w:t>International</w:t>
        </w:r>
        <w:r>
          <w:rPr>
            <w:i/>
            <w:color w:val="0000FF"/>
            <w:spacing w:val="-1"/>
            <w:u w:val="single" w:color="0000FF"/>
          </w:rPr>
          <w:t xml:space="preserve"> </w:t>
        </w:r>
        <w:r>
          <w:rPr>
            <w:i/>
            <w:color w:val="0000FF"/>
            <w:u w:val="single" w:color="0000FF"/>
          </w:rPr>
          <w:t>Strategy</w:t>
        </w:r>
        <w:r>
          <w:t>.</w:t>
        </w:r>
      </w:hyperlink>
      <w:r>
        <w:rPr>
          <w:spacing w:val="-2"/>
        </w:rPr>
        <w:t xml:space="preserve"> </w:t>
      </w:r>
      <w:r>
        <w:t>The</w:t>
      </w:r>
      <w:r>
        <w:rPr>
          <w:spacing w:val="-2"/>
        </w:rPr>
        <w:t xml:space="preserve"> </w:t>
      </w:r>
      <w:r>
        <w:t>aim</w:t>
      </w:r>
      <w:r>
        <w:rPr>
          <w:spacing w:val="-1"/>
        </w:rPr>
        <w:t xml:space="preserve"> </w:t>
      </w:r>
      <w:r>
        <w:t>of</w:t>
      </w:r>
      <w:r>
        <w:rPr>
          <w:spacing w:val="-4"/>
        </w:rPr>
        <w:t xml:space="preserve"> </w:t>
      </w:r>
      <w:r>
        <w:t>influencing</w:t>
      </w:r>
      <w:r>
        <w:rPr>
          <w:spacing w:val="-5"/>
        </w:rPr>
        <w:t xml:space="preserve"> </w:t>
      </w:r>
      <w:r>
        <w:t>the international standard-setting process is to promote convergence of local and international standards, maximising Australian input and influence into the international standard-setting process to ensure the IAASB standards act as the most effective base for their Australian equivalent standards.</w:t>
      </w:r>
    </w:p>
    <w:p w14:paraId="1E805B75" w14:textId="77777777" w:rsidR="00AA4A02" w:rsidRDefault="00960F31">
      <w:pPr>
        <w:pStyle w:val="ListParagraph"/>
        <w:numPr>
          <w:ilvl w:val="0"/>
          <w:numId w:val="29"/>
        </w:numPr>
        <w:tabs>
          <w:tab w:val="left" w:pos="851"/>
        </w:tabs>
        <w:spacing w:line="208" w:lineRule="auto"/>
        <w:ind w:right="397"/>
      </w:pPr>
      <w:r>
        <w:t xml:space="preserve">The </w:t>
      </w:r>
      <w:hyperlink r:id="rId103">
        <w:r>
          <w:rPr>
            <w:i/>
            <w:color w:val="0000FF"/>
            <w:u w:val="single" w:color="0000FF"/>
          </w:rPr>
          <w:t>AUASB International Strategy</w:t>
        </w:r>
      </w:hyperlink>
      <w:r>
        <w:rPr>
          <w:i/>
          <w:color w:val="0000FF"/>
        </w:rPr>
        <w:t xml:space="preserve"> </w:t>
      </w:r>
      <w:r>
        <w:t>outlines guiding principles and identifies methods the AUASB</w:t>
      </w:r>
      <w:r>
        <w:rPr>
          <w:spacing w:val="-2"/>
        </w:rPr>
        <w:t xml:space="preserve"> </w:t>
      </w:r>
      <w:r>
        <w:t>and</w:t>
      </w:r>
      <w:r>
        <w:rPr>
          <w:spacing w:val="-1"/>
        </w:rPr>
        <w:t xml:space="preserve"> </w:t>
      </w:r>
      <w:r>
        <w:t>technical</w:t>
      </w:r>
      <w:r>
        <w:rPr>
          <w:spacing w:val="-3"/>
        </w:rPr>
        <w:t xml:space="preserve"> </w:t>
      </w:r>
      <w:r>
        <w:t>staff</w:t>
      </w:r>
      <w:r>
        <w:rPr>
          <w:spacing w:val="-1"/>
        </w:rPr>
        <w:t xml:space="preserve"> </w:t>
      </w:r>
      <w:r>
        <w:t>apply</w:t>
      </w:r>
      <w:r>
        <w:rPr>
          <w:spacing w:val="-4"/>
        </w:rPr>
        <w:t xml:space="preserve"> </w:t>
      </w:r>
      <w:r>
        <w:t>to</w:t>
      </w:r>
      <w:r>
        <w:rPr>
          <w:spacing w:val="-1"/>
        </w:rPr>
        <w:t xml:space="preserve"> </w:t>
      </w:r>
      <w:r>
        <w:t>participate</w:t>
      </w:r>
      <w:r>
        <w:rPr>
          <w:spacing w:val="-2"/>
        </w:rPr>
        <w:t xml:space="preserve"> </w:t>
      </w:r>
      <w:r>
        <w:t>in,</w:t>
      </w:r>
      <w:r>
        <w:rPr>
          <w:spacing w:val="-4"/>
        </w:rPr>
        <w:t xml:space="preserve"> </w:t>
      </w:r>
      <w:r>
        <w:t>contribute</w:t>
      </w:r>
      <w:r>
        <w:rPr>
          <w:spacing w:val="-1"/>
        </w:rPr>
        <w:t xml:space="preserve"> </w:t>
      </w:r>
      <w:r>
        <w:t>to,</w:t>
      </w:r>
      <w:r>
        <w:rPr>
          <w:spacing w:val="-1"/>
        </w:rPr>
        <w:t xml:space="preserve"> </w:t>
      </w:r>
      <w:r>
        <w:t>and</w:t>
      </w:r>
      <w:r>
        <w:rPr>
          <w:spacing w:val="-3"/>
        </w:rPr>
        <w:t xml:space="preserve"> </w:t>
      </w:r>
      <w:r>
        <w:t>maximise</w:t>
      </w:r>
      <w:r>
        <w:rPr>
          <w:spacing w:val="-3"/>
        </w:rPr>
        <w:t xml:space="preserve"> </w:t>
      </w:r>
      <w:r>
        <w:t>its</w:t>
      </w:r>
      <w:r>
        <w:rPr>
          <w:spacing w:val="-2"/>
        </w:rPr>
        <w:t xml:space="preserve"> </w:t>
      </w:r>
      <w:r>
        <w:t>influence on</w:t>
      </w:r>
      <w:r>
        <w:rPr>
          <w:spacing w:val="-2"/>
        </w:rPr>
        <w:t xml:space="preserve"> </w:t>
      </w:r>
      <w:r>
        <w:t>the</w:t>
      </w:r>
      <w:r>
        <w:rPr>
          <w:spacing w:val="-4"/>
        </w:rPr>
        <w:t xml:space="preserve"> </w:t>
      </w:r>
      <w:r>
        <w:t>international</w:t>
      </w:r>
      <w:r>
        <w:rPr>
          <w:spacing w:val="-2"/>
        </w:rPr>
        <w:t xml:space="preserve"> </w:t>
      </w:r>
      <w:r>
        <w:t>standard-setting</w:t>
      </w:r>
      <w:r>
        <w:rPr>
          <w:spacing w:val="-5"/>
        </w:rPr>
        <w:t xml:space="preserve"> </w:t>
      </w:r>
      <w:r>
        <w:t>agenda.</w:t>
      </w:r>
      <w:r>
        <w:rPr>
          <w:spacing w:val="-2"/>
        </w:rPr>
        <w:t xml:space="preserve"> </w:t>
      </w:r>
      <w:r>
        <w:t>Refer</w:t>
      </w:r>
      <w:r>
        <w:rPr>
          <w:spacing w:val="-4"/>
        </w:rPr>
        <w:t xml:space="preserve"> </w:t>
      </w:r>
      <w:r>
        <w:t>to</w:t>
      </w:r>
      <w:r>
        <w:rPr>
          <w:spacing w:val="-2"/>
        </w:rPr>
        <w:t xml:space="preserve"> </w:t>
      </w:r>
      <w:r>
        <w:t>Section</w:t>
      </w:r>
      <w:r>
        <w:rPr>
          <w:spacing w:val="-2"/>
        </w:rPr>
        <w:t xml:space="preserve"> </w:t>
      </w:r>
      <w:r>
        <w:t>V</w:t>
      </w:r>
      <w:r>
        <w:rPr>
          <w:spacing w:val="-3"/>
        </w:rPr>
        <w:t xml:space="preserve"> </w:t>
      </w:r>
      <w:r>
        <w:t>of</w:t>
      </w:r>
      <w:r>
        <w:rPr>
          <w:spacing w:val="-2"/>
        </w:rPr>
        <w:t xml:space="preserve"> </w:t>
      </w:r>
      <w:r>
        <w:t>this</w:t>
      </w:r>
      <w:r>
        <w:rPr>
          <w:spacing w:val="-2"/>
        </w:rPr>
        <w:t xml:space="preserve"> </w:t>
      </w:r>
      <w:r>
        <w:t>document</w:t>
      </w:r>
      <w:r>
        <w:rPr>
          <w:spacing w:val="-1"/>
        </w:rPr>
        <w:t xml:space="preserve"> </w:t>
      </w:r>
      <w:r>
        <w:t>for</w:t>
      </w:r>
      <w:r>
        <w:rPr>
          <w:spacing w:val="-1"/>
        </w:rPr>
        <w:t xml:space="preserve"> </w:t>
      </w:r>
      <w:r>
        <w:t xml:space="preserve">further </w:t>
      </w:r>
      <w:r>
        <w:rPr>
          <w:spacing w:val="-2"/>
        </w:rPr>
        <w:t>information.</w:t>
      </w:r>
    </w:p>
    <w:p w14:paraId="1E805B76" w14:textId="77777777" w:rsidR="00AA4A02" w:rsidRDefault="00AA4A02">
      <w:pPr>
        <w:pStyle w:val="BodyText"/>
        <w:rPr>
          <w:sz w:val="20"/>
        </w:rPr>
      </w:pPr>
    </w:p>
    <w:p w14:paraId="1E805B77" w14:textId="77777777" w:rsidR="00AA4A02" w:rsidRDefault="00AA4A02">
      <w:pPr>
        <w:pStyle w:val="BodyText"/>
        <w:rPr>
          <w:sz w:val="20"/>
        </w:rPr>
      </w:pPr>
    </w:p>
    <w:p w14:paraId="1E805B78" w14:textId="77777777" w:rsidR="00AA4A02" w:rsidRDefault="00AA4A02">
      <w:pPr>
        <w:pStyle w:val="BodyText"/>
        <w:rPr>
          <w:sz w:val="20"/>
        </w:rPr>
      </w:pPr>
    </w:p>
    <w:p w14:paraId="1E805B79" w14:textId="77777777" w:rsidR="00AA4A02" w:rsidRDefault="00AA4A02">
      <w:pPr>
        <w:pStyle w:val="BodyText"/>
        <w:rPr>
          <w:sz w:val="20"/>
        </w:rPr>
      </w:pPr>
    </w:p>
    <w:p w14:paraId="1E805B7A" w14:textId="77777777" w:rsidR="00AA4A02" w:rsidRDefault="00AA4A02">
      <w:pPr>
        <w:pStyle w:val="BodyText"/>
        <w:rPr>
          <w:sz w:val="20"/>
        </w:rPr>
      </w:pPr>
    </w:p>
    <w:p w14:paraId="1E805B7B" w14:textId="77777777" w:rsidR="00AA4A02" w:rsidRDefault="00AA4A02">
      <w:pPr>
        <w:pStyle w:val="BodyText"/>
        <w:rPr>
          <w:sz w:val="20"/>
        </w:rPr>
      </w:pPr>
    </w:p>
    <w:p w14:paraId="1E805B7C" w14:textId="77777777" w:rsidR="00AA4A02" w:rsidRDefault="00960F31">
      <w:pPr>
        <w:pStyle w:val="BodyText"/>
        <w:spacing w:before="58"/>
        <w:rPr>
          <w:sz w:val="20"/>
        </w:rPr>
      </w:pPr>
      <w:r>
        <w:rPr>
          <w:noProof/>
          <w:sz w:val="20"/>
        </w:rPr>
        <mc:AlternateContent>
          <mc:Choice Requires="wps">
            <w:drawing>
              <wp:anchor distT="0" distB="0" distL="0" distR="0" simplePos="0" relativeHeight="487608320" behindDoc="1" locked="0" layoutInCell="1" allowOverlap="1" wp14:anchorId="1E805F63" wp14:editId="1E805F64">
                <wp:simplePos x="0" y="0"/>
                <wp:positionH relativeFrom="page">
                  <wp:posOffset>900988</wp:posOffset>
                </wp:positionH>
                <wp:positionV relativeFrom="paragraph">
                  <wp:posOffset>198355</wp:posOffset>
                </wp:positionV>
                <wp:extent cx="1829435" cy="762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0C397" id="Graphic 69" o:spid="_x0000_s1026" style="position:absolute;margin-left:70.95pt;margin-top:15.6pt;width:144.05pt;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" path="m1829053,l,,,7620r1829053,l1829053,xe" fillcolor="black" stroked="f">
                <v:path arrowok="t"/>
                <w10:wrap type="topAndBottom" anchorx="page"/>
              </v:shape>
            </w:pict>
          </mc:Fallback>
        </mc:AlternateContent>
      </w:r>
    </w:p>
    <w:p w14:paraId="1E805B7D" w14:textId="77777777" w:rsidR="00AA4A02" w:rsidRDefault="00960F31">
      <w:pPr>
        <w:spacing w:before="93" w:line="208" w:lineRule="auto"/>
        <w:ind w:left="427" w:right="220" w:hanging="284"/>
        <w:rPr>
          <w:sz w:val="16"/>
        </w:rPr>
      </w:pPr>
      <w:r>
        <w:rPr>
          <w:sz w:val="16"/>
          <w:vertAlign w:val="superscript"/>
        </w:rPr>
        <w:t>45</w:t>
      </w:r>
      <w:r>
        <w:rPr>
          <w:spacing w:val="80"/>
          <w:w w:val="150"/>
          <w:sz w:val="16"/>
        </w:rPr>
        <w:t xml:space="preserve"> </w:t>
      </w:r>
      <w:r>
        <w:rPr>
          <w:sz w:val="16"/>
        </w:rPr>
        <w:t>The</w:t>
      </w:r>
      <w:r>
        <w:rPr>
          <w:spacing w:val="-3"/>
          <w:sz w:val="16"/>
        </w:rPr>
        <w:t xml:space="preserve"> </w:t>
      </w:r>
      <w:r>
        <w:rPr>
          <w:sz w:val="16"/>
        </w:rPr>
        <w:t>IAASB follows</w:t>
      </w:r>
      <w:r>
        <w:rPr>
          <w:spacing w:val="-3"/>
          <w:sz w:val="16"/>
        </w:rPr>
        <w:t xml:space="preserve"> </w:t>
      </w:r>
      <w:r>
        <w:rPr>
          <w:sz w:val="16"/>
        </w:rPr>
        <w:t>due</w:t>
      </w:r>
      <w:r>
        <w:rPr>
          <w:spacing w:val="-3"/>
          <w:sz w:val="16"/>
        </w:rPr>
        <w:t xml:space="preserve"> </w:t>
      </w:r>
      <w:r>
        <w:rPr>
          <w:sz w:val="16"/>
        </w:rPr>
        <w:t>process</w:t>
      </w:r>
      <w:r>
        <w:rPr>
          <w:spacing w:val="-4"/>
          <w:sz w:val="16"/>
        </w:rPr>
        <w:t xml:space="preserve"> </w:t>
      </w:r>
      <w:r>
        <w:rPr>
          <w:sz w:val="16"/>
        </w:rPr>
        <w:t>as</w:t>
      </w:r>
      <w:r>
        <w:rPr>
          <w:spacing w:val="-3"/>
          <w:sz w:val="16"/>
        </w:rPr>
        <w:t xml:space="preserve"> </w:t>
      </w:r>
      <w:r>
        <w:rPr>
          <w:sz w:val="16"/>
        </w:rPr>
        <w:t>approved</w:t>
      </w:r>
      <w:r>
        <w:rPr>
          <w:spacing w:val="-2"/>
          <w:sz w:val="16"/>
        </w:rPr>
        <w:t xml:space="preserve"> </w:t>
      </w:r>
      <w:r>
        <w:rPr>
          <w:sz w:val="16"/>
        </w:rPr>
        <w:t>by the</w:t>
      </w:r>
      <w:r>
        <w:rPr>
          <w:spacing w:val="-3"/>
          <w:sz w:val="16"/>
        </w:rPr>
        <w:t xml:space="preserve"> </w:t>
      </w:r>
      <w:r>
        <w:rPr>
          <w:sz w:val="16"/>
        </w:rPr>
        <w:t>PIOB and subject</w:t>
      </w:r>
      <w:r>
        <w:rPr>
          <w:spacing w:val="-2"/>
          <w:sz w:val="16"/>
        </w:rPr>
        <w:t xml:space="preserve"> </w:t>
      </w:r>
      <w:r>
        <w:rPr>
          <w:sz w:val="16"/>
        </w:rPr>
        <w:t>to</w:t>
      </w:r>
      <w:r>
        <w:rPr>
          <w:spacing w:val="-2"/>
          <w:sz w:val="16"/>
        </w:rPr>
        <w:t xml:space="preserve"> </w:t>
      </w:r>
      <w:r>
        <w:rPr>
          <w:sz w:val="16"/>
        </w:rPr>
        <w:t>Monitoring Group</w:t>
      </w:r>
      <w:r>
        <w:rPr>
          <w:spacing w:val="-2"/>
          <w:sz w:val="16"/>
        </w:rPr>
        <w:t xml:space="preserve"> </w:t>
      </w:r>
      <w:r>
        <w:rPr>
          <w:sz w:val="16"/>
        </w:rPr>
        <w:t>oversight. Adherence</w:t>
      </w:r>
      <w:r>
        <w:rPr>
          <w:spacing w:val="-3"/>
          <w:sz w:val="16"/>
        </w:rPr>
        <w:t xml:space="preserve"> </w:t>
      </w:r>
      <w:r>
        <w:rPr>
          <w:sz w:val="16"/>
        </w:rPr>
        <w:t>to,</w:t>
      </w:r>
      <w:r>
        <w:rPr>
          <w:spacing w:val="-3"/>
          <w:sz w:val="16"/>
        </w:rPr>
        <w:t xml:space="preserve"> </w:t>
      </w:r>
      <w:r>
        <w:rPr>
          <w:sz w:val="16"/>
        </w:rPr>
        <w:t>and</w:t>
      </w:r>
      <w:r>
        <w:rPr>
          <w:spacing w:val="-2"/>
          <w:sz w:val="16"/>
        </w:rPr>
        <w:t xml:space="preserve"> </w:t>
      </w:r>
      <w:r>
        <w:rPr>
          <w:sz w:val="16"/>
        </w:rPr>
        <w:t>oversight of,</w:t>
      </w:r>
      <w:r>
        <w:rPr>
          <w:spacing w:val="40"/>
          <w:sz w:val="16"/>
        </w:rPr>
        <w:t xml:space="preserve"> </w:t>
      </w:r>
      <w:r>
        <w:rPr>
          <w:sz w:val="16"/>
        </w:rPr>
        <w:t xml:space="preserve">due process by the IAASB (see </w:t>
      </w:r>
      <w:hyperlink r:id="rId104">
        <w:r>
          <w:rPr>
            <w:color w:val="0000FF"/>
            <w:sz w:val="16"/>
            <w:u w:val="single" w:color="0000FF"/>
          </w:rPr>
          <w:t xml:space="preserve">IAASB Factsheet </w:t>
        </w:r>
        <w:r>
          <w:rPr>
            <w:i/>
            <w:color w:val="0000FF"/>
            <w:sz w:val="16"/>
            <w:u w:val="single" w:color="0000FF"/>
          </w:rPr>
          <w:t xml:space="preserve">An Overview of the IAASB's Role and Standard-setting Process </w:t>
        </w:r>
        <w:r>
          <w:rPr>
            <w:color w:val="0000FF"/>
            <w:sz w:val="16"/>
            <w:u w:val="single" w:color="0000FF"/>
          </w:rPr>
          <w:t>(January 2017))</w:t>
        </w:r>
        <w:r>
          <w:rPr>
            <w:sz w:val="16"/>
          </w:rPr>
          <w:t>,</w:t>
        </w:r>
      </w:hyperlink>
      <w:r>
        <w:rPr>
          <w:spacing w:val="40"/>
          <w:sz w:val="16"/>
        </w:rPr>
        <w:t xml:space="preserve"> </w:t>
      </w:r>
      <w:r>
        <w:rPr>
          <w:sz w:val="16"/>
        </w:rPr>
        <w:t>ensures</w:t>
      </w:r>
      <w:r>
        <w:rPr>
          <w:spacing w:val="-3"/>
          <w:sz w:val="16"/>
        </w:rPr>
        <w:t xml:space="preserve"> </w:t>
      </w:r>
      <w:r>
        <w:rPr>
          <w:sz w:val="16"/>
        </w:rPr>
        <w:t>that</w:t>
      </w:r>
      <w:r>
        <w:rPr>
          <w:spacing w:val="-2"/>
          <w:sz w:val="16"/>
        </w:rPr>
        <w:t xml:space="preserve"> </w:t>
      </w:r>
      <w:r>
        <w:rPr>
          <w:sz w:val="16"/>
        </w:rPr>
        <w:t>all</w:t>
      </w:r>
      <w:r>
        <w:rPr>
          <w:spacing w:val="-2"/>
          <w:sz w:val="16"/>
        </w:rPr>
        <w:t xml:space="preserve"> </w:t>
      </w:r>
      <w:r>
        <w:rPr>
          <w:sz w:val="16"/>
        </w:rPr>
        <w:t>necessary</w:t>
      </w:r>
      <w:r>
        <w:rPr>
          <w:spacing w:val="-2"/>
          <w:sz w:val="16"/>
        </w:rPr>
        <w:t xml:space="preserve"> </w:t>
      </w:r>
      <w:r>
        <w:rPr>
          <w:sz w:val="16"/>
        </w:rPr>
        <w:t>procedures</w:t>
      </w:r>
      <w:r>
        <w:rPr>
          <w:spacing w:val="-3"/>
          <w:sz w:val="16"/>
        </w:rPr>
        <w:t xml:space="preserve"> </w:t>
      </w:r>
      <w:r>
        <w:rPr>
          <w:sz w:val="16"/>
        </w:rPr>
        <w:t>for</w:t>
      </w:r>
      <w:r>
        <w:rPr>
          <w:spacing w:val="-2"/>
          <w:sz w:val="16"/>
        </w:rPr>
        <w:t xml:space="preserve"> </w:t>
      </w:r>
      <w:r>
        <w:rPr>
          <w:sz w:val="16"/>
        </w:rPr>
        <w:t>the</w:t>
      </w:r>
      <w:r>
        <w:rPr>
          <w:spacing w:val="-3"/>
          <w:sz w:val="16"/>
        </w:rPr>
        <w:t xml:space="preserve"> </w:t>
      </w:r>
      <w:r>
        <w:rPr>
          <w:sz w:val="16"/>
        </w:rPr>
        <w:t>development</w:t>
      </w:r>
      <w:r>
        <w:rPr>
          <w:spacing w:val="-2"/>
          <w:sz w:val="16"/>
        </w:rPr>
        <w:t xml:space="preserve"> </w:t>
      </w:r>
      <w:r>
        <w:rPr>
          <w:sz w:val="16"/>
        </w:rPr>
        <w:t>of</w:t>
      </w:r>
      <w:r>
        <w:rPr>
          <w:spacing w:val="-4"/>
          <w:sz w:val="16"/>
        </w:rPr>
        <w:t xml:space="preserve"> </w:t>
      </w:r>
      <w:r>
        <w:rPr>
          <w:sz w:val="16"/>
        </w:rPr>
        <w:t>high-quality</w:t>
      </w:r>
      <w:r>
        <w:rPr>
          <w:spacing w:val="-1"/>
          <w:sz w:val="16"/>
        </w:rPr>
        <w:t xml:space="preserve"> </w:t>
      </w:r>
      <w:r>
        <w:rPr>
          <w:sz w:val="16"/>
        </w:rPr>
        <w:t>international standards</w:t>
      </w:r>
      <w:r>
        <w:rPr>
          <w:spacing w:val="-3"/>
          <w:sz w:val="16"/>
        </w:rPr>
        <w:t xml:space="preserve"> </w:t>
      </w:r>
      <w:r>
        <w:rPr>
          <w:sz w:val="16"/>
        </w:rPr>
        <w:t>have</w:t>
      </w:r>
      <w:r>
        <w:rPr>
          <w:spacing w:val="-3"/>
          <w:sz w:val="16"/>
        </w:rPr>
        <w:t xml:space="preserve"> </w:t>
      </w:r>
      <w:r>
        <w:rPr>
          <w:sz w:val="16"/>
        </w:rPr>
        <w:t>been</w:t>
      </w:r>
      <w:r>
        <w:rPr>
          <w:spacing w:val="-2"/>
          <w:sz w:val="16"/>
        </w:rPr>
        <w:t xml:space="preserve"> </w:t>
      </w:r>
      <w:r>
        <w:rPr>
          <w:sz w:val="16"/>
        </w:rPr>
        <w:t>executed,</w:t>
      </w:r>
      <w:r>
        <w:rPr>
          <w:spacing w:val="-3"/>
          <w:sz w:val="16"/>
        </w:rPr>
        <w:t xml:space="preserve"> </w:t>
      </w:r>
      <w:r>
        <w:rPr>
          <w:sz w:val="16"/>
        </w:rPr>
        <w:t>thereby</w:t>
      </w:r>
      <w:r>
        <w:rPr>
          <w:spacing w:val="-2"/>
          <w:sz w:val="16"/>
        </w:rPr>
        <w:t xml:space="preserve"> </w:t>
      </w:r>
      <w:r>
        <w:rPr>
          <w:sz w:val="16"/>
        </w:rPr>
        <w:t>enabling</w:t>
      </w:r>
      <w:r>
        <w:rPr>
          <w:spacing w:val="40"/>
          <w:sz w:val="16"/>
        </w:rPr>
        <w:t xml:space="preserve"> </w:t>
      </w:r>
      <w:r>
        <w:rPr>
          <w:sz w:val="16"/>
        </w:rPr>
        <w:t>the appropriate evaluation, balancing and weighing of evidence and diverse stakeholder viewpoints.</w:t>
      </w:r>
    </w:p>
    <w:p w14:paraId="1E805B7E" w14:textId="77777777" w:rsidR="00AA4A02" w:rsidRDefault="00960F31">
      <w:pPr>
        <w:spacing w:line="151" w:lineRule="exact"/>
        <w:ind w:left="143"/>
        <w:rPr>
          <w:sz w:val="16"/>
        </w:rPr>
      </w:pPr>
      <w:r>
        <w:rPr>
          <w:sz w:val="16"/>
          <w:vertAlign w:val="superscript"/>
        </w:rPr>
        <w:t>46</w:t>
      </w:r>
      <w:r>
        <w:rPr>
          <w:spacing w:val="47"/>
          <w:sz w:val="16"/>
        </w:rPr>
        <w:t xml:space="preserve">  </w:t>
      </w:r>
      <w:r>
        <w:rPr>
          <w:sz w:val="16"/>
        </w:rPr>
        <w:t>See</w:t>
      </w:r>
      <w:r>
        <w:rPr>
          <w:spacing w:val="-1"/>
          <w:sz w:val="16"/>
        </w:rPr>
        <w:t xml:space="preserve"> </w:t>
      </w:r>
      <w:r>
        <w:rPr>
          <w:sz w:val="16"/>
        </w:rPr>
        <w:t>footnotes</w:t>
      </w:r>
      <w:r>
        <w:rPr>
          <w:spacing w:val="-4"/>
          <w:sz w:val="16"/>
        </w:rPr>
        <w:t xml:space="preserve"> </w:t>
      </w:r>
      <w:r>
        <w:rPr>
          <w:sz w:val="16"/>
        </w:rPr>
        <w:t>29 and</w:t>
      </w:r>
      <w:r>
        <w:rPr>
          <w:spacing w:val="-2"/>
          <w:sz w:val="16"/>
        </w:rPr>
        <w:t xml:space="preserve"> </w:t>
      </w:r>
      <w:r>
        <w:rPr>
          <w:spacing w:val="-5"/>
          <w:sz w:val="16"/>
        </w:rPr>
        <w:t>79.</w:t>
      </w:r>
    </w:p>
    <w:p w14:paraId="1E805B7F" w14:textId="77777777" w:rsidR="00AA4A02" w:rsidRDefault="00960F31">
      <w:pPr>
        <w:spacing w:line="172" w:lineRule="exact"/>
        <w:ind w:left="143"/>
        <w:rPr>
          <w:sz w:val="16"/>
        </w:rPr>
      </w:pPr>
      <w:r>
        <w:rPr>
          <w:sz w:val="16"/>
          <w:vertAlign w:val="superscript"/>
        </w:rPr>
        <w:t>47</w:t>
      </w:r>
      <w:r>
        <w:rPr>
          <w:spacing w:val="48"/>
          <w:sz w:val="16"/>
        </w:rPr>
        <w:t xml:space="preserve">  </w:t>
      </w:r>
      <w:r>
        <w:rPr>
          <w:sz w:val="16"/>
        </w:rPr>
        <w:t>See</w:t>
      </w:r>
      <w:r>
        <w:rPr>
          <w:spacing w:val="-1"/>
          <w:sz w:val="16"/>
        </w:rPr>
        <w:t xml:space="preserve"> </w:t>
      </w:r>
      <w:r>
        <w:rPr>
          <w:sz w:val="16"/>
        </w:rPr>
        <w:t>paragraph</w:t>
      </w:r>
      <w:r>
        <w:rPr>
          <w:spacing w:val="-2"/>
          <w:sz w:val="16"/>
        </w:rPr>
        <w:t xml:space="preserve"> </w:t>
      </w:r>
      <w:r>
        <w:rPr>
          <w:sz w:val="16"/>
        </w:rPr>
        <w:t>43</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B80" w14:textId="77777777" w:rsidR="00AA4A02" w:rsidRDefault="00AA4A02">
      <w:pPr>
        <w:spacing w:line="172" w:lineRule="exact"/>
        <w:rPr>
          <w:sz w:val="16"/>
        </w:rPr>
        <w:sectPr w:rsidR="00AA4A02">
          <w:headerReference w:type="default" r:id="rId105"/>
          <w:footerReference w:type="default" r:id="rId106"/>
          <w:pgSz w:w="11910" w:h="16840"/>
          <w:pgMar w:top="1380" w:right="1275" w:bottom="1040" w:left="1275" w:header="689" w:footer="842" w:gutter="0"/>
          <w:cols w:space="720"/>
        </w:sectPr>
      </w:pPr>
    </w:p>
    <w:p w14:paraId="1E805B81" w14:textId="77777777" w:rsidR="00AA4A02" w:rsidRDefault="00960F31">
      <w:pPr>
        <w:spacing w:before="195"/>
        <w:ind w:left="143"/>
        <w:rPr>
          <w:b/>
          <w:i/>
        </w:rPr>
      </w:pPr>
      <w:r>
        <w:rPr>
          <w:b/>
          <w:i/>
        </w:rPr>
        <w:lastRenderedPageBreak/>
        <w:t>Develop</w:t>
      </w:r>
      <w:r>
        <w:rPr>
          <w:b/>
          <w:i/>
          <w:spacing w:val="-4"/>
        </w:rPr>
        <w:t xml:space="preserve"> </w:t>
      </w:r>
      <w:r>
        <w:rPr>
          <w:b/>
          <w:i/>
        </w:rPr>
        <w:t>and</w:t>
      </w:r>
      <w:r>
        <w:rPr>
          <w:b/>
          <w:i/>
          <w:spacing w:val="-4"/>
        </w:rPr>
        <w:t xml:space="preserve"> </w:t>
      </w:r>
      <w:r>
        <w:rPr>
          <w:b/>
          <w:i/>
        </w:rPr>
        <w:t>approve</w:t>
      </w:r>
      <w:r>
        <w:rPr>
          <w:b/>
          <w:i/>
          <w:spacing w:val="-4"/>
        </w:rPr>
        <w:t xml:space="preserve"> </w:t>
      </w:r>
      <w:r>
        <w:rPr>
          <w:b/>
          <w:i/>
        </w:rPr>
        <w:t>a</w:t>
      </w:r>
      <w:r>
        <w:rPr>
          <w:b/>
          <w:i/>
          <w:spacing w:val="-3"/>
        </w:rPr>
        <w:t xml:space="preserve"> </w:t>
      </w:r>
      <w:r>
        <w:rPr>
          <w:b/>
          <w:i/>
        </w:rPr>
        <w:t>Project</w:t>
      </w:r>
      <w:r>
        <w:rPr>
          <w:b/>
          <w:i/>
          <w:spacing w:val="-1"/>
        </w:rPr>
        <w:t xml:space="preserve"> </w:t>
      </w:r>
      <w:r>
        <w:rPr>
          <w:b/>
          <w:i/>
          <w:spacing w:val="-4"/>
        </w:rPr>
        <w:t>Plan</w:t>
      </w:r>
    </w:p>
    <w:p w14:paraId="1E805B82" w14:textId="77777777" w:rsidR="00AA4A02" w:rsidRDefault="00960F31">
      <w:pPr>
        <w:pStyle w:val="ListParagraph"/>
        <w:numPr>
          <w:ilvl w:val="0"/>
          <w:numId w:val="29"/>
        </w:numPr>
        <w:tabs>
          <w:tab w:val="left" w:pos="851"/>
        </w:tabs>
        <w:spacing w:before="192" w:line="208" w:lineRule="auto"/>
        <w:ind w:right="225"/>
      </w:pPr>
      <w:r>
        <w:t>When</w:t>
      </w:r>
      <w:r>
        <w:rPr>
          <w:spacing w:val="-4"/>
        </w:rPr>
        <w:t xml:space="preserve"> </w:t>
      </w:r>
      <w:r>
        <w:t>the</w:t>
      </w:r>
      <w:r>
        <w:rPr>
          <w:spacing w:val="-1"/>
        </w:rPr>
        <w:t xml:space="preserve"> </w:t>
      </w:r>
      <w:r>
        <w:t>IAASB</w:t>
      </w:r>
      <w:r>
        <w:rPr>
          <w:spacing w:val="-3"/>
        </w:rPr>
        <w:t xml:space="preserve"> </w:t>
      </w:r>
      <w:r>
        <w:t>initiates</w:t>
      </w:r>
      <w:r>
        <w:rPr>
          <w:spacing w:val="-3"/>
        </w:rPr>
        <w:t xml:space="preserve"> </w:t>
      </w:r>
      <w:r>
        <w:t>a</w:t>
      </w:r>
      <w:r>
        <w:rPr>
          <w:spacing w:val="-1"/>
        </w:rPr>
        <w:t xml:space="preserve"> </w:t>
      </w:r>
      <w:r>
        <w:t>project,</w:t>
      </w:r>
      <w:r>
        <w:rPr>
          <w:spacing w:val="-4"/>
        </w:rPr>
        <w:t xml:space="preserve"> </w:t>
      </w:r>
      <w:r>
        <w:t>technical</w:t>
      </w:r>
      <w:r>
        <w:rPr>
          <w:spacing w:val="-3"/>
        </w:rPr>
        <w:t xml:space="preserve"> </w:t>
      </w:r>
      <w:r>
        <w:t>staff</w:t>
      </w:r>
      <w:r>
        <w:rPr>
          <w:spacing w:val="-3"/>
        </w:rPr>
        <w:t xml:space="preserve"> </w:t>
      </w:r>
      <w:r>
        <w:t>analyse</w:t>
      </w:r>
      <w:r>
        <w:rPr>
          <w:spacing w:val="-1"/>
        </w:rPr>
        <w:t xml:space="preserve"> </w:t>
      </w:r>
      <w:r>
        <w:t>and</w:t>
      </w:r>
      <w:r>
        <w:rPr>
          <w:spacing w:val="-4"/>
        </w:rPr>
        <w:t xml:space="preserve"> </w:t>
      </w:r>
      <w:r>
        <w:t>research</w:t>
      </w:r>
      <w:r>
        <w:rPr>
          <w:spacing w:val="-3"/>
        </w:rPr>
        <w:t xml:space="preserve"> </w:t>
      </w:r>
      <w:r>
        <w:t>the</w:t>
      </w:r>
      <w:r>
        <w:rPr>
          <w:spacing w:val="-3"/>
        </w:rPr>
        <w:t xml:space="preserve"> </w:t>
      </w:r>
      <w:r>
        <w:t>issues</w:t>
      </w:r>
      <w:r>
        <w:rPr>
          <w:spacing w:val="-1"/>
        </w:rPr>
        <w:t xml:space="preserve"> </w:t>
      </w:r>
      <w:r>
        <w:t xml:space="preserve">underlying the project. Based on this research and any consultation deemed necessary, staff prepare a </w:t>
      </w:r>
      <w:r>
        <w:rPr>
          <w:i/>
        </w:rPr>
        <w:t xml:space="preserve">Project Plan </w:t>
      </w:r>
      <w:r>
        <w:t>for AUASB approval, which sets out:</w:t>
      </w:r>
    </w:p>
    <w:p w14:paraId="1E805B83" w14:textId="77777777" w:rsidR="00AA4A02" w:rsidRDefault="00960F31">
      <w:pPr>
        <w:pStyle w:val="ListParagraph"/>
        <w:numPr>
          <w:ilvl w:val="0"/>
          <w:numId w:val="18"/>
        </w:numPr>
        <w:tabs>
          <w:tab w:val="left" w:pos="1562"/>
        </w:tabs>
        <w:spacing w:before="187" w:line="208" w:lineRule="auto"/>
        <w:ind w:right="363"/>
      </w:pPr>
      <w:r>
        <w:t>the AUASB sponsor (an AUASB member who is a subject matter expert) and responsible</w:t>
      </w:r>
      <w:r>
        <w:rPr>
          <w:spacing w:val="-5"/>
        </w:rPr>
        <w:t xml:space="preserve"> </w:t>
      </w:r>
      <w:r>
        <w:t>technical</w:t>
      </w:r>
      <w:r>
        <w:rPr>
          <w:spacing w:val="-2"/>
        </w:rPr>
        <w:t xml:space="preserve"> </w:t>
      </w:r>
      <w:r>
        <w:t>staff</w:t>
      </w:r>
      <w:r>
        <w:rPr>
          <w:spacing w:val="-5"/>
        </w:rPr>
        <w:t xml:space="preserve"> </w:t>
      </w:r>
      <w:r>
        <w:t>member(s)</w:t>
      </w:r>
      <w:r>
        <w:rPr>
          <w:spacing w:val="-3"/>
        </w:rPr>
        <w:t xml:space="preserve"> </w:t>
      </w:r>
      <w:r>
        <w:t>with</w:t>
      </w:r>
      <w:r>
        <w:rPr>
          <w:spacing w:val="-6"/>
        </w:rPr>
        <w:t xml:space="preserve"> </w:t>
      </w:r>
      <w:r>
        <w:t>the</w:t>
      </w:r>
      <w:r>
        <w:rPr>
          <w:spacing w:val="-3"/>
        </w:rPr>
        <w:t xml:space="preserve"> </w:t>
      </w:r>
      <w:r>
        <w:t>appropriate</w:t>
      </w:r>
      <w:r>
        <w:rPr>
          <w:spacing w:val="-3"/>
        </w:rPr>
        <w:t xml:space="preserve"> </w:t>
      </w:r>
      <w:r>
        <w:t>knowledge,</w:t>
      </w:r>
      <w:r>
        <w:rPr>
          <w:spacing w:val="-3"/>
        </w:rPr>
        <w:t xml:space="preserve"> </w:t>
      </w:r>
      <w:r>
        <w:t>expertise</w:t>
      </w:r>
      <w:r>
        <w:rPr>
          <w:spacing w:val="-5"/>
        </w:rPr>
        <w:t xml:space="preserve"> </w:t>
      </w:r>
      <w:r>
        <w:t xml:space="preserve">and </w:t>
      </w:r>
      <w:r>
        <w:rPr>
          <w:spacing w:val="-2"/>
        </w:rPr>
        <w:t>capacity;</w:t>
      </w:r>
    </w:p>
    <w:p w14:paraId="1E805B84" w14:textId="77777777" w:rsidR="00AA4A02" w:rsidRDefault="00960F31">
      <w:pPr>
        <w:pStyle w:val="ListParagraph"/>
        <w:numPr>
          <w:ilvl w:val="0"/>
          <w:numId w:val="18"/>
        </w:numPr>
        <w:tabs>
          <w:tab w:val="left" w:pos="1562"/>
        </w:tabs>
        <w:spacing w:before="185" w:line="208" w:lineRule="auto"/>
        <w:ind w:right="264"/>
      </w:pPr>
      <w:r>
        <w:t>recommended</w:t>
      </w:r>
      <w:r>
        <w:rPr>
          <w:spacing w:val="-2"/>
        </w:rPr>
        <w:t xml:space="preserve"> </w:t>
      </w:r>
      <w:r>
        <w:t>activities</w:t>
      </w:r>
      <w:r>
        <w:rPr>
          <w:spacing w:val="-4"/>
        </w:rPr>
        <w:t xml:space="preserve"> </w:t>
      </w:r>
      <w:r>
        <w:t>to</w:t>
      </w:r>
      <w:r>
        <w:rPr>
          <w:spacing w:val="-5"/>
        </w:rPr>
        <w:t xml:space="preserve"> </w:t>
      </w:r>
      <w:r>
        <w:t>best</w:t>
      </w:r>
      <w:r>
        <w:rPr>
          <w:spacing w:val="-4"/>
        </w:rPr>
        <w:t xml:space="preserve"> </w:t>
      </w:r>
      <w:r>
        <w:t>input</w:t>
      </w:r>
      <w:r>
        <w:rPr>
          <w:spacing w:val="-4"/>
        </w:rPr>
        <w:t xml:space="preserve"> </w:t>
      </w:r>
      <w:r>
        <w:t>into</w:t>
      </w:r>
      <w:r>
        <w:rPr>
          <w:spacing w:val="-5"/>
        </w:rPr>
        <w:t xml:space="preserve"> </w:t>
      </w:r>
      <w:r>
        <w:t>and</w:t>
      </w:r>
      <w:r>
        <w:rPr>
          <w:spacing w:val="-4"/>
        </w:rPr>
        <w:t xml:space="preserve"> </w:t>
      </w:r>
      <w:r>
        <w:t>influence</w:t>
      </w:r>
      <w:r>
        <w:rPr>
          <w:spacing w:val="-2"/>
        </w:rPr>
        <w:t xml:space="preserve"> </w:t>
      </w:r>
      <w:r>
        <w:t>the</w:t>
      </w:r>
      <w:r>
        <w:rPr>
          <w:spacing w:val="-4"/>
        </w:rPr>
        <w:t xml:space="preserve"> </w:t>
      </w:r>
      <w:r>
        <w:t>direction</w:t>
      </w:r>
      <w:r>
        <w:rPr>
          <w:spacing w:val="-2"/>
        </w:rPr>
        <w:t xml:space="preserve"> </w:t>
      </w:r>
      <w:r>
        <w:t>of</w:t>
      </w:r>
      <w:r>
        <w:rPr>
          <w:spacing w:val="-4"/>
        </w:rPr>
        <w:t xml:space="preserve"> </w:t>
      </w:r>
      <w:r>
        <w:t>the</w:t>
      </w:r>
      <w:r>
        <w:rPr>
          <w:spacing w:val="-4"/>
        </w:rPr>
        <w:t xml:space="preserve"> </w:t>
      </w:r>
      <w:r>
        <w:t>IAASB</w:t>
      </w:r>
      <w:r>
        <w:rPr>
          <w:spacing w:val="-4"/>
        </w:rPr>
        <w:t xml:space="preserve"> </w:t>
      </w:r>
      <w:r>
        <w:t>at each stage of the project;</w:t>
      </w:r>
    </w:p>
    <w:p w14:paraId="1E805B85" w14:textId="77777777" w:rsidR="00AA4A02" w:rsidRDefault="00960F31">
      <w:pPr>
        <w:pStyle w:val="ListParagraph"/>
        <w:numPr>
          <w:ilvl w:val="0"/>
          <w:numId w:val="18"/>
        </w:numPr>
        <w:tabs>
          <w:tab w:val="left" w:pos="1562"/>
        </w:tabs>
        <w:spacing w:before="157"/>
      </w:pPr>
      <w:r>
        <w:t>nature,</w:t>
      </w:r>
      <w:r>
        <w:rPr>
          <w:spacing w:val="-7"/>
        </w:rPr>
        <w:t xml:space="preserve"> </w:t>
      </w:r>
      <w:r>
        <w:t>timing</w:t>
      </w:r>
      <w:r>
        <w:rPr>
          <w:spacing w:val="-2"/>
        </w:rPr>
        <w:t xml:space="preserve"> </w:t>
      </w:r>
      <w:r>
        <w:t>and</w:t>
      </w:r>
      <w:r>
        <w:rPr>
          <w:spacing w:val="-4"/>
        </w:rPr>
        <w:t xml:space="preserve"> </w:t>
      </w:r>
      <w:r>
        <w:t>extent</w:t>
      </w:r>
      <w:r>
        <w:rPr>
          <w:spacing w:val="-1"/>
        </w:rPr>
        <w:t xml:space="preserve"> </w:t>
      </w:r>
      <w:r>
        <w:t>of</w:t>
      </w:r>
      <w:r>
        <w:rPr>
          <w:spacing w:val="-4"/>
        </w:rPr>
        <w:t xml:space="preserve"> </w:t>
      </w:r>
      <w:r>
        <w:t>input</w:t>
      </w:r>
      <w:r>
        <w:rPr>
          <w:spacing w:val="-2"/>
        </w:rPr>
        <w:t xml:space="preserve"> </w:t>
      </w:r>
      <w:r>
        <w:t>to</w:t>
      </w:r>
      <w:r>
        <w:rPr>
          <w:spacing w:val="-5"/>
        </w:rPr>
        <w:t xml:space="preserve"> </w:t>
      </w:r>
      <w:r>
        <w:t>be</w:t>
      </w:r>
      <w:r>
        <w:rPr>
          <w:spacing w:val="-2"/>
        </w:rPr>
        <w:t xml:space="preserve"> </w:t>
      </w:r>
      <w:r>
        <w:t>obtained</w:t>
      </w:r>
      <w:r>
        <w:rPr>
          <w:spacing w:val="-4"/>
        </w:rPr>
        <w:t xml:space="preserve"> </w:t>
      </w:r>
      <w:r>
        <w:t>from</w:t>
      </w:r>
      <w:r>
        <w:rPr>
          <w:spacing w:val="-4"/>
        </w:rPr>
        <w:t xml:space="preserve"> </w:t>
      </w:r>
      <w:r>
        <w:t>Australian</w:t>
      </w:r>
      <w:r>
        <w:rPr>
          <w:spacing w:val="-4"/>
        </w:rPr>
        <w:t xml:space="preserve"> </w:t>
      </w:r>
      <w:r>
        <w:rPr>
          <w:spacing w:val="-2"/>
        </w:rPr>
        <w:t>stakeholders.</w:t>
      </w:r>
    </w:p>
    <w:p w14:paraId="1E805B86" w14:textId="77777777" w:rsidR="00AA4A02" w:rsidRDefault="00960F31">
      <w:pPr>
        <w:pStyle w:val="ListParagraph"/>
        <w:numPr>
          <w:ilvl w:val="0"/>
          <w:numId w:val="18"/>
        </w:numPr>
        <w:tabs>
          <w:tab w:val="left" w:pos="1562"/>
        </w:tabs>
        <w:spacing w:before="180" w:line="208" w:lineRule="auto"/>
        <w:ind w:right="271"/>
      </w:pPr>
      <w:r>
        <w:t>opportunities</w:t>
      </w:r>
      <w:r>
        <w:rPr>
          <w:spacing w:val="-4"/>
        </w:rPr>
        <w:t xml:space="preserve"> </w:t>
      </w:r>
      <w:r>
        <w:t>to</w:t>
      </w:r>
      <w:r>
        <w:rPr>
          <w:spacing w:val="-3"/>
        </w:rPr>
        <w:t xml:space="preserve"> </w:t>
      </w:r>
      <w:r>
        <w:t>collaborate</w:t>
      </w:r>
      <w:r>
        <w:rPr>
          <w:spacing w:val="-4"/>
        </w:rPr>
        <w:t xml:space="preserve"> </w:t>
      </w:r>
      <w:r>
        <w:t>with</w:t>
      </w:r>
      <w:r>
        <w:rPr>
          <w:spacing w:val="-5"/>
        </w:rPr>
        <w:t xml:space="preserve"> </w:t>
      </w:r>
      <w:r>
        <w:t>the</w:t>
      </w:r>
      <w:r>
        <w:rPr>
          <w:spacing w:val="-3"/>
        </w:rPr>
        <w:t xml:space="preserve"> </w:t>
      </w:r>
      <w:r>
        <w:t>NZAuASB</w:t>
      </w:r>
      <w:r>
        <w:rPr>
          <w:spacing w:val="-4"/>
        </w:rPr>
        <w:t xml:space="preserve"> </w:t>
      </w:r>
      <w:r>
        <w:t>and</w:t>
      </w:r>
      <w:r>
        <w:rPr>
          <w:spacing w:val="-4"/>
        </w:rPr>
        <w:t xml:space="preserve"> </w:t>
      </w:r>
      <w:r>
        <w:t>other</w:t>
      </w:r>
      <w:r>
        <w:rPr>
          <w:spacing w:val="-2"/>
        </w:rPr>
        <w:t xml:space="preserve"> </w:t>
      </w:r>
      <w:r>
        <w:t>national</w:t>
      </w:r>
      <w:r>
        <w:rPr>
          <w:spacing w:val="-2"/>
        </w:rPr>
        <w:t xml:space="preserve"> </w:t>
      </w:r>
      <w:r>
        <w:t>standard</w:t>
      </w:r>
      <w:r>
        <w:rPr>
          <w:spacing w:val="-5"/>
        </w:rPr>
        <w:t xml:space="preserve"> </w:t>
      </w:r>
      <w:r>
        <w:t>setters</w:t>
      </w:r>
      <w:r>
        <w:rPr>
          <w:spacing w:val="-3"/>
        </w:rPr>
        <w:t xml:space="preserve"> </w:t>
      </w:r>
      <w:r>
        <w:t>to maximise the contribution to, and influence on, the IAASB;</w:t>
      </w:r>
    </w:p>
    <w:p w14:paraId="1E805B87" w14:textId="77777777" w:rsidR="00AA4A02" w:rsidRDefault="00960F31">
      <w:pPr>
        <w:pStyle w:val="ListParagraph"/>
        <w:numPr>
          <w:ilvl w:val="0"/>
          <w:numId w:val="18"/>
        </w:numPr>
        <w:tabs>
          <w:tab w:val="left" w:pos="1562"/>
        </w:tabs>
        <w:spacing w:before="184" w:line="208" w:lineRule="auto"/>
        <w:ind w:right="246"/>
      </w:pPr>
      <w:r>
        <w:t>potential</w:t>
      </w:r>
      <w:r>
        <w:rPr>
          <w:spacing w:val="-1"/>
        </w:rPr>
        <w:t xml:space="preserve"> </w:t>
      </w:r>
      <w:r>
        <w:t>need</w:t>
      </w:r>
      <w:r>
        <w:rPr>
          <w:spacing w:val="-5"/>
        </w:rPr>
        <w:t xml:space="preserve"> </w:t>
      </w:r>
      <w:r>
        <w:t>for</w:t>
      </w:r>
      <w:r>
        <w:rPr>
          <w:spacing w:val="-4"/>
        </w:rPr>
        <w:t xml:space="preserve"> </w:t>
      </w:r>
      <w:r>
        <w:t>appointment</w:t>
      </w:r>
      <w:r>
        <w:rPr>
          <w:spacing w:val="-1"/>
        </w:rPr>
        <w:t xml:space="preserve"> </w:t>
      </w:r>
      <w:r>
        <w:t>of</w:t>
      </w:r>
      <w:r>
        <w:rPr>
          <w:spacing w:val="-2"/>
        </w:rPr>
        <w:t xml:space="preserve"> </w:t>
      </w:r>
      <w:r>
        <w:t>an</w:t>
      </w:r>
      <w:r>
        <w:rPr>
          <w:spacing w:val="-2"/>
        </w:rPr>
        <w:t xml:space="preserve"> </w:t>
      </w:r>
      <w:r>
        <w:t>AUASB</w:t>
      </w:r>
      <w:r>
        <w:rPr>
          <w:spacing w:val="-4"/>
        </w:rPr>
        <w:t xml:space="preserve"> </w:t>
      </w:r>
      <w:r>
        <w:t>PAG</w:t>
      </w:r>
      <w:r>
        <w:rPr>
          <w:spacing w:val="-3"/>
        </w:rPr>
        <w:t xml:space="preserve"> </w:t>
      </w:r>
      <w:r>
        <w:t>to</w:t>
      </w:r>
      <w:r>
        <w:rPr>
          <w:spacing w:val="-5"/>
        </w:rPr>
        <w:t xml:space="preserve"> </w:t>
      </w:r>
      <w:r>
        <w:t>provide</w:t>
      </w:r>
      <w:r>
        <w:rPr>
          <w:spacing w:val="-4"/>
        </w:rPr>
        <w:t xml:space="preserve"> </w:t>
      </w:r>
      <w:r>
        <w:t>input</w:t>
      </w:r>
      <w:r>
        <w:rPr>
          <w:spacing w:val="-1"/>
        </w:rPr>
        <w:t xml:space="preserve"> </w:t>
      </w:r>
      <w:r>
        <w:t>in</w:t>
      </w:r>
      <w:r>
        <w:rPr>
          <w:spacing w:val="-5"/>
        </w:rPr>
        <w:t xml:space="preserve"> </w:t>
      </w:r>
      <w:r>
        <w:t>developing</w:t>
      </w:r>
      <w:r>
        <w:rPr>
          <w:spacing w:val="-5"/>
        </w:rPr>
        <w:t xml:space="preserve"> </w:t>
      </w:r>
      <w:r>
        <w:t>the Australian equivalent standard;</w:t>
      </w:r>
    </w:p>
    <w:p w14:paraId="1E805B88" w14:textId="77777777" w:rsidR="00AA4A02" w:rsidRDefault="00960F31">
      <w:pPr>
        <w:pStyle w:val="ListParagraph"/>
        <w:numPr>
          <w:ilvl w:val="0"/>
          <w:numId w:val="18"/>
        </w:numPr>
        <w:tabs>
          <w:tab w:val="left" w:pos="1562"/>
        </w:tabs>
        <w:spacing w:before="186" w:line="208" w:lineRule="auto"/>
        <w:ind w:right="261"/>
      </w:pPr>
      <w:r>
        <w:t>a</w:t>
      </w:r>
      <w:r>
        <w:rPr>
          <w:spacing w:val="-3"/>
        </w:rPr>
        <w:t xml:space="preserve"> </w:t>
      </w:r>
      <w:r>
        <w:t>preliminary</w:t>
      </w:r>
      <w:r>
        <w:rPr>
          <w:spacing w:val="-3"/>
        </w:rPr>
        <w:t xml:space="preserve"> </w:t>
      </w:r>
      <w:r>
        <w:t>assessment</w:t>
      </w:r>
      <w:r>
        <w:rPr>
          <w:spacing w:val="-4"/>
        </w:rPr>
        <w:t xml:space="preserve"> </w:t>
      </w:r>
      <w:r>
        <w:t>of</w:t>
      </w:r>
      <w:r>
        <w:rPr>
          <w:spacing w:val="-5"/>
        </w:rPr>
        <w:t xml:space="preserve"> </w:t>
      </w:r>
      <w:r>
        <w:t>the</w:t>
      </w:r>
      <w:r>
        <w:rPr>
          <w:spacing w:val="-5"/>
        </w:rPr>
        <w:t xml:space="preserve"> </w:t>
      </w:r>
      <w:r>
        <w:t>‘compelling</w:t>
      </w:r>
      <w:r>
        <w:rPr>
          <w:spacing w:val="-6"/>
        </w:rPr>
        <w:t xml:space="preserve"> </w:t>
      </w:r>
      <w:r>
        <w:t>reasons’</w:t>
      </w:r>
      <w:r>
        <w:rPr>
          <w:spacing w:val="-3"/>
        </w:rPr>
        <w:t xml:space="preserve"> </w:t>
      </w:r>
      <w:r>
        <w:t>that</w:t>
      </w:r>
      <w:r>
        <w:rPr>
          <w:spacing w:val="-5"/>
        </w:rPr>
        <w:t xml:space="preserve"> </w:t>
      </w:r>
      <w:r>
        <w:t>may</w:t>
      </w:r>
      <w:r>
        <w:rPr>
          <w:spacing w:val="-3"/>
        </w:rPr>
        <w:t xml:space="preserve"> </w:t>
      </w:r>
      <w:r>
        <w:t>exist</w:t>
      </w:r>
      <w:r>
        <w:rPr>
          <w:spacing w:val="-2"/>
        </w:rPr>
        <w:t xml:space="preserve"> </w:t>
      </w:r>
      <w:r>
        <w:t>when</w:t>
      </w:r>
      <w:r>
        <w:rPr>
          <w:spacing w:val="-3"/>
        </w:rPr>
        <w:t xml:space="preserve"> </w:t>
      </w:r>
      <w:r>
        <w:t>developing the Australian equivalent standard;</w:t>
      </w:r>
    </w:p>
    <w:p w14:paraId="1E805B89" w14:textId="77777777" w:rsidR="00AA4A02" w:rsidRDefault="00960F31">
      <w:pPr>
        <w:pStyle w:val="ListParagraph"/>
        <w:numPr>
          <w:ilvl w:val="0"/>
          <w:numId w:val="18"/>
        </w:numPr>
        <w:tabs>
          <w:tab w:val="left" w:pos="1562"/>
        </w:tabs>
        <w:spacing w:before="158"/>
      </w:pPr>
      <w:r>
        <w:t>significant</w:t>
      </w:r>
      <w:r>
        <w:rPr>
          <w:spacing w:val="-7"/>
        </w:rPr>
        <w:t xml:space="preserve"> </w:t>
      </w:r>
      <w:r>
        <w:t>issues</w:t>
      </w:r>
      <w:r>
        <w:rPr>
          <w:spacing w:val="-4"/>
        </w:rPr>
        <w:t xml:space="preserve"> </w:t>
      </w:r>
      <w:r>
        <w:t>likely</w:t>
      </w:r>
      <w:r>
        <w:rPr>
          <w:spacing w:val="-6"/>
        </w:rPr>
        <w:t xml:space="preserve"> </w:t>
      </w:r>
      <w:r>
        <w:t>to</w:t>
      </w:r>
      <w:r>
        <w:rPr>
          <w:spacing w:val="-5"/>
        </w:rPr>
        <w:t xml:space="preserve"> </w:t>
      </w:r>
      <w:r>
        <w:t>be</w:t>
      </w:r>
      <w:r>
        <w:rPr>
          <w:spacing w:val="-3"/>
        </w:rPr>
        <w:t xml:space="preserve"> </w:t>
      </w:r>
      <w:r>
        <w:t>encountered</w:t>
      </w:r>
      <w:r>
        <w:rPr>
          <w:spacing w:val="-2"/>
        </w:rPr>
        <w:t xml:space="preserve"> </w:t>
      </w:r>
      <w:r>
        <w:t>in</w:t>
      </w:r>
      <w:r>
        <w:rPr>
          <w:spacing w:val="-6"/>
        </w:rPr>
        <w:t xml:space="preserve"> </w:t>
      </w:r>
      <w:r>
        <w:t>adopting</w:t>
      </w:r>
      <w:r>
        <w:rPr>
          <w:spacing w:val="-5"/>
        </w:rPr>
        <w:t xml:space="preserve"> </w:t>
      </w:r>
      <w:r>
        <w:t>the</w:t>
      </w:r>
      <w:r>
        <w:rPr>
          <w:spacing w:val="-2"/>
        </w:rPr>
        <w:t xml:space="preserve"> standard;</w:t>
      </w:r>
    </w:p>
    <w:p w14:paraId="1E805B8A" w14:textId="77777777" w:rsidR="00AA4A02" w:rsidRDefault="00960F31">
      <w:pPr>
        <w:pStyle w:val="ListParagraph"/>
        <w:numPr>
          <w:ilvl w:val="0"/>
          <w:numId w:val="18"/>
        </w:numPr>
        <w:tabs>
          <w:tab w:val="left" w:pos="1562"/>
        </w:tabs>
        <w:spacing w:before="150"/>
      </w:pPr>
      <w:r>
        <w:t>recommended</w:t>
      </w:r>
      <w:r>
        <w:rPr>
          <w:spacing w:val="-4"/>
        </w:rPr>
        <w:t xml:space="preserve"> </w:t>
      </w:r>
      <w:r>
        <w:t>actions</w:t>
      </w:r>
      <w:r>
        <w:rPr>
          <w:spacing w:val="-4"/>
        </w:rPr>
        <w:t xml:space="preserve"> </w:t>
      </w:r>
      <w:r>
        <w:t>to</w:t>
      </w:r>
      <w:r>
        <w:rPr>
          <w:spacing w:val="-3"/>
        </w:rPr>
        <w:t xml:space="preserve"> </w:t>
      </w:r>
      <w:r>
        <w:t>respond</w:t>
      </w:r>
      <w:r>
        <w:rPr>
          <w:spacing w:val="-5"/>
        </w:rPr>
        <w:t xml:space="preserve"> </w:t>
      </w:r>
      <w:r>
        <w:t>to</w:t>
      </w:r>
      <w:r>
        <w:rPr>
          <w:spacing w:val="-3"/>
        </w:rPr>
        <w:t xml:space="preserve"> </w:t>
      </w:r>
      <w:r>
        <w:t>these</w:t>
      </w:r>
      <w:r>
        <w:rPr>
          <w:spacing w:val="-5"/>
        </w:rPr>
        <w:t xml:space="preserve"> </w:t>
      </w:r>
      <w:r>
        <w:t>issues;</w:t>
      </w:r>
      <w:r>
        <w:rPr>
          <w:spacing w:val="1"/>
        </w:rPr>
        <w:t xml:space="preserve"> </w:t>
      </w:r>
      <w:r>
        <w:rPr>
          <w:spacing w:val="-5"/>
        </w:rPr>
        <w:t>and</w:t>
      </w:r>
    </w:p>
    <w:p w14:paraId="1E805B8B" w14:textId="77777777" w:rsidR="00AA4A02" w:rsidRDefault="00960F31">
      <w:pPr>
        <w:pStyle w:val="ListParagraph"/>
        <w:numPr>
          <w:ilvl w:val="0"/>
          <w:numId w:val="18"/>
        </w:numPr>
        <w:tabs>
          <w:tab w:val="left" w:pos="1562"/>
        </w:tabs>
        <w:spacing w:before="151"/>
      </w:pPr>
      <w:r>
        <w:t>estimated</w:t>
      </w:r>
      <w:r>
        <w:rPr>
          <w:spacing w:val="-3"/>
        </w:rPr>
        <w:t xml:space="preserve"> </w:t>
      </w:r>
      <w:r>
        <w:t>timing</w:t>
      </w:r>
      <w:r>
        <w:rPr>
          <w:spacing w:val="-3"/>
        </w:rPr>
        <w:t xml:space="preserve"> </w:t>
      </w:r>
      <w:r>
        <w:t>of</w:t>
      </w:r>
      <w:r>
        <w:rPr>
          <w:spacing w:val="-5"/>
        </w:rPr>
        <w:t xml:space="preserve"> </w:t>
      </w:r>
      <w:r>
        <w:t>each</w:t>
      </w:r>
      <w:r>
        <w:rPr>
          <w:spacing w:val="-4"/>
        </w:rPr>
        <w:t xml:space="preserve"> </w:t>
      </w:r>
      <w:r>
        <w:t>stage</w:t>
      </w:r>
      <w:r>
        <w:rPr>
          <w:spacing w:val="-3"/>
        </w:rPr>
        <w:t xml:space="preserve"> </w:t>
      </w:r>
      <w:r>
        <w:t>of</w:t>
      </w:r>
      <w:r>
        <w:rPr>
          <w:spacing w:val="-2"/>
        </w:rPr>
        <w:t xml:space="preserve"> </w:t>
      </w:r>
      <w:r>
        <w:t>the</w:t>
      </w:r>
      <w:r>
        <w:rPr>
          <w:spacing w:val="-2"/>
        </w:rPr>
        <w:t xml:space="preserve"> project.</w:t>
      </w:r>
    </w:p>
    <w:p w14:paraId="1E805B8C" w14:textId="77777777" w:rsidR="00AA4A02" w:rsidRDefault="00960F31">
      <w:pPr>
        <w:pStyle w:val="ListParagraph"/>
        <w:numPr>
          <w:ilvl w:val="0"/>
          <w:numId w:val="29"/>
        </w:numPr>
        <w:tabs>
          <w:tab w:val="left" w:pos="851"/>
        </w:tabs>
        <w:spacing w:before="193" w:line="208" w:lineRule="auto"/>
        <w:ind w:right="561"/>
      </w:pPr>
      <w:r>
        <w:t>Project</w:t>
      </w:r>
      <w:r>
        <w:rPr>
          <w:spacing w:val="-1"/>
        </w:rPr>
        <w:t xml:space="preserve"> </w:t>
      </w:r>
      <w:r>
        <w:t>Plans</w:t>
      </w:r>
      <w:r>
        <w:rPr>
          <w:spacing w:val="-1"/>
        </w:rPr>
        <w:t xml:space="preserve"> </w:t>
      </w:r>
      <w:r>
        <w:t>are</w:t>
      </w:r>
      <w:r>
        <w:rPr>
          <w:spacing w:val="-2"/>
        </w:rPr>
        <w:t xml:space="preserve"> </w:t>
      </w:r>
      <w:r>
        <w:t>developed</w:t>
      </w:r>
      <w:r>
        <w:rPr>
          <w:spacing w:val="-4"/>
        </w:rPr>
        <w:t xml:space="preserve"> </w:t>
      </w:r>
      <w:r>
        <w:t>using</w:t>
      </w:r>
      <w:r>
        <w:rPr>
          <w:spacing w:val="-5"/>
        </w:rPr>
        <w:t xml:space="preserve"> </w:t>
      </w:r>
      <w:r>
        <w:t>the</w:t>
      </w:r>
      <w:r>
        <w:rPr>
          <w:spacing w:val="-2"/>
        </w:rPr>
        <w:t xml:space="preserve"> </w:t>
      </w:r>
      <w:r>
        <w:t xml:space="preserve">standard </w:t>
      </w:r>
      <w:r>
        <w:rPr>
          <w:i/>
        </w:rPr>
        <w:t>AUASB</w:t>
      </w:r>
      <w:r>
        <w:rPr>
          <w:i/>
          <w:spacing w:val="-6"/>
        </w:rPr>
        <w:t xml:space="preserve"> </w:t>
      </w:r>
      <w:r>
        <w:rPr>
          <w:i/>
        </w:rPr>
        <w:t>Project</w:t>
      </w:r>
      <w:r>
        <w:rPr>
          <w:i/>
          <w:spacing w:val="-1"/>
        </w:rPr>
        <w:t xml:space="preserve"> </w:t>
      </w:r>
      <w:r>
        <w:rPr>
          <w:i/>
        </w:rPr>
        <w:t>Plan</w:t>
      </w:r>
      <w:r>
        <w:rPr>
          <w:i/>
          <w:spacing w:val="-2"/>
        </w:rPr>
        <w:t xml:space="preserve"> </w:t>
      </w:r>
      <w:r>
        <w:rPr>
          <w:i/>
        </w:rPr>
        <w:t>Template.</w:t>
      </w:r>
      <w:r>
        <w:rPr>
          <w:i/>
          <w:spacing w:val="-2"/>
        </w:rPr>
        <w:t xml:space="preserve"> </w:t>
      </w:r>
      <w:r>
        <w:t>All</w:t>
      </w:r>
      <w:r>
        <w:rPr>
          <w:spacing w:val="-4"/>
        </w:rPr>
        <w:t xml:space="preserve"> </w:t>
      </w:r>
      <w:r>
        <w:t>Project Plans must be approved by the Technical Director, AUASB Chair and the AUASB.</w:t>
      </w:r>
    </w:p>
    <w:p w14:paraId="1E805B8D" w14:textId="77777777" w:rsidR="00AA4A02" w:rsidRDefault="00960F31">
      <w:pPr>
        <w:pStyle w:val="ListParagraph"/>
        <w:numPr>
          <w:ilvl w:val="0"/>
          <w:numId w:val="29"/>
        </w:numPr>
        <w:tabs>
          <w:tab w:val="left" w:pos="851"/>
        </w:tabs>
        <w:spacing w:before="198" w:line="208" w:lineRule="auto"/>
        <w:ind w:right="259"/>
      </w:pPr>
      <w:r>
        <w:t xml:space="preserve">Technical staff develop a project </w:t>
      </w:r>
      <w:r>
        <w:rPr>
          <w:i/>
        </w:rPr>
        <w:t>Stakeholder Engagement and Communication Plan</w:t>
      </w:r>
      <w:r>
        <w:t>, which will</w:t>
      </w:r>
      <w:r>
        <w:rPr>
          <w:spacing w:val="-4"/>
        </w:rPr>
        <w:t xml:space="preserve"> </w:t>
      </w:r>
      <w:r>
        <w:t>include</w:t>
      </w:r>
      <w:r>
        <w:rPr>
          <w:spacing w:val="-2"/>
        </w:rPr>
        <w:t xml:space="preserve"> </w:t>
      </w:r>
      <w:r>
        <w:t>a</w:t>
      </w:r>
      <w:r>
        <w:rPr>
          <w:spacing w:val="-3"/>
        </w:rPr>
        <w:t xml:space="preserve"> </w:t>
      </w:r>
      <w:r>
        <w:t>‘Project</w:t>
      </w:r>
      <w:r>
        <w:rPr>
          <w:spacing w:val="-1"/>
        </w:rPr>
        <w:t xml:space="preserve"> </w:t>
      </w:r>
      <w:r>
        <w:t>Summary’.</w:t>
      </w:r>
      <w:r>
        <w:rPr>
          <w:spacing w:val="-2"/>
        </w:rPr>
        <w:t xml:space="preserve"> </w:t>
      </w:r>
      <w:r>
        <w:t>This</w:t>
      </w:r>
      <w:r>
        <w:rPr>
          <w:spacing w:val="-2"/>
        </w:rPr>
        <w:t xml:space="preserve"> </w:t>
      </w:r>
      <w:r>
        <w:t>Plan</w:t>
      </w:r>
      <w:r>
        <w:rPr>
          <w:spacing w:val="-4"/>
        </w:rPr>
        <w:t xml:space="preserve"> </w:t>
      </w:r>
      <w:r>
        <w:t>is</w:t>
      </w:r>
      <w:r>
        <w:rPr>
          <w:spacing w:val="-4"/>
        </w:rPr>
        <w:t xml:space="preserve"> </w:t>
      </w:r>
      <w:r>
        <w:t>included</w:t>
      </w:r>
      <w:r>
        <w:rPr>
          <w:spacing w:val="-2"/>
        </w:rPr>
        <w:t xml:space="preserve"> </w:t>
      </w:r>
      <w:r>
        <w:t>in</w:t>
      </w:r>
      <w:r>
        <w:rPr>
          <w:spacing w:val="-5"/>
        </w:rPr>
        <w:t xml:space="preserve"> </w:t>
      </w:r>
      <w:r>
        <w:t>the</w:t>
      </w:r>
      <w:r>
        <w:rPr>
          <w:spacing w:val="-4"/>
        </w:rPr>
        <w:t xml:space="preserve"> </w:t>
      </w:r>
      <w:r>
        <w:t>relevant</w:t>
      </w:r>
      <w:r>
        <w:rPr>
          <w:spacing w:val="-1"/>
        </w:rPr>
        <w:t xml:space="preserve"> </w:t>
      </w:r>
      <w:r>
        <w:t>AUASB</w:t>
      </w:r>
      <w:r>
        <w:rPr>
          <w:spacing w:val="-4"/>
        </w:rPr>
        <w:t xml:space="preserve"> </w:t>
      </w:r>
      <w:r>
        <w:t>Board</w:t>
      </w:r>
      <w:r>
        <w:rPr>
          <w:spacing w:val="-2"/>
        </w:rPr>
        <w:t xml:space="preserve"> </w:t>
      </w:r>
      <w:r>
        <w:t>Papers published on the AUASB website and updated by technical staff as the project progresses.</w:t>
      </w:r>
    </w:p>
    <w:p w14:paraId="1E805B8E" w14:textId="77777777" w:rsidR="00AA4A02" w:rsidRDefault="00960F31">
      <w:pPr>
        <w:spacing w:before="175"/>
        <w:ind w:left="143"/>
        <w:rPr>
          <w:b/>
          <w:i/>
        </w:rPr>
      </w:pPr>
      <w:bookmarkStart w:id="61" w:name="Review_material_presented_at_IAASB_meeti"/>
      <w:bookmarkEnd w:id="61"/>
      <w:r>
        <w:rPr>
          <w:b/>
          <w:i/>
        </w:rPr>
        <w:t>Review</w:t>
      </w:r>
      <w:r>
        <w:rPr>
          <w:b/>
          <w:i/>
          <w:spacing w:val="-6"/>
        </w:rPr>
        <w:t xml:space="preserve"> </w:t>
      </w:r>
      <w:r>
        <w:rPr>
          <w:b/>
          <w:i/>
        </w:rPr>
        <w:t>material</w:t>
      </w:r>
      <w:r>
        <w:rPr>
          <w:b/>
          <w:i/>
          <w:spacing w:val="-3"/>
        </w:rPr>
        <w:t xml:space="preserve"> </w:t>
      </w:r>
      <w:r>
        <w:rPr>
          <w:b/>
          <w:i/>
        </w:rPr>
        <w:t>presented</w:t>
      </w:r>
      <w:r>
        <w:rPr>
          <w:b/>
          <w:i/>
          <w:spacing w:val="-5"/>
        </w:rPr>
        <w:t xml:space="preserve"> </w:t>
      </w:r>
      <w:r>
        <w:rPr>
          <w:b/>
          <w:i/>
        </w:rPr>
        <w:t>at</w:t>
      </w:r>
      <w:r>
        <w:rPr>
          <w:b/>
          <w:i/>
          <w:spacing w:val="-1"/>
        </w:rPr>
        <w:t xml:space="preserve"> </w:t>
      </w:r>
      <w:r>
        <w:rPr>
          <w:b/>
          <w:i/>
        </w:rPr>
        <w:t>IAASB</w:t>
      </w:r>
      <w:r>
        <w:rPr>
          <w:b/>
          <w:i/>
          <w:spacing w:val="-2"/>
        </w:rPr>
        <w:t xml:space="preserve"> meetings</w:t>
      </w:r>
    </w:p>
    <w:p w14:paraId="1E805B8F" w14:textId="77777777" w:rsidR="00AA4A02" w:rsidRDefault="00960F31">
      <w:pPr>
        <w:pStyle w:val="ListParagraph"/>
        <w:numPr>
          <w:ilvl w:val="0"/>
          <w:numId w:val="29"/>
        </w:numPr>
        <w:tabs>
          <w:tab w:val="left" w:pos="851"/>
        </w:tabs>
        <w:spacing w:before="194" w:line="208" w:lineRule="auto"/>
        <w:ind w:right="292"/>
      </w:pPr>
      <w:r>
        <w:t>Commenting</w:t>
      </w:r>
      <w:r>
        <w:rPr>
          <w:spacing w:val="-5"/>
        </w:rPr>
        <w:t xml:space="preserve"> </w:t>
      </w:r>
      <w:r>
        <w:t>on</w:t>
      </w:r>
      <w:r>
        <w:rPr>
          <w:spacing w:val="-2"/>
        </w:rPr>
        <w:t xml:space="preserve"> </w:t>
      </w:r>
      <w:r>
        <w:t>IAASB</w:t>
      </w:r>
      <w:r>
        <w:rPr>
          <w:spacing w:val="-4"/>
        </w:rPr>
        <w:t xml:space="preserve"> </w:t>
      </w:r>
      <w:r>
        <w:t>documents</w:t>
      </w:r>
      <w:r>
        <w:rPr>
          <w:spacing w:val="-4"/>
        </w:rPr>
        <w:t xml:space="preserve"> </w:t>
      </w:r>
      <w:r>
        <w:t>such</w:t>
      </w:r>
      <w:r>
        <w:rPr>
          <w:spacing w:val="-2"/>
        </w:rPr>
        <w:t xml:space="preserve"> </w:t>
      </w:r>
      <w:r>
        <w:t>as DPs,</w:t>
      </w:r>
      <w:r>
        <w:rPr>
          <w:spacing w:val="-2"/>
        </w:rPr>
        <w:t xml:space="preserve"> </w:t>
      </w:r>
      <w:r>
        <w:t>CPs</w:t>
      </w:r>
      <w:r>
        <w:rPr>
          <w:spacing w:val="-5"/>
        </w:rPr>
        <w:t xml:space="preserve"> </w:t>
      </w:r>
      <w:r>
        <w:t>and</w:t>
      </w:r>
      <w:r>
        <w:rPr>
          <w:spacing w:val="-2"/>
        </w:rPr>
        <w:t xml:space="preserve"> </w:t>
      </w:r>
      <w:r>
        <w:t>any</w:t>
      </w:r>
      <w:r>
        <w:rPr>
          <w:spacing w:val="-2"/>
        </w:rPr>
        <w:t xml:space="preserve"> </w:t>
      </w:r>
      <w:r>
        <w:t>ITC,</w:t>
      </w:r>
      <w:r>
        <w:rPr>
          <w:spacing w:val="-2"/>
        </w:rPr>
        <w:t xml:space="preserve"> </w:t>
      </w:r>
      <w:r>
        <w:t>as</w:t>
      </w:r>
      <w:r>
        <w:rPr>
          <w:spacing w:val="-2"/>
        </w:rPr>
        <w:t xml:space="preserve"> </w:t>
      </w:r>
      <w:r>
        <w:t>well</w:t>
      </w:r>
      <w:r>
        <w:rPr>
          <w:spacing w:val="-1"/>
        </w:rPr>
        <w:t xml:space="preserve"> </w:t>
      </w:r>
      <w:r>
        <w:t>as</w:t>
      </w:r>
      <w:r>
        <w:rPr>
          <w:spacing w:val="-2"/>
        </w:rPr>
        <w:t xml:space="preserve"> </w:t>
      </w:r>
      <w:r>
        <w:t>contributing</w:t>
      </w:r>
      <w:r>
        <w:rPr>
          <w:spacing w:val="-5"/>
        </w:rPr>
        <w:t xml:space="preserve"> </w:t>
      </w:r>
      <w:r>
        <w:t>to the development of those documents as taskforce members, is important to support the work of the IAASB and to ensure that the final standard issued internationally will be appropriate for use as a base for the equivalent AUASB Standard adopted in Australia.</w:t>
      </w:r>
    </w:p>
    <w:p w14:paraId="1E805B90" w14:textId="77777777" w:rsidR="00AA4A02" w:rsidRDefault="00960F31">
      <w:pPr>
        <w:pStyle w:val="ListParagraph"/>
        <w:numPr>
          <w:ilvl w:val="0"/>
          <w:numId w:val="29"/>
        </w:numPr>
        <w:tabs>
          <w:tab w:val="left" w:pos="851"/>
        </w:tabs>
        <w:spacing w:before="199" w:line="208" w:lineRule="auto"/>
        <w:ind w:right="151"/>
      </w:pPr>
      <w:r>
        <w:t>The AUASB exposes relevant consultation documents issued by the IAASB concurrently in Australia</w:t>
      </w:r>
      <w:r>
        <w:rPr>
          <w:vertAlign w:val="superscript"/>
        </w:rPr>
        <w:t>48</w:t>
      </w:r>
      <w:r>
        <w:t>. The AUASB provides comment to the IAASB throughout the cycle of the proposed</w:t>
      </w:r>
      <w:r>
        <w:rPr>
          <w:spacing w:val="-4"/>
        </w:rPr>
        <w:t xml:space="preserve"> </w:t>
      </w:r>
      <w:r>
        <w:t>standard’s</w:t>
      </w:r>
      <w:r>
        <w:rPr>
          <w:spacing w:val="-4"/>
        </w:rPr>
        <w:t xml:space="preserve"> </w:t>
      </w:r>
      <w:r>
        <w:t>development,</w:t>
      </w:r>
      <w:r>
        <w:rPr>
          <w:spacing w:val="-4"/>
        </w:rPr>
        <w:t xml:space="preserve"> </w:t>
      </w:r>
      <w:r>
        <w:t>following</w:t>
      </w:r>
      <w:r>
        <w:rPr>
          <w:spacing w:val="-4"/>
        </w:rPr>
        <w:t xml:space="preserve"> </w:t>
      </w:r>
      <w:r>
        <w:t>deliberation</w:t>
      </w:r>
      <w:r>
        <w:rPr>
          <w:spacing w:val="-4"/>
        </w:rPr>
        <w:t xml:space="preserve"> </w:t>
      </w:r>
      <w:r>
        <w:t>at</w:t>
      </w:r>
      <w:r>
        <w:rPr>
          <w:spacing w:val="-3"/>
        </w:rPr>
        <w:t xml:space="preserve"> </w:t>
      </w:r>
      <w:r>
        <w:t>AUASB</w:t>
      </w:r>
      <w:r>
        <w:rPr>
          <w:spacing w:val="-6"/>
        </w:rPr>
        <w:t xml:space="preserve"> </w:t>
      </w:r>
      <w:r>
        <w:t>meetings</w:t>
      </w:r>
      <w:r>
        <w:rPr>
          <w:spacing w:val="-4"/>
        </w:rPr>
        <w:t xml:space="preserve"> </w:t>
      </w:r>
      <w:r>
        <w:t>and</w:t>
      </w:r>
      <w:r>
        <w:rPr>
          <w:spacing w:val="-2"/>
        </w:rPr>
        <w:t xml:space="preserve"> </w:t>
      </w:r>
      <w:r>
        <w:t>considering Australian stakeholder feedback.</w:t>
      </w:r>
    </w:p>
    <w:p w14:paraId="1E805B91" w14:textId="77777777" w:rsidR="00AA4A02" w:rsidRDefault="00960F31">
      <w:pPr>
        <w:pStyle w:val="ListParagraph"/>
        <w:numPr>
          <w:ilvl w:val="0"/>
          <w:numId w:val="29"/>
        </w:numPr>
        <w:tabs>
          <w:tab w:val="left" w:pos="851"/>
        </w:tabs>
        <w:spacing w:before="200" w:line="208" w:lineRule="auto"/>
        <w:ind w:right="168"/>
      </w:pPr>
      <w:r>
        <w:t>The</w:t>
      </w:r>
      <w:r>
        <w:rPr>
          <w:spacing w:val="-2"/>
        </w:rPr>
        <w:t xml:space="preserve"> </w:t>
      </w:r>
      <w:r>
        <w:t>designated</w:t>
      </w:r>
      <w:r>
        <w:rPr>
          <w:spacing w:val="-2"/>
        </w:rPr>
        <w:t xml:space="preserve"> </w:t>
      </w:r>
      <w:r>
        <w:t>technical</w:t>
      </w:r>
      <w:r>
        <w:rPr>
          <w:spacing w:val="-1"/>
        </w:rPr>
        <w:t xml:space="preserve"> </w:t>
      </w:r>
      <w:r>
        <w:t>staff</w:t>
      </w:r>
      <w:r>
        <w:rPr>
          <w:spacing w:val="-4"/>
        </w:rPr>
        <w:t xml:space="preserve"> </w:t>
      </w:r>
      <w:r>
        <w:t>member</w:t>
      </w:r>
      <w:r>
        <w:rPr>
          <w:spacing w:val="-4"/>
        </w:rPr>
        <w:t xml:space="preserve"> </w:t>
      </w:r>
      <w:r>
        <w:t>for</w:t>
      </w:r>
      <w:r>
        <w:rPr>
          <w:spacing w:val="-4"/>
        </w:rPr>
        <w:t xml:space="preserve"> </w:t>
      </w:r>
      <w:r>
        <w:t>the</w:t>
      </w:r>
      <w:r>
        <w:rPr>
          <w:spacing w:val="-2"/>
        </w:rPr>
        <w:t xml:space="preserve"> </w:t>
      </w:r>
      <w:r>
        <w:t>project</w:t>
      </w:r>
      <w:r>
        <w:rPr>
          <w:spacing w:val="-4"/>
        </w:rPr>
        <w:t xml:space="preserve"> </w:t>
      </w:r>
      <w:r>
        <w:t>analyses</w:t>
      </w:r>
      <w:r>
        <w:rPr>
          <w:spacing w:val="-4"/>
        </w:rPr>
        <w:t xml:space="preserve"> </w:t>
      </w:r>
      <w:r>
        <w:t>relevant</w:t>
      </w:r>
      <w:r>
        <w:rPr>
          <w:spacing w:val="-4"/>
        </w:rPr>
        <w:t xml:space="preserve"> </w:t>
      </w:r>
      <w:r>
        <w:t>material</w:t>
      </w:r>
      <w:r>
        <w:rPr>
          <w:spacing w:val="-1"/>
        </w:rPr>
        <w:t xml:space="preserve"> </w:t>
      </w:r>
      <w:r>
        <w:t>(including</w:t>
      </w:r>
      <w:r>
        <w:rPr>
          <w:spacing w:val="-2"/>
        </w:rPr>
        <w:t xml:space="preserve"> </w:t>
      </w:r>
      <w:r>
        <w:t xml:space="preserve">the proposed draft standard) to be discussed at IAASB meetings, collaborating with the AUASB sponsor for the project, in accordance with procedures set out in the </w:t>
      </w:r>
      <w:hyperlink r:id="rId107">
        <w:r>
          <w:rPr>
            <w:i/>
            <w:color w:val="0000FF"/>
            <w:u w:val="single" w:color="0000FF"/>
          </w:rPr>
          <w:t>AUASB International</w:t>
        </w:r>
      </w:hyperlink>
      <w:r>
        <w:rPr>
          <w:i/>
          <w:color w:val="0000FF"/>
        </w:rPr>
        <w:t xml:space="preserve"> </w:t>
      </w:r>
      <w:hyperlink r:id="rId108">
        <w:r>
          <w:rPr>
            <w:i/>
            <w:color w:val="0000FF"/>
            <w:u w:val="single" w:color="0000FF"/>
          </w:rPr>
          <w:t>Strategy</w:t>
        </w:r>
        <w:r>
          <w:t>.</w:t>
        </w:r>
      </w:hyperlink>
      <w:r>
        <w:t xml:space="preserve"> As a</w:t>
      </w:r>
      <w:r>
        <w:rPr>
          <w:spacing w:val="-2"/>
        </w:rPr>
        <w:t xml:space="preserve"> </w:t>
      </w:r>
      <w:r>
        <w:t>minimum, for each major IAASB</w:t>
      </w:r>
      <w:r>
        <w:rPr>
          <w:spacing w:val="-2"/>
        </w:rPr>
        <w:t xml:space="preserve"> </w:t>
      </w:r>
      <w:r>
        <w:t xml:space="preserve">project an </w:t>
      </w:r>
      <w:r>
        <w:rPr>
          <w:i/>
        </w:rPr>
        <w:t xml:space="preserve">IAASB Project Summary Template </w:t>
      </w:r>
      <w:r>
        <w:t>will be updated prior to, and included in the board papers for, each AUASB meeting that precedes an IAASB meeting.</w:t>
      </w:r>
    </w:p>
    <w:p w14:paraId="1E805B92" w14:textId="77777777" w:rsidR="00AA4A02" w:rsidRDefault="00960F31">
      <w:pPr>
        <w:pStyle w:val="ListParagraph"/>
        <w:numPr>
          <w:ilvl w:val="0"/>
          <w:numId w:val="29"/>
        </w:numPr>
        <w:tabs>
          <w:tab w:val="left" w:pos="851"/>
        </w:tabs>
        <w:spacing w:before="199" w:line="208" w:lineRule="auto"/>
        <w:ind w:right="147"/>
      </w:pPr>
      <w:r>
        <w:t>A summary of the technical staff member’s analysis of the IAASB material and deliberations by</w:t>
      </w:r>
      <w:r>
        <w:rPr>
          <w:spacing w:val="-2"/>
        </w:rPr>
        <w:t xml:space="preserve"> </w:t>
      </w:r>
      <w:r>
        <w:t>AUASB</w:t>
      </w:r>
      <w:r>
        <w:rPr>
          <w:spacing w:val="-4"/>
        </w:rPr>
        <w:t xml:space="preserve"> </w:t>
      </w:r>
      <w:r>
        <w:t>members</w:t>
      </w:r>
      <w:r>
        <w:rPr>
          <w:spacing w:val="-1"/>
        </w:rPr>
        <w:t xml:space="preserve"> </w:t>
      </w:r>
      <w:r>
        <w:t>on</w:t>
      </w:r>
      <w:r>
        <w:rPr>
          <w:spacing w:val="-5"/>
        </w:rPr>
        <w:t xml:space="preserve"> </w:t>
      </w:r>
      <w:r>
        <w:t>the</w:t>
      </w:r>
      <w:r>
        <w:rPr>
          <w:spacing w:val="-2"/>
        </w:rPr>
        <w:t xml:space="preserve"> </w:t>
      </w:r>
      <w:r>
        <w:t>IAASB</w:t>
      </w:r>
      <w:r>
        <w:rPr>
          <w:spacing w:val="-3"/>
        </w:rPr>
        <w:t xml:space="preserve"> </w:t>
      </w:r>
      <w:r>
        <w:t>project</w:t>
      </w:r>
      <w:r>
        <w:rPr>
          <w:spacing w:val="-1"/>
        </w:rPr>
        <w:t xml:space="preserve"> </w:t>
      </w:r>
      <w:r>
        <w:t>at</w:t>
      </w:r>
      <w:r>
        <w:rPr>
          <w:spacing w:val="-1"/>
        </w:rPr>
        <w:t xml:space="preserve"> </w:t>
      </w:r>
      <w:r>
        <w:t>each</w:t>
      </w:r>
      <w:r>
        <w:rPr>
          <w:spacing w:val="-1"/>
        </w:rPr>
        <w:t xml:space="preserve"> </w:t>
      </w:r>
      <w:r>
        <w:t>AUASB</w:t>
      </w:r>
      <w:r>
        <w:rPr>
          <w:spacing w:val="-4"/>
        </w:rPr>
        <w:t xml:space="preserve"> </w:t>
      </w:r>
      <w:r>
        <w:t>meeting,</w:t>
      </w:r>
      <w:r>
        <w:rPr>
          <w:spacing w:val="-5"/>
        </w:rPr>
        <w:t xml:space="preserve"> </w:t>
      </w:r>
      <w:r>
        <w:t>is</w:t>
      </w:r>
      <w:r>
        <w:rPr>
          <w:spacing w:val="-4"/>
        </w:rPr>
        <w:t xml:space="preserve"> </w:t>
      </w:r>
      <w:r>
        <w:t>prepared</w:t>
      </w:r>
      <w:r>
        <w:rPr>
          <w:spacing w:val="-3"/>
        </w:rPr>
        <w:t xml:space="preserve"> </w:t>
      </w:r>
      <w:r>
        <w:t>and</w:t>
      </w:r>
      <w:r>
        <w:rPr>
          <w:spacing w:val="-2"/>
        </w:rPr>
        <w:t xml:space="preserve"> </w:t>
      </w:r>
      <w:r>
        <w:t>supplied to any Australasian representative(s) on the IAASB, for consideration at IAASB meetings.</w:t>
      </w:r>
    </w:p>
    <w:p w14:paraId="1E805B93" w14:textId="77777777" w:rsidR="00AA4A02" w:rsidRDefault="00960F31">
      <w:pPr>
        <w:pStyle w:val="BodyText"/>
        <w:spacing w:before="2"/>
        <w:rPr>
          <w:sz w:val="11"/>
        </w:rPr>
      </w:pPr>
      <w:r>
        <w:rPr>
          <w:noProof/>
          <w:sz w:val="11"/>
        </w:rPr>
        <mc:AlternateContent>
          <mc:Choice Requires="wps">
            <w:drawing>
              <wp:anchor distT="0" distB="0" distL="0" distR="0" simplePos="0" relativeHeight="487608832" behindDoc="1" locked="0" layoutInCell="1" allowOverlap="1" wp14:anchorId="1E805F65" wp14:editId="1E805F66">
                <wp:simplePos x="0" y="0"/>
                <wp:positionH relativeFrom="page">
                  <wp:posOffset>900988</wp:posOffset>
                </wp:positionH>
                <wp:positionV relativeFrom="paragraph">
                  <wp:posOffset>96842</wp:posOffset>
                </wp:positionV>
                <wp:extent cx="1829435" cy="76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D6B9F" id="Graphic 70" o:spid="_x0000_s1026" style="position:absolute;margin-left:70.95pt;margin-top:7.65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" path="m1829053,l,,,7620r1829053,l1829053,xe" fillcolor="black" stroked="f">
                <v:path arrowok="t"/>
                <w10:wrap type="topAndBottom" anchorx="page"/>
              </v:shape>
            </w:pict>
          </mc:Fallback>
        </mc:AlternateContent>
      </w:r>
    </w:p>
    <w:p w14:paraId="1E805B94" w14:textId="77777777" w:rsidR="00AA4A02" w:rsidRDefault="00960F31">
      <w:pPr>
        <w:spacing w:before="93" w:line="208" w:lineRule="auto"/>
        <w:ind w:left="427" w:right="778" w:hanging="284"/>
        <w:jc w:val="both"/>
        <w:rPr>
          <w:sz w:val="16"/>
        </w:rPr>
      </w:pPr>
      <w:r>
        <w:rPr>
          <w:sz w:val="16"/>
          <w:vertAlign w:val="superscript"/>
        </w:rPr>
        <w:t>48</w:t>
      </w:r>
      <w:r>
        <w:rPr>
          <w:spacing w:val="80"/>
          <w:sz w:val="16"/>
        </w:rPr>
        <w:t xml:space="preserve"> </w:t>
      </w:r>
      <w:r>
        <w:rPr>
          <w:sz w:val="16"/>
        </w:rPr>
        <w:t>The</w:t>
      </w:r>
      <w:r>
        <w:rPr>
          <w:spacing w:val="-2"/>
          <w:sz w:val="16"/>
        </w:rPr>
        <w:t xml:space="preserve"> </w:t>
      </w:r>
      <w:r>
        <w:rPr>
          <w:sz w:val="16"/>
        </w:rPr>
        <w:t>AUASB concurrently</w:t>
      </w:r>
      <w:r>
        <w:rPr>
          <w:spacing w:val="-1"/>
          <w:sz w:val="16"/>
        </w:rPr>
        <w:t xml:space="preserve"> </w:t>
      </w:r>
      <w:r>
        <w:rPr>
          <w:sz w:val="16"/>
        </w:rPr>
        <w:t>issues</w:t>
      </w:r>
      <w:r>
        <w:rPr>
          <w:spacing w:val="-2"/>
          <w:sz w:val="16"/>
        </w:rPr>
        <w:t xml:space="preserve"> </w:t>
      </w:r>
      <w:r>
        <w:rPr>
          <w:sz w:val="16"/>
        </w:rPr>
        <w:t>the</w:t>
      </w:r>
      <w:r>
        <w:rPr>
          <w:spacing w:val="-2"/>
          <w:sz w:val="16"/>
        </w:rPr>
        <w:t xml:space="preserve"> </w:t>
      </w:r>
      <w:r>
        <w:rPr>
          <w:sz w:val="16"/>
        </w:rPr>
        <w:t>unmodified IAASB document</w:t>
      </w:r>
      <w:r>
        <w:rPr>
          <w:spacing w:val="-1"/>
          <w:sz w:val="16"/>
        </w:rPr>
        <w:t xml:space="preserve"> </w:t>
      </w:r>
      <w:r>
        <w:rPr>
          <w:sz w:val="16"/>
        </w:rPr>
        <w:t>in Australia along with Australian-specific commentary (if</w:t>
      </w:r>
      <w:r>
        <w:rPr>
          <w:spacing w:val="40"/>
          <w:sz w:val="16"/>
        </w:rPr>
        <w:t xml:space="preserve"> </w:t>
      </w:r>
      <w:r>
        <w:rPr>
          <w:sz w:val="16"/>
        </w:rPr>
        <w:t>necessary)</w:t>
      </w:r>
      <w:r>
        <w:rPr>
          <w:spacing w:val="-3"/>
          <w:sz w:val="16"/>
        </w:rPr>
        <w:t xml:space="preserve"> </w:t>
      </w:r>
      <w:r>
        <w:rPr>
          <w:sz w:val="16"/>
        </w:rPr>
        <w:t>in</w:t>
      </w:r>
      <w:r>
        <w:rPr>
          <w:spacing w:val="-3"/>
          <w:sz w:val="16"/>
        </w:rPr>
        <w:t xml:space="preserve"> </w:t>
      </w:r>
      <w:r>
        <w:rPr>
          <w:sz w:val="16"/>
        </w:rPr>
        <w:t>the</w:t>
      </w:r>
      <w:r>
        <w:rPr>
          <w:spacing w:val="-1"/>
          <w:sz w:val="16"/>
        </w:rPr>
        <w:t xml:space="preserve"> </w:t>
      </w:r>
      <w:r>
        <w:rPr>
          <w:sz w:val="16"/>
        </w:rPr>
        <w:t>form</w:t>
      </w:r>
      <w:r>
        <w:rPr>
          <w:spacing w:val="-4"/>
          <w:sz w:val="16"/>
        </w:rPr>
        <w:t xml:space="preserve"> </w:t>
      </w:r>
      <w:r>
        <w:rPr>
          <w:sz w:val="16"/>
        </w:rPr>
        <w:t>of</w:t>
      </w:r>
      <w:r>
        <w:rPr>
          <w:spacing w:val="-3"/>
          <w:sz w:val="16"/>
        </w:rPr>
        <w:t xml:space="preserve"> </w:t>
      </w:r>
      <w:r>
        <w:rPr>
          <w:sz w:val="16"/>
        </w:rPr>
        <w:t>an</w:t>
      </w:r>
      <w:r>
        <w:rPr>
          <w:spacing w:val="-1"/>
          <w:sz w:val="16"/>
        </w:rPr>
        <w:t xml:space="preserve"> </w:t>
      </w:r>
      <w:r>
        <w:rPr>
          <w:sz w:val="16"/>
        </w:rPr>
        <w:t>AUASB</w:t>
      </w:r>
      <w:r>
        <w:rPr>
          <w:spacing w:val="-6"/>
          <w:sz w:val="16"/>
        </w:rPr>
        <w:t xml:space="preserve"> </w:t>
      </w:r>
      <w:r>
        <w:rPr>
          <w:sz w:val="16"/>
        </w:rPr>
        <w:t>CP</w:t>
      </w:r>
      <w:r>
        <w:rPr>
          <w:spacing w:val="-2"/>
          <w:sz w:val="16"/>
        </w:rPr>
        <w:t xml:space="preserve"> </w:t>
      </w:r>
      <w:r>
        <w:rPr>
          <w:sz w:val="16"/>
        </w:rPr>
        <w:t>‘wrapped</w:t>
      </w:r>
      <w:r>
        <w:rPr>
          <w:spacing w:val="-3"/>
          <w:sz w:val="16"/>
        </w:rPr>
        <w:t xml:space="preserve"> </w:t>
      </w:r>
      <w:r>
        <w:rPr>
          <w:sz w:val="16"/>
        </w:rPr>
        <w:t>around’</w:t>
      </w:r>
      <w:r>
        <w:rPr>
          <w:spacing w:val="-5"/>
          <w:sz w:val="16"/>
        </w:rPr>
        <w:t xml:space="preserve"> </w:t>
      </w:r>
      <w:r>
        <w:rPr>
          <w:sz w:val="16"/>
        </w:rPr>
        <w:t>the</w:t>
      </w:r>
      <w:r>
        <w:rPr>
          <w:spacing w:val="-1"/>
          <w:sz w:val="16"/>
        </w:rPr>
        <w:t xml:space="preserve"> </w:t>
      </w:r>
      <w:r>
        <w:rPr>
          <w:sz w:val="16"/>
        </w:rPr>
        <w:t>IAASB</w:t>
      </w:r>
      <w:r>
        <w:rPr>
          <w:spacing w:val="-1"/>
          <w:sz w:val="16"/>
        </w:rPr>
        <w:t xml:space="preserve"> </w:t>
      </w:r>
      <w:r>
        <w:rPr>
          <w:sz w:val="16"/>
        </w:rPr>
        <w:t>ED.</w:t>
      </w:r>
      <w:r>
        <w:rPr>
          <w:spacing w:val="-4"/>
          <w:sz w:val="16"/>
        </w:rPr>
        <w:t xml:space="preserve"> </w:t>
      </w:r>
      <w:r>
        <w:rPr>
          <w:sz w:val="16"/>
        </w:rPr>
        <w:t>Alternatively,</w:t>
      </w:r>
      <w:r>
        <w:rPr>
          <w:spacing w:val="-4"/>
          <w:sz w:val="16"/>
        </w:rPr>
        <w:t xml:space="preserve"> </w:t>
      </w:r>
      <w:r>
        <w:rPr>
          <w:sz w:val="16"/>
        </w:rPr>
        <w:t>the</w:t>
      </w:r>
      <w:r>
        <w:rPr>
          <w:spacing w:val="-1"/>
          <w:sz w:val="16"/>
        </w:rPr>
        <w:t xml:space="preserve"> </w:t>
      </w:r>
      <w:r>
        <w:rPr>
          <w:sz w:val="16"/>
        </w:rPr>
        <w:t>AUASB</w:t>
      </w:r>
      <w:r>
        <w:rPr>
          <w:spacing w:val="-3"/>
          <w:sz w:val="16"/>
        </w:rPr>
        <w:t xml:space="preserve"> </w:t>
      </w:r>
      <w:r>
        <w:rPr>
          <w:sz w:val="16"/>
        </w:rPr>
        <w:t>may</w:t>
      </w:r>
      <w:r>
        <w:rPr>
          <w:spacing w:val="-1"/>
          <w:sz w:val="16"/>
        </w:rPr>
        <w:t xml:space="preserve"> </w:t>
      </w:r>
      <w:r>
        <w:rPr>
          <w:sz w:val="16"/>
        </w:rPr>
        <w:t>refer</w:t>
      </w:r>
      <w:r>
        <w:rPr>
          <w:spacing w:val="-7"/>
          <w:sz w:val="16"/>
        </w:rPr>
        <w:t xml:space="preserve"> </w:t>
      </w:r>
      <w:r>
        <w:rPr>
          <w:sz w:val="16"/>
        </w:rPr>
        <w:t>to</w:t>
      </w:r>
      <w:r>
        <w:rPr>
          <w:spacing w:val="-3"/>
          <w:sz w:val="16"/>
        </w:rPr>
        <w:t xml:space="preserve"> </w:t>
      </w:r>
      <w:r>
        <w:rPr>
          <w:sz w:val="16"/>
        </w:rPr>
        <w:t>the</w:t>
      </w:r>
      <w:r>
        <w:rPr>
          <w:spacing w:val="-1"/>
          <w:sz w:val="16"/>
        </w:rPr>
        <w:t xml:space="preserve"> </w:t>
      </w:r>
      <w:r>
        <w:rPr>
          <w:sz w:val="16"/>
        </w:rPr>
        <w:t>IAASB</w:t>
      </w:r>
      <w:r>
        <w:rPr>
          <w:spacing w:val="40"/>
          <w:sz w:val="16"/>
        </w:rPr>
        <w:t xml:space="preserve"> </w:t>
      </w:r>
      <w:r>
        <w:rPr>
          <w:sz w:val="16"/>
        </w:rPr>
        <w:t>document and request consultation with Australian stakeholders using the international document.</w:t>
      </w:r>
    </w:p>
    <w:p w14:paraId="1E805B95" w14:textId="77777777" w:rsidR="00AA4A02" w:rsidRDefault="00AA4A02">
      <w:pPr>
        <w:spacing w:line="208" w:lineRule="auto"/>
        <w:jc w:val="both"/>
        <w:rPr>
          <w:sz w:val="16"/>
        </w:rPr>
        <w:sectPr w:rsidR="00AA4A02">
          <w:pgSz w:w="11910" w:h="16840"/>
          <w:pgMar w:top="1380" w:right="1275" w:bottom="1040" w:left="1275" w:header="689" w:footer="842" w:gutter="0"/>
          <w:cols w:space="720"/>
        </w:sectPr>
      </w:pPr>
    </w:p>
    <w:p w14:paraId="1E805B96" w14:textId="77777777" w:rsidR="00AA4A02" w:rsidRDefault="00960F31">
      <w:pPr>
        <w:pStyle w:val="BodyText"/>
        <w:spacing w:before="219" w:line="208" w:lineRule="auto"/>
        <w:ind w:left="851"/>
      </w:pPr>
      <w:r>
        <w:lastRenderedPageBreak/>
        <w:t>However,</w:t>
      </w:r>
      <w:r>
        <w:rPr>
          <w:spacing w:val="-4"/>
        </w:rPr>
        <w:t xml:space="preserve"> </w:t>
      </w:r>
      <w:r>
        <w:t>it</w:t>
      </w:r>
      <w:r>
        <w:rPr>
          <w:spacing w:val="-3"/>
        </w:rPr>
        <w:t xml:space="preserve"> </w:t>
      </w:r>
      <w:r>
        <w:t>is</w:t>
      </w:r>
      <w:r>
        <w:rPr>
          <w:spacing w:val="-1"/>
        </w:rPr>
        <w:t xml:space="preserve"> </w:t>
      </w:r>
      <w:r>
        <w:t>noted</w:t>
      </w:r>
      <w:r>
        <w:rPr>
          <w:spacing w:val="-1"/>
        </w:rPr>
        <w:t xml:space="preserve"> </w:t>
      </w:r>
      <w:r>
        <w:t>that</w:t>
      </w:r>
      <w:r>
        <w:rPr>
          <w:spacing w:val="-3"/>
        </w:rPr>
        <w:t xml:space="preserve"> </w:t>
      </w:r>
      <w:r>
        <w:t>matters considered</w:t>
      </w:r>
      <w:r>
        <w:rPr>
          <w:spacing w:val="-3"/>
        </w:rPr>
        <w:t xml:space="preserve"> </w:t>
      </w:r>
      <w:r>
        <w:t>and</w:t>
      </w:r>
      <w:r>
        <w:rPr>
          <w:spacing w:val="-3"/>
        </w:rPr>
        <w:t xml:space="preserve"> </w:t>
      </w:r>
      <w:r>
        <w:t>raised</w:t>
      </w:r>
      <w:r>
        <w:rPr>
          <w:spacing w:val="-4"/>
        </w:rPr>
        <w:t xml:space="preserve"> </w:t>
      </w:r>
      <w:r>
        <w:t>by</w:t>
      </w:r>
      <w:r>
        <w:rPr>
          <w:spacing w:val="-1"/>
        </w:rPr>
        <w:t xml:space="preserve"> </w:t>
      </w:r>
      <w:r>
        <w:t>these</w:t>
      </w:r>
      <w:r>
        <w:rPr>
          <w:spacing w:val="-3"/>
        </w:rPr>
        <w:t xml:space="preserve"> </w:t>
      </w:r>
      <w:r>
        <w:t>representatives</w:t>
      </w:r>
      <w:r>
        <w:rPr>
          <w:spacing w:val="-3"/>
        </w:rPr>
        <w:t xml:space="preserve"> </w:t>
      </w:r>
      <w:r>
        <w:t>at</w:t>
      </w:r>
      <w:r>
        <w:rPr>
          <w:spacing w:val="-3"/>
        </w:rPr>
        <w:t xml:space="preserve"> </w:t>
      </w:r>
      <w:r>
        <w:t>IAASB meetings are at their discretion.</w:t>
      </w:r>
      <w:r>
        <w:rPr>
          <w:vertAlign w:val="superscript"/>
        </w:rPr>
        <w:t>49</w:t>
      </w:r>
    </w:p>
    <w:p w14:paraId="1E805B97" w14:textId="77777777" w:rsidR="00AA4A02" w:rsidRDefault="00960F31">
      <w:pPr>
        <w:pStyle w:val="ListParagraph"/>
        <w:numPr>
          <w:ilvl w:val="0"/>
          <w:numId w:val="29"/>
        </w:numPr>
        <w:tabs>
          <w:tab w:val="left" w:pos="851"/>
        </w:tabs>
        <w:spacing w:line="208" w:lineRule="auto"/>
        <w:ind w:right="648"/>
      </w:pPr>
      <w:r>
        <w:t>A</w:t>
      </w:r>
      <w:r>
        <w:rPr>
          <w:spacing w:val="-4"/>
        </w:rPr>
        <w:t xml:space="preserve"> </w:t>
      </w:r>
      <w:r>
        <w:t>technical</w:t>
      </w:r>
      <w:r>
        <w:rPr>
          <w:spacing w:val="-2"/>
        </w:rPr>
        <w:t xml:space="preserve"> </w:t>
      </w:r>
      <w:r>
        <w:t>staff</w:t>
      </w:r>
      <w:r>
        <w:rPr>
          <w:spacing w:val="-5"/>
        </w:rPr>
        <w:t xml:space="preserve"> </w:t>
      </w:r>
      <w:r>
        <w:t>member will</w:t>
      </w:r>
      <w:r>
        <w:rPr>
          <w:spacing w:val="-2"/>
        </w:rPr>
        <w:t xml:space="preserve"> </w:t>
      </w:r>
      <w:r>
        <w:t>attend</w:t>
      </w:r>
      <w:r>
        <w:rPr>
          <w:spacing w:val="-3"/>
        </w:rPr>
        <w:t xml:space="preserve"> </w:t>
      </w:r>
      <w:r>
        <w:t>IAASB</w:t>
      </w:r>
      <w:r>
        <w:rPr>
          <w:spacing w:val="-5"/>
        </w:rPr>
        <w:t xml:space="preserve"> </w:t>
      </w:r>
      <w:r>
        <w:t>meetings</w:t>
      </w:r>
      <w:r>
        <w:rPr>
          <w:spacing w:val="-5"/>
        </w:rPr>
        <w:t xml:space="preserve"> </w:t>
      </w:r>
      <w:r>
        <w:t>(either</w:t>
      </w:r>
      <w:r>
        <w:rPr>
          <w:spacing w:val="-3"/>
        </w:rPr>
        <w:t xml:space="preserve"> </w:t>
      </w:r>
      <w:r>
        <w:t>physically</w:t>
      </w:r>
      <w:r>
        <w:rPr>
          <w:spacing w:val="-3"/>
        </w:rPr>
        <w:t xml:space="preserve"> </w:t>
      </w:r>
      <w:r>
        <w:t>or</w:t>
      </w:r>
      <w:r>
        <w:rPr>
          <w:spacing w:val="-3"/>
        </w:rPr>
        <w:t xml:space="preserve"> </w:t>
      </w:r>
      <w:r>
        <w:t>virtually)</w:t>
      </w:r>
      <w:r>
        <w:rPr>
          <w:spacing w:val="-5"/>
        </w:rPr>
        <w:t xml:space="preserve"> </w:t>
      </w:r>
      <w:r>
        <w:t xml:space="preserve">and report back to the AUASB on developments, discussions and decisions made at IAASB meetings and whether comments provided in briefing notes supplied to Australian representatives on the IAASB are reflected in subsequent IAASB materials (tracking of </w:t>
      </w:r>
      <w:r>
        <w:rPr>
          <w:spacing w:val="-2"/>
        </w:rPr>
        <w:t>issues).</w:t>
      </w:r>
    </w:p>
    <w:p w14:paraId="1E805B98" w14:textId="77777777" w:rsidR="00AA4A02" w:rsidRDefault="00960F31">
      <w:pPr>
        <w:spacing w:before="174"/>
        <w:ind w:left="143"/>
        <w:rPr>
          <w:b/>
          <w:i/>
        </w:rPr>
      </w:pPr>
      <w:bookmarkStart w:id="62" w:name="Consider_potential_compelling_reasons_fo"/>
      <w:bookmarkEnd w:id="62"/>
      <w:r>
        <w:rPr>
          <w:b/>
          <w:i/>
        </w:rPr>
        <w:t>Consider</w:t>
      </w:r>
      <w:r>
        <w:rPr>
          <w:b/>
          <w:i/>
          <w:spacing w:val="-5"/>
        </w:rPr>
        <w:t xml:space="preserve"> </w:t>
      </w:r>
      <w:r>
        <w:rPr>
          <w:b/>
          <w:i/>
        </w:rPr>
        <w:t>potential</w:t>
      </w:r>
      <w:r>
        <w:rPr>
          <w:b/>
          <w:i/>
          <w:spacing w:val="-4"/>
        </w:rPr>
        <w:t xml:space="preserve"> </w:t>
      </w:r>
      <w:r>
        <w:rPr>
          <w:b/>
          <w:i/>
        </w:rPr>
        <w:t>compelling</w:t>
      </w:r>
      <w:r>
        <w:rPr>
          <w:b/>
          <w:i/>
          <w:spacing w:val="-5"/>
        </w:rPr>
        <w:t xml:space="preserve"> </w:t>
      </w:r>
      <w:r>
        <w:rPr>
          <w:b/>
          <w:i/>
        </w:rPr>
        <w:t>reasons</w:t>
      </w:r>
      <w:r>
        <w:rPr>
          <w:b/>
          <w:i/>
          <w:spacing w:val="-7"/>
        </w:rPr>
        <w:t xml:space="preserve"> </w:t>
      </w:r>
      <w:r>
        <w:rPr>
          <w:b/>
          <w:i/>
        </w:rPr>
        <w:t>for</w:t>
      </w:r>
      <w:r>
        <w:rPr>
          <w:b/>
          <w:i/>
          <w:spacing w:val="-7"/>
        </w:rPr>
        <w:t xml:space="preserve"> </w:t>
      </w:r>
      <w:r>
        <w:rPr>
          <w:b/>
          <w:i/>
        </w:rPr>
        <w:t>modification</w:t>
      </w:r>
      <w:r>
        <w:rPr>
          <w:b/>
          <w:i/>
          <w:spacing w:val="-5"/>
        </w:rPr>
        <w:t xml:space="preserve"> </w:t>
      </w:r>
      <w:r>
        <w:rPr>
          <w:b/>
          <w:i/>
        </w:rPr>
        <w:t>of</w:t>
      </w:r>
      <w:r>
        <w:rPr>
          <w:b/>
          <w:i/>
          <w:spacing w:val="-4"/>
        </w:rPr>
        <w:t xml:space="preserve"> </w:t>
      </w:r>
      <w:r>
        <w:rPr>
          <w:b/>
          <w:i/>
        </w:rPr>
        <w:t>the</w:t>
      </w:r>
      <w:r>
        <w:rPr>
          <w:b/>
          <w:i/>
          <w:spacing w:val="-4"/>
        </w:rPr>
        <w:t xml:space="preserve"> </w:t>
      </w:r>
      <w:r>
        <w:rPr>
          <w:b/>
          <w:i/>
        </w:rPr>
        <w:t>international</w:t>
      </w:r>
      <w:r>
        <w:rPr>
          <w:b/>
          <w:i/>
          <w:spacing w:val="-3"/>
        </w:rPr>
        <w:t xml:space="preserve"> </w:t>
      </w:r>
      <w:r>
        <w:rPr>
          <w:b/>
          <w:i/>
          <w:spacing w:val="-2"/>
        </w:rPr>
        <w:t>standard</w:t>
      </w:r>
    </w:p>
    <w:p w14:paraId="1E805B99" w14:textId="77777777" w:rsidR="00AA4A02" w:rsidRDefault="00960F31">
      <w:pPr>
        <w:pStyle w:val="ListParagraph"/>
        <w:numPr>
          <w:ilvl w:val="0"/>
          <w:numId w:val="29"/>
        </w:numPr>
        <w:tabs>
          <w:tab w:val="left" w:pos="851"/>
        </w:tabs>
        <w:spacing w:before="194" w:line="208" w:lineRule="auto"/>
        <w:ind w:right="257"/>
      </w:pPr>
      <w:r>
        <w:t>The AUASB monitors the development of the international standard progressively and considers,</w:t>
      </w:r>
      <w:r>
        <w:rPr>
          <w:spacing w:val="-4"/>
        </w:rPr>
        <w:t xml:space="preserve"> </w:t>
      </w:r>
      <w:r>
        <w:t>throughout</w:t>
      </w:r>
      <w:r>
        <w:rPr>
          <w:spacing w:val="-3"/>
        </w:rPr>
        <w:t xml:space="preserve"> </w:t>
      </w:r>
      <w:r>
        <w:t>the</w:t>
      </w:r>
      <w:r>
        <w:rPr>
          <w:spacing w:val="-4"/>
        </w:rPr>
        <w:t xml:space="preserve"> </w:t>
      </w:r>
      <w:r>
        <w:t>standard-setting</w:t>
      </w:r>
      <w:r>
        <w:rPr>
          <w:spacing w:val="-4"/>
        </w:rPr>
        <w:t xml:space="preserve"> </w:t>
      </w:r>
      <w:r>
        <w:t>process,</w:t>
      </w:r>
      <w:r>
        <w:rPr>
          <w:spacing w:val="-4"/>
        </w:rPr>
        <w:t xml:space="preserve"> </w:t>
      </w:r>
      <w:r>
        <w:t>whether</w:t>
      </w:r>
      <w:r>
        <w:rPr>
          <w:spacing w:val="-5"/>
        </w:rPr>
        <w:t xml:space="preserve"> </w:t>
      </w:r>
      <w:r>
        <w:t>potential</w:t>
      </w:r>
      <w:r>
        <w:rPr>
          <w:spacing w:val="-3"/>
        </w:rPr>
        <w:t xml:space="preserve"> </w:t>
      </w:r>
      <w:r>
        <w:t>compelling</w:t>
      </w:r>
      <w:r>
        <w:rPr>
          <w:spacing w:val="-6"/>
        </w:rPr>
        <w:t xml:space="preserve"> </w:t>
      </w:r>
      <w:r>
        <w:t>reasons</w:t>
      </w:r>
      <w:r>
        <w:rPr>
          <w:spacing w:val="-4"/>
        </w:rPr>
        <w:t xml:space="preserve"> </w:t>
      </w:r>
      <w:r>
        <w:t>may exist to modify the international standard for adoption in Australia</w:t>
      </w:r>
      <w:r>
        <w:rPr>
          <w:vertAlign w:val="superscript"/>
        </w:rPr>
        <w:t>50</w:t>
      </w:r>
      <w:r>
        <w:t xml:space="preserve"> – acknowledging that these may be varied depending on revisions made to the proposed international standard to address feedback related to these issues.</w:t>
      </w:r>
    </w:p>
    <w:p w14:paraId="1E805B9A" w14:textId="77777777" w:rsidR="00AA4A02" w:rsidRDefault="00960F31">
      <w:pPr>
        <w:pStyle w:val="ListParagraph"/>
        <w:numPr>
          <w:ilvl w:val="0"/>
          <w:numId w:val="29"/>
        </w:numPr>
        <w:tabs>
          <w:tab w:val="left" w:pos="851"/>
        </w:tabs>
        <w:spacing w:before="198" w:line="208" w:lineRule="auto"/>
        <w:ind w:right="157"/>
      </w:pPr>
      <w:r>
        <w:t>The AUASB communicates with the NZAuASB at key points during the standard-setting processes, to discuss potential modifications to the international standard which may arise in either</w:t>
      </w:r>
      <w:r>
        <w:rPr>
          <w:spacing w:val="-2"/>
        </w:rPr>
        <w:t xml:space="preserve"> </w:t>
      </w:r>
      <w:r>
        <w:t>Australia</w:t>
      </w:r>
      <w:r>
        <w:rPr>
          <w:spacing w:val="-5"/>
        </w:rPr>
        <w:t xml:space="preserve"> </w:t>
      </w:r>
      <w:r>
        <w:t>or</w:t>
      </w:r>
      <w:r>
        <w:rPr>
          <w:spacing w:val="-3"/>
        </w:rPr>
        <w:t xml:space="preserve"> </w:t>
      </w:r>
      <w:r>
        <w:t>New</w:t>
      </w:r>
      <w:r>
        <w:rPr>
          <w:spacing w:val="-3"/>
        </w:rPr>
        <w:t xml:space="preserve"> </w:t>
      </w:r>
      <w:r>
        <w:t>Zealand.</w:t>
      </w:r>
      <w:r>
        <w:rPr>
          <w:spacing w:val="-3"/>
        </w:rPr>
        <w:t xml:space="preserve"> </w:t>
      </w:r>
      <w:r>
        <w:t>Under</w:t>
      </w:r>
      <w:r>
        <w:rPr>
          <w:spacing w:val="-5"/>
        </w:rPr>
        <w:t xml:space="preserve"> </w:t>
      </w:r>
      <w:r>
        <w:t>the</w:t>
      </w:r>
      <w:r>
        <w:rPr>
          <w:spacing w:val="-3"/>
        </w:rPr>
        <w:t xml:space="preserve"> </w:t>
      </w:r>
      <w:r>
        <w:t>AUASB/NZAuASB</w:t>
      </w:r>
      <w:r>
        <w:rPr>
          <w:spacing w:val="-5"/>
        </w:rPr>
        <w:t xml:space="preserve"> </w:t>
      </w:r>
      <w:r>
        <w:t>communication</w:t>
      </w:r>
      <w:r>
        <w:rPr>
          <w:spacing w:val="-6"/>
        </w:rPr>
        <w:t xml:space="preserve"> </w:t>
      </w:r>
      <w:r>
        <w:t>protocols,</w:t>
      </w:r>
      <w:r>
        <w:rPr>
          <w:spacing w:val="-3"/>
        </w:rPr>
        <w:t xml:space="preserve"> </w:t>
      </w:r>
      <w:r>
        <w:t>the key points for sharing information are:</w:t>
      </w:r>
    </w:p>
    <w:p w14:paraId="1E805B9B" w14:textId="77777777" w:rsidR="00AA4A02" w:rsidRDefault="00960F31">
      <w:pPr>
        <w:pStyle w:val="ListParagraph"/>
        <w:numPr>
          <w:ilvl w:val="1"/>
          <w:numId w:val="29"/>
        </w:numPr>
        <w:tabs>
          <w:tab w:val="left" w:pos="1562"/>
        </w:tabs>
        <w:spacing w:before="176"/>
      </w:pPr>
      <w:r>
        <w:t>when</w:t>
      </w:r>
      <w:r>
        <w:rPr>
          <w:spacing w:val="-2"/>
        </w:rPr>
        <w:t xml:space="preserve"> </w:t>
      </w:r>
      <w:r>
        <w:t>the</w:t>
      </w:r>
      <w:r>
        <w:rPr>
          <w:spacing w:val="-2"/>
        </w:rPr>
        <w:t xml:space="preserve"> </w:t>
      </w:r>
      <w:r>
        <w:t>IAASB</w:t>
      </w:r>
      <w:r>
        <w:rPr>
          <w:spacing w:val="-3"/>
        </w:rPr>
        <w:t xml:space="preserve"> </w:t>
      </w:r>
      <w:r>
        <w:t>ED</w:t>
      </w:r>
      <w:r>
        <w:rPr>
          <w:spacing w:val="-4"/>
        </w:rPr>
        <w:t xml:space="preserve"> </w:t>
      </w:r>
      <w:r>
        <w:t>is</w:t>
      </w:r>
      <w:r>
        <w:rPr>
          <w:spacing w:val="-1"/>
        </w:rPr>
        <w:t xml:space="preserve"> </w:t>
      </w:r>
      <w:r>
        <w:t>released</w:t>
      </w:r>
      <w:r>
        <w:rPr>
          <w:spacing w:val="-4"/>
        </w:rPr>
        <w:t xml:space="preserve"> </w:t>
      </w:r>
      <w:r>
        <w:t>for</w:t>
      </w:r>
      <w:r>
        <w:rPr>
          <w:spacing w:val="-3"/>
        </w:rPr>
        <w:t xml:space="preserve"> </w:t>
      </w:r>
      <w:r>
        <w:t>exposure</w:t>
      </w:r>
      <w:r>
        <w:rPr>
          <w:spacing w:val="-3"/>
        </w:rPr>
        <w:t xml:space="preserve"> </w:t>
      </w:r>
      <w:r>
        <w:rPr>
          <w:spacing w:val="-2"/>
        </w:rPr>
        <w:t>internationally;</w:t>
      </w:r>
    </w:p>
    <w:p w14:paraId="1E805B9C" w14:textId="77777777" w:rsidR="00AA4A02" w:rsidRDefault="00960F31">
      <w:pPr>
        <w:pStyle w:val="ListParagraph"/>
        <w:numPr>
          <w:ilvl w:val="1"/>
          <w:numId w:val="29"/>
        </w:numPr>
        <w:tabs>
          <w:tab w:val="left" w:pos="1562"/>
        </w:tabs>
        <w:spacing w:before="191" w:line="208" w:lineRule="auto"/>
        <w:ind w:right="667"/>
      </w:pPr>
      <w:r>
        <w:t>at</w:t>
      </w:r>
      <w:r>
        <w:rPr>
          <w:spacing w:val="-1"/>
        </w:rPr>
        <w:t xml:space="preserve"> </w:t>
      </w:r>
      <w:r>
        <w:t>the</w:t>
      </w:r>
      <w:r>
        <w:rPr>
          <w:spacing w:val="-2"/>
        </w:rPr>
        <w:t xml:space="preserve"> </w:t>
      </w:r>
      <w:r>
        <w:t>close</w:t>
      </w:r>
      <w:r>
        <w:rPr>
          <w:spacing w:val="-2"/>
        </w:rPr>
        <w:t xml:space="preserve"> </w:t>
      </w:r>
      <w:r>
        <w:t>of</w:t>
      </w:r>
      <w:r>
        <w:rPr>
          <w:spacing w:val="-4"/>
        </w:rPr>
        <w:t xml:space="preserve"> </w:t>
      </w:r>
      <w:r>
        <w:t>the</w:t>
      </w:r>
      <w:r>
        <w:rPr>
          <w:spacing w:val="-4"/>
        </w:rPr>
        <w:t xml:space="preserve"> </w:t>
      </w:r>
      <w:r>
        <w:t>comment</w:t>
      </w:r>
      <w:r>
        <w:rPr>
          <w:spacing w:val="-3"/>
        </w:rPr>
        <w:t xml:space="preserve"> </w:t>
      </w:r>
      <w:r>
        <w:t>period</w:t>
      </w:r>
      <w:r>
        <w:rPr>
          <w:spacing w:val="-2"/>
        </w:rPr>
        <w:t xml:space="preserve"> </w:t>
      </w:r>
      <w:r>
        <w:t>for</w:t>
      </w:r>
      <w:r>
        <w:rPr>
          <w:spacing w:val="-4"/>
        </w:rPr>
        <w:t xml:space="preserve"> </w:t>
      </w:r>
      <w:r>
        <w:t>the</w:t>
      </w:r>
      <w:r>
        <w:rPr>
          <w:spacing w:val="-4"/>
        </w:rPr>
        <w:t xml:space="preserve"> </w:t>
      </w:r>
      <w:r>
        <w:t>international</w:t>
      </w:r>
      <w:r>
        <w:rPr>
          <w:spacing w:val="-4"/>
        </w:rPr>
        <w:t xml:space="preserve"> </w:t>
      </w:r>
      <w:r>
        <w:t>ED,</w:t>
      </w:r>
      <w:r>
        <w:rPr>
          <w:spacing w:val="-2"/>
        </w:rPr>
        <w:t xml:space="preserve"> </w:t>
      </w:r>
      <w:r>
        <w:t>and</w:t>
      </w:r>
      <w:r>
        <w:rPr>
          <w:spacing w:val="-2"/>
        </w:rPr>
        <w:t xml:space="preserve"> </w:t>
      </w:r>
      <w:r>
        <w:t>before</w:t>
      </w:r>
      <w:r>
        <w:rPr>
          <w:spacing w:val="-2"/>
        </w:rPr>
        <w:t xml:space="preserve"> </w:t>
      </w:r>
      <w:r>
        <w:t>finalising submissions by each Board to the IAASB; and</w:t>
      </w:r>
    </w:p>
    <w:p w14:paraId="1E805B9D" w14:textId="77777777" w:rsidR="00AA4A02" w:rsidRDefault="00960F31">
      <w:pPr>
        <w:pStyle w:val="ListParagraph"/>
        <w:numPr>
          <w:ilvl w:val="1"/>
          <w:numId w:val="29"/>
        </w:numPr>
        <w:tabs>
          <w:tab w:val="left" w:pos="1562"/>
        </w:tabs>
        <w:spacing w:line="208" w:lineRule="auto"/>
        <w:ind w:right="451"/>
      </w:pPr>
      <w:r>
        <w:t>as</w:t>
      </w:r>
      <w:r>
        <w:rPr>
          <w:spacing w:val="-2"/>
        </w:rPr>
        <w:t xml:space="preserve"> </w:t>
      </w:r>
      <w:r>
        <w:t>soon</w:t>
      </w:r>
      <w:r>
        <w:rPr>
          <w:spacing w:val="-2"/>
        </w:rPr>
        <w:t xml:space="preserve"> </w:t>
      </w:r>
      <w:r>
        <w:t>as</w:t>
      </w:r>
      <w:r>
        <w:rPr>
          <w:spacing w:val="-4"/>
        </w:rPr>
        <w:t xml:space="preserve"> </w:t>
      </w:r>
      <w:r>
        <w:t>the</w:t>
      </w:r>
      <w:r>
        <w:rPr>
          <w:spacing w:val="-2"/>
        </w:rPr>
        <w:t xml:space="preserve"> </w:t>
      </w:r>
      <w:r>
        <w:t>IAASB</w:t>
      </w:r>
      <w:r>
        <w:rPr>
          <w:spacing w:val="-4"/>
        </w:rPr>
        <w:t xml:space="preserve"> </w:t>
      </w:r>
      <w:r>
        <w:t>standard</w:t>
      </w:r>
      <w:r>
        <w:rPr>
          <w:spacing w:val="-5"/>
        </w:rPr>
        <w:t xml:space="preserve"> </w:t>
      </w:r>
      <w:r>
        <w:t>is</w:t>
      </w:r>
      <w:r>
        <w:rPr>
          <w:spacing w:val="-2"/>
        </w:rPr>
        <w:t xml:space="preserve"> </w:t>
      </w:r>
      <w:r>
        <w:t>finalised,</w:t>
      </w:r>
      <w:r>
        <w:rPr>
          <w:spacing w:val="-5"/>
        </w:rPr>
        <w:t xml:space="preserve"> </w:t>
      </w:r>
      <w:r>
        <w:t>and</w:t>
      </w:r>
      <w:r>
        <w:rPr>
          <w:spacing w:val="-2"/>
        </w:rPr>
        <w:t xml:space="preserve"> </w:t>
      </w:r>
      <w:r>
        <w:t>before</w:t>
      </w:r>
      <w:r>
        <w:rPr>
          <w:spacing w:val="-4"/>
        </w:rPr>
        <w:t xml:space="preserve"> </w:t>
      </w:r>
      <w:r>
        <w:t>finalising</w:t>
      </w:r>
      <w:r>
        <w:rPr>
          <w:spacing w:val="-2"/>
        </w:rPr>
        <w:t xml:space="preserve"> </w:t>
      </w:r>
      <w:r>
        <w:t>the</w:t>
      </w:r>
      <w:r>
        <w:rPr>
          <w:spacing w:val="-2"/>
        </w:rPr>
        <w:t xml:space="preserve"> </w:t>
      </w:r>
      <w:r>
        <w:t>Australian</w:t>
      </w:r>
      <w:r>
        <w:rPr>
          <w:spacing w:val="-2"/>
        </w:rPr>
        <w:t xml:space="preserve"> </w:t>
      </w:r>
      <w:r>
        <w:t>and New Zealand standards.</w:t>
      </w:r>
    </w:p>
    <w:p w14:paraId="1E805B9E" w14:textId="77777777" w:rsidR="00AA4A02" w:rsidRDefault="00960F31">
      <w:pPr>
        <w:numPr>
          <w:ilvl w:val="0"/>
          <w:numId w:val="19"/>
        </w:numPr>
        <w:tabs>
          <w:tab w:val="left" w:pos="863"/>
        </w:tabs>
        <w:spacing w:before="155"/>
        <w:rPr>
          <w:b/>
          <w:i/>
          <w:sz w:val="24"/>
        </w:rPr>
      </w:pPr>
      <w:bookmarkStart w:id="63" w:name="B._AUASB_Concurrent_Due_Process"/>
      <w:bookmarkEnd w:id="63"/>
      <w:r>
        <w:rPr>
          <w:b/>
          <w:i/>
          <w:sz w:val="24"/>
        </w:rPr>
        <w:t>AUASB</w:t>
      </w:r>
      <w:r>
        <w:rPr>
          <w:b/>
          <w:i/>
          <w:spacing w:val="-2"/>
          <w:sz w:val="24"/>
        </w:rPr>
        <w:t xml:space="preserve"> </w:t>
      </w:r>
      <w:r>
        <w:rPr>
          <w:b/>
          <w:i/>
          <w:sz w:val="24"/>
        </w:rPr>
        <w:t>Concurrent Due</w:t>
      </w:r>
      <w:r>
        <w:rPr>
          <w:b/>
          <w:i/>
          <w:spacing w:val="-2"/>
          <w:sz w:val="24"/>
        </w:rPr>
        <w:t xml:space="preserve"> Process</w:t>
      </w:r>
    </w:p>
    <w:p w14:paraId="1E805B9F" w14:textId="77777777" w:rsidR="00AA4A02" w:rsidRDefault="00960F31">
      <w:pPr>
        <w:pStyle w:val="ListParagraph"/>
        <w:numPr>
          <w:ilvl w:val="0"/>
          <w:numId w:val="29"/>
        </w:numPr>
        <w:tabs>
          <w:tab w:val="left" w:pos="851"/>
        </w:tabs>
        <w:spacing w:before="189" w:line="208" w:lineRule="auto"/>
        <w:ind w:right="188"/>
      </w:pPr>
      <w:r>
        <w:t xml:space="preserve">Through active monitoring of the development of the proposed IAASB standard and the raising of issues by the Australasian IAASB members throughout the development phase of the IAASB project, in accordance with the </w:t>
      </w:r>
      <w:hyperlink r:id="rId109">
        <w:r>
          <w:rPr>
            <w:i/>
            <w:color w:val="0000FF"/>
            <w:u w:val="single" w:color="0000FF"/>
          </w:rPr>
          <w:t>AUASB International Strategy</w:t>
        </w:r>
        <w:r>
          <w:t>,</w:t>
        </w:r>
      </w:hyperlink>
      <w:r>
        <w:t xml:space="preserve"> the proposed standard would have been informed by the continual feedback of the AUASB. Therefore, many</w:t>
      </w:r>
      <w:r>
        <w:rPr>
          <w:spacing w:val="-3"/>
        </w:rPr>
        <w:t xml:space="preserve"> </w:t>
      </w:r>
      <w:r>
        <w:t>of</w:t>
      </w:r>
      <w:r>
        <w:rPr>
          <w:spacing w:val="-3"/>
        </w:rPr>
        <w:t xml:space="preserve"> </w:t>
      </w:r>
      <w:r>
        <w:t>the</w:t>
      </w:r>
      <w:r>
        <w:rPr>
          <w:spacing w:val="-3"/>
        </w:rPr>
        <w:t xml:space="preserve"> </w:t>
      </w:r>
      <w:r>
        <w:t>issues</w:t>
      </w:r>
      <w:r>
        <w:rPr>
          <w:spacing w:val="-3"/>
        </w:rPr>
        <w:t xml:space="preserve"> </w:t>
      </w:r>
      <w:r>
        <w:t>that the</w:t>
      </w:r>
      <w:r>
        <w:rPr>
          <w:spacing w:val="-3"/>
        </w:rPr>
        <w:t xml:space="preserve"> </w:t>
      </w:r>
      <w:r>
        <w:t>AUASB</w:t>
      </w:r>
      <w:r>
        <w:rPr>
          <w:spacing w:val="-3"/>
        </w:rPr>
        <w:t xml:space="preserve"> </w:t>
      </w:r>
      <w:r>
        <w:t>has</w:t>
      </w:r>
      <w:r>
        <w:rPr>
          <w:spacing w:val="-1"/>
        </w:rPr>
        <w:t xml:space="preserve"> </w:t>
      </w:r>
      <w:r>
        <w:t>tracked</w:t>
      </w:r>
      <w:r>
        <w:rPr>
          <w:spacing w:val="-3"/>
        </w:rPr>
        <w:t xml:space="preserve"> </w:t>
      </w:r>
      <w:r>
        <w:t>and</w:t>
      </w:r>
      <w:r>
        <w:rPr>
          <w:spacing w:val="-3"/>
        </w:rPr>
        <w:t xml:space="preserve"> </w:t>
      </w:r>
      <w:r>
        <w:t>raised</w:t>
      </w:r>
      <w:r>
        <w:rPr>
          <w:spacing w:val="-1"/>
        </w:rPr>
        <w:t xml:space="preserve"> </w:t>
      </w:r>
      <w:r>
        <w:t>would</w:t>
      </w:r>
      <w:r>
        <w:rPr>
          <w:spacing w:val="-1"/>
        </w:rPr>
        <w:t xml:space="preserve"> </w:t>
      </w:r>
      <w:r>
        <w:t>have</w:t>
      </w:r>
      <w:r>
        <w:rPr>
          <w:spacing w:val="-1"/>
        </w:rPr>
        <w:t xml:space="preserve"> </w:t>
      </w:r>
      <w:r>
        <w:t>been</w:t>
      </w:r>
      <w:r>
        <w:rPr>
          <w:spacing w:val="-1"/>
        </w:rPr>
        <w:t xml:space="preserve"> </w:t>
      </w:r>
      <w:r>
        <w:t>considered</w:t>
      </w:r>
      <w:r>
        <w:rPr>
          <w:spacing w:val="-3"/>
        </w:rPr>
        <w:t xml:space="preserve"> </w:t>
      </w:r>
      <w:r>
        <w:t>and,</w:t>
      </w:r>
      <w:r>
        <w:rPr>
          <w:spacing w:val="-3"/>
        </w:rPr>
        <w:t xml:space="preserve"> </w:t>
      </w:r>
      <w:r>
        <w:t>if appropriate, actioned by the IAASB by the time the IAASB exposes its proposed standard.</w:t>
      </w:r>
    </w:p>
    <w:p w14:paraId="1E805BA0" w14:textId="77777777" w:rsidR="00AA4A02" w:rsidRDefault="00960F31">
      <w:pPr>
        <w:pStyle w:val="BodyText"/>
        <w:spacing w:before="199" w:line="208" w:lineRule="auto"/>
        <w:ind w:left="851" w:right="173"/>
      </w:pPr>
      <w:r>
        <w:t>The</w:t>
      </w:r>
      <w:r>
        <w:rPr>
          <w:spacing w:val="-2"/>
        </w:rPr>
        <w:t xml:space="preserve"> </w:t>
      </w:r>
      <w:r>
        <w:t>next</w:t>
      </w:r>
      <w:r>
        <w:rPr>
          <w:spacing w:val="-1"/>
        </w:rPr>
        <w:t xml:space="preserve"> </w:t>
      </w:r>
      <w:r>
        <w:t>steps</w:t>
      </w:r>
      <w:r>
        <w:rPr>
          <w:spacing w:val="-4"/>
        </w:rPr>
        <w:t xml:space="preserve"> </w:t>
      </w:r>
      <w:r>
        <w:t>in</w:t>
      </w:r>
      <w:r>
        <w:rPr>
          <w:spacing w:val="-4"/>
        </w:rPr>
        <w:t xml:space="preserve"> </w:t>
      </w:r>
      <w:r>
        <w:t>the</w:t>
      </w:r>
      <w:r>
        <w:rPr>
          <w:spacing w:val="-4"/>
        </w:rPr>
        <w:t xml:space="preserve"> </w:t>
      </w:r>
      <w:r>
        <w:t>process</w:t>
      </w:r>
      <w:r>
        <w:rPr>
          <w:spacing w:val="-2"/>
        </w:rPr>
        <w:t xml:space="preserve"> </w:t>
      </w:r>
      <w:r>
        <w:t>will</w:t>
      </w:r>
      <w:r>
        <w:rPr>
          <w:spacing w:val="-1"/>
        </w:rPr>
        <w:t xml:space="preserve"> </w:t>
      </w:r>
      <w:r>
        <w:t>focus</w:t>
      </w:r>
      <w:r>
        <w:rPr>
          <w:spacing w:val="-4"/>
        </w:rPr>
        <w:t xml:space="preserve"> </w:t>
      </w:r>
      <w:r>
        <w:t>on</w:t>
      </w:r>
      <w:r>
        <w:rPr>
          <w:spacing w:val="-2"/>
        </w:rPr>
        <w:t xml:space="preserve"> </w:t>
      </w:r>
      <w:r>
        <w:t>identifying</w:t>
      </w:r>
      <w:r>
        <w:rPr>
          <w:spacing w:val="-5"/>
        </w:rPr>
        <w:t xml:space="preserve"> </w:t>
      </w:r>
      <w:r>
        <w:t>any</w:t>
      </w:r>
      <w:r>
        <w:rPr>
          <w:spacing w:val="-2"/>
        </w:rPr>
        <w:t xml:space="preserve"> </w:t>
      </w:r>
      <w:r>
        <w:t>residual</w:t>
      </w:r>
      <w:r>
        <w:rPr>
          <w:spacing w:val="-1"/>
        </w:rPr>
        <w:t xml:space="preserve"> </w:t>
      </w:r>
      <w:r>
        <w:t>issues to</w:t>
      </w:r>
      <w:r>
        <w:rPr>
          <w:spacing w:val="-5"/>
        </w:rPr>
        <w:t xml:space="preserve"> </w:t>
      </w:r>
      <w:r>
        <w:t>be</w:t>
      </w:r>
      <w:r>
        <w:rPr>
          <w:spacing w:val="-2"/>
        </w:rPr>
        <w:t xml:space="preserve"> </w:t>
      </w:r>
      <w:r>
        <w:t>addressed</w:t>
      </w:r>
      <w:r>
        <w:rPr>
          <w:spacing w:val="-2"/>
        </w:rPr>
        <w:t xml:space="preserve"> </w:t>
      </w:r>
      <w:r>
        <w:t>by the IAASB/AUASB.</w:t>
      </w:r>
    </w:p>
    <w:p w14:paraId="1E805BA1" w14:textId="77777777" w:rsidR="00AA4A02" w:rsidRDefault="00960F31">
      <w:pPr>
        <w:spacing w:before="174"/>
        <w:ind w:left="143"/>
        <w:rPr>
          <w:b/>
          <w:i/>
        </w:rPr>
      </w:pPr>
      <w:bookmarkStart w:id="64" w:name="AUASB_concurrently_exposes_the_IAASB_ED_"/>
      <w:bookmarkEnd w:id="64"/>
      <w:r>
        <w:rPr>
          <w:b/>
          <w:i/>
        </w:rPr>
        <w:t>AUASB</w:t>
      </w:r>
      <w:r>
        <w:rPr>
          <w:b/>
          <w:i/>
          <w:spacing w:val="-7"/>
        </w:rPr>
        <w:t xml:space="preserve"> </w:t>
      </w:r>
      <w:r>
        <w:rPr>
          <w:b/>
          <w:i/>
        </w:rPr>
        <w:t>concurrently</w:t>
      </w:r>
      <w:r>
        <w:rPr>
          <w:b/>
          <w:i/>
          <w:spacing w:val="-3"/>
        </w:rPr>
        <w:t xml:space="preserve"> </w:t>
      </w:r>
      <w:r>
        <w:rPr>
          <w:b/>
          <w:i/>
        </w:rPr>
        <w:t>exposes</w:t>
      </w:r>
      <w:r>
        <w:rPr>
          <w:b/>
          <w:i/>
          <w:spacing w:val="-5"/>
        </w:rPr>
        <w:t xml:space="preserve"> </w:t>
      </w:r>
      <w:r>
        <w:rPr>
          <w:b/>
          <w:i/>
        </w:rPr>
        <w:t>the</w:t>
      </w:r>
      <w:r>
        <w:rPr>
          <w:b/>
          <w:i/>
          <w:spacing w:val="-3"/>
        </w:rPr>
        <w:t xml:space="preserve"> </w:t>
      </w:r>
      <w:r>
        <w:rPr>
          <w:b/>
          <w:i/>
        </w:rPr>
        <w:t>IAASB</w:t>
      </w:r>
      <w:r>
        <w:rPr>
          <w:b/>
          <w:i/>
          <w:spacing w:val="-4"/>
        </w:rPr>
        <w:t xml:space="preserve"> </w:t>
      </w:r>
      <w:r>
        <w:rPr>
          <w:b/>
          <w:i/>
        </w:rPr>
        <w:t>ED</w:t>
      </w:r>
      <w:r>
        <w:rPr>
          <w:b/>
          <w:i/>
          <w:spacing w:val="-4"/>
        </w:rPr>
        <w:t xml:space="preserve"> </w:t>
      </w:r>
      <w:r>
        <w:rPr>
          <w:b/>
          <w:i/>
        </w:rPr>
        <w:t>in</w:t>
      </w:r>
      <w:r>
        <w:rPr>
          <w:b/>
          <w:i/>
          <w:spacing w:val="-3"/>
        </w:rPr>
        <w:t xml:space="preserve"> </w:t>
      </w:r>
      <w:r>
        <w:rPr>
          <w:b/>
          <w:i/>
        </w:rPr>
        <w:t>Australia</w:t>
      </w:r>
      <w:r>
        <w:rPr>
          <w:b/>
          <w:i/>
          <w:spacing w:val="-2"/>
        </w:rPr>
        <w:t xml:space="preserve"> </w:t>
      </w:r>
      <w:r>
        <w:rPr>
          <w:b/>
          <w:i/>
        </w:rPr>
        <w:t>for</w:t>
      </w:r>
      <w:r>
        <w:rPr>
          <w:b/>
          <w:i/>
          <w:spacing w:val="-3"/>
        </w:rPr>
        <w:t xml:space="preserve"> </w:t>
      </w:r>
      <w:r>
        <w:rPr>
          <w:b/>
          <w:i/>
        </w:rPr>
        <w:t>public</w:t>
      </w:r>
      <w:r>
        <w:rPr>
          <w:b/>
          <w:i/>
          <w:spacing w:val="-2"/>
        </w:rPr>
        <w:t xml:space="preserve"> comment</w:t>
      </w:r>
    </w:p>
    <w:p w14:paraId="1E805BA2" w14:textId="77777777" w:rsidR="00AA4A02" w:rsidRDefault="00960F31">
      <w:pPr>
        <w:pStyle w:val="ListParagraph"/>
        <w:numPr>
          <w:ilvl w:val="0"/>
          <w:numId w:val="29"/>
        </w:numPr>
        <w:tabs>
          <w:tab w:val="left" w:pos="851"/>
        </w:tabs>
        <w:spacing w:before="194" w:line="208" w:lineRule="auto"/>
        <w:ind w:right="343"/>
      </w:pPr>
      <w:r>
        <w:t>When</w:t>
      </w:r>
      <w:r>
        <w:rPr>
          <w:spacing w:val="-5"/>
        </w:rPr>
        <w:t xml:space="preserve"> </w:t>
      </w:r>
      <w:r>
        <w:t>the</w:t>
      </w:r>
      <w:r>
        <w:rPr>
          <w:spacing w:val="-1"/>
        </w:rPr>
        <w:t xml:space="preserve"> </w:t>
      </w:r>
      <w:r>
        <w:t>IAASB</w:t>
      </w:r>
      <w:r>
        <w:rPr>
          <w:spacing w:val="-3"/>
        </w:rPr>
        <w:t xml:space="preserve"> </w:t>
      </w:r>
      <w:r>
        <w:t>issues</w:t>
      </w:r>
      <w:r>
        <w:rPr>
          <w:spacing w:val="-4"/>
        </w:rPr>
        <w:t xml:space="preserve"> </w:t>
      </w:r>
      <w:r>
        <w:t>an</w:t>
      </w:r>
      <w:r>
        <w:rPr>
          <w:spacing w:val="-4"/>
        </w:rPr>
        <w:t xml:space="preserve"> </w:t>
      </w:r>
      <w:r>
        <w:t>ED,</w:t>
      </w:r>
      <w:r>
        <w:rPr>
          <w:spacing w:val="-2"/>
        </w:rPr>
        <w:t xml:space="preserve"> </w:t>
      </w:r>
      <w:r>
        <w:t>the</w:t>
      </w:r>
      <w:r>
        <w:rPr>
          <w:spacing w:val="-2"/>
        </w:rPr>
        <w:t xml:space="preserve"> </w:t>
      </w:r>
      <w:r>
        <w:t>AUASB</w:t>
      </w:r>
      <w:r>
        <w:rPr>
          <w:spacing w:val="-3"/>
        </w:rPr>
        <w:t xml:space="preserve"> </w:t>
      </w:r>
      <w:r>
        <w:t>concurrently</w:t>
      </w:r>
      <w:r>
        <w:rPr>
          <w:spacing w:val="-4"/>
        </w:rPr>
        <w:t xml:space="preserve"> </w:t>
      </w:r>
      <w:r>
        <w:t>issues</w:t>
      </w:r>
      <w:r>
        <w:rPr>
          <w:spacing w:val="-4"/>
        </w:rPr>
        <w:t xml:space="preserve"> </w:t>
      </w:r>
      <w:r>
        <w:t>the</w:t>
      </w:r>
      <w:r>
        <w:rPr>
          <w:spacing w:val="-2"/>
        </w:rPr>
        <w:t xml:space="preserve"> </w:t>
      </w:r>
      <w:r>
        <w:t>IAASB</w:t>
      </w:r>
      <w:r>
        <w:rPr>
          <w:spacing w:val="-4"/>
        </w:rPr>
        <w:t xml:space="preserve"> </w:t>
      </w:r>
      <w:r>
        <w:t>ED</w:t>
      </w:r>
      <w:r>
        <w:rPr>
          <w:spacing w:val="-4"/>
        </w:rPr>
        <w:t xml:space="preserve"> </w:t>
      </w:r>
      <w:r>
        <w:t>in</w:t>
      </w:r>
      <w:r>
        <w:rPr>
          <w:spacing w:val="-1"/>
        </w:rPr>
        <w:t xml:space="preserve"> </w:t>
      </w:r>
      <w:r>
        <w:t>Australia along with Australian-specific commentary, if necessary, in the form of an AUASB CP ‘wrapped around’ the IAASB ED (“wrap around CP”).</w:t>
      </w:r>
      <w:r>
        <w:rPr>
          <w:spacing w:val="40"/>
        </w:rPr>
        <w:t xml:space="preserve"> </w:t>
      </w:r>
      <w:r>
        <w:t>The AUASB typically issues the IAASB ED for comment in Australia without any modification.</w:t>
      </w:r>
      <w:r>
        <w:rPr>
          <w:spacing w:val="40"/>
        </w:rPr>
        <w:t xml:space="preserve"> </w:t>
      </w:r>
      <w:r>
        <w:t>The IAASB’s Explanatory Memorandum, which accompanies the IAASB ED, is provided as part of the unmodified IAASB ED.</w:t>
      </w:r>
    </w:p>
    <w:p w14:paraId="1E805BA3" w14:textId="77777777" w:rsidR="00AA4A02" w:rsidRDefault="00AA4A02">
      <w:pPr>
        <w:pStyle w:val="BodyText"/>
        <w:rPr>
          <w:sz w:val="20"/>
        </w:rPr>
      </w:pPr>
    </w:p>
    <w:p w14:paraId="1E805BA4" w14:textId="77777777" w:rsidR="00AA4A02" w:rsidRDefault="00AA4A02">
      <w:pPr>
        <w:pStyle w:val="BodyText"/>
        <w:rPr>
          <w:sz w:val="20"/>
        </w:rPr>
      </w:pPr>
    </w:p>
    <w:p w14:paraId="1E805BA5" w14:textId="77777777" w:rsidR="00AA4A02" w:rsidRDefault="00AA4A02">
      <w:pPr>
        <w:pStyle w:val="BodyText"/>
        <w:rPr>
          <w:sz w:val="20"/>
        </w:rPr>
      </w:pPr>
    </w:p>
    <w:p w14:paraId="1E805BA6" w14:textId="77777777" w:rsidR="00AA4A02" w:rsidRDefault="00AA4A02">
      <w:pPr>
        <w:pStyle w:val="BodyText"/>
        <w:rPr>
          <w:sz w:val="20"/>
        </w:rPr>
      </w:pPr>
    </w:p>
    <w:p w14:paraId="1E805BA7" w14:textId="77777777" w:rsidR="00AA4A02" w:rsidRDefault="00AA4A02">
      <w:pPr>
        <w:pStyle w:val="BodyText"/>
        <w:rPr>
          <w:sz w:val="20"/>
        </w:rPr>
      </w:pPr>
    </w:p>
    <w:p w14:paraId="1E805BA8" w14:textId="77777777" w:rsidR="00AA4A02" w:rsidRDefault="00AA4A02">
      <w:pPr>
        <w:pStyle w:val="BodyText"/>
        <w:rPr>
          <w:sz w:val="20"/>
        </w:rPr>
      </w:pPr>
    </w:p>
    <w:p w14:paraId="1E805BA9" w14:textId="77777777" w:rsidR="00AA4A02" w:rsidRDefault="00AA4A02">
      <w:pPr>
        <w:pStyle w:val="BodyText"/>
        <w:rPr>
          <w:sz w:val="20"/>
        </w:rPr>
      </w:pPr>
    </w:p>
    <w:p w14:paraId="1E805BAA" w14:textId="77777777" w:rsidR="00AA4A02" w:rsidRDefault="00960F31">
      <w:pPr>
        <w:pStyle w:val="BodyText"/>
        <w:spacing w:before="7"/>
        <w:rPr>
          <w:sz w:val="20"/>
        </w:rPr>
      </w:pPr>
      <w:r>
        <w:rPr>
          <w:noProof/>
          <w:sz w:val="20"/>
        </w:rPr>
        <mc:AlternateContent>
          <mc:Choice Requires="wps">
            <w:drawing>
              <wp:anchor distT="0" distB="0" distL="0" distR="0" simplePos="0" relativeHeight="487609344" behindDoc="1" locked="0" layoutInCell="1" allowOverlap="1" wp14:anchorId="1E805F67" wp14:editId="1E805F68">
                <wp:simplePos x="0" y="0"/>
                <wp:positionH relativeFrom="page">
                  <wp:posOffset>900988</wp:posOffset>
                </wp:positionH>
                <wp:positionV relativeFrom="paragraph">
                  <wp:posOffset>165811</wp:posOffset>
                </wp:positionV>
                <wp:extent cx="1829435" cy="762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F7D1EC" id="Graphic 71" o:spid="_x0000_s1026" style="position:absolute;margin-left:70.95pt;margin-top:13.0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uM7ky4AAAAAkBAAAPAAAAAAAAAAAAAAAAAH0EAABkcnMvZG93&#10;bnJldi54bWxQSwUGAAAAAAQABADzAAAAigUAAAAA&#10;" path="m1829053,l,,,7619r1829053,l1829053,xe" fillcolor="black" stroked="f">
                <v:path arrowok="t"/>
                <w10:wrap type="topAndBottom" anchorx="page"/>
              </v:shape>
            </w:pict>
          </mc:Fallback>
        </mc:AlternateContent>
      </w:r>
    </w:p>
    <w:p w14:paraId="1E805BAB" w14:textId="77777777" w:rsidR="00AA4A02" w:rsidRDefault="00960F31">
      <w:pPr>
        <w:spacing w:before="74" w:line="172" w:lineRule="exact"/>
        <w:ind w:left="143"/>
        <w:rPr>
          <w:sz w:val="16"/>
        </w:rPr>
      </w:pPr>
      <w:r>
        <w:rPr>
          <w:sz w:val="16"/>
          <w:vertAlign w:val="superscript"/>
        </w:rPr>
        <w:t>49</w:t>
      </w:r>
      <w:r>
        <w:rPr>
          <w:spacing w:val="49"/>
          <w:sz w:val="16"/>
        </w:rPr>
        <w:t xml:space="preserve">  </w:t>
      </w:r>
      <w:r>
        <w:rPr>
          <w:sz w:val="16"/>
        </w:rPr>
        <w:t>See</w:t>
      </w:r>
      <w:r>
        <w:rPr>
          <w:spacing w:val="-3"/>
          <w:sz w:val="16"/>
        </w:rPr>
        <w:t xml:space="preserve"> </w:t>
      </w:r>
      <w:r>
        <w:rPr>
          <w:sz w:val="16"/>
        </w:rPr>
        <w:t>paragraph</w:t>
      </w:r>
      <w:r>
        <w:rPr>
          <w:spacing w:val="-2"/>
          <w:sz w:val="16"/>
        </w:rPr>
        <w:t xml:space="preserve"> </w:t>
      </w:r>
      <w:r>
        <w:rPr>
          <w:sz w:val="16"/>
        </w:rPr>
        <w:t>42</w:t>
      </w:r>
      <w:r>
        <w:rPr>
          <w:spacing w:val="-2"/>
          <w:sz w:val="16"/>
        </w:rPr>
        <w:t xml:space="preserve"> </w:t>
      </w:r>
      <w:r>
        <w:rPr>
          <w:sz w:val="16"/>
        </w:rPr>
        <w:t>of</w:t>
      </w:r>
      <w:r>
        <w:rPr>
          <w:spacing w:val="-4"/>
          <w:sz w:val="16"/>
        </w:rPr>
        <w:t xml:space="preserve"> </w:t>
      </w:r>
      <w:r>
        <w:rPr>
          <w:sz w:val="16"/>
        </w:rPr>
        <w:t>this</w:t>
      </w:r>
      <w:r>
        <w:rPr>
          <w:spacing w:val="-2"/>
          <w:sz w:val="16"/>
        </w:rPr>
        <w:t xml:space="preserve"> document.</w:t>
      </w:r>
    </w:p>
    <w:p w14:paraId="1E805BAC" w14:textId="77777777" w:rsidR="00AA4A02" w:rsidRDefault="00960F31">
      <w:pPr>
        <w:spacing w:before="7" w:line="208" w:lineRule="auto"/>
        <w:ind w:left="427" w:right="173" w:hanging="284"/>
        <w:rPr>
          <w:sz w:val="16"/>
        </w:rPr>
      </w:pPr>
      <w:r>
        <w:rPr>
          <w:sz w:val="16"/>
          <w:vertAlign w:val="superscript"/>
        </w:rPr>
        <w:t>50</w:t>
      </w:r>
      <w:r>
        <w:rPr>
          <w:spacing w:val="80"/>
          <w:w w:val="150"/>
          <w:sz w:val="16"/>
        </w:rPr>
        <w:t xml:space="preserve"> </w:t>
      </w:r>
      <w:r>
        <w:rPr>
          <w:sz w:val="16"/>
        </w:rPr>
        <w:t>Refer</w:t>
      </w:r>
      <w:r>
        <w:rPr>
          <w:spacing w:val="-4"/>
          <w:sz w:val="16"/>
        </w:rPr>
        <w:t xml:space="preserve"> </w:t>
      </w:r>
      <w:r>
        <w:rPr>
          <w:sz w:val="16"/>
        </w:rPr>
        <w:t>to</w:t>
      </w:r>
      <w:r>
        <w:rPr>
          <w:spacing w:val="-2"/>
          <w:sz w:val="16"/>
        </w:rPr>
        <w:t xml:space="preserve"> </w:t>
      </w:r>
      <w:r>
        <w:rPr>
          <w:sz w:val="16"/>
        </w:rPr>
        <w:t>the</w:t>
      </w:r>
      <w:r>
        <w:rPr>
          <w:spacing w:val="-2"/>
          <w:sz w:val="16"/>
        </w:rPr>
        <w:t xml:space="preserve"> </w:t>
      </w:r>
      <w:r>
        <w:rPr>
          <w:i/>
          <w:sz w:val="16"/>
        </w:rPr>
        <w:t>AUASB</w:t>
      </w:r>
      <w:r>
        <w:rPr>
          <w:i/>
          <w:spacing w:val="-3"/>
          <w:sz w:val="16"/>
        </w:rPr>
        <w:t xml:space="preserve"> </w:t>
      </w:r>
      <w:r>
        <w:rPr>
          <w:i/>
          <w:sz w:val="16"/>
        </w:rPr>
        <w:t>Policy</w:t>
      </w:r>
      <w:r>
        <w:rPr>
          <w:i/>
          <w:spacing w:val="-3"/>
          <w:sz w:val="16"/>
        </w:rPr>
        <w:t xml:space="preserve"> </w:t>
      </w:r>
      <w:r>
        <w:rPr>
          <w:i/>
          <w:sz w:val="16"/>
        </w:rPr>
        <w:t>and</w:t>
      </w:r>
      <w:r>
        <w:rPr>
          <w:i/>
          <w:spacing w:val="-2"/>
          <w:sz w:val="16"/>
        </w:rPr>
        <w:t xml:space="preserve"> </w:t>
      </w:r>
      <w:r>
        <w:rPr>
          <w:i/>
          <w:sz w:val="16"/>
        </w:rPr>
        <w:t>Process</w:t>
      </w:r>
      <w:r>
        <w:rPr>
          <w:i/>
          <w:spacing w:val="-1"/>
          <w:sz w:val="16"/>
        </w:rPr>
        <w:t xml:space="preserve"> </w:t>
      </w:r>
      <w:r>
        <w:rPr>
          <w:i/>
          <w:sz w:val="16"/>
        </w:rPr>
        <w:t>for</w:t>
      </w:r>
      <w:r>
        <w:rPr>
          <w:i/>
          <w:spacing w:val="-1"/>
          <w:sz w:val="16"/>
        </w:rPr>
        <w:t xml:space="preserve"> </w:t>
      </w:r>
      <w:r>
        <w:rPr>
          <w:i/>
          <w:sz w:val="16"/>
        </w:rPr>
        <w:t>International</w:t>
      </w:r>
      <w:r>
        <w:rPr>
          <w:i/>
          <w:spacing w:val="-2"/>
          <w:sz w:val="16"/>
        </w:rPr>
        <w:t xml:space="preserve"> </w:t>
      </w:r>
      <w:r>
        <w:rPr>
          <w:i/>
          <w:sz w:val="16"/>
        </w:rPr>
        <w:t>Conformance</w:t>
      </w:r>
      <w:r>
        <w:rPr>
          <w:i/>
          <w:spacing w:val="-3"/>
          <w:sz w:val="16"/>
        </w:rPr>
        <w:t xml:space="preserve"> </w:t>
      </w:r>
      <w:r>
        <w:rPr>
          <w:i/>
          <w:sz w:val="16"/>
        </w:rPr>
        <w:t>and</w:t>
      </w:r>
      <w:r>
        <w:rPr>
          <w:i/>
          <w:spacing w:val="-2"/>
          <w:sz w:val="16"/>
        </w:rPr>
        <w:t xml:space="preserve"> </w:t>
      </w:r>
      <w:r>
        <w:rPr>
          <w:i/>
          <w:sz w:val="16"/>
        </w:rPr>
        <w:t>Harmonisation</w:t>
      </w:r>
      <w:r>
        <w:rPr>
          <w:i/>
          <w:spacing w:val="-2"/>
          <w:sz w:val="16"/>
        </w:rPr>
        <w:t xml:space="preserve"> </w:t>
      </w:r>
      <w:r>
        <w:rPr>
          <w:i/>
          <w:sz w:val="16"/>
        </w:rPr>
        <w:t>of</w:t>
      </w:r>
      <w:r>
        <w:rPr>
          <w:i/>
          <w:spacing w:val="-2"/>
          <w:sz w:val="16"/>
        </w:rPr>
        <w:t xml:space="preserve"> </w:t>
      </w:r>
      <w:r>
        <w:rPr>
          <w:i/>
          <w:sz w:val="16"/>
        </w:rPr>
        <w:t xml:space="preserve">Standards </w:t>
      </w:r>
      <w:r>
        <w:rPr>
          <w:sz w:val="16"/>
        </w:rPr>
        <w:t>for</w:t>
      </w:r>
      <w:r>
        <w:rPr>
          <w:spacing w:val="-4"/>
          <w:sz w:val="16"/>
        </w:rPr>
        <w:t xml:space="preserve"> </w:t>
      </w:r>
      <w:r>
        <w:rPr>
          <w:sz w:val="16"/>
        </w:rPr>
        <w:t>details</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circumstances</w:t>
      </w:r>
      <w:r>
        <w:rPr>
          <w:spacing w:val="40"/>
          <w:sz w:val="16"/>
        </w:rPr>
        <w:t xml:space="preserve"> </w:t>
      </w:r>
      <w:r>
        <w:rPr>
          <w:sz w:val="16"/>
        </w:rPr>
        <w:t>that will trigger</w:t>
      </w:r>
      <w:r>
        <w:rPr>
          <w:spacing w:val="-2"/>
          <w:sz w:val="16"/>
        </w:rPr>
        <w:t xml:space="preserve"> </w:t>
      </w:r>
      <w:r>
        <w:rPr>
          <w:sz w:val="16"/>
        </w:rPr>
        <w:t>application of</w:t>
      </w:r>
      <w:r>
        <w:rPr>
          <w:spacing w:val="-2"/>
          <w:sz w:val="16"/>
        </w:rPr>
        <w:t xml:space="preserve"> </w:t>
      </w:r>
      <w:r>
        <w:rPr>
          <w:sz w:val="16"/>
        </w:rPr>
        <w:t>the ‘Compelling Reasons</w:t>
      </w:r>
      <w:r>
        <w:rPr>
          <w:spacing w:val="-1"/>
          <w:sz w:val="16"/>
        </w:rPr>
        <w:t xml:space="preserve"> </w:t>
      </w:r>
      <w:r>
        <w:rPr>
          <w:sz w:val="16"/>
        </w:rPr>
        <w:t>Test’ for modification of</w:t>
      </w:r>
      <w:r>
        <w:rPr>
          <w:spacing w:val="-2"/>
          <w:sz w:val="16"/>
        </w:rPr>
        <w:t xml:space="preserve"> </w:t>
      </w:r>
      <w:r>
        <w:rPr>
          <w:sz w:val="16"/>
        </w:rPr>
        <w:t>international standards,</w:t>
      </w:r>
      <w:r>
        <w:rPr>
          <w:spacing w:val="-1"/>
          <w:sz w:val="16"/>
        </w:rPr>
        <w:t xml:space="preserve"> </w:t>
      </w:r>
      <w:r>
        <w:rPr>
          <w:sz w:val="16"/>
        </w:rPr>
        <w:t>and the</w:t>
      </w:r>
      <w:r>
        <w:rPr>
          <w:spacing w:val="-3"/>
          <w:sz w:val="16"/>
        </w:rPr>
        <w:t xml:space="preserve"> </w:t>
      </w:r>
      <w:r>
        <w:rPr>
          <w:sz w:val="16"/>
        </w:rPr>
        <w:t>criteria that have</w:t>
      </w:r>
      <w:r>
        <w:rPr>
          <w:spacing w:val="-1"/>
          <w:sz w:val="16"/>
        </w:rPr>
        <w:t xml:space="preserve"> </w:t>
      </w:r>
      <w:r>
        <w:rPr>
          <w:sz w:val="16"/>
        </w:rPr>
        <w:t>to be</w:t>
      </w:r>
      <w:r>
        <w:rPr>
          <w:spacing w:val="40"/>
          <w:sz w:val="16"/>
        </w:rPr>
        <w:t xml:space="preserve"> </w:t>
      </w:r>
      <w:r>
        <w:rPr>
          <w:sz w:val="16"/>
        </w:rPr>
        <w:t>met before a standard is modified.</w:t>
      </w:r>
    </w:p>
    <w:p w14:paraId="1E805BAD"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BAE" w14:textId="77777777" w:rsidR="00AA4A02" w:rsidRDefault="00960F31">
      <w:pPr>
        <w:pStyle w:val="ListParagraph"/>
        <w:numPr>
          <w:ilvl w:val="0"/>
          <w:numId w:val="29"/>
        </w:numPr>
        <w:tabs>
          <w:tab w:val="left" w:pos="851"/>
        </w:tabs>
        <w:spacing w:before="219" w:line="208" w:lineRule="auto"/>
        <w:ind w:right="960"/>
      </w:pPr>
      <w:r>
        <w:lastRenderedPageBreak/>
        <w:t>The</w:t>
      </w:r>
      <w:r>
        <w:rPr>
          <w:spacing w:val="-2"/>
        </w:rPr>
        <w:t xml:space="preserve"> </w:t>
      </w:r>
      <w:r>
        <w:t>AUASB</w:t>
      </w:r>
      <w:r>
        <w:rPr>
          <w:spacing w:val="-4"/>
        </w:rPr>
        <w:t xml:space="preserve"> </w:t>
      </w:r>
      <w:r>
        <w:t>considers</w:t>
      </w:r>
      <w:r>
        <w:rPr>
          <w:spacing w:val="-2"/>
        </w:rPr>
        <w:t xml:space="preserve"> </w:t>
      </w:r>
      <w:r>
        <w:t>this</w:t>
      </w:r>
      <w:r>
        <w:rPr>
          <w:spacing w:val="-3"/>
        </w:rPr>
        <w:t xml:space="preserve"> </w:t>
      </w:r>
      <w:r>
        <w:t>approach</w:t>
      </w:r>
      <w:r>
        <w:rPr>
          <w:spacing w:val="-2"/>
        </w:rPr>
        <w:t xml:space="preserve"> </w:t>
      </w:r>
      <w:r>
        <w:t>of</w:t>
      </w:r>
      <w:r>
        <w:rPr>
          <w:spacing w:val="-1"/>
        </w:rPr>
        <w:t xml:space="preserve"> </w:t>
      </w:r>
      <w:r>
        <w:t>issuing</w:t>
      </w:r>
      <w:r>
        <w:rPr>
          <w:spacing w:val="-5"/>
        </w:rPr>
        <w:t xml:space="preserve"> </w:t>
      </w:r>
      <w:r>
        <w:t>an</w:t>
      </w:r>
      <w:r>
        <w:rPr>
          <w:spacing w:val="-2"/>
        </w:rPr>
        <w:t xml:space="preserve"> </w:t>
      </w:r>
      <w:r>
        <w:t>Australian</w:t>
      </w:r>
      <w:r>
        <w:rPr>
          <w:spacing w:val="-2"/>
        </w:rPr>
        <w:t xml:space="preserve"> </w:t>
      </w:r>
      <w:r>
        <w:t>CP</w:t>
      </w:r>
      <w:r>
        <w:rPr>
          <w:spacing w:val="-3"/>
        </w:rPr>
        <w:t xml:space="preserve"> </w:t>
      </w:r>
      <w:r>
        <w:t>wrapped</w:t>
      </w:r>
      <w:r>
        <w:rPr>
          <w:spacing w:val="-4"/>
        </w:rPr>
        <w:t xml:space="preserve"> </w:t>
      </w:r>
      <w:r>
        <w:t>around</w:t>
      </w:r>
      <w:r>
        <w:rPr>
          <w:spacing w:val="-5"/>
        </w:rPr>
        <w:t xml:space="preserve"> </w:t>
      </w:r>
      <w:r>
        <w:t>the unmodified IAASB ED:</w:t>
      </w:r>
    </w:p>
    <w:p w14:paraId="1E805BAF" w14:textId="77777777" w:rsidR="00AA4A02" w:rsidRDefault="00960F31">
      <w:pPr>
        <w:pStyle w:val="ListParagraph"/>
        <w:numPr>
          <w:ilvl w:val="1"/>
          <w:numId w:val="29"/>
        </w:numPr>
        <w:tabs>
          <w:tab w:val="left" w:pos="1562"/>
        </w:tabs>
        <w:spacing w:line="208" w:lineRule="auto"/>
        <w:ind w:right="254"/>
      </w:pPr>
      <w:r>
        <w:t>provides the best opportunity to obtain robust feedback from Australian stakeholders about significant matters at the optimal stage in the AUASB standard-setting process (which</w:t>
      </w:r>
      <w:r>
        <w:rPr>
          <w:spacing w:val="-4"/>
        </w:rPr>
        <w:t xml:space="preserve"> </w:t>
      </w:r>
      <w:r>
        <w:t>is</w:t>
      </w:r>
      <w:r>
        <w:rPr>
          <w:spacing w:val="-4"/>
        </w:rPr>
        <w:t xml:space="preserve"> </w:t>
      </w:r>
      <w:r>
        <w:t>dependent</w:t>
      </w:r>
      <w:r>
        <w:rPr>
          <w:spacing w:val="-1"/>
        </w:rPr>
        <w:t xml:space="preserve"> </w:t>
      </w:r>
      <w:r>
        <w:t>on</w:t>
      </w:r>
      <w:r>
        <w:rPr>
          <w:spacing w:val="-5"/>
        </w:rPr>
        <w:t xml:space="preserve"> </w:t>
      </w:r>
      <w:r>
        <w:t>a</w:t>
      </w:r>
      <w:r>
        <w:rPr>
          <w:spacing w:val="-2"/>
        </w:rPr>
        <w:t xml:space="preserve"> </w:t>
      </w:r>
      <w:r>
        <w:t>high</w:t>
      </w:r>
      <w:r>
        <w:rPr>
          <w:spacing w:val="-2"/>
        </w:rPr>
        <w:t xml:space="preserve"> </w:t>
      </w:r>
      <w:r>
        <w:t>quality</w:t>
      </w:r>
      <w:r>
        <w:rPr>
          <w:spacing w:val="-2"/>
        </w:rPr>
        <w:t xml:space="preserve"> </w:t>
      </w:r>
      <w:r>
        <w:t>IAASB</w:t>
      </w:r>
      <w:r>
        <w:rPr>
          <w:spacing w:val="-4"/>
        </w:rPr>
        <w:t xml:space="preserve"> </w:t>
      </w:r>
      <w:r>
        <w:t>standard).</w:t>
      </w:r>
      <w:r>
        <w:rPr>
          <w:spacing w:val="40"/>
        </w:rPr>
        <w:t xml:space="preserve"> </w:t>
      </w:r>
      <w:r>
        <w:t>This</w:t>
      </w:r>
      <w:r>
        <w:rPr>
          <w:spacing w:val="-2"/>
        </w:rPr>
        <w:t xml:space="preserve"> </w:t>
      </w:r>
      <w:r>
        <w:t>feedback</w:t>
      </w:r>
      <w:r>
        <w:rPr>
          <w:spacing w:val="-2"/>
        </w:rPr>
        <w:t xml:space="preserve"> </w:t>
      </w:r>
      <w:r>
        <w:t>will</w:t>
      </w:r>
      <w:r>
        <w:rPr>
          <w:spacing w:val="-4"/>
        </w:rPr>
        <w:t xml:space="preserve"> </w:t>
      </w:r>
      <w:r>
        <w:t>feed</w:t>
      </w:r>
      <w:r>
        <w:rPr>
          <w:spacing w:val="-2"/>
        </w:rPr>
        <w:t xml:space="preserve"> </w:t>
      </w:r>
      <w:r>
        <w:t>into the AUASB’s formal response to the IAASB, which will be used to finalise the IAASB standard;</w:t>
      </w:r>
    </w:p>
    <w:p w14:paraId="1E805BB0" w14:textId="77777777" w:rsidR="00AA4A02" w:rsidRDefault="00960F31">
      <w:pPr>
        <w:pStyle w:val="ListParagraph"/>
        <w:numPr>
          <w:ilvl w:val="1"/>
          <w:numId w:val="29"/>
        </w:numPr>
        <w:tabs>
          <w:tab w:val="left" w:pos="1562"/>
        </w:tabs>
        <w:spacing w:line="208" w:lineRule="auto"/>
        <w:ind w:right="507"/>
      </w:pPr>
      <w:r>
        <w:t>results</w:t>
      </w:r>
      <w:r>
        <w:rPr>
          <w:spacing w:val="-3"/>
        </w:rPr>
        <w:t xml:space="preserve"> </w:t>
      </w:r>
      <w:r>
        <w:t>in</w:t>
      </w:r>
      <w:r>
        <w:rPr>
          <w:spacing w:val="-6"/>
        </w:rPr>
        <w:t xml:space="preserve"> </w:t>
      </w:r>
      <w:r>
        <w:t>an</w:t>
      </w:r>
      <w:r>
        <w:rPr>
          <w:spacing w:val="-3"/>
        </w:rPr>
        <w:t xml:space="preserve"> </w:t>
      </w:r>
      <w:r>
        <w:t>Australian</w:t>
      </w:r>
      <w:r>
        <w:rPr>
          <w:spacing w:val="-5"/>
        </w:rPr>
        <w:t xml:space="preserve"> </w:t>
      </w:r>
      <w:r>
        <w:t>exposure</w:t>
      </w:r>
      <w:r>
        <w:rPr>
          <w:spacing w:val="-5"/>
        </w:rPr>
        <w:t xml:space="preserve"> </w:t>
      </w:r>
      <w:r>
        <w:t>process</w:t>
      </w:r>
      <w:r>
        <w:rPr>
          <w:spacing w:val="-3"/>
        </w:rPr>
        <w:t xml:space="preserve"> </w:t>
      </w:r>
      <w:r>
        <w:t>which</w:t>
      </w:r>
      <w:r>
        <w:rPr>
          <w:spacing w:val="-3"/>
        </w:rPr>
        <w:t xml:space="preserve"> </w:t>
      </w:r>
      <w:r>
        <w:t>closely</w:t>
      </w:r>
      <w:r>
        <w:rPr>
          <w:spacing w:val="-3"/>
        </w:rPr>
        <w:t xml:space="preserve"> </w:t>
      </w:r>
      <w:r>
        <w:t>follows</w:t>
      </w:r>
      <w:r>
        <w:rPr>
          <w:spacing w:val="-5"/>
        </w:rPr>
        <w:t xml:space="preserve"> </w:t>
      </w:r>
      <w:r>
        <w:t>the</w:t>
      </w:r>
      <w:r>
        <w:rPr>
          <w:spacing w:val="-3"/>
        </w:rPr>
        <w:t xml:space="preserve"> </w:t>
      </w:r>
      <w:r>
        <w:t>IAASB</w:t>
      </w:r>
      <w:r>
        <w:rPr>
          <w:spacing w:val="-5"/>
        </w:rPr>
        <w:t xml:space="preserve"> </w:t>
      </w:r>
      <w:r>
        <w:t>release and maximises stakeholders’ time to consider proposed changes;</w:t>
      </w:r>
    </w:p>
    <w:p w14:paraId="1E805BB1" w14:textId="77777777" w:rsidR="00AA4A02" w:rsidRDefault="00960F31">
      <w:pPr>
        <w:pStyle w:val="ListParagraph"/>
        <w:numPr>
          <w:ilvl w:val="1"/>
          <w:numId w:val="29"/>
        </w:numPr>
        <w:tabs>
          <w:tab w:val="left" w:pos="1562"/>
        </w:tabs>
        <w:spacing w:before="198" w:line="208" w:lineRule="auto"/>
        <w:ind w:right="481"/>
      </w:pPr>
      <w:r>
        <w:t>focusses Australian stakeholders’ attention on the significant matters relevant to achieving</w:t>
      </w:r>
      <w:r>
        <w:rPr>
          <w:spacing w:val="-2"/>
        </w:rPr>
        <w:t xml:space="preserve"> </w:t>
      </w:r>
      <w:r>
        <w:t>a</w:t>
      </w:r>
      <w:r>
        <w:rPr>
          <w:spacing w:val="-4"/>
        </w:rPr>
        <w:t xml:space="preserve"> </w:t>
      </w:r>
      <w:r>
        <w:t>fit-for-purpose</w:t>
      </w:r>
      <w:r>
        <w:rPr>
          <w:spacing w:val="-6"/>
        </w:rPr>
        <w:t xml:space="preserve"> </w:t>
      </w:r>
      <w:r>
        <w:t>standard</w:t>
      </w:r>
      <w:r>
        <w:rPr>
          <w:spacing w:val="-5"/>
        </w:rPr>
        <w:t xml:space="preserve"> </w:t>
      </w:r>
      <w:r>
        <w:t>in</w:t>
      </w:r>
      <w:r>
        <w:rPr>
          <w:spacing w:val="-2"/>
        </w:rPr>
        <w:t xml:space="preserve"> </w:t>
      </w:r>
      <w:r>
        <w:t>Australia</w:t>
      </w:r>
      <w:r>
        <w:rPr>
          <w:spacing w:val="-4"/>
        </w:rPr>
        <w:t xml:space="preserve"> </w:t>
      </w:r>
      <w:r>
        <w:t>identified</w:t>
      </w:r>
      <w:r>
        <w:rPr>
          <w:spacing w:val="-4"/>
        </w:rPr>
        <w:t xml:space="preserve"> </w:t>
      </w:r>
      <w:r>
        <w:t>by</w:t>
      </w:r>
      <w:r>
        <w:rPr>
          <w:spacing w:val="-2"/>
        </w:rPr>
        <w:t xml:space="preserve"> </w:t>
      </w:r>
      <w:r>
        <w:t>the</w:t>
      </w:r>
      <w:r>
        <w:rPr>
          <w:spacing w:val="-2"/>
        </w:rPr>
        <w:t xml:space="preserve"> </w:t>
      </w:r>
      <w:r>
        <w:t>AUASB</w:t>
      </w:r>
      <w:r>
        <w:rPr>
          <w:spacing w:val="-4"/>
        </w:rPr>
        <w:t xml:space="preserve"> </w:t>
      </w:r>
      <w:r>
        <w:t>over</w:t>
      </w:r>
      <w:r>
        <w:rPr>
          <w:spacing w:val="-3"/>
        </w:rPr>
        <w:t xml:space="preserve"> </w:t>
      </w:r>
      <w:r>
        <w:t>the course of the proposed standard’s development by the IAASB;</w:t>
      </w:r>
    </w:p>
    <w:p w14:paraId="1E805BB2" w14:textId="77777777" w:rsidR="00AA4A02" w:rsidRDefault="00960F31">
      <w:pPr>
        <w:pStyle w:val="ListParagraph"/>
        <w:numPr>
          <w:ilvl w:val="1"/>
          <w:numId w:val="29"/>
        </w:numPr>
        <w:tabs>
          <w:tab w:val="left" w:pos="1562"/>
        </w:tabs>
        <w:spacing w:line="208" w:lineRule="auto"/>
        <w:ind w:right="175"/>
      </w:pPr>
      <w:r>
        <w:t>means the AUASB can create targeted questions or commentary that directs stakeholders</w:t>
      </w:r>
      <w:r>
        <w:rPr>
          <w:spacing w:val="-2"/>
        </w:rPr>
        <w:t xml:space="preserve"> </w:t>
      </w:r>
      <w:r>
        <w:t>to</w:t>
      </w:r>
      <w:r>
        <w:rPr>
          <w:spacing w:val="-2"/>
        </w:rPr>
        <w:t xml:space="preserve"> </w:t>
      </w:r>
      <w:r>
        <w:t>specific</w:t>
      </w:r>
      <w:r>
        <w:rPr>
          <w:spacing w:val="-2"/>
        </w:rPr>
        <w:t xml:space="preserve"> </w:t>
      </w:r>
      <w:r>
        <w:t>elements</w:t>
      </w:r>
      <w:r>
        <w:rPr>
          <w:spacing w:val="-2"/>
        </w:rPr>
        <w:t xml:space="preserve"> </w:t>
      </w:r>
      <w:r>
        <w:t>of</w:t>
      </w:r>
      <w:r>
        <w:rPr>
          <w:spacing w:val="-2"/>
        </w:rPr>
        <w:t xml:space="preserve"> </w:t>
      </w:r>
      <w:r>
        <w:t>the</w:t>
      </w:r>
      <w:r>
        <w:rPr>
          <w:spacing w:val="-2"/>
        </w:rPr>
        <w:t xml:space="preserve"> </w:t>
      </w:r>
      <w:r>
        <w:t>proposed</w:t>
      </w:r>
      <w:r>
        <w:rPr>
          <w:spacing w:val="-2"/>
        </w:rPr>
        <w:t xml:space="preserve"> </w:t>
      </w:r>
      <w:r>
        <w:t>IAASB</w:t>
      </w:r>
      <w:r>
        <w:rPr>
          <w:spacing w:val="-4"/>
        </w:rPr>
        <w:t xml:space="preserve"> </w:t>
      </w:r>
      <w:r>
        <w:t>standard,</w:t>
      </w:r>
      <w:r>
        <w:rPr>
          <w:spacing w:val="-5"/>
        </w:rPr>
        <w:t xml:space="preserve"> </w:t>
      </w:r>
      <w:r>
        <w:t>for</w:t>
      </w:r>
      <w:r>
        <w:rPr>
          <w:spacing w:val="-2"/>
        </w:rPr>
        <w:t xml:space="preserve"> </w:t>
      </w:r>
      <w:r>
        <w:t>example</w:t>
      </w:r>
      <w:r>
        <w:rPr>
          <w:spacing w:val="-2"/>
        </w:rPr>
        <w:t xml:space="preserve"> </w:t>
      </w:r>
      <w:r>
        <w:t>where the AUASB considers there is a high possibility that compelling reasons may exist to modify</w:t>
      </w:r>
      <w:r>
        <w:rPr>
          <w:spacing w:val="-5"/>
        </w:rPr>
        <w:t xml:space="preserve"> </w:t>
      </w:r>
      <w:r>
        <w:t>the</w:t>
      </w:r>
      <w:r>
        <w:rPr>
          <w:spacing w:val="-4"/>
        </w:rPr>
        <w:t xml:space="preserve"> </w:t>
      </w:r>
      <w:r>
        <w:t>international</w:t>
      </w:r>
      <w:r>
        <w:rPr>
          <w:spacing w:val="-2"/>
        </w:rPr>
        <w:t xml:space="preserve"> </w:t>
      </w:r>
      <w:r>
        <w:t>standard,</w:t>
      </w:r>
      <w:r>
        <w:rPr>
          <w:spacing w:val="-2"/>
        </w:rPr>
        <w:t xml:space="preserve"> </w:t>
      </w:r>
      <w:r>
        <w:t>or</w:t>
      </w:r>
      <w:r>
        <w:rPr>
          <w:spacing w:val="-4"/>
        </w:rPr>
        <w:t xml:space="preserve"> </w:t>
      </w:r>
      <w:r>
        <w:t>to</w:t>
      </w:r>
      <w:r>
        <w:rPr>
          <w:spacing w:val="-2"/>
        </w:rPr>
        <w:t xml:space="preserve"> </w:t>
      </w:r>
      <w:r>
        <w:t>elicit</w:t>
      </w:r>
      <w:r>
        <w:rPr>
          <w:spacing w:val="-2"/>
        </w:rPr>
        <w:t xml:space="preserve"> </w:t>
      </w:r>
      <w:r>
        <w:t>feedback</w:t>
      </w:r>
      <w:r>
        <w:rPr>
          <w:spacing w:val="-4"/>
        </w:rPr>
        <w:t xml:space="preserve"> </w:t>
      </w:r>
      <w:r>
        <w:t>on</w:t>
      </w:r>
      <w:r>
        <w:rPr>
          <w:spacing w:val="-2"/>
        </w:rPr>
        <w:t xml:space="preserve"> </w:t>
      </w:r>
      <w:r>
        <w:t>Australian</w:t>
      </w:r>
      <w:r>
        <w:rPr>
          <w:spacing w:val="-2"/>
        </w:rPr>
        <w:t xml:space="preserve"> </w:t>
      </w:r>
      <w:r>
        <w:t>specific</w:t>
      </w:r>
      <w:r>
        <w:rPr>
          <w:spacing w:val="-3"/>
        </w:rPr>
        <w:t xml:space="preserve"> </w:t>
      </w:r>
      <w:r>
        <w:t>practices and how they impact the proposed standard; and</w:t>
      </w:r>
    </w:p>
    <w:p w14:paraId="1E805BB3" w14:textId="77777777" w:rsidR="00AA4A02" w:rsidRDefault="00960F31">
      <w:pPr>
        <w:pStyle w:val="ListParagraph"/>
        <w:numPr>
          <w:ilvl w:val="1"/>
          <w:numId w:val="29"/>
        </w:numPr>
        <w:tabs>
          <w:tab w:val="left" w:pos="1562"/>
        </w:tabs>
        <w:spacing w:before="199" w:line="208" w:lineRule="auto"/>
        <w:ind w:right="213"/>
      </w:pPr>
      <w:r>
        <w:t>allows for the final Australian standard to be issued on a timely basis after the international</w:t>
      </w:r>
      <w:r>
        <w:rPr>
          <w:spacing w:val="-2"/>
        </w:rPr>
        <w:t xml:space="preserve"> </w:t>
      </w:r>
      <w:r>
        <w:t>standard,</w:t>
      </w:r>
      <w:r>
        <w:rPr>
          <w:spacing w:val="-3"/>
        </w:rPr>
        <w:t xml:space="preserve"> </w:t>
      </w:r>
      <w:r>
        <w:t>with</w:t>
      </w:r>
      <w:r>
        <w:rPr>
          <w:spacing w:val="-6"/>
        </w:rPr>
        <w:t xml:space="preserve"> </w:t>
      </w:r>
      <w:r>
        <w:t>the</w:t>
      </w:r>
      <w:r>
        <w:rPr>
          <w:spacing w:val="-3"/>
        </w:rPr>
        <w:t xml:space="preserve"> </w:t>
      </w:r>
      <w:r>
        <w:t>advantage</w:t>
      </w:r>
      <w:r>
        <w:rPr>
          <w:spacing w:val="-3"/>
        </w:rPr>
        <w:t xml:space="preserve"> </w:t>
      </w:r>
      <w:r>
        <w:t>being</w:t>
      </w:r>
      <w:r>
        <w:rPr>
          <w:spacing w:val="-6"/>
        </w:rPr>
        <w:t xml:space="preserve"> </w:t>
      </w:r>
      <w:r>
        <w:t>that</w:t>
      </w:r>
      <w:r>
        <w:rPr>
          <w:spacing w:val="-2"/>
        </w:rPr>
        <w:t xml:space="preserve"> </w:t>
      </w:r>
      <w:r>
        <w:t>Australian</w:t>
      </w:r>
      <w:r>
        <w:rPr>
          <w:spacing w:val="-5"/>
        </w:rPr>
        <w:t xml:space="preserve"> </w:t>
      </w:r>
      <w:r>
        <w:t>entities</w:t>
      </w:r>
      <w:r>
        <w:rPr>
          <w:spacing w:val="-3"/>
        </w:rPr>
        <w:t xml:space="preserve"> </w:t>
      </w:r>
      <w:r>
        <w:t>have</w:t>
      </w:r>
      <w:r>
        <w:rPr>
          <w:spacing w:val="-3"/>
        </w:rPr>
        <w:t xml:space="preserve"> </w:t>
      </w:r>
      <w:r>
        <w:t>the</w:t>
      </w:r>
      <w:r>
        <w:rPr>
          <w:spacing w:val="-3"/>
        </w:rPr>
        <w:t xml:space="preserve"> </w:t>
      </w:r>
      <w:r>
        <w:t>same adoption response time as international entities.</w:t>
      </w:r>
    </w:p>
    <w:p w14:paraId="1E805BB4" w14:textId="77777777" w:rsidR="00AA4A02" w:rsidRDefault="00960F31">
      <w:pPr>
        <w:pStyle w:val="ListParagraph"/>
        <w:numPr>
          <w:ilvl w:val="0"/>
          <w:numId w:val="29"/>
        </w:numPr>
        <w:tabs>
          <w:tab w:val="left" w:pos="851"/>
        </w:tabs>
        <w:spacing w:line="208" w:lineRule="auto"/>
        <w:ind w:right="269"/>
      </w:pPr>
      <w:r>
        <w:t>Although the Compelling Reasons Test has not yet formally been applied by the AUASB at this</w:t>
      </w:r>
      <w:r>
        <w:rPr>
          <w:spacing w:val="-2"/>
        </w:rPr>
        <w:t xml:space="preserve"> </w:t>
      </w:r>
      <w:r>
        <w:t>stage</w:t>
      </w:r>
      <w:r>
        <w:rPr>
          <w:spacing w:val="-4"/>
        </w:rPr>
        <w:t xml:space="preserve"> </w:t>
      </w:r>
      <w:r>
        <w:t>of</w:t>
      </w:r>
      <w:r>
        <w:rPr>
          <w:spacing w:val="-4"/>
        </w:rPr>
        <w:t xml:space="preserve"> </w:t>
      </w:r>
      <w:r>
        <w:t>the</w:t>
      </w:r>
      <w:r>
        <w:rPr>
          <w:spacing w:val="-2"/>
        </w:rPr>
        <w:t xml:space="preserve"> </w:t>
      </w:r>
      <w:r>
        <w:t>process,</w:t>
      </w:r>
      <w:r>
        <w:rPr>
          <w:spacing w:val="-5"/>
        </w:rPr>
        <w:t xml:space="preserve"> </w:t>
      </w:r>
      <w:r>
        <w:t>the</w:t>
      </w:r>
      <w:r>
        <w:rPr>
          <w:spacing w:val="-2"/>
        </w:rPr>
        <w:t xml:space="preserve"> </w:t>
      </w:r>
      <w:r>
        <w:t>AUASB</w:t>
      </w:r>
      <w:r>
        <w:rPr>
          <w:spacing w:val="-4"/>
        </w:rPr>
        <w:t xml:space="preserve"> </w:t>
      </w:r>
      <w:r>
        <w:t>highlights</w:t>
      </w:r>
      <w:r>
        <w:rPr>
          <w:spacing w:val="-4"/>
        </w:rPr>
        <w:t xml:space="preserve"> </w:t>
      </w:r>
      <w:r>
        <w:t>in</w:t>
      </w:r>
      <w:r>
        <w:rPr>
          <w:spacing w:val="-2"/>
        </w:rPr>
        <w:t xml:space="preserve"> </w:t>
      </w:r>
      <w:r>
        <w:t>the</w:t>
      </w:r>
      <w:r>
        <w:rPr>
          <w:spacing w:val="-4"/>
        </w:rPr>
        <w:t xml:space="preserve"> </w:t>
      </w:r>
      <w:r>
        <w:t>CP</w:t>
      </w:r>
      <w:r>
        <w:rPr>
          <w:spacing w:val="-3"/>
        </w:rPr>
        <w:t xml:space="preserve"> </w:t>
      </w:r>
      <w:r>
        <w:t>any</w:t>
      </w:r>
      <w:r>
        <w:rPr>
          <w:spacing w:val="-2"/>
        </w:rPr>
        <w:t xml:space="preserve"> </w:t>
      </w:r>
      <w:r>
        <w:t>identified</w:t>
      </w:r>
      <w:r>
        <w:rPr>
          <w:spacing w:val="-4"/>
        </w:rPr>
        <w:t xml:space="preserve"> </w:t>
      </w:r>
      <w:r>
        <w:t>potential</w:t>
      </w:r>
      <w:r>
        <w:rPr>
          <w:spacing w:val="-2"/>
        </w:rPr>
        <w:t xml:space="preserve"> </w:t>
      </w:r>
      <w:r>
        <w:t>compelling reason modifications to the IAASB standard that it considers may be necessary in the final Australian standard.</w:t>
      </w:r>
    </w:p>
    <w:p w14:paraId="1E805BB5" w14:textId="77777777" w:rsidR="00AA4A02" w:rsidRDefault="00960F31">
      <w:pPr>
        <w:pStyle w:val="ListParagraph"/>
        <w:numPr>
          <w:ilvl w:val="0"/>
          <w:numId w:val="29"/>
        </w:numPr>
        <w:tabs>
          <w:tab w:val="left" w:pos="851"/>
        </w:tabs>
        <w:spacing w:before="200" w:line="208" w:lineRule="auto"/>
        <w:ind w:right="279"/>
      </w:pPr>
      <w:r>
        <w:t>The</w:t>
      </w:r>
      <w:r>
        <w:rPr>
          <w:spacing w:val="-2"/>
        </w:rPr>
        <w:t xml:space="preserve"> </w:t>
      </w:r>
      <w:r>
        <w:t>AUASB</w:t>
      </w:r>
      <w:r>
        <w:rPr>
          <w:spacing w:val="-4"/>
        </w:rPr>
        <w:t xml:space="preserve"> </w:t>
      </w:r>
      <w:r>
        <w:t>communicates</w:t>
      </w:r>
      <w:r>
        <w:rPr>
          <w:spacing w:val="-2"/>
        </w:rPr>
        <w:t xml:space="preserve"> </w:t>
      </w:r>
      <w:r>
        <w:t>with</w:t>
      </w:r>
      <w:r>
        <w:rPr>
          <w:spacing w:val="-5"/>
        </w:rPr>
        <w:t xml:space="preserve"> </w:t>
      </w:r>
      <w:r>
        <w:t>the</w:t>
      </w:r>
      <w:r>
        <w:rPr>
          <w:spacing w:val="-2"/>
        </w:rPr>
        <w:t xml:space="preserve"> </w:t>
      </w:r>
      <w:r>
        <w:t>NZAuASB</w:t>
      </w:r>
      <w:r>
        <w:rPr>
          <w:spacing w:val="-4"/>
        </w:rPr>
        <w:t xml:space="preserve"> </w:t>
      </w:r>
      <w:r>
        <w:t>to</w:t>
      </w:r>
      <w:r>
        <w:rPr>
          <w:spacing w:val="-2"/>
        </w:rPr>
        <w:t xml:space="preserve"> </w:t>
      </w:r>
      <w:r>
        <w:t>identify</w:t>
      </w:r>
      <w:r>
        <w:rPr>
          <w:spacing w:val="-2"/>
        </w:rPr>
        <w:t xml:space="preserve"> </w:t>
      </w:r>
      <w:r>
        <w:t>and</w:t>
      </w:r>
      <w:r>
        <w:rPr>
          <w:spacing w:val="-2"/>
        </w:rPr>
        <w:t xml:space="preserve"> </w:t>
      </w:r>
      <w:r>
        <w:t>discuss</w:t>
      </w:r>
      <w:r>
        <w:rPr>
          <w:spacing w:val="-2"/>
        </w:rPr>
        <w:t xml:space="preserve"> </w:t>
      </w:r>
      <w:r>
        <w:t>Trans-Tasman</w:t>
      </w:r>
      <w:r>
        <w:rPr>
          <w:spacing w:val="-4"/>
        </w:rPr>
        <w:t xml:space="preserve"> </w:t>
      </w:r>
      <w:r>
        <w:t>issues and potential compelling reasons modifications, in accordance with AUASB/NZAuASB communication protocols.</w:t>
      </w:r>
    </w:p>
    <w:p w14:paraId="1E805BB6" w14:textId="77777777" w:rsidR="00AA4A02" w:rsidRDefault="00960F31">
      <w:pPr>
        <w:pStyle w:val="ListParagraph"/>
        <w:numPr>
          <w:ilvl w:val="0"/>
          <w:numId w:val="29"/>
        </w:numPr>
        <w:tabs>
          <w:tab w:val="left" w:pos="851"/>
        </w:tabs>
        <w:spacing w:before="199" w:line="208" w:lineRule="auto"/>
        <w:ind w:right="436"/>
      </w:pPr>
      <w:r>
        <w:t>The</w:t>
      </w:r>
      <w:r>
        <w:rPr>
          <w:spacing w:val="-2"/>
        </w:rPr>
        <w:t xml:space="preserve"> </w:t>
      </w:r>
      <w:r>
        <w:t>AUASB</w:t>
      </w:r>
      <w:r>
        <w:rPr>
          <w:spacing w:val="-3"/>
        </w:rPr>
        <w:t xml:space="preserve"> </w:t>
      </w:r>
      <w:r>
        <w:t>wrap</w:t>
      </w:r>
      <w:r>
        <w:rPr>
          <w:spacing w:val="-2"/>
        </w:rPr>
        <w:t xml:space="preserve"> </w:t>
      </w:r>
      <w:r>
        <w:t>around</w:t>
      </w:r>
      <w:r>
        <w:rPr>
          <w:spacing w:val="-3"/>
        </w:rPr>
        <w:t xml:space="preserve"> </w:t>
      </w:r>
      <w:r>
        <w:t>CP</w:t>
      </w:r>
      <w:r>
        <w:rPr>
          <w:spacing w:val="-3"/>
        </w:rPr>
        <w:t xml:space="preserve"> </w:t>
      </w:r>
      <w:r>
        <w:t>is</w:t>
      </w:r>
      <w:r>
        <w:rPr>
          <w:spacing w:val="-2"/>
        </w:rPr>
        <w:t xml:space="preserve"> </w:t>
      </w:r>
      <w:r>
        <w:t>formally</w:t>
      </w:r>
      <w:r>
        <w:rPr>
          <w:spacing w:val="-5"/>
        </w:rPr>
        <w:t xml:space="preserve"> </w:t>
      </w:r>
      <w:r>
        <w:t>considered</w:t>
      </w:r>
      <w:r>
        <w:rPr>
          <w:spacing w:val="-4"/>
        </w:rPr>
        <w:t xml:space="preserve"> </w:t>
      </w:r>
      <w:r>
        <w:t>and</w:t>
      </w:r>
      <w:r>
        <w:rPr>
          <w:spacing w:val="-2"/>
        </w:rPr>
        <w:t xml:space="preserve"> </w:t>
      </w:r>
      <w:r>
        <w:t>approved</w:t>
      </w:r>
      <w:r>
        <w:rPr>
          <w:spacing w:val="-4"/>
        </w:rPr>
        <w:t xml:space="preserve"> </w:t>
      </w:r>
      <w:r>
        <w:t>for</w:t>
      </w:r>
      <w:r>
        <w:rPr>
          <w:spacing w:val="-2"/>
        </w:rPr>
        <w:t xml:space="preserve"> </w:t>
      </w:r>
      <w:r>
        <w:t>issue</w:t>
      </w:r>
      <w:r>
        <w:rPr>
          <w:spacing w:val="-4"/>
        </w:rPr>
        <w:t xml:space="preserve"> </w:t>
      </w:r>
      <w:r>
        <w:t>in</w:t>
      </w:r>
      <w:r>
        <w:rPr>
          <w:spacing w:val="-2"/>
        </w:rPr>
        <w:t xml:space="preserve"> </w:t>
      </w:r>
      <w:r>
        <w:t>Australia</w:t>
      </w:r>
      <w:r>
        <w:rPr>
          <w:spacing w:val="-2"/>
        </w:rPr>
        <w:t xml:space="preserve"> </w:t>
      </w:r>
      <w:r>
        <w:t>by the AUASB.</w:t>
      </w:r>
    </w:p>
    <w:p w14:paraId="1E805BB7" w14:textId="77777777" w:rsidR="00AA4A02" w:rsidRDefault="00960F31">
      <w:pPr>
        <w:pStyle w:val="ListParagraph"/>
        <w:numPr>
          <w:ilvl w:val="0"/>
          <w:numId w:val="29"/>
        </w:numPr>
        <w:tabs>
          <w:tab w:val="left" w:pos="851"/>
        </w:tabs>
        <w:spacing w:before="174"/>
      </w:pPr>
      <w:r>
        <w:t>The</w:t>
      </w:r>
      <w:r>
        <w:rPr>
          <w:spacing w:val="-3"/>
        </w:rPr>
        <w:t xml:space="preserve"> </w:t>
      </w:r>
      <w:r>
        <w:t>AUASB</w:t>
      </w:r>
      <w:r>
        <w:rPr>
          <w:spacing w:val="-3"/>
        </w:rPr>
        <w:t xml:space="preserve"> </w:t>
      </w:r>
      <w:r>
        <w:t>wrap</w:t>
      </w:r>
      <w:r>
        <w:rPr>
          <w:spacing w:val="-2"/>
        </w:rPr>
        <w:t xml:space="preserve"> </w:t>
      </w:r>
      <w:r>
        <w:t>around</w:t>
      </w:r>
      <w:r>
        <w:rPr>
          <w:spacing w:val="-3"/>
        </w:rPr>
        <w:t xml:space="preserve"> </w:t>
      </w:r>
      <w:r>
        <w:t>CP</w:t>
      </w:r>
      <w:r>
        <w:rPr>
          <w:spacing w:val="-3"/>
        </w:rPr>
        <w:t xml:space="preserve"> </w:t>
      </w:r>
      <w:r>
        <w:rPr>
          <w:spacing w:val="-2"/>
        </w:rPr>
        <w:t>includes:</w:t>
      </w:r>
    </w:p>
    <w:p w14:paraId="1E805BB8" w14:textId="77777777" w:rsidR="00AA4A02" w:rsidRDefault="00960F31">
      <w:pPr>
        <w:pStyle w:val="ListParagraph"/>
        <w:numPr>
          <w:ilvl w:val="1"/>
          <w:numId w:val="29"/>
        </w:numPr>
        <w:tabs>
          <w:tab w:val="left" w:pos="1562"/>
        </w:tabs>
        <w:spacing w:before="167"/>
      </w:pPr>
      <w:r>
        <w:t>an</w:t>
      </w:r>
      <w:r>
        <w:rPr>
          <w:spacing w:val="-2"/>
        </w:rPr>
        <w:t xml:space="preserve"> </w:t>
      </w:r>
      <w:r>
        <w:t>outline</w:t>
      </w:r>
      <w:r>
        <w:rPr>
          <w:spacing w:val="-2"/>
        </w:rPr>
        <w:t xml:space="preserve"> </w:t>
      </w:r>
      <w:r>
        <w:t>of</w:t>
      </w:r>
      <w:r>
        <w:rPr>
          <w:spacing w:val="-1"/>
        </w:rPr>
        <w:t xml:space="preserve"> </w:t>
      </w:r>
      <w:r>
        <w:t>how</w:t>
      </w:r>
      <w:r>
        <w:rPr>
          <w:spacing w:val="-3"/>
        </w:rPr>
        <w:t xml:space="preserve"> </w:t>
      </w:r>
      <w:r>
        <w:t>the</w:t>
      </w:r>
      <w:r>
        <w:rPr>
          <w:spacing w:val="-2"/>
        </w:rPr>
        <w:t xml:space="preserve"> </w:t>
      </w:r>
      <w:r>
        <w:t>IAASB</w:t>
      </w:r>
      <w:r>
        <w:rPr>
          <w:spacing w:val="-4"/>
        </w:rPr>
        <w:t xml:space="preserve"> </w:t>
      </w:r>
      <w:r>
        <w:t>ED</w:t>
      </w:r>
      <w:r>
        <w:rPr>
          <w:spacing w:val="-3"/>
        </w:rPr>
        <w:t xml:space="preserve"> </w:t>
      </w:r>
      <w:r>
        <w:t>is</w:t>
      </w:r>
      <w:r>
        <w:rPr>
          <w:spacing w:val="-2"/>
        </w:rPr>
        <w:t xml:space="preserve"> </w:t>
      </w:r>
      <w:r>
        <w:t>being</w:t>
      </w:r>
      <w:r>
        <w:rPr>
          <w:spacing w:val="-2"/>
        </w:rPr>
        <w:t xml:space="preserve"> </w:t>
      </w:r>
      <w:r>
        <w:t>exposed</w:t>
      </w:r>
      <w:r>
        <w:rPr>
          <w:spacing w:val="-2"/>
        </w:rPr>
        <w:t xml:space="preserve"> </w:t>
      </w:r>
      <w:r>
        <w:t>by</w:t>
      </w:r>
      <w:r>
        <w:rPr>
          <w:spacing w:val="-4"/>
        </w:rPr>
        <w:t xml:space="preserve"> </w:t>
      </w:r>
      <w:r>
        <w:t>the</w:t>
      </w:r>
      <w:r>
        <w:rPr>
          <w:spacing w:val="-1"/>
        </w:rPr>
        <w:t xml:space="preserve"> </w:t>
      </w:r>
      <w:r>
        <w:rPr>
          <w:spacing w:val="-2"/>
        </w:rPr>
        <w:t>AUASB;</w:t>
      </w:r>
    </w:p>
    <w:p w14:paraId="1E805BB9" w14:textId="77777777" w:rsidR="00AA4A02" w:rsidRDefault="00960F31">
      <w:pPr>
        <w:pStyle w:val="ListParagraph"/>
        <w:numPr>
          <w:ilvl w:val="1"/>
          <w:numId w:val="29"/>
        </w:numPr>
        <w:tabs>
          <w:tab w:val="left" w:pos="1562"/>
        </w:tabs>
        <w:spacing w:before="194" w:line="208" w:lineRule="auto"/>
        <w:ind w:right="160"/>
      </w:pPr>
      <w:r>
        <w:t>an</w:t>
      </w:r>
      <w:r>
        <w:rPr>
          <w:spacing w:val="-3"/>
        </w:rPr>
        <w:t xml:space="preserve"> </w:t>
      </w:r>
      <w:r>
        <w:t>outline</w:t>
      </w:r>
      <w:r>
        <w:rPr>
          <w:spacing w:val="-3"/>
        </w:rPr>
        <w:t xml:space="preserve"> </w:t>
      </w:r>
      <w:r>
        <w:t>of</w:t>
      </w:r>
      <w:r>
        <w:rPr>
          <w:spacing w:val="-3"/>
        </w:rPr>
        <w:t xml:space="preserve"> </w:t>
      </w:r>
      <w:r>
        <w:t>significant</w:t>
      </w:r>
      <w:r>
        <w:rPr>
          <w:spacing w:val="-3"/>
        </w:rPr>
        <w:t xml:space="preserve"> </w:t>
      </w:r>
      <w:r>
        <w:t>changes</w:t>
      </w:r>
      <w:r>
        <w:rPr>
          <w:spacing w:val="-1"/>
        </w:rPr>
        <w:t xml:space="preserve"> </w:t>
      </w:r>
      <w:r>
        <w:t>between</w:t>
      </w:r>
      <w:r>
        <w:rPr>
          <w:spacing w:val="-3"/>
        </w:rPr>
        <w:t xml:space="preserve"> </w:t>
      </w:r>
      <w:r>
        <w:t>the</w:t>
      </w:r>
      <w:r>
        <w:rPr>
          <w:spacing w:val="-3"/>
        </w:rPr>
        <w:t xml:space="preserve"> </w:t>
      </w:r>
      <w:r>
        <w:t>extant</w:t>
      </w:r>
      <w:r>
        <w:rPr>
          <w:spacing w:val="-3"/>
        </w:rPr>
        <w:t xml:space="preserve"> </w:t>
      </w:r>
      <w:r>
        <w:t>standard</w:t>
      </w:r>
      <w:r>
        <w:rPr>
          <w:spacing w:val="-3"/>
        </w:rPr>
        <w:t xml:space="preserve"> </w:t>
      </w:r>
      <w:r>
        <w:t>(if</w:t>
      </w:r>
      <w:r>
        <w:rPr>
          <w:spacing w:val="-3"/>
        </w:rPr>
        <w:t xml:space="preserve"> </w:t>
      </w:r>
      <w:r>
        <w:t>any)</w:t>
      </w:r>
      <w:r>
        <w:rPr>
          <w:spacing w:val="-2"/>
        </w:rPr>
        <w:t xml:space="preserve"> </w:t>
      </w:r>
      <w:r>
        <w:t>and</w:t>
      </w:r>
      <w:r>
        <w:rPr>
          <w:spacing w:val="-3"/>
        </w:rPr>
        <w:t xml:space="preserve"> </w:t>
      </w:r>
      <w:r>
        <w:t>the</w:t>
      </w:r>
      <w:r>
        <w:rPr>
          <w:spacing w:val="-3"/>
        </w:rPr>
        <w:t xml:space="preserve"> </w:t>
      </w:r>
      <w:r>
        <w:t xml:space="preserve">proposed </w:t>
      </w:r>
      <w:r>
        <w:rPr>
          <w:spacing w:val="-4"/>
        </w:rPr>
        <w:t>ED;</w:t>
      </w:r>
    </w:p>
    <w:p w14:paraId="1E805BBA" w14:textId="77777777" w:rsidR="00AA4A02" w:rsidRDefault="00960F31">
      <w:pPr>
        <w:pStyle w:val="ListParagraph"/>
        <w:numPr>
          <w:ilvl w:val="1"/>
          <w:numId w:val="29"/>
        </w:numPr>
        <w:tabs>
          <w:tab w:val="left" w:pos="1562"/>
        </w:tabs>
        <w:spacing w:before="198" w:line="208" w:lineRule="auto"/>
        <w:ind w:right="165"/>
      </w:pPr>
      <w:r>
        <w:t>a summary of AUASB identified areas of concern raised with the IAASB throughout the development of the proposed</w:t>
      </w:r>
      <w:r>
        <w:rPr>
          <w:spacing w:val="-1"/>
        </w:rPr>
        <w:t xml:space="preserve"> </w:t>
      </w:r>
      <w:r>
        <w:t>standard and how such matters may or may not have been addressed by the IAASB in the final international ED. The purpose of this summary</w:t>
      </w:r>
      <w:r>
        <w:rPr>
          <w:spacing w:val="-3"/>
        </w:rPr>
        <w:t xml:space="preserve"> </w:t>
      </w:r>
      <w:r>
        <w:t>is</w:t>
      </w:r>
      <w:r>
        <w:rPr>
          <w:spacing w:val="-3"/>
        </w:rPr>
        <w:t xml:space="preserve"> </w:t>
      </w:r>
      <w:r>
        <w:t>to</w:t>
      </w:r>
      <w:r>
        <w:rPr>
          <w:spacing w:val="-3"/>
        </w:rPr>
        <w:t xml:space="preserve"> </w:t>
      </w:r>
      <w:r>
        <w:t>clearly</w:t>
      </w:r>
      <w:r>
        <w:rPr>
          <w:spacing w:val="-6"/>
        </w:rPr>
        <w:t xml:space="preserve"> </w:t>
      </w:r>
      <w:r>
        <w:t>articulate</w:t>
      </w:r>
      <w:r>
        <w:rPr>
          <w:spacing w:val="-3"/>
        </w:rPr>
        <w:t xml:space="preserve"> </w:t>
      </w:r>
      <w:r>
        <w:t>to</w:t>
      </w:r>
      <w:r>
        <w:rPr>
          <w:spacing w:val="-6"/>
        </w:rPr>
        <w:t xml:space="preserve"> </w:t>
      </w:r>
      <w:r>
        <w:t>stakeholders where</w:t>
      </w:r>
      <w:r>
        <w:rPr>
          <w:spacing w:val="-5"/>
        </w:rPr>
        <w:t xml:space="preserve"> </w:t>
      </w:r>
      <w:r>
        <w:t>the</w:t>
      </w:r>
      <w:r>
        <w:rPr>
          <w:spacing w:val="-3"/>
        </w:rPr>
        <w:t xml:space="preserve"> </w:t>
      </w:r>
      <w:r>
        <w:t>AUASB’s</w:t>
      </w:r>
      <w:r>
        <w:rPr>
          <w:spacing w:val="-3"/>
        </w:rPr>
        <w:t xml:space="preserve"> </w:t>
      </w:r>
      <w:r>
        <w:t>focus</w:t>
      </w:r>
      <w:r>
        <w:rPr>
          <w:spacing w:val="-3"/>
        </w:rPr>
        <w:t xml:space="preserve"> </w:t>
      </w:r>
      <w:r>
        <w:t>of</w:t>
      </w:r>
      <w:r>
        <w:rPr>
          <w:spacing w:val="-3"/>
        </w:rPr>
        <w:t xml:space="preserve"> </w:t>
      </w:r>
      <w:r>
        <w:t>attention has been on</w:t>
      </w:r>
      <w:r>
        <w:rPr>
          <w:spacing w:val="-1"/>
        </w:rPr>
        <w:t xml:space="preserve"> </w:t>
      </w:r>
      <w:r>
        <w:t>the</w:t>
      </w:r>
      <w:r>
        <w:rPr>
          <w:spacing w:val="-1"/>
        </w:rPr>
        <w:t xml:space="preserve"> </w:t>
      </w:r>
      <w:r>
        <w:t>progression</w:t>
      </w:r>
      <w:r>
        <w:rPr>
          <w:spacing w:val="-2"/>
        </w:rPr>
        <w:t xml:space="preserve"> </w:t>
      </w:r>
      <w:r>
        <w:t>of the development</w:t>
      </w:r>
      <w:r>
        <w:rPr>
          <w:spacing w:val="-1"/>
        </w:rPr>
        <w:t xml:space="preserve"> </w:t>
      </w:r>
      <w:r>
        <w:t>of</w:t>
      </w:r>
      <w:r>
        <w:rPr>
          <w:spacing w:val="-1"/>
        </w:rPr>
        <w:t xml:space="preserve"> </w:t>
      </w:r>
      <w:r>
        <w:t>the</w:t>
      </w:r>
      <w:r>
        <w:rPr>
          <w:spacing w:val="-1"/>
        </w:rPr>
        <w:t xml:space="preserve"> </w:t>
      </w:r>
      <w:r>
        <w:t>proposed</w:t>
      </w:r>
      <w:r>
        <w:rPr>
          <w:spacing w:val="-1"/>
        </w:rPr>
        <w:t xml:space="preserve"> </w:t>
      </w:r>
      <w:r>
        <w:t>international standard and to identify any potential compelling reasons to amend the proposed IAASB Standard or other residual issues;</w:t>
      </w:r>
    </w:p>
    <w:p w14:paraId="1E805BBB" w14:textId="77777777" w:rsidR="00AA4A02" w:rsidRDefault="00960F31">
      <w:pPr>
        <w:pStyle w:val="ListParagraph"/>
        <w:numPr>
          <w:ilvl w:val="1"/>
          <w:numId w:val="29"/>
        </w:numPr>
        <w:tabs>
          <w:tab w:val="left" w:pos="1562"/>
        </w:tabs>
        <w:spacing w:before="200" w:line="208" w:lineRule="auto"/>
        <w:ind w:right="792"/>
      </w:pPr>
      <w:r>
        <w:t>information</w:t>
      </w:r>
      <w:r>
        <w:rPr>
          <w:spacing w:val="-6"/>
        </w:rPr>
        <w:t xml:space="preserve"> </w:t>
      </w:r>
      <w:r>
        <w:t>about</w:t>
      </w:r>
      <w:r>
        <w:rPr>
          <w:spacing w:val="-3"/>
        </w:rPr>
        <w:t xml:space="preserve"> </w:t>
      </w:r>
      <w:r>
        <w:t>the</w:t>
      </w:r>
      <w:r>
        <w:rPr>
          <w:spacing w:val="-4"/>
        </w:rPr>
        <w:t xml:space="preserve"> </w:t>
      </w:r>
      <w:r>
        <w:t>AUASB’s</w:t>
      </w:r>
      <w:r>
        <w:rPr>
          <w:spacing w:val="-2"/>
        </w:rPr>
        <w:t xml:space="preserve"> </w:t>
      </w:r>
      <w:r>
        <w:t>proposed</w:t>
      </w:r>
      <w:r>
        <w:rPr>
          <w:spacing w:val="-3"/>
        </w:rPr>
        <w:t xml:space="preserve"> </w:t>
      </w:r>
      <w:r>
        <w:t>approach</w:t>
      </w:r>
      <w:r>
        <w:rPr>
          <w:spacing w:val="-4"/>
        </w:rPr>
        <w:t xml:space="preserve"> </w:t>
      </w:r>
      <w:r>
        <w:t>to</w:t>
      </w:r>
      <w:r>
        <w:rPr>
          <w:spacing w:val="-6"/>
        </w:rPr>
        <w:t xml:space="preserve"> </w:t>
      </w:r>
      <w:r>
        <w:t>implement</w:t>
      </w:r>
      <w:r>
        <w:rPr>
          <w:spacing w:val="-6"/>
        </w:rPr>
        <w:t xml:space="preserve"> </w:t>
      </w:r>
      <w:r>
        <w:t>the</w:t>
      </w:r>
      <w:r>
        <w:rPr>
          <w:spacing w:val="-2"/>
        </w:rPr>
        <w:t xml:space="preserve"> </w:t>
      </w:r>
      <w:r>
        <w:t>proposed IAASB standard in Australia, once finalised and issued; and</w:t>
      </w:r>
    </w:p>
    <w:p w14:paraId="1E805BBC" w14:textId="77777777" w:rsidR="00AA4A02" w:rsidRDefault="00960F31">
      <w:pPr>
        <w:pStyle w:val="ListParagraph"/>
        <w:numPr>
          <w:ilvl w:val="1"/>
          <w:numId w:val="29"/>
        </w:numPr>
        <w:tabs>
          <w:tab w:val="left" w:pos="1562"/>
        </w:tabs>
        <w:spacing w:line="208" w:lineRule="auto"/>
        <w:ind w:right="145"/>
      </w:pPr>
      <w:r>
        <w:t>the international questions on exposure and, if deemed appropriate, additional Australian</w:t>
      </w:r>
      <w:r>
        <w:rPr>
          <w:spacing w:val="-6"/>
        </w:rPr>
        <w:t xml:space="preserve"> </w:t>
      </w:r>
      <w:r>
        <w:t>specific</w:t>
      </w:r>
      <w:r>
        <w:rPr>
          <w:spacing w:val="-4"/>
        </w:rPr>
        <w:t xml:space="preserve"> </w:t>
      </w:r>
      <w:r>
        <w:t>questions</w:t>
      </w:r>
      <w:r>
        <w:rPr>
          <w:spacing w:val="-2"/>
        </w:rPr>
        <w:t xml:space="preserve"> </w:t>
      </w:r>
      <w:r>
        <w:t>requesting</w:t>
      </w:r>
      <w:r>
        <w:rPr>
          <w:spacing w:val="-4"/>
        </w:rPr>
        <w:t xml:space="preserve"> </w:t>
      </w:r>
      <w:r>
        <w:t>input</w:t>
      </w:r>
      <w:r>
        <w:rPr>
          <w:spacing w:val="-6"/>
        </w:rPr>
        <w:t xml:space="preserve"> </w:t>
      </w:r>
      <w:r>
        <w:t>from</w:t>
      </w:r>
      <w:r>
        <w:rPr>
          <w:spacing w:val="-3"/>
        </w:rPr>
        <w:t xml:space="preserve"> </w:t>
      </w:r>
      <w:r>
        <w:t>Australian</w:t>
      </w:r>
      <w:r>
        <w:rPr>
          <w:spacing w:val="-6"/>
        </w:rPr>
        <w:t xml:space="preserve"> </w:t>
      </w:r>
      <w:r>
        <w:t>stakeholders</w:t>
      </w:r>
      <w:r>
        <w:rPr>
          <w:spacing w:val="-2"/>
        </w:rPr>
        <w:t xml:space="preserve"> </w:t>
      </w:r>
      <w:r>
        <w:t>(including, where relevant, questions about potential compelling reasons).</w:t>
      </w:r>
    </w:p>
    <w:p w14:paraId="1E805BBD"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BBE" w14:textId="77777777" w:rsidR="00AA4A02" w:rsidRDefault="00960F31">
      <w:pPr>
        <w:pStyle w:val="ListParagraph"/>
        <w:numPr>
          <w:ilvl w:val="0"/>
          <w:numId w:val="29"/>
        </w:numPr>
        <w:tabs>
          <w:tab w:val="left" w:pos="851"/>
        </w:tabs>
        <w:spacing w:before="195"/>
      </w:pPr>
      <w:r>
        <w:lastRenderedPageBreak/>
        <w:t>Australian</w:t>
      </w:r>
      <w:r>
        <w:rPr>
          <w:spacing w:val="-7"/>
        </w:rPr>
        <w:t xml:space="preserve"> </w:t>
      </w:r>
      <w:r>
        <w:t>stakeholders’</w:t>
      </w:r>
      <w:r>
        <w:rPr>
          <w:spacing w:val="-5"/>
        </w:rPr>
        <w:t xml:space="preserve"> </w:t>
      </w:r>
      <w:r>
        <w:t>comments</w:t>
      </w:r>
      <w:r>
        <w:rPr>
          <w:spacing w:val="-4"/>
        </w:rPr>
        <w:t xml:space="preserve"> </w:t>
      </w:r>
      <w:r>
        <w:t>will</w:t>
      </w:r>
      <w:r>
        <w:rPr>
          <w:spacing w:val="-4"/>
        </w:rPr>
        <w:t xml:space="preserve"> </w:t>
      </w:r>
      <w:r>
        <w:t>generally</w:t>
      </w:r>
      <w:r>
        <w:rPr>
          <w:spacing w:val="-4"/>
        </w:rPr>
        <w:t xml:space="preserve"> </w:t>
      </w:r>
      <w:r>
        <w:t>be</w:t>
      </w:r>
      <w:r>
        <w:rPr>
          <w:spacing w:val="-4"/>
        </w:rPr>
        <w:t xml:space="preserve"> </w:t>
      </w:r>
      <w:r>
        <w:t>sought</w:t>
      </w:r>
      <w:r>
        <w:rPr>
          <w:spacing w:val="-3"/>
        </w:rPr>
        <w:t xml:space="preserve"> </w:t>
      </w:r>
      <w:r>
        <w:rPr>
          <w:spacing w:val="-5"/>
        </w:rPr>
        <w:t>on:</w:t>
      </w:r>
    </w:p>
    <w:p w14:paraId="1E805BBF" w14:textId="77777777" w:rsidR="00AA4A02" w:rsidRDefault="00960F31">
      <w:pPr>
        <w:pStyle w:val="ListParagraph"/>
        <w:numPr>
          <w:ilvl w:val="1"/>
          <w:numId w:val="29"/>
        </w:numPr>
        <w:tabs>
          <w:tab w:val="left" w:pos="1562"/>
        </w:tabs>
        <w:spacing w:before="168"/>
      </w:pPr>
      <w:r>
        <w:t>the</w:t>
      </w:r>
      <w:r>
        <w:rPr>
          <w:spacing w:val="-3"/>
        </w:rPr>
        <w:t xml:space="preserve"> </w:t>
      </w:r>
      <w:r>
        <w:t>benefits</w:t>
      </w:r>
      <w:r>
        <w:rPr>
          <w:spacing w:val="-3"/>
        </w:rPr>
        <w:t xml:space="preserve"> </w:t>
      </w:r>
      <w:r>
        <w:t>and</w:t>
      </w:r>
      <w:r>
        <w:rPr>
          <w:spacing w:val="-2"/>
        </w:rPr>
        <w:t xml:space="preserve"> </w:t>
      </w:r>
      <w:r>
        <w:t>associated</w:t>
      </w:r>
      <w:r>
        <w:rPr>
          <w:spacing w:val="-5"/>
        </w:rPr>
        <w:t xml:space="preserve"> </w:t>
      </w:r>
      <w:r>
        <w:t>costs</w:t>
      </w:r>
      <w:r>
        <w:rPr>
          <w:spacing w:val="-2"/>
        </w:rPr>
        <w:t xml:space="preserve"> </w:t>
      </w:r>
      <w:r>
        <w:t>of</w:t>
      </w:r>
      <w:r>
        <w:rPr>
          <w:spacing w:val="-3"/>
        </w:rPr>
        <w:t xml:space="preserve"> </w:t>
      </w:r>
      <w:r>
        <w:t>the</w:t>
      </w:r>
      <w:r>
        <w:rPr>
          <w:spacing w:val="-4"/>
        </w:rPr>
        <w:t xml:space="preserve"> </w:t>
      </w:r>
      <w:r>
        <w:t>proposals</w:t>
      </w:r>
      <w:r>
        <w:rPr>
          <w:spacing w:val="-5"/>
        </w:rPr>
        <w:t xml:space="preserve"> </w:t>
      </w:r>
      <w:r>
        <w:t>set</w:t>
      </w:r>
      <w:r>
        <w:rPr>
          <w:spacing w:val="-4"/>
        </w:rPr>
        <w:t xml:space="preserve"> </w:t>
      </w:r>
      <w:r>
        <w:t>out</w:t>
      </w:r>
      <w:r>
        <w:rPr>
          <w:spacing w:val="-2"/>
        </w:rPr>
        <w:t xml:space="preserve"> </w:t>
      </w:r>
      <w:r>
        <w:t>in</w:t>
      </w:r>
      <w:r>
        <w:rPr>
          <w:spacing w:val="-5"/>
        </w:rPr>
        <w:t xml:space="preserve"> </w:t>
      </w:r>
      <w:r>
        <w:t>the</w:t>
      </w:r>
      <w:r>
        <w:rPr>
          <w:spacing w:val="-3"/>
        </w:rPr>
        <w:t xml:space="preserve"> </w:t>
      </w:r>
      <w:r>
        <w:t>IAASB</w:t>
      </w:r>
      <w:r>
        <w:rPr>
          <w:spacing w:val="-4"/>
        </w:rPr>
        <w:t xml:space="preserve"> </w:t>
      </w:r>
      <w:r>
        <w:rPr>
          <w:spacing w:val="-5"/>
        </w:rPr>
        <w:t>ED;</w:t>
      </w:r>
    </w:p>
    <w:p w14:paraId="1E805BC0" w14:textId="77777777" w:rsidR="00AA4A02" w:rsidRDefault="00960F31">
      <w:pPr>
        <w:pStyle w:val="ListParagraph"/>
        <w:numPr>
          <w:ilvl w:val="1"/>
          <w:numId w:val="29"/>
        </w:numPr>
        <w:tabs>
          <w:tab w:val="left" w:pos="1562"/>
        </w:tabs>
        <w:spacing w:before="191" w:line="208" w:lineRule="auto"/>
        <w:ind w:right="939"/>
      </w:pPr>
      <w:r>
        <w:t>any</w:t>
      </w:r>
      <w:r>
        <w:rPr>
          <w:spacing w:val="-3"/>
        </w:rPr>
        <w:t xml:space="preserve"> </w:t>
      </w:r>
      <w:r>
        <w:t>legal</w:t>
      </w:r>
      <w:r>
        <w:rPr>
          <w:spacing w:val="-2"/>
        </w:rPr>
        <w:t xml:space="preserve"> </w:t>
      </w:r>
      <w:r>
        <w:t>and</w:t>
      </w:r>
      <w:r>
        <w:rPr>
          <w:spacing w:val="-5"/>
        </w:rPr>
        <w:t xml:space="preserve"> </w:t>
      </w:r>
      <w:r>
        <w:t>regulatory</w:t>
      </w:r>
      <w:r>
        <w:rPr>
          <w:spacing w:val="-3"/>
        </w:rPr>
        <w:t xml:space="preserve"> </w:t>
      </w:r>
      <w:r>
        <w:t>arrangements</w:t>
      </w:r>
      <w:r>
        <w:rPr>
          <w:spacing w:val="-5"/>
        </w:rPr>
        <w:t xml:space="preserve"> </w:t>
      </w:r>
      <w:r>
        <w:t>that</w:t>
      </w:r>
      <w:r>
        <w:rPr>
          <w:spacing w:val="-2"/>
        </w:rPr>
        <w:t xml:space="preserve"> </w:t>
      </w:r>
      <w:r>
        <w:t>could</w:t>
      </w:r>
      <w:r>
        <w:rPr>
          <w:spacing w:val="-3"/>
        </w:rPr>
        <w:t xml:space="preserve"> </w:t>
      </w:r>
      <w:r>
        <w:t>affect</w:t>
      </w:r>
      <w:r>
        <w:rPr>
          <w:spacing w:val="-5"/>
        </w:rPr>
        <w:t xml:space="preserve"> </w:t>
      </w:r>
      <w:r>
        <w:t>implementation</w:t>
      </w:r>
      <w:r>
        <w:rPr>
          <w:spacing w:val="-3"/>
        </w:rPr>
        <w:t xml:space="preserve"> </w:t>
      </w:r>
      <w:r>
        <w:t>of</w:t>
      </w:r>
      <w:r>
        <w:rPr>
          <w:spacing w:val="-5"/>
        </w:rPr>
        <w:t xml:space="preserve"> </w:t>
      </w:r>
      <w:r>
        <w:t>the proposals in Australia; and</w:t>
      </w:r>
    </w:p>
    <w:p w14:paraId="1E805BC1" w14:textId="77777777" w:rsidR="00AA4A02" w:rsidRDefault="00960F31">
      <w:pPr>
        <w:pStyle w:val="ListParagraph"/>
        <w:numPr>
          <w:ilvl w:val="1"/>
          <w:numId w:val="29"/>
        </w:numPr>
        <w:tabs>
          <w:tab w:val="left" w:pos="1562"/>
        </w:tabs>
        <w:spacing w:before="200" w:line="208" w:lineRule="auto"/>
        <w:ind w:right="952"/>
      </w:pPr>
      <w:r>
        <w:t>whether</w:t>
      </w:r>
      <w:r>
        <w:rPr>
          <w:spacing w:val="-3"/>
        </w:rPr>
        <w:t xml:space="preserve"> </w:t>
      </w:r>
      <w:r>
        <w:t>there</w:t>
      </w:r>
      <w:r>
        <w:rPr>
          <w:spacing w:val="-3"/>
        </w:rPr>
        <w:t xml:space="preserve"> </w:t>
      </w:r>
      <w:r>
        <w:t>are</w:t>
      </w:r>
      <w:r>
        <w:rPr>
          <w:spacing w:val="-3"/>
        </w:rPr>
        <w:t xml:space="preserve"> </w:t>
      </w:r>
      <w:r>
        <w:t>any</w:t>
      </w:r>
      <w:r>
        <w:rPr>
          <w:spacing w:val="-3"/>
        </w:rPr>
        <w:t xml:space="preserve"> </w:t>
      </w:r>
      <w:r>
        <w:t>compelling</w:t>
      </w:r>
      <w:r>
        <w:rPr>
          <w:spacing w:val="-5"/>
        </w:rPr>
        <w:t xml:space="preserve"> </w:t>
      </w:r>
      <w:r>
        <w:t>reasons</w:t>
      </w:r>
      <w:r>
        <w:rPr>
          <w:spacing w:val="-4"/>
        </w:rPr>
        <w:t xml:space="preserve"> </w:t>
      </w:r>
      <w:r>
        <w:t>for</w:t>
      </w:r>
      <w:r>
        <w:rPr>
          <w:spacing w:val="-3"/>
        </w:rPr>
        <w:t xml:space="preserve"> </w:t>
      </w:r>
      <w:r>
        <w:t>the</w:t>
      </w:r>
      <w:r>
        <w:rPr>
          <w:spacing w:val="-3"/>
        </w:rPr>
        <w:t xml:space="preserve"> </w:t>
      </w:r>
      <w:r>
        <w:t>proposals</w:t>
      </w:r>
      <w:r>
        <w:rPr>
          <w:spacing w:val="-4"/>
        </w:rPr>
        <w:t xml:space="preserve"> </w:t>
      </w:r>
      <w:r>
        <w:t>to</w:t>
      </w:r>
      <w:r>
        <w:rPr>
          <w:spacing w:val="-5"/>
        </w:rPr>
        <w:t xml:space="preserve"> </w:t>
      </w:r>
      <w:r>
        <w:t>be</w:t>
      </w:r>
      <w:r>
        <w:rPr>
          <w:spacing w:val="-4"/>
        </w:rPr>
        <w:t xml:space="preserve"> </w:t>
      </w:r>
      <w:r>
        <w:t>modified</w:t>
      </w:r>
      <w:r>
        <w:rPr>
          <w:spacing w:val="-3"/>
        </w:rPr>
        <w:t xml:space="preserve"> </w:t>
      </w:r>
      <w:r>
        <w:t>for application in Australia and, if so, what those modifications should be.</w:t>
      </w:r>
    </w:p>
    <w:p w14:paraId="1E805BC2" w14:textId="77777777" w:rsidR="00AA4A02" w:rsidRDefault="00960F31">
      <w:pPr>
        <w:pStyle w:val="ListParagraph"/>
        <w:numPr>
          <w:ilvl w:val="0"/>
          <w:numId w:val="29"/>
        </w:numPr>
        <w:tabs>
          <w:tab w:val="left" w:pos="851"/>
        </w:tabs>
        <w:spacing w:line="208" w:lineRule="auto"/>
        <w:ind w:right="343"/>
      </w:pPr>
      <w:r>
        <w:t>The</w:t>
      </w:r>
      <w:r>
        <w:rPr>
          <w:spacing w:val="-3"/>
        </w:rPr>
        <w:t xml:space="preserve"> </w:t>
      </w:r>
      <w:r>
        <w:t>IAASB’s</w:t>
      </w:r>
      <w:r>
        <w:rPr>
          <w:spacing w:val="-3"/>
        </w:rPr>
        <w:t xml:space="preserve"> </w:t>
      </w:r>
      <w:r>
        <w:t>international</w:t>
      </w:r>
      <w:r>
        <w:rPr>
          <w:spacing w:val="-5"/>
        </w:rPr>
        <w:t xml:space="preserve"> </w:t>
      </w:r>
      <w:r>
        <w:t>due</w:t>
      </w:r>
      <w:r>
        <w:rPr>
          <w:spacing w:val="-3"/>
        </w:rPr>
        <w:t xml:space="preserve"> </w:t>
      </w:r>
      <w:r>
        <w:t>process</w:t>
      </w:r>
      <w:r>
        <w:rPr>
          <w:spacing w:val="-3"/>
        </w:rPr>
        <w:t xml:space="preserve"> </w:t>
      </w:r>
      <w:r>
        <w:t>comment</w:t>
      </w:r>
      <w:r>
        <w:rPr>
          <w:spacing w:val="-2"/>
        </w:rPr>
        <w:t xml:space="preserve"> </w:t>
      </w:r>
      <w:r>
        <w:t>period</w:t>
      </w:r>
      <w:r>
        <w:rPr>
          <w:spacing w:val="-3"/>
        </w:rPr>
        <w:t xml:space="preserve"> </w:t>
      </w:r>
      <w:r>
        <w:t>varies</w:t>
      </w:r>
      <w:r>
        <w:rPr>
          <w:spacing w:val="-5"/>
        </w:rPr>
        <w:t xml:space="preserve"> </w:t>
      </w:r>
      <w:r>
        <w:t>depending</w:t>
      </w:r>
      <w:r>
        <w:rPr>
          <w:spacing w:val="-3"/>
        </w:rPr>
        <w:t xml:space="preserve"> </w:t>
      </w:r>
      <w:r>
        <w:t>on</w:t>
      </w:r>
      <w:r>
        <w:rPr>
          <w:spacing w:val="-6"/>
        </w:rPr>
        <w:t xml:space="preserve"> </w:t>
      </w:r>
      <w:r>
        <w:t>the</w:t>
      </w:r>
      <w:r>
        <w:rPr>
          <w:spacing w:val="-3"/>
        </w:rPr>
        <w:t xml:space="preserve"> </w:t>
      </w:r>
      <w:r>
        <w:t>complexity of the standard but is ordinarily 120 days. The concurrent comment period in Australia is shorter to enable technical staff to collate all feedback and for the AUASB to consider and approve the AUASB submission to the IAASB. Proposed changes that result in only minor modification of an issued international standard may be progressed more quickly.</w:t>
      </w:r>
    </w:p>
    <w:p w14:paraId="1E805BC3" w14:textId="77777777" w:rsidR="00AA4A02" w:rsidRDefault="00960F31">
      <w:pPr>
        <w:pStyle w:val="ListParagraph"/>
        <w:numPr>
          <w:ilvl w:val="0"/>
          <w:numId w:val="29"/>
        </w:numPr>
        <w:tabs>
          <w:tab w:val="left" w:pos="851"/>
        </w:tabs>
        <w:spacing w:before="198" w:line="208" w:lineRule="auto"/>
        <w:ind w:right="188"/>
      </w:pPr>
      <w:r>
        <w:t>AUASB</w:t>
      </w:r>
      <w:r>
        <w:rPr>
          <w:spacing w:val="-3"/>
        </w:rPr>
        <w:t xml:space="preserve"> </w:t>
      </w:r>
      <w:r>
        <w:t>stakeholders</w:t>
      </w:r>
      <w:r>
        <w:rPr>
          <w:spacing w:val="-2"/>
        </w:rPr>
        <w:t xml:space="preserve"> </w:t>
      </w:r>
      <w:r>
        <w:t>and</w:t>
      </w:r>
      <w:r>
        <w:rPr>
          <w:spacing w:val="-2"/>
        </w:rPr>
        <w:t xml:space="preserve"> </w:t>
      </w:r>
      <w:r>
        <w:t>other</w:t>
      </w:r>
      <w:r>
        <w:rPr>
          <w:spacing w:val="-3"/>
        </w:rPr>
        <w:t xml:space="preserve"> </w:t>
      </w:r>
      <w:r>
        <w:t>interested</w:t>
      </w:r>
      <w:r>
        <w:rPr>
          <w:spacing w:val="-2"/>
        </w:rPr>
        <w:t xml:space="preserve"> </w:t>
      </w:r>
      <w:r>
        <w:t>parties</w:t>
      </w:r>
      <w:r>
        <w:rPr>
          <w:spacing w:val="-2"/>
        </w:rPr>
        <w:t xml:space="preserve"> </w:t>
      </w:r>
      <w:r>
        <w:t>have</w:t>
      </w:r>
      <w:r>
        <w:rPr>
          <w:spacing w:val="-4"/>
        </w:rPr>
        <w:t xml:space="preserve"> </w:t>
      </w:r>
      <w:r>
        <w:t>the</w:t>
      </w:r>
      <w:r>
        <w:rPr>
          <w:spacing w:val="-2"/>
        </w:rPr>
        <w:t xml:space="preserve"> </w:t>
      </w:r>
      <w:r>
        <w:t>option</w:t>
      </w:r>
      <w:r>
        <w:rPr>
          <w:spacing w:val="-2"/>
        </w:rPr>
        <w:t xml:space="preserve"> </w:t>
      </w:r>
      <w:r>
        <w:t>to</w:t>
      </w:r>
      <w:r>
        <w:rPr>
          <w:spacing w:val="-2"/>
        </w:rPr>
        <w:t xml:space="preserve"> </w:t>
      </w:r>
      <w:r>
        <w:t>provide</w:t>
      </w:r>
      <w:r>
        <w:rPr>
          <w:spacing w:val="-2"/>
        </w:rPr>
        <w:t xml:space="preserve"> </w:t>
      </w:r>
      <w:r>
        <w:t>comment</w:t>
      </w:r>
      <w:r>
        <w:rPr>
          <w:spacing w:val="-1"/>
        </w:rPr>
        <w:t xml:space="preserve"> </w:t>
      </w:r>
      <w:r>
        <w:t>directly to the IAASB and/or to the AUASB. The AUASB will request local stakeholders provide a copy (or the proposed submission) of comments made directly to the IAASB, so it can take these</w:t>
      </w:r>
      <w:r>
        <w:rPr>
          <w:spacing w:val="-2"/>
        </w:rPr>
        <w:t xml:space="preserve"> </w:t>
      </w:r>
      <w:r>
        <w:t>comments</w:t>
      </w:r>
      <w:r>
        <w:rPr>
          <w:spacing w:val="-3"/>
        </w:rPr>
        <w:t xml:space="preserve"> </w:t>
      </w:r>
      <w:r>
        <w:t>into</w:t>
      </w:r>
      <w:r>
        <w:rPr>
          <w:spacing w:val="-4"/>
        </w:rPr>
        <w:t xml:space="preserve"> </w:t>
      </w:r>
      <w:r>
        <w:t>account</w:t>
      </w:r>
      <w:r>
        <w:rPr>
          <w:spacing w:val="-1"/>
        </w:rPr>
        <w:t xml:space="preserve"> </w:t>
      </w:r>
      <w:r>
        <w:t>when</w:t>
      </w:r>
      <w:r>
        <w:rPr>
          <w:spacing w:val="-2"/>
        </w:rPr>
        <w:t xml:space="preserve"> </w:t>
      </w:r>
      <w:r>
        <w:t>developing</w:t>
      </w:r>
      <w:r>
        <w:rPr>
          <w:spacing w:val="-4"/>
        </w:rPr>
        <w:t xml:space="preserve"> </w:t>
      </w:r>
      <w:r>
        <w:t>its</w:t>
      </w:r>
      <w:r>
        <w:rPr>
          <w:spacing w:val="-3"/>
        </w:rPr>
        <w:t xml:space="preserve"> </w:t>
      </w:r>
      <w:r>
        <w:t>own</w:t>
      </w:r>
      <w:r>
        <w:rPr>
          <w:spacing w:val="-1"/>
        </w:rPr>
        <w:t xml:space="preserve"> </w:t>
      </w:r>
      <w:r>
        <w:t>submission</w:t>
      </w:r>
      <w:r>
        <w:rPr>
          <w:spacing w:val="-3"/>
        </w:rPr>
        <w:t xml:space="preserve"> </w:t>
      </w:r>
      <w:r>
        <w:t>to</w:t>
      </w:r>
      <w:r>
        <w:rPr>
          <w:spacing w:val="-4"/>
        </w:rPr>
        <w:t xml:space="preserve"> </w:t>
      </w:r>
      <w:r>
        <w:t>the</w:t>
      </w:r>
      <w:r>
        <w:rPr>
          <w:spacing w:val="-2"/>
        </w:rPr>
        <w:t xml:space="preserve"> </w:t>
      </w:r>
      <w:r>
        <w:t>IAASB,</w:t>
      </w:r>
      <w:r>
        <w:rPr>
          <w:spacing w:val="-2"/>
        </w:rPr>
        <w:t xml:space="preserve"> </w:t>
      </w:r>
      <w:r>
        <w:t>enabling</w:t>
      </w:r>
      <w:r>
        <w:rPr>
          <w:spacing w:val="-4"/>
        </w:rPr>
        <w:t xml:space="preserve"> </w:t>
      </w:r>
      <w:r>
        <w:t>the AUASB to understand the full suite of Australian stakeholders’ views.</w:t>
      </w:r>
    </w:p>
    <w:p w14:paraId="1E805BC4" w14:textId="77777777" w:rsidR="00AA4A02" w:rsidRDefault="00960F31">
      <w:pPr>
        <w:spacing w:before="174"/>
        <w:ind w:left="143"/>
        <w:rPr>
          <w:b/>
          <w:i/>
        </w:rPr>
      </w:pPr>
      <w:bookmarkStart w:id="65" w:name="Consider_stakeholder_feedback_and_prepar"/>
      <w:bookmarkEnd w:id="65"/>
      <w:r>
        <w:rPr>
          <w:b/>
          <w:i/>
        </w:rPr>
        <w:t>Consider</w:t>
      </w:r>
      <w:r>
        <w:rPr>
          <w:b/>
          <w:i/>
          <w:spacing w:val="-4"/>
        </w:rPr>
        <w:t xml:space="preserve"> </w:t>
      </w:r>
      <w:r>
        <w:rPr>
          <w:b/>
          <w:i/>
        </w:rPr>
        <w:t>stakeholder</w:t>
      </w:r>
      <w:r>
        <w:rPr>
          <w:b/>
          <w:i/>
          <w:spacing w:val="-3"/>
        </w:rPr>
        <w:t xml:space="preserve"> </w:t>
      </w:r>
      <w:r>
        <w:rPr>
          <w:b/>
          <w:i/>
        </w:rPr>
        <w:t>feedback</w:t>
      </w:r>
      <w:r>
        <w:rPr>
          <w:b/>
          <w:i/>
          <w:spacing w:val="-3"/>
        </w:rPr>
        <w:t xml:space="preserve"> </w:t>
      </w:r>
      <w:r>
        <w:rPr>
          <w:b/>
          <w:i/>
        </w:rPr>
        <w:t>and</w:t>
      </w:r>
      <w:r>
        <w:rPr>
          <w:b/>
          <w:i/>
          <w:spacing w:val="-3"/>
        </w:rPr>
        <w:t xml:space="preserve"> </w:t>
      </w:r>
      <w:r>
        <w:rPr>
          <w:b/>
          <w:i/>
        </w:rPr>
        <w:t>prepare</w:t>
      </w:r>
      <w:r>
        <w:rPr>
          <w:b/>
          <w:i/>
          <w:spacing w:val="-1"/>
        </w:rPr>
        <w:t xml:space="preserve"> </w:t>
      </w:r>
      <w:r>
        <w:rPr>
          <w:b/>
          <w:i/>
        </w:rPr>
        <w:t>a</w:t>
      </w:r>
      <w:r>
        <w:rPr>
          <w:b/>
          <w:i/>
          <w:spacing w:val="-6"/>
        </w:rPr>
        <w:t xml:space="preserve"> </w:t>
      </w:r>
      <w:r>
        <w:rPr>
          <w:b/>
          <w:i/>
        </w:rPr>
        <w:t>formal</w:t>
      </w:r>
      <w:r>
        <w:rPr>
          <w:b/>
          <w:i/>
          <w:spacing w:val="-4"/>
        </w:rPr>
        <w:t xml:space="preserve"> </w:t>
      </w:r>
      <w:r>
        <w:rPr>
          <w:b/>
          <w:i/>
        </w:rPr>
        <w:t>submission</w:t>
      </w:r>
      <w:r>
        <w:rPr>
          <w:b/>
          <w:i/>
          <w:spacing w:val="-6"/>
        </w:rPr>
        <w:t xml:space="preserve"> </w:t>
      </w:r>
      <w:r>
        <w:rPr>
          <w:b/>
          <w:i/>
        </w:rPr>
        <w:t>to</w:t>
      </w:r>
      <w:r>
        <w:rPr>
          <w:b/>
          <w:i/>
          <w:spacing w:val="-5"/>
        </w:rPr>
        <w:t xml:space="preserve"> </w:t>
      </w:r>
      <w:r>
        <w:rPr>
          <w:b/>
          <w:i/>
        </w:rPr>
        <w:t>the</w:t>
      </w:r>
      <w:r>
        <w:rPr>
          <w:b/>
          <w:i/>
          <w:spacing w:val="-3"/>
        </w:rPr>
        <w:t xml:space="preserve"> </w:t>
      </w:r>
      <w:r>
        <w:rPr>
          <w:b/>
          <w:i/>
          <w:spacing w:val="-2"/>
        </w:rPr>
        <w:t>IAASB</w:t>
      </w:r>
    </w:p>
    <w:p w14:paraId="1E805BC5" w14:textId="77777777" w:rsidR="00AA4A02" w:rsidRDefault="00960F31">
      <w:pPr>
        <w:pStyle w:val="ListParagraph"/>
        <w:numPr>
          <w:ilvl w:val="0"/>
          <w:numId w:val="29"/>
        </w:numPr>
        <w:tabs>
          <w:tab w:val="left" w:pos="851"/>
        </w:tabs>
        <w:spacing w:before="194" w:line="208" w:lineRule="auto"/>
        <w:ind w:right="238"/>
      </w:pPr>
      <w:r>
        <w:t>At the completion of the Australian comment period, technical staff accumulate stakeholder submissions and prepare an analysis that summarises the significant issues raised by respondents.</w:t>
      </w:r>
      <w:r>
        <w:rPr>
          <w:spacing w:val="-3"/>
        </w:rPr>
        <w:t xml:space="preserve"> </w:t>
      </w:r>
      <w:r>
        <w:t>Stakeholder</w:t>
      </w:r>
      <w:r>
        <w:rPr>
          <w:spacing w:val="-3"/>
        </w:rPr>
        <w:t xml:space="preserve"> </w:t>
      </w:r>
      <w:r>
        <w:t>submissions</w:t>
      </w:r>
      <w:r>
        <w:rPr>
          <w:spacing w:val="-5"/>
        </w:rPr>
        <w:t xml:space="preserve"> </w:t>
      </w:r>
      <w:r>
        <w:t>are</w:t>
      </w:r>
      <w:r>
        <w:rPr>
          <w:spacing w:val="-3"/>
        </w:rPr>
        <w:t xml:space="preserve"> </w:t>
      </w:r>
      <w:r>
        <w:t>published</w:t>
      </w:r>
      <w:r>
        <w:rPr>
          <w:spacing w:val="-3"/>
        </w:rPr>
        <w:t xml:space="preserve"> </w:t>
      </w:r>
      <w:r>
        <w:t>on</w:t>
      </w:r>
      <w:r>
        <w:rPr>
          <w:spacing w:val="-3"/>
        </w:rPr>
        <w:t xml:space="preserve"> </w:t>
      </w:r>
      <w:r>
        <w:t>the</w:t>
      </w:r>
      <w:r>
        <w:rPr>
          <w:spacing w:val="-3"/>
        </w:rPr>
        <w:t xml:space="preserve"> </w:t>
      </w:r>
      <w:r>
        <w:t>AUASB</w:t>
      </w:r>
      <w:r>
        <w:rPr>
          <w:spacing w:val="-5"/>
        </w:rPr>
        <w:t xml:space="preserve"> </w:t>
      </w:r>
      <w:r>
        <w:t>website</w:t>
      </w:r>
      <w:r>
        <w:rPr>
          <w:spacing w:val="-3"/>
        </w:rPr>
        <w:t xml:space="preserve"> </w:t>
      </w:r>
      <w:r>
        <w:t>unless</w:t>
      </w:r>
      <w:r>
        <w:rPr>
          <w:spacing w:val="-2"/>
        </w:rPr>
        <w:t xml:space="preserve"> </w:t>
      </w:r>
      <w:r>
        <w:t>marked</w:t>
      </w:r>
      <w:r>
        <w:rPr>
          <w:spacing w:val="-3"/>
        </w:rPr>
        <w:t xml:space="preserve"> </w:t>
      </w:r>
      <w:r>
        <w:t xml:space="preserve">as </w:t>
      </w:r>
      <w:r>
        <w:rPr>
          <w:spacing w:val="-2"/>
        </w:rPr>
        <w:t>confidential.</w:t>
      </w:r>
    </w:p>
    <w:p w14:paraId="1E805BC6" w14:textId="77777777" w:rsidR="00AA4A02" w:rsidRDefault="00960F31">
      <w:pPr>
        <w:pStyle w:val="ListParagraph"/>
        <w:numPr>
          <w:ilvl w:val="0"/>
          <w:numId w:val="29"/>
        </w:numPr>
        <w:tabs>
          <w:tab w:val="left" w:pos="851"/>
        </w:tabs>
        <w:spacing w:before="200" w:line="208" w:lineRule="auto"/>
        <w:ind w:right="258"/>
      </w:pPr>
      <w:r>
        <w:t>Technical staff consider all comments received from stakeholders, in whatever form, to identify</w:t>
      </w:r>
      <w:r>
        <w:rPr>
          <w:spacing w:val="-3"/>
        </w:rPr>
        <w:t xml:space="preserve"> </w:t>
      </w:r>
      <w:r>
        <w:t>and</w:t>
      </w:r>
      <w:r>
        <w:rPr>
          <w:spacing w:val="-3"/>
        </w:rPr>
        <w:t xml:space="preserve"> </w:t>
      </w:r>
      <w:r>
        <w:t>assess</w:t>
      </w:r>
      <w:r>
        <w:rPr>
          <w:spacing w:val="-3"/>
        </w:rPr>
        <w:t xml:space="preserve"> </w:t>
      </w:r>
      <w:r>
        <w:t>the</w:t>
      </w:r>
      <w:r>
        <w:rPr>
          <w:spacing w:val="-3"/>
        </w:rPr>
        <w:t xml:space="preserve"> </w:t>
      </w:r>
      <w:r>
        <w:t>importance</w:t>
      </w:r>
      <w:r>
        <w:rPr>
          <w:spacing w:val="-4"/>
        </w:rPr>
        <w:t xml:space="preserve"> </w:t>
      </w:r>
      <w:r>
        <w:t>of</w:t>
      </w:r>
      <w:r>
        <w:rPr>
          <w:spacing w:val="-3"/>
        </w:rPr>
        <w:t xml:space="preserve"> </w:t>
      </w:r>
      <w:r>
        <w:t>any</w:t>
      </w:r>
      <w:r>
        <w:rPr>
          <w:spacing w:val="-3"/>
        </w:rPr>
        <w:t xml:space="preserve"> </w:t>
      </w:r>
      <w:r>
        <w:t>residual</w:t>
      </w:r>
      <w:r>
        <w:rPr>
          <w:spacing w:val="-2"/>
        </w:rPr>
        <w:t xml:space="preserve"> </w:t>
      </w:r>
      <w:r>
        <w:t>concerns of</w:t>
      </w:r>
      <w:r>
        <w:rPr>
          <w:spacing w:val="-4"/>
        </w:rPr>
        <w:t xml:space="preserve"> </w:t>
      </w:r>
      <w:r>
        <w:t>the</w:t>
      </w:r>
      <w:r>
        <w:rPr>
          <w:spacing w:val="-3"/>
        </w:rPr>
        <w:t xml:space="preserve"> </w:t>
      </w:r>
      <w:r>
        <w:t>AUASB</w:t>
      </w:r>
      <w:r>
        <w:rPr>
          <w:spacing w:val="-3"/>
        </w:rPr>
        <w:t xml:space="preserve"> </w:t>
      </w:r>
      <w:r>
        <w:t>that</w:t>
      </w:r>
      <w:r>
        <w:rPr>
          <w:spacing w:val="-4"/>
        </w:rPr>
        <w:t xml:space="preserve"> </w:t>
      </w:r>
      <w:r>
        <w:t>have</w:t>
      </w:r>
      <w:r>
        <w:rPr>
          <w:spacing w:val="-3"/>
        </w:rPr>
        <w:t xml:space="preserve"> </w:t>
      </w:r>
      <w:r>
        <w:t>not</w:t>
      </w:r>
      <w:r>
        <w:rPr>
          <w:spacing w:val="-2"/>
        </w:rPr>
        <w:t xml:space="preserve"> </w:t>
      </w:r>
      <w:r>
        <w:t>been addressed by the IAASB in the ED. Feedback is also used to highlight areas where stakeholders believe compelling reasons exist that may require Australian-specific enhancements to be made to the final standard when adopted in Australia.</w:t>
      </w:r>
    </w:p>
    <w:p w14:paraId="1E805BC7" w14:textId="77777777" w:rsidR="00AA4A02" w:rsidRDefault="00960F31">
      <w:pPr>
        <w:pStyle w:val="ListParagraph"/>
        <w:numPr>
          <w:ilvl w:val="0"/>
          <w:numId w:val="29"/>
        </w:numPr>
        <w:tabs>
          <w:tab w:val="left" w:pos="851"/>
        </w:tabs>
        <w:spacing w:before="200" w:line="208" w:lineRule="auto"/>
        <w:ind w:right="144"/>
      </w:pPr>
      <w:r>
        <w:t>Technical</w:t>
      </w:r>
      <w:r>
        <w:rPr>
          <w:spacing w:val="-1"/>
        </w:rPr>
        <w:t xml:space="preserve"> </w:t>
      </w:r>
      <w:r>
        <w:t>staff</w:t>
      </w:r>
      <w:r>
        <w:rPr>
          <w:spacing w:val="-2"/>
        </w:rPr>
        <w:t xml:space="preserve"> </w:t>
      </w:r>
      <w:r>
        <w:t>finalise a</w:t>
      </w:r>
      <w:r>
        <w:rPr>
          <w:spacing w:val="-4"/>
        </w:rPr>
        <w:t xml:space="preserve"> </w:t>
      </w:r>
      <w:r>
        <w:t>draft</w:t>
      </w:r>
      <w:r>
        <w:rPr>
          <w:spacing w:val="-4"/>
        </w:rPr>
        <w:t xml:space="preserve"> </w:t>
      </w:r>
      <w:r>
        <w:t>submission</w:t>
      </w:r>
      <w:r>
        <w:rPr>
          <w:spacing w:val="-2"/>
        </w:rPr>
        <w:t xml:space="preserve"> </w:t>
      </w:r>
      <w:r>
        <w:t>to</w:t>
      </w:r>
      <w:r>
        <w:rPr>
          <w:spacing w:val="-2"/>
        </w:rPr>
        <w:t xml:space="preserve"> </w:t>
      </w:r>
      <w:r>
        <w:t>the</w:t>
      </w:r>
      <w:r>
        <w:rPr>
          <w:spacing w:val="-2"/>
        </w:rPr>
        <w:t xml:space="preserve"> </w:t>
      </w:r>
      <w:r>
        <w:t>IAASB,</w:t>
      </w:r>
      <w:r>
        <w:rPr>
          <w:spacing w:val="-2"/>
        </w:rPr>
        <w:t xml:space="preserve"> </w:t>
      </w:r>
      <w:r>
        <w:t>which</w:t>
      </w:r>
      <w:r>
        <w:rPr>
          <w:spacing w:val="-4"/>
        </w:rPr>
        <w:t xml:space="preserve"> </w:t>
      </w:r>
      <w:r>
        <w:t>is</w:t>
      </w:r>
      <w:r>
        <w:rPr>
          <w:spacing w:val="-2"/>
        </w:rPr>
        <w:t xml:space="preserve"> </w:t>
      </w:r>
      <w:r>
        <w:t>presented</w:t>
      </w:r>
      <w:r>
        <w:rPr>
          <w:spacing w:val="-2"/>
        </w:rPr>
        <w:t xml:space="preserve"> </w:t>
      </w:r>
      <w:r>
        <w:t>to</w:t>
      </w:r>
      <w:r>
        <w:rPr>
          <w:spacing w:val="-2"/>
        </w:rPr>
        <w:t xml:space="preserve"> </w:t>
      </w:r>
      <w:r>
        <w:t>the</w:t>
      </w:r>
      <w:r>
        <w:rPr>
          <w:spacing w:val="-4"/>
        </w:rPr>
        <w:t xml:space="preserve"> </w:t>
      </w:r>
      <w:r>
        <w:t>AUASB</w:t>
      </w:r>
      <w:r>
        <w:rPr>
          <w:spacing w:val="-4"/>
        </w:rPr>
        <w:t xml:space="preserve"> </w:t>
      </w:r>
      <w:r>
        <w:t>for formal consideration and approval at a public meeting or ‘out-of-session’, if necessary, before being sent to the IAASB.</w:t>
      </w:r>
    </w:p>
    <w:p w14:paraId="1E805BC8" w14:textId="77777777" w:rsidR="00AA4A02" w:rsidRDefault="00960F31">
      <w:pPr>
        <w:pStyle w:val="ListParagraph"/>
        <w:numPr>
          <w:ilvl w:val="0"/>
          <w:numId w:val="29"/>
        </w:numPr>
        <w:tabs>
          <w:tab w:val="left" w:pos="851"/>
        </w:tabs>
        <w:spacing w:before="199" w:line="208" w:lineRule="auto"/>
        <w:ind w:right="478"/>
      </w:pPr>
      <w:r>
        <w:t>Although the views of all stakeholders are carefully considered by the AUASB in its deliberations to finalise its submission to the IAASB, the AUASB decides on the final response</w:t>
      </w:r>
      <w:r>
        <w:rPr>
          <w:spacing w:val="-4"/>
        </w:rPr>
        <w:t xml:space="preserve"> </w:t>
      </w:r>
      <w:r>
        <w:t>to</w:t>
      </w:r>
      <w:r>
        <w:rPr>
          <w:spacing w:val="-5"/>
        </w:rPr>
        <w:t xml:space="preserve"> </w:t>
      </w:r>
      <w:r>
        <w:t>the</w:t>
      </w:r>
      <w:r>
        <w:rPr>
          <w:spacing w:val="-2"/>
        </w:rPr>
        <w:t xml:space="preserve"> </w:t>
      </w:r>
      <w:r>
        <w:t>IAASB</w:t>
      </w:r>
      <w:r>
        <w:rPr>
          <w:spacing w:val="-4"/>
        </w:rPr>
        <w:t xml:space="preserve"> </w:t>
      </w:r>
      <w:r>
        <w:t>ED,</w:t>
      </w:r>
      <w:r>
        <w:rPr>
          <w:spacing w:val="-2"/>
        </w:rPr>
        <w:t xml:space="preserve"> </w:t>
      </w:r>
      <w:r>
        <w:t>after</w:t>
      </w:r>
      <w:r>
        <w:rPr>
          <w:spacing w:val="-1"/>
        </w:rPr>
        <w:t xml:space="preserve"> </w:t>
      </w:r>
      <w:r>
        <w:t>balancing</w:t>
      </w:r>
      <w:r>
        <w:rPr>
          <w:spacing w:val="-2"/>
        </w:rPr>
        <w:t xml:space="preserve"> </w:t>
      </w:r>
      <w:r>
        <w:t>all</w:t>
      </w:r>
      <w:r>
        <w:rPr>
          <w:spacing w:val="-4"/>
        </w:rPr>
        <w:t xml:space="preserve"> </w:t>
      </w:r>
      <w:r>
        <w:t>the</w:t>
      </w:r>
      <w:r>
        <w:rPr>
          <w:spacing w:val="-4"/>
        </w:rPr>
        <w:t xml:space="preserve"> </w:t>
      </w:r>
      <w:r>
        <w:t>evidence</w:t>
      </w:r>
      <w:r>
        <w:rPr>
          <w:spacing w:val="-4"/>
        </w:rPr>
        <w:t xml:space="preserve"> </w:t>
      </w:r>
      <w:r>
        <w:t>from</w:t>
      </w:r>
      <w:r>
        <w:rPr>
          <w:spacing w:val="-4"/>
        </w:rPr>
        <w:t xml:space="preserve"> </w:t>
      </w:r>
      <w:r>
        <w:t>research, the</w:t>
      </w:r>
      <w:r>
        <w:rPr>
          <w:spacing w:val="-2"/>
        </w:rPr>
        <w:t xml:space="preserve"> </w:t>
      </w:r>
      <w:r>
        <w:t>consultation process, and careful deliberation of the potential benefits and costs of proposals.</w:t>
      </w:r>
    </w:p>
    <w:p w14:paraId="1E805BC9" w14:textId="77777777" w:rsidR="00AA4A02" w:rsidRDefault="00960F31">
      <w:pPr>
        <w:pStyle w:val="ListParagraph"/>
        <w:numPr>
          <w:ilvl w:val="0"/>
          <w:numId w:val="29"/>
        </w:numPr>
        <w:tabs>
          <w:tab w:val="left" w:pos="851"/>
        </w:tabs>
        <w:spacing w:before="200" w:line="208" w:lineRule="auto"/>
        <w:ind w:right="515"/>
      </w:pPr>
      <w:r>
        <w:t>The AUASB communicates any Trans-Tasman issues identified, including any potential compelling</w:t>
      </w:r>
      <w:r>
        <w:rPr>
          <w:spacing w:val="-3"/>
        </w:rPr>
        <w:t xml:space="preserve"> </w:t>
      </w:r>
      <w:r>
        <w:t>reasons</w:t>
      </w:r>
      <w:r>
        <w:rPr>
          <w:spacing w:val="-3"/>
        </w:rPr>
        <w:t xml:space="preserve"> </w:t>
      </w:r>
      <w:r>
        <w:t>modifications,</w:t>
      </w:r>
      <w:r>
        <w:rPr>
          <w:spacing w:val="-5"/>
        </w:rPr>
        <w:t xml:space="preserve"> </w:t>
      </w:r>
      <w:r>
        <w:t>for</w:t>
      </w:r>
      <w:r>
        <w:rPr>
          <w:spacing w:val="-5"/>
        </w:rPr>
        <w:t xml:space="preserve"> </w:t>
      </w:r>
      <w:r>
        <w:t>consideration</w:t>
      </w:r>
      <w:r>
        <w:rPr>
          <w:spacing w:val="-3"/>
        </w:rPr>
        <w:t xml:space="preserve"> </w:t>
      </w:r>
      <w:r>
        <w:t>by</w:t>
      </w:r>
      <w:r>
        <w:rPr>
          <w:spacing w:val="-6"/>
        </w:rPr>
        <w:t xml:space="preserve"> </w:t>
      </w:r>
      <w:r>
        <w:t>the</w:t>
      </w:r>
      <w:r>
        <w:rPr>
          <w:spacing w:val="-3"/>
        </w:rPr>
        <w:t xml:space="preserve"> </w:t>
      </w:r>
      <w:r>
        <w:t>NZAuASB,</w:t>
      </w:r>
      <w:r>
        <w:rPr>
          <w:spacing w:val="-3"/>
        </w:rPr>
        <w:t xml:space="preserve"> </w:t>
      </w:r>
      <w:r>
        <w:t>in</w:t>
      </w:r>
      <w:r>
        <w:rPr>
          <w:spacing w:val="-6"/>
        </w:rPr>
        <w:t xml:space="preserve"> </w:t>
      </w:r>
      <w:r>
        <w:t>accordance</w:t>
      </w:r>
      <w:r>
        <w:rPr>
          <w:spacing w:val="-3"/>
        </w:rPr>
        <w:t xml:space="preserve"> </w:t>
      </w:r>
      <w:r>
        <w:t>with AUASB/NZAuASB communication protocols.</w:t>
      </w:r>
    </w:p>
    <w:p w14:paraId="1E805BCA" w14:textId="77777777" w:rsidR="00AA4A02" w:rsidRDefault="00960F31">
      <w:pPr>
        <w:numPr>
          <w:ilvl w:val="0"/>
          <w:numId w:val="19"/>
        </w:numPr>
        <w:tabs>
          <w:tab w:val="left" w:pos="863"/>
        </w:tabs>
        <w:spacing w:before="156"/>
        <w:rPr>
          <w:b/>
          <w:i/>
          <w:sz w:val="24"/>
        </w:rPr>
      </w:pPr>
      <w:bookmarkStart w:id="66" w:name="C._Finalisation_and_Approval_of_Australi"/>
      <w:bookmarkEnd w:id="66"/>
      <w:r>
        <w:rPr>
          <w:b/>
          <w:i/>
          <w:sz w:val="24"/>
        </w:rPr>
        <w:t>Finalisation</w:t>
      </w:r>
      <w:r>
        <w:rPr>
          <w:b/>
          <w:i/>
          <w:spacing w:val="-1"/>
          <w:sz w:val="24"/>
        </w:rPr>
        <w:t xml:space="preserve"> </w:t>
      </w:r>
      <w:r>
        <w:rPr>
          <w:b/>
          <w:i/>
          <w:sz w:val="24"/>
        </w:rPr>
        <w:t>and</w:t>
      </w:r>
      <w:r>
        <w:rPr>
          <w:b/>
          <w:i/>
          <w:spacing w:val="-3"/>
          <w:sz w:val="24"/>
        </w:rPr>
        <w:t xml:space="preserve"> </w:t>
      </w:r>
      <w:r>
        <w:rPr>
          <w:b/>
          <w:i/>
          <w:sz w:val="24"/>
        </w:rPr>
        <w:t>Approval</w:t>
      </w:r>
      <w:r>
        <w:rPr>
          <w:b/>
          <w:i/>
          <w:spacing w:val="-1"/>
          <w:sz w:val="24"/>
        </w:rPr>
        <w:t xml:space="preserve"> </w:t>
      </w:r>
      <w:r>
        <w:rPr>
          <w:b/>
          <w:i/>
          <w:sz w:val="24"/>
        </w:rPr>
        <w:t>of</w:t>
      </w:r>
      <w:r>
        <w:rPr>
          <w:b/>
          <w:i/>
          <w:spacing w:val="-3"/>
          <w:sz w:val="24"/>
        </w:rPr>
        <w:t xml:space="preserve"> </w:t>
      </w:r>
      <w:r>
        <w:rPr>
          <w:b/>
          <w:i/>
          <w:sz w:val="24"/>
        </w:rPr>
        <w:t>Australian</w:t>
      </w:r>
      <w:r>
        <w:rPr>
          <w:b/>
          <w:i/>
          <w:spacing w:val="-2"/>
          <w:sz w:val="24"/>
        </w:rPr>
        <w:t xml:space="preserve"> </w:t>
      </w:r>
      <w:r>
        <w:rPr>
          <w:b/>
          <w:i/>
          <w:sz w:val="24"/>
        </w:rPr>
        <w:t>Equivalent</w:t>
      </w:r>
      <w:r>
        <w:rPr>
          <w:b/>
          <w:i/>
          <w:spacing w:val="-2"/>
          <w:sz w:val="24"/>
        </w:rPr>
        <w:t xml:space="preserve"> Standard</w:t>
      </w:r>
    </w:p>
    <w:p w14:paraId="1E805BCB" w14:textId="77777777" w:rsidR="00AA4A02" w:rsidRDefault="00960F31">
      <w:pPr>
        <w:pStyle w:val="ListParagraph"/>
        <w:numPr>
          <w:ilvl w:val="0"/>
          <w:numId w:val="29"/>
        </w:numPr>
        <w:tabs>
          <w:tab w:val="left" w:pos="851"/>
        </w:tabs>
        <w:spacing w:before="187" w:line="208" w:lineRule="auto"/>
        <w:ind w:right="457"/>
      </w:pPr>
      <w:r>
        <w:t>Once</w:t>
      </w:r>
      <w:r>
        <w:rPr>
          <w:spacing w:val="-3"/>
        </w:rPr>
        <w:t xml:space="preserve"> </w:t>
      </w:r>
      <w:r>
        <w:t>the</w:t>
      </w:r>
      <w:r>
        <w:rPr>
          <w:spacing w:val="-2"/>
        </w:rPr>
        <w:t xml:space="preserve"> </w:t>
      </w:r>
      <w:r>
        <w:t>international</w:t>
      </w:r>
      <w:r>
        <w:rPr>
          <w:spacing w:val="-4"/>
        </w:rPr>
        <w:t xml:space="preserve"> </w:t>
      </w:r>
      <w:r>
        <w:t>standard</w:t>
      </w:r>
      <w:r>
        <w:rPr>
          <w:spacing w:val="-3"/>
        </w:rPr>
        <w:t xml:space="preserve"> </w:t>
      </w:r>
      <w:r>
        <w:t>has</w:t>
      </w:r>
      <w:r>
        <w:rPr>
          <w:spacing w:val="-3"/>
        </w:rPr>
        <w:t xml:space="preserve"> </w:t>
      </w:r>
      <w:r>
        <w:t>been</w:t>
      </w:r>
      <w:r>
        <w:rPr>
          <w:spacing w:val="-3"/>
        </w:rPr>
        <w:t xml:space="preserve"> </w:t>
      </w:r>
      <w:r>
        <w:t>approved</w:t>
      </w:r>
      <w:r>
        <w:rPr>
          <w:spacing w:val="-3"/>
        </w:rPr>
        <w:t xml:space="preserve"> </w:t>
      </w:r>
      <w:r>
        <w:t>by</w:t>
      </w:r>
      <w:r>
        <w:rPr>
          <w:spacing w:val="-5"/>
        </w:rPr>
        <w:t xml:space="preserve"> </w:t>
      </w:r>
      <w:r>
        <w:t>the</w:t>
      </w:r>
      <w:r>
        <w:rPr>
          <w:spacing w:val="-3"/>
        </w:rPr>
        <w:t xml:space="preserve"> </w:t>
      </w:r>
      <w:r>
        <w:t>IAASB</w:t>
      </w:r>
      <w:r>
        <w:rPr>
          <w:spacing w:val="-1"/>
        </w:rPr>
        <w:t xml:space="preserve"> </w:t>
      </w:r>
      <w:r>
        <w:t>and</w:t>
      </w:r>
      <w:r>
        <w:rPr>
          <w:spacing w:val="-3"/>
        </w:rPr>
        <w:t xml:space="preserve"> </w:t>
      </w:r>
      <w:r>
        <w:t>PIOB,</w:t>
      </w:r>
      <w:r>
        <w:rPr>
          <w:spacing w:val="-3"/>
        </w:rPr>
        <w:t xml:space="preserve"> </w:t>
      </w:r>
      <w:r>
        <w:t>technical</w:t>
      </w:r>
      <w:r>
        <w:rPr>
          <w:spacing w:val="-1"/>
        </w:rPr>
        <w:t xml:space="preserve"> </w:t>
      </w:r>
      <w:r>
        <w:t>staff review the final international standard, and consider how issues raised by Australian stakeholders have been addressed by the IAASB. Residual issues are identified for further Board deliberation.</w:t>
      </w:r>
    </w:p>
    <w:p w14:paraId="1E805BCC" w14:textId="77777777" w:rsidR="00AA4A02" w:rsidRDefault="00960F31">
      <w:pPr>
        <w:spacing w:before="176"/>
        <w:ind w:left="143"/>
        <w:rPr>
          <w:b/>
          <w:i/>
        </w:rPr>
      </w:pPr>
      <w:bookmarkStart w:id="67" w:name="Consider_compelling_reasons_for_modifica"/>
      <w:bookmarkEnd w:id="67"/>
      <w:r>
        <w:rPr>
          <w:b/>
          <w:i/>
        </w:rPr>
        <w:t>Consider</w:t>
      </w:r>
      <w:r>
        <w:rPr>
          <w:b/>
          <w:i/>
          <w:spacing w:val="-4"/>
        </w:rPr>
        <w:t xml:space="preserve"> </w:t>
      </w:r>
      <w:r>
        <w:rPr>
          <w:b/>
          <w:i/>
        </w:rPr>
        <w:t>compelling</w:t>
      </w:r>
      <w:r>
        <w:rPr>
          <w:b/>
          <w:i/>
          <w:spacing w:val="-7"/>
        </w:rPr>
        <w:t xml:space="preserve"> </w:t>
      </w:r>
      <w:r>
        <w:rPr>
          <w:b/>
          <w:i/>
        </w:rPr>
        <w:t>reasons</w:t>
      </w:r>
      <w:r>
        <w:rPr>
          <w:b/>
          <w:i/>
          <w:spacing w:val="-4"/>
        </w:rPr>
        <w:t xml:space="preserve"> </w:t>
      </w:r>
      <w:r>
        <w:rPr>
          <w:b/>
          <w:i/>
        </w:rPr>
        <w:t>for</w:t>
      </w:r>
      <w:r>
        <w:rPr>
          <w:b/>
          <w:i/>
          <w:spacing w:val="-6"/>
        </w:rPr>
        <w:t xml:space="preserve"> </w:t>
      </w:r>
      <w:r>
        <w:rPr>
          <w:b/>
          <w:i/>
        </w:rPr>
        <w:t>modification</w:t>
      </w:r>
      <w:r>
        <w:rPr>
          <w:b/>
          <w:i/>
          <w:spacing w:val="-3"/>
        </w:rPr>
        <w:t xml:space="preserve"> </w:t>
      </w:r>
      <w:r>
        <w:rPr>
          <w:b/>
          <w:i/>
        </w:rPr>
        <w:t>of</w:t>
      </w:r>
      <w:r>
        <w:rPr>
          <w:b/>
          <w:i/>
          <w:spacing w:val="-6"/>
        </w:rPr>
        <w:t xml:space="preserve"> </w:t>
      </w:r>
      <w:r>
        <w:rPr>
          <w:b/>
          <w:i/>
        </w:rPr>
        <w:t>the</w:t>
      </w:r>
      <w:r>
        <w:rPr>
          <w:b/>
          <w:i/>
          <w:spacing w:val="-7"/>
        </w:rPr>
        <w:t xml:space="preserve"> </w:t>
      </w:r>
      <w:r>
        <w:rPr>
          <w:b/>
          <w:i/>
        </w:rPr>
        <w:t>international</w:t>
      </w:r>
      <w:r>
        <w:rPr>
          <w:b/>
          <w:i/>
          <w:spacing w:val="-5"/>
        </w:rPr>
        <w:t xml:space="preserve"> </w:t>
      </w:r>
      <w:r>
        <w:rPr>
          <w:b/>
          <w:i/>
          <w:spacing w:val="-2"/>
        </w:rPr>
        <w:t>standard</w:t>
      </w:r>
    </w:p>
    <w:p w14:paraId="1E805BCD" w14:textId="77777777" w:rsidR="00AA4A02" w:rsidRDefault="00960F31">
      <w:pPr>
        <w:pStyle w:val="ListParagraph"/>
        <w:numPr>
          <w:ilvl w:val="0"/>
          <w:numId w:val="29"/>
        </w:numPr>
        <w:tabs>
          <w:tab w:val="left" w:pos="851"/>
        </w:tabs>
        <w:spacing w:before="191" w:line="208" w:lineRule="auto"/>
        <w:ind w:right="415"/>
      </w:pPr>
      <w:r>
        <w:t>Technical staff review feedback from respondents to the AUASB’s wrap around CP and identify</w:t>
      </w:r>
      <w:r>
        <w:rPr>
          <w:spacing w:val="-1"/>
        </w:rPr>
        <w:t xml:space="preserve"> </w:t>
      </w:r>
      <w:r>
        <w:t>whether</w:t>
      </w:r>
      <w:r>
        <w:rPr>
          <w:spacing w:val="-1"/>
        </w:rPr>
        <w:t xml:space="preserve"> </w:t>
      </w:r>
      <w:r>
        <w:t>any</w:t>
      </w:r>
      <w:r>
        <w:rPr>
          <w:spacing w:val="-3"/>
        </w:rPr>
        <w:t xml:space="preserve"> </w:t>
      </w:r>
      <w:r>
        <w:t>potential</w:t>
      </w:r>
      <w:r>
        <w:rPr>
          <w:spacing w:val="-3"/>
        </w:rPr>
        <w:t xml:space="preserve"> </w:t>
      </w:r>
      <w:r>
        <w:t>compelling</w:t>
      </w:r>
      <w:r>
        <w:rPr>
          <w:spacing w:val="-4"/>
        </w:rPr>
        <w:t xml:space="preserve"> </w:t>
      </w:r>
      <w:r>
        <w:t>reasons</w:t>
      </w:r>
      <w:r>
        <w:rPr>
          <w:spacing w:val="-3"/>
        </w:rPr>
        <w:t xml:space="preserve"> </w:t>
      </w:r>
      <w:r>
        <w:t>exist</w:t>
      </w:r>
      <w:r>
        <w:rPr>
          <w:spacing w:val="-2"/>
        </w:rPr>
        <w:t xml:space="preserve"> </w:t>
      </w:r>
      <w:r>
        <w:t>to</w:t>
      </w:r>
      <w:r>
        <w:rPr>
          <w:spacing w:val="-4"/>
        </w:rPr>
        <w:t xml:space="preserve"> </w:t>
      </w:r>
      <w:r>
        <w:t>modify</w:t>
      </w:r>
      <w:r>
        <w:rPr>
          <w:spacing w:val="-4"/>
        </w:rPr>
        <w:t xml:space="preserve"> </w:t>
      </w:r>
      <w:r>
        <w:t>the</w:t>
      </w:r>
      <w:r>
        <w:rPr>
          <w:spacing w:val="-3"/>
        </w:rPr>
        <w:t xml:space="preserve"> </w:t>
      </w:r>
      <w:r>
        <w:t>international</w:t>
      </w:r>
      <w:r>
        <w:rPr>
          <w:spacing w:val="-3"/>
        </w:rPr>
        <w:t xml:space="preserve"> </w:t>
      </w:r>
      <w:r>
        <w:t>standard for adoption in Australia.</w:t>
      </w:r>
    </w:p>
    <w:p w14:paraId="1E805BCE"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BCF" w14:textId="77777777" w:rsidR="00AA4A02" w:rsidRDefault="00960F31">
      <w:pPr>
        <w:pStyle w:val="ListParagraph"/>
        <w:numPr>
          <w:ilvl w:val="0"/>
          <w:numId w:val="29"/>
        </w:numPr>
        <w:tabs>
          <w:tab w:val="left" w:pos="851"/>
        </w:tabs>
        <w:spacing w:before="219" w:line="208" w:lineRule="auto"/>
        <w:ind w:right="346"/>
        <w:jc w:val="both"/>
      </w:pPr>
      <w:r>
        <w:lastRenderedPageBreak/>
        <w:t>Where potential compelling</w:t>
      </w:r>
      <w:r>
        <w:rPr>
          <w:spacing w:val="-3"/>
        </w:rPr>
        <w:t xml:space="preserve"> </w:t>
      </w:r>
      <w:r>
        <w:t>reasons</w:t>
      </w:r>
      <w:r>
        <w:rPr>
          <w:spacing w:val="-2"/>
        </w:rPr>
        <w:t xml:space="preserve"> </w:t>
      </w:r>
      <w:r>
        <w:t>for</w:t>
      </w:r>
      <w:r>
        <w:rPr>
          <w:spacing w:val="-2"/>
        </w:rPr>
        <w:t xml:space="preserve"> </w:t>
      </w:r>
      <w:r>
        <w:t>modification of</w:t>
      </w:r>
      <w:r>
        <w:rPr>
          <w:spacing w:val="-2"/>
        </w:rPr>
        <w:t xml:space="preserve"> </w:t>
      </w:r>
      <w:r>
        <w:t>the</w:t>
      </w:r>
      <w:r>
        <w:rPr>
          <w:spacing w:val="-2"/>
        </w:rPr>
        <w:t xml:space="preserve"> </w:t>
      </w:r>
      <w:r>
        <w:t>final</w:t>
      </w:r>
      <w:r>
        <w:rPr>
          <w:spacing w:val="-2"/>
        </w:rPr>
        <w:t xml:space="preserve"> </w:t>
      </w:r>
      <w:r>
        <w:t>issued IAASB</w:t>
      </w:r>
      <w:r>
        <w:rPr>
          <w:spacing w:val="-2"/>
        </w:rPr>
        <w:t xml:space="preserve"> </w:t>
      </w:r>
      <w:r>
        <w:t>standard are identified</w:t>
      </w:r>
      <w:r>
        <w:rPr>
          <w:spacing w:val="-3"/>
        </w:rPr>
        <w:t xml:space="preserve"> </w:t>
      </w:r>
      <w:r>
        <w:t>for</w:t>
      </w:r>
      <w:r>
        <w:rPr>
          <w:spacing w:val="-3"/>
        </w:rPr>
        <w:t xml:space="preserve"> </w:t>
      </w:r>
      <w:r>
        <w:t>Australia,</w:t>
      </w:r>
      <w:r>
        <w:rPr>
          <w:spacing w:val="-5"/>
        </w:rPr>
        <w:t xml:space="preserve"> </w:t>
      </w:r>
      <w:r>
        <w:t>the</w:t>
      </w:r>
      <w:r>
        <w:rPr>
          <w:spacing w:val="-5"/>
        </w:rPr>
        <w:t xml:space="preserve"> </w:t>
      </w:r>
      <w:r>
        <w:t>AUASB</w:t>
      </w:r>
      <w:r>
        <w:rPr>
          <w:spacing w:val="-2"/>
        </w:rPr>
        <w:t xml:space="preserve"> </w:t>
      </w:r>
      <w:r>
        <w:t>technical</w:t>
      </w:r>
      <w:r>
        <w:rPr>
          <w:spacing w:val="-5"/>
        </w:rPr>
        <w:t xml:space="preserve"> </w:t>
      </w:r>
      <w:r>
        <w:t>staff</w:t>
      </w:r>
      <w:r>
        <w:rPr>
          <w:spacing w:val="-1"/>
        </w:rPr>
        <w:t xml:space="preserve"> </w:t>
      </w:r>
      <w:r>
        <w:t>communicates</w:t>
      </w:r>
      <w:r>
        <w:rPr>
          <w:spacing w:val="-3"/>
        </w:rPr>
        <w:t xml:space="preserve"> </w:t>
      </w:r>
      <w:r>
        <w:t>and</w:t>
      </w:r>
      <w:r>
        <w:rPr>
          <w:spacing w:val="-3"/>
        </w:rPr>
        <w:t xml:space="preserve"> </w:t>
      </w:r>
      <w:r>
        <w:t>discusses</w:t>
      </w:r>
      <w:r>
        <w:rPr>
          <w:spacing w:val="-1"/>
        </w:rPr>
        <w:t xml:space="preserve"> </w:t>
      </w:r>
      <w:r>
        <w:t>these</w:t>
      </w:r>
      <w:r>
        <w:rPr>
          <w:spacing w:val="-5"/>
        </w:rPr>
        <w:t xml:space="preserve"> </w:t>
      </w:r>
      <w:r>
        <w:t>issues with the NZAuASB, in accordance with AUASB/NZAuASB communication protocols.</w:t>
      </w:r>
    </w:p>
    <w:p w14:paraId="1E805BD0" w14:textId="77777777" w:rsidR="00AA4A02" w:rsidRDefault="00960F31">
      <w:pPr>
        <w:pStyle w:val="ListParagraph"/>
        <w:numPr>
          <w:ilvl w:val="0"/>
          <w:numId w:val="29"/>
        </w:numPr>
        <w:tabs>
          <w:tab w:val="left" w:pos="851"/>
        </w:tabs>
        <w:spacing w:before="202" w:line="208" w:lineRule="auto"/>
        <w:ind w:right="215"/>
      </w:pPr>
      <w:r>
        <w:t>Where the AUASB and the NZAuASB have different views on compelling reasons for modifications to standards, the Boards work collaboratively in an effort to understand, address,</w:t>
      </w:r>
      <w:r>
        <w:rPr>
          <w:spacing w:val="-6"/>
        </w:rPr>
        <w:t xml:space="preserve"> </w:t>
      </w:r>
      <w:r>
        <w:t>and,</w:t>
      </w:r>
      <w:r>
        <w:rPr>
          <w:spacing w:val="-3"/>
        </w:rPr>
        <w:t xml:space="preserve"> </w:t>
      </w:r>
      <w:r>
        <w:t>where</w:t>
      </w:r>
      <w:r>
        <w:rPr>
          <w:spacing w:val="-3"/>
        </w:rPr>
        <w:t xml:space="preserve"> </w:t>
      </w:r>
      <w:r>
        <w:t>possible,</w:t>
      </w:r>
      <w:r>
        <w:rPr>
          <w:spacing w:val="-3"/>
        </w:rPr>
        <w:t xml:space="preserve"> </w:t>
      </w:r>
      <w:r>
        <w:t>resolve</w:t>
      </w:r>
      <w:r>
        <w:rPr>
          <w:spacing w:val="-3"/>
        </w:rPr>
        <w:t xml:space="preserve"> </w:t>
      </w:r>
      <w:r>
        <w:t>any</w:t>
      </w:r>
      <w:r>
        <w:rPr>
          <w:spacing w:val="-6"/>
        </w:rPr>
        <w:t xml:space="preserve"> </w:t>
      </w:r>
      <w:r>
        <w:t>differences,</w:t>
      </w:r>
      <w:r>
        <w:rPr>
          <w:spacing w:val="-6"/>
        </w:rPr>
        <w:t xml:space="preserve"> </w:t>
      </w:r>
      <w:r>
        <w:t>in</w:t>
      </w:r>
      <w:r>
        <w:rPr>
          <w:spacing w:val="-3"/>
        </w:rPr>
        <w:t xml:space="preserve"> </w:t>
      </w:r>
      <w:r>
        <w:t>accordance</w:t>
      </w:r>
      <w:r>
        <w:rPr>
          <w:spacing w:val="-3"/>
        </w:rPr>
        <w:t xml:space="preserve"> </w:t>
      </w:r>
      <w:r>
        <w:t>with</w:t>
      </w:r>
      <w:r>
        <w:rPr>
          <w:spacing w:val="-2"/>
        </w:rPr>
        <w:t xml:space="preserve"> </w:t>
      </w:r>
      <w:r>
        <w:t>AUASB/NZAuASB harmonisation principles and AUASB/NZAuASB communication protocols.</w:t>
      </w:r>
    </w:p>
    <w:p w14:paraId="1E805BD1" w14:textId="77777777" w:rsidR="00AA4A02" w:rsidRDefault="00960F31">
      <w:pPr>
        <w:spacing w:before="200" w:line="208" w:lineRule="auto"/>
        <w:ind w:left="143" w:right="220"/>
        <w:rPr>
          <w:b/>
          <w:i/>
        </w:rPr>
      </w:pPr>
      <w:bookmarkStart w:id="68" w:name="If_Applicable:__Exposure_process_for_pro"/>
      <w:bookmarkEnd w:id="68"/>
      <w:r>
        <w:rPr>
          <w:b/>
          <w:i/>
        </w:rPr>
        <w:t>If</w:t>
      </w:r>
      <w:r>
        <w:rPr>
          <w:b/>
          <w:i/>
          <w:spacing w:val="-2"/>
        </w:rPr>
        <w:t xml:space="preserve"> </w:t>
      </w:r>
      <w:r>
        <w:rPr>
          <w:b/>
          <w:i/>
        </w:rPr>
        <w:t>Applicable:</w:t>
      </w:r>
      <w:r>
        <w:rPr>
          <w:b/>
          <w:i/>
          <w:spacing w:val="40"/>
        </w:rPr>
        <w:t xml:space="preserve"> </w:t>
      </w:r>
      <w:r>
        <w:rPr>
          <w:b/>
          <w:i/>
        </w:rPr>
        <w:t>Exposure</w:t>
      </w:r>
      <w:r>
        <w:rPr>
          <w:b/>
          <w:i/>
          <w:spacing w:val="-3"/>
        </w:rPr>
        <w:t xml:space="preserve"> </w:t>
      </w:r>
      <w:r>
        <w:rPr>
          <w:b/>
          <w:i/>
        </w:rPr>
        <w:t>process</w:t>
      </w:r>
      <w:r>
        <w:rPr>
          <w:b/>
          <w:i/>
          <w:spacing w:val="-3"/>
        </w:rPr>
        <w:t xml:space="preserve"> </w:t>
      </w:r>
      <w:r>
        <w:rPr>
          <w:b/>
          <w:i/>
        </w:rPr>
        <w:t>for</w:t>
      </w:r>
      <w:r>
        <w:rPr>
          <w:b/>
          <w:i/>
          <w:spacing w:val="-3"/>
        </w:rPr>
        <w:t xml:space="preserve"> </w:t>
      </w:r>
      <w:r>
        <w:rPr>
          <w:b/>
          <w:i/>
        </w:rPr>
        <w:t>proposed</w:t>
      </w:r>
      <w:r>
        <w:rPr>
          <w:b/>
          <w:i/>
          <w:spacing w:val="-3"/>
        </w:rPr>
        <w:t xml:space="preserve"> </w:t>
      </w:r>
      <w:r>
        <w:rPr>
          <w:b/>
          <w:i/>
        </w:rPr>
        <w:t>Australian</w:t>
      </w:r>
      <w:r>
        <w:rPr>
          <w:b/>
          <w:i/>
          <w:spacing w:val="-5"/>
        </w:rPr>
        <w:t xml:space="preserve"> </w:t>
      </w:r>
      <w:r>
        <w:rPr>
          <w:b/>
          <w:i/>
        </w:rPr>
        <w:t>compelling</w:t>
      </w:r>
      <w:r>
        <w:rPr>
          <w:b/>
          <w:i/>
          <w:spacing w:val="-3"/>
        </w:rPr>
        <w:t xml:space="preserve"> </w:t>
      </w:r>
      <w:r>
        <w:rPr>
          <w:b/>
          <w:i/>
        </w:rPr>
        <w:t>reasons</w:t>
      </w:r>
      <w:r>
        <w:rPr>
          <w:b/>
          <w:i/>
          <w:spacing w:val="-5"/>
        </w:rPr>
        <w:t xml:space="preserve"> </w:t>
      </w:r>
      <w:r>
        <w:rPr>
          <w:b/>
          <w:i/>
        </w:rPr>
        <w:t>modifications (AUASB ED)</w:t>
      </w:r>
    </w:p>
    <w:p w14:paraId="1E805BD2" w14:textId="77777777" w:rsidR="00AA4A02" w:rsidRDefault="00960F31">
      <w:pPr>
        <w:pStyle w:val="ListParagraph"/>
        <w:numPr>
          <w:ilvl w:val="0"/>
          <w:numId w:val="29"/>
        </w:numPr>
        <w:tabs>
          <w:tab w:val="left" w:pos="851"/>
        </w:tabs>
        <w:spacing w:before="198" w:line="208" w:lineRule="auto"/>
        <w:ind w:right="292"/>
      </w:pPr>
      <w:r>
        <w:t>In</w:t>
      </w:r>
      <w:r>
        <w:rPr>
          <w:spacing w:val="-3"/>
        </w:rPr>
        <w:t xml:space="preserve"> </w:t>
      </w:r>
      <w:r>
        <w:t>cases</w:t>
      </w:r>
      <w:r>
        <w:rPr>
          <w:spacing w:val="-2"/>
        </w:rPr>
        <w:t xml:space="preserve"> </w:t>
      </w:r>
      <w:r>
        <w:t>where</w:t>
      </w:r>
      <w:r>
        <w:rPr>
          <w:spacing w:val="-5"/>
        </w:rPr>
        <w:t xml:space="preserve"> </w:t>
      </w:r>
      <w:r>
        <w:t>potential</w:t>
      </w:r>
      <w:r>
        <w:rPr>
          <w:spacing w:val="-1"/>
        </w:rPr>
        <w:t xml:space="preserve"> </w:t>
      </w:r>
      <w:r>
        <w:t>compelling</w:t>
      </w:r>
      <w:r>
        <w:rPr>
          <w:spacing w:val="-6"/>
        </w:rPr>
        <w:t xml:space="preserve"> </w:t>
      </w:r>
      <w:r>
        <w:t>reasons</w:t>
      </w:r>
      <w:r>
        <w:rPr>
          <w:spacing w:val="-5"/>
        </w:rPr>
        <w:t xml:space="preserve"> </w:t>
      </w:r>
      <w:r>
        <w:t>modifications</w:t>
      </w:r>
      <w:r>
        <w:rPr>
          <w:spacing w:val="-3"/>
        </w:rPr>
        <w:t xml:space="preserve"> </w:t>
      </w:r>
      <w:r>
        <w:t>have</w:t>
      </w:r>
      <w:r>
        <w:rPr>
          <w:spacing w:val="-3"/>
        </w:rPr>
        <w:t xml:space="preserve"> </w:t>
      </w:r>
      <w:r>
        <w:t>been</w:t>
      </w:r>
      <w:r>
        <w:rPr>
          <w:spacing w:val="-3"/>
        </w:rPr>
        <w:t xml:space="preserve"> </w:t>
      </w:r>
      <w:r>
        <w:t>identified</w:t>
      </w:r>
      <w:r>
        <w:rPr>
          <w:spacing w:val="-5"/>
        </w:rPr>
        <w:t xml:space="preserve"> </w:t>
      </w:r>
      <w:r>
        <w:t>for</w:t>
      </w:r>
      <w:r>
        <w:rPr>
          <w:spacing w:val="-5"/>
        </w:rPr>
        <w:t xml:space="preserve"> </w:t>
      </w:r>
      <w:r>
        <w:t>Australia, technical staff include the proposed requirements and guidance that are in addition to, or a clarification of, the equivalent international standard. Any proposed deletions from the international standard are clearly noted, and any proposed additions or modifications clearly marked</w:t>
      </w:r>
      <w:r>
        <w:rPr>
          <w:spacing w:val="-3"/>
        </w:rPr>
        <w:t xml:space="preserve"> </w:t>
      </w:r>
      <w:r>
        <w:t>as</w:t>
      </w:r>
      <w:r>
        <w:rPr>
          <w:spacing w:val="-1"/>
        </w:rPr>
        <w:t xml:space="preserve"> </w:t>
      </w:r>
      <w:r>
        <w:t>Australian</w:t>
      </w:r>
      <w:r>
        <w:rPr>
          <w:spacing w:val="-1"/>
        </w:rPr>
        <w:t xml:space="preserve"> </w:t>
      </w:r>
      <w:r>
        <w:t>paragraphs</w:t>
      </w:r>
      <w:r>
        <w:rPr>
          <w:spacing w:val="-3"/>
        </w:rPr>
        <w:t xml:space="preserve"> </w:t>
      </w:r>
      <w:r>
        <w:t>or</w:t>
      </w:r>
      <w:r>
        <w:rPr>
          <w:spacing w:val="-3"/>
        </w:rPr>
        <w:t xml:space="preserve"> </w:t>
      </w:r>
      <w:r>
        <w:t>additional appendices</w:t>
      </w:r>
      <w:r>
        <w:rPr>
          <w:spacing w:val="-1"/>
        </w:rPr>
        <w:t xml:space="preserve"> </w:t>
      </w:r>
      <w:r>
        <w:t>commencing</w:t>
      </w:r>
      <w:r>
        <w:rPr>
          <w:spacing w:val="-1"/>
        </w:rPr>
        <w:t xml:space="preserve"> </w:t>
      </w:r>
      <w:r>
        <w:t>with</w:t>
      </w:r>
      <w:r>
        <w:rPr>
          <w:spacing w:val="-1"/>
        </w:rPr>
        <w:t xml:space="preserve"> </w:t>
      </w:r>
      <w:r>
        <w:t>an ‘Aus’ prefix.</w:t>
      </w:r>
    </w:p>
    <w:p w14:paraId="1E805BD3" w14:textId="77777777" w:rsidR="00AA4A02" w:rsidRDefault="00960F31">
      <w:pPr>
        <w:pStyle w:val="ListParagraph"/>
        <w:numPr>
          <w:ilvl w:val="0"/>
          <w:numId w:val="29"/>
        </w:numPr>
        <w:tabs>
          <w:tab w:val="left" w:pos="851"/>
        </w:tabs>
        <w:spacing w:line="208" w:lineRule="auto"/>
        <w:ind w:right="208"/>
      </w:pPr>
      <w:r>
        <w:t>The AUASB may, if it considers appropriate, make the proposed Australian modifications to the international standard subject to a separate targeted exposure process. This exposure process will apply only to the Australian compelling reasons modifications and stakeholders will</w:t>
      </w:r>
      <w:r>
        <w:rPr>
          <w:spacing w:val="-3"/>
        </w:rPr>
        <w:t xml:space="preserve"> </w:t>
      </w:r>
      <w:r>
        <w:t>be asked</w:t>
      </w:r>
      <w:r>
        <w:rPr>
          <w:spacing w:val="-4"/>
        </w:rPr>
        <w:t xml:space="preserve"> </w:t>
      </w:r>
      <w:r>
        <w:t>to</w:t>
      </w:r>
      <w:r>
        <w:rPr>
          <w:spacing w:val="-1"/>
        </w:rPr>
        <w:t xml:space="preserve"> </w:t>
      </w:r>
      <w:r>
        <w:t>comment only</w:t>
      </w:r>
      <w:r>
        <w:rPr>
          <w:spacing w:val="-1"/>
        </w:rPr>
        <w:t xml:space="preserve"> </w:t>
      </w:r>
      <w:r>
        <w:t>on</w:t>
      </w:r>
      <w:r>
        <w:rPr>
          <w:spacing w:val="-4"/>
        </w:rPr>
        <w:t xml:space="preserve"> </w:t>
      </w:r>
      <w:r>
        <w:t>the</w:t>
      </w:r>
      <w:r>
        <w:rPr>
          <w:spacing w:val="-3"/>
        </w:rPr>
        <w:t xml:space="preserve"> </w:t>
      </w:r>
      <w:r>
        <w:t>additions,</w:t>
      </w:r>
      <w:r>
        <w:rPr>
          <w:spacing w:val="-4"/>
        </w:rPr>
        <w:t xml:space="preserve"> </w:t>
      </w:r>
      <w:r>
        <w:t>deletions</w:t>
      </w:r>
      <w:r>
        <w:rPr>
          <w:spacing w:val="-1"/>
        </w:rPr>
        <w:t xml:space="preserve"> </w:t>
      </w:r>
      <w:r>
        <w:t>or</w:t>
      </w:r>
      <w:r>
        <w:rPr>
          <w:spacing w:val="-3"/>
        </w:rPr>
        <w:t xml:space="preserve"> </w:t>
      </w:r>
      <w:r>
        <w:t>modifications</w:t>
      </w:r>
      <w:r>
        <w:rPr>
          <w:spacing w:val="-2"/>
        </w:rPr>
        <w:t xml:space="preserve"> </w:t>
      </w:r>
      <w:r>
        <w:t>to</w:t>
      </w:r>
      <w:r>
        <w:rPr>
          <w:spacing w:val="-4"/>
        </w:rPr>
        <w:t xml:space="preserve"> </w:t>
      </w:r>
      <w:r>
        <w:t>the</w:t>
      </w:r>
      <w:r>
        <w:rPr>
          <w:spacing w:val="-3"/>
        </w:rPr>
        <w:t xml:space="preserve"> </w:t>
      </w:r>
      <w:r>
        <w:t>international standard, which are clearly</w:t>
      </w:r>
      <w:r>
        <w:rPr>
          <w:spacing w:val="-4"/>
        </w:rPr>
        <w:t xml:space="preserve"> </w:t>
      </w:r>
      <w:r>
        <w:t>identified as noted above.</w:t>
      </w:r>
      <w:r>
        <w:rPr>
          <w:spacing w:val="40"/>
        </w:rPr>
        <w:t xml:space="preserve"> </w:t>
      </w:r>
      <w:r>
        <w:t>Also, the comment period</w:t>
      </w:r>
      <w:r>
        <w:rPr>
          <w:spacing w:val="-2"/>
        </w:rPr>
        <w:t xml:space="preserve"> </w:t>
      </w:r>
      <w:r>
        <w:t>may be for a shorter period than the usual period of exposure (a minimum of 30 days).</w:t>
      </w:r>
    </w:p>
    <w:p w14:paraId="1E805BD4" w14:textId="77777777" w:rsidR="00AA4A02" w:rsidRDefault="00960F31">
      <w:pPr>
        <w:pStyle w:val="ListParagraph"/>
        <w:numPr>
          <w:ilvl w:val="0"/>
          <w:numId w:val="29"/>
        </w:numPr>
        <w:tabs>
          <w:tab w:val="left" w:pos="851"/>
        </w:tabs>
        <w:spacing w:before="199" w:line="208" w:lineRule="auto"/>
        <w:ind w:right="719"/>
      </w:pPr>
      <w:r>
        <w:t>At</w:t>
      </w:r>
      <w:r>
        <w:rPr>
          <w:spacing w:val="-1"/>
        </w:rPr>
        <w:t xml:space="preserve"> </w:t>
      </w:r>
      <w:r>
        <w:t>the</w:t>
      </w:r>
      <w:r>
        <w:rPr>
          <w:spacing w:val="-4"/>
        </w:rPr>
        <w:t xml:space="preserve"> </w:t>
      </w:r>
      <w:r>
        <w:t>end</w:t>
      </w:r>
      <w:r>
        <w:rPr>
          <w:spacing w:val="-2"/>
        </w:rPr>
        <w:t xml:space="preserve"> </w:t>
      </w:r>
      <w:r>
        <w:t>of</w:t>
      </w:r>
      <w:r>
        <w:rPr>
          <w:spacing w:val="-2"/>
        </w:rPr>
        <w:t xml:space="preserve"> </w:t>
      </w:r>
      <w:r>
        <w:t>the</w:t>
      </w:r>
      <w:r>
        <w:rPr>
          <w:spacing w:val="-2"/>
        </w:rPr>
        <w:t xml:space="preserve"> </w:t>
      </w:r>
      <w:r>
        <w:t>comment</w:t>
      </w:r>
      <w:r>
        <w:rPr>
          <w:spacing w:val="-3"/>
        </w:rPr>
        <w:t xml:space="preserve"> </w:t>
      </w:r>
      <w:r>
        <w:t>period,</w:t>
      </w:r>
      <w:r>
        <w:rPr>
          <w:spacing w:val="-2"/>
        </w:rPr>
        <w:t xml:space="preserve"> </w:t>
      </w:r>
      <w:r>
        <w:t>technical</w:t>
      </w:r>
      <w:r>
        <w:rPr>
          <w:spacing w:val="-3"/>
        </w:rPr>
        <w:t xml:space="preserve"> </w:t>
      </w:r>
      <w:r>
        <w:t>staff</w:t>
      </w:r>
      <w:r>
        <w:rPr>
          <w:spacing w:val="-4"/>
        </w:rPr>
        <w:t xml:space="preserve"> </w:t>
      </w:r>
      <w:r>
        <w:t>accumulate</w:t>
      </w:r>
      <w:r>
        <w:rPr>
          <w:spacing w:val="-2"/>
        </w:rPr>
        <w:t xml:space="preserve"> </w:t>
      </w:r>
      <w:r>
        <w:t>and</w:t>
      </w:r>
      <w:r>
        <w:rPr>
          <w:spacing w:val="-5"/>
        </w:rPr>
        <w:t xml:space="preserve"> </w:t>
      </w:r>
      <w:r>
        <w:t>consider</w:t>
      </w:r>
      <w:r>
        <w:rPr>
          <w:spacing w:val="-2"/>
        </w:rPr>
        <w:t xml:space="preserve"> </w:t>
      </w:r>
      <w:r>
        <w:t>all</w:t>
      </w:r>
      <w:r>
        <w:rPr>
          <w:spacing w:val="-4"/>
        </w:rPr>
        <w:t xml:space="preserve"> </w:t>
      </w:r>
      <w:r>
        <w:t>comments received from stakeholders, and amend the proposed standard as appropriate.</w:t>
      </w:r>
    </w:p>
    <w:p w14:paraId="1E805BD5" w14:textId="77777777" w:rsidR="00AA4A02" w:rsidRDefault="00960F31">
      <w:pPr>
        <w:spacing w:before="174"/>
        <w:ind w:left="143"/>
        <w:rPr>
          <w:b/>
          <w:i/>
        </w:rPr>
      </w:pPr>
      <w:bookmarkStart w:id="69" w:name="Finalise_standard_to_be_issued"/>
      <w:bookmarkEnd w:id="69"/>
      <w:r>
        <w:rPr>
          <w:b/>
          <w:i/>
        </w:rPr>
        <w:t>Finalise</w:t>
      </w:r>
      <w:r>
        <w:rPr>
          <w:b/>
          <w:i/>
          <w:spacing w:val="-4"/>
        </w:rPr>
        <w:t xml:space="preserve"> </w:t>
      </w:r>
      <w:r>
        <w:rPr>
          <w:b/>
          <w:i/>
        </w:rPr>
        <w:t>standard</w:t>
      </w:r>
      <w:r>
        <w:rPr>
          <w:b/>
          <w:i/>
          <w:spacing w:val="-4"/>
        </w:rPr>
        <w:t xml:space="preserve"> </w:t>
      </w:r>
      <w:r>
        <w:rPr>
          <w:b/>
          <w:i/>
        </w:rPr>
        <w:t>to</w:t>
      </w:r>
      <w:r>
        <w:rPr>
          <w:b/>
          <w:i/>
          <w:spacing w:val="-2"/>
        </w:rPr>
        <w:t xml:space="preserve"> </w:t>
      </w:r>
      <w:r>
        <w:rPr>
          <w:b/>
          <w:i/>
        </w:rPr>
        <w:t>be</w:t>
      </w:r>
      <w:r>
        <w:rPr>
          <w:b/>
          <w:i/>
          <w:spacing w:val="-2"/>
        </w:rPr>
        <w:t xml:space="preserve"> issued</w:t>
      </w:r>
    </w:p>
    <w:p w14:paraId="1E805BD6" w14:textId="77777777" w:rsidR="00AA4A02" w:rsidRDefault="00960F31">
      <w:pPr>
        <w:pStyle w:val="ListParagraph"/>
        <w:numPr>
          <w:ilvl w:val="0"/>
          <w:numId w:val="29"/>
        </w:numPr>
        <w:tabs>
          <w:tab w:val="left" w:pos="851"/>
        </w:tabs>
        <w:spacing w:before="193" w:line="208" w:lineRule="auto"/>
        <w:ind w:right="570"/>
      </w:pPr>
      <w:r>
        <w:t>Technical</w:t>
      </w:r>
      <w:r>
        <w:rPr>
          <w:spacing w:val="-1"/>
        </w:rPr>
        <w:t xml:space="preserve"> </w:t>
      </w:r>
      <w:r>
        <w:t>staff</w:t>
      </w:r>
      <w:r>
        <w:rPr>
          <w:spacing w:val="-4"/>
        </w:rPr>
        <w:t xml:space="preserve"> </w:t>
      </w:r>
      <w:r>
        <w:t>may</w:t>
      </w:r>
      <w:r>
        <w:rPr>
          <w:spacing w:val="-4"/>
        </w:rPr>
        <w:t xml:space="preserve"> </w:t>
      </w:r>
      <w:r>
        <w:t>make</w:t>
      </w:r>
      <w:r>
        <w:rPr>
          <w:spacing w:val="-2"/>
        </w:rPr>
        <w:t xml:space="preserve"> </w:t>
      </w:r>
      <w:r>
        <w:t>format</w:t>
      </w:r>
      <w:r>
        <w:rPr>
          <w:spacing w:val="-4"/>
        </w:rPr>
        <w:t xml:space="preserve"> </w:t>
      </w:r>
      <w:r>
        <w:t>and</w:t>
      </w:r>
      <w:r>
        <w:rPr>
          <w:spacing w:val="-2"/>
        </w:rPr>
        <w:t xml:space="preserve"> </w:t>
      </w:r>
      <w:r>
        <w:t>terminology</w:t>
      </w:r>
      <w:r>
        <w:rPr>
          <w:spacing w:val="-2"/>
        </w:rPr>
        <w:t xml:space="preserve"> </w:t>
      </w:r>
      <w:r>
        <w:t>changes</w:t>
      </w:r>
      <w:r>
        <w:rPr>
          <w:spacing w:val="-4"/>
        </w:rPr>
        <w:t xml:space="preserve"> </w:t>
      </w:r>
      <w:r>
        <w:t>to</w:t>
      </w:r>
      <w:r>
        <w:rPr>
          <w:spacing w:val="-1"/>
        </w:rPr>
        <w:t xml:space="preserve"> </w:t>
      </w:r>
      <w:r>
        <w:t>the</w:t>
      </w:r>
      <w:r>
        <w:rPr>
          <w:spacing w:val="-2"/>
        </w:rPr>
        <w:t xml:space="preserve"> </w:t>
      </w:r>
      <w:r>
        <w:t>international</w:t>
      </w:r>
      <w:r>
        <w:rPr>
          <w:spacing w:val="-1"/>
        </w:rPr>
        <w:t xml:space="preserve"> </w:t>
      </w:r>
      <w:r>
        <w:t>standard</w:t>
      </w:r>
      <w:r>
        <w:rPr>
          <w:spacing w:val="-5"/>
        </w:rPr>
        <w:t xml:space="preserve"> </w:t>
      </w:r>
      <w:r>
        <w:t xml:space="preserve">to comply with domestic requirements (relating primarily to legislative instruments). Such changes are mechanical in nature and do not change the meaning of the equivalent international standard (that is, do not need to be identified as compelling reasons </w:t>
      </w:r>
      <w:r>
        <w:rPr>
          <w:spacing w:val="-2"/>
        </w:rPr>
        <w:t>modifications).</w:t>
      </w:r>
    </w:p>
    <w:p w14:paraId="1E805BD7" w14:textId="77777777" w:rsidR="00AA4A02" w:rsidRDefault="00960F31">
      <w:pPr>
        <w:pStyle w:val="ListParagraph"/>
        <w:numPr>
          <w:ilvl w:val="0"/>
          <w:numId w:val="29"/>
        </w:numPr>
        <w:tabs>
          <w:tab w:val="left" w:pos="851"/>
        </w:tabs>
        <w:spacing w:line="208" w:lineRule="auto"/>
        <w:ind w:right="386"/>
        <w:jc w:val="both"/>
      </w:pPr>
      <w:r>
        <w:t>Minor wording</w:t>
      </w:r>
      <w:r>
        <w:rPr>
          <w:spacing w:val="-4"/>
        </w:rPr>
        <w:t xml:space="preserve"> </w:t>
      </w:r>
      <w:r>
        <w:t>and</w:t>
      </w:r>
      <w:r>
        <w:rPr>
          <w:spacing w:val="-1"/>
        </w:rPr>
        <w:t xml:space="preserve"> </w:t>
      </w:r>
      <w:r>
        <w:t>spelling</w:t>
      </w:r>
      <w:r>
        <w:rPr>
          <w:spacing w:val="-1"/>
        </w:rPr>
        <w:t xml:space="preserve"> </w:t>
      </w:r>
      <w:r>
        <w:t>changes</w:t>
      </w:r>
      <w:r>
        <w:rPr>
          <w:spacing w:val="-3"/>
        </w:rPr>
        <w:t xml:space="preserve"> </w:t>
      </w:r>
      <w:r>
        <w:t>(as</w:t>
      </w:r>
      <w:r>
        <w:rPr>
          <w:spacing w:val="-1"/>
        </w:rPr>
        <w:t xml:space="preserve"> </w:t>
      </w:r>
      <w:r>
        <w:t>opposed</w:t>
      </w:r>
      <w:r>
        <w:rPr>
          <w:spacing w:val="-1"/>
        </w:rPr>
        <w:t xml:space="preserve"> </w:t>
      </w:r>
      <w:r>
        <w:t>to</w:t>
      </w:r>
      <w:r>
        <w:rPr>
          <w:spacing w:val="-4"/>
        </w:rPr>
        <w:t xml:space="preserve"> </w:t>
      </w:r>
      <w:r>
        <w:t>changes</w:t>
      </w:r>
      <w:r>
        <w:rPr>
          <w:spacing w:val="-3"/>
        </w:rPr>
        <w:t xml:space="preserve"> </w:t>
      </w:r>
      <w:r>
        <w:t>reflecting</w:t>
      </w:r>
      <w:r>
        <w:rPr>
          <w:spacing w:val="-4"/>
        </w:rPr>
        <w:t xml:space="preserve"> </w:t>
      </w:r>
      <w:r>
        <w:t>the</w:t>
      </w:r>
      <w:r>
        <w:rPr>
          <w:spacing w:val="-3"/>
        </w:rPr>
        <w:t xml:space="preserve"> </w:t>
      </w:r>
      <w:r>
        <w:t>use</w:t>
      </w:r>
      <w:r>
        <w:rPr>
          <w:spacing w:val="-3"/>
        </w:rPr>
        <w:t xml:space="preserve"> </w:t>
      </w:r>
      <w:r>
        <w:t>of</w:t>
      </w:r>
      <w:r>
        <w:rPr>
          <w:spacing w:val="-3"/>
        </w:rPr>
        <w:t xml:space="preserve"> </w:t>
      </w:r>
      <w:r>
        <w:t>significant terminology which may trigger the Compelling Reasons Test), where the intent remains the same,</w:t>
      </w:r>
      <w:r>
        <w:rPr>
          <w:spacing w:val="-2"/>
        </w:rPr>
        <w:t xml:space="preserve"> </w:t>
      </w:r>
      <w:r>
        <w:t>need</w:t>
      </w:r>
      <w:r>
        <w:rPr>
          <w:spacing w:val="-2"/>
        </w:rPr>
        <w:t xml:space="preserve"> </w:t>
      </w:r>
      <w:r>
        <w:t>not</w:t>
      </w:r>
      <w:r>
        <w:rPr>
          <w:spacing w:val="-1"/>
        </w:rPr>
        <w:t xml:space="preserve"> </w:t>
      </w:r>
      <w:r>
        <w:t>be</w:t>
      </w:r>
      <w:r>
        <w:rPr>
          <w:spacing w:val="-3"/>
        </w:rPr>
        <w:t xml:space="preserve"> </w:t>
      </w:r>
      <w:r>
        <w:t>identified</w:t>
      </w:r>
      <w:r>
        <w:rPr>
          <w:spacing w:val="-2"/>
        </w:rPr>
        <w:t xml:space="preserve"> </w:t>
      </w:r>
      <w:r>
        <w:t>in</w:t>
      </w:r>
      <w:r>
        <w:rPr>
          <w:spacing w:val="-5"/>
        </w:rPr>
        <w:t xml:space="preserve"> </w:t>
      </w:r>
      <w:r>
        <w:t>the</w:t>
      </w:r>
      <w:r>
        <w:rPr>
          <w:spacing w:val="-2"/>
        </w:rPr>
        <w:t xml:space="preserve"> </w:t>
      </w:r>
      <w:r>
        <w:t>Australian</w:t>
      </w:r>
      <w:r>
        <w:rPr>
          <w:spacing w:val="-4"/>
        </w:rPr>
        <w:t xml:space="preserve"> </w:t>
      </w:r>
      <w:r>
        <w:t>standard</w:t>
      </w:r>
      <w:r>
        <w:rPr>
          <w:spacing w:val="-5"/>
        </w:rPr>
        <w:t xml:space="preserve"> </w:t>
      </w:r>
      <w:r>
        <w:t>as</w:t>
      </w:r>
      <w:r>
        <w:rPr>
          <w:spacing w:val="-2"/>
        </w:rPr>
        <w:t xml:space="preserve"> </w:t>
      </w:r>
      <w:r>
        <w:t>compelling</w:t>
      </w:r>
      <w:r>
        <w:rPr>
          <w:spacing w:val="-5"/>
        </w:rPr>
        <w:t xml:space="preserve"> </w:t>
      </w:r>
      <w:r>
        <w:t>reasons</w:t>
      </w:r>
      <w:r>
        <w:rPr>
          <w:spacing w:val="-2"/>
        </w:rPr>
        <w:t xml:space="preserve"> </w:t>
      </w:r>
      <w:r>
        <w:t>modifications.</w:t>
      </w:r>
    </w:p>
    <w:p w14:paraId="1E805BD8" w14:textId="77777777" w:rsidR="00AA4A02" w:rsidRDefault="00960F31">
      <w:pPr>
        <w:pStyle w:val="ListParagraph"/>
        <w:numPr>
          <w:ilvl w:val="0"/>
          <w:numId w:val="29"/>
        </w:numPr>
        <w:tabs>
          <w:tab w:val="left" w:pos="851"/>
        </w:tabs>
        <w:spacing w:before="199" w:line="208" w:lineRule="auto"/>
        <w:ind w:right="849"/>
      </w:pPr>
      <w:r>
        <w:t>Technical</w:t>
      </w:r>
      <w:r>
        <w:rPr>
          <w:spacing w:val="-2"/>
        </w:rPr>
        <w:t xml:space="preserve"> </w:t>
      </w:r>
      <w:r>
        <w:t>staff</w:t>
      </w:r>
      <w:r>
        <w:rPr>
          <w:spacing w:val="-3"/>
        </w:rPr>
        <w:t xml:space="preserve"> </w:t>
      </w:r>
      <w:r>
        <w:t>also</w:t>
      </w:r>
      <w:r>
        <w:rPr>
          <w:spacing w:val="-3"/>
        </w:rPr>
        <w:t xml:space="preserve"> </w:t>
      </w:r>
      <w:r>
        <w:t>prepare</w:t>
      </w:r>
      <w:r>
        <w:rPr>
          <w:spacing w:val="-5"/>
        </w:rPr>
        <w:t xml:space="preserve"> </w:t>
      </w:r>
      <w:r>
        <w:t>a</w:t>
      </w:r>
      <w:r>
        <w:rPr>
          <w:spacing w:val="-3"/>
        </w:rPr>
        <w:t xml:space="preserve"> </w:t>
      </w:r>
      <w:r>
        <w:t>draft</w:t>
      </w:r>
      <w:r>
        <w:rPr>
          <w:spacing w:val="-5"/>
        </w:rPr>
        <w:t xml:space="preserve"> </w:t>
      </w:r>
      <w:r>
        <w:t>Basis</w:t>
      </w:r>
      <w:r>
        <w:rPr>
          <w:spacing w:val="-3"/>
        </w:rPr>
        <w:t xml:space="preserve"> </w:t>
      </w:r>
      <w:r>
        <w:t>for</w:t>
      </w:r>
      <w:r>
        <w:rPr>
          <w:spacing w:val="-3"/>
        </w:rPr>
        <w:t xml:space="preserve"> </w:t>
      </w:r>
      <w:r>
        <w:t>Conclusions</w:t>
      </w:r>
      <w:r>
        <w:rPr>
          <w:vertAlign w:val="superscript"/>
        </w:rPr>
        <w:t>51</w:t>
      </w:r>
      <w:r>
        <w:rPr>
          <w:spacing w:val="-3"/>
        </w:rPr>
        <w:t xml:space="preserve"> </w:t>
      </w:r>
      <w:r>
        <w:t>to</w:t>
      </w:r>
      <w:r>
        <w:rPr>
          <w:spacing w:val="-6"/>
        </w:rPr>
        <w:t xml:space="preserve"> </w:t>
      </w:r>
      <w:r>
        <w:t>accompany</w:t>
      </w:r>
      <w:r>
        <w:rPr>
          <w:spacing w:val="-5"/>
        </w:rPr>
        <w:t xml:space="preserve"> </w:t>
      </w:r>
      <w:r>
        <w:t>the</w:t>
      </w:r>
      <w:r>
        <w:rPr>
          <w:spacing w:val="-3"/>
        </w:rPr>
        <w:t xml:space="preserve"> </w:t>
      </w:r>
      <w:r>
        <w:t xml:space="preserve">proposed </w:t>
      </w:r>
      <w:r>
        <w:rPr>
          <w:spacing w:val="-2"/>
        </w:rPr>
        <w:t>standard.</w:t>
      </w:r>
    </w:p>
    <w:p w14:paraId="1E805BD9" w14:textId="77777777" w:rsidR="00AA4A02" w:rsidRDefault="00960F31">
      <w:pPr>
        <w:spacing w:before="174"/>
        <w:ind w:left="143"/>
        <w:rPr>
          <w:b/>
          <w:i/>
        </w:rPr>
      </w:pPr>
      <w:bookmarkStart w:id="70" w:name="Consider_the_need_for_re-exposure"/>
      <w:bookmarkEnd w:id="70"/>
      <w:r>
        <w:rPr>
          <w:b/>
          <w:i/>
        </w:rPr>
        <w:t>Consider</w:t>
      </w:r>
      <w:r>
        <w:rPr>
          <w:b/>
          <w:i/>
          <w:spacing w:val="-4"/>
        </w:rPr>
        <w:t xml:space="preserve"> </w:t>
      </w:r>
      <w:r>
        <w:rPr>
          <w:b/>
          <w:i/>
        </w:rPr>
        <w:t>the</w:t>
      </w:r>
      <w:r>
        <w:rPr>
          <w:b/>
          <w:i/>
          <w:spacing w:val="-2"/>
        </w:rPr>
        <w:t xml:space="preserve"> </w:t>
      </w:r>
      <w:r>
        <w:rPr>
          <w:b/>
          <w:i/>
        </w:rPr>
        <w:t>need</w:t>
      </w:r>
      <w:r>
        <w:rPr>
          <w:b/>
          <w:i/>
          <w:spacing w:val="-3"/>
        </w:rPr>
        <w:t xml:space="preserve"> </w:t>
      </w:r>
      <w:r>
        <w:rPr>
          <w:b/>
          <w:i/>
        </w:rPr>
        <w:t>for</w:t>
      </w:r>
      <w:r>
        <w:rPr>
          <w:b/>
          <w:i/>
          <w:spacing w:val="-2"/>
        </w:rPr>
        <w:t xml:space="preserve"> </w:t>
      </w:r>
      <w:r>
        <w:rPr>
          <w:b/>
          <w:i/>
        </w:rPr>
        <w:t>re-</w:t>
      </w:r>
      <w:r>
        <w:rPr>
          <w:b/>
          <w:i/>
          <w:spacing w:val="-2"/>
        </w:rPr>
        <w:t>exposure</w:t>
      </w:r>
    </w:p>
    <w:p w14:paraId="1E805BDA" w14:textId="77777777" w:rsidR="00AA4A02" w:rsidRDefault="00960F31">
      <w:pPr>
        <w:pStyle w:val="ListParagraph"/>
        <w:numPr>
          <w:ilvl w:val="0"/>
          <w:numId w:val="29"/>
        </w:numPr>
        <w:tabs>
          <w:tab w:val="left" w:pos="851"/>
        </w:tabs>
        <w:spacing w:before="194" w:line="208" w:lineRule="auto"/>
        <w:ind w:right="336"/>
      </w:pPr>
      <w:r>
        <w:t>Technical staff present the proposed Australian standard and accompanying draft Basis for Conclusions</w:t>
      </w:r>
      <w:r>
        <w:rPr>
          <w:spacing w:val="-3"/>
        </w:rPr>
        <w:t xml:space="preserve"> </w:t>
      </w:r>
      <w:r>
        <w:t>to</w:t>
      </w:r>
      <w:r>
        <w:rPr>
          <w:spacing w:val="-5"/>
        </w:rPr>
        <w:t xml:space="preserve"> </w:t>
      </w:r>
      <w:r>
        <w:t>the</w:t>
      </w:r>
      <w:r>
        <w:rPr>
          <w:spacing w:val="-3"/>
        </w:rPr>
        <w:t xml:space="preserve"> </w:t>
      </w:r>
      <w:r>
        <w:t>AUASB</w:t>
      </w:r>
      <w:r>
        <w:rPr>
          <w:spacing w:val="-4"/>
        </w:rPr>
        <w:t xml:space="preserve"> </w:t>
      </w:r>
      <w:r>
        <w:t>for</w:t>
      </w:r>
      <w:r>
        <w:rPr>
          <w:spacing w:val="-4"/>
        </w:rPr>
        <w:t xml:space="preserve"> </w:t>
      </w:r>
      <w:r>
        <w:t>its</w:t>
      </w:r>
      <w:r>
        <w:rPr>
          <w:spacing w:val="-3"/>
        </w:rPr>
        <w:t xml:space="preserve"> </w:t>
      </w:r>
      <w:r>
        <w:t>consideration at</w:t>
      </w:r>
      <w:r>
        <w:rPr>
          <w:spacing w:val="-2"/>
        </w:rPr>
        <w:t xml:space="preserve"> </w:t>
      </w:r>
      <w:r>
        <w:t>a</w:t>
      </w:r>
      <w:r>
        <w:rPr>
          <w:spacing w:val="-3"/>
        </w:rPr>
        <w:t xml:space="preserve"> </w:t>
      </w:r>
      <w:r>
        <w:t>public</w:t>
      </w:r>
      <w:r>
        <w:rPr>
          <w:spacing w:val="-3"/>
        </w:rPr>
        <w:t xml:space="preserve"> </w:t>
      </w:r>
      <w:r>
        <w:t>meeting.</w:t>
      </w:r>
      <w:r>
        <w:rPr>
          <w:spacing w:val="-2"/>
        </w:rPr>
        <w:t xml:space="preserve"> </w:t>
      </w:r>
      <w:r>
        <w:t>For</w:t>
      </w:r>
      <w:r>
        <w:rPr>
          <w:spacing w:val="-4"/>
        </w:rPr>
        <w:t xml:space="preserve"> </w:t>
      </w:r>
      <w:r>
        <w:t>compelling</w:t>
      </w:r>
      <w:r>
        <w:rPr>
          <w:spacing w:val="-3"/>
        </w:rPr>
        <w:t xml:space="preserve"> </w:t>
      </w:r>
      <w:r>
        <w:t>reasons modifications, in the rare and exceptional cases where applicable, staff also include: a collation of stakeholder</w:t>
      </w:r>
      <w:r>
        <w:rPr>
          <w:spacing w:val="-1"/>
        </w:rPr>
        <w:t xml:space="preserve"> </w:t>
      </w:r>
      <w:r>
        <w:t>feedback</w:t>
      </w:r>
      <w:r>
        <w:rPr>
          <w:spacing w:val="-3"/>
        </w:rPr>
        <w:t xml:space="preserve"> </w:t>
      </w:r>
      <w:r>
        <w:t>received in response</w:t>
      </w:r>
      <w:r>
        <w:rPr>
          <w:spacing w:val="-2"/>
        </w:rPr>
        <w:t xml:space="preserve"> </w:t>
      </w:r>
      <w:r>
        <w:t>to the AUASB’s</w:t>
      </w:r>
      <w:r>
        <w:rPr>
          <w:spacing w:val="-2"/>
        </w:rPr>
        <w:t xml:space="preserve"> </w:t>
      </w:r>
      <w:r>
        <w:t>targeted exposure of compelling reasons modifications, an analysis of these comments, and how these comments have been addressed in the final standard.</w:t>
      </w:r>
    </w:p>
    <w:p w14:paraId="1E805BDB" w14:textId="77777777" w:rsidR="00AA4A02" w:rsidRDefault="00960F31">
      <w:pPr>
        <w:pStyle w:val="ListParagraph"/>
        <w:numPr>
          <w:ilvl w:val="0"/>
          <w:numId w:val="29"/>
        </w:numPr>
        <w:tabs>
          <w:tab w:val="left" w:pos="851"/>
        </w:tabs>
        <w:spacing w:before="198" w:line="208" w:lineRule="auto"/>
        <w:ind w:right="251"/>
      </w:pPr>
      <w:r>
        <w:t>Where the original IAASB</w:t>
      </w:r>
      <w:r>
        <w:rPr>
          <w:spacing w:val="-1"/>
        </w:rPr>
        <w:t xml:space="preserve"> </w:t>
      </w:r>
      <w:r>
        <w:t>ED</w:t>
      </w:r>
      <w:r>
        <w:rPr>
          <w:spacing w:val="-1"/>
        </w:rPr>
        <w:t xml:space="preserve"> </w:t>
      </w:r>
      <w:r>
        <w:t>has been subject to changes arising from the international and local public exposure processes, and/or new/revised evidence, technical staff prepare a summary comparative analysis for the AUASB’s consideration. This analysis shows the differences</w:t>
      </w:r>
      <w:r>
        <w:rPr>
          <w:spacing w:val="-3"/>
        </w:rPr>
        <w:t xml:space="preserve"> </w:t>
      </w:r>
      <w:r>
        <w:t>between</w:t>
      </w:r>
      <w:r>
        <w:rPr>
          <w:spacing w:val="-3"/>
        </w:rPr>
        <w:t xml:space="preserve"> </w:t>
      </w:r>
      <w:r>
        <w:t>the</w:t>
      </w:r>
      <w:r>
        <w:rPr>
          <w:spacing w:val="-1"/>
        </w:rPr>
        <w:t xml:space="preserve"> </w:t>
      </w:r>
      <w:r>
        <w:t>original</w:t>
      </w:r>
      <w:r>
        <w:rPr>
          <w:spacing w:val="-2"/>
        </w:rPr>
        <w:t xml:space="preserve"> </w:t>
      </w:r>
      <w:r>
        <w:t>international</w:t>
      </w:r>
      <w:r>
        <w:rPr>
          <w:spacing w:val="-4"/>
        </w:rPr>
        <w:t xml:space="preserve"> </w:t>
      </w:r>
      <w:r>
        <w:t>ED</w:t>
      </w:r>
      <w:r>
        <w:rPr>
          <w:spacing w:val="-5"/>
        </w:rPr>
        <w:t xml:space="preserve"> </w:t>
      </w:r>
      <w:r>
        <w:t>and</w:t>
      </w:r>
      <w:r>
        <w:rPr>
          <w:spacing w:val="-5"/>
        </w:rPr>
        <w:t xml:space="preserve"> </w:t>
      </w:r>
      <w:r>
        <w:t>the</w:t>
      </w:r>
      <w:r>
        <w:rPr>
          <w:spacing w:val="-3"/>
        </w:rPr>
        <w:t xml:space="preserve"> </w:t>
      </w:r>
      <w:r>
        <w:t>proposed</w:t>
      </w:r>
      <w:r>
        <w:rPr>
          <w:spacing w:val="-6"/>
        </w:rPr>
        <w:t xml:space="preserve"> </w:t>
      </w:r>
      <w:r>
        <w:t>final</w:t>
      </w:r>
      <w:r>
        <w:rPr>
          <w:spacing w:val="-2"/>
        </w:rPr>
        <w:t xml:space="preserve"> </w:t>
      </w:r>
      <w:r>
        <w:t>standard</w:t>
      </w:r>
      <w:r>
        <w:rPr>
          <w:spacing w:val="-6"/>
        </w:rPr>
        <w:t xml:space="preserve"> </w:t>
      </w:r>
      <w:r>
        <w:t>to</w:t>
      </w:r>
      <w:r>
        <w:rPr>
          <w:spacing w:val="-3"/>
        </w:rPr>
        <w:t xml:space="preserve"> </w:t>
      </w:r>
      <w:r>
        <w:t>be</w:t>
      </w:r>
      <w:r>
        <w:rPr>
          <w:spacing w:val="-3"/>
        </w:rPr>
        <w:t xml:space="preserve"> </w:t>
      </w:r>
      <w:r>
        <w:t>issued in Australia, distinguishing clearly between changes made at the international level, and the Australian compelling reasons modifications which have been exposed separately.</w:t>
      </w:r>
    </w:p>
    <w:p w14:paraId="1E805BDC" w14:textId="77777777" w:rsidR="00AA4A02" w:rsidRDefault="00AA4A02">
      <w:pPr>
        <w:pStyle w:val="BodyText"/>
        <w:rPr>
          <w:sz w:val="20"/>
        </w:rPr>
      </w:pPr>
    </w:p>
    <w:p w14:paraId="1E805BDD" w14:textId="77777777" w:rsidR="00AA4A02" w:rsidRDefault="00960F31">
      <w:pPr>
        <w:pStyle w:val="BodyText"/>
        <w:spacing w:before="108"/>
        <w:rPr>
          <w:sz w:val="20"/>
        </w:rPr>
      </w:pPr>
      <w:r>
        <w:rPr>
          <w:noProof/>
          <w:sz w:val="20"/>
        </w:rPr>
        <mc:AlternateContent>
          <mc:Choice Requires="wps">
            <w:drawing>
              <wp:anchor distT="0" distB="0" distL="0" distR="0" simplePos="0" relativeHeight="487609856" behindDoc="1" locked="0" layoutInCell="1" allowOverlap="1" wp14:anchorId="1E805F69" wp14:editId="1E805F6A">
                <wp:simplePos x="0" y="0"/>
                <wp:positionH relativeFrom="page">
                  <wp:posOffset>900988</wp:posOffset>
                </wp:positionH>
                <wp:positionV relativeFrom="paragraph">
                  <wp:posOffset>229898</wp:posOffset>
                </wp:positionV>
                <wp:extent cx="1829435" cy="762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5A25D" id="Graphic 72" o:spid="_x0000_s1026" style="position:absolute;margin-left:70.95pt;margin-top:18.1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nvTUO4AAAAAkBAAAPAAAAAAAAAAAAAAAAAH0EAABkcnMvZG93&#10;bnJldi54bWxQSwUGAAAAAAQABADzAAAAigUAAAAA&#10;" path="m1829053,l,,,7619r1829053,l1829053,xe" fillcolor="black" stroked="f">
                <v:path arrowok="t"/>
                <w10:wrap type="topAndBottom" anchorx="page"/>
              </v:shape>
            </w:pict>
          </mc:Fallback>
        </mc:AlternateContent>
      </w:r>
    </w:p>
    <w:p w14:paraId="1E805BDE" w14:textId="77777777" w:rsidR="00AA4A02" w:rsidRDefault="00960F31">
      <w:pPr>
        <w:spacing w:before="73"/>
        <w:ind w:left="143"/>
        <w:rPr>
          <w:sz w:val="16"/>
        </w:rPr>
      </w:pPr>
      <w:r>
        <w:rPr>
          <w:sz w:val="16"/>
          <w:vertAlign w:val="superscript"/>
        </w:rPr>
        <w:t>51</w:t>
      </w:r>
      <w:r>
        <w:rPr>
          <w:spacing w:val="47"/>
          <w:sz w:val="16"/>
        </w:rPr>
        <w:t xml:space="preserve">  </w:t>
      </w:r>
      <w:r>
        <w:rPr>
          <w:sz w:val="16"/>
        </w:rPr>
        <w:t>See</w:t>
      </w:r>
      <w:r>
        <w:rPr>
          <w:spacing w:val="-4"/>
          <w:sz w:val="16"/>
        </w:rPr>
        <w:t xml:space="preserve"> </w:t>
      </w:r>
      <w:r>
        <w:rPr>
          <w:sz w:val="16"/>
        </w:rPr>
        <w:t>paragraphs</w:t>
      </w:r>
      <w:r>
        <w:rPr>
          <w:spacing w:val="-3"/>
          <w:sz w:val="16"/>
        </w:rPr>
        <w:t xml:space="preserve"> </w:t>
      </w:r>
      <w:r>
        <w:rPr>
          <w:sz w:val="16"/>
        </w:rPr>
        <w:t>22</w:t>
      </w:r>
      <w:r>
        <w:rPr>
          <w:spacing w:val="-3"/>
          <w:sz w:val="16"/>
        </w:rPr>
        <w:t xml:space="preserve"> </w:t>
      </w:r>
      <w:r>
        <w:rPr>
          <w:sz w:val="16"/>
        </w:rPr>
        <w:t>and</w:t>
      </w:r>
      <w:r>
        <w:rPr>
          <w:spacing w:val="-1"/>
          <w:sz w:val="16"/>
        </w:rPr>
        <w:t xml:space="preserve"> </w:t>
      </w:r>
      <w:r>
        <w:rPr>
          <w:sz w:val="16"/>
        </w:rPr>
        <w:t>238-240</w:t>
      </w:r>
      <w:r>
        <w:rPr>
          <w:spacing w:val="-1"/>
          <w:sz w:val="16"/>
        </w:rPr>
        <w:t xml:space="preserve"> </w:t>
      </w:r>
      <w:r>
        <w:rPr>
          <w:sz w:val="16"/>
        </w:rPr>
        <w:t>of</w:t>
      </w:r>
      <w:r>
        <w:rPr>
          <w:spacing w:val="-5"/>
          <w:sz w:val="16"/>
        </w:rPr>
        <w:t xml:space="preserve"> </w:t>
      </w:r>
      <w:r>
        <w:rPr>
          <w:sz w:val="16"/>
        </w:rPr>
        <w:t>this</w:t>
      </w:r>
      <w:r>
        <w:rPr>
          <w:spacing w:val="-1"/>
          <w:sz w:val="16"/>
        </w:rPr>
        <w:t xml:space="preserve"> </w:t>
      </w:r>
      <w:r>
        <w:rPr>
          <w:spacing w:val="-2"/>
          <w:sz w:val="16"/>
        </w:rPr>
        <w:t>document.</w:t>
      </w:r>
    </w:p>
    <w:p w14:paraId="1E805BDF" w14:textId="77777777" w:rsidR="00AA4A02" w:rsidRDefault="00AA4A02">
      <w:pPr>
        <w:rPr>
          <w:sz w:val="16"/>
        </w:rPr>
        <w:sectPr w:rsidR="00AA4A02">
          <w:pgSz w:w="11910" w:h="16840"/>
          <w:pgMar w:top="1380" w:right="1275" w:bottom="1040" w:left="1275" w:header="689" w:footer="842" w:gutter="0"/>
          <w:cols w:space="720"/>
        </w:sectPr>
      </w:pPr>
    </w:p>
    <w:p w14:paraId="1E805BE0" w14:textId="77777777" w:rsidR="00AA4A02" w:rsidRDefault="00960F31">
      <w:pPr>
        <w:pStyle w:val="ListParagraph"/>
        <w:numPr>
          <w:ilvl w:val="0"/>
          <w:numId w:val="29"/>
        </w:numPr>
        <w:tabs>
          <w:tab w:val="left" w:pos="851"/>
        </w:tabs>
        <w:spacing w:before="219" w:line="208" w:lineRule="auto"/>
        <w:ind w:right="379"/>
      </w:pPr>
      <w:r>
        <w:lastRenderedPageBreak/>
        <w:t>The AUASB</w:t>
      </w:r>
      <w:r>
        <w:rPr>
          <w:spacing w:val="-1"/>
        </w:rPr>
        <w:t xml:space="preserve"> </w:t>
      </w:r>
      <w:r>
        <w:t>reviews the final Australian</w:t>
      </w:r>
      <w:r>
        <w:rPr>
          <w:spacing w:val="-1"/>
        </w:rPr>
        <w:t xml:space="preserve"> </w:t>
      </w:r>
      <w:r>
        <w:t>standard and</w:t>
      </w:r>
      <w:r>
        <w:rPr>
          <w:spacing w:val="-1"/>
        </w:rPr>
        <w:t xml:space="preserve"> </w:t>
      </w:r>
      <w:r>
        <w:t>supporting Board papers, taking</w:t>
      </w:r>
      <w:r>
        <w:rPr>
          <w:spacing w:val="-2"/>
        </w:rPr>
        <w:t xml:space="preserve"> </w:t>
      </w:r>
      <w:r>
        <w:t>into consideration how issues raised by Australian stakeholders have been addressed in the final standard.</w:t>
      </w:r>
      <w:r>
        <w:rPr>
          <w:spacing w:val="-2"/>
        </w:rPr>
        <w:t xml:space="preserve"> </w:t>
      </w:r>
      <w:r>
        <w:t>The</w:t>
      </w:r>
      <w:r>
        <w:rPr>
          <w:spacing w:val="-2"/>
        </w:rPr>
        <w:t xml:space="preserve"> </w:t>
      </w:r>
      <w:r>
        <w:t>AUASB</w:t>
      </w:r>
      <w:r>
        <w:rPr>
          <w:spacing w:val="-4"/>
        </w:rPr>
        <w:t xml:space="preserve"> </w:t>
      </w:r>
      <w:r>
        <w:t>satisfies</w:t>
      </w:r>
      <w:r>
        <w:rPr>
          <w:spacing w:val="-2"/>
        </w:rPr>
        <w:t xml:space="preserve"> </w:t>
      </w:r>
      <w:r>
        <w:t>itself</w:t>
      </w:r>
      <w:r>
        <w:rPr>
          <w:spacing w:val="-4"/>
        </w:rPr>
        <w:t xml:space="preserve"> </w:t>
      </w:r>
      <w:r>
        <w:t>that</w:t>
      </w:r>
      <w:r>
        <w:rPr>
          <w:spacing w:val="-4"/>
        </w:rPr>
        <w:t xml:space="preserve"> </w:t>
      </w:r>
      <w:r>
        <w:t>there</w:t>
      </w:r>
      <w:r>
        <w:rPr>
          <w:spacing w:val="-2"/>
        </w:rPr>
        <w:t xml:space="preserve"> </w:t>
      </w:r>
      <w:r>
        <w:t>are</w:t>
      </w:r>
      <w:r>
        <w:rPr>
          <w:spacing w:val="-2"/>
        </w:rPr>
        <w:t xml:space="preserve"> </w:t>
      </w:r>
      <w:r>
        <w:t>no</w:t>
      </w:r>
      <w:r>
        <w:rPr>
          <w:spacing w:val="-4"/>
        </w:rPr>
        <w:t xml:space="preserve"> </w:t>
      </w:r>
      <w:r>
        <w:t>other</w:t>
      </w:r>
      <w:r>
        <w:rPr>
          <w:spacing w:val="-3"/>
        </w:rPr>
        <w:t xml:space="preserve"> </w:t>
      </w:r>
      <w:r>
        <w:t>unidentified</w:t>
      </w:r>
      <w:r>
        <w:rPr>
          <w:spacing w:val="-2"/>
        </w:rPr>
        <w:t xml:space="preserve"> </w:t>
      </w:r>
      <w:r>
        <w:t>compelling</w:t>
      </w:r>
      <w:r>
        <w:rPr>
          <w:spacing w:val="-2"/>
        </w:rPr>
        <w:t xml:space="preserve"> </w:t>
      </w:r>
      <w:r>
        <w:t>reasons which may require Australia-specific enhancements to be made to the final international standard adopted in Australia.</w:t>
      </w:r>
    </w:p>
    <w:p w14:paraId="1E805BE1" w14:textId="77777777" w:rsidR="00AA4A02" w:rsidRDefault="00960F31">
      <w:pPr>
        <w:pStyle w:val="ListParagraph"/>
        <w:numPr>
          <w:ilvl w:val="0"/>
          <w:numId w:val="29"/>
        </w:numPr>
        <w:tabs>
          <w:tab w:val="left" w:pos="851"/>
        </w:tabs>
        <w:spacing w:line="208" w:lineRule="auto"/>
        <w:ind w:right="238"/>
      </w:pPr>
      <w:r>
        <w:t>If</w:t>
      </w:r>
      <w:r>
        <w:rPr>
          <w:spacing w:val="-2"/>
        </w:rPr>
        <w:t xml:space="preserve"> </w:t>
      </w:r>
      <w:r>
        <w:t>applicable,</w:t>
      </w:r>
      <w:r>
        <w:rPr>
          <w:spacing w:val="-5"/>
        </w:rPr>
        <w:t xml:space="preserve"> </w:t>
      </w:r>
      <w:r>
        <w:t>the</w:t>
      </w:r>
      <w:r>
        <w:rPr>
          <w:spacing w:val="-2"/>
        </w:rPr>
        <w:t xml:space="preserve"> </w:t>
      </w:r>
      <w:r>
        <w:t>AUASB</w:t>
      </w:r>
      <w:r>
        <w:rPr>
          <w:spacing w:val="-4"/>
        </w:rPr>
        <w:t xml:space="preserve"> </w:t>
      </w:r>
      <w:r>
        <w:t>applies</w:t>
      </w:r>
      <w:r>
        <w:rPr>
          <w:spacing w:val="-4"/>
        </w:rPr>
        <w:t xml:space="preserve"> </w:t>
      </w:r>
      <w:r>
        <w:t>the</w:t>
      </w:r>
      <w:r>
        <w:rPr>
          <w:spacing w:val="-4"/>
        </w:rPr>
        <w:t xml:space="preserve"> </w:t>
      </w:r>
      <w:r>
        <w:t>re-exposure</w:t>
      </w:r>
      <w:r>
        <w:rPr>
          <w:spacing w:val="-1"/>
        </w:rPr>
        <w:t xml:space="preserve"> </w:t>
      </w:r>
      <w:r>
        <w:t>criteria</w:t>
      </w:r>
      <w:r>
        <w:rPr>
          <w:spacing w:val="-4"/>
        </w:rPr>
        <w:t xml:space="preserve"> </w:t>
      </w:r>
      <w:r>
        <w:t>outlined</w:t>
      </w:r>
      <w:r>
        <w:rPr>
          <w:spacing w:val="-5"/>
        </w:rPr>
        <w:t xml:space="preserve"> </w:t>
      </w:r>
      <w:r>
        <w:t>in</w:t>
      </w:r>
      <w:r>
        <w:rPr>
          <w:spacing w:val="-2"/>
        </w:rPr>
        <w:t xml:space="preserve"> </w:t>
      </w:r>
      <w:r>
        <w:t>paragraphs</w:t>
      </w:r>
      <w:r>
        <w:rPr>
          <w:spacing w:val="-2"/>
        </w:rPr>
        <w:t xml:space="preserve"> </w:t>
      </w:r>
      <w:r>
        <w:t>72-74</w:t>
      </w:r>
      <w:r>
        <w:rPr>
          <w:spacing w:val="-2"/>
        </w:rPr>
        <w:t xml:space="preserve"> </w:t>
      </w:r>
      <w:r>
        <w:t>of</w:t>
      </w:r>
      <w:r>
        <w:rPr>
          <w:spacing w:val="-2"/>
        </w:rPr>
        <w:t xml:space="preserve"> </w:t>
      </w:r>
      <w:r>
        <w:t>this document, to determine whether to re-expose the proposed standard, or parts thereof, for further comment. This will generally be based on one of three scenarios:</w:t>
      </w:r>
    </w:p>
    <w:p w14:paraId="1E805BE2" w14:textId="77777777" w:rsidR="00AA4A02" w:rsidRDefault="00960F31">
      <w:pPr>
        <w:pStyle w:val="ListParagraph"/>
        <w:numPr>
          <w:ilvl w:val="1"/>
          <w:numId w:val="29"/>
        </w:numPr>
        <w:tabs>
          <w:tab w:val="left" w:pos="1562"/>
        </w:tabs>
        <w:spacing w:before="199" w:line="208" w:lineRule="auto"/>
        <w:ind w:right="142"/>
      </w:pPr>
      <w:r>
        <w:t>The</w:t>
      </w:r>
      <w:r>
        <w:rPr>
          <w:spacing w:val="-2"/>
        </w:rPr>
        <w:t xml:space="preserve"> </w:t>
      </w:r>
      <w:r>
        <w:t>IAASB</w:t>
      </w:r>
      <w:r>
        <w:rPr>
          <w:spacing w:val="-3"/>
        </w:rPr>
        <w:t xml:space="preserve"> </w:t>
      </w:r>
      <w:r>
        <w:t>decides</w:t>
      </w:r>
      <w:r>
        <w:rPr>
          <w:spacing w:val="-2"/>
        </w:rPr>
        <w:t xml:space="preserve"> </w:t>
      </w:r>
      <w:r>
        <w:t>to</w:t>
      </w:r>
      <w:r>
        <w:rPr>
          <w:spacing w:val="-4"/>
        </w:rPr>
        <w:t xml:space="preserve"> </w:t>
      </w:r>
      <w:r>
        <w:t>re-expose</w:t>
      </w:r>
      <w:r>
        <w:rPr>
          <w:spacing w:val="-4"/>
        </w:rPr>
        <w:t xml:space="preserve"> </w:t>
      </w:r>
      <w:r>
        <w:t>the</w:t>
      </w:r>
      <w:r>
        <w:rPr>
          <w:spacing w:val="-2"/>
        </w:rPr>
        <w:t xml:space="preserve"> </w:t>
      </w:r>
      <w:r>
        <w:t>proposed</w:t>
      </w:r>
      <w:r>
        <w:rPr>
          <w:spacing w:val="-3"/>
        </w:rPr>
        <w:t xml:space="preserve"> </w:t>
      </w:r>
      <w:r>
        <w:t>international standard,</w:t>
      </w:r>
      <w:r>
        <w:rPr>
          <w:spacing w:val="-5"/>
        </w:rPr>
        <w:t xml:space="preserve"> </w:t>
      </w:r>
      <w:r>
        <w:t>or</w:t>
      </w:r>
      <w:r>
        <w:rPr>
          <w:spacing w:val="-2"/>
        </w:rPr>
        <w:t xml:space="preserve"> </w:t>
      </w:r>
      <w:r>
        <w:t>parts</w:t>
      </w:r>
      <w:r>
        <w:rPr>
          <w:spacing w:val="-4"/>
        </w:rPr>
        <w:t xml:space="preserve"> </w:t>
      </w:r>
      <w:r>
        <w:t>thereof - see paragraph 136(a).</w:t>
      </w:r>
    </w:p>
    <w:p w14:paraId="1E805BE3" w14:textId="77777777" w:rsidR="00AA4A02" w:rsidRDefault="00960F31">
      <w:pPr>
        <w:pStyle w:val="ListParagraph"/>
        <w:numPr>
          <w:ilvl w:val="1"/>
          <w:numId w:val="29"/>
        </w:numPr>
        <w:tabs>
          <w:tab w:val="left" w:pos="1562"/>
        </w:tabs>
        <w:spacing w:line="208" w:lineRule="auto"/>
        <w:ind w:right="324"/>
      </w:pPr>
      <w:r>
        <w:t>The IAASB decides not to</w:t>
      </w:r>
      <w:r>
        <w:rPr>
          <w:spacing w:val="-1"/>
        </w:rPr>
        <w:t xml:space="preserve"> </w:t>
      </w:r>
      <w:r>
        <w:t>issue a re-exposure draft but the AUASB determines that re-exposure</w:t>
      </w:r>
      <w:r>
        <w:rPr>
          <w:spacing w:val="-3"/>
        </w:rPr>
        <w:t xml:space="preserve"> </w:t>
      </w:r>
      <w:r>
        <w:t>of</w:t>
      </w:r>
      <w:r>
        <w:rPr>
          <w:spacing w:val="-4"/>
        </w:rPr>
        <w:t xml:space="preserve"> </w:t>
      </w:r>
      <w:r>
        <w:t>the</w:t>
      </w:r>
      <w:r>
        <w:rPr>
          <w:spacing w:val="-4"/>
        </w:rPr>
        <w:t xml:space="preserve"> </w:t>
      </w:r>
      <w:r>
        <w:t>international</w:t>
      </w:r>
      <w:r>
        <w:rPr>
          <w:spacing w:val="-4"/>
        </w:rPr>
        <w:t xml:space="preserve"> </w:t>
      </w:r>
      <w:r>
        <w:t>standard,</w:t>
      </w:r>
      <w:r>
        <w:rPr>
          <w:spacing w:val="-2"/>
        </w:rPr>
        <w:t xml:space="preserve"> </w:t>
      </w:r>
      <w:r>
        <w:t>or</w:t>
      </w:r>
      <w:r>
        <w:rPr>
          <w:spacing w:val="-4"/>
        </w:rPr>
        <w:t xml:space="preserve"> </w:t>
      </w:r>
      <w:r>
        <w:t>parts</w:t>
      </w:r>
      <w:r>
        <w:rPr>
          <w:spacing w:val="-4"/>
        </w:rPr>
        <w:t xml:space="preserve"> </w:t>
      </w:r>
      <w:r>
        <w:t>thereof,</w:t>
      </w:r>
      <w:r>
        <w:rPr>
          <w:spacing w:val="-2"/>
        </w:rPr>
        <w:t xml:space="preserve"> </w:t>
      </w:r>
      <w:r>
        <w:t>is</w:t>
      </w:r>
      <w:r>
        <w:rPr>
          <w:spacing w:val="-2"/>
        </w:rPr>
        <w:t xml:space="preserve"> </w:t>
      </w:r>
      <w:r>
        <w:t>warranted</w:t>
      </w:r>
      <w:r>
        <w:rPr>
          <w:spacing w:val="-4"/>
        </w:rPr>
        <w:t xml:space="preserve"> </w:t>
      </w:r>
      <w:r>
        <w:t>in</w:t>
      </w:r>
      <w:r>
        <w:rPr>
          <w:spacing w:val="-2"/>
        </w:rPr>
        <w:t xml:space="preserve"> </w:t>
      </w:r>
      <w:r>
        <w:t xml:space="preserve">Australia – see paragraph 136(b). Re-exposure for this reason will only be considered under limited circumstances where there is a high likelihood of identifying additional compelling reasons for modification of the international standard for adoption in </w:t>
      </w:r>
      <w:r>
        <w:rPr>
          <w:spacing w:val="-2"/>
        </w:rPr>
        <w:t>Australia.</w:t>
      </w:r>
      <w:r>
        <w:rPr>
          <w:spacing w:val="-2"/>
          <w:vertAlign w:val="superscript"/>
        </w:rPr>
        <w:t>52</w:t>
      </w:r>
    </w:p>
    <w:p w14:paraId="1E805BE4" w14:textId="77777777" w:rsidR="00AA4A02" w:rsidRDefault="00960F31">
      <w:pPr>
        <w:pStyle w:val="ListParagraph"/>
        <w:numPr>
          <w:ilvl w:val="1"/>
          <w:numId w:val="29"/>
        </w:numPr>
        <w:tabs>
          <w:tab w:val="left" w:pos="1562"/>
        </w:tabs>
        <w:spacing w:before="199" w:line="208" w:lineRule="auto"/>
        <w:ind w:right="620"/>
      </w:pPr>
      <w:r>
        <w:t>The</w:t>
      </w:r>
      <w:r>
        <w:rPr>
          <w:spacing w:val="-4"/>
        </w:rPr>
        <w:t xml:space="preserve"> </w:t>
      </w:r>
      <w:r>
        <w:t>AUASB</w:t>
      </w:r>
      <w:r>
        <w:rPr>
          <w:spacing w:val="-5"/>
        </w:rPr>
        <w:t xml:space="preserve"> </w:t>
      </w:r>
      <w:r>
        <w:t>decides</w:t>
      </w:r>
      <w:r>
        <w:rPr>
          <w:spacing w:val="-5"/>
        </w:rPr>
        <w:t xml:space="preserve"> </w:t>
      </w:r>
      <w:r>
        <w:t>that</w:t>
      </w:r>
      <w:r>
        <w:rPr>
          <w:spacing w:val="-3"/>
        </w:rPr>
        <w:t xml:space="preserve"> </w:t>
      </w:r>
      <w:r>
        <w:t>re-exposure</w:t>
      </w:r>
      <w:r>
        <w:rPr>
          <w:spacing w:val="-4"/>
        </w:rPr>
        <w:t xml:space="preserve"> </w:t>
      </w:r>
      <w:r>
        <w:t>of</w:t>
      </w:r>
      <w:r>
        <w:rPr>
          <w:spacing w:val="-3"/>
        </w:rPr>
        <w:t xml:space="preserve"> </w:t>
      </w:r>
      <w:r>
        <w:t>previously</w:t>
      </w:r>
      <w:r>
        <w:rPr>
          <w:spacing w:val="-4"/>
        </w:rPr>
        <w:t xml:space="preserve"> </w:t>
      </w:r>
      <w:r>
        <w:t>exposed</w:t>
      </w:r>
      <w:r>
        <w:rPr>
          <w:spacing w:val="-4"/>
        </w:rPr>
        <w:t xml:space="preserve"> </w:t>
      </w:r>
      <w:r>
        <w:t>proposed</w:t>
      </w:r>
      <w:r>
        <w:rPr>
          <w:spacing w:val="-3"/>
        </w:rPr>
        <w:t xml:space="preserve"> </w:t>
      </w:r>
      <w:r>
        <w:t>Australian compelling reasons modifications (AUASB ED) is appropriate – see</w:t>
      </w:r>
    </w:p>
    <w:p w14:paraId="1E805BE5" w14:textId="77777777" w:rsidR="00AA4A02" w:rsidRDefault="00960F31">
      <w:pPr>
        <w:pStyle w:val="BodyText"/>
        <w:spacing w:line="228" w:lineRule="exact"/>
        <w:ind w:left="1562"/>
      </w:pPr>
      <w:r>
        <w:t>paragraph</w:t>
      </w:r>
      <w:r>
        <w:rPr>
          <w:spacing w:val="-2"/>
        </w:rPr>
        <w:t xml:space="preserve"> 136(b).</w:t>
      </w:r>
    </w:p>
    <w:p w14:paraId="1E805BE6" w14:textId="77777777" w:rsidR="00AA4A02" w:rsidRDefault="00960F31">
      <w:pPr>
        <w:pStyle w:val="ListParagraph"/>
        <w:numPr>
          <w:ilvl w:val="0"/>
          <w:numId w:val="29"/>
        </w:numPr>
        <w:tabs>
          <w:tab w:val="left" w:pos="851"/>
        </w:tabs>
        <w:spacing w:before="194" w:line="208" w:lineRule="auto"/>
        <w:ind w:right="180"/>
      </w:pPr>
      <w:r>
        <w:t>The AUASB decides on whether to re-expose a proposed standard,</w:t>
      </w:r>
      <w:r>
        <w:rPr>
          <w:spacing w:val="-1"/>
        </w:rPr>
        <w:t xml:space="preserve"> </w:t>
      </w:r>
      <w:r>
        <w:t>or parts thereof, by</w:t>
      </w:r>
      <w:r>
        <w:rPr>
          <w:spacing w:val="-1"/>
        </w:rPr>
        <w:t xml:space="preserve"> </w:t>
      </w:r>
      <w:r>
        <w:t>formal vote.</w:t>
      </w:r>
      <w:r>
        <w:rPr>
          <w:vertAlign w:val="superscript"/>
        </w:rPr>
        <w:t>53</w:t>
      </w:r>
      <w:r>
        <w:t xml:space="preserve"> The basis of the AUASB’s decisions with respect to re-exposure is recorded in the minutes of the meeting.</w:t>
      </w:r>
      <w:r>
        <w:rPr>
          <w:spacing w:val="40"/>
        </w:rPr>
        <w:t xml:space="preserve"> </w:t>
      </w:r>
      <w:r>
        <w:t>Where the IAASB and/or AUASB decide not to issue a re-exposure draft</w:t>
      </w:r>
      <w:r>
        <w:rPr>
          <w:spacing w:val="-4"/>
        </w:rPr>
        <w:t xml:space="preserve"> </w:t>
      </w:r>
      <w:r>
        <w:t>for</w:t>
      </w:r>
      <w:r>
        <w:rPr>
          <w:spacing w:val="-4"/>
        </w:rPr>
        <w:t xml:space="preserve"> </w:t>
      </w:r>
      <w:r>
        <w:t>any</w:t>
      </w:r>
      <w:r>
        <w:rPr>
          <w:spacing w:val="-1"/>
        </w:rPr>
        <w:t xml:space="preserve"> </w:t>
      </w:r>
      <w:r>
        <w:t>substantial changes</w:t>
      </w:r>
      <w:r>
        <w:rPr>
          <w:spacing w:val="-4"/>
        </w:rPr>
        <w:t xml:space="preserve"> </w:t>
      </w:r>
      <w:r>
        <w:t>made</w:t>
      </w:r>
      <w:r>
        <w:rPr>
          <w:spacing w:val="-2"/>
        </w:rPr>
        <w:t xml:space="preserve"> </w:t>
      </w:r>
      <w:r>
        <w:t>to</w:t>
      </w:r>
      <w:r>
        <w:rPr>
          <w:spacing w:val="-5"/>
        </w:rPr>
        <w:t xml:space="preserve"> </w:t>
      </w:r>
      <w:r>
        <w:t>the</w:t>
      </w:r>
      <w:r>
        <w:rPr>
          <w:spacing w:val="-4"/>
        </w:rPr>
        <w:t xml:space="preserve"> </w:t>
      </w:r>
      <w:r>
        <w:t>original</w:t>
      </w:r>
      <w:r>
        <w:rPr>
          <w:spacing w:val="-1"/>
        </w:rPr>
        <w:t xml:space="preserve"> </w:t>
      </w:r>
      <w:r>
        <w:t>ED(s),</w:t>
      </w:r>
      <w:r>
        <w:rPr>
          <w:spacing w:val="-5"/>
        </w:rPr>
        <w:t xml:space="preserve"> </w:t>
      </w:r>
      <w:r>
        <w:t>those</w:t>
      </w:r>
      <w:r>
        <w:rPr>
          <w:spacing w:val="-2"/>
        </w:rPr>
        <w:t xml:space="preserve"> </w:t>
      </w:r>
      <w:r>
        <w:t>reasons</w:t>
      </w:r>
      <w:r>
        <w:rPr>
          <w:spacing w:val="-2"/>
        </w:rPr>
        <w:t xml:space="preserve"> </w:t>
      </w:r>
      <w:r>
        <w:t>are</w:t>
      </w:r>
      <w:r>
        <w:rPr>
          <w:spacing w:val="-2"/>
        </w:rPr>
        <w:t xml:space="preserve"> </w:t>
      </w:r>
      <w:r>
        <w:t>described</w:t>
      </w:r>
      <w:r>
        <w:rPr>
          <w:spacing w:val="-2"/>
        </w:rPr>
        <w:t xml:space="preserve"> </w:t>
      </w:r>
      <w:r>
        <w:t>in</w:t>
      </w:r>
      <w:r>
        <w:rPr>
          <w:spacing w:val="-5"/>
        </w:rPr>
        <w:t xml:space="preserve"> </w:t>
      </w:r>
      <w:r>
        <w:t>the Basis for Conclusions</w:t>
      </w:r>
      <w:r>
        <w:rPr>
          <w:vertAlign w:val="superscript"/>
        </w:rPr>
        <w:t>54</w:t>
      </w:r>
      <w:r>
        <w:t>.</w:t>
      </w:r>
    </w:p>
    <w:p w14:paraId="1E805BE7" w14:textId="77777777" w:rsidR="00AA4A02" w:rsidRDefault="00960F31">
      <w:pPr>
        <w:pStyle w:val="ListParagraph"/>
        <w:numPr>
          <w:ilvl w:val="0"/>
          <w:numId w:val="29"/>
        </w:numPr>
        <w:tabs>
          <w:tab w:val="left" w:pos="851"/>
        </w:tabs>
        <w:spacing w:before="198" w:line="208" w:lineRule="auto"/>
        <w:ind w:right="167"/>
      </w:pPr>
      <w:r>
        <w:t>Where the AUASB</w:t>
      </w:r>
      <w:r>
        <w:rPr>
          <w:spacing w:val="-2"/>
        </w:rPr>
        <w:t xml:space="preserve"> </w:t>
      </w:r>
      <w:r>
        <w:t>is satisfied changes to previously exposed</w:t>
      </w:r>
      <w:r>
        <w:rPr>
          <w:spacing w:val="-3"/>
        </w:rPr>
        <w:t xml:space="preserve"> </w:t>
      </w:r>
      <w:r>
        <w:t>proposals are not substantial,</w:t>
      </w:r>
      <w:r>
        <w:rPr>
          <w:spacing w:val="-3"/>
        </w:rPr>
        <w:t xml:space="preserve"> </w:t>
      </w:r>
      <w:r>
        <w:t>or where</w:t>
      </w:r>
      <w:r>
        <w:rPr>
          <w:spacing w:val="-3"/>
        </w:rPr>
        <w:t xml:space="preserve"> </w:t>
      </w:r>
      <w:r>
        <w:t>it</w:t>
      </w:r>
      <w:r>
        <w:rPr>
          <w:spacing w:val="-3"/>
        </w:rPr>
        <w:t xml:space="preserve"> </w:t>
      </w:r>
      <w:r>
        <w:t>is</w:t>
      </w:r>
      <w:r>
        <w:rPr>
          <w:spacing w:val="-1"/>
        </w:rPr>
        <w:t xml:space="preserve"> </w:t>
      </w:r>
      <w:r>
        <w:t>unlikely</w:t>
      </w:r>
      <w:r>
        <w:rPr>
          <w:spacing w:val="-1"/>
        </w:rPr>
        <w:t xml:space="preserve"> </w:t>
      </w:r>
      <w:r>
        <w:t>that</w:t>
      </w:r>
      <w:r>
        <w:rPr>
          <w:spacing w:val="-3"/>
        </w:rPr>
        <w:t xml:space="preserve"> </w:t>
      </w:r>
      <w:r>
        <w:t>re-exposure</w:t>
      </w:r>
      <w:r>
        <w:rPr>
          <w:spacing w:val="-1"/>
        </w:rPr>
        <w:t xml:space="preserve"> </w:t>
      </w:r>
      <w:r>
        <w:t>will result</w:t>
      </w:r>
      <w:r>
        <w:rPr>
          <w:spacing w:val="-3"/>
        </w:rPr>
        <w:t xml:space="preserve"> </w:t>
      </w:r>
      <w:r>
        <w:t>in</w:t>
      </w:r>
      <w:r>
        <w:rPr>
          <w:spacing w:val="-1"/>
        </w:rPr>
        <w:t xml:space="preserve"> </w:t>
      </w:r>
      <w:r>
        <w:t>new</w:t>
      </w:r>
      <w:r>
        <w:rPr>
          <w:spacing w:val="-4"/>
        </w:rPr>
        <w:t xml:space="preserve"> </w:t>
      </w:r>
      <w:r>
        <w:t>information</w:t>
      </w:r>
      <w:r>
        <w:rPr>
          <w:spacing w:val="-1"/>
        </w:rPr>
        <w:t xml:space="preserve"> </w:t>
      </w:r>
      <w:r>
        <w:t>or</w:t>
      </w:r>
      <w:r>
        <w:rPr>
          <w:spacing w:val="-1"/>
        </w:rPr>
        <w:t xml:space="preserve"> </w:t>
      </w:r>
      <w:r>
        <w:t>reveal any</w:t>
      </w:r>
      <w:r>
        <w:rPr>
          <w:spacing w:val="-1"/>
        </w:rPr>
        <w:t xml:space="preserve"> </w:t>
      </w:r>
      <w:r>
        <w:t>new</w:t>
      </w:r>
      <w:r>
        <w:rPr>
          <w:spacing w:val="-1"/>
        </w:rPr>
        <w:t xml:space="preserve"> </w:t>
      </w:r>
      <w:r>
        <w:t>concerns that have not been aired already through comment letters or subsequent outreach and consultation</w:t>
      </w:r>
      <w:r>
        <w:rPr>
          <w:spacing w:val="-1"/>
        </w:rPr>
        <w:t xml:space="preserve"> </w:t>
      </w:r>
      <w:r>
        <w:t>activities,</w:t>
      </w:r>
      <w:r>
        <w:rPr>
          <w:spacing w:val="-4"/>
        </w:rPr>
        <w:t xml:space="preserve"> </w:t>
      </w:r>
      <w:r>
        <w:t>the</w:t>
      </w:r>
      <w:r>
        <w:rPr>
          <w:spacing w:val="-3"/>
        </w:rPr>
        <w:t xml:space="preserve"> </w:t>
      </w:r>
      <w:r>
        <w:t>AUASB</w:t>
      </w:r>
      <w:r>
        <w:rPr>
          <w:spacing w:val="-2"/>
        </w:rPr>
        <w:t xml:space="preserve"> </w:t>
      </w:r>
      <w:r>
        <w:t>proceeds</w:t>
      </w:r>
      <w:r>
        <w:rPr>
          <w:spacing w:val="-1"/>
        </w:rPr>
        <w:t xml:space="preserve"> </w:t>
      </w:r>
      <w:r>
        <w:t>to</w:t>
      </w:r>
      <w:r>
        <w:rPr>
          <w:spacing w:val="-4"/>
        </w:rPr>
        <w:t xml:space="preserve"> </w:t>
      </w:r>
      <w:r>
        <w:t>vote</w:t>
      </w:r>
      <w:r>
        <w:rPr>
          <w:spacing w:val="-1"/>
        </w:rPr>
        <w:t xml:space="preserve"> </w:t>
      </w:r>
      <w:r>
        <w:t>on</w:t>
      </w:r>
      <w:r>
        <w:rPr>
          <w:spacing w:val="-1"/>
        </w:rPr>
        <w:t xml:space="preserve"> </w:t>
      </w:r>
      <w:r>
        <w:t>the</w:t>
      </w:r>
      <w:r>
        <w:rPr>
          <w:spacing w:val="-3"/>
        </w:rPr>
        <w:t xml:space="preserve"> </w:t>
      </w:r>
      <w:r>
        <w:t>approval of</w:t>
      </w:r>
      <w:r>
        <w:rPr>
          <w:spacing w:val="-3"/>
        </w:rPr>
        <w:t xml:space="preserve"> </w:t>
      </w:r>
      <w:r>
        <w:t>the</w:t>
      </w:r>
      <w:r>
        <w:rPr>
          <w:spacing w:val="-3"/>
        </w:rPr>
        <w:t xml:space="preserve"> </w:t>
      </w:r>
      <w:r>
        <w:t>final</w:t>
      </w:r>
      <w:r>
        <w:rPr>
          <w:spacing w:val="-2"/>
        </w:rPr>
        <w:t xml:space="preserve"> </w:t>
      </w:r>
      <w:r>
        <w:t>standard</w:t>
      </w:r>
      <w:r>
        <w:rPr>
          <w:spacing w:val="-4"/>
        </w:rPr>
        <w:t xml:space="preserve"> </w:t>
      </w:r>
      <w:r>
        <w:t>to</w:t>
      </w:r>
      <w:r>
        <w:rPr>
          <w:spacing w:val="-1"/>
        </w:rPr>
        <w:t xml:space="preserve"> </w:t>
      </w:r>
      <w:r>
        <w:t>be issued (see paragraphs 212-237).</w:t>
      </w:r>
    </w:p>
    <w:p w14:paraId="1E805BE8" w14:textId="77777777" w:rsidR="00AA4A02" w:rsidRDefault="00960F31">
      <w:pPr>
        <w:spacing w:before="174"/>
        <w:ind w:left="143"/>
        <w:rPr>
          <w:b/>
          <w:i/>
        </w:rPr>
      </w:pPr>
      <w:bookmarkStart w:id="71" w:name="If_Applicable:__Process_for_re-exposure_"/>
      <w:bookmarkEnd w:id="71"/>
      <w:r>
        <w:rPr>
          <w:b/>
          <w:i/>
        </w:rPr>
        <w:t>If</w:t>
      </w:r>
      <w:r>
        <w:rPr>
          <w:b/>
          <w:i/>
          <w:spacing w:val="-5"/>
        </w:rPr>
        <w:t xml:space="preserve"> </w:t>
      </w:r>
      <w:r>
        <w:rPr>
          <w:b/>
          <w:i/>
        </w:rPr>
        <w:t>Applicable:</w:t>
      </w:r>
      <w:r>
        <w:rPr>
          <w:b/>
          <w:i/>
          <w:spacing w:val="50"/>
        </w:rPr>
        <w:t xml:space="preserve"> </w:t>
      </w:r>
      <w:r>
        <w:rPr>
          <w:b/>
          <w:i/>
        </w:rPr>
        <w:t>Process</w:t>
      </w:r>
      <w:r>
        <w:rPr>
          <w:b/>
          <w:i/>
          <w:spacing w:val="-5"/>
        </w:rPr>
        <w:t xml:space="preserve"> </w:t>
      </w:r>
      <w:r>
        <w:rPr>
          <w:b/>
          <w:i/>
        </w:rPr>
        <w:t>for</w:t>
      </w:r>
      <w:r>
        <w:rPr>
          <w:b/>
          <w:i/>
          <w:spacing w:val="-3"/>
        </w:rPr>
        <w:t xml:space="preserve"> </w:t>
      </w:r>
      <w:r>
        <w:rPr>
          <w:b/>
          <w:i/>
        </w:rPr>
        <w:t>re-exposure</w:t>
      </w:r>
      <w:r>
        <w:rPr>
          <w:b/>
          <w:i/>
          <w:spacing w:val="-3"/>
        </w:rPr>
        <w:t xml:space="preserve"> </w:t>
      </w:r>
      <w:r>
        <w:rPr>
          <w:b/>
          <w:i/>
        </w:rPr>
        <w:t>of</w:t>
      </w:r>
      <w:r>
        <w:rPr>
          <w:b/>
          <w:i/>
          <w:spacing w:val="-2"/>
        </w:rPr>
        <w:t xml:space="preserve"> </w:t>
      </w:r>
      <w:r>
        <w:rPr>
          <w:b/>
          <w:i/>
        </w:rPr>
        <w:t>previously</w:t>
      </w:r>
      <w:r>
        <w:rPr>
          <w:b/>
          <w:i/>
          <w:spacing w:val="-2"/>
        </w:rPr>
        <w:t xml:space="preserve"> </w:t>
      </w:r>
      <w:r>
        <w:rPr>
          <w:b/>
          <w:i/>
        </w:rPr>
        <w:t>exposed</w:t>
      </w:r>
      <w:r>
        <w:rPr>
          <w:b/>
          <w:i/>
          <w:spacing w:val="-5"/>
        </w:rPr>
        <w:t xml:space="preserve"> </w:t>
      </w:r>
      <w:r>
        <w:rPr>
          <w:b/>
          <w:i/>
          <w:spacing w:val="-2"/>
        </w:rPr>
        <w:t>proposals</w:t>
      </w:r>
    </w:p>
    <w:p w14:paraId="1E805BE9" w14:textId="77777777" w:rsidR="00AA4A02" w:rsidRDefault="00960F31">
      <w:pPr>
        <w:pStyle w:val="ListParagraph"/>
        <w:numPr>
          <w:ilvl w:val="0"/>
          <w:numId w:val="29"/>
        </w:numPr>
        <w:tabs>
          <w:tab w:val="left" w:pos="851"/>
        </w:tabs>
        <w:spacing w:before="193" w:line="208" w:lineRule="auto"/>
        <w:ind w:right="813"/>
      </w:pPr>
      <w:r>
        <w:t>Re-exposed</w:t>
      </w:r>
      <w:r>
        <w:rPr>
          <w:spacing w:val="-2"/>
        </w:rPr>
        <w:t xml:space="preserve"> </w:t>
      </w:r>
      <w:r>
        <w:t>EDs</w:t>
      </w:r>
      <w:r>
        <w:rPr>
          <w:spacing w:val="-4"/>
        </w:rPr>
        <w:t xml:space="preserve"> </w:t>
      </w:r>
      <w:r>
        <w:t>are</w:t>
      </w:r>
      <w:r>
        <w:rPr>
          <w:spacing w:val="-1"/>
        </w:rPr>
        <w:t xml:space="preserve"> </w:t>
      </w:r>
      <w:r>
        <w:t>subject</w:t>
      </w:r>
      <w:r>
        <w:rPr>
          <w:spacing w:val="-1"/>
        </w:rPr>
        <w:t xml:space="preserve"> </w:t>
      </w:r>
      <w:r>
        <w:t>to</w:t>
      </w:r>
      <w:r>
        <w:rPr>
          <w:spacing w:val="-5"/>
        </w:rPr>
        <w:t xml:space="preserve"> </w:t>
      </w:r>
      <w:r>
        <w:t>the</w:t>
      </w:r>
      <w:r>
        <w:rPr>
          <w:spacing w:val="-4"/>
        </w:rPr>
        <w:t xml:space="preserve"> </w:t>
      </w:r>
      <w:r>
        <w:t>same</w:t>
      </w:r>
      <w:r>
        <w:rPr>
          <w:spacing w:val="-2"/>
        </w:rPr>
        <w:t xml:space="preserve"> </w:t>
      </w:r>
      <w:r>
        <w:t>general</w:t>
      </w:r>
      <w:r>
        <w:rPr>
          <w:spacing w:val="-3"/>
        </w:rPr>
        <w:t xml:space="preserve"> </w:t>
      </w:r>
      <w:r>
        <w:t>principles</w:t>
      </w:r>
      <w:r>
        <w:rPr>
          <w:spacing w:val="-4"/>
        </w:rPr>
        <w:t xml:space="preserve"> </w:t>
      </w:r>
      <w:r>
        <w:t>regarding</w:t>
      </w:r>
      <w:r>
        <w:rPr>
          <w:spacing w:val="-5"/>
        </w:rPr>
        <w:t xml:space="preserve"> </w:t>
      </w:r>
      <w:r>
        <w:t>comment</w:t>
      </w:r>
      <w:r>
        <w:rPr>
          <w:spacing w:val="-1"/>
        </w:rPr>
        <w:t xml:space="preserve"> </w:t>
      </w:r>
      <w:r>
        <w:t>periods, submission processes and voting requirements as applicable to ordinary EDs:</w:t>
      </w:r>
    </w:p>
    <w:p w14:paraId="1E805BEA" w14:textId="77777777" w:rsidR="00AA4A02" w:rsidRDefault="00960F31">
      <w:pPr>
        <w:pStyle w:val="ListParagraph"/>
        <w:numPr>
          <w:ilvl w:val="1"/>
          <w:numId w:val="29"/>
        </w:numPr>
        <w:tabs>
          <w:tab w:val="left" w:pos="1562"/>
        </w:tabs>
        <w:spacing w:line="208" w:lineRule="auto"/>
        <w:ind w:right="261"/>
      </w:pPr>
      <w:r>
        <w:t>Where the IAASB decides to re-expose material, the AUASB concurrently issues, without modification, the IAASB re-exposed draft, together with the accompanying IAASB Explanatory Memorandum, in Australia for further comment. The IAASB’s Explanatory Memorandum includes information to explain the changes made as a result of the earlier exposure (as well as the rationale behind changes), and/or the reasons</w:t>
      </w:r>
      <w:r>
        <w:rPr>
          <w:spacing w:val="-5"/>
        </w:rPr>
        <w:t xml:space="preserve"> </w:t>
      </w:r>
      <w:r>
        <w:t>for</w:t>
      </w:r>
      <w:r>
        <w:rPr>
          <w:spacing w:val="-5"/>
        </w:rPr>
        <w:t xml:space="preserve"> </w:t>
      </w:r>
      <w:r>
        <w:t>re-exposure.</w:t>
      </w:r>
      <w:r>
        <w:rPr>
          <w:spacing w:val="40"/>
        </w:rPr>
        <w:t xml:space="preserve"> </w:t>
      </w:r>
      <w:r>
        <w:t>Australian-specific</w:t>
      </w:r>
      <w:r>
        <w:rPr>
          <w:spacing w:val="-3"/>
        </w:rPr>
        <w:t xml:space="preserve"> </w:t>
      </w:r>
      <w:r>
        <w:t>commentary</w:t>
      </w:r>
      <w:r>
        <w:rPr>
          <w:spacing w:val="-2"/>
        </w:rPr>
        <w:t xml:space="preserve"> </w:t>
      </w:r>
      <w:r>
        <w:t>and</w:t>
      </w:r>
      <w:r>
        <w:rPr>
          <w:spacing w:val="-3"/>
        </w:rPr>
        <w:t xml:space="preserve"> </w:t>
      </w:r>
      <w:r>
        <w:t>questions,</w:t>
      </w:r>
      <w:r>
        <w:rPr>
          <w:spacing w:val="-5"/>
        </w:rPr>
        <w:t xml:space="preserve"> </w:t>
      </w:r>
      <w:r>
        <w:t>if</w:t>
      </w:r>
      <w:r>
        <w:rPr>
          <w:spacing w:val="-3"/>
        </w:rPr>
        <w:t xml:space="preserve"> </w:t>
      </w:r>
      <w:r>
        <w:t>necessary, are included in an AUASB wrap-around CP.</w:t>
      </w:r>
    </w:p>
    <w:p w14:paraId="1E805BEB" w14:textId="77777777" w:rsidR="00AA4A02" w:rsidRDefault="00960F31">
      <w:pPr>
        <w:pStyle w:val="ListParagraph"/>
        <w:numPr>
          <w:ilvl w:val="1"/>
          <w:numId w:val="29"/>
        </w:numPr>
        <w:tabs>
          <w:tab w:val="left" w:pos="1562"/>
        </w:tabs>
        <w:spacing w:before="199" w:line="208" w:lineRule="auto"/>
        <w:ind w:right="195"/>
      </w:pPr>
      <w:r>
        <w:t>Where</w:t>
      </w:r>
      <w:r>
        <w:rPr>
          <w:spacing w:val="-3"/>
        </w:rPr>
        <w:t xml:space="preserve"> </w:t>
      </w:r>
      <w:r>
        <w:t>the</w:t>
      </w:r>
      <w:r>
        <w:rPr>
          <w:spacing w:val="-3"/>
        </w:rPr>
        <w:t xml:space="preserve"> </w:t>
      </w:r>
      <w:r>
        <w:t>IAASB</w:t>
      </w:r>
      <w:r>
        <w:rPr>
          <w:spacing w:val="-4"/>
        </w:rPr>
        <w:t xml:space="preserve"> </w:t>
      </w:r>
      <w:r>
        <w:t>decides</w:t>
      </w:r>
      <w:r>
        <w:rPr>
          <w:spacing w:val="-4"/>
        </w:rPr>
        <w:t xml:space="preserve"> </w:t>
      </w:r>
      <w:r>
        <w:t>not</w:t>
      </w:r>
      <w:r>
        <w:rPr>
          <w:spacing w:val="-2"/>
        </w:rPr>
        <w:t xml:space="preserve"> </w:t>
      </w:r>
      <w:r>
        <w:t>to</w:t>
      </w:r>
      <w:r>
        <w:rPr>
          <w:spacing w:val="-3"/>
        </w:rPr>
        <w:t xml:space="preserve"> </w:t>
      </w:r>
      <w:r>
        <w:t>issue</w:t>
      </w:r>
      <w:r>
        <w:rPr>
          <w:spacing w:val="-4"/>
        </w:rPr>
        <w:t xml:space="preserve"> </w:t>
      </w:r>
      <w:r>
        <w:t>a</w:t>
      </w:r>
      <w:r>
        <w:rPr>
          <w:spacing w:val="-3"/>
        </w:rPr>
        <w:t xml:space="preserve"> </w:t>
      </w:r>
      <w:r>
        <w:t>re-exposure</w:t>
      </w:r>
      <w:r>
        <w:rPr>
          <w:spacing w:val="-3"/>
        </w:rPr>
        <w:t xml:space="preserve"> </w:t>
      </w:r>
      <w:r>
        <w:t>draft</w:t>
      </w:r>
      <w:r>
        <w:rPr>
          <w:spacing w:val="-2"/>
        </w:rPr>
        <w:t xml:space="preserve"> </w:t>
      </w:r>
      <w:r>
        <w:t>but</w:t>
      </w:r>
      <w:r>
        <w:rPr>
          <w:spacing w:val="-2"/>
        </w:rPr>
        <w:t xml:space="preserve"> </w:t>
      </w:r>
      <w:r>
        <w:t>the</w:t>
      </w:r>
      <w:r>
        <w:rPr>
          <w:spacing w:val="-3"/>
        </w:rPr>
        <w:t xml:space="preserve"> </w:t>
      </w:r>
      <w:r>
        <w:t>AUASB</w:t>
      </w:r>
      <w:r>
        <w:rPr>
          <w:spacing w:val="-4"/>
        </w:rPr>
        <w:t xml:space="preserve"> </w:t>
      </w:r>
      <w:r>
        <w:t>determines that re-exposure of the international standard, or parts thereof, is warranted in Australia, or where the AUASB decides that re-exposure of previously exposed proposed compelling reasons modifications</w:t>
      </w:r>
      <w:r>
        <w:rPr>
          <w:spacing w:val="-2"/>
        </w:rPr>
        <w:t xml:space="preserve"> </w:t>
      </w:r>
      <w:r>
        <w:t>(AUASB</w:t>
      </w:r>
      <w:r>
        <w:rPr>
          <w:spacing w:val="-2"/>
        </w:rPr>
        <w:t xml:space="preserve"> </w:t>
      </w:r>
      <w:r>
        <w:t>ED) is</w:t>
      </w:r>
      <w:r>
        <w:rPr>
          <w:spacing w:val="-2"/>
        </w:rPr>
        <w:t xml:space="preserve"> </w:t>
      </w:r>
      <w:r>
        <w:t>appropriate,</w:t>
      </w:r>
      <w:r>
        <w:rPr>
          <w:spacing w:val="-3"/>
        </w:rPr>
        <w:t xml:space="preserve"> </w:t>
      </w:r>
      <w:r>
        <w:t>the AUASB issues an AUASB re-exposure draft for further targeted comment.</w:t>
      </w:r>
    </w:p>
    <w:p w14:paraId="1E805BEC" w14:textId="77777777" w:rsidR="00AA4A02" w:rsidRDefault="00960F31">
      <w:pPr>
        <w:pStyle w:val="BodyText"/>
        <w:spacing w:before="199" w:line="208" w:lineRule="auto"/>
        <w:ind w:left="1562"/>
      </w:pPr>
      <w:r>
        <w:t>The Australian ED will be</w:t>
      </w:r>
      <w:r>
        <w:rPr>
          <w:spacing w:val="-1"/>
        </w:rPr>
        <w:t xml:space="preserve"> </w:t>
      </w:r>
      <w:r>
        <w:t>accompanied</w:t>
      </w:r>
      <w:r>
        <w:rPr>
          <w:spacing w:val="-1"/>
        </w:rPr>
        <w:t xml:space="preserve"> </w:t>
      </w:r>
      <w:r>
        <w:t>by an Explanatory Memorandum</w:t>
      </w:r>
      <w:r>
        <w:rPr>
          <w:spacing w:val="-1"/>
        </w:rPr>
        <w:t xml:space="preserve"> </w:t>
      </w:r>
      <w:r>
        <w:t>to outline changes</w:t>
      </w:r>
      <w:r>
        <w:rPr>
          <w:spacing w:val="-4"/>
        </w:rPr>
        <w:t xml:space="preserve"> </w:t>
      </w:r>
      <w:r>
        <w:t>(as</w:t>
      </w:r>
      <w:r>
        <w:rPr>
          <w:spacing w:val="-3"/>
        </w:rPr>
        <w:t xml:space="preserve"> </w:t>
      </w:r>
      <w:r>
        <w:t>well</w:t>
      </w:r>
      <w:r>
        <w:rPr>
          <w:spacing w:val="-4"/>
        </w:rPr>
        <w:t xml:space="preserve"> </w:t>
      </w:r>
      <w:r>
        <w:t>as</w:t>
      </w:r>
      <w:r>
        <w:rPr>
          <w:spacing w:val="-3"/>
        </w:rPr>
        <w:t xml:space="preserve"> </w:t>
      </w:r>
      <w:r>
        <w:t>the</w:t>
      </w:r>
      <w:r>
        <w:rPr>
          <w:spacing w:val="-5"/>
        </w:rPr>
        <w:t xml:space="preserve"> </w:t>
      </w:r>
      <w:r>
        <w:t>rationale</w:t>
      </w:r>
      <w:r>
        <w:rPr>
          <w:spacing w:val="-4"/>
        </w:rPr>
        <w:t xml:space="preserve"> </w:t>
      </w:r>
      <w:r>
        <w:t>behind</w:t>
      </w:r>
      <w:r>
        <w:rPr>
          <w:spacing w:val="-3"/>
        </w:rPr>
        <w:t xml:space="preserve"> </w:t>
      </w:r>
      <w:r>
        <w:t>changes)</w:t>
      </w:r>
      <w:r>
        <w:rPr>
          <w:spacing w:val="-2"/>
        </w:rPr>
        <w:t xml:space="preserve"> </w:t>
      </w:r>
      <w:r>
        <w:t>and/or</w:t>
      </w:r>
      <w:r>
        <w:rPr>
          <w:spacing w:val="-2"/>
        </w:rPr>
        <w:t xml:space="preserve"> </w:t>
      </w:r>
      <w:r>
        <w:t>the</w:t>
      </w:r>
      <w:r>
        <w:rPr>
          <w:spacing w:val="-2"/>
        </w:rPr>
        <w:t xml:space="preserve"> </w:t>
      </w:r>
      <w:r>
        <w:t>reasons</w:t>
      </w:r>
      <w:r>
        <w:rPr>
          <w:spacing w:val="-2"/>
        </w:rPr>
        <w:t xml:space="preserve"> </w:t>
      </w:r>
      <w:r>
        <w:t>for</w:t>
      </w:r>
      <w:r>
        <w:rPr>
          <w:spacing w:val="-4"/>
        </w:rPr>
        <w:t xml:space="preserve"> </w:t>
      </w:r>
      <w:r>
        <w:t>re-</w:t>
      </w:r>
      <w:r>
        <w:rPr>
          <w:spacing w:val="-2"/>
        </w:rPr>
        <w:t>exposure.</w:t>
      </w:r>
    </w:p>
    <w:p w14:paraId="1E805BED" w14:textId="77777777" w:rsidR="00AA4A02" w:rsidRDefault="00960F31">
      <w:pPr>
        <w:pStyle w:val="BodyText"/>
        <w:spacing w:before="1"/>
        <w:rPr>
          <w:sz w:val="11"/>
        </w:rPr>
      </w:pPr>
      <w:r>
        <w:rPr>
          <w:noProof/>
          <w:sz w:val="11"/>
        </w:rPr>
        <mc:AlternateContent>
          <mc:Choice Requires="wps">
            <w:drawing>
              <wp:anchor distT="0" distB="0" distL="0" distR="0" simplePos="0" relativeHeight="487610368" behindDoc="1" locked="0" layoutInCell="1" allowOverlap="1" wp14:anchorId="1E805F6B" wp14:editId="1E805F6C">
                <wp:simplePos x="0" y="0"/>
                <wp:positionH relativeFrom="page">
                  <wp:posOffset>900988</wp:posOffset>
                </wp:positionH>
                <wp:positionV relativeFrom="paragraph">
                  <wp:posOffset>96208</wp:posOffset>
                </wp:positionV>
                <wp:extent cx="1829435" cy="762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07629" id="Graphic 73" o:spid="_x0000_s1026" style="position:absolute;margin-left:70.95pt;margin-top:7.6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5RZcV4AAAAAkBAAAPAAAAAAAAAAAAAAAAAH0EAABkcnMvZG93&#10;bnJldi54bWxQSwUGAAAAAAQABADzAAAAigUAAAAA&#10;" path="m1829053,l,,,7619r1829053,l1829053,xe" fillcolor="black" stroked="f">
                <v:path arrowok="t"/>
                <w10:wrap type="topAndBottom" anchorx="page"/>
              </v:shape>
            </w:pict>
          </mc:Fallback>
        </mc:AlternateContent>
      </w:r>
    </w:p>
    <w:p w14:paraId="1E805BEE" w14:textId="77777777" w:rsidR="00AA4A02" w:rsidRDefault="00960F31">
      <w:pPr>
        <w:spacing w:before="93" w:line="208" w:lineRule="auto"/>
        <w:ind w:left="427" w:hanging="284"/>
        <w:rPr>
          <w:sz w:val="16"/>
        </w:rPr>
      </w:pPr>
      <w:r>
        <w:rPr>
          <w:sz w:val="16"/>
          <w:vertAlign w:val="superscript"/>
        </w:rPr>
        <w:t>52</w:t>
      </w:r>
      <w:r>
        <w:rPr>
          <w:spacing w:val="80"/>
          <w:w w:val="150"/>
          <w:sz w:val="16"/>
        </w:rPr>
        <w:t xml:space="preserve"> </w:t>
      </w:r>
      <w:r>
        <w:rPr>
          <w:sz w:val="16"/>
        </w:rPr>
        <w:t>The</w:t>
      </w:r>
      <w:r>
        <w:rPr>
          <w:spacing w:val="-3"/>
          <w:sz w:val="16"/>
        </w:rPr>
        <w:t xml:space="preserve"> </w:t>
      </w:r>
      <w:r>
        <w:rPr>
          <w:sz w:val="16"/>
        </w:rPr>
        <w:t>AUASB</w:t>
      </w:r>
      <w:r>
        <w:rPr>
          <w:spacing w:val="-2"/>
          <w:sz w:val="16"/>
        </w:rPr>
        <w:t xml:space="preserve"> </w:t>
      </w:r>
      <w:r>
        <w:rPr>
          <w:sz w:val="16"/>
        </w:rPr>
        <w:t>has</w:t>
      </w:r>
      <w:r>
        <w:rPr>
          <w:spacing w:val="-3"/>
          <w:sz w:val="16"/>
        </w:rPr>
        <w:t xml:space="preserve"> </w:t>
      </w:r>
      <w:r>
        <w:rPr>
          <w:sz w:val="16"/>
        </w:rPr>
        <w:t>more</w:t>
      </w:r>
      <w:r>
        <w:rPr>
          <w:spacing w:val="-3"/>
          <w:sz w:val="16"/>
        </w:rPr>
        <w:t xml:space="preserve"> </w:t>
      </w:r>
      <w:r>
        <w:rPr>
          <w:sz w:val="16"/>
        </w:rPr>
        <w:t>freedom</w:t>
      </w:r>
      <w:r>
        <w:rPr>
          <w:spacing w:val="-3"/>
          <w:sz w:val="16"/>
        </w:rPr>
        <w:t xml:space="preserve"> </w:t>
      </w:r>
      <w:r>
        <w:rPr>
          <w:sz w:val="16"/>
        </w:rPr>
        <w:t>to</w:t>
      </w:r>
      <w:r>
        <w:rPr>
          <w:spacing w:val="-2"/>
          <w:sz w:val="16"/>
        </w:rPr>
        <w:t xml:space="preserve"> </w:t>
      </w:r>
      <w:r>
        <w:rPr>
          <w:sz w:val="16"/>
        </w:rPr>
        <w:t>accommodate</w:t>
      </w:r>
      <w:r>
        <w:rPr>
          <w:spacing w:val="-1"/>
          <w:sz w:val="16"/>
        </w:rPr>
        <w:t xml:space="preserve"> </w:t>
      </w:r>
      <w:r>
        <w:rPr>
          <w:sz w:val="16"/>
        </w:rPr>
        <w:t>stakeholder</w:t>
      </w:r>
      <w:r>
        <w:rPr>
          <w:spacing w:val="-4"/>
          <w:sz w:val="16"/>
        </w:rPr>
        <w:t xml:space="preserve"> </w:t>
      </w:r>
      <w:r>
        <w:rPr>
          <w:sz w:val="16"/>
        </w:rPr>
        <w:t>perspectives</w:t>
      </w:r>
      <w:r>
        <w:rPr>
          <w:spacing w:val="-3"/>
          <w:sz w:val="16"/>
        </w:rPr>
        <w:t xml:space="preserve"> </w:t>
      </w:r>
      <w:r>
        <w:rPr>
          <w:sz w:val="16"/>
        </w:rPr>
        <w:t>in</w:t>
      </w:r>
      <w:r>
        <w:rPr>
          <w:spacing w:val="-2"/>
          <w:sz w:val="16"/>
        </w:rPr>
        <w:t xml:space="preserve"> </w:t>
      </w:r>
      <w:r>
        <w:rPr>
          <w:sz w:val="16"/>
        </w:rPr>
        <w:t>a</w:t>
      </w:r>
      <w:r>
        <w:rPr>
          <w:spacing w:val="-1"/>
          <w:sz w:val="16"/>
        </w:rPr>
        <w:t xml:space="preserve"> </w:t>
      </w:r>
      <w:r>
        <w:rPr>
          <w:sz w:val="16"/>
        </w:rPr>
        <w:t>second</w:t>
      </w:r>
      <w:r>
        <w:rPr>
          <w:spacing w:val="-2"/>
          <w:sz w:val="16"/>
        </w:rPr>
        <w:t xml:space="preserve"> </w:t>
      </w:r>
      <w:r>
        <w:rPr>
          <w:sz w:val="16"/>
        </w:rPr>
        <w:t>exposure</w:t>
      </w:r>
      <w:r>
        <w:rPr>
          <w:spacing w:val="-1"/>
          <w:sz w:val="16"/>
        </w:rPr>
        <w:t xml:space="preserve"> </w:t>
      </w:r>
      <w:r>
        <w:rPr>
          <w:sz w:val="16"/>
        </w:rPr>
        <w:t>round</w:t>
      </w:r>
      <w:r>
        <w:rPr>
          <w:spacing w:val="-2"/>
          <w:sz w:val="16"/>
        </w:rPr>
        <w:t xml:space="preserve"> </w:t>
      </w:r>
      <w:r>
        <w:rPr>
          <w:sz w:val="16"/>
        </w:rPr>
        <w:t>for</w:t>
      </w:r>
      <w:r>
        <w:rPr>
          <w:spacing w:val="-2"/>
          <w:sz w:val="16"/>
        </w:rPr>
        <w:t xml:space="preserve"> </w:t>
      </w:r>
      <w:r>
        <w:rPr>
          <w:sz w:val="16"/>
        </w:rPr>
        <w:t>Process</w:t>
      </w:r>
      <w:r>
        <w:rPr>
          <w:spacing w:val="-3"/>
          <w:sz w:val="16"/>
        </w:rPr>
        <w:t xml:space="preserve"> </w:t>
      </w:r>
      <w:r>
        <w:rPr>
          <w:sz w:val="16"/>
        </w:rPr>
        <w:t>2</w:t>
      </w:r>
      <w:r>
        <w:rPr>
          <w:spacing w:val="-1"/>
          <w:sz w:val="16"/>
        </w:rPr>
        <w:t xml:space="preserve"> </w:t>
      </w:r>
      <w:r>
        <w:rPr>
          <w:sz w:val="16"/>
        </w:rPr>
        <w:t>(domestic</w:t>
      </w:r>
      <w:r>
        <w:rPr>
          <w:spacing w:val="-1"/>
          <w:sz w:val="16"/>
        </w:rPr>
        <w:t xml:space="preserve"> </w:t>
      </w:r>
      <w:r>
        <w:rPr>
          <w:sz w:val="16"/>
        </w:rPr>
        <w:t>AUASB</w:t>
      </w:r>
      <w:r>
        <w:rPr>
          <w:spacing w:val="40"/>
          <w:sz w:val="16"/>
        </w:rPr>
        <w:t xml:space="preserve"> </w:t>
      </w:r>
      <w:r>
        <w:rPr>
          <w:sz w:val="16"/>
        </w:rPr>
        <w:t>Standards), as there is no international standard to conform to.</w:t>
      </w:r>
    </w:p>
    <w:p w14:paraId="1E805BEF" w14:textId="77777777" w:rsidR="00AA4A02" w:rsidRDefault="00960F31">
      <w:pPr>
        <w:spacing w:before="3" w:line="206" w:lineRule="auto"/>
        <w:ind w:left="427" w:hanging="284"/>
        <w:rPr>
          <w:sz w:val="16"/>
        </w:rPr>
      </w:pPr>
      <w:r>
        <w:rPr>
          <w:sz w:val="16"/>
          <w:vertAlign w:val="superscript"/>
        </w:rPr>
        <w:t>53</w:t>
      </w:r>
      <w:r>
        <w:rPr>
          <w:spacing w:val="80"/>
          <w:w w:val="150"/>
          <w:sz w:val="16"/>
        </w:rPr>
        <w:t xml:space="preserve"> </w:t>
      </w:r>
      <w:r>
        <w:rPr>
          <w:sz w:val="16"/>
        </w:rPr>
        <w:t>The</w:t>
      </w:r>
      <w:r>
        <w:rPr>
          <w:spacing w:val="-3"/>
          <w:sz w:val="16"/>
        </w:rPr>
        <w:t xml:space="preserve"> </w:t>
      </w:r>
      <w:r>
        <w:rPr>
          <w:sz w:val="16"/>
        </w:rPr>
        <w:t>decision</w:t>
      </w:r>
      <w:r>
        <w:rPr>
          <w:spacing w:val="-2"/>
          <w:sz w:val="16"/>
        </w:rPr>
        <w:t xml:space="preserve"> </w:t>
      </w:r>
      <w:r>
        <w:rPr>
          <w:sz w:val="16"/>
        </w:rPr>
        <w:t>to re-expose requires</w:t>
      </w:r>
      <w:r>
        <w:rPr>
          <w:spacing w:val="-3"/>
          <w:sz w:val="16"/>
        </w:rPr>
        <w:t xml:space="preserve"> </w:t>
      </w:r>
      <w:r>
        <w:rPr>
          <w:sz w:val="16"/>
        </w:rPr>
        <w:t>a two-thirds</w:t>
      </w:r>
      <w:r>
        <w:rPr>
          <w:spacing w:val="-3"/>
          <w:sz w:val="16"/>
        </w:rPr>
        <w:t xml:space="preserve"> </w:t>
      </w:r>
      <w:r>
        <w:rPr>
          <w:sz w:val="16"/>
        </w:rPr>
        <w:t>majority</w:t>
      </w:r>
      <w:r>
        <w:rPr>
          <w:spacing w:val="-2"/>
          <w:sz w:val="16"/>
        </w:rPr>
        <w:t xml:space="preserve"> </w:t>
      </w:r>
      <w:r>
        <w:rPr>
          <w:sz w:val="16"/>
        </w:rPr>
        <w:t>of</w:t>
      </w:r>
      <w:r>
        <w:rPr>
          <w:spacing w:val="-2"/>
          <w:sz w:val="16"/>
        </w:rPr>
        <w:t xml:space="preserve"> </w:t>
      </w:r>
      <w:r>
        <w:rPr>
          <w:sz w:val="16"/>
        </w:rPr>
        <w:t>all</w:t>
      </w:r>
      <w:r>
        <w:rPr>
          <w:spacing w:val="-2"/>
          <w:sz w:val="16"/>
        </w:rPr>
        <w:t xml:space="preserve"> </w:t>
      </w:r>
      <w:r>
        <w:rPr>
          <w:sz w:val="16"/>
        </w:rPr>
        <w:t>AUASB members</w:t>
      </w:r>
      <w:r>
        <w:rPr>
          <w:spacing w:val="-1"/>
          <w:sz w:val="16"/>
        </w:rPr>
        <w:t xml:space="preserve"> </w:t>
      </w:r>
      <w:r>
        <w:rPr>
          <w:sz w:val="16"/>
        </w:rPr>
        <w:t>with</w:t>
      </w:r>
      <w:r>
        <w:rPr>
          <w:spacing w:val="-2"/>
          <w:sz w:val="16"/>
        </w:rPr>
        <w:t xml:space="preserve"> </w:t>
      </w:r>
      <w:r>
        <w:rPr>
          <w:sz w:val="16"/>
        </w:rPr>
        <w:t>voting rights</w:t>
      </w:r>
      <w:r>
        <w:rPr>
          <w:spacing w:val="-3"/>
          <w:sz w:val="16"/>
        </w:rPr>
        <w:t xml:space="preserve"> </w:t>
      </w:r>
      <w:r>
        <w:rPr>
          <w:sz w:val="16"/>
        </w:rPr>
        <w:t>(not</w:t>
      </w:r>
      <w:r>
        <w:rPr>
          <w:spacing w:val="-2"/>
          <w:sz w:val="16"/>
        </w:rPr>
        <w:t xml:space="preserve"> </w:t>
      </w:r>
      <w:r>
        <w:rPr>
          <w:sz w:val="16"/>
        </w:rPr>
        <w:t>just</w:t>
      </w:r>
      <w:r>
        <w:rPr>
          <w:spacing w:val="-2"/>
          <w:sz w:val="16"/>
        </w:rPr>
        <w:t xml:space="preserve"> </w:t>
      </w:r>
      <w:r>
        <w:rPr>
          <w:sz w:val="16"/>
        </w:rPr>
        <w:t>members</w:t>
      </w:r>
      <w:r>
        <w:rPr>
          <w:spacing w:val="-3"/>
          <w:sz w:val="16"/>
        </w:rPr>
        <w:t xml:space="preserve"> </w:t>
      </w:r>
      <w:r>
        <w:rPr>
          <w:sz w:val="16"/>
        </w:rPr>
        <w:t>present).</w:t>
      </w:r>
      <w:r>
        <w:rPr>
          <w:spacing w:val="-3"/>
          <w:sz w:val="16"/>
        </w:rPr>
        <w:t xml:space="preserve"> </w:t>
      </w:r>
      <w:r>
        <w:rPr>
          <w:sz w:val="16"/>
        </w:rPr>
        <w:t>Refer</w:t>
      </w:r>
      <w:r>
        <w:rPr>
          <w:spacing w:val="-4"/>
          <w:sz w:val="16"/>
        </w:rPr>
        <w:t xml:space="preserve"> </w:t>
      </w:r>
      <w:r>
        <w:rPr>
          <w:sz w:val="16"/>
        </w:rPr>
        <w:t>to</w:t>
      </w:r>
      <w:r>
        <w:rPr>
          <w:spacing w:val="40"/>
          <w:sz w:val="16"/>
        </w:rPr>
        <w:t xml:space="preserve"> </w:t>
      </w:r>
      <w:r>
        <w:rPr>
          <w:sz w:val="16"/>
        </w:rPr>
        <w:t>Appendix 5 of this document.</w:t>
      </w:r>
    </w:p>
    <w:p w14:paraId="1E805BF0" w14:textId="77777777" w:rsidR="00AA4A02" w:rsidRDefault="00960F31">
      <w:pPr>
        <w:spacing w:line="166" w:lineRule="exact"/>
        <w:ind w:left="143"/>
        <w:rPr>
          <w:sz w:val="16"/>
        </w:rPr>
      </w:pPr>
      <w:r>
        <w:rPr>
          <w:sz w:val="16"/>
          <w:vertAlign w:val="superscript"/>
        </w:rPr>
        <w:t>54</w:t>
      </w:r>
      <w:r>
        <w:rPr>
          <w:spacing w:val="47"/>
          <w:sz w:val="16"/>
        </w:rPr>
        <w:t xml:space="preserve">  </w:t>
      </w:r>
      <w:r>
        <w:rPr>
          <w:sz w:val="16"/>
        </w:rPr>
        <w:t>See</w:t>
      </w:r>
      <w:r>
        <w:rPr>
          <w:spacing w:val="-4"/>
          <w:sz w:val="16"/>
        </w:rPr>
        <w:t xml:space="preserve"> </w:t>
      </w:r>
      <w:r>
        <w:rPr>
          <w:sz w:val="16"/>
        </w:rPr>
        <w:t>paragraphs</w:t>
      </w:r>
      <w:r>
        <w:rPr>
          <w:spacing w:val="-3"/>
          <w:sz w:val="16"/>
        </w:rPr>
        <w:t xml:space="preserve"> </w:t>
      </w:r>
      <w:r>
        <w:rPr>
          <w:sz w:val="16"/>
        </w:rPr>
        <w:t>22</w:t>
      </w:r>
      <w:r>
        <w:rPr>
          <w:spacing w:val="-3"/>
          <w:sz w:val="16"/>
        </w:rPr>
        <w:t xml:space="preserve"> </w:t>
      </w:r>
      <w:r>
        <w:rPr>
          <w:sz w:val="16"/>
        </w:rPr>
        <w:t>and</w:t>
      </w:r>
      <w:r>
        <w:rPr>
          <w:spacing w:val="-1"/>
          <w:sz w:val="16"/>
        </w:rPr>
        <w:t xml:space="preserve"> </w:t>
      </w:r>
      <w:r>
        <w:rPr>
          <w:sz w:val="16"/>
        </w:rPr>
        <w:t>238-240</w:t>
      </w:r>
      <w:r>
        <w:rPr>
          <w:spacing w:val="-1"/>
          <w:sz w:val="16"/>
        </w:rPr>
        <w:t xml:space="preserve"> </w:t>
      </w:r>
      <w:r>
        <w:rPr>
          <w:sz w:val="16"/>
        </w:rPr>
        <w:t>of</w:t>
      </w:r>
      <w:r>
        <w:rPr>
          <w:spacing w:val="-5"/>
          <w:sz w:val="16"/>
        </w:rPr>
        <w:t xml:space="preserve"> </w:t>
      </w:r>
      <w:r>
        <w:rPr>
          <w:sz w:val="16"/>
        </w:rPr>
        <w:t>this</w:t>
      </w:r>
      <w:r>
        <w:rPr>
          <w:spacing w:val="-1"/>
          <w:sz w:val="16"/>
        </w:rPr>
        <w:t xml:space="preserve"> </w:t>
      </w:r>
      <w:r>
        <w:rPr>
          <w:spacing w:val="-2"/>
          <w:sz w:val="16"/>
        </w:rPr>
        <w:t>document.</w:t>
      </w:r>
    </w:p>
    <w:p w14:paraId="1E805BF1" w14:textId="77777777" w:rsidR="00AA4A02" w:rsidRDefault="00AA4A02">
      <w:pPr>
        <w:spacing w:line="166" w:lineRule="exact"/>
        <w:rPr>
          <w:sz w:val="16"/>
        </w:rPr>
        <w:sectPr w:rsidR="00AA4A02">
          <w:pgSz w:w="11910" w:h="16840"/>
          <w:pgMar w:top="1380" w:right="1275" w:bottom="1040" w:left="1275" w:header="689" w:footer="842" w:gutter="0"/>
          <w:cols w:space="720"/>
        </w:sectPr>
      </w:pPr>
    </w:p>
    <w:p w14:paraId="1E805BF2" w14:textId="77777777" w:rsidR="00AA4A02" w:rsidRDefault="00960F31">
      <w:pPr>
        <w:pStyle w:val="BodyText"/>
        <w:spacing w:before="219" w:line="208" w:lineRule="auto"/>
        <w:ind w:left="1562"/>
      </w:pPr>
      <w:r>
        <w:lastRenderedPageBreak/>
        <w:t>The</w:t>
      </w:r>
      <w:r>
        <w:rPr>
          <w:spacing w:val="-3"/>
        </w:rPr>
        <w:t xml:space="preserve"> </w:t>
      </w:r>
      <w:r>
        <w:t>AUASB</w:t>
      </w:r>
      <w:r>
        <w:rPr>
          <w:spacing w:val="-5"/>
        </w:rPr>
        <w:t xml:space="preserve"> </w:t>
      </w:r>
      <w:r>
        <w:t>asks</w:t>
      </w:r>
      <w:r>
        <w:rPr>
          <w:spacing w:val="-3"/>
        </w:rPr>
        <w:t xml:space="preserve"> </w:t>
      </w:r>
      <w:r>
        <w:t>stakeholders</w:t>
      </w:r>
      <w:r>
        <w:rPr>
          <w:spacing w:val="-5"/>
        </w:rPr>
        <w:t xml:space="preserve"> </w:t>
      </w:r>
      <w:r>
        <w:t>to</w:t>
      </w:r>
      <w:r>
        <w:rPr>
          <w:spacing w:val="-3"/>
        </w:rPr>
        <w:t xml:space="preserve"> </w:t>
      </w:r>
      <w:r>
        <w:t>comment only</w:t>
      </w:r>
      <w:r>
        <w:rPr>
          <w:spacing w:val="-3"/>
        </w:rPr>
        <w:t xml:space="preserve"> </w:t>
      </w:r>
      <w:r>
        <w:t>on</w:t>
      </w:r>
      <w:r>
        <w:rPr>
          <w:spacing w:val="-6"/>
        </w:rPr>
        <w:t xml:space="preserve"> </w:t>
      </w:r>
      <w:r>
        <w:t>potential</w:t>
      </w:r>
      <w:r>
        <w:rPr>
          <w:spacing w:val="-2"/>
        </w:rPr>
        <w:t xml:space="preserve"> </w:t>
      </w:r>
      <w:r>
        <w:t>additions,</w:t>
      </w:r>
      <w:r>
        <w:rPr>
          <w:spacing w:val="-3"/>
        </w:rPr>
        <w:t xml:space="preserve"> </w:t>
      </w:r>
      <w:r>
        <w:t>deletions</w:t>
      </w:r>
      <w:r>
        <w:rPr>
          <w:spacing w:val="-5"/>
        </w:rPr>
        <w:t xml:space="preserve"> </w:t>
      </w:r>
      <w:r>
        <w:t>or amendments of the Australian compelling reasons modifications.</w:t>
      </w:r>
    </w:p>
    <w:p w14:paraId="1E805BF3" w14:textId="77777777" w:rsidR="00AA4A02" w:rsidRDefault="00960F31">
      <w:pPr>
        <w:pStyle w:val="ListParagraph"/>
        <w:numPr>
          <w:ilvl w:val="0"/>
          <w:numId w:val="29"/>
        </w:numPr>
        <w:tabs>
          <w:tab w:val="left" w:pos="851"/>
        </w:tabs>
        <w:spacing w:line="208" w:lineRule="auto"/>
        <w:ind w:right="188"/>
      </w:pPr>
      <w:r>
        <w:t>At the end of the re-exposure comment period, technical staff consider and accumulate all comments received from stakeholders responding to the re-exposed draft and prepare an analysis</w:t>
      </w:r>
      <w:r>
        <w:rPr>
          <w:spacing w:val="-3"/>
        </w:rPr>
        <w:t xml:space="preserve"> </w:t>
      </w:r>
      <w:r>
        <w:t>for</w:t>
      </w:r>
      <w:r>
        <w:rPr>
          <w:spacing w:val="-3"/>
        </w:rPr>
        <w:t xml:space="preserve"> </w:t>
      </w:r>
      <w:r>
        <w:t>Board</w:t>
      </w:r>
      <w:r>
        <w:rPr>
          <w:spacing w:val="-3"/>
        </w:rPr>
        <w:t xml:space="preserve"> </w:t>
      </w:r>
      <w:r>
        <w:t>consideration.</w:t>
      </w:r>
      <w:r>
        <w:rPr>
          <w:spacing w:val="40"/>
        </w:rPr>
        <w:t xml:space="preserve"> </w:t>
      </w:r>
      <w:r>
        <w:t>Staff</w:t>
      </w:r>
      <w:r>
        <w:rPr>
          <w:spacing w:val="-3"/>
        </w:rPr>
        <w:t xml:space="preserve"> </w:t>
      </w:r>
      <w:r>
        <w:t>amend</w:t>
      </w:r>
      <w:r>
        <w:rPr>
          <w:spacing w:val="-5"/>
        </w:rPr>
        <w:t xml:space="preserve"> </w:t>
      </w:r>
      <w:r>
        <w:t>the</w:t>
      </w:r>
      <w:r>
        <w:rPr>
          <w:spacing w:val="-3"/>
        </w:rPr>
        <w:t xml:space="preserve"> </w:t>
      </w:r>
      <w:r>
        <w:t>proposed</w:t>
      </w:r>
      <w:r>
        <w:rPr>
          <w:spacing w:val="-3"/>
        </w:rPr>
        <w:t xml:space="preserve"> </w:t>
      </w:r>
      <w:r>
        <w:t>standard</w:t>
      </w:r>
      <w:r>
        <w:rPr>
          <w:spacing w:val="-6"/>
        </w:rPr>
        <w:t xml:space="preserve"> </w:t>
      </w:r>
      <w:r>
        <w:t>and</w:t>
      </w:r>
      <w:r>
        <w:rPr>
          <w:spacing w:val="-5"/>
        </w:rPr>
        <w:t xml:space="preserve"> </w:t>
      </w:r>
      <w:r>
        <w:t>accompanying</w:t>
      </w:r>
      <w:r>
        <w:rPr>
          <w:spacing w:val="-3"/>
        </w:rPr>
        <w:t xml:space="preserve"> </w:t>
      </w:r>
      <w:r>
        <w:t>Basis for Conclusions, as appropriate.</w:t>
      </w:r>
    </w:p>
    <w:p w14:paraId="1E805BF4" w14:textId="77777777" w:rsidR="00AA4A02" w:rsidRDefault="00960F31">
      <w:pPr>
        <w:pStyle w:val="ListParagraph"/>
        <w:numPr>
          <w:ilvl w:val="0"/>
          <w:numId w:val="29"/>
        </w:numPr>
        <w:tabs>
          <w:tab w:val="left" w:pos="851"/>
        </w:tabs>
        <w:spacing w:before="200" w:line="208" w:lineRule="auto"/>
        <w:ind w:right="195"/>
      </w:pPr>
      <w:r>
        <w:t>The proposed</w:t>
      </w:r>
      <w:r>
        <w:rPr>
          <w:spacing w:val="-2"/>
        </w:rPr>
        <w:t xml:space="preserve"> </w:t>
      </w:r>
      <w:r>
        <w:t>final AUASB</w:t>
      </w:r>
      <w:r>
        <w:rPr>
          <w:spacing w:val="-2"/>
        </w:rPr>
        <w:t xml:space="preserve"> </w:t>
      </w:r>
      <w:r>
        <w:t>Standard and accompanying Basis</w:t>
      </w:r>
      <w:r>
        <w:rPr>
          <w:spacing w:val="-2"/>
        </w:rPr>
        <w:t xml:space="preserve"> </w:t>
      </w:r>
      <w:r>
        <w:t>for</w:t>
      </w:r>
      <w:r>
        <w:rPr>
          <w:spacing w:val="-2"/>
        </w:rPr>
        <w:t xml:space="preserve"> </w:t>
      </w:r>
      <w:r>
        <w:t>Conclusions,</w:t>
      </w:r>
      <w:r>
        <w:rPr>
          <w:spacing w:val="-3"/>
        </w:rPr>
        <w:t xml:space="preserve"> </w:t>
      </w:r>
      <w:r>
        <w:t>together with a collation of all stakeholder comments and technical staff analysis of comments received (including how these comments were addressed in the final standard), are presented to the AUASB</w:t>
      </w:r>
      <w:r>
        <w:rPr>
          <w:spacing w:val="-3"/>
        </w:rPr>
        <w:t xml:space="preserve"> </w:t>
      </w:r>
      <w:r>
        <w:t>for</w:t>
      </w:r>
      <w:r>
        <w:rPr>
          <w:spacing w:val="-2"/>
        </w:rPr>
        <w:t xml:space="preserve"> </w:t>
      </w:r>
      <w:r>
        <w:t>its</w:t>
      </w:r>
      <w:r>
        <w:rPr>
          <w:spacing w:val="-2"/>
        </w:rPr>
        <w:t xml:space="preserve"> </w:t>
      </w:r>
      <w:r>
        <w:t>consideration,</w:t>
      </w:r>
      <w:r>
        <w:rPr>
          <w:spacing w:val="-2"/>
        </w:rPr>
        <w:t xml:space="preserve"> </w:t>
      </w:r>
      <w:r>
        <w:t>direction</w:t>
      </w:r>
      <w:r>
        <w:rPr>
          <w:spacing w:val="-5"/>
        </w:rPr>
        <w:t xml:space="preserve"> </w:t>
      </w:r>
      <w:r>
        <w:t>and</w:t>
      </w:r>
      <w:r>
        <w:rPr>
          <w:spacing w:val="-4"/>
        </w:rPr>
        <w:t xml:space="preserve"> </w:t>
      </w:r>
      <w:r>
        <w:t>final</w:t>
      </w:r>
      <w:r>
        <w:rPr>
          <w:spacing w:val="-4"/>
        </w:rPr>
        <w:t xml:space="preserve"> </w:t>
      </w:r>
      <w:r>
        <w:t>approval</w:t>
      </w:r>
      <w:r>
        <w:rPr>
          <w:spacing w:val="-4"/>
        </w:rPr>
        <w:t xml:space="preserve"> </w:t>
      </w:r>
      <w:r>
        <w:t>to</w:t>
      </w:r>
      <w:r>
        <w:rPr>
          <w:spacing w:val="-2"/>
        </w:rPr>
        <w:t xml:space="preserve"> </w:t>
      </w:r>
      <w:r>
        <w:t>issue. See</w:t>
      </w:r>
      <w:r>
        <w:rPr>
          <w:spacing w:val="-4"/>
        </w:rPr>
        <w:t xml:space="preserve"> </w:t>
      </w:r>
      <w:r>
        <w:t>paragraphs</w:t>
      </w:r>
      <w:r>
        <w:rPr>
          <w:spacing w:val="-3"/>
        </w:rPr>
        <w:t xml:space="preserve"> </w:t>
      </w:r>
      <w:r>
        <w:t>212-237</w:t>
      </w:r>
      <w:r>
        <w:rPr>
          <w:spacing w:val="-2"/>
        </w:rPr>
        <w:t xml:space="preserve"> </w:t>
      </w:r>
      <w:r>
        <w:t>of this document.</w:t>
      </w:r>
    </w:p>
    <w:p w14:paraId="1E805BF5"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BF6" w14:textId="77777777" w:rsidR="00AA4A02" w:rsidRDefault="00960F31">
      <w:pPr>
        <w:pStyle w:val="Heading4"/>
        <w:spacing w:before="220" w:line="208" w:lineRule="auto"/>
        <w:ind w:left="143" w:right="95" w:firstLine="0"/>
      </w:pPr>
      <w:bookmarkStart w:id="72" w:name="_TOC_250009"/>
      <w:r>
        <w:rPr>
          <w:u w:val="single"/>
        </w:rPr>
        <w:lastRenderedPageBreak/>
        <w:t>Process</w:t>
      </w:r>
      <w:r>
        <w:rPr>
          <w:spacing w:val="-6"/>
          <w:u w:val="single"/>
        </w:rPr>
        <w:t xml:space="preserve"> </w:t>
      </w:r>
      <w:r>
        <w:rPr>
          <w:u w:val="single"/>
        </w:rPr>
        <w:t>2</w:t>
      </w:r>
      <w:r>
        <w:t>:</w:t>
      </w:r>
      <w:r>
        <w:rPr>
          <w:spacing w:val="40"/>
        </w:rPr>
        <w:t xml:space="preserve"> </w:t>
      </w:r>
      <w:r>
        <w:t>Domestic</w:t>
      </w:r>
      <w:r>
        <w:rPr>
          <w:spacing w:val="-3"/>
        </w:rPr>
        <w:t xml:space="preserve"> </w:t>
      </w:r>
      <w:r>
        <w:t>AUASB</w:t>
      </w:r>
      <w:r>
        <w:rPr>
          <w:spacing w:val="-7"/>
        </w:rPr>
        <w:t xml:space="preserve"> </w:t>
      </w:r>
      <w:r>
        <w:t>Standards</w:t>
      </w:r>
      <w:r>
        <w:rPr>
          <w:spacing w:val="-4"/>
        </w:rPr>
        <w:t xml:space="preserve"> </w:t>
      </w:r>
      <w:r>
        <w:t>(including</w:t>
      </w:r>
      <w:r>
        <w:rPr>
          <w:spacing w:val="-5"/>
        </w:rPr>
        <w:t xml:space="preserve"> </w:t>
      </w:r>
      <w:bookmarkEnd w:id="72"/>
      <w:r>
        <w:t>comprehensive revisions to Domestic Standards)</w:t>
      </w:r>
    </w:p>
    <w:p w14:paraId="1E805BF7" w14:textId="77777777" w:rsidR="00AA4A02" w:rsidRDefault="00960F31">
      <w:pPr>
        <w:pStyle w:val="ListParagraph"/>
        <w:numPr>
          <w:ilvl w:val="0"/>
          <w:numId w:val="29"/>
        </w:numPr>
        <w:tabs>
          <w:tab w:val="left" w:pos="851"/>
        </w:tabs>
        <w:spacing w:line="208" w:lineRule="auto"/>
        <w:ind w:right="359"/>
      </w:pPr>
      <w:r>
        <w:t>Refer</w:t>
      </w:r>
      <w:r>
        <w:rPr>
          <w:spacing w:val="-3"/>
        </w:rPr>
        <w:t xml:space="preserve"> </w:t>
      </w:r>
      <w:r>
        <w:t>to</w:t>
      </w:r>
      <w:r>
        <w:rPr>
          <w:spacing w:val="-2"/>
        </w:rPr>
        <w:t xml:space="preserve"> </w:t>
      </w:r>
      <w:r>
        <w:t>Appendix</w:t>
      </w:r>
      <w:r>
        <w:rPr>
          <w:spacing w:val="-1"/>
        </w:rPr>
        <w:t xml:space="preserve"> </w:t>
      </w:r>
      <w:r>
        <w:t>4</w:t>
      </w:r>
      <w:r>
        <w:rPr>
          <w:spacing w:val="-5"/>
        </w:rPr>
        <w:t xml:space="preserve"> </w:t>
      </w:r>
      <w:r>
        <w:t>for</w:t>
      </w:r>
      <w:r>
        <w:rPr>
          <w:spacing w:val="-4"/>
        </w:rPr>
        <w:t xml:space="preserve"> </w:t>
      </w:r>
      <w:r>
        <w:t>a</w:t>
      </w:r>
      <w:r>
        <w:rPr>
          <w:spacing w:val="-1"/>
        </w:rPr>
        <w:t xml:space="preserve"> </w:t>
      </w:r>
      <w:r>
        <w:t>diagram</w:t>
      </w:r>
      <w:r>
        <w:rPr>
          <w:spacing w:val="-3"/>
        </w:rPr>
        <w:t xml:space="preserve"> </w:t>
      </w:r>
      <w:r>
        <w:t>depicting</w:t>
      </w:r>
      <w:r>
        <w:rPr>
          <w:spacing w:val="-4"/>
        </w:rPr>
        <w:t xml:space="preserve"> </w:t>
      </w:r>
      <w:r>
        <w:t>the</w:t>
      </w:r>
      <w:r>
        <w:rPr>
          <w:spacing w:val="-1"/>
        </w:rPr>
        <w:t xml:space="preserve"> </w:t>
      </w:r>
      <w:r>
        <w:t>process</w:t>
      </w:r>
      <w:r>
        <w:rPr>
          <w:spacing w:val="-2"/>
        </w:rPr>
        <w:t xml:space="preserve"> </w:t>
      </w:r>
      <w:r>
        <w:t>the</w:t>
      </w:r>
      <w:r>
        <w:rPr>
          <w:spacing w:val="-1"/>
        </w:rPr>
        <w:t xml:space="preserve"> </w:t>
      </w:r>
      <w:r>
        <w:t>AUASB</w:t>
      </w:r>
      <w:r>
        <w:rPr>
          <w:spacing w:val="-4"/>
        </w:rPr>
        <w:t xml:space="preserve"> </w:t>
      </w:r>
      <w:r>
        <w:t>follows</w:t>
      </w:r>
      <w:r>
        <w:rPr>
          <w:spacing w:val="-2"/>
        </w:rPr>
        <w:t xml:space="preserve"> </w:t>
      </w:r>
      <w:r>
        <w:t>for</w:t>
      </w:r>
      <w:r>
        <w:rPr>
          <w:spacing w:val="-2"/>
        </w:rPr>
        <w:t xml:space="preserve"> </w:t>
      </w:r>
      <w:r>
        <w:t>developing and issuing domestic standards.</w:t>
      </w:r>
    </w:p>
    <w:p w14:paraId="1E805BF8" w14:textId="77777777" w:rsidR="00AA4A02" w:rsidRDefault="00960F31">
      <w:pPr>
        <w:pStyle w:val="ListParagraph"/>
        <w:numPr>
          <w:ilvl w:val="0"/>
          <w:numId w:val="29"/>
        </w:numPr>
        <w:tabs>
          <w:tab w:val="left" w:pos="851"/>
        </w:tabs>
        <w:spacing w:before="198" w:line="208" w:lineRule="auto"/>
        <w:ind w:right="386"/>
      </w:pPr>
      <w:r>
        <w:t>In accordance with its mandate and strategic direction, the AUASB may develop domestic standards</w:t>
      </w:r>
      <w:r>
        <w:rPr>
          <w:spacing w:val="-2"/>
        </w:rPr>
        <w:t xml:space="preserve"> </w:t>
      </w:r>
      <w:r>
        <w:t>and/or</w:t>
      </w:r>
      <w:r>
        <w:rPr>
          <w:spacing w:val="-1"/>
        </w:rPr>
        <w:t xml:space="preserve"> </w:t>
      </w:r>
      <w:r>
        <w:t>guidance</w:t>
      </w:r>
      <w:r>
        <w:rPr>
          <w:spacing w:val="-1"/>
        </w:rPr>
        <w:t xml:space="preserve"> </w:t>
      </w:r>
      <w:r>
        <w:t>to</w:t>
      </w:r>
      <w:r>
        <w:rPr>
          <w:spacing w:val="-2"/>
        </w:rPr>
        <w:t xml:space="preserve"> </w:t>
      </w:r>
      <w:r>
        <w:t>address</w:t>
      </w:r>
      <w:r>
        <w:rPr>
          <w:spacing w:val="-4"/>
        </w:rPr>
        <w:t xml:space="preserve"> </w:t>
      </w:r>
      <w:r>
        <w:t>matters</w:t>
      </w:r>
      <w:r>
        <w:rPr>
          <w:spacing w:val="-2"/>
        </w:rPr>
        <w:t xml:space="preserve"> </w:t>
      </w:r>
      <w:r>
        <w:t>specific</w:t>
      </w:r>
      <w:r>
        <w:rPr>
          <w:spacing w:val="-2"/>
        </w:rPr>
        <w:t xml:space="preserve"> </w:t>
      </w:r>
      <w:r>
        <w:t>to</w:t>
      </w:r>
      <w:r>
        <w:rPr>
          <w:spacing w:val="-2"/>
        </w:rPr>
        <w:t xml:space="preserve"> </w:t>
      </w:r>
      <w:r>
        <w:t>Australia,</w:t>
      </w:r>
      <w:r>
        <w:rPr>
          <w:spacing w:val="-5"/>
        </w:rPr>
        <w:t xml:space="preserve"> </w:t>
      </w:r>
      <w:r>
        <w:t>or</w:t>
      </w:r>
      <w:r>
        <w:rPr>
          <w:spacing w:val="-2"/>
        </w:rPr>
        <w:t xml:space="preserve"> </w:t>
      </w:r>
      <w:r>
        <w:t>which</w:t>
      </w:r>
      <w:r>
        <w:rPr>
          <w:spacing w:val="-2"/>
        </w:rPr>
        <w:t xml:space="preserve"> </w:t>
      </w:r>
      <w:r>
        <w:t>are</w:t>
      </w:r>
      <w:r>
        <w:rPr>
          <w:spacing w:val="-4"/>
        </w:rPr>
        <w:t xml:space="preserve"> </w:t>
      </w:r>
      <w:r>
        <w:t>important</w:t>
      </w:r>
      <w:r>
        <w:rPr>
          <w:spacing w:val="-4"/>
        </w:rPr>
        <w:t xml:space="preserve"> </w:t>
      </w:r>
      <w:r>
        <w:t>to Australia, but which are not addressed by the IAASB. Domestic standards and/or guidance may be based on other standard-setter pronouncements or original material.</w:t>
      </w:r>
    </w:p>
    <w:p w14:paraId="1E805BF9" w14:textId="77777777" w:rsidR="00AA4A02" w:rsidRDefault="00960F31">
      <w:pPr>
        <w:pStyle w:val="ListParagraph"/>
        <w:numPr>
          <w:ilvl w:val="0"/>
          <w:numId w:val="29"/>
        </w:numPr>
        <w:tabs>
          <w:tab w:val="left" w:pos="851"/>
        </w:tabs>
        <w:spacing w:before="200" w:line="208" w:lineRule="auto"/>
        <w:ind w:right="329"/>
      </w:pPr>
      <w:r>
        <w:t>Where possible, in accordance with its strategic objectives, the AUASB will coordinate the development of its domestic standards jointly with the NZAuASB. Where an equivalent or similar</w:t>
      </w:r>
      <w:r>
        <w:rPr>
          <w:spacing w:val="-1"/>
        </w:rPr>
        <w:t xml:space="preserve"> </w:t>
      </w:r>
      <w:r>
        <w:t>NZAuASB</w:t>
      </w:r>
      <w:r>
        <w:rPr>
          <w:spacing w:val="-4"/>
        </w:rPr>
        <w:t xml:space="preserve"> </w:t>
      </w:r>
      <w:r>
        <w:t>standard</w:t>
      </w:r>
      <w:r>
        <w:rPr>
          <w:spacing w:val="-2"/>
        </w:rPr>
        <w:t xml:space="preserve"> </w:t>
      </w:r>
      <w:r>
        <w:t>on</w:t>
      </w:r>
      <w:r>
        <w:rPr>
          <w:spacing w:val="-2"/>
        </w:rPr>
        <w:t xml:space="preserve"> </w:t>
      </w:r>
      <w:r>
        <w:t>a</w:t>
      </w:r>
      <w:r>
        <w:rPr>
          <w:spacing w:val="-4"/>
        </w:rPr>
        <w:t xml:space="preserve"> </w:t>
      </w:r>
      <w:r>
        <w:t>topic</w:t>
      </w:r>
      <w:r>
        <w:rPr>
          <w:spacing w:val="-2"/>
        </w:rPr>
        <w:t xml:space="preserve"> </w:t>
      </w:r>
      <w:r>
        <w:t>exists,</w:t>
      </w:r>
      <w:r>
        <w:rPr>
          <w:spacing w:val="-4"/>
        </w:rPr>
        <w:t xml:space="preserve"> </w:t>
      </w:r>
      <w:r>
        <w:t>the</w:t>
      </w:r>
      <w:r>
        <w:rPr>
          <w:spacing w:val="-2"/>
        </w:rPr>
        <w:t xml:space="preserve"> </w:t>
      </w:r>
      <w:r>
        <w:t>AUASB</w:t>
      </w:r>
      <w:r>
        <w:rPr>
          <w:spacing w:val="-4"/>
        </w:rPr>
        <w:t xml:space="preserve"> </w:t>
      </w:r>
      <w:r>
        <w:t>will</w:t>
      </w:r>
      <w:r>
        <w:rPr>
          <w:spacing w:val="-3"/>
        </w:rPr>
        <w:t xml:space="preserve"> </w:t>
      </w:r>
      <w:r>
        <w:t>aim</w:t>
      </w:r>
      <w:r>
        <w:rPr>
          <w:spacing w:val="-1"/>
        </w:rPr>
        <w:t xml:space="preserve"> </w:t>
      </w:r>
      <w:r>
        <w:t>to</w:t>
      </w:r>
      <w:r>
        <w:rPr>
          <w:spacing w:val="-2"/>
        </w:rPr>
        <w:t xml:space="preserve"> </w:t>
      </w:r>
      <w:r>
        <w:t>develop</w:t>
      </w:r>
      <w:r>
        <w:rPr>
          <w:spacing w:val="-4"/>
        </w:rPr>
        <w:t xml:space="preserve"> </w:t>
      </w:r>
      <w:r>
        <w:t>the</w:t>
      </w:r>
      <w:r>
        <w:rPr>
          <w:spacing w:val="-2"/>
        </w:rPr>
        <w:t xml:space="preserve"> </w:t>
      </w:r>
      <w:r>
        <w:t>Australian standard using the NZAuASB as a base in accordance with both Boards’ harmonisation policies, where applicable. However, differences may arise where different regulatory requirements apply and/or different practices are considered appropriate, and there is no requirement to fully align AUASB and NZAuASB standards.</w:t>
      </w:r>
    </w:p>
    <w:p w14:paraId="1E805BFA" w14:textId="77777777" w:rsidR="00AA4A02" w:rsidRDefault="00960F31">
      <w:pPr>
        <w:spacing w:before="176"/>
        <w:ind w:left="143"/>
        <w:rPr>
          <w:b/>
          <w:i/>
        </w:rPr>
      </w:pPr>
      <w:bookmarkStart w:id="73" w:name="Obtain_stakeholder_input_to_identify_and"/>
      <w:bookmarkEnd w:id="73"/>
      <w:r>
        <w:rPr>
          <w:b/>
          <w:i/>
        </w:rPr>
        <w:t>Obtain</w:t>
      </w:r>
      <w:r>
        <w:rPr>
          <w:b/>
          <w:i/>
          <w:spacing w:val="-9"/>
        </w:rPr>
        <w:t xml:space="preserve"> </w:t>
      </w:r>
      <w:r>
        <w:rPr>
          <w:b/>
          <w:i/>
        </w:rPr>
        <w:t>stakeholder</w:t>
      </w:r>
      <w:r>
        <w:rPr>
          <w:b/>
          <w:i/>
          <w:spacing w:val="-6"/>
        </w:rPr>
        <w:t xml:space="preserve"> </w:t>
      </w:r>
      <w:r>
        <w:rPr>
          <w:b/>
          <w:i/>
        </w:rPr>
        <w:t>input</w:t>
      </w:r>
      <w:r>
        <w:rPr>
          <w:b/>
          <w:i/>
          <w:spacing w:val="-3"/>
        </w:rPr>
        <w:t xml:space="preserve"> </w:t>
      </w:r>
      <w:r>
        <w:rPr>
          <w:b/>
          <w:i/>
        </w:rPr>
        <w:t>to</w:t>
      </w:r>
      <w:r>
        <w:rPr>
          <w:b/>
          <w:i/>
          <w:spacing w:val="-4"/>
        </w:rPr>
        <w:t xml:space="preserve"> </w:t>
      </w:r>
      <w:r>
        <w:rPr>
          <w:b/>
          <w:i/>
        </w:rPr>
        <w:t>identify</w:t>
      </w:r>
      <w:r>
        <w:rPr>
          <w:b/>
          <w:i/>
          <w:spacing w:val="-4"/>
        </w:rPr>
        <w:t xml:space="preserve"> </w:t>
      </w:r>
      <w:r>
        <w:rPr>
          <w:b/>
          <w:i/>
        </w:rPr>
        <w:t>and</w:t>
      </w:r>
      <w:r>
        <w:rPr>
          <w:b/>
          <w:i/>
          <w:spacing w:val="-4"/>
        </w:rPr>
        <w:t xml:space="preserve"> </w:t>
      </w:r>
      <w:r>
        <w:rPr>
          <w:b/>
          <w:i/>
        </w:rPr>
        <w:t>prioritise</w:t>
      </w:r>
      <w:r>
        <w:rPr>
          <w:b/>
          <w:i/>
          <w:spacing w:val="-5"/>
        </w:rPr>
        <w:t xml:space="preserve"> </w:t>
      </w:r>
      <w:r>
        <w:rPr>
          <w:b/>
          <w:i/>
        </w:rPr>
        <w:t>possible</w:t>
      </w:r>
      <w:r>
        <w:rPr>
          <w:b/>
          <w:i/>
          <w:spacing w:val="-3"/>
        </w:rPr>
        <w:t xml:space="preserve"> </w:t>
      </w:r>
      <w:r>
        <w:rPr>
          <w:b/>
          <w:i/>
          <w:spacing w:val="-2"/>
        </w:rPr>
        <w:t>projects</w:t>
      </w:r>
    </w:p>
    <w:p w14:paraId="1E805BFB" w14:textId="77777777" w:rsidR="00AA4A02" w:rsidRDefault="00960F31">
      <w:pPr>
        <w:pStyle w:val="ListParagraph"/>
        <w:numPr>
          <w:ilvl w:val="0"/>
          <w:numId w:val="29"/>
        </w:numPr>
        <w:tabs>
          <w:tab w:val="left" w:pos="851"/>
        </w:tabs>
        <w:spacing w:before="191" w:line="208" w:lineRule="auto"/>
        <w:ind w:right="660"/>
      </w:pPr>
      <w:r>
        <w:t>The</w:t>
      </w:r>
      <w:r>
        <w:rPr>
          <w:spacing w:val="-3"/>
        </w:rPr>
        <w:t xml:space="preserve"> </w:t>
      </w:r>
      <w:r>
        <w:t>AUASB</w:t>
      </w:r>
      <w:r>
        <w:rPr>
          <w:spacing w:val="-4"/>
        </w:rPr>
        <w:t xml:space="preserve"> </w:t>
      </w:r>
      <w:r>
        <w:t>periodically</w:t>
      </w:r>
      <w:r>
        <w:rPr>
          <w:spacing w:val="-3"/>
        </w:rPr>
        <w:t xml:space="preserve"> </w:t>
      </w:r>
      <w:r>
        <w:t>develops</w:t>
      </w:r>
      <w:r>
        <w:rPr>
          <w:spacing w:val="-3"/>
        </w:rPr>
        <w:t xml:space="preserve"> </w:t>
      </w:r>
      <w:r>
        <w:t>and</w:t>
      </w:r>
      <w:r>
        <w:rPr>
          <w:spacing w:val="-3"/>
        </w:rPr>
        <w:t xml:space="preserve"> </w:t>
      </w:r>
      <w:r>
        <w:t>approves,</w:t>
      </w:r>
      <w:r>
        <w:rPr>
          <w:spacing w:val="-3"/>
        </w:rPr>
        <w:t xml:space="preserve"> </w:t>
      </w:r>
      <w:r>
        <w:t>based</w:t>
      </w:r>
      <w:r>
        <w:rPr>
          <w:spacing w:val="-3"/>
        </w:rPr>
        <w:t xml:space="preserve"> </w:t>
      </w:r>
      <w:r>
        <w:t>on</w:t>
      </w:r>
      <w:r>
        <w:rPr>
          <w:spacing w:val="-3"/>
        </w:rPr>
        <w:t xml:space="preserve"> </w:t>
      </w:r>
      <w:r>
        <w:t>appropriate</w:t>
      </w:r>
      <w:r>
        <w:rPr>
          <w:spacing w:val="-5"/>
        </w:rPr>
        <w:t xml:space="preserve"> </w:t>
      </w:r>
      <w:r>
        <w:t>consultation</w:t>
      </w:r>
      <w:r>
        <w:rPr>
          <w:vertAlign w:val="superscript"/>
        </w:rPr>
        <w:t>55</w:t>
      </w:r>
      <w:r>
        <w:t>,</w:t>
      </w:r>
      <w:r>
        <w:rPr>
          <w:spacing w:val="-3"/>
        </w:rPr>
        <w:t xml:space="preserve"> </w:t>
      </w:r>
      <w:r>
        <w:t>its strategy (covering a five-year period) and annual technical work program, that identifies specific standard-setting projects and other activities aimed at achieving the AUASB’s strategic objectives.</w:t>
      </w:r>
    </w:p>
    <w:p w14:paraId="1E805BFC" w14:textId="77777777" w:rsidR="00AA4A02" w:rsidRDefault="00960F31">
      <w:pPr>
        <w:pStyle w:val="ListParagraph"/>
        <w:numPr>
          <w:ilvl w:val="0"/>
          <w:numId w:val="29"/>
        </w:numPr>
        <w:tabs>
          <w:tab w:val="left" w:pos="851"/>
        </w:tabs>
        <w:spacing w:before="175"/>
      </w:pPr>
      <w:r>
        <w:t>The</w:t>
      </w:r>
      <w:r>
        <w:rPr>
          <w:spacing w:val="-5"/>
        </w:rPr>
        <w:t xml:space="preserve"> </w:t>
      </w:r>
      <w:r>
        <w:t>AUASB</w:t>
      </w:r>
      <w:r>
        <w:rPr>
          <w:spacing w:val="-5"/>
        </w:rPr>
        <w:t xml:space="preserve"> </w:t>
      </w:r>
      <w:r>
        <w:t>identifies</w:t>
      </w:r>
      <w:r>
        <w:rPr>
          <w:spacing w:val="-4"/>
        </w:rPr>
        <w:t xml:space="preserve"> </w:t>
      </w:r>
      <w:r>
        <w:t>potential</w:t>
      </w:r>
      <w:r>
        <w:rPr>
          <w:spacing w:val="-4"/>
        </w:rPr>
        <w:t xml:space="preserve"> </w:t>
      </w:r>
      <w:r>
        <w:t>new</w:t>
      </w:r>
      <w:r>
        <w:rPr>
          <w:spacing w:val="-4"/>
        </w:rPr>
        <w:t xml:space="preserve"> </w:t>
      </w:r>
      <w:r>
        <w:t>projects</w:t>
      </w:r>
      <w:r>
        <w:rPr>
          <w:spacing w:val="-5"/>
        </w:rPr>
        <w:t xml:space="preserve"> </w:t>
      </w:r>
      <w:r>
        <w:t>based</w:t>
      </w:r>
      <w:r>
        <w:rPr>
          <w:spacing w:val="-4"/>
        </w:rPr>
        <w:t xml:space="preserve"> </w:t>
      </w:r>
      <w:r>
        <w:rPr>
          <w:spacing w:val="-5"/>
        </w:rPr>
        <w:t>on:</w:t>
      </w:r>
    </w:p>
    <w:p w14:paraId="1E805BFD" w14:textId="77777777" w:rsidR="00AA4A02" w:rsidRDefault="00960F31">
      <w:pPr>
        <w:pStyle w:val="ListParagraph"/>
        <w:numPr>
          <w:ilvl w:val="1"/>
          <w:numId w:val="29"/>
        </w:numPr>
        <w:tabs>
          <w:tab w:val="left" w:pos="1562"/>
        </w:tabs>
        <w:spacing w:before="167"/>
      </w:pPr>
      <w:r>
        <w:t>monitoring</w:t>
      </w:r>
      <w:r>
        <w:rPr>
          <w:spacing w:val="-7"/>
        </w:rPr>
        <w:t xml:space="preserve"> </w:t>
      </w:r>
      <w:r>
        <w:t>the</w:t>
      </w:r>
      <w:r>
        <w:rPr>
          <w:spacing w:val="-5"/>
        </w:rPr>
        <w:t xml:space="preserve"> </w:t>
      </w:r>
      <w:r>
        <w:t>activities</w:t>
      </w:r>
      <w:r>
        <w:rPr>
          <w:spacing w:val="-4"/>
        </w:rPr>
        <w:t xml:space="preserve"> </w:t>
      </w:r>
      <w:r>
        <w:t>of</w:t>
      </w:r>
      <w:r>
        <w:rPr>
          <w:spacing w:val="-7"/>
        </w:rPr>
        <w:t xml:space="preserve"> </w:t>
      </w:r>
      <w:r>
        <w:t>international</w:t>
      </w:r>
      <w:r>
        <w:rPr>
          <w:spacing w:val="-4"/>
        </w:rPr>
        <w:t xml:space="preserve"> </w:t>
      </w:r>
      <w:r>
        <w:t>and</w:t>
      </w:r>
      <w:r>
        <w:rPr>
          <w:spacing w:val="-2"/>
        </w:rPr>
        <w:t xml:space="preserve"> </w:t>
      </w:r>
      <w:r>
        <w:t>national</w:t>
      </w:r>
      <w:r>
        <w:rPr>
          <w:spacing w:val="-7"/>
        </w:rPr>
        <w:t xml:space="preserve"> </w:t>
      </w:r>
      <w:r>
        <w:t>standard</w:t>
      </w:r>
      <w:r>
        <w:rPr>
          <w:spacing w:val="-4"/>
        </w:rPr>
        <w:t xml:space="preserve"> </w:t>
      </w:r>
      <w:r>
        <w:rPr>
          <w:spacing w:val="-2"/>
        </w:rPr>
        <w:t>setters;</w:t>
      </w:r>
    </w:p>
    <w:p w14:paraId="1E805BFE" w14:textId="77777777" w:rsidR="00AA4A02" w:rsidRDefault="00960F31">
      <w:pPr>
        <w:pStyle w:val="ListParagraph"/>
        <w:numPr>
          <w:ilvl w:val="1"/>
          <w:numId w:val="29"/>
        </w:numPr>
        <w:tabs>
          <w:tab w:val="left" w:pos="1562"/>
        </w:tabs>
        <w:spacing w:before="86"/>
      </w:pPr>
      <w:r>
        <w:t>scanning</w:t>
      </w:r>
      <w:r>
        <w:rPr>
          <w:spacing w:val="-7"/>
        </w:rPr>
        <w:t xml:space="preserve"> </w:t>
      </w:r>
      <w:r>
        <w:t>the</w:t>
      </w:r>
      <w:r>
        <w:rPr>
          <w:spacing w:val="-6"/>
        </w:rPr>
        <w:t xml:space="preserve"> </w:t>
      </w:r>
      <w:r>
        <w:t>environment</w:t>
      </w:r>
      <w:r>
        <w:rPr>
          <w:spacing w:val="-6"/>
        </w:rPr>
        <w:t xml:space="preserve"> </w:t>
      </w:r>
      <w:r>
        <w:t>to</w:t>
      </w:r>
      <w:r>
        <w:rPr>
          <w:spacing w:val="-5"/>
        </w:rPr>
        <w:t xml:space="preserve"> </w:t>
      </w:r>
      <w:r>
        <w:t>identify</w:t>
      </w:r>
      <w:r>
        <w:rPr>
          <w:spacing w:val="-6"/>
        </w:rPr>
        <w:t xml:space="preserve"> </w:t>
      </w:r>
      <w:r>
        <w:t>relevant</w:t>
      </w:r>
      <w:r>
        <w:rPr>
          <w:spacing w:val="-3"/>
        </w:rPr>
        <w:t xml:space="preserve"> </w:t>
      </w:r>
      <w:r>
        <w:t>emerging</w:t>
      </w:r>
      <w:r>
        <w:rPr>
          <w:spacing w:val="-4"/>
        </w:rPr>
        <w:t xml:space="preserve"> </w:t>
      </w:r>
      <w:r>
        <w:rPr>
          <w:spacing w:val="-2"/>
        </w:rPr>
        <w:t>issues;</w:t>
      </w:r>
    </w:p>
    <w:p w14:paraId="1E805BFF" w14:textId="77777777" w:rsidR="00AA4A02" w:rsidRDefault="00960F31">
      <w:pPr>
        <w:pStyle w:val="ListParagraph"/>
        <w:numPr>
          <w:ilvl w:val="1"/>
          <w:numId w:val="29"/>
        </w:numPr>
        <w:tabs>
          <w:tab w:val="left" w:pos="1562"/>
        </w:tabs>
        <w:spacing w:before="88"/>
      </w:pPr>
      <w:r>
        <w:t>examining</w:t>
      </w:r>
      <w:r>
        <w:rPr>
          <w:spacing w:val="-9"/>
        </w:rPr>
        <w:t xml:space="preserve"> </w:t>
      </w:r>
      <w:r>
        <w:t>research</w:t>
      </w:r>
      <w:r>
        <w:rPr>
          <w:spacing w:val="-5"/>
        </w:rPr>
        <w:t xml:space="preserve"> </w:t>
      </w:r>
      <w:r>
        <w:t>findings;</w:t>
      </w:r>
      <w:r>
        <w:rPr>
          <w:spacing w:val="-4"/>
        </w:rPr>
        <w:t xml:space="preserve"> </w:t>
      </w:r>
      <w:r>
        <w:rPr>
          <w:spacing w:val="-5"/>
        </w:rPr>
        <w:t>and</w:t>
      </w:r>
    </w:p>
    <w:p w14:paraId="1E805C00" w14:textId="77777777" w:rsidR="00AA4A02" w:rsidRDefault="00960F31">
      <w:pPr>
        <w:pStyle w:val="ListParagraph"/>
        <w:numPr>
          <w:ilvl w:val="1"/>
          <w:numId w:val="29"/>
        </w:numPr>
        <w:tabs>
          <w:tab w:val="left" w:pos="1562"/>
        </w:tabs>
        <w:spacing w:before="87"/>
      </w:pPr>
      <w:r>
        <w:t>considering</w:t>
      </w:r>
      <w:r>
        <w:rPr>
          <w:spacing w:val="-9"/>
        </w:rPr>
        <w:t xml:space="preserve"> </w:t>
      </w:r>
      <w:r>
        <w:t>feedback</w:t>
      </w:r>
      <w:r>
        <w:rPr>
          <w:spacing w:val="-5"/>
        </w:rPr>
        <w:t xml:space="preserve"> </w:t>
      </w:r>
      <w:r>
        <w:t>and</w:t>
      </w:r>
      <w:r>
        <w:rPr>
          <w:spacing w:val="-6"/>
        </w:rPr>
        <w:t xml:space="preserve"> </w:t>
      </w:r>
      <w:r>
        <w:t>suggestions</w:t>
      </w:r>
      <w:r>
        <w:rPr>
          <w:spacing w:val="-5"/>
        </w:rPr>
        <w:t xml:space="preserve"> </w:t>
      </w:r>
      <w:r>
        <w:t>from</w:t>
      </w:r>
      <w:r>
        <w:rPr>
          <w:spacing w:val="-4"/>
        </w:rPr>
        <w:t xml:space="preserve"> </w:t>
      </w:r>
      <w:r>
        <w:t>stakeholders</w:t>
      </w:r>
      <w:r>
        <w:rPr>
          <w:spacing w:val="-5"/>
        </w:rPr>
        <w:t xml:space="preserve"> </w:t>
      </w:r>
      <w:r>
        <w:t>and</w:t>
      </w:r>
      <w:r>
        <w:rPr>
          <w:spacing w:val="-4"/>
        </w:rPr>
        <w:t xml:space="preserve"> </w:t>
      </w:r>
      <w:r>
        <w:t>other</w:t>
      </w:r>
      <w:r>
        <w:rPr>
          <w:spacing w:val="-7"/>
        </w:rPr>
        <w:t xml:space="preserve"> </w:t>
      </w:r>
      <w:r>
        <w:t>interested</w:t>
      </w:r>
      <w:r>
        <w:rPr>
          <w:spacing w:val="-4"/>
        </w:rPr>
        <w:t xml:space="preserve"> </w:t>
      </w:r>
      <w:r>
        <w:rPr>
          <w:spacing w:val="-2"/>
        </w:rPr>
        <w:t>parties.</w:t>
      </w:r>
    </w:p>
    <w:p w14:paraId="1E805C01" w14:textId="77777777" w:rsidR="00AA4A02" w:rsidRDefault="00960F31">
      <w:pPr>
        <w:pStyle w:val="ListParagraph"/>
        <w:numPr>
          <w:ilvl w:val="0"/>
          <w:numId w:val="29"/>
        </w:numPr>
        <w:tabs>
          <w:tab w:val="left" w:pos="851"/>
        </w:tabs>
        <w:spacing w:before="192" w:line="208" w:lineRule="auto"/>
        <w:ind w:right="153"/>
      </w:pPr>
      <w:r>
        <w:t>The AUASB seeks input from stakeholders through, for example, its formal agenda consultation process (at least every five years) and through periodic stakeholder surveys. Stakeholders</w:t>
      </w:r>
      <w:r>
        <w:rPr>
          <w:spacing w:val="-4"/>
        </w:rPr>
        <w:t xml:space="preserve"> </w:t>
      </w:r>
      <w:r>
        <w:t>may</w:t>
      </w:r>
      <w:r>
        <w:rPr>
          <w:spacing w:val="-2"/>
        </w:rPr>
        <w:t xml:space="preserve"> </w:t>
      </w:r>
      <w:r>
        <w:t>bring</w:t>
      </w:r>
      <w:r>
        <w:rPr>
          <w:spacing w:val="-3"/>
        </w:rPr>
        <w:t xml:space="preserve"> </w:t>
      </w:r>
      <w:r>
        <w:t>matters</w:t>
      </w:r>
      <w:r>
        <w:rPr>
          <w:spacing w:val="-4"/>
        </w:rPr>
        <w:t xml:space="preserve"> </w:t>
      </w:r>
      <w:r>
        <w:t>to</w:t>
      </w:r>
      <w:r>
        <w:rPr>
          <w:spacing w:val="-5"/>
        </w:rPr>
        <w:t xml:space="preserve"> </w:t>
      </w:r>
      <w:r>
        <w:t>the</w:t>
      </w:r>
      <w:r>
        <w:rPr>
          <w:spacing w:val="-2"/>
        </w:rPr>
        <w:t xml:space="preserve"> </w:t>
      </w:r>
      <w:r>
        <w:t>attention</w:t>
      </w:r>
      <w:r>
        <w:rPr>
          <w:spacing w:val="-5"/>
        </w:rPr>
        <w:t xml:space="preserve"> </w:t>
      </w:r>
      <w:r>
        <w:t>of</w:t>
      </w:r>
      <w:r>
        <w:rPr>
          <w:spacing w:val="-2"/>
        </w:rPr>
        <w:t xml:space="preserve"> </w:t>
      </w:r>
      <w:r>
        <w:t>technical staff</w:t>
      </w:r>
      <w:r>
        <w:rPr>
          <w:spacing w:val="-2"/>
        </w:rPr>
        <w:t xml:space="preserve"> </w:t>
      </w:r>
      <w:r>
        <w:t>on</w:t>
      </w:r>
      <w:r>
        <w:rPr>
          <w:spacing w:val="-5"/>
        </w:rPr>
        <w:t xml:space="preserve"> </w:t>
      </w:r>
      <w:r>
        <w:t>an</w:t>
      </w:r>
      <w:r>
        <w:rPr>
          <w:spacing w:val="-2"/>
        </w:rPr>
        <w:t xml:space="preserve"> </w:t>
      </w:r>
      <w:r>
        <w:t>ad</w:t>
      </w:r>
      <w:r>
        <w:rPr>
          <w:spacing w:val="-2"/>
        </w:rPr>
        <w:t xml:space="preserve"> </w:t>
      </w:r>
      <w:r>
        <w:t>hoc</w:t>
      </w:r>
      <w:r>
        <w:rPr>
          <w:spacing w:val="-4"/>
        </w:rPr>
        <w:t xml:space="preserve"> </w:t>
      </w:r>
      <w:r>
        <w:t>basis. Technical staff, through relevant monitoring activities, and AUASB members, through their professional activities, may also identify possible projects.</w:t>
      </w:r>
    </w:p>
    <w:p w14:paraId="1E805C02" w14:textId="77777777" w:rsidR="00AA4A02" w:rsidRDefault="00960F31">
      <w:pPr>
        <w:spacing w:before="174"/>
        <w:ind w:left="143"/>
        <w:rPr>
          <w:b/>
          <w:i/>
        </w:rPr>
      </w:pPr>
      <w:bookmarkStart w:id="74" w:name="Conduct_initial_outreach_and_information"/>
      <w:bookmarkEnd w:id="74"/>
      <w:r>
        <w:rPr>
          <w:b/>
          <w:i/>
        </w:rPr>
        <w:t>Conduct</w:t>
      </w:r>
      <w:r>
        <w:rPr>
          <w:b/>
          <w:i/>
          <w:spacing w:val="-8"/>
        </w:rPr>
        <w:t xml:space="preserve"> </w:t>
      </w:r>
      <w:r>
        <w:rPr>
          <w:b/>
          <w:i/>
        </w:rPr>
        <w:t>initial</w:t>
      </w:r>
      <w:r>
        <w:rPr>
          <w:b/>
          <w:i/>
          <w:spacing w:val="-2"/>
        </w:rPr>
        <w:t xml:space="preserve"> </w:t>
      </w:r>
      <w:r>
        <w:rPr>
          <w:b/>
          <w:i/>
        </w:rPr>
        <w:t>outreach</w:t>
      </w:r>
      <w:r>
        <w:rPr>
          <w:b/>
          <w:i/>
          <w:spacing w:val="-4"/>
        </w:rPr>
        <w:t xml:space="preserve"> </w:t>
      </w:r>
      <w:r>
        <w:rPr>
          <w:b/>
          <w:i/>
        </w:rPr>
        <w:t>and</w:t>
      </w:r>
      <w:r>
        <w:rPr>
          <w:b/>
          <w:i/>
          <w:spacing w:val="-3"/>
        </w:rPr>
        <w:t xml:space="preserve"> </w:t>
      </w:r>
      <w:r>
        <w:rPr>
          <w:b/>
          <w:i/>
        </w:rPr>
        <w:t>information</w:t>
      </w:r>
      <w:r>
        <w:rPr>
          <w:b/>
          <w:i/>
          <w:spacing w:val="-4"/>
        </w:rPr>
        <w:t xml:space="preserve"> </w:t>
      </w:r>
      <w:r>
        <w:rPr>
          <w:b/>
          <w:i/>
        </w:rPr>
        <w:t>gathering</w:t>
      </w:r>
      <w:r>
        <w:rPr>
          <w:b/>
          <w:i/>
          <w:spacing w:val="-6"/>
        </w:rPr>
        <w:t xml:space="preserve"> </w:t>
      </w:r>
      <w:r>
        <w:rPr>
          <w:b/>
          <w:i/>
        </w:rPr>
        <w:t>in</w:t>
      </w:r>
      <w:r>
        <w:rPr>
          <w:b/>
          <w:i/>
          <w:spacing w:val="-3"/>
        </w:rPr>
        <w:t xml:space="preserve"> </w:t>
      </w:r>
      <w:r>
        <w:rPr>
          <w:b/>
          <w:i/>
        </w:rPr>
        <w:t>accordance</w:t>
      </w:r>
      <w:r>
        <w:rPr>
          <w:b/>
          <w:i/>
          <w:spacing w:val="-4"/>
        </w:rPr>
        <w:t xml:space="preserve"> </w:t>
      </w:r>
      <w:r>
        <w:rPr>
          <w:b/>
          <w:i/>
        </w:rPr>
        <w:t>with</w:t>
      </w:r>
      <w:r>
        <w:rPr>
          <w:b/>
          <w:i/>
          <w:spacing w:val="-6"/>
        </w:rPr>
        <w:t xml:space="preserve"> </w:t>
      </w:r>
      <w:r>
        <w:rPr>
          <w:b/>
          <w:i/>
        </w:rPr>
        <w:t>the</w:t>
      </w:r>
      <w:r>
        <w:rPr>
          <w:b/>
          <w:i/>
          <w:spacing w:val="-4"/>
        </w:rPr>
        <w:t xml:space="preserve"> </w:t>
      </w:r>
      <w:r>
        <w:rPr>
          <w:b/>
          <w:i/>
        </w:rPr>
        <w:t>AUASB</w:t>
      </w:r>
      <w:r>
        <w:rPr>
          <w:b/>
          <w:i/>
          <w:spacing w:val="-5"/>
        </w:rPr>
        <w:t xml:space="preserve"> </w:t>
      </w:r>
      <w:r>
        <w:rPr>
          <w:b/>
          <w:i/>
        </w:rPr>
        <w:t>EISS</w:t>
      </w:r>
      <w:r>
        <w:rPr>
          <w:b/>
          <w:i/>
          <w:spacing w:val="-3"/>
        </w:rPr>
        <w:t xml:space="preserve"> </w:t>
      </w:r>
      <w:r>
        <w:rPr>
          <w:b/>
          <w:i/>
          <w:spacing w:val="-2"/>
        </w:rPr>
        <w:t>Strategy</w:t>
      </w:r>
    </w:p>
    <w:p w14:paraId="1E805C03" w14:textId="77777777" w:rsidR="00AA4A02" w:rsidRDefault="00960F31">
      <w:pPr>
        <w:pStyle w:val="ListParagraph"/>
        <w:numPr>
          <w:ilvl w:val="0"/>
          <w:numId w:val="29"/>
        </w:numPr>
        <w:tabs>
          <w:tab w:val="left" w:pos="851"/>
        </w:tabs>
        <w:spacing w:before="194" w:line="208" w:lineRule="auto"/>
        <w:ind w:right="315"/>
      </w:pPr>
      <w:r>
        <w:t>Technical staff undertakes any necessary research and consultation on the issues underlying suggested projects to assess the need for, and usefulness, practicality and cost of developing standards</w:t>
      </w:r>
      <w:r>
        <w:rPr>
          <w:spacing w:val="-2"/>
        </w:rPr>
        <w:t xml:space="preserve"> </w:t>
      </w:r>
      <w:r>
        <w:t>and/or</w:t>
      </w:r>
      <w:r>
        <w:rPr>
          <w:spacing w:val="-2"/>
        </w:rPr>
        <w:t xml:space="preserve"> </w:t>
      </w:r>
      <w:r>
        <w:t>guidance</w:t>
      </w:r>
      <w:r>
        <w:rPr>
          <w:spacing w:val="-2"/>
        </w:rPr>
        <w:t xml:space="preserve"> </w:t>
      </w:r>
      <w:r>
        <w:t>that</w:t>
      </w:r>
      <w:r>
        <w:rPr>
          <w:spacing w:val="-1"/>
        </w:rPr>
        <w:t xml:space="preserve"> </w:t>
      </w:r>
      <w:r>
        <w:t>address</w:t>
      </w:r>
      <w:r>
        <w:rPr>
          <w:spacing w:val="-4"/>
        </w:rPr>
        <w:t xml:space="preserve"> </w:t>
      </w:r>
      <w:r>
        <w:t>the</w:t>
      </w:r>
      <w:r>
        <w:rPr>
          <w:spacing w:val="-2"/>
        </w:rPr>
        <w:t xml:space="preserve"> </w:t>
      </w:r>
      <w:r>
        <w:t>underlying</w:t>
      </w:r>
      <w:r>
        <w:rPr>
          <w:spacing w:val="-5"/>
        </w:rPr>
        <w:t xml:space="preserve"> </w:t>
      </w:r>
      <w:r>
        <w:t>issues,</w:t>
      </w:r>
      <w:r>
        <w:rPr>
          <w:spacing w:val="-2"/>
        </w:rPr>
        <w:t xml:space="preserve"> </w:t>
      </w:r>
      <w:r>
        <w:t>and</w:t>
      </w:r>
      <w:r>
        <w:rPr>
          <w:spacing w:val="-2"/>
        </w:rPr>
        <w:t xml:space="preserve"> </w:t>
      </w:r>
      <w:r>
        <w:t>provide</w:t>
      </w:r>
      <w:r>
        <w:rPr>
          <w:spacing w:val="-4"/>
        </w:rPr>
        <w:t xml:space="preserve"> </w:t>
      </w:r>
      <w:r>
        <w:t>the</w:t>
      </w:r>
      <w:r>
        <w:rPr>
          <w:spacing w:val="-2"/>
        </w:rPr>
        <w:t xml:space="preserve"> </w:t>
      </w:r>
      <w:r>
        <w:t>AUASB</w:t>
      </w:r>
      <w:r>
        <w:rPr>
          <w:spacing w:val="-4"/>
        </w:rPr>
        <w:t xml:space="preserve"> </w:t>
      </w:r>
      <w:r>
        <w:t>with</w:t>
      </w:r>
      <w:r>
        <w:rPr>
          <w:spacing w:val="-2"/>
        </w:rPr>
        <w:t xml:space="preserve"> </w:t>
      </w:r>
      <w:r>
        <w:t>a list of projects that may have merit.</w:t>
      </w:r>
    </w:p>
    <w:p w14:paraId="1E805C04" w14:textId="77777777" w:rsidR="00AA4A02" w:rsidRDefault="00960F31">
      <w:pPr>
        <w:pStyle w:val="ListParagraph"/>
        <w:numPr>
          <w:ilvl w:val="0"/>
          <w:numId w:val="29"/>
        </w:numPr>
        <w:tabs>
          <w:tab w:val="left" w:pos="851"/>
        </w:tabs>
        <w:spacing w:before="199" w:line="208" w:lineRule="auto"/>
        <w:ind w:right="275"/>
      </w:pPr>
      <w:r>
        <w:t>Initial</w:t>
      </w:r>
      <w:r>
        <w:rPr>
          <w:spacing w:val="-2"/>
        </w:rPr>
        <w:t xml:space="preserve"> </w:t>
      </w:r>
      <w:r>
        <w:t>outreach</w:t>
      </w:r>
      <w:r>
        <w:rPr>
          <w:spacing w:val="-3"/>
        </w:rPr>
        <w:t xml:space="preserve"> </w:t>
      </w:r>
      <w:r>
        <w:t>and</w:t>
      </w:r>
      <w:r>
        <w:rPr>
          <w:spacing w:val="-5"/>
        </w:rPr>
        <w:t xml:space="preserve"> </w:t>
      </w:r>
      <w:r>
        <w:t>information</w:t>
      </w:r>
      <w:r>
        <w:rPr>
          <w:spacing w:val="-3"/>
        </w:rPr>
        <w:t xml:space="preserve"> </w:t>
      </w:r>
      <w:r>
        <w:t>gathering</w:t>
      </w:r>
      <w:r>
        <w:rPr>
          <w:spacing w:val="-3"/>
        </w:rPr>
        <w:t xml:space="preserve"> </w:t>
      </w:r>
      <w:r>
        <w:t>will</w:t>
      </w:r>
      <w:r>
        <w:rPr>
          <w:spacing w:val="-2"/>
        </w:rPr>
        <w:t xml:space="preserve"> </w:t>
      </w:r>
      <w:r>
        <w:t>be</w:t>
      </w:r>
      <w:r>
        <w:rPr>
          <w:spacing w:val="-3"/>
        </w:rPr>
        <w:t xml:space="preserve"> </w:t>
      </w:r>
      <w:r>
        <w:t>undertaken</w:t>
      </w:r>
      <w:r>
        <w:rPr>
          <w:spacing w:val="-6"/>
        </w:rPr>
        <w:t xml:space="preserve"> </w:t>
      </w:r>
      <w:r>
        <w:t>in</w:t>
      </w:r>
      <w:r>
        <w:rPr>
          <w:spacing w:val="-3"/>
        </w:rPr>
        <w:t xml:space="preserve"> </w:t>
      </w:r>
      <w:r>
        <w:t>accordance</w:t>
      </w:r>
      <w:r>
        <w:rPr>
          <w:spacing w:val="-3"/>
        </w:rPr>
        <w:t xml:space="preserve"> </w:t>
      </w:r>
      <w:r>
        <w:t>with</w:t>
      </w:r>
      <w:r>
        <w:rPr>
          <w:spacing w:val="-6"/>
        </w:rPr>
        <w:t xml:space="preserve"> </w:t>
      </w:r>
      <w:r>
        <w:t xml:space="preserve">the </w:t>
      </w:r>
      <w:hyperlink r:id="rId110">
        <w:r>
          <w:rPr>
            <w:color w:val="0000FF"/>
            <w:u w:val="single" w:color="0000FF"/>
          </w:rPr>
          <w:t>AUASB</w:t>
        </w:r>
      </w:hyperlink>
      <w:r>
        <w:rPr>
          <w:color w:val="0000FF"/>
        </w:rPr>
        <w:t xml:space="preserve"> </w:t>
      </w:r>
      <w:hyperlink r:id="rId111">
        <w:r>
          <w:rPr>
            <w:color w:val="0000FF"/>
            <w:u w:val="single" w:color="0000FF"/>
          </w:rPr>
          <w:t>EISS Strategy</w:t>
        </w:r>
        <w:r>
          <w:t>.</w:t>
        </w:r>
      </w:hyperlink>
    </w:p>
    <w:p w14:paraId="1E805C05" w14:textId="77777777" w:rsidR="00AA4A02" w:rsidRDefault="00960F31">
      <w:pPr>
        <w:spacing w:before="174"/>
        <w:ind w:left="143"/>
        <w:rPr>
          <w:b/>
          <w:i/>
        </w:rPr>
      </w:pPr>
      <w:bookmarkStart w:id="75" w:name="Identify_projects_for_which_Project_Plan"/>
      <w:bookmarkEnd w:id="75"/>
      <w:r>
        <w:rPr>
          <w:b/>
          <w:i/>
        </w:rPr>
        <w:t>Identify</w:t>
      </w:r>
      <w:r>
        <w:rPr>
          <w:b/>
          <w:i/>
          <w:spacing w:val="-5"/>
        </w:rPr>
        <w:t xml:space="preserve"> </w:t>
      </w:r>
      <w:r>
        <w:rPr>
          <w:b/>
          <w:i/>
        </w:rPr>
        <w:t>projects</w:t>
      </w:r>
      <w:r>
        <w:rPr>
          <w:b/>
          <w:i/>
          <w:spacing w:val="-4"/>
        </w:rPr>
        <w:t xml:space="preserve"> </w:t>
      </w:r>
      <w:r>
        <w:rPr>
          <w:b/>
          <w:i/>
        </w:rPr>
        <w:t>for</w:t>
      </w:r>
      <w:r>
        <w:rPr>
          <w:b/>
          <w:i/>
          <w:spacing w:val="-5"/>
        </w:rPr>
        <w:t xml:space="preserve"> </w:t>
      </w:r>
      <w:r>
        <w:rPr>
          <w:b/>
          <w:i/>
        </w:rPr>
        <w:t>which</w:t>
      </w:r>
      <w:r>
        <w:rPr>
          <w:b/>
          <w:i/>
          <w:spacing w:val="-3"/>
        </w:rPr>
        <w:t xml:space="preserve"> </w:t>
      </w:r>
      <w:r>
        <w:rPr>
          <w:b/>
          <w:i/>
        </w:rPr>
        <w:t>Project</w:t>
      </w:r>
      <w:r>
        <w:rPr>
          <w:b/>
          <w:i/>
          <w:spacing w:val="-1"/>
        </w:rPr>
        <w:t xml:space="preserve"> </w:t>
      </w:r>
      <w:r>
        <w:rPr>
          <w:b/>
          <w:i/>
        </w:rPr>
        <w:t>Plans</w:t>
      </w:r>
      <w:r>
        <w:rPr>
          <w:b/>
          <w:i/>
          <w:spacing w:val="-5"/>
        </w:rPr>
        <w:t xml:space="preserve"> </w:t>
      </w:r>
      <w:r>
        <w:rPr>
          <w:b/>
          <w:i/>
        </w:rPr>
        <w:t>should</w:t>
      </w:r>
      <w:r>
        <w:rPr>
          <w:b/>
          <w:i/>
          <w:spacing w:val="-2"/>
        </w:rPr>
        <w:t xml:space="preserve"> </w:t>
      </w:r>
      <w:r>
        <w:rPr>
          <w:b/>
          <w:i/>
        </w:rPr>
        <w:t>be</w:t>
      </w:r>
      <w:r>
        <w:rPr>
          <w:b/>
          <w:i/>
          <w:spacing w:val="-2"/>
        </w:rPr>
        <w:t xml:space="preserve"> </w:t>
      </w:r>
      <w:r>
        <w:rPr>
          <w:b/>
          <w:i/>
        </w:rPr>
        <w:t>prepared</w:t>
      </w:r>
      <w:r>
        <w:rPr>
          <w:b/>
          <w:i/>
          <w:spacing w:val="-5"/>
        </w:rPr>
        <w:t xml:space="preserve"> </w:t>
      </w:r>
      <w:r>
        <w:rPr>
          <w:b/>
          <w:i/>
        </w:rPr>
        <w:t>and</w:t>
      </w:r>
      <w:r>
        <w:rPr>
          <w:b/>
          <w:i/>
          <w:spacing w:val="-2"/>
        </w:rPr>
        <w:t xml:space="preserve"> </w:t>
      </w:r>
      <w:r>
        <w:rPr>
          <w:b/>
          <w:i/>
        </w:rPr>
        <w:t>determine</w:t>
      </w:r>
      <w:r>
        <w:rPr>
          <w:b/>
          <w:i/>
          <w:spacing w:val="-2"/>
        </w:rPr>
        <w:t xml:space="preserve"> priorities</w:t>
      </w:r>
    </w:p>
    <w:p w14:paraId="1E805C06" w14:textId="77777777" w:rsidR="00AA4A02" w:rsidRDefault="00960F31">
      <w:pPr>
        <w:pStyle w:val="ListParagraph"/>
        <w:numPr>
          <w:ilvl w:val="0"/>
          <w:numId w:val="29"/>
        </w:numPr>
        <w:tabs>
          <w:tab w:val="left" w:pos="851"/>
        </w:tabs>
        <w:spacing w:before="194" w:line="208" w:lineRule="auto"/>
        <w:ind w:right="375"/>
      </w:pPr>
      <w:r>
        <w:t>In deciding on projects to include in the AUASB’s work program, the Board takes into consideration</w:t>
      </w:r>
      <w:r>
        <w:rPr>
          <w:spacing w:val="-2"/>
        </w:rPr>
        <w:t xml:space="preserve"> </w:t>
      </w:r>
      <w:r>
        <w:t>public</w:t>
      </w:r>
      <w:r>
        <w:rPr>
          <w:spacing w:val="-4"/>
        </w:rPr>
        <w:t xml:space="preserve"> </w:t>
      </w:r>
      <w:r>
        <w:t>interest</w:t>
      </w:r>
      <w:r>
        <w:rPr>
          <w:spacing w:val="-1"/>
        </w:rPr>
        <w:t xml:space="preserve"> </w:t>
      </w:r>
      <w:r>
        <w:t>concerns,</w:t>
      </w:r>
      <w:r>
        <w:rPr>
          <w:spacing w:val="-5"/>
        </w:rPr>
        <w:t xml:space="preserve"> </w:t>
      </w:r>
      <w:r>
        <w:t>the</w:t>
      </w:r>
      <w:r>
        <w:rPr>
          <w:spacing w:val="-4"/>
        </w:rPr>
        <w:t xml:space="preserve"> </w:t>
      </w:r>
      <w:r>
        <w:t>impact</w:t>
      </w:r>
      <w:r>
        <w:rPr>
          <w:spacing w:val="-1"/>
        </w:rPr>
        <w:t xml:space="preserve"> </w:t>
      </w:r>
      <w:r>
        <w:t>of</w:t>
      </w:r>
      <w:r>
        <w:rPr>
          <w:spacing w:val="-4"/>
        </w:rPr>
        <w:t xml:space="preserve"> </w:t>
      </w:r>
      <w:r>
        <w:t>emerging</w:t>
      </w:r>
      <w:r>
        <w:rPr>
          <w:spacing w:val="-5"/>
        </w:rPr>
        <w:t xml:space="preserve"> </w:t>
      </w:r>
      <w:r>
        <w:t>auditing</w:t>
      </w:r>
      <w:r>
        <w:rPr>
          <w:spacing w:val="-5"/>
        </w:rPr>
        <w:t xml:space="preserve"> </w:t>
      </w:r>
      <w:r>
        <w:t>and</w:t>
      </w:r>
      <w:r>
        <w:rPr>
          <w:spacing w:val="-2"/>
        </w:rPr>
        <w:t xml:space="preserve"> </w:t>
      </w:r>
      <w:r>
        <w:t>assurance</w:t>
      </w:r>
      <w:r>
        <w:rPr>
          <w:spacing w:val="-1"/>
        </w:rPr>
        <w:t xml:space="preserve"> </w:t>
      </w:r>
      <w:r>
        <w:t xml:space="preserve">issues and whether the project is likely to effectively address the underlying issues that have been </w:t>
      </w:r>
      <w:r>
        <w:rPr>
          <w:spacing w:val="-2"/>
        </w:rPr>
        <w:t>identified.</w:t>
      </w:r>
    </w:p>
    <w:p w14:paraId="1E805C07" w14:textId="77777777" w:rsidR="00AA4A02" w:rsidRDefault="00AA4A02">
      <w:pPr>
        <w:pStyle w:val="BodyText"/>
        <w:rPr>
          <w:sz w:val="20"/>
        </w:rPr>
      </w:pPr>
    </w:p>
    <w:p w14:paraId="1E805C08" w14:textId="77777777" w:rsidR="00AA4A02" w:rsidRDefault="00AA4A02">
      <w:pPr>
        <w:pStyle w:val="BodyText"/>
        <w:rPr>
          <w:sz w:val="20"/>
        </w:rPr>
      </w:pPr>
    </w:p>
    <w:p w14:paraId="1E805C09" w14:textId="77777777" w:rsidR="00AA4A02" w:rsidRDefault="00960F31">
      <w:pPr>
        <w:pStyle w:val="BodyText"/>
        <w:spacing w:before="37"/>
        <w:rPr>
          <w:sz w:val="20"/>
        </w:rPr>
      </w:pPr>
      <w:r>
        <w:rPr>
          <w:noProof/>
          <w:sz w:val="20"/>
        </w:rPr>
        <mc:AlternateContent>
          <mc:Choice Requires="wps">
            <w:drawing>
              <wp:anchor distT="0" distB="0" distL="0" distR="0" simplePos="0" relativeHeight="487610880" behindDoc="1" locked="0" layoutInCell="1" allowOverlap="1" wp14:anchorId="1E805F6D" wp14:editId="1E805F6E">
                <wp:simplePos x="0" y="0"/>
                <wp:positionH relativeFrom="page">
                  <wp:posOffset>900988</wp:posOffset>
                </wp:positionH>
                <wp:positionV relativeFrom="paragraph">
                  <wp:posOffset>184810</wp:posOffset>
                </wp:positionV>
                <wp:extent cx="1829435" cy="762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BC6EBC" id="Graphic 74" o:spid="_x0000_s1026" style="position:absolute;margin-left:70.95pt;margin-top:14.55pt;width:144.05pt;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" path="m1829053,l,,,7619r1829053,l1829053,xe" fillcolor="black" stroked="f">
                <v:path arrowok="t"/>
                <w10:wrap type="topAndBottom" anchorx="page"/>
              </v:shape>
            </w:pict>
          </mc:Fallback>
        </mc:AlternateContent>
      </w:r>
    </w:p>
    <w:p w14:paraId="1E805C0A" w14:textId="77777777" w:rsidR="00AA4A02" w:rsidRDefault="00960F31">
      <w:pPr>
        <w:spacing w:before="73"/>
        <w:ind w:left="143"/>
        <w:rPr>
          <w:sz w:val="16"/>
        </w:rPr>
      </w:pPr>
      <w:r>
        <w:rPr>
          <w:sz w:val="16"/>
          <w:vertAlign w:val="superscript"/>
        </w:rPr>
        <w:t>55</w:t>
      </w:r>
      <w:r>
        <w:rPr>
          <w:spacing w:val="48"/>
          <w:sz w:val="16"/>
        </w:rPr>
        <w:t xml:space="preserve">  </w:t>
      </w:r>
      <w:r>
        <w:rPr>
          <w:sz w:val="16"/>
        </w:rPr>
        <w:t>See</w:t>
      </w:r>
      <w:r>
        <w:rPr>
          <w:spacing w:val="1"/>
          <w:sz w:val="16"/>
        </w:rPr>
        <w:t xml:space="preserve"> </w:t>
      </w:r>
      <w:r>
        <w:rPr>
          <w:sz w:val="16"/>
        </w:rPr>
        <w:t>Section</w:t>
      </w:r>
      <w:r>
        <w:rPr>
          <w:spacing w:val="-1"/>
          <w:sz w:val="16"/>
        </w:rPr>
        <w:t xml:space="preserve"> </w:t>
      </w:r>
      <w:r>
        <w:rPr>
          <w:sz w:val="16"/>
        </w:rPr>
        <w:t>VI</w:t>
      </w:r>
      <w:r>
        <w:rPr>
          <w:spacing w:val="-3"/>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C0B" w14:textId="77777777" w:rsidR="00AA4A02" w:rsidRDefault="00AA4A02">
      <w:pPr>
        <w:rPr>
          <w:sz w:val="16"/>
        </w:rPr>
        <w:sectPr w:rsidR="00AA4A02">
          <w:pgSz w:w="11910" w:h="16840"/>
          <w:pgMar w:top="1380" w:right="1275" w:bottom="1040" w:left="1275" w:header="689" w:footer="842" w:gutter="0"/>
          <w:cols w:space="720"/>
        </w:sectPr>
      </w:pPr>
    </w:p>
    <w:p w14:paraId="1E805C0C" w14:textId="77777777" w:rsidR="00AA4A02" w:rsidRDefault="00960F31">
      <w:pPr>
        <w:pStyle w:val="ListParagraph"/>
        <w:numPr>
          <w:ilvl w:val="0"/>
          <w:numId w:val="29"/>
        </w:numPr>
        <w:tabs>
          <w:tab w:val="left" w:pos="851"/>
        </w:tabs>
        <w:spacing w:before="219" w:line="208" w:lineRule="auto"/>
        <w:ind w:right="385"/>
      </w:pPr>
      <w:r>
        <w:lastRenderedPageBreak/>
        <w:t>Based</w:t>
      </w:r>
      <w:r>
        <w:rPr>
          <w:spacing w:val="-3"/>
        </w:rPr>
        <w:t xml:space="preserve"> </w:t>
      </w:r>
      <w:r>
        <w:t>on</w:t>
      </w:r>
      <w:r>
        <w:rPr>
          <w:spacing w:val="-5"/>
        </w:rPr>
        <w:t xml:space="preserve"> </w:t>
      </w:r>
      <w:r>
        <w:t>the</w:t>
      </w:r>
      <w:r>
        <w:rPr>
          <w:spacing w:val="-5"/>
        </w:rPr>
        <w:t xml:space="preserve"> </w:t>
      </w:r>
      <w:r>
        <w:t>initial</w:t>
      </w:r>
      <w:r>
        <w:rPr>
          <w:spacing w:val="-2"/>
        </w:rPr>
        <w:t xml:space="preserve"> </w:t>
      </w:r>
      <w:r>
        <w:t>assessment undertaken</w:t>
      </w:r>
      <w:r>
        <w:rPr>
          <w:spacing w:val="-3"/>
        </w:rPr>
        <w:t xml:space="preserve"> </w:t>
      </w:r>
      <w:r>
        <w:t>by</w:t>
      </w:r>
      <w:r>
        <w:rPr>
          <w:spacing w:val="-5"/>
        </w:rPr>
        <w:t xml:space="preserve"> </w:t>
      </w:r>
      <w:r>
        <w:t>technical</w:t>
      </w:r>
      <w:r>
        <w:rPr>
          <w:spacing w:val="-2"/>
        </w:rPr>
        <w:t xml:space="preserve"> </w:t>
      </w:r>
      <w:r>
        <w:t>staff</w:t>
      </w:r>
      <w:r>
        <w:rPr>
          <w:spacing w:val="-1"/>
        </w:rPr>
        <w:t xml:space="preserve"> </w:t>
      </w:r>
      <w:r>
        <w:t>and</w:t>
      </w:r>
      <w:r>
        <w:rPr>
          <w:spacing w:val="-3"/>
        </w:rPr>
        <w:t xml:space="preserve"> </w:t>
      </w:r>
      <w:r>
        <w:t>Board</w:t>
      </w:r>
      <w:r>
        <w:rPr>
          <w:spacing w:val="-3"/>
        </w:rPr>
        <w:t xml:space="preserve"> </w:t>
      </w:r>
      <w:r>
        <w:t>debate,</w:t>
      </w:r>
      <w:r>
        <w:rPr>
          <w:spacing w:val="-3"/>
        </w:rPr>
        <w:t xml:space="preserve"> </w:t>
      </w:r>
      <w:r>
        <w:t>the</w:t>
      </w:r>
      <w:r>
        <w:rPr>
          <w:spacing w:val="-3"/>
        </w:rPr>
        <w:t xml:space="preserve"> </w:t>
      </w:r>
      <w:r>
        <w:t>AUASB identifies the projects for which formal Project Plans should be prepared for Board consideration and approval.</w:t>
      </w:r>
    </w:p>
    <w:p w14:paraId="1E805C0D" w14:textId="77777777" w:rsidR="00AA4A02" w:rsidRDefault="00960F31">
      <w:pPr>
        <w:spacing w:before="202" w:line="208" w:lineRule="auto"/>
        <w:ind w:left="143"/>
        <w:rPr>
          <w:b/>
          <w:i/>
        </w:rPr>
      </w:pPr>
      <w:bookmarkStart w:id="76" w:name="Determine_whether_a_standard-setting_sol"/>
      <w:bookmarkEnd w:id="76"/>
      <w:r>
        <w:rPr>
          <w:b/>
          <w:i/>
        </w:rPr>
        <w:t>Determine</w:t>
      </w:r>
      <w:r>
        <w:rPr>
          <w:b/>
          <w:i/>
          <w:spacing w:val="-3"/>
        </w:rPr>
        <w:t xml:space="preserve"> </w:t>
      </w:r>
      <w:r>
        <w:rPr>
          <w:b/>
          <w:i/>
        </w:rPr>
        <w:t>whether</w:t>
      </w:r>
      <w:r>
        <w:rPr>
          <w:b/>
          <w:i/>
          <w:spacing w:val="-5"/>
        </w:rPr>
        <w:t xml:space="preserve"> </w:t>
      </w:r>
      <w:r>
        <w:rPr>
          <w:b/>
          <w:i/>
        </w:rPr>
        <w:t>a</w:t>
      </w:r>
      <w:r>
        <w:rPr>
          <w:b/>
          <w:i/>
          <w:spacing w:val="-3"/>
        </w:rPr>
        <w:t xml:space="preserve"> </w:t>
      </w:r>
      <w:r>
        <w:rPr>
          <w:b/>
          <w:i/>
        </w:rPr>
        <w:t>standard-setting</w:t>
      </w:r>
      <w:r>
        <w:rPr>
          <w:b/>
          <w:i/>
          <w:spacing w:val="-3"/>
        </w:rPr>
        <w:t xml:space="preserve"> </w:t>
      </w:r>
      <w:r>
        <w:rPr>
          <w:b/>
          <w:i/>
        </w:rPr>
        <w:t>solution</w:t>
      </w:r>
      <w:r>
        <w:rPr>
          <w:b/>
          <w:i/>
          <w:spacing w:val="-3"/>
        </w:rPr>
        <w:t xml:space="preserve"> </w:t>
      </w:r>
      <w:r>
        <w:rPr>
          <w:b/>
          <w:i/>
        </w:rPr>
        <w:t>is</w:t>
      </w:r>
      <w:r>
        <w:rPr>
          <w:b/>
          <w:i/>
          <w:spacing w:val="-3"/>
        </w:rPr>
        <w:t xml:space="preserve"> </w:t>
      </w:r>
      <w:r>
        <w:rPr>
          <w:b/>
          <w:i/>
        </w:rPr>
        <w:t>the</w:t>
      </w:r>
      <w:r>
        <w:rPr>
          <w:b/>
          <w:i/>
          <w:spacing w:val="-5"/>
        </w:rPr>
        <w:t xml:space="preserve"> </w:t>
      </w:r>
      <w:r>
        <w:rPr>
          <w:b/>
          <w:i/>
        </w:rPr>
        <w:t>most</w:t>
      </w:r>
      <w:r>
        <w:rPr>
          <w:b/>
          <w:i/>
          <w:spacing w:val="-2"/>
        </w:rPr>
        <w:t xml:space="preserve"> </w:t>
      </w:r>
      <w:r>
        <w:rPr>
          <w:b/>
          <w:i/>
        </w:rPr>
        <w:t>appropriate</w:t>
      </w:r>
      <w:r>
        <w:rPr>
          <w:b/>
          <w:i/>
          <w:spacing w:val="-3"/>
        </w:rPr>
        <w:t xml:space="preserve"> </w:t>
      </w:r>
      <w:r>
        <w:rPr>
          <w:b/>
          <w:i/>
        </w:rPr>
        <w:t>response</w:t>
      </w:r>
      <w:r>
        <w:rPr>
          <w:b/>
          <w:i/>
          <w:spacing w:val="-5"/>
        </w:rPr>
        <w:t xml:space="preserve"> </w:t>
      </w:r>
      <w:r>
        <w:rPr>
          <w:b/>
          <w:i/>
        </w:rPr>
        <w:t>to</w:t>
      </w:r>
      <w:r>
        <w:rPr>
          <w:b/>
          <w:i/>
          <w:spacing w:val="-3"/>
        </w:rPr>
        <w:t xml:space="preserve"> </w:t>
      </w:r>
      <w:r>
        <w:rPr>
          <w:b/>
          <w:i/>
        </w:rPr>
        <w:t>address</w:t>
      </w:r>
      <w:r>
        <w:rPr>
          <w:b/>
          <w:i/>
          <w:spacing w:val="-3"/>
        </w:rPr>
        <w:t xml:space="preserve"> </w:t>
      </w:r>
      <w:r>
        <w:rPr>
          <w:b/>
          <w:i/>
        </w:rPr>
        <w:t>identified issues and serve the public interest</w:t>
      </w:r>
    </w:p>
    <w:p w14:paraId="1E805C0E" w14:textId="77777777" w:rsidR="00AA4A02" w:rsidRDefault="00960F31">
      <w:pPr>
        <w:pStyle w:val="ListParagraph"/>
        <w:numPr>
          <w:ilvl w:val="0"/>
          <w:numId w:val="29"/>
        </w:numPr>
        <w:tabs>
          <w:tab w:val="left" w:pos="851"/>
        </w:tabs>
        <w:spacing w:before="198" w:line="208" w:lineRule="auto"/>
        <w:ind w:right="325"/>
        <w:jc w:val="both"/>
      </w:pPr>
      <w:r>
        <w:t>Where a gap is identified in</w:t>
      </w:r>
      <w:r>
        <w:rPr>
          <w:spacing w:val="-3"/>
        </w:rPr>
        <w:t xml:space="preserve"> </w:t>
      </w:r>
      <w:r>
        <w:t>the AUASB’s</w:t>
      </w:r>
      <w:r>
        <w:rPr>
          <w:spacing w:val="-2"/>
        </w:rPr>
        <w:t xml:space="preserve"> </w:t>
      </w:r>
      <w:r>
        <w:t>existing</w:t>
      </w:r>
      <w:r>
        <w:rPr>
          <w:spacing w:val="-3"/>
        </w:rPr>
        <w:t xml:space="preserve"> </w:t>
      </w:r>
      <w:r>
        <w:t>framework, the AUASB</w:t>
      </w:r>
      <w:r>
        <w:rPr>
          <w:spacing w:val="-2"/>
        </w:rPr>
        <w:t xml:space="preserve"> </w:t>
      </w:r>
      <w:r>
        <w:t>considers which of</w:t>
      </w:r>
      <w:r>
        <w:rPr>
          <w:spacing w:val="-2"/>
        </w:rPr>
        <w:t xml:space="preserve"> </w:t>
      </w:r>
      <w:r>
        <w:t>the</w:t>
      </w:r>
      <w:r>
        <w:rPr>
          <w:spacing w:val="-2"/>
        </w:rPr>
        <w:t xml:space="preserve"> </w:t>
      </w:r>
      <w:r>
        <w:t>following</w:t>
      </w:r>
      <w:r>
        <w:rPr>
          <w:spacing w:val="-5"/>
        </w:rPr>
        <w:t xml:space="preserve"> </w:t>
      </w:r>
      <w:r>
        <w:t>responses</w:t>
      </w:r>
      <w:r>
        <w:rPr>
          <w:spacing w:val="-4"/>
        </w:rPr>
        <w:t xml:space="preserve"> </w:t>
      </w:r>
      <w:r>
        <w:t>will</w:t>
      </w:r>
      <w:r>
        <w:rPr>
          <w:spacing w:val="-4"/>
        </w:rPr>
        <w:t xml:space="preserve"> </w:t>
      </w:r>
      <w:r>
        <w:t>be</w:t>
      </w:r>
      <w:r>
        <w:rPr>
          <w:spacing w:val="-4"/>
        </w:rPr>
        <w:t xml:space="preserve"> </w:t>
      </w:r>
      <w:r>
        <w:t>most</w:t>
      </w:r>
      <w:r>
        <w:rPr>
          <w:spacing w:val="-1"/>
        </w:rPr>
        <w:t xml:space="preserve"> </w:t>
      </w:r>
      <w:r>
        <w:t>appropriate</w:t>
      </w:r>
      <w:r>
        <w:rPr>
          <w:spacing w:val="-4"/>
        </w:rPr>
        <w:t xml:space="preserve"> </w:t>
      </w:r>
      <w:r>
        <w:t>in</w:t>
      </w:r>
      <w:r>
        <w:rPr>
          <w:spacing w:val="-5"/>
        </w:rPr>
        <w:t xml:space="preserve"> </w:t>
      </w:r>
      <w:r>
        <w:t>the</w:t>
      </w:r>
      <w:r>
        <w:rPr>
          <w:spacing w:val="-2"/>
        </w:rPr>
        <w:t xml:space="preserve"> </w:t>
      </w:r>
      <w:r>
        <w:t>circumstances,</w:t>
      </w:r>
      <w:r>
        <w:rPr>
          <w:spacing w:val="-5"/>
        </w:rPr>
        <w:t xml:space="preserve"> </w:t>
      </w:r>
      <w:r>
        <w:t>taking</w:t>
      </w:r>
      <w:r>
        <w:rPr>
          <w:spacing w:val="-2"/>
        </w:rPr>
        <w:t xml:space="preserve"> </w:t>
      </w:r>
      <w:r>
        <w:t>into</w:t>
      </w:r>
      <w:r>
        <w:rPr>
          <w:spacing w:val="-1"/>
        </w:rPr>
        <w:t xml:space="preserve"> </w:t>
      </w:r>
      <w:r>
        <w:t>account the factors outlined in paragraphs 24-34 of this document:</w:t>
      </w:r>
    </w:p>
    <w:p w14:paraId="1E805C0F" w14:textId="77777777" w:rsidR="00AA4A02" w:rsidRDefault="00960F31">
      <w:pPr>
        <w:pStyle w:val="ListParagraph"/>
        <w:numPr>
          <w:ilvl w:val="0"/>
          <w:numId w:val="17"/>
        </w:numPr>
        <w:tabs>
          <w:tab w:val="left" w:pos="1562"/>
        </w:tabs>
        <w:spacing w:before="175"/>
      </w:pPr>
      <w:r>
        <w:t>develop</w:t>
      </w:r>
      <w:r>
        <w:rPr>
          <w:spacing w:val="-3"/>
        </w:rPr>
        <w:t xml:space="preserve"> </w:t>
      </w:r>
      <w:r>
        <w:t>a</w:t>
      </w:r>
      <w:r>
        <w:rPr>
          <w:spacing w:val="-2"/>
        </w:rPr>
        <w:t xml:space="preserve"> </w:t>
      </w:r>
      <w:r>
        <w:t>new,</w:t>
      </w:r>
      <w:r>
        <w:rPr>
          <w:spacing w:val="-2"/>
        </w:rPr>
        <w:t xml:space="preserve"> </w:t>
      </w:r>
      <w:r>
        <w:t>or</w:t>
      </w:r>
      <w:r>
        <w:rPr>
          <w:spacing w:val="-4"/>
        </w:rPr>
        <w:t xml:space="preserve"> </w:t>
      </w:r>
      <w:r>
        <w:t>amend</w:t>
      </w:r>
      <w:r>
        <w:rPr>
          <w:spacing w:val="-2"/>
        </w:rPr>
        <w:t xml:space="preserve"> </w:t>
      </w:r>
      <w:r>
        <w:t>an</w:t>
      </w:r>
      <w:r>
        <w:rPr>
          <w:spacing w:val="-2"/>
        </w:rPr>
        <w:t xml:space="preserve"> </w:t>
      </w:r>
      <w:r>
        <w:t>existing,</w:t>
      </w:r>
      <w:r>
        <w:rPr>
          <w:spacing w:val="-2"/>
        </w:rPr>
        <w:t xml:space="preserve"> </w:t>
      </w:r>
      <w:r>
        <w:t>AUASB</w:t>
      </w:r>
      <w:r>
        <w:rPr>
          <w:spacing w:val="-4"/>
        </w:rPr>
        <w:t xml:space="preserve"> </w:t>
      </w:r>
      <w:r>
        <w:rPr>
          <w:spacing w:val="-2"/>
        </w:rPr>
        <w:t>Standard;</w:t>
      </w:r>
    </w:p>
    <w:p w14:paraId="1E805C10" w14:textId="77777777" w:rsidR="00AA4A02" w:rsidRDefault="00960F31">
      <w:pPr>
        <w:pStyle w:val="ListParagraph"/>
        <w:numPr>
          <w:ilvl w:val="0"/>
          <w:numId w:val="17"/>
        </w:numPr>
        <w:tabs>
          <w:tab w:val="left" w:pos="1562"/>
        </w:tabs>
        <w:spacing w:before="88"/>
      </w:pPr>
      <w:r>
        <w:t>develop</w:t>
      </w:r>
      <w:r>
        <w:rPr>
          <w:spacing w:val="-4"/>
        </w:rPr>
        <w:t xml:space="preserve"> </w:t>
      </w:r>
      <w:r>
        <w:t>a</w:t>
      </w:r>
      <w:r>
        <w:rPr>
          <w:spacing w:val="-3"/>
        </w:rPr>
        <w:t xml:space="preserve"> </w:t>
      </w:r>
      <w:r>
        <w:t>new,</w:t>
      </w:r>
      <w:r>
        <w:rPr>
          <w:spacing w:val="-3"/>
        </w:rPr>
        <w:t xml:space="preserve"> </w:t>
      </w:r>
      <w:r>
        <w:t>or</w:t>
      </w:r>
      <w:r>
        <w:rPr>
          <w:spacing w:val="-4"/>
        </w:rPr>
        <w:t xml:space="preserve"> </w:t>
      </w:r>
      <w:r>
        <w:t>amend</w:t>
      </w:r>
      <w:r>
        <w:rPr>
          <w:spacing w:val="-3"/>
        </w:rPr>
        <w:t xml:space="preserve"> </w:t>
      </w:r>
      <w:r>
        <w:t>an</w:t>
      </w:r>
      <w:r>
        <w:rPr>
          <w:spacing w:val="-3"/>
        </w:rPr>
        <w:t xml:space="preserve"> </w:t>
      </w:r>
      <w:r>
        <w:t>existing,</w:t>
      </w:r>
      <w:r>
        <w:rPr>
          <w:spacing w:val="-3"/>
        </w:rPr>
        <w:t xml:space="preserve"> </w:t>
      </w:r>
      <w:r>
        <w:t>AUASB</w:t>
      </w:r>
      <w:r>
        <w:rPr>
          <w:spacing w:val="-5"/>
        </w:rPr>
        <w:t xml:space="preserve"> </w:t>
      </w:r>
      <w:r>
        <w:t>Guidance</w:t>
      </w:r>
      <w:r>
        <w:rPr>
          <w:spacing w:val="-2"/>
        </w:rPr>
        <w:t xml:space="preserve"> </w:t>
      </w:r>
      <w:r>
        <w:t>Statement;</w:t>
      </w:r>
      <w:r>
        <w:rPr>
          <w:spacing w:val="-2"/>
        </w:rPr>
        <w:t xml:space="preserve"> </w:t>
      </w:r>
      <w:r>
        <w:rPr>
          <w:spacing w:val="-5"/>
        </w:rPr>
        <w:t>or</w:t>
      </w:r>
    </w:p>
    <w:p w14:paraId="1E805C11" w14:textId="77777777" w:rsidR="00AA4A02" w:rsidRDefault="00960F31">
      <w:pPr>
        <w:pStyle w:val="ListParagraph"/>
        <w:numPr>
          <w:ilvl w:val="0"/>
          <w:numId w:val="17"/>
        </w:numPr>
        <w:tabs>
          <w:tab w:val="left" w:pos="1562"/>
        </w:tabs>
        <w:spacing w:before="85"/>
      </w:pPr>
      <w:r>
        <w:t>issue</w:t>
      </w:r>
      <w:r>
        <w:rPr>
          <w:spacing w:val="-7"/>
        </w:rPr>
        <w:t xml:space="preserve"> </w:t>
      </w:r>
      <w:r>
        <w:t>non-authoritative</w:t>
      </w:r>
      <w:r>
        <w:rPr>
          <w:spacing w:val="-7"/>
        </w:rPr>
        <w:t xml:space="preserve"> </w:t>
      </w:r>
      <w:r>
        <w:rPr>
          <w:spacing w:val="-2"/>
        </w:rPr>
        <w:t>materials.</w:t>
      </w:r>
    </w:p>
    <w:p w14:paraId="1E805C12" w14:textId="77777777" w:rsidR="00AA4A02" w:rsidRDefault="00960F31">
      <w:pPr>
        <w:pStyle w:val="ListParagraph"/>
        <w:numPr>
          <w:ilvl w:val="0"/>
          <w:numId w:val="29"/>
        </w:numPr>
        <w:tabs>
          <w:tab w:val="left" w:pos="851"/>
        </w:tabs>
        <w:spacing w:before="194" w:line="208" w:lineRule="auto"/>
        <w:ind w:right="641"/>
      </w:pPr>
      <w:r>
        <w:t>Discussion</w:t>
      </w:r>
      <w:r>
        <w:rPr>
          <w:spacing w:val="-2"/>
        </w:rPr>
        <w:t xml:space="preserve"> </w:t>
      </w:r>
      <w:r>
        <w:t>and</w:t>
      </w:r>
      <w:r>
        <w:rPr>
          <w:spacing w:val="-4"/>
        </w:rPr>
        <w:t xml:space="preserve"> </w:t>
      </w:r>
      <w:r>
        <w:t>analysis</w:t>
      </w:r>
      <w:r>
        <w:rPr>
          <w:spacing w:val="-2"/>
        </w:rPr>
        <w:t xml:space="preserve"> </w:t>
      </w:r>
      <w:r>
        <w:t>of</w:t>
      </w:r>
      <w:r>
        <w:rPr>
          <w:spacing w:val="-4"/>
        </w:rPr>
        <w:t xml:space="preserve"> </w:t>
      </w:r>
      <w:r>
        <w:t>the</w:t>
      </w:r>
      <w:r>
        <w:rPr>
          <w:spacing w:val="-2"/>
        </w:rPr>
        <w:t xml:space="preserve"> </w:t>
      </w:r>
      <w:r>
        <w:t>considerations</w:t>
      </w:r>
      <w:r>
        <w:rPr>
          <w:spacing w:val="-2"/>
        </w:rPr>
        <w:t xml:space="preserve"> </w:t>
      </w:r>
      <w:r>
        <w:t>underlying</w:t>
      </w:r>
      <w:r>
        <w:rPr>
          <w:spacing w:val="-2"/>
        </w:rPr>
        <w:t xml:space="preserve"> </w:t>
      </w:r>
      <w:r>
        <w:t>the</w:t>
      </w:r>
      <w:r>
        <w:rPr>
          <w:spacing w:val="-4"/>
        </w:rPr>
        <w:t xml:space="preserve"> </w:t>
      </w:r>
      <w:r>
        <w:t>decision</w:t>
      </w:r>
      <w:r>
        <w:rPr>
          <w:spacing w:val="-5"/>
        </w:rPr>
        <w:t xml:space="preserve"> </w:t>
      </w:r>
      <w:r>
        <w:t>in</w:t>
      </w:r>
      <w:r>
        <w:rPr>
          <w:spacing w:val="-2"/>
        </w:rPr>
        <w:t xml:space="preserve"> </w:t>
      </w:r>
      <w:r>
        <w:t>paragraph</w:t>
      </w:r>
      <w:r>
        <w:rPr>
          <w:spacing w:val="-2"/>
        </w:rPr>
        <w:t xml:space="preserve"> </w:t>
      </w:r>
      <w:r>
        <w:t>149</w:t>
      </w:r>
      <w:r>
        <w:rPr>
          <w:spacing w:val="-2"/>
        </w:rPr>
        <w:t xml:space="preserve"> </w:t>
      </w:r>
      <w:r>
        <w:t>is included in the Project Plan.</w:t>
      </w:r>
    </w:p>
    <w:p w14:paraId="1E805C13" w14:textId="77777777" w:rsidR="00AA4A02" w:rsidRDefault="00960F31">
      <w:pPr>
        <w:spacing w:before="174"/>
        <w:ind w:left="143"/>
        <w:rPr>
          <w:b/>
          <w:i/>
        </w:rPr>
      </w:pPr>
      <w:bookmarkStart w:id="77" w:name="Develop_and_approve_a_Project_Plan"/>
      <w:bookmarkEnd w:id="77"/>
      <w:r>
        <w:rPr>
          <w:b/>
          <w:i/>
        </w:rPr>
        <w:t>Develop</w:t>
      </w:r>
      <w:r>
        <w:rPr>
          <w:b/>
          <w:i/>
          <w:spacing w:val="-4"/>
        </w:rPr>
        <w:t xml:space="preserve"> </w:t>
      </w:r>
      <w:r>
        <w:rPr>
          <w:b/>
          <w:i/>
        </w:rPr>
        <w:t>and</w:t>
      </w:r>
      <w:r>
        <w:rPr>
          <w:b/>
          <w:i/>
          <w:spacing w:val="-3"/>
        </w:rPr>
        <w:t xml:space="preserve"> </w:t>
      </w:r>
      <w:r>
        <w:rPr>
          <w:b/>
          <w:i/>
        </w:rPr>
        <w:t>approve</w:t>
      </w:r>
      <w:r>
        <w:rPr>
          <w:b/>
          <w:i/>
          <w:spacing w:val="-4"/>
        </w:rPr>
        <w:t xml:space="preserve"> </w:t>
      </w:r>
      <w:r>
        <w:rPr>
          <w:b/>
          <w:i/>
        </w:rPr>
        <w:t>a</w:t>
      </w:r>
      <w:r>
        <w:rPr>
          <w:b/>
          <w:i/>
          <w:spacing w:val="-2"/>
        </w:rPr>
        <w:t xml:space="preserve"> </w:t>
      </w:r>
      <w:r>
        <w:rPr>
          <w:b/>
          <w:i/>
        </w:rPr>
        <w:t>Project</w:t>
      </w:r>
      <w:r>
        <w:rPr>
          <w:b/>
          <w:i/>
          <w:spacing w:val="-2"/>
        </w:rPr>
        <w:t xml:space="preserve"> </w:t>
      </w:r>
      <w:r>
        <w:rPr>
          <w:b/>
          <w:i/>
          <w:spacing w:val="-4"/>
        </w:rPr>
        <w:t>Plan</w:t>
      </w:r>
    </w:p>
    <w:p w14:paraId="1E805C14" w14:textId="77777777" w:rsidR="00AA4A02" w:rsidRDefault="00960F31">
      <w:pPr>
        <w:pStyle w:val="ListParagraph"/>
        <w:numPr>
          <w:ilvl w:val="0"/>
          <w:numId w:val="29"/>
        </w:numPr>
        <w:tabs>
          <w:tab w:val="left" w:pos="851"/>
        </w:tabs>
        <w:spacing w:before="194" w:line="208" w:lineRule="auto"/>
        <w:ind w:right="188"/>
      </w:pPr>
      <w:r>
        <w:t>AUASB technical staff prepare formal Project Plans for all major projects, such as the development of new AUASB Standards (as well as subsequent comprehensive revisions of such standards),</w:t>
      </w:r>
      <w:r>
        <w:rPr>
          <w:spacing w:val="-2"/>
        </w:rPr>
        <w:t xml:space="preserve"> </w:t>
      </w:r>
      <w:r>
        <w:t>new AUASB Guidance Statements (and subsequent comprehensive revisions of</w:t>
      </w:r>
      <w:r>
        <w:rPr>
          <w:spacing w:val="-2"/>
        </w:rPr>
        <w:t xml:space="preserve"> </w:t>
      </w:r>
      <w:r>
        <w:t>such</w:t>
      </w:r>
      <w:r>
        <w:rPr>
          <w:spacing w:val="-3"/>
        </w:rPr>
        <w:t xml:space="preserve"> </w:t>
      </w:r>
      <w:r>
        <w:t>Guidance</w:t>
      </w:r>
      <w:r>
        <w:rPr>
          <w:spacing w:val="-3"/>
        </w:rPr>
        <w:t xml:space="preserve"> </w:t>
      </w:r>
      <w:r>
        <w:t>Statements),</w:t>
      </w:r>
      <w:r>
        <w:rPr>
          <w:spacing w:val="-4"/>
        </w:rPr>
        <w:t xml:space="preserve"> </w:t>
      </w:r>
      <w:r>
        <w:t>and</w:t>
      </w:r>
      <w:r>
        <w:rPr>
          <w:spacing w:val="-3"/>
        </w:rPr>
        <w:t xml:space="preserve"> </w:t>
      </w:r>
      <w:r>
        <w:t>other</w:t>
      </w:r>
      <w:r>
        <w:rPr>
          <w:spacing w:val="-2"/>
        </w:rPr>
        <w:t xml:space="preserve"> </w:t>
      </w:r>
      <w:r>
        <w:t>significant</w:t>
      </w:r>
      <w:r>
        <w:rPr>
          <w:spacing w:val="-1"/>
        </w:rPr>
        <w:t xml:space="preserve"> </w:t>
      </w:r>
      <w:r>
        <w:t>AUASB</w:t>
      </w:r>
      <w:r>
        <w:rPr>
          <w:spacing w:val="-5"/>
        </w:rPr>
        <w:t xml:space="preserve"> </w:t>
      </w:r>
      <w:r>
        <w:t>issued</w:t>
      </w:r>
      <w:r>
        <w:rPr>
          <w:spacing w:val="-5"/>
        </w:rPr>
        <w:t xml:space="preserve"> </w:t>
      </w:r>
      <w:r>
        <w:t>publications</w:t>
      </w:r>
      <w:r>
        <w:rPr>
          <w:spacing w:val="-5"/>
        </w:rPr>
        <w:t xml:space="preserve"> </w:t>
      </w:r>
      <w:r>
        <w:t>and</w:t>
      </w:r>
      <w:r>
        <w:rPr>
          <w:spacing w:val="-3"/>
        </w:rPr>
        <w:t xml:space="preserve"> </w:t>
      </w:r>
      <w:r>
        <w:t xml:space="preserve">guidance materials. Project Plans are developed using the standard </w:t>
      </w:r>
      <w:r>
        <w:rPr>
          <w:i/>
        </w:rPr>
        <w:t>AUASB Project Plan Template</w:t>
      </w:r>
      <w:r>
        <w:t>.</w:t>
      </w:r>
    </w:p>
    <w:p w14:paraId="1E805C15" w14:textId="77777777" w:rsidR="00AA4A02" w:rsidRDefault="00960F31">
      <w:pPr>
        <w:pStyle w:val="ListParagraph"/>
        <w:numPr>
          <w:ilvl w:val="0"/>
          <w:numId w:val="29"/>
        </w:numPr>
        <w:tabs>
          <w:tab w:val="left" w:pos="851"/>
        </w:tabs>
        <w:spacing w:before="174"/>
      </w:pPr>
      <w:r>
        <w:t>The</w:t>
      </w:r>
      <w:r>
        <w:rPr>
          <w:spacing w:val="-3"/>
        </w:rPr>
        <w:t xml:space="preserve"> </w:t>
      </w:r>
      <w:r>
        <w:t>Project</w:t>
      </w:r>
      <w:r>
        <w:rPr>
          <w:spacing w:val="-1"/>
        </w:rPr>
        <w:t xml:space="preserve"> </w:t>
      </w:r>
      <w:r>
        <w:t>Plan</w:t>
      </w:r>
      <w:r>
        <w:rPr>
          <w:spacing w:val="-5"/>
        </w:rPr>
        <w:t xml:space="preserve"> </w:t>
      </w:r>
      <w:r>
        <w:t>identifies,</w:t>
      </w:r>
      <w:r>
        <w:rPr>
          <w:spacing w:val="-5"/>
        </w:rPr>
        <w:t xml:space="preserve"> </w:t>
      </w:r>
      <w:r>
        <w:t>for</w:t>
      </w:r>
      <w:r>
        <w:rPr>
          <w:spacing w:val="-2"/>
        </w:rPr>
        <w:t xml:space="preserve"> example:</w:t>
      </w:r>
    </w:p>
    <w:p w14:paraId="1E805C16" w14:textId="77777777" w:rsidR="00AA4A02" w:rsidRDefault="00960F31">
      <w:pPr>
        <w:pStyle w:val="ListParagraph"/>
        <w:numPr>
          <w:ilvl w:val="0"/>
          <w:numId w:val="16"/>
        </w:numPr>
        <w:tabs>
          <w:tab w:val="left" w:pos="1562"/>
        </w:tabs>
        <w:spacing w:before="151"/>
      </w:pPr>
      <w:r>
        <w:t>the</w:t>
      </w:r>
      <w:r>
        <w:rPr>
          <w:spacing w:val="-3"/>
        </w:rPr>
        <w:t xml:space="preserve"> </w:t>
      </w:r>
      <w:r>
        <w:t>objective(s)</w:t>
      </w:r>
      <w:r>
        <w:rPr>
          <w:spacing w:val="-3"/>
        </w:rPr>
        <w:t xml:space="preserve"> </w:t>
      </w:r>
      <w:r>
        <w:t>and</w:t>
      </w:r>
      <w:r>
        <w:rPr>
          <w:spacing w:val="-3"/>
        </w:rPr>
        <w:t xml:space="preserve"> </w:t>
      </w:r>
      <w:r>
        <w:t>scope</w:t>
      </w:r>
      <w:r>
        <w:rPr>
          <w:spacing w:val="-4"/>
        </w:rPr>
        <w:t xml:space="preserve"> </w:t>
      </w:r>
      <w:r>
        <w:t>of</w:t>
      </w:r>
      <w:r>
        <w:rPr>
          <w:spacing w:val="-3"/>
        </w:rPr>
        <w:t xml:space="preserve"> </w:t>
      </w:r>
      <w:r>
        <w:t>the</w:t>
      </w:r>
      <w:r>
        <w:rPr>
          <w:spacing w:val="-2"/>
        </w:rPr>
        <w:t xml:space="preserve"> project;</w:t>
      </w:r>
    </w:p>
    <w:p w14:paraId="1E805C17" w14:textId="77777777" w:rsidR="00AA4A02" w:rsidRDefault="00960F31">
      <w:pPr>
        <w:pStyle w:val="ListParagraph"/>
        <w:numPr>
          <w:ilvl w:val="0"/>
          <w:numId w:val="16"/>
        </w:numPr>
        <w:tabs>
          <w:tab w:val="left" w:pos="1562"/>
        </w:tabs>
        <w:spacing w:before="98" w:line="208" w:lineRule="auto"/>
        <w:ind w:right="573"/>
      </w:pPr>
      <w:r>
        <w:t>the</w:t>
      </w:r>
      <w:r>
        <w:rPr>
          <w:spacing w:val="-2"/>
        </w:rPr>
        <w:t xml:space="preserve"> </w:t>
      </w:r>
      <w:r>
        <w:t>underlying</w:t>
      </w:r>
      <w:r>
        <w:rPr>
          <w:spacing w:val="-5"/>
        </w:rPr>
        <w:t xml:space="preserve"> </w:t>
      </w:r>
      <w:r>
        <w:t>issues</w:t>
      </w:r>
      <w:r>
        <w:rPr>
          <w:spacing w:val="-4"/>
        </w:rPr>
        <w:t xml:space="preserve"> </w:t>
      </w:r>
      <w:r>
        <w:t>to</w:t>
      </w:r>
      <w:r>
        <w:rPr>
          <w:spacing w:val="-2"/>
        </w:rPr>
        <w:t xml:space="preserve"> </w:t>
      </w:r>
      <w:r>
        <w:t>be</w:t>
      </w:r>
      <w:r>
        <w:rPr>
          <w:spacing w:val="-2"/>
        </w:rPr>
        <w:t xml:space="preserve"> </w:t>
      </w:r>
      <w:r>
        <w:t>addressed</w:t>
      </w:r>
      <w:r>
        <w:rPr>
          <w:spacing w:val="-2"/>
        </w:rPr>
        <w:t xml:space="preserve"> </w:t>
      </w:r>
      <w:r>
        <w:t>by</w:t>
      </w:r>
      <w:r>
        <w:rPr>
          <w:spacing w:val="-5"/>
        </w:rPr>
        <w:t xml:space="preserve"> </w:t>
      </w:r>
      <w:r>
        <w:t>the</w:t>
      </w:r>
      <w:r>
        <w:rPr>
          <w:spacing w:val="-2"/>
        </w:rPr>
        <w:t xml:space="preserve"> </w:t>
      </w:r>
      <w:r>
        <w:t>project (and</w:t>
      </w:r>
      <w:r>
        <w:rPr>
          <w:spacing w:val="-2"/>
        </w:rPr>
        <w:t xml:space="preserve"> </w:t>
      </w:r>
      <w:r>
        <w:t>issues</w:t>
      </w:r>
      <w:r>
        <w:rPr>
          <w:spacing w:val="-4"/>
        </w:rPr>
        <w:t xml:space="preserve"> </w:t>
      </w:r>
      <w:r>
        <w:t>excluded</w:t>
      </w:r>
      <w:r>
        <w:rPr>
          <w:spacing w:val="-2"/>
        </w:rPr>
        <w:t xml:space="preserve"> </w:t>
      </w:r>
      <w:r>
        <w:t>from</w:t>
      </w:r>
      <w:r>
        <w:rPr>
          <w:spacing w:val="-4"/>
        </w:rPr>
        <w:t xml:space="preserve"> </w:t>
      </w:r>
      <w:r>
        <w:t xml:space="preserve">the </w:t>
      </w:r>
      <w:r>
        <w:rPr>
          <w:spacing w:val="-2"/>
        </w:rPr>
        <w:t>scope);</w:t>
      </w:r>
    </w:p>
    <w:p w14:paraId="1E805C18" w14:textId="77777777" w:rsidR="00AA4A02" w:rsidRDefault="00960F31">
      <w:pPr>
        <w:pStyle w:val="ListParagraph"/>
        <w:numPr>
          <w:ilvl w:val="0"/>
          <w:numId w:val="16"/>
        </w:numPr>
        <w:tabs>
          <w:tab w:val="left" w:pos="1562"/>
        </w:tabs>
        <w:spacing w:before="78"/>
      </w:pPr>
      <w:r>
        <w:t>justification</w:t>
      </w:r>
      <w:r>
        <w:rPr>
          <w:spacing w:val="-6"/>
        </w:rPr>
        <w:t xml:space="preserve"> </w:t>
      </w:r>
      <w:r>
        <w:t>for</w:t>
      </w:r>
      <w:r>
        <w:rPr>
          <w:spacing w:val="-4"/>
        </w:rPr>
        <w:t xml:space="preserve"> </w:t>
      </w:r>
      <w:r>
        <w:t>the</w:t>
      </w:r>
      <w:r>
        <w:rPr>
          <w:spacing w:val="-5"/>
        </w:rPr>
        <w:t xml:space="preserve"> </w:t>
      </w:r>
      <w:r>
        <w:t>project,</w:t>
      </w:r>
      <w:r>
        <w:rPr>
          <w:spacing w:val="-5"/>
        </w:rPr>
        <w:t xml:space="preserve"> </w:t>
      </w:r>
      <w:r>
        <w:rPr>
          <w:spacing w:val="-2"/>
        </w:rPr>
        <w:t>including:</w:t>
      </w:r>
    </w:p>
    <w:p w14:paraId="1E805C19" w14:textId="77777777" w:rsidR="00AA4A02" w:rsidRDefault="00960F31">
      <w:pPr>
        <w:pStyle w:val="ListParagraph"/>
        <w:numPr>
          <w:ilvl w:val="1"/>
          <w:numId w:val="16"/>
        </w:numPr>
        <w:tabs>
          <w:tab w:val="left" w:pos="2128"/>
        </w:tabs>
        <w:spacing w:before="85"/>
        <w:ind w:hanging="566"/>
      </w:pPr>
      <w:r>
        <w:t>evidence</w:t>
      </w:r>
      <w:r>
        <w:rPr>
          <w:spacing w:val="-5"/>
        </w:rPr>
        <w:t xml:space="preserve"> </w:t>
      </w:r>
      <w:r>
        <w:t>that</w:t>
      </w:r>
      <w:r>
        <w:rPr>
          <w:spacing w:val="-1"/>
        </w:rPr>
        <w:t xml:space="preserve"> </w:t>
      </w:r>
      <w:r>
        <w:t>there</w:t>
      </w:r>
      <w:r>
        <w:rPr>
          <w:spacing w:val="-3"/>
        </w:rPr>
        <w:t xml:space="preserve"> </w:t>
      </w:r>
      <w:r>
        <w:t>is</w:t>
      </w:r>
      <w:r>
        <w:rPr>
          <w:spacing w:val="-2"/>
        </w:rPr>
        <w:t xml:space="preserve"> </w:t>
      </w:r>
      <w:r>
        <w:t>a</w:t>
      </w:r>
      <w:r>
        <w:rPr>
          <w:spacing w:val="-1"/>
        </w:rPr>
        <w:t xml:space="preserve"> </w:t>
      </w:r>
      <w:r>
        <w:t>problem to</w:t>
      </w:r>
      <w:r>
        <w:rPr>
          <w:spacing w:val="-5"/>
        </w:rPr>
        <w:t xml:space="preserve"> </w:t>
      </w:r>
      <w:r>
        <w:rPr>
          <w:spacing w:val="-2"/>
        </w:rPr>
        <w:t>address;</w:t>
      </w:r>
    </w:p>
    <w:p w14:paraId="1E805C1A" w14:textId="77777777" w:rsidR="00AA4A02" w:rsidRDefault="00960F31">
      <w:pPr>
        <w:pStyle w:val="ListParagraph"/>
        <w:numPr>
          <w:ilvl w:val="1"/>
          <w:numId w:val="16"/>
        </w:numPr>
        <w:tabs>
          <w:tab w:val="left" w:pos="2128"/>
        </w:tabs>
        <w:spacing w:before="69"/>
        <w:ind w:hanging="566"/>
      </w:pPr>
      <w:r>
        <w:t>activities</w:t>
      </w:r>
      <w:r>
        <w:rPr>
          <w:spacing w:val="-7"/>
        </w:rPr>
        <w:t xml:space="preserve"> </w:t>
      </w:r>
      <w:r>
        <w:t>undertaken</w:t>
      </w:r>
      <w:r>
        <w:rPr>
          <w:spacing w:val="-4"/>
        </w:rPr>
        <w:t xml:space="preserve"> </w:t>
      </w:r>
      <w:r>
        <w:t>by</w:t>
      </w:r>
      <w:r>
        <w:rPr>
          <w:spacing w:val="-5"/>
        </w:rPr>
        <w:t xml:space="preserve"> </w:t>
      </w:r>
      <w:r>
        <w:t>technical</w:t>
      </w:r>
      <w:r>
        <w:rPr>
          <w:spacing w:val="-3"/>
        </w:rPr>
        <w:t xml:space="preserve"> </w:t>
      </w:r>
      <w:r>
        <w:t>staff</w:t>
      </w:r>
      <w:r>
        <w:rPr>
          <w:spacing w:val="-7"/>
        </w:rPr>
        <w:t xml:space="preserve"> </w:t>
      </w:r>
      <w:r>
        <w:t>to</w:t>
      </w:r>
      <w:r>
        <w:rPr>
          <w:spacing w:val="-4"/>
        </w:rPr>
        <w:t xml:space="preserve"> </w:t>
      </w:r>
      <w:r>
        <w:t>understand</w:t>
      </w:r>
      <w:r>
        <w:rPr>
          <w:spacing w:val="-4"/>
        </w:rPr>
        <w:t xml:space="preserve"> </w:t>
      </w:r>
      <w:r>
        <w:t>the</w:t>
      </w:r>
      <w:r>
        <w:rPr>
          <w:spacing w:val="-2"/>
        </w:rPr>
        <w:t xml:space="preserve"> problem;</w:t>
      </w:r>
    </w:p>
    <w:p w14:paraId="1E805C1B" w14:textId="77777777" w:rsidR="00AA4A02" w:rsidRDefault="00960F31">
      <w:pPr>
        <w:pStyle w:val="ListParagraph"/>
        <w:numPr>
          <w:ilvl w:val="1"/>
          <w:numId w:val="16"/>
        </w:numPr>
        <w:tabs>
          <w:tab w:val="left" w:pos="2128"/>
        </w:tabs>
        <w:spacing w:before="70"/>
        <w:ind w:hanging="566"/>
      </w:pPr>
      <w:r>
        <w:t>an</w:t>
      </w:r>
      <w:r>
        <w:rPr>
          <w:spacing w:val="-4"/>
        </w:rPr>
        <w:t xml:space="preserve"> </w:t>
      </w:r>
      <w:r>
        <w:t>indication</w:t>
      </w:r>
      <w:r>
        <w:rPr>
          <w:spacing w:val="-3"/>
        </w:rPr>
        <w:t xml:space="preserve"> </w:t>
      </w:r>
      <w:r>
        <w:t>of</w:t>
      </w:r>
      <w:r>
        <w:rPr>
          <w:spacing w:val="-1"/>
        </w:rPr>
        <w:t xml:space="preserve"> </w:t>
      </w:r>
      <w:r>
        <w:t>how</w:t>
      </w:r>
      <w:r>
        <w:rPr>
          <w:spacing w:val="-5"/>
        </w:rPr>
        <w:t xml:space="preserve"> </w:t>
      </w:r>
      <w:r>
        <w:t>pervasive</w:t>
      </w:r>
      <w:r>
        <w:rPr>
          <w:spacing w:val="-5"/>
        </w:rPr>
        <w:t xml:space="preserve"> </w:t>
      </w:r>
      <w:r>
        <w:t>the</w:t>
      </w:r>
      <w:r>
        <w:rPr>
          <w:spacing w:val="-3"/>
        </w:rPr>
        <w:t xml:space="preserve"> </w:t>
      </w:r>
      <w:r>
        <w:t>problem</w:t>
      </w:r>
      <w:r>
        <w:rPr>
          <w:spacing w:val="-2"/>
        </w:rPr>
        <w:t xml:space="preserve"> </w:t>
      </w:r>
      <w:r>
        <w:rPr>
          <w:spacing w:val="-5"/>
        </w:rPr>
        <w:t>is;</w:t>
      </w:r>
    </w:p>
    <w:p w14:paraId="1E805C1C" w14:textId="77777777" w:rsidR="00AA4A02" w:rsidRDefault="00960F31">
      <w:pPr>
        <w:pStyle w:val="ListParagraph"/>
        <w:numPr>
          <w:ilvl w:val="1"/>
          <w:numId w:val="16"/>
        </w:numPr>
        <w:tabs>
          <w:tab w:val="left" w:pos="2128"/>
        </w:tabs>
        <w:spacing w:before="67"/>
        <w:ind w:hanging="566"/>
      </w:pPr>
      <w:r>
        <w:t>the</w:t>
      </w:r>
      <w:r>
        <w:rPr>
          <w:spacing w:val="-3"/>
        </w:rPr>
        <w:t xml:space="preserve"> </w:t>
      </w:r>
      <w:r>
        <w:t>stakeholder</w:t>
      </w:r>
      <w:r>
        <w:rPr>
          <w:spacing w:val="-4"/>
        </w:rPr>
        <w:t xml:space="preserve"> </w:t>
      </w:r>
      <w:r>
        <w:t>groups</w:t>
      </w:r>
      <w:r>
        <w:rPr>
          <w:spacing w:val="-5"/>
        </w:rPr>
        <w:t xml:space="preserve"> </w:t>
      </w:r>
      <w:r>
        <w:rPr>
          <w:spacing w:val="-2"/>
        </w:rPr>
        <w:t>impacted;</w:t>
      </w:r>
    </w:p>
    <w:p w14:paraId="1E805C1D" w14:textId="77777777" w:rsidR="00AA4A02" w:rsidRDefault="00960F31">
      <w:pPr>
        <w:pStyle w:val="ListParagraph"/>
        <w:numPr>
          <w:ilvl w:val="1"/>
          <w:numId w:val="16"/>
        </w:numPr>
        <w:tabs>
          <w:tab w:val="left" w:pos="2128"/>
        </w:tabs>
        <w:spacing w:before="105" w:line="194" w:lineRule="auto"/>
        <w:ind w:right="396"/>
      </w:pPr>
      <w:r>
        <w:t>whether</w:t>
      </w:r>
      <w:r>
        <w:rPr>
          <w:spacing w:val="-2"/>
        </w:rPr>
        <w:t xml:space="preserve"> </w:t>
      </w:r>
      <w:r>
        <w:t>the</w:t>
      </w:r>
      <w:r>
        <w:rPr>
          <w:spacing w:val="-3"/>
        </w:rPr>
        <w:t xml:space="preserve"> </w:t>
      </w:r>
      <w:r>
        <w:t>project</w:t>
      </w:r>
      <w:r>
        <w:rPr>
          <w:spacing w:val="-5"/>
        </w:rPr>
        <w:t xml:space="preserve"> </w:t>
      </w:r>
      <w:r>
        <w:t>is</w:t>
      </w:r>
      <w:r>
        <w:rPr>
          <w:spacing w:val="-5"/>
        </w:rPr>
        <w:t xml:space="preserve"> </w:t>
      </w:r>
      <w:r>
        <w:t>likely</w:t>
      </w:r>
      <w:r>
        <w:rPr>
          <w:spacing w:val="-6"/>
        </w:rPr>
        <w:t xml:space="preserve"> </w:t>
      </w:r>
      <w:r>
        <w:t>to</w:t>
      </w:r>
      <w:r>
        <w:rPr>
          <w:spacing w:val="-3"/>
        </w:rPr>
        <w:t xml:space="preserve"> </w:t>
      </w:r>
      <w:r>
        <w:t>effectively</w:t>
      </w:r>
      <w:r>
        <w:rPr>
          <w:spacing w:val="-3"/>
        </w:rPr>
        <w:t xml:space="preserve"> </w:t>
      </w:r>
      <w:r>
        <w:t>address</w:t>
      </w:r>
      <w:r>
        <w:rPr>
          <w:spacing w:val="-5"/>
        </w:rPr>
        <w:t xml:space="preserve"> </w:t>
      </w:r>
      <w:r>
        <w:t>the</w:t>
      </w:r>
      <w:r>
        <w:rPr>
          <w:spacing w:val="-3"/>
        </w:rPr>
        <w:t xml:space="preserve"> </w:t>
      </w:r>
      <w:r>
        <w:t>underlying</w:t>
      </w:r>
      <w:r>
        <w:rPr>
          <w:spacing w:val="-3"/>
        </w:rPr>
        <w:t xml:space="preserve"> </w:t>
      </w:r>
      <w:r>
        <w:t>issue(s) and how achievement of project objectives would serve the public interest;</w:t>
      </w:r>
    </w:p>
    <w:p w14:paraId="1E805C1E" w14:textId="77777777" w:rsidR="00AA4A02" w:rsidRDefault="00960F31">
      <w:pPr>
        <w:pStyle w:val="ListParagraph"/>
        <w:numPr>
          <w:ilvl w:val="1"/>
          <w:numId w:val="16"/>
        </w:numPr>
        <w:tabs>
          <w:tab w:val="left" w:pos="2128"/>
        </w:tabs>
        <w:spacing w:before="95"/>
        <w:ind w:hanging="566"/>
      </w:pPr>
      <w:r>
        <w:t>the</w:t>
      </w:r>
      <w:r>
        <w:rPr>
          <w:spacing w:val="-2"/>
        </w:rPr>
        <w:t xml:space="preserve"> </w:t>
      </w:r>
      <w:r>
        <w:t>costs</w:t>
      </w:r>
      <w:r>
        <w:rPr>
          <w:spacing w:val="-2"/>
        </w:rPr>
        <w:t xml:space="preserve"> </w:t>
      </w:r>
      <w:r>
        <w:t>and</w:t>
      </w:r>
      <w:r>
        <w:rPr>
          <w:spacing w:val="-5"/>
        </w:rPr>
        <w:t xml:space="preserve"> </w:t>
      </w:r>
      <w:r>
        <w:t>benefits</w:t>
      </w:r>
      <w:r>
        <w:rPr>
          <w:spacing w:val="-4"/>
        </w:rPr>
        <w:t xml:space="preserve"> </w:t>
      </w:r>
      <w:r>
        <w:t>of</w:t>
      </w:r>
      <w:r>
        <w:rPr>
          <w:spacing w:val="-3"/>
        </w:rPr>
        <w:t xml:space="preserve"> </w:t>
      </w:r>
      <w:r>
        <w:t>the</w:t>
      </w:r>
      <w:r>
        <w:rPr>
          <w:spacing w:val="-4"/>
        </w:rPr>
        <w:t xml:space="preserve"> </w:t>
      </w:r>
      <w:r>
        <w:t>anticipated</w:t>
      </w:r>
      <w:r>
        <w:rPr>
          <w:spacing w:val="-2"/>
        </w:rPr>
        <w:t xml:space="preserve"> </w:t>
      </w:r>
      <w:r>
        <w:t>output</w:t>
      </w:r>
      <w:r>
        <w:rPr>
          <w:spacing w:val="-2"/>
        </w:rPr>
        <w:t xml:space="preserve"> </w:t>
      </w:r>
      <w:r>
        <w:t>of</w:t>
      </w:r>
      <w:r>
        <w:rPr>
          <w:spacing w:val="-4"/>
        </w:rPr>
        <w:t xml:space="preserve"> </w:t>
      </w:r>
      <w:r>
        <w:t>the</w:t>
      </w:r>
      <w:r>
        <w:rPr>
          <w:spacing w:val="-2"/>
        </w:rPr>
        <w:t xml:space="preserve"> </w:t>
      </w:r>
      <w:r>
        <w:t>proposed</w:t>
      </w:r>
      <w:r>
        <w:rPr>
          <w:spacing w:val="-5"/>
        </w:rPr>
        <w:t xml:space="preserve"> </w:t>
      </w:r>
      <w:r>
        <w:t>project;</w:t>
      </w:r>
      <w:r>
        <w:rPr>
          <w:spacing w:val="-3"/>
        </w:rPr>
        <w:t xml:space="preserve"> </w:t>
      </w:r>
      <w:r>
        <w:rPr>
          <w:spacing w:val="-5"/>
        </w:rPr>
        <w:t>and</w:t>
      </w:r>
    </w:p>
    <w:p w14:paraId="1E805C1F" w14:textId="77777777" w:rsidR="00AA4A02" w:rsidRDefault="00960F31">
      <w:pPr>
        <w:pStyle w:val="ListParagraph"/>
        <w:numPr>
          <w:ilvl w:val="1"/>
          <w:numId w:val="16"/>
        </w:numPr>
        <w:tabs>
          <w:tab w:val="left" w:pos="2128"/>
        </w:tabs>
        <w:spacing w:before="99" w:line="201" w:lineRule="auto"/>
        <w:ind w:right="306"/>
      </w:pPr>
      <w:r>
        <w:t>consideration</w:t>
      </w:r>
      <w:r>
        <w:rPr>
          <w:spacing w:val="-3"/>
        </w:rPr>
        <w:t xml:space="preserve"> </w:t>
      </w:r>
      <w:r>
        <w:t>of</w:t>
      </w:r>
      <w:r>
        <w:rPr>
          <w:spacing w:val="-3"/>
        </w:rPr>
        <w:t xml:space="preserve"> </w:t>
      </w:r>
      <w:r>
        <w:t>whether</w:t>
      </w:r>
      <w:r>
        <w:rPr>
          <w:spacing w:val="-1"/>
        </w:rPr>
        <w:t xml:space="preserve"> </w:t>
      </w:r>
      <w:r>
        <w:t>the</w:t>
      </w:r>
      <w:r>
        <w:rPr>
          <w:spacing w:val="-3"/>
        </w:rPr>
        <w:t xml:space="preserve"> </w:t>
      </w:r>
      <w:r>
        <w:t>AUASB</w:t>
      </w:r>
      <w:r>
        <w:rPr>
          <w:spacing w:val="-5"/>
        </w:rPr>
        <w:t xml:space="preserve"> </w:t>
      </w:r>
      <w:r>
        <w:t>is</w:t>
      </w:r>
      <w:r>
        <w:rPr>
          <w:spacing w:val="-3"/>
        </w:rPr>
        <w:t xml:space="preserve"> </w:t>
      </w:r>
      <w:r>
        <w:t>the</w:t>
      </w:r>
      <w:r>
        <w:rPr>
          <w:spacing w:val="-2"/>
        </w:rPr>
        <w:t xml:space="preserve"> </w:t>
      </w:r>
      <w:r>
        <w:t>appropriate</w:t>
      </w:r>
      <w:r>
        <w:rPr>
          <w:spacing w:val="-3"/>
        </w:rPr>
        <w:t xml:space="preserve"> </w:t>
      </w:r>
      <w:r>
        <w:t>body</w:t>
      </w:r>
      <w:r>
        <w:rPr>
          <w:spacing w:val="-5"/>
        </w:rPr>
        <w:t xml:space="preserve"> </w:t>
      </w:r>
      <w:r>
        <w:t>to</w:t>
      </w:r>
      <w:r>
        <w:rPr>
          <w:spacing w:val="-3"/>
        </w:rPr>
        <w:t xml:space="preserve"> </w:t>
      </w:r>
      <w:r>
        <w:t>respond</w:t>
      </w:r>
      <w:r>
        <w:rPr>
          <w:spacing w:val="-3"/>
        </w:rPr>
        <w:t xml:space="preserve"> </w:t>
      </w:r>
      <w:r>
        <w:t>to</w:t>
      </w:r>
      <w:r>
        <w:rPr>
          <w:spacing w:val="-6"/>
        </w:rPr>
        <w:t xml:space="preserve"> </w:t>
      </w:r>
      <w:r>
        <w:t>the issue or whether other parties in the financial ecosystem, such as the professional accounting bodies and/or regulators (such as APRA and</w:t>
      </w:r>
    </w:p>
    <w:p w14:paraId="1E805C20" w14:textId="77777777" w:rsidR="00AA4A02" w:rsidRDefault="00960F31">
      <w:pPr>
        <w:pStyle w:val="BodyText"/>
        <w:spacing w:before="1" w:line="208" w:lineRule="auto"/>
        <w:ind w:left="2128" w:right="173"/>
      </w:pPr>
      <w:r>
        <w:t>ASIC),</w:t>
      </w:r>
      <w:r>
        <w:rPr>
          <w:spacing w:val="-2"/>
        </w:rPr>
        <w:t xml:space="preserve"> </w:t>
      </w:r>
      <w:r>
        <w:t>are</w:t>
      </w:r>
      <w:r>
        <w:rPr>
          <w:spacing w:val="-2"/>
        </w:rPr>
        <w:t xml:space="preserve"> </w:t>
      </w:r>
      <w:r>
        <w:t>in</w:t>
      </w:r>
      <w:r>
        <w:rPr>
          <w:spacing w:val="-2"/>
        </w:rPr>
        <w:t xml:space="preserve"> </w:t>
      </w:r>
      <w:r>
        <w:t>a</w:t>
      </w:r>
      <w:r>
        <w:rPr>
          <w:spacing w:val="-2"/>
        </w:rPr>
        <w:t xml:space="preserve"> </w:t>
      </w:r>
      <w:r>
        <w:t>better</w:t>
      </w:r>
      <w:r>
        <w:rPr>
          <w:spacing w:val="-3"/>
        </w:rPr>
        <w:t xml:space="preserve"> </w:t>
      </w:r>
      <w:r>
        <w:t>position</w:t>
      </w:r>
      <w:r>
        <w:rPr>
          <w:spacing w:val="-2"/>
        </w:rPr>
        <w:t xml:space="preserve"> </w:t>
      </w:r>
      <w:r>
        <w:t>to</w:t>
      </w:r>
      <w:r>
        <w:rPr>
          <w:spacing w:val="-5"/>
        </w:rPr>
        <w:t xml:space="preserve"> </w:t>
      </w:r>
      <w:r>
        <w:t>respond,</w:t>
      </w:r>
      <w:r>
        <w:rPr>
          <w:spacing w:val="-2"/>
        </w:rPr>
        <w:t xml:space="preserve"> </w:t>
      </w:r>
      <w:r>
        <w:t>or</w:t>
      </w:r>
      <w:r>
        <w:rPr>
          <w:spacing w:val="-1"/>
        </w:rPr>
        <w:t xml:space="preserve"> </w:t>
      </w:r>
      <w:r>
        <w:t>should</w:t>
      </w:r>
      <w:r>
        <w:rPr>
          <w:spacing w:val="-5"/>
        </w:rPr>
        <w:t xml:space="preserve"> </w:t>
      </w:r>
      <w:r>
        <w:t>share</w:t>
      </w:r>
      <w:r>
        <w:rPr>
          <w:spacing w:val="-4"/>
        </w:rPr>
        <w:t xml:space="preserve"> </w:t>
      </w:r>
      <w:r>
        <w:t>responsibility, especially given the scarcity of AUASB resources;</w:t>
      </w:r>
    </w:p>
    <w:p w14:paraId="1E805C21" w14:textId="77777777" w:rsidR="00AA4A02" w:rsidRDefault="00960F31">
      <w:pPr>
        <w:pStyle w:val="ListParagraph"/>
        <w:numPr>
          <w:ilvl w:val="0"/>
          <w:numId w:val="16"/>
        </w:numPr>
        <w:tabs>
          <w:tab w:val="left" w:pos="1562"/>
        </w:tabs>
        <w:spacing w:before="76"/>
      </w:pPr>
      <w:r>
        <w:t>planning</w:t>
      </w:r>
      <w:r>
        <w:rPr>
          <w:spacing w:val="-7"/>
        </w:rPr>
        <w:t xml:space="preserve"> </w:t>
      </w:r>
      <w:r>
        <w:t>and</w:t>
      </w:r>
      <w:r>
        <w:rPr>
          <w:spacing w:val="-4"/>
        </w:rPr>
        <w:t xml:space="preserve"> </w:t>
      </w:r>
      <w:r>
        <w:t>communication</w:t>
      </w:r>
      <w:r>
        <w:rPr>
          <w:spacing w:val="-4"/>
        </w:rPr>
        <w:t xml:space="preserve"> </w:t>
      </w:r>
      <w:r>
        <w:t>issues</w:t>
      </w:r>
      <w:r>
        <w:rPr>
          <w:spacing w:val="-5"/>
        </w:rPr>
        <w:t xml:space="preserve"> </w:t>
      </w:r>
      <w:r>
        <w:t>related</w:t>
      </w:r>
      <w:r>
        <w:rPr>
          <w:spacing w:val="-6"/>
        </w:rPr>
        <w:t xml:space="preserve"> </w:t>
      </w:r>
      <w:r>
        <w:t>to</w:t>
      </w:r>
      <w:r>
        <w:rPr>
          <w:spacing w:val="-4"/>
        </w:rPr>
        <w:t xml:space="preserve"> </w:t>
      </w:r>
      <w:r>
        <w:t>the</w:t>
      </w:r>
      <w:r>
        <w:rPr>
          <w:spacing w:val="-3"/>
        </w:rPr>
        <w:t xml:space="preserve"> </w:t>
      </w:r>
      <w:r>
        <w:rPr>
          <w:spacing w:val="-2"/>
        </w:rPr>
        <w:t>project;</w:t>
      </w:r>
    </w:p>
    <w:p w14:paraId="1E805C22" w14:textId="77777777" w:rsidR="00AA4A02" w:rsidRDefault="00960F31">
      <w:pPr>
        <w:pStyle w:val="ListParagraph"/>
        <w:numPr>
          <w:ilvl w:val="0"/>
          <w:numId w:val="16"/>
        </w:numPr>
        <w:tabs>
          <w:tab w:val="left" w:pos="1562"/>
        </w:tabs>
        <w:spacing w:before="72"/>
      </w:pPr>
      <w:r>
        <w:t>opportunities</w:t>
      </w:r>
      <w:r>
        <w:rPr>
          <w:spacing w:val="-6"/>
        </w:rPr>
        <w:t xml:space="preserve"> </w:t>
      </w:r>
      <w:r>
        <w:t>to</w:t>
      </w:r>
      <w:r>
        <w:rPr>
          <w:spacing w:val="-3"/>
        </w:rPr>
        <w:t xml:space="preserve"> </w:t>
      </w:r>
      <w:r>
        <w:t>collaborate</w:t>
      </w:r>
      <w:r>
        <w:rPr>
          <w:spacing w:val="-6"/>
        </w:rPr>
        <w:t xml:space="preserve"> </w:t>
      </w:r>
      <w:r>
        <w:t>with</w:t>
      </w:r>
      <w:r>
        <w:rPr>
          <w:spacing w:val="-6"/>
        </w:rPr>
        <w:t xml:space="preserve"> </w:t>
      </w:r>
      <w:r>
        <w:t>the</w:t>
      </w:r>
      <w:r>
        <w:rPr>
          <w:spacing w:val="-4"/>
        </w:rPr>
        <w:t xml:space="preserve"> </w:t>
      </w:r>
      <w:r>
        <w:t>NZAuASB</w:t>
      </w:r>
      <w:r>
        <w:rPr>
          <w:spacing w:val="-5"/>
        </w:rPr>
        <w:t xml:space="preserve"> </w:t>
      </w:r>
      <w:r>
        <w:t>and</w:t>
      </w:r>
      <w:r>
        <w:rPr>
          <w:spacing w:val="-6"/>
        </w:rPr>
        <w:t xml:space="preserve"> </w:t>
      </w:r>
      <w:r>
        <w:t>other</w:t>
      </w:r>
      <w:r>
        <w:rPr>
          <w:spacing w:val="-2"/>
        </w:rPr>
        <w:t xml:space="preserve"> </w:t>
      </w:r>
      <w:r>
        <w:t>national</w:t>
      </w:r>
      <w:r>
        <w:rPr>
          <w:spacing w:val="1"/>
        </w:rPr>
        <w:t xml:space="preserve"> </w:t>
      </w:r>
      <w:r>
        <w:t>standard</w:t>
      </w:r>
      <w:r>
        <w:rPr>
          <w:spacing w:val="-6"/>
        </w:rPr>
        <w:t xml:space="preserve"> </w:t>
      </w:r>
      <w:r>
        <w:rPr>
          <w:spacing w:val="-2"/>
        </w:rPr>
        <w:t>setters;</w:t>
      </w:r>
    </w:p>
    <w:p w14:paraId="1E805C23" w14:textId="77777777" w:rsidR="00AA4A02" w:rsidRDefault="00960F31">
      <w:pPr>
        <w:pStyle w:val="ListParagraph"/>
        <w:numPr>
          <w:ilvl w:val="0"/>
          <w:numId w:val="16"/>
        </w:numPr>
        <w:tabs>
          <w:tab w:val="left" w:pos="1562"/>
        </w:tabs>
        <w:spacing w:before="72"/>
      </w:pPr>
      <w:r>
        <w:t>potential</w:t>
      </w:r>
      <w:r>
        <w:rPr>
          <w:spacing w:val="-3"/>
        </w:rPr>
        <w:t xml:space="preserve"> </w:t>
      </w:r>
      <w:r>
        <w:t>need</w:t>
      </w:r>
      <w:r>
        <w:rPr>
          <w:spacing w:val="-5"/>
        </w:rPr>
        <w:t xml:space="preserve"> </w:t>
      </w:r>
      <w:r>
        <w:t>for</w:t>
      </w:r>
      <w:r>
        <w:rPr>
          <w:spacing w:val="-5"/>
        </w:rPr>
        <w:t xml:space="preserve"> </w:t>
      </w:r>
      <w:r>
        <w:t>appointment</w:t>
      </w:r>
      <w:r>
        <w:rPr>
          <w:spacing w:val="-2"/>
        </w:rPr>
        <w:t xml:space="preserve"> </w:t>
      </w:r>
      <w:r>
        <w:t>of</w:t>
      </w:r>
      <w:r>
        <w:rPr>
          <w:spacing w:val="-3"/>
        </w:rPr>
        <w:t xml:space="preserve"> </w:t>
      </w:r>
      <w:r>
        <w:t>a</w:t>
      </w:r>
      <w:r>
        <w:rPr>
          <w:spacing w:val="-1"/>
        </w:rPr>
        <w:t xml:space="preserve"> </w:t>
      </w:r>
      <w:r>
        <w:t>PAG</w:t>
      </w:r>
      <w:r>
        <w:rPr>
          <w:spacing w:val="-3"/>
        </w:rPr>
        <w:t xml:space="preserve"> </w:t>
      </w:r>
      <w:r>
        <w:t>to</w:t>
      </w:r>
      <w:r>
        <w:rPr>
          <w:spacing w:val="-3"/>
        </w:rPr>
        <w:t xml:space="preserve"> </w:t>
      </w:r>
      <w:r>
        <w:t>provide</w:t>
      </w:r>
      <w:r>
        <w:rPr>
          <w:spacing w:val="-3"/>
        </w:rPr>
        <w:t xml:space="preserve"> </w:t>
      </w:r>
      <w:r>
        <w:rPr>
          <w:spacing w:val="-2"/>
        </w:rPr>
        <w:t>input;</w:t>
      </w:r>
    </w:p>
    <w:p w14:paraId="1E805C24" w14:textId="77777777" w:rsidR="00AA4A02" w:rsidRDefault="00960F31">
      <w:pPr>
        <w:pStyle w:val="ListParagraph"/>
        <w:numPr>
          <w:ilvl w:val="0"/>
          <w:numId w:val="16"/>
        </w:numPr>
        <w:tabs>
          <w:tab w:val="left" w:pos="1562"/>
        </w:tabs>
        <w:spacing w:before="69"/>
      </w:pPr>
      <w:r>
        <w:t>estimated</w:t>
      </w:r>
      <w:r>
        <w:rPr>
          <w:spacing w:val="-6"/>
        </w:rPr>
        <w:t xml:space="preserve"> </w:t>
      </w:r>
      <w:r>
        <w:t>staff</w:t>
      </w:r>
      <w:r>
        <w:rPr>
          <w:spacing w:val="-4"/>
        </w:rPr>
        <w:t xml:space="preserve"> </w:t>
      </w:r>
      <w:r>
        <w:t>hours</w:t>
      </w:r>
      <w:r>
        <w:rPr>
          <w:spacing w:val="-5"/>
        </w:rPr>
        <w:t xml:space="preserve"> </w:t>
      </w:r>
      <w:r>
        <w:t>and</w:t>
      </w:r>
      <w:r>
        <w:rPr>
          <w:spacing w:val="-6"/>
        </w:rPr>
        <w:t xml:space="preserve"> </w:t>
      </w:r>
      <w:r>
        <w:t>timing</w:t>
      </w:r>
      <w:r>
        <w:rPr>
          <w:spacing w:val="-3"/>
        </w:rPr>
        <w:t xml:space="preserve"> </w:t>
      </w:r>
      <w:r>
        <w:t>for</w:t>
      </w:r>
      <w:r>
        <w:rPr>
          <w:spacing w:val="-4"/>
        </w:rPr>
        <w:t xml:space="preserve"> </w:t>
      </w:r>
      <w:r>
        <w:t>achievement</w:t>
      </w:r>
      <w:r>
        <w:rPr>
          <w:spacing w:val="-3"/>
        </w:rPr>
        <w:t xml:space="preserve"> </w:t>
      </w:r>
      <w:r>
        <w:t>of</w:t>
      </w:r>
      <w:r>
        <w:rPr>
          <w:spacing w:val="-6"/>
        </w:rPr>
        <w:t xml:space="preserve"> </w:t>
      </w:r>
      <w:r>
        <w:t>specific</w:t>
      </w:r>
      <w:r>
        <w:rPr>
          <w:spacing w:val="-3"/>
        </w:rPr>
        <w:t xml:space="preserve"> </w:t>
      </w:r>
      <w:r>
        <w:t>project</w:t>
      </w:r>
      <w:r>
        <w:rPr>
          <w:spacing w:val="-3"/>
        </w:rPr>
        <w:t xml:space="preserve"> </w:t>
      </w:r>
      <w:r>
        <w:rPr>
          <w:spacing w:val="-2"/>
        </w:rPr>
        <w:t>milestones;</w:t>
      </w:r>
    </w:p>
    <w:p w14:paraId="1E805C25" w14:textId="77777777" w:rsidR="00AA4A02" w:rsidRDefault="00960F31">
      <w:pPr>
        <w:pStyle w:val="ListParagraph"/>
        <w:numPr>
          <w:ilvl w:val="0"/>
          <w:numId w:val="16"/>
        </w:numPr>
        <w:tabs>
          <w:tab w:val="left" w:pos="1562"/>
        </w:tabs>
        <w:spacing w:before="71"/>
      </w:pPr>
      <w:r>
        <w:t>nature,</w:t>
      </w:r>
      <w:r>
        <w:rPr>
          <w:spacing w:val="-7"/>
        </w:rPr>
        <w:t xml:space="preserve"> </w:t>
      </w:r>
      <w:r>
        <w:t>timing</w:t>
      </w:r>
      <w:r>
        <w:rPr>
          <w:spacing w:val="-2"/>
        </w:rPr>
        <w:t xml:space="preserve"> </w:t>
      </w:r>
      <w:r>
        <w:t>and</w:t>
      </w:r>
      <w:r>
        <w:rPr>
          <w:spacing w:val="-4"/>
        </w:rPr>
        <w:t xml:space="preserve"> </w:t>
      </w:r>
      <w:r>
        <w:t>extent</w:t>
      </w:r>
      <w:r>
        <w:rPr>
          <w:spacing w:val="-1"/>
        </w:rPr>
        <w:t xml:space="preserve"> </w:t>
      </w:r>
      <w:r>
        <w:t>of</w:t>
      </w:r>
      <w:r>
        <w:rPr>
          <w:spacing w:val="-4"/>
        </w:rPr>
        <w:t xml:space="preserve"> </w:t>
      </w:r>
      <w:r>
        <w:t>input</w:t>
      </w:r>
      <w:r>
        <w:rPr>
          <w:spacing w:val="-2"/>
        </w:rPr>
        <w:t xml:space="preserve"> </w:t>
      </w:r>
      <w:r>
        <w:t>to</w:t>
      </w:r>
      <w:r>
        <w:rPr>
          <w:spacing w:val="-5"/>
        </w:rPr>
        <w:t xml:space="preserve"> </w:t>
      </w:r>
      <w:r>
        <w:t>be</w:t>
      </w:r>
      <w:r>
        <w:rPr>
          <w:spacing w:val="-2"/>
        </w:rPr>
        <w:t xml:space="preserve"> </w:t>
      </w:r>
      <w:r>
        <w:t>obtained</w:t>
      </w:r>
      <w:r>
        <w:rPr>
          <w:spacing w:val="-4"/>
        </w:rPr>
        <w:t xml:space="preserve"> </w:t>
      </w:r>
      <w:r>
        <w:t>from</w:t>
      </w:r>
      <w:r>
        <w:rPr>
          <w:spacing w:val="-4"/>
        </w:rPr>
        <w:t xml:space="preserve"> </w:t>
      </w:r>
      <w:r>
        <w:t>Australian</w:t>
      </w:r>
      <w:r>
        <w:rPr>
          <w:spacing w:val="-4"/>
        </w:rPr>
        <w:t xml:space="preserve"> </w:t>
      </w:r>
      <w:r>
        <w:t>stakeholders;</w:t>
      </w:r>
      <w:r>
        <w:rPr>
          <w:spacing w:val="-1"/>
        </w:rPr>
        <w:t xml:space="preserve"> </w:t>
      </w:r>
      <w:r>
        <w:rPr>
          <w:spacing w:val="-5"/>
        </w:rPr>
        <w:t>and</w:t>
      </w:r>
    </w:p>
    <w:p w14:paraId="1E805C26" w14:textId="77777777" w:rsidR="00AA4A02" w:rsidRDefault="00960F31">
      <w:pPr>
        <w:pStyle w:val="ListParagraph"/>
        <w:numPr>
          <w:ilvl w:val="0"/>
          <w:numId w:val="16"/>
        </w:numPr>
        <w:tabs>
          <w:tab w:val="left" w:pos="1562"/>
        </w:tabs>
        <w:spacing w:before="71"/>
      </w:pPr>
      <w:r>
        <w:t>the</w:t>
      </w:r>
      <w:r>
        <w:rPr>
          <w:spacing w:val="-6"/>
        </w:rPr>
        <w:t xml:space="preserve"> </w:t>
      </w:r>
      <w:r>
        <w:t>desired</w:t>
      </w:r>
      <w:r>
        <w:rPr>
          <w:spacing w:val="-4"/>
        </w:rPr>
        <w:t xml:space="preserve"> </w:t>
      </w:r>
      <w:r>
        <w:t>project</w:t>
      </w:r>
      <w:r>
        <w:rPr>
          <w:spacing w:val="-2"/>
        </w:rPr>
        <w:t xml:space="preserve"> </w:t>
      </w:r>
      <w:r>
        <w:t>output</w:t>
      </w:r>
      <w:r>
        <w:rPr>
          <w:spacing w:val="-2"/>
        </w:rPr>
        <w:t xml:space="preserve"> </w:t>
      </w:r>
      <w:r>
        <w:t>(for</w:t>
      </w:r>
      <w:r>
        <w:rPr>
          <w:spacing w:val="-3"/>
        </w:rPr>
        <w:t xml:space="preserve"> </w:t>
      </w:r>
      <w:r>
        <w:t>example,</w:t>
      </w:r>
      <w:r>
        <w:rPr>
          <w:spacing w:val="-5"/>
        </w:rPr>
        <w:t xml:space="preserve"> </w:t>
      </w:r>
      <w:r>
        <w:t>a</w:t>
      </w:r>
      <w:r>
        <w:rPr>
          <w:spacing w:val="-3"/>
        </w:rPr>
        <w:t xml:space="preserve"> </w:t>
      </w:r>
      <w:r>
        <w:t>standard</w:t>
      </w:r>
      <w:r>
        <w:rPr>
          <w:spacing w:val="-3"/>
        </w:rPr>
        <w:t xml:space="preserve"> </w:t>
      </w:r>
      <w:r>
        <w:t>or</w:t>
      </w:r>
      <w:r>
        <w:rPr>
          <w:spacing w:val="-3"/>
        </w:rPr>
        <w:t xml:space="preserve"> </w:t>
      </w:r>
      <w:r>
        <w:t>some</w:t>
      </w:r>
      <w:r>
        <w:rPr>
          <w:spacing w:val="-5"/>
        </w:rPr>
        <w:t xml:space="preserve"> </w:t>
      </w:r>
      <w:r>
        <w:t>form</w:t>
      </w:r>
      <w:r>
        <w:rPr>
          <w:spacing w:val="-2"/>
        </w:rPr>
        <w:t xml:space="preserve"> </w:t>
      </w:r>
      <w:r>
        <w:t>of</w:t>
      </w:r>
      <w:r>
        <w:rPr>
          <w:spacing w:val="-3"/>
        </w:rPr>
        <w:t xml:space="preserve"> </w:t>
      </w:r>
      <w:r>
        <w:rPr>
          <w:spacing w:val="-2"/>
        </w:rPr>
        <w:t>guidance).</w:t>
      </w:r>
    </w:p>
    <w:p w14:paraId="1E805C27" w14:textId="77777777" w:rsidR="00AA4A02" w:rsidRDefault="00AA4A02">
      <w:pPr>
        <w:pStyle w:val="ListParagraph"/>
        <w:sectPr w:rsidR="00AA4A02">
          <w:pgSz w:w="11910" w:h="16840"/>
          <w:pgMar w:top="1380" w:right="1275" w:bottom="1040" w:left="1275" w:header="689" w:footer="842" w:gutter="0"/>
          <w:cols w:space="720"/>
        </w:sectPr>
      </w:pPr>
    </w:p>
    <w:p w14:paraId="1E805C28" w14:textId="77777777" w:rsidR="00AA4A02" w:rsidRDefault="00960F31">
      <w:pPr>
        <w:pStyle w:val="ListParagraph"/>
        <w:numPr>
          <w:ilvl w:val="0"/>
          <w:numId w:val="29"/>
        </w:numPr>
        <w:tabs>
          <w:tab w:val="left" w:pos="851"/>
        </w:tabs>
        <w:spacing w:before="219" w:line="208" w:lineRule="auto"/>
        <w:ind w:right="180"/>
      </w:pPr>
      <w:r>
        <w:lastRenderedPageBreak/>
        <w:t>All</w:t>
      </w:r>
      <w:r>
        <w:rPr>
          <w:spacing w:val="-1"/>
        </w:rPr>
        <w:t xml:space="preserve"> </w:t>
      </w:r>
      <w:r>
        <w:t>Project</w:t>
      </w:r>
      <w:r>
        <w:rPr>
          <w:spacing w:val="-1"/>
        </w:rPr>
        <w:t xml:space="preserve"> </w:t>
      </w:r>
      <w:r>
        <w:t>Plans</w:t>
      </w:r>
      <w:r>
        <w:rPr>
          <w:spacing w:val="-2"/>
        </w:rPr>
        <w:t xml:space="preserve"> </w:t>
      </w:r>
      <w:r>
        <w:t>must</w:t>
      </w:r>
      <w:r>
        <w:rPr>
          <w:spacing w:val="-3"/>
        </w:rPr>
        <w:t xml:space="preserve"> </w:t>
      </w:r>
      <w:r>
        <w:t>be</w:t>
      </w:r>
      <w:r>
        <w:rPr>
          <w:spacing w:val="-2"/>
        </w:rPr>
        <w:t xml:space="preserve"> </w:t>
      </w:r>
      <w:r>
        <w:t>approved</w:t>
      </w:r>
      <w:r>
        <w:rPr>
          <w:spacing w:val="-2"/>
        </w:rPr>
        <w:t xml:space="preserve"> </w:t>
      </w:r>
      <w:r>
        <w:t>by</w:t>
      </w:r>
      <w:r>
        <w:rPr>
          <w:spacing w:val="-4"/>
        </w:rPr>
        <w:t xml:space="preserve"> </w:t>
      </w:r>
      <w:r>
        <w:t>the</w:t>
      </w:r>
      <w:r>
        <w:rPr>
          <w:spacing w:val="-2"/>
        </w:rPr>
        <w:t xml:space="preserve"> </w:t>
      </w:r>
      <w:r>
        <w:t>AUASB</w:t>
      </w:r>
      <w:r>
        <w:rPr>
          <w:spacing w:val="-3"/>
        </w:rPr>
        <w:t xml:space="preserve"> </w:t>
      </w:r>
      <w:r>
        <w:t>Technical</w:t>
      </w:r>
      <w:r>
        <w:rPr>
          <w:spacing w:val="-1"/>
        </w:rPr>
        <w:t xml:space="preserve"> </w:t>
      </w:r>
      <w:r>
        <w:t>Director,</w:t>
      </w:r>
      <w:r>
        <w:rPr>
          <w:spacing w:val="-1"/>
        </w:rPr>
        <w:t xml:space="preserve"> </w:t>
      </w:r>
      <w:r>
        <w:t>AUASB</w:t>
      </w:r>
      <w:r>
        <w:rPr>
          <w:spacing w:val="-4"/>
        </w:rPr>
        <w:t xml:space="preserve"> </w:t>
      </w:r>
      <w:r>
        <w:t>Chair</w:t>
      </w:r>
      <w:r>
        <w:rPr>
          <w:spacing w:val="-3"/>
        </w:rPr>
        <w:t xml:space="preserve"> </w:t>
      </w:r>
      <w:r>
        <w:t>and</w:t>
      </w:r>
      <w:r>
        <w:rPr>
          <w:spacing w:val="-4"/>
        </w:rPr>
        <w:t xml:space="preserve"> </w:t>
      </w:r>
      <w:r>
        <w:t xml:space="preserve">the </w:t>
      </w:r>
      <w:r>
        <w:rPr>
          <w:spacing w:val="-2"/>
        </w:rPr>
        <w:t>AUASB.</w:t>
      </w:r>
    </w:p>
    <w:p w14:paraId="1E805C29" w14:textId="77777777" w:rsidR="00AA4A02" w:rsidRDefault="00960F31">
      <w:pPr>
        <w:pStyle w:val="ListParagraph"/>
        <w:numPr>
          <w:ilvl w:val="0"/>
          <w:numId w:val="29"/>
        </w:numPr>
        <w:tabs>
          <w:tab w:val="left" w:pos="851"/>
        </w:tabs>
        <w:spacing w:line="208" w:lineRule="auto"/>
        <w:ind w:right="266"/>
      </w:pPr>
      <w:r>
        <w:t>Depending</w:t>
      </w:r>
      <w:r>
        <w:rPr>
          <w:spacing w:val="-3"/>
        </w:rPr>
        <w:t xml:space="preserve"> </w:t>
      </w:r>
      <w:r>
        <w:t>on</w:t>
      </w:r>
      <w:r>
        <w:rPr>
          <w:spacing w:val="-3"/>
        </w:rPr>
        <w:t xml:space="preserve"> </w:t>
      </w:r>
      <w:r>
        <w:t>whether</w:t>
      </w:r>
      <w:r>
        <w:rPr>
          <w:spacing w:val="-2"/>
        </w:rPr>
        <w:t xml:space="preserve"> </w:t>
      </w:r>
      <w:r>
        <w:t>specialised</w:t>
      </w:r>
      <w:r>
        <w:rPr>
          <w:spacing w:val="-3"/>
        </w:rPr>
        <w:t xml:space="preserve"> </w:t>
      </w:r>
      <w:r>
        <w:t>knowledge is</w:t>
      </w:r>
      <w:r>
        <w:rPr>
          <w:spacing w:val="-5"/>
        </w:rPr>
        <w:t xml:space="preserve"> </w:t>
      </w:r>
      <w:r>
        <w:t>required</w:t>
      </w:r>
      <w:r>
        <w:rPr>
          <w:spacing w:val="-3"/>
        </w:rPr>
        <w:t xml:space="preserve"> </w:t>
      </w:r>
      <w:r>
        <w:t>for</w:t>
      </w:r>
      <w:r>
        <w:rPr>
          <w:spacing w:val="-3"/>
        </w:rPr>
        <w:t xml:space="preserve"> </w:t>
      </w:r>
      <w:r>
        <w:t>the</w:t>
      </w:r>
      <w:r>
        <w:rPr>
          <w:spacing w:val="-3"/>
        </w:rPr>
        <w:t xml:space="preserve"> </w:t>
      </w:r>
      <w:r>
        <w:t>project,</w:t>
      </w:r>
      <w:r>
        <w:rPr>
          <w:spacing w:val="-5"/>
        </w:rPr>
        <w:t xml:space="preserve"> </w:t>
      </w:r>
      <w:r>
        <w:t>or</w:t>
      </w:r>
      <w:r>
        <w:rPr>
          <w:spacing w:val="-5"/>
        </w:rPr>
        <w:t xml:space="preserve"> </w:t>
      </w:r>
      <w:r>
        <w:t>the</w:t>
      </w:r>
      <w:r>
        <w:rPr>
          <w:spacing w:val="-5"/>
        </w:rPr>
        <w:t xml:space="preserve"> </w:t>
      </w:r>
      <w:r>
        <w:t>complexity</w:t>
      </w:r>
      <w:r>
        <w:rPr>
          <w:spacing w:val="-3"/>
        </w:rPr>
        <w:t xml:space="preserve"> </w:t>
      </w:r>
      <w:r>
        <w:t>of the project, the AUASB considers whether a PAG</w:t>
      </w:r>
      <w:r>
        <w:rPr>
          <w:vertAlign w:val="superscript"/>
        </w:rPr>
        <w:t>56</w:t>
      </w:r>
      <w:r>
        <w:t xml:space="preserve"> needs to be formed.</w:t>
      </w:r>
      <w:r>
        <w:rPr>
          <w:spacing w:val="40"/>
        </w:rPr>
        <w:t xml:space="preserve"> </w:t>
      </w:r>
      <w:r>
        <w:t>PAG</w:t>
      </w:r>
      <w:r>
        <w:rPr>
          <w:spacing w:val="-1"/>
        </w:rPr>
        <w:t xml:space="preserve"> </w:t>
      </w:r>
      <w:r>
        <w:t>members will be consulted on the issues underlying the project and will assist the technical staff project manager in developing the project output.</w:t>
      </w:r>
      <w:r>
        <w:rPr>
          <w:spacing w:val="40"/>
        </w:rPr>
        <w:t xml:space="preserve"> </w:t>
      </w:r>
      <w:r>
        <w:t>These volunteers are recruited by technical staff, typically with the assistance of AUASB members.</w:t>
      </w:r>
    </w:p>
    <w:p w14:paraId="1E805C2A" w14:textId="77777777" w:rsidR="00AA4A02" w:rsidRDefault="00960F31">
      <w:pPr>
        <w:spacing w:before="174"/>
        <w:ind w:left="143"/>
        <w:rPr>
          <w:b/>
          <w:i/>
        </w:rPr>
      </w:pPr>
      <w:bookmarkStart w:id="78" w:name="Develop_the_proposed_draft_standard_(in_"/>
      <w:bookmarkEnd w:id="78"/>
      <w:r>
        <w:rPr>
          <w:b/>
          <w:i/>
        </w:rPr>
        <w:t>Develop</w:t>
      </w:r>
      <w:r>
        <w:rPr>
          <w:b/>
          <w:i/>
          <w:spacing w:val="-5"/>
        </w:rPr>
        <w:t xml:space="preserve"> </w:t>
      </w:r>
      <w:r>
        <w:rPr>
          <w:b/>
          <w:i/>
        </w:rPr>
        <w:t>the</w:t>
      </w:r>
      <w:r>
        <w:rPr>
          <w:b/>
          <w:i/>
          <w:spacing w:val="-3"/>
        </w:rPr>
        <w:t xml:space="preserve"> </w:t>
      </w:r>
      <w:r>
        <w:rPr>
          <w:b/>
          <w:i/>
        </w:rPr>
        <w:t>proposed</w:t>
      </w:r>
      <w:r>
        <w:rPr>
          <w:b/>
          <w:i/>
          <w:spacing w:val="-6"/>
        </w:rPr>
        <w:t xml:space="preserve"> </w:t>
      </w:r>
      <w:r>
        <w:rPr>
          <w:b/>
          <w:i/>
        </w:rPr>
        <w:t>draft</w:t>
      </w:r>
      <w:r>
        <w:rPr>
          <w:b/>
          <w:i/>
          <w:spacing w:val="-5"/>
        </w:rPr>
        <w:t xml:space="preserve"> </w:t>
      </w:r>
      <w:r>
        <w:rPr>
          <w:b/>
          <w:i/>
        </w:rPr>
        <w:t>standard (in</w:t>
      </w:r>
      <w:r>
        <w:rPr>
          <w:b/>
          <w:i/>
          <w:spacing w:val="-3"/>
        </w:rPr>
        <w:t xml:space="preserve"> </w:t>
      </w:r>
      <w:r>
        <w:rPr>
          <w:b/>
          <w:i/>
        </w:rPr>
        <w:t>conjunction</w:t>
      </w:r>
      <w:r>
        <w:rPr>
          <w:b/>
          <w:i/>
          <w:spacing w:val="-6"/>
        </w:rPr>
        <w:t xml:space="preserve"> </w:t>
      </w:r>
      <w:r>
        <w:rPr>
          <w:b/>
          <w:i/>
        </w:rPr>
        <w:t>with</w:t>
      </w:r>
      <w:r>
        <w:rPr>
          <w:b/>
          <w:i/>
          <w:spacing w:val="-6"/>
        </w:rPr>
        <w:t xml:space="preserve"> </w:t>
      </w:r>
      <w:r>
        <w:rPr>
          <w:b/>
          <w:i/>
        </w:rPr>
        <w:t>the</w:t>
      </w:r>
      <w:r>
        <w:rPr>
          <w:b/>
          <w:i/>
          <w:spacing w:val="-3"/>
        </w:rPr>
        <w:t xml:space="preserve"> </w:t>
      </w:r>
      <w:r>
        <w:rPr>
          <w:b/>
          <w:i/>
        </w:rPr>
        <w:t>NZAuASB</w:t>
      </w:r>
      <w:r>
        <w:rPr>
          <w:b/>
          <w:i/>
          <w:spacing w:val="-5"/>
        </w:rPr>
        <w:t xml:space="preserve"> </w:t>
      </w:r>
      <w:r>
        <w:rPr>
          <w:b/>
          <w:i/>
        </w:rPr>
        <w:t>where</w:t>
      </w:r>
      <w:r>
        <w:rPr>
          <w:b/>
          <w:i/>
          <w:spacing w:val="-4"/>
        </w:rPr>
        <w:t xml:space="preserve"> </w:t>
      </w:r>
      <w:r>
        <w:rPr>
          <w:b/>
          <w:i/>
          <w:spacing w:val="-2"/>
        </w:rPr>
        <w:t>appropriate)</w:t>
      </w:r>
    </w:p>
    <w:p w14:paraId="1E805C2B" w14:textId="77777777" w:rsidR="00AA4A02" w:rsidRDefault="00960F31">
      <w:pPr>
        <w:pStyle w:val="ListParagraph"/>
        <w:numPr>
          <w:ilvl w:val="0"/>
          <w:numId w:val="29"/>
        </w:numPr>
        <w:tabs>
          <w:tab w:val="left" w:pos="851"/>
        </w:tabs>
        <w:spacing w:before="167"/>
      </w:pPr>
      <w:r>
        <w:t>Technical</w:t>
      </w:r>
      <w:r>
        <w:rPr>
          <w:spacing w:val="-4"/>
        </w:rPr>
        <w:t xml:space="preserve"> </w:t>
      </w:r>
      <w:r>
        <w:t>staff</w:t>
      </w:r>
      <w:r>
        <w:rPr>
          <w:spacing w:val="-4"/>
        </w:rPr>
        <w:t xml:space="preserve"> </w:t>
      </w:r>
      <w:r>
        <w:t>develop</w:t>
      </w:r>
      <w:r>
        <w:rPr>
          <w:spacing w:val="-5"/>
        </w:rPr>
        <w:t xml:space="preserve"> </w:t>
      </w:r>
      <w:r>
        <w:t>AUASB</w:t>
      </w:r>
      <w:r>
        <w:rPr>
          <w:spacing w:val="-6"/>
        </w:rPr>
        <w:t xml:space="preserve"> </w:t>
      </w:r>
      <w:r>
        <w:t>domestic</w:t>
      </w:r>
      <w:r>
        <w:rPr>
          <w:spacing w:val="-5"/>
        </w:rPr>
        <w:t xml:space="preserve"> </w:t>
      </w:r>
      <w:r>
        <w:t>standards</w:t>
      </w:r>
      <w:r>
        <w:rPr>
          <w:spacing w:val="-3"/>
        </w:rPr>
        <w:t xml:space="preserve"> </w:t>
      </w:r>
      <w:r>
        <w:rPr>
          <w:spacing w:val="-4"/>
        </w:rPr>
        <w:t>by</w:t>
      </w:r>
      <w:r>
        <w:rPr>
          <w:spacing w:val="-4"/>
          <w:vertAlign w:val="superscript"/>
        </w:rPr>
        <w:t>57</w:t>
      </w:r>
      <w:r>
        <w:rPr>
          <w:spacing w:val="-4"/>
        </w:rPr>
        <w:t>:</w:t>
      </w:r>
    </w:p>
    <w:p w14:paraId="1E805C2C" w14:textId="77777777" w:rsidR="00AA4A02" w:rsidRDefault="00960F31">
      <w:pPr>
        <w:pStyle w:val="ListParagraph"/>
        <w:numPr>
          <w:ilvl w:val="1"/>
          <w:numId w:val="29"/>
        </w:numPr>
        <w:tabs>
          <w:tab w:val="left" w:pos="1562"/>
        </w:tabs>
        <w:spacing w:before="88"/>
      </w:pPr>
      <w:r>
        <w:t>accessing</w:t>
      </w:r>
      <w:r>
        <w:rPr>
          <w:spacing w:val="-3"/>
        </w:rPr>
        <w:t xml:space="preserve"> </w:t>
      </w:r>
      <w:r>
        <w:t>or</w:t>
      </w:r>
      <w:r>
        <w:rPr>
          <w:spacing w:val="-5"/>
        </w:rPr>
        <w:t xml:space="preserve"> </w:t>
      </w:r>
      <w:r>
        <w:t>developing</w:t>
      </w:r>
      <w:r>
        <w:rPr>
          <w:spacing w:val="-6"/>
        </w:rPr>
        <w:t xml:space="preserve"> </w:t>
      </w:r>
      <w:r>
        <w:t>relevant</w:t>
      </w:r>
      <w:r>
        <w:rPr>
          <w:spacing w:val="-4"/>
        </w:rPr>
        <w:t xml:space="preserve"> </w:t>
      </w:r>
      <w:r>
        <w:rPr>
          <w:spacing w:val="-2"/>
        </w:rPr>
        <w:t>research;</w:t>
      </w:r>
    </w:p>
    <w:p w14:paraId="1E805C2D" w14:textId="77777777" w:rsidR="00AA4A02" w:rsidRDefault="00960F31">
      <w:pPr>
        <w:pStyle w:val="ListParagraph"/>
        <w:numPr>
          <w:ilvl w:val="1"/>
          <w:numId w:val="29"/>
        </w:numPr>
        <w:tabs>
          <w:tab w:val="left" w:pos="1562"/>
        </w:tabs>
        <w:spacing w:before="85"/>
      </w:pPr>
      <w:r>
        <w:t>obtaining</w:t>
      </w:r>
      <w:r>
        <w:rPr>
          <w:spacing w:val="-3"/>
        </w:rPr>
        <w:t xml:space="preserve"> </w:t>
      </w:r>
      <w:r>
        <w:t>input</w:t>
      </w:r>
      <w:r>
        <w:rPr>
          <w:spacing w:val="-5"/>
        </w:rPr>
        <w:t xml:space="preserve"> </w:t>
      </w:r>
      <w:r>
        <w:t>from</w:t>
      </w:r>
      <w:r>
        <w:rPr>
          <w:spacing w:val="-4"/>
        </w:rPr>
        <w:t xml:space="preserve"> </w:t>
      </w:r>
      <w:r>
        <w:t>a</w:t>
      </w:r>
      <w:r>
        <w:rPr>
          <w:spacing w:val="-3"/>
        </w:rPr>
        <w:t xml:space="preserve"> </w:t>
      </w:r>
      <w:r>
        <w:t>PAG,</w:t>
      </w:r>
      <w:r>
        <w:rPr>
          <w:spacing w:val="-3"/>
        </w:rPr>
        <w:t xml:space="preserve"> </w:t>
      </w:r>
      <w:r>
        <w:t>where</w:t>
      </w:r>
      <w:r>
        <w:rPr>
          <w:spacing w:val="-4"/>
        </w:rPr>
        <w:t xml:space="preserve"> </w:t>
      </w:r>
      <w:r>
        <w:rPr>
          <w:spacing w:val="-2"/>
        </w:rPr>
        <w:t>relevant;</w:t>
      </w:r>
    </w:p>
    <w:p w14:paraId="1E805C2E" w14:textId="77777777" w:rsidR="00AA4A02" w:rsidRDefault="00960F31">
      <w:pPr>
        <w:pStyle w:val="ListParagraph"/>
        <w:numPr>
          <w:ilvl w:val="1"/>
          <w:numId w:val="29"/>
        </w:numPr>
        <w:tabs>
          <w:tab w:val="left" w:pos="1562"/>
        </w:tabs>
        <w:spacing w:before="88"/>
      </w:pPr>
      <w:r>
        <w:t>obtaining</w:t>
      </w:r>
      <w:r>
        <w:rPr>
          <w:spacing w:val="-4"/>
        </w:rPr>
        <w:t xml:space="preserve"> </w:t>
      </w:r>
      <w:r>
        <w:t>input</w:t>
      </w:r>
      <w:r>
        <w:rPr>
          <w:spacing w:val="-4"/>
        </w:rPr>
        <w:t xml:space="preserve"> </w:t>
      </w:r>
      <w:r>
        <w:t>from</w:t>
      </w:r>
      <w:r>
        <w:rPr>
          <w:spacing w:val="-3"/>
        </w:rPr>
        <w:t xml:space="preserve"> </w:t>
      </w:r>
      <w:r>
        <w:rPr>
          <w:spacing w:val="-2"/>
        </w:rPr>
        <w:t>stakeholders;</w:t>
      </w:r>
    </w:p>
    <w:p w14:paraId="1E805C2F" w14:textId="77777777" w:rsidR="00AA4A02" w:rsidRDefault="00960F31">
      <w:pPr>
        <w:pStyle w:val="ListParagraph"/>
        <w:numPr>
          <w:ilvl w:val="1"/>
          <w:numId w:val="29"/>
        </w:numPr>
        <w:tabs>
          <w:tab w:val="left" w:pos="1562"/>
        </w:tabs>
        <w:spacing w:before="110" w:line="211" w:lineRule="auto"/>
        <w:ind w:right="298"/>
      </w:pPr>
      <w:r>
        <w:t>preparing</w:t>
      </w:r>
      <w:r>
        <w:rPr>
          <w:spacing w:val="-2"/>
        </w:rPr>
        <w:t xml:space="preserve"> </w:t>
      </w:r>
      <w:r>
        <w:t>detailed</w:t>
      </w:r>
      <w:r>
        <w:rPr>
          <w:spacing w:val="-2"/>
        </w:rPr>
        <w:t xml:space="preserve"> </w:t>
      </w:r>
      <w:r>
        <w:t>issues</w:t>
      </w:r>
      <w:r>
        <w:rPr>
          <w:spacing w:val="-2"/>
        </w:rPr>
        <w:t xml:space="preserve"> </w:t>
      </w:r>
      <w:r>
        <w:t>papers,</w:t>
      </w:r>
      <w:r>
        <w:rPr>
          <w:spacing w:val="-2"/>
        </w:rPr>
        <w:t xml:space="preserve"> </w:t>
      </w:r>
      <w:r>
        <w:t>which</w:t>
      </w:r>
      <w:r>
        <w:rPr>
          <w:spacing w:val="-4"/>
        </w:rPr>
        <w:t xml:space="preserve"> </w:t>
      </w:r>
      <w:r>
        <w:t>identify</w:t>
      </w:r>
      <w:r>
        <w:rPr>
          <w:spacing w:val="-5"/>
        </w:rPr>
        <w:t xml:space="preserve"> </w:t>
      </w:r>
      <w:r>
        <w:t>the</w:t>
      </w:r>
      <w:r>
        <w:rPr>
          <w:spacing w:val="-4"/>
        </w:rPr>
        <w:t xml:space="preserve"> </w:t>
      </w:r>
      <w:r>
        <w:t>principal</w:t>
      </w:r>
      <w:r>
        <w:rPr>
          <w:spacing w:val="-4"/>
        </w:rPr>
        <w:t xml:space="preserve"> </w:t>
      </w:r>
      <w:r>
        <w:t>issues</w:t>
      </w:r>
      <w:r>
        <w:rPr>
          <w:spacing w:val="-4"/>
        </w:rPr>
        <w:t xml:space="preserve"> </w:t>
      </w:r>
      <w:r>
        <w:t>to</w:t>
      </w:r>
      <w:r>
        <w:rPr>
          <w:spacing w:val="-2"/>
        </w:rPr>
        <w:t xml:space="preserve"> </w:t>
      </w:r>
      <w:r>
        <w:t>be</w:t>
      </w:r>
      <w:r>
        <w:rPr>
          <w:spacing w:val="-4"/>
        </w:rPr>
        <w:t xml:space="preserve"> </w:t>
      </w:r>
      <w:r>
        <w:t>resolved</w:t>
      </w:r>
      <w:r>
        <w:rPr>
          <w:spacing w:val="-4"/>
        </w:rPr>
        <w:t xml:space="preserve"> </w:t>
      </w:r>
      <w:r>
        <w:t>by the AUASB; and</w:t>
      </w:r>
    </w:p>
    <w:p w14:paraId="1E805C30" w14:textId="77777777" w:rsidR="00AA4A02" w:rsidRDefault="00960F31">
      <w:pPr>
        <w:pStyle w:val="ListParagraph"/>
        <w:numPr>
          <w:ilvl w:val="1"/>
          <w:numId w:val="29"/>
        </w:numPr>
        <w:tabs>
          <w:tab w:val="left" w:pos="1562"/>
        </w:tabs>
        <w:spacing w:before="93"/>
      </w:pPr>
      <w:r>
        <w:t>drafting</w:t>
      </w:r>
      <w:r>
        <w:rPr>
          <w:spacing w:val="-7"/>
        </w:rPr>
        <w:t xml:space="preserve"> </w:t>
      </w:r>
      <w:r>
        <w:t>EDs</w:t>
      </w:r>
      <w:r>
        <w:rPr>
          <w:spacing w:val="-3"/>
        </w:rPr>
        <w:t xml:space="preserve"> </w:t>
      </w:r>
      <w:r>
        <w:t>of</w:t>
      </w:r>
      <w:r>
        <w:rPr>
          <w:spacing w:val="-4"/>
        </w:rPr>
        <w:t xml:space="preserve"> </w:t>
      </w:r>
      <w:r>
        <w:t>proposed</w:t>
      </w:r>
      <w:r>
        <w:rPr>
          <w:spacing w:val="-4"/>
        </w:rPr>
        <w:t xml:space="preserve"> </w:t>
      </w:r>
      <w:r>
        <w:t>standards,</w:t>
      </w:r>
      <w:r>
        <w:rPr>
          <w:spacing w:val="-7"/>
        </w:rPr>
        <w:t xml:space="preserve"> </w:t>
      </w:r>
      <w:r>
        <w:t>together</w:t>
      </w:r>
      <w:r>
        <w:rPr>
          <w:spacing w:val="-4"/>
        </w:rPr>
        <w:t xml:space="preserve"> </w:t>
      </w:r>
      <w:r>
        <w:t>with</w:t>
      </w:r>
      <w:r>
        <w:rPr>
          <w:spacing w:val="-4"/>
        </w:rPr>
        <w:t xml:space="preserve"> </w:t>
      </w:r>
      <w:r>
        <w:t>accompanying</w:t>
      </w:r>
      <w:r>
        <w:rPr>
          <w:spacing w:val="-6"/>
        </w:rPr>
        <w:t xml:space="preserve"> </w:t>
      </w:r>
      <w:r>
        <w:rPr>
          <w:spacing w:val="-2"/>
        </w:rPr>
        <w:t>documentation.</w:t>
      </w:r>
    </w:p>
    <w:p w14:paraId="1E805C31" w14:textId="77777777" w:rsidR="00AA4A02" w:rsidRDefault="00960F31">
      <w:pPr>
        <w:pStyle w:val="ListParagraph"/>
        <w:numPr>
          <w:ilvl w:val="0"/>
          <w:numId w:val="29"/>
        </w:numPr>
        <w:tabs>
          <w:tab w:val="left" w:pos="851"/>
        </w:tabs>
        <w:spacing w:before="193" w:line="208" w:lineRule="auto"/>
        <w:ind w:right="191"/>
      </w:pPr>
      <w:r>
        <w:t>Throughout the life of a project, technical staff prepare and present technical papers to the AUASB for its progressive consideration, decisions and approvals. Ordinarily, this process occurs at formal public meetings of the Board but, in rare and unusual circumstances (such as when the AUASB has to consider an urgent proposal and there is some time before the next AUASB</w:t>
      </w:r>
      <w:r>
        <w:rPr>
          <w:spacing w:val="-5"/>
        </w:rPr>
        <w:t xml:space="preserve"> </w:t>
      </w:r>
      <w:r>
        <w:t>meeting),</w:t>
      </w:r>
      <w:r>
        <w:rPr>
          <w:spacing w:val="-3"/>
        </w:rPr>
        <w:t xml:space="preserve"> </w:t>
      </w:r>
      <w:r>
        <w:t>may</w:t>
      </w:r>
      <w:r>
        <w:rPr>
          <w:spacing w:val="-3"/>
        </w:rPr>
        <w:t xml:space="preserve"> </w:t>
      </w:r>
      <w:r>
        <w:t>also</w:t>
      </w:r>
      <w:r>
        <w:rPr>
          <w:spacing w:val="-3"/>
        </w:rPr>
        <w:t xml:space="preserve"> </w:t>
      </w:r>
      <w:r>
        <w:t>be</w:t>
      </w:r>
      <w:r>
        <w:rPr>
          <w:spacing w:val="-3"/>
        </w:rPr>
        <w:t xml:space="preserve"> </w:t>
      </w:r>
      <w:r>
        <w:t>conducted</w:t>
      </w:r>
      <w:r>
        <w:rPr>
          <w:spacing w:val="-3"/>
        </w:rPr>
        <w:t xml:space="preserve"> </w:t>
      </w:r>
      <w:r>
        <w:t>by</w:t>
      </w:r>
      <w:r>
        <w:rPr>
          <w:spacing w:val="-5"/>
        </w:rPr>
        <w:t xml:space="preserve"> </w:t>
      </w:r>
      <w:r>
        <w:t>out-of-session</w:t>
      </w:r>
      <w:r>
        <w:rPr>
          <w:spacing w:val="-3"/>
        </w:rPr>
        <w:t xml:space="preserve"> </w:t>
      </w:r>
      <w:r>
        <w:t>exchanges</w:t>
      </w:r>
      <w:r>
        <w:rPr>
          <w:spacing w:val="-2"/>
        </w:rPr>
        <w:t xml:space="preserve"> </w:t>
      </w:r>
      <w:r>
        <w:t>if</w:t>
      </w:r>
      <w:r>
        <w:rPr>
          <w:spacing w:val="-2"/>
        </w:rPr>
        <w:t xml:space="preserve"> </w:t>
      </w:r>
      <w:r>
        <w:t>agreed</w:t>
      </w:r>
      <w:r>
        <w:rPr>
          <w:spacing w:val="-3"/>
        </w:rPr>
        <w:t xml:space="preserve"> </w:t>
      </w:r>
      <w:r>
        <w:t>by</w:t>
      </w:r>
      <w:r>
        <w:rPr>
          <w:spacing w:val="-3"/>
        </w:rPr>
        <w:t xml:space="preserve"> </w:t>
      </w:r>
      <w:r>
        <w:t>a</w:t>
      </w:r>
      <w:r>
        <w:rPr>
          <w:spacing w:val="-3"/>
        </w:rPr>
        <w:t xml:space="preserve"> </w:t>
      </w:r>
      <w:r>
        <w:t>majority of AUASB members.</w:t>
      </w:r>
    </w:p>
    <w:p w14:paraId="1E805C32" w14:textId="77777777" w:rsidR="00AA4A02" w:rsidRDefault="00960F31">
      <w:pPr>
        <w:pStyle w:val="ListParagraph"/>
        <w:numPr>
          <w:ilvl w:val="0"/>
          <w:numId w:val="29"/>
        </w:numPr>
        <w:tabs>
          <w:tab w:val="left" w:pos="851"/>
        </w:tabs>
        <w:spacing w:before="199" w:line="208" w:lineRule="auto"/>
        <w:ind w:right="272"/>
      </w:pPr>
      <w:r>
        <w:t>Through</w:t>
      </w:r>
      <w:r>
        <w:rPr>
          <w:spacing w:val="-5"/>
        </w:rPr>
        <w:t xml:space="preserve"> </w:t>
      </w:r>
      <w:r>
        <w:t>its</w:t>
      </w:r>
      <w:r>
        <w:rPr>
          <w:spacing w:val="-3"/>
        </w:rPr>
        <w:t xml:space="preserve"> </w:t>
      </w:r>
      <w:r>
        <w:t>on-going</w:t>
      </w:r>
      <w:r>
        <w:rPr>
          <w:spacing w:val="-3"/>
        </w:rPr>
        <w:t xml:space="preserve"> </w:t>
      </w:r>
      <w:r>
        <w:t>reviews</w:t>
      </w:r>
      <w:r>
        <w:rPr>
          <w:spacing w:val="-3"/>
        </w:rPr>
        <w:t xml:space="preserve"> </w:t>
      </w:r>
      <w:r>
        <w:t>and</w:t>
      </w:r>
      <w:r>
        <w:rPr>
          <w:spacing w:val="-3"/>
        </w:rPr>
        <w:t xml:space="preserve"> </w:t>
      </w:r>
      <w:r>
        <w:t>decisions,</w:t>
      </w:r>
      <w:r>
        <w:rPr>
          <w:spacing w:val="-3"/>
        </w:rPr>
        <w:t xml:space="preserve"> </w:t>
      </w:r>
      <w:r>
        <w:t>the</w:t>
      </w:r>
      <w:r>
        <w:rPr>
          <w:spacing w:val="-3"/>
        </w:rPr>
        <w:t xml:space="preserve"> </w:t>
      </w:r>
      <w:r>
        <w:t>AUASB</w:t>
      </w:r>
      <w:r>
        <w:rPr>
          <w:spacing w:val="-5"/>
        </w:rPr>
        <w:t xml:space="preserve"> </w:t>
      </w:r>
      <w:r>
        <w:t>directs</w:t>
      </w:r>
      <w:r>
        <w:rPr>
          <w:spacing w:val="-3"/>
        </w:rPr>
        <w:t xml:space="preserve"> </w:t>
      </w:r>
      <w:r>
        <w:t>the</w:t>
      </w:r>
      <w:r>
        <w:rPr>
          <w:spacing w:val="-3"/>
        </w:rPr>
        <w:t xml:space="preserve"> </w:t>
      </w:r>
      <w:r>
        <w:t>development</w:t>
      </w:r>
      <w:r>
        <w:rPr>
          <w:spacing w:val="-4"/>
        </w:rPr>
        <w:t xml:space="preserve"> </w:t>
      </w:r>
      <w:r>
        <w:t>of</w:t>
      </w:r>
      <w:r>
        <w:rPr>
          <w:spacing w:val="-3"/>
        </w:rPr>
        <w:t xml:space="preserve"> </w:t>
      </w:r>
      <w:r>
        <w:t>AUASB documents, including the public exposure of proposed standards.</w:t>
      </w:r>
    </w:p>
    <w:p w14:paraId="1E805C33" w14:textId="77777777" w:rsidR="00AA4A02" w:rsidRDefault="00960F31">
      <w:pPr>
        <w:pStyle w:val="ListParagraph"/>
        <w:numPr>
          <w:ilvl w:val="0"/>
          <w:numId w:val="29"/>
        </w:numPr>
        <w:tabs>
          <w:tab w:val="left" w:pos="851"/>
        </w:tabs>
        <w:spacing w:line="208" w:lineRule="auto"/>
        <w:ind w:right="192"/>
      </w:pPr>
      <w:r>
        <w:t>Proposed</w:t>
      </w:r>
      <w:r>
        <w:rPr>
          <w:spacing w:val="-2"/>
        </w:rPr>
        <w:t xml:space="preserve"> </w:t>
      </w:r>
      <w:r>
        <w:t>standards</w:t>
      </w:r>
      <w:r>
        <w:rPr>
          <w:spacing w:val="-2"/>
        </w:rPr>
        <w:t xml:space="preserve"> </w:t>
      </w:r>
      <w:r>
        <w:t>are</w:t>
      </w:r>
      <w:r>
        <w:rPr>
          <w:spacing w:val="-2"/>
        </w:rPr>
        <w:t xml:space="preserve"> </w:t>
      </w:r>
      <w:r>
        <w:t>released</w:t>
      </w:r>
      <w:r>
        <w:rPr>
          <w:spacing w:val="-5"/>
        </w:rPr>
        <w:t xml:space="preserve"> </w:t>
      </w:r>
      <w:r>
        <w:t>for</w:t>
      </w:r>
      <w:r>
        <w:rPr>
          <w:spacing w:val="-4"/>
        </w:rPr>
        <w:t xml:space="preserve"> </w:t>
      </w:r>
      <w:r>
        <w:t>public</w:t>
      </w:r>
      <w:r>
        <w:rPr>
          <w:spacing w:val="-4"/>
        </w:rPr>
        <w:t xml:space="preserve"> </w:t>
      </w:r>
      <w:r>
        <w:t>comment</w:t>
      </w:r>
      <w:r>
        <w:rPr>
          <w:spacing w:val="-4"/>
        </w:rPr>
        <w:t xml:space="preserve"> </w:t>
      </w:r>
      <w:r>
        <w:t>in</w:t>
      </w:r>
      <w:r>
        <w:rPr>
          <w:spacing w:val="-5"/>
        </w:rPr>
        <w:t xml:space="preserve"> </w:t>
      </w:r>
      <w:r>
        <w:t>the</w:t>
      </w:r>
      <w:r>
        <w:rPr>
          <w:spacing w:val="-4"/>
        </w:rPr>
        <w:t xml:space="preserve"> </w:t>
      </w:r>
      <w:r>
        <w:t>form</w:t>
      </w:r>
      <w:r>
        <w:rPr>
          <w:spacing w:val="-1"/>
        </w:rPr>
        <w:t xml:space="preserve"> </w:t>
      </w:r>
      <w:r>
        <w:t>of</w:t>
      </w:r>
      <w:r>
        <w:rPr>
          <w:spacing w:val="-2"/>
        </w:rPr>
        <w:t xml:space="preserve"> </w:t>
      </w:r>
      <w:r>
        <w:t>EDs</w:t>
      </w:r>
      <w:r>
        <w:rPr>
          <w:spacing w:val="-2"/>
        </w:rPr>
        <w:t xml:space="preserve"> </w:t>
      </w:r>
      <w:r>
        <w:t>prior</w:t>
      </w:r>
      <w:r>
        <w:rPr>
          <w:spacing w:val="-2"/>
        </w:rPr>
        <w:t xml:space="preserve"> </w:t>
      </w:r>
      <w:r>
        <w:t>to</w:t>
      </w:r>
      <w:r>
        <w:rPr>
          <w:spacing w:val="-2"/>
        </w:rPr>
        <w:t xml:space="preserve"> </w:t>
      </w:r>
      <w:r>
        <w:t>issuance</w:t>
      </w:r>
      <w:r>
        <w:rPr>
          <w:spacing w:val="-2"/>
        </w:rPr>
        <w:t xml:space="preserve"> </w:t>
      </w:r>
      <w:r>
        <w:t>as</w:t>
      </w:r>
      <w:r>
        <w:rPr>
          <w:spacing w:val="-4"/>
        </w:rPr>
        <w:t xml:space="preserve"> </w:t>
      </w:r>
      <w:r>
        <w:t>an AUASB pronouncement. For some projects, the AUASB may issue a CP or DP identifying matters that the AUASB is considering and options for those matters. Interested parties are notified of the issue of all discussion documents and EDs.</w:t>
      </w:r>
    </w:p>
    <w:p w14:paraId="1E805C34" w14:textId="77777777" w:rsidR="00AA4A02" w:rsidRDefault="00960F31">
      <w:pPr>
        <w:pStyle w:val="ListParagraph"/>
        <w:numPr>
          <w:ilvl w:val="0"/>
          <w:numId w:val="29"/>
        </w:numPr>
        <w:tabs>
          <w:tab w:val="left" w:pos="851"/>
        </w:tabs>
        <w:spacing w:before="200" w:line="208" w:lineRule="auto"/>
        <w:ind w:right="159"/>
      </w:pPr>
      <w:r>
        <w:t>Where appropriate, the AUASB also considers obtaining input from stakeholders through public</w:t>
      </w:r>
      <w:r>
        <w:rPr>
          <w:spacing w:val="-3"/>
        </w:rPr>
        <w:t xml:space="preserve"> </w:t>
      </w:r>
      <w:r>
        <w:t>forums</w:t>
      </w:r>
      <w:r>
        <w:rPr>
          <w:spacing w:val="-3"/>
        </w:rPr>
        <w:t xml:space="preserve"> </w:t>
      </w:r>
      <w:r>
        <w:t>or</w:t>
      </w:r>
      <w:r>
        <w:rPr>
          <w:spacing w:val="-3"/>
        </w:rPr>
        <w:t xml:space="preserve"> </w:t>
      </w:r>
      <w:r>
        <w:t>roundtable</w:t>
      </w:r>
      <w:r>
        <w:rPr>
          <w:spacing w:val="-3"/>
        </w:rPr>
        <w:t xml:space="preserve"> </w:t>
      </w:r>
      <w:r>
        <w:t>discussion</w:t>
      </w:r>
      <w:r>
        <w:rPr>
          <w:spacing w:val="-6"/>
        </w:rPr>
        <w:t xml:space="preserve"> </w:t>
      </w:r>
      <w:r>
        <w:t>groups,</w:t>
      </w:r>
      <w:r>
        <w:rPr>
          <w:spacing w:val="-3"/>
        </w:rPr>
        <w:t xml:space="preserve"> </w:t>
      </w:r>
      <w:r>
        <w:t>direct</w:t>
      </w:r>
      <w:r>
        <w:rPr>
          <w:spacing w:val="-5"/>
        </w:rPr>
        <w:t xml:space="preserve"> </w:t>
      </w:r>
      <w:r>
        <w:t>communication</w:t>
      </w:r>
      <w:r>
        <w:rPr>
          <w:spacing w:val="-3"/>
        </w:rPr>
        <w:t xml:space="preserve"> </w:t>
      </w:r>
      <w:r>
        <w:t>with</w:t>
      </w:r>
      <w:r>
        <w:rPr>
          <w:spacing w:val="-3"/>
        </w:rPr>
        <w:t xml:space="preserve"> </w:t>
      </w:r>
      <w:r>
        <w:t>specific</w:t>
      </w:r>
      <w:r>
        <w:rPr>
          <w:spacing w:val="-1"/>
        </w:rPr>
        <w:t xml:space="preserve"> </w:t>
      </w:r>
      <w:r>
        <w:t>individuals and/or organisations, and stakeholder surveys.</w:t>
      </w:r>
    </w:p>
    <w:p w14:paraId="1E805C35" w14:textId="77777777" w:rsidR="00AA4A02" w:rsidRDefault="00960F31">
      <w:pPr>
        <w:pStyle w:val="BodyText"/>
        <w:spacing w:before="198" w:line="208" w:lineRule="auto"/>
        <w:ind w:left="851" w:right="220"/>
      </w:pPr>
      <w:r>
        <w:t>Refer</w:t>
      </w:r>
      <w:r>
        <w:rPr>
          <w:spacing w:val="-3"/>
        </w:rPr>
        <w:t xml:space="preserve"> </w:t>
      </w:r>
      <w:r>
        <w:t>to</w:t>
      </w:r>
      <w:r>
        <w:rPr>
          <w:spacing w:val="-2"/>
        </w:rPr>
        <w:t xml:space="preserve"> </w:t>
      </w:r>
      <w:r>
        <w:t>Section</w:t>
      </w:r>
      <w:r>
        <w:rPr>
          <w:spacing w:val="-2"/>
        </w:rPr>
        <w:t xml:space="preserve"> </w:t>
      </w:r>
      <w:r>
        <w:t>VI</w:t>
      </w:r>
      <w:r>
        <w:rPr>
          <w:spacing w:val="-3"/>
        </w:rPr>
        <w:t xml:space="preserve"> </w:t>
      </w:r>
      <w:r>
        <w:t>of</w:t>
      </w:r>
      <w:r>
        <w:rPr>
          <w:spacing w:val="-4"/>
        </w:rPr>
        <w:t xml:space="preserve"> </w:t>
      </w:r>
      <w:r>
        <w:t>this</w:t>
      </w:r>
      <w:r>
        <w:rPr>
          <w:spacing w:val="-4"/>
        </w:rPr>
        <w:t xml:space="preserve"> </w:t>
      </w:r>
      <w:r>
        <w:t>document</w:t>
      </w:r>
      <w:r>
        <w:rPr>
          <w:spacing w:val="-3"/>
        </w:rPr>
        <w:t xml:space="preserve"> </w:t>
      </w:r>
      <w:r>
        <w:t>for</w:t>
      </w:r>
      <w:r>
        <w:rPr>
          <w:spacing w:val="-2"/>
        </w:rPr>
        <w:t xml:space="preserve"> </w:t>
      </w:r>
      <w:r>
        <w:t>information</w:t>
      </w:r>
      <w:r>
        <w:rPr>
          <w:spacing w:val="-2"/>
        </w:rPr>
        <w:t xml:space="preserve"> </w:t>
      </w:r>
      <w:r>
        <w:t>on</w:t>
      </w:r>
      <w:r>
        <w:rPr>
          <w:spacing w:val="-2"/>
        </w:rPr>
        <w:t xml:space="preserve"> </w:t>
      </w:r>
      <w:r>
        <w:t>the</w:t>
      </w:r>
      <w:r>
        <w:rPr>
          <w:spacing w:val="-2"/>
        </w:rPr>
        <w:t xml:space="preserve"> </w:t>
      </w:r>
      <w:r>
        <w:t>AUASB’s</w:t>
      </w:r>
      <w:r>
        <w:rPr>
          <w:spacing w:val="-4"/>
        </w:rPr>
        <w:t xml:space="preserve"> </w:t>
      </w:r>
      <w:r>
        <w:t>consultation</w:t>
      </w:r>
      <w:r>
        <w:rPr>
          <w:spacing w:val="-2"/>
        </w:rPr>
        <w:t xml:space="preserve"> </w:t>
      </w:r>
      <w:r>
        <w:t>process, types of consultation and typical consultative documents that may be used to encourage further discussion and exchanges of opinion.</w:t>
      </w:r>
    </w:p>
    <w:p w14:paraId="1E805C36" w14:textId="77777777" w:rsidR="00AA4A02" w:rsidRDefault="00960F31">
      <w:pPr>
        <w:pStyle w:val="ListParagraph"/>
        <w:numPr>
          <w:ilvl w:val="0"/>
          <w:numId w:val="29"/>
        </w:numPr>
        <w:tabs>
          <w:tab w:val="left" w:pos="851"/>
        </w:tabs>
        <w:spacing w:before="199" w:line="208" w:lineRule="auto"/>
        <w:ind w:right="151"/>
      </w:pPr>
      <w:r>
        <w:t>Using the methods above, the AUASB is able to gauge the appropriateness and level of acceptance</w:t>
      </w:r>
      <w:r>
        <w:rPr>
          <w:spacing w:val="-2"/>
        </w:rPr>
        <w:t xml:space="preserve"> </w:t>
      </w:r>
      <w:r>
        <w:t>of</w:t>
      </w:r>
      <w:r>
        <w:rPr>
          <w:spacing w:val="-2"/>
        </w:rPr>
        <w:t xml:space="preserve"> </w:t>
      </w:r>
      <w:r>
        <w:t>its</w:t>
      </w:r>
      <w:r>
        <w:rPr>
          <w:spacing w:val="-2"/>
        </w:rPr>
        <w:t xml:space="preserve"> </w:t>
      </w:r>
      <w:r>
        <w:t>proposals</w:t>
      </w:r>
      <w:r>
        <w:rPr>
          <w:spacing w:val="-4"/>
        </w:rPr>
        <w:t xml:space="preserve"> </w:t>
      </w:r>
      <w:r>
        <w:t>as</w:t>
      </w:r>
      <w:r>
        <w:rPr>
          <w:spacing w:val="-2"/>
        </w:rPr>
        <w:t xml:space="preserve"> </w:t>
      </w:r>
      <w:r>
        <w:t>well</w:t>
      </w:r>
      <w:r>
        <w:rPr>
          <w:spacing w:val="-2"/>
        </w:rPr>
        <w:t xml:space="preserve"> </w:t>
      </w:r>
      <w:r>
        <w:t>as</w:t>
      </w:r>
      <w:r>
        <w:rPr>
          <w:spacing w:val="-2"/>
        </w:rPr>
        <w:t xml:space="preserve"> </w:t>
      </w:r>
      <w:r>
        <w:t>obtain</w:t>
      </w:r>
      <w:r>
        <w:rPr>
          <w:spacing w:val="-2"/>
        </w:rPr>
        <w:t xml:space="preserve"> </w:t>
      </w:r>
      <w:r>
        <w:t>important</w:t>
      </w:r>
      <w:r>
        <w:rPr>
          <w:spacing w:val="-4"/>
        </w:rPr>
        <w:t xml:space="preserve"> </w:t>
      </w:r>
      <w:r>
        <w:t>information</w:t>
      </w:r>
      <w:r>
        <w:rPr>
          <w:spacing w:val="-5"/>
        </w:rPr>
        <w:t xml:space="preserve"> </w:t>
      </w:r>
      <w:r>
        <w:t>about</w:t>
      </w:r>
      <w:r>
        <w:rPr>
          <w:spacing w:val="-2"/>
        </w:rPr>
        <w:t xml:space="preserve"> </w:t>
      </w:r>
      <w:r>
        <w:t>issues</w:t>
      </w:r>
      <w:r>
        <w:rPr>
          <w:spacing w:val="-2"/>
        </w:rPr>
        <w:t xml:space="preserve"> </w:t>
      </w:r>
      <w:r>
        <w:t>that</w:t>
      </w:r>
      <w:r>
        <w:rPr>
          <w:spacing w:val="-2"/>
        </w:rPr>
        <w:t xml:space="preserve"> </w:t>
      </w:r>
      <w:r>
        <w:t>need</w:t>
      </w:r>
      <w:r>
        <w:rPr>
          <w:spacing w:val="-2"/>
        </w:rPr>
        <w:t xml:space="preserve"> </w:t>
      </w:r>
      <w:r>
        <w:t>to</w:t>
      </w:r>
      <w:r>
        <w:rPr>
          <w:spacing w:val="-2"/>
        </w:rPr>
        <w:t xml:space="preserve"> </w:t>
      </w:r>
      <w:r>
        <w:t>be considered in the development of the standard.</w:t>
      </w:r>
      <w:r>
        <w:rPr>
          <w:spacing w:val="40"/>
        </w:rPr>
        <w:t xml:space="preserve"> </w:t>
      </w:r>
      <w:r>
        <w:t>The decision to apply one or more of these methods may be made at any stage before or after a draft standard is issued for public</w:t>
      </w:r>
      <w:r>
        <w:rPr>
          <w:spacing w:val="40"/>
        </w:rPr>
        <w:t xml:space="preserve"> </w:t>
      </w:r>
      <w:r>
        <w:t>exposure and the rationale for the decision is recorded in Board meeting minutes.</w:t>
      </w:r>
    </w:p>
    <w:p w14:paraId="1E805C37" w14:textId="77777777" w:rsidR="00AA4A02" w:rsidRDefault="00960F31">
      <w:pPr>
        <w:spacing w:before="174"/>
        <w:ind w:left="143"/>
        <w:rPr>
          <w:b/>
          <w:i/>
        </w:rPr>
      </w:pPr>
      <w:bookmarkStart w:id="79" w:name="Approve_and_issue_an_ED_for_public_expos"/>
      <w:bookmarkEnd w:id="79"/>
      <w:r>
        <w:rPr>
          <w:b/>
          <w:i/>
        </w:rPr>
        <w:t>Approve</w:t>
      </w:r>
      <w:r>
        <w:rPr>
          <w:b/>
          <w:i/>
          <w:spacing w:val="-4"/>
        </w:rPr>
        <w:t xml:space="preserve"> </w:t>
      </w:r>
      <w:r>
        <w:rPr>
          <w:b/>
          <w:i/>
        </w:rPr>
        <w:t>and</w:t>
      </w:r>
      <w:r>
        <w:rPr>
          <w:b/>
          <w:i/>
          <w:spacing w:val="-2"/>
        </w:rPr>
        <w:t xml:space="preserve"> </w:t>
      </w:r>
      <w:r>
        <w:rPr>
          <w:b/>
          <w:i/>
        </w:rPr>
        <w:t>issue</w:t>
      </w:r>
      <w:r>
        <w:rPr>
          <w:b/>
          <w:i/>
          <w:spacing w:val="-4"/>
        </w:rPr>
        <w:t xml:space="preserve"> </w:t>
      </w:r>
      <w:r>
        <w:rPr>
          <w:b/>
          <w:i/>
        </w:rPr>
        <w:t>an</w:t>
      </w:r>
      <w:r>
        <w:rPr>
          <w:b/>
          <w:i/>
          <w:spacing w:val="-2"/>
        </w:rPr>
        <w:t xml:space="preserve"> </w:t>
      </w:r>
      <w:r>
        <w:rPr>
          <w:b/>
          <w:i/>
        </w:rPr>
        <w:t>ED</w:t>
      </w:r>
      <w:r>
        <w:rPr>
          <w:b/>
          <w:i/>
          <w:spacing w:val="-2"/>
        </w:rPr>
        <w:t xml:space="preserve"> </w:t>
      </w:r>
      <w:r>
        <w:rPr>
          <w:b/>
          <w:i/>
        </w:rPr>
        <w:t>for</w:t>
      </w:r>
      <w:r>
        <w:rPr>
          <w:b/>
          <w:i/>
          <w:spacing w:val="-1"/>
        </w:rPr>
        <w:t xml:space="preserve"> </w:t>
      </w:r>
      <w:r>
        <w:rPr>
          <w:b/>
          <w:i/>
        </w:rPr>
        <w:t>public</w:t>
      </w:r>
      <w:r>
        <w:rPr>
          <w:b/>
          <w:i/>
          <w:spacing w:val="-3"/>
        </w:rPr>
        <w:t xml:space="preserve"> </w:t>
      </w:r>
      <w:r>
        <w:rPr>
          <w:b/>
          <w:i/>
          <w:spacing w:val="-2"/>
        </w:rPr>
        <w:t>exposure</w:t>
      </w:r>
    </w:p>
    <w:p w14:paraId="1E805C38" w14:textId="77777777" w:rsidR="00AA4A02" w:rsidRDefault="00960F31">
      <w:pPr>
        <w:pStyle w:val="ListParagraph"/>
        <w:numPr>
          <w:ilvl w:val="0"/>
          <w:numId w:val="29"/>
        </w:numPr>
        <w:tabs>
          <w:tab w:val="left" w:pos="851"/>
        </w:tabs>
        <w:spacing w:before="194" w:line="208" w:lineRule="auto"/>
        <w:ind w:right="590"/>
      </w:pPr>
      <w:r>
        <w:t>The</w:t>
      </w:r>
      <w:r>
        <w:rPr>
          <w:spacing w:val="-2"/>
        </w:rPr>
        <w:t xml:space="preserve"> </w:t>
      </w:r>
      <w:r>
        <w:t>proposed</w:t>
      </w:r>
      <w:r>
        <w:rPr>
          <w:spacing w:val="-4"/>
        </w:rPr>
        <w:t xml:space="preserve"> </w:t>
      </w:r>
      <w:r>
        <w:t>ED</w:t>
      </w:r>
      <w:r>
        <w:rPr>
          <w:spacing w:val="-3"/>
        </w:rPr>
        <w:t xml:space="preserve"> </w:t>
      </w:r>
      <w:r>
        <w:t>is</w:t>
      </w:r>
      <w:r>
        <w:rPr>
          <w:spacing w:val="-4"/>
        </w:rPr>
        <w:t xml:space="preserve"> </w:t>
      </w:r>
      <w:r>
        <w:t>presented</w:t>
      </w:r>
      <w:r>
        <w:rPr>
          <w:spacing w:val="-2"/>
        </w:rPr>
        <w:t xml:space="preserve"> </w:t>
      </w:r>
      <w:r>
        <w:t>to</w:t>
      </w:r>
      <w:r>
        <w:rPr>
          <w:spacing w:val="-5"/>
        </w:rPr>
        <w:t xml:space="preserve"> </w:t>
      </w:r>
      <w:r>
        <w:t>the</w:t>
      </w:r>
      <w:r>
        <w:rPr>
          <w:spacing w:val="-2"/>
        </w:rPr>
        <w:t xml:space="preserve"> </w:t>
      </w:r>
      <w:r>
        <w:t>AUASB</w:t>
      </w:r>
      <w:r>
        <w:rPr>
          <w:spacing w:val="-4"/>
        </w:rPr>
        <w:t xml:space="preserve"> </w:t>
      </w:r>
      <w:r>
        <w:t>for</w:t>
      </w:r>
      <w:r>
        <w:rPr>
          <w:spacing w:val="-2"/>
        </w:rPr>
        <w:t xml:space="preserve"> </w:t>
      </w:r>
      <w:r>
        <w:t>consideration,</w:t>
      </w:r>
      <w:r>
        <w:rPr>
          <w:spacing w:val="-2"/>
        </w:rPr>
        <w:t xml:space="preserve"> </w:t>
      </w:r>
      <w:r>
        <w:t>deliberation</w:t>
      </w:r>
      <w:r>
        <w:rPr>
          <w:spacing w:val="-2"/>
        </w:rPr>
        <w:t xml:space="preserve"> </w:t>
      </w:r>
      <w:r>
        <w:t>and</w:t>
      </w:r>
      <w:r>
        <w:rPr>
          <w:spacing w:val="-2"/>
        </w:rPr>
        <w:t xml:space="preserve"> </w:t>
      </w:r>
      <w:r>
        <w:t>approval prior to being issued.</w:t>
      </w:r>
    </w:p>
    <w:p w14:paraId="1E805C39" w14:textId="77777777" w:rsidR="00AA4A02" w:rsidRDefault="00AA4A02">
      <w:pPr>
        <w:pStyle w:val="BodyText"/>
        <w:rPr>
          <w:sz w:val="20"/>
        </w:rPr>
      </w:pPr>
    </w:p>
    <w:p w14:paraId="1E805C3A" w14:textId="77777777" w:rsidR="00AA4A02" w:rsidRDefault="00AA4A02">
      <w:pPr>
        <w:pStyle w:val="BodyText"/>
        <w:rPr>
          <w:sz w:val="20"/>
        </w:rPr>
      </w:pPr>
    </w:p>
    <w:p w14:paraId="1E805C3B" w14:textId="77777777" w:rsidR="00AA4A02" w:rsidRDefault="00AA4A02">
      <w:pPr>
        <w:pStyle w:val="BodyText"/>
        <w:rPr>
          <w:sz w:val="20"/>
        </w:rPr>
      </w:pPr>
    </w:p>
    <w:p w14:paraId="1E805C3C" w14:textId="77777777" w:rsidR="00AA4A02" w:rsidRDefault="00960F31">
      <w:pPr>
        <w:pStyle w:val="BodyText"/>
        <w:spacing w:before="187"/>
        <w:rPr>
          <w:sz w:val="20"/>
        </w:rPr>
      </w:pPr>
      <w:r>
        <w:rPr>
          <w:noProof/>
          <w:sz w:val="20"/>
        </w:rPr>
        <mc:AlternateContent>
          <mc:Choice Requires="wps">
            <w:drawing>
              <wp:anchor distT="0" distB="0" distL="0" distR="0" simplePos="0" relativeHeight="487611392" behindDoc="1" locked="0" layoutInCell="1" allowOverlap="1" wp14:anchorId="1E805F6F" wp14:editId="1E805F70">
                <wp:simplePos x="0" y="0"/>
                <wp:positionH relativeFrom="page">
                  <wp:posOffset>900988</wp:posOffset>
                </wp:positionH>
                <wp:positionV relativeFrom="paragraph">
                  <wp:posOffset>280190</wp:posOffset>
                </wp:positionV>
                <wp:extent cx="1829435" cy="762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5F5DE" id="Graphic 75" o:spid="_x0000_s1026" style="position:absolute;margin-left:70.95pt;margin-top:22.05pt;width:144.05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" path="m1829053,l,,,7619r1829053,l1829053,xe" fillcolor="black" stroked="f">
                <v:path arrowok="t"/>
                <w10:wrap type="topAndBottom" anchorx="page"/>
              </v:shape>
            </w:pict>
          </mc:Fallback>
        </mc:AlternateContent>
      </w:r>
    </w:p>
    <w:p w14:paraId="1E805C3D" w14:textId="77777777" w:rsidR="00AA4A02" w:rsidRDefault="00960F31">
      <w:pPr>
        <w:spacing w:before="74" w:line="172" w:lineRule="exact"/>
        <w:ind w:left="143"/>
        <w:rPr>
          <w:sz w:val="16"/>
        </w:rPr>
      </w:pPr>
      <w:r>
        <w:rPr>
          <w:sz w:val="16"/>
          <w:vertAlign w:val="superscript"/>
        </w:rPr>
        <w:t>56</w:t>
      </w:r>
      <w:r>
        <w:rPr>
          <w:spacing w:val="47"/>
          <w:sz w:val="16"/>
        </w:rPr>
        <w:t xml:space="preserve">  </w:t>
      </w:r>
      <w:r>
        <w:rPr>
          <w:sz w:val="16"/>
        </w:rPr>
        <w:t>Refer</w:t>
      </w:r>
      <w:r>
        <w:rPr>
          <w:spacing w:val="-3"/>
          <w:sz w:val="16"/>
        </w:rPr>
        <w:t xml:space="preserve"> </w:t>
      </w:r>
      <w:r>
        <w:rPr>
          <w:sz w:val="16"/>
        </w:rPr>
        <w:t>to</w:t>
      </w:r>
      <w:r>
        <w:rPr>
          <w:spacing w:val="-2"/>
          <w:sz w:val="16"/>
        </w:rPr>
        <w:t xml:space="preserve"> </w:t>
      </w:r>
      <w:r>
        <w:rPr>
          <w:sz w:val="16"/>
        </w:rPr>
        <w:t>paragraphs</w:t>
      </w:r>
      <w:r>
        <w:rPr>
          <w:spacing w:val="-3"/>
          <w:sz w:val="16"/>
        </w:rPr>
        <w:t xml:space="preserve"> </w:t>
      </w:r>
      <w:r>
        <w:rPr>
          <w:sz w:val="16"/>
        </w:rPr>
        <w:t>60-63</w:t>
      </w:r>
      <w:r>
        <w:rPr>
          <w:spacing w:val="-2"/>
          <w:sz w:val="16"/>
        </w:rPr>
        <w:t xml:space="preserve"> </w:t>
      </w:r>
      <w:r>
        <w:rPr>
          <w:sz w:val="16"/>
        </w:rPr>
        <w:t>of</w:t>
      </w:r>
      <w:r>
        <w:rPr>
          <w:spacing w:val="-4"/>
          <w:sz w:val="16"/>
        </w:rPr>
        <w:t xml:space="preserve"> </w:t>
      </w:r>
      <w:r>
        <w:rPr>
          <w:sz w:val="16"/>
        </w:rPr>
        <w:t>this</w:t>
      </w:r>
      <w:r>
        <w:rPr>
          <w:spacing w:val="-3"/>
          <w:sz w:val="16"/>
        </w:rPr>
        <w:t xml:space="preserve"> </w:t>
      </w:r>
      <w:r>
        <w:rPr>
          <w:spacing w:val="-2"/>
          <w:sz w:val="16"/>
        </w:rPr>
        <w:t>document.</w:t>
      </w:r>
    </w:p>
    <w:p w14:paraId="1E805C3E" w14:textId="77777777" w:rsidR="00AA4A02" w:rsidRDefault="00960F31">
      <w:pPr>
        <w:spacing w:line="172" w:lineRule="exact"/>
        <w:ind w:left="143"/>
        <w:rPr>
          <w:sz w:val="16"/>
        </w:rPr>
      </w:pPr>
      <w:r>
        <w:rPr>
          <w:sz w:val="16"/>
          <w:vertAlign w:val="superscript"/>
        </w:rPr>
        <w:t>57</w:t>
      </w:r>
      <w:r>
        <w:rPr>
          <w:spacing w:val="47"/>
          <w:sz w:val="16"/>
        </w:rPr>
        <w:t xml:space="preserve">  </w:t>
      </w:r>
      <w:r>
        <w:rPr>
          <w:sz w:val="16"/>
        </w:rPr>
        <w:t>Refer</w:t>
      </w:r>
      <w:r>
        <w:rPr>
          <w:spacing w:val="-3"/>
          <w:sz w:val="16"/>
        </w:rPr>
        <w:t xml:space="preserve"> </w:t>
      </w:r>
      <w:r>
        <w:rPr>
          <w:sz w:val="16"/>
        </w:rPr>
        <w:t>also</w:t>
      </w:r>
      <w:r>
        <w:rPr>
          <w:spacing w:val="-2"/>
          <w:sz w:val="16"/>
        </w:rPr>
        <w:t xml:space="preserve"> </w:t>
      </w:r>
      <w:r>
        <w:rPr>
          <w:sz w:val="16"/>
        </w:rPr>
        <w:t>to</w:t>
      </w:r>
      <w:r>
        <w:rPr>
          <w:spacing w:val="-2"/>
          <w:sz w:val="16"/>
        </w:rPr>
        <w:t xml:space="preserve"> </w:t>
      </w:r>
      <w:r>
        <w:rPr>
          <w:sz w:val="16"/>
        </w:rPr>
        <w:t>the</w:t>
      </w:r>
      <w:r>
        <w:rPr>
          <w:spacing w:val="-2"/>
          <w:sz w:val="16"/>
        </w:rPr>
        <w:t xml:space="preserve"> </w:t>
      </w:r>
      <w:hyperlink r:id="rId112">
        <w:r>
          <w:rPr>
            <w:color w:val="0000FF"/>
            <w:sz w:val="16"/>
            <w:u w:val="single" w:color="0000FF"/>
          </w:rPr>
          <w:t>AUASB EISS</w:t>
        </w:r>
        <w:r>
          <w:rPr>
            <w:color w:val="0000FF"/>
            <w:spacing w:val="-1"/>
            <w:sz w:val="16"/>
            <w:u w:val="single" w:color="0000FF"/>
          </w:rPr>
          <w:t xml:space="preserve"> </w:t>
        </w:r>
        <w:r>
          <w:rPr>
            <w:color w:val="0000FF"/>
            <w:spacing w:val="-2"/>
            <w:sz w:val="16"/>
            <w:u w:val="single" w:color="0000FF"/>
          </w:rPr>
          <w:t>Strategy</w:t>
        </w:r>
        <w:r>
          <w:rPr>
            <w:spacing w:val="-2"/>
            <w:sz w:val="16"/>
          </w:rPr>
          <w:t>.</w:t>
        </w:r>
      </w:hyperlink>
    </w:p>
    <w:p w14:paraId="1E805C3F"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C40" w14:textId="77777777" w:rsidR="00AA4A02" w:rsidRDefault="00960F31">
      <w:pPr>
        <w:pStyle w:val="ListParagraph"/>
        <w:numPr>
          <w:ilvl w:val="0"/>
          <w:numId w:val="29"/>
        </w:numPr>
        <w:tabs>
          <w:tab w:val="left" w:pos="851"/>
        </w:tabs>
        <w:spacing w:before="219" w:line="208" w:lineRule="auto"/>
        <w:ind w:right="481"/>
      </w:pPr>
      <w:r>
        <w:lastRenderedPageBreak/>
        <w:t>Each</w:t>
      </w:r>
      <w:r>
        <w:rPr>
          <w:spacing w:val="-3"/>
        </w:rPr>
        <w:t xml:space="preserve"> </w:t>
      </w:r>
      <w:r>
        <w:t>ED</w:t>
      </w:r>
      <w:r>
        <w:rPr>
          <w:spacing w:val="-5"/>
        </w:rPr>
        <w:t xml:space="preserve"> </w:t>
      </w:r>
      <w:r>
        <w:t>is</w:t>
      </w:r>
      <w:r>
        <w:rPr>
          <w:spacing w:val="-3"/>
        </w:rPr>
        <w:t xml:space="preserve"> </w:t>
      </w:r>
      <w:r>
        <w:t>accompanied</w:t>
      </w:r>
      <w:r>
        <w:rPr>
          <w:spacing w:val="-3"/>
        </w:rPr>
        <w:t xml:space="preserve"> </w:t>
      </w:r>
      <w:r>
        <w:t>by</w:t>
      </w:r>
      <w:r>
        <w:rPr>
          <w:spacing w:val="-3"/>
        </w:rPr>
        <w:t xml:space="preserve"> </w:t>
      </w:r>
      <w:r>
        <w:t>an</w:t>
      </w:r>
      <w:r>
        <w:rPr>
          <w:spacing w:val="-3"/>
        </w:rPr>
        <w:t xml:space="preserve"> </w:t>
      </w:r>
      <w:r>
        <w:t>Explanatory</w:t>
      </w:r>
      <w:r>
        <w:rPr>
          <w:spacing w:val="-3"/>
        </w:rPr>
        <w:t xml:space="preserve"> </w:t>
      </w:r>
      <w:r>
        <w:t>Memorandum</w:t>
      </w:r>
      <w:r>
        <w:rPr>
          <w:spacing w:val="-5"/>
        </w:rPr>
        <w:t xml:space="preserve"> </w:t>
      </w:r>
      <w:r>
        <w:t>that</w:t>
      </w:r>
      <w:r>
        <w:rPr>
          <w:spacing w:val="-2"/>
        </w:rPr>
        <w:t xml:space="preserve"> </w:t>
      </w:r>
      <w:r>
        <w:t>highlights</w:t>
      </w:r>
      <w:r>
        <w:rPr>
          <w:spacing w:val="-5"/>
        </w:rPr>
        <w:t xml:space="preserve"> </w:t>
      </w:r>
      <w:r>
        <w:t>the</w:t>
      </w:r>
      <w:r>
        <w:rPr>
          <w:spacing w:val="-5"/>
        </w:rPr>
        <w:t xml:space="preserve"> </w:t>
      </w:r>
      <w:r>
        <w:t>reason</w:t>
      </w:r>
      <w:r>
        <w:rPr>
          <w:spacing w:val="-3"/>
        </w:rPr>
        <w:t xml:space="preserve"> </w:t>
      </w:r>
      <w:r>
        <w:t>for</w:t>
      </w:r>
      <w:r>
        <w:rPr>
          <w:spacing w:val="-3"/>
        </w:rPr>
        <w:t xml:space="preserve"> </w:t>
      </w:r>
      <w:r>
        <w:t>its development, explains key aspects of the proposed standard and focusses attention on important matters for stakeholder consideration. Stakeholders’ comments will</w:t>
      </w:r>
      <w:r>
        <w:rPr>
          <w:spacing w:val="-2"/>
        </w:rPr>
        <w:t xml:space="preserve"> </w:t>
      </w:r>
      <w:r>
        <w:t>generally</w:t>
      </w:r>
      <w:r>
        <w:rPr>
          <w:spacing w:val="-3"/>
        </w:rPr>
        <w:t xml:space="preserve"> </w:t>
      </w:r>
      <w:r>
        <w:t>be sought on the proposed requirements and the need for any further additional requirements.</w:t>
      </w:r>
    </w:p>
    <w:p w14:paraId="1E805C41" w14:textId="77777777" w:rsidR="00AA4A02" w:rsidRDefault="00960F31">
      <w:pPr>
        <w:pStyle w:val="ListParagraph"/>
        <w:numPr>
          <w:ilvl w:val="0"/>
          <w:numId w:val="29"/>
        </w:numPr>
        <w:tabs>
          <w:tab w:val="left" w:pos="851"/>
        </w:tabs>
        <w:spacing w:before="200" w:line="208" w:lineRule="auto"/>
        <w:ind w:right="445"/>
      </w:pPr>
      <w:r>
        <w:t>The</w:t>
      </w:r>
      <w:r>
        <w:rPr>
          <w:spacing w:val="-2"/>
        </w:rPr>
        <w:t xml:space="preserve"> </w:t>
      </w:r>
      <w:r>
        <w:t>ED</w:t>
      </w:r>
      <w:r>
        <w:rPr>
          <w:spacing w:val="-4"/>
        </w:rPr>
        <w:t xml:space="preserve"> </w:t>
      </w:r>
      <w:r>
        <w:t>comment</w:t>
      </w:r>
      <w:r>
        <w:rPr>
          <w:spacing w:val="-3"/>
        </w:rPr>
        <w:t xml:space="preserve"> </w:t>
      </w:r>
      <w:r>
        <w:t>period</w:t>
      </w:r>
      <w:r>
        <w:rPr>
          <w:spacing w:val="-2"/>
        </w:rPr>
        <w:t xml:space="preserve"> </w:t>
      </w:r>
      <w:r>
        <w:t>will</w:t>
      </w:r>
      <w:r>
        <w:rPr>
          <w:spacing w:val="-1"/>
        </w:rPr>
        <w:t xml:space="preserve"> </w:t>
      </w:r>
      <w:r>
        <w:t>vary</w:t>
      </w:r>
      <w:r>
        <w:rPr>
          <w:spacing w:val="-2"/>
        </w:rPr>
        <w:t xml:space="preserve"> </w:t>
      </w:r>
      <w:r>
        <w:t>depending</w:t>
      </w:r>
      <w:r>
        <w:rPr>
          <w:spacing w:val="-5"/>
        </w:rPr>
        <w:t xml:space="preserve"> </w:t>
      </w:r>
      <w:r>
        <w:t>on</w:t>
      </w:r>
      <w:r>
        <w:rPr>
          <w:spacing w:val="-2"/>
        </w:rPr>
        <w:t xml:space="preserve"> </w:t>
      </w:r>
      <w:r>
        <w:t>the</w:t>
      </w:r>
      <w:r>
        <w:rPr>
          <w:spacing w:val="-2"/>
        </w:rPr>
        <w:t xml:space="preserve"> </w:t>
      </w:r>
      <w:r>
        <w:t>complexity</w:t>
      </w:r>
      <w:r>
        <w:rPr>
          <w:spacing w:val="-2"/>
        </w:rPr>
        <w:t xml:space="preserve"> </w:t>
      </w:r>
      <w:r>
        <w:t>of</w:t>
      </w:r>
      <w:r>
        <w:rPr>
          <w:spacing w:val="-2"/>
        </w:rPr>
        <w:t xml:space="preserve"> </w:t>
      </w:r>
      <w:r>
        <w:t>the</w:t>
      </w:r>
      <w:r>
        <w:rPr>
          <w:spacing w:val="-2"/>
        </w:rPr>
        <w:t xml:space="preserve"> </w:t>
      </w:r>
      <w:r>
        <w:t>topic</w:t>
      </w:r>
      <w:r>
        <w:rPr>
          <w:spacing w:val="-2"/>
        </w:rPr>
        <w:t xml:space="preserve"> </w:t>
      </w:r>
      <w:r>
        <w:t>but</w:t>
      </w:r>
      <w:r>
        <w:rPr>
          <w:spacing w:val="-1"/>
        </w:rPr>
        <w:t xml:space="preserve"> </w:t>
      </w:r>
      <w:r>
        <w:t>is</w:t>
      </w:r>
      <w:r>
        <w:rPr>
          <w:spacing w:val="-4"/>
        </w:rPr>
        <w:t xml:space="preserve"> </w:t>
      </w:r>
      <w:r>
        <w:t>typically 90 days. Shorter comment periods are only used for minor matters or where the proposed standard is narrow in scope and urgent but is never less than 30 days.</w:t>
      </w:r>
    </w:p>
    <w:p w14:paraId="1E805C42" w14:textId="77777777" w:rsidR="00AA4A02" w:rsidRDefault="00960F31">
      <w:pPr>
        <w:spacing w:before="175"/>
        <w:ind w:left="143"/>
        <w:rPr>
          <w:b/>
          <w:i/>
        </w:rPr>
      </w:pPr>
      <w:bookmarkStart w:id="80" w:name="Consider_feedback_from_public_consultati"/>
      <w:bookmarkEnd w:id="80"/>
      <w:r>
        <w:rPr>
          <w:b/>
          <w:i/>
        </w:rPr>
        <w:t>Consider</w:t>
      </w:r>
      <w:r>
        <w:rPr>
          <w:b/>
          <w:i/>
          <w:spacing w:val="-6"/>
        </w:rPr>
        <w:t xml:space="preserve"> </w:t>
      </w:r>
      <w:r>
        <w:rPr>
          <w:b/>
          <w:i/>
        </w:rPr>
        <w:t>feedback</w:t>
      </w:r>
      <w:r>
        <w:rPr>
          <w:b/>
          <w:i/>
          <w:spacing w:val="-4"/>
        </w:rPr>
        <w:t xml:space="preserve"> </w:t>
      </w:r>
      <w:r>
        <w:rPr>
          <w:b/>
          <w:i/>
        </w:rPr>
        <w:t>from</w:t>
      </w:r>
      <w:r>
        <w:rPr>
          <w:b/>
          <w:i/>
          <w:spacing w:val="-3"/>
        </w:rPr>
        <w:t xml:space="preserve"> </w:t>
      </w:r>
      <w:r>
        <w:rPr>
          <w:b/>
          <w:i/>
        </w:rPr>
        <w:t>public</w:t>
      </w:r>
      <w:r>
        <w:rPr>
          <w:b/>
          <w:i/>
          <w:spacing w:val="-4"/>
        </w:rPr>
        <w:t xml:space="preserve"> </w:t>
      </w:r>
      <w:r>
        <w:rPr>
          <w:b/>
          <w:i/>
        </w:rPr>
        <w:t>consultation</w:t>
      </w:r>
      <w:r>
        <w:rPr>
          <w:b/>
          <w:i/>
          <w:spacing w:val="-3"/>
        </w:rPr>
        <w:t xml:space="preserve"> </w:t>
      </w:r>
      <w:r>
        <w:rPr>
          <w:b/>
          <w:i/>
        </w:rPr>
        <w:t>and</w:t>
      </w:r>
      <w:r>
        <w:rPr>
          <w:b/>
          <w:i/>
          <w:spacing w:val="-7"/>
        </w:rPr>
        <w:t xml:space="preserve"> </w:t>
      </w:r>
      <w:r>
        <w:rPr>
          <w:b/>
          <w:i/>
        </w:rPr>
        <w:t>finalise</w:t>
      </w:r>
      <w:r>
        <w:rPr>
          <w:b/>
          <w:i/>
          <w:spacing w:val="-4"/>
        </w:rPr>
        <w:t xml:space="preserve"> </w:t>
      </w:r>
      <w:r>
        <w:rPr>
          <w:b/>
          <w:i/>
        </w:rPr>
        <w:t>the</w:t>
      </w:r>
      <w:r>
        <w:rPr>
          <w:b/>
          <w:i/>
          <w:spacing w:val="-2"/>
        </w:rPr>
        <w:t xml:space="preserve"> </w:t>
      </w:r>
      <w:r>
        <w:rPr>
          <w:b/>
          <w:i/>
        </w:rPr>
        <w:t>proposed</w:t>
      </w:r>
      <w:r>
        <w:rPr>
          <w:b/>
          <w:i/>
          <w:spacing w:val="-5"/>
        </w:rPr>
        <w:t xml:space="preserve"> </w:t>
      </w:r>
      <w:r>
        <w:rPr>
          <w:b/>
          <w:i/>
          <w:spacing w:val="-2"/>
        </w:rPr>
        <w:t>standard</w:t>
      </w:r>
    </w:p>
    <w:p w14:paraId="1E805C43" w14:textId="77777777" w:rsidR="00AA4A02" w:rsidRDefault="00960F31">
      <w:pPr>
        <w:pStyle w:val="ListParagraph"/>
        <w:numPr>
          <w:ilvl w:val="0"/>
          <w:numId w:val="29"/>
        </w:numPr>
        <w:tabs>
          <w:tab w:val="left" w:pos="851"/>
        </w:tabs>
        <w:spacing w:before="194" w:line="208" w:lineRule="auto"/>
        <w:ind w:right="238"/>
      </w:pPr>
      <w:r>
        <w:t>At the completion of the public comment period, technical staff accumulate all stakeholder feedback and prepare an analysis to facilitate the Board deliberation process. This analysis summarises the significant issues raised by respondents, outlines how these comments are proposed to be addressed in the final standard and, as appropriate, explains the reason(s) significant changes recommended by a respondent(s) are, or are not, to be accepted. Stakeholder</w:t>
      </w:r>
      <w:r>
        <w:rPr>
          <w:spacing w:val="-6"/>
        </w:rPr>
        <w:t xml:space="preserve"> </w:t>
      </w:r>
      <w:r>
        <w:t>submissions</w:t>
      </w:r>
      <w:r>
        <w:rPr>
          <w:spacing w:val="-4"/>
        </w:rPr>
        <w:t xml:space="preserve"> </w:t>
      </w:r>
      <w:r>
        <w:t>are</w:t>
      </w:r>
      <w:r>
        <w:rPr>
          <w:spacing w:val="-3"/>
        </w:rPr>
        <w:t xml:space="preserve"> </w:t>
      </w:r>
      <w:r>
        <w:t>published</w:t>
      </w:r>
      <w:r>
        <w:rPr>
          <w:spacing w:val="-1"/>
        </w:rPr>
        <w:t xml:space="preserve"> </w:t>
      </w:r>
      <w:r>
        <w:t>on</w:t>
      </w:r>
      <w:r>
        <w:rPr>
          <w:spacing w:val="-6"/>
        </w:rPr>
        <w:t xml:space="preserve"> </w:t>
      </w:r>
      <w:r>
        <w:t>the</w:t>
      </w:r>
      <w:r>
        <w:rPr>
          <w:spacing w:val="-3"/>
        </w:rPr>
        <w:t xml:space="preserve"> </w:t>
      </w:r>
      <w:r>
        <w:t>AUASB</w:t>
      </w:r>
      <w:r>
        <w:rPr>
          <w:spacing w:val="-6"/>
        </w:rPr>
        <w:t xml:space="preserve"> </w:t>
      </w:r>
      <w:r>
        <w:t>website</w:t>
      </w:r>
      <w:r>
        <w:rPr>
          <w:spacing w:val="-3"/>
        </w:rPr>
        <w:t xml:space="preserve"> </w:t>
      </w:r>
      <w:r>
        <w:t>unless</w:t>
      </w:r>
      <w:r>
        <w:rPr>
          <w:spacing w:val="-5"/>
        </w:rPr>
        <w:t xml:space="preserve"> </w:t>
      </w:r>
      <w:r>
        <w:t>marked</w:t>
      </w:r>
      <w:r>
        <w:rPr>
          <w:spacing w:val="-3"/>
        </w:rPr>
        <w:t xml:space="preserve"> </w:t>
      </w:r>
      <w:r>
        <w:t>as</w:t>
      </w:r>
      <w:r>
        <w:rPr>
          <w:spacing w:val="-3"/>
        </w:rPr>
        <w:t xml:space="preserve"> </w:t>
      </w:r>
      <w:r>
        <w:rPr>
          <w:spacing w:val="-2"/>
        </w:rPr>
        <w:t>confidential.</w:t>
      </w:r>
    </w:p>
    <w:p w14:paraId="1E805C44" w14:textId="77777777" w:rsidR="00AA4A02" w:rsidRDefault="00960F31">
      <w:pPr>
        <w:pStyle w:val="ListParagraph"/>
        <w:numPr>
          <w:ilvl w:val="0"/>
          <w:numId w:val="29"/>
        </w:numPr>
        <w:tabs>
          <w:tab w:val="left" w:pos="851"/>
        </w:tabs>
        <w:spacing w:before="199" w:line="208" w:lineRule="auto"/>
        <w:ind w:right="381"/>
      </w:pPr>
      <w:r>
        <w:t>Technical</w:t>
      </w:r>
      <w:r>
        <w:rPr>
          <w:spacing w:val="-1"/>
        </w:rPr>
        <w:t xml:space="preserve"> </w:t>
      </w:r>
      <w:r>
        <w:t>staff</w:t>
      </w:r>
      <w:r>
        <w:rPr>
          <w:spacing w:val="-1"/>
        </w:rPr>
        <w:t xml:space="preserve"> </w:t>
      </w:r>
      <w:r>
        <w:t>consider</w:t>
      </w:r>
      <w:r>
        <w:rPr>
          <w:spacing w:val="-4"/>
        </w:rPr>
        <w:t xml:space="preserve"> </w:t>
      </w:r>
      <w:r>
        <w:t>all</w:t>
      </w:r>
      <w:r>
        <w:rPr>
          <w:spacing w:val="-3"/>
        </w:rPr>
        <w:t xml:space="preserve"> </w:t>
      </w:r>
      <w:r>
        <w:t>stakeholder</w:t>
      </w:r>
      <w:r>
        <w:rPr>
          <w:spacing w:val="-3"/>
        </w:rPr>
        <w:t xml:space="preserve"> </w:t>
      </w:r>
      <w:r>
        <w:t>feedback,</w:t>
      </w:r>
      <w:r>
        <w:rPr>
          <w:spacing w:val="-2"/>
        </w:rPr>
        <w:t xml:space="preserve"> </w:t>
      </w:r>
      <w:r>
        <w:t>in</w:t>
      </w:r>
      <w:r>
        <w:rPr>
          <w:spacing w:val="-2"/>
        </w:rPr>
        <w:t xml:space="preserve"> </w:t>
      </w:r>
      <w:r>
        <w:t>whatever</w:t>
      </w:r>
      <w:r>
        <w:rPr>
          <w:spacing w:val="-4"/>
        </w:rPr>
        <w:t xml:space="preserve"> </w:t>
      </w:r>
      <w:r>
        <w:t>form,</w:t>
      </w:r>
      <w:r>
        <w:rPr>
          <w:spacing w:val="-5"/>
        </w:rPr>
        <w:t xml:space="preserve"> </w:t>
      </w:r>
      <w:r>
        <w:t>and,</w:t>
      </w:r>
      <w:r>
        <w:rPr>
          <w:spacing w:val="-2"/>
        </w:rPr>
        <w:t xml:space="preserve"> </w:t>
      </w:r>
      <w:r>
        <w:t>where</w:t>
      </w:r>
      <w:r>
        <w:rPr>
          <w:spacing w:val="-4"/>
        </w:rPr>
        <w:t xml:space="preserve"> </w:t>
      </w:r>
      <w:r>
        <w:t>appropriate, make recommended changes to the proposed standard for the AUASB to consider.</w:t>
      </w:r>
      <w:r>
        <w:rPr>
          <w:spacing w:val="40"/>
        </w:rPr>
        <w:t xml:space="preserve"> </w:t>
      </w:r>
      <w:r>
        <w:t>A draft Basis for Conclusions</w:t>
      </w:r>
      <w:r>
        <w:rPr>
          <w:vertAlign w:val="superscript"/>
        </w:rPr>
        <w:t>58</w:t>
      </w:r>
      <w:r>
        <w:t xml:space="preserve"> is prepared at the time of finalising the proposed standard.</w:t>
      </w:r>
    </w:p>
    <w:p w14:paraId="1E805C45" w14:textId="77777777" w:rsidR="00AA4A02" w:rsidRDefault="00960F31">
      <w:pPr>
        <w:spacing w:before="175"/>
        <w:ind w:left="143"/>
        <w:rPr>
          <w:b/>
          <w:i/>
        </w:rPr>
      </w:pPr>
      <w:bookmarkStart w:id="81" w:name="Consider_the_need_for_re-exposure_and_ap"/>
      <w:bookmarkEnd w:id="81"/>
      <w:r>
        <w:rPr>
          <w:b/>
          <w:i/>
        </w:rPr>
        <w:t>Consider</w:t>
      </w:r>
      <w:r>
        <w:rPr>
          <w:b/>
          <w:i/>
          <w:spacing w:val="-5"/>
        </w:rPr>
        <w:t xml:space="preserve"> </w:t>
      </w:r>
      <w:r>
        <w:rPr>
          <w:b/>
          <w:i/>
        </w:rPr>
        <w:t>the</w:t>
      </w:r>
      <w:r>
        <w:rPr>
          <w:b/>
          <w:i/>
          <w:spacing w:val="-3"/>
        </w:rPr>
        <w:t xml:space="preserve"> </w:t>
      </w:r>
      <w:r>
        <w:rPr>
          <w:b/>
          <w:i/>
        </w:rPr>
        <w:t>need</w:t>
      </w:r>
      <w:r>
        <w:rPr>
          <w:b/>
          <w:i/>
          <w:spacing w:val="-2"/>
        </w:rPr>
        <w:t xml:space="preserve"> </w:t>
      </w:r>
      <w:r>
        <w:rPr>
          <w:b/>
          <w:i/>
        </w:rPr>
        <w:t>for</w:t>
      </w:r>
      <w:r>
        <w:rPr>
          <w:b/>
          <w:i/>
          <w:spacing w:val="-3"/>
        </w:rPr>
        <w:t xml:space="preserve"> </w:t>
      </w:r>
      <w:r>
        <w:rPr>
          <w:b/>
          <w:i/>
        </w:rPr>
        <w:t>re-exposure</w:t>
      </w:r>
      <w:r>
        <w:rPr>
          <w:b/>
          <w:i/>
          <w:spacing w:val="-4"/>
        </w:rPr>
        <w:t xml:space="preserve"> </w:t>
      </w:r>
      <w:r>
        <w:rPr>
          <w:b/>
          <w:i/>
        </w:rPr>
        <w:t>and</w:t>
      </w:r>
      <w:r>
        <w:rPr>
          <w:b/>
          <w:i/>
          <w:spacing w:val="-3"/>
        </w:rPr>
        <w:t xml:space="preserve"> </w:t>
      </w:r>
      <w:r>
        <w:rPr>
          <w:b/>
          <w:i/>
        </w:rPr>
        <w:t>approve</w:t>
      </w:r>
      <w:r>
        <w:rPr>
          <w:b/>
          <w:i/>
          <w:spacing w:val="-3"/>
        </w:rPr>
        <w:t xml:space="preserve"> </w:t>
      </w:r>
      <w:r>
        <w:rPr>
          <w:b/>
          <w:i/>
        </w:rPr>
        <w:t>the</w:t>
      </w:r>
      <w:r>
        <w:rPr>
          <w:b/>
          <w:i/>
          <w:spacing w:val="-2"/>
        </w:rPr>
        <w:t xml:space="preserve"> standard</w:t>
      </w:r>
    </w:p>
    <w:p w14:paraId="1E805C46" w14:textId="77777777" w:rsidR="00AA4A02" w:rsidRDefault="00960F31">
      <w:pPr>
        <w:pStyle w:val="ListParagraph"/>
        <w:numPr>
          <w:ilvl w:val="0"/>
          <w:numId w:val="29"/>
        </w:numPr>
        <w:tabs>
          <w:tab w:val="left" w:pos="851"/>
        </w:tabs>
        <w:spacing w:before="191" w:line="208" w:lineRule="auto"/>
        <w:ind w:right="186"/>
      </w:pPr>
      <w:r>
        <w:t>AUASB technical staff present the proposed standard and accompanying draft Basis for Conclusions,</w:t>
      </w:r>
      <w:r>
        <w:rPr>
          <w:spacing w:val="-3"/>
        </w:rPr>
        <w:t xml:space="preserve"> </w:t>
      </w:r>
      <w:r>
        <w:t>together</w:t>
      </w:r>
      <w:r>
        <w:rPr>
          <w:spacing w:val="-4"/>
        </w:rPr>
        <w:t xml:space="preserve"> </w:t>
      </w:r>
      <w:r>
        <w:t>with</w:t>
      </w:r>
      <w:r>
        <w:rPr>
          <w:spacing w:val="-6"/>
        </w:rPr>
        <w:t xml:space="preserve"> </w:t>
      </w:r>
      <w:r>
        <w:t>a</w:t>
      </w:r>
      <w:r>
        <w:rPr>
          <w:spacing w:val="-3"/>
        </w:rPr>
        <w:t xml:space="preserve"> </w:t>
      </w:r>
      <w:r>
        <w:t>collation</w:t>
      </w:r>
      <w:r>
        <w:rPr>
          <w:spacing w:val="-3"/>
        </w:rPr>
        <w:t xml:space="preserve"> </w:t>
      </w:r>
      <w:r>
        <w:t>of</w:t>
      </w:r>
      <w:r>
        <w:rPr>
          <w:spacing w:val="-5"/>
        </w:rPr>
        <w:t xml:space="preserve"> </w:t>
      </w:r>
      <w:r>
        <w:t>all stakeholder</w:t>
      </w:r>
      <w:r>
        <w:rPr>
          <w:spacing w:val="-2"/>
        </w:rPr>
        <w:t xml:space="preserve"> </w:t>
      </w:r>
      <w:r>
        <w:t>comments</w:t>
      </w:r>
      <w:r>
        <w:rPr>
          <w:spacing w:val="-3"/>
        </w:rPr>
        <w:t xml:space="preserve"> </w:t>
      </w:r>
      <w:r>
        <w:t>and</w:t>
      </w:r>
      <w:r>
        <w:rPr>
          <w:spacing w:val="-5"/>
        </w:rPr>
        <w:t xml:space="preserve"> </w:t>
      </w:r>
      <w:r>
        <w:t>technical</w:t>
      </w:r>
      <w:r>
        <w:rPr>
          <w:spacing w:val="-1"/>
        </w:rPr>
        <w:t xml:space="preserve"> </w:t>
      </w:r>
      <w:r>
        <w:t>staff</w:t>
      </w:r>
      <w:r>
        <w:rPr>
          <w:spacing w:val="-5"/>
        </w:rPr>
        <w:t xml:space="preserve"> </w:t>
      </w:r>
      <w:r>
        <w:t>analysis of comments received, to the AUASB for its consideration at a public meeting.</w:t>
      </w:r>
    </w:p>
    <w:p w14:paraId="1E805C47" w14:textId="77777777" w:rsidR="00AA4A02" w:rsidRDefault="00960F31">
      <w:pPr>
        <w:pStyle w:val="ListParagraph"/>
        <w:numPr>
          <w:ilvl w:val="0"/>
          <w:numId w:val="29"/>
        </w:numPr>
        <w:tabs>
          <w:tab w:val="left" w:pos="851"/>
        </w:tabs>
        <w:spacing w:line="208" w:lineRule="auto"/>
        <w:ind w:right="344"/>
      </w:pPr>
      <w:r>
        <w:t>The AUASB considers the public views expressed in submissions and how issues raised by stakeholders</w:t>
      </w:r>
      <w:r>
        <w:rPr>
          <w:spacing w:val="-3"/>
        </w:rPr>
        <w:t xml:space="preserve"> </w:t>
      </w:r>
      <w:r>
        <w:t>have</w:t>
      </w:r>
      <w:r>
        <w:rPr>
          <w:spacing w:val="-3"/>
        </w:rPr>
        <w:t xml:space="preserve"> </w:t>
      </w:r>
      <w:r>
        <w:t>been</w:t>
      </w:r>
      <w:r>
        <w:rPr>
          <w:spacing w:val="-3"/>
        </w:rPr>
        <w:t xml:space="preserve"> </w:t>
      </w:r>
      <w:r>
        <w:t>addressed</w:t>
      </w:r>
      <w:r>
        <w:rPr>
          <w:spacing w:val="-5"/>
        </w:rPr>
        <w:t xml:space="preserve"> </w:t>
      </w:r>
      <w:r>
        <w:t>in</w:t>
      </w:r>
      <w:r>
        <w:rPr>
          <w:spacing w:val="-3"/>
        </w:rPr>
        <w:t xml:space="preserve"> </w:t>
      </w:r>
      <w:r>
        <w:t>the proposed</w:t>
      </w:r>
      <w:r>
        <w:rPr>
          <w:spacing w:val="-2"/>
        </w:rPr>
        <w:t xml:space="preserve"> </w:t>
      </w:r>
      <w:r>
        <w:t>standard.</w:t>
      </w:r>
      <w:r>
        <w:rPr>
          <w:spacing w:val="-3"/>
        </w:rPr>
        <w:t xml:space="preserve"> </w:t>
      </w:r>
      <w:r>
        <w:t>The</w:t>
      </w:r>
      <w:r>
        <w:rPr>
          <w:spacing w:val="-3"/>
        </w:rPr>
        <w:t xml:space="preserve"> </w:t>
      </w:r>
      <w:r>
        <w:t>AUASB</w:t>
      </w:r>
      <w:r>
        <w:rPr>
          <w:spacing w:val="-4"/>
        </w:rPr>
        <w:t xml:space="preserve"> </w:t>
      </w:r>
      <w:r>
        <w:t>may</w:t>
      </w:r>
      <w:r>
        <w:rPr>
          <w:spacing w:val="-5"/>
        </w:rPr>
        <w:t xml:space="preserve"> </w:t>
      </w:r>
      <w:r>
        <w:t>further</w:t>
      </w:r>
      <w:r>
        <w:rPr>
          <w:spacing w:val="-2"/>
        </w:rPr>
        <w:t xml:space="preserve"> </w:t>
      </w:r>
      <w:r>
        <w:t>amend the draft standard prior to its final approval. Any further significant changes will prompt a consequential change to the Basis for Conclusions.</w:t>
      </w:r>
    </w:p>
    <w:p w14:paraId="1E805C48" w14:textId="77777777" w:rsidR="00AA4A02" w:rsidRDefault="00960F31">
      <w:pPr>
        <w:pStyle w:val="ListParagraph"/>
        <w:numPr>
          <w:ilvl w:val="0"/>
          <w:numId w:val="29"/>
        </w:numPr>
        <w:tabs>
          <w:tab w:val="left" w:pos="851"/>
        </w:tabs>
        <w:spacing w:before="200" w:line="208" w:lineRule="auto"/>
        <w:ind w:right="333"/>
      </w:pPr>
      <w:r>
        <w:t>Where</w:t>
      </w:r>
      <w:r>
        <w:rPr>
          <w:spacing w:val="-3"/>
        </w:rPr>
        <w:t xml:space="preserve"> </w:t>
      </w:r>
      <w:r>
        <w:t>the</w:t>
      </w:r>
      <w:r>
        <w:rPr>
          <w:spacing w:val="-3"/>
        </w:rPr>
        <w:t xml:space="preserve"> </w:t>
      </w:r>
      <w:r>
        <w:t>original</w:t>
      </w:r>
      <w:r>
        <w:rPr>
          <w:spacing w:val="-2"/>
        </w:rPr>
        <w:t xml:space="preserve"> </w:t>
      </w:r>
      <w:r>
        <w:t>ED</w:t>
      </w:r>
      <w:r>
        <w:rPr>
          <w:spacing w:val="-3"/>
        </w:rPr>
        <w:t xml:space="preserve"> </w:t>
      </w:r>
      <w:r>
        <w:t>has</w:t>
      </w:r>
      <w:r>
        <w:rPr>
          <w:spacing w:val="-5"/>
        </w:rPr>
        <w:t xml:space="preserve"> </w:t>
      </w:r>
      <w:r>
        <w:t>been</w:t>
      </w:r>
      <w:r>
        <w:rPr>
          <w:spacing w:val="-3"/>
        </w:rPr>
        <w:t xml:space="preserve"> </w:t>
      </w:r>
      <w:r>
        <w:t>subject</w:t>
      </w:r>
      <w:r>
        <w:rPr>
          <w:spacing w:val="-5"/>
        </w:rPr>
        <w:t xml:space="preserve"> </w:t>
      </w:r>
      <w:r>
        <w:t>to</w:t>
      </w:r>
      <w:r>
        <w:rPr>
          <w:spacing w:val="-5"/>
        </w:rPr>
        <w:t xml:space="preserve"> </w:t>
      </w:r>
      <w:r>
        <w:t>changes</w:t>
      </w:r>
      <w:r>
        <w:rPr>
          <w:spacing w:val="-2"/>
        </w:rPr>
        <w:t xml:space="preserve"> </w:t>
      </w:r>
      <w:r>
        <w:t>arising</w:t>
      </w:r>
      <w:r>
        <w:rPr>
          <w:spacing w:val="-3"/>
        </w:rPr>
        <w:t xml:space="preserve"> </w:t>
      </w:r>
      <w:r>
        <w:t>from</w:t>
      </w:r>
      <w:r>
        <w:rPr>
          <w:spacing w:val="-2"/>
        </w:rPr>
        <w:t xml:space="preserve"> </w:t>
      </w:r>
      <w:r>
        <w:t>the</w:t>
      </w:r>
      <w:r>
        <w:rPr>
          <w:spacing w:val="-3"/>
        </w:rPr>
        <w:t xml:space="preserve"> </w:t>
      </w:r>
      <w:r>
        <w:t>public</w:t>
      </w:r>
      <w:r>
        <w:rPr>
          <w:spacing w:val="-3"/>
        </w:rPr>
        <w:t xml:space="preserve"> </w:t>
      </w:r>
      <w:r>
        <w:t>exposure</w:t>
      </w:r>
      <w:r>
        <w:rPr>
          <w:spacing w:val="-3"/>
        </w:rPr>
        <w:t xml:space="preserve"> </w:t>
      </w:r>
      <w:r>
        <w:t>process, and/or</w:t>
      </w:r>
      <w:r>
        <w:rPr>
          <w:spacing w:val="-1"/>
        </w:rPr>
        <w:t xml:space="preserve"> </w:t>
      </w:r>
      <w:r>
        <w:t>new/revised</w:t>
      </w:r>
      <w:r>
        <w:rPr>
          <w:spacing w:val="-1"/>
        </w:rPr>
        <w:t xml:space="preserve"> </w:t>
      </w:r>
      <w:r>
        <w:t>evidence,</w:t>
      </w:r>
      <w:r>
        <w:rPr>
          <w:spacing w:val="-2"/>
        </w:rPr>
        <w:t xml:space="preserve"> </w:t>
      </w:r>
      <w:r>
        <w:t>technical</w:t>
      </w:r>
      <w:r>
        <w:rPr>
          <w:spacing w:val="-1"/>
        </w:rPr>
        <w:t xml:space="preserve"> </w:t>
      </w:r>
      <w:r>
        <w:t>staff</w:t>
      </w:r>
      <w:r>
        <w:rPr>
          <w:spacing w:val="-2"/>
        </w:rPr>
        <w:t xml:space="preserve"> </w:t>
      </w:r>
      <w:r>
        <w:t>prepare</w:t>
      </w:r>
      <w:r>
        <w:rPr>
          <w:spacing w:val="-4"/>
        </w:rPr>
        <w:t xml:space="preserve"> </w:t>
      </w:r>
      <w:r>
        <w:t>a</w:t>
      </w:r>
      <w:r>
        <w:rPr>
          <w:spacing w:val="-2"/>
        </w:rPr>
        <w:t xml:space="preserve"> </w:t>
      </w:r>
      <w:r>
        <w:t>summary</w:t>
      </w:r>
      <w:r>
        <w:rPr>
          <w:spacing w:val="-5"/>
        </w:rPr>
        <w:t xml:space="preserve"> </w:t>
      </w:r>
      <w:r>
        <w:t>comparative</w:t>
      </w:r>
      <w:r>
        <w:rPr>
          <w:spacing w:val="-2"/>
        </w:rPr>
        <w:t xml:space="preserve"> </w:t>
      </w:r>
      <w:r>
        <w:t>analysis</w:t>
      </w:r>
      <w:r>
        <w:rPr>
          <w:spacing w:val="-4"/>
        </w:rPr>
        <w:t xml:space="preserve"> </w:t>
      </w:r>
      <w:r>
        <w:t>for the AUASB’s consideration, which shows the differences between the original ED and the proposed final standard.</w:t>
      </w:r>
    </w:p>
    <w:p w14:paraId="1E805C49" w14:textId="77777777" w:rsidR="00AA4A02" w:rsidRDefault="00960F31">
      <w:pPr>
        <w:pStyle w:val="ListParagraph"/>
        <w:numPr>
          <w:ilvl w:val="0"/>
          <w:numId w:val="29"/>
        </w:numPr>
        <w:tabs>
          <w:tab w:val="left" w:pos="851"/>
        </w:tabs>
        <w:spacing w:before="200" w:line="208" w:lineRule="auto"/>
        <w:ind w:right="183"/>
      </w:pPr>
      <w:r>
        <w:t>If</w:t>
      </w:r>
      <w:r>
        <w:rPr>
          <w:spacing w:val="-2"/>
        </w:rPr>
        <w:t xml:space="preserve"> </w:t>
      </w:r>
      <w:r>
        <w:t>applicable,</w:t>
      </w:r>
      <w:r>
        <w:rPr>
          <w:spacing w:val="-4"/>
        </w:rPr>
        <w:t xml:space="preserve"> </w:t>
      </w:r>
      <w:r>
        <w:t>the</w:t>
      </w:r>
      <w:r>
        <w:rPr>
          <w:spacing w:val="-2"/>
        </w:rPr>
        <w:t xml:space="preserve"> </w:t>
      </w:r>
      <w:r>
        <w:t>AUASB</w:t>
      </w:r>
      <w:r>
        <w:rPr>
          <w:spacing w:val="-4"/>
        </w:rPr>
        <w:t xml:space="preserve"> </w:t>
      </w:r>
      <w:r>
        <w:t>applies</w:t>
      </w:r>
      <w:r>
        <w:rPr>
          <w:spacing w:val="-4"/>
        </w:rPr>
        <w:t xml:space="preserve"> </w:t>
      </w:r>
      <w:r>
        <w:t>the</w:t>
      </w:r>
      <w:r>
        <w:rPr>
          <w:spacing w:val="-2"/>
        </w:rPr>
        <w:t xml:space="preserve"> </w:t>
      </w:r>
      <w:r>
        <w:t>criteria</w:t>
      </w:r>
      <w:r>
        <w:rPr>
          <w:spacing w:val="-2"/>
        </w:rPr>
        <w:t xml:space="preserve"> </w:t>
      </w:r>
      <w:r>
        <w:t>outlined</w:t>
      </w:r>
      <w:r>
        <w:rPr>
          <w:spacing w:val="-4"/>
        </w:rPr>
        <w:t xml:space="preserve"> </w:t>
      </w:r>
      <w:r>
        <w:t>in</w:t>
      </w:r>
      <w:r>
        <w:rPr>
          <w:spacing w:val="-2"/>
        </w:rPr>
        <w:t xml:space="preserve"> </w:t>
      </w:r>
      <w:r>
        <w:t>paragraphs</w:t>
      </w:r>
      <w:r>
        <w:rPr>
          <w:spacing w:val="-2"/>
        </w:rPr>
        <w:t xml:space="preserve"> </w:t>
      </w:r>
      <w:r>
        <w:t>72-74</w:t>
      </w:r>
      <w:r>
        <w:rPr>
          <w:spacing w:val="-2"/>
        </w:rPr>
        <w:t xml:space="preserve"> </w:t>
      </w:r>
      <w:r>
        <w:t>of</w:t>
      </w:r>
      <w:r>
        <w:rPr>
          <w:spacing w:val="-4"/>
        </w:rPr>
        <w:t xml:space="preserve"> </w:t>
      </w:r>
      <w:r>
        <w:t>this</w:t>
      </w:r>
      <w:r>
        <w:rPr>
          <w:spacing w:val="-4"/>
        </w:rPr>
        <w:t xml:space="preserve"> </w:t>
      </w:r>
      <w:r>
        <w:t>document</w:t>
      </w:r>
      <w:r>
        <w:rPr>
          <w:spacing w:val="-3"/>
        </w:rPr>
        <w:t xml:space="preserve"> </w:t>
      </w:r>
      <w:r>
        <w:t>to determine whether potential grounds exist for a decision to re-expose the proposed standard, or parts thereof, for further comment.</w:t>
      </w:r>
    </w:p>
    <w:p w14:paraId="1E805C4A" w14:textId="77777777" w:rsidR="00AA4A02" w:rsidRDefault="00960F31">
      <w:pPr>
        <w:pStyle w:val="ListParagraph"/>
        <w:numPr>
          <w:ilvl w:val="0"/>
          <w:numId w:val="29"/>
        </w:numPr>
        <w:tabs>
          <w:tab w:val="left" w:pos="851"/>
        </w:tabs>
        <w:spacing w:before="199" w:line="208" w:lineRule="auto"/>
        <w:ind w:right="230"/>
      </w:pPr>
      <w:r>
        <w:t>The</w:t>
      </w:r>
      <w:r>
        <w:rPr>
          <w:spacing w:val="-2"/>
        </w:rPr>
        <w:t xml:space="preserve"> </w:t>
      </w:r>
      <w:r>
        <w:t>AUASB</w:t>
      </w:r>
      <w:r>
        <w:rPr>
          <w:spacing w:val="-4"/>
        </w:rPr>
        <w:t xml:space="preserve"> </w:t>
      </w:r>
      <w:r>
        <w:t>decides</w:t>
      </w:r>
      <w:r>
        <w:rPr>
          <w:spacing w:val="-2"/>
        </w:rPr>
        <w:t xml:space="preserve"> </w:t>
      </w:r>
      <w:r>
        <w:t>on</w:t>
      </w:r>
      <w:r>
        <w:rPr>
          <w:spacing w:val="-2"/>
        </w:rPr>
        <w:t xml:space="preserve"> </w:t>
      </w:r>
      <w:r>
        <w:t>whether</w:t>
      </w:r>
      <w:r>
        <w:rPr>
          <w:spacing w:val="-4"/>
        </w:rPr>
        <w:t xml:space="preserve"> </w:t>
      </w:r>
      <w:r>
        <w:t>to</w:t>
      </w:r>
      <w:r>
        <w:rPr>
          <w:spacing w:val="-2"/>
        </w:rPr>
        <w:t xml:space="preserve"> </w:t>
      </w:r>
      <w:r>
        <w:t>re-expose</w:t>
      </w:r>
      <w:r>
        <w:rPr>
          <w:spacing w:val="-4"/>
        </w:rPr>
        <w:t xml:space="preserve"> </w:t>
      </w:r>
      <w:r>
        <w:t>a</w:t>
      </w:r>
      <w:r>
        <w:rPr>
          <w:spacing w:val="-2"/>
        </w:rPr>
        <w:t xml:space="preserve"> </w:t>
      </w:r>
      <w:r>
        <w:t>proposed</w:t>
      </w:r>
      <w:r>
        <w:rPr>
          <w:spacing w:val="-2"/>
        </w:rPr>
        <w:t xml:space="preserve"> </w:t>
      </w:r>
      <w:r>
        <w:t>standard,</w:t>
      </w:r>
      <w:r>
        <w:rPr>
          <w:spacing w:val="-5"/>
        </w:rPr>
        <w:t xml:space="preserve"> </w:t>
      </w:r>
      <w:r>
        <w:t>or</w:t>
      </w:r>
      <w:r>
        <w:rPr>
          <w:spacing w:val="-2"/>
        </w:rPr>
        <w:t xml:space="preserve"> </w:t>
      </w:r>
      <w:r>
        <w:t>parts</w:t>
      </w:r>
      <w:r>
        <w:rPr>
          <w:spacing w:val="-4"/>
        </w:rPr>
        <w:t xml:space="preserve"> </w:t>
      </w:r>
      <w:r>
        <w:t>thereof,</w:t>
      </w:r>
      <w:r>
        <w:rPr>
          <w:spacing w:val="-2"/>
        </w:rPr>
        <w:t xml:space="preserve"> </w:t>
      </w:r>
      <w:r>
        <w:t>by</w:t>
      </w:r>
      <w:r>
        <w:rPr>
          <w:spacing w:val="-5"/>
        </w:rPr>
        <w:t xml:space="preserve"> </w:t>
      </w:r>
      <w:r>
        <w:t>formal vote.</w:t>
      </w:r>
      <w:r>
        <w:rPr>
          <w:vertAlign w:val="superscript"/>
        </w:rPr>
        <w:t>59</w:t>
      </w:r>
      <w:r>
        <w:t xml:space="preserve"> The basis of the AUASB’s decisions with respect to re-exposure is recorded in the minutes of the meeting. Where the AUASB decides not to issue a re-exposure draft for any substantial changes made to the original ED, those reasons are described in the Basis for </w:t>
      </w:r>
      <w:r>
        <w:rPr>
          <w:spacing w:val="-2"/>
        </w:rPr>
        <w:t>Conclusions.</w:t>
      </w:r>
    </w:p>
    <w:p w14:paraId="1E805C4B" w14:textId="77777777" w:rsidR="00AA4A02" w:rsidRDefault="00960F31">
      <w:pPr>
        <w:pStyle w:val="ListParagraph"/>
        <w:numPr>
          <w:ilvl w:val="0"/>
          <w:numId w:val="29"/>
        </w:numPr>
        <w:tabs>
          <w:tab w:val="left" w:pos="851"/>
        </w:tabs>
        <w:spacing w:before="200" w:line="208" w:lineRule="auto"/>
        <w:ind w:right="169"/>
      </w:pPr>
      <w:r>
        <w:t>Where the AUASB</w:t>
      </w:r>
      <w:r>
        <w:rPr>
          <w:spacing w:val="-2"/>
        </w:rPr>
        <w:t xml:space="preserve"> </w:t>
      </w:r>
      <w:r>
        <w:t>is satisfied changes to previously exposed</w:t>
      </w:r>
      <w:r>
        <w:rPr>
          <w:spacing w:val="-3"/>
        </w:rPr>
        <w:t xml:space="preserve"> </w:t>
      </w:r>
      <w:r>
        <w:t>proposals are not substantial,</w:t>
      </w:r>
      <w:r>
        <w:rPr>
          <w:spacing w:val="-3"/>
        </w:rPr>
        <w:t xml:space="preserve"> </w:t>
      </w:r>
      <w:r>
        <w:t>or where</w:t>
      </w:r>
      <w:r>
        <w:rPr>
          <w:spacing w:val="-3"/>
        </w:rPr>
        <w:t xml:space="preserve"> </w:t>
      </w:r>
      <w:r>
        <w:t>it</w:t>
      </w:r>
      <w:r>
        <w:rPr>
          <w:spacing w:val="-3"/>
        </w:rPr>
        <w:t xml:space="preserve"> </w:t>
      </w:r>
      <w:r>
        <w:t>is</w:t>
      </w:r>
      <w:r>
        <w:rPr>
          <w:spacing w:val="-1"/>
        </w:rPr>
        <w:t xml:space="preserve"> </w:t>
      </w:r>
      <w:r>
        <w:t>unlikely</w:t>
      </w:r>
      <w:r>
        <w:rPr>
          <w:spacing w:val="-1"/>
        </w:rPr>
        <w:t xml:space="preserve"> </w:t>
      </w:r>
      <w:r>
        <w:t>that</w:t>
      </w:r>
      <w:r>
        <w:rPr>
          <w:spacing w:val="-3"/>
        </w:rPr>
        <w:t xml:space="preserve"> </w:t>
      </w:r>
      <w:r>
        <w:t>re-exposure</w:t>
      </w:r>
      <w:r>
        <w:rPr>
          <w:spacing w:val="-1"/>
        </w:rPr>
        <w:t xml:space="preserve"> </w:t>
      </w:r>
      <w:r>
        <w:t>will result</w:t>
      </w:r>
      <w:r>
        <w:rPr>
          <w:spacing w:val="-3"/>
        </w:rPr>
        <w:t xml:space="preserve"> </w:t>
      </w:r>
      <w:r>
        <w:t>in</w:t>
      </w:r>
      <w:r>
        <w:rPr>
          <w:spacing w:val="-1"/>
        </w:rPr>
        <w:t xml:space="preserve"> </w:t>
      </w:r>
      <w:r>
        <w:t>new</w:t>
      </w:r>
      <w:r>
        <w:rPr>
          <w:spacing w:val="-4"/>
        </w:rPr>
        <w:t xml:space="preserve"> </w:t>
      </w:r>
      <w:r>
        <w:t>information</w:t>
      </w:r>
      <w:r>
        <w:rPr>
          <w:spacing w:val="-1"/>
        </w:rPr>
        <w:t xml:space="preserve"> </w:t>
      </w:r>
      <w:r>
        <w:t>or</w:t>
      </w:r>
      <w:r>
        <w:rPr>
          <w:spacing w:val="-1"/>
        </w:rPr>
        <w:t xml:space="preserve"> </w:t>
      </w:r>
      <w:r>
        <w:t>reveal any</w:t>
      </w:r>
      <w:r>
        <w:rPr>
          <w:spacing w:val="-1"/>
        </w:rPr>
        <w:t xml:space="preserve"> </w:t>
      </w:r>
      <w:r>
        <w:t>new</w:t>
      </w:r>
      <w:r>
        <w:rPr>
          <w:spacing w:val="-1"/>
        </w:rPr>
        <w:t xml:space="preserve"> </w:t>
      </w:r>
      <w:r>
        <w:t>concerns that have not been aired already through comment letters or subsequent outreach and consultation</w:t>
      </w:r>
      <w:r>
        <w:rPr>
          <w:spacing w:val="-1"/>
        </w:rPr>
        <w:t xml:space="preserve"> </w:t>
      </w:r>
      <w:r>
        <w:t>activities,</w:t>
      </w:r>
      <w:r>
        <w:rPr>
          <w:spacing w:val="-4"/>
        </w:rPr>
        <w:t xml:space="preserve"> </w:t>
      </w:r>
      <w:r>
        <w:t>the</w:t>
      </w:r>
      <w:r>
        <w:rPr>
          <w:spacing w:val="-3"/>
        </w:rPr>
        <w:t xml:space="preserve"> </w:t>
      </w:r>
      <w:r>
        <w:t>AUASB</w:t>
      </w:r>
      <w:r>
        <w:rPr>
          <w:spacing w:val="-3"/>
        </w:rPr>
        <w:t xml:space="preserve"> </w:t>
      </w:r>
      <w:r>
        <w:t>proceeds</w:t>
      </w:r>
      <w:r>
        <w:rPr>
          <w:spacing w:val="-1"/>
        </w:rPr>
        <w:t xml:space="preserve"> </w:t>
      </w:r>
      <w:r>
        <w:t>to</w:t>
      </w:r>
      <w:r>
        <w:rPr>
          <w:spacing w:val="-4"/>
        </w:rPr>
        <w:t xml:space="preserve"> </w:t>
      </w:r>
      <w:r>
        <w:t>vote</w:t>
      </w:r>
      <w:r>
        <w:rPr>
          <w:spacing w:val="-1"/>
        </w:rPr>
        <w:t xml:space="preserve"> </w:t>
      </w:r>
      <w:r>
        <w:t>on</w:t>
      </w:r>
      <w:r>
        <w:rPr>
          <w:spacing w:val="-1"/>
        </w:rPr>
        <w:t xml:space="preserve"> </w:t>
      </w:r>
      <w:r>
        <w:t>the</w:t>
      </w:r>
      <w:r>
        <w:rPr>
          <w:spacing w:val="-3"/>
        </w:rPr>
        <w:t xml:space="preserve"> </w:t>
      </w:r>
      <w:r>
        <w:t>approval</w:t>
      </w:r>
      <w:r>
        <w:rPr>
          <w:spacing w:val="-1"/>
        </w:rPr>
        <w:t xml:space="preserve"> </w:t>
      </w:r>
      <w:r>
        <w:t>of</w:t>
      </w:r>
      <w:r>
        <w:rPr>
          <w:spacing w:val="-3"/>
        </w:rPr>
        <w:t xml:space="preserve"> </w:t>
      </w:r>
      <w:r>
        <w:t>the</w:t>
      </w:r>
      <w:r>
        <w:rPr>
          <w:spacing w:val="-3"/>
        </w:rPr>
        <w:t xml:space="preserve"> </w:t>
      </w:r>
      <w:r>
        <w:t>final</w:t>
      </w:r>
      <w:r>
        <w:rPr>
          <w:spacing w:val="-2"/>
        </w:rPr>
        <w:t xml:space="preserve"> </w:t>
      </w:r>
      <w:r>
        <w:t>standard</w:t>
      </w:r>
      <w:r>
        <w:rPr>
          <w:spacing w:val="-4"/>
        </w:rPr>
        <w:t xml:space="preserve"> </w:t>
      </w:r>
      <w:r>
        <w:t>to</w:t>
      </w:r>
      <w:r>
        <w:rPr>
          <w:spacing w:val="-1"/>
        </w:rPr>
        <w:t xml:space="preserve"> </w:t>
      </w:r>
      <w:r>
        <w:t>be issued (see paragraphs 212-237).</w:t>
      </w:r>
    </w:p>
    <w:p w14:paraId="1E805C4C" w14:textId="77777777" w:rsidR="00AA4A02" w:rsidRDefault="00AA4A02">
      <w:pPr>
        <w:pStyle w:val="BodyText"/>
        <w:rPr>
          <w:sz w:val="20"/>
        </w:rPr>
      </w:pPr>
    </w:p>
    <w:p w14:paraId="1E805C4D" w14:textId="77777777" w:rsidR="00AA4A02" w:rsidRDefault="00AA4A02">
      <w:pPr>
        <w:pStyle w:val="BodyText"/>
        <w:rPr>
          <w:sz w:val="20"/>
        </w:rPr>
      </w:pPr>
    </w:p>
    <w:p w14:paraId="1E805C4E" w14:textId="77777777" w:rsidR="00AA4A02" w:rsidRDefault="00AA4A02">
      <w:pPr>
        <w:pStyle w:val="BodyText"/>
        <w:rPr>
          <w:sz w:val="20"/>
        </w:rPr>
      </w:pPr>
    </w:p>
    <w:p w14:paraId="1E805C4F" w14:textId="77777777" w:rsidR="00AA4A02" w:rsidRDefault="00AA4A02">
      <w:pPr>
        <w:pStyle w:val="BodyText"/>
        <w:rPr>
          <w:sz w:val="20"/>
        </w:rPr>
      </w:pPr>
    </w:p>
    <w:p w14:paraId="1E805C50" w14:textId="77777777" w:rsidR="00AA4A02" w:rsidRDefault="00960F31">
      <w:pPr>
        <w:pStyle w:val="BodyText"/>
        <w:spacing w:before="178"/>
        <w:rPr>
          <w:sz w:val="20"/>
        </w:rPr>
      </w:pPr>
      <w:r>
        <w:rPr>
          <w:noProof/>
          <w:sz w:val="20"/>
        </w:rPr>
        <mc:AlternateContent>
          <mc:Choice Requires="wps">
            <w:drawing>
              <wp:anchor distT="0" distB="0" distL="0" distR="0" simplePos="0" relativeHeight="487611904" behindDoc="1" locked="0" layoutInCell="1" allowOverlap="1" wp14:anchorId="1E805F71" wp14:editId="1E805F72">
                <wp:simplePos x="0" y="0"/>
                <wp:positionH relativeFrom="page">
                  <wp:posOffset>900988</wp:posOffset>
                </wp:positionH>
                <wp:positionV relativeFrom="paragraph">
                  <wp:posOffset>274490</wp:posOffset>
                </wp:positionV>
                <wp:extent cx="1829435" cy="762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1740D" id="Graphic 76" o:spid="_x0000_s1026" style="position:absolute;margin-left:70.95pt;margin-top:21.6pt;width:144.05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" path="m1829053,l,,,7620r1829053,l1829053,xe" fillcolor="black" stroked="f">
                <v:path arrowok="t"/>
                <w10:wrap type="topAndBottom" anchorx="page"/>
              </v:shape>
            </w:pict>
          </mc:Fallback>
        </mc:AlternateContent>
      </w:r>
    </w:p>
    <w:p w14:paraId="1E805C51" w14:textId="77777777" w:rsidR="00AA4A02" w:rsidRDefault="00960F31">
      <w:pPr>
        <w:spacing w:before="74" w:line="171" w:lineRule="exact"/>
        <w:ind w:left="143"/>
        <w:rPr>
          <w:sz w:val="16"/>
        </w:rPr>
      </w:pPr>
      <w:r>
        <w:rPr>
          <w:sz w:val="16"/>
          <w:vertAlign w:val="superscript"/>
        </w:rPr>
        <w:t>58</w:t>
      </w:r>
      <w:r>
        <w:rPr>
          <w:spacing w:val="47"/>
          <w:sz w:val="16"/>
        </w:rPr>
        <w:t xml:space="preserve">  </w:t>
      </w:r>
      <w:r>
        <w:rPr>
          <w:sz w:val="16"/>
        </w:rPr>
        <w:t>See</w:t>
      </w:r>
      <w:r>
        <w:rPr>
          <w:spacing w:val="-4"/>
          <w:sz w:val="16"/>
        </w:rPr>
        <w:t xml:space="preserve"> </w:t>
      </w:r>
      <w:r>
        <w:rPr>
          <w:sz w:val="16"/>
        </w:rPr>
        <w:t>paragraphs</w:t>
      </w:r>
      <w:r>
        <w:rPr>
          <w:spacing w:val="-3"/>
          <w:sz w:val="16"/>
        </w:rPr>
        <w:t xml:space="preserve"> </w:t>
      </w:r>
      <w:r>
        <w:rPr>
          <w:sz w:val="16"/>
        </w:rPr>
        <w:t>22</w:t>
      </w:r>
      <w:r>
        <w:rPr>
          <w:spacing w:val="-3"/>
          <w:sz w:val="16"/>
        </w:rPr>
        <w:t xml:space="preserve"> </w:t>
      </w:r>
      <w:r>
        <w:rPr>
          <w:sz w:val="16"/>
        </w:rPr>
        <w:t>and</w:t>
      </w:r>
      <w:r>
        <w:rPr>
          <w:spacing w:val="-1"/>
          <w:sz w:val="16"/>
        </w:rPr>
        <w:t xml:space="preserve"> </w:t>
      </w:r>
      <w:r>
        <w:rPr>
          <w:sz w:val="16"/>
        </w:rPr>
        <w:t>238-240</w:t>
      </w:r>
      <w:r>
        <w:rPr>
          <w:spacing w:val="-1"/>
          <w:sz w:val="16"/>
        </w:rPr>
        <w:t xml:space="preserve"> </w:t>
      </w:r>
      <w:r>
        <w:rPr>
          <w:sz w:val="16"/>
        </w:rPr>
        <w:t>of</w:t>
      </w:r>
      <w:r>
        <w:rPr>
          <w:spacing w:val="-5"/>
          <w:sz w:val="16"/>
        </w:rPr>
        <w:t xml:space="preserve"> </w:t>
      </w:r>
      <w:r>
        <w:rPr>
          <w:sz w:val="16"/>
        </w:rPr>
        <w:t>this</w:t>
      </w:r>
      <w:r>
        <w:rPr>
          <w:spacing w:val="-1"/>
          <w:sz w:val="16"/>
        </w:rPr>
        <w:t xml:space="preserve"> </w:t>
      </w:r>
      <w:r>
        <w:rPr>
          <w:spacing w:val="-2"/>
          <w:sz w:val="16"/>
        </w:rPr>
        <w:t>document.</w:t>
      </w:r>
    </w:p>
    <w:p w14:paraId="1E805C52" w14:textId="77777777" w:rsidR="00AA4A02" w:rsidRDefault="00960F31">
      <w:pPr>
        <w:spacing w:before="6" w:line="208" w:lineRule="auto"/>
        <w:ind w:left="427" w:hanging="284"/>
        <w:rPr>
          <w:sz w:val="16"/>
        </w:rPr>
      </w:pPr>
      <w:r>
        <w:rPr>
          <w:sz w:val="16"/>
          <w:vertAlign w:val="superscript"/>
        </w:rPr>
        <w:t>59</w:t>
      </w:r>
      <w:r>
        <w:rPr>
          <w:spacing w:val="80"/>
          <w:w w:val="150"/>
          <w:sz w:val="16"/>
        </w:rPr>
        <w:t xml:space="preserve"> </w:t>
      </w:r>
      <w:r>
        <w:rPr>
          <w:sz w:val="16"/>
        </w:rPr>
        <w:t>The</w:t>
      </w:r>
      <w:r>
        <w:rPr>
          <w:spacing w:val="-3"/>
          <w:sz w:val="16"/>
        </w:rPr>
        <w:t xml:space="preserve"> </w:t>
      </w:r>
      <w:r>
        <w:rPr>
          <w:sz w:val="16"/>
        </w:rPr>
        <w:t>decision</w:t>
      </w:r>
      <w:r>
        <w:rPr>
          <w:spacing w:val="-2"/>
          <w:sz w:val="16"/>
        </w:rPr>
        <w:t xml:space="preserve"> </w:t>
      </w:r>
      <w:r>
        <w:rPr>
          <w:sz w:val="16"/>
        </w:rPr>
        <w:t>to re-expose requires</w:t>
      </w:r>
      <w:r>
        <w:rPr>
          <w:spacing w:val="-3"/>
          <w:sz w:val="16"/>
        </w:rPr>
        <w:t xml:space="preserve"> </w:t>
      </w:r>
      <w:r>
        <w:rPr>
          <w:sz w:val="16"/>
        </w:rPr>
        <w:t>a two-thirds</w:t>
      </w:r>
      <w:r>
        <w:rPr>
          <w:spacing w:val="-3"/>
          <w:sz w:val="16"/>
        </w:rPr>
        <w:t xml:space="preserve"> </w:t>
      </w:r>
      <w:r>
        <w:rPr>
          <w:sz w:val="16"/>
        </w:rPr>
        <w:t>majority</w:t>
      </w:r>
      <w:r>
        <w:rPr>
          <w:spacing w:val="-2"/>
          <w:sz w:val="16"/>
        </w:rPr>
        <w:t xml:space="preserve"> </w:t>
      </w:r>
      <w:r>
        <w:rPr>
          <w:sz w:val="16"/>
        </w:rPr>
        <w:t>of</w:t>
      </w:r>
      <w:r>
        <w:rPr>
          <w:spacing w:val="-2"/>
          <w:sz w:val="16"/>
        </w:rPr>
        <w:t xml:space="preserve"> </w:t>
      </w:r>
      <w:r>
        <w:rPr>
          <w:sz w:val="16"/>
        </w:rPr>
        <w:t>all</w:t>
      </w:r>
      <w:r>
        <w:rPr>
          <w:spacing w:val="-2"/>
          <w:sz w:val="16"/>
        </w:rPr>
        <w:t xml:space="preserve"> </w:t>
      </w:r>
      <w:r>
        <w:rPr>
          <w:sz w:val="16"/>
        </w:rPr>
        <w:t>AUASB members</w:t>
      </w:r>
      <w:r>
        <w:rPr>
          <w:spacing w:val="-1"/>
          <w:sz w:val="16"/>
        </w:rPr>
        <w:t xml:space="preserve"> </w:t>
      </w:r>
      <w:r>
        <w:rPr>
          <w:sz w:val="16"/>
        </w:rPr>
        <w:t>with</w:t>
      </w:r>
      <w:r>
        <w:rPr>
          <w:spacing w:val="-2"/>
          <w:sz w:val="16"/>
        </w:rPr>
        <w:t xml:space="preserve"> </w:t>
      </w:r>
      <w:r>
        <w:rPr>
          <w:sz w:val="16"/>
        </w:rPr>
        <w:t>voting rights</w:t>
      </w:r>
      <w:r>
        <w:rPr>
          <w:spacing w:val="-3"/>
          <w:sz w:val="16"/>
        </w:rPr>
        <w:t xml:space="preserve"> </w:t>
      </w:r>
      <w:r>
        <w:rPr>
          <w:sz w:val="16"/>
        </w:rPr>
        <w:t>(not</w:t>
      </w:r>
      <w:r>
        <w:rPr>
          <w:spacing w:val="-2"/>
          <w:sz w:val="16"/>
        </w:rPr>
        <w:t xml:space="preserve"> </w:t>
      </w:r>
      <w:r>
        <w:rPr>
          <w:sz w:val="16"/>
        </w:rPr>
        <w:t>just</w:t>
      </w:r>
      <w:r>
        <w:rPr>
          <w:spacing w:val="-2"/>
          <w:sz w:val="16"/>
        </w:rPr>
        <w:t xml:space="preserve"> </w:t>
      </w:r>
      <w:r>
        <w:rPr>
          <w:sz w:val="16"/>
        </w:rPr>
        <w:t>members</w:t>
      </w:r>
      <w:r>
        <w:rPr>
          <w:spacing w:val="-3"/>
          <w:sz w:val="16"/>
        </w:rPr>
        <w:t xml:space="preserve"> </w:t>
      </w:r>
      <w:r>
        <w:rPr>
          <w:sz w:val="16"/>
        </w:rPr>
        <w:t>present).</w:t>
      </w:r>
      <w:r>
        <w:rPr>
          <w:spacing w:val="-3"/>
          <w:sz w:val="16"/>
        </w:rPr>
        <w:t xml:space="preserve"> </w:t>
      </w:r>
      <w:r>
        <w:rPr>
          <w:sz w:val="16"/>
        </w:rPr>
        <w:t>Refer</w:t>
      </w:r>
      <w:r>
        <w:rPr>
          <w:spacing w:val="-4"/>
          <w:sz w:val="16"/>
        </w:rPr>
        <w:t xml:space="preserve"> </w:t>
      </w:r>
      <w:r>
        <w:rPr>
          <w:sz w:val="16"/>
        </w:rPr>
        <w:t>to</w:t>
      </w:r>
      <w:r>
        <w:rPr>
          <w:spacing w:val="40"/>
          <w:sz w:val="16"/>
        </w:rPr>
        <w:t xml:space="preserve"> </w:t>
      </w:r>
      <w:r>
        <w:rPr>
          <w:sz w:val="16"/>
        </w:rPr>
        <w:t>Appendix 5 of this document.</w:t>
      </w:r>
    </w:p>
    <w:p w14:paraId="1E805C53"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C54" w14:textId="77777777" w:rsidR="00AA4A02" w:rsidRDefault="00960F31">
      <w:pPr>
        <w:spacing w:before="195"/>
        <w:ind w:left="143"/>
        <w:rPr>
          <w:b/>
          <w:i/>
        </w:rPr>
      </w:pPr>
      <w:bookmarkStart w:id="82" w:name="If_applicable:_Process_for_re-exposure_o"/>
      <w:bookmarkEnd w:id="82"/>
      <w:r>
        <w:rPr>
          <w:b/>
          <w:i/>
        </w:rPr>
        <w:lastRenderedPageBreak/>
        <w:t>If</w:t>
      </w:r>
      <w:r>
        <w:rPr>
          <w:b/>
          <w:i/>
          <w:spacing w:val="-2"/>
        </w:rPr>
        <w:t xml:space="preserve"> </w:t>
      </w:r>
      <w:r>
        <w:rPr>
          <w:b/>
          <w:i/>
        </w:rPr>
        <w:t>applicable:</w:t>
      </w:r>
      <w:r>
        <w:rPr>
          <w:b/>
          <w:i/>
          <w:spacing w:val="-2"/>
        </w:rPr>
        <w:t xml:space="preserve"> </w:t>
      </w:r>
      <w:r>
        <w:rPr>
          <w:b/>
          <w:i/>
        </w:rPr>
        <w:t>Process</w:t>
      </w:r>
      <w:r>
        <w:rPr>
          <w:b/>
          <w:i/>
          <w:spacing w:val="-5"/>
        </w:rPr>
        <w:t xml:space="preserve"> </w:t>
      </w:r>
      <w:r>
        <w:rPr>
          <w:b/>
          <w:i/>
        </w:rPr>
        <w:t>for</w:t>
      </w:r>
      <w:r>
        <w:rPr>
          <w:b/>
          <w:i/>
          <w:spacing w:val="-5"/>
        </w:rPr>
        <w:t xml:space="preserve"> </w:t>
      </w:r>
      <w:r>
        <w:rPr>
          <w:b/>
          <w:i/>
        </w:rPr>
        <w:t>re-exposure</w:t>
      </w:r>
      <w:r>
        <w:rPr>
          <w:b/>
          <w:i/>
          <w:spacing w:val="-3"/>
        </w:rPr>
        <w:t xml:space="preserve"> </w:t>
      </w:r>
      <w:r>
        <w:rPr>
          <w:b/>
          <w:i/>
        </w:rPr>
        <w:t>of</w:t>
      </w:r>
      <w:r>
        <w:rPr>
          <w:b/>
          <w:i/>
          <w:spacing w:val="-5"/>
        </w:rPr>
        <w:t xml:space="preserve"> </w:t>
      </w:r>
      <w:r>
        <w:rPr>
          <w:b/>
          <w:i/>
        </w:rPr>
        <w:t>previously</w:t>
      </w:r>
      <w:r>
        <w:rPr>
          <w:b/>
          <w:i/>
          <w:spacing w:val="-5"/>
        </w:rPr>
        <w:t xml:space="preserve"> </w:t>
      </w:r>
      <w:r>
        <w:rPr>
          <w:b/>
          <w:i/>
        </w:rPr>
        <w:t>exposed</w:t>
      </w:r>
      <w:r>
        <w:rPr>
          <w:b/>
          <w:i/>
          <w:spacing w:val="-5"/>
        </w:rPr>
        <w:t xml:space="preserve"> </w:t>
      </w:r>
      <w:r>
        <w:rPr>
          <w:b/>
          <w:i/>
          <w:spacing w:val="-2"/>
        </w:rPr>
        <w:t>proposals</w:t>
      </w:r>
    </w:p>
    <w:p w14:paraId="1E805C55" w14:textId="77777777" w:rsidR="00AA4A02" w:rsidRDefault="00960F31">
      <w:pPr>
        <w:pStyle w:val="ListParagraph"/>
        <w:numPr>
          <w:ilvl w:val="0"/>
          <w:numId w:val="29"/>
        </w:numPr>
        <w:tabs>
          <w:tab w:val="left" w:pos="851"/>
        </w:tabs>
        <w:spacing w:before="192" w:line="208" w:lineRule="auto"/>
        <w:ind w:right="240"/>
      </w:pPr>
      <w:r>
        <w:t>The</w:t>
      </w:r>
      <w:r>
        <w:rPr>
          <w:spacing w:val="-2"/>
        </w:rPr>
        <w:t xml:space="preserve"> </w:t>
      </w:r>
      <w:r>
        <w:t>principles</w:t>
      </w:r>
      <w:r>
        <w:rPr>
          <w:spacing w:val="-2"/>
        </w:rPr>
        <w:t xml:space="preserve"> </w:t>
      </w:r>
      <w:r>
        <w:t>and</w:t>
      </w:r>
      <w:r>
        <w:rPr>
          <w:spacing w:val="-1"/>
        </w:rPr>
        <w:t xml:space="preserve"> </w:t>
      </w:r>
      <w:r>
        <w:t>due</w:t>
      </w:r>
      <w:r>
        <w:rPr>
          <w:spacing w:val="-4"/>
        </w:rPr>
        <w:t xml:space="preserve"> </w:t>
      </w:r>
      <w:r>
        <w:t>process</w:t>
      </w:r>
      <w:r>
        <w:rPr>
          <w:spacing w:val="-2"/>
        </w:rPr>
        <w:t xml:space="preserve"> </w:t>
      </w:r>
      <w:r>
        <w:t>detailed</w:t>
      </w:r>
      <w:r>
        <w:rPr>
          <w:spacing w:val="-2"/>
        </w:rPr>
        <w:t xml:space="preserve"> </w:t>
      </w:r>
      <w:r>
        <w:t>above</w:t>
      </w:r>
      <w:r>
        <w:rPr>
          <w:spacing w:val="-4"/>
        </w:rPr>
        <w:t xml:space="preserve"> </w:t>
      </w:r>
      <w:r>
        <w:t>for</w:t>
      </w:r>
      <w:r>
        <w:rPr>
          <w:spacing w:val="-2"/>
        </w:rPr>
        <w:t xml:space="preserve"> </w:t>
      </w:r>
      <w:r>
        <w:t>the</w:t>
      </w:r>
      <w:r>
        <w:rPr>
          <w:spacing w:val="-4"/>
        </w:rPr>
        <w:t xml:space="preserve"> </w:t>
      </w:r>
      <w:r>
        <w:t>original</w:t>
      </w:r>
      <w:r>
        <w:rPr>
          <w:spacing w:val="-1"/>
        </w:rPr>
        <w:t xml:space="preserve"> </w:t>
      </w:r>
      <w:r>
        <w:t>ED</w:t>
      </w:r>
      <w:r>
        <w:rPr>
          <w:spacing w:val="-3"/>
        </w:rPr>
        <w:t xml:space="preserve"> </w:t>
      </w:r>
      <w:r>
        <w:t>generally</w:t>
      </w:r>
      <w:r>
        <w:rPr>
          <w:spacing w:val="-1"/>
        </w:rPr>
        <w:t xml:space="preserve"> </w:t>
      </w:r>
      <w:r>
        <w:t>applies</w:t>
      </w:r>
      <w:r>
        <w:rPr>
          <w:spacing w:val="-2"/>
        </w:rPr>
        <w:t xml:space="preserve"> </w:t>
      </w:r>
      <w:r>
        <w:t>equally</w:t>
      </w:r>
      <w:r>
        <w:rPr>
          <w:spacing w:val="-2"/>
        </w:rPr>
        <w:t xml:space="preserve"> </w:t>
      </w:r>
      <w:r>
        <w:t>to the development and public exposure of the re-exposure draft. However, where narrow in scope and urgent, targeted consultation and a shortened comment period may be acceptable. Approval of a re-exposure draft follows the same voting requirements as the approval of the original ED.</w:t>
      </w:r>
    </w:p>
    <w:p w14:paraId="1E805C56" w14:textId="77777777" w:rsidR="00AA4A02" w:rsidRDefault="00960F31">
      <w:pPr>
        <w:pStyle w:val="ListParagraph"/>
        <w:numPr>
          <w:ilvl w:val="0"/>
          <w:numId w:val="29"/>
        </w:numPr>
        <w:tabs>
          <w:tab w:val="left" w:pos="851"/>
        </w:tabs>
        <w:spacing w:before="200" w:line="208" w:lineRule="auto"/>
        <w:ind w:right="252"/>
      </w:pPr>
      <w:r>
        <w:t>The</w:t>
      </w:r>
      <w:r>
        <w:rPr>
          <w:spacing w:val="-3"/>
        </w:rPr>
        <w:t xml:space="preserve"> </w:t>
      </w:r>
      <w:r>
        <w:t>Explanatory</w:t>
      </w:r>
      <w:r>
        <w:rPr>
          <w:spacing w:val="-3"/>
        </w:rPr>
        <w:t xml:space="preserve"> </w:t>
      </w:r>
      <w:r>
        <w:t>Memorandum</w:t>
      </w:r>
      <w:r>
        <w:rPr>
          <w:spacing w:val="-2"/>
        </w:rPr>
        <w:t xml:space="preserve"> </w:t>
      </w:r>
      <w:r>
        <w:t>accompanying</w:t>
      </w:r>
      <w:r>
        <w:rPr>
          <w:spacing w:val="-3"/>
        </w:rPr>
        <w:t xml:space="preserve"> </w:t>
      </w:r>
      <w:r>
        <w:t>the</w:t>
      </w:r>
      <w:r>
        <w:rPr>
          <w:spacing w:val="-3"/>
        </w:rPr>
        <w:t xml:space="preserve"> </w:t>
      </w:r>
      <w:r>
        <w:t>re-exposure</w:t>
      </w:r>
      <w:r>
        <w:rPr>
          <w:spacing w:val="-3"/>
        </w:rPr>
        <w:t xml:space="preserve"> </w:t>
      </w:r>
      <w:r>
        <w:t>draft</w:t>
      </w:r>
      <w:r>
        <w:rPr>
          <w:spacing w:val="-2"/>
        </w:rPr>
        <w:t xml:space="preserve"> </w:t>
      </w:r>
      <w:r>
        <w:t>includes</w:t>
      </w:r>
      <w:r>
        <w:rPr>
          <w:spacing w:val="-5"/>
        </w:rPr>
        <w:t xml:space="preserve"> </w:t>
      </w:r>
      <w:r>
        <w:t>the</w:t>
      </w:r>
      <w:r>
        <w:rPr>
          <w:spacing w:val="-5"/>
        </w:rPr>
        <w:t xml:space="preserve"> </w:t>
      </w:r>
      <w:r>
        <w:t>rationale</w:t>
      </w:r>
      <w:r>
        <w:rPr>
          <w:spacing w:val="-3"/>
        </w:rPr>
        <w:t xml:space="preserve"> </w:t>
      </w:r>
      <w:r>
        <w:t>for the re-exposure and sufficient information to enable stakeholders to understand the changes made to the original ED as a result of the original exposure.</w:t>
      </w:r>
    </w:p>
    <w:p w14:paraId="1E805C57"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C58" w14:textId="77777777" w:rsidR="00AA4A02" w:rsidRDefault="00960F31">
      <w:pPr>
        <w:pStyle w:val="Heading4"/>
        <w:spacing w:before="183"/>
        <w:ind w:left="143" w:firstLine="0"/>
      </w:pPr>
      <w:bookmarkStart w:id="83" w:name="_TOC_250008"/>
      <w:r>
        <w:lastRenderedPageBreak/>
        <w:t>Amendments</w:t>
      </w:r>
      <w:r>
        <w:rPr>
          <w:spacing w:val="-3"/>
        </w:rPr>
        <w:t xml:space="preserve"> </w:t>
      </w:r>
      <w:r>
        <w:t>to</w:t>
      </w:r>
      <w:r>
        <w:rPr>
          <w:spacing w:val="-3"/>
        </w:rPr>
        <w:t xml:space="preserve"> </w:t>
      </w:r>
      <w:r>
        <w:t>Existing</w:t>
      </w:r>
      <w:r>
        <w:rPr>
          <w:spacing w:val="-3"/>
        </w:rPr>
        <w:t xml:space="preserve"> </w:t>
      </w:r>
      <w:bookmarkEnd w:id="83"/>
      <w:r>
        <w:rPr>
          <w:spacing w:val="-2"/>
        </w:rPr>
        <w:t>Standards</w:t>
      </w:r>
    </w:p>
    <w:p w14:paraId="1E805C59" w14:textId="77777777" w:rsidR="00AA4A02" w:rsidRDefault="00960F31">
      <w:pPr>
        <w:pStyle w:val="ListParagraph"/>
        <w:numPr>
          <w:ilvl w:val="0"/>
          <w:numId w:val="29"/>
        </w:numPr>
        <w:tabs>
          <w:tab w:val="left" w:pos="851"/>
        </w:tabs>
        <w:spacing w:before="193" w:line="208" w:lineRule="auto"/>
        <w:ind w:right="169"/>
      </w:pPr>
      <w:r>
        <w:t>AUASB</w:t>
      </w:r>
      <w:r>
        <w:rPr>
          <w:spacing w:val="-4"/>
        </w:rPr>
        <w:t xml:space="preserve"> </w:t>
      </w:r>
      <w:r>
        <w:t>Standards</w:t>
      </w:r>
      <w:r>
        <w:rPr>
          <w:spacing w:val="-4"/>
        </w:rPr>
        <w:t xml:space="preserve"> </w:t>
      </w:r>
      <w:r>
        <w:t>may</w:t>
      </w:r>
      <w:r>
        <w:rPr>
          <w:spacing w:val="-4"/>
        </w:rPr>
        <w:t xml:space="preserve"> </w:t>
      </w:r>
      <w:r>
        <w:t>require</w:t>
      </w:r>
      <w:r>
        <w:rPr>
          <w:spacing w:val="-4"/>
        </w:rPr>
        <w:t xml:space="preserve"> </w:t>
      </w:r>
      <w:r>
        <w:t>amendment</w:t>
      </w:r>
      <w:r>
        <w:rPr>
          <w:spacing w:val="-1"/>
        </w:rPr>
        <w:t xml:space="preserve"> </w:t>
      </w:r>
      <w:r>
        <w:t>for</w:t>
      </w:r>
      <w:r>
        <w:rPr>
          <w:spacing w:val="-2"/>
        </w:rPr>
        <w:t xml:space="preserve"> </w:t>
      </w:r>
      <w:r>
        <w:t>a</w:t>
      </w:r>
      <w:r>
        <w:rPr>
          <w:spacing w:val="-4"/>
        </w:rPr>
        <w:t xml:space="preserve"> </w:t>
      </w:r>
      <w:r>
        <w:t>variety</w:t>
      </w:r>
      <w:r>
        <w:rPr>
          <w:spacing w:val="-2"/>
        </w:rPr>
        <w:t xml:space="preserve"> </w:t>
      </w:r>
      <w:r>
        <w:t>of</w:t>
      </w:r>
      <w:r>
        <w:rPr>
          <w:spacing w:val="-2"/>
        </w:rPr>
        <w:t xml:space="preserve"> </w:t>
      </w:r>
      <w:r>
        <w:t>reasons,</w:t>
      </w:r>
      <w:r>
        <w:rPr>
          <w:spacing w:val="-4"/>
        </w:rPr>
        <w:t xml:space="preserve"> </w:t>
      </w:r>
      <w:r>
        <w:t>such</w:t>
      </w:r>
      <w:r>
        <w:rPr>
          <w:spacing w:val="-5"/>
        </w:rPr>
        <w:t xml:space="preserve"> </w:t>
      </w:r>
      <w:r>
        <w:t>as</w:t>
      </w:r>
      <w:r>
        <w:rPr>
          <w:spacing w:val="-2"/>
        </w:rPr>
        <w:t xml:space="preserve"> </w:t>
      </w:r>
      <w:r>
        <w:t>consequential</w:t>
      </w:r>
      <w:r>
        <w:rPr>
          <w:spacing w:val="-1"/>
        </w:rPr>
        <w:t xml:space="preserve"> </w:t>
      </w:r>
      <w:r>
        <w:t>and conforming amendments from other new or revised AUASB Standards</w:t>
      </w:r>
      <w:r>
        <w:rPr>
          <w:vertAlign w:val="superscript"/>
        </w:rPr>
        <w:t>60</w:t>
      </w:r>
      <w:r>
        <w:t>, improvements or clarifications identified through post-implementation reviews</w:t>
      </w:r>
      <w:r>
        <w:rPr>
          <w:vertAlign w:val="superscript"/>
        </w:rPr>
        <w:t>61</w:t>
      </w:r>
      <w:r>
        <w:t>, updates to account for</w:t>
      </w:r>
      <w:r>
        <w:rPr>
          <w:spacing w:val="40"/>
        </w:rPr>
        <w:t xml:space="preserve"> </w:t>
      </w:r>
      <w:r>
        <w:t>changes in legislation, updating references to other external documents that are not legislative instruments</w:t>
      </w:r>
      <w:r>
        <w:rPr>
          <w:vertAlign w:val="superscript"/>
        </w:rPr>
        <w:t>62</w:t>
      </w:r>
      <w:r>
        <w:t>, or amendments required as part of the process of harmonisation with New Zealand standards</w:t>
      </w:r>
      <w:r>
        <w:rPr>
          <w:vertAlign w:val="superscript"/>
        </w:rPr>
        <w:t>63</w:t>
      </w:r>
      <w:r>
        <w:t>.</w:t>
      </w:r>
    </w:p>
    <w:p w14:paraId="1E805C5A" w14:textId="77777777" w:rsidR="00AA4A02" w:rsidRDefault="00960F31">
      <w:pPr>
        <w:pStyle w:val="Heading7"/>
        <w:spacing w:before="166"/>
      </w:pPr>
      <w:bookmarkStart w:id="84" w:name="Projects_to_Comprehensively_Revise_Exist"/>
      <w:bookmarkEnd w:id="84"/>
      <w:r>
        <w:t>Projects</w:t>
      </w:r>
      <w:r>
        <w:rPr>
          <w:spacing w:val="-9"/>
        </w:rPr>
        <w:t xml:space="preserve"> </w:t>
      </w:r>
      <w:r>
        <w:t>to</w:t>
      </w:r>
      <w:r>
        <w:rPr>
          <w:spacing w:val="-7"/>
        </w:rPr>
        <w:t xml:space="preserve"> </w:t>
      </w:r>
      <w:r>
        <w:t>Comprehensively</w:t>
      </w:r>
      <w:r>
        <w:rPr>
          <w:spacing w:val="-9"/>
        </w:rPr>
        <w:t xml:space="preserve"> </w:t>
      </w:r>
      <w:r>
        <w:t>Revise</w:t>
      </w:r>
      <w:r>
        <w:rPr>
          <w:spacing w:val="-9"/>
        </w:rPr>
        <w:t xml:space="preserve"> </w:t>
      </w:r>
      <w:r>
        <w:t>Existing</w:t>
      </w:r>
      <w:r>
        <w:rPr>
          <w:spacing w:val="-8"/>
        </w:rPr>
        <w:t xml:space="preserve"> </w:t>
      </w:r>
      <w:r>
        <w:rPr>
          <w:spacing w:val="-2"/>
        </w:rPr>
        <w:t>Standards</w:t>
      </w:r>
    </w:p>
    <w:p w14:paraId="1E805C5B" w14:textId="77777777" w:rsidR="00AA4A02" w:rsidRDefault="00960F31">
      <w:pPr>
        <w:pStyle w:val="ListParagraph"/>
        <w:numPr>
          <w:ilvl w:val="0"/>
          <w:numId w:val="29"/>
        </w:numPr>
        <w:tabs>
          <w:tab w:val="left" w:pos="851"/>
        </w:tabs>
        <w:spacing w:before="195" w:line="208" w:lineRule="auto"/>
        <w:ind w:right="287"/>
      </w:pPr>
      <w:r>
        <w:t>Any comprehensive revision of a published standard is subject to the same due process (including the same public exposure process) as for a new AUASB Standard.</w:t>
      </w:r>
      <w:r>
        <w:rPr>
          <w:spacing w:val="40"/>
        </w:rPr>
        <w:t xml:space="preserve"> </w:t>
      </w:r>
      <w:r>
        <w:t>The process adopted</w:t>
      </w:r>
      <w:r>
        <w:rPr>
          <w:spacing w:val="-2"/>
        </w:rPr>
        <w:t xml:space="preserve"> </w:t>
      </w:r>
      <w:r>
        <w:t>will</w:t>
      </w:r>
      <w:r>
        <w:rPr>
          <w:spacing w:val="-4"/>
        </w:rPr>
        <w:t xml:space="preserve"> </w:t>
      </w:r>
      <w:r>
        <w:t>depend</w:t>
      </w:r>
      <w:r>
        <w:rPr>
          <w:spacing w:val="-2"/>
        </w:rPr>
        <w:t xml:space="preserve"> </w:t>
      </w:r>
      <w:r>
        <w:t>on</w:t>
      </w:r>
      <w:r>
        <w:rPr>
          <w:spacing w:val="-2"/>
        </w:rPr>
        <w:t xml:space="preserve"> </w:t>
      </w:r>
      <w:r>
        <w:t>whether</w:t>
      </w:r>
      <w:r>
        <w:rPr>
          <w:spacing w:val="-2"/>
        </w:rPr>
        <w:t xml:space="preserve"> </w:t>
      </w:r>
      <w:r>
        <w:t>the</w:t>
      </w:r>
      <w:r>
        <w:rPr>
          <w:spacing w:val="-2"/>
        </w:rPr>
        <w:t xml:space="preserve"> </w:t>
      </w:r>
      <w:r>
        <w:t>AUASB</w:t>
      </w:r>
      <w:r>
        <w:rPr>
          <w:spacing w:val="-4"/>
        </w:rPr>
        <w:t xml:space="preserve"> </w:t>
      </w:r>
      <w:r>
        <w:t>Standard</w:t>
      </w:r>
      <w:r>
        <w:rPr>
          <w:spacing w:val="-7"/>
        </w:rPr>
        <w:t xml:space="preserve"> </w:t>
      </w:r>
      <w:r>
        <w:t>is</w:t>
      </w:r>
      <w:r>
        <w:rPr>
          <w:spacing w:val="-2"/>
        </w:rPr>
        <w:t xml:space="preserve"> </w:t>
      </w:r>
      <w:r>
        <w:t>based</w:t>
      </w:r>
      <w:r>
        <w:rPr>
          <w:spacing w:val="-2"/>
        </w:rPr>
        <w:t xml:space="preserve"> </w:t>
      </w:r>
      <w:r>
        <w:t>on</w:t>
      </w:r>
      <w:r>
        <w:rPr>
          <w:spacing w:val="-2"/>
        </w:rPr>
        <w:t xml:space="preserve"> </w:t>
      </w:r>
      <w:r>
        <w:t>an</w:t>
      </w:r>
      <w:r>
        <w:rPr>
          <w:spacing w:val="-4"/>
        </w:rPr>
        <w:t xml:space="preserve"> </w:t>
      </w:r>
      <w:r>
        <w:t>equivalent</w:t>
      </w:r>
      <w:r>
        <w:rPr>
          <w:spacing w:val="-3"/>
        </w:rPr>
        <w:t xml:space="preserve"> </w:t>
      </w:r>
      <w:r>
        <w:t>international standard developed and issued by the IAASB</w:t>
      </w:r>
      <w:r>
        <w:rPr>
          <w:vertAlign w:val="superscript"/>
        </w:rPr>
        <w:t>64</w:t>
      </w:r>
      <w:r>
        <w:t xml:space="preserve"> or a domestic AUASB Standard</w:t>
      </w:r>
      <w:r>
        <w:rPr>
          <w:vertAlign w:val="superscript"/>
        </w:rPr>
        <w:t>65</w:t>
      </w:r>
      <w:r>
        <w:t>.</w:t>
      </w:r>
    </w:p>
    <w:p w14:paraId="1E805C5C" w14:textId="77777777" w:rsidR="00AA4A02" w:rsidRDefault="00960F31">
      <w:pPr>
        <w:pStyle w:val="Heading7"/>
        <w:spacing w:before="167"/>
      </w:pPr>
      <w:bookmarkStart w:id="85" w:name="Narrow-Scope_Projects"/>
      <w:bookmarkEnd w:id="85"/>
      <w:r>
        <w:t>Narrow-Scope</w:t>
      </w:r>
      <w:r>
        <w:rPr>
          <w:spacing w:val="-16"/>
        </w:rPr>
        <w:t xml:space="preserve"> </w:t>
      </w:r>
      <w:r>
        <w:rPr>
          <w:spacing w:val="-2"/>
        </w:rPr>
        <w:t>Projects</w:t>
      </w:r>
    </w:p>
    <w:p w14:paraId="1E805C5D" w14:textId="77777777" w:rsidR="00AA4A02" w:rsidRDefault="00960F31">
      <w:pPr>
        <w:pStyle w:val="ListParagraph"/>
        <w:numPr>
          <w:ilvl w:val="0"/>
          <w:numId w:val="29"/>
        </w:numPr>
        <w:tabs>
          <w:tab w:val="left" w:pos="851"/>
        </w:tabs>
        <w:spacing w:before="193" w:line="208" w:lineRule="auto"/>
        <w:ind w:right="1027"/>
      </w:pPr>
      <w:r>
        <w:t>The</w:t>
      </w:r>
      <w:r>
        <w:rPr>
          <w:spacing w:val="-2"/>
        </w:rPr>
        <w:t xml:space="preserve"> </w:t>
      </w:r>
      <w:r>
        <w:t>AUASB</w:t>
      </w:r>
      <w:r>
        <w:rPr>
          <w:spacing w:val="-4"/>
        </w:rPr>
        <w:t xml:space="preserve"> </w:t>
      </w:r>
      <w:r>
        <w:t>has</w:t>
      </w:r>
      <w:r>
        <w:rPr>
          <w:spacing w:val="-2"/>
        </w:rPr>
        <w:t xml:space="preserve"> </w:t>
      </w:r>
      <w:r>
        <w:t>adopted</w:t>
      </w:r>
      <w:r>
        <w:rPr>
          <w:spacing w:val="-3"/>
        </w:rPr>
        <w:t xml:space="preserve"> </w:t>
      </w:r>
      <w:r>
        <w:t>a</w:t>
      </w:r>
      <w:r>
        <w:rPr>
          <w:spacing w:val="-4"/>
        </w:rPr>
        <w:t xml:space="preserve"> </w:t>
      </w:r>
      <w:r>
        <w:t>simplified</w:t>
      </w:r>
      <w:r>
        <w:rPr>
          <w:spacing w:val="-2"/>
        </w:rPr>
        <w:t xml:space="preserve"> </w:t>
      </w:r>
      <w:r>
        <w:t>due</w:t>
      </w:r>
      <w:r>
        <w:rPr>
          <w:spacing w:val="-3"/>
        </w:rPr>
        <w:t xml:space="preserve"> </w:t>
      </w:r>
      <w:r>
        <w:t>process</w:t>
      </w:r>
      <w:r>
        <w:rPr>
          <w:spacing w:val="-4"/>
        </w:rPr>
        <w:t xml:space="preserve"> </w:t>
      </w:r>
      <w:r>
        <w:t>for</w:t>
      </w:r>
      <w:r>
        <w:rPr>
          <w:spacing w:val="-4"/>
        </w:rPr>
        <w:t xml:space="preserve"> </w:t>
      </w:r>
      <w:r>
        <w:t>addressing</w:t>
      </w:r>
      <w:r>
        <w:rPr>
          <w:spacing w:val="-2"/>
        </w:rPr>
        <w:t xml:space="preserve"> </w:t>
      </w:r>
      <w:r>
        <w:t>changes</w:t>
      </w:r>
      <w:r>
        <w:rPr>
          <w:spacing w:val="-4"/>
        </w:rPr>
        <w:t xml:space="preserve"> </w:t>
      </w:r>
      <w:r>
        <w:t>to</w:t>
      </w:r>
      <w:r>
        <w:rPr>
          <w:spacing w:val="-5"/>
        </w:rPr>
        <w:t xml:space="preserve"> </w:t>
      </w:r>
      <w:r>
        <w:t>existing standards that are considered to be narrow in scope.</w:t>
      </w:r>
    </w:p>
    <w:p w14:paraId="1E805C5E" w14:textId="77777777" w:rsidR="00AA4A02" w:rsidRDefault="00960F31">
      <w:pPr>
        <w:pStyle w:val="ListParagraph"/>
        <w:numPr>
          <w:ilvl w:val="0"/>
          <w:numId w:val="29"/>
        </w:numPr>
        <w:tabs>
          <w:tab w:val="left" w:pos="851"/>
        </w:tabs>
        <w:spacing w:before="200" w:line="208" w:lineRule="auto"/>
        <w:ind w:right="158"/>
      </w:pPr>
      <w:r>
        <w:t>Narrow-scope</w:t>
      </w:r>
      <w:r>
        <w:rPr>
          <w:spacing w:val="-2"/>
        </w:rPr>
        <w:t xml:space="preserve"> </w:t>
      </w:r>
      <w:r>
        <w:t>projects</w:t>
      </w:r>
      <w:r>
        <w:rPr>
          <w:spacing w:val="-2"/>
        </w:rPr>
        <w:t xml:space="preserve"> </w:t>
      </w:r>
      <w:r>
        <w:t>are</w:t>
      </w:r>
      <w:r>
        <w:rPr>
          <w:spacing w:val="-2"/>
        </w:rPr>
        <w:t xml:space="preserve"> </w:t>
      </w:r>
      <w:r>
        <w:t>intended</w:t>
      </w:r>
      <w:r>
        <w:rPr>
          <w:spacing w:val="-2"/>
        </w:rPr>
        <w:t xml:space="preserve"> </w:t>
      </w:r>
      <w:r>
        <w:t>to</w:t>
      </w:r>
      <w:r>
        <w:rPr>
          <w:spacing w:val="-2"/>
        </w:rPr>
        <w:t xml:space="preserve"> </w:t>
      </w:r>
      <w:r>
        <w:t>achieve</w:t>
      </w:r>
      <w:r>
        <w:rPr>
          <w:spacing w:val="-2"/>
        </w:rPr>
        <w:t xml:space="preserve"> </w:t>
      </w:r>
      <w:r>
        <w:t>a</w:t>
      </w:r>
      <w:r>
        <w:rPr>
          <w:spacing w:val="-4"/>
        </w:rPr>
        <w:t xml:space="preserve"> </w:t>
      </w:r>
      <w:r>
        <w:t>limited</w:t>
      </w:r>
      <w:r>
        <w:rPr>
          <w:spacing w:val="-2"/>
        </w:rPr>
        <w:t xml:space="preserve"> </w:t>
      </w:r>
      <w:r>
        <w:t>number</w:t>
      </w:r>
      <w:r>
        <w:rPr>
          <w:spacing w:val="-1"/>
        </w:rPr>
        <w:t xml:space="preserve"> </w:t>
      </w:r>
      <w:r>
        <w:t>of</w:t>
      </w:r>
      <w:r>
        <w:rPr>
          <w:spacing w:val="-4"/>
        </w:rPr>
        <w:t xml:space="preserve"> </w:t>
      </w:r>
      <w:r>
        <w:t>targeted</w:t>
      </w:r>
      <w:r>
        <w:rPr>
          <w:spacing w:val="-2"/>
        </w:rPr>
        <w:t xml:space="preserve"> </w:t>
      </w:r>
      <w:r>
        <w:t>changes</w:t>
      </w:r>
      <w:r>
        <w:rPr>
          <w:spacing w:val="-2"/>
        </w:rPr>
        <w:t xml:space="preserve"> </w:t>
      </w:r>
      <w:r>
        <w:t>to</w:t>
      </w:r>
      <w:r>
        <w:rPr>
          <w:spacing w:val="-5"/>
        </w:rPr>
        <w:t xml:space="preserve"> </w:t>
      </w:r>
      <w:r>
        <w:t>either</w:t>
      </w:r>
      <w:r>
        <w:rPr>
          <w:spacing w:val="-2"/>
        </w:rPr>
        <w:t xml:space="preserve"> </w:t>
      </w:r>
      <w:r>
        <w:t>a single standard or across multiple standards, and may include replacing unclear wording in existing standards or providing additional requirements and/or explanatory material where a gap in an existing standard has been identified.</w:t>
      </w:r>
      <w:r>
        <w:rPr>
          <w:spacing w:val="40"/>
        </w:rPr>
        <w:t xml:space="preserve"> </w:t>
      </w:r>
      <w:r>
        <w:t>Narrow-scope projects are not intended for making fundamental changes to the overall scope, purpose, objectives, underlying principles</w:t>
      </w:r>
      <w:r>
        <w:rPr>
          <w:spacing w:val="40"/>
        </w:rPr>
        <w:t xml:space="preserve"> </w:t>
      </w:r>
      <w:r>
        <w:t>or structure of an existing standard.</w:t>
      </w:r>
    </w:p>
    <w:p w14:paraId="1E805C5F" w14:textId="77777777" w:rsidR="00AA4A02" w:rsidRDefault="00960F31">
      <w:pPr>
        <w:pStyle w:val="ListParagraph"/>
        <w:numPr>
          <w:ilvl w:val="0"/>
          <w:numId w:val="29"/>
        </w:numPr>
        <w:tabs>
          <w:tab w:val="left" w:pos="851"/>
        </w:tabs>
        <w:spacing w:before="175"/>
      </w:pPr>
      <w:r>
        <w:t>When</w:t>
      </w:r>
      <w:r>
        <w:rPr>
          <w:spacing w:val="-6"/>
        </w:rPr>
        <w:t xml:space="preserve"> </w:t>
      </w:r>
      <w:r>
        <w:t>assessing</w:t>
      </w:r>
      <w:r>
        <w:rPr>
          <w:spacing w:val="-6"/>
        </w:rPr>
        <w:t xml:space="preserve"> </w:t>
      </w:r>
      <w:r>
        <w:t>the</w:t>
      </w:r>
      <w:r>
        <w:rPr>
          <w:spacing w:val="-2"/>
        </w:rPr>
        <w:t xml:space="preserve"> </w:t>
      </w:r>
      <w:r>
        <w:t>need</w:t>
      </w:r>
      <w:r>
        <w:rPr>
          <w:spacing w:val="-6"/>
        </w:rPr>
        <w:t xml:space="preserve"> </w:t>
      </w:r>
      <w:r>
        <w:t>for</w:t>
      </w:r>
      <w:r>
        <w:rPr>
          <w:spacing w:val="-3"/>
        </w:rPr>
        <w:t xml:space="preserve"> </w:t>
      </w:r>
      <w:r>
        <w:t>a</w:t>
      </w:r>
      <w:r>
        <w:rPr>
          <w:spacing w:val="-3"/>
        </w:rPr>
        <w:t xml:space="preserve"> </w:t>
      </w:r>
      <w:r>
        <w:t>narrow-scope</w:t>
      </w:r>
      <w:r>
        <w:rPr>
          <w:spacing w:val="-2"/>
        </w:rPr>
        <w:t xml:space="preserve"> </w:t>
      </w:r>
      <w:r>
        <w:t>project,</w:t>
      </w:r>
      <w:r>
        <w:rPr>
          <w:spacing w:val="-3"/>
        </w:rPr>
        <w:t xml:space="preserve"> </w:t>
      </w:r>
      <w:r>
        <w:t>the</w:t>
      </w:r>
      <w:r>
        <w:rPr>
          <w:spacing w:val="-3"/>
        </w:rPr>
        <w:t xml:space="preserve"> </w:t>
      </w:r>
      <w:r>
        <w:t>following</w:t>
      </w:r>
      <w:r>
        <w:rPr>
          <w:spacing w:val="-3"/>
        </w:rPr>
        <w:t xml:space="preserve"> </w:t>
      </w:r>
      <w:r>
        <w:t>criteria</w:t>
      </w:r>
      <w:r>
        <w:rPr>
          <w:spacing w:val="-4"/>
        </w:rPr>
        <w:t xml:space="preserve"> </w:t>
      </w:r>
      <w:r>
        <w:t>should</w:t>
      </w:r>
      <w:r>
        <w:rPr>
          <w:spacing w:val="-6"/>
        </w:rPr>
        <w:t xml:space="preserve"> </w:t>
      </w:r>
      <w:r>
        <w:t>be</w:t>
      </w:r>
      <w:r>
        <w:rPr>
          <w:spacing w:val="-2"/>
        </w:rPr>
        <w:t xml:space="preserve"> </w:t>
      </w:r>
      <w:r>
        <w:rPr>
          <w:spacing w:val="-4"/>
        </w:rPr>
        <w:t>met:</w:t>
      </w:r>
    </w:p>
    <w:p w14:paraId="1E805C60" w14:textId="77777777" w:rsidR="00AA4A02" w:rsidRDefault="00960F31">
      <w:pPr>
        <w:pStyle w:val="ListParagraph"/>
        <w:numPr>
          <w:ilvl w:val="1"/>
          <w:numId w:val="29"/>
        </w:numPr>
        <w:tabs>
          <w:tab w:val="left" w:pos="1562"/>
        </w:tabs>
        <w:spacing w:before="191" w:line="208" w:lineRule="auto"/>
        <w:ind w:right="164"/>
      </w:pPr>
      <w:r>
        <w:t>a</w:t>
      </w:r>
      <w:r>
        <w:rPr>
          <w:spacing w:val="-2"/>
        </w:rPr>
        <w:t xml:space="preserve"> </w:t>
      </w:r>
      <w:r>
        <w:t>standard-setting</w:t>
      </w:r>
      <w:r>
        <w:rPr>
          <w:spacing w:val="-2"/>
        </w:rPr>
        <w:t xml:space="preserve"> </w:t>
      </w:r>
      <w:r>
        <w:t>response</w:t>
      </w:r>
      <w:r>
        <w:rPr>
          <w:spacing w:val="-4"/>
        </w:rPr>
        <w:t xml:space="preserve"> </w:t>
      </w:r>
      <w:r>
        <w:t>(as</w:t>
      </w:r>
      <w:r>
        <w:rPr>
          <w:spacing w:val="-2"/>
        </w:rPr>
        <w:t xml:space="preserve"> </w:t>
      </w:r>
      <w:r>
        <w:t>described</w:t>
      </w:r>
      <w:r>
        <w:rPr>
          <w:spacing w:val="-4"/>
        </w:rPr>
        <w:t xml:space="preserve"> </w:t>
      </w:r>
      <w:r>
        <w:t>in</w:t>
      </w:r>
      <w:r>
        <w:rPr>
          <w:spacing w:val="-2"/>
        </w:rPr>
        <w:t xml:space="preserve"> </w:t>
      </w:r>
      <w:r>
        <w:t>the</w:t>
      </w:r>
      <w:r>
        <w:rPr>
          <w:spacing w:val="-2"/>
        </w:rPr>
        <w:t xml:space="preserve"> </w:t>
      </w:r>
      <w:r>
        <w:t>factors</w:t>
      </w:r>
      <w:r>
        <w:rPr>
          <w:spacing w:val="-7"/>
        </w:rPr>
        <w:t xml:space="preserve"> </w:t>
      </w:r>
      <w:r>
        <w:t>outlined</w:t>
      </w:r>
      <w:r>
        <w:rPr>
          <w:spacing w:val="-2"/>
        </w:rPr>
        <w:t xml:space="preserve"> </w:t>
      </w:r>
      <w:r>
        <w:t>in</w:t>
      </w:r>
      <w:r>
        <w:rPr>
          <w:spacing w:val="-5"/>
        </w:rPr>
        <w:t xml:space="preserve"> </w:t>
      </w:r>
      <w:r>
        <w:t>paragraphs</w:t>
      </w:r>
      <w:r>
        <w:rPr>
          <w:spacing w:val="-4"/>
        </w:rPr>
        <w:t xml:space="preserve"> </w:t>
      </w:r>
      <w:r>
        <w:t>24-34</w:t>
      </w:r>
      <w:r>
        <w:rPr>
          <w:spacing w:val="-2"/>
        </w:rPr>
        <w:t xml:space="preserve"> </w:t>
      </w:r>
      <w:r>
        <w:t>of this document) is required to address the matter;</w:t>
      </w:r>
    </w:p>
    <w:p w14:paraId="1E805C61" w14:textId="77777777" w:rsidR="00AA4A02" w:rsidRDefault="00960F31">
      <w:pPr>
        <w:pStyle w:val="ListParagraph"/>
        <w:numPr>
          <w:ilvl w:val="1"/>
          <w:numId w:val="29"/>
        </w:numPr>
        <w:tabs>
          <w:tab w:val="left" w:pos="1562"/>
        </w:tabs>
        <w:spacing w:before="121" w:line="208" w:lineRule="auto"/>
        <w:ind w:right="277"/>
      </w:pPr>
      <w:r>
        <w:t>it</w:t>
      </w:r>
      <w:r>
        <w:rPr>
          <w:spacing w:val="-4"/>
        </w:rPr>
        <w:t xml:space="preserve"> </w:t>
      </w:r>
      <w:r>
        <w:t>is</w:t>
      </w:r>
      <w:r>
        <w:rPr>
          <w:spacing w:val="-2"/>
        </w:rPr>
        <w:t xml:space="preserve"> </w:t>
      </w:r>
      <w:r>
        <w:t>not</w:t>
      </w:r>
      <w:r>
        <w:rPr>
          <w:spacing w:val="-4"/>
        </w:rPr>
        <w:t xml:space="preserve"> </w:t>
      </w:r>
      <w:r>
        <w:t>in</w:t>
      </w:r>
      <w:r>
        <w:rPr>
          <w:spacing w:val="-2"/>
        </w:rPr>
        <w:t xml:space="preserve"> </w:t>
      </w:r>
      <w:r>
        <w:t>the</w:t>
      </w:r>
      <w:r>
        <w:rPr>
          <w:spacing w:val="-2"/>
        </w:rPr>
        <w:t xml:space="preserve"> </w:t>
      </w:r>
      <w:r>
        <w:t>public</w:t>
      </w:r>
      <w:r>
        <w:rPr>
          <w:spacing w:val="-2"/>
        </w:rPr>
        <w:t xml:space="preserve"> </w:t>
      </w:r>
      <w:r>
        <w:t>interest</w:t>
      </w:r>
      <w:r>
        <w:rPr>
          <w:spacing w:val="-1"/>
        </w:rPr>
        <w:t xml:space="preserve"> </w:t>
      </w:r>
      <w:r>
        <w:t>to</w:t>
      </w:r>
      <w:r>
        <w:rPr>
          <w:spacing w:val="-2"/>
        </w:rPr>
        <w:t xml:space="preserve"> </w:t>
      </w:r>
      <w:r>
        <w:t>wait</w:t>
      </w:r>
      <w:r>
        <w:rPr>
          <w:spacing w:val="-1"/>
        </w:rPr>
        <w:t xml:space="preserve"> </w:t>
      </w:r>
      <w:r>
        <w:t>for</w:t>
      </w:r>
      <w:r>
        <w:rPr>
          <w:spacing w:val="-2"/>
        </w:rPr>
        <w:t xml:space="preserve"> </w:t>
      </w:r>
      <w:r>
        <w:t>a</w:t>
      </w:r>
      <w:r>
        <w:rPr>
          <w:spacing w:val="-4"/>
        </w:rPr>
        <w:t xml:space="preserve"> </w:t>
      </w:r>
      <w:r>
        <w:t>full-scope</w:t>
      </w:r>
      <w:r>
        <w:rPr>
          <w:spacing w:val="-4"/>
        </w:rPr>
        <w:t xml:space="preserve"> </w:t>
      </w:r>
      <w:r>
        <w:t>revision</w:t>
      </w:r>
      <w:r>
        <w:rPr>
          <w:spacing w:val="-2"/>
        </w:rPr>
        <w:t xml:space="preserve"> </w:t>
      </w:r>
      <w:r>
        <w:t>of</w:t>
      </w:r>
      <w:r>
        <w:rPr>
          <w:spacing w:val="-2"/>
        </w:rPr>
        <w:t xml:space="preserve"> </w:t>
      </w:r>
      <w:r>
        <w:t>the</w:t>
      </w:r>
      <w:r>
        <w:rPr>
          <w:spacing w:val="-2"/>
        </w:rPr>
        <w:t xml:space="preserve"> </w:t>
      </w:r>
      <w:r>
        <w:t>standard</w:t>
      </w:r>
      <w:r>
        <w:rPr>
          <w:spacing w:val="-5"/>
        </w:rPr>
        <w:t xml:space="preserve"> </w:t>
      </w:r>
      <w:r>
        <w:t>at</w:t>
      </w:r>
      <w:r>
        <w:rPr>
          <w:spacing w:val="-4"/>
        </w:rPr>
        <w:t xml:space="preserve"> </w:t>
      </w:r>
      <w:r>
        <w:t>a</w:t>
      </w:r>
      <w:r>
        <w:rPr>
          <w:spacing w:val="-2"/>
        </w:rPr>
        <w:t xml:space="preserve"> </w:t>
      </w:r>
      <w:r>
        <w:t>later stage; and</w:t>
      </w:r>
    </w:p>
    <w:p w14:paraId="1E805C62" w14:textId="77777777" w:rsidR="00AA4A02" w:rsidRDefault="00960F31">
      <w:pPr>
        <w:pStyle w:val="ListParagraph"/>
        <w:numPr>
          <w:ilvl w:val="1"/>
          <w:numId w:val="29"/>
        </w:numPr>
        <w:tabs>
          <w:tab w:val="left" w:pos="1562"/>
        </w:tabs>
        <w:spacing w:before="120" w:line="208" w:lineRule="auto"/>
        <w:ind w:right="281"/>
      </w:pPr>
      <w:r>
        <w:t>all</w:t>
      </w:r>
      <w:r>
        <w:rPr>
          <w:spacing w:val="-6"/>
        </w:rPr>
        <w:t xml:space="preserve"> </w:t>
      </w:r>
      <w:r>
        <w:t>narrow-scope</w:t>
      </w:r>
      <w:r>
        <w:rPr>
          <w:spacing w:val="-4"/>
        </w:rPr>
        <w:t xml:space="preserve"> </w:t>
      </w:r>
      <w:r>
        <w:t>amendments</w:t>
      </w:r>
      <w:r>
        <w:rPr>
          <w:spacing w:val="-6"/>
        </w:rPr>
        <w:t xml:space="preserve"> </w:t>
      </w:r>
      <w:r>
        <w:t>must</w:t>
      </w:r>
      <w:r>
        <w:rPr>
          <w:spacing w:val="-3"/>
        </w:rPr>
        <w:t xml:space="preserve"> </w:t>
      </w:r>
      <w:r>
        <w:t>include</w:t>
      </w:r>
      <w:r>
        <w:rPr>
          <w:spacing w:val="-4"/>
        </w:rPr>
        <w:t xml:space="preserve"> </w:t>
      </w:r>
      <w:r>
        <w:t>consideration</w:t>
      </w:r>
      <w:r>
        <w:rPr>
          <w:spacing w:val="-4"/>
        </w:rPr>
        <w:t xml:space="preserve"> </w:t>
      </w:r>
      <w:r>
        <w:t>of</w:t>
      </w:r>
      <w:r>
        <w:rPr>
          <w:spacing w:val="-4"/>
        </w:rPr>
        <w:t xml:space="preserve"> </w:t>
      </w:r>
      <w:r>
        <w:t>the</w:t>
      </w:r>
      <w:r>
        <w:rPr>
          <w:spacing w:val="-4"/>
        </w:rPr>
        <w:t xml:space="preserve"> </w:t>
      </w:r>
      <w:r>
        <w:t>Compelling</w:t>
      </w:r>
      <w:r>
        <w:rPr>
          <w:spacing w:val="-4"/>
        </w:rPr>
        <w:t xml:space="preserve"> </w:t>
      </w:r>
      <w:r>
        <w:t xml:space="preserve">Reasons </w:t>
      </w:r>
      <w:r>
        <w:rPr>
          <w:spacing w:val="-2"/>
        </w:rPr>
        <w:t>Test</w:t>
      </w:r>
      <w:r>
        <w:rPr>
          <w:spacing w:val="-2"/>
          <w:vertAlign w:val="superscript"/>
        </w:rPr>
        <w:t>66</w:t>
      </w:r>
      <w:r>
        <w:rPr>
          <w:spacing w:val="-2"/>
        </w:rPr>
        <w:t>.</w:t>
      </w:r>
    </w:p>
    <w:p w14:paraId="1E805C63" w14:textId="77777777" w:rsidR="00AA4A02" w:rsidRDefault="00960F31">
      <w:pPr>
        <w:pStyle w:val="ListParagraph"/>
        <w:numPr>
          <w:ilvl w:val="0"/>
          <w:numId w:val="29"/>
        </w:numPr>
        <w:tabs>
          <w:tab w:val="left" w:pos="851"/>
        </w:tabs>
        <w:spacing w:before="119" w:line="208" w:lineRule="auto"/>
        <w:ind w:right="561"/>
      </w:pPr>
      <w:r>
        <w:t>Narrow-scope</w:t>
      </w:r>
      <w:r>
        <w:rPr>
          <w:spacing w:val="-2"/>
        </w:rPr>
        <w:t xml:space="preserve"> </w:t>
      </w:r>
      <w:r>
        <w:t>changes</w:t>
      </w:r>
      <w:r>
        <w:rPr>
          <w:spacing w:val="-2"/>
        </w:rPr>
        <w:t xml:space="preserve"> </w:t>
      </w:r>
      <w:r>
        <w:t>to</w:t>
      </w:r>
      <w:r>
        <w:rPr>
          <w:spacing w:val="-5"/>
        </w:rPr>
        <w:t xml:space="preserve"> </w:t>
      </w:r>
      <w:r>
        <w:t>standards</w:t>
      </w:r>
      <w:r>
        <w:rPr>
          <w:spacing w:val="-4"/>
        </w:rPr>
        <w:t xml:space="preserve"> </w:t>
      </w:r>
      <w:r>
        <w:t>may</w:t>
      </w:r>
      <w:r>
        <w:rPr>
          <w:spacing w:val="-2"/>
        </w:rPr>
        <w:t xml:space="preserve"> </w:t>
      </w:r>
      <w:r>
        <w:t>be</w:t>
      </w:r>
      <w:r>
        <w:rPr>
          <w:spacing w:val="-2"/>
        </w:rPr>
        <w:t xml:space="preserve"> </w:t>
      </w:r>
      <w:r>
        <w:t>required</w:t>
      </w:r>
      <w:r>
        <w:rPr>
          <w:spacing w:val="-4"/>
        </w:rPr>
        <w:t xml:space="preserve"> </w:t>
      </w:r>
      <w:r>
        <w:t>for</w:t>
      </w:r>
      <w:r>
        <w:rPr>
          <w:spacing w:val="-2"/>
        </w:rPr>
        <w:t xml:space="preserve"> </w:t>
      </w:r>
      <w:r>
        <w:t>a</w:t>
      </w:r>
      <w:r>
        <w:rPr>
          <w:spacing w:val="-2"/>
        </w:rPr>
        <w:t xml:space="preserve"> </w:t>
      </w:r>
      <w:r>
        <w:t>variety</w:t>
      </w:r>
      <w:r>
        <w:rPr>
          <w:spacing w:val="-5"/>
        </w:rPr>
        <w:t xml:space="preserve"> </w:t>
      </w:r>
      <w:r>
        <w:t>of</w:t>
      </w:r>
      <w:r>
        <w:rPr>
          <w:spacing w:val="-4"/>
        </w:rPr>
        <w:t xml:space="preserve"> </w:t>
      </w:r>
      <w:r>
        <w:t>reasons</w:t>
      </w:r>
      <w:r>
        <w:rPr>
          <w:spacing w:val="-4"/>
        </w:rPr>
        <w:t xml:space="preserve"> </w:t>
      </w:r>
      <w:r>
        <w:t>including,</w:t>
      </w:r>
      <w:r>
        <w:rPr>
          <w:spacing w:val="-2"/>
        </w:rPr>
        <w:t xml:space="preserve"> </w:t>
      </w:r>
      <w:r>
        <w:t>for example, to:</w:t>
      </w:r>
    </w:p>
    <w:p w14:paraId="1E805C64" w14:textId="77777777" w:rsidR="00AA4A02" w:rsidRDefault="00960F31">
      <w:pPr>
        <w:pStyle w:val="ListParagraph"/>
        <w:numPr>
          <w:ilvl w:val="0"/>
          <w:numId w:val="15"/>
        </w:numPr>
        <w:tabs>
          <w:tab w:val="left" w:pos="1562"/>
        </w:tabs>
        <w:spacing w:before="158"/>
      </w:pPr>
      <w:r>
        <w:t>address</w:t>
      </w:r>
      <w:r>
        <w:rPr>
          <w:spacing w:val="-3"/>
        </w:rPr>
        <w:t xml:space="preserve"> </w:t>
      </w:r>
      <w:r>
        <w:t>Australian</w:t>
      </w:r>
      <w:r>
        <w:rPr>
          <w:spacing w:val="-6"/>
        </w:rPr>
        <w:t xml:space="preserve"> </w:t>
      </w:r>
      <w:r>
        <w:t>legal</w:t>
      </w:r>
      <w:r>
        <w:rPr>
          <w:spacing w:val="-6"/>
        </w:rPr>
        <w:t xml:space="preserve"> </w:t>
      </w:r>
      <w:r>
        <w:t>and</w:t>
      </w:r>
      <w:r>
        <w:rPr>
          <w:spacing w:val="-4"/>
        </w:rPr>
        <w:t xml:space="preserve"> </w:t>
      </w:r>
      <w:r>
        <w:t>regulatory</w:t>
      </w:r>
      <w:r>
        <w:rPr>
          <w:spacing w:val="-3"/>
        </w:rPr>
        <w:t xml:space="preserve"> </w:t>
      </w:r>
      <w:r>
        <w:rPr>
          <w:spacing w:val="-2"/>
        </w:rPr>
        <w:t>arrangements;</w:t>
      </w:r>
    </w:p>
    <w:p w14:paraId="1E805C65" w14:textId="77777777" w:rsidR="00AA4A02" w:rsidRDefault="00960F31">
      <w:pPr>
        <w:pStyle w:val="ListParagraph"/>
        <w:numPr>
          <w:ilvl w:val="0"/>
          <w:numId w:val="15"/>
        </w:numPr>
        <w:tabs>
          <w:tab w:val="left" w:pos="1562"/>
        </w:tabs>
        <w:spacing w:before="100" w:line="208" w:lineRule="auto"/>
        <w:ind w:right="350"/>
      </w:pPr>
      <w:r>
        <w:t>ensure</w:t>
      </w:r>
      <w:r>
        <w:rPr>
          <w:spacing w:val="-2"/>
        </w:rPr>
        <w:t xml:space="preserve"> </w:t>
      </w:r>
      <w:r>
        <w:t>principles</w:t>
      </w:r>
      <w:r>
        <w:rPr>
          <w:spacing w:val="-4"/>
        </w:rPr>
        <w:t xml:space="preserve"> </w:t>
      </w:r>
      <w:r>
        <w:t>and</w:t>
      </w:r>
      <w:r>
        <w:rPr>
          <w:spacing w:val="-2"/>
        </w:rPr>
        <w:t xml:space="preserve"> </w:t>
      </w:r>
      <w:r>
        <w:t>practices</w:t>
      </w:r>
      <w:r>
        <w:rPr>
          <w:spacing w:val="-2"/>
        </w:rPr>
        <w:t xml:space="preserve"> </w:t>
      </w:r>
      <w:r>
        <w:t>are</w:t>
      </w:r>
      <w:r>
        <w:rPr>
          <w:spacing w:val="-4"/>
        </w:rPr>
        <w:t xml:space="preserve"> </w:t>
      </w:r>
      <w:r>
        <w:t>appropriate</w:t>
      </w:r>
      <w:r>
        <w:rPr>
          <w:spacing w:val="-2"/>
        </w:rPr>
        <w:t xml:space="preserve"> </w:t>
      </w:r>
      <w:r>
        <w:t>having</w:t>
      </w:r>
      <w:r>
        <w:rPr>
          <w:spacing w:val="-1"/>
        </w:rPr>
        <w:t xml:space="preserve"> </w:t>
      </w:r>
      <w:r>
        <w:t>regard</w:t>
      </w:r>
      <w:r>
        <w:rPr>
          <w:spacing w:val="-5"/>
        </w:rPr>
        <w:t xml:space="preserve"> </w:t>
      </w:r>
      <w:r>
        <w:t>to</w:t>
      </w:r>
      <w:r>
        <w:rPr>
          <w:spacing w:val="-5"/>
        </w:rPr>
        <w:t xml:space="preserve"> </w:t>
      </w:r>
      <w:r>
        <w:t>the</w:t>
      </w:r>
      <w:r>
        <w:rPr>
          <w:spacing w:val="-4"/>
        </w:rPr>
        <w:t xml:space="preserve"> </w:t>
      </w:r>
      <w:r>
        <w:t>public</w:t>
      </w:r>
      <w:r>
        <w:rPr>
          <w:spacing w:val="-4"/>
        </w:rPr>
        <w:t xml:space="preserve"> </w:t>
      </w:r>
      <w:r>
        <w:t>interest</w:t>
      </w:r>
      <w:r>
        <w:rPr>
          <w:spacing w:val="-6"/>
        </w:rPr>
        <w:t xml:space="preserve"> </w:t>
      </w:r>
      <w:r>
        <w:t xml:space="preserve">in </w:t>
      </w:r>
      <w:r>
        <w:rPr>
          <w:spacing w:val="-2"/>
        </w:rPr>
        <w:t>Australia;</w:t>
      </w:r>
    </w:p>
    <w:p w14:paraId="1E805C66" w14:textId="77777777" w:rsidR="00AA4A02" w:rsidRDefault="00960F31">
      <w:pPr>
        <w:pStyle w:val="ListParagraph"/>
        <w:numPr>
          <w:ilvl w:val="0"/>
          <w:numId w:val="15"/>
        </w:numPr>
        <w:tabs>
          <w:tab w:val="left" w:pos="1562"/>
        </w:tabs>
        <w:spacing w:before="76"/>
      </w:pPr>
      <w:r>
        <w:t>promote</w:t>
      </w:r>
      <w:r>
        <w:rPr>
          <w:spacing w:val="-6"/>
        </w:rPr>
        <w:t xml:space="preserve"> </w:t>
      </w:r>
      <w:r>
        <w:t>consistent</w:t>
      </w:r>
      <w:r>
        <w:rPr>
          <w:spacing w:val="-3"/>
        </w:rPr>
        <w:t xml:space="preserve"> </w:t>
      </w:r>
      <w:r>
        <w:t>application</w:t>
      </w:r>
      <w:r>
        <w:rPr>
          <w:spacing w:val="-4"/>
        </w:rPr>
        <w:t xml:space="preserve"> </w:t>
      </w:r>
      <w:r>
        <w:t>of</w:t>
      </w:r>
      <w:r>
        <w:rPr>
          <w:spacing w:val="-3"/>
        </w:rPr>
        <w:t xml:space="preserve"> </w:t>
      </w:r>
      <w:r>
        <w:t>standards</w:t>
      </w:r>
      <w:r>
        <w:rPr>
          <w:spacing w:val="-6"/>
        </w:rPr>
        <w:t xml:space="preserve"> </w:t>
      </w:r>
      <w:r>
        <w:t>in</w:t>
      </w:r>
      <w:r>
        <w:rPr>
          <w:spacing w:val="-3"/>
        </w:rPr>
        <w:t xml:space="preserve"> </w:t>
      </w:r>
      <w:r>
        <w:rPr>
          <w:spacing w:val="-2"/>
        </w:rPr>
        <w:t>practice;</w:t>
      </w:r>
    </w:p>
    <w:p w14:paraId="1E805C67" w14:textId="77777777" w:rsidR="00AA4A02" w:rsidRDefault="00960F31">
      <w:pPr>
        <w:pStyle w:val="ListParagraph"/>
        <w:numPr>
          <w:ilvl w:val="0"/>
          <w:numId w:val="15"/>
        </w:numPr>
        <w:tabs>
          <w:tab w:val="left" w:pos="1562"/>
        </w:tabs>
        <w:spacing w:before="100" w:line="208" w:lineRule="auto"/>
        <w:ind w:right="1134"/>
      </w:pPr>
      <w:r>
        <w:t>promote</w:t>
      </w:r>
      <w:r>
        <w:rPr>
          <w:spacing w:val="-6"/>
        </w:rPr>
        <w:t xml:space="preserve"> </w:t>
      </w:r>
      <w:r>
        <w:t>significant</w:t>
      </w:r>
      <w:r>
        <w:rPr>
          <w:spacing w:val="-3"/>
        </w:rPr>
        <w:t xml:space="preserve"> </w:t>
      </w:r>
      <w:r>
        <w:t>improvement</w:t>
      </w:r>
      <w:r>
        <w:rPr>
          <w:spacing w:val="-6"/>
        </w:rPr>
        <w:t xml:space="preserve"> </w:t>
      </w:r>
      <w:r>
        <w:t>in</w:t>
      </w:r>
      <w:r>
        <w:rPr>
          <w:spacing w:val="-4"/>
        </w:rPr>
        <w:t xml:space="preserve"> </w:t>
      </w:r>
      <w:r>
        <w:t>audit/assurance</w:t>
      </w:r>
      <w:r>
        <w:rPr>
          <w:spacing w:val="-4"/>
        </w:rPr>
        <w:t xml:space="preserve"> </w:t>
      </w:r>
      <w:r>
        <w:t>quality</w:t>
      </w:r>
      <w:r>
        <w:rPr>
          <w:spacing w:val="-7"/>
        </w:rPr>
        <w:t xml:space="preserve"> </w:t>
      </w:r>
      <w:r>
        <w:t>in</w:t>
      </w:r>
      <w:r>
        <w:rPr>
          <w:spacing w:val="-4"/>
        </w:rPr>
        <w:t xml:space="preserve"> </w:t>
      </w:r>
      <w:r>
        <w:t>the</w:t>
      </w:r>
      <w:r>
        <w:rPr>
          <w:spacing w:val="-4"/>
        </w:rPr>
        <w:t xml:space="preserve"> </w:t>
      </w:r>
      <w:r>
        <w:t xml:space="preserve">Australia </w:t>
      </w:r>
      <w:r>
        <w:rPr>
          <w:spacing w:val="-2"/>
        </w:rPr>
        <w:t>environment;</w:t>
      </w:r>
    </w:p>
    <w:p w14:paraId="1E805C68" w14:textId="77777777" w:rsidR="00AA4A02" w:rsidRDefault="00AA4A02">
      <w:pPr>
        <w:pStyle w:val="BodyText"/>
        <w:rPr>
          <w:sz w:val="20"/>
        </w:rPr>
      </w:pPr>
    </w:p>
    <w:p w14:paraId="1E805C69" w14:textId="77777777" w:rsidR="00AA4A02" w:rsidRDefault="00AA4A02">
      <w:pPr>
        <w:pStyle w:val="BodyText"/>
        <w:rPr>
          <w:sz w:val="20"/>
        </w:rPr>
      </w:pPr>
    </w:p>
    <w:p w14:paraId="1E805C6A" w14:textId="77777777" w:rsidR="00AA4A02" w:rsidRDefault="00960F31">
      <w:pPr>
        <w:pStyle w:val="BodyText"/>
        <w:spacing w:before="36"/>
        <w:rPr>
          <w:sz w:val="20"/>
        </w:rPr>
      </w:pPr>
      <w:r>
        <w:rPr>
          <w:noProof/>
          <w:sz w:val="20"/>
        </w:rPr>
        <mc:AlternateContent>
          <mc:Choice Requires="wps">
            <w:drawing>
              <wp:anchor distT="0" distB="0" distL="0" distR="0" simplePos="0" relativeHeight="487612416" behindDoc="1" locked="0" layoutInCell="1" allowOverlap="1" wp14:anchorId="1E805F73" wp14:editId="1E805F74">
                <wp:simplePos x="0" y="0"/>
                <wp:positionH relativeFrom="page">
                  <wp:posOffset>900988</wp:posOffset>
                </wp:positionH>
                <wp:positionV relativeFrom="paragraph">
                  <wp:posOffset>184641</wp:posOffset>
                </wp:positionV>
                <wp:extent cx="1829435" cy="762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EF053" id="Graphic 77" o:spid="_x0000_s1026" style="position:absolute;margin-left:70.95pt;margin-top:14.55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" path="m1829053,l,,,7619r1829053,l1829053,xe" fillcolor="black" stroked="f">
                <v:path arrowok="t"/>
                <w10:wrap type="topAndBottom" anchorx="page"/>
              </v:shape>
            </w:pict>
          </mc:Fallback>
        </mc:AlternateContent>
      </w:r>
    </w:p>
    <w:p w14:paraId="1E805C6B" w14:textId="77777777" w:rsidR="00AA4A02" w:rsidRDefault="00960F31">
      <w:pPr>
        <w:spacing w:before="95" w:line="206" w:lineRule="auto"/>
        <w:ind w:left="427" w:right="246" w:hanging="284"/>
        <w:rPr>
          <w:sz w:val="16"/>
        </w:rPr>
      </w:pPr>
      <w:r>
        <w:rPr>
          <w:sz w:val="16"/>
          <w:vertAlign w:val="superscript"/>
        </w:rPr>
        <w:t>60</w:t>
      </w:r>
      <w:r>
        <w:rPr>
          <w:spacing w:val="80"/>
          <w:w w:val="150"/>
          <w:sz w:val="16"/>
        </w:rPr>
        <w:t xml:space="preserve"> </w:t>
      </w:r>
      <w:r>
        <w:rPr>
          <w:sz w:val="16"/>
        </w:rPr>
        <w:t>For</w:t>
      </w:r>
      <w:r>
        <w:rPr>
          <w:spacing w:val="-2"/>
          <w:sz w:val="16"/>
        </w:rPr>
        <w:t xml:space="preserve"> </w:t>
      </w:r>
      <w:r>
        <w:rPr>
          <w:sz w:val="16"/>
        </w:rPr>
        <w:t>example,</w:t>
      </w:r>
      <w:r>
        <w:rPr>
          <w:spacing w:val="-3"/>
          <w:sz w:val="16"/>
        </w:rPr>
        <w:t xml:space="preserve"> </w:t>
      </w:r>
      <w:r>
        <w:rPr>
          <w:sz w:val="16"/>
        </w:rPr>
        <w:t>to change</w:t>
      </w:r>
      <w:r>
        <w:rPr>
          <w:spacing w:val="-3"/>
          <w:sz w:val="16"/>
        </w:rPr>
        <w:t xml:space="preserve"> </w:t>
      </w:r>
      <w:r>
        <w:rPr>
          <w:sz w:val="16"/>
        </w:rPr>
        <w:t>references</w:t>
      </w:r>
      <w:r>
        <w:rPr>
          <w:spacing w:val="-3"/>
          <w:sz w:val="16"/>
        </w:rPr>
        <w:t xml:space="preserve"> </w:t>
      </w:r>
      <w:r>
        <w:rPr>
          <w:sz w:val="16"/>
        </w:rPr>
        <w:t>to</w:t>
      </w:r>
      <w:r>
        <w:rPr>
          <w:spacing w:val="-4"/>
          <w:sz w:val="16"/>
        </w:rPr>
        <w:t xml:space="preserve"> </w:t>
      </w:r>
      <w:r>
        <w:rPr>
          <w:sz w:val="16"/>
        </w:rPr>
        <w:t>other</w:t>
      </w:r>
      <w:r>
        <w:rPr>
          <w:spacing w:val="-2"/>
          <w:sz w:val="16"/>
        </w:rPr>
        <w:t xml:space="preserve"> </w:t>
      </w:r>
      <w:r>
        <w:rPr>
          <w:sz w:val="16"/>
        </w:rPr>
        <w:t>standards,</w:t>
      </w:r>
      <w:r>
        <w:rPr>
          <w:spacing w:val="-3"/>
          <w:sz w:val="16"/>
        </w:rPr>
        <w:t xml:space="preserve"> </w:t>
      </w:r>
      <w:r>
        <w:rPr>
          <w:sz w:val="16"/>
        </w:rPr>
        <w:t>or</w:t>
      </w:r>
      <w:r>
        <w:rPr>
          <w:spacing w:val="-2"/>
          <w:sz w:val="16"/>
        </w:rPr>
        <w:t xml:space="preserve"> </w:t>
      </w:r>
      <w:r>
        <w:rPr>
          <w:sz w:val="16"/>
        </w:rPr>
        <w:t>to</w:t>
      </w:r>
      <w:r>
        <w:rPr>
          <w:spacing w:val="-2"/>
          <w:sz w:val="16"/>
        </w:rPr>
        <w:t xml:space="preserve"> </w:t>
      </w:r>
      <w:r>
        <w:rPr>
          <w:sz w:val="16"/>
        </w:rPr>
        <w:t>be consistent</w:t>
      </w:r>
      <w:r>
        <w:rPr>
          <w:spacing w:val="-2"/>
          <w:sz w:val="16"/>
        </w:rPr>
        <w:t xml:space="preserve"> </w:t>
      </w:r>
      <w:r>
        <w:rPr>
          <w:sz w:val="16"/>
        </w:rPr>
        <w:t>with</w:t>
      </w:r>
      <w:r>
        <w:rPr>
          <w:spacing w:val="-2"/>
          <w:sz w:val="16"/>
        </w:rPr>
        <w:t xml:space="preserve"> </w:t>
      </w:r>
      <w:r>
        <w:rPr>
          <w:sz w:val="16"/>
        </w:rPr>
        <w:t>new</w:t>
      </w:r>
      <w:r>
        <w:rPr>
          <w:spacing w:val="-2"/>
          <w:sz w:val="16"/>
        </w:rPr>
        <w:t xml:space="preserve"> </w:t>
      </w:r>
      <w:r>
        <w:rPr>
          <w:sz w:val="16"/>
        </w:rPr>
        <w:t>auditing</w:t>
      </w:r>
      <w:r>
        <w:rPr>
          <w:spacing w:val="-2"/>
          <w:sz w:val="16"/>
        </w:rPr>
        <w:t xml:space="preserve"> </w:t>
      </w:r>
      <w:r>
        <w:rPr>
          <w:sz w:val="16"/>
        </w:rPr>
        <w:t>and</w:t>
      </w:r>
      <w:r>
        <w:rPr>
          <w:spacing w:val="-2"/>
          <w:sz w:val="16"/>
        </w:rPr>
        <w:t xml:space="preserve"> </w:t>
      </w:r>
      <w:r>
        <w:rPr>
          <w:sz w:val="16"/>
        </w:rPr>
        <w:t>assurance</w:t>
      </w:r>
      <w:r>
        <w:rPr>
          <w:spacing w:val="-3"/>
          <w:sz w:val="16"/>
        </w:rPr>
        <w:t xml:space="preserve"> </w:t>
      </w:r>
      <w:r>
        <w:rPr>
          <w:sz w:val="16"/>
        </w:rPr>
        <w:t>requirements</w:t>
      </w:r>
      <w:r>
        <w:rPr>
          <w:spacing w:val="-1"/>
          <w:sz w:val="16"/>
        </w:rPr>
        <w:t xml:space="preserve"> </w:t>
      </w:r>
      <w:r>
        <w:rPr>
          <w:sz w:val="16"/>
        </w:rPr>
        <w:t>and/or</w:t>
      </w:r>
      <w:r>
        <w:rPr>
          <w:spacing w:val="40"/>
          <w:sz w:val="16"/>
        </w:rPr>
        <w:t xml:space="preserve"> </w:t>
      </w:r>
      <w:r>
        <w:rPr>
          <w:sz w:val="16"/>
        </w:rPr>
        <w:t>application and explanatory material.</w:t>
      </w:r>
    </w:p>
    <w:p w14:paraId="1E805C6C" w14:textId="77777777" w:rsidR="00AA4A02" w:rsidRDefault="00960F31">
      <w:pPr>
        <w:spacing w:line="154" w:lineRule="exact"/>
        <w:ind w:left="143"/>
        <w:rPr>
          <w:sz w:val="16"/>
        </w:rPr>
      </w:pPr>
      <w:r>
        <w:rPr>
          <w:sz w:val="16"/>
          <w:vertAlign w:val="superscript"/>
        </w:rPr>
        <w:t>61</w:t>
      </w:r>
      <w:r>
        <w:rPr>
          <w:spacing w:val="47"/>
          <w:sz w:val="16"/>
        </w:rPr>
        <w:t xml:space="preserve">  </w:t>
      </w:r>
      <w:r>
        <w:rPr>
          <w:sz w:val="16"/>
        </w:rPr>
        <w:t>See</w:t>
      </w:r>
      <w:r>
        <w:rPr>
          <w:spacing w:val="-4"/>
          <w:sz w:val="16"/>
        </w:rPr>
        <w:t xml:space="preserve"> </w:t>
      </w:r>
      <w:r>
        <w:rPr>
          <w:sz w:val="16"/>
        </w:rPr>
        <w:t>paragraphs</w:t>
      </w:r>
      <w:r>
        <w:rPr>
          <w:spacing w:val="-4"/>
          <w:sz w:val="16"/>
        </w:rPr>
        <w:t xml:space="preserve"> </w:t>
      </w:r>
      <w:r>
        <w:rPr>
          <w:sz w:val="16"/>
        </w:rPr>
        <w:t>250-254</w:t>
      </w:r>
      <w:r>
        <w:rPr>
          <w:spacing w:val="-2"/>
          <w:sz w:val="16"/>
        </w:rPr>
        <w:t xml:space="preserve"> </w:t>
      </w:r>
      <w:r>
        <w:rPr>
          <w:sz w:val="16"/>
        </w:rPr>
        <w:t>of</w:t>
      </w:r>
      <w:r>
        <w:rPr>
          <w:spacing w:val="-3"/>
          <w:sz w:val="16"/>
        </w:rPr>
        <w:t xml:space="preserve"> </w:t>
      </w:r>
      <w:r>
        <w:rPr>
          <w:sz w:val="16"/>
        </w:rPr>
        <w:t>this</w:t>
      </w:r>
      <w:r>
        <w:rPr>
          <w:spacing w:val="-3"/>
          <w:sz w:val="16"/>
        </w:rPr>
        <w:t xml:space="preserve"> </w:t>
      </w:r>
      <w:r>
        <w:rPr>
          <w:spacing w:val="-2"/>
          <w:sz w:val="16"/>
        </w:rPr>
        <w:t>document.</w:t>
      </w:r>
    </w:p>
    <w:p w14:paraId="1E805C6D" w14:textId="77777777" w:rsidR="00AA4A02" w:rsidRDefault="00960F31">
      <w:pPr>
        <w:spacing w:before="8" w:line="208" w:lineRule="auto"/>
        <w:ind w:left="427" w:right="137" w:hanging="284"/>
        <w:rPr>
          <w:sz w:val="16"/>
        </w:rPr>
      </w:pPr>
      <w:r>
        <w:rPr>
          <w:sz w:val="16"/>
          <w:vertAlign w:val="superscript"/>
        </w:rPr>
        <w:t>62</w:t>
      </w:r>
      <w:r>
        <w:rPr>
          <w:spacing w:val="80"/>
          <w:w w:val="150"/>
          <w:sz w:val="16"/>
        </w:rPr>
        <w:t xml:space="preserve"> </w:t>
      </w:r>
      <w:r>
        <w:rPr>
          <w:sz w:val="16"/>
        </w:rPr>
        <w:t>For</w:t>
      </w:r>
      <w:r>
        <w:rPr>
          <w:spacing w:val="-2"/>
          <w:sz w:val="16"/>
        </w:rPr>
        <w:t xml:space="preserve"> </w:t>
      </w:r>
      <w:r>
        <w:rPr>
          <w:sz w:val="16"/>
        </w:rPr>
        <w:t>example,</w:t>
      </w:r>
      <w:r>
        <w:rPr>
          <w:spacing w:val="-3"/>
          <w:sz w:val="16"/>
        </w:rPr>
        <w:t xml:space="preserve"> </w:t>
      </w:r>
      <w:r>
        <w:rPr>
          <w:sz w:val="16"/>
        </w:rPr>
        <w:t>pronouncements</w:t>
      </w:r>
      <w:r>
        <w:rPr>
          <w:spacing w:val="-3"/>
          <w:sz w:val="16"/>
        </w:rPr>
        <w:t xml:space="preserve"> </w:t>
      </w:r>
      <w:r>
        <w:rPr>
          <w:sz w:val="16"/>
        </w:rPr>
        <w:t>issued</w:t>
      </w:r>
      <w:r>
        <w:rPr>
          <w:spacing w:val="-2"/>
          <w:sz w:val="16"/>
        </w:rPr>
        <w:t xml:space="preserve"> </w:t>
      </w:r>
      <w:r>
        <w:rPr>
          <w:sz w:val="16"/>
        </w:rPr>
        <w:t>by</w:t>
      </w:r>
      <w:r>
        <w:rPr>
          <w:spacing w:val="-2"/>
          <w:sz w:val="16"/>
        </w:rPr>
        <w:t xml:space="preserve"> </w:t>
      </w:r>
      <w:r>
        <w:rPr>
          <w:sz w:val="16"/>
        </w:rPr>
        <w:t>the</w:t>
      </w:r>
      <w:r>
        <w:rPr>
          <w:spacing w:val="-3"/>
          <w:sz w:val="16"/>
        </w:rPr>
        <w:t xml:space="preserve"> </w:t>
      </w:r>
      <w:r>
        <w:rPr>
          <w:sz w:val="16"/>
        </w:rPr>
        <w:t>APESB</w:t>
      </w:r>
      <w:r>
        <w:rPr>
          <w:spacing w:val="-3"/>
          <w:sz w:val="16"/>
        </w:rPr>
        <w:t xml:space="preserve"> </w:t>
      </w:r>
      <w:r>
        <w:rPr>
          <w:sz w:val="16"/>
        </w:rPr>
        <w:t>do</w:t>
      </w:r>
      <w:r>
        <w:rPr>
          <w:spacing w:val="-2"/>
          <w:sz w:val="16"/>
        </w:rPr>
        <w:t xml:space="preserve"> </w:t>
      </w:r>
      <w:r>
        <w:rPr>
          <w:sz w:val="16"/>
        </w:rPr>
        <w:t>not</w:t>
      </w:r>
      <w:r>
        <w:rPr>
          <w:spacing w:val="-2"/>
          <w:sz w:val="16"/>
        </w:rPr>
        <w:t xml:space="preserve"> </w:t>
      </w:r>
      <w:r>
        <w:rPr>
          <w:sz w:val="16"/>
        </w:rPr>
        <w:t>have</w:t>
      </w:r>
      <w:r>
        <w:rPr>
          <w:spacing w:val="-3"/>
          <w:sz w:val="16"/>
        </w:rPr>
        <w:t xml:space="preserve"> </w:t>
      </w:r>
      <w:r>
        <w:rPr>
          <w:sz w:val="16"/>
        </w:rPr>
        <w:t>the</w:t>
      </w:r>
      <w:r>
        <w:rPr>
          <w:spacing w:val="-3"/>
          <w:sz w:val="16"/>
        </w:rPr>
        <w:t xml:space="preserve"> </w:t>
      </w:r>
      <w:r>
        <w:rPr>
          <w:sz w:val="16"/>
        </w:rPr>
        <w:t>same legal status</w:t>
      </w:r>
      <w:r>
        <w:rPr>
          <w:spacing w:val="-3"/>
          <w:sz w:val="16"/>
        </w:rPr>
        <w:t xml:space="preserve"> </w:t>
      </w:r>
      <w:r>
        <w:rPr>
          <w:sz w:val="16"/>
        </w:rPr>
        <w:t>as</w:t>
      </w:r>
      <w:r>
        <w:rPr>
          <w:spacing w:val="-3"/>
          <w:sz w:val="16"/>
        </w:rPr>
        <w:t xml:space="preserve"> </w:t>
      </w:r>
      <w:r>
        <w:rPr>
          <w:sz w:val="16"/>
        </w:rPr>
        <w:t>auditing standards</w:t>
      </w:r>
      <w:r>
        <w:rPr>
          <w:spacing w:val="-1"/>
          <w:sz w:val="16"/>
        </w:rPr>
        <w:t xml:space="preserve"> </w:t>
      </w:r>
      <w:r>
        <w:rPr>
          <w:sz w:val="16"/>
        </w:rPr>
        <w:t>made</w:t>
      </w:r>
      <w:r>
        <w:rPr>
          <w:spacing w:val="-3"/>
          <w:sz w:val="16"/>
        </w:rPr>
        <w:t xml:space="preserve"> </w:t>
      </w:r>
      <w:r>
        <w:rPr>
          <w:sz w:val="16"/>
        </w:rPr>
        <w:t>under</w:t>
      </w:r>
      <w:r>
        <w:rPr>
          <w:spacing w:val="-2"/>
          <w:sz w:val="16"/>
        </w:rPr>
        <w:t xml:space="preserve"> </w:t>
      </w:r>
      <w:r>
        <w:rPr>
          <w:sz w:val="16"/>
        </w:rPr>
        <w:t>the</w:t>
      </w:r>
      <w:r>
        <w:rPr>
          <w:spacing w:val="-3"/>
          <w:sz w:val="16"/>
        </w:rPr>
        <w:t xml:space="preserve"> </w:t>
      </w:r>
      <w:r>
        <w:rPr>
          <w:sz w:val="16"/>
        </w:rPr>
        <w:t>Corporations</w:t>
      </w:r>
      <w:r>
        <w:rPr>
          <w:spacing w:val="40"/>
          <w:sz w:val="16"/>
        </w:rPr>
        <w:t xml:space="preserve"> </w:t>
      </w:r>
      <w:r>
        <w:rPr>
          <w:sz w:val="16"/>
        </w:rPr>
        <w:t>Act (which are</w:t>
      </w:r>
      <w:r>
        <w:rPr>
          <w:spacing w:val="-1"/>
          <w:sz w:val="16"/>
        </w:rPr>
        <w:t xml:space="preserve"> </w:t>
      </w:r>
      <w:r>
        <w:rPr>
          <w:sz w:val="16"/>
        </w:rPr>
        <w:t>legislative</w:t>
      </w:r>
      <w:r>
        <w:rPr>
          <w:spacing w:val="-1"/>
          <w:sz w:val="16"/>
        </w:rPr>
        <w:t xml:space="preserve"> </w:t>
      </w:r>
      <w:r>
        <w:rPr>
          <w:sz w:val="16"/>
        </w:rPr>
        <w:t>instruments).</w:t>
      </w:r>
      <w:r>
        <w:rPr>
          <w:spacing w:val="40"/>
          <w:sz w:val="16"/>
        </w:rPr>
        <w:t xml:space="preserve"> </w:t>
      </w:r>
      <w:r>
        <w:rPr>
          <w:sz w:val="16"/>
        </w:rPr>
        <w:t>APESB</w:t>
      </w:r>
      <w:r>
        <w:rPr>
          <w:spacing w:val="-1"/>
          <w:sz w:val="16"/>
        </w:rPr>
        <w:t xml:space="preserve"> </w:t>
      </w:r>
      <w:r>
        <w:rPr>
          <w:sz w:val="16"/>
        </w:rPr>
        <w:t>pronouncements</w:t>
      </w:r>
      <w:r>
        <w:rPr>
          <w:spacing w:val="-1"/>
          <w:sz w:val="16"/>
        </w:rPr>
        <w:t xml:space="preserve"> </w:t>
      </w:r>
      <w:r>
        <w:rPr>
          <w:sz w:val="16"/>
        </w:rPr>
        <w:t>are</w:t>
      </w:r>
      <w:r>
        <w:rPr>
          <w:spacing w:val="-1"/>
          <w:sz w:val="16"/>
        </w:rPr>
        <w:t xml:space="preserve"> </w:t>
      </w:r>
      <w:r>
        <w:rPr>
          <w:sz w:val="16"/>
        </w:rPr>
        <w:t>treated as</w:t>
      </w:r>
      <w:r>
        <w:rPr>
          <w:spacing w:val="-1"/>
          <w:sz w:val="16"/>
        </w:rPr>
        <w:t xml:space="preserve"> </w:t>
      </w:r>
      <w:r>
        <w:rPr>
          <w:sz w:val="16"/>
        </w:rPr>
        <w:t>‘external documents’</w:t>
      </w:r>
      <w:r>
        <w:rPr>
          <w:spacing w:val="-2"/>
          <w:sz w:val="16"/>
        </w:rPr>
        <w:t xml:space="preserve"> </w:t>
      </w:r>
      <w:r>
        <w:rPr>
          <w:sz w:val="16"/>
        </w:rPr>
        <w:t>under</w:t>
      </w:r>
      <w:r>
        <w:rPr>
          <w:spacing w:val="-2"/>
          <w:sz w:val="16"/>
        </w:rPr>
        <w:t xml:space="preserve"> </w:t>
      </w:r>
      <w:r>
        <w:rPr>
          <w:sz w:val="16"/>
        </w:rPr>
        <w:t xml:space="preserve">the </w:t>
      </w:r>
      <w:r>
        <w:rPr>
          <w:i/>
          <w:sz w:val="16"/>
        </w:rPr>
        <w:t>Legislation Act 2003</w:t>
      </w:r>
      <w:r>
        <w:rPr>
          <w:sz w:val="16"/>
        </w:rPr>
        <w:t>.</w:t>
      </w:r>
      <w:r>
        <w:rPr>
          <w:spacing w:val="40"/>
          <w:sz w:val="16"/>
        </w:rPr>
        <w:t xml:space="preserve"> </w:t>
      </w:r>
      <w:r>
        <w:rPr>
          <w:sz w:val="16"/>
        </w:rPr>
        <w:t>A</w:t>
      </w:r>
      <w:r>
        <w:rPr>
          <w:spacing w:val="40"/>
          <w:sz w:val="16"/>
        </w:rPr>
        <w:t xml:space="preserve"> </w:t>
      </w:r>
      <w:r>
        <w:rPr>
          <w:sz w:val="16"/>
        </w:rPr>
        <w:t>reference in an Auditing Standard to an external document is stationary (that is, fixed to the document in force at the time</w:t>
      </w:r>
      <w:r>
        <w:rPr>
          <w:spacing w:val="13"/>
          <w:sz w:val="16"/>
        </w:rPr>
        <w:t xml:space="preserve"> </w:t>
      </w:r>
      <w:r>
        <w:rPr>
          <w:sz w:val="16"/>
        </w:rPr>
        <w:t>the standard</w:t>
      </w:r>
      <w:r>
        <w:rPr>
          <w:spacing w:val="40"/>
          <w:sz w:val="16"/>
        </w:rPr>
        <w:t xml:space="preserve"> </w:t>
      </w:r>
      <w:r>
        <w:rPr>
          <w:sz w:val="16"/>
        </w:rPr>
        <w:t>was made) as opposed to a reference in a standard to a second standard or another legislative instrument, which is ambulatory (that is,</w:t>
      </w:r>
      <w:r>
        <w:rPr>
          <w:spacing w:val="40"/>
          <w:sz w:val="16"/>
        </w:rPr>
        <w:t xml:space="preserve"> </w:t>
      </w:r>
      <w:r>
        <w:rPr>
          <w:sz w:val="16"/>
        </w:rPr>
        <w:t>automatically moving forward to refer to the most recently issued version).</w:t>
      </w:r>
    </w:p>
    <w:p w14:paraId="1E805C6E" w14:textId="77777777" w:rsidR="00AA4A02" w:rsidRDefault="00960F31">
      <w:pPr>
        <w:spacing w:line="152" w:lineRule="exact"/>
        <w:ind w:left="143"/>
        <w:rPr>
          <w:sz w:val="16"/>
        </w:rPr>
      </w:pPr>
      <w:r>
        <w:rPr>
          <w:sz w:val="16"/>
          <w:vertAlign w:val="superscript"/>
        </w:rPr>
        <w:t>63</w:t>
      </w:r>
      <w:r>
        <w:rPr>
          <w:spacing w:val="40"/>
          <w:sz w:val="16"/>
        </w:rPr>
        <w:t xml:space="preserve">  </w:t>
      </w:r>
      <w:r>
        <w:rPr>
          <w:sz w:val="16"/>
        </w:rPr>
        <w:t>See</w:t>
      </w:r>
      <w:r>
        <w:rPr>
          <w:spacing w:val="-3"/>
          <w:sz w:val="16"/>
        </w:rPr>
        <w:t xml:space="preserve"> </w:t>
      </w:r>
      <w:r>
        <w:rPr>
          <w:i/>
          <w:sz w:val="16"/>
        </w:rPr>
        <w:t>AUASB</w:t>
      </w:r>
      <w:r>
        <w:rPr>
          <w:i/>
          <w:spacing w:val="-5"/>
          <w:sz w:val="16"/>
        </w:rPr>
        <w:t xml:space="preserve"> </w:t>
      </w:r>
      <w:r>
        <w:rPr>
          <w:i/>
          <w:sz w:val="16"/>
        </w:rPr>
        <w:t>Policy</w:t>
      </w:r>
      <w:r>
        <w:rPr>
          <w:i/>
          <w:spacing w:val="-6"/>
          <w:sz w:val="16"/>
        </w:rPr>
        <w:t xml:space="preserve"> </w:t>
      </w:r>
      <w:r>
        <w:rPr>
          <w:i/>
          <w:sz w:val="16"/>
        </w:rPr>
        <w:t>and</w:t>
      </w:r>
      <w:r>
        <w:rPr>
          <w:i/>
          <w:spacing w:val="-3"/>
          <w:sz w:val="16"/>
        </w:rPr>
        <w:t xml:space="preserve"> </w:t>
      </w:r>
      <w:r>
        <w:rPr>
          <w:i/>
          <w:sz w:val="16"/>
        </w:rPr>
        <w:t>Process</w:t>
      </w:r>
      <w:r>
        <w:rPr>
          <w:i/>
          <w:spacing w:val="-5"/>
          <w:sz w:val="16"/>
        </w:rPr>
        <w:t xml:space="preserve"> </w:t>
      </w:r>
      <w:r>
        <w:rPr>
          <w:i/>
          <w:sz w:val="16"/>
        </w:rPr>
        <w:t>for</w:t>
      </w:r>
      <w:r>
        <w:rPr>
          <w:i/>
          <w:spacing w:val="-4"/>
          <w:sz w:val="16"/>
        </w:rPr>
        <w:t xml:space="preserve"> </w:t>
      </w:r>
      <w:r>
        <w:rPr>
          <w:i/>
          <w:sz w:val="16"/>
        </w:rPr>
        <w:t>International</w:t>
      </w:r>
      <w:r>
        <w:rPr>
          <w:i/>
          <w:spacing w:val="-5"/>
          <w:sz w:val="16"/>
        </w:rPr>
        <w:t xml:space="preserve"> </w:t>
      </w:r>
      <w:r>
        <w:rPr>
          <w:i/>
          <w:sz w:val="16"/>
        </w:rPr>
        <w:t>Conformance</w:t>
      </w:r>
      <w:r>
        <w:rPr>
          <w:i/>
          <w:spacing w:val="-5"/>
          <w:sz w:val="16"/>
        </w:rPr>
        <w:t xml:space="preserve"> </w:t>
      </w:r>
      <w:r>
        <w:rPr>
          <w:i/>
          <w:sz w:val="16"/>
        </w:rPr>
        <w:t>and</w:t>
      </w:r>
      <w:r>
        <w:rPr>
          <w:i/>
          <w:spacing w:val="-5"/>
          <w:sz w:val="16"/>
        </w:rPr>
        <w:t xml:space="preserve"> </w:t>
      </w:r>
      <w:r>
        <w:rPr>
          <w:i/>
          <w:sz w:val="16"/>
        </w:rPr>
        <w:t>Harmonisation</w:t>
      </w:r>
      <w:r>
        <w:rPr>
          <w:i/>
          <w:spacing w:val="-5"/>
          <w:sz w:val="16"/>
        </w:rPr>
        <w:t xml:space="preserve"> </w:t>
      </w:r>
      <w:r>
        <w:rPr>
          <w:i/>
          <w:sz w:val="16"/>
        </w:rPr>
        <w:t>of</w:t>
      </w:r>
      <w:r>
        <w:rPr>
          <w:i/>
          <w:spacing w:val="-4"/>
          <w:sz w:val="16"/>
        </w:rPr>
        <w:t xml:space="preserve"> </w:t>
      </w:r>
      <w:r>
        <w:rPr>
          <w:i/>
          <w:spacing w:val="-2"/>
          <w:sz w:val="16"/>
        </w:rPr>
        <w:t>Standards</w:t>
      </w:r>
      <w:r>
        <w:rPr>
          <w:spacing w:val="-2"/>
          <w:sz w:val="16"/>
        </w:rPr>
        <w:t>.</w:t>
      </w:r>
    </w:p>
    <w:p w14:paraId="1E805C6F" w14:textId="77777777" w:rsidR="00AA4A02" w:rsidRDefault="00960F31">
      <w:pPr>
        <w:spacing w:line="160" w:lineRule="exact"/>
        <w:ind w:left="143"/>
        <w:rPr>
          <w:sz w:val="16"/>
        </w:rPr>
      </w:pPr>
      <w:r>
        <w:rPr>
          <w:sz w:val="16"/>
          <w:vertAlign w:val="superscript"/>
        </w:rPr>
        <w:t>64</w:t>
      </w:r>
      <w:r>
        <w:rPr>
          <w:spacing w:val="46"/>
          <w:sz w:val="16"/>
        </w:rPr>
        <w:t xml:space="preserve">  </w:t>
      </w:r>
      <w:r>
        <w:rPr>
          <w:sz w:val="16"/>
        </w:rPr>
        <w:t>See Process</w:t>
      </w:r>
      <w:r>
        <w:rPr>
          <w:spacing w:val="-5"/>
          <w:sz w:val="16"/>
        </w:rPr>
        <w:t xml:space="preserve"> </w:t>
      </w:r>
      <w:r>
        <w:rPr>
          <w:sz w:val="16"/>
        </w:rPr>
        <w:t>1</w:t>
      </w:r>
      <w:r>
        <w:rPr>
          <w:spacing w:val="-3"/>
          <w:sz w:val="16"/>
        </w:rPr>
        <w:t xml:space="preserve"> </w:t>
      </w:r>
      <w:r>
        <w:rPr>
          <w:sz w:val="16"/>
        </w:rPr>
        <w:t>described</w:t>
      </w:r>
      <w:r>
        <w:rPr>
          <w:spacing w:val="-3"/>
          <w:sz w:val="16"/>
        </w:rPr>
        <w:t xml:space="preserve"> </w:t>
      </w:r>
      <w:r>
        <w:rPr>
          <w:sz w:val="16"/>
        </w:rPr>
        <w:t>in</w:t>
      </w:r>
      <w:r>
        <w:rPr>
          <w:spacing w:val="-3"/>
          <w:sz w:val="16"/>
        </w:rPr>
        <w:t xml:space="preserve"> </w:t>
      </w:r>
      <w:r>
        <w:rPr>
          <w:sz w:val="16"/>
        </w:rPr>
        <w:t>paragraphs</w:t>
      </w:r>
      <w:r>
        <w:rPr>
          <w:spacing w:val="-3"/>
          <w:sz w:val="16"/>
        </w:rPr>
        <w:t xml:space="preserve"> </w:t>
      </w:r>
      <w:r>
        <w:rPr>
          <w:sz w:val="16"/>
        </w:rPr>
        <w:t>88-</w:t>
      </w:r>
      <w:r>
        <w:rPr>
          <w:spacing w:val="-4"/>
          <w:sz w:val="16"/>
        </w:rPr>
        <w:t>138.</w:t>
      </w:r>
    </w:p>
    <w:p w14:paraId="1E805C70" w14:textId="77777777" w:rsidR="00AA4A02" w:rsidRDefault="00960F31">
      <w:pPr>
        <w:spacing w:line="160" w:lineRule="exact"/>
        <w:ind w:left="143"/>
        <w:rPr>
          <w:sz w:val="16"/>
        </w:rPr>
      </w:pPr>
      <w:r>
        <w:rPr>
          <w:sz w:val="16"/>
          <w:vertAlign w:val="superscript"/>
        </w:rPr>
        <w:t>65</w:t>
      </w:r>
      <w:r>
        <w:rPr>
          <w:spacing w:val="46"/>
          <w:sz w:val="16"/>
        </w:rPr>
        <w:t xml:space="preserve">  </w:t>
      </w:r>
      <w:r>
        <w:rPr>
          <w:sz w:val="16"/>
        </w:rPr>
        <w:t>See</w:t>
      </w:r>
      <w:r>
        <w:rPr>
          <w:spacing w:val="-1"/>
          <w:sz w:val="16"/>
        </w:rPr>
        <w:t xml:space="preserve"> </w:t>
      </w:r>
      <w:r>
        <w:rPr>
          <w:sz w:val="16"/>
        </w:rPr>
        <w:t>Process</w:t>
      </w:r>
      <w:r>
        <w:rPr>
          <w:spacing w:val="-5"/>
          <w:sz w:val="16"/>
        </w:rPr>
        <w:t xml:space="preserve"> </w:t>
      </w:r>
      <w:r>
        <w:rPr>
          <w:sz w:val="16"/>
        </w:rPr>
        <w:t>2</w:t>
      </w:r>
      <w:r>
        <w:rPr>
          <w:spacing w:val="-3"/>
          <w:sz w:val="16"/>
        </w:rPr>
        <w:t xml:space="preserve"> </w:t>
      </w:r>
      <w:r>
        <w:rPr>
          <w:sz w:val="16"/>
        </w:rPr>
        <w:t>described</w:t>
      </w:r>
      <w:r>
        <w:rPr>
          <w:spacing w:val="-3"/>
          <w:sz w:val="16"/>
        </w:rPr>
        <w:t xml:space="preserve"> </w:t>
      </w:r>
      <w:r>
        <w:rPr>
          <w:sz w:val="16"/>
        </w:rPr>
        <w:t>in</w:t>
      </w:r>
      <w:r>
        <w:rPr>
          <w:spacing w:val="-3"/>
          <w:sz w:val="16"/>
        </w:rPr>
        <w:t xml:space="preserve"> </w:t>
      </w:r>
      <w:r>
        <w:rPr>
          <w:sz w:val="16"/>
        </w:rPr>
        <w:t>paragraphs</w:t>
      </w:r>
      <w:r>
        <w:rPr>
          <w:spacing w:val="-4"/>
          <w:sz w:val="16"/>
        </w:rPr>
        <w:t xml:space="preserve"> </w:t>
      </w:r>
      <w:r>
        <w:rPr>
          <w:sz w:val="16"/>
        </w:rPr>
        <w:t>139-</w:t>
      </w:r>
      <w:r>
        <w:rPr>
          <w:spacing w:val="-4"/>
          <w:sz w:val="16"/>
        </w:rPr>
        <w:t>173.</w:t>
      </w:r>
    </w:p>
    <w:p w14:paraId="1E805C71" w14:textId="77777777" w:rsidR="00AA4A02" w:rsidRDefault="00960F31">
      <w:pPr>
        <w:spacing w:line="172" w:lineRule="exact"/>
        <w:ind w:left="143"/>
        <w:rPr>
          <w:sz w:val="16"/>
        </w:rPr>
      </w:pPr>
      <w:r>
        <w:rPr>
          <w:sz w:val="16"/>
          <w:vertAlign w:val="superscript"/>
        </w:rPr>
        <w:t>66</w:t>
      </w:r>
      <w:r>
        <w:rPr>
          <w:spacing w:val="39"/>
          <w:sz w:val="16"/>
        </w:rPr>
        <w:t xml:space="preserve">  </w:t>
      </w:r>
      <w:r>
        <w:rPr>
          <w:sz w:val="16"/>
        </w:rPr>
        <w:t>See</w:t>
      </w:r>
      <w:r>
        <w:rPr>
          <w:spacing w:val="-2"/>
          <w:sz w:val="16"/>
        </w:rPr>
        <w:t xml:space="preserve"> </w:t>
      </w:r>
      <w:r>
        <w:rPr>
          <w:i/>
          <w:sz w:val="16"/>
        </w:rPr>
        <w:t>AUASB</w:t>
      </w:r>
      <w:r>
        <w:rPr>
          <w:i/>
          <w:spacing w:val="-6"/>
          <w:sz w:val="16"/>
        </w:rPr>
        <w:t xml:space="preserve"> </w:t>
      </w:r>
      <w:r>
        <w:rPr>
          <w:i/>
          <w:sz w:val="16"/>
        </w:rPr>
        <w:t>Policy</w:t>
      </w:r>
      <w:r>
        <w:rPr>
          <w:i/>
          <w:spacing w:val="-5"/>
          <w:sz w:val="16"/>
        </w:rPr>
        <w:t xml:space="preserve"> </w:t>
      </w:r>
      <w:r>
        <w:rPr>
          <w:i/>
          <w:sz w:val="16"/>
        </w:rPr>
        <w:t>and</w:t>
      </w:r>
      <w:r>
        <w:rPr>
          <w:i/>
          <w:spacing w:val="-3"/>
          <w:sz w:val="16"/>
        </w:rPr>
        <w:t xml:space="preserve"> </w:t>
      </w:r>
      <w:r>
        <w:rPr>
          <w:i/>
          <w:sz w:val="16"/>
        </w:rPr>
        <w:t>Process</w:t>
      </w:r>
      <w:r>
        <w:rPr>
          <w:i/>
          <w:spacing w:val="-6"/>
          <w:sz w:val="16"/>
        </w:rPr>
        <w:t xml:space="preserve"> </w:t>
      </w:r>
      <w:r>
        <w:rPr>
          <w:i/>
          <w:sz w:val="16"/>
        </w:rPr>
        <w:t>for</w:t>
      </w:r>
      <w:r>
        <w:rPr>
          <w:i/>
          <w:spacing w:val="-4"/>
          <w:sz w:val="16"/>
        </w:rPr>
        <w:t xml:space="preserve"> </w:t>
      </w:r>
      <w:r>
        <w:rPr>
          <w:i/>
          <w:sz w:val="16"/>
        </w:rPr>
        <w:t>International</w:t>
      </w:r>
      <w:r>
        <w:rPr>
          <w:i/>
          <w:spacing w:val="-5"/>
          <w:sz w:val="16"/>
        </w:rPr>
        <w:t xml:space="preserve"> </w:t>
      </w:r>
      <w:r>
        <w:rPr>
          <w:i/>
          <w:sz w:val="16"/>
        </w:rPr>
        <w:t>Conformance</w:t>
      </w:r>
      <w:r>
        <w:rPr>
          <w:i/>
          <w:spacing w:val="-6"/>
          <w:sz w:val="16"/>
        </w:rPr>
        <w:t xml:space="preserve"> </w:t>
      </w:r>
      <w:r>
        <w:rPr>
          <w:i/>
          <w:sz w:val="16"/>
        </w:rPr>
        <w:t>and</w:t>
      </w:r>
      <w:r>
        <w:rPr>
          <w:i/>
          <w:spacing w:val="-5"/>
          <w:sz w:val="16"/>
        </w:rPr>
        <w:t xml:space="preserve"> </w:t>
      </w:r>
      <w:r>
        <w:rPr>
          <w:i/>
          <w:sz w:val="16"/>
        </w:rPr>
        <w:t>Harmonisation</w:t>
      </w:r>
      <w:r>
        <w:rPr>
          <w:i/>
          <w:spacing w:val="-5"/>
          <w:sz w:val="16"/>
        </w:rPr>
        <w:t xml:space="preserve"> </w:t>
      </w:r>
      <w:r>
        <w:rPr>
          <w:i/>
          <w:sz w:val="16"/>
        </w:rPr>
        <w:t>of</w:t>
      </w:r>
      <w:r>
        <w:rPr>
          <w:i/>
          <w:spacing w:val="-4"/>
          <w:sz w:val="16"/>
        </w:rPr>
        <w:t xml:space="preserve"> </w:t>
      </w:r>
      <w:r>
        <w:rPr>
          <w:i/>
          <w:spacing w:val="-2"/>
          <w:sz w:val="16"/>
        </w:rPr>
        <w:t>Standards</w:t>
      </w:r>
      <w:r>
        <w:rPr>
          <w:spacing w:val="-2"/>
          <w:sz w:val="16"/>
        </w:rPr>
        <w:t>.</w:t>
      </w:r>
    </w:p>
    <w:p w14:paraId="1E805C72"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C73" w14:textId="77777777" w:rsidR="00AA4A02" w:rsidRDefault="00AA4A02">
      <w:pPr>
        <w:pStyle w:val="BodyText"/>
        <w:spacing w:before="3"/>
        <w:rPr>
          <w:sz w:val="20"/>
        </w:rPr>
      </w:pPr>
    </w:p>
    <w:p w14:paraId="1E805C74" w14:textId="77777777" w:rsidR="00AA4A02" w:rsidRDefault="00960F31">
      <w:pPr>
        <w:spacing w:line="20" w:lineRule="exact"/>
        <w:ind w:left="115"/>
        <w:rPr>
          <w:sz w:val="2"/>
        </w:rPr>
      </w:pPr>
      <w:r>
        <w:rPr>
          <w:noProof/>
          <w:sz w:val="2"/>
        </w:rPr>
        <mc:AlternateContent>
          <mc:Choice Requires="wpg">
            <w:drawing>
              <wp:inline distT="0" distB="0" distL="0" distR="0" wp14:anchorId="1E805F75" wp14:editId="1E805F76">
                <wp:extent cx="5796915" cy="635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350"/>
                          <a:chOff x="0" y="0"/>
                          <a:chExt cx="5796915" cy="6350"/>
                        </a:xfrm>
                      </wpg:grpSpPr>
                      <wps:wsp>
                        <wps:cNvPr id="81" name="Graphic 81"/>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AC20F9" id="Group 80" o:spid="_x0000_s1026" style="width:456.45pt;height:.5pt;mso-position-horizontal-relative:char;mso-position-vertical-relative:line" coordsize="579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">
                <v:shape id="Graphic 81" o:spid="_x0000_s1027" style="position:absolute;width:57969;height:63;visibility:visible;mso-wrap-style:square;v-text-anchor:top" coordsize="5796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" path="m5796660,l,,,6096r5796660,l5796660,xe" fillcolor="black" stroked="f">
                  <v:path arrowok="t"/>
                </v:shape>
                <w10:anchorlock/>
              </v:group>
            </w:pict>
          </mc:Fallback>
        </mc:AlternateContent>
      </w:r>
    </w:p>
    <w:p w14:paraId="1E805C75" w14:textId="77777777" w:rsidR="00AA4A02" w:rsidRDefault="00960F31">
      <w:pPr>
        <w:pStyle w:val="ListParagraph"/>
        <w:numPr>
          <w:ilvl w:val="0"/>
          <w:numId w:val="15"/>
        </w:numPr>
        <w:tabs>
          <w:tab w:val="left" w:pos="1562"/>
        </w:tabs>
        <w:spacing w:before="195" w:line="208" w:lineRule="auto"/>
        <w:ind w:right="303"/>
      </w:pPr>
      <w:r>
        <w:t>harmonise standards with equivalent New Zealand standards where the AUASB considers</w:t>
      </w:r>
      <w:r>
        <w:rPr>
          <w:spacing w:val="-2"/>
        </w:rPr>
        <w:t xml:space="preserve"> </w:t>
      </w:r>
      <w:r>
        <w:t>that</w:t>
      </w:r>
      <w:r>
        <w:rPr>
          <w:spacing w:val="-4"/>
        </w:rPr>
        <w:t xml:space="preserve"> </w:t>
      </w:r>
      <w:r>
        <w:t>changes</w:t>
      </w:r>
      <w:r>
        <w:rPr>
          <w:spacing w:val="-4"/>
        </w:rPr>
        <w:t xml:space="preserve"> </w:t>
      </w:r>
      <w:r>
        <w:t>made</w:t>
      </w:r>
      <w:r>
        <w:rPr>
          <w:spacing w:val="-2"/>
        </w:rPr>
        <w:t xml:space="preserve"> </w:t>
      </w:r>
      <w:r>
        <w:t>to</w:t>
      </w:r>
      <w:r>
        <w:rPr>
          <w:spacing w:val="-5"/>
        </w:rPr>
        <w:t xml:space="preserve"> </w:t>
      </w:r>
      <w:r>
        <w:t>the</w:t>
      </w:r>
      <w:r>
        <w:rPr>
          <w:spacing w:val="-4"/>
        </w:rPr>
        <w:t xml:space="preserve"> </w:t>
      </w:r>
      <w:r>
        <w:t>international</w:t>
      </w:r>
      <w:r>
        <w:rPr>
          <w:spacing w:val="-1"/>
        </w:rPr>
        <w:t xml:space="preserve"> </w:t>
      </w:r>
      <w:r>
        <w:t>standards</w:t>
      </w:r>
      <w:r>
        <w:rPr>
          <w:spacing w:val="-2"/>
        </w:rPr>
        <w:t xml:space="preserve"> </w:t>
      </w:r>
      <w:r>
        <w:t>by</w:t>
      </w:r>
      <w:r>
        <w:rPr>
          <w:spacing w:val="-4"/>
        </w:rPr>
        <w:t xml:space="preserve"> </w:t>
      </w:r>
      <w:r>
        <w:t>the</w:t>
      </w:r>
      <w:r>
        <w:rPr>
          <w:spacing w:val="-4"/>
        </w:rPr>
        <w:t xml:space="preserve"> </w:t>
      </w:r>
      <w:r>
        <w:t>NZAuASB</w:t>
      </w:r>
      <w:r>
        <w:rPr>
          <w:spacing w:val="-4"/>
        </w:rPr>
        <w:t xml:space="preserve"> </w:t>
      </w:r>
      <w:r>
        <w:t>are</w:t>
      </w:r>
      <w:r>
        <w:rPr>
          <w:spacing w:val="-4"/>
        </w:rPr>
        <w:t xml:space="preserve"> </w:t>
      </w:r>
      <w:r>
        <w:t>also relevant in Australia</w:t>
      </w:r>
      <w:r>
        <w:rPr>
          <w:vertAlign w:val="superscript"/>
        </w:rPr>
        <w:t>67</w:t>
      </w:r>
      <w:r>
        <w:t>; or</w:t>
      </w:r>
    </w:p>
    <w:p w14:paraId="1E805C76" w14:textId="77777777" w:rsidR="00AA4A02" w:rsidRDefault="00960F31">
      <w:pPr>
        <w:pStyle w:val="ListParagraph"/>
        <w:numPr>
          <w:ilvl w:val="0"/>
          <w:numId w:val="15"/>
        </w:numPr>
        <w:tabs>
          <w:tab w:val="left" w:pos="1562"/>
        </w:tabs>
        <w:spacing w:before="106" w:line="208" w:lineRule="auto"/>
        <w:ind w:right="894"/>
      </w:pPr>
      <w:r>
        <w:t>address</w:t>
      </w:r>
      <w:r>
        <w:rPr>
          <w:spacing w:val="-3"/>
        </w:rPr>
        <w:t xml:space="preserve"> </w:t>
      </w:r>
      <w:r>
        <w:t>conforming</w:t>
      </w:r>
      <w:r>
        <w:rPr>
          <w:spacing w:val="-7"/>
        </w:rPr>
        <w:t xml:space="preserve"> </w:t>
      </w:r>
      <w:r>
        <w:t>and/or</w:t>
      </w:r>
      <w:r>
        <w:rPr>
          <w:spacing w:val="-6"/>
        </w:rPr>
        <w:t xml:space="preserve"> </w:t>
      </w:r>
      <w:r>
        <w:t>consequential</w:t>
      </w:r>
      <w:r>
        <w:rPr>
          <w:spacing w:val="-3"/>
        </w:rPr>
        <w:t xml:space="preserve"> </w:t>
      </w:r>
      <w:r>
        <w:t>amendments</w:t>
      </w:r>
      <w:r>
        <w:rPr>
          <w:spacing w:val="-6"/>
        </w:rPr>
        <w:t xml:space="preserve"> </w:t>
      </w:r>
      <w:r>
        <w:t>to</w:t>
      </w:r>
      <w:r>
        <w:rPr>
          <w:spacing w:val="-4"/>
        </w:rPr>
        <w:t xml:space="preserve"> </w:t>
      </w:r>
      <w:r>
        <w:t>standards</w:t>
      </w:r>
      <w:r>
        <w:rPr>
          <w:spacing w:val="-4"/>
        </w:rPr>
        <w:t xml:space="preserve"> </w:t>
      </w:r>
      <w:r>
        <w:t>that</w:t>
      </w:r>
      <w:r>
        <w:rPr>
          <w:spacing w:val="-3"/>
        </w:rPr>
        <w:t xml:space="preserve"> </w:t>
      </w:r>
      <w:r>
        <w:t>do</w:t>
      </w:r>
      <w:r>
        <w:rPr>
          <w:spacing w:val="-4"/>
        </w:rPr>
        <w:t xml:space="preserve"> </w:t>
      </w:r>
      <w:r>
        <w:t>not originate from an active AUASB project</w:t>
      </w:r>
      <w:r>
        <w:rPr>
          <w:vertAlign w:val="superscript"/>
        </w:rPr>
        <w:t>68</w:t>
      </w:r>
      <w:r>
        <w:t>.</w:t>
      </w:r>
    </w:p>
    <w:p w14:paraId="1E805C77" w14:textId="77777777" w:rsidR="00AA4A02" w:rsidRDefault="00960F31">
      <w:pPr>
        <w:pStyle w:val="Heading9"/>
        <w:spacing w:before="107"/>
        <w:ind w:left="143"/>
      </w:pPr>
      <w:bookmarkStart w:id="86" w:name="Simplified_Due_Process_for_making_Narrow"/>
      <w:bookmarkEnd w:id="86"/>
      <w:r>
        <w:t>Simplified</w:t>
      </w:r>
      <w:r>
        <w:rPr>
          <w:spacing w:val="-4"/>
        </w:rPr>
        <w:t xml:space="preserve"> </w:t>
      </w:r>
      <w:r>
        <w:t>Due</w:t>
      </w:r>
      <w:r>
        <w:rPr>
          <w:spacing w:val="-1"/>
        </w:rPr>
        <w:t xml:space="preserve"> </w:t>
      </w:r>
      <w:r>
        <w:t>Process</w:t>
      </w:r>
      <w:r>
        <w:rPr>
          <w:spacing w:val="-2"/>
        </w:rPr>
        <w:t xml:space="preserve"> </w:t>
      </w:r>
      <w:r>
        <w:t>for</w:t>
      </w:r>
      <w:r>
        <w:rPr>
          <w:spacing w:val="-3"/>
        </w:rPr>
        <w:t xml:space="preserve"> </w:t>
      </w:r>
      <w:r>
        <w:t>making</w:t>
      </w:r>
      <w:r>
        <w:rPr>
          <w:spacing w:val="-2"/>
        </w:rPr>
        <w:t xml:space="preserve"> </w:t>
      </w:r>
      <w:r>
        <w:t>Narrow-Scope</w:t>
      </w:r>
      <w:r>
        <w:rPr>
          <w:spacing w:val="-2"/>
        </w:rPr>
        <w:t xml:space="preserve"> </w:t>
      </w:r>
      <w:r>
        <w:t>Amendments</w:t>
      </w:r>
      <w:r>
        <w:rPr>
          <w:spacing w:val="-2"/>
        </w:rPr>
        <w:t xml:space="preserve"> </w:t>
      </w:r>
      <w:r>
        <w:t>to</w:t>
      </w:r>
      <w:r>
        <w:rPr>
          <w:spacing w:val="-1"/>
        </w:rPr>
        <w:t xml:space="preserve"> </w:t>
      </w:r>
      <w:r>
        <w:t>Existing</w:t>
      </w:r>
      <w:r>
        <w:rPr>
          <w:spacing w:val="-1"/>
        </w:rPr>
        <w:t xml:space="preserve"> </w:t>
      </w:r>
      <w:r>
        <w:rPr>
          <w:spacing w:val="-2"/>
        </w:rPr>
        <w:t>Standards</w:t>
      </w:r>
    </w:p>
    <w:p w14:paraId="1E805C78" w14:textId="77777777" w:rsidR="00AA4A02" w:rsidRDefault="00960F31">
      <w:pPr>
        <w:pStyle w:val="ListParagraph"/>
        <w:numPr>
          <w:ilvl w:val="0"/>
          <w:numId w:val="29"/>
        </w:numPr>
        <w:tabs>
          <w:tab w:val="left" w:pos="851"/>
        </w:tabs>
        <w:spacing w:before="196" w:line="208" w:lineRule="auto"/>
        <w:ind w:right="152"/>
      </w:pPr>
      <w:r>
        <w:t>The AUASB has adopted a simplified due process for addressing narrow-scope amendments</w:t>
      </w:r>
      <w:r>
        <w:rPr>
          <w:spacing w:val="40"/>
        </w:rPr>
        <w:t xml:space="preserve"> </w:t>
      </w:r>
      <w:r>
        <w:t>to standards to ensure due process activities are appropriate and proportionate, weighing up</w:t>
      </w:r>
      <w:r>
        <w:rPr>
          <w:spacing w:val="40"/>
        </w:rPr>
        <w:t xml:space="preserve"> </w:t>
      </w:r>
      <w:r>
        <w:t>the</w:t>
      </w:r>
      <w:r>
        <w:rPr>
          <w:spacing w:val="-4"/>
        </w:rPr>
        <w:t xml:space="preserve"> </w:t>
      </w:r>
      <w:r>
        <w:t>time</w:t>
      </w:r>
      <w:r>
        <w:rPr>
          <w:spacing w:val="-4"/>
        </w:rPr>
        <w:t xml:space="preserve"> </w:t>
      </w:r>
      <w:r>
        <w:t>and</w:t>
      </w:r>
      <w:r>
        <w:rPr>
          <w:spacing w:val="-2"/>
        </w:rPr>
        <w:t xml:space="preserve"> </w:t>
      </w:r>
      <w:r>
        <w:t>effort</w:t>
      </w:r>
      <w:r>
        <w:rPr>
          <w:spacing w:val="-4"/>
        </w:rPr>
        <w:t xml:space="preserve"> </w:t>
      </w:r>
      <w:r>
        <w:t>of</w:t>
      </w:r>
      <w:r>
        <w:rPr>
          <w:spacing w:val="-4"/>
        </w:rPr>
        <w:t xml:space="preserve"> </w:t>
      </w:r>
      <w:r>
        <w:t>the</w:t>
      </w:r>
      <w:r>
        <w:rPr>
          <w:spacing w:val="-2"/>
        </w:rPr>
        <w:t xml:space="preserve"> </w:t>
      </w:r>
      <w:r>
        <w:t>due</w:t>
      </w:r>
      <w:r>
        <w:rPr>
          <w:spacing w:val="-2"/>
        </w:rPr>
        <w:t xml:space="preserve"> </w:t>
      </w:r>
      <w:r>
        <w:t>process</w:t>
      </w:r>
      <w:r>
        <w:rPr>
          <w:spacing w:val="-2"/>
        </w:rPr>
        <w:t xml:space="preserve"> </w:t>
      </w:r>
      <w:r>
        <w:t>activity</w:t>
      </w:r>
      <w:r>
        <w:rPr>
          <w:spacing w:val="-2"/>
        </w:rPr>
        <w:t xml:space="preserve"> </w:t>
      </w:r>
      <w:r>
        <w:t>and</w:t>
      </w:r>
      <w:r>
        <w:rPr>
          <w:spacing w:val="-4"/>
        </w:rPr>
        <w:t xml:space="preserve"> </w:t>
      </w:r>
      <w:r>
        <w:t>what</w:t>
      </w:r>
      <w:r>
        <w:rPr>
          <w:spacing w:val="-1"/>
        </w:rPr>
        <w:t xml:space="preserve"> </w:t>
      </w:r>
      <w:r>
        <w:t>additional</w:t>
      </w:r>
      <w:r>
        <w:rPr>
          <w:spacing w:val="-4"/>
        </w:rPr>
        <w:t xml:space="preserve"> </w:t>
      </w:r>
      <w:r>
        <w:t>information</w:t>
      </w:r>
      <w:r>
        <w:rPr>
          <w:spacing w:val="-5"/>
        </w:rPr>
        <w:t xml:space="preserve"> </w:t>
      </w:r>
      <w:r>
        <w:t>needs</w:t>
      </w:r>
      <w:r>
        <w:rPr>
          <w:spacing w:val="-2"/>
        </w:rPr>
        <w:t xml:space="preserve"> </w:t>
      </w:r>
      <w:r>
        <w:t>the</w:t>
      </w:r>
      <w:r>
        <w:rPr>
          <w:spacing w:val="-2"/>
        </w:rPr>
        <w:t xml:space="preserve"> </w:t>
      </w:r>
      <w:r>
        <w:t>Board has.</w:t>
      </w:r>
      <w:r>
        <w:rPr>
          <w:spacing w:val="40"/>
        </w:rPr>
        <w:t xml:space="preserve"> </w:t>
      </w:r>
      <w:r>
        <w:t>Depending on the nature, scope and urgency of the proposed amendments, narrow-scope projects may move quickly through the various stages of the due process.</w:t>
      </w:r>
    </w:p>
    <w:p w14:paraId="1E805C79" w14:textId="77777777" w:rsidR="00AA4A02" w:rsidRDefault="00960F31">
      <w:pPr>
        <w:spacing w:before="174"/>
        <w:ind w:left="143"/>
        <w:rPr>
          <w:b/>
          <w:i/>
        </w:rPr>
      </w:pPr>
      <w:r>
        <w:rPr>
          <w:b/>
          <w:i/>
        </w:rPr>
        <w:t>AUASB</w:t>
      </w:r>
      <w:r>
        <w:rPr>
          <w:b/>
          <w:i/>
          <w:spacing w:val="-7"/>
        </w:rPr>
        <w:t xml:space="preserve"> </w:t>
      </w:r>
      <w:r>
        <w:rPr>
          <w:b/>
          <w:i/>
        </w:rPr>
        <w:t>members</w:t>
      </w:r>
      <w:r>
        <w:rPr>
          <w:b/>
          <w:i/>
          <w:spacing w:val="-6"/>
        </w:rPr>
        <w:t xml:space="preserve"> </w:t>
      </w:r>
      <w:r>
        <w:rPr>
          <w:b/>
          <w:i/>
        </w:rPr>
        <w:t>or</w:t>
      </w:r>
      <w:r>
        <w:rPr>
          <w:b/>
          <w:i/>
          <w:spacing w:val="-4"/>
        </w:rPr>
        <w:t xml:space="preserve"> </w:t>
      </w:r>
      <w:r>
        <w:rPr>
          <w:b/>
          <w:i/>
        </w:rPr>
        <w:t>AUASB</w:t>
      </w:r>
      <w:r>
        <w:rPr>
          <w:b/>
          <w:i/>
          <w:spacing w:val="-6"/>
        </w:rPr>
        <w:t xml:space="preserve"> </w:t>
      </w:r>
      <w:r>
        <w:rPr>
          <w:b/>
          <w:i/>
        </w:rPr>
        <w:t>technical</w:t>
      </w:r>
      <w:r>
        <w:rPr>
          <w:b/>
          <w:i/>
          <w:spacing w:val="-3"/>
        </w:rPr>
        <w:t xml:space="preserve"> </w:t>
      </w:r>
      <w:r>
        <w:rPr>
          <w:b/>
          <w:i/>
        </w:rPr>
        <w:t>staff</w:t>
      </w:r>
      <w:r>
        <w:rPr>
          <w:b/>
          <w:i/>
          <w:spacing w:val="-4"/>
        </w:rPr>
        <w:t xml:space="preserve"> </w:t>
      </w:r>
      <w:r>
        <w:rPr>
          <w:b/>
          <w:i/>
        </w:rPr>
        <w:t>identify</w:t>
      </w:r>
      <w:r>
        <w:rPr>
          <w:b/>
          <w:i/>
          <w:spacing w:val="-6"/>
        </w:rPr>
        <w:t xml:space="preserve"> </w:t>
      </w:r>
      <w:r>
        <w:rPr>
          <w:b/>
          <w:i/>
        </w:rPr>
        <w:t>potential</w:t>
      </w:r>
      <w:r>
        <w:rPr>
          <w:b/>
          <w:i/>
          <w:spacing w:val="-3"/>
        </w:rPr>
        <w:t xml:space="preserve"> </w:t>
      </w:r>
      <w:r>
        <w:rPr>
          <w:b/>
          <w:i/>
        </w:rPr>
        <w:t>narrow-scope</w:t>
      </w:r>
      <w:r>
        <w:rPr>
          <w:b/>
          <w:i/>
          <w:spacing w:val="-4"/>
        </w:rPr>
        <w:t xml:space="preserve"> </w:t>
      </w:r>
      <w:r>
        <w:rPr>
          <w:b/>
          <w:i/>
          <w:spacing w:val="-2"/>
        </w:rPr>
        <w:t>projects</w:t>
      </w:r>
    </w:p>
    <w:p w14:paraId="1E805C7A" w14:textId="77777777" w:rsidR="00AA4A02" w:rsidRDefault="00960F31">
      <w:pPr>
        <w:pStyle w:val="ListParagraph"/>
        <w:numPr>
          <w:ilvl w:val="0"/>
          <w:numId w:val="29"/>
        </w:numPr>
        <w:tabs>
          <w:tab w:val="left" w:pos="851"/>
        </w:tabs>
        <w:spacing w:before="114" w:line="208" w:lineRule="auto"/>
        <w:ind w:right="381"/>
      </w:pPr>
      <w:r>
        <w:t>Technical staff,</w:t>
      </w:r>
      <w:r>
        <w:rPr>
          <w:spacing w:val="-3"/>
        </w:rPr>
        <w:t xml:space="preserve"> </w:t>
      </w:r>
      <w:r>
        <w:t>through relevant</w:t>
      </w:r>
      <w:r>
        <w:rPr>
          <w:spacing w:val="-2"/>
        </w:rPr>
        <w:t xml:space="preserve"> </w:t>
      </w:r>
      <w:r>
        <w:t>monitoring</w:t>
      </w:r>
      <w:r>
        <w:rPr>
          <w:spacing w:val="-3"/>
        </w:rPr>
        <w:t xml:space="preserve"> </w:t>
      </w:r>
      <w:r>
        <w:t>activities,</w:t>
      </w:r>
      <w:r>
        <w:rPr>
          <w:spacing w:val="-3"/>
        </w:rPr>
        <w:t xml:space="preserve"> </w:t>
      </w:r>
      <w:r>
        <w:t>and AUASB</w:t>
      </w:r>
      <w:r>
        <w:rPr>
          <w:spacing w:val="-2"/>
        </w:rPr>
        <w:t xml:space="preserve"> </w:t>
      </w:r>
      <w:r>
        <w:t>members,</w:t>
      </w:r>
      <w:r>
        <w:rPr>
          <w:spacing w:val="-2"/>
        </w:rPr>
        <w:t xml:space="preserve"> </w:t>
      </w:r>
      <w:r>
        <w:t>through their professional</w:t>
      </w:r>
      <w:r>
        <w:rPr>
          <w:spacing w:val="-1"/>
        </w:rPr>
        <w:t xml:space="preserve"> </w:t>
      </w:r>
      <w:r>
        <w:t>activities,</w:t>
      </w:r>
      <w:r>
        <w:rPr>
          <w:spacing w:val="-5"/>
        </w:rPr>
        <w:t xml:space="preserve"> </w:t>
      </w:r>
      <w:r>
        <w:t>may</w:t>
      </w:r>
      <w:r>
        <w:rPr>
          <w:spacing w:val="-4"/>
        </w:rPr>
        <w:t xml:space="preserve"> </w:t>
      </w:r>
      <w:r>
        <w:t>identify</w:t>
      </w:r>
      <w:r>
        <w:rPr>
          <w:spacing w:val="-2"/>
        </w:rPr>
        <w:t xml:space="preserve"> </w:t>
      </w:r>
      <w:r>
        <w:t>a</w:t>
      </w:r>
      <w:r>
        <w:rPr>
          <w:spacing w:val="-4"/>
        </w:rPr>
        <w:t xml:space="preserve"> </w:t>
      </w:r>
      <w:r>
        <w:t>need</w:t>
      </w:r>
      <w:r>
        <w:rPr>
          <w:spacing w:val="-5"/>
        </w:rPr>
        <w:t xml:space="preserve"> </w:t>
      </w:r>
      <w:r>
        <w:t>to</w:t>
      </w:r>
      <w:r>
        <w:rPr>
          <w:spacing w:val="-5"/>
        </w:rPr>
        <w:t xml:space="preserve"> </w:t>
      </w:r>
      <w:r>
        <w:t>make</w:t>
      </w:r>
      <w:r>
        <w:rPr>
          <w:spacing w:val="-2"/>
        </w:rPr>
        <w:t xml:space="preserve"> </w:t>
      </w:r>
      <w:r>
        <w:t>narrow-scope</w:t>
      </w:r>
      <w:r>
        <w:rPr>
          <w:spacing w:val="-4"/>
        </w:rPr>
        <w:t xml:space="preserve"> </w:t>
      </w:r>
      <w:r>
        <w:t>amendments</w:t>
      </w:r>
      <w:r>
        <w:rPr>
          <w:spacing w:val="-4"/>
        </w:rPr>
        <w:t xml:space="preserve"> </w:t>
      </w:r>
      <w:r>
        <w:t>to</w:t>
      </w:r>
      <w:r>
        <w:rPr>
          <w:spacing w:val="-2"/>
        </w:rPr>
        <w:t xml:space="preserve"> </w:t>
      </w:r>
      <w:r>
        <w:t>standards, for example, to address recent changes in legislation.</w:t>
      </w:r>
      <w:r>
        <w:rPr>
          <w:spacing w:val="40"/>
        </w:rPr>
        <w:t xml:space="preserve"> </w:t>
      </w:r>
      <w:r>
        <w:t xml:space="preserve">Narrow-scope projects may also be initiated in response to, for example, specific requests from stakeholders, performing post-implementation reviews, or as part of the process of harmonisation with New Zealand </w:t>
      </w:r>
      <w:r>
        <w:rPr>
          <w:spacing w:val="-2"/>
        </w:rPr>
        <w:t>standards</w:t>
      </w:r>
      <w:r>
        <w:rPr>
          <w:spacing w:val="-2"/>
          <w:vertAlign w:val="superscript"/>
        </w:rPr>
        <w:t>69</w:t>
      </w:r>
      <w:r>
        <w:rPr>
          <w:spacing w:val="-2"/>
        </w:rPr>
        <w:t>.</w:t>
      </w:r>
    </w:p>
    <w:p w14:paraId="1E805C7B" w14:textId="77777777" w:rsidR="00AA4A02" w:rsidRDefault="00960F31">
      <w:pPr>
        <w:spacing w:before="173"/>
        <w:ind w:left="143"/>
        <w:jc w:val="both"/>
        <w:rPr>
          <w:b/>
          <w:i/>
        </w:rPr>
      </w:pPr>
      <w:r>
        <w:rPr>
          <w:b/>
          <w:i/>
        </w:rPr>
        <w:t>Conduct</w:t>
      </w:r>
      <w:r>
        <w:rPr>
          <w:b/>
          <w:i/>
          <w:spacing w:val="-8"/>
        </w:rPr>
        <w:t xml:space="preserve"> </w:t>
      </w:r>
      <w:r>
        <w:rPr>
          <w:b/>
          <w:i/>
        </w:rPr>
        <w:t>initial</w:t>
      </w:r>
      <w:r>
        <w:rPr>
          <w:b/>
          <w:i/>
          <w:spacing w:val="-2"/>
        </w:rPr>
        <w:t xml:space="preserve"> </w:t>
      </w:r>
      <w:r>
        <w:rPr>
          <w:b/>
          <w:i/>
        </w:rPr>
        <w:t>outreach</w:t>
      </w:r>
      <w:r>
        <w:rPr>
          <w:b/>
          <w:i/>
          <w:spacing w:val="-4"/>
        </w:rPr>
        <w:t xml:space="preserve"> </w:t>
      </w:r>
      <w:r>
        <w:rPr>
          <w:b/>
          <w:i/>
        </w:rPr>
        <w:t>and</w:t>
      </w:r>
      <w:r>
        <w:rPr>
          <w:b/>
          <w:i/>
          <w:spacing w:val="-3"/>
        </w:rPr>
        <w:t xml:space="preserve"> </w:t>
      </w:r>
      <w:r>
        <w:rPr>
          <w:b/>
          <w:i/>
        </w:rPr>
        <w:t>information</w:t>
      </w:r>
      <w:r>
        <w:rPr>
          <w:b/>
          <w:i/>
          <w:spacing w:val="-3"/>
        </w:rPr>
        <w:t xml:space="preserve"> </w:t>
      </w:r>
      <w:r>
        <w:rPr>
          <w:b/>
          <w:i/>
        </w:rPr>
        <w:t>gathering</w:t>
      </w:r>
      <w:r>
        <w:rPr>
          <w:b/>
          <w:i/>
          <w:spacing w:val="-7"/>
        </w:rPr>
        <w:t xml:space="preserve"> </w:t>
      </w:r>
      <w:r>
        <w:rPr>
          <w:b/>
          <w:i/>
        </w:rPr>
        <w:t>in</w:t>
      </w:r>
      <w:r>
        <w:rPr>
          <w:b/>
          <w:i/>
          <w:spacing w:val="-3"/>
        </w:rPr>
        <w:t xml:space="preserve"> </w:t>
      </w:r>
      <w:r>
        <w:rPr>
          <w:b/>
          <w:i/>
        </w:rPr>
        <w:t>accordance</w:t>
      </w:r>
      <w:r>
        <w:rPr>
          <w:b/>
          <w:i/>
          <w:spacing w:val="-3"/>
        </w:rPr>
        <w:t xml:space="preserve"> </w:t>
      </w:r>
      <w:r>
        <w:rPr>
          <w:b/>
          <w:i/>
        </w:rPr>
        <w:t>with</w:t>
      </w:r>
      <w:r>
        <w:rPr>
          <w:b/>
          <w:i/>
          <w:spacing w:val="-6"/>
        </w:rPr>
        <w:t xml:space="preserve"> </w:t>
      </w:r>
      <w:r>
        <w:rPr>
          <w:b/>
          <w:i/>
        </w:rPr>
        <w:t>the</w:t>
      </w:r>
      <w:r>
        <w:rPr>
          <w:b/>
          <w:i/>
          <w:spacing w:val="-4"/>
        </w:rPr>
        <w:t xml:space="preserve"> </w:t>
      </w:r>
      <w:r>
        <w:rPr>
          <w:b/>
          <w:i/>
        </w:rPr>
        <w:t>AUASB</w:t>
      </w:r>
      <w:r>
        <w:rPr>
          <w:b/>
          <w:i/>
          <w:spacing w:val="-5"/>
        </w:rPr>
        <w:t xml:space="preserve"> </w:t>
      </w:r>
      <w:r>
        <w:rPr>
          <w:b/>
          <w:i/>
        </w:rPr>
        <w:t>EISS</w:t>
      </w:r>
      <w:r>
        <w:rPr>
          <w:b/>
          <w:i/>
          <w:spacing w:val="-3"/>
        </w:rPr>
        <w:t xml:space="preserve"> </w:t>
      </w:r>
      <w:r>
        <w:rPr>
          <w:b/>
          <w:i/>
          <w:spacing w:val="-2"/>
        </w:rPr>
        <w:t>Strategy</w:t>
      </w:r>
    </w:p>
    <w:p w14:paraId="1E805C7C" w14:textId="77777777" w:rsidR="00AA4A02" w:rsidRDefault="00960F31">
      <w:pPr>
        <w:pStyle w:val="ListParagraph"/>
        <w:numPr>
          <w:ilvl w:val="0"/>
          <w:numId w:val="29"/>
        </w:numPr>
        <w:tabs>
          <w:tab w:val="left" w:pos="851"/>
        </w:tabs>
        <w:spacing w:before="114" w:line="208" w:lineRule="auto"/>
        <w:ind w:right="292"/>
        <w:jc w:val="both"/>
      </w:pPr>
      <w:r>
        <w:t>AUASB</w:t>
      </w:r>
      <w:r>
        <w:rPr>
          <w:spacing w:val="-4"/>
        </w:rPr>
        <w:t xml:space="preserve"> </w:t>
      </w:r>
      <w:r>
        <w:t>technical</w:t>
      </w:r>
      <w:r>
        <w:rPr>
          <w:spacing w:val="-4"/>
        </w:rPr>
        <w:t xml:space="preserve"> </w:t>
      </w:r>
      <w:r>
        <w:t>staff</w:t>
      </w:r>
      <w:r>
        <w:rPr>
          <w:spacing w:val="-2"/>
        </w:rPr>
        <w:t xml:space="preserve"> </w:t>
      </w:r>
      <w:r>
        <w:t>undertake</w:t>
      </w:r>
      <w:r>
        <w:rPr>
          <w:spacing w:val="-2"/>
        </w:rPr>
        <w:t xml:space="preserve"> </w:t>
      </w:r>
      <w:r>
        <w:t>any</w:t>
      </w:r>
      <w:r>
        <w:rPr>
          <w:spacing w:val="-2"/>
        </w:rPr>
        <w:t xml:space="preserve"> </w:t>
      </w:r>
      <w:r>
        <w:t>necessary</w:t>
      </w:r>
      <w:r>
        <w:rPr>
          <w:spacing w:val="-2"/>
        </w:rPr>
        <w:t xml:space="preserve"> </w:t>
      </w:r>
      <w:r>
        <w:t>research</w:t>
      </w:r>
      <w:r>
        <w:rPr>
          <w:spacing w:val="-2"/>
        </w:rPr>
        <w:t xml:space="preserve"> </w:t>
      </w:r>
      <w:r>
        <w:t>and</w:t>
      </w:r>
      <w:r>
        <w:rPr>
          <w:spacing w:val="-5"/>
        </w:rPr>
        <w:t xml:space="preserve"> </w:t>
      </w:r>
      <w:r>
        <w:t>stakeholder</w:t>
      </w:r>
      <w:r>
        <w:rPr>
          <w:spacing w:val="-2"/>
        </w:rPr>
        <w:t xml:space="preserve"> </w:t>
      </w:r>
      <w:r>
        <w:t>consultation</w:t>
      </w:r>
      <w:r>
        <w:rPr>
          <w:spacing w:val="-5"/>
        </w:rPr>
        <w:t xml:space="preserve"> </w:t>
      </w:r>
      <w:r>
        <w:t>on</w:t>
      </w:r>
      <w:r>
        <w:rPr>
          <w:spacing w:val="-2"/>
        </w:rPr>
        <w:t xml:space="preserve"> </w:t>
      </w:r>
      <w:r>
        <w:t>the issues</w:t>
      </w:r>
      <w:r>
        <w:rPr>
          <w:spacing w:val="-2"/>
        </w:rPr>
        <w:t xml:space="preserve"> </w:t>
      </w:r>
      <w:r>
        <w:t>underlying</w:t>
      </w:r>
      <w:r>
        <w:rPr>
          <w:spacing w:val="-2"/>
        </w:rPr>
        <w:t xml:space="preserve"> </w:t>
      </w:r>
      <w:r>
        <w:t>the</w:t>
      </w:r>
      <w:r>
        <w:rPr>
          <w:spacing w:val="-4"/>
        </w:rPr>
        <w:t xml:space="preserve"> </w:t>
      </w:r>
      <w:r>
        <w:t>identified</w:t>
      </w:r>
      <w:r>
        <w:rPr>
          <w:spacing w:val="-2"/>
        </w:rPr>
        <w:t xml:space="preserve"> </w:t>
      </w:r>
      <w:r>
        <w:t>narrow-scope</w:t>
      </w:r>
      <w:r>
        <w:rPr>
          <w:spacing w:val="-2"/>
        </w:rPr>
        <w:t xml:space="preserve"> </w:t>
      </w:r>
      <w:r>
        <w:t>project</w:t>
      </w:r>
      <w:r>
        <w:rPr>
          <w:spacing w:val="-4"/>
        </w:rPr>
        <w:t xml:space="preserve"> </w:t>
      </w:r>
      <w:r>
        <w:t>to</w:t>
      </w:r>
      <w:r>
        <w:rPr>
          <w:spacing w:val="-2"/>
        </w:rPr>
        <w:t xml:space="preserve"> </w:t>
      </w:r>
      <w:r>
        <w:t>assess</w:t>
      </w:r>
      <w:r>
        <w:rPr>
          <w:spacing w:val="-4"/>
        </w:rPr>
        <w:t xml:space="preserve"> </w:t>
      </w:r>
      <w:r>
        <w:t>the</w:t>
      </w:r>
      <w:r>
        <w:rPr>
          <w:spacing w:val="-4"/>
        </w:rPr>
        <w:t xml:space="preserve"> </w:t>
      </w:r>
      <w:r>
        <w:t>scope</w:t>
      </w:r>
      <w:r>
        <w:rPr>
          <w:spacing w:val="-2"/>
        </w:rPr>
        <w:t xml:space="preserve"> </w:t>
      </w:r>
      <w:r>
        <w:t>of</w:t>
      </w:r>
      <w:r>
        <w:rPr>
          <w:spacing w:val="-4"/>
        </w:rPr>
        <w:t xml:space="preserve"> </w:t>
      </w:r>
      <w:r>
        <w:t>the</w:t>
      </w:r>
      <w:r>
        <w:rPr>
          <w:spacing w:val="-4"/>
        </w:rPr>
        <w:t xml:space="preserve"> </w:t>
      </w:r>
      <w:r>
        <w:t>issues</w:t>
      </w:r>
      <w:r>
        <w:rPr>
          <w:spacing w:val="-2"/>
        </w:rPr>
        <w:t xml:space="preserve"> </w:t>
      </w:r>
      <w:r>
        <w:t>and</w:t>
      </w:r>
      <w:r>
        <w:rPr>
          <w:spacing w:val="-2"/>
        </w:rPr>
        <w:t xml:space="preserve"> </w:t>
      </w:r>
      <w:r>
        <w:t>the rationale for needing a ‘standard-setting’ solution.</w:t>
      </w:r>
      <w:r>
        <w:rPr>
          <w:vertAlign w:val="superscript"/>
        </w:rPr>
        <w:t>70</w:t>
      </w:r>
    </w:p>
    <w:p w14:paraId="1E805C7D" w14:textId="77777777" w:rsidR="00AA4A02" w:rsidRDefault="00960F31">
      <w:pPr>
        <w:pStyle w:val="ListParagraph"/>
        <w:numPr>
          <w:ilvl w:val="0"/>
          <w:numId w:val="29"/>
        </w:numPr>
        <w:tabs>
          <w:tab w:val="left" w:pos="851"/>
        </w:tabs>
        <w:spacing w:before="199" w:line="208" w:lineRule="auto"/>
        <w:ind w:right="245"/>
      </w:pPr>
      <w:r>
        <w:t>Depending on the nature of the issues and the manner in which AUASB technical staff became aware of such issues, it may be possible to transition quickly through the initial research, stakeholder consultation and information gathering stages of the due process. However,</w:t>
      </w:r>
      <w:r>
        <w:rPr>
          <w:spacing w:val="-5"/>
        </w:rPr>
        <w:t xml:space="preserve"> </w:t>
      </w:r>
      <w:r>
        <w:t>technical</w:t>
      </w:r>
      <w:r>
        <w:rPr>
          <w:spacing w:val="-4"/>
        </w:rPr>
        <w:t xml:space="preserve"> </w:t>
      </w:r>
      <w:r>
        <w:t>staff</w:t>
      </w:r>
      <w:r>
        <w:rPr>
          <w:spacing w:val="-2"/>
        </w:rPr>
        <w:t xml:space="preserve"> </w:t>
      </w:r>
      <w:r>
        <w:t>need</w:t>
      </w:r>
      <w:r>
        <w:rPr>
          <w:spacing w:val="-2"/>
        </w:rPr>
        <w:t xml:space="preserve"> </w:t>
      </w:r>
      <w:r>
        <w:t>to</w:t>
      </w:r>
      <w:r>
        <w:rPr>
          <w:spacing w:val="-2"/>
        </w:rPr>
        <w:t xml:space="preserve"> </w:t>
      </w:r>
      <w:r>
        <w:t>be</w:t>
      </w:r>
      <w:r>
        <w:rPr>
          <w:spacing w:val="-2"/>
        </w:rPr>
        <w:t xml:space="preserve"> </w:t>
      </w:r>
      <w:r>
        <w:t>satisfied</w:t>
      </w:r>
      <w:r>
        <w:rPr>
          <w:spacing w:val="-4"/>
        </w:rPr>
        <w:t xml:space="preserve"> </w:t>
      </w:r>
      <w:r>
        <w:t>that</w:t>
      </w:r>
      <w:r>
        <w:rPr>
          <w:spacing w:val="-4"/>
        </w:rPr>
        <w:t xml:space="preserve"> </w:t>
      </w:r>
      <w:r>
        <w:t>the</w:t>
      </w:r>
      <w:r>
        <w:rPr>
          <w:spacing w:val="-2"/>
        </w:rPr>
        <w:t xml:space="preserve"> </w:t>
      </w:r>
      <w:r>
        <w:t>AUASB</w:t>
      </w:r>
      <w:r>
        <w:rPr>
          <w:spacing w:val="-4"/>
        </w:rPr>
        <w:t xml:space="preserve"> </w:t>
      </w:r>
      <w:r>
        <w:t>will</w:t>
      </w:r>
      <w:r>
        <w:rPr>
          <w:spacing w:val="-1"/>
        </w:rPr>
        <w:t xml:space="preserve"> </w:t>
      </w:r>
      <w:r>
        <w:t>have</w:t>
      </w:r>
      <w:r>
        <w:rPr>
          <w:spacing w:val="-2"/>
        </w:rPr>
        <w:t xml:space="preserve"> </w:t>
      </w:r>
      <w:r>
        <w:t>sufficient</w:t>
      </w:r>
      <w:r>
        <w:rPr>
          <w:spacing w:val="-4"/>
        </w:rPr>
        <w:t xml:space="preserve"> </w:t>
      </w:r>
      <w:r>
        <w:t>information to understand the underlying issues and the available solutions to address the issues.</w:t>
      </w:r>
    </w:p>
    <w:p w14:paraId="1E805C7E" w14:textId="77777777" w:rsidR="00AA4A02" w:rsidRDefault="00960F31">
      <w:pPr>
        <w:pStyle w:val="ListParagraph"/>
        <w:numPr>
          <w:ilvl w:val="0"/>
          <w:numId w:val="29"/>
        </w:numPr>
        <w:tabs>
          <w:tab w:val="left" w:pos="851"/>
        </w:tabs>
        <w:spacing w:line="208" w:lineRule="auto"/>
        <w:ind w:right="177"/>
      </w:pPr>
      <w:r>
        <w:t>Where potential compelling reasons for modification of any issued IAASB Standard are identified</w:t>
      </w:r>
      <w:r>
        <w:rPr>
          <w:spacing w:val="-3"/>
        </w:rPr>
        <w:t xml:space="preserve"> </w:t>
      </w:r>
      <w:r>
        <w:t>for</w:t>
      </w:r>
      <w:r>
        <w:rPr>
          <w:spacing w:val="-3"/>
        </w:rPr>
        <w:t xml:space="preserve"> </w:t>
      </w:r>
      <w:r>
        <w:t>Australia,</w:t>
      </w:r>
      <w:r>
        <w:rPr>
          <w:spacing w:val="-3"/>
        </w:rPr>
        <w:t xml:space="preserve"> </w:t>
      </w:r>
      <w:r>
        <w:t>AUASB</w:t>
      </w:r>
      <w:r>
        <w:rPr>
          <w:spacing w:val="-5"/>
        </w:rPr>
        <w:t xml:space="preserve"> </w:t>
      </w:r>
      <w:r>
        <w:t>technical</w:t>
      </w:r>
      <w:r>
        <w:rPr>
          <w:spacing w:val="-2"/>
        </w:rPr>
        <w:t xml:space="preserve"> </w:t>
      </w:r>
      <w:r>
        <w:t>staff</w:t>
      </w:r>
      <w:r>
        <w:rPr>
          <w:spacing w:val="-3"/>
        </w:rPr>
        <w:t xml:space="preserve"> </w:t>
      </w:r>
      <w:r>
        <w:t>communicate</w:t>
      </w:r>
      <w:r>
        <w:rPr>
          <w:spacing w:val="-5"/>
        </w:rPr>
        <w:t xml:space="preserve"> </w:t>
      </w:r>
      <w:r>
        <w:t>and</w:t>
      </w:r>
      <w:r>
        <w:rPr>
          <w:spacing w:val="-3"/>
        </w:rPr>
        <w:t xml:space="preserve"> </w:t>
      </w:r>
      <w:r>
        <w:t>discuss</w:t>
      </w:r>
      <w:r>
        <w:rPr>
          <w:spacing w:val="-5"/>
        </w:rPr>
        <w:t xml:space="preserve"> </w:t>
      </w:r>
      <w:r>
        <w:t>these</w:t>
      </w:r>
      <w:r>
        <w:rPr>
          <w:spacing w:val="-3"/>
        </w:rPr>
        <w:t xml:space="preserve"> </w:t>
      </w:r>
      <w:r>
        <w:t>issues</w:t>
      </w:r>
      <w:r>
        <w:rPr>
          <w:spacing w:val="-3"/>
        </w:rPr>
        <w:t xml:space="preserve"> </w:t>
      </w:r>
      <w:r>
        <w:t>with</w:t>
      </w:r>
      <w:r>
        <w:rPr>
          <w:spacing w:val="-6"/>
        </w:rPr>
        <w:t xml:space="preserve"> </w:t>
      </w:r>
      <w:r>
        <w:t>the NZAuASB, in accordance with AUASB/NZAuASB communication protocols.</w:t>
      </w:r>
    </w:p>
    <w:p w14:paraId="1E805C7F" w14:textId="77777777" w:rsidR="00AA4A02" w:rsidRDefault="00960F31">
      <w:pPr>
        <w:spacing w:before="172"/>
        <w:ind w:left="143"/>
        <w:rPr>
          <w:b/>
          <w:i/>
        </w:rPr>
      </w:pPr>
      <w:r>
        <w:rPr>
          <w:b/>
          <w:i/>
        </w:rPr>
        <w:t>Prepare</w:t>
      </w:r>
      <w:r>
        <w:rPr>
          <w:b/>
          <w:i/>
          <w:spacing w:val="-3"/>
        </w:rPr>
        <w:t xml:space="preserve"> </w:t>
      </w:r>
      <w:r>
        <w:rPr>
          <w:b/>
          <w:i/>
        </w:rPr>
        <w:t>an</w:t>
      </w:r>
      <w:r>
        <w:rPr>
          <w:b/>
          <w:i/>
          <w:spacing w:val="-2"/>
        </w:rPr>
        <w:t xml:space="preserve"> </w:t>
      </w:r>
      <w:r>
        <w:rPr>
          <w:b/>
          <w:i/>
        </w:rPr>
        <w:t>Agenda</w:t>
      </w:r>
      <w:r>
        <w:rPr>
          <w:b/>
          <w:i/>
          <w:spacing w:val="-2"/>
        </w:rPr>
        <w:t xml:space="preserve"> </w:t>
      </w:r>
      <w:r>
        <w:rPr>
          <w:b/>
          <w:i/>
        </w:rPr>
        <w:t>Paper</w:t>
      </w:r>
      <w:r>
        <w:rPr>
          <w:b/>
          <w:i/>
          <w:spacing w:val="-5"/>
        </w:rPr>
        <w:t xml:space="preserve"> </w:t>
      </w:r>
      <w:r>
        <w:rPr>
          <w:b/>
          <w:i/>
        </w:rPr>
        <w:t>to</w:t>
      </w:r>
      <w:r>
        <w:rPr>
          <w:b/>
          <w:i/>
          <w:spacing w:val="-2"/>
        </w:rPr>
        <w:t xml:space="preserve"> </w:t>
      </w:r>
      <w:r>
        <w:rPr>
          <w:b/>
          <w:i/>
        </w:rPr>
        <w:t>be</w:t>
      </w:r>
      <w:r>
        <w:rPr>
          <w:b/>
          <w:i/>
          <w:spacing w:val="-2"/>
        </w:rPr>
        <w:t xml:space="preserve"> </w:t>
      </w:r>
      <w:r>
        <w:rPr>
          <w:b/>
          <w:i/>
        </w:rPr>
        <w:t>presented</w:t>
      </w:r>
      <w:r>
        <w:rPr>
          <w:b/>
          <w:i/>
          <w:spacing w:val="-3"/>
        </w:rPr>
        <w:t xml:space="preserve"> </w:t>
      </w:r>
      <w:r>
        <w:rPr>
          <w:b/>
          <w:i/>
        </w:rPr>
        <w:t>for</w:t>
      </w:r>
      <w:r>
        <w:rPr>
          <w:b/>
          <w:i/>
          <w:spacing w:val="-2"/>
        </w:rPr>
        <w:t xml:space="preserve"> </w:t>
      </w:r>
      <w:r>
        <w:rPr>
          <w:b/>
          <w:i/>
        </w:rPr>
        <w:t>AUASB</w:t>
      </w:r>
      <w:r>
        <w:rPr>
          <w:b/>
          <w:i/>
          <w:spacing w:val="-4"/>
        </w:rPr>
        <w:t xml:space="preserve"> </w:t>
      </w:r>
      <w:r>
        <w:rPr>
          <w:b/>
          <w:i/>
        </w:rPr>
        <w:t>consideration</w:t>
      </w:r>
      <w:r>
        <w:rPr>
          <w:b/>
          <w:i/>
          <w:spacing w:val="-5"/>
        </w:rPr>
        <w:t xml:space="preserve"> </w:t>
      </w:r>
      <w:r>
        <w:rPr>
          <w:b/>
          <w:i/>
        </w:rPr>
        <w:t>and</w:t>
      </w:r>
      <w:r>
        <w:rPr>
          <w:b/>
          <w:i/>
          <w:spacing w:val="-2"/>
        </w:rPr>
        <w:t xml:space="preserve"> approval</w:t>
      </w:r>
    </w:p>
    <w:p w14:paraId="1E805C80" w14:textId="77777777" w:rsidR="00AA4A02" w:rsidRDefault="00960F31">
      <w:pPr>
        <w:pStyle w:val="ListParagraph"/>
        <w:numPr>
          <w:ilvl w:val="0"/>
          <w:numId w:val="29"/>
        </w:numPr>
        <w:tabs>
          <w:tab w:val="left" w:pos="851"/>
        </w:tabs>
        <w:spacing w:before="115" w:line="208" w:lineRule="auto"/>
        <w:ind w:right="177"/>
      </w:pPr>
      <w:r>
        <w:t>Based</w:t>
      </w:r>
      <w:r>
        <w:rPr>
          <w:spacing w:val="-3"/>
        </w:rPr>
        <w:t xml:space="preserve"> </w:t>
      </w:r>
      <w:r>
        <w:t>on</w:t>
      </w:r>
      <w:r>
        <w:rPr>
          <w:spacing w:val="-5"/>
        </w:rPr>
        <w:t xml:space="preserve"> </w:t>
      </w:r>
      <w:r>
        <w:t>the</w:t>
      </w:r>
      <w:r>
        <w:rPr>
          <w:spacing w:val="-5"/>
        </w:rPr>
        <w:t xml:space="preserve"> </w:t>
      </w:r>
      <w:r>
        <w:t>initial</w:t>
      </w:r>
      <w:r>
        <w:rPr>
          <w:spacing w:val="-2"/>
        </w:rPr>
        <w:t xml:space="preserve"> </w:t>
      </w:r>
      <w:r>
        <w:t>research,</w:t>
      </w:r>
      <w:r>
        <w:rPr>
          <w:spacing w:val="-3"/>
        </w:rPr>
        <w:t xml:space="preserve"> </w:t>
      </w:r>
      <w:r>
        <w:t>stakeholder</w:t>
      </w:r>
      <w:r>
        <w:rPr>
          <w:spacing w:val="-3"/>
        </w:rPr>
        <w:t xml:space="preserve"> </w:t>
      </w:r>
      <w:r>
        <w:t>consultation</w:t>
      </w:r>
      <w:r>
        <w:rPr>
          <w:spacing w:val="-6"/>
        </w:rPr>
        <w:t xml:space="preserve"> </w:t>
      </w:r>
      <w:r>
        <w:t>and</w:t>
      </w:r>
      <w:r>
        <w:rPr>
          <w:spacing w:val="-3"/>
        </w:rPr>
        <w:t xml:space="preserve"> </w:t>
      </w:r>
      <w:r>
        <w:t>information</w:t>
      </w:r>
      <w:r>
        <w:rPr>
          <w:spacing w:val="-3"/>
        </w:rPr>
        <w:t xml:space="preserve"> </w:t>
      </w:r>
      <w:r>
        <w:t>gathering</w:t>
      </w:r>
      <w:r>
        <w:rPr>
          <w:spacing w:val="-3"/>
        </w:rPr>
        <w:t xml:space="preserve"> </w:t>
      </w:r>
      <w:r>
        <w:t>activities,</w:t>
      </w:r>
      <w:r>
        <w:rPr>
          <w:spacing w:val="-3"/>
        </w:rPr>
        <w:t xml:space="preserve"> </w:t>
      </w:r>
      <w:r>
        <w:t>the Technical Director,</w:t>
      </w:r>
      <w:r>
        <w:rPr>
          <w:spacing w:val="-1"/>
        </w:rPr>
        <w:t xml:space="preserve"> </w:t>
      </w:r>
      <w:r>
        <w:t>in</w:t>
      </w:r>
      <w:r>
        <w:rPr>
          <w:spacing w:val="-1"/>
        </w:rPr>
        <w:t xml:space="preserve"> </w:t>
      </w:r>
      <w:r>
        <w:t>consultation with the AUASB Chair, may recommend that the AUASB considers adding</w:t>
      </w:r>
      <w:r>
        <w:rPr>
          <w:spacing w:val="-3"/>
        </w:rPr>
        <w:t xml:space="preserve"> </w:t>
      </w:r>
      <w:r>
        <w:t>a narrow-scope</w:t>
      </w:r>
      <w:r>
        <w:rPr>
          <w:spacing w:val="-2"/>
        </w:rPr>
        <w:t xml:space="preserve"> </w:t>
      </w:r>
      <w:r>
        <w:t>project to its work plan. Whilst</w:t>
      </w:r>
      <w:r>
        <w:rPr>
          <w:spacing w:val="-1"/>
        </w:rPr>
        <w:t xml:space="preserve"> </w:t>
      </w:r>
      <w:r>
        <w:t>the</w:t>
      </w:r>
      <w:r>
        <w:rPr>
          <w:spacing w:val="-2"/>
        </w:rPr>
        <w:t xml:space="preserve"> </w:t>
      </w:r>
      <w:r>
        <w:t>final</w:t>
      </w:r>
      <w:r>
        <w:rPr>
          <w:spacing w:val="-2"/>
        </w:rPr>
        <w:t xml:space="preserve"> </w:t>
      </w:r>
      <w:r>
        <w:t>decision on whether the project meets the criteria to be undertaken as a narrow-scope project is determined by the Chair, the intention to undertake a narrow-scope project is communicated to AUASB</w:t>
      </w:r>
      <w:r>
        <w:rPr>
          <w:spacing w:val="40"/>
        </w:rPr>
        <w:t xml:space="preserve"> </w:t>
      </w:r>
      <w:r>
        <w:t>members for their input either as part of the regular AUASB Technical Work Program consultation process or via another suitable communication to Board members.</w:t>
      </w:r>
    </w:p>
    <w:p w14:paraId="1E805C81" w14:textId="77777777" w:rsidR="00AA4A02" w:rsidRDefault="00960F31">
      <w:pPr>
        <w:pStyle w:val="ListParagraph"/>
        <w:numPr>
          <w:ilvl w:val="0"/>
          <w:numId w:val="29"/>
        </w:numPr>
        <w:tabs>
          <w:tab w:val="left" w:pos="851"/>
        </w:tabs>
        <w:spacing w:before="173"/>
      </w:pPr>
      <w:r>
        <w:t>AUASB</w:t>
      </w:r>
      <w:r>
        <w:rPr>
          <w:spacing w:val="-5"/>
        </w:rPr>
        <w:t xml:space="preserve"> </w:t>
      </w:r>
      <w:r>
        <w:t>technical</w:t>
      </w:r>
      <w:r>
        <w:rPr>
          <w:spacing w:val="-5"/>
        </w:rPr>
        <w:t xml:space="preserve"> </w:t>
      </w:r>
      <w:r>
        <w:t>staff</w:t>
      </w:r>
      <w:r>
        <w:rPr>
          <w:spacing w:val="-3"/>
        </w:rPr>
        <w:t xml:space="preserve"> </w:t>
      </w:r>
      <w:r>
        <w:t>prepare</w:t>
      </w:r>
      <w:r>
        <w:rPr>
          <w:spacing w:val="-5"/>
        </w:rPr>
        <w:t xml:space="preserve"> </w:t>
      </w:r>
      <w:r>
        <w:t>an</w:t>
      </w:r>
      <w:r>
        <w:rPr>
          <w:spacing w:val="-3"/>
        </w:rPr>
        <w:t xml:space="preserve"> </w:t>
      </w:r>
      <w:r>
        <w:t>Agenda</w:t>
      </w:r>
      <w:r>
        <w:rPr>
          <w:spacing w:val="-3"/>
        </w:rPr>
        <w:t xml:space="preserve"> </w:t>
      </w:r>
      <w:r>
        <w:t>Paper</w:t>
      </w:r>
      <w:r>
        <w:rPr>
          <w:vertAlign w:val="superscript"/>
        </w:rPr>
        <w:t>71</w:t>
      </w:r>
      <w:r>
        <w:rPr>
          <w:spacing w:val="-3"/>
        </w:rPr>
        <w:t xml:space="preserve"> </w:t>
      </w:r>
      <w:r>
        <w:t>for</w:t>
      </w:r>
      <w:r>
        <w:rPr>
          <w:spacing w:val="-3"/>
        </w:rPr>
        <w:t xml:space="preserve"> </w:t>
      </w:r>
      <w:r>
        <w:t>Board</w:t>
      </w:r>
      <w:r>
        <w:rPr>
          <w:spacing w:val="-6"/>
        </w:rPr>
        <w:t xml:space="preserve"> </w:t>
      </w:r>
      <w:r>
        <w:t>consideration</w:t>
      </w:r>
      <w:r>
        <w:rPr>
          <w:spacing w:val="-3"/>
        </w:rPr>
        <w:t xml:space="preserve"> </w:t>
      </w:r>
      <w:r>
        <w:t>which</w:t>
      </w:r>
      <w:r>
        <w:rPr>
          <w:spacing w:val="-5"/>
        </w:rPr>
        <w:t xml:space="preserve"> </w:t>
      </w:r>
      <w:r>
        <w:t>sets</w:t>
      </w:r>
      <w:r>
        <w:rPr>
          <w:spacing w:val="-3"/>
        </w:rPr>
        <w:t xml:space="preserve"> </w:t>
      </w:r>
      <w:r>
        <w:rPr>
          <w:spacing w:val="-4"/>
        </w:rPr>
        <w:t>out:</w:t>
      </w:r>
    </w:p>
    <w:p w14:paraId="1E805C82" w14:textId="77777777" w:rsidR="00AA4A02" w:rsidRDefault="00960F31">
      <w:pPr>
        <w:pStyle w:val="ListParagraph"/>
        <w:numPr>
          <w:ilvl w:val="0"/>
          <w:numId w:val="14"/>
        </w:numPr>
        <w:tabs>
          <w:tab w:val="left" w:pos="1562"/>
        </w:tabs>
        <w:spacing w:before="151"/>
      </w:pPr>
      <w:r>
        <w:t>the</w:t>
      </w:r>
      <w:r>
        <w:rPr>
          <w:spacing w:val="-4"/>
        </w:rPr>
        <w:t xml:space="preserve"> </w:t>
      </w:r>
      <w:r>
        <w:t>objective(s)</w:t>
      </w:r>
      <w:r>
        <w:rPr>
          <w:spacing w:val="-5"/>
        </w:rPr>
        <w:t xml:space="preserve"> </w:t>
      </w:r>
      <w:r>
        <w:t>and</w:t>
      </w:r>
      <w:r>
        <w:rPr>
          <w:spacing w:val="-3"/>
        </w:rPr>
        <w:t xml:space="preserve"> </w:t>
      </w:r>
      <w:r>
        <w:t>scope</w:t>
      </w:r>
      <w:r>
        <w:rPr>
          <w:spacing w:val="-5"/>
        </w:rPr>
        <w:t xml:space="preserve"> </w:t>
      </w:r>
      <w:r>
        <w:t>of</w:t>
      </w:r>
      <w:r>
        <w:rPr>
          <w:spacing w:val="-3"/>
        </w:rPr>
        <w:t xml:space="preserve"> </w:t>
      </w:r>
      <w:r>
        <w:t>the</w:t>
      </w:r>
      <w:r>
        <w:rPr>
          <w:spacing w:val="-3"/>
        </w:rPr>
        <w:t xml:space="preserve"> </w:t>
      </w:r>
      <w:r>
        <w:t>project</w:t>
      </w:r>
      <w:r>
        <w:rPr>
          <w:spacing w:val="-6"/>
        </w:rPr>
        <w:t xml:space="preserve"> </w:t>
      </w:r>
      <w:r>
        <w:t>(and</w:t>
      </w:r>
      <w:r>
        <w:rPr>
          <w:spacing w:val="-5"/>
        </w:rPr>
        <w:t xml:space="preserve"> </w:t>
      </w:r>
      <w:r>
        <w:t>identifying</w:t>
      </w:r>
      <w:r>
        <w:rPr>
          <w:spacing w:val="-3"/>
        </w:rPr>
        <w:t xml:space="preserve"> </w:t>
      </w:r>
      <w:r>
        <w:t>issues</w:t>
      </w:r>
      <w:r>
        <w:rPr>
          <w:spacing w:val="-3"/>
        </w:rPr>
        <w:t xml:space="preserve"> </w:t>
      </w:r>
      <w:r>
        <w:t>out</w:t>
      </w:r>
      <w:r>
        <w:rPr>
          <w:spacing w:val="-2"/>
        </w:rPr>
        <w:t xml:space="preserve"> </w:t>
      </w:r>
      <w:r>
        <w:t>of</w:t>
      </w:r>
      <w:r>
        <w:rPr>
          <w:spacing w:val="-3"/>
        </w:rPr>
        <w:t xml:space="preserve"> </w:t>
      </w:r>
      <w:r>
        <w:rPr>
          <w:spacing w:val="-2"/>
        </w:rPr>
        <w:t>scope);</w:t>
      </w:r>
    </w:p>
    <w:p w14:paraId="1E805C83" w14:textId="77777777" w:rsidR="00AA4A02" w:rsidRDefault="00960F31">
      <w:pPr>
        <w:pStyle w:val="ListParagraph"/>
        <w:numPr>
          <w:ilvl w:val="0"/>
          <w:numId w:val="14"/>
        </w:numPr>
        <w:tabs>
          <w:tab w:val="left" w:pos="1562"/>
        </w:tabs>
        <w:spacing w:before="71"/>
      </w:pPr>
      <w:r>
        <w:t>justification</w:t>
      </w:r>
      <w:r>
        <w:rPr>
          <w:spacing w:val="-7"/>
        </w:rPr>
        <w:t xml:space="preserve"> </w:t>
      </w:r>
      <w:r>
        <w:t>for</w:t>
      </w:r>
      <w:r>
        <w:rPr>
          <w:spacing w:val="-5"/>
        </w:rPr>
        <w:t xml:space="preserve"> </w:t>
      </w:r>
      <w:r>
        <w:t>the</w:t>
      </w:r>
      <w:r>
        <w:rPr>
          <w:spacing w:val="-5"/>
        </w:rPr>
        <w:t xml:space="preserve"> </w:t>
      </w:r>
      <w:r>
        <w:t>project,</w:t>
      </w:r>
      <w:r>
        <w:rPr>
          <w:spacing w:val="-6"/>
        </w:rPr>
        <w:t xml:space="preserve"> </w:t>
      </w:r>
      <w:r>
        <w:rPr>
          <w:spacing w:val="-2"/>
        </w:rPr>
        <w:t>including:</w:t>
      </w:r>
    </w:p>
    <w:p w14:paraId="1E805C84" w14:textId="77777777" w:rsidR="00AA4A02" w:rsidRDefault="00AA4A02">
      <w:pPr>
        <w:pStyle w:val="BodyText"/>
        <w:rPr>
          <w:sz w:val="20"/>
        </w:rPr>
      </w:pPr>
    </w:p>
    <w:p w14:paraId="1E805C85" w14:textId="77777777" w:rsidR="00AA4A02" w:rsidRDefault="00AA4A02">
      <w:pPr>
        <w:pStyle w:val="BodyText"/>
        <w:rPr>
          <w:sz w:val="20"/>
        </w:rPr>
      </w:pPr>
    </w:p>
    <w:p w14:paraId="1E805C86" w14:textId="77777777" w:rsidR="00AA4A02" w:rsidRDefault="00960F31">
      <w:pPr>
        <w:pStyle w:val="BodyText"/>
        <w:spacing w:before="49"/>
        <w:rPr>
          <w:sz w:val="20"/>
        </w:rPr>
      </w:pPr>
      <w:r>
        <w:rPr>
          <w:noProof/>
          <w:sz w:val="20"/>
        </w:rPr>
        <mc:AlternateContent>
          <mc:Choice Requires="wps">
            <w:drawing>
              <wp:anchor distT="0" distB="0" distL="0" distR="0" simplePos="0" relativeHeight="487613440" behindDoc="1" locked="0" layoutInCell="1" allowOverlap="1" wp14:anchorId="1E805F77" wp14:editId="1E805F78">
                <wp:simplePos x="0" y="0"/>
                <wp:positionH relativeFrom="page">
                  <wp:posOffset>900988</wp:posOffset>
                </wp:positionH>
                <wp:positionV relativeFrom="paragraph">
                  <wp:posOffset>192923</wp:posOffset>
                </wp:positionV>
                <wp:extent cx="1829435" cy="762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C472A" id="Graphic 82" o:spid="_x0000_s1026" style="position:absolute;margin-left:70.95pt;margin-top:15.2pt;width:144.05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" path="m1829053,l,,,7619r1829053,l1829053,xe" fillcolor="black" stroked="f">
                <v:path arrowok="t"/>
                <w10:wrap type="topAndBottom" anchorx="page"/>
              </v:shape>
            </w:pict>
          </mc:Fallback>
        </mc:AlternateContent>
      </w:r>
    </w:p>
    <w:p w14:paraId="1E805C87" w14:textId="77777777" w:rsidR="00AA4A02" w:rsidRDefault="00960F31">
      <w:pPr>
        <w:spacing w:before="93" w:line="208" w:lineRule="auto"/>
        <w:ind w:left="427" w:hanging="284"/>
        <w:rPr>
          <w:sz w:val="16"/>
        </w:rPr>
      </w:pPr>
      <w:r>
        <w:rPr>
          <w:sz w:val="16"/>
          <w:vertAlign w:val="superscript"/>
        </w:rPr>
        <w:t>67</w:t>
      </w:r>
      <w:r>
        <w:rPr>
          <w:spacing w:val="80"/>
          <w:w w:val="150"/>
          <w:sz w:val="16"/>
        </w:rPr>
        <w:t xml:space="preserve"> </w:t>
      </w:r>
      <w:r>
        <w:rPr>
          <w:sz w:val="16"/>
        </w:rPr>
        <w:t>After</w:t>
      </w:r>
      <w:r>
        <w:rPr>
          <w:spacing w:val="-2"/>
          <w:sz w:val="16"/>
        </w:rPr>
        <w:t xml:space="preserve"> </w:t>
      </w:r>
      <w:r>
        <w:rPr>
          <w:sz w:val="16"/>
        </w:rPr>
        <w:t>applying</w:t>
      </w:r>
      <w:r>
        <w:rPr>
          <w:spacing w:val="-2"/>
          <w:sz w:val="16"/>
        </w:rPr>
        <w:t xml:space="preserve"> </w:t>
      </w:r>
      <w:r>
        <w:rPr>
          <w:sz w:val="16"/>
        </w:rPr>
        <w:t>the</w:t>
      </w:r>
      <w:r>
        <w:rPr>
          <w:spacing w:val="-3"/>
          <w:sz w:val="16"/>
        </w:rPr>
        <w:t xml:space="preserve"> </w:t>
      </w:r>
      <w:r>
        <w:rPr>
          <w:sz w:val="16"/>
        </w:rPr>
        <w:t>AUASB’s</w:t>
      </w:r>
      <w:r>
        <w:rPr>
          <w:spacing w:val="-1"/>
          <w:sz w:val="16"/>
        </w:rPr>
        <w:t xml:space="preserve"> </w:t>
      </w:r>
      <w:r>
        <w:rPr>
          <w:sz w:val="16"/>
        </w:rPr>
        <w:t>Compelling</w:t>
      </w:r>
      <w:r>
        <w:rPr>
          <w:spacing w:val="-2"/>
          <w:sz w:val="16"/>
        </w:rPr>
        <w:t xml:space="preserve"> </w:t>
      </w:r>
      <w:r>
        <w:rPr>
          <w:sz w:val="16"/>
        </w:rPr>
        <w:t>Reasons</w:t>
      </w:r>
      <w:r>
        <w:rPr>
          <w:spacing w:val="-3"/>
          <w:sz w:val="16"/>
        </w:rPr>
        <w:t xml:space="preserve"> </w:t>
      </w:r>
      <w:r>
        <w:rPr>
          <w:sz w:val="16"/>
        </w:rPr>
        <w:t>Test,</w:t>
      </w:r>
      <w:r>
        <w:rPr>
          <w:spacing w:val="-3"/>
          <w:sz w:val="16"/>
        </w:rPr>
        <w:t xml:space="preserve"> </w:t>
      </w:r>
      <w:r>
        <w:rPr>
          <w:sz w:val="16"/>
        </w:rPr>
        <w:t>having regard</w:t>
      </w:r>
      <w:r>
        <w:rPr>
          <w:spacing w:val="-2"/>
          <w:sz w:val="16"/>
        </w:rPr>
        <w:t xml:space="preserve"> </w:t>
      </w:r>
      <w:r>
        <w:rPr>
          <w:sz w:val="16"/>
        </w:rPr>
        <w:t>to</w:t>
      </w:r>
      <w:r>
        <w:rPr>
          <w:spacing w:val="-2"/>
          <w:sz w:val="16"/>
        </w:rPr>
        <w:t xml:space="preserve"> </w:t>
      </w:r>
      <w:r>
        <w:rPr>
          <w:sz w:val="16"/>
        </w:rPr>
        <w:t>public interest</w:t>
      </w:r>
      <w:r>
        <w:rPr>
          <w:spacing w:val="-2"/>
          <w:sz w:val="16"/>
        </w:rPr>
        <w:t xml:space="preserve"> </w:t>
      </w:r>
      <w:r>
        <w:rPr>
          <w:sz w:val="16"/>
        </w:rPr>
        <w:t>considerations</w:t>
      </w:r>
      <w:r>
        <w:rPr>
          <w:spacing w:val="-3"/>
          <w:sz w:val="16"/>
        </w:rPr>
        <w:t xml:space="preserve"> </w:t>
      </w:r>
      <w:r>
        <w:rPr>
          <w:sz w:val="16"/>
        </w:rPr>
        <w:t>in</w:t>
      </w:r>
      <w:r>
        <w:rPr>
          <w:spacing w:val="-2"/>
          <w:sz w:val="16"/>
        </w:rPr>
        <w:t xml:space="preserve"> </w:t>
      </w:r>
      <w:r>
        <w:rPr>
          <w:sz w:val="16"/>
        </w:rPr>
        <w:t>Australia.</w:t>
      </w:r>
      <w:r>
        <w:rPr>
          <w:spacing w:val="-3"/>
          <w:sz w:val="16"/>
        </w:rPr>
        <w:t xml:space="preserve"> </w:t>
      </w:r>
      <w:r>
        <w:rPr>
          <w:sz w:val="16"/>
        </w:rPr>
        <w:t>Refer</w:t>
      </w:r>
      <w:r>
        <w:rPr>
          <w:spacing w:val="-4"/>
          <w:sz w:val="16"/>
        </w:rPr>
        <w:t xml:space="preserve"> </w:t>
      </w:r>
      <w:r>
        <w:rPr>
          <w:sz w:val="16"/>
        </w:rPr>
        <w:t>to</w:t>
      </w:r>
      <w:r>
        <w:rPr>
          <w:spacing w:val="-2"/>
          <w:sz w:val="16"/>
        </w:rPr>
        <w:t xml:space="preserve"> </w:t>
      </w:r>
      <w:r>
        <w:rPr>
          <w:sz w:val="16"/>
        </w:rPr>
        <w:t xml:space="preserve">the </w:t>
      </w:r>
      <w:r>
        <w:rPr>
          <w:i/>
          <w:sz w:val="16"/>
        </w:rPr>
        <w:t>AUASB</w:t>
      </w:r>
      <w:r>
        <w:rPr>
          <w:i/>
          <w:spacing w:val="40"/>
          <w:sz w:val="16"/>
        </w:rPr>
        <w:t xml:space="preserve"> </w:t>
      </w:r>
      <w:r>
        <w:rPr>
          <w:i/>
          <w:sz w:val="16"/>
        </w:rPr>
        <w:t xml:space="preserve">Policy and Process for International Conformance and Harmonisation of Standards </w:t>
      </w:r>
      <w:r>
        <w:rPr>
          <w:sz w:val="16"/>
        </w:rPr>
        <w:t>for further detail.</w:t>
      </w:r>
    </w:p>
    <w:p w14:paraId="1E805C88" w14:textId="77777777" w:rsidR="00AA4A02" w:rsidRDefault="00960F31">
      <w:pPr>
        <w:spacing w:line="152" w:lineRule="exact"/>
        <w:ind w:left="143"/>
        <w:rPr>
          <w:sz w:val="16"/>
        </w:rPr>
      </w:pPr>
      <w:r>
        <w:rPr>
          <w:sz w:val="16"/>
          <w:vertAlign w:val="superscript"/>
        </w:rPr>
        <w:t>68</w:t>
      </w:r>
      <w:r>
        <w:rPr>
          <w:spacing w:val="41"/>
          <w:sz w:val="16"/>
        </w:rPr>
        <w:t xml:space="preserve">  </w:t>
      </w:r>
      <w:r>
        <w:rPr>
          <w:sz w:val="16"/>
        </w:rPr>
        <w:t>For</w:t>
      </w:r>
      <w:r>
        <w:rPr>
          <w:spacing w:val="-3"/>
          <w:sz w:val="16"/>
        </w:rPr>
        <w:t xml:space="preserve"> </w:t>
      </w:r>
      <w:r>
        <w:rPr>
          <w:sz w:val="16"/>
        </w:rPr>
        <w:t>example,</w:t>
      </w:r>
      <w:r>
        <w:rPr>
          <w:spacing w:val="-5"/>
          <w:sz w:val="16"/>
        </w:rPr>
        <w:t xml:space="preserve"> </w:t>
      </w:r>
      <w:r>
        <w:rPr>
          <w:sz w:val="16"/>
        </w:rPr>
        <w:t>to</w:t>
      </w:r>
      <w:r>
        <w:rPr>
          <w:spacing w:val="-2"/>
          <w:sz w:val="16"/>
        </w:rPr>
        <w:t xml:space="preserve"> </w:t>
      </w:r>
      <w:r>
        <w:rPr>
          <w:sz w:val="16"/>
        </w:rPr>
        <w:t>make</w:t>
      </w:r>
      <w:r>
        <w:rPr>
          <w:spacing w:val="-3"/>
          <w:sz w:val="16"/>
        </w:rPr>
        <w:t xml:space="preserve"> </w:t>
      </w:r>
      <w:r>
        <w:rPr>
          <w:sz w:val="16"/>
        </w:rPr>
        <w:t>changes</w:t>
      </w:r>
      <w:r>
        <w:rPr>
          <w:spacing w:val="-5"/>
          <w:sz w:val="16"/>
        </w:rPr>
        <w:t xml:space="preserve"> </w:t>
      </w:r>
      <w:r>
        <w:rPr>
          <w:sz w:val="16"/>
        </w:rPr>
        <w:t>to</w:t>
      </w:r>
      <w:r>
        <w:rPr>
          <w:spacing w:val="-2"/>
          <w:sz w:val="16"/>
        </w:rPr>
        <w:t xml:space="preserve"> </w:t>
      </w:r>
      <w:r>
        <w:rPr>
          <w:sz w:val="16"/>
        </w:rPr>
        <w:t>AUASB</w:t>
      </w:r>
      <w:r>
        <w:rPr>
          <w:spacing w:val="-2"/>
          <w:sz w:val="16"/>
        </w:rPr>
        <w:t xml:space="preserve"> </w:t>
      </w:r>
      <w:r>
        <w:rPr>
          <w:sz w:val="16"/>
        </w:rPr>
        <w:t>Standards</w:t>
      </w:r>
      <w:r>
        <w:rPr>
          <w:spacing w:val="-3"/>
          <w:sz w:val="16"/>
        </w:rPr>
        <w:t xml:space="preserve"> </w:t>
      </w:r>
      <w:r>
        <w:rPr>
          <w:sz w:val="16"/>
        </w:rPr>
        <w:t>as</w:t>
      </w:r>
      <w:r>
        <w:rPr>
          <w:spacing w:val="-5"/>
          <w:sz w:val="16"/>
        </w:rPr>
        <w:t xml:space="preserve"> </w:t>
      </w:r>
      <w:r>
        <w:rPr>
          <w:sz w:val="16"/>
        </w:rPr>
        <w:t>a</w:t>
      </w:r>
      <w:r>
        <w:rPr>
          <w:spacing w:val="-1"/>
          <w:sz w:val="16"/>
        </w:rPr>
        <w:t xml:space="preserve"> </w:t>
      </w:r>
      <w:r>
        <w:rPr>
          <w:sz w:val="16"/>
        </w:rPr>
        <w:t>result</w:t>
      </w:r>
      <w:r>
        <w:rPr>
          <w:spacing w:val="-4"/>
          <w:sz w:val="16"/>
        </w:rPr>
        <w:t xml:space="preserve"> </w:t>
      </w:r>
      <w:r>
        <w:rPr>
          <w:sz w:val="16"/>
        </w:rPr>
        <w:t>of</w:t>
      </w:r>
      <w:r>
        <w:rPr>
          <w:spacing w:val="-6"/>
          <w:sz w:val="16"/>
        </w:rPr>
        <w:t xml:space="preserve"> </w:t>
      </w:r>
      <w:r>
        <w:rPr>
          <w:sz w:val="16"/>
        </w:rPr>
        <w:t>changes</w:t>
      </w:r>
      <w:r>
        <w:rPr>
          <w:spacing w:val="-5"/>
          <w:sz w:val="16"/>
        </w:rPr>
        <w:t xml:space="preserve"> </w:t>
      </w:r>
      <w:r>
        <w:rPr>
          <w:sz w:val="16"/>
        </w:rPr>
        <w:t>made</w:t>
      </w:r>
      <w:r>
        <w:rPr>
          <w:spacing w:val="-2"/>
          <w:sz w:val="16"/>
        </w:rPr>
        <w:t xml:space="preserve"> </w:t>
      </w:r>
      <w:r>
        <w:rPr>
          <w:sz w:val="16"/>
        </w:rPr>
        <w:t>to</w:t>
      </w:r>
      <w:r>
        <w:rPr>
          <w:spacing w:val="-3"/>
          <w:sz w:val="16"/>
        </w:rPr>
        <w:t xml:space="preserve"> </w:t>
      </w:r>
      <w:r>
        <w:rPr>
          <w:sz w:val="16"/>
        </w:rPr>
        <w:t>related</w:t>
      </w:r>
      <w:r>
        <w:rPr>
          <w:spacing w:val="-2"/>
          <w:sz w:val="16"/>
        </w:rPr>
        <w:t xml:space="preserve"> </w:t>
      </w:r>
      <w:r>
        <w:rPr>
          <w:sz w:val="16"/>
        </w:rPr>
        <w:t>AASB</w:t>
      </w:r>
      <w:r>
        <w:rPr>
          <w:spacing w:val="-2"/>
          <w:sz w:val="16"/>
        </w:rPr>
        <w:t xml:space="preserve"> </w:t>
      </w:r>
      <w:r>
        <w:rPr>
          <w:sz w:val="16"/>
        </w:rPr>
        <w:t>Standards</w:t>
      </w:r>
      <w:r>
        <w:rPr>
          <w:spacing w:val="-5"/>
          <w:sz w:val="16"/>
        </w:rPr>
        <w:t xml:space="preserve"> </w:t>
      </w:r>
      <w:r>
        <w:rPr>
          <w:sz w:val="16"/>
        </w:rPr>
        <w:t>or</w:t>
      </w:r>
      <w:r>
        <w:rPr>
          <w:spacing w:val="-4"/>
          <w:sz w:val="16"/>
        </w:rPr>
        <w:t xml:space="preserve"> </w:t>
      </w:r>
      <w:r>
        <w:rPr>
          <w:sz w:val="16"/>
        </w:rPr>
        <w:t>APESB</w:t>
      </w:r>
      <w:r>
        <w:rPr>
          <w:spacing w:val="-2"/>
          <w:sz w:val="16"/>
        </w:rPr>
        <w:t xml:space="preserve"> Standards.</w:t>
      </w:r>
    </w:p>
    <w:p w14:paraId="1E805C89" w14:textId="77777777" w:rsidR="00AA4A02" w:rsidRDefault="00960F31">
      <w:pPr>
        <w:spacing w:line="161" w:lineRule="exact"/>
        <w:ind w:left="143"/>
        <w:rPr>
          <w:sz w:val="16"/>
        </w:rPr>
      </w:pPr>
      <w:r>
        <w:rPr>
          <w:sz w:val="16"/>
          <w:vertAlign w:val="superscript"/>
        </w:rPr>
        <w:t>69</w:t>
      </w:r>
      <w:r>
        <w:rPr>
          <w:spacing w:val="39"/>
          <w:sz w:val="16"/>
        </w:rPr>
        <w:t xml:space="preserve">  </w:t>
      </w:r>
      <w:r>
        <w:rPr>
          <w:sz w:val="16"/>
        </w:rPr>
        <w:t>See</w:t>
      </w:r>
      <w:r>
        <w:rPr>
          <w:spacing w:val="-2"/>
          <w:sz w:val="16"/>
        </w:rPr>
        <w:t xml:space="preserve"> </w:t>
      </w:r>
      <w:r>
        <w:rPr>
          <w:i/>
          <w:sz w:val="16"/>
        </w:rPr>
        <w:t>AUASB</w:t>
      </w:r>
      <w:r>
        <w:rPr>
          <w:i/>
          <w:spacing w:val="-6"/>
          <w:sz w:val="16"/>
        </w:rPr>
        <w:t xml:space="preserve"> </w:t>
      </w:r>
      <w:r>
        <w:rPr>
          <w:i/>
          <w:sz w:val="16"/>
        </w:rPr>
        <w:t>Policy</w:t>
      </w:r>
      <w:r>
        <w:rPr>
          <w:i/>
          <w:spacing w:val="-5"/>
          <w:sz w:val="16"/>
        </w:rPr>
        <w:t xml:space="preserve"> </w:t>
      </w:r>
      <w:r>
        <w:rPr>
          <w:i/>
          <w:sz w:val="16"/>
        </w:rPr>
        <w:t>and</w:t>
      </w:r>
      <w:r>
        <w:rPr>
          <w:i/>
          <w:spacing w:val="-3"/>
          <w:sz w:val="16"/>
        </w:rPr>
        <w:t xml:space="preserve"> </w:t>
      </w:r>
      <w:r>
        <w:rPr>
          <w:i/>
          <w:sz w:val="16"/>
        </w:rPr>
        <w:t>Process</w:t>
      </w:r>
      <w:r>
        <w:rPr>
          <w:i/>
          <w:spacing w:val="-6"/>
          <w:sz w:val="16"/>
        </w:rPr>
        <w:t xml:space="preserve"> </w:t>
      </w:r>
      <w:r>
        <w:rPr>
          <w:i/>
          <w:sz w:val="16"/>
        </w:rPr>
        <w:t>for</w:t>
      </w:r>
      <w:r>
        <w:rPr>
          <w:i/>
          <w:spacing w:val="-4"/>
          <w:sz w:val="16"/>
        </w:rPr>
        <w:t xml:space="preserve"> </w:t>
      </w:r>
      <w:r>
        <w:rPr>
          <w:i/>
          <w:sz w:val="16"/>
        </w:rPr>
        <w:t>International</w:t>
      </w:r>
      <w:r>
        <w:rPr>
          <w:i/>
          <w:spacing w:val="-5"/>
          <w:sz w:val="16"/>
        </w:rPr>
        <w:t xml:space="preserve"> </w:t>
      </w:r>
      <w:r>
        <w:rPr>
          <w:i/>
          <w:sz w:val="16"/>
        </w:rPr>
        <w:t>Conformance</w:t>
      </w:r>
      <w:r>
        <w:rPr>
          <w:i/>
          <w:spacing w:val="-6"/>
          <w:sz w:val="16"/>
        </w:rPr>
        <w:t xml:space="preserve"> </w:t>
      </w:r>
      <w:r>
        <w:rPr>
          <w:i/>
          <w:sz w:val="16"/>
        </w:rPr>
        <w:t>and</w:t>
      </w:r>
      <w:r>
        <w:rPr>
          <w:i/>
          <w:spacing w:val="-5"/>
          <w:sz w:val="16"/>
        </w:rPr>
        <w:t xml:space="preserve"> </w:t>
      </w:r>
      <w:r>
        <w:rPr>
          <w:i/>
          <w:sz w:val="16"/>
        </w:rPr>
        <w:t>Harmonisation</w:t>
      </w:r>
      <w:r>
        <w:rPr>
          <w:i/>
          <w:spacing w:val="-5"/>
          <w:sz w:val="16"/>
        </w:rPr>
        <w:t xml:space="preserve"> </w:t>
      </w:r>
      <w:r>
        <w:rPr>
          <w:i/>
          <w:sz w:val="16"/>
        </w:rPr>
        <w:t>of</w:t>
      </w:r>
      <w:r>
        <w:rPr>
          <w:i/>
          <w:spacing w:val="-4"/>
          <w:sz w:val="16"/>
        </w:rPr>
        <w:t xml:space="preserve"> </w:t>
      </w:r>
      <w:r>
        <w:rPr>
          <w:i/>
          <w:spacing w:val="-2"/>
          <w:sz w:val="16"/>
        </w:rPr>
        <w:t>Standards</w:t>
      </w:r>
      <w:r>
        <w:rPr>
          <w:spacing w:val="-2"/>
          <w:sz w:val="16"/>
        </w:rPr>
        <w:t>.</w:t>
      </w:r>
    </w:p>
    <w:p w14:paraId="1E805C8A" w14:textId="77777777" w:rsidR="00AA4A02" w:rsidRDefault="00960F31">
      <w:pPr>
        <w:spacing w:line="160" w:lineRule="exact"/>
        <w:ind w:left="143"/>
        <w:rPr>
          <w:sz w:val="16"/>
        </w:rPr>
      </w:pPr>
      <w:r>
        <w:rPr>
          <w:sz w:val="16"/>
          <w:vertAlign w:val="superscript"/>
        </w:rPr>
        <w:t>70</w:t>
      </w:r>
      <w:r>
        <w:rPr>
          <w:spacing w:val="40"/>
          <w:sz w:val="16"/>
        </w:rPr>
        <w:t xml:space="preserve">  </w:t>
      </w:r>
      <w:r>
        <w:rPr>
          <w:sz w:val="16"/>
        </w:rPr>
        <w:t>See</w:t>
      </w:r>
      <w:r>
        <w:rPr>
          <w:spacing w:val="-1"/>
          <w:sz w:val="16"/>
        </w:rPr>
        <w:t xml:space="preserve"> </w:t>
      </w:r>
      <w:r>
        <w:rPr>
          <w:sz w:val="16"/>
        </w:rPr>
        <w:t>Section</w:t>
      </w:r>
      <w:r>
        <w:rPr>
          <w:spacing w:val="-3"/>
          <w:sz w:val="16"/>
        </w:rPr>
        <w:t xml:space="preserve"> </w:t>
      </w:r>
      <w:r>
        <w:rPr>
          <w:sz w:val="16"/>
        </w:rPr>
        <w:t>IV</w:t>
      </w:r>
      <w:r>
        <w:rPr>
          <w:spacing w:val="-4"/>
          <w:sz w:val="16"/>
        </w:rPr>
        <w:t xml:space="preserve"> </w:t>
      </w:r>
      <w:r>
        <w:rPr>
          <w:sz w:val="16"/>
        </w:rPr>
        <w:t>of</w:t>
      </w:r>
      <w:r>
        <w:rPr>
          <w:spacing w:val="-7"/>
          <w:sz w:val="16"/>
        </w:rPr>
        <w:t xml:space="preserve"> </w:t>
      </w:r>
      <w:r>
        <w:rPr>
          <w:sz w:val="16"/>
        </w:rPr>
        <w:t>this</w:t>
      </w:r>
      <w:r>
        <w:rPr>
          <w:spacing w:val="-5"/>
          <w:sz w:val="16"/>
        </w:rPr>
        <w:t xml:space="preserve"> </w:t>
      </w:r>
      <w:r>
        <w:rPr>
          <w:sz w:val="16"/>
        </w:rPr>
        <w:t>document</w:t>
      </w:r>
      <w:r>
        <w:rPr>
          <w:spacing w:val="-4"/>
          <w:sz w:val="16"/>
        </w:rPr>
        <w:t xml:space="preserve"> </w:t>
      </w:r>
      <w:r>
        <w:rPr>
          <w:sz w:val="16"/>
        </w:rPr>
        <w:t>under</w:t>
      </w:r>
      <w:r>
        <w:rPr>
          <w:spacing w:val="-5"/>
          <w:sz w:val="16"/>
        </w:rPr>
        <w:t xml:space="preserve"> </w:t>
      </w:r>
      <w:r>
        <w:rPr>
          <w:sz w:val="16"/>
        </w:rPr>
        <w:t>the</w:t>
      </w:r>
      <w:r>
        <w:rPr>
          <w:spacing w:val="-2"/>
          <w:sz w:val="16"/>
        </w:rPr>
        <w:t xml:space="preserve"> </w:t>
      </w:r>
      <w:r>
        <w:rPr>
          <w:sz w:val="16"/>
        </w:rPr>
        <w:t>subheading</w:t>
      </w:r>
      <w:r>
        <w:rPr>
          <w:spacing w:val="-5"/>
          <w:sz w:val="16"/>
        </w:rPr>
        <w:t xml:space="preserve"> </w:t>
      </w:r>
      <w:r>
        <w:rPr>
          <w:sz w:val="16"/>
        </w:rPr>
        <w:t>“Choice</w:t>
      </w:r>
      <w:r>
        <w:rPr>
          <w:spacing w:val="-5"/>
          <w:sz w:val="16"/>
        </w:rPr>
        <w:t xml:space="preserve"> </w:t>
      </w:r>
      <w:r>
        <w:rPr>
          <w:sz w:val="16"/>
        </w:rPr>
        <w:t>of</w:t>
      </w:r>
      <w:r>
        <w:rPr>
          <w:spacing w:val="-5"/>
          <w:sz w:val="16"/>
        </w:rPr>
        <w:t xml:space="preserve"> </w:t>
      </w:r>
      <w:r>
        <w:rPr>
          <w:sz w:val="16"/>
        </w:rPr>
        <w:t>Pronouncement</w:t>
      </w:r>
      <w:r>
        <w:rPr>
          <w:spacing w:val="-4"/>
          <w:sz w:val="16"/>
        </w:rPr>
        <w:t xml:space="preserve"> </w:t>
      </w:r>
      <w:r>
        <w:rPr>
          <w:sz w:val="16"/>
        </w:rPr>
        <w:t>or</w:t>
      </w:r>
      <w:r>
        <w:rPr>
          <w:spacing w:val="-4"/>
          <w:sz w:val="16"/>
        </w:rPr>
        <w:t xml:space="preserve"> </w:t>
      </w:r>
      <w:r>
        <w:rPr>
          <w:spacing w:val="-2"/>
          <w:sz w:val="16"/>
        </w:rPr>
        <w:t>Publication”.</w:t>
      </w:r>
    </w:p>
    <w:p w14:paraId="1E805C8B" w14:textId="77777777" w:rsidR="00AA4A02" w:rsidRDefault="00960F31">
      <w:pPr>
        <w:spacing w:before="7" w:line="208" w:lineRule="auto"/>
        <w:ind w:left="427" w:right="246" w:hanging="284"/>
        <w:rPr>
          <w:sz w:val="16"/>
        </w:rPr>
      </w:pPr>
      <w:r>
        <w:rPr>
          <w:sz w:val="16"/>
          <w:vertAlign w:val="superscript"/>
        </w:rPr>
        <w:t>71</w:t>
      </w:r>
      <w:r>
        <w:rPr>
          <w:spacing w:val="80"/>
          <w:w w:val="150"/>
          <w:sz w:val="16"/>
        </w:rPr>
        <w:t xml:space="preserve"> </w:t>
      </w:r>
      <w:r>
        <w:rPr>
          <w:sz w:val="16"/>
        </w:rPr>
        <w:t>Formal</w:t>
      </w:r>
      <w:r>
        <w:rPr>
          <w:spacing w:val="-2"/>
          <w:sz w:val="16"/>
        </w:rPr>
        <w:t xml:space="preserve"> </w:t>
      </w:r>
      <w:r>
        <w:rPr>
          <w:sz w:val="16"/>
        </w:rPr>
        <w:t>Project Plans</w:t>
      </w:r>
      <w:r>
        <w:rPr>
          <w:spacing w:val="-1"/>
          <w:sz w:val="16"/>
        </w:rPr>
        <w:t xml:space="preserve"> </w:t>
      </w:r>
      <w:r>
        <w:rPr>
          <w:sz w:val="16"/>
        </w:rPr>
        <w:t>(using</w:t>
      </w:r>
      <w:r>
        <w:rPr>
          <w:spacing w:val="-2"/>
          <w:sz w:val="16"/>
        </w:rPr>
        <w:t xml:space="preserve"> </w:t>
      </w:r>
      <w:r>
        <w:rPr>
          <w:sz w:val="16"/>
        </w:rPr>
        <w:t xml:space="preserve">the </w:t>
      </w:r>
      <w:r>
        <w:rPr>
          <w:i/>
          <w:sz w:val="16"/>
        </w:rPr>
        <w:t>AUASB</w:t>
      </w:r>
      <w:r>
        <w:rPr>
          <w:i/>
          <w:spacing w:val="-1"/>
          <w:sz w:val="16"/>
        </w:rPr>
        <w:t xml:space="preserve"> </w:t>
      </w:r>
      <w:r>
        <w:rPr>
          <w:i/>
          <w:sz w:val="16"/>
        </w:rPr>
        <w:t>Project</w:t>
      </w:r>
      <w:r>
        <w:rPr>
          <w:i/>
          <w:spacing w:val="-2"/>
          <w:sz w:val="16"/>
        </w:rPr>
        <w:t xml:space="preserve"> </w:t>
      </w:r>
      <w:r>
        <w:rPr>
          <w:i/>
          <w:sz w:val="16"/>
        </w:rPr>
        <w:t>Plan Template</w:t>
      </w:r>
      <w:r>
        <w:rPr>
          <w:sz w:val="16"/>
        </w:rPr>
        <w:t>)</w:t>
      </w:r>
      <w:r>
        <w:rPr>
          <w:spacing w:val="-4"/>
          <w:sz w:val="16"/>
        </w:rPr>
        <w:t xml:space="preserve"> </w:t>
      </w:r>
      <w:r>
        <w:rPr>
          <w:sz w:val="16"/>
        </w:rPr>
        <w:t>are a</w:t>
      </w:r>
      <w:r>
        <w:rPr>
          <w:spacing w:val="-3"/>
          <w:sz w:val="16"/>
        </w:rPr>
        <w:t xml:space="preserve"> </w:t>
      </w:r>
      <w:r>
        <w:rPr>
          <w:sz w:val="16"/>
        </w:rPr>
        <w:t>requirement for</w:t>
      </w:r>
      <w:r>
        <w:rPr>
          <w:spacing w:val="-2"/>
          <w:sz w:val="16"/>
        </w:rPr>
        <w:t xml:space="preserve"> </w:t>
      </w:r>
      <w:r>
        <w:rPr>
          <w:sz w:val="16"/>
        </w:rPr>
        <w:t>all</w:t>
      </w:r>
      <w:r>
        <w:rPr>
          <w:spacing w:val="-2"/>
          <w:sz w:val="16"/>
        </w:rPr>
        <w:t xml:space="preserve"> </w:t>
      </w:r>
      <w:r>
        <w:rPr>
          <w:sz w:val="16"/>
        </w:rPr>
        <w:t>major</w:t>
      </w:r>
      <w:r>
        <w:rPr>
          <w:spacing w:val="-4"/>
          <w:sz w:val="16"/>
        </w:rPr>
        <w:t xml:space="preserve"> </w:t>
      </w:r>
      <w:r>
        <w:rPr>
          <w:sz w:val="16"/>
        </w:rPr>
        <w:t>projects</w:t>
      </w:r>
      <w:r>
        <w:rPr>
          <w:spacing w:val="-3"/>
          <w:sz w:val="16"/>
        </w:rPr>
        <w:t xml:space="preserve"> </w:t>
      </w:r>
      <w:r>
        <w:rPr>
          <w:sz w:val="16"/>
        </w:rPr>
        <w:t>such as</w:t>
      </w:r>
      <w:r>
        <w:rPr>
          <w:spacing w:val="-3"/>
          <w:sz w:val="16"/>
        </w:rPr>
        <w:t xml:space="preserve"> </w:t>
      </w:r>
      <w:r>
        <w:rPr>
          <w:sz w:val="16"/>
        </w:rPr>
        <w:t>the development</w:t>
      </w:r>
      <w:r>
        <w:rPr>
          <w:spacing w:val="-2"/>
          <w:sz w:val="16"/>
        </w:rPr>
        <w:t xml:space="preserve"> </w:t>
      </w:r>
      <w:r>
        <w:rPr>
          <w:sz w:val="16"/>
        </w:rPr>
        <w:t>of</w:t>
      </w:r>
      <w:r>
        <w:rPr>
          <w:spacing w:val="-4"/>
          <w:sz w:val="16"/>
        </w:rPr>
        <w:t xml:space="preserve"> </w:t>
      </w:r>
      <w:r>
        <w:rPr>
          <w:sz w:val="16"/>
        </w:rPr>
        <w:t>a</w:t>
      </w:r>
      <w:r>
        <w:rPr>
          <w:spacing w:val="40"/>
          <w:sz w:val="16"/>
        </w:rPr>
        <w:t xml:space="preserve"> </w:t>
      </w:r>
      <w:r>
        <w:rPr>
          <w:sz w:val="16"/>
        </w:rPr>
        <w:t>new standard and for comprehensive revision of an existing standard.</w:t>
      </w:r>
    </w:p>
    <w:p w14:paraId="1E805C8C" w14:textId="77777777" w:rsidR="00AA4A02" w:rsidRDefault="00AA4A02">
      <w:pPr>
        <w:spacing w:line="208" w:lineRule="auto"/>
        <w:rPr>
          <w:sz w:val="16"/>
        </w:rPr>
        <w:sectPr w:rsidR="00AA4A02">
          <w:headerReference w:type="default" r:id="rId113"/>
          <w:footerReference w:type="default" r:id="rId114"/>
          <w:pgSz w:w="11910" w:h="16840"/>
          <w:pgMar w:top="1140" w:right="1275" w:bottom="1040" w:left="1275" w:header="689" w:footer="842" w:gutter="0"/>
          <w:cols w:space="720"/>
        </w:sectPr>
      </w:pPr>
    </w:p>
    <w:p w14:paraId="1E805C8D" w14:textId="77777777" w:rsidR="00AA4A02" w:rsidRDefault="00960F31">
      <w:pPr>
        <w:pStyle w:val="ListParagraph"/>
        <w:numPr>
          <w:ilvl w:val="1"/>
          <w:numId w:val="14"/>
        </w:numPr>
        <w:tabs>
          <w:tab w:val="left" w:pos="2128"/>
        </w:tabs>
        <w:spacing w:before="228" w:line="194" w:lineRule="auto"/>
        <w:ind w:right="276"/>
      </w:pPr>
      <w:r>
        <w:lastRenderedPageBreak/>
        <w:t>information</w:t>
      </w:r>
      <w:r>
        <w:rPr>
          <w:spacing w:val="-4"/>
        </w:rPr>
        <w:t xml:space="preserve"> </w:t>
      </w:r>
      <w:r>
        <w:t>gathering</w:t>
      </w:r>
      <w:r>
        <w:rPr>
          <w:spacing w:val="-4"/>
        </w:rPr>
        <w:t xml:space="preserve"> </w:t>
      </w:r>
      <w:r>
        <w:t>activities</w:t>
      </w:r>
      <w:r>
        <w:rPr>
          <w:spacing w:val="-4"/>
        </w:rPr>
        <w:t xml:space="preserve"> </w:t>
      </w:r>
      <w:r>
        <w:t>undertaken</w:t>
      </w:r>
      <w:r>
        <w:rPr>
          <w:spacing w:val="-4"/>
        </w:rPr>
        <w:t xml:space="preserve"> </w:t>
      </w:r>
      <w:r>
        <w:t>by</w:t>
      </w:r>
      <w:r>
        <w:rPr>
          <w:spacing w:val="-5"/>
        </w:rPr>
        <w:t xml:space="preserve"> </w:t>
      </w:r>
      <w:r>
        <w:t>technical</w:t>
      </w:r>
      <w:r>
        <w:rPr>
          <w:spacing w:val="-3"/>
        </w:rPr>
        <w:t xml:space="preserve"> </w:t>
      </w:r>
      <w:r>
        <w:t>staff</w:t>
      </w:r>
      <w:r>
        <w:rPr>
          <w:spacing w:val="-5"/>
        </w:rPr>
        <w:t xml:space="preserve"> </w:t>
      </w:r>
      <w:r>
        <w:t>to</w:t>
      </w:r>
      <w:r>
        <w:rPr>
          <w:spacing w:val="-4"/>
        </w:rPr>
        <w:t xml:space="preserve"> </w:t>
      </w:r>
      <w:r>
        <w:t>understand</w:t>
      </w:r>
      <w:r>
        <w:rPr>
          <w:spacing w:val="-4"/>
        </w:rPr>
        <w:t xml:space="preserve"> </w:t>
      </w:r>
      <w:r>
        <w:t>the problem, how pervasive the problem is, and the stakeholder groups impacted;</w:t>
      </w:r>
    </w:p>
    <w:p w14:paraId="1E805C8E" w14:textId="77777777" w:rsidR="00AA4A02" w:rsidRDefault="00960F31">
      <w:pPr>
        <w:pStyle w:val="ListParagraph"/>
        <w:numPr>
          <w:ilvl w:val="1"/>
          <w:numId w:val="14"/>
        </w:numPr>
        <w:tabs>
          <w:tab w:val="left" w:pos="2128"/>
        </w:tabs>
        <w:spacing w:before="98"/>
        <w:ind w:hanging="566"/>
      </w:pPr>
      <w:r>
        <w:t>the</w:t>
      </w:r>
      <w:r>
        <w:rPr>
          <w:spacing w:val="-7"/>
        </w:rPr>
        <w:t xml:space="preserve"> </w:t>
      </w:r>
      <w:r>
        <w:t>rationale</w:t>
      </w:r>
      <w:r>
        <w:rPr>
          <w:spacing w:val="-5"/>
        </w:rPr>
        <w:t xml:space="preserve"> </w:t>
      </w:r>
      <w:r>
        <w:t>for</w:t>
      </w:r>
      <w:r>
        <w:rPr>
          <w:spacing w:val="-3"/>
        </w:rPr>
        <w:t xml:space="preserve"> </w:t>
      </w:r>
      <w:r>
        <w:t>why</w:t>
      </w:r>
      <w:r>
        <w:rPr>
          <w:spacing w:val="-3"/>
        </w:rPr>
        <w:t xml:space="preserve"> </w:t>
      </w:r>
      <w:r>
        <w:t>the</w:t>
      </w:r>
      <w:r>
        <w:rPr>
          <w:spacing w:val="-3"/>
        </w:rPr>
        <w:t xml:space="preserve"> </w:t>
      </w:r>
      <w:r>
        <w:t>project</w:t>
      </w:r>
      <w:r>
        <w:rPr>
          <w:spacing w:val="-2"/>
        </w:rPr>
        <w:t xml:space="preserve"> </w:t>
      </w:r>
      <w:r>
        <w:t>is</w:t>
      </w:r>
      <w:r>
        <w:rPr>
          <w:spacing w:val="-4"/>
        </w:rPr>
        <w:t xml:space="preserve"> </w:t>
      </w:r>
      <w:r>
        <w:t>considered</w:t>
      </w:r>
      <w:r>
        <w:rPr>
          <w:spacing w:val="-3"/>
        </w:rPr>
        <w:t xml:space="preserve"> </w:t>
      </w:r>
      <w:r>
        <w:t>to</w:t>
      </w:r>
      <w:r>
        <w:rPr>
          <w:spacing w:val="-3"/>
        </w:rPr>
        <w:t xml:space="preserve"> </w:t>
      </w:r>
      <w:r>
        <w:t>be</w:t>
      </w:r>
      <w:r>
        <w:rPr>
          <w:spacing w:val="-4"/>
        </w:rPr>
        <w:t xml:space="preserve"> </w:t>
      </w:r>
      <w:r>
        <w:t>‘narrow-</w:t>
      </w:r>
      <w:r>
        <w:rPr>
          <w:spacing w:val="-2"/>
        </w:rPr>
        <w:t>scope’;</w:t>
      </w:r>
    </w:p>
    <w:p w14:paraId="1E805C8F" w14:textId="77777777" w:rsidR="00AA4A02" w:rsidRDefault="00960F31">
      <w:pPr>
        <w:pStyle w:val="ListParagraph"/>
        <w:numPr>
          <w:ilvl w:val="1"/>
          <w:numId w:val="14"/>
        </w:numPr>
        <w:tabs>
          <w:tab w:val="left" w:pos="2128"/>
        </w:tabs>
        <w:spacing w:before="97" w:line="201" w:lineRule="auto"/>
        <w:ind w:right="463"/>
      </w:pPr>
      <w:r>
        <w:t>the</w:t>
      </w:r>
      <w:r>
        <w:rPr>
          <w:spacing w:val="-4"/>
        </w:rPr>
        <w:t xml:space="preserve"> </w:t>
      </w:r>
      <w:r>
        <w:t>rationale</w:t>
      </w:r>
      <w:r>
        <w:rPr>
          <w:spacing w:val="-4"/>
        </w:rPr>
        <w:t xml:space="preserve"> </w:t>
      </w:r>
      <w:r>
        <w:t>for</w:t>
      </w:r>
      <w:r>
        <w:rPr>
          <w:spacing w:val="-2"/>
        </w:rPr>
        <w:t xml:space="preserve"> </w:t>
      </w:r>
      <w:r>
        <w:t>why</w:t>
      </w:r>
      <w:r>
        <w:rPr>
          <w:spacing w:val="-2"/>
        </w:rPr>
        <w:t xml:space="preserve"> </w:t>
      </w:r>
      <w:r>
        <w:t>a</w:t>
      </w:r>
      <w:r>
        <w:rPr>
          <w:spacing w:val="-4"/>
        </w:rPr>
        <w:t xml:space="preserve"> </w:t>
      </w:r>
      <w:r>
        <w:t>standard-setting</w:t>
      </w:r>
      <w:r>
        <w:rPr>
          <w:spacing w:val="-5"/>
        </w:rPr>
        <w:t xml:space="preserve"> </w:t>
      </w:r>
      <w:r>
        <w:t>solution</w:t>
      </w:r>
      <w:r>
        <w:rPr>
          <w:spacing w:val="-2"/>
        </w:rPr>
        <w:t xml:space="preserve"> </w:t>
      </w:r>
      <w:r>
        <w:t>is</w:t>
      </w:r>
      <w:r>
        <w:rPr>
          <w:spacing w:val="-2"/>
        </w:rPr>
        <w:t xml:space="preserve"> </w:t>
      </w:r>
      <w:r>
        <w:t>recommended</w:t>
      </w:r>
      <w:r>
        <w:rPr>
          <w:spacing w:val="-5"/>
        </w:rPr>
        <w:t xml:space="preserve"> </w:t>
      </w:r>
      <w:r>
        <w:t>as</w:t>
      </w:r>
      <w:r>
        <w:rPr>
          <w:spacing w:val="-4"/>
        </w:rPr>
        <w:t xml:space="preserve"> </w:t>
      </w:r>
      <w:r>
        <w:t>the</w:t>
      </w:r>
      <w:r>
        <w:rPr>
          <w:spacing w:val="-4"/>
        </w:rPr>
        <w:t xml:space="preserve"> </w:t>
      </w:r>
      <w:r>
        <w:t>most appropriate response to address identified issues having regard to the public interest in Australia and taking account of the factors outlined in</w:t>
      </w:r>
    </w:p>
    <w:p w14:paraId="1E805C90" w14:textId="77777777" w:rsidR="00AA4A02" w:rsidRDefault="00960F31">
      <w:pPr>
        <w:pStyle w:val="BodyText"/>
        <w:spacing w:line="229" w:lineRule="exact"/>
        <w:ind w:left="2128"/>
      </w:pPr>
      <w:r>
        <w:t>paragraphs</w:t>
      </w:r>
      <w:r>
        <w:rPr>
          <w:spacing w:val="-2"/>
        </w:rPr>
        <w:t xml:space="preserve"> </w:t>
      </w:r>
      <w:r>
        <w:t>24-34</w:t>
      </w:r>
      <w:r>
        <w:rPr>
          <w:spacing w:val="-3"/>
        </w:rPr>
        <w:t xml:space="preserve"> </w:t>
      </w:r>
      <w:r>
        <w:t>of</w:t>
      </w:r>
      <w:r>
        <w:rPr>
          <w:spacing w:val="-2"/>
        </w:rPr>
        <w:t xml:space="preserve"> </w:t>
      </w:r>
      <w:r>
        <w:t>this</w:t>
      </w:r>
      <w:r>
        <w:rPr>
          <w:spacing w:val="-4"/>
        </w:rPr>
        <w:t xml:space="preserve"> </w:t>
      </w:r>
      <w:r>
        <w:rPr>
          <w:spacing w:val="-2"/>
        </w:rPr>
        <w:t>document;</w:t>
      </w:r>
    </w:p>
    <w:p w14:paraId="1E805C91" w14:textId="77777777" w:rsidR="00AA4A02" w:rsidRDefault="00960F31">
      <w:pPr>
        <w:pStyle w:val="ListParagraph"/>
        <w:numPr>
          <w:ilvl w:val="1"/>
          <w:numId w:val="14"/>
        </w:numPr>
        <w:tabs>
          <w:tab w:val="left" w:pos="2128"/>
        </w:tabs>
        <w:spacing w:before="116" w:line="201" w:lineRule="auto"/>
        <w:ind w:right="512"/>
      </w:pPr>
      <w:r>
        <w:t>why there is an urgency to make narrow-scope amendments to an existing standard</w:t>
      </w:r>
      <w:r>
        <w:rPr>
          <w:spacing w:val="-5"/>
        </w:rPr>
        <w:t xml:space="preserve"> </w:t>
      </w:r>
      <w:r>
        <w:t>instead</w:t>
      </w:r>
      <w:r>
        <w:rPr>
          <w:spacing w:val="-2"/>
        </w:rPr>
        <w:t xml:space="preserve"> </w:t>
      </w:r>
      <w:r>
        <w:t>of</w:t>
      </w:r>
      <w:r>
        <w:rPr>
          <w:spacing w:val="-2"/>
        </w:rPr>
        <w:t xml:space="preserve"> </w:t>
      </w:r>
      <w:r>
        <w:t>waiting</w:t>
      </w:r>
      <w:r>
        <w:rPr>
          <w:spacing w:val="-5"/>
        </w:rPr>
        <w:t xml:space="preserve"> </w:t>
      </w:r>
      <w:r>
        <w:t>for</w:t>
      </w:r>
      <w:r>
        <w:rPr>
          <w:spacing w:val="-2"/>
        </w:rPr>
        <w:t xml:space="preserve"> </w:t>
      </w:r>
      <w:r>
        <w:t>a</w:t>
      </w:r>
      <w:r>
        <w:rPr>
          <w:spacing w:val="-2"/>
        </w:rPr>
        <w:t xml:space="preserve"> </w:t>
      </w:r>
      <w:r>
        <w:t>full-scope</w:t>
      </w:r>
      <w:r>
        <w:rPr>
          <w:spacing w:val="-4"/>
        </w:rPr>
        <w:t xml:space="preserve"> </w:t>
      </w:r>
      <w:r>
        <w:t>revision</w:t>
      </w:r>
      <w:r>
        <w:rPr>
          <w:spacing w:val="-2"/>
        </w:rPr>
        <w:t xml:space="preserve"> </w:t>
      </w:r>
      <w:r>
        <w:t>of</w:t>
      </w:r>
      <w:r>
        <w:rPr>
          <w:spacing w:val="-6"/>
        </w:rPr>
        <w:t xml:space="preserve"> </w:t>
      </w:r>
      <w:r>
        <w:t>the</w:t>
      </w:r>
      <w:r>
        <w:rPr>
          <w:spacing w:val="-2"/>
        </w:rPr>
        <w:t xml:space="preserve"> </w:t>
      </w:r>
      <w:r>
        <w:t>standard</w:t>
      </w:r>
      <w:r>
        <w:rPr>
          <w:spacing w:val="-2"/>
        </w:rPr>
        <w:t xml:space="preserve"> </w:t>
      </w:r>
      <w:r>
        <w:t>at</w:t>
      </w:r>
      <w:r>
        <w:rPr>
          <w:spacing w:val="-3"/>
        </w:rPr>
        <w:t xml:space="preserve"> </w:t>
      </w:r>
      <w:r>
        <w:t>a</w:t>
      </w:r>
      <w:r>
        <w:rPr>
          <w:spacing w:val="-2"/>
        </w:rPr>
        <w:t xml:space="preserve"> </w:t>
      </w:r>
      <w:r>
        <w:t>later stage; and</w:t>
      </w:r>
    </w:p>
    <w:p w14:paraId="1E805C92" w14:textId="77777777" w:rsidR="00AA4A02" w:rsidRDefault="00960F31">
      <w:pPr>
        <w:pStyle w:val="ListParagraph"/>
        <w:numPr>
          <w:ilvl w:val="1"/>
          <w:numId w:val="14"/>
        </w:numPr>
        <w:tabs>
          <w:tab w:val="left" w:pos="2128"/>
        </w:tabs>
        <w:spacing w:before="129" w:line="194" w:lineRule="auto"/>
        <w:ind w:right="317"/>
      </w:pPr>
      <w:r>
        <w:t>whether</w:t>
      </w:r>
      <w:r>
        <w:rPr>
          <w:spacing w:val="-3"/>
        </w:rPr>
        <w:t xml:space="preserve"> </w:t>
      </w:r>
      <w:r>
        <w:t>the</w:t>
      </w:r>
      <w:r>
        <w:rPr>
          <w:spacing w:val="-3"/>
        </w:rPr>
        <w:t xml:space="preserve"> </w:t>
      </w:r>
      <w:r>
        <w:t>project</w:t>
      </w:r>
      <w:r>
        <w:rPr>
          <w:spacing w:val="-5"/>
        </w:rPr>
        <w:t xml:space="preserve"> </w:t>
      </w:r>
      <w:r>
        <w:t>is</w:t>
      </w:r>
      <w:r>
        <w:rPr>
          <w:spacing w:val="-5"/>
        </w:rPr>
        <w:t xml:space="preserve"> </w:t>
      </w:r>
      <w:r>
        <w:t>likely</w:t>
      </w:r>
      <w:r>
        <w:rPr>
          <w:spacing w:val="-6"/>
        </w:rPr>
        <w:t xml:space="preserve"> </w:t>
      </w:r>
      <w:r>
        <w:t>to</w:t>
      </w:r>
      <w:r>
        <w:rPr>
          <w:spacing w:val="-3"/>
        </w:rPr>
        <w:t xml:space="preserve"> </w:t>
      </w:r>
      <w:r>
        <w:t>effectively</w:t>
      </w:r>
      <w:r>
        <w:rPr>
          <w:spacing w:val="-3"/>
        </w:rPr>
        <w:t xml:space="preserve"> </w:t>
      </w:r>
      <w:r>
        <w:t>address</w:t>
      </w:r>
      <w:r>
        <w:rPr>
          <w:spacing w:val="-5"/>
        </w:rPr>
        <w:t xml:space="preserve"> </w:t>
      </w:r>
      <w:r>
        <w:t>the</w:t>
      </w:r>
      <w:r>
        <w:rPr>
          <w:spacing w:val="-3"/>
        </w:rPr>
        <w:t xml:space="preserve"> </w:t>
      </w:r>
      <w:r>
        <w:t>underlying</w:t>
      </w:r>
      <w:r>
        <w:rPr>
          <w:spacing w:val="-3"/>
        </w:rPr>
        <w:t xml:space="preserve"> </w:t>
      </w:r>
      <w:r>
        <w:t>issues(s)</w:t>
      </w:r>
      <w:r>
        <w:rPr>
          <w:spacing w:val="-2"/>
        </w:rPr>
        <w:t xml:space="preserve"> </w:t>
      </w:r>
      <w:r>
        <w:t>and how achievement of project objectives takes into account the public interest;</w:t>
      </w:r>
    </w:p>
    <w:p w14:paraId="1E805C93" w14:textId="77777777" w:rsidR="00AA4A02" w:rsidRDefault="00960F31">
      <w:pPr>
        <w:pStyle w:val="ListParagraph"/>
        <w:numPr>
          <w:ilvl w:val="0"/>
          <w:numId w:val="14"/>
        </w:numPr>
        <w:tabs>
          <w:tab w:val="left" w:pos="1562"/>
        </w:tabs>
        <w:spacing w:before="109" w:line="208" w:lineRule="auto"/>
        <w:ind w:right="1400"/>
      </w:pPr>
      <w:r>
        <w:t>the</w:t>
      </w:r>
      <w:r>
        <w:rPr>
          <w:spacing w:val="-3"/>
        </w:rPr>
        <w:t xml:space="preserve"> </w:t>
      </w:r>
      <w:r>
        <w:t>underlying</w:t>
      </w:r>
      <w:r>
        <w:rPr>
          <w:spacing w:val="-5"/>
        </w:rPr>
        <w:t xml:space="preserve"> </w:t>
      </w:r>
      <w:r>
        <w:t>issues</w:t>
      </w:r>
      <w:r>
        <w:rPr>
          <w:spacing w:val="-5"/>
        </w:rPr>
        <w:t xml:space="preserve"> </w:t>
      </w:r>
      <w:r>
        <w:t>to</w:t>
      </w:r>
      <w:r>
        <w:rPr>
          <w:spacing w:val="-3"/>
        </w:rPr>
        <w:t xml:space="preserve"> </w:t>
      </w:r>
      <w:r>
        <w:t>be</w:t>
      </w:r>
      <w:r>
        <w:rPr>
          <w:spacing w:val="-5"/>
        </w:rPr>
        <w:t xml:space="preserve"> </w:t>
      </w:r>
      <w:r>
        <w:t>addressed</w:t>
      </w:r>
      <w:r>
        <w:rPr>
          <w:spacing w:val="-1"/>
        </w:rPr>
        <w:t xml:space="preserve"> </w:t>
      </w:r>
      <w:r>
        <w:t>by</w:t>
      </w:r>
      <w:r>
        <w:rPr>
          <w:spacing w:val="-5"/>
        </w:rPr>
        <w:t xml:space="preserve"> </w:t>
      </w:r>
      <w:r>
        <w:t>the</w:t>
      </w:r>
      <w:r>
        <w:rPr>
          <w:spacing w:val="-3"/>
        </w:rPr>
        <w:t xml:space="preserve"> </w:t>
      </w:r>
      <w:r>
        <w:t>AUASB,</w:t>
      </w:r>
      <w:r>
        <w:rPr>
          <w:spacing w:val="-5"/>
        </w:rPr>
        <w:t xml:space="preserve"> </w:t>
      </w:r>
      <w:r>
        <w:t>and</w:t>
      </w:r>
      <w:r>
        <w:rPr>
          <w:spacing w:val="-3"/>
        </w:rPr>
        <w:t xml:space="preserve"> </w:t>
      </w:r>
      <w:r>
        <w:t>technical</w:t>
      </w:r>
      <w:r>
        <w:rPr>
          <w:spacing w:val="-2"/>
        </w:rPr>
        <w:t xml:space="preserve"> </w:t>
      </w:r>
      <w:r>
        <w:t>staff recommended actions to respond to issues;</w:t>
      </w:r>
    </w:p>
    <w:p w14:paraId="1E805C94" w14:textId="77777777" w:rsidR="00AA4A02" w:rsidRDefault="00960F31">
      <w:pPr>
        <w:pStyle w:val="ListParagraph"/>
        <w:numPr>
          <w:ilvl w:val="0"/>
          <w:numId w:val="14"/>
        </w:numPr>
        <w:tabs>
          <w:tab w:val="left" w:pos="1562"/>
        </w:tabs>
        <w:spacing w:before="107" w:line="208" w:lineRule="auto"/>
        <w:ind w:right="351"/>
      </w:pPr>
      <w:r>
        <w:t>application</w:t>
      </w:r>
      <w:r>
        <w:rPr>
          <w:spacing w:val="-2"/>
        </w:rPr>
        <w:t xml:space="preserve"> </w:t>
      </w:r>
      <w:r>
        <w:t>of</w:t>
      </w:r>
      <w:r>
        <w:rPr>
          <w:spacing w:val="-4"/>
        </w:rPr>
        <w:t xml:space="preserve"> </w:t>
      </w:r>
      <w:r>
        <w:t>the</w:t>
      </w:r>
      <w:r>
        <w:rPr>
          <w:spacing w:val="-2"/>
        </w:rPr>
        <w:t xml:space="preserve"> </w:t>
      </w:r>
      <w:r>
        <w:t>Compelling</w:t>
      </w:r>
      <w:r>
        <w:rPr>
          <w:spacing w:val="-2"/>
        </w:rPr>
        <w:t xml:space="preserve"> </w:t>
      </w:r>
      <w:r>
        <w:t>Reasons</w:t>
      </w:r>
      <w:r>
        <w:rPr>
          <w:spacing w:val="-2"/>
        </w:rPr>
        <w:t xml:space="preserve"> </w:t>
      </w:r>
      <w:r>
        <w:t>Test,</w:t>
      </w:r>
      <w:r>
        <w:rPr>
          <w:spacing w:val="-2"/>
        </w:rPr>
        <w:t xml:space="preserve"> </w:t>
      </w:r>
      <w:r>
        <w:t>where</w:t>
      </w:r>
      <w:r>
        <w:rPr>
          <w:spacing w:val="-4"/>
        </w:rPr>
        <w:t xml:space="preserve"> </w:t>
      </w:r>
      <w:r>
        <w:t>compelling</w:t>
      </w:r>
      <w:r>
        <w:rPr>
          <w:spacing w:val="-5"/>
        </w:rPr>
        <w:t xml:space="preserve"> </w:t>
      </w:r>
      <w:r>
        <w:t>reasons</w:t>
      </w:r>
      <w:r>
        <w:rPr>
          <w:spacing w:val="-4"/>
        </w:rPr>
        <w:t xml:space="preserve"> </w:t>
      </w:r>
      <w:r>
        <w:t>to</w:t>
      </w:r>
      <w:r>
        <w:rPr>
          <w:spacing w:val="-5"/>
        </w:rPr>
        <w:t xml:space="preserve"> </w:t>
      </w:r>
      <w:r>
        <w:t>modify</w:t>
      </w:r>
      <w:r>
        <w:rPr>
          <w:spacing w:val="-5"/>
        </w:rPr>
        <w:t xml:space="preserve"> </w:t>
      </w:r>
      <w:r>
        <w:t>an issued international standard have been identified;</w:t>
      </w:r>
    </w:p>
    <w:p w14:paraId="1E805C95" w14:textId="77777777" w:rsidR="00AA4A02" w:rsidRDefault="00960F31">
      <w:pPr>
        <w:pStyle w:val="ListParagraph"/>
        <w:numPr>
          <w:ilvl w:val="0"/>
          <w:numId w:val="14"/>
        </w:numPr>
        <w:tabs>
          <w:tab w:val="left" w:pos="1562"/>
        </w:tabs>
        <w:spacing w:before="105" w:line="208" w:lineRule="auto"/>
        <w:ind w:right="279"/>
      </w:pPr>
      <w:r>
        <w:t>collaboration</w:t>
      </w:r>
      <w:r>
        <w:rPr>
          <w:spacing w:val="-3"/>
        </w:rPr>
        <w:t xml:space="preserve"> </w:t>
      </w:r>
      <w:r>
        <w:t>with</w:t>
      </w:r>
      <w:r>
        <w:rPr>
          <w:spacing w:val="-6"/>
        </w:rPr>
        <w:t xml:space="preserve"> </w:t>
      </w:r>
      <w:r>
        <w:t>the</w:t>
      </w:r>
      <w:r>
        <w:rPr>
          <w:spacing w:val="-3"/>
        </w:rPr>
        <w:t xml:space="preserve"> </w:t>
      </w:r>
      <w:r>
        <w:t>NZAuASB,</w:t>
      </w:r>
      <w:r>
        <w:rPr>
          <w:spacing w:val="-3"/>
        </w:rPr>
        <w:t xml:space="preserve"> </w:t>
      </w:r>
      <w:r>
        <w:t>in</w:t>
      </w:r>
      <w:r>
        <w:rPr>
          <w:spacing w:val="-1"/>
        </w:rPr>
        <w:t xml:space="preserve"> </w:t>
      </w:r>
      <w:r>
        <w:t>particular</w:t>
      </w:r>
      <w:r>
        <w:rPr>
          <w:spacing w:val="-3"/>
        </w:rPr>
        <w:t xml:space="preserve"> </w:t>
      </w:r>
      <w:r>
        <w:t>to</w:t>
      </w:r>
      <w:r>
        <w:rPr>
          <w:spacing w:val="-6"/>
        </w:rPr>
        <w:t xml:space="preserve"> </w:t>
      </w:r>
      <w:r>
        <w:t>identify</w:t>
      </w:r>
      <w:r>
        <w:rPr>
          <w:spacing w:val="-6"/>
        </w:rPr>
        <w:t xml:space="preserve"> </w:t>
      </w:r>
      <w:r>
        <w:t>and</w:t>
      </w:r>
      <w:r>
        <w:rPr>
          <w:spacing w:val="-3"/>
        </w:rPr>
        <w:t xml:space="preserve"> </w:t>
      </w:r>
      <w:r>
        <w:t>discuss</w:t>
      </w:r>
      <w:r>
        <w:rPr>
          <w:spacing w:val="-2"/>
        </w:rPr>
        <w:t xml:space="preserve"> </w:t>
      </w:r>
      <w:r>
        <w:t>Trans-Tasman issues and compelling reason modifications; and</w:t>
      </w:r>
    </w:p>
    <w:p w14:paraId="1E805C96" w14:textId="77777777" w:rsidR="00AA4A02" w:rsidRDefault="00960F31">
      <w:pPr>
        <w:pStyle w:val="ListParagraph"/>
        <w:numPr>
          <w:ilvl w:val="0"/>
          <w:numId w:val="14"/>
        </w:numPr>
        <w:tabs>
          <w:tab w:val="left" w:pos="1562"/>
        </w:tabs>
        <w:spacing w:before="78"/>
      </w:pPr>
      <w:r>
        <w:t>the</w:t>
      </w:r>
      <w:r>
        <w:rPr>
          <w:spacing w:val="-5"/>
        </w:rPr>
        <w:t xml:space="preserve"> </w:t>
      </w:r>
      <w:r>
        <w:t>nature,</w:t>
      </w:r>
      <w:r>
        <w:rPr>
          <w:spacing w:val="-4"/>
        </w:rPr>
        <w:t xml:space="preserve"> </w:t>
      </w:r>
      <w:r>
        <w:t>timing</w:t>
      </w:r>
      <w:r>
        <w:rPr>
          <w:spacing w:val="-3"/>
        </w:rPr>
        <w:t xml:space="preserve"> </w:t>
      </w:r>
      <w:r>
        <w:t>and</w:t>
      </w:r>
      <w:r>
        <w:rPr>
          <w:spacing w:val="-2"/>
        </w:rPr>
        <w:t xml:space="preserve"> </w:t>
      </w:r>
      <w:r>
        <w:t>extent</w:t>
      </w:r>
      <w:r>
        <w:rPr>
          <w:spacing w:val="-1"/>
        </w:rPr>
        <w:t xml:space="preserve"> </w:t>
      </w:r>
      <w:r>
        <w:t>of</w:t>
      </w:r>
      <w:r>
        <w:rPr>
          <w:spacing w:val="-5"/>
        </w:rPr>
        <w:t xml:space="preserve"> </w:t>
      </w:r>
      <w:r>
        <w:t>further</w:t>
      </w:r>
      <w:r>
        <w:rPr>
          <w:spacing w:val="-4"/>
        </w:rPr>
        <w:t xml:space="preserve"> </w:t>
      </w:r>
      <w:r>
        <w:t>input</w:t>
      </w:r>
      <w:r>
        <w:rPr>
          <w:spacing w:val="-1"/>
        </w:rPr>
        <w:t xml:space="preserve"> </w:t>
      </w:r>
      <w:r>
        <w:t>to</w:t>
      </w:r>
      <w:r>
        <w:rPr>
          <w:spacing w:val="-6"/>
        </w:rPr>
        <w:t xml:space="preserve"> </w:t>
      </w:r>
      <w:r>
        <w:t>be</w:t>
      </w:r>
      <w:r>
        <w:rPr>
          <w:spacing w:val="-2"/>
        </w:rPr>
        <w:t xml:space="preserve"> </w:t>
      </w:r>
      <w:r>
        <w:t>obtained</w:t>
      </w:r>
      <w:r>
        <w:rPr>
          <w:spacing w:val="-4"/>
        </w:rPr>
        <w:t xml:space="preserve"> </w:t>
      </w:r>
      <w:r>
        <w:t>from</w:t>
      </w:r>
      <w:r>
        <w:rPr>
          <w:spacing w:val="-4"/>
        </w:rPr>
        <w:t xml:space="preserve"> </w:t>
      </w:r>
      <w:r>
        <w:rPr>
          <w:spacing w:val="-2"/>
        </w:rPr>
        <w:t>stakeholders.</w:t>
      </w:r>
    </w:p>
    <w:p w14:paraId="1E805C97" w14:textId="77777777" w:rsidR="00AA4A02" w:rsidRDefault="00960F31">
      <w:pPr>
        <w:spacing w:before="85"/>
        <w:ind w:left="143"/>
        <w:rPr>
          <w:b/>
          <w:i/>
        </w:rPr>
      </w:pPr>
      <w:r>
        <w:rPr>
          <w:b/>
          <w:i/>
        </w:rPr>
        <w:t>Develop</w:t>
      </w:r>
      <w:r>
        <w:rPr>
          <w:b/>
          <w:i/>
          <w:spacing w:val="-6"/>
        </w:rPr>
        <w:t xml:space="preserve"> </w:t>
      </w:r>
      <w:r>
        <w:rPr>
          <w:b/>
          <w:i/>
        </w:rPr>
        <w:t>the</w:t>
      </w:r>
      <w:r>
        <w:rPr>
          <w:b/>
          <w:i/>
          <w:spacing w:val="-3"/>
        </w:rPr>
        <w:t xml:space="preserve"> </w:t>
      </w:r>
      <w:r>
        <w:rPr>
          <w:b/>
          <w:i/>
        </w:rPr>
        <w:t>proposed</w:t>
      </w:r>
      <w:r>
        <w:rPr>
          <w:b/>
          <w:i/>
          <w:spacing w:val="-7"/>
        </w:rPr>
        <w:t xml:space="preserve"> </w:t>
      </w:r>
      <w:r>
        <w:rPr>
          <w:b/>
          <w:i/>
        </w:rPr>
        <w:t>amendments</w:t>
      </w:r>
      <w:r>
        <w:rPr>
          <w:b/>
          <w:i/>
          <w:spacing w:val="-5"/>
        </w:rPr>
        <w:t xml:space="preserve"> </w:t>
      </w:r>
      <w:r>
        <w:rPr>
          <w:b/>
          <w:i/>
        </w:rPr>
        <w:t>(in</w:t>
      </w:r>
      <w:r>
        <w:rPr>
          <w:b/>
          <w:i/>
          <w:spacing w:val="-6"/>
        </w:rPr>
        <w:t xml:space="preserve"> </w:t>
      </w:r>
      <w:r>
        <w:rPr>
          <w:b/>
          <w:i/>
        </w:rPr>
        <w:t>conjunction</w:t>
      </w:r>
      <w:r>
        <w:rPr>
          <w:b/>
          <w:i/>
          <w:spacing w:val="-4"/>
        </w:rPr>
        <w:t xml:space="preserve"> </w:t>
      </w:r>
      <w:r>
        <w:rPr>
          <w:b/>
          <w:i/>
        </w:rPr>
        <w:t>with</w:t>
      </w:r>
      <w:r>
        <w:rPr>
          <w:b/>
          <w:i/>
          <w:spacing w:val="-6"/>
        </w:rPr>
        <w:t xml:space="preserve"> </w:t>
      </w:r>
      <w:r>
        <w:rPr>
          <w:b/>
          <w:i/>
        </w:rPr>
        <w:t>the</w:t>
      </w:r>
      <w:r>
        <w:rPr>
          <w:b/>
          <w:i/>
          <w:spacing w:val="-4"/>
        </w:rPr>
        <w:t xml:space="preserve"> </w:t>
      </w:r>
      <w:r>
        <w:rPr>
          <w:b/>
          <w:i/>
        </w:rPr>
        <w:t>NZAuASB</w:t>
      </w:r>
      <w:r>
        <w:rPr>
          <w:b/>
          <w:i/>
          <w:spacing w:val="-5"/>
        </w:rPr>
        <w:t xml:space="preserve"> </w:t>
      </w:r>
      <w:r>
        <w:rPr>
          <w:b/>
          <w:i/>
        </w:rPr>
        <w:t>where</w:t>
      </w:r>
      <w:r>
        <w:rPr>
          <w:b/>
          <w:i/>
          <w:spacing w:val="-5"/>
        </w:rPr>
        <w:t xml:space="preserve"> </w:t>
      </w:r>
      <w:r>
        <w:rPr>
          <w:b/>
          <w:i/>
          <w:spacing w:val="-2"/>
        </w:rPr>
        <w:t>appropriate)</w:t>
      </w:r>
    </w:p>
    <w:p w14:paraId="1E805C98" w14:textId="77777777" w:rsidR="00AA4A02" w:rsidRDefault="00960F31">
      <w:pPr>
        <w:pStyle w:val="ListParagraph"/>
        <w:numPr>
          <w:ilvl w:val="0"/>
          <w:numId w:val="29"/>
        </w:numPr>
        <w:tabs>
          <w:tab w:val="left" w:pos="851"/>
        </w:tabs>
        <w:spacing w:before="114" w:line="208" w:lineRule="auto"/>
        <w:ind w:right="169"/>
      </w:pPr>
      <w:r>
        <w:t>Narrow-scope amendments to existing AUASB Standards are made through either approving</w:t>
      </w:r>
      <w:r>
        <w:rPr>
          <w:spacing w:val="40"/>
        </w:rPr>
        <w:t xml:space="preserve"> </w:t>
      </w:r>
      <w:r>
        <w:t>a</w:t>
      </w:r>
      <w:r>
        <w:rPr>
          <w:spacing w:val="-2"/>
        </w:rPr>
        <w:t xml:space="preserve"> </w:t>
      </w:r>
      <w:r>
        <w:t>revised</w:t>
      </w:r>
      <w:r>
        <w:rPr>
          <w:spacing w:val="-2"/>
        </w:rPr>
        <w:t xml:space="preserve"> </w:t>
      </w:r>
      <w:r>
        <w:t>standard</w:t>
      </w:r>
      <w:r>
        <w:rPr>
          <w:spacing w:val="-2"/>
        </w:rPr>
        <w:t xml:space="preserve"> </w:t>
      </w:r>
      <w:r>
        <w:t>or,</w:t>
      </w:r>
      <w:r>
        <w:rPr>
          <w:spacing w:val="-5"/>
        </w:rPr>
        <w:t xml:space="preserve"> </w:t>
      </w:r>
      <w:r>
        <w:t>in</w:t>
      </w:r>
      <w:r>
        <w:rPr>
          <w:spacing w:val="-2"/>
        </w:rPr>
        <w:t xml:space="preserve"> </w:t>
      </w:r>
      <w:r>
        <w:t>the</w:t>
      </w:r>
      <w:r>
        <w:rPr>
          <w:spacing w:val="-4"/>
        </w:rPr>
        <w:t xml:space="preserve"> </w:t>
      </w:r>
      <w:r>
        <w:t>case</w:t>
      </w:r>
      <w:r>
        <w:rPr>
          <w:spacing w:val="-4"/>
        </w:rPr>
        <w:t xml:space="preserve"> </w:t>
      </w:r>
      <w:r>
        <w:t>of</w:t>
      </w:r>
      <w:r>
        <w:rPr>
          <w:spacing w:val="-2"/>
        </w:rPr>
        <w:t xml:space="preserve"> </w:t>
      </w:r>
      <w:r>
        <w:t>standards</w:t>
      </w:r>
      <w:r>
        <w:rPr>
          <w:spacing w:val="-4"/>
        </w:rPr>
        <w:t xml:space="preserve"> </w:t>
      </w:r>
      <w:r>
        <w:t>made</w:t>
      </w:r>
      <w:r>
        <w:rPr>
          <w:spacing w:val="-4"/>
        </w:rPr>
        <w:t xml:space="preserve"> </w:t>
      </w:r>
      <w:r>
        <w:t>under</w:t>
      </w:r>
      <w:r>
        <w:rPr>
          <w:spacing w:val="-1"/>
        </w:rPr>
        <w:t xml:space="preserve"> </w:t>
      </w:r>
      <w:r>
        <w:t>section</w:t>
      </w:r>
      <w:r>
        <w:rPr>
          <w:spacing w:val="-5"/>
        </w:rPr>
        <w:t xml:space="preserve"> </w:t>
      </w:r>
      <w:r>
        <w:t>336</w:t>
      </w:r>
      <w:r>
        <w:rPr>
          <w:spacing w:val="-2"/>
        </w:rPr>
        <w:t xml:space="preserve"> </w:t>
      </w:r>
      <w:r>
        <w:t>of</w:t>
      </w:r>
      <w:r>
        <w:rPr>
          <w:spacing w:val="-2"/>
        </w:rPr>
        <w:t xml:space="preserve"> </w:t>
      </w:r>
      <w:r>
        <w:t>the</w:t>
      </w:r>
      <w:r>
        <w:rPr>
          <w:spacing w:val="-2"/>
        </w:rPr>
        <w:t xml:space="preserve"> </w:t>
      </w:r>
      <w:r>
        <w:t>Corporations</w:t>
      </w:r>
      <w:r>
        <w:rPr>
          <w:spacing w:val="-2"/>
        </w:rPr>
        <w:t xml:space="preserve"> </w:t>
      </w:r>
      <w:r>
        <w:t>Act, issuing an Amending Standard (see paragraphs 198-199).</w:t>
      </w:r>
    </w:p>
    <w:p w14:paraId="1E805C99" w14:textId="77777777" w:rsidR="00AA4A02" w:rsidRDefault="00960F31">
      <w:pPr>
        <w:pStyle w:val="ListParagraph"/>
        <w:numPr>
          <w:ilvl w:val="0"/>
          <w:numId w:val="29"/>
        </w:numPr>
        <w:tabs>
          <w:tab w:val="left" w:pos="851"/>
        </w:tabs>
        <w:spacing w:before="199" w:line="208" w:lineRule="auto"/>
        <w:ind w:right="687"/>
      </w:pPr>
      <w:r>
        <w:t>Where</w:t>
      </w:r>
      <w:r>
        <w:rPr>
          <w:spacing w:val="-2"/>
        </w:rPr>
        <w:t xml:space="preserve"> </w:t>
      </w:r>
      <w:r>
        <w:t>narrow-scope</w:t>
      </w:r>
      <w:r>
        <w:rPr>
          <w:spacing w:val="-2"/>
        </w:rPr>
        <w:t xml:space="preserve"> </w:t>
      </w:r>
      <w:r>
        <w:t>amendments</w:t>
      </w:r>
      <w:r>
        <w:rPr>
          <w:spacing w:val="-4"/>
        </w:rPr>
        <w:t xml:space="preserve"> </w:t>
      </w:r>
      <w:r>
        <w:t>are</w:t>
      </w:r>
      <w:r>
        <w:rPr>
          <w:spacing w:val="-4"/>
        </w:rPr>
        <w:t xml:space="preserve"> </w:t>
      </w:r>
      <w:r>
        <w:t>made</w:t>
      </w:r>
      <w:r>
        <w:rPr>
          <w:spacing w:val="-4"/>
        </w:rPr>
        <w:t xml:space="preserve"> </w:t>
      </w:r>
      <w:r>
        <w:t>to</w:t>
      </w:r>
      <w:r>
        <w:rPr>
          <w:spacing w:val="-2"/>
        </w:rPr>
        <w:t xml:space="preserve"> </w:t>
      </w:r>
      <w:r>
        <w:t>AUASB</w:t>
      </w:r>
      <w:r>
        <w:rPr>
          <w:spacing w:val="-4"/>
        </w:rPr>
        <w:t xml:space="preserve"> </w:t>
      </w:r>
      <w:r>
        <w:t>Standards</w:t>
      </w:r>
      <w:r>
        <w:rPr>
          <w:spacing w:val="-4"/>
        </w:rPr>
        <w:t xml:space="preserve"> </w:t>
      </w:r>
      <w:r>
        <w:t>that</w:t>
      </w:r>
      <w:r>
        <w:rPr>
          <w:spacing w:val="-1"/>
        </w:rPr>
        <w:t xml:space="preserve"> </w:t>
      </w:r>
      <w:r>
        <w:t>are</w:t>
      </w:r>
      <w:r>
        <w:rPr>
          <w:spacing w:val="-2"/>
        </w:rPr>
        <w:t xml:space="preserve"> </w:t>
      </w:r>
      <w:r>
        <w:t>not</w:t>
      </w:r>
      <w:r>
        <w:rPr>
          <w:spacing w:val="-4"/>
        </w:rPr>
        <w:t xml:space="preserve"> </w:t>
      </w:r>
      <w:r>
        <w:t xml:space="preserve">legislative </w:t>
      </w:r>
      <w:r>
        <w:rPr>
          <w:spacing w:val="-2"/>
        </w:rPr>
        <w:t>instruments:</w:t>
      </w:r>
    </w:p>
    <w:p w14:paraId="1E805C9A" w14:textId="77777777" w:rsidR="00AA4A02" w:rsidRDefault="00960F31">
      <w:pPr>
        <w:pStyle w:val="ListParagraph"/>
        <w:numPr>
          <w:ilvl w:val="0"/>
          <w:numId w:val="13"/>
        </w:numPr>
        <w:tabs>
          <w:tab w:val="left" w:pos="1562"/>
        </w:tabs>
        <w:spacing w:before="187" w:line="208" w:lineRule="auto"/>
        <w:ind w:right="316"/>
      </w:pPr>
      <w:r>
        <w:t>the</w:t>
      </w:r>
      <w:r>
        <w:rPr>
          <w:spacing w:val="-4"/>
        </w:rPr>
        <w:t xml:space="preserve"> </w:t>
      </w:r>
      <w:r>
        <w:t>title</w:t>
      </w:r>
      <w:r>
        <w:rPr>
          <w:spacing w:val="-2"/>
        </w:rPr>
        <w:t xml:space="preserve"> </w:t>
      </w:r>
      <w:r>
        <w:t>page</w:t>
      </w:r>
      <w:r>
        <w:rPr>
          <w:spacing w:val="-2"/>
        </w:rPr>
        <w:t xml:space="preserve"> </w:t>
      </w:r>
      <w:r>
        <w:t>of</w:t>
      </w:r>
      <w:r>
        <w:rPr>
          <w:spacing w:val="-4"/>
        </w:rPr>
        <w:t xml:space="preserve"> </w:t>
      </w:r>
      <w:r>
        <w:t>the</w:t>
      </w:r>
      <w:r>
        <w:rPr>
          <w:spacing w:val="-4"/>
        </w:rPr>
        <w:t xml:space="preserve"> </w:t>
      </w:r>
      <w:r>
        <w:t>proposed</w:t>
      </w:r>
      <w:r>
        <w:rPr>
          <w:spacing w:val="-2"/>
        </w:rPr>
        <w:t xml:space="preserve"> </w:t>
      </w:r>
      <w:r>
        <w:t>revised</w:t>
      </w:r>
      <w:r>
        <w:rPr>
          <w:spacing w:val="-2"/>
        </w:rPr>
        <w:t xml:space="preserve"> </w:t>
      </w:r>
      <w:r>
        <w:t>standard</w:t>
      </w:r>
      <w:r>
        <w:rPr>
          <w:spacing w:val="-5"/>
        </w:rPr>
        <w:t xml:space="preserve"> </w:t>
      </w:r>
      <w:r>
        <w:t>indicates</w:t>
      </w:r>
      <w:r>
        <w:rPr>
          <w:spacing w:val="-4"/>
        </w:rPr>
        <w:t xml:space="preserve"> </w:t>
      </w:r>
      <w:r>
        <w:t>the</w:t>
      </w:r>
      <w:r>
        <w:rPr>
          <w:spacing w:val="-2"/>
        </w:rPr>
        <w:t xml:space="preserve"> </w:t>
      </w:r>
      <w:r>
        <w:t>date</w:t>
      </w:r>
      <w:r>
        <w:rPr>
          <w:spacing w:val="-4"/>
        </w:rPr>
        <w:t xml:space="preserve"> </w:t>
      </w:r>
      <w:r>
        <w:t>of</w:t>
      </w:r>
      <w:r>
        <w:rPr>
          <w:spacing w:val="-2"/>
        </w:rPr>
        <w:t xml:space="preserve"> </w:t>
      </w:r>
      <w:r>
        <w:t>original</w:t>
      </w:r>
      <w:r>
        <w:rPr>
          <w:spacing w:val="-4"/>
        </w:rPr>
        <w:t xml:space="preserve"> </w:t>
      </w:r>
      <w:r>
        <w:t>issue</w:t>
      </w:r>
      <w:r>
        <w:rPr>
          <w:spacing w:val="-2"/>
        </w:rPr>
        <w:t xml:space="preserve"> </w:t>
      </w:r>
      <w:r>
        <w:t>and the date of the latest revision; and</w:t>
      </w:r>
    </w:p>
    <w:p w14:paraId="1E805C9B" w14:textId="77777777" w:rsidR="00AA4A02" w:rsidRDefault="00960F31">
      <w:pPr>
        <w:pStyle w:val="ListParagraph"/>
        <w:numPr>
          <w:ilvl w:val="0"/>
          <w:numId w:val="13"/>
        </w:numPr>
        <w:tabs>
          <w:tab w:val="left" w:pos="1562"/>
        </w:tabs>
        <w:spacing w:before="105" w:line="208" w:lineRule="auto"/>
        <w:ind w:right="325"/>
      </w:pPr>
      <w:r>
        <w:t>a</w:t>
      </w:r>
      <w:r>
        <w:rPr>
          <w:spacing w:val="-2"/>
        </w:rPr>
        <w:t xml:space="preserve"> </w:t>
      </w:r>
      <w:r>
        <w:t>revision</w:t>
      </w:r>
      <w:r>
        <w:rPr>
          <w:spacing w:val="-5"/>
        </w:rPr>
        <w:t xml:space="preserve"> </w:t>
      </w:r>
      <w:r>
        <w:t>table</w:t>
      </w:r>
      <w:r>
        <w:rPr>
          <w:spacing w:val="-4"/>
        </w:rPr>
        <w:t xml:space="preserve"> </w:t>
      </w:r>
      <w:r>
        <w:t>is</w:t>
      </w:r>
      <w:r>
        <w:rPr>
          <w:spacing w:val="-4"/>
        </w:rPr>
        <w:t xml:space="preserve"> </w:t>
      </w:r>
      <w:r>
        <w:t>included</w:t>
      </w:r>
      <w:r>
        <w:rPr>
          <w:spacing w:val="-4"/>
        </w:rPr>
        <w:t xml:space="preserve"> </w:t>
      </w:r>
      <w:r>
        <w:t>in</w:t>
      </w:r>
      <w:r>
        <w:rPr>
          <w:spacing w:val="-2"/>
        </w:rPr>
        <w:t xml:space="preserve"> </w:t>
      </w:r>
      <w:r>
        <w:t>the</w:t>
      </w:r>
      <w:r>
        <w:rPr>
          <w:spacing w:val="-2"/>
        </w:rPr>
        <w:t xml:space="preserve"> </w:t>
      </w:r>
      <w:r>
        <w:t>proposed</w:t>
      </w:r>
      <w:r>
        <w:rPr>
          <w:spacing w:val="-2"/>
        </w:rPr>
        <w:t xml:space="preserve"> </w:t>
      </w:r>
      <w:r>
        <w:t>revised</w:t>
      </w:r>
      <w:r>
        <w:rPr>
          <w:spacing w:val="-5"/>
        </w:rPr>
        <w:t xml:space="preserve"> </w:t>
      </w:r>
      <w:r>
        <w:t>standard</w:t>
      </w:r>
      <w:r>
        <w:rPr>
          <w:spacing w:val="-2"/>
        </w:rPr>
        <w:t xml:space="preserve"> </w:t>
      </w:r>
      <w:r>
        <w:t>which</w:t>
      </w:r>
      <w:r>
        <w:rPr>
          <w:spacing w:val="-2"/>
        </w:rPr>
        <w:t xml:space="preserve"> </w:t>
      </w:r>
      <w:r>
        <w:t>details</w:t>
      </w:r>
      <w:r>
        <w:rPr>
          <w:spacing w:val="-4"/>
        </w:rPr>
        <w:t xml:space="preserve"> </w:t>
      </w:r>
      <w:r>
        <w:t>the</w:t>
      </w:r>
      <w:r>
        <w:rPr>
          <w:spacing w:val="-2"/>
        </w:rPr>
        <w:t xml:space="preserve"> </w:t>
      </w:r>
      <w:r>
        <w:t>date</w:t>
      </w:r>
      <w:r>
        <w:rPr>
          <w:spacing w:val="-4"/>
        </w:rPr>
        <w:t xml:space="preserve"> </w:t>
      </w:r>
      <w:r>
        <w:t>of the revision, nature of the amendments and operative date.</w:t>
      </w:r>
    </w:p>
    <w:p w14:paraId="1E805C9C" w14:textId="77777777" w:rsidR="00AA4A02" w:rsidRDefault="00960F31">
      <w:pPr>
        <w:pStyle w:val="ListParagraph"/>
        <w:numPr>
          <w:ilvl w:val="0"/>
          <w:numId w:val="29"/>
        </w:numPr>
        <w:tabs>
          <w:tab w:val="left" w:pos="851"/>
        </w:tabs>
        <w:spacing w:before="118" w:line="208" w:lineRule="auto"/>
        <w:ind w:right="230"/>
      </w:pPr>
      <w:r>
        <w:t>Some proposed amendments to standards are sufficiently minor or narrow in scope that they can</w:t>
      </w:r>
      <w:r>
        <w:rPr>
          <w:spacing w:val="-2"/>
        </w:rPr>
        <w:t xml:space="preserve"> </w:t>
      </w:r>
      <w:r>
        <w:t>be</w:t>
      </w:r>
      <w:r>
        <w:rPr>
          <w:spacing w:val="-4"/>
        </w:rPr>
        <w:t xml:space="preserve"> </w:t>
      </w:r>
      <w:r>
        <w:t>packaged</w:t>
      </w:r>
      <w:r>
        <w:rPr>
          <w:spacing w:val="-5"/>
        </w:rPr>
        <w:t xml:space="preserve"> </w:t>
      </w:r>
      <w:r>
        <w:t>together</w:t>
      </w:r>
      <w:r>
        <w:rPr>
          <w:spacing w:val="-4"/>
        </w:rPr>
        <w:t xml:space="preserve"> </w:t>
      </w:r>
      <w:r>
        <w:t>in</w:t>
      </w:r>
      <w:r>
        <w:rPr>
          <w:spacing w:val="-5"/>
        </w:rPr>
        <w:t xml:space="preserve"> </w:t>
      </w:r>
      <w:r>
        <w:t>a</w:t>
      </w:r>
      <w:r>
        <w:rPr>
          <w:spacing w:val="-2"/>
        </w:rPr>
        <w:t xml:space="preserve"> </w:t>
      </w:r>
      <w:r>
        <w:t>single</w:t>
      </w:r>
      <w:r>
        <w:rPr>
          <w:spacing w:val="-4"/>
        </w:rPr>
        <w:t xml:space="preserve"> </w:t>
      </w:r>
      <w:r>
        <w:t>Amending</w:t>
      </w:r>
      <w:r>
        <w:rPr>
          <w:spacing w:val="-2"/>
        </w:rPr>
        <w:t xml:space="preserve"> </w:t>
      </w:r>
      <w:r>
        <w:t>Standard</w:t>
      </w:r>
      <w:r>
        <w:rPr>
          <w:spacing w:val="-2"/>
        </w:rPr>
        <w:t xml:space="preserve"> </w:t>
      </w:r>
      <w:r>
        <w:t>for Board</w:t>
      </w:r>
      <w:r>
        <w:rPr>
          <w:spacing w:val="-5"/>
        </w:rPr>
        <w:t xml:space="preserve"> </w:t>
      </w:r>
      <w:r>
        <w:t>deliberation</w:t>
      </w:r>
      <w:r>
        <w:rPr>
          <w:spacing w:val="-2"/>
        </w:rPr>
        <w:t xml:space="preserve"> </w:t>
      </w:r>
      <w:r>
        <w:t>and</w:t>
      </w:r>
      <w:r>
        <w:rPr>
          <w:spacing w:val="-2"/>
        </w:rPr>
        <w:t xml:space="preserve"> </w:t>
      </w:r>
      <w:r>
        <w:t>approval, even though the amendments are unrelated.</w:t>
      </w:r>
    </w:p>
    <w:p w14:paraId="1E805C9D" w14:textId="77777777" w:rsidR="00AA4A02" w:rsidRDefault="00960F31">
      <w:pPr>
        <w:pStyle w:val="ListParagraph"/>
        <w:numPr>
          <w:ilvl w:val="0"/>
          <w:numId w:val="29"/>
        </w:numPr>
        <w:tabs>
          <w:tab w:val="left" w:pos="851"/>
        </w:tabs>
        <w:spacing w:before="202" w:line="208" w:lineRule="auto"/>
        <w:ind w:right="321"/>
      </w:pPr>
      <w:r>
        <w:t>Where possible, in accordance with its strategic objectives, the AUASB will coordinate the development of proposed narrow-scope amendments jointly with the NZAuASB in accordance with the Board’s harmonisation policy.</w:t>
      </w:r>
      <w:r>
        <w:rPr>
          <w:spacing w:val="40"/>
        </w:rPr>
        <w:t xml:space="preserve"> </w:t>
      </w:r>
      <w:r>
        <w:t>However, differences may arise where different</w:t>
      </w:r>
      <w:r>
        <w:rPr>
          <w:spacing w:val="-4"/>
        </w:rPr>
        <w:t xml:space="preserve"> </w:t>
      </w:r>
      <w:r>
        <w:t>regulatory</w:t>
      </w:r>
      <w:r>
        <w:rPr>
          <w:spacing w:val="-3"/>
        </w:rPr>
        <w:t xml:space="preserve"> </w:t>
      </w:r>
      <w:r>
        <w:t>requirements</w:t>
      </w:r>
      <w:r>
        <w:rPr>
          <w:spacing w:val="-3"/>
        </w:rPr>
        <w:t xml:space="preserve"> </w:t>
      </w:r>
      <w:r>
        <w:t>apply</w:t>
      </w:r>
      <w:r>
        <w:rPr>
          <w:spacing w:val="-6"/>
        </w:rPr>
        <w:t xml:space="preserve"> </w:t>
      </w:r>
      <w:r>
        <w:t>and/or</w:t>
      </w:r>
      <w:r>
        <w:rPr>
          <w:spacing w:val="-5"/>
        </w:rPr>
        <w:t xml:space="preserve"> </w:t>
      </w:r>
      <w:r>
        <w:t>different</w:t>
      </w:r>
      <w:r>
        <w:rPr>
          <w:spacing w:val="-2"/>
        </w:rPr>
        <w:t xml:space="preserve"> </w:t>
      </w:r>
      <w:r>
        <w:t>practices</w:t>
      </w:r>
      <w:r>
        <w:rPr>
          <w:spacing w:val="-3"/>
        </w:rPr>
        <w:t xml:space="preserve"> </w:t>
      </w:r>
      <w:r>
        <w:t>are</w:t>
      </w:r>
      <w:r>
        <w:rPr>
          <w:spacing w:val="-3"/>
        </w:rPr>
        <w:t xml:space="preserve"> </w:t>
      </w:r>
      <w:r>
        <w:t>considered</w:t>
      </w:r>
      <w:r>
        <w:rPr>
          <w:spacing w:val="-3"/>
        </w:rPr>
        <w:t xml:space="preserve"> </w:t>
      </w:r>
      <w:r>
        <w:t>appropriate. The principles of harmonisation do not require full alignment between the AUASB and NZAuASB Standards.</w:t>
      </w:r>
    </w:p>
    <w:p w14:paraId="1E805C9E" w14:textId="77777777" w:rsidR="00AA4A02" w:rsidRDefault="00960F31">
      <w:pPr>
        <w:pStyle w:val="ListParagraph"/>
        <w:numPr>
          <w:ilvl w:val="0"/>
          <w:numId w:val="29"/>
        </w:numPr>
        <w:tabs>
          <w:tab w:val="left" w:pos="851"/>
        </w:tabs>
        <w:spacing w:before="198" w:line="208" w:lineRule="auto"/>
        <w:ind w:right="211"/>
      </w:pPr>
      <w:r>
        <w:t>In cases where compelling reasons modifications have been identified for Australia, any proposed deletions from the international standard are clearly noted, and any proposed additions</w:t>
      </w:r>
      <w:r>
        <w:rPr>
          <w:spacing w:val="-3"/>
        </w:rPr>
        <w:t xml:space="preserve"> </w:t>
      </w:r>
      <w:r>
        <w:t>or</w:t>
      </w:r>
      <w:r>
        <w:rPr>
          <w:spacing w:val="-3"/>
        </w:rPr>
        <w:t xml:space="preserve"> </w:t>
      </w:r>
      <w:r>
        <w:t>modifications</w:t>
      </w:r>
      <w:r>
        <w:rPr>
          <w:spacing w:val="-5"/>
        </w:rPr>
        <w:t xml:space="preserve"> </w:t>
      </w:r>
      <w:r>
        <w:t>clearly</w:t>
      </w:r>
      <w:r>
        <w:rPr>
          <w:spacing w:val="-3"/>
        </w:rPr>
        <w:t xml:space="preserve"> </w:t>
      </w:r>
      <w:r>
        <w:t>marked</w:t>
      </w:r>
      <w:r>
        <w:rPr>
          <w:spacing w:val="-3"/>
        </w:rPr>
        <w:t xml:space="preserve"> </w:t>
      </w:r>
      <w:r>
        <w:t>as</w:t>
      </w:r>
      <w:r>
        <w:rPr>
          <w:spacing w:val="-3"/>
        </w:rPr>
        <w:t xml:space="preserve"> </w:t>
      </w:r>
      <w:r>
        <w:t>an</w:t>
      </w:r>
      <w:r>
        <w:rPr>
          <w:spacing w:val="-3"/>
        </w:rPr>
        <w:t xml:space="preserve"> </w:t>
      </w:r>
      <w:r>
        <w:t>Australian</w:t>
      </w:r>
      <w:r>
        <w:rPr>
          <w:spacing w:val="-3"/>
        </w:rPr>
        <w:t xml:space="preserve"> </w:t>
      </w:r>
      <w:r>
        <w:t>paragraph</w:t>
      </w:r>
      <w:r>
        <w:rPr>
          <w:spacing w:val="-3"/>
        </w:rPr>
        <w:t xml:space="preserve"> </w:t>
      </w:r>
      <w:r>
        <w:t>or</w:t>
      </w:r>
      <w:r>
        <w:rPr>
          <w:spacing w:val="-3"/>
        </w:rPr>
        <w:t xml:space="preserve"> </w:t>
      </w:r>
      <w:r>
        <w:t>additional</w:t>
      </w:r>
      <w:r>
        <w:rPr>
          <w:spacing w:val="-4"/>
        </w:rPr>
        <w:t xml:space="preserve"> </w:t>
      </w:r>
      <w:r>
        <w:t>appendices commencing with an ‘Aus’ prefix.</w:t>
      </w:r>
    </w:p>
    <w:p w14:paraId="1E805C9F" w14:textId="77777777" w:rsidR="00AA4A02" w:rsidRDefault="00960F31">
      <w:pPr>
        <w:spacing w:before="174"/>
        <w:ind w:left="143"/>
        <w:rPr>
          <w:b/>
          <w:i/>
        </w:rPr>
      </w:pPr>
      <w:r>
        <w:rPr>
          <w:b/>
          <w:i/>
        </w:rPr>
        <w:t>Approve</w:t>
      </w:r>
      <w:r>
        <w:rPr>
          <w:b/>
          <w:i/>
          <w:spacing w:val="-4"/>
        </w:rPr>
        <w:t xml:space="preserve"> </w:t>
      </w:r>
      <w:r>
        <w:rPr>
          <w:b/>
          <w:i/>
        </w:rPr>
        <w:t>and</w:t>
      </w:r>
      <w:r>
        <w:rPr>
          <w:b/>
          <w:i/>
          <w:spacing w:val="-2"/>
        </w:rPr>
        <w:t xml:space="preserve"> </w:t>
      </w:r>
      <w:r>
        <w:rPr>
          <w:b/>
          <w:i/>
        </w:rPr>
        <w:t>expose</w:t>
      </w:r>
      <w:r>
        <w:rPr>
          <w:b/>
          <w:i/>
          <w:spacing w:val="-3"/>
        </w:rPr>
        <w:t xml:space="preserve"> </w:t>
      </w:r>
      <w:r>
        <w:rPr>
          <w:b/>
          <w:i/>
        </w:rPr>
        <w:t>for</w:t>
      </w:r>
      <w:r>
        <w:rPr>
          <w:b/>
          <w:i/>
          <w:spacing w:val="-4"/>
        </w:rPr>
        <w:t xml:space="preserve"> </w:t>
      </w:r>
      <w:r>
        <w:rPr>
          <w:b/>
          <w:i/>
        </w:rPr>
        <w:t>public</w:t>
      </w:r>
      <w:r>
        <w:rPr>
          <w:b/>
          <w:i/>
          <w:spacing w:val="-2"/>
        </w:rPr>
        <w:t xml:space="preserve"> </w:t>
      </w:r>
      <w:r>
        <w:rPr>
          <w:b/>
          <w:i/>
        </w:rPr>
        <w:t>comment</w:t>
      </w:r>
      <w:r>
        <w:rPr>
          <w:b/>
          <w:i/>
          <w:spacing w:val="-3"/>
        </w:rPr>
        <w:t xml:space="preserve"> </w:t>
      </w:r>
      <w:r>
        <w:rPr>
          <w:b/>
          <w:i/>
        </w:rPr>
        <w:t>a</w:t>
      </w:r>
      <w:r>
        <w:rPr>
          <w:b/>
          <w:i/>
          <w:spacing w:val="-2"/>
        </w:rPr>
        <w:t xml:space="preserve"> </w:t>
      </w:r>
      <w:r>
        <w:rPr>
          <w:b/>
          <w:i/>
        </w:rPr>
        <w:t>draft</w:t>
      </w:r>
      <w:r>
        <w:rPr>
          <w:b/>
          <w:i/>
          <w:spacing w:val="-4"/>
        </w:rPr>
        <w:t xml:space="preserve"> </w:t>
      </w:r>
      <w:r>
        <w:rPr>
          <w:b/>
          <w:i/>
        </w:rPr>
        <w:t>of</w:t>
      </w:r>
      <w:r>
        <w:rPr>
          <w:b/>
          <w:i/>
          <w:spacing w:val="-3"/>
        </w:rPr>
        <w:t xml:space="preserve"> </w:t>
      </w:r>
      <w:r>
        <w:rPr>
          <w:b/>
          <w:i/>
        </w:rPr>
        <w:t>the</w:t>
      </w:r>
      <w:r>
        <w:rPr>
          <w:b/>
          <w:i/>
          <w:spacing w:val="-5"/>
        </w:rPr>
        <w:t xml:space="preserve"> </w:t>
      </w:r>
      <w:r>
        <w:rPr>
          <w:b/>
          <w:i/>
        </w:rPr>
        <w:t>proposed</w:t>
      </w:r>
      <w:r>
        <w:rPr>
          <w:b/>
          <w:i/>
          <w:spacing w:val="-1"/>
        </w:rPr>
        <w:t xml:space="preserve"> </w:t>
      </w:r>
      <w:r>
        <w:rPr>
          <w:b/>
          <w:i/>
          <w:spacing w:val="-2"/>
        </w:rPr>
        <w:t>amendments</w:t>
      </w:r>
    </w:p>
    <w:p w14:paraId="1E805CA0" w14:textId="77777777" w:rsidR="00AA4A02" w:rsidRDefault="00960F31">
      <w:pPr>
        <w:pStyle w:val="ListParagraph"/>
        <w:numPr>
          <w:ilvl w:val="0"/>
          <w:numId w:val="29"/>
        </w:numPr>
        <w:tabs>
          <w:tab w:val="left" w:pos="851"/>
        </w:tabs>
        <w:spacing w:before="114" w:line="208" w:lineRule="auto"/>
        <w:ind w:right="788"/>
      </w:pPr>
      <w:r>
        <w:t>A</w:t>
      </w:r>
      <w:r>
        <w:rPr>
          <w:spacing w:val="-3"/>
        </w:rPr>
        <w:t xml:space="preserve"> </w:t>
      </w:r>
      <w:r>
        <w:t>draft</w:t>
      </w:r>
      <w:r>
        <w:rPr>
          <w:spacing w:val="-1"/>
        </w:rPr>
        <w:t xml:space="preserve"> </w:t>
      </w:r>
      <w:r>
        <w:t>of</w:t>
      </w:r>
      <w:r>
        <w:rPr>
          <w:spacing w:val="-2"/>
        </w:rPr>
        <w:t xml:space="preserve"> </w:t>
      </w:r>
      <w:r>
        <w:t>the</w:t>
      </w:r>
      <w:r>
        <w:rPr>
          <w:spacing w:val="-2"/>
        </w:rPr>
        <w:t xml:space="preserve"> </w:t>
      </w:r>
      <w:r>
        <w:t>proposed</w:t>
      </w:r>
      <w:r>
        <w:rPr>
          <w:spacing w:val="-2"/>
        </w:rPr>
        <w:t xml:space="preserve"> </w:t>
      </w:r>
      <w:r>
        <w:t>amendments</w:t>
      </w:r>
      <w:r>
        <w:rPr>
          <w:spacing w:val="-2"/>
        </w:rPr>
        <w:t xml:space="preserve"> </w:t>
      </w:r>
      <w:r>
        <w:t>is</w:t>
      </w:r>
      <w:r>
        <w:rPr>
          <w:spacing w:val="-2"/>
        </w:rPr>
        <w:t xml:space="preserve"> </w:t>
      </w:r>
      <w:r>
        <w:t>presented</w:t>
      </w:r>
      <w:r>
        <w:rPr>
          <w:spacing w:val="-4"/>
        </w:rPr>
        <w:t xml:space="preserve"> </w:t>
      </w:r>
      <w:r>
        <w:t>to</w:t>
      </w:r>
      <w:r>
        <w:rPr>
          <w:spacing w:val="-5"/>
        </w:rPr>
        <w:t xml:space="preserve"> </w:t>
      </w:r>
      <w:r>
        <w:t>the</w:t>
      </w:r>
      <w:r>
        <w:rPr>
          <w:spacing w:val="-2"/>
        </w:rPr>
        <w:t xml:space="preserve"> </w:t>
      </w:r>
      <w:r>
        <w:t>AUASB</w:t>
      </w:r>
      <w:r>
        <w:rPr>
          <w:spacing w:val="-4"/>
        </w:rPr>
        <w:t xml:space="preserve"> </w:t>
      </w:r>
      <w:r>
        <w:t>at</w:t>
      </w:r>
      <w:r>
        <w:rPr>
          <w:spacing w:val="-1"/>
        </w:rPr>
        <w:t xml:space="preserve"> </w:t>
      </w:r>
      <w:r>
        <w:t>a</w:t>
      </w:r>
      <w:r>
        <w:rPr>
          <w:spacing w:val="-2"/>
        </w:rPr>
        <w:t xml:space="preserve"> </w:t>
      </w:r>
      <w:r>
        <w:t>public</w:t>
      </w:r>
      <w:r>
        <w:rPr>
          <w:spacing w:val="-4"/>
        </w:rPr>
        <w:t xml:space="preserve"> </w:t>
      </w:r>
      <w:r>
        <w:t>meeting</w:t>
      </w:r>
      <w:r>
        <w:rPr>
          <w:spacing w:val="-2"/>
        </w:rPr>
        <w:t xml:space="preserve"> </w:t>
      </w:r>
      <w:r>
        <w:t>for deliberation and approval prior to being issued.</w:t>
      </w:r>
    </w:p>
    <w:p w14:paraId="1E805CA1" w14:textId="77777777" w:rsidR="00AA4A02" w:rsidRDefault="00960F31">
      <w:pPr>
        <w:pStyle w:val="ListParagraph"/>
        <w:numPr>
          <w:ilvl w:val="0"/>
          <w:numId w:val="29"/>
        </w:numPr>
        <w:tabs>
          <w:tab w:val="left" w:pos="851"/>
        </w:tabs>
        <w:spacing w:before="199" w:line="208" w:lineRule="auto"/>
        <w:ind w:right="444"/>
      </w:pPr>
      <w:r>
        <w:t>The proposed narrow-scope amendments are exposed for public comment.</w:t>
      </w:r>
      <w:r>
        <w:rPr>
          <w:spacing w:val="40"/>
        </w:rPr>
        <w:t xml:space="preserve"> </w:t>
      </w:r>
      <w:r>
        <w:t>The manner in which</w:t>
      </w:r>
      <w:r>
        <w:rPr>
          <w:spacing w:val="-2"/>
        </w:rPr>
        <w:t xml:space="preserve"> </w:t>
      </w:r>
      <w:r>
        <w:t>narrow-scope</w:t>
      </w:r>
      <w:r>
        <w:rPr>
          <w:spacing w:val="-4"/>
        </w:rPr>
        <w:t xml:space="preserve"> </w:t>
      </w:r>
      <w:r>
        <w:t>amendments</w:t>
      </w:r>
      <w:r>
        <w:rPr>
          <w:spacing w:val="-2"/>
        </w:rPr>
        <w:t xml:space="preserve"> </w:t>
      </w:r>
      <w:r>
        <w:t>are</w:t>
      </w:r>
      <w:r>
        <w:rPr>
          <w:spacing w:val="-4"/>
        </w:rPr>
        <w:t xml:space="preserve"> </w:t>
      </w:r>
      <w:r>
        <w:t>exposed</w:t>
      </w:r>
      <w:r>
        <w:rPr>
          <w:spacing w:val="-2"/>
        </w:rPr>
        <w:t xml:space="preserve"> </w:t>
      </w:r>
      <w:r>
        <w:t>for</w:t>
      </w:r>
      <w:r>
        <w:rPr>
          <w:spacing w:val="-2"/>
        </w:rPr>
        <w:t xml:space="preserve"> </w:t>
      </w:r>
      <w:r>
        <w:t>comment</w:t>
      </w:r>
      <w:r>
        <w:rPr>
          <w:spacing w:val="-2"/>
        </w:rPr>
        <w:t xml:space="preserve"> </w:t>
      </w:r>
      <w:r>
        <w:t>is</w:t>
      </w:r>
      <w:r>
        <w:rPr>
          <w:spacing w:val="-2"/>
        </w:rPr>
        <w:t xml:space="preserve"> </w:t>
      </w:r>
      <w:r>
        <w:t>determined</w:t>
      </w:r>
      <w:r>
        <w:rPr>
          <w:spacing w:val="-4"/>
        </w:rPr>
        <w:t xml:space="preserve"> </w:t>
      </w:r>
      <w:r>
        <w:t>on</w:t>
      </w:r>
      <w:r>
        <w:rPr>
          <w:spacing w:val="-2"/>
        </w:rPr>
        <w:t xml:space="preserve"> </w:t>
      </w:r>
      <w:r>
        <w:t>a</w:t>
      </w:r>
      <w:r>
        <w:rPr>
          <w:spacing w:val="-4"/>
        </w:rPr>
        <w:t xml:space="preserve"> </w:t>
      </w:r>
      <w:r>
        <w:t>case</w:t>
      </w:r>
      <w:r>
        <w:rPr>
          <w:spacing w:val="-2"/>
        </w:rPr>
        <w:t xml:space="preserve"> </w:t>
      </w:r>
      <w:r>
        <w:t>by</w:t>
      </w:r>
      <w:r>
        <w:rPr>
          <w:spacing w:val="-2"/>
        </w:rPr>
        <w:t xml:space="preserve"> </w:t>
      </w:r>
      <w:r>
        <w:t>case</w:t>
      </w:r>
    </w:p>
    <w:p w14:paraId="1E805CA2" w14:textId="77777777" w:rsidR="00AA4A02" w:rsidRDefault="00AA4A02">
      <w:pPr>
        <w:pStyle w:val="ListParagraph"/>
        <w:spacing w:line="208" w:lineRule="auto"/>
        <w:sectPr w:rsidR="00AA4A02">
          <w:headerReference w:type="default" r:id="rId115"/>
          <w:footerReference w:type="default" r:id="rId116"/>
          <w:pgSz w:w="11910" w:h="16840"/>
          <w:pgMar w:top="1380" w:right="1275" w:bottom="1040" w:left="1275" w:header="689" w:footer="842" w:gutter="0"/>
          <w:cols w:space="720"/>
        </w:sectPr>
      </w:pPr>
    </w:p>
    <w:p w14:paraId="1E805CA3" w14:textId="77777777" w:rsidR="00AA4A02" w:rsidRDefault="00960F31">
      <w:pPr>
        <w:pStyle w:val="BodyText"/>
        <w:spacing w:before="219" w:line="208" w:lineRule="auto"/>
        <w:ind w:left="851" w:right="173"/>
      </w:pPr>
      <w:r>
        <w:lastRenderedPageBreak/>
        <w:t>basis</w:t>
      </w:r>
      <w:r>
        <w:rPr>
          <w:spacing w:val="-1"/>
        </w:rPr>
        <w:t xml:space="preserve"> </w:t>
      </w:r>
      <w:r>
        <w:t>by</w:t>
      </w:r>
      <w:r>
        <w:rPr>
          <w:spacing w:val="-3"/>
        </w:rPr>
        <w:t xml:space="preserve"> </w:t>
      </w:r>
      <w:r>
        <w:t>the</w:t>
      </w:r>
      <w:r>
        <w:rPr>
          <w:spacing w:val="-1"/>
        </w:rPr>
        <w:t xml:space="preserve"> </w:t>
      </w:r>
      <w:r>
        <w:t>AUASB.</w:t>
      </w:r>
      <w:r>
        <w:rPr>
          <w:spacing w:val="-1"/>
        </w:rPr>
        <w:t xml:space="preserve"> </w:t>
      </w:r>
      <w:r>
        <w:t>The</w:t>
      </w:r>
      <w:r>
        <w:rPr>
          <w:spacing w:val="-4"/>
        </w:rPr>
        <w:t xml:space="preserve"> </w:t>
      </w:r>
      <w:r>
        <w:t>comment period</w:t>
      </w:r>
      <w:r>
        <w:rPr>
          <w:spacing w:val="-4"/>
        </w:rPr>
        <w:t xml:space="preserve"> </w:t>
      </w:r>
      <w:r>
        <w:t>may</w:t>
      </w:r>
      <w:r>
        <w:rPr>
          <w:spacing w:val="-1"/>
        </w:rPr>
        <w:t xml:space="preserve"> </w:t>
      </w:r>
      <w:r>
        <w:t>vary</w:t>
      </w:r>
      <w:r>
        <w:rPr>
          <w:spacing w:val="-1"/>
        </w:rPr>
        <w:t xml:space="preserve"> </w:t>
      </w:r>
      <w:r>
        <w:t>depending</w:t>
      </w:r>
      <w:r>
        <w:rPr>
          <w:spacing w:val="-1"/>
        </w:rPr>
        <w:t xml:space="preserve"> </w:t>
      </w:r>
      <w:r>
        <w:t>on</w:t>
      </w:r>
      <w:r>
        <w:rPr>
          <w:spacing w:val="-4"/>
        </w:rPr>
        <w:t xml:space="preserve"> </w:t>
      </w:r>
      <w:r>
        <w:t>the</w:t>
      </w:r>
      <w:r>
        <w:rPr>
          <w:spacing w:val="-3"/>
        </w:rPr>
        <w:t xml:space="preserve"> </w:t>
      </w:r>
      <w:r>
        <w:t>nature</w:t>
      </w:r>
      <w:r>
        <w:rPr>
          <w:spacing w:val="-3"/>
        </w:rPr>
        <w:t xml:space="preserve"> </w:t>
      </w:r>
      <w:r>
        <w:t>and</w:t>
      </w:r>
      <w:r>
        <w:rPr>
          <w:spacing w:val="-3"/>
        </w:rPr>
        <w:t xml:space="preserve"> </w:t>
      </w:r>
      <w:r>
        <w:t>urgency</w:t>
      </w:r>
      <w:r>
        <w:rPr>
          <w:spacing w:val="-1"/>
        </w:rPr>
        <w:t xml:space="preserve"> </w:t>
      </w:r>
      <w:r>
        <w:t>of the amendments but is never less than 30 days.</w:t>
      </w:r>
      <w:r>
        <w:rPr>
          <w:vertAlign w:val="superscript"/>
        </w:rPr>
        <w:t>72</w:t>
      </w:r>
    </w:p>
    <w:p w14:paraId="1E805CA4" w14:textId="77777777" w:rsidR="00AA4A02" w:rsidRDefault="00960F31">
      <w:pPr>
        <w:pStyle w:val="ListParagraph"/>
        <w:numPr>
          <w:ilvl w:val="0"/>
          <w:numId w:val="29"/>
        </w:numPr>
        <w:tabs>
          <w:tab w:val="left" w:pos="851"/>
        </w:tabs>
        <w:spacing w:before="175"/>
      </w:pPr>
      <w:r>
        <w:t>Where</w:t>
      </w:r>
      <w:r>
        <w:rPr>
          <w:spacing w:val="-5"/>
        </w:rPr>
        <w:t xml:space="preserve"> </w:t>
      </w:r>
      <w:r>
        <w:t>the</w:t>
      </w:r>
      <w:r>
        <w:rPr>
          <w:spacing w:val="-3"/>
        </w:rPr>
        <w:t xml:space="preserve"> </w:t>
      </w:r>
      <w:r>
        <w:t>Board</w:t>
      </w:r>
      <w:r>
        <w:rPr>
          <w:spacing w:val="-2"/>
        </w:rPr>
        <w:t xml:space="preserve"> </w:t>
      </w:r>
      <w:r>
        <w:t>issues</w:t>
      </w:r>
      <w:r>
        <w:rPr>
          <w:spacing w:val="-3"/>
        </w:rPr>
        <w:t xml:space="preserve"> </w:t>
      </w:r>
      <w:r>
        <w:t>an</w:t>
      </w:r>
      <w:r>
        <w:rPr>
          <w:spacing w:val="-7"/>
        </w:rPr>
        <w:t xml:space="preserve"> </w:t>
      </w:r>
      <w:r>
        <w:t>ED</w:t>
      </w:r>
      <w:r>
        <w:rPr>
          <w:spacing w:val="-4"/>
        </w:rPr>
        <w:t xml:space="preserve"> </w:t>
      </w:r>
      <w:r>
        <w:t>of</w:t>
      </w:r>
      <w:r>
        <w:rPr>
          <w:spacing w:val="-3"/>
        </w:rPr>
        <w:t xml:space="preserve"> </w:t>
      </w:r>
      <w:r>
        <w:t>the</w:t>
      </w:r>
      <w:r>
        <w:rPr>
          <w:spacing w:val="-3"/>
        </w:rPr>
        <w:t xml:space="preserve"> </w:t>
      </w:r>
      <w:r>
        <w:t>proposed</w:t>
      </w:r>
      <w:r>
        <w:rPr>
          <w:spacing w:val="-2"/>
        </w:rPr>
        <w:t xml:space="preserve"> </w:t>
      </w:r>
      <w:r>
        <w:t>amendments</w:t>
      </w:r>
      <w:r>
        <w:rPr>
          <w:spacing w:val="-4"/>
        </w:rPr>
        <w:t xml:space="preserve"> </w:t>
      </w:r>
      <w:r>
        <w:t>for</w:t>
      </w:r>
      <w:r>
        <w:rPr>
          <w:spacing w:val="-3"/>
        </w:rPr>
        <w:t xml:space="preserve"> </w:t>
      </w:r>
      <w:r>
        <w:t>public</w:t>
      </w:r>
      <w:r>
        <w:rPr>
          <w:spacing w:val="-4"/>
        </w:rPr>
        <w:t xml:space="preserve"> </w:t>
      </w:r>
      <w:r>
        <w:rPr>
          <w:spacing w:val="-2"/>
        </w:rPr>
        <w:t>comment:</w:t>
      </w:r>
    </w:p>
    <w:p w14:paraId="1E805CA5" w14:textId="77777777" w:rsidR="00AA4A02" w:rsidRDefault="00960F31">
      <w:pPr>
        <w:pStyle w:val="ListParagraph"/>
        <w:numPr>
          <w:ilvl w:val="1"/>
          <w:numId w:val="29"/>
        </w:numPr>
        <w:tabs>
          <w:tab w:val="left" w:pos="1562"/>
        </w:tabs>
        <w:spacing w:before="193" w:line="208" w:lineRule="auto"/>
        <w:ind w:right="219"/>
      </w:pPr>
      <w:r>
        <w:t>The Invitation to Comment included in the proposed ED includes targeted commentary</w:t>
      </w:r>
      <w:r>
        <w:rPr>
          <w:spacing w:val="-3"/>
        </w:rPr>
        <w:t xml:space="preserve"> </w:t>
      </w:r>
      <w:r>
        <w:t>and</w:t>
      </w:r>
      <w:r>
        <w:rPr>
          <w:spacing w:val="-3"/>
        </w:rPr>
        <w:t xml:space="preserve"> </w:t>
      </w:r>
      <w:r>
        <w:t>questions</w:t>
      </w:r>
      <w:r>
        <w:rPr>
          <w:spacing w:val="-5"/>
        </w:rPr>
        <w:t xml:space="preserve"> </w:t>
      </w:r>
      <w:r>
        <w:t>that</w:t>
      </w:r>
      <w:r>
        <w:rPr>
          <w:spacing w:val="-2"/>
        </w:rPr>
        <w:t xml:space="preserve"> </w:t>
      </w:r>
      <w:r>
        <w:t>direct</w:t>
      </w:r>
      <w:r>
        <w:rPr>
          <w:spacing w:val="-2"/>
        </w:rPr>
        <w:t xml:space="preserve"> </w:t>
      </w:r>
      <w:r>
        <w:t>stakeholders</w:t>
      </w:r>
      <w:r>
        <w:rPr>
          <w:spacing w:val="-3"/>
        </w:rPr>
        <w:t xml:space="preserve"> </w:t>
      </w:r>
      <w:r>
        <w:t>to</w:t>
      </w:r>
      <w:r>
        <w:rPr>
          <w:spacing w:val="-3"/>
        </w:rPr>
        <w:t xml:space="preserve"> </w:t>
      </w:r>
      <w:r>
        <w:t>specific</w:t>
      </w:r>
      <w:r>
        <w:rPr>
          <w:spacing w:val="-3"/>
        </w:rPr>
        <w:t xml:space="preserve"> </w:t>
      </w:r>
      <w:r>
        <w:t>elements</w:t>
      </w:r>
      <w:r>
        <w:rPr>
          <w:spacing w:val="-3"/>
        </w:rPr>
        <w:t xml:space="preserve"> </w:t>
      </w:r>
      <w:r>
        <w:t>of</w:t>
      </w:r>
      <w:r>
        <w:rPr>
          <w:spacing w:val="-3"/>
        </w:rPr>
        <w:t xml:space="preserve"> </w:t>
      </w:r>
      <w:r>
        <w:t>the</w:t>
      </w:r>
      <w:r>
        <w:rPr>
          <w:spacing w:val="-3"/>
        </w:rPr>
        <w:t xml:space="preserve"> </w:t>
      </w:r>
      <w:r>
        <w:t>existing standard identified for amendment.</w:t>
      </w:r>
    </w:p>
    <w:p w14:paraId="1E805CA6" w14:textId="77777777" w:rsidR="00AA4A02" w:rsidRDefault="00960F31">
      <w:pPr>
        <w:pStyle w:val="ListParagraph"/>
        <w:numPr>
          <w:ilvl w:val="1"/>
          <w:numId w:val="29"/>
        </w:numPr>
        <w:tabs>
          <w:tab w:val="left" w:pos="1562"/>
        </w:tabs>
        <w:spacing w:before="120" w:line="208" w:lineRule="auto"/>
        <w:ind w:right="175"/>
      </w:pPr>
      <w:r>
        <w:t>The ED is accompanied by an Explanatory Memorandum that outlines the proposed narrow-scope</w:t>
      </w:r>
      <w:r>
        <w:rPr>
          <w:spacing w:val="-5"/>
        </w:rPr>
        <w:t xml:space="preserve"> </w:t>
      </w:r>
      <w:r>
        <w:t>amendments,</w:t>
      </w:r>
      <w:r>
        <w:rPr>
          <w:spacing w:val="-5"/>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rationale</w:t>
      </w:r>
      <w:r>
        <w:rPr>
          <w:spacing w:val="-3"/>
        </w:rPr>
        <w:t xml:space="preserve"> </w:t>
      </w:r>
      <w:r>
        <w:t>behind</w:t>
      </w:r>
      <w:r>
        <w:rPr>
          <w:spacing w:val="-3"/>
        </w:rPr>
        <w:t xml:space="preserve"> </w:t>
      </w:r>
      <w:r>
        <w:t>the</w:t>
      </w:r>
      <w:r>
        <w:rPr>
          <w:spacing w:val="-3"/>
        </w:rPr>
        <w:t xml:space="preserve"> </w:t>
      </w:r>
      <w:r>
        <w:t>amendments.</w:t>
      </w:r>
      <w:r>
        <w:rPr>
          <w:spacing w:val="40"/>
        </w:rPr>
        <w:t xml:space="preserve"> </w:t>
      </w:r>
      <w:r>
        <w:t>Although narrow in scope, the Explanatory Memorandum includes sufficient information to enable stakeholders to understand the proposed amendments.</w:t>
      </w:r>
    </w:p>
    <w:p w14:paraId="1E805CA7" w14:textId="77777777" w:rsidR="00AA4A02" w:rsidRDefault="00960F31">
      <w:pPr>
        <w:pStyle w:val="BodyText"/>
        <w:spacing w:before="121" w:line="208" w:lineRule="auto"/>
        <w:ind w:left="1562" w:right="193"/>
      </w:pPr>
      <w:r>
        <w:t>The Explanatory Memorandum is prepared by technical staff and reviewed by AUASB</w:t>
      </w:r>
      <w:r>
        <w:rPr>
          <w:spacing w:val="-4"/>
        </w:rPr>
        <w:t xml:space="preserve"> </w:t>
      </w:r>
      <w:r>
        <w:t>members</w:t>
      </w:r>
      <w:r>
        <w:rPr>
          <w:spacing w:val="-4"/>
        </w:rPr>
        <w:t xml:space="preserve"> </w:t>
      </w:r>
      <w:r>
        <w:t>for</w:t>
      </w:r>
      <w:r>
        <w:rPr>
          <w:spacing w:val="-4"/>
        </w:rPr>
        <w:t xml:space="preserve"> </w:t>
      </w:r>
      <w:r>
        <w:t>fatal</w:t>
      </w:r>
      <w:r>
        <w:rPr>
          <w:spacing w:val="-4"/>
        </w:rPr>
        <w:t xml:space="preserve"> </w:t>
      </w:r>
      <w:r>
        <w:t>flaws.</w:t>
      </w:r>
      <w:r>
        <w:rPr>
          <w:spacing w:val="40"/>
        </w:rPr>
        <w:t xml:space="preserve"> </w:t>
      </w:r>
      <w:r>
        <w:t>The</w:t>
      </w:r>
      <w:r>
        <w:rPr>
          <w:spacing w:val="-2"/>
        </w:rPr>
        <w:t xml:space="preserve"> </w:t>
      </w:r>
      <w:r>
        <w:t>AUASB</w:t>
      </w:r>
      <w:r>
        <w:rPr>
          <w:spacing w:val="-4"/>
        </w:rPr>
        <w:t xml:space="preserve"> </w:t>
      </w:r>
      <w:r>
        <w:t>Chair</w:t>
      </w:r>
      <w:r>
        <w:rPr>
          <w:spacing w:val="-4"/>
        </w:rPr>
        <w:t xml:space="preserve"> </w:t>
      </w:r>
      <w:r>
        <w:t>and</w:t>
      </w:r>
      <w:r>
        <w:rPr>
          <w:spacing w:val="-2"/>
        </w:rPr>
        <w:t xml:space="preserve"> </w:t>
      </w:r>
      <w:r>
        <w:t>Technical</w:t>
      </w:r>
      <w:r>
        <w:rPr>
          <w:spacing w:val="-1"/>
        </w:rPr>
        <w:t xml:space="preserve"> </w:t>
      </w:r>
      <w:r>
        <w:t>Director</w:t>
      </w:r>
      <w:r>
        <w:rPr>
          <w:spacing w:val="-2"/>
        </w:rPr>
        <w:t xml:space="preserve"> </w:t>
      </w:r>
      <w:r>
        <w:t>approve the final wording for the Explanatory Memorandum.</w:t>
      </w:r>
    </w:p>
    <w:p w14:paraId="1E805CA8" w14:textId="77777777" w:rsidR="00AA4A02" w:rsidRDefault="00960F31">
      <w:pPr>
        <w:spacing w:before="93"/>
        <w:ind w:left="143"/>
        <w:rPr>
          <w:b/>
          <w:i/>
        </w:rPr>
      </w:pPr>
      <w:r>
        <w:rPr>
          <w:b/>
          <w:i/>
        </w:rPr>
        <w:t>Consider</w:t>
      </w:r>
      <w:r>
        <w:rPr>
          <w:b/>
          <w:i/>
          <w:spacing w:val="-7"/>
        </w:rPr>
        <w:t xml:space="preserve"> </w:t>
      </w:r>
      <w:r>
        <w:rPr>
          <w:b/>
          <w:i/>
        </w:rPr>
        <w:t>feedback</w:t>
      </w:r>
      <w:r>
        <w:rPr>
          <w:b/>
          <w:i/>
          <w:spacing w:val="-4"/>
        </w:rPr>
        <w:t xml:space="preserve"> </w:t>
      </w:r>
      <w:r>
        <w:rPr>
          <w:b/>
          <w:i/>
        </w:rPr>
        <w:t>from</w:t>
      </w:r>
      <w:r>
        <w:rPr>
          <w:b/>
          <w:i/>
          <w:spacing w:val="-3"/>
        </w:rPr>
        <w:t xml:space="preserve"> </w:t>
      </w:r>
      <w:r>
        <w:rPr>
          <w:b/>
          <w:i/>
        </w:rPr>
        <w:t>public</w:t>
      </w:r>
      <w:r>
        <w:rPr>
          <w:b/>
          <w:i/>
          <w:spacing w:val="-4"/>
        </w:rPr>
        <w:t xml:space="preserve"> </w:t>
      </w:r>
      <w:r>
        <w:rPr>
          <w:b/>
          <w:i/>
        </w:rPr>
        <w:t>consultation</w:t>
      </w:r>
      <w:r>
        <w:rPr>
          <w:b/>
          <w:i/>
          <w:spacing w:val="-4"/>
        </w:rPr>
        <w:t xml:space="preserve"> </w:t>
      </w:r>
      <w:r>
        <w:rPr>
          <w:b/>
          <w:i/>
        </w:rPr>
        <w:t>and</w:t>
      </w:r>
      <w:r>
        <w:rPr>
          <w:b/>
          <w:i/>
          <w:spacing w:val="-7"/>
        </w:rPr>
        <w:t xml:space="preserve"> </w:t>
      </w:r>
      <w:r>
        <w:rPr>
          <w:b/>
          <w:i/>
        </w:rPr>
        <w:t>finalise</w:t>
      </w:r>
      <w:r>
        <w:rPr>
          <w:b/>
          <w:i/>
          <w:spacing w:val="-4"/>
        </w:rPr>
        <w:t xml:space="preserve"> </w:t>
      </w:r>
      <w:r>
        <w:rPr>
          <w:b/>
          <w:i/>
        </w:rPr>
        <w:t>the</w:t>
      </w:r>
      <w:r>
        <w:rPr>
          <w:b/>
          <w:i/>
          <w:spacing w:val="-5"/>
        </w:rPr>
        <w:t xml:space="preserve"> </w:t>
      </w:r>
      <w:r>
        <w:rPr>
          <w:b/>
          <w:i/>
        </w:rPr>
        <w:t>proposed</w:t>
      </w:r>
      <w:r>
        <w:rPr>
          <w:b/>
          <w:i/>
          <w:spacing w:val="-6"/>
        </w:rPr>
        <w:t xml:space="preserve"> </w:t>
      </w:r>
      <w:r>
        <w:rPr>
          <w:b/>
          <w:i/>
          <w:spacing w:val="-2"/>
        </w:rPr>
        <w:t>amendments</w:t>
      </w:r>
    </w:p>
    <w:p w14:paraId="1E805CA9" w14:textId="77777777" w:rsidR="00AA4A02" w:rsidRDefault="00960F31">
      <w:pPr>
        <w:pStyle w:val="ListParagraph"/>
        <w:numPr>
          <w:ilvl w:val="0"/>
          <w:numId w:val="29"/>
        </w:numPr>
        <w:tabs>
          <w:tab w:val="left" w:pos="851"/>
        </w:tabs>
        <w:spacing w:before="112" w:line="208" w:lineRule="auto"/>
        <w:ind w:right="306"/>
      </w:pPr>
      <w:r>
        <w:t>At the completion of the public comment period, technical staff accumulate and consider all comments</w:t>
      </w:r>
      <w:r>
        <w:rPr>
          <w:spacing w:val="-5"/>
        </w:rPr>
        <w:t xml:space="preserve"> </w:t>
      </w:r>
      <w:r>
        <w:t>received</w:t>
      </w:r>
      <w:r>
        <w:rPr>
          <w:spacing w:val="-3"/>
        </w:rPr>
        <w:t xml:space="preserve"> </w:t>
      </w:r>
      <w:r>
        <w:t>from</w:t>
      </w:r>
      <w:r>
        <w:rPr>
          <w:spacing w:val="-2"/>
        </w:rPr>
        <w:t xml:space="preserve"> </w:t>
      </w:r>
      <w:r>
        <w:t>stakeholders,</w:t>
      </w:r>
      <w:r>
        <w:rPr>
          <w:spacing w:val="-3"/>
        </w:rPr>
        <w:t xml:space="preserve"> </w:t>
      </w:r>
      <w:r>
        <w:t>prepare</w:t>
      </w:r>
      <w:r>
        <w:rPr>
          <w:spacing w:val="-5"/>
        </w:rPr>
        <w:t xml:space="preserve"> </w:t>
      </w:r>
      <w:r>
        <w:t>an</w:t>
      </w:r>
      <w:r>
        <w:rPr>
          <w:spacing w:val="-3"/>
        </w:rPr>
        <w:t xml:space="preserve"> </w:t>
      </w:r>
      <w:r>
        <w:t>analysis</w:t>
      </w:r>
      <w:r>
        <w:rPr>
          <w:spacing w:val="-5"/>
        </w:rPr>
        <w:t xml:space="preserve"> </w:t>
      </w:r>
      <w:r>
        <w:t>of</w:t>
      </w:r>
      <w:r>
        <w:rPr>
          <w:spacing w:val="-3"/>
        </w:rPr>
        <w:t xml:space="preserve"> </w:t>
      </w:r>
      <w:r>
        <w:t>stakeholder</w:t>
      </w:r>
      <w:r>
        <w:rPr>
          <w:spacing w:val="-3"/>
        </w:rPr>
        <w:t xml:space="preserve"> </w:t>
      </w:r>
      <w:r>
        <w:t>feedback</w:t>
      </w:r>
      <w:r>
        <w:rPr>
          <w:spacing w:val="-3"/>
        </w:rPr>
        <w:t xml:space="preserve"> </w:t>
      </w:r>
      <w:r>
        <w:t>for</w:t>
      </w:r>
      <w:r>
        <w:rPr>
          <w:spacing w:val="-3"/>
        </w:rPr>
        <w:t xml:space="preserve"> </w:t>
      </w:r>
      <w:r>
        <w:t>Board consideration, and finalise the proposed amendments.</w:t>
      </w:r>
      <w:r>
        <w:rPr>
          <w:spacing w:val="40"/>
        </w:rPr>
        <w:t xml:space="preserve"> </w:t>
      </w:r>
      <w:r>
        <w:t>Where appropriate, a draft Basis for Conclusions</w:t>
      </w:r>
      <w:r>
        <w:rPr>
          <w:vertAlign w:val="superscript"/>
        </w:rPr>
        <w:t>73</w:t>
      </w:r>
      <w:r>
        <w:t xml:space="preserve"> is prepared at the time of finalising the proposed amendments.</w:t>
      </w:r>
    </w:p>
    <w:p w14:paraId="1E805CAA" w14:textId="77777777" w:rsidR="00AA4A02" w:rsidRDefault="00960F31">
      <w:pPr>
        <w:pStyle w:val="ListParagraph"/>
        <w:numPr>
          <w:ilvl w:val="0"/>
          <w:numId w:val="29"/>
        </w:numPr>
        <w:tabs>
          <w:tab w:val="left" w:pos="851"/>
        </w:tabs>
        <w:spacing w:before="200" w:line="208" w:lineRule="auto"/>
        <w:ind w:right="219"/>
      </w:pPr>
      <w:r>
        <w:t>Technical</w:t>
      </w:r>
      <w:r>
        <w:rPr>
          <w:spacing w:val="-3"/>
        </w:rPr>
        <w:t xml:space="preserve"> </w:t>
      </w:r>
      <w:r>
        <w:t>staff</w:t>
      </w:r>
      <w:r>
        <w:rPr>
          <w:spacing w:val="-3"/>
        </w:rPr>
        <w:t xml:space="preserve"> </w:t>
      </w:r>
      <w:r>
        <w:t>present</w:t>
      </w:r>
      <w:r>
        <w:rPr>
          <w:spacing w:val="-5"/>
        </w:rPr>
        <w:t xml:space="preserve"> </w:t>
      </w:r>
      <w:r>
        <w:t>the</w:t>
      </w:r>
      <w:r>
        <w:rPr>
          <w:spacing w:val="-5"/>
        </w:rPr>
        <w:t xml:space="preserve"> </w:t>
      </w:r>
      <w:r>
        <w:t>proposed</w:t>
      </w:r>
      <w:r>
        <w:rPr>
          <w:spacing w:val="-3"/>
        </w:rPr>
        <w:t xml:space="preserve"> </w:t>
      </w:r>
      <w:r>
        <w:t>final</w:t>
      </w:r>
      <w:r>
        <w:rPr>
          <w:spacing w:val="-3"/>
        </w:rPr>
        <w:t xml:space="preserve"> </w:t>
      </w:r>
      <w:r>
        <w:t>amendments</w:t>
      </w:r>
      <w:r>
        <w:rPr>
          <w:spacing w:val="-5"/>
        </w:rPr>
        <w:t xml:space="preserve"> </w:t>
      </w:r>
      <w:r>
        <w:t>and,</w:t>
      </w:r>
      <w:r>
        <w:rPr>
          <w:spacing w:val="-3"/>
        </w:rPr>
        <w:t xml:space="preserve"> </w:t>
      </w:r>
      <w:r>
        <w:t>where</w:t>
      </w:r>
      <w:r>
        <w:rPr>
          <w:spacing w:val="-3"/>
        </w:rPr>
        <w:t xml:space="preserve"> </w:t>
      </w:r>
      <w:r>
        <w:t>appropriate,</w:t>
      </w:r>
      <w:r>
        <w:rPr>
          <w:spacing w:val="-3"/>
        </w:rPr>
        <w:t xml:space="preserve"> </w:t>
      </w:r>
      <w:r>
        <w:t>accompanying draft Basis for Conclusions, together with a collation of stakeholder comments and technical staff analysis of comments received and how these comments have been addressed, to the AUASB for its consideration at a public meeting.</w:t>
      </w:r>
    </w:p>
    <w:p w14:paraId="1E805CAB" w14:textId="77777777" w:rsidR="00AA4A02" w:rsidRDefault="00960F31">
      <w:pPr>
        <w:pStyle w:val="ListParagraph"/>
        <w:numPr>
          <w:ilvl w:val="0"/>
          <w:numId w:val="29"/>
        </w:numPr>
        <w:tabs>
          <w:tab w:val="left" w:pos="851"/>
        </w:tabs>
        <w:spacing w:before="200" w:line="208" w:lineRule="auto"/>
        <w:ind w:right="288"/>
      </w:pPr>
      <w:r>
        <w:t>The AUASB reviews the final amendments and supporting Board papers, taking into consideration</w:t>
      </w:r>
      <w:r>
        <w:rPr>
          <w:spacing w:val="-2"/>
        </w:rPr>
        <w:t xml:space="preserve"> </w:t>
      </w:r>
      <w:r>
        <w:t>how</w:t>
      </w:r>
      <w:r>
        <w:rPr>
          <w:spacing w:val="-3"/>
        </w:rPr>
        <w:t xml:space="preserve"> </w:t>
      </w:r>
      <w:r>
        <w:t>issues</w:t>
      </w:r>
      <w:r>
        <w:rPr>
          <w:spacing w:val="-4"/>
        </w:rPr>
        <w:t xml:space="preserve"> </w:t>
      </w:r>
      <w:r>
        <w:t>raised</w:t>
      </w:r>
      <w:r>
        <w:rPr>
          <w:spacing w:val="-5"/>
        </w:rPr>
        <w:t xml:space="preserve"> </w:t>
      </w:r>
      <w:r>
        <w:t>by</w:t>
      </w:r>
      <w:r>
        <w:rPr>
          <w:spacing w:val="-2"/>
        </w:rPr>
        <w:t xml:space="preserve"> </w:t>
      </w:r>
      <w:r>
        <w:t>Australian</w:t>
      </w:r>
      <w:r>
        <w:rPr>
          <w:spacing w:val="-2"/>
        </w:rPr>
        <w:t xml:space="preserve"> </w:t>
      </w:r>
      <w:r>
        <w:t>stakeholders</w:t>
      </w:r>
      <w:r>
        <w:rPr>
          <w:spacing w:val="-4"/>
        </w:rPr>
        <w:t xml:space="preserve"> </w:t>
      </w:r>
      <w:r>
        <w:t>have</w:t>
      </w:r>
      <w:r>
        <w:rPr>
          <w:spacing w:val="-4"/>
        </w:rPr>
        <w:t xml:space="preserve"> </w:t>
      </w:r>
      <w:r>
        <w:t>been</w:t>
      </w:r>
      <w:r>
        <w:rPr>
          <w:spacing w:val="-5"/>
        </w:rPr>
        <w:t xml:space="preserve"> </w:t>
      </w:r>
      <w:r>
        <w:t>addressed</w:t>
      </w:r>
      <w:r>
        <w:rPr>
          <w:spacing w:val="-2"/>
        </w:rPr>
        <w:t xml:space="preserve"> </w:t>
      </w:r>
      <w:r>
        <w:t>and</w:t>
      </w:r>
      <w:r>
        <w:rPr>
          <w:spacing w:val="-2"/>
        </w:rPr>
        <w:t xml:space="preserve"> </w:t>
      </w:r>
      <w:r>
        <w:t>votes</w:t>
      </w:r>
      <w:r>
        <w:rPr>
          <w:spacing w:val="-2"/>
        </w:rPr>
        <w:t xml:space="preserve"> </w:t>
      </w:r>
      <w:r>
        <w:t>on the approval of the final amendments. See paragraphs 212-237 of this document.</w:t>
      </w:r>
    </w:p>
    <w:p w14:paraId="1E805CAC" w14:textId="77777777" w:rsidR="00AA4A02" w:rsidRDefault="00960F31">
      <w:pPr>
        <w:pStyle w:val="Heading9"/>
        <w:spacing w:before="187"/>
        <w:ind w:left="143"/>
      </w:pPr>
      <w:bookmarkStart w:id="87" w:name="Amendment_of_Standards_made_under_Sectio"/>
      <w:bookmarkEnd w:id="87"/>
      <w:r>
        <w:t>Amendment</w:t>
      </w:r>
      <w:r>
        <w:rPr>
          <w:spacing w:val="-2"/>
        </w:rPr>
        <w:t xml:space="preserve"> </w:t>
      </w:r>
      <w:r>
        <w:t>of</w:t>
      </w:r>
      <w:r>
        <w:rPr>
          <w:spacing w:val="-3"/>
        </w:rPr>
        <w:t xml:space="preserve"> </w:t>
      </w:r>
      <w:r>
        <w:t>Standards</w:t>
      </w:r>
      <w:r>
        <w:rPr>
          <w:spacing w:val="-1"/>
        </w:rPr>
        <w:t xml:space="preserve"> </w:t>
      </w:r>
      <w:r>
        <w:t>made</w:t>
      </w:r>
      <w:r>
        <w:rPr>
          <w:spacing w:val="-2"/>
        </w:rPr>
        <w:t xml:space="preserve"> </w:t>
      </w:r>
      <w:r>
        <w:t>under</w:t>
      </w:r>
      <w:r>
        <w:rPr>
          <w:spacing w:val="-2"/>
        </w:rPr>
        <w:t xml:space="preserve"> </w:t>
      </w:r>
      <w:r>
        <w:t>Section</w:t>
      </w:r>
      <w:r>
        <w:rPr>
          <w:spacing w:val="-1"/>
        </w:rPr>
        <w:t xml:space="preserve"> </w:t>
      </w:r>
      <w:r>
        <w:t>336</w:t>
      </w:r>
      <w:r>
        <w:rPr>
          <w:spacing w:val="-1"/>
        </w:rPr>
        <w:t xml:space="preserve"> </w:t>
      </w:r>
      <w:r>
        <w:t>of</w:t>
      </w:r>
      <w:r>
        <w:rPr>
          <w:spacing w:val="-2"/>
        </w:rPr>
        <w:t xml:space="preserve"> </w:t>
      </w:r>
      <w:r>
        <w:t>the</w:t>
      </w:r>
      <w:r>
        <w:rPr>
          <w:spacing w:val="-1"/>
        </w:rPr>
        <w:t xml:space="preserve"> </w:t>
      </w:r>
      <w:r>
        <w:t>Corporations</w:t>
      </w:r>
      <w:r>
        <w:rPr>
          <w:spacing w:val="-1"/>
        </w:rPr>
        <w:t xml:space="preserve"> </w:t>
      </w:r>
      <w:r>
        <w:rPr>
          <w:spacing w:val="-5"/>
        </w:rPr>
        <w:t>Act</w:t>
      </w:r>
    </w:p>
    <w:p w14:paraId="1E805CAD" w14:textId="77777777" w:rsidR="00AA4A02" w:rsidRDefault="00960F31">
      <w:pPr>
        <w:pStyle w:val="ListParagraph"/>
        <w:numPr>
          <w:ilvl w:val="0"/>
          <w:numId w:val="29"/>
        </w:numPr>
        <w:tabs>
          <w:tab w:val="left" w:pos="851"/>
        </w:tabs>
        <w:spacing w:before="196" w:line="208" w:lineRule="auto"/>
        <w:ind w:right="228"/>
      </w:pPr>
      <w:r>
        <w:t>As</w:t>
      </w:r>
      <w:r>
        <w:rPr>
          <w:spacing w:val="-2"/>
        </w:rPr>
        <w:t xml:space="preserve"> </w:t>
      </w:r>
      <w:r>
        <w:t>standards</w:t>
      </w:r>
      <w:r>
        <w:rPr>
          <w:spacing w:val="-4"/>
        </w:rPr>
        <w:t xml:space="preserve"> </w:t>
      </w:r>
      <w:r>
        <w:t>made</w:t>
      </w:r>
      <w:r>
        <w:rPr>
          <w:spacing w:val="-2"/>
        </w:rPr>
        <w:t xml:space="preserve"> </w:t>
      </w:r>
      <w:r>
        <w:t>under</w:t>
      </w:r>
      <w:r>
        <w:rPr>
          <w:spacing w:val="-2"/>
        </w:rPr>
        <w:t xml:space="preserve"> </w:t>
      </w:r>
      <w:r>
        <w:t>section</w:t>
      </w:r>
      <w:r>
        <w:rPr>
          <w:spacing w:val="-2"/>
        </w:rPr>
        <w:t xml:space="preserve"> </w:t>
      </w:r>
      <w:r>
        <w:t>336</w:t>
      </w:r>
      <w:r>
        <w:rPr>
          <w:spacing w:val="-5"/>
        </w:rPr>
        <w:t xml:space="preserve"> </w:t>
      </w:r>
      <w:r>
        <w:t>of</w:t>
      </w:r>
      <w:r>
        <w:rPr>
          <w:spacing w:val="-4"/>
        </w:rPr>
        <w:t xml:space="preserve"> </w:t>
      </w:r>
      <w:r>
        <w:t>the</w:t>
      </w:r>
      <w:r>
        <w:rPr>
          <w:spacing w:val="-2"/>
        </w:rPr>
        <w:t xml:space="preserve"> </w:t>
      </w:r>
      <w:r>
        <w:t>Corporations</w:t>
      </w:r>
      <w:r>
        <w:rPr>
          <w:spacing w:val="-2"/>
        </w:rPr>
        <w:t xml:space="preserve"> </w:t>
      </w:r>
      <w:r>
        <w:t>Act</w:t>
      </w:r>
      <w:r>
        <w:rPr>
          <w:spacing w:val="-4"/>
        </w:rPr>
        <w:t xml:space="preserve"> </w:t>
      </w:r>
      <w:r>
        <w:t>are</w:t>
      </w:r>
      <w:r>
        <w:rPr>
          <w:spacing w:val="-1"/>
        </w:rPr>
        <w:t xml:space="preserve"> </w:t>
      </w:r>
      <w:r>
        <w:t>legislative</w:t>
      </w:r>
      <w:r>
        <w:rPr>
          <w:spacing w:val="-2"/>
        </w:rPr>
        <w:t xml:space="preserve"> </w:t>
      </w:r>
      <w:r>
        <w:t>instruments,</w:t>
      </w:r>
      <w:r>
        <w:rPr>
          <w:spacing w:val="-4"/>
        </w:rPr>
        <w:t xml:space="preserve"> </w:t>
      </w:r>
      <w:r>
        <w:t>they can only be amended by another legislative instrument. An “Amending Standard” is a legislative instrument made by the AUASB for the sole purpose of amending another legislative instrument. Amending Standards provide an efficient way of processing amendments which affect a number of standards without reissuing all the standards affected.</w:t>
      </w:r>
    </w:p>
    <w:p w14:paraId="1E805CAE" w14:textId="77777777" w:rsidR="00AA4A02" w:rsidRDefault="00960F31">
      <w:pPr>
        <w:pStyle w:val="ListParagraph"/>
        <w:numPr>
          <w:ilvl w:val="0"/>
          <w:numId w:val="29"/>
        </w:numPr>
        <w:tabs>
          <w:tab w:val="left" w:pos="851"/>
        </w:tabs>
        <w:spacing w:line="208" w:lineRule="auto"/>
        <w:ind w:right="451"/>
      </w:pPr>
      <w:r>
        <w:t>A</w:t>
      </w:r>
      <w:r>
        <w:rPr>
          <w:spacing w:val="-3"/>
        </w:rPr>
        <w:t xml:space="preserve"> </w:t>
      </w:r>
      <w:r>
        <w:rPr>
          <w:i/>
        </w:rPr>
        <w:t>Preface</w:t>
      </w:r>
      <w:r>
        <w:rPr>
          <w:i/>
          <w:spacing w:val="-1"/>
        </w:rPr>
        <w:t xml:space="preserve"> </w:t>
      </w:r>
      <w:r>
        <w:t>is</w:t>
      </w:r>
      <w:r>
        <w:rPr>
          <w:spacing w:val="-2"/>
        </w:rPr>
        <w:t xml:space="preserve"> </w:t>
      </w:r>
      <w:r>
        <w:t>included</w:t>
      </w:r>
      <w:r>
        <w:rPr>
          <w:spacing w:val="-4"/>
        </w:rPr>
        <w:t xml:space="preserve"> </w:t>
      </w:r>
      <w:r>
        <w:t>in</w:t>
      </w:r>
      <w:r>
        <w:rPr>
          <w:spacing w:val="-5"/>
        </w:rPr>
        <w:t xml:space="preserve"> </w:t>
      </w:r>
      <w:r>
        <w:t>the</w:t>
      </w:r>
      <w:r>
        <w:rPr>
          <w:spacing w:val="-2"/>
        </w:rPr>
        <w:t xml:space="preserve"> </w:t>
      </w:r>
      <w:r>
        <w:t>Amending</w:t>
      </w:r>
      <w:r>
        <w:rPr>
          <w:spacing w:val="-2"/>
        </w:rPr>
        <w:t xml:space="preserve"> </w:t>
      </w:r>
      <w:r>
        <w:t>Standard</w:t>
      </w:r>
      <w:r>
        <w:rPr>
          <w:spacing w:val="-2"/>
        </w:rPr>
        <w:t xml:space="preserve"> </w:t>
      </w:r>
      <w:r>
        <w:t>to</w:t>
      </w:r>
      <w:r>
        <w:rPr>
          <w:spacing w:val="-5"/>
        </w:rPr>
        <w:t xml:space="preserve"> </w:t>
      </w:r>
      <w:r>
        <w:t>explain</w:t>
      </w:r>
      <w:r>
        <w:rPr>
          <w:spacing w:val="-2"/>
        </w:rPr>
        <w:t xml:space="preserve"> </w:t>
      </w:r>
      <w:r>
        <w:t>the</w:t>
      </w:r>
      <w:r>
        <w:rPr>
          <w:spacing w:val="-2"/>
        </w:rPr>
        <w:t xml:space="preserve"> </w:t>
      </w:r>
      <w:r>
        <w:t>reasons</w:t>
      </w:r>
      <w:r>
        <w:rPr>
          <w:spacing w:val="-2"/>
        </w:rPr>
        <w:t xml:space="preserve"> </w:t>
      </w:r>
      <w:r>
        <w:t>for</w:t>
      </w:r>
      <w:r>
        <w:rPr>
          <w:spacing w:val="-4"/>
        </w:rPr>
        <w:t xml:space="preserve"> </w:t>
      </w:r>
      <w:r>
        <w:t>the</w:t>
      </w:r>
      <w:r>
        <w:rPr>
          <w:spacing w:val="-4"/>
        </w:rPr>
        <w:t xml:space="preserve"> </w:t>
      </w:r>
      <w:r>
        <w:t>amendments and to identify the standard or standards impacted.</w:t>
      </w:r>
    </w:p>
    <w:p w14:paraId="1E805CAF" w14:textId="77777777" w:rsidR="00AA4A02" w:rsidRDefault="00960F31">
      <w:pPr>
        <w:pStyle w:val="Heading9"/>
        <w:spacing w:before="187"/>
        <w:ind w:left="143"/>
      </w:pPr>
      <w:bookmarkStart w:id="88" w:name="Conforming_and_Consequential_Amendments_"/>
      <w:bookmarkEnd w:id="88"/>
      <w:r>
        <w:t>Conforming</w:t>
      </w:r>
      <w:r>
        <w:rPr>
          <w:spacing w:val="-5"/>
        </w:rPr>
        <w:t xml:space="preserve"> </w:t>
      </w:r>
      <w:r>
        <w:t>and</w:t>
      </w:r>
      <w:r>
        <w:rPr>
          <w:spacing w:val="-2"/>
        </w:rPr>
        <w:t xml:space="preserve"> </w:t>
      </w:r>
      <w:r>
        <w:t>Consequential</w:t>
      </w:r>
      <w:r>
        <w:rPr>
          <w:spacing w:val="-2"/>
        </w:rPr>
        <w:t xml:space="preserve"> </w:t>
      </w:r>
      <w:r>
        <w:t>Amendments</w:t>
      </w:r>
      <w:r>
        <w:rPr>
          <w:spacing w:val="-2"/>
        </w:rPr>
        <w:t xml:space="preserve"> </w:t>
      </w:r>
      <w:r>
        <w:t>to</w:t>
      </w:r>
      <w:r>
        <w:rPr>
          <w:spacing w:val="-2"/>
        </w:rPr>
        <w:t xml:space="preserve"> Standards</w:t>
      </w:r>
    </w:p>
    <w:p w14:paraId="1E805CB0" w14:textId="77777777" w:rsidR="00AA4A02" w:rsidRDefault="00960F31">
      <w:pPr>
        <w:pStyle w:val="ListParagraph"/>
        <w:numPr>
          <w:ilvl w:val="0"/>
          <w:numId w:val="29"/>
        </w:numPr>
        <w:tabs>
          <w:tab w:val="left" w:pos="851"/>
        </w:tabs>
        <w:spacing w:before="196" w:line="208" w:lineRule="auto"/>
        <w:ind w:right="174"/>
      </w:pPr>
      <w:r>
        <w:t>Where the AUASB develops a new or revised standard, the AUASB also considers whether conforming and/or consequential amendments to other standards will be necessary, to address inconsistencies</w:t>
      </w:r>
      <w:r>
        <w:rPr>
          <w:spacing w:val="-2"/>
        </w:rPr>
        <w:t xml:space="preserve"> </w:t>
      </w:r>
      <w:r>
        <w:t>between</w:t>
      </w:r>
      <w:r>
        <w:rPr>
          <w:spacing w:val="-2"/>
        </w:rPr>
        <w:t xml:space="preserve"> </w:t>
      </w:r>
      <w:r>
        <w:t>standards</w:t>
      </w:r>
      <w:r>
        <w:rPr>
          <w:spacing w:val="-2"/>
        </w:rPr>
        <w:t xml:space="preserve"> </w:t>
      </w:r>
      <w:r>
        <w:t>and</w:t>
      </w:r>
      <w:r>
        <w:rPr>
          <w:spacing w:val="-5"/>
        </w:rPr>
        <w:t xml:space="preserve"> </w:t>
      </w:r>
      <w:r>
        <w:t>to</w:t>
      </w:r>
      <w:r>
        <w:rPr>
          <w:spacing w:val="-2"/>
        </w:rPr>
        <w:t xml:space="preserve"> </w:t>
      </w:r>
      <w:r>
        <w:t>ensure</w:t>
      </w:r>
      <w:r>
        <w:rPr>
          <w:spacing w:val="-4"/>
        </w:rPr>
        <w:t xml:space="preserve"> </w:t>
      </w:r>
      <w:r>
        <w:t>that</w:t>
      </w:r>
      <w:r>
        <w:rPr>
          <w:spacing w:val="-1"/>
        </w:rPr>
        <w:t xml:space="preserve"> </w:t>
      </w:r>
      <w:r>
        <w:t>the</w:t>
      </w:r>
      <w:r>
        <w:rPr>
          <w:spacing w:val="-2"/>
        </w:rPr>
        <w:t xml:space="preserve"> </w:t>
      </w:r>
      <w:r>
        <w:t>AUASB</w:t>
      </w:r>
      <w:r>
        <w:rPr>
          <w:spacing w:val="-4"/>
        </w:rPr>
        <w:t xml:space="preserve"> </w:t>
      </w:r>
      <w:r>
        <w:t>Standards</w:t>
      </w:r>
      <w:r>
        <w:rPr>
          <w:spacing w:val="-4"/>
        </w:rPr>
        <w:t xml:space="preserve"> </w:t>
      </w:r>
      <w:r>
        <w:t>can</w:t>
      </w:r>
      <w:r>
        <w:rPr>
          <w:spacing w:val="-2"/>
        </w:rPr>
        <w:t xml:space="preserve"> </w:t>
      </w:r>
      <w:r>
        <w:t>continue</w:t>
      </w:r>
      <w:r>
        <w:rPr>
          <w:spacing w:val="-2"/>
        </w:rPr>
        <w:t xml:space="preserve"> </w:t>
      </w:r>
      <w:r>
        <w:t>to</w:t>
      </w:r>
      <w:r>
        <w:rPr>
          <w:spacing w:val="-2"/>
        </w:rPr>
        <w:t xml:space="preserve"> </w:t>
      </w:r>
      <w:r>
        <w:t>be applied together without conflict.</w:t>
      </w:r>
    </w:p>
    <w:p w14:paraId="1E805CB1" w14:textId="77777777" w:rsidR="00AA4A02" w:rsidRDefault="00960F31">
      <w:pPr>
        <w:pStyle w:val="ListParagraph"/>
        <w:numPr>
          <w:ilvl w:val="0"/>
          <w:numId w:val="29"/>
        </w:numPr>
        <w:tabs>
          <w:tab w:val="left" w:pos="851"/>
        </w:tabs>
        <w:spacing w:before="200" w:line="208" w:lineRule="auto"/>
        <w:ind w:right="148"/>
      </w:pPr>
      <w:r>
        <w:t>Conforming amendments are minor, obvious, straightforward and mostly editorial in nature, and generally involve little or no judgement in preparing them.</w:t>
      </w:r>
      <w:r>
        <w:rPr>
          <w:spacing w:val="40"/>
        </w:rPr>
        <w:t xml:space="preserve"> </w:t>
      </w:r>
      <w:r>
        <w:t>Conforming amendments do not</w:t>
      </w:r>
      <w:r>
        <w:rPr>
          <w:spacing w:val="-2"/>
        </w:rPr>
        <w:t xml:space="preserve"> </w:t>
      </w:r>
      <w:r>
        <w:t>involve</w:t>
      </w:r>
      <w:r>
        <w:rPr>
          <w:spacing w:val="-5"/>
        </w:rPr>
        <w:t xml:space="preserve"> </w:t>
      </w:r>
      <w:r>
        <w:t>reconsideration</w:t>
      </w:r>
      <w:r>
        <w:rPr>
          <w:spacing w:val="-6"/>
        </w:rPr>
        <w:t xml:space="preserve"> </w:t>
      </w:r>
      <w:r>
        <w:t>of</w:t>
      </w:r>
      <w:r>
        <w:rPr>
          <w:spacing w:val="-3"/>
        </w:rPr>
        <w:t xml:space="preserve"> </w:t>
      </w:r>
      <w:r>
        <w:t>the</w:t>
      </w:r>
      <w:r>
        <w:rPr>
          <w:spacing w:val="-3"/>
        </w:rPr>
        <w:t xml:space="preserve"> </w:t>
      </w:r>
      <w:r>
        <w:t>scope,</w:t>
      </w:r>
      <w:r>
        <w:rPr>
          <w:spacing w:val="-3"/>
        </w:rPr>
        <w:t xml:space="preserve"> </w:t>
      </w:r>
      <w:r>
        <w:t>objectives,</w:t>
      </w:r>
      <w:r>
        <w:rPr>
          <w:spacing w:val="-3"/>
        </w:rPr>
        <w:t xml:space="preserve"> </w:t>
      </w:r>
      <w:r>
        <w:t>requirements</w:t>
      </w:r>
      <w:r>
        <w:rPr>
          <w:spacing w:val="-3"/>
        </w:rPr>
        <w:t xml:space="preserve"> </w:t>
      </w:r>
      <w:r>
        <w:t>and</w:t>
      </w:r>
      <w:r>
        <w:rPr>
          <w:spacing w:val="-6"/>
        </w:rPr>
        <w:t xml:space="preserve"> </w:t>
      </w:r>
      <w:r>
        <w:t>application</w:t>
      </w:r>
      <w:r>
        <w:rPr>
          <w:spacing w:val="-6"/>
        </w:rPr>
        <w:t xml:space="preserve"> </w:t>
      </w:r>
      <w:r>
        <w:t>material</w:t>
      </w:r>
      <w:r>
        <w:rPr>
          <w:spacing w:val="-2"/>
        </w:rPr>
        <w:t xml:space="preserve"> </w:t>
      </w:r>
      <w:r>
        <w:t>of</w:t>
      </w:r>
      <w:r>
        <w:rPr>
          <w:spacing w:val="-5"/>
        </w:rPr>
        <w:t xml:space="preserve"> </w:t>
      </w:r>
      <w:r>
        <w:t xml:space="preserve">a </w:t>
      </w:r>
      <w:r>
        <w:rPr>
          <w:spacing w:val="-2"/>
        </w:rPr>
        <w:t>standard.</w:t>
      </w:r>
    </w:p>
    <w:p w14:paraId="1E805CB2" w14:textId="77777777" w:rsidR="00AA4A02" w:rsidRDefault="00AA4A02">
      <w:pPr>
        <w:pStyle w:val="BodyText"/>
        <w:rPr>
          <w:sz w:val="20"/>
        </w:rPr>
      </w:pPr>
    </w:p>
    <w:p w14:paraId="1E805CB3" w14:textId="77777777" w:rsidR="00AA4A02" w:rsidRDefault="00AA4A02">
      <w:pPr>
        <w:pStyle w:val="BodyText"/>
        <w:rPr>
          <w:sz w:val="20"/>
        </w:rPr>
      </w:pPr>
    </w:p>
    <w:p w14:paraId="1E805CB4" w14:textId="77777777" w:rsidR="00AA4A02" w:rsidRDefault="00AA4A02">
      <w:pPr>
        <w:pStyle w:val="BodyText"/>
        <w:rPr>
          <w:sz w:val="20"/>
        </w:rPr>
      </w:pPr>
    </w:p>
    <w:p w14:paraId="1E805CB5" w14:textId="77777777" w:rsidR="00AA4A02" w:rsidRDefault="00960F31">
      <w:pPr>
        <w:pStyle w:val="BodyText"/>
        <w:spacing w:before="207"/>
        <w:rPr>
          <w:sz w:val="20"/>
        </w:rPr>
      </w:pPr>
      <w:r>
        <w:rPr>
          <w:noProof/>
          <w:sz w:val="20"/>
        </w:rPr>
        <mc:AlternateContent>
          <mc:Choice Requires="wps">
            <w:drawing>
              <wp:anchor distT="0" distB="0" distL="0" distR="0" simplePos="0" relativeHeight="487613952" behindDoc="1" locked="0" layoutInCell="1" allowOverlap="1" wp14:anchorId="1E805F79" wp14:editId="1E805F7A">
                <wp:simplePos x="0" y="0"/>
                <wp:positionH relativeFrom="page">
                  <wp:posOffset>900988</wp:posOffset>
                </wp:positionH>
                <wp:positionV relativeFrom="paragraph">
                  <wp:posOffset>293293</wp:posOffset>
                </wp:positionV>
                <wp:extent cx="1829435" cy="762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6DC70" id="Graphic 86" o:spid="_x0000_s1026" style="position:absolute;margin-left:70.95pt;margin-top:23.1pt;width:144.05pt;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" path="m1829053,l,,,7619r1829053,l1829053,xe" fillcolor="black" stroked="f">
                <v:path arrowok="t"/>
                <w10:wrap type="topAndBottom" anchorx="page"/>
              </v:shape>
            </w:pict>
          </mc:Fallback>
        </mc:AlternateContent>
      </w:r>
    </w:p>
    <w:p w14:paraId="1E805CB6" w14:textId="77777777" w:rsidR="00AA4A02" w:rsidRDefault="00960F31">
      <w:pPr>
        <w:spacing w:before="74" w:line="172" w:lineRule="exact"/>
        <w:ind w:left="143"/>
        <w:rPr>
          <w:sz w:val="16"/>
        </w:rPr>
      </w:pPr>
      <w:r>
        <w:rPr>
          <w:sz w:val="16"/>
          <w:vertAlign w:val="superscript"/>
        </w:rPr>
        <w:t>72</w:t>
      </w:r>
      <w:r>
        <w:rPr>
          <w:spacing w:val="48"/>
          <w:sz w:val="16"/>
        </w:rPr>
        <w:t xml:space="preserve">  </w:t>
      </w:r>
      <w:r>
        <w:rPr>
          <w:sz w:val="16"/>
        </w:rPr>
        <w:t>See</w:t>
      </w:r>
      <w:r>
        <w:rPr>
          <w:spacing w:val="-1"/>
          <w:sz w:val="16"/>
        </w:rPr>
        <w:t xml:space="preserve"> </w:t>
      </w:r>
      <w:r>
        <w:rPr>
          <w:sz w:val="16"/>
        </w:rPr>
        <w:t>paragraph</w:t>
      </w:r>
      <w:r>
        <w:rPr>
          <w:spacing w:val="-2"/>
          <w:sz w:val="16"/>
        </w:rPr>
        <w:t xml:space="preserve"> </w:t>
      </w:r>
      <w:r>
        <w:rPr>
          <w:sz w:val="16"/>
        </w:rPr>
        <w:t>75</w:t>
      </w:r>
      <w:r>
        <w:rPr>
          <w:spacing w:val="-2"/>
          <w:sz w:val="16"/>
        </w:rPr>
        <w:t xml:space="preserve"> </w:t>
      </w:r>
      <w:r>
        <w:rPr>
          <w:sz w:val="16"/>
        </w:rPr>
        <w:t>of</w:t>
      </w:r>
      <w:r>
        <w:rPr>
          <w:spacing w:val="-4"/>
          <w:sz w:val="16"/>
        </w:rPr>
        <w:t xml:space="preserve"> </w:t>
      </w:r>
      <w:r>
        <w:rPr>
          <w:sz w:val="16"/>
        </w:rPr>
        <w:t>this</w:t>
      </w:r>
      <w:r>
        <w:rPr>
          <w:spacing w:val="-2"/>
          <w:sz w:val="16"/>
        </w:rPr>
        <w:t xml:space="preserve"> document.</w:t>
      </w:r>
    </w:p>
    <w:p w14:paraId="1E805CB7" w14:textId="77777777" w:rsidR="00AA4A02" w:rsidRDefault="00960F31">
      <w:pPr>
        <w:spacing w:line="172" w:lineRule="exact"/>
        <w:ind w:left="143"/>
        <w:rPr>
          <w:sz w:val="16"/>
        </w:rPr>
      </w:pPr>
      <w:r>
        <w:rPr>
          <w:sz w:val="16"/>
          <w:vertAlign w:val="superscript"/>
        </w:rPr>
        <w:t>73</w:t>
      </w:r>
      <w:r>
        <w:rPr>
          <w:spacing w:val="47"/>
          <w:sz w:val="16"/>
        </w:rPr>
        <w:t xml:space="preserve">  </w:t>
      </w:r>
      <w:r>
        <w:rPr>
          <w:sz w:val="16"/>
        </w:rPr>
        <w:t>See</w:t>
      </w:r>
      <w:r>
        <w:rPr>
          <w:spacing w:val="-3"/>
          <w:sz w:val="16"/>
        </w:rPr>
        <w:t xml:space="preserve"> </w:t>
      </w:r>
      <w:r>
        <w:rPr>
          <w:sz w:val="16"/>
        </w:rPr>
        <w:t>paragraphs</w:t>
      </w:r>
      <w:r>
        <w:rPr>
          <w:spacing w:val="-3"/>
          <w:sz w:val="16"/>
        </w:rPr>
        <w:t xml:space="preserve"> </w:t>
      </w:r>
      <w:r>
        <w:rPr>
          <w:sz w:val="16"/>
        </w:rPr>
        <w:t>22</w:t>
      </w:r>
      <w:r>
        <w:rPr>
          <w:spacing w:val="-3"/>
          <w:sz w:val="16"/>
        </w:rPr>
        <w:t xml:space="preserve"> </w:t>
      </w:r>
      <w:r>
        <w:rPr>
          <w:sz w:val="16"/>
        </w:rPr>
        <w:t>and</w:t>
      </w:r>
      <w:r>
        <w:rPr>
          <w:spacing w:val="-2"/>
          <w:sz w:val="16"/>
        </w:rPr>
        <w:t xml:space="preserve"> </w:t>
      </w:r>
      <w:r>
        <w:rPr>
          <w:sz w:val="16"/>
        </w:rPr>
        <w:t>238-240</w:t>
      </w:r>
      <w:r>
        <w:rPr>
          <w:spacing w:val="-2"/>
          <w:sz w:val="16"/>
        </w:rPr>
        <w:t xml:space="preserve"> </w:t>
      </w:r>
      <w:r>
        <w:rPr>
          <w:sz w:val="16"/>
        </w:rPr>
        <w:t>of</w:t>
      </w:r>
      <w:r>
        <w:rPr>
          <w:spacing w:val="-4"/>
          <w:sz w:val="16"/>
        </w:rPr>
        <w:t xml:space="preserve"> </w:t>
      </w:r>
      <w:r>
        <w:rPr>
          <w:sz w:val="16"/>
        </w:rPr>
        <w:t>this</w:t>
      </w:r>
      <w:r>
        <w:rPr>
          <w:spacing w:val="-1"/>
          <w:sz w:val="16"/>
        </w:rPr>
        <w:t xml:space="preserve"> </w:t>
      </w:r>
      <w:r>
        <w:rPr>
          <w:spacing w:val="-2"/>
          <w:sz w:val="16"/>
        </w:rPr>
        <w:t>document.</w:t>
      </w:r>
    </w:p>
    <w:p w14:paraId="1E805CB8" w14:textId="77777777" w:rsidR="00AA4A02" w:rsidRDefault="00AA4A02">
      <w:pPr>
        <w:spacing w:line="172" w:lineRule="exact"/>
        <w:rPr>
          <w:sz w:val="16"/>
        </w:rPr>
        <w:sectPr w:rsidR="00AA4A02">
          <w:pgSz w:w="11910" w:h="16840"/>
          <w:pgMar w:top="1380" w:right="1275" w:bottom="1040" w:left="1275" w:header="689" w:footer="842" w:gutter="0"/>
          <w:cols w:space="720"/>
        </w:sectPr>
      </w:pPr>
    </w:p>
    <w:p w14:paraId="1E805CB9" w14:textId="77777777" w:rsidR="00AA4A02" w:rsidRDefault="00960F31">
      <w:pPr>
        <w:pStyle w:val="ListParagraph"/>
        <w:numPr>
          <w:ilvl w:val="0"/>
          <w:numId w:val="29"/>
        </w:numPr>
        <w:tabs>
          <w:tab w:val="left" w:pos="851"/>
        </w:tabs>
        <w:spacing w:before="219" w:line="208" w:lineRule="auto"/>
        <w:ind w:right="205"/>
      </w:pPr>
      <w:r>
        <w:lastRenderedPageBreak/>
        <w:t>Consequential amendments are of a more significant nature and require further analysis and application</w:t>
      </w:r>
      <w:r>
        <w:rPr>
          <w:spacing w:val="-2"/>
        </w:rPr>
        <w:t xml:space="preserve"> </w:t>
      </w:r>
      <w:r>
        <w:t>of</w:t>
      </w:r>
      <w:r>
        <w:rPr>
          <w:spacing w:val="-4"/>
        </w:rPr>
        <w:t xml:space="preserve"> </w:t>
      </w:r>
      <w:r>
        <w:t>judgement</w:t>
      </w:r>
      <w:r>
        <w:rPr>
          <w:spacing w:val="-1"/>
        </w:rPr>
        <w:t xml:space="preserve"> </w:t>
      </w:r>
      <w:r>
        <w:t>to</w:t>
      </w:r>
      <w:r>
        <w:rPr>
          <w:spacing w:val="-5"/>
        </w:rPr>
        <w:t xml:space="preserve"> </w:t>
      </w:r>
      <w:r>
        <w:t>resolve</w:t>
      </w:r>
      <w:r>
        <w:rPr>
          <w:spacing w:val="-4"/>
        </w:rPr>
        <w:t xml:space="preserve"> </w:t>
      </w:r>
      <w:r>
        <w:t>inconsistencies</w:t>
      </w:r>
      <w:r>
        <w:rPr>
          <w:spacing w:val="-4"/>
        </w:rPr>
        <w:t xml:space="preserve"> </w:t>
      </w:r>
      <w:r>
        <w:t>between</w:t>
      </w:r>
      <w:r>
        <w:rPr>
          <w:spacing w:val="-2"/>
        </w:rPr>
        <w:t xml:space="preserve"> </w:t>
      </w:r>
      <w:r>
        <w:t>standards</w:t>
      </w:r>
      <w:r>
        <w:rPr>
          <w:spacing w:val="-4"/>
        </w:rPr>
        <w:t xml:space="preserve"> </w:t>
      </w:r>
      <w:r>
        <w:t>so</w:t>
      </w:r>
      <w:r>
        <w:rPr>
          <w:spacing w:val="-4"/>
        </w:rPr>
        <w:t xml:space="preserve"> </w:t>
      </w:r>
      <w:r>
        <w:t>that</w:t>
      </w:r>
      <w:r>
        <w:rPr>
          <w:spacing w:val="-1"/>
        </w:rPr>
        <w:t xml:space="preserve"> </w:t>
      </w:r>
      <w:r>
        <w:t>the</w:t>
      </w:r>
      <w:r>
        <w:rPr>
          <w:spacing w:val="-4"/>
        </w:rPr>
        <w:t xml:space="preserve"> </w:t>
      </w:r>
      <w:r>
        <w:t>overall</w:t>
      </w:r>
      <w:r>
        <w:rPr>
          <w:spacing w:val="-4"/>
        </w:rPr>
        <w:t xml:space="preserve"> </w:t>
      </w:r>
      <w:r>
        <w:t>body of standards can be applied together without conflict.</w:t>
      </w:r>
    </w:p>
    <w:p w14:paraId="1E805CBA" w14:textId="77777777" w:rsidR="00AA4A02" w:rsidRDefault="00960F31">
      <w:pPr>
        <w:pStyle w:val="ListParagraph"/>
        <w:numPr>
          <w:ilvl w:val="0"/>
          <w:numId w:val="29"/>
        </w:numPr>
        <w:tabs>
          <w:tab w:val="left" w:pos="851"/>
        </w:tabs>
        <w:spacing w:before="202" w:line="208" w:lineRule="auto"/>
        <w:ind w:right="737"/>
      </w:pPr>
      <w:r>
        <w:t>A</w:t>
      </w:r>
      <w:r>
        <w:rPr>
          <w:spacing w:val="-5"/>
        </w:rPr>
        <w:t xml:space="preserve"> </w:t>
      </w:r>
      <w:r>
        <w:t>draft</w:t>
      </w:r>
      <w:r>
        <w:rPr>
          <w:spacing w:val="-3"/>
        </w:rPr>
        <w:t xml:space="preserve"> </w:t>
      </w:r>
      <w:r>
        <w:t>of</w:t>
      </w:r>
      <w:r>
        <w:rPr>
          <w:spacing w:val="-4"/>
        </w:rPr>
        <w:t xml:space="preserve"> </w:t>
      </w:r>
      <w:r>
        <w:t>the</w:t>
      </w:r>
      <w:r>
        <w:rPr>
          <w:spacing w:val="-4"/>
        </w:rPr>
        <w:t xml:space="preserve"> </w:t>
      </w:r>
      <w:r>
        <w:t>proposed</w:t>
      </w:r>
      <w:r>
        <w:rPr>
          <w:spacing w:val="-4"/>
        </w:rPr>
        <w:t xml:space="preserve"> </w:t>
      </w:r>
      <w:r>
        <w:t>conforming</w:t>
      </w:r>
      <w:r>
        <w:rPr>
          <w:spacing w:val="-4"/>
        </w:rPr>
        <w:t xml:space="preserve"> </w:t>
      </w:r>
      <w:r>
        <w:t>and/or</w:t>
      </w:r>
      <w:r>
        <w:rPr>
          <w:spacing w:val="-4"/>
        </w:rPr>
        <w:t xml:space="preserve"> </w:t>
      </w:r>
      <w:r>
        <w:t>consequential</w:t>
      </w:r>
      <w:r>
        <w:rPr>
          <w:spacing w:val="-3"/>
        </w:rPr>
        <w:t xml:space="preserve"> </w:t>
      </w:r>
      <w:r>
        <w:t>amendments</w:t>
      </w:r>
      <w:r>
        <w:rPr>
          <w:spacing w:val="-4"/>
        </w:rPr>
        <w:t xml:space="preserve"> </w:t>
      </w:r>
      <w:r>
        <w:t>is</w:t>
      </w:r>
      <w:r>
        <w:rPr>
          <w:spacing w:val="-4"/>
        </w:rPr>
        <w:t xml:space="preserve"> </w:t>
      </w:r>
      <w:r>
        <w:t>considered</w:t>
      </w:r>
      <w:r>
        <w:rPr>
          <w:spacing w:val="-4"/>
        </w:rPr>
        <w:t xml:space="preserve"> </w:t>
      </w:r>
      <w:r>
        <w:t>and approved by the Board at a public meeting prior to being issued.</w:t>
      </w:r>
    </w:p>
    <w:p w14:paraId="1E805CBB" w14:textId="77777777" w:rsidR="00AA4A02" w:rsidRDefault="00960F31">
      <w:pPr>
        <w:pStyle w:val="ListParagraph"/>
        <w:numPr>
          <w:ilvl w:val="0"/>
          <w:numId w:val="29"/>
        </w:numPr>
        <w:tabs>
          <w:tab w:val="left" w:pos="851"/>
        </w:tabs>
        <w:spacing w:before="198" w:line="208" w:lineRule="auto"/>
        <w:ind w:right="180"/>
      </w:pPr>
      <w:r>
        <w:t>Proposed conforming and/or consequential amendments are usually exposed for public comment in conjunction with the new or revised standard it relates to; however, where they are</w:t>
      </w:r>
      <w:r>
        <w:rPr>
          <w:spacing w:val="-3"/>
        </w:rPr>
        <w:t xml:space="preserve"> </w:t>
      </w:r>
      <w:r>
        <w:t>being</w:t>
      </w:r>
      <w:r>
        <w:rPr>
          <w:spacing w:val="-3"/>
        </w:rPr>
        <w:t xml:space="preserve"> </w:t>
      </w:r>
      <w:r>
        <w:t>proposed</w:t>
      </w:r>
      <w:r>
        <w:rPr>
          <w:spacing w:val="-3"/>
        </w:rPr>
        <w:t xml:space="preserve"> </w:t>
      </w:r>
      <w:r>
        <w:t>separately,</w:t>
      </w:r>
      <w:r>
        <w:rPr>
          <w:spacing w:val="-3"/>
        </w:rPr>
        <w:t xml:space="preserve"> </w:t>
      </w:r>
      <w:r>
        <w:t>the</w:t>
      </w:r>
      <w:r>
        <w:rPr>
          <w:spacing w:val="-3"/>
        </w:rPr>
        <w:t xml:space="preserve"> </w:t>
      </w:r>
      <w:r>
        <w:t>AUASB</w:t>
      </w:r>
      <w:r>
        <w:rPr>
          <w:spacing w:val="-5"/>
        </w:rPr>
        <w:t xml:space="preserve"> </w:t>
      </w:r>
      <w:r>
        <w:t>may</w:t>
      </w:r>
      <w:r>
        <w:rPr>
          <w:spacing w:val="-5"/>
        </w:rPr>
        <w:t xml:space="preserve"> </w:t>
      </w:r>
      <w:r>
        <w:t>consider</w:t>
      </w:r>
      <w:r>
        <w:rPr>
          <w:spacing w:val="-2"/>
        </w:rPr>
        <w:t xml:space="preserve"> </w:t>
      </w:r>
      <w:r>
        <w:t>the</w:t>
      </w:r>
      <w:r>
        <w:rPr>
          <w:spacing w:val="-3"/>
        </w:rPr>
        <w:t xml:space="preserve"> </w:t>
      </w:r>
      <w:r>
        <w:t>conforming</w:t>
      </w:r>
      <w:r>
        <w:rPr>
          <w:spacing w:val="-6"/>
        </w:rPr>
        <w:t xml:space="preserve"> </w:t>
      </w:r>
      <w:r>
        <w:t>and/or</w:t>
      </w:r>
      <w:r>
        <w:rPr>
          <w:spacing w:val="-5"/>
        </w:rPr>
        <w:t xml:space="preserve"> </w:t>
      </w:r>
      <w:r>
        <w:t>consequential amendments do not require public exposure.</w:t>
      </w:r>
    </w:p>
    <w:p w14:paraId="1E805CBC" w14:textId="77777777" w:rsidR="00AA4A02" w:rsidRDefault="00960F31">
      <w:pPr>
        <w:pStyle w:val="Heading9"/>
        <w:spacing w:before="188"/>
        <w:ind w:left="143"/>
      </w:pPr>
      <w:bookmarkStart w:id="89" w:name="Compilations"/>
      <w:bookmarkEnd w:id="89"/>
      <w:r>
        <w:rPr>
          <w:spacing w:val="-2"/>
        </w:rPr>
        <w:t>Compilations</w:t>
      </w:r>
    </w:p>
    <w:p w14:paraId="1E805CBD" w14:textId="77777777" w:rsidR="00AA4A02" w:rsidRDefault="00960F31">
      <w:pPr>
        <w:pStyle w:val="ListParagraph"/>
        <w:numPr>
          <w:ilvl w:val="0"/>
          <w:numId w:val="29"/>
        </w:numPr>
        <w:tabs>
          <w:tab w:val="left" w:pos="851"/>
        </w:tabs>
        <w:spacing w:before="197" w:line="208" w:lineRule="auto"/>
        <w:ind w:right="308"/>
      </w:pPr>
      <w:r>
        <w:t>The compiled</w:t>
      </w:r>
      <w:r>
        <w:rPr>
          <w:spacing w:val="-2"/>
        </w:rPr>
        <w:t xml:space="preserve"> </w:t>
      </w:r>
      <w:r>
        <w:t>version of</w:t>
      </w:r>
      <w:r>
        <w:rPr>
          <w:spacing w:val="-2"/>
        </w:rPr>
        <w:t xml:space="preserve"> </w:t>
      </w:r>
      <w:r>
        <w:t>a standard</w:t>
      </w:r>
      <w:r>
        <w:rPr>
          <w:spacing w:val="-3"/>
        </w:rPr>
        <w:t xml:space="preserve"> </w:t>
      </w:r>
      <w:r>
        <w:t>reflects its content</w:t>
      </w:r>
      <w:r>
        <w:rPr>
          <w:spacing w:val="-2"/>
        </w:rPr>
        <w:t xml:space="preserve"> </w:t>
      </w:r>
      <w:r>
        <w:t>considering</w:t>
      </w:r>
      <w:r>
        <w:rPr>
          <w:spacing w:val="-3"/>
        </w:rPr>
        <w:t xml:space="preserve"> </w:t>
      </w:r>
      <w:r>
        <w:t>all amendments that have become effective since the principal standard was originally made.</w:t>
      </w:r>
      <w:r>
        <w:rPr>
          <w:vertAlign w:val="superscript"/>
        </w:rPr>
        <w:t>74</w:t>
      </w:r>
      <w:r>
        <w:t xml:space="preserve"> Compilations are a requirement of the </w:t>
      </w:r>
      <w:r>
        <w:rPr>
          <w:i/>
        </w:rPr>
        <w:t xml:space="preserve">Legislation Act 2003 </w:t>
      </w:r>
      <w:r>
        <w:t>and are required to be lodged with the Office of Parliamentary</w:t>
      </w:r>
      <w:r>
        <w:rPr>
          <w:spacing w:val="-3"/>
        </w:rPr>
        <w:t xml:space="preserve"> </w:t>
      </w:r>
      <w:r>
        <w:t>Counsel</w:t>
      </w:r>
      <w:r>
        <w:rPr>
          <w:spacing w:val="-5"/>
        </w:rPr>
        <w:t xml:space="preserve"> </w:t>
      </w:r>
      <w:r>
        <w:t>for</w:t>
      </w:r>
      <w:r>
        <w:rPr>
          <w:spacing w:val="-3"/>
        </w:rPr>
        <w:t xml:space="preserve"> </w:t>
      </w:r>
      <w:r>
        <w:t>registration</w:t>
      </w:r>
      <w:r>
        <w:rPr>
          <w:spacing w:val="-3"/>
        </w:rPr>
        <w:t xml:space="preserve"> </w:t>
      </w:r>
      <w:r>
        <w:t>on</w:t>
      </w:r>
      <w:r>
        <w:rPr>
          <w:spacing w:val="-6"/>
        </w:rPr>
        <w:t xml:space="preserve"> </w:t>
      </w:r>
      <w:r>
        <w:t>the</w:t>
      </w:r>
      <w:r>
        <w:rPr>
          <w:spacing w:val="-3"/>
        </w:rPr>
        <w:t xml:space="preserve"> </w:t>
      </w:r>
      <w:r>
        <w:t>Federal</w:t>
      </w:r>
      <w:r>
        <w:rPr>
          <w:spacing w:val="-2"/>
        </w:rPr>
        <w:t xml:space="preserve"> </w:t>
      </w:r>
      <w:r>
        <w:t>Register</w:t>
      </w:r>
      <w:r>
        <w:rPr>
          <w:spacing w:val="-3"/>
        </w:rPr>
        <w:t xml:space="preserve"> </w:t>
      </w:r>
      <w:r>
        <w:t>of</w:t>
      </w:r>
      <w:r>
        <w:rPr>
          <w:spacing w:val="-3"/>
        </w:rPr>
        <w:t xml:space="preserve"> </w:t>
      </w:r>
      <w:r>
        <w:t>Legislation.</w:t>
      </w:r>
      <w:r>
        <w:rPr>
          <w:spacing w:val="40"/>
        </w:rPr>
        <w:t xml:space="preserve"> </w:t>
      </w:r>
      <w:r>
        <w:t>A</w:t>
      </w:r>
      <w:r>
        <w:rPr>
          <w:spacing w:val="-4"/>
        </w:rPr>
        <w:t xml:space="preserve"> </w:t>
      </w:r>
      <w:r>
        <w:t>compilation is not a legislative instrument.</w:t>
      </w:r>
    </w:p>
    <w:p w14:paraId="1E805CBE" w14:textId="77777777" w:rsidR="00AA4A02" w:rsidRDefault="00960F31">
      <w:pPr>
        <w:pStyle w:val="ListParagraph"/>
        <w:numPr>
          <w:ilvl w:val="0"/>
          <w:numId w:val="29"/>
        </w:numPr>
        <w:tabs>
          <w:tab w:val="left" w:pos="851"/>
        </w:tabs>
        <w:spacing w:before="174"/>
      </w:pPr>
      <w:r>
        <w:t>Where</w:t>
      </w:r>
      <w:r>
        <w:rPr>
          <w:spacing w:val="-3"/>
        </w:rPr>
        <w:t xml:space="preserve"> </w:t>
      </w:r>
      <w:r>
        <w:t>the</w:t>
      </w:r>
      <w:r>
        <w:rPr>
          <w:spacing w:val="-2"/>
        </w:rPr>
        <w:t xml:space="preserve"> </w:t>
      </w:r>
      <w:r>
        <w:t>AUASB</w:t>
      </w:r>
      <w:r>
        <w:rPr>
          <w:spacing w:val="-4"/>
        </w:rPr>
        <w:t xml:space="preserve"> </w:t>
      </w:r>
      <w:r>
        <w:t>issues</w:t>
      </w:r>
      <w:r>
        <w:rPr>
          <w:spacing w:val="-4"/>
        </w:rPr>
        <w:t xml:space="preserve"> </w:t>
      </w:r>
      <w:r>
        <w:t>a</w:t>
      </w:r>
      <w:r>
        <w:rPr>
          <w:spacing w:val="-5"/>
        </w:rPr>
        <w:t xml:space="preserve"> </w:t>
      </w:r>
      <w:r>
        <w:t>compiled</w:t>
      </w:r>
      <w:r>
        <w:rPr>
          <w:spacing w:val="-2"/>
        </w:rPr>
        <w:t xml:space="preserve"> </w:t>
      </w:r>
      <w:r>
        <w:t>version</w:t>
      </w:r>
      <w:r>
        <w:rPr>
          <w:spacing w:val="-2"/>
        </w:rPr>
        <w:t xml:space="preserve"> </w:t>
      </w:r>
      <w:r>
        <w:t>of</w:t>
      </w:r>
      <w:r>
        <w:rPr>
          <w:spacing w:val="-2"/>
        </w:rPr>
        <w:t xml:space="preserve"> </w:t>
      </w:r>
      <w:r>
        <w:t>a</w:t>
      </w:r>
      <w:r>
        <w:rPr>
          <w:spacing w:val="-4"/>
        </w:rPr>
        <w:t xml:space="preserve"> </w:t>
      </w:r>
      <w:r>
        <w:rPr>
          <w:spacing w:val="-2"/>
        </w:rPr>
        <w:t>standard:</w:t>
      </w:r>
    </w:p>
    <w:p w14:paraId="1E805CBF" w14:textId="77777777" w:rsidR="00AA4A02" w:rsidRDefault="00960F31">
      <w:pPr>
        <w:pStyle w:val="ListParagraph"/>
        <w:numPr>
          <w:ilvl w:val="1"/>
          <w:numId w:val="29"/>
        </w:numPr>
        <w:tabs>
          <w:tab w:val="left" w:pos="1418"/>
        </w:tabs>
        <w:spacing w:before="194" w:line="208" w:lineRule="auto"/>
        <w:ind w:left="1418" w:right="277" w:hanging="579"/>
      </w:pPr>
      <w:r>
        <w:t>the title page of the standard indicates that it is a compiled version of the standard and shows</w:t>
      </w:r>
      <w:r>
        <w:rPr>
          <w:spacing w:val="-2"/>
        </w:rPr>
        <w:t xml:space="preserve"> </w:t>
      </w:r>
      <w:r>
        <w:t>the</w:t>
      </w:r>
      <w:r>
        <w:rPr>
          <w:spacing w:val="-2"/>
        </w:rPr>
        <w:t xml:space="preserve"> </w:t>
      </w:r>
      <w:r>
        <w:t>date</w:t>
      </w:r>
      <w:r>
        <w:rPr>
          <w:spacing w:val="-2"/>
        </w:rPr>
        <w:t xml:space="preserve"> </w:t>
      </w:r>
      <w:r>
        <w:t>of</w:t>
      </w:r>
      <w:r>
        <w:rPr>
          <w:spacing w:val="-4"/>
        </w:rPr>
        <w:t xml:space="preserve"> </w:t>
      </w:r>
      <w:r>
        <w:t>the</w:t>
      </w:r>
      <w:r>
        <w:rPr>
          <w:spacing w:val="-2"/>
        </w:rPr>
        <w:t xml:space="preserve"> </w:t>
      </w:r>
      <w:r>
        <w:t>compilation</w:t>
      </w:r>
      <w:r>
        <w:rPr>
          <w:spacing w:val="-2"/>
        </w:rPr>
        <w:t xml:space="preserve"> </w:t>
      </w:r>
      <w:r>
        <w:t>and</w:t>
      </w:r>
      <w:r>
        <w:rPr>
          <w:spacing w:val="-4"/>
        </w:rPr>
        <w:t xml:space="preserve"> </w:t>
      </w:r>
      <w:r>
        <w:t>the</w:t>
      </w:r>
      <w:r>
        <w:rPr>
          <w:spacing w:val="-2"/>
        </w:rPr>
        <w:t xml:space="preserve"> </w:t>
      </w:r>
      <w:r>
        <w:t>relevant</w:t>
      </w:r>
      <w:r>
        <w:rPr>
          <w:spacing w:val="-3"/>
        </w:rPr>
        <w:t xml:space="preserve"> </w:t>
      </w:r>
      <w:r>
        <w:t>Amending</w:t>
      </w:r>
      <w:r>
        <w:rPr>
          <w:spacing w:val="-5"/>
        </w:rPr>
        <w:t xml:space="preserve"> </w:t>
      </w:r>
      <w:r>
        <w:t>Standards</w:t>
      </w:r>
      <w:r>
        <w:rPr>
          <w:spacing w:val="-4"/>
        </w:rPr>
        <w:t xml:space="preserve"> </w:t>
      </w:r>
      <w:r>
        <w:t>that</w:t>
      </w:r>
      <w:r>
        <w:rPr>
          <w:spacing w:val="-1"/>
        </w:rPr>
        <w:t xml:space="preserve"> </w:t>
      </w:r>
      <w:r>
        <w:t>have</w:t>
      </w:r>
      <w:r>
        <w:rPr>
          <w:spacing w:val="-4"/>
        </w:rPr>
        <w:t xml:space="preserve"> </w:t>
      </w:r>
      <w:r>
        <w:t>been taken into account;</w:t>
      </w:r>
    </w:p>
    <w:p w14:paraId="1E805CC0" w14:textId="77777777" w:rsidR="00AA4A02" w:rsidRDefault="00960F31">
      <w:pPr>
        <w:pStyle w:val="ListParagraph"/>
        <w:numPr>
          <w:ilvl w:val="1"/>
          <w:numId w:val="29"/>
        </w:numPr>
        <w:tabs>
          <w:tab w:val="left" w:pos="1418"/>
        </w:tabs>
        <w:spacing w:before="120" w:line="208" w:lineRule="auto"/>
        <w:ind w:left="1418" w:right="152" w:hanging="579"/>
      </w:pPr>
      <w:r>
        <w:t>a</w:t>
      </w:r>
      <w:r>
        <w:rPr>
          <w:spacing w:val="-3"/>
        </w:rPr>
        <w:t xml:space="preserve"> </w:t>
      </w:r>
      <w:r>
        <w:t>“Compilation</w:t>
      </w:r>
      <w:r>
        <w:rPr>
          <w:spacing w:val="-3"/>
        </w:rPr>
        <w:t xml:space="preserve"> </w:t>
      </w:r>
      <w:r>
        <w:t>Details”</w:t>
      </w:r>
      <w:r>
        <w:rPr>
          <w:spacing w:val="-3"/>
        </w:rPr>
        <w:t xml:space="preserve"> </w:t>
      </w:r>
      <w:r>
        <w:t>section</w:t>
      </w:r>
      <w:r>
        <w:rPr>
          <w:spacing w:val="-3"/>
        </w:rPr>
        <w:t xml:space="preserve"> </w:t>
      </w:r>
      <w:r>
        <w:t>is</w:t>
      </w:r>
      <w:r>
        <w:rPr>
          <w:spacing w:val="-3"/>
        </w:rPr>
        <w:t xml:space="preserve"> </w:t>
      </w:r>
      <w:r>
        <w:t>included</w:t>
      </w:r>
      <w:r>
        <w:rPr>
          <w:spacing w:val="-5"/>
        </w:rPr>
        <w:t xml:space="preserve"> </w:t>
      </w:r>
      <w:r>
        <w:t>in</w:t>
      </w:r>
      <w:r>
        <w:rPr>
          <w:spacing w:val="-3"/>
        </w:rPr>
        <w:t xml:space="preserve"> </w:t>
      </w:r>
      <w:r>
        <w:t>the</w:t>
      </w:r>
      <w:r>
        <w:rPr>
          <w:spacing w:val="-3"/>
        </w:rPr>
        <w:t xml:space="preserve"> </w:t>
      </w:r>
      <w:r>
        <w:t>standard</w:t>
      </w:r>
      <w:r>
        <w:rPr>
          <w:spacing w:val="-3"/>
        </w:rPr>
        <w:t xml:space="preserve"> </w:t>
      </w:r>
      <w:r>
        <w:t>which</w:t>
      </w:r>
      <w:r>
        <w:rPr>
          <w:spacing w:val="-5"/>
        </w:rPr>
        <w:t xml:space="preserve"> </w:t>
      </w:r>
      <w:r>
        <w:t>includes</w:t>
      </w:r>
      <w:r>
        <w:rPr>
          <w:spacing w:val="-3"/>
        </w:rPr>
        <w:t xml:space="preserve"> </w:t>
      </w:r>
      <w:r>
        <w:t>the</w:t>
      </w:r>
      <w:r>
        <w:rPr>
          <w:spacing w:val="-3"/>
        </w:rPr>
        <w:t xml:space="preserve"> </w:t>
      </w:r>
      <w:r>
        <w:t xml:space="preserve">following </w:t>
      </w:r>
      <w:r>
        <w:rPr>
          <w:spacing w:val="-2"/>
        </w:rPr>
        <w:t>information:</w:t>
      </w:r>
    </w:p>
    <w:p w14:paraId="1E805CC1" w14:textId="77777777" w:rsidR="00AA4A02" w:rsidRDefault="00960F31">
      <w:pPr>
        <w:pStyle w:val="ListParagraph"/>
        <w:numPr>
          <w:ilvl w:val="0"/>
          <w:numId w:val="12"/>
        </w:numPr>
        <w:tabs>
          <w:tab w:val="left" w:pos="1987"/>
        </w:tabs>
        <w:spacing w:before="119" w:line="208" w:lineRule="auto"/>
        <w:ind w:right="340"/>
      </w:pPr>
      <w:r>
        <w:t>a</w:t>
      </w:r>
      <w:r>
        <w:rPr>
          <w:spacing w:val="-3"/>
        </w:rPr>
        <w:t xml:space="preserve"> </w:t>
      </w:r>
      <w:r>
        <w:t>“Table</w:t>
      </w:r>
      <w:r>
        <w:rPr>
          <w:spacing w:val="-3"/>
        </w:rPr>
        <w:t xml:space="preserve"> </w:t>
      </w:r>
      <w:r>
        <w:t>of</w:t>
      </w:r>
      <w:r>
        <w:rPr>
          <w:spacing w:val="-3"/>
        </w:rPr>
        <w:t xml:space="preserve"> </w:t>
      </w:r>
      <w:r>
        <w:t>Standards”,</w:t>
      </w:r>
      <w:r>
        <w:rPr>
          <w:spacing w:val="-3"/>
        </w:rPr>
        <w:t xml:space="preserve"> </w:t>
      </w:r>
      <w:r>
        <w:t>which</w:t>
      </w:r>
      <w:r>
        <w:rPr>
          <w:spacing w:val="-3"/>
        </w:rPr>
        <w:t xml:space="preserve"> </w:t>
      </w:r>
      <w:r>
        <w:t>sets</w:t>
      </w:r>
      <w:r>
        <w:rPr>
          <w:spacing w:val="-3"/>
        </w:rPr>
        <w:t xml:space="preserve"> </w:t>
      </w:r>
      <w:r>
        <w:t>out</w:t>
      </w:r>
      <w:r>
        <w:rPr>
          <w:spacing w:val="-2"/>
        </w:rPr>
        <w:t xml:space="preserve"> </w:t>
      </w:r>
      <w:r>
        <w:t>details</w:t>
      </w:r>
      <w:r>
        <w:rPr>
          <w:spacing w:val="-3"/>
        </w:rPr>
        <w:t xml:space="preserve"> </w:t>
      </w:r>
      <w:r>
        <w:t>of</w:t>
      </w:r>
      <w:r>
        <w:rPr>
          <w:spacing w:val="-4"/>
        </w:rPr>
        <w:t xml:space="preserve"> </w:t>
      </w:r>
      <w:r>
        <w:t>both</w:t>
      </w:r>
      <w:r>
        <w:rPr>
          <w:spacing w:val="-3"/>
        </w:rPr>
        <w:t xml:space="preserve"> </w:t>
      </w:r>
      <w:r>
        <w:t>the</w:t>
      </w:r>
      <w:r>
        <w:rPr>
          <w:spacing w:val="-3"/>
        </w:rPr>
        <w:t xml:space="preserve"> </w:t>
      </w:r>
      <w:r>
        <w:t>principal</w:t>
      </w:r>
      <w:r>
        <w:rPr>
          <w:spacing w:val="-2"/>
        </w:rPr>
        <w:t xml:space="preserve"> </w:t>
      </w:r>
      <w:r>
        <w:t>standard</w:t>
      </w:r>
      <w:r>
        <w:rPr>
          <w:spacing w:val="-6"/>
        </w:rPr>
        <w:t xml:space="preserve"> </w:t>
      </w:r>
      <w:r>
        <w:t>and subsequent Amending Standards, including the dates of both the principal and Amending Standards (date made, operative date and date registered on the Federal Register of Legislation);</w:t>
      </w:r>
    </w:p>
    <w:p w14:paraId="1E805CC2" w14:textId="77777777" w:rsidR="00AA4A02" w:rsidRDefault="00960F31">
      <w:pPr>
        <w:pStyle w:val="ListParagraph"/>
        <w:numPr>
          <w:ilvl w:val="0"/>
          <w:numId w:val="12"/>
        </w:numPr>
        <w:tabs>
          <w:tab w:val="left" w:pos="1983"/>
          <w:tab w:val="left" w:pos="1987"/>
        </w:tabs>
        <w:spacing w:before="120" w:line="208" w:lineRule="auto"/>
        <w:ind w:right="169"/>
        <w:jc w:val="both"/>
      </w:pPr>
      <w:r>
        <w:t>a</w:t>
      </w:r>
      <w:r>
        <w:rPr>
          <w:spacing w:val="-2"/>
        </w:rPr>
        <w:t xml:space="preserve"> </w:t>
      </w:r>
      <w:r>
        <w:t>“Table</w:t>
      </w:r>
      <w:r>
        <w:rPr>
          <w:spacing w:val="-2"/>
        </w:rPr>
        <w:t xml:space="preserve"> </w:t>
      </w:r>
      <w:r>
        <w:t>of</w:t>
      </w:r>
      <w:r>
        <w:rPr>
          <w:spacing w:val="-2"/>
        </w:rPr>
        <w:t xml:space="preserve"> </w:t>
      </w:r>
      <w:r>
        <w:t>Amendments”,</w:t>
      </w:r>
      <w:r>
        <w:rPr>
          <w:spacing w:val="-5"/>
        </w:rPr>
        <w:t xml:space="preserve"> </w:t>
      </w:r>
      <w:r>
        <w:t>which</w:t>
      </w:r>
      <w:r>
        <w:rPr>
          <w:spacing w:val="-2"/>
        </w:rPr>
        <w:t xml:space="preserve"> </w:t>
      </w:r>
      <w:r>
        <w:t>provides</w:t>
      </w:r>
      <w:r>
        <w:rPr>
          <w:spacing w:val="-4"/>
        </w:rPr>
        <w:t xml:space="preserve"> </w:t>
      </w:r>
      <w:r>
        <w:t>details</w:t>
      </w:r>
      <w:r>
        <w:rPr>
          <w:spacing w:val="-2"/>
        </w:rPr>
        <w:t xml:space="preserve"> </w:t>
      </w:r>
      <w:r>
        <w:t>of</w:t>
      </w:r>
      <w:r>
        <w:rPr>
          <w:spacing w:val="-2"/>
        </w:rPr>
        <w:t xml:space="preserve"> </w:t>
      </w:r>
      <w:r>
        <w:t>amendments</w:t>
      </w:r>
      <w:r>
        <w:rPr>
          <w:spacing w:val="-4"/>
        </w:rPr>
        <w:t xml:space="preserve"> </w:t>
      </w:r>
      <w:r>
        <w:t>to</w:t>
      </w:r>
      <w:r>
        <w:rPr>
          <w:spacing w:val="-5"/>
        </w:rPr>
        <w:t xml:space="preserve"> </w:t>
      </w:r>
      <w:r>
        <w:t>the</w:t>
      </w:r>
      <w:r>
        <w:rPr>
          <w:spacing w:val="-2"/>
        </w:rPr>
        <w:t xml:space="preserve"> </w:t>
      </w:r>
      <w:r>
        <w:t>principal standard (paragraph of standard affected, how affected and a paragraph reference to the relevant Amending Standard); and</w:t>
      </w:r>
    </w:p>
    <w:p w14:paraId="1E805CC3" w14:textId="77777777" w:rsidR="00AA4A02" w:rsidRDefault="00960F31">
      <w:pPr>
        <w:pStyle w:val="ListParagraph"/>
        <w:numPr>
          <w:ilvl w:val="0"/>
          <w:numId w:val="12"/>
        </w:numPr>
        <w:tabs>
          <w:tab w:val="left" w:pos="1987"/>
        </w:tabs>
        <w:spacing w:before="120" w:line="208" w:lineRule="auto"/>
        <w:ind w:right="289"/>
      </w:pPr>
      <w:r>
        <w:t>a</w:t>
      </w:r>
      <w:r>
        <w:rPr>
          <w:spacing w:val="-3"/>
        </w:rPr>
        <w:t xml:space="preserve"> </w:t>
      </w:r>
      <w:r>
        <w:t>statement</w:t>
      </w:r>
      <w:r>
        <w:rPr>
          <w:spacing w:val="-5"/>
        </w:rPr>
        <w:t xml:space="preserve"> </w:t>
      </w:r>
      <w:r>
        <w:t>that</w:t>
      </w:r>
      <w:r>
        <w:rPr>
          <w:spacing w:val="-2"/>
        </w:rPr>
        <w:t xml:space="preserve"> </w:t>
      </w:r>
      <w:r>
        <w:t>the</w:t>
      </w:r>
      <w:r>
        <w:rPr>
          <w:spacing w:val="-3"/>
        </w:rPr>
        <w:t xml:space="preserve"> </w:t>
      </w:r>
      <w:r>
        <w:t>compilation</w:t>
      </w:r>
      <w:r>
        <w:rPr>
          <w:spacing w:val="-3"/>
        </w:rPr>
        <w:t xml:space="preserve"> </w:t>
      </w:r>
      <w:r>
        <w:t>is</w:t>
      </w:r>
      <w:r>
        <w:rPr>
          <w:spacing w:val="-3"/>
        </w:rPr>
        <w:t xml:space="preserve"> </w:t>
      </w:r>
      <w:r>
        <w:t>not</w:t>
      </w:r>
      <w:r>
        <w:rPr>
          <w:spacing w:val="-2"/>
        </w:rPr>
        <w:t xml:space="preserve"> </w:t>
      </w:r>
      <w:r>
        <w:t>a</w:t>
      </w:r>
      <w:r>
        <w:rPr>
          <w:spacing w:val="-3"/>
        </w:rPr>
        <w:t xml:space="preserve"> </w:t>
      </w:r>
      <w:r>
        <w:t>separate</w:t>
      </w:r>
      <w:r>
        <w:rPr>
          <w:spacing w:val="-3"/>
        </w:rPr>
        <w:t xml:space="preserve"> </w:t>
      </w:r>
      <w:r>
        <w:t>Auditing</w:t>
      </w:r>
      <w:r>
        <w:rPr>
          <w:spacing w:val="-3"/>
        </w:rPr>
        <w:t xml:space="preserve"> </w:t>
      </w:r>
      <w:r>
        <w:t>Standard</w:t>
      </w:r>
      <w:r>
        <w:rPr>
          <w:spacing w:val="-3"/>
        </w:rPr>
        <w:t xml:space="preserve"> </w:t>
      </w:r>
      <w:r>
        <w:t>made</w:t>
      </w:r>
      <w:r>
        <w:rPr>
          <w:spacing w:val="-3"/>
        </w:rPr>
        <w:t xml:space="preserve"> </w:t>
      </w:r>
      <w:r>
        <w:t>by</w:t>
      </w:r>
      <w:r>
        <w:rPr>
          <w:spacing w:val="-3"/>
        </w:rPr>
        <w:t xml:space="preserve"> </w:t>
      </w:r>
      <w:r>
        <w:t>the AUASB but a representation of the relevant Standard which incorporates the original standard and subsequent amendments.</w:t>
      </w:r>
    </w:p>
    <w:p w14:paraId="1E805CC4" w14:textId="77777777" w:rsidR="00AA4A02" w:rsidRDefault="00960F31">
      <w:pPr>
        <w:pStyle w:val="ListParagraph"/>
        <w:numPr>
          <w:ilvl w:val="1"/>
          <w:numId w:val="29"/>
        </w:numPr>
        <w:tabs>
          <w:tab w:val="left" w:pos="1418"/>
        </w:tabs>
        <w:spacing w:before="120" w:line="208" w:lineRule="auto"/>
        <w:ind w:left="1418" w:right="313" w:hanging="579"/>
      </w:pPr>
      <w:r>
        <w:t>The</w:t>
      </w:r>
      <w:r>
        <w:rPr>
          <w:spacing w:val="-3"/>
        </w:rPr>
        <w:t xml:space="preserve"> </w:t>
      </w:r>
      <w:r>
        <w:t>Operative</w:t>
      </w:r>
      <w:r>
        <w:rPr>
          <w:spacing w:val="-3"/>
        </w:rPr>
        <w:t xml:space="preserve"> </w:t>
      </w:r>
      <w:r>
        <w:t>Date</w:t>
      </w:r>
      <w:r>
        <w:rPr>
          <w:spacing w:val="-3"/>
        </w:rPr>
        <w:t xml:space="preserve"> </w:t>
      </w:r>
      <w:r>
        <w:t>paragraph</w:t>
      </w:r>
      <w:r>
        <w:rPr>
          <w:spacing w:val="-3"/>
        </w:rPr>
        <w:t xml:space="preserve"> </w:t>
      </w:r>
      <w:r>
        <w:t>in</w:t>
      </w:r>
      <w:r>
        <w:rPr>
          <w:spacing w:val="-5"/>
        </w:rPr>
        <w:t xml:space="preserve"> </w:t>
      </w:r>
      <w:r>
        <w:t>the</w:t>
      </w:r>
      <w:r>
        <w:rPr>
          <w:spacing w:val="-5"/>
        </w:rPr>
        <w:t xml:space="preserve"> </w:t>
      </w:r>
      <w:r>
        <w:t>standard</w:t>
      </w:r>
      <w:r>
        <w:rPr>
          <w:spacing w:val="-3"/>
        </w:rPr>
        <w:t xml:space="preserve"> </w:t>
      </w:r>
      <w:r>
        <w:t>includes</w:t>
      </w:r>
      <w:r>
        <w:rPr>
          <w:spacing w:val="-5"/>
        </w:rPr>
        <w:t xml:space="preserve"> </w:t>
      </w:r>
      <w:r>
        <w:t>a</w:t>
      </w:r>
      <w:r>
        <w:rPr>
          <w:spacing w:val="-3"/>
        </w:rPr>
        <w:t xml:space="preserve"> </w:t>
      </w:r>
      <w:r>
        <w:t>reference</w:t>
      </w:r>
      <w:r>
        <w:rPr>
          <w:spacing w:val="-3"/>
        </w:rPr>
        <w:t xml:space="preserve"> </w:t>
      </w:r>
      <w:r>
        <w:t>to</w:t>
      </w:r>
      <w:r>
        <w:rPr>
          <w:spacing w:val="-5"/>
        </w:rPr>
        <w:t xml:space="preserve"> </w:t>
      </w:r>
      <w:r>
        <w:t>the</w:t>
      </w:r>
      <w:r>
        <w:rPr>
          <w:spacing w:val="-3"/>
        </w:rPr>
        <w:t xml:space="preserve"> </w:t>
      </w:r>
      <w:r>
        <w:t>Compilations Details section of the standard, for details about the operative dates of paragraphs changed or added by an Amending Standard.</w:t>
      </w:r>
    </w:p>
    <w:p w14:paraId="1E805CC5" w14:textId="77777777" w:rsidR="00AA4A02" w:rsidRDefault="00960F31">
      <w:pPr>
        <w:pStyle w:val="ListParagraph"/>
        <w:numPr>
          <w:ilvl w:val="0"/>
          <w:numId w:val="29"/>
        </w:numPr>
        <w:tabs>
          <w:tab w:val="left" w:pos="851"/>
        </w:tabs>
        <w:spacing w:before="120" w:line="208" w:lineRule="auto"/>
        <w:ind w:right="478"/>
      </w:pPr>
      <w:r>
        <w:t>Compilations</w:t>
      </w:r>
      <w:r>
        <w:rPr>
          <w:spacing w:val="-2"/>
        </w:rPr>
        <w:t xml:space="preserve"> </w:t>
      </w:r>
      <w:r>
        <w:t>are</w:t>
      </w:r>
      <w:r>
        <w:rPr>
          <w:spacing w:val="-2"/>
        </w:rPr>
        <w:t xml:space="preserve"> </w:t>
      </w:r>
      <w:r>
        <w:t>published</w:t>
      </w:r>
      <w:r>
        <w:rPr>
          <w:spacing w:val="-4"/>
        </w:rPr>
        <w:t xml:space="preserve"> </w:t>
      </w:r>
      <w:r>
        <w:t>periodically</w:t>
      </w:r>
      <w:r>
        <w:rPr>
          <w:spacing w:val="-5"/>
        </w:rPr>
        <w:t xml:space="preserve"> </w:t>
      </w:r>
      <w:r>
        <w:t>(on</w:t>
      </w:r>
      <w:r>
        <w:rPr>
          <w:spacing w:val="-5"/>
        </w:rPr>
        <w:t xml:space="preserve"> </w:t>
      </w:r>
      <w:r>
        <w:t>the</w:t>
      </w:r>
      <w:r>
        <w:rPr>
          <w:spacing w:val="-2"/>
        </w:rPr>
        <w:t xml:space="preserve"> </w:t>
      </w:r>
      <w:r>
        <w:t>AUASB</w:t>
      </w:r>
      <w:r>
        <w:rPr>
          <w:spacing w:val="-3"/>
        </w:rPr>
        <w:t xml:space="preserve"> </w:t>
      </w:r>
      <w:r>
        <w:t>website)</w:t>
      </w:r>
      <w:r>
        <w:rPr>
          <w:spacing w:val="-4"/>
        </w:rPr>
        <w:t xml:space="preserve"> </w:t>
      </w:r>
      <w:r>
        <w:t>as</w:t>
      </w:r>
      <w:r>
        <w:rPr>
          <w:spacing w:val="-4"/>
        </w:rPr>
        <w:t xml:space="preserve"> </w:t>
      </w:r>
      <w:r>
        <w:t>they</w:t>
      </w:r>
      <w:r>
        <w:rPr>
          <w:spacing w:val="-4"/>
        </w:rPr>
        <w:t xml:space="preserve"> </w:t>
      </w:r>
      <w:r>
        <w:t>are</w:t>
      </w:r>
      <w:r>
        <w:rPr>
          <w:spacing w:val="-2"/>
        </w:rPr>
        <w:t xml:space="preserve"> </w:t>
      </w:r>
      <w:r>
        <w:t>developed</w:t>
      </w:r>
      <w:r>
        <w:rPr>
          <w:spacing w:val="-4"/>
        </w:rPr>
        <w:t xml:space="preserve"> </w:t>
      </w:r>
      <w:r>
        <w:t>by technical staff.</w:t>
      </w:r>
    </w:p>
    <w:p w14:paraId="1E805CC6" w14:textId="77777777" w:rsidR="00AA4A02" w:rsidRDefault="00960F31">
      <w:pPr>
        <w:pStyle w:val="Heading9"/>
        <w:spacing w:before="186"/>
        <w:ind w:left="143"/>
      </w:pPr>
      <w:bookmarkStart w:id="90" w:name="Reissue"/>
      <w:bookmarkEnd w:id="90"/>
      <w:r>
        <w:rPr>
          <w:spacing w:val="-2"/>
        </w:rPr>
        <w:t>Reissue</w:t>
      </w:r>
    </w:p>
    <w:p w14:paraId="1E805CC7" w14:textId="77777777" w:rsidR="00AA4A02" w:rsidRDefault="00960F31">
      <w:pPr>
        <w:pStyle w:val="ListParagraph"/>
        <w:numPr>
          <w:ilvl w:val="0"/>
          <w:numId w:val="29"/>
        </w:numPr>
        <w:tabs>
          <w:tab w:val="left" w:pos="851"/>
        </w:tabs>
        <w:spacing w:before="197" w:line="208" w:lineRule="auto"/>
        <w:ind w:right="147"/>
      </w:pPr>
      <w:r>
        <w:t>The AUASB may decide to reissue a new principal standard rather than amend a substantially revised standard.</w:t>
      </w:r>
      <w:r>
        <w:rPr>
          <w:spacing w:val="40"/>
        </w:rPr>
        <w:t xml:space="preserve"> </w:t>
      </w:r>
      <w:r>
        <w:t>The title page of the reissued standard indicates the date of reissue.</w:t>
      </w:r>
      <w:r>
        <w:rPr>
          <w:spacing w:val="40"/>
        </w:rPr>
        <w:t xml:space="preserve"> </w:t>
      </w:r>
      <w:r>
        <w:t xml:space="preserve">A </w:t>
      </w:r>
      <w:r>
        <w:rPr>
          <w:i/>
        </w:rPr>
        <w:t>Preface</w:t>
      </w:r>
      <w:r>
        <w:rPr>
          <w:i/>
          <w:spacing w:val="-3"/>
        </w:rPr>
        <w:t xml:space="preserve"> </w:t>
      </w:r>
      <w:r>
        <w:t>is</w:t>
      </w:r>
      <w:r>
        <w:rPr>
          <w:spacing w:val="-1"/>
        </w:rPr>
        <w:t xml:space="preserve"> </w:t>
      </w:r>
      <w:r>
        <w:t>included</w:t>
      </w:r>
      <w:r>
        <w:rPr>
          <w:spacing w:val="-3"/>
        </w:rPr>
        <w:t xml:space="preserve"> </w:t>
      </w:r>
      <w:r>
        <w:t>in</w:t>
      </w:r>
      <w:r>
        <w:rPr>
          <w:spacing w:val="-4"/>
        </w:rPr>
        <w:t xml:space="preserve"> </w:t>
      </w:r>
      <w:r>
        <w:t>the</w:t>
      </w:r>
      <w:r>
        <w:rPr>
          <w:spacing w:val="-3"/>
        </w:rPr>
        <w:t xml:space="preserve"> </w:t>
      </w:r>
      <w:r>
        <w:t>reissued</w:t>
      </w:r>
      <w:r>
        <w:rPr>
          <w:spacing w:val="-3"/>
        </w:rPr>
        <w:t xml:space="preserve"> </w:t>
      </w:r>
      <w:r>
        <w:t>standard</w:t>
      </w:r>
      <w:r>
        <w:rPr>
          <w:spacing w:val="-1"/>
        </w:rPr>
        <w:t xml:space="preserve"> </w:t>
      </w:r>
      <w:r>
        <w:t>to</w:t>
      </w:r>
      <w:r>
        <w:rPr>
          <w:spacing w:val="-4"/>
        </w:rPr>
        <w:t xml:space="preserve"> </w:t>
      </w:r>
      <w:r>
        <w:t>explain</w:t>
      </w:r>
      <w:r>
        <w:rPr>
          <w:spacing w:val="-4"/>
        </w:rPr>
        <w:t xml:space="preserve"> </w:t>
      </w:r>
      <w:r>
        <w:t>the</w:t>
      </w:r>
      <w:r>
        <w:rPr>
          <w:spacing w:val="-3"/>
        </w:rPr>
        <w:t xml:space="preserve"> </w:t>
      </w:r>
      <w:r>
        <w:t>reasons</w:t>
      </w:r>
      <w:r>
        <w:rPr>
          <w:spacing w:val="-3"/>
        </w:rPr>
        <w:t xml:space="preserve"> </w:t>
      </w:r>
      <w:r>
        <w:t>for</w:t>
      </w:r>
      <w:r>
        <w:rPr>
          <w:spacing w:val="-3"/>
        </w:rPr>
        <w:t xml:space="preserve"> </w:t>
      </w:r>
      <w:r>
        <w:t>reissuing</w:t>
      </w:r>
      <w:r>
        <w:rPr>
          <w:spacing w:val="-4"/>
        </w:rPr>
        <w:t xml:space="preserve"> </w:t>
      </w:r>
      <w:r>
        <w:t>the</w:t>
      </w:r>
      <w:r>
        <w:rPr>
          <w:spacing w:val="-1"/>
        </w:rPr>
        <w:t xml:space="preserve"> </w:t>
      </w:r>
      <w:r>
        <w:t>standard,</w:t>
      </w:r>
      <w:r>
        <w:rPr>
          <w:spacing w:val="-4"/>
        </w:rPr>
        <w:t xml:space="preserve"> </w:t>
      </w:r>
      <w:r>
        <w:t>to provide details of the revision and to identify the standard it supersedes.</w:t>
      </w:r>
    </w:p>
    <w:p w14:paraId="1E805CC8" w14:textId="77777777" w:rsidR="00AA4A02" w:rsidRDefault="00960F31">
      <w:pPr>
        <w:pStyle w:val="Heading9"/>
        <w:spacing w:before="186"/>
        <w:ind w:left="143"/>
      </w:pPr>
      <w:bookmarkStart w:id="91" w:name="Periodic_Improvements_and_Editorials"/>
      <w:bookmarkEnd w:id="91"/>
      <w:r>
        <w:t>Periodic</w:t>
      </w:r>
      <w:r>
        <w:rPr>
          <w:spacing w:val="-1"/>
        </w:rPr>
        <w:t xml:space="preserve"> </w:t>
      </w:r>
      <w:r>
        <w:t>Improvements</w:t>
      </w:r>
      <w:r>
        <w:rPr>
          <w:spacing w:val="-1"/>
        </w:rPr>
        <w:t xml:space="preserve"> </w:t>
      </w:r>
      <w:r>
        <w:t xml:space="preserve">and </w:t>
      </w:r>
      <w:r>
        <w:rPr>
          <w:spacing w:val="-2"/>
        </w:rPr>
        <w:t>Editorials</w:t>
      </w:r>
    </w:p>
    <w:p w14:paraId="1E805CC9" w14:textId="77777777" w:rsidR="00AA4A02" w:rsidRDefault="00960F31">
      <w:pPr>
        <w:pStyle w:val="ListParagraph"/>
        <w:numPr>
          <w:ilvl w:val="0"/>
          <w:numId w:val="29"/>
        </w:numPr>
        <w:tabs>
          <w:tab w:val="left" w:pos="851"/>
        </w:tabs>
        <w:spacing w:line="206" w:lineRule="auto"/>
        <w:ind w:right="363"/>
      </w:pPr>
      <w:r>
        <w:t>For standards that are legislative instruments, periodic improvements and editorials must be made</w:t>
      </w:r>
      <w:r>
        <w:rPr>
          <w:spacing w:val="-4"/>
        </w:rPr>
        <w:t xml:space="preserve"> </w:t>
      </w:r>
      <w:r>
        <w:t>through</w:t>
      </w:r>
      <w:r>
        <w:rPr>
          <w:spacing w:val="-5"/>
        </w:rPr>
        <w:t xml:space="preserve"> </w:t>
      </w:r>
      <w:r>
        <w:t>another</w:t>
      </w:r>
      <w:r>
        <w:rPr>
          <w:spacing w:val="-2"/>
        </w:rPr>
        <w:t xml:space="preserve"> </w:t>
      </w:r>
      <w:r>
        <w:t>legislative</w:t>
      </w:r>
      <w:r>
        <w:rPr>
          <w:spacing w:val="-4"/>
        </w:rPr>
        <w:t xml:space="preserve"> </w:t>
      </w:r>
      <w:r>
        <w:t>instrument,</w:t>
      </w:r>
      <w:r>
        <w:rPr>
          <w:spacing w:val="-5"/>
        </w:rPr>
        <w:t xml:space="preserve"> </w:t>
      </w:r>
      <w:r>
        <w:t>that</w:t>
      </w:r>
      <w:r>
        <w:rPr>
          <w:spacing w:val="-4"/>
        </w:rPr>
        <w:t xml:space="preserve"> </w:t>
      </w:r>
      <w:r>
        <w:t>is,</w:t>
      </w:r>
      <w:r>
        <w:rPr>
          <w:spacing w:val="-2"/>
        </w:rPr>
        <w:t xml:space="preserve"> </w:t>
      </w:r>
      <w:r>
        <w:t>an</w:t>
      </w:r>
      <w:r>
        <w:rPr>
          <w:spacing w:val="-5"/>
        </w:rPr>
        <w:t xml:space="preserve"> </w:t>
      </w:r>
      <w:r>
        <w:t>Amending</w:t>
      </w:r>
      <w:r>
        <w:rPr>
          <w:spacing w:val="-2"/>
        </w:rPr>
        <w:t xml:space="preserve"> </w:t>
      </w:r>
      <w:r>
        <w:t>Standard.</w:t>
      </w:r>
      <w:r>
        <w:rPr>
          <w:spacing w:val="-2"/>
        </w:rPr>
        <w:t xml:space="preserve"> </w:t>
      </w:r>
      <w:r>
        <w:t>Some</w:t>
      </w:r>
      <w:r>
        <w:rPr>
          <w:spacing w:val="-4"/>
        </w:rPr>
        <w:t xml:space="preserve"> </w:t>
      </w:r>
      <w:r>
        <w:t>proposed</w:t>
      </w:r>
    </w:p>
    <w:p w14:paraId="1E805CCA" w14:textId="77777777" w:rsidR="00AA4A02" w:rsidRDefault="00960F31">
      <w:pPr>
        <w:pStyle w:val="BodyText"/>
        <w:spacing w:before="20"/>
        <w:rPr>
          <w:sz w:val="20"/>
        </w:rPr>
      </w:pPr>
      <w:r>
        <w:rPr>
          <w:noProof/>
          <w:sz w:val="20"/>
        </w:rPr>
        <mc:AlternateContent>
          <mc:Choice Requires="wps">
            <w:drawing>
              <wp:anchor distT="0" distB="0" distL="0" distR="0" simplePos="0" relativeHeight="487614464" behindDoc="1" locked="0" layoutInCell="1" allowOverlap="1" wp14:anchorId="1E805F7B" wp14:editId="1E805F7C">
                <wp:simplePos x="0" y="0"/>
                <wp:positionH relativeFrom="page">
                  <wp:posOffset>900988</wp:posOffset>
                </wp:positionH>
                <wp:positionV relativeFrom="paragraph">
                  <wp:posOffset>174179</wp:posOffset>
                </wp:positionV>
                <wp:extent cx="1829435"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4A0CAB" id="Graphic 87" o:spid="_x0000_s1026" style="position:absolute;margin-left:70.95pt;margin-top:13.7pt;width:144.05pt;height:.6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" path="m1829053,l,,,7620r1829053,l1829053,xe" fillcolor="black" stroked="f">
                <v:path arrowok="t"/>
                <w10:wrap type="topAndBottom" anchorx="page"/>
              </v:shape>
            </w:pict>
          </mc:Fallback>
        </mc:AlternateContent>
      </w:r>
    </w:p>
    <w:p w14:paraId="1E805CCB" w14:textId="77777777" w:rsidR="00AA4A02" w:rsidRDefault="00960F31">
      <w:pPr>
        <w:spacing w:before="93" w:line="208" w:lineRule="auto"/>
        <w:ind w:left="427" w:right="173" w:hanging="284"/>
        <w:rPr>
          <w:sz w:val="16"/>
        </w:rPr>
      </w:pPr>
      <w:r>
        <w:rPr>
          <w:sz w:val="16"/>
          <w:vertAlign w:val="superscript"/>
        </w:rPr>
        <w:t>74</w:t>
      </w:r>
      <w:r>
        <w:rPr>
          <w:spacing w:val="80"/>
          <w:w w:val="150"/>
          <w:sz w:val="16"/>
        </w:rPr>
        <w:t xml:space="preserve"> </w:t>
      </w:r>
      <w:r>
        <w:rPr>
          <w:sz w:val="16"/>
        </w:rPr>
        <w:t>For</w:t>
      </w:r>
      <w:r>
        <w:rPr>
          <w:spacing w:val="-2"/>
          <w:sz w:val="16"/>
        </w:rPr>
        <w:t xml:space="preserve"> </w:t>
      </w:r>
      <w:r>
        <w:rPr>
          <w:sz w:val="16"/>
        </w:rPr>
        <w:t>example,</w:t>
      </w:r>
      <w:r>
        <w:rPr>
          <w:spacing w:val="-3"/>
          <w:sz w:val="16"/>
        </w:rPr>
        <w:t xml:space="preserve"> </w:t>
      </w:r>
      <w:r>
        <w:rPr>
          <w:sz w:val="16"/>
        </w:rPr>
        <w:t>a standard</w:t>
      </w:r>
      <w:r>
        <w:rPr>
          <w:spacing w:val="-2"/>
          <w:sz w:val="16"/>
        </w:rPr>
        <w:t xml:space="preserve"> </w:t>
      </w:r>
      <w:r>
        <w:rPr>
          <w:sz w:val="16"/>
        </w:rPr>
        <w:t>might</w:t>
      </w:r>
      <w:r>
        <w:rPr>
          <w:spacing w:val="-2"/>
          <w:sz w:val="16"/>
        </w:rPr>
        <w:t xml:space="preserve"> </w:t>
      </w:r>
      <w:r>
        <w:rPr>
          <w:sz w:val="16"/>
        </w:rPr>
        <w:t>have a</w:t>
      </w:r>
      <w:r>
        <w:rPr>
          <w:spacing w:val="-5"/>
          <w:sz w:val="16"/>
        </w:rPr>
        <w:t xml:space="preserve"> </w:t>
      </w:r>
      <w:r>
        <w:rPr>
          <w:sz w:val="16"/>
        </w:rPr>
        <w:t>principal</w:t>
      </w:r>
      <w:r>
        <w:rPr>
          <w:spacing w:val="-2"/>
          <w:sz w:val="16"/>
        </w:rPr>
        <w:t xml:space="preserve"> </w:t>
      </w:r>
      <w:r>
        <w:rPr>
          <w:sz w:val="16"/>
        </w:rPr>
        <w:t>version</w:t>
      </w:r>
      <w:r>
        <w:rPr>
          <w:spacing w:val="-2"/>
          <w:sz w:val="16"/>
        </w:rPr>
        <w:t xml:space="preserve"> </w:t>
      </w:r>
      <w:r>
        <w:rPr>
          <w:sz w:val="16"/>
        </w:rPr>
        <w:t>issued</w:t>
      </w:r>
      <w:r>
        <w:rPr>
          <w:spacing w:val="-2"/>
          <w:sz w:val="16"/>
        </w:rPr>
        <w:t xml:space="preserve"> </w:t>
      </w:r>
      <w:r>
        <w:rPr>
          <w:sz w:val="16"/>
        </w:rPr>
        <w:t>in</w:t>
      </w:r>
      <w:r>
        <w:rPr>
          <w:spacing w:val="-2"/>
          <w:sz w:val="16"/>
        </w:rPr>
        <w:t xml:space="preserve"> </w:t>
      </w:r>
      <w:r>
        <w:rPr>
          <w:sz w:val="16"/>
        </w:rPr>
        <w:t>2015</w:t>
      </w:r>
      <w:r>
        <w:rPr>
          <w:spacing w:val="-2"/>
          <w:sz w:val="16"/>
        </w:rPr>
        <w:t xml:space="preserve"> </w:t>
      </w:r>
      <w:r>
        <w:rPr>
          <w:sz w:val="16"/>
        </w:rPr>
        <w:t>amended</w:t>
      </w:r>
      <w:r>
        <w:rPr>
          <w:spacing w:val="-2"/>
          <w:sz w:val="16"/>
        </w:rPr>
        <w:t xml:space="preserve"> </w:t>
      </w:r>
      <w:r>
        <w:rPr>
          <w:sz w:val="16"/>
        </w:rPr>
        <w:t>by</w:t>
      </w:r>
      <w:r>
        <w:rPr>
          <w:spacing w:val="-2"/>
          <w:sz w:val="16"/>
        </w:rPr>
        <w:t xml:space="preserve"> </w:t>
      </w:r>
      <w:r>
        <w:rPr>
          <w:sz w:val="16"/>
        </w:rPr>
        <w:t>Amending</w:t>
      </w:r>
      <w:r>
        <w:rPr>
          <w:spacing w:val="-2"/>
          <w:sz w:val="16"/>
        </w:rPr>
        <w:t xml:space="preserve"> </w:t>
      </w:r>
      <w:r>
        <w:rPr>
          <w:sz w:val="16"/>
        </w:rPr>
        <w:t>Standards</w:t>
      </w:r>
      <w:r>
        <w:rPr>
          <w:spacing w:val="-1"/>
          <w:sz w:val="16"/>
        </w:rPr>
        <w:t xml:space="preserve"> </w:t>
      </w:r>
      <w:r>
        <w:rPr>
          <w:sz w:val="16"/>
        </w:rPr>
        <w:t>(legislative</w:t>
      </w:r>
      <w:r>
        <w:rPr>
          <w:spacing w:val="-3"/>
          <w:sz w:val="16"/>
        </w:rPr>
        <w:t xml:space="preserve"> </w:t>
      </w:r>
      <w:r>
        <w:rPr>
          <w:sz w:val="16"/>
        </w:rPr>
        <w:t>instruments) that</w:t>
      </w:r>
      <w:r>
        <w:rPr>
          <w:spacing w:val="40"/>
          <w:sz w:val="16"/>
        </w:rPr>
        <w:t xml:space="preserve"> </w:t>
      </w:r>
      <w:r>
        <w:rPr>
          <w:sz w:val="16"/>
        </w:rPr>
        <w:t>become effective, one each year, from 2016. Therefore, in 2020 the compiled version of the standard will reflect the amendments</w:t>
      </w:r>
      <w:r>
        <w:rPr>
          <w:spacing w:val="40"/>
          <w:sz w:val="16"/>
        </w:rPr>
        <w:t xml:space="preserve"> </w:t>
      </w:r>
      <w:r>
        <w:rPr>
          <w:sz w:val="16"/>
        </w:rPr>
        <w:t>effective from 2016 through to 2020.</w:t>
      </w:r>
    </w:p>
    <w:p w14:paraId="1E805CCC"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CCD" w14:textId="77777777" w:rsidR="00AA4A02" w:rsidRDefault="00960F31">
      <w:pPr>
        <w:pStyle w:val="BodyText"/>
        <w:spacing w:before="219" w:line="208" w:lineRule="auto"/>
        <w:ind w:left="851"/>
      </w:pPr>
      <w:r>
        <w:lastRenderedPageBreak/>
        <w:t>amendments to standards are sufficiently minor or narrow in scope that they can be packaged together in</w:t>
      </w:r>
      <w:r>
        <w:rPr>
          <w:spacing w:val="-2"/>
        </w:rPr>
        <w:t xml:space="preserve"> </w:t>
      </w:r>
      <w:r>
        <w:t>one document, even though</w:t>
      </w:r>
      <w:r>
        <w:rPr>
          <w:spacing w:val="-2"/>
        </w:rPr>
        <w:t xml:space="preserve"> </w:t>
      </w:r>
      <w:r>
        <w:t>the</w:t>
      </w:r>
      <w:r>
        <w:rPr>
          <w:spacing w:val="-1"/>
        </w:rPr>
        <w:t xml:space="preserve"> </w:t>
      </w:r>
      <w:r>
        <w:t>amendments are</w:t>
      </w:r>
      <w:r>
        <w:rPr>
          <w:spacing w:val="-1"/>
        </w:rPr>
        <w:t xml:space="preserve"> </w:t>
      </w:r>
      <w:r>
        <w:t>unrelated.</w:t>
      </w:r>
      <w:r>
        <w:rPr>
          <w:vertAlign w:val="superscript"/>
        </w:rPr>
        <w:t>75</w:t>
      </w:r>
      <w:r>
        <w:t xml:space="preserve"> For example, changes that</w:t>
      </w:r>
      <w:r>
        <w:rPr>
          <w:spacing w:val="-1"/>
        </w:rPr>
        <w:t xml:space="preserve"> </w:t>
      </w:r>
      <w:r>
        <w:t>correct</w:t>
      </w:r>
      <w:r>
        <w:rPr>
          <w:spacing w:val="-4"/>
        </w:rPr>
        <w:t xml:space="preserve"> </w:t>
      </w:r>
      <w:r>
        <w:t>minor</w:t>
      </w:r>
      <w:r>
        <w:rPr>
          <w:spacing w:val="-4"/>
        </w:rPr>
        <w:t xml:space="preserve"> </w:t>
      </w:r>
      <w:r>
        <w:t>editorial</w:t>
      </w:r>
      <w:r>
        <w:rPr>
          <w:spacing w:val="-4"/>
        </w:rPr>
        <w:t xml:space="preserve"> </w:t>
      </w:r>
      <w:r>
        <w:t>issues</w:t>
      </w:r>
      <w:r>
        <w:rPr>
          <w:spacing w:val="-2"/>
        </w:rPr>
        <w:t xml:space="preserve"> </w:t>
      </w:r>
      <w:r>
        <w:t>or</w:t>
      </w:r>
      <w:r>
        <w:rPr>
          <w:spacing w:val="-2"/>
        </w:rPr>
        <w:t xml:space="preserve"> </w:t>
      </w:r>
      <w:r>
        <w:t>resolve</w:t>
      </w:r>
      <w:r>
        <w:rPr>
          <w:spacing w:val="-2"/>
        </w:rPr>
        <w:t xml:space="preserve"> </w:t>
      </w:r>
      <w:r>
        <w:t>conflicts</w:t>
      </w:r>
      <w:r>
        <w:rPr>
          <w:spacing w:val="-7"/>
        </w:rPr>
        <w:t xml:space="preserve"> </w:t>
      </w:r>
      <w:r>
        <w:t>with</w:t>
      </w:r>
      <w:r>
        <w:rPr>
          <w:spacing w:val="-2"/>
        </w:rPr>
        <w:t xml:space="preserve"> </w:t>
      </w:r>
      <w:r>
        <w:t>other</w:t>
      </w:r>
      <w:r>
        <w:rPr>
          <w:spacing w:val="-2"/>
        </w:rPr>
        <w:t xml:space="preserve"> </w:t>
      </w:r>
      <w:r>
        <w:t>AUASB</w:t>
      </w:r>
      <w:r>
        <w:rPr>
          <w:spacing w:val="-4"/>
        </w:rPr>
        <w:t xml:space="preserve"> </w:t>
      </w:r>
      <w:r>
        <w:t>pronouncements</w:t>
      </w:r>
      <w:r>
        <w:rPr>
          <w:spacing w:val="-2"/>
        </w:rPr>
        <w:t xml:space="preserve"> </w:t>
      </w:r>
      <w:r>
        <w:t>(for example, to align definitions or to update references). A draft of the proposed editorial amendments is considered by the Board at a public meeting.</w:t>
      </w:r>
      <w:r>
        <w:rPr>
          <w:spacing w:val="40"/>
        </w:rPr>
        <w:t xml:space="preserve"> </w:t>
      </w:r>
      <w:r>
        <w:t>Editorial corrections may be approved and issued by the AUASB without formal public exposure.</w:t>
      </w:r>
    </w:p>
    <w:p w14:paraId="1E805CCE" w14:textId="77777777" w:rsidR="00AA4A02" w:rsidRDefault="00960F31">
      <w:pPr>
        <w:pStyle w:val="ListParagraph"/>
        <w:numPr>
          <w:ilvl w:val="0"/>
          <w:numId w:val="29"/>
        </w:numPr>
        <w:tabs>
          <w:tab w:val="left" w:pos="851"/>
        </w:tabs>
        <w:spacing w:before="202" w:line="208" w:lineRule="auto"/>
        <w:ind w:right="280"/>
      </w:pPr>
      <w:r>
        <w:t>Technical</w:t>
      </w:r>
      <w:r>
        <w:rPr>
          <w:spacing w:val="-1"/>
        </w:rPr>
        <w:t xml:space="preserve"> </w:t>
      </w:r>
      <w:r>
        <w:t>staff</w:t>
      </w:r>
      <w:r>
        <w:rPr>
          <w:spacing w:val="-4"/>
        </w:rPr>
        <w:t xml:space="preserve"> </w:t>
      </w:r>
      <w:r>
        <w:t>may</w:t>
      </w:r>
      <w:r>
        <w:rPr>
          <w:spacing w:val="-4"/>
        </w:rPr>
        <w:t xml:space="preserve"> </w:t>
      </w:r>
      <w:r>
        <w:t>make</w:t>
      </w:r>
      <w:r>
        <w:rPr>
          <w:spacing w:val="-2"/>
        </w:rPr>
        <w:t xml:space="preserve"> </w:t>
      </w:r>
      <w:r>
        <w:t>editorial</w:t>
      </w:r>
      <w:r>
        <w:rPr>
          <w:spacing w:val="-4"/>
        </w:rPr>
        <w:t xml:space="preserve"> </w:t>
      </w:r>
      <w:r>
        <w:t>corrections</w:t>
      </w:r>
      <w:r>
        <w:rPr>
          <w:spacing w:val="-4"/>
        </w:rPr>
        <w:t xml:space="preserve"> </w:t>
      </w:r>
      <w:r>
        <w:t>to</w:t>
      </w:r>
      <w:r>
        <w:rPr>
          <w:spacing w:val="-2"/>
        </w:rPr>
        <w:t xml:space="preserve"> </w:t>
      </w:r>
      <w:r>
        <w:t>pronouncements</w:t>
      </w:r>
      <w:r>
        <w:rPr>
          <w:spacing w:val="-4"/>
        </w:rPr>
        <w:t xml:space="preserve"> </w:t>
      </w:r>
      <w:r>
        <w:t>(other</w:t>
      </w:r>
      <w:r>
        <w:rPr>
          <w:spacing w:val="-4"/>
        </w:rPr>
        <w:t xml:space="preserve"> </w:t>
      </w:r>
      <w:r>
        <w:t>than</w:t>
      </w:r>
      <w:r>
        <w:rPr>
          <w:spacing w:val="-2"/>
        </w:rPr>
        <w:t xml:space="preserve"> </w:t>
      </w:r>
      <w:r>
        <w:t>standards</w:t>
      </w:r>
      <w:r>
        <w:rPr>
          <w:spacing w:val="-2"/>
        </w:rPr>
        <w:t xml:space="preserve"> </w:t>
      </w:r>
      <w:r>
        <w:t>to</w:t>
      </w:r>
      <w:r>
        <w:rPr>
          <w:spacing w:val="-5"/>
        </w:rPr>
        <w:t xml:space="preserve"> </w:t>
      </w:r>
      <w:r>
        <w:t>be registered</w:t>
      </w:r>
      <w:r>
        <w:rPr>
          <w:spacing w:val="-1"/>
        </w:rPr>
        <w:t xml:space="preserve"> </w:t>
      </w:r>
      <w:r>
        <w:t>on</w:t>
      </w:r>
      <w:r>
        <w:rPr>
          <w:spacing w:val="-4"/>
        </w:rPr>
        <w:t xml:space="preserve"> </w:t>
      </w:r>
      <w:r>
        <w:t>the</w:t>
      </w:r>
      <w:r>
        <w:rPr>
          <w:spacing w:val="-1"/>
        </w:rPr>
        <w:t xml:space="preserve"> </w:t>
      </w:r>
      <w:r>
        <w:t>FRL)</w:t>
      </w:r>
      <w:r>
        <w:rPr>
          <w:spacing w:val="-1"/>
        </w:rPr>
        <w:t xml:space="preserve"> </w:t>
      </w:r>
      <w:r>
        <w:t>after</w:t>
      </w:r>
      <w:r>
        <w:rPr>
          <w:spacing w:val="-3"/>
        </w:rPr>
        <w:t xml:space="preserve"> </w:t>
      </w:r>
      <w:r>
        <w:t>approval</w:t>
      </w:r>
      <w:r>
        <w:rPr>
          <w:spacing w:val="-3"/>
        </w:rPr>
        <w:t xml:space="preserve"> </w:t>
      </w:r>
      <w:r>
        <w:t>by</w:t>
      </w:r>
      <w:r>
        <w:rPr>
          <w:spacing w:val="-1"/>
        </w:rPr>
        <w:t xml:space="preserve"> </w:t>
      </w:r>
      <w:r>
        <w:t>the</w:t>
      </w:r>
      <w:r>
        <w:rPr>
          <w:spacing w:val="-1"/>
        </w:rPr>
        <w:t xml:space="preserve"> </w:t>
      </w:r>
      <w:r>
        <w:t>AUASB</w:t>
      </w:r>
      <w:r>
        <w:rPr>
          <w:spacing w:val="-3"/>
        </w:rPr>
        <w:t xml:space="preserve"> </w:t>
      </w:r>
      <w:r>
        <w:t>and</w:t>
      </w:r>
      <w:r>
        <w:rPr>
          <w:spacing w:val="-1"/>
        </w:rPr>
        <w:t xml:space="preserve"> </w:t>
      </w:r>
      <w:r>
        <w:t>prior</w:t>
      </w:r>
      <w:r>
        <w:rPr>
          <w:spacing w:val="-3"/>
        </w:rPr>
        <w:t xml:space="preserve"> </w:t>
      </w:r>
      <w:r>
        <w:t>to</w:t>
      </w:r>
      <w:r>
        <w:rPr>
          <w:spacing w:val="-1"/>
        </w:rPr>
        <w:t xml:space="preserve"> </w:t>
      </w:r>
      <w:r>
        <w:t>publication</w:t>
      </w:r>
      <w:r>
        <w:rPr>
          <w:spacing w:val="-1"/>
        </w:rPr>
        <w:t xml:space="preserve"> </w:t>
      </w:r>
      <w:r>
        <w:t>on</w:t>
      </w:r>
      <w:r>
        <w:rPr>
          <w:spacing w:val="-4"/>
        </w:rPr>
        <w:t xml:space="preserve"> </w:t>
      </w:r>
      <w:r>
        <w:t>the</w:t>
      </w:r>
      <w:r>
        <w:rPr>
          <w:spacing w:val="-1"/>
        </w:rPr>
        <w:t xml:space="preserve"> </w:t>
      </w:r>
      <w:r>
        <w:t>AUASB website</w:t>
      </w:r>
      <w:r>
        <w:rPr>
          <w:spacing w:val="-4"/>
        </w:rPr>
        <w:t xml:space="preserve"> </w:t>
      </w:r>
      <w:r>
        <w:t>to</w:t>
      </w:r>
      <w:r>
        <w:rPr>
          <w:spacing w:val="-2"/>
        </w:rPr>
        <w:t xml:space="preserve"> </w:t>
      </w:r>
      <w:r>
        <w:t>remedy</w:t>
      </w:r>
      <w:r>
        <w:rPr>
          <w:spacing w:val="-2"/>
        </w:rPr>
        <w:t xml:space="preserve"> </w:t>
      </w:r>
      <w:r>
        <w:t>drafting</w:t>
      </w:r>
      <w:r>
        <w:rPr>
          <w:spacing w:val="-5"/>
        </w:rPr>
        <w:t xml:space="preserve"> </w:t>
      </w:r>
      <w:r>
        <w:t>errors,</w:t>
      </w:r>
      <w:r>
        <w:rPr>
          <w:spacing w:val="-4"/>
        </w:rPr>
        <w:t xml:space="preserve"> </w:t>
      </w:r>
      <w:r>
        <w:t>provided</w:t>
      </w:r>
      <w:r>
        <w:rPr>
          <w:spacing w:val="-2"/>
        </w:rPr>
        <w:t xml:space="preserve"> </w:t>
      </w:r>
      <w:r>
        <w:t>the</w:t>
      </w:r>
      <w:r>
        <w:rPr>
          <w:spacing w:val="-2"/>
        </w:rPr>
        <w:t xml:space="preserve"> </w:t>
      </w:r>
      <w:r>
        <w:t>corrections</w:t>
      </w:r>
      <w:r>
        <w:rPr>
          <w:spacing w:val="-2"/>
        </w:rPr>
        <w:t xml:space="preserve"> </w:t>
      </w:r>
      <w:r>
        <w:t>do</w:t>
      </w:r>
      <w:r>
        <w:rPr>
          <w:spacing w:val="-2"/>
        </w:rPr>
        <w:t xml:space="preserve"> </w:t>
      </w:r>
      <w:r>
        <w:t>not</w:t>
      </w:r>
      <w:r>
        <w:rPr>
          <w:spacing w:val="-1"/>
        </w:rPr>
        <w:t xml:space="preserve"> </w:t>
      </w:r>
      <w:r>
        <w:t>alter</w:t>
      </w:r>
      <w:r>
        <w:rPr>
          <w:spacing w:val="-4"/>
        </w:rPr>
        <w:t xml:space="preserve"> </w:t>
      </w:r>
      <w:r>
        <w:t>the</w:t>
      </w:r>
      <w:r>
        <w:rPr>
          <w:spacing w:val="-4"/>
        </w:rPr>
        <w:t xml:space="preserve"> </w:t>
      </w:r>
      <w:r>
        <w:t>technical</w:t>
      </w:r>
      <w:r>
        <w:rPr>
          <w:spacing w:val="-4"/>
        </w:rPr>
        <w:t xml:space="preserve"> </w:t>
      </w:r>
      <w:r>
        <w:t>meaning of the text. Editorial corrections normally fix spelling errors, grammatical mistakes or incorrectly marked consequential amendments.</w:t>
      </w:r>
    </w:p>
    <w:p w14:paraId="1E805CCF" w14:textId="77777777" w:rsidR="00AA4A02" w:rsidRDefault="00960F31">
      <w:pPr>
        <w:pStyle w:val="ListParagraph"/>
        <w:numPr>
          <w:ilvl w:val="0"/>
          <w:numId w:val="29"/>
        </w:numPr>
        <w:tabs>
          <w:tab w:val="left" w:pos="851"/>
        </w:tabs>
        <w:spacing w:before="198" w:line="208" w:lineRule="auto"/>
        <w:ind w:right="272"/>
      </w:pPr>
      <w:r>
        <w:t>Where corrections to a pronouncement that are not of an editorial nature are identified, the amendments</w:t>
      </w:r>
      <w:r>
        <w:rPr>
          <w:spacing w:val="-2"/>
        </w:rPr>
        <w:t xml:space="preserve"> </w:t>
      </w:r>
      <w:r>
        <w:t>to</w:t>
      </w:r>
      <w:r>
        <w:rPr>
          <w:spacing w:val="-5"/>
        </w:rPr>
        <w:t xml:space="preserve"> </w:t>
      </w:r>
      <w:r>
        <w:t>correct</w:t>
      </w:r>
      <w:r>
        <w:rPr>
          <w:spacing w:val="-4"/>
        </w:rPr>
        <w:t xml:space="preserve"> </w:t>
      </w:r>
      <w:r>
        <w:t>these</w:t>
      </w:r>
      <w:r>
        <w:rPr>
          <w:spacing w:val="-2"/>
        </w:rPr>
        <w:t xml:space="preserve"> </w:t>
      </w:r>
      <w:r>
        <w:t>errors</w:t>
      </w:r>
      <w:r>
        <w:rPr>
          <w:spacing w:val="-2"/>
        </w:rPr>
        <w:t xml:space="preserve"> </w:t>
      </w:r>
      <w:r>
        <w:t>are</w:t>
      </w:r>
      <w:r>
        <w:rPr>
          <w:spacing w:val="-2"/>
        </w:rPr>
        <w:t xml:space="preserve"> </w:t>
      </w:r>
      <w:r>
        <w:t>required</w:t>
      </w:r>
      <w:r>
        <w:rPr>
          <w:spacing w:val="-4"/>
        </w:rPr>
        <w:t xml:space="preserve"> </w:t>
      </w:r>
      <w:r>
        <w:t>to</w:t>
      </w:r>
      <w:r>
        <w:rPr>
          <w:spacing w:val="-2"/>
        </w:rPr>
        <w:t xml:space="preserve"> </w:t>
      </w:r>
      <w:r>
        <w:t>be</w:t>
      </w:r>
      <w:r>
        <w:rPr>
          <w:spacing w:val="-2"/>
        </w:rPr>
        <w:t xml:space="preserve"> </w:t>
      </w:r>
      <w:r>
        <w:t>approved</w:t>
      </w:r>
      <w:r>
        <w:rPr>
          <w:spacing w:val="-2"/>
        </w:rPr>
        <w:t xml:space="preserve"> </w:t>
      </w:r>
      <w:r>
        <w:t>by</w:t>
      </w:r>
      <w:r>
        <w:rPr>
          <w:spacing w:val="-5"/>
        </w:rPr>
        <w:t xml:space="preserve"> </w:t>
      </w:r>
      <w:r>
        <w:t>the</w:t>
      </w:r>
      <w:r>
        <w:rPr>
          <w:spacing w:val="-2"/>
        </w:rPr>
        <w:t xml:space="preserve"> </w:t>
      </w:r>
      <w:r>
        <w:t>AUASB</w:t>
      </w:r>
      <w:r>
        <w:rPr>
          <w:spacing w:val="-4"/>
        </w:rPr>
        <w:t xml:space="preserve"> </w:t>
      </w:r>
      <w:r>
        <w:t>and</w:t>
      </w:r>
      <w:r>
        <w:rPr>
          <w:spacing w:val="-2"/>
        </w:rPr>
        <w:t xml:space="preserve"> </w:t>
      </w:r>
      <w:r>
        <w:t>subject</w:t>
      </w:r>
      <w:r>
        <w:rPr>
          <w:spacing w:val="-1"/>
        </w:rPr>
        <w:t xml:space="preserve"> </w:t>
      </w:r>
      <w:r>
        <w:t>to the same due process that applies to other amendments made to existing standards (see paragraphs 174-211). Corrections must be made through either approving a revised pronouncement or, in the case of standards made under section 336 of the Corporations Act, issuing an Amending Standard.</w:t>
      </w:r>
    </w:p>
    <w:p w14:paraId="1E805CD0" w14:textId="77777777" w:rsidR="00AA4A02" w:rsidRDefault="00AA4A02">
      <w:pPr>
        <w:pStyle w:val="BodyText"/>
        <w:rPr>
          <w:sz w:val="20"/>
        </w:rPr>
      </w:pPr>
    </w:p>
    <w:p w14:paraId="1E805CD1" w14:textId="77777777" w:rsidR="00AA4A02" w:rsidRDefault="00AA4A02">
      <w:pPr>
        <w:pStyle w:val="BodyText"/>
        <w:rPr>
          <w:sz w:val="20"/>
        </w:rPr>
      </w:pPr>
    </w:p>
    <w:p w14:paraId="1E805CD2" w14:textId="77777777" w:rsidR="00AA4A02" w:rsidRDefault="00AA4A02">
      <w:pPr>
        <w:pStyle w:val="BodyText"/>
        <w:rPr>
          <w:sz w:val="20"/>
        </w:rPr>
      </w:pPr>
    </w:p>
    <w:p w14:paraId="1E805CD3" w14:textId="77777777" w:rsidR="00AA4A02" w:rsidRDefault="00AA4A02">
      <w:pPr>
        <w:pStyle w:val="BodyText"/>
        <w:rPr>
          <w:sz w:val="20"/>
        </w:rPr>
      </w:pPr>
    </w:p>
    <w:p w14:paraId="1E805CD4" w14:textId="77777777" w:rsidR="00AA4A02" w:rsidRDefault="00AA4A02">
      <w:pPr>
        <w:pStyle w:val="BodyText"/>
        <w:rPr>
          <w:sz w:val="20"/>
        </w:rPr>
      </w:pPr>
    </w:p>
    <w:p w14:paraId="1E805CD5" w14:textId="77777777" w:rsidR="00AA4A02" w:rsidRDefault="00AA4A02">
      <w:pPr>
        <w:pStyle w:val="BodyText"/>
        <w:rPr>
          <w:sz w:val="20"/>
        </w:rPr>
      </w:pPr>
    </w:p>
    <w:p w14:paraId="1E805CD6" w14:textId="77777777" w:rsidR="00AA4A02" w:rsidRDefault="00AA4A02">
      <w:pPr>
        <w:pStyle w:val="BodyText"/>
        <w:rPr>
          <w:sz w:val="20"/>
        </w:rPr>
      </w:pPr>
    </w:p>
    <w:p w14:paraId="1E805CD7" w14:textId="77777777" w:rsidR="00AA4A02" w:rsidRDefault="00AA4A02">
      <w:pPr>
        <w:pStyle w:val="BodyText"/>
        <w:rPr>
          <w:sz w:val="20"/>
        </w:rPr>
      </w:pPr>
    </w:p>
    <w:p w14:paraId="1E805CD8" w14:textId="77777777" w:rsidR="00AA4A02" w:rsidRDefault="00AA4A02">
      <w:pPr>
        <w:pStyle w:val="BodyText"/>
        <w:rPr>
          <w:sz w:val="20"/>
        </w:rPr>
      </w:pPr>
    </w:p>
    <w:p w14:paraId="1E805CD9" w14:textId="77777777" w:rsidR="00AA4A02" w:rsidRDefault="00AA4A02">
      <w:pPr>
        <w:pStyle w:val="BodyText"/>
        <w:rPr>
          <w:sz w:val="20"/>
        </w:rPr>
      </w:pPr>
    </w:p>
    <w:p w14:paraId="1E805CDA" w14:textId="77777777" w:rsidR="00AA4A02" w:rsidRDefault="00AA4A02">
      <w:pPr>
        <w:pStyle w:val="BodyText"/>
        <w:rPr>
          <w:sz w:val="20"/>
        </w:rPr>
      </w:pPr>
    </w:p>
    <w:p w14:paraId="1E805CDB" w14:textId="77777777" w:rsidR="00AA4A02" w:rsidRDefault="00AA4A02">
      <w:pPr>
        <w:pStyle w:val="BodyText"/>
        <w:rPr>
          <w:sz w:val="20"/>
        </w:rPr>
      </w:pPr>
    </w:p>
    <w:p w14:paraId="1E805CDC" w14:textId="77777777" w:rsidR="00AA4A02" w:rsidRDefault="00AA4A02">
      <w:pPr>
        <w:pStyle w:val="BodyText"/>
        <w:rPr>
          <w:sz w:val="20"/>
        </w:rPr>
      </w:pPr>
    </w:p>
    <w:p w14:paraId="1E805CDD" w14:textId="77777777" w:rsidR="00AA4A02" w:rsidRDefault="00AA4A02">
      <w:pPr>
        <w:pStyle w:val="BodyText"/>
        <w:rPr>
          <w:sz w:val="20"/>
        </w:rPr>
      </w:pPr>
    </w:p>
    <w:p w14:paraId="1E805CDE" w14:textId="77777777" w:rsidR="00AA4A02" w:rsidRDefault="00AA4A02">
      <w:pPr>
        <w:pStyle w:val="BodyText"/>
        <w:rPr>
          <w:sz w:val="20"/>
        </w:rPr>
      </w:pPr>
    </w:p>
    <w:p w14:paraId="1E805CDF" w14:textId="77777777" w:rsidR="00AA4A02" w:rsidRDefault="00AA4A02">
      <w:pPr>
        <w:pStyle w:val="BodyText"/>
        <w:rPr>
          <w:sz w:val="20"/>
        </w:rPr>
      </w:pPr>
    </w:p>
    <w:p w14:paraId="1E805CE0" w14:textId="77777777" w:rsidR="00AA4A02" w:rsidRDefault="00AA4A02">
      <w:pPr>
        <w:pStyle w:val="BodyText"/>
        <w:rPr>
          <w:sz w:val="20"/>
        </w:rPr>
      </w:pPr>
    </w:p>
    <w:p w14:paraId="1E805CE1" w14:textId="77777777" w:rsidR="00AA4A02" w:rsidRDefault="00AA4A02">
      <w:pPr>
        <w:pStyle w:val="BodyText"/>
        <w:rPr>
          <w:sz w:val="20"/>
        </w:rPr>
      </w:pPr>
    </w:p>
    <w:p w14:paraId="1E805CE2" w14:textId="77777777" w:rsidR="00AA4A02" w:rsidRDefault="00AA4A02">
      <w:pPr>
        <w:pStyle w:val="BodyText"/>
        <w:rPr>
          <w:sz w:val="20"/>
        </w:rPr>
      </w:pPr>
    </w:p>
    <w:p w14:paraId="1E805CE3" w14:textId="77777777" w:rsidR="00AA4A02" w:rsidRDefault="00AA4A02">
      <w:pPr>
        <w:pStyle w:val="BodyText"/>
        <w:rPr>
          <w:sz w:val="20"/>
        </w:rPr>
      </w:pPr>
    </w:p>
    <w:p w14:paraId="1E805CE4" w14:textId="77777777" w:rsidR="00AA4A02" w:rsidRDefault="00AA4A02">
      <w:pPr>
        <w:pStyle w:val="BodyText"/>
        <w:rPr>
          <w:sz w:val="20"/>
        </w:rPr>
      </w:pPr>
    </w:p>
    <w:p w14:paraId="1E805CE5" w14:textId="77777777" w:rsidR="00AA4A02" w:rsidRDefault="00AA4A02">
      <w:pPr>
        <w:pStyle w:val="BodyText"/>
        <w:rPr>
          <w:sz w:val="20"/>
        </w:rPr>
      </w:pPr>
    </w:p>
    <w:p w14:paraId="1E805CE6" w14:textId="77777777" w:rsidR="00AA4A02" w:rsidRDefault="00AA4A02">
      <w:pPr>
        <w:pStyle w:val="BodyText"/>
        <w:rPr>
          <w:sz w:val="20"/>
        </w:rPr>
      </w:pPr>
    </w:p>
    <w:p w14:paraId="1E805CE7" w14:textId="77777777" w:rsidR="00AA4A02" w:rsidRDefault="00AA4A02">
      <w:pPr>
        <w:pStyle w:val="BodyText"/>
        <w:rPr>
          <w:sz w:val="20"/>
        </w:rPr>
      </w:pPr>
    </w:p>
    <w:p w14:paraId="1E805CE8" w14:textId="77777777" w:rsidR="00AA4A02" w:rsidRDefault="00AA4A02">
      <w:pPr>
        <w:pStyle w:val="BodyText"/>
        <w:rPr>
          <w:sz w:val="20"/>
        </w:rPr>
      </w:pPr>
    </w:p>
    <w:p w14:paraId="1E805CE9" w14:textId="77777777" w:rsidR="00AA4A02" w:rsidRDefault="00AA4A02">
      <w:pPr>
        <w:pStyle w:val="BodyText"/>
        <w:rPr>
          <w:sz w:val="20"/>
        </w:rPr>
      </w:pPr>
    </w:p>
    <w:p w14:paraId="1E805CEA" w14:textId="77777777" w:rsidR="00AA4A02" w:rsidRDefault="00AA4A02">
      <w:pPr>
        <w:pStyle w:val="BodyText"/>
        <w:rPr>
          <w:sz w:val="20"/>
        </w:rPr>
      </w:pPr>
    </w:p>
    <w:p w14:paraId="1E805CEB" w14:textId="77777777" w:rsidR="00AA4A02" w:rsidRDefault="00AA4A02">
      <w:pPr>
        <w:pStyle w:val="BodyText"/>
        <w:rPr>
          <w:sz w:val="20"/>
        </w:rPr>
      </w:pPr>
    </w:p>
    <w:p w14:paraId="1E805CEC" w14:textId="77777777" w:rsidR="00AA4A02" w:rsidRDefault="00AA4A02">
      <w:pPr>
        <w:pStyle w:val="BodyText"/>
        <w:rPr>
          <w:sz w:val="20"/>
        </w:rPr>
      </w:pPr>
    </w:p>
    <w:p w14:paraId="1E805CED" w14:textId="77777777" w:rsidR="00AA4A02" w:rsidRDefault="00AA4A02">
      <w:pPr>
        <w:pStyle w:val="BodyText"/>
        <w:rPr>
          <w:sz w:val="20"/>
        </w:rPr>
      </w:pPr>
    </w:p>
    <w:p w14:paraId="1E805CEE" w14:textId="77777777" w:rsidR="00AA4A02" w:rsidRDefault="00AA4A02">
      <w:pPr>
        <w:pStyle w:val="BodyText"/>
        <w:rPr>
          <w:sz w:val="20"/>
        </w:rPr>
      </w:pPr>
    </w:p>
    <w:p w14:paraId="1E805CEF" w14:textId="77777777" w:rsidR="00AA4A02" w:rsidRDefault="00AA4A02">
      <w:pPr>
        <w:pStyle w:val="BodyText"/>
        <w:rPr>
          <w:sz w:val="20"/>
        </w:rPr>
      </w:pPr>
    </w:p>
    <w:p w14:paraId="1E805CF0" w14:textId="77777777" w:rsidR="00AA4A02" w:rsidRDefault="00AA4A02">
      <w:pPr>
        <w:pStyle w:val="BodyText"/>
        <w:rPr>
          <w:sz w:val="20"/>
        </w:rPr>
      </w:pPr>
    </w:p>
    <w:p w14:paraId="1E805CF1" w14:textId="77777777" w:rsidR="00AA4A02" w:rsidRDefault="00AA4A02">
      <w:pPr>
        <w:pStyle w:val="BodyText"/>
        <w:rPr>
          <w:sz w:val="20"/>
        </w:rPr>
      </w:pPr>
    </w:p>
    <w:p w14:paraId="1E805CF2" w14:textId="77777777" w:rsidR="00AA4A02" w:rsidRDefault="00AA4A02">
      <w:pPr>
        <w:pStyle w:val="BodyText"/>
        <w:rPr>
          <w:sz w:val="20"/>
        </w:rPr>
      </w:pPr>
    </w:p>
    <w:p w14:paraId="1E805CF3" w14:textId="77777777" w:rsidR="00AA4A02" w:rsidRDefault="00AA4A02">
      <w:pPr>
        <w:pStyle w:val="BodyText"/>
        <w:rPr>
          <w:sz w:val="20"/>
        </w:rPr>
      </w:pPr>
    </w:p>
    <w:p w14:paraId="1E805CF4" w14:textId="77777777" w:rsidR="00AA4A02" w:rsidRDefault="00AA4A02">
      <w:pPr>
        <w:pStyle w:val="BodyText"/>
        <w:rPr>
          <w:sz w:val="20"/>
        </w:rPr>
      </w:pPr>
    </w:p>
    <w:p w14:paraId="1E805CF5" w14:textId="77777777" w:rsidR="00AA4A02" w:rsidRDefault="00960F31">
      <w:pPr>
        <w:pStyle w:val="BodyText"/>
        <w:spacing w:before="210"/>
        <w:rPr>
          <w:sz w:val="20"/>
        </w:rPr>
      </w:pPr>
      <w:r>
        <w:rPr>
          <w:noProof/>
          <w:sz w:val="20"/>
        </w:rPr>
        <mc:AlternateContent>
          <mc:Choice Requires="wps">
            <w:drawing>
              <wp:anchor distT="0" distB="0" distL="0" distR="0" simplePos="0" relativeHeight="487614976" behindDoc="1" locked="0" layoutInCell="1" allowOverlap="1" wp14:anchorId="1E805F7D" wp14:editId="1E805F7E">
                <wp:simplePos x="0" y="0"/>
                <wp:positionH relativeFrom="page">
                  <wp:posOffset>900988</wp:posOffset>
                </wp:positionH>
                <wp:positionV relativeFrom="paragraph">
                  <wp:posOffset>294748</wp:posOffset>
                </wp:positionV>
                <wp:extent cx="1829435" cy="762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DABC3" id="Graphic 88" o:spid="_x0000_s1026" style="position:absolute;margin-left:70.95pt;margin-top:23.2pt;width:144.05pt;height:.6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" path="m1829053,l,,,7619r1829053,l1829053,xe" fillcolor="black" stroked="f">
                <v:path arrowok="t"/>
                <w10:wrap type="topAndBottom" anchorx="page"/>
              </v:shape>
            </w:pict>
          </mc:Fallback>
        </mc:AlternateContent>
      </w:r>
    </w:p>
    <w:p w14:paraId="1E805CF6" w14:textId="77777777" w:rsidR="00AA4A02" w:rsidRDefault="00960F31">
      <w:pPr>
        <w:spacing w:before="73"/>
        <w:ind w:left="143"/>
        <w:rPr>
          <w:sz w:val="16"/>
        </w:rPr>
      </w:pPr>
      <w:r>
        <w:rPr>
          <w:sz w:val="16"/>
          <w:vertAlign w:val="superscript"/>
        </w:rPr>
        <w:t>75</w:t>
      </w:r>
      <w:r>
        <w:rPr>
          <w:spacing w:val="44"/>
          <w:sz w:val="16"/>
        </w:rPr>
        <w:t xml:space="preserve">  </w:t>
      </w:r>
      <w:r>
        <w:rPr>
          <w:sz w:val="16"/>
        </w:rPr>
        <w:t>Such</w:t>
      </w:r>
      <w:r>
        <w:rPr>
          <w:spacing w:val="-2"/>
          <w:sz w:val="16"/>
        </w:rPr>
        <w:t xml:space="preserve"> </w:t>
      </w:r>
      <w:r>
        <w:rPr>
          <w:sz w:val="16"/>
        </w:rPr>
        <w:t>improvements</w:t>
      </w:r>
      <w:r>
        <w:rPr>
          <w:spacing w:val="-3"/>
          <w:sz w:val="16"/>
        </w:rPr>
        <w:t xml:space="preserve"> </w:t>
      </w:r>
      <w:r>
        <w:rPr>
          <w:sz w:val="16"/>
        </w:rPr>
        <w:t>may</w:t>
      </w:r>
      <w:r>
        <w:rPr>
          <w:spacing w:val="-4"/>
          <w:sz w:val="16"/>
        </w:rPr>
        <w:t xml:space="preserve"> </w:t>
      </w:r>
      <w:r>
        <w:rPr>
          <w:sz w:val="16"/>
        </w:rPr>
        <w:t>be</w:t>
      </w:r>
      <w:r>
        <w:rPr>
          <w:spacing w:val="-5"/>
          <w:sz w:val="16"/>
        </w:rPr>
        <w:t xml:space="preserve"> </w:t>
      </w:r>
      <w:r>
        <w:rPr>
          <w:sz w:val="16"/>
        </w:rPr>
        <w:t>called</w:t>
      </w:r>
      <w:r>
        <w:rPr>
          <w:spacing w:val="-2"/>
          <w:sz w:val="16"/>
        </w:rPr>
        <w:t xml:space="preserve"> </w:t>
      </w:r>
      <w:r>
        <w:rPr>
          <w:sz w:val="16"/>
        </w:rPr>
        <w:t>Annual</w:t>
      </w:r>
      <w:r>
        <w:rPr>
          <w:spacing w:val="-3"/>
          <w:sz w:val="16"/>
        </w:rPr>
        <w:t xml:space="preserve"> </w:t>
      </w:r>
      <w:r>
        <w:rPr>
          <w:spacing w:val="-2"/>
          <w:sz w:val="16"/>
        </w:rPr>
        <w:t>Improvements.</w:t>
      </w:r>
    </w:p>
    <w:p w14:paraId="1E805CF7" w14:textId="77777777" w:rsidR="00AA4A02" w:rsidRDefault="00AA4A02">
      <w:pPr>
        <w:rPr>
          <w:sz w:val="16"/>
        </w:rPr>
        <w:sectPr w:rsidR="00AA4A02">
          <w:pgSz w:w="11910" w:h="16840"/>
          <w:pgMar w:top="1380" w:right="1275" w:bottom="1040" w:left="1275" w:header="689" w:footer="842" w:gutter="0"/>
          <w:cols w:space="720"/>
        </w:sectPr>
      </w:pPr>
    </w:p>
    <w:p w14:paraId="1E805CF8" w14:textId="77777777" w:rsidR="00AA4A02" w:rsidRDefault="00960F31">
      <w:pPr>
        <w:pStyle w:val="Heading4"/>
        <w:spacing w:before="183"/>
        <w:ind w:left="143" w:firstLine="0"/>
      </w:pPr>
      <w:bookmarkStart w:id="92" w:name="_TOC_250007"/>
      <w:r>
        <w:lastRenderedPageBreak/>
        <w:t>AUASB</w:t>
      </w:r>
      <w:r>
        <w:rPr>
          <w:spacing w:val="-4"/>
        </w:rPr>
        <w:t xml:space="preserve"> </w:t>
      </w:r>
      <w:r>
        <w:t>Approval</w:t>
      </w:r>
      <w:r>
        <w:rPr>
          <w:spacing w:val="-3"/>
        </w:rPr>
        <w:t xml:space="preserve"> </w:t>
      </w:r>
      <w:r>
        <w:t>and</w:t>
      </w:r>
      <w:r>
        <w:rPr>
          <w:spacing w:val="-2"/>
        </w:rPr>
        <w:t xml:space="preserve"> </w:t>
      </w:r>
      <w:r>
        <w:t>Legislative</w:t>
      </w:r>
      <w:bookmarkEnd w:id="92"/>
      <w:r>
        <w:rPr>
          <w:spacing w:val="-2"/>
        </w:rPr>
        <w:t xml:space="preserve"> Process</w:t>
      </w:r>
    </w:p>
    <w:p w14:paraId="1E805CF9" w14:textId="77777777" w:rsidR="00AA4A02" w:rsidRDefault="00960F31">
      <w:pPr>
        <w:spacing w:before="167"/>
        <w:ind w:left="143"/>
        <w:rPr>
          <w:b/>
          <w:i/>
        </w:rPr>
      </w:pPr>
      <w:bookmarkStart w:id="93" w:name="Approval_of_standards_for_issue"/>
      <w:bookmarkEnd w:id="93"/>
      <w:r>
        <w:rPr>
          <w:b/>
          <w:i/>
        </w:rPr>
        <w:t>Approval</w:t>
      </w:r>
      <w:r>
        <w:rPr>
          <w:b/>
          <w:i/>
          <w:spacing w:val="-2"/>
        </w:rPr>
        <w:t xml:space="preserve"> </w:t>
      </w:r>
      <w:r>
        <w:rPr>
          <w:b/>
          <w:i/>
        </w:rPr>
        <w:t>of</w:t>
      </w:r>
      <w:r>
        <w:rPr>
          <w:b/>
          <w:i/>
          <w:spacing w:val="-5"/>
        </w:rPr>
        <w:t xml:space="preserve"> </w:t>
      </w:r>
      <w:r>
        <w:rPr>
          <w:b/>
          <w:i/>
        </w:rPr>
        <w:t>standards</w:t>
      </w:r>
      <w:r>
        <w:rPr>
          <w:b/>
          <w:i/>
          <w:spacing w:val="-3"/>
        </w:rPr>
        <w:t xml:space="preserve"> </w:t>
      </w:r>
      <w:r>
        <w:rPr>
          <w:b/>
          <w:i/>
        </w:rPr>
        <w:t>for</w:t>
      </w:r>
      <w:r>
        <w:rPr>
          <w:b/>
          <w:i/>
          <w:spacing w:val="-1"/>
        </w:rPr>
        <w:t xml:space="preserve"> </w:t>
      </w:r>
      <w:r>
        <w:rPr>
          <w:b/>
          <w:i/>
          <w:spacing w:val="-2"/>
        </w:rPr>
        <w:t>issue</w:t>
      </w:r>
    </w:p>
    <w:p w14:paraId="1E805CFA" w14:textId="77777777" w:rsidR="00AA4A02" w:rsidRDefault="00960F31">
      <w:pPr>
        <w:pStyle w:val="ListParagraph"/>
        <w:numPr>
          <w:ilvl w:val="0"/>
          <w:numId w:val="29"/>
        </w:numPr>
        <w:tabs>
          <w:tab w:val="left" w:pos="851"/>
        </w:tabs>
        <w:spacing w:before="193" w:line="208" w:lineRule="auto"/>
        <w:ind w:right="412"/>
      </w:pPr>
      <w:r>
        <w:t>AUASB pronouncements and EDs are approved for publication in accordance with the AUASB’s</w:t>
      </w:r>
      <w:r>
        <w:rPr>
          <w:spacing w:val="-2"/>
        </w:rPr>
        <w:t xml:space="preserve"> </w:t>
      </w:r>
      <w:r>
        <w:t>approvals</w:t>
      </w:r>
      <w:r>
        <w:rPr>
          <w:spacing w:val="-2"/>
        </w:rPr>
        <w:t xml:space="preserve"> </w:t>
      </w:r>
      <w:r>
        <w:t>protocols</w:t>
      </w:r>
      <w:r>
        <w:rPr>
          <w:spacing w:val="-2"/>
        </w:rPr>
        <w:t xml:space="preserve"> </w:t>
      </w:r>
      <w:r>
        <w:t>described</w:t>
      </w:r>
      <w:r>
        <w:rPr>
          <w:spacing w:val="-3"/>
        </w:rPr>
        <w:t xml:space="preserve"> </w:t>
      </w:r>
      <w:r>
        <w:t>in</w:t>
      </w:r>
      <w:r>
        <w:rPr>
          <w:spacing w:val="-2"/>
        </w:rPr>
        <w:t xml:space="preserve"> </w:t>
      </w:r>
      <w:r>
        <w:t>section</w:t>
      </w:r>
      <w:r>
        <w:rPr>
          <w:spacing w:val="-3"/>
        </w:rPr>
        <w:t xml:space="preserve"> </w:t>
      </w:r>
      <w:r>
        <w:t>6</w:t>
      </w:r>
      <w:r>
        <w:rPr>
          <w:spacing w:val="-6"/>
        </w:rPr>
        <w:t xml:space="preserve"> </w:t>
      </w:r>
      <w:r>
        <w:t>of</w:t>
      </w:r>
      <w:r>
        <w:rPr>
          <w:spacing w:val="-2"/>
        </w:rPr>
        <w:t xml:space="preserve"> </w:t>
      </w:r>
      <w:r>
        <w:t>the</w:t>
      </w:r>
      <w:r>
        <w:rPr>
          <w:spacing w:val="-3"/>
        </w:rPr>
        <w:t xml:space="preserve"> </w:t>
      </w:r>
      <w:r>
        <w:t>Board</w:t>
      </w:r>
      <w:r>
        <w:rPr>
          <w:spacing w:val="-3"/>
        </w:rPr>
        <w:t xml:space="preserve"> </w:t>
      </w:r>
      <w:r>
        <w:t>Charter,</w:t>
      </w:r>
      <w:r>
        <w:rPr>
          <w:spacing w:val="-3"/>
        </w:rPr>
        <w:t xml:space="preserve"> </w:t>
      </w:r>
      <w:r>
        <w:t>which</w:t>
      </w:r>
      <w:r>
        <w:rPr>
          <w:spacing w:val="-5"/>
        </w:rPr>
        <w:t xml:space="preserve"> </w:t>
      </w:r>
      <w:r>
        <w:t>requires</w:t>
      </w:r>
      <w:r>
        <w:rPr>
          <w:spacing w:val="-2"/>
        </w:rPr>
        <w:t xml:space="preserve"> </w:t>
      </w:r>
      <w:r>
        <w:t>a two-thirds majority vote of all AUASB members. Refer to Appendix 5 for a summary of AUASB approval and voting protocols.</w:t>
      </w:r>
    </w:p>
    <w:p w14:paraId="1E805CFB" w14:textId="77777777" w:rsidR="00AA4A02" w:rsidRDefault="00960F31">
      <w:pPr>
        <w:pStyle w:val="ListParagraph"/>
        <w:numPr>
          <w:ilvl w:val="0"/>
          <w:numId w:val="29"/>
        </w:numPr>
        <w:tabs>
          <w:tab w:val="left" w:pos="851"/>
        </w:tabs>
        <w:spacing w:before="200" w:line="208" w:lineRule="auto"/>
        <w:ind w:right="1007"/>
      </w:pPr>
      <w:r>
        <w:t>Any</w:t>
      </w:r>
      <w:r>
        <w:rPr>
          <w:spacing w:val="-3"/>
        </w:rPr>
        <w:t xml:space="preserve"> </w:t>
      </w:r>
      <w:r>
        <w:t>withdrawn</w:t>
      </w:r>
      <w:r>
        <w:rPr>
          <w:spacing w:val="-6"/>
        </w:rPr>
        <w:t xml:space="preserve"> </w:t>
      </w:r>
      <w:r>
        <w:t>standard</w:t>
      </w:r>
      <w:r>
        <w:rPr>
          <w:spacing w:val="-3"/>
        </w:rPr>
        <w:t xml:space="preserve"> </w:t>
      </w:r>
      <w:r>
        <w:t>is</w:t>
      </w:r>
      <w:r>
        <w:rPr>
          <w:spacing w:val="-4"/>
        </w:rPr>
        <w:t xml:space="preserve"> </w:t>
      </w:r>
      <w:r>
        <w:t>identified</w:t>
      </w:r>
      <w:r>
        <w:rPr>
          <w:spacing w:val="-3"/>
        </w:rPr>
        <w:t xml:space="preserve"> </w:t>
      </w:r>
      <w:r>
        <w:t>as</w:t>
      </w:r>
      <w:r>
        <w:rPr>
          <w:spacing w:val="-5"/>
        </w:rPr>
        <w:t xml:space="preserve"> </w:t>
      </w:r>
      <w:r>
        <w:t>such.</w:t>
      </w:r>
      <w:r>
        <w:rPr>
          <w:spacing w:val="-3"/>
        </w:rPr>
        <w:t xml:space="preserve"> </w:t>
      </w:r>
      <w:r>
        <w:t>The</w:t>
      </w:r>
      <w:r>
        <w:rPr>
          <w:spacing w:val="-3"/>
        </w:rPr>
        <w:t xml:space="preserve"> </w:t>
      </w:r>
      <w:r>
        <w:t>process</w:t>
      </w:r>
      <w:r>
        <w:rPr>
          <w:spacing w:val="-5"/>
        </w:rPr>
        <w:t xml:space="preserve"> </w:t>
      </w:r>
      <w:r>
        <w:t>for</w:t>
      </w:r>
      <w:r>
        <w:rPr>
          <w:spacing w:val="-3"/>
        </w:rPr>
        <w:t xml:space="preserve"> </w:t>
      </w:r>
      <w:r>
        <w:t>withdrawing/repealing standards is explained in paragraphs 245-249 of this document.</w:t>
      </w:r>
    </w:p>
    <w:p w14:paraId="1E805CFC" w14:textId="77777777" w:rsidR="00AA4A02" w:rsidRDefault="00960F31">
      <w:pPr>
        <w:spacing w:before="174"/>
        <w:ind w:left="143"/>
        <w:rPr>
          <w:b/>
          <w:i/>
        </w:rPr>
      </w:pPr>
      <w:bookmarkStart w:id="94" w:name="Dissenting_views"/>
      <w:bookmarkEnd w:id="94"/>
      <w:r>
        <w:rPr>
          <w:b/>
          <w:i/>
        </w:rPr>
        <w:t>Dissenting</w:t>
      </w:r>
      <w:r>
        <w:rPr>
          <w:b/>
          <w:i/>
          <w:spacing w:val="-10"/>
        </w:rPr>
        <w:t xml:space="preserve"> </w:t>
      </w:r>
      <w:r>
        <w:rPr>
          <w:b/>
          <w:i/>
          <w:spacing w:val="-2"/>
        </w:rPr>
        <w:t>views</w:t>
      </w:r>
    </w:p>
    <w:p w14:paraId="1E805CFD" w14:textId="77777777" w:rsidR="00AA4A02" w:rsidRDefault="00960F31">
      <w:pPr>
        <w:pStyle w:val="ListParagraph"/>
        <w:numPr>
          <w:ilvl w:val="0"/>
          <w:numId w:val="29"/>
        </w:numPr>
        <w:tabs>
          <w:tab w:val="left" w:pos="851"/>
        </w:tabs>
        <w:spacing w:before="191" w:line="208" w:lineRule="auto"/>
        <w:ind w:right="189"/>
      </w:pPr>
      <w:r>
        <w:t>The AUASB does not operate as a consensus body in its formal decision-making. AUASB members who disagree with a standard are required to explain why they have a dissenting opinion.</w:t>
      </w:r>
      <w:r>
        <w:rPr>
          <w:spacing w:val="-3"/>
        </w:rPr>
        <w:t xml:space="preserve"> </w:t>
      </w:r>
      <w:r>
        <w:t>This</w:t>
      </w:r>
      <w:r>
        <w:rPr>
          <w:spacing w:val="-3"/>
        </w:rPr>
        <w:t xml:space="preserve"> </w:t>
      </w:r>
      <w:r>
        <w:t>process</w:t>
      </w:r>
      <w:r>
        <w:rPr>
          <w:spacing w:val="-5"/>
        </w:rPr>
        <w:t xml:space="preserve"> </w:t>
      </w:r>
      <w:r>
        <w:t>ensures</w:t>
      </w:r>
      <w:r>
        <w:rPr>
          <w:spacing w:val="-3"/>
        </w:rPr>
        <w:t xml:space="preserve"> </w:t>
      </w:r>
      <w:r>
        <w:t>that</w:t>
      </w:r>
      <w:r>
        <w:rPr>
          <w:spacing w:val="-5"/>
        </w:rPr>
        <w:t xml:space="preserve"> </w:t>
      </w:r>
      <w:r>
        <w:t>rigorous</w:t>
      </w:r>
      <w:r>
        <w:rPr>
          <w:spacing w:val="-3"/>
        </w:rPr>
        <w:t xml:space="preserve"> </w:t>
      </w:r>
      <w:r>
        <w:t>discussion</w:t>
      </w:r>
      <w:r>
        <w:rPr>
          <w:spacing w:val="-6"/>
        </w:rPr>
        <w:t xml:space="preserve"> </w:t>
      </w:r>
      <w:r>
        <w:t>and</w:t>
      </w:r>
      <w:r>
        <w:rPr>
          <w:spacing w:val="-3"/>
        </w:rPr>
        <w:t xml:space="preserve"> </w:t>
      </w:r>
      <w:r>
        <w:t>consideration</w:t>
      </w:r>
      <w:r>
        <w:rPr>
          <w:spacing w:val="-3"/>
        </w:rPr>
        <w:t xml:space="preserve"> </w:t>
      </w:r>
      <w:r>
        <w:t>is</w:t>
      </w:r>
      <w:r>
        <w:rPr>
          <w:spacing w:val="-3"/>
        </w:rPr>
        <w:t xml:space="preserve"> </w:t>
      </w:r>
      <w:r>
        <w:t>given</w:t>
      </w:r>
      <w:r>
        <w:rPr>
          <w:spacing w:val="-5"/>
        </w:rPr>
        <w:t xml:space="preserve"> </w:t>
      </w:r>
      <w:r>
        <w:t>to</w:t>
      </w:r>
      <w:r>
        <w:rPr>
          <w:spacing w:val="-3"/>
        </w:rPr>
        <w:t xml:space="preserve"> </w:t>
      </w:r>
      <w:r>
        <w:t>alternative options in arriving at the best option.</w:t>
      </w:r>
    </w:p>
    <w:p w14:paraId="1E805CFE" w14:textId="77777777" w:rsidR="00AA4A02" w:rsidRDefault="00960F31">
      <w:pPr>
        <w:pStyle w:val="ListParagraph"/>
        <w:numPr>
          <w:ilvl w:val="0"/>
          <w:numId w:val="29"/>
        </w:numPr>
        <w:tabs>
          <w:tab w:val="left" w:pos="851"/>
        </w:tabs>
        <w:spacing w:line="208" w:lineRule="auto"/>
        <w:ind w:right="772"/>
        <w:jc w:val="both"/>
      </w:pPr>
      <w:r>
        <w:t>While</w:t>
      </w:r>
      <w:r>
        <w:rPr>
          <w:spacing w:val="-2"/>
        </w:rPr>
        <w:t xml:space="preserve"> </w:t>
      </w:r>
      <w:r>
        <w:t>AUASB</w:t>
      </w:r>
      <w:r>
        <w:rPr>
          <w:spacing w:val="-4"/>
        </w:rPr>
        <w:t xml:space="preserve"> </w:t>
      </w:r>
      <w:r>
        <w:t>members</w:t>
      </w:r>
      <w:r>
        <w:rPr>
          <w:spacing w:val="-4"/>
        </w:rPr>
        <w:t xml:space="preserve"> </w:t>
      </w:r>
      <w:r>
        <w:t>may</w:t>
      </w:r>
      <w:r>
        <w:rPr>
          <w:spacing w:val="-2"/>
        </w:rPr>
        <w:t xml:space="preserve"> </w:t>
      </w:r>
      <w:r>
        <w:t>ask</w:t>
      </w:r>
      <w:r>
        <w:rPr>
          <w:spacing w:val="-4"/>
        </w:rPr>
        <w:t xml:space="preserve"> </w:t>
      </w:r>
      <w:r>
        <w:t>that</w:t>
      </w:r>
      <w:r>
        <w:rPr>
          <w:spacing w:val="-4"/>
        </w:rPr>
        <w:t xml:space="preserve"> </w:t>
      </w:r>
      <w:r>
        <w:t>their</w:t>
      </w:r>
      <w:r>
        <w:rPr>
          <w:spacing w:val="-2"/>
        </w:rPr>
        <w:t xml:space="preserve"> </w:t>
      </w:r>
      <w:r>
        <w:t>dissenting</w:t>
      </w:r>
      <w:r>
        <w:rPr>
          <w:spacing w:val="-5"/>
        </w:rPr>
        <w:t xml:space="preserve"> </w:t>
      </w:r>
      <w:r>
        <w:t>views</w:t>
      </w:r>
      <w:r>
        <w:rPr>
          <w:spacing w:val="-2"/>
        </w:rPr>
        <w:t xml:space="preserve"> </w:t>
      </w:r>
      <w:r>
        <w:t>on</w:t>
      </w:r>
      <w:r>
        <w:rPr>
          <w:spacing w:val="-2"/>
        </w:rPr>
        <w:t xml:space="preserve"> </w:t>
      </w:r>
      <w:r>
        <w:t>a</w:t>
      </w:r>
      <w:r>
        <w:rPr>
          <w:spacing w:val="-2"/>
        </w:rPr>
        <w:t xml:space="preserve"> </w:t>
      </w:r>
      <w:r>
        <w:t>particular</w:t>
      </w:r>
      <w:r>
        <w:rPr>
          <w:spacing w:val="-2"/>
        </w:rPr>
        <w:t xml:space="preserve"> </w:t>
      </w:r>
      <w:r>
        <w:t>standard</w:t>
      </w:r>
      <w:r>
        <w:rPr>
          <w:spacing w:val="-2"/>
        </w:rPr>
        <w:t xml:space="preserve"> </w:t>
      </w:r>
      <w:r>
        <w:t>be recorded</w:t>
      </w:r>
      <w:r>
        <w:rPr>
          <w:spacing w:val="-3"/>
        </w:rPr>
        <w:t xml:space="preserve"> </w:t>
      </w:r>
      <w:r>
        <w:t>in</w:t>
      </w:r>
      <w:r>
        <w:rPr>
          <w:spacing w:val="-4"/>
        </w:rPr>
        <w:t xml:space="preserve"> </w:t>
      </w:r>
      <w:r>
        <w:t>the</w:t>
      </w:r>
      <w:r>
        <w:rPr>
          <w:spacing w:val="-3"/>
        </w:rPr>
        <w:t xml:space="preserve"> </w:t>
      </w:r>
      <w:r>
        <w:t>minutes</w:t>
      </w:r>
      <w:r>
        <w:rPr>
          <w:spacing w:val="-2"/>
        </w:rPr>
        <w:t xml:space="preserve"> </w:t>
      </w:r>
      <w:r>
        <w:t>of</w:t>
      </w:r>
      <w:r>
        <w:rPr>
          <w:spacing w:val="-3"/>
        </w:rPr>
        <w:t xml:space="preserve"> </w:t>
      </w:r>
      <w:r>
        <w:t>meetings</w:t>
      </w:r>
      <w:r>
        <w:rPr>
          <w:spacing w:val="-2"/>
        </w:rPr>
        <w:t xml:space="preserve"> </w:t>
      </w:r>
      <w:r>
        <w:t>of</w:t>
      </w:r>
      <w:r>
        <w:rPr>
          <w:spacing w:val="-2"/>
        </w:rPr>
        <w:t xml:space="preserve"> </w:t>
      </w:r>
      <w:r>
        <w:t>the</w:t>
      </w:r>
      <w:r>
        <w:rPr>
          <w:spacing w:val="-2"/>
        </w:rPr>
        <w:t xml:space="preserve"> </w:t>
      </w:r>
      <w:r>
        <w:t>AUASB,</w:t>
      </w:r>
      <w:r>
        <w:rPr>
          <w:spacing w:val="-2"/>
        </w:rPr>
        <w:t xml:space="preserve"> </w:t>
      </w:r>
      <w:r>
        <w:t>such</w:t>
      </w:r>
      <w:r>
        <w:rPr>
          <w:spacing w:val="-2"/>
        </w:rPr>
        <w:t xml:space="preserve"> </w:t>
      </w:r>
      <w:r>
        <w:t>views</w:t>
      </w:r>
      <w:r>
        <w:rPr>
          <w:spacing w:val="-2"/>
        </w:rPr>
        <w:t xml:space="preserve"> </w:t>
      </w:r>
      <w:r>
        <w:t>are</w:t>
      </w:r>
      <w:r>
        <w:rPr>
          <w:spacing w:val="-2"/>
        </w:rPr>
        <w:t xml:space="preserve"> </w:t>
      </w:r>
      <w:r>
        <w:t>not</w:t>
      </w:r>
      <w:r>
        <w:rPr>
          <w:spacing w:val="-1"/>
        </w:rPr>
        <w:t xml:space="preserve"> </w:t>
      </w:r>
      <w:r>
        <w:t>published</w:t>
      </w:r>
      <w:r>
        <w:rPr>
          <w:spacing w:val="-4"/>
        </w:rPr>
        <w:t xml:space="preserve"> </w:t>
      </w:r>
      <w:r>
        <w:t>in</w:t>
      </w:r>
      <w:r>
        <w:rPr>
          <w:spacing w:val="-2"/>
        </w:rPr>
        <w:t xml:space="preserve"> </w:t>
      </w:r>
      <w:r>
        <w:t>the explanatory material accompanying the resultant standard.</w:t>
      </w:r>
    </w:p>
    <w:p w14:paraId="1E805CFF" w14:textId="77777777" w:rsidR="00AA4A02" w:rsidRDefault="00960F31">
      <w:pPr>
        <w:spacing w:before="174"/>
        <w:ind w:left="143"/>
        <w:rPr>
          <w:b/>
          <w:i/>
        </w:rPr>
      </w:pPr>
      <w:bookmarkStart w:id="95" w:name="Adherence_to_due_process"/>
      <w:bookmarkEnd w:id="95"/>
      <w:r>
        <w:rPr>
          <w:b/>
          <w:i/>
        </w:rPr>
        <w:t>Adherence</w:t>
      </w:r>
      <w:r>
        <w:rPr>
          <w:b/>
          <w:i/>
          <w:spacing w:val="-2"/>
        </w:rPr>
        <w:t xml:space="preserve"> </w:t>
      </w:r>
      <w:r>
        <w:rPr>
          <w:b/>
          <w:i/>
        </w:rPr>
        <w:t>to</w:t>
      </w:r>
      <w:r>
        <w:rPr>
          <w:b/>
          <w:i/>
          <w:spacing w:val="-3"/>
        </w:rPr>
        <w:t xml:space="preserve"> </w:t>
      </w:r>
      <w:r>
        <w:rPr>
          <w:b/>
          <w:i/>
        </w:rPr>
        <w:t>due</w:t>
      </w:r>
      <w:r>
        <w:rPr>
          <w:b/>
          <w:i/>
          <w:spacing w:val="-1"/>
        </w:rPr>
        <w:t xml:space="preserve"> </w:t>
      </w:r>
      <w:r>
        <w:rPr>
          <w:b/>
          <w:i/>
          <w:spacing w:val="-2"/>
        </w:rPr>
        <w:t>process</w:t>
      </w:r>
    </w:p>
    <w:p w14:paraId="1E805D00" w14:textId="77777777" w:rsidR="00AA4A02" w:rsidRDefault="00960F31">
      <w:pPr>
        <w:pStyle w:val="ListParagraph"/>
        <w:numPr>
          <w:ilvl w:val="0"/>
          <w:numId w:val="29"/>
        </w:numPr>
        <w:tabs>
          <w:tab w:val="left" w:pos="851"/>
        </w:tabs>
        <w:spacing w:before="194" w:line="208" w:lineRule="auto"/>
        <w:ind w:right="247"/>
      </w:pPr>
      <w:r>
        <w:t>As</w:t>
      </w:r>
      <w:r>
        <w:rPr>
          <w:spacing w:val="-2"/>
        </w:rPr>
        <w:t xml:space="preserve"> </w:t>
      </w:r>
      <w:r>
        <w:t>part</w:t>
      </w:r>
      <w:r>
        <w:rPr>
          <w:spacing w:val="-1"/>
        </w:rPr>
        <w:t xml:space="preserve"> </w:t>
      </w:r>
      <w:r>
        <w:t>of</w:t>
      </w:r>
      <w:r>
        <w:rPr>
          <w:spacing w:val="-4"/>
        </w:rPr>
        <w:t xml:space="preserve"> </w:t>
      </w:r>
      <w:r>
        <w:t>the</w:t>
      </w:r>
      <w:r>
        <w:rPr>
          <w:spacing w:val="-4"/>
        </w:rPr>
        <w:t xml:space="preserve"> </w:t>
      </w:r>
      <w:r>
        <w:t>process of</w:t>
      </w:r>
      <w:r>
        <w:rPr>
          <w:spacing w:val="-4"/>
        </w:rPr>
        <w:t xml:space="preserve"> </w:t>
      </w:r>
      <w:r>
        <w:t>finalising</w:t>
      </w:r>
      <w:r>
        <w:rPr>
          <w:spacing w:val="-1"/>
        </w:rPr>
        <w:t xml:space="preserve"> </w:t>
      </w:r>
      <w:r>
        <w:t>a</w:t>
      </w:r>
      <w:r>
        <w:rPr>
          <w:spacing w:val="-2"/>
        </w:rPr>
        <w:t xml:space="preserve"> </w:t>
      </w:r>
      <w:r>
        <w:t>new</w:t>
      </w:r>
      <w:r>
        <w:rPr>
          <w:spacing w:val="-5"/>
        </w:rPr>
        <w:t xml:space="preserve"> </w:t>
      </w:r>
      <w:r>
        <w:t>or</w:t>
      </w:r>
      <w:r>
        <w:rPr>
          <w:spacing w:val="-4"/>
        </w:rPr>
        <w:t xml:space="preserve"> </w:t>
      </w:r>
      <w:r>
        <w:t>revised</w:t>
      </w:r>
      <w:r>
        <w:rPr>
          <w:spacing w:val="-4"/>
        </w:rPr>
        <w:t xml:space="preserve"> </w:t>
      </w:r>
      <w:r>
        <w:t>principal</w:t>
      </w:r>
      <w:r>
        <w:rPr>
          <w:spacing w:val="-1"/>
        </w:rPr>
        <w:t xml:space="preserve"> </w:t>
      </w:r>
      <w:r>
        <w:t>standard,</w:t>
      </w:r>
      <w:r>
        <w:rPr>
          <w:spacing w:val="-2"/>
        </w:rPr>
        <w:t xml:space="preserve"> </w:t>
      </w:r>
      <w:r>
        <w:t>or</w:t>
      </w:r>
      <w:r>
        <w:rPr>
          <w:spacing w:val="-4"/>
        </w:rPr>
        <w:t xml:space="preserve"> </w:t>
      </w:r>
      <w:r>
        <w:t>amending</w:t>
      </w:r>
      <w:r>
        <w:rPr>
          <w:spacing w:val="-2"/>
        </w:rPr>
        <w:t xml:space="preserve"> </w:t>
      </w:r>
      <w:r>
        <w:t>standard, the AUASB confirms that (which is recorded in the public minutes of the meeting):</w:t>
      </w:r>
    </w:p>
    <w:p w14:paraId="1E805D01" w14:textId="77777777" w:rsidR="00AA4A02" w:rsidRDefault="00960F31">
      <w:pPr>
        <w:pStyle w:val="ListParagraph"/>
        <w:numPr>
          <w:ilvl w:val="1"/>
          <w:numId w:val="29"/>
        </w:numPr>
        <w:tabs>
          <w:tab w:val="left" w:pos="1562"/>
        </w:tabs>
        <w:spacing w:before="198" w:line="208" w:lineRule="auto"/>
        <w:ind w:right="805"/>
      </w:pPr>
      <w:r>
        <w:t>due</w:t>
      </w:r>
      <w:r>
        <w:rPr>
          <w:spacing w:val="-2"/>
        </w:rPr>
        <w:t xml:space="preserve"> </w:t>
      </w:r>
      <w:r>
        <w:t>process</w:t>
      </w:r>
      <w:r>
        <w:rPr>
          <w:spacing w:val="-2"/>
        </w:rPr>
        <w:t xml:space="preserve"> </w:t>
      </w:r>
      <w:r>
        <w:t>has</w:t>
      </w:r>
      <w:r>
        <w:rPr>
          <w:spacing w:val="-2"/>
        </w:rPr>
        <w:t xml:space="preserve"> </w:t>
      </w:r>
      <w:r>
        <w:t>been</w:t>
      </w:r>
      <w:r>
        <w:rPr>
          <w:spacing w:val="-2"/>
        </w:rPr>
        <w:t xml:space="preserve"> </w:t>
      </w:r>
      <w:r>
        <w:t>followed</w:t>
      </w:r>
      <w:r>
        <w:rPr>
          <w:spacing w:val="-2"/>
        </w:rPr>
        <w:t xml:space="preserve"> </w:t>
      </w:r>
      <w:r>
        <w:t>effectively</w:t>
      </w:r>
      <w:r>
        <w:rPr>
          <w:spacing w:val="-5"/>
        </w:rPr>
        <w:t xml:space="preserve"> </w:t>
      </w:r>
      <w:r>
        <w:t>and</w:t>
      </w:r>
      <w:r>
        <w:rPr>
          <w:spacing w:val="-2"/>
        </w:rPr>
        <w:t xml:space="preserve"> </w:t>
      </w:r>
      <w:r>
        <w:t>with</w:t>
      </w:r>
      <w:r>
        <w:rPr>
          <w:spacing w:val="-5"/>
        </w:rPr>
        <w:t xml:space="preserve"> </w:t>
      </w:r>
      <w:r>
        <w:t>proper</w:t>
      </w:r>
      <w:r>
        <w:rPr>
          <w:spacing w:val="-4"/>
        </w:rPr>
        <w:t xml:space="preserve"> </w:t>
      </w:r>
      <w:r>
        <w:t>regard</w:t>
      </w:r>
      <w:r>
        <w:rPr>
          <w:spacing w:val="-5"/>
        </w:rPr>
        <w:t xml:space="preserve"> </w:t>
      </w:r>
      <w:r>
        <w:t>for</w:t>
      </w:r>
      <w:r>
        <w:rPr>
          <w:spacing w:val="-4"/>
        </w:rPr>
        <w:t xml:space="preserve"> </w:t>
      </w:r>
      <w:r>
        <w:t>the</w:t>
      </w:r>
      <w:r>
        <w:rPr>
          <w:spacing w:val="-4"/>
        </w:rPr>
        <w:t xml:space="preserve"> </w:t>
      </w:r>
      <w:r>
        <w:t>public interest; and</w:t>
      </w:r>
    </w:p>
    <w:p w14:paraId="1E805D02" w14:textId="77777777" w:rsidR="00AA4A02" w:rsidRDefault="00960F31">
      <w:pPr>
        <w:pStyle w:val="ListParagraph"/>
        <w:numPr>
          <w:ilvl w:val="1"/>
          <w:numId w:val="29"/>
        </w:numPr>
        <w:tabs>
          <w:tab w:val="left" w:pos="1562"/>
        </w:tabs>
        <w:spacing w:before="174"/>
      </w:pPr>
      <w:r>
        <w:t>matters</w:t>
      </w:r>
      <w:r>
        <w:rPr>
          <w:spacing w:val="-5"/>
        </w:rPr>
        <w:t xml:space="preserve"> </w:t>
      </w:r>
      <w:r>
        <w:t>raised</w:t>
      </w:r>
      <w:r>
        <w:rPr>
          <w:spacing w:val="-6"/>
        </w:rPr>
        <w:t xml:space="preserve"> </w:t>
      </w:r>
      <w:r>
        <w:t>by</w:t>
      </w:r>
      <w:r>
        <w:rPr>
          <w:spacing w:val="-3"/>
        </w:rPr>
        <w:t xml:space="preserve"> </w:t>
      </w:r>
      <w:r>
        <w:t>stakeholders</w:t>
      </w:r>
      <w:r>
        <w:rPr>
          <w:spacing w:val="-3"/>
        </w:rPr>
        <w:t xml:space="preserve"> </w:t>
      </w:r>
      <w:r>
        <w:t>have</w:t>
      </w:r>
      <w:r>
        <w:rPr>
          <w:spacing w:val="-3"/>
        </w:rPr>
        <w:t xml:space="preserve"> </w:t>
      </w:r>
      <w:r>
        <w:t>been</w:t>
      </w:r>
      <w:r>
        <w:rPr>
          <w:spacing w:val="-5"/>
        </w:rPr>
        <w:t xml:space="preserve"> </w:t>
      </w:r>
      <w:r>
        <w:t>adequately</w:t>
      </w:r>
      <w:r>
        <w:rPr>
          <w:spacing w:val="-6"/>
        </w:rPr>
        <w:t xml:space="preserve"> </w:t>
      </w:r>
      <w:r>
        <w:t>considered</w:t>
      </w:r>
      <w:r>
        <w:rPr>
          <w:spacing w:val="-3"/>
        </w:rPr>
        <w:t xml:space="preserve"> </w:t>
      </w:r>
      <w:r>
        <w:t>by</w:t>
      </w:r>
      <w:r>
        <w:rPr>
          <w:spacing w:val="-6"/>
        </w:rPr>
        <w:t xml:space="preserve"> </w:t>
      </w:r>
      <w:r>
        <w:t>the</w:t>
      </w:r>
      <w:r>
        <w:rPr>
          <w:spacing w:val="-2"/>
        </w:rPr>
        <w:t xml:space="preserve"> Board.</w:t>
      </w:r>
    </w:p>
    <w:p w14:paraId="1E805D03" w14:textId="77777777" w:rsidR="00AA4A02" w:rsidRDefault="00960F31">
      <w:pPr>
        <w:pStyle w:val="ListParagraph"/>
        <w:numPr>
          <w:ilvl w:val="0"/>
          <w:numId w:val="29"/>
        </w:numPr>
        <w:tabs>
          <w:tab w:val="left" w:pos="851"/>
        </w:tabs>
        <w:spacing w:before="194" w:line="208" w:lineRule="auto"/>
        <w:ind w:right="346"/>
      </w:pPr>
      <w:r>
        <w:t>Once</w:t>
      </w:r>
      <w:r>
        <w:rPr>
          <w:spacing w:val="-1"/>
        </w:rPr>
        <w:t xml:space="preserve"> </w:t>
      </w:r>
      <w:r>
        <w:t>a</w:t>
      </w:r>
      <w:r>
        <w:rPr>
          <w:spacing w:val="-2"/>
        </w:rPr>
        <w:t xml:space="preserve"> </w:t>
      </w:r>
      <w:r>
        <w:t>principal</w:t>
      </w:r>
      <w:r>
        <w:rPr>
          <w:spacing w:val="-1"/>
        </w:rPr>
        <w:t xml:space="preserve"> </w:t>
      </w:r>
      <w:r>
        <w:t>or</w:t>
      </w:r>
      <w:r>
        <w:rPr>
          <w:spacing w:val="-2"/>
        </w:rPr>
        <w:t xml:space="preserve"> </w:t>
      </w:r>
      <w:r>
        <w:t>amending</w:t>
      </w:r>
      <w:r>
        <w:rPr>
          <w:spacing w:val="-2"/>
        </w:rPr>
        <w:t xml:space="preserve"> </w:t>
      </w:r>
      <w:r>
        <w:t>standard</w:t>
      </w:r>
      <w:r>
        <w:rPr>
          <w:spacing w:val="-2"/>
        </w:rPr>
        <w:t xml:space="preserve"> </w:t>
      </w:r>
      <w:r>
        <w:t>has</w:t>
      </w:r>
      <w:r>
        <w:rPr>
          <w:spacing w:val="-2"/>
        </w:rPr>
        <w:t xml:space="preserve"> </w:t>
      </w:r>
      <w:r>
        <w:t>been</w:t>
      </w:r>
      <w:r>
        <w:rPr>
          <w:spacing w:val="-2"/>
        </w:rPr>
        <w:t xml:space="preserve"> </w:t>
      </w:r>
      <w:r>
        <w:t>approved</w:t>
      </w:r>
      <w:r>
        <w:rPr>
          <w:spacing w:val="-2"/>
        </w:rPr>
        <w:t xml:space="preserve"> </w:t>
      </w:r>
      <w:r>
        <w:t>by</w:t>
      </w:r>
      <w:r>
        <w:rPr>
          <w:spacing w:val="-4"/>
        </w:rPr>
        <w:t xml:space="preserve"> </w:t>
      </w:r>
      <w:r>
        <w:t>the</w:t>
      </w:r>
      <w:r>
        <w:rPr>
          <w:spacing w:val="-2"/>
        </w:rPr>
        <w:t xml:space="preserve"> </w:t>
      </w:r>
      <w:r>
        <w:t>AUASB,</w:t>
      </w:r>
      <w:r>
        <w:rPr>
          <w:spacing w:val="-2"/>
        </w:rPr>
        <w:t xml:space="preserve"> </w:t>
      </w:r>
      <w:r>
        <w:t>a</w:t>
      </w:r>
      <w:r>
        <w:rPr>
          <w:spacing w:val="-2"/>
        </w:rPr>
        <w:t xml:space="preserve"> </w:t>
      </w:r>
      <w:r>
        <w:t>summary</w:t>
      </w:r>
      <w:r>
        <w:rPr>
          <w:spacing w:val="-2"/>
        </w:rPr>
        <w:t xml:space="preserve"> </w:t>
      </w:r>
      <w:r>
        <w:t>of</w:t>
      </w:r>
      <w:r>
        <w:rPr>
          <w:spacing w:val="-4"/>
        </w:rPr>
        <w:t xml:space="preserve"> </w:t>
      </w:r>
      <w:r>
        <w:t>the due process followed is prepared and provided to the FRC Chair and published on the AUASB’s website.</w:t>
      </w:r>
    </w:p>
    <w:p w14:paraId="1E805D04" w14:textId="77777777" w:rsidR="00AA4A02" w:rsidRDefault="00960F31">
      <w:pPr>
        <w:spacing w:before="175"/>
        <w:ind w:left="143"/>
        <w:rPr>
          <w:b/>
          <w:i/>
        </w:rPr>
      </w:pPr>
      <w:bookmarkStart w:id="96" w:name="Legislative_instruments_–_Auditing_Stand"/>
      <w:bookmarkEnd w:id="96"/>
      <w:r>
        <w:rPr>
          <w:b/>
          <w:i/>
        </w:rPr>
        <w:t>Legislative</w:t>
      </w:r>
      <w:r>
        <w:rPr>
          <w:b/>
          <w:i/>
          <w:spacing w:val="-4"/>
        </w:rPr>
        <w:t xml:space="preserve"> </w:t>
      </w:r>
      <w:r>
        <w:rPr>
          <w:b/>
          <w:i/>
        </w:rPr>
        <w:t>instruments</w:t>
      </w:r>
      <w:r>
        <w:rPr>
          <w:b/>
          <w:i/>
          <w:spacing w:val="-5"/>
        </w:rPr>
        <w:t xml:space="preserve"> </w:t>
      </w:r>
      <w:r>
        <w:rPr>
          <w:b/>
          <w:i/>
        </w:rPr>
        <w:t>–</w:t>
      </w:r>
      <w:r>
        <w:rPr>
          <w:b/>
          <w:i/>
          <w:spacing w:val="-5"/>
        </w:rPr>
        <w:t xml:space="preserve"> </w:t>
      </w:r>
      <w:r>
        <w:rPr>
          <w:b/>
          <w:i/>
        </w:rPr>
        <w:t>Auditing</w:t>
      </w:r>
      <w:r>
        <w:rPr>
          <w:b/>
          <w:i/>
          <w:spacing w:val="-4"/>
        </w:rPr>
        <w:t xml:space="preserve"> </w:t>
      </w:r>
      <w:r>
        <w:rPr>
          <w:b/>
          <w:i/>
        </w:rPr>
        <w:t>Standards</w:t>
      </w:r>
      <w:r>
        <w:rPr>
          <w:b/>
          <w:i/>
          <w:spacing w:val="-5"/>
        </w:rPr>
        <w:t xml:space="preserve"> </w:t>
      </w:r>
      <w:r>
        <w:rPr>
          <w:b/>
          <w:i/>
        </w:rPr>
        <w:t>made</w:t>
      </w:r>
      <w:r>
        <w:rPr>
          <w:b/>
          <w:i/>
          <w:spacing w:val="-6"/>
        </w:rPr>
        <w:t xml:space="preserve"> </w:t>
      </w:r>
      <w:r>
        <w:rPr>
          <w:b/>
          <w:i/>
        </w:rPr>
        <w:t>under</w:t>
      </w:r>
      <w:r>
        <w:rPr>
          <w:b/>
          <w:i/>
          <w:spacing w:val="-3"/>
        </w:rPr>
        <w:t xml:space="preserve"> </w:t>
      </w:r>
      <w:r>
        <w:rPr>
          <w:b/>
          <w:i/>
        </w:rPr>
        <w:t>the</w:t>
      </w:r>
      <w:r>
        <w:rPr>
          <w:b/>
          <w:i/>
          <w:spacing w:val="-4"/>
        </w:rPr>
        <w:t xml:space="preserve"> </w:t>
      </w:r>
      <w:r>
        <w:rPr>
          <w:b/>
          <w:i/>
        </w:rPr>
        <w:t>Corporations</w:t>
      </w:r>
      <w:r>
        <w:rPr>
          <w:b/>
          <w:i/>
          <w:spacing w:val="-3"/>
        </w:rPr>
        <w:t xml:space="preserve"> </w:t>
      </w:r>
      <w:r>
        <w:rPr>
          <w:b/>
          <w:i/>
          <w:spacing w:val="-5"/>
        </w:rPr>
        <w:t>Act</w:t>
      </w:r>
    </w:p>
    <w:p w14:paraId="1E805D05" w14:textId="77777777" w:rsidR="00AA4A02" w:rsidRDefault="00960F31">
      <w:pPr>
        <w:pStyle w:val="ListParagraph"/>
        <w:numPr>
          <w:ilvl w:val="0"/>
          <w:numId w:val="29"/>
        </w:numPr>
        <w:tabs>
          <w:tab w:val="left" w:pos="851"/>
        </w:tabs>
        <w:spacing w:before="191" w:line="208" w:lineRule="auto"/>
        <w:ind w:right="263"/>
        <w:rPr>
          <w:i/>
        </w:rPr>
      </w:pPr>
      <w:r>
        <w:t>Under</w:t>
      </w:r>
      <w:r>
        <w:rPr>
          <w:spacing w:val="-1"/>
        </w:rPr>
        <w:t xml:space="preserve"> </w:t>
      </w:r>
      <w:r>
        <w:t>section</w:t>
      </w:r>
      <w:r>
        <w:rPr>
          <w:spacing w:val="-5"/>
        </w:rPr>
        <w:t xml:space="preserve"> </w:t>
      </w:r>
      <w:r>
        <w:t>336</w:t>
      </w:r>
      <w:r>
        <w:rPr>
          <w:spacing w:val="-2"/>
        </w:rPr>
        <w:t xml:space="preserve"> </w:t>
      </w:r>
      <w:r>
        <w:t>of</w:t>
      </w:r>
      <w:r>
        <w:rPr>
          <w:spacing w:val="-2"/>
        </w:rPr>
        <w:t xml:space="preserve"> </w:t>
      </w:r>
      <w:r>
        <w:t>the Corporations</w:t>
      </w:r>
      <w:r>
        <w:rPr>
          <w:spacing w:val="-4"/>
        </w:rPr>
        <w:t xml:space="preserve"> </w:t>
      </w:r>
      <w:r>
        <w:t>Act,</w:t>
      </w:r>
      <w:r>
        <w:rPr>
          <w:spacing w:val="-5"/>
        </w:rPr>
        <w:t xml:space="preserve"> </w:t>
      </w:r>
      <w:r>
        <w:t>the</w:t>
      </w:r>
      <w:r>
        <w:rPr>
          <w:spacing w:val="-2"/>
        </w:rPr>
        <w:t xml:space="preserve"> </w:t>
      </w:r>
      <w:r>
        <w:t>AUASB</w:t>
      </w:r>
      <w:r>
        <w:rPr>
          <w:spacing w:val="-3"/>
        </w:rPr>
        <w:t xml:space="preserve"> </w:t>
      </w:r>
      <w:r>
        <w:t>may,</w:t>
      </w:r>
      <w:r>
        <w:rPr>
          <w:spacing w:val="-2"/>
        </w:rPr>
        <w:t xml:space="preserve"> </w:t>
      </w:r>
      <w:r>
        <w:t>by</w:t>
      </w:r>
      <w:r>
        <w:rPr>
          <w:spacing w:val="-2"/>
        </w:rPr>
        <w:t xml:space="preserve"> </w:t>
      </w:r>
      <w:r>
        <w:t>legislative</w:t>
      </w:r>
      <w:r>
        <w:rPr>
          <w:spacing w:val="-4"/>
        </w:rPr>
        <w:t xml:space="preserve"> </w:t>
      </w:r>
      <w:r>
        <w:t>instrument,</w:t>
      </w:r>
      <w:r>
        <w:rPr>
          <w:spacing w:val="-5"/>
        </w:rPr>
        <w:t xml:space="preserve"> </w:t>
      </w:r>
      <w:r>
        <w:t xml:space="preserve">make auditing standards for the purposes of the Corporations Act, which are legally enforceable. Legislative instruments are required to be developed in accordance with the </w:t>
      </w:r>
      <w:r>
        <w:rPr>
          <w:i/>
        </w:rPr>
        <w:t>Legislation</w:t>
      </w:r>
    </w:p>
    <w:p w14:paraId="1E805D06" w14:textId="77777777" w:rsidR="00AA4A02" w:rsidRDefault="00960F31">
      <w:pPr>
        <w:pStyle w:val="BodyText"/>
        <w:spacing w:line="208" w:lineRule="auto"/>
        <w:ind w:left="851"/>
      </w:pPr>
      <w:r>
        <w:rPr>
          <w:i/>
        </w:rPr>
        <w:t>Act</w:t>
      </w:r>
      <w:r>
        <w:rPr>
          <w:i/>
          <w:spacing w:val="-2"/>
        </w:rPr>
        <w:t xml:space="preserve"> </w:t>
      </w:r>
      <w:r>
        <w:rPr>
          <w:i/>
        </w:rPr>
        <w:t>2003</w:t>
      </w:r>
      <w:r>
        <w:t>,</w:t>
      </w:r>
      <w:r>
        <w:rPr>
          <w:spacing w:val="-3"/>
        </w:rPr>
        <w:t xml:space="preserve"> </w:t>
      </w:r>
      <w:r>
        <w:t>which</w:t>
      </w:r>
      <w:r>
        <w:rPr>
          <w:spacing w:val="-3"/>
        </w:rPr>
        <w:t xml:space="preserve"> </w:t>
      </w:r>
      <w:r>
        <w:t>deals</w:t>
      </w:r>
      <w:r>
        <w:rPr>
          <w:spacing w:val="-5"/>
        </w:rPr>
        <w:t xml:space="preserve"> </w:t>
      </w:r>
      <w:r>
        <w:t>with</w:t>
      </w:r>
      <w:r>
        <w:rPr>
          <w:spacing w:val="-4"/>
        </w:rPr>
        <w:t xml:space="preserve"> </w:t>
      </w:r>
      <w:r>
        <w:t>the</w:t>
      </w:r>
      <w:r>
        <w:rPr>
          <w:spacing w:val="-3"/>
        </w:rPr>
        <w:t xml:space="preserve"> </w:t>
      </w:r>
      <w:r>
        <w:t>commencement,</w:t>
      </w:r>
      <w:r>
        <w:rPr>
          <w:spacing w:val="-3"/>
        </w:rPr>
        <w:t xml:space="preserve"> </w:t>
      </w:r>
      <w:r>
        <w:t>interpretation</w:t>
      </w:r>
      <w:r>
        <w:rPr>
          <w:spacing w:val="-3"/>
        </w:rPr>
        <w:t xml:space="preserve"> </w:t>
      </w:r>
      <w:r>
        <w:t>and</w:t>
      </w:r>
      <w:r>
        <w:rPr>
          <w:spacing w:val="-6"/>
        </w:rPr>
        <w:t xml:space="preserve"> </w:t>
      </w:r>
      <w:r>
        <w:t>drafting</w:t>
      </w:r>
      <w:r>
        <w:rPr>
          <w:spacing w:val="-6"/>
        </w:rPr>
        <w:t xml:space="preserve"> </w:t>
      </w:r>
      <w:r>
        <w:t>standards</w:t>
      </w:r>
      <w:r>
        <w:rPr>
          <w:spacing w:val="-1"/>
        </w:rPr>
        <w:t xml:space="preserve"> </w:t>
      </w:r>
      <w:r>
        <w:t>for legislative instruments.</w:t>
      </w:r>
    </w:p>
    <w:p w14:paraId="1E805D07" w14:textId="77777777" w:rsidR="00AA4A02" w:rsidRDefault="00960F31">
      <w:pPr>
        <w:pStyle w:val="ListParagraph"/>
        <w:numPr>
          <w:ilvl w:val="0"/>
          <w:numId w:val="29"/>
        </w:numPr>
        <w:tabs>
          <w:tab w:val="left" w:pos="851"/>
        </w:tabs>
        <w:spacing w:before="200" w:line="208" w:lineRule="auto"/>
        <w:ind w:right="480"/>
      </w:pPr>
      <w:r>
        <w:t>As soon as is practicable after an auditing standard is approved (that is, ‘made’) by the AUASB,</w:t>
      </w:r>
      <w:r>
        <w:rPr>
          <w:spacing w:val="-2"/>
        </w:rPr>
        <w:t xml:space="preserve"> </w:t>
      </w:r>
      <w:r>
        <w:t>the</w:t>
      </w:r>
      <w:r>
        <w:rPr>
          <w:spacing w:val="-2"/>
        </w:rPr>
        <w:t xml:space="preserve"> </w:t>
      </w:r>
      <w:r>
        <w:t>standard</w:t>
      </w:r>
      <w:r>
        <w:rPr>
          <w:spacing w:val="-5"/>
        </w:rPr>
        <w:t xml:space="preserve"> </w:t>
      </w:r>
      <w:r>
        <w:t>is</w:t>
      </w:r>
      <w:r>
        <w:rPr>
          <w:spacing w:val="-1"/>
        </w:rPr>
        <w:t xml:space="preserve"> </w:t>
      </w:r>
      <w:r>
        <w:t>to</w:t>
      </w:r>
      <w:r>
        <w:rPr>
          <w:spacing w:val="-5"/>
        </w:rPr>
        <w:t xml:space="preserve"> </w:t>
      </w:r>
      <w:r>
        <w:t>be</w:t>
      </w:r>
      <w:r>
        <w:rPr>
          <w:spacing w:val="-2"/>
        </w:rPr>
        <w:t xml:space="preserve"> </w:t>
      </w:r>
      <w:r>
        <w:t>lodged</w:t>
      </w:r>
      <w:r>
        <w:rPr>
          <w:spacing w:val="-4"/>
        </w:rPr>
        <w:t xml:space="preserve"> </w:t>
      </w:r>
      <w:r>
        <w:t>for</w:t>
      </w:r>
      <w:r>
        <w:rPr>
          <w:spacing w:val="-4"/>
        </w:rPr>
        <w:t xml:space="preserve"> </w:t>
      </w:r>
      <w:r>
        <w:t>registration</w:t>
      </w:r>
      <w:r>
        <w:rPr>
          <w:spacing w:val="-1"/>
        </w:rPr>
        <w:t xml:space="preserve"> </w:t>
      </w:r>
      <w:r>
        <w:t>on</w:t>
      </w:r>
      <w:r>
        <w:rPr>
          <w:spacing w:val="-2"/>
        </w:rPr>
        <w:t xml:space="preserve"> </w:t>
      </w:r>
      <w:r>
        <w:t>the</w:t>
      </w:r>
      <w:r>
        <w:rPr>
          <w:spacing w:val="-2"/>
        </w:rPr>
        <w:t xml:space="preserve"> </w:t>
      </w:r>
      <w:r>
        <w:t>Federal</w:t>
      </w:r>
      <w:r>
        <w:rPr>
          <w:spacing w:val="-3"/>
        </w:rPr>
        <w:t xml:space="preserve"> </w:t>
      </w:r>
      <w:r>
        <w:t>Register</w:t>
      </w:r>
      <w:r>
        <w:rPr>
          <w:spacing w:val="-1"/>
        </w:rPr>
        <w:t xml:space="preserve"> </w:t>
      </w:r>
      <w:r>
        <w:t>of</w:t>
      </w:r>
      <w:r>
        <w:rPr>
          <w:spacing w:val="-2"/>
        </w:rPr>
        <w:t xml:space="preserve"> </w:t>
      </w:r>
      <w:r>
        <w:t>Legislation (FRL). To be legally enforceable, a standard must be registered.</w:t>
      </w:r>
    </w:p>
    <w:p w14:paraId="1E805D08" w14:textId="77777777" w:rsidR="00AA4A02" w:rsidRDefault="00960F31">
      <w:pPr>
        <w:pStyle w:val="ListParagraph"/>
        <w:numPr>
          <w:ilvl w:val="0"/>
          <w:numId w:val="29"/>
        </w:numPr>
        <w:tabs>
          <w:tab w:val="left" w:pos="851"/>
        </w:tabs>
        <w:spacing w:before="199" w:line="208" w:lineRule="auto"/>
        <w:ind w:right="141"/>
      </w:pPr>
      <w:r>
        <w:t>Legislative instruments made by the AUASB are disallowable instruments and are tabled in</w:t>
      </w:r>
      <w:r>
        <w:rPr>
          <w:spacing w:val="40"/>
        </w:rPr>
        <w:t xml:space="preserve"> </w:t>
      </w:r>
      <w:r>
        <w:t>the</w:t>
      </w:r>
      <w:r>
        <w:rPr>
          <w:spacing w:val="-3"/>
        </w:rPr>
        <w:t xml:space="preserve"> </w:t>
      </w:r>
      <w:r>
        <w:t>Houses</w:t>
      </w:r>
      <w:r>
        <w:rPr>
          <w:spacing w:val="-3"/>
        </w:rPr>
        <w:t xml:space="preserve"> </w:t>
      </w:r>
      <w:r>
        <w:t>of</w:t>
      </w:r>
      <w:r>
        <w:rPr>
          <w:spacing w:val="-3"/>
        </w:rPr>
        <w:t xml:space="preserve"> </w:t>
      </w:r>
      <w:r>
        <w:t>the</w:t>
      </w:r>
      <w:r>
        <w:rPr>
          <w:spacing w:val="-2"/>
        </w:rPr>
        <w:t xml:space="preserve"> </w:t>
      </w:r>
      <w:r>
        <w:t>Parliament</w:t>
      </w:r>
      <w:r>
        <w:rPr>
          <w:spacing w:val="-2"/>
        </w:rPr>
        <w:t xml:space="preserve"> </w:t>
      </w:r>
      <w:r>
        <w:t>for</w:t>
      </w:r>
      <w:r>
        <w:rPr>
          <w:spacing w:val="-3"/>
        </w:rPr>
        <w:t xml:space="preserve"> </w:t>
      </w:r>
      <w:r>
        <w:t>scrutiny</w:t>
      </w:r>
      <w:r>
        <w:rPr>
          <w:spacing w:val="-3"/>
        </w:rPr>
        <w:t xml:space="preserve"> </w:t>
      </w:r>
      <w:r>
        <w:t>and</w:t>
      </w:r>
      <w:r>
        <w:rPr>
          <w:spacing w:val="-5"/>
        </w:rPr>
        <w:t xml:space="preserve"> </w:t>
      </w:r>
      <w:r>
        <w:t>potential</w:t>
      </w:r>
      <w:r>
        <w:rPr>
          <w:spacing w:val="-5"/>
        </w:rPr>
        <w:t xml:space="preserve"> </w:t>
      </w:r>
      <w:r>
        <w:t>disallowance. The</w:t>
      </w:r>
      <w:r>
        <w:rPr>
          <w:spacing w:val="-3"/>
        </w:rPr>
        <w:t xml:space="preserve"> </w:t>
      </w:r>
      <w:r>
        <w:rPr>
          <w:i/>
        </w:rPr>
        <w:t>Legislation</w:t>
      </w:r>
      <w:r>
        <w:rPr>
          <w:i/>
          <w:spacing w:val="-3"/>
        </w:rPr>
        <w:t xml:space="preserve"> </w:t>
      </w:r>
      <w:r>
        <w:rPr>
          <w:i/>
        </w:rPr>
        <w:t>Act</w:t>
      </w:r>
      <w:r>
        <w:rPr>
          <w:i/>
          <w:spacing w:val="-1"/>
        </w:rPr>
        <w:t xml:space="preserve"> </w:t>
      </w:r>
      <w:r>
        <w:rPr>
          <w:i/>
        </w:rPr>
        <w:t xml:space="preserve">2003 </w:t>
      </w:r>
      <w:r>
        <w:t>outlines the process the AUASB must follow where a standard is disallowed.</w:t>
      </w:r>
    </w:p>
    <w:p w14:paraId="1E805D09" w14:textId="77777777" w:rsidR="00AA4A02" w:rsidRDefault="00960F31">
      <w:pPr>
        <w:pStyle w:val="ListParagraph"/>
        <w:numPr>
          <w:ilvl w:val="0"/>
          <w:numId w:val="29"/>
        </w:numPr>
        <w:tabs>
          <w:tab w:val="left" w:pos="851"/>
        </w:tabs>
        <w:spacing w:before="202" w:line="208" w:lineRule="auto"/>
        <w:ind w:right="577"/>
      </w:pPr>
      <w:r>
        <w:t>For</w:t>
      </w:r>
      <w:r>
        <w:rPr>
          <w:spacing w:val="-2"/>
        </w:rPr>
        <w:t xml:space="preserve"> </w:t>
      </w:r>
      <w:r>
        <w:t>audits</w:t>
      </w:r>
      <w:r>
        <w:rPr>
          <w:spacing w:val="-2"/>
        </w:rPr>
        <w:t xml:space="preserve"> </w:t>
      </w:r>
      <w:r>
        <w:t>or</w:t>
      </w:r>
      <w:r>
        <w:rPr>
          <w:spacing w:val="-3"/>
        </w:rPr>
        <w:t xml:space="preserve"> </w:t>
      </w:r>
      <w:r>
        <w:t>reviews</w:t>
      </w:r>
      <w:r>
        <w:rPr>
          <w:spacing w:val="-5"/>
        </w:rPr>
        <w:t xml:space="preserve"> </w:t>
      </w:r>
      <w:r>
        <w:t>of</w:t>
      </w:r>
      <w:r>
        <w:rPr>
          <w:spacing w:val="-4"/>
        </w:rPr>
        <w:t xml:space="preserve"> </w:t>
      </w:r>
      <w:r>
        <w:t>financial</w:t>
      </w:r>
      <w:r>
        <w:rPr>
          <w:spacing w:val="-4"/>
        </w:rPr>
        <w:t xml:space="preserve"> </w:t>
      </w:r>
      <w:r>
        <w:t>reports,</w:t>
      </w:r>
      <w:r>
        <w:rPr>
          <w:spacing w:val="-2"/>
        </w:rPr>
        <w:t xml:space="preserve"> </w:t>
      </w:r>
      <w:r>
        <w:t>the operative</w:t>
      </w:r>
      <w:r>
        <w:rPr>
          <w:spacing w:val="-4"/>
        </w:rPr>
        <w:t xml:space="preserve"> </w:t>
      </w:r>
      <w:r>
        <w:t>date</w:t>
      </w:r>
      <w:r>
        <w:rPr>
          <w:spacing w:val="-4"/>
        </w:rPr>
        <w:t xml:space="preserve"> </w:t>
      </w:r>
      <w:r>
        <w:t>of</w:t>
      </w:r>
      <w:r>
        <w:rPr>
          <w:spacing w:val="-4"/>
        </w:rPr>
        <w:t xml:space="preserve"> </w:t>
      </w:r>
      <w:r>
        <w:t>a</w:t>
      </w:r>
      <w:r>
        <w:rPr>
          <w:spacing w:val="-2"/>
        </w:rPr>
        <w:t xml:space="preserve"> </w:t>
      </w:r>
      <w:r>
        <w:t>standard</w:t>
      </w:r>
      <w:r>
        <w:rPr>
          <w:spacing w:val="-2"/>
        </w:rPr>
        <w:t xml:space="preserve"> </w:t>
      </w:r>
      <w:r>
        <w:t>will</w:t>
      </w:r>
      <w:r>
        <w:rPr>
          <w:spacing w:val="-4"/>
        </w:rPr>
        <w:t xml:space="preserve"> </w:t>
      </w:r>
      <w:r>
        <w:t>be</w:t>
      </w:r>
      <w:r>
        <w:rPr>
          <w:spacing w:val="-2"/>
        </w:rPr>
        <w:t xml:space="preserve"> </w:t>
      </w:r>
      <w:r>
        <w:t>stated</w:t>
      </w:r>
      <w:r>
        <w:rPr>
          <w:spacing w:val="-2"/>
        </w:rPr>
        <w:t xml:space="preserve"> </w:t>
      </w:r>
      <w:r>
        <w:t>as either in relation to the commencement or end of a financial reporting period.</w:t>
      </w:r>
    </w:p>
    <w:p w14:paraId="1E805D0A" w14:textId="77777777" w:rsidR="00AA4A02" w:rsidRDefault="00960F31">
      <w:pPr>
        <w:pStyle w:val="ListParagraph"/>
        <w:numPr>
          <w:ilvl w:val="0"/>
          <w:numId w:val="29"/>
        </w:numPr>
        <w:tabs>
          <w:tab w:val="left" w:pos="851"/>
        </w:tabs>
        <w:spacing w:before="199" w:line="208" w:lineRule="auto"/>
        <w:ind w:right="239"/>
      </w:pPr>
      <w:r>
        <w:t>The legal commencement date of an auditing standard is the day after the legislative instrument</w:t>
      </w:r>
      <w:r>
        <w:rPr>
          <w:spacing w:val="-2"/>
        </w:rPr>
        <w:t xml:space="preserve"> </w:t>
      </w:r>
      <w:r>
        <w:t>is</w:t>
      </w:r>
      <w:r>
        <w:rPr>
          <w:spacing w:val="-2"/>
        </w:rPr>
        <w:t xml:space="preserve"> </w:t>
      </w:r>
      <w:r>
        <w:t>registered</w:t>
      </w:r>
      <w:r>
        <w:rPr>
          <w:spacing w:val="-4"/>
        </w:rPr>
        <w:t xml:space="preserve"> </w:t>
      </w:r>
      <w:r>
        <w:t>on</w:t>
      </w:r>
      <w:r>
        <w:rPr>
          <w:spacing w:val="-5"/>
        </w:rPr>
        <w:t xml:space="preserve"> </w:t>
      </w:r>
      <w:r>
        <w:t>the</w:t>
      </w:r>
      <w:r>
        <w:rPr>
          <w:spacing w:val="-2"/>
        </w:rPr>
        <w:t xml:space="preserve"> </w:t>
      </w:r>
      <w:r>
        <w:t>FRL,</w:t>
      </w:r>
      <w:r>
        <w:rPr>
          <w:spacing w:val="-2"/>
        </w:rPr>
        <w:t xml:space="preserve"> </w:t>
      </w:r>
      <w:r>
        <w:t>unless</w:t>
      </w:r>
      <w:r>
        <w:rPr>
          <w:spacing w:val="-4"/>
        </w:rPr>
        <w:t xml:space="preserve"> </w:t>
      </w:r>
      <w:r>
        <w:t>explicitly</w:t>
      </w:r>
      <w:r>
        <w:rPr>
          <w:spacing w:val="-5"/>
        </w:rPr>
        <w:t xml:space="preserve"> </w:t>
      </w:r>
      <w:r>
        <w:t>stated</w:t>
      </w:r>
      <w:r>
        <w:rPr>
          <w:spacing w:val="-4"/>
        </w:rPr>
        <w:t xml:space="preserve"> </w:t>
      </w:r>
      <w:r>
        <w:t>otherwise.</w:t>
      </w:r>
      <w:r>
        <w:rPr>
          <w:spacing w:val="-2"/>
        </w:rPr>
        <w:t xml:space="preserve"> </w:t>
      </w:r>
      <w:r>
        <w:t>The</w:t>
      </w:r>
      <w:r>
        <w:rPr>
          <w:spacing w:val="-2"/>
        </w:rPr>
        <w:t xml:space="preserve"> </w:t>
      </w:r>
      <w:r>
        <w:t>operative</w:t>
      </w:r>
      <w:r>
        <w:rPr>
          <w:spacing w:val="-2"/>
        </w:rPr>
        <w:t xml:space="preserve"> </w:t>
      </w:r>
      <w:r>
        <w:t>date</w:t>
      </w:r>
      <w:r>
        <w:rPr>
          <w:spacing w:val="-2"/>
        </w:rPr>
        <w:t xml:space="preserve"> </w:t>
      </w:r>
      <w:r>
        <w:t>and legal commencement date of a standard may not align. Where the AUASB chooses to specifically state the legal commencement date of a standard, this is done through a separate</w:t>
      </w:r>
    </w:p>
    <w:p w14:paraId="1E805D0B" w14:textId="77777777" w:rsidR="00AA4A02" w:rsidRDefault="00960F31">
      <w:pPr>
        <w:pStyle w:val="BodyText"/>
        <w:spacing w:line="227" w:lineRule="exact"/>
        <w:ind w:left="851"/>
      </w:pPr>
      <w:r>
        <w:t>section</w:t>
      </w:r>
      <w:r>
        <w:rPr>
          <w:spacing w:val="-9"/>
        </w:rPr>
        <w:t xml:space="preserve"> </w:t>
      </w:r>
      <w:r>
        <w:t>in</w:t>
      </w:r>
      <w:r>
        <w:rPr>
          <w:spacing w:val="-6"/>
        </w:rPr>
        <w:t xml:space="preserve"> </w:t>
      </w:r>
      <w:r>
        <w:t>the</w:t>
      </w:r>
      <w:r>
        <w:rPr>
          <w:spacing w:val="-6"/>
        </w:rPr>
        <w:t xml:space="preserve"> </w:t>
      </w:r>
      <w:r>
        <w:t>standard</w:t>
      </w:r>
      <w:r>
        <w:rPr>
          <w:spacing w:val="-3"/>
        </w:rPr>
        <w:t xml:space="preserve"> </w:t>
      </w:r>
      <w:r>
        <w:t>titled</w:t>
      </w:r>
      <w:r>
        <w:rPr>
          <w:spacing w:val="-4"/>
        </w:rPr>
        <w:t xml:space="preserve"> </w:t>
      </w:r>
      <w:r>
        <w:t>“Commencement</w:t>
      </w:r>
      <w:r>
        <w:rPr>
          <w:spacing w:val="-2"/>
        </w:rPr>
        <w:t xml:space="preserve"> </w:t>
      </w:r>
      <w:r>
        <w:t>of</w:t>
      </w:r>
      <w:r>
        <w:rPr>
          <w:spacing w:val="-5"/>
        </w:rPr>
        <w:t xml:space="preserve"> </w:t>
      </w:r>
      <w:r>
        <w:t>the</w:t>
      </w:r>
      <w:r>
        <w:rPr>
          <w:spacing w:val="-4"/>
        </w:rPr>
        <w:t xml:space="preserve"> </w:t>
      </w:r>
      <w:r>
        <w:t>legislative</w:t>
      </w:r>
      <w:r>
        <w:rPr>
          <w:spacing w:val="-3"/>
        </w:rPr>
        <w:t xml:space="preserve"> </w:t>
      </w:r>
      <w:r>
        <w:rPr>
          <w:spacing w:val="-2"/>
        </w:rPr>
        <w:t>instrument”.</w:t>
      </w:r>
    </w:p>
    <w:p w14:paraId="1E805D0C" w14:textId="77777777" w:rsidR="00AA4A02" w:rsidRDefault="00AA4A02">
      <w:pPr>
        <w:pStyle w:val="BodyText"/>
        <w:spacing w:line="227" w:lineRule="exact"/>
        <w:sectPr w:rsidR="00AA4A02">
          <w:pgSz w:w="11910" w:h="16840"/>
          <w:pgMar w:top="1380" w:right="1275" w:bottom="1040" w:left="1275" w:header="689" w:footer="842" w:gutter="0"/>
          <w:cols w:space="720"/>
        </w:sectPr>
      </w:pPr>
    </w:p>
    <w:p w14:paraId="1E805D0D" w14:textId="77777777" w:rsidR="00AA4A02" w:rsidRDefault="00960F31">
      <w:pPr>
        <w:pStyle w:val="ListParagraph"/>
        <w:numPr>
          <w:ilvl w:val="0"/>
          <w:numId w:val="29"/>
        </w:numPr>
        <w:tabs>
          <w:tab w:val="left" w:pos="851"/>
        </w:tabs>
        <w:spacing w:before="219" w:line="208" w:lineRule="auto"/>
        <w:ind w:right="242"/>
      </w:pPr>
      <w:r>
        <w:lastRenderedPageBreak/>
        <w:t xml:space="preserve">When a new version of a standard is issued it repeals the previous version of the standard. Standard wording is included in the </w:t>
      </w:r>
      <w:r>
        <w:rPr>
          <w:i/>
        </w:rPr>
        <w:t xml:space="preserve">Preface </w:t>
      </w:r>
      <w:r>
        <w:t>of the revised standard to acknowledge this. A saving provision will be included in the repeal of the superseded standard to allow the standard to continue to apply under section 336 of the Corporations Act in relation to any reporting</w:t>
      </w:r>
      <w:r>
        <w:rPr>
          <w:spacing w:val="-2"/>
        </w:rPr>
        <w:t xml:space="preserve"> </w:t>
      </w:r>
      <w:r>
        <w:t>period</w:t>
      </w:r>
      <w:r>
        <w:rPr>
          <w:spacing w:val="-2"/>
        </w:rPr>
        <w:t xml:space="preserve"> </w:t>
      </w:r>
      <w:r>
        <w:t>ending</w:t>
      </w:r>
      <w:r>
        <w:rPr>
          <w:spacing w:val="-5"/>
        </w:rPr>
        <w:t xml:space="preserve"> </w:t>
      </w:r>
      <w:r>
        <w:t>before</w:t>
      </w:r>
      <w:r>
        <w:rPr>
          <w:spacing w:val="-4"/>
        </w:rPr>
        <w:t xml:space="preserve"> </w:t>
      </w:r>
      <w:r>
        <w:t>the</w:t>
      </w:r>
      <w:r>
        <w:rPr>
          <w:spacing w:val="-2"/>
        </w:rPr>
        <w:t xml:space="preserve"> </w:t>
      </w:r>
      <w:r>
        <w:t>operative</w:t>
      </w:r>
      <w:r>
        <w:rPr>
          <w:spacing w:val="-2"/>
        </w:rPr>
        <w:t xml:space="preserve"> </w:t>
      </w:r>
      <w:r>
        <w:t>date</w:t>
      </w:r>
      <w:r>
        <w:rPr>
          <w:spacing w:val="-4"/>
        </w:rPr>
        <w:t xml:space="preserve"> </w:t>
      </w:r>
      <w:r>
        <w:t>of</w:t>
      </w:r>
      <w:r>
        <w:rPr>
          <w:spacing w:val="-4"/>
        </w:rPr>
        <w:t xml:space="preserve"> </w:t>
      </w:r>
      <w:r>
        <w:t>the new</w:t>
      </w:r>
      <w:r>
        <w:rPr>
          <w:spacing w:val="-2"/>
        </w:rPr>
        <w:t xml:space="preserve"> </w:t>
      </w:r>
      <w:r>
        <w:t>principal</w:t>
      </w:r>
      <w:r>
        <w:rPr>
          <w:spacing w:val="-1"/>
        </w:rPr>
        <w:t xml:space="preserve"> </w:t>
      </w:r>
      <w:r>
        <w:t>version</w:t>
      </w:r>
      <w:r>
        <w:rPr>
          <w:spacing w:val="-2"/>
        </w:rPr>
        <w:t xml:space="preserve"> </w:t>
      </w:r>
      <w:r>
        <w:t>of</w:t>
      </w:r>
      <w:r>
        <w:rPr>
          <w:spacing w:val="-2"/>
        </w:rPr>
        <w:t xml:space="preserve"> </w:t>
      </w:r>
      <w:r>
        <w:t>the</w:t>
      </w:r>
      <w:r>
        <w:rPr>
          <w:spacing w:val="-2"/>
        </w:rPr>
        <w:t xml:space="preserve"> </w:t>
      </w:r>
      <w:r>
        <w:t>standard.</w:t>
      </w:r>
    </w:p>
    <w:p w14:paraId="1E805D0E" w14:textId="77777777" w:rsidR="00AA4A02" w:rsidRDefault="00960F31">
      <w:pPr>
        <w:pStyle w:val="ListParagraph"/>
        <w:numPr>
          <w:ilvl w:val="0"/>
          <w:numId w:val="29"/>
        </w:numPr>
        <w:tabs>
          <w:tab w:val="left" w:pos="851"/>
        </w:tabs>
        <w:spacing w:line="208" w:lineRule="auto"/>
        <w:ind w:right="349"/>
      </w:pPr>
      <w:r>
        <w:t>AUASB</w:t>
      </w:r>
      <w:r>
        <w:rPr>
          <w:spacing w:val="-4"/>
        </w:rPr>
        <w:t xml:space="preserve"> </w:t>
      </w:r>
      <w:r>
        <w:t>Standards</w:t>
      </w:r>
      <w:r>
        <w:rPr>
          <w:spacing w:val="-2"/>
        </w:rPr>
        <w:t xml:space="preserve"> </w:t>
      </w:r>
      <w:r>
        <w:t>not</w:t>
      </w:r>
      <w:r>
        <w:rPr>
          <w:spacing w:val="-4"/>
        </w:rPr>
        <w:t xml:space="preserve"> </w:t>
      </w:r>
      <w:r>
        <w:t>made</w:t>
      </w:r>
      <w:r>
        <w:rPr>
          <w:spacing w:val="-2"/>
        </w:rPr>
        <w:t xml:space="preserve"> </w:t>
      </w:r>
      <w:r>
        <w:t>under</w:t>
      </w:r>
      <w:r>
        <w:rPr>
          <w:spacing w:val="-2"/>
        </w:rPr>
        <w:t xml:space="preserve"> </w:t>
      </w:r>
      <w:r>
        <w:t>section</w:t>
      </w:r>
      <w:r>
        <w:rPr>
          <w:spacing w:val="-2"/>
        </w:rPr>
        <w:t xml:space="preserve"> </w:t>
      </w:r>
      <w:r>
        <w:t>336</w:t>
      </w:r>
      <w:r>
        <w:rPr>
          <w:spacing w:val="-2"/>
        </w:rPr>
        <w:t xml:space="preserve"> </w:t>
      </w:r>
      <w:r>
        <w:t>of</w:t>
      </w:r>
      <w:r>
        <w:rPr>
          <w:spacing w:val="-4"/>
        </w:rPr>
        <w:t xml:space="preserve"> </w:t>
      </w:r>
      <w:r>
        <w:t>the</w:t>
      </w:r>
      <w:r>
        <w:rPr>
          <w:spacing w:val="-7"/>
        </w:rPr>
        <w:t xml:space="preserve"> </w:t>
      </w:r>
      <w:r>
        <w:t>Corporations</w:t>
      </w:r>
      <w:r>
        <w:rPr>
          <w:spacing w:val="-2"/>
        </w:rPr>
        <w:t xml:space="preserve"> </w:t>
      </w:r>
      <w:r>
        <w:t>Act are</w:t>
      </w:r>
      <w:r>
        <w:rPr>
          <w:spacing w:val="-1"/>
        </w:rPr>
        <w:t xml:space="preserve"> </w:t>
      </w:r>
      <w:r>
        <w:t>not</w:t>
      </w:r>
      <w:r>
        <w:rPr>
          <w:spacing w:val="-4"/>
        </w:rPr>
        <w:t xml:space="preserve"> </w:t>
      </w:r>
      <w:r>
        <w:t>registered</w:t>
      </w:r>
      <w:r>
        <w:rPr>
          <w:spacing w:val="-2"/>
        </w:rPr>
        <w:t xml:space="preserve"> </w:t>
      </w:r>
      <w:r>
        <w:t>on the FRL.</w:t>
      </w:r>
    </w:p>
    <w:p w14:paraId="1E805D0F" w14:textId="77777777" w:rsidR="00AA4A02" w:rsidRDefault="00960F31">
      <w:pPr>
        <w:spacing w:before="174"/>
        <w:ind w:left="143"/>
        <w:rPr>
          <w:b/>
          <w:i/>
        </w:rPr>
      </w:pPr>
      <w:bookmarkStart w:id="97" w:name="Regulation_Impact_Assessments"/>
      <w:bookmarkEnd w:id="97"/>
      <w:r>
        <w:rPr>
          <w:b/>
          <w:i/>
        </w:rPr>
        <w:t>Regulation</w:t>
      </w:r>
      <w:r>
        <w:rPr>
          <w:b/>
          <w:i/>
          <w:spacing w:val="-7"/>
        </w:rPr>
        <w:t xml:space="preserve"> </w:t>
      </w:r>
      <w:r>
        <w:rPr>
          <w:b/>
          <w:i/>
        </w:rPr>
        <w:t>Impact</w:t>
      </w:r>
      <w:r>
        <w:rPr>
          <w:b/>
          <w:i/>
          <w:spacing w:val="-2"/>
        </w:rPr>
        <w:t xml:space="preserve"> Assessments</w:t>
      </w:r>
    </w:p>
    <w:p w14:paraId="1E805D10" w14:textId="77777777" w:rsidR="00AA4A02" w:rsidRDefault="00960F31">
      <w:pPr>
        <w:pStyle w:val="ListParagraph"/>
        <w:numPr>
          <w:ilvl w:val="0"/>
          <w:numId w:val="29"/>
        </w:numPr>
        <w:tabs>
          <w:tab w:val="left" w:pos="851"/>
        </w:tabs>
        <w:spacing w:before="194" w:line="208" w:lineRule="auto"/>
        <w:ind w:right="591"/>
      </w:pPr>
      <w:r>
        <w:t>Legislative</w:t>
      </w:r>
      <w:r>
        <w:rPr>
          <w:spacing w:val="-2"/>
        </w:rPr>
        <w:t xml:space="preserve"> </w:t>
      </w:r>
      <w:r>
        <w:t>instruments</w:t>
      </w:r>
      <w:r>
        <w:rPr>
          <w:spacing w:val="-3"/>
        </w:rPr>
        <w:t xml:space="preserve"> </w:t>
      </w:r>
      <w:r>
        <w:t>are</w:t>
      </w:r>
      <w:r>
        <w:rPr>
          <w:spacing w:val="-5"/>
        </w:rPr>
        <w:t xml:space="preserve"> </w:t>
      </w:r>
      <w:r>
        <w:t>subject</w:t>
      </w:r>
      <w:r>
        <w:rPr>
          <w:spacing w:val="-5"/>
        </w:rPr>
        <w:t xml:space="preserve"> </w:t>
      </w:r>
      <w:r>
        <w:t>to</w:t>
      </w:r>
      <w:r>
        <w:rPr>
          <w:spacing w:val="-3"/>
        </w:rPr>
        <w:t xml:space="preserve"> </w:t>
      </w:r>
      <w:r>
        <w:t>additional</w:t>
      </w:r>
      <w:r>
        <w:rPr>
          <w:spacing w:val="-2"/>
        </w:rPr>
        <w:t xml:space="preserve"> </w:t>
      </w:r>
      <w:r>
        <w:t>due</w:t>
      </w:r>
      <w:r>
        <w:rPr>
          <w:spacing w:val="-5"/>
        </w:rPr>
        <w:t xml:space="preserve"> </w:t>
      </w:r>
      <w:r>
        <w:t>process</w:t>
      </w:r>
      <w:r>
        <w:rPr>
          <w:spacing w:val="-5"/>
        </w:rPr>
        <w:t xml:space="preserve"> </w:t>
      </w:r>
      <w:r>
        <w:t>requirements</w:t>
      </w:r>
      <w:r>
        <w:rPr>
          <w:spacing w:val="-5"/>
        </w:rPr>
        <w:t xml:space="preserve"> </w:t>
      </w:r>
      <w:r>
        <w:t>imposed</w:t>
      </w:r>
      <w:r>
        <w:rPr>
          <w:spacing w:val="-3"/>
        </w:rPr>
        <w:t xml:space="preserve"> </w:t>
      </w:r>
      <w:r>
        <w:t>by</w:t>
      </w:r>
      <w:r>
        <w:rPr>
          <w:spacing w:val="-3"/>
        </w:rPr>
        <w:t xml:space="preserve"> </w:t>
      </w:r>
      <w:r>
        <w:t xml:space="preserve">the Australian Government. This includes the requirement to undertake a regulatory impact </w:t>
      </w:r>
      <w:r>
        <w:rPr>
          <w:spacing w:val="-2"/>
        </w:rPr>
        <w:t>assessment.</w:t>
      </w:r>
    </w:p>
    <w:p w14:paraId="1E805D11" w14:textId="77777777" w:rsidR="00AA4A02" w:rsidRDefault="00960F31">
      <w:pPr>
        <w:pStyle w:val="ListParagraph"/>
        <w:numPr>
          <w:ilvl w:val="0"/>
          <w:numId w:val="29"/>
        </w:numPr>
        <w:tabs>
          <w:tab w:val="left" w:pos="851"/>
        </w:tabs>
        <w:spacing w:before="199" w:line="208" w:lineRule="auto"/>
        <w:ind w:right="255"/>
      </w:pP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Australian</w:t>
      </w:r>
      <w:r>
        <w:rPr>
          <w:spacing w:val="-3"/>
        </w:rPr>
        <w:t xml:space="preserve"> </w:t>
      </w:r>
      <w:r>
        <w:t>Government’s</w:t>
      </w:r>
      <w:r>
        <w:rPr>
          <w:spacing w:val="-5"/>
        </w:rPr>
        <w:t xml:space="preserve"> </w:t>
      </w:r>
      <w:r>
        <w:t>best</w:t>
      </w:r>
      <w:r>
        <w:rPr>
          <w:spacing w:val="-2"/>
        </w:rPr>
        <w:t xml:space="preserve"> </w:t>
      </w:r>
      <w:r>
        <w:t>practice</w:t>
      </w:r>
      <w:r>
        <w:rPr>
          <w:spacing w:val="-3"/>
        </w:rPr>
        <w:t xml:space="preserve"> </w:t>
      </w:r>
      <w:r>
        <w:t>regulation</w:t>
      </w:r>
      <w:r>
        <w:rPr>
          <w:spacing w:val="-6"/>
        </w:rPr>
        <w:t xml:space="preserve"> </w:t>
      </w:r>
      <w:r>
        <w:t>requirements,</w:t>
      </w:r>
      <w:r>
        <w:rPr>
          <w:spacing w:val="-5"/>
        </w:rPr>
        <w:t xml:space="preserve"> </w:t>
      </w:r>
      <w:r>
        <w:t>and</w:t>
      </w:r>
      <w:r>
        <w:rPr>
          <w:spacing w:val="-5"/>
        </w:rPr>
        <w:t xml:space="preserve"> </w:t>
      </w:r>
      <w:r>
        <w:t>in the</w:t>
      </w:r>
      <w:r>
        <w:rPr>
          <w:spacing w:val="-1"/>
        </w:rPr>
        <w:t xml:space="preserve"> </w:t>
      </w:r>
      <w:r>
        <w:t>context</w:t>
      </w:r>
      <w:r>
        <w:rPr>
          <w:spacing w:val="-3"/>
        </w:rPr>
        <w:t xml:space="preserve"> </w:t>
      </w:r>
      <w:r>
        <w:t>of</w:t>
      </w:r>
      <w:r>
        <w:rPr>
          <w:spacing w:val="-3"/>
        </w:rPr>
        <w:t xml:space="preserve"> </w:t>
      </w:r>
      <w:r>
        <w:t>its</w:t>
      </w:r>
      <w:r>
        <w:rPr>
          <w:spacing w:val="-3"/>
        </w:rPr>
        <w:t xml:space="preserve"> </w:t>
      </w:r>
      <w:r>
        <w:t>legislative</w:t>
      </w:r>
      <w:r>
        <w:rPr>
          <w:spacing w:val="-3"/>
        </w:rPr>
        <w:t xml:space="preserve"> </w:t>
      </w:r>
      <w:r>
        <w:t>mandate,</w:t>
      </w:r>
      <w:r>
        <w:rPr>
          <w:spacing w:val="-1"/>
        </w:rPr>
        <w:t xml:space="preserve"> </w:t>
      </w:r>
      <w:r>
        <w:t>the</w:t>
      </w:r>
      <w:r>
        <w:rPr>
          <w:spacing w:val="-1"/>
        </w:rPr>
        <w:t xml:space="preserve"> </w:t>
      </w:r>
      <w:r>
        <w:t>AUASB</w:t>
      </w:r>
      <w:r>
        <w:rPr>
          <w:spacing w:val="-3"/>
        </w:rPr>
        <w:t xml:space="preserve"> </w:t>
      </w:r>
      <w:r>
        <w:t>is</w:t>
      </w:r>
      <w:r>
        <w:rPr>
          <w:spacing w:val="-3"/>
        </w:rPr>
        <w:t xml:space="preserve"> </w:t>
      </w:r>
      <w:r>
        <w:t>required</w:t>
      </w:r>
      <w:r>
        <w:rPr>
          <w:spacing w:val="-1"/>
        </w:rPr>
        <w:t xml:space="preserve"> </w:t>
      </w:r>
      <w:r>
        <w:t>to</w:t>
      </w:r>
      <w:r>
        <w:rPr>
          <w:spacing w:val="-1"/>
        </w:rPr>
        <w:t xml:space="preserve"> </w:t>
      </w:r>
      <w:r>
        <w:t>consider carefully</w:t>
      </w:r>
      <w:r>
        <w:rPr>
          <w:spacing w:val="-4"/>
        </w:rPr>
        <w:t xml:space="preserve"> </w:t>
      </w:r>
      <w:r>
        <w:t>the</w:t>
      </w:r>
      <w:r>
        <w:rPr>
          <w:spacing w:val="-3"/>
        </w:rPr>
        <w:t xml:space="preserve"> </w:t>
      </w:r>
      <w:r>
        <w:t>impact of proposed regulation, including costs that may be incurred by business and the community. For the purposes of this section, regulation may be defined as “any rule endorsed by government where there is an expectation of compliance”, which captures all new or revised auditing and assurance pronouncements.</w:t>
      </w:r>
    </w:p>
    <w:p w14:paraId="1E805D12" w14:textId="77777777" w:rsidR="00AA4A02" w:rsidRDefault="00960F31">
      <w:pPr>
        <w:pStyle w:val="ListParagraph"/>
        <w:numPr>
          <w:ilvl w:val="0"/>
          <w:numId w:val="29"/>
        </w:numPr>
        <w:tabs>
          <w:tab w:val="left" w:pos="851"/>
        </w:tabs>
        <w:spacing w:before="199" w:line="208" w:lineRule="auto"/>
        <w:ind w:right="226"/>
      </w:pPr>
      <w:r>
        <w:t>Before issuing new or revised AUASB Standards or Guidance Statements, the AUASB undertakes</w:t>
      </w:r>
      <w:r>
        <w:rPr>
          <w:spacing w:val="-2"/>
        </w:rPr>
        <w:t xml:space="preserve"> </w:t>
      </w:r>
      <w:r>
        <w:t>a</w:t>
      </w:r>
      <w:r>
        <w:rPr>
          <w:spacing w:val="-4"/>
        </w:rPr>
        <w:t xml:space="preserve"> </w:t>
      </w:r>
      <w:r>
        <w:t>preliminary</w:t>
      </w:r>
      <w:r>
        <w:rPr>
          <w:spacing w:val="-1"/>
        </w:rPr>
        <w:t xml:space="preserve"> </w:t>
      </w:r>
      <w:r>
        <w:t>assessment</w:t>
      </w:r>
      <w:r>
        <w:rPr>
          <w:spacing w:val="-1"/>
        </w:rPr>
        <w:t xml:space="preserve"> </w:t>
      </w:r>
      <w:r>
        <w:t>of</w:t>
      </w:r>
      <w:r>
        <w:rPr>
          <w:spacing w:val="-2"/>
        </w:rPr>
        <w:t xml:space="preserve"> </w:t>
      </w:r>
      <w:r>
        <w:t>the</w:t>
      </w:r>
      <w:r>
        <w:rPr>
          <w:spacing w:val="-2"/>
        </w:rPr>
        <w:t xml:space="preserve"> </w:t>
      </w:r>
      <w:r>
        <w:t>impact</w:t>
      </w:r>
      <w:r>
        <w:rPr>
          <w:spacing w:val="-4"/>
        </w:rPr>
        <w:t xml:space="preserve"> </w:t>
      </w:r>
      <w:r>
        <w:t>of</w:t>
      </w:r>
      <w:r>
        <w:rPr>
          <w:spacing w:val="-4"/>
        </w:rPr>
        <w:t xml:space="preserve"> </w:t>
      </w:r>
      <w:r>
        <w:t>the</w:t>
      </w:r>
      <w:r>
        <w:rPr>
          <w:spacing w:val="-2"/>
        </w:rPr>
        <w:t xml:space="preserve"> </w:t>
      </w:r>
      <w:r>
        <w:t>proposed</w:t>
      </w:r>
      <w:r>
        <w:rPr>
          <w:spacing w:val="-5"/>
        </w:rPr>
        <w:t xml:space="preserve"> </w:t>
      </w:r>
      <w:r>
        <w:t>regulation</w:t>
      </w:r>
      <w:r>
        <w:rPr>
          <w:spacing w:val="-2"/>
        </w:rPr>
        <w:t xml:space="preserve"> </w:t>
      </w:r>
      <w:r>
        <w:t>by</w:t>
      </w:r>
      <w:r>
        <w:rPr>
          <w:spacing w:val="-5"/>
        </w:rPr>
        <w:t xml:space="preserve"> </w:t>
      </w:r>
      <w:r>
        <w:t>completing</w:t>
      </w:r>
      <w:r>
        <w:rPr>
          <w:spacing w:val="-5"/>
        </w:rPr>
        <w:t xml:space="preserve"> </w:t>
      </w:r>
      <w:r>
        <w:t xml:space="preserve">a </w:t>
      </w:r>
      <w:r>
        <w:rPr>
          <w:i/>
        </w:rPr>
        <w:t xml:space="preserve">Regulation Impact Assessment </w:t>
      </w:r>
      <w:r>
        <w:t>(RIA).</w:t>
      </w:r>
    </w:p>
    <w:p w14:paraId="1E805D13" w14:textId="77777777" w:rsidR="00AA4A02" w:rsidRDefault="00960F31">
      <w:pPr>
        <w:pStyle w:val="ListParagraph"/>
        <w:numPr>
          <w:ilvl w:val="0"/>
          <w:numId w:val="29"/>
        </w:numPr>
        <w:tabs>
          <w:tab w:val="left" w:pos="851"/>
        </w:tabs>
        <w:spacing w:line="208" w:lineRule="auto"/>
        <w:ind w:right="162"/>
      </w:pPr>
      <w:r>
        <w:t>Where the preliminary assessment indicates that a new or revised pronouncement is likely to have</w:t>
      </w:r>
      <w:r>
        <w:rPr>
          <w:spacing w:val="-2"/>
        </w:rPr>
        <w:t xml:space="preserve"> </w:t>
      </w:r>
      <w:r>
        <w:t>a</w:t>
      </w:r>
      <w:r>
        <w:rPr>
          <w:spacing w:val="-4"/>
        </w:rPr>
        <w:t xml:space="preserve"> </w:t>
      </w:r>
      <w:r>
        <w:t>substantive</w:t>
      </w:r>
      <w:r>
        <w:rPr>
          <w:spacing w:val="-4"/>
        </w:rPr>
        <w:t xml:space="preserve"> </w:t>
      </w:r>
      <w:r>
        <w:t>impact</w:t>
      </w:r>
      <w:r>
        <w:rPr>
          <w:spacing w:val="-1"/>
        </w:rPr>
        <w:t xml:space="preserve"> </w:t>
      </w:r>
      <w:r>
        <w:t>on</w:t>
      </w:r>
      <w:r>
        <w:rPr>
          <w:spacing w:val="-2"/>
        </w:rPr>
        <w:t xml:space="preserve"> </w:t>
      </w:r>
      <w:r>
        <w:t>business</w:t>
      </w:r>
      <w:r>
        <w:rPr>
          <w:spacing w:val="-2"/>
        </w:rPr>
        <w:t xml:space="preserve"> </w:t>
      </w:r>
      <w:r>
        <w:t>or</w:t>
      </w:r>
      <w:r>
        <w:rPr>
          <w:spacing w:val="-4"/>
        </w:rPr>
        <w:t xml:space="preserve"> </w:t>
      </w:r>
      <w:r>
        <w:t>the</w:t>
      </w:r>
      <w:r>
        <w:rPr>
          <w:spacing w:val="-4"/>
        </w:rPr>
        <w:t xml:space="preserve"> </w:t>
      </w:r>
      <w:r>
        <w:t>community, technical</w:t>
      </w:r>
      <w:r>
        <w:rPr>
          <w:spacing w:val="-3"/>
        </w:rPr>
        <w:t xml:space="preserve"> </w:t>
      </w:r>
      <w:r>
        <w:t>staff</w:t>
      </w:r>
      <w:r>
        <w:rPr>
          <w:spacing w:val="-1"/>
        </w:rPr>
        <w:t xml:space="preserve"> </w:t>
      </w:r>
      <w:r>
        <w:t>are</w:t>
      </w:r>
      <w:r>
        <w:rPr>
          <w:spacing w:val="-1"/>
        </w:rPr>
        <w:t xml:space="preserve"> </w:t>
      </w:r>
      <w:r>
        <w:t>required</w:t>
      </w:r>
      <w:r>
        <w:rPr>
          <w:spacing w:val="-2"/>
        </w:rPr>
        <w:t xml:space="preserve"> </w:t>
      </w:r>
      <w:r>
        <w:t>to</w:t>
      </w:r>
      <w:r>
        <w:rPr>
          <w:spacing w:val="-5"/>
        </w:rPr>
        <w:t xml:space="preserve"> </w:t>
      </w:r>
      <w:r>
        <w:t>consult with the Office of Best Practice Regulation (OBPR) to determine whether further analysis is required.</w:t>
      </w:r>
      <w:r>
        <w:rPr>
          <w:spacing w:val="40"/>
        </w:rPr>
        <w:t xml:space="preserve"> </w:t>
      </w:r>
      <w:r>
        <w:t xml:space="preserve">In some instances, a </w:t>
      </w:r>
      <w:r>
        <w:rPr>
          <w:i/>
        </w:rPr>
        <w:t xml:space="preserve">Regulation Impact Statement </w:t>
      </w:r>
      <w:r>
        <w:t>(RIS) may be necessary.</w:t>
      </w:r>
    </w:p>
    <w:p w14:paraId="1E805D14" w14:textId="77777777" w:rsidR="00AA4A02" w:rsidRDefault="00960F31">
      <w:pPr>
        <w:pStyle w:val="ListParagraph"/>
        <w:numPr>
          <w:ilvl w:val="0"/>
          <w:numId w:val="29"/>
        </w:numPr>
        <w:tabs>
          <w:tab w:val="left" w:pos="851"/>
        </w:tabs>
        <w:spacing w:before="200" w:line="208" w:lineRule="auto"/>
        <w:ind w:right="385"/>
      </w:pPr>
      <w:r>
        <w:t>A RIS involves a more detailed consideration of the various options available to address a stated</w:t>
      </w:r>
      <w:r>
        <w:rPr>
          <w:spacing w:val="-3"/>
        </w:rPr>
        <w:t xml:space="preserve"> </w:t>
      </w:r>
      <w:r>
        <w:t>issue</w:t>
      </w:r>
      <w:r>
        <w:rPr>
          <w:spacing w:val="-1"/>
        </w:rPr>
        <w:t xml:space="preserve"> </w:t>
      </w:r>
      <w:r>
        <w:t>or</w:t>
      </w:r>
      <w:r>
        <w:rPr>
          <w:spacing w:val="-1"/>
        </w:rPr>
        <w:t xml:space="preserve"> </w:t>
      </w:r>
      <w:r>
        <w:t>problem,</w:t>
      </w:r>
      <w:r>
        <w:rPr>
          <w:spacing w:val="-4"/>
        </w:rPr>
        <w:t xml:space="preserve"> </w:t>
      </w:r>
      <w:r>
        <w:t>including both</w:t>
      </w:r>
      <w:r>
        <w:rPr>
          <w:spacing w:val="-1"/>
        </w:rPr>
        <w:t xml:space="preserve"> </w:t>
      </w:r>
      <w:r>
        <w:t>regulatory</w:t>
      </w:r>
      <w:r>
        <w:rPr>
          <w:spacing w:val="-4"/>
        </w:rPr>
        <w:t xml:space="preserve"> </w:t>
      </w:r>
      <w:r>
        <w:t>and</w:t>
      </w:r>
      <w:r>
        <w:rPr>
          <w:spacing w:val="-3"/>
        </w:rPr>
        <w:t xml:space="preserve"> </w:t>
      </w:r>
      <w:r>
        <w:t>non-regulatory</w:t>
      </w:r>
      <w:r>
        <w:rPr>
          <w:spacing w:val="-1"/>
        </w:rPr>
        <w:t xml:space="preserve"> </w:t>
      </w:r>
      <w:r>
        <w:t>options,</w:t>
      </w:r>
      <w:r>
        <w:rPr>
          <w:spacing w:val="-3"/>
        </w:rPr>
        <w:t xml:space="preserve"> </w:t>
      </w:r>
      <w:r>
        <w:t>together</w:t>
      </w:r>
      <w:r>
        <w:rPr>
          <w:spacing w:val="-1"/>
        </w:rPr>
        <w:t xml:space="preserve"> </w:t>
      </w:r>
      <w:r>
        <w:t>with the likely benefits and costs to stakeholders under each option.</w:t>
      </w:r>
      <w:r>
        <w:rPr>
          <w:spacing w:val="40"/>
        </w:rPr>
        <w:t xml:space="preserve"> </w:t>
      </w:r>
      <w:r>
        <w:t>A RIS also documents the consultation processes involved in the development of a new pronouncement.</w:t>
      </w:r>
      <w:r>
        <w:rPr>
          <w:spacing w:val="40"/>
        </w:rPr>
        <w:t xml:space="preserve"> </w:t>
      </w:r>
      <w:r>
        <w:t>It provides a clear</w:t>
      </w:r>
      <w:r>
        <w:rPr>
          <w:spacing w:val="-2"/>
        </w:rPr>
        <w:t xml:space="preserve"> </w:t>
      </w:r>
      <w:r>
        <w:t>statement</w:t>
      </w:r>
      <w:r>
        <w:rPr>
          <w:spacing w:val="-2"/>
        </w:rPr>
        <w:t xml:space="preserve"> </w:t>
      </w:r>
      <w:r>
        <w:t>of</w:t>
      </w:r>
      <w:r>
        <w:rPr>
          <w:spacing w:val="-5"/>
        </w:rPr>
        <w:t xml:space="preserve"> </w:t>
      </w:r>
      <w:r>
        <w:t>the</w:t>
      </w:r>
      <w:r>
        <w:rPr>
          <w:spacing w:val="-3"/>
        </w:rPr>
        <w:t xml:space="preserve"> </w:t>
      </w:r>
      <w:r>
        <w:t>conclusions</w:t>
      </w:r>
      <w:r>
        <w:rPr>
          <w:spacing w:val="-3"/>
        </w:rPr>
        <w:t xml:space="preserve"> </w:t>
      </w:r>
      <w:r>
        <w:t>reached,</w:t>
      </w:r>
      <w:r>
        <w:rPr>
          <w:spacing w:val="-3"/>
        </w:rPr>
        <w:t xml:space="preserve"> </w:t>
      </w:r>
      <w:r>
        <w:t>the</w:t>
      </w:r>
      <w:r>
        <w:rPr>
          <w:spacing w:val="-5"/>
        </w:rPr>
        <w:t xml:space="preserve"> </w:t>
      </w:r>
      <w:r>
        <w:t>recommended</w:t>
      </w:r>
      <w:r>
        <w:rPr>
          <w:spacing w:val="-3"/>
        </w:rPr>
        <w:t xml:space="preserve"> </w:t>
      </w:r>
      <w:r>
        <w:t>option,</w:t>
      </w:r>
      <w:r>
        <w:rPr>
          <w:spacing w:val="-3"/>
        </w:rPr>
        <w:t xml:space="preserve"> </w:t>
      </w:r>
      <w:r>
        <w:t>a</w:t>
      </w:r>
      <w:r>
        <w:rPr>
          <w:spacing w:val="-5"/>
        </w:rPr>
        <w:t xml:space="preserve"> </w:t>
      </w:r>
      <w:r>
        <w:t>review</w:t>
      </w:r>
      <w:r>
        <w:rPr>
          <w:spacing w:val="-3"/>
        </w:rPr>
        <w:t xml:space="preserve"> </w:t>
      </w:r>
      <w:r>
        <w:t>of</w:t>
      </w:r>
      <w:r>
        <w:rPr>
          <w:spacing w:val="-3"/>
        </w:rPr>
        <w:t xml:space="preserve"> </w:t>
      </w:r>
      <w:r>
        <w:t>that</w:t>
      </w:r>
      <w:r>
        <w:rPr>
          <w:spacing w:val="-2"/>
        </w:rPr>
        <w:t xml:space="preserve"> </w:t>
      </w:r>
      <w:r>
        <w:t>option and a plan for implementation.</w:t>
      </w:r>
    </w:p>
    <w:p w14:paraId="1E805D15" w14:textId="77777777" w:rsidR="00AA4A02" w:rsidRDefault="00960F31">
      <w:pPr>
        <w:pStyle w:val="ListParagraph"/>
        <w:numPr>
          <w:ilvl w:val="0"/>
          <w:numId w:val="29"/>
        </w:numPr>
        <w:tabs>
          <w:tab w:val="left" w:pos="851"/>
        </w:tabs>
        <w:spacing w:before="199" w:line="208" w:lineRule="auto"/>
        <w:ind w:right="994"/>
      </w:pPr>
      <w:r>
        <w:t>Completion</w:t>
      </w:r>
      <w:r>
        <w:rPr>
          <w:spacing w:val="-2"/>
        </w:rPr>
        <w:t xml:space="preserve"> </w:t>
      </w:r>
      <w:r>
        <w:t>of</w:t>
      </w:r>
      <w:r>
        <w:rPr>
          <w:spacing w:val="-2"/>
        </w:rPr>
        <w:t xml:space="preserve"> </w:t>
      </w:r>
      <w:r>
        <w:t>the</w:t>
      </w:r>
      <w:r>
        <w:rPr>
          <w:spacing w:val="-2"/>
        </w:rPr>
        <w:t xml:space="preserve"> </w:t>
      </w:r>
      <w:r>
        <w:t>RIA</w:t>
      </w:r>
      <w:r>
        <w:rPr>
          <w:spacing w:val="-3"/>
        </w:rPr>
        <w:t xml:space="preserve"> </w:t>
      </w:r>
      <w:r>
        <w:t>or</w:t>
      </w:r>
      <w:r>
        <w:rPr>
          <w:spacing w:val="-4"/>
        </w:rPr>
        <w:t xml:space="preserve"> </w:t>
      </w:r>
      <w:r>
        <w:t>RIS</w:t>
      </w:r>
      <w:r>
        <w:rPr>
          <w:spacing w:val="-2"/>
        </w:rPr>
        <w:t xml:space="preserve"> </w:t>
      </w:r>
      <w:r>
        <w:t>documentation</w:t>
      </w:r>
      <w:r>
        <w:rPr>
          <w:spacing w:val="-2"/>
        </w:rPr>
        <w:t xml:space="preserve"> </w:t>
      </w:r>
      <w:r>
        <w:t>and</w:t>
      </w:r>
      <w:r>
        <w:rPr>
          <w:spacing w:val="-4"/>
        </w:rPr>
        <w:t xml:space="preserve"> </w:t>
      </w:r>
      <w:r>
        <w:t>any</w:t>
      </w:r>
      <w:r>
        <w:rPr>
          <w:spacing w:val="-4"/>
        </w:rPr>
        <w:t xml:space="preserve"> </w:t>
      </w:r>
      <w:r>
        <w:t>consultation</w:t>
      </w:r>
      <w:r>
        <w:rPr>
          <w:spacing w:val="-2"/>
        </w:rPr>
        <w:t xml:space="preserve"> </w:t>
      </w:r>
      <w:r>
        <w:t>with</w:t>
      </w:r>
      <w:r>
        <w:rPr>
          <w:spacing w:val="-5"/>
        </w:rPr>
        <w:t xml:space="preserve"> </w:t>
      </w:r>
      <w:r>
        <w:t>the</w:t>
      </w:r>
      <w:r>
        <w:rPr>
          <w:spacing w:val="-2"/>
        </w:rPr>
        <w:t xml:space="preserve"> </w:t>
      </w:r>
      <w:r>
        <w:t>OBPR</w:t>
      </w:r>
      <w:r>
        <w:rPr>
          <w:spacing w:val="-3"/>
        </w:rPr>
        <w:t xml:space="preserve"> </w:t>
      </w:r>
      <w:r>
        <w:t>is undertaken by technical staff.</w:t>
      </w:r>
    </w:p>
    <w:p w14:paraId="1E805D16" w14:textId="77777777" w:rsidR="00AA4A02" w:rsidRDefault="00960F31">
      <w:pPr>
        <w:pStyle w:val="ListParagraph"/>
        <w:numPr>
          <w:ilvl w:val="0"/>
          <w:numId w:val="29"/>
        </w:numPr>
        <w:tabs>
          <w:tab w:val="left" w:pos="851"/>
        </w:tabs>
        <w:spacing w:line="208" w:lineRule="auto"/>
        <w:ind w:right="261"/>
      </w:pPr>
      <w:r>
        <w:t>Technical staff confirm that the appropriate regulatory impact assessment relating to each AUASB pronouncement (as applicable) has been obtained (that is, the RIA and, where required,</w:t>
      </w:r>
      <w:r>
        <w:rPr>
          <w:spacing w:val="-2"/>
        </w:rPr>
        <w:t xml:space="preserve"> </w:t>
      </w:r>
      <w:r>
        <w:t>a</w:t>
      </w:r>
      <w:r>
        <w:rPr>
          <w:spacing w:val="-2"/>
        </w:rPr>
        <w:t xml:space="preserve"> </w:t>
      </w:r>
      <w:r>
        <w:t>RIS)</w:t>
      </w:r>
      <w:r>
        <w:rPr>
          <w:spacing w:val="-2"/>
        </w:rPr>
        <w:t xml:space="preserve"> </w:t>
      </w:r>
      <w:r>
        <w:t>before</w:t>
      </w:r>
      <w:r>
        <w:rPr>
          <w:spacing w:val="-2"/>
        </w:rPr>
        <w:t xml:space="preserve"> </w:t>
      </w:r>
      <w:r>
        <w:t>a</w:t>
      </w:r>
      <w:r>
        <w:rPr>
          <w:spacing w:val="-4"/>
        </w:rPr>
        <w:t xml:space="preserve"> </w:t>
      </w:r>
      <w:r>
        <w:t>final AUASB</w:t>
      </w:r>
      <w:r>
        <w:rPr>
          <w:spacing w:val="-3"/>
        </w:rPr>
        <w:t xml:space="preserve"> </w:t>
      </w:r>
      <w:r>
        <w:t>pronouncement</w:t>
      </w:r>
      <w:r>
        <w:rPr>
          <w:spacing w:val="-1"/>
        </w:rPr>
        <w:t xml:space="preserve"> </w:t>
      </w:r>
      <w:r>
        <w:t>is</w:t>
      </w:r>
      <w:r>
        <w:rPr>
          <w:spacing w:val="-4"/>
        </w:rPr>
        <w:t xml:space="preserve"> </w:t>
      </w:r>
      <w:r>
        <w:t>provided</w:t>
      </w:r>
      <w:r>
        <w:rPr>
          <w:spacing w:val="-2"/>
        </w:rPr>
        <w:t xml:space="preserve"> </w:t>
      </w:r>
      <w:r>
        <w:t>to</w:t>
      </w:r>
      <w:r>
        <w:rPr>
          <w:spacing w:val="-5"/>
        </w:rPr>
        <w:t xml:space="preserve"> </w:t>
      </w:r>
      <w:r>
        <w:t>the</w:t>
      </w:r>
      <w:r>
        <w:rPr>
          <w:spacing w:val="-2"/>
        </w:rPr>
        <w:t xml:space="preserve"> </w:t>
      </w:r>
      <w:r>
        <w:t>Board</w:t>
      </w:r>
      <w:r>
        <w:rPr>
          <w:spacing w:val="-2"/>
        </w:rPr>
        <w:t xml:space="preserve"> </w:t>
      </w:r>
      <w:r>
        <w:t>for</w:t>
      </w:r>
      <w:r>
        <w:rPr>
          <w:spacing w:val="-2"/>
        </w:rPr>
        <w:t xml:space="preserve"> </w:t>
      </w:r>
      <w:r>
        <w:t>approval.</w:t>
      </w:r>
    </w:p>
    <w:p w14:paraId="1E805D17" w14:textId="77777777" w:rsidR="00AA4A02" w:rsidRDefault="00960F31">
      <w:pPr>
        <w:spacing w:before="172"/>
        <w:ind w:left="143"/>
        <w:rPr>
          <w:b/>
          <w:i/>
        </w:rPr>
      </w:pPr>
      <w:bookmarkStart w:id="98" w:name="Operative_dates_and_early_adoption"/>
      <w:bookmarkEnd w:id="98"/>
      <w:r>
        <w:rPr>
          <w:b/>
          <w:i/>
        </w:rPr>
        <w:t>Operative</w:t>
      </w:r>
      <w:r>
        <w:rPr>
          <w:b/>
          <w:i/>
          <w:spacing w:val="-5"/>
        </w:rPr>
        <w:t xml:space="preserve"> </w:t>
      </w:r>
      <w:r>
        <w:rPr>
          <w:b/>
          <w:i/>
        </w:rPr>
        <w:t>dates</w:t>
      </w:r>
      <w:r>
        <w:rPr>
          <w:b/>
          <w:i/>
          <w:spacing w:val="-1"/>
        </w:rPr>
        <w:t xml:space="preserve"> </w:t>
      </w:r>
      <w:r>
        <w:rPr>
          <w:b/>
          <w:i/>
        </w:rPr>
        <w:t>and</w:t>
      </w:r>
      <w:r>
        <w:rPr>
          <w:b/>
          <w:i/>
          <w:spacing w:val="-5"/>
        </w:rPr>
        <w:t xml:space="preserve"> </w:t>
      </w:r>
      <w:r>
        <w:rPr>
          <w:b/>
          <w:i/>
        </w:rPr>
        <w:t>early</w:t>
      </w:r>
      <w:r>
        <w:rPr>
          <w:b/>
          <w:i/>
          <w:spacing w:val="-4"/>
        </w:rPr>
        <w:t xml:space="preserve"> </w:t>
      </w:r>
      <w:r>
        <w:rPr>
          <w:b/>
          <w:i/>
          <w:spacing w:val="-2"/>
        </w:rPr>
        <w:t>adoption</w:t>
      </w:r>
    </w:p>
    <w:p w14:paraId="1E805D18" w14:textId="77777777" w:rsidR="00AA4A02" w:rsidRDefault="00960F31">
      <w:pPr>
        <w:pStyle w:val="ListParagraph"/>
        <w:numPr>
          <w:ilvl w:val="0"/>
          <w:numId w:val="29"/>
        </w:numPr>
        <w:tabs>
          <w:tab w:val="left" w:pos="851"/>
        </w:tabs>
        <w:spacing w:before="194" w:line="208" w:lineRule="auto"/>
        <w:ind w:right="168"/>
      </w:pPr>
      <w:r>
        <w:t>The</w:t>
      </w:r>
      <w:r>
        <w:rPr>
          <w:spacing w:val="-2"/>
        </w:rPr>
        <w:t xml:space="preserve"> </w:t>
      </w:r>
      <w:r>
        <w:t>date</w:t>
      </w:r>
      <w:r>
        <w:rPr>
          <w:spacing w:val="-2"/>
        </w:rPr>
        <w:t xml:space="preserve"> </w:t>
      </w:r>
      <w:r>
        <w:t>of</w:t>
      </w:r>
      <w:r>
        <w:rPr>
          <w:spacing w:val="-2"/>
        </w:rPr>
        <w:t xml:space="preserve"> </w:t>
      </w:r>
      <w:r>
        <w:t>commencement</w:t>
      </w:r>
      <w:r>
        <w:rPr>
          <w:spacing w:val="-3"/>
        </w:rPr>
        <w:t xml:space="preserve"> </w:t>
      </w:r>
      <w:r>
        <w:t>of</w:t>
      </w:r>
      <w:r>
        <w:rPr>
          <w:spacing w:val="-2"/>
        </w:rPr>
        <w:t xml:space="preserve"> </w:t>
      </w:r>
      <w:r>
        <w:t>an AUASB</w:t>
      </w:r>
      <w:r>
        <w:rPr>
          <w:spacing w:val="-3"/>
        </w:rPr>
        <w:t xml:space="preserve"> </w:t>
      </w:r>
      <w:r>
        <w:t>Standard</w:t>
      </w:r>
      <w:r>
        <w:rPr>
          <w:spacing w:val="-2"/>
        </w:rPr>
        <w:t xml:space="preserve"> </w:t>
      </w:r>
      <w:r>
        <w:t>is</w:t>
      </w:r>
      <w:r>
        <w:rPr>
          <w:spacing w:val="-4"/>
        </w:rPr>
        <w:t xml:space="preserve"> </w:t>
      </w:r>
      <w:r>
        <w:t>the</w:t>
      </w:r>
      <w:r>
        <w:rPr>
          <w:spacing w:val="-2"/>
        </w:rPr>
        <w:t xml:space="preserve"> </w:t>
      </w:r>
      <w:r>
        <w:t>date</w:t>
      </w:r>
      <w:r>
        <w:rPr>
          <w:spacing w:val="-4"/>
        </w:rPr>
        <w:t xml:space="preserve"> </w:t>
      </w:r>
      <w:r>
        <w:t>specified</w:t>
      </w:r>
      <w:r>
        <w:rPr>
          <w:spacing w:val="-2"/>
        </w:rPr>
        <w:t xml:space="preserve"> </w:t>
      </w:r>
      <w:r>
        <w:t>by</w:t>
      </w:r>
      <w:r>
        <w:rPr>
          <w:spacing w:val="-5"/>
        </w:rPr>
        <w:t xml:space="preserve"> </w:t>
      </w:r>
      <w:r>
        <w:t>the</w:t>
      </w:r>
      <w:r>
        <w:rPr>
          <w:spacing w:val="-2"/>
        </w:rPr>
        <w:t xml:space="preserve"> </w:t>
      </w:r>
      <w:r>
        <w:t>AUASB</w:t>
      </w:r>
      <w:r>
        <w:rPr>
          <w:spacing w:val="-4"/>
        </w:rPr>
        <w:t xml:space="preserve"> </w:t>
      </w:r>
      <w:r>
        <w:t>in</w:t>
      </w:r>
      <w:r>
        <w:rPr>
          <w:spacing w:val="-2"/>
        </w:rPr>
        <w:t xml:space="preserve"> </w:t>
      </w:r>
      <w:r>
        <w:t xml:space="preserve">the </w:t>
      </w:r>
      <w:r>
        <w:rPr>
          <w:spacing w:val="-2"/>
        </w:rPr>
        <w:t>standard.</w:t>
      </w:r>
      <w:r>
        <w:rPr>
          <w:spacing w:val="-2"/>
          <w:vertAlign w:val="superscript"/>
        </w:rPr>
        <w:t>76</w:t>
      </w:r>
    </w:p>
    <w:p w14:paraId="1E805D19" w14:textId="77777777" w:rsidR="00AA4A02" w:rsidRDefault="00960F31">
      <w:pPr>
        <w:pStyle w:val="ListParagraph"/>
        <w:numPr>
          <w:ilvl w:val="0"/>
          <w:numId w:val="29"/>
        </w:numPr>
        <w:tabs>
          <w:tab w:val="left" w:pos="851"/>
        </w:tabs>
        <w:spacing w:before="200" w:line="208" w:lineRule="auto"/>
        <w:ind w:right="406"/>
      </w:pPr>
      <w:r>
        <w:t>Unless</w:t>
      </w:r>
      <w:r>
        <w:rPr>
          <w:spacing w:val="-3"/>
        </w:rPr>
        <w:t xml:space="preserve"> </w:t>
      </w:r>
      <w:r>
        <w:t>otherwise</w:t>
      </w:r>
      <w:r>
        <w:rPr>
          <w:spacing w:val="-2"/>
        </w:rPr>
        <w:t xml:space="preserve"> </w:t>
      </w:r>
      <w:r>
        <w:t>stated</w:t>
      </w:r>
      <w:r>
        <w:rPr>
          <w:spacing w:val="-3"/>
        </w:rPr>
        <w:t xml:space="preserve"> </w:t>
      </w:r>
      <w:r>
        <w:t>in</w:t>
      </w:r>
      <w:r>
        <w:rPr>
          <w:spacing w:val="-4"/>
        </w:rPr>
        <w:t xml:space="preserve"> </w:t>
      </w:r>
      <w:r>
        <w:t>an</w:t>
      </w:r>
      <w:r>
        <w:rPr>
          <w:spacing w:val="-1"/>
        </w:rPr>
        <w:t xml:space="preserve"> </w:t>
      </w:r>
      <w:r>
        <w:t>AUASB</w:t>
      </w:r>
      <w:r>
        <w:rPr>
          <w:spacing w:val="-3"/>
        </w:rPr>
        <w:t xml:space="preserve"> </w:t>
      </w:r>
      <w:r>
        <w:t>Standard, a</w:t>
      </w:r>
      <w:r>
        <w:rPr>
          <w:spacing w:val="-3"/>
        </w:rPr>
        <w:t xml:space="preserve"> </w:t>
      </w:r>
      <w:r>
        <w:t>standard</w:t>
      </w:r>
      <w:r>
        <w:rPr>
          <w:spacing w:val="-3"/>
        </w:rPr>
        <w:t xml:space="preserve"> </w:t>
      </w:r>
      <w:r>
        <w:t>can</w:t>
      </w:r>
      <w:r>
        <w:rPr>
          <w:spacing w:val="-1"/>
        </w:rPr>
        <w:t xml:space="preserve"> </w:t>
      </w:r>
      <w:r>
        <w:t>be</w:t>
      </w:r>
      <w:r>
        <w:rPr>
          <w:spacing w:val="-1"/>
        </w:rPr>
        <w:t xml:space="preserve"> </w:t>
      </w:r>
      <w:r>
        <w:t>early</w:t>
      </w:r>
      <w:r>
        <w:rPr>
          <w:spacing w:val="-4"/>
        </w:rPr>
        <w:t xml:space="preserve"> </w:t>
      </w:r>
      <w:r>
        <w:t>adopted.</w:t>
      </w:r>
      <w:r>
        <w:rPr>
          <w:spacing w:val="40"/>
        </w:rPr>
        <w:t xml:space="preserve"> </w:t>
      </w:r>
      <w:r>
        <w:t>Where</w:t>
      </w:r>
      <w:r>
        <w:rPr>
          <w:spacing w:val="-1"/>
        </w:rPr>
        <w:t xml:space="preserve"> </w:t>
      </w:r>
      <w:r>
        <w:t>an AUASB Standard is early adopted, all relevant conforming and consequential amendments must also be early adopted.</w:t>
      </w:r>
      <w:r>
        <w:rPr>
          <w:vertAlign w:val="superscript"/>
        </w:rPr>
        <w:t>77</w:t>
      </w:r>
    </w:p>
    <w:p w14:paraId="1E805D1A" w14:textId="77777777" w:rsidR="00AA4A02" w:rsidRDefault="00960F31">
      <w:pPr>
        <w:pStyle w:val="ListParagraph"/>
        <w:numPr>
          <w:ilvl w:val="0"/>
          <w:numId w:val="29"/>
        </w:numPr>
        <w:tabs>
          <w:tab w:val="left" w:pos="851"/>
        </w:tabs>
        <w:spacing w:before="200" w:line="208" w:lineRule="auto"/>
        <w:ind w:right="290"/>
      </w:pPr>
      <w:r>
        <w:t>The</w:t>
      </w:r>
      <w:r>
        <w:rPr>
          <w:spacing w:val="-2"/>
        </w:rPr>
        <w:t xml:space="preserve"> </w:t>
      </w:r>
      <w:r>
        <w:t>operative</w:t>
      </w:r>
      <w:r>
        <w:rPr>
          <w:spacing w:val="-2"/>
        </w:rPr>
        <w:t xml:space="preserve"> </w:t>
      </w:r>
      <w:r>
        <w:t>date</w:t>
      </w:r>
      <w:r>
        <w:rPr>
          <w:spacing w:val="-2"/>
        </w:rPr>
        <w:t xml:space="preserve"> </w:t>
      </w:r>
      <w:r>
        <w:t>stipulates</w:t>
      </w:r>
      <w:r>
        <w:rPr>
          <w:spacing w:val="-2"/>
        </w:rPr>
        <w:t xml:space="preserve"> </w:t>
      </w:r>
      <w:r>
        <w:t>the</w:t>
      </w:r>
      <w:r>
        <w:rPr>
          <w:spacing w:val="-4"/>
        </w:rPr>
        <w:t xml:space="preserve"> </w:t>
      </w:r>
      <w:r>
        <w:t>date</w:t>
      </w:r>
      <w:r>
        <w:rPr>
          <w:spacing w:val="-2"/>
        </w:rPr>
        <w:t xml:space="preserve"> </w:t>
      </w:r>
      <w:r>
        <w:t>from</w:t>
      </w:r>
      <w:r>
        <w:rPr>
          <w:spacing w:val="-1"/>
        </w:rPr>
        <w:t xml:space="preserve"> </w:t>
      </w:r>
      <w:r>
        <w:t>which</w:t>
      </w:r>
      <w:r>
        <w:rPr>
          <w:spacing w:val="-2"/>
        </w:rPr>
        <w:t xml:space="preserve"> </w:t>
      </w:r>
      <w:r>
        <w:t>the</w:t>
      </w:r>
      <w:r>
        <w:rPr>
          <w:spacing w:val="-2"/>
        </w:rPr>
        <w:t xml:space="preserve"> </w:t>
      </w:r>
      <w:r>
        <w:t>AUASB</w:t>
      </w:r>
      <w:r>
        <w:rPr>
          <w:spacing w:val="-3"/>
        </w:rPr>
        <w:t xml:space="preserve"> </w:t>
      </w:r>
      <w:r>
        <w:t>Standard</w:t>
      </w:r>
      <w:r>
        <w:rPr>
          <w:spacing w:val="-2"/>
        </w:rPr>
        <w:t xml:space="preserve"> </w:t>
      </w:r>
      <w:r>
        <w:t>is</w:t>
      </w:r>
      <w:r>
        <w:rPr>
          <w:spacing w:val="-2"/>
        </w:rPr>
        <w:t xml:space="preserve"> </w:t>
      </w:r>
      <w:r>
        <w:t>to</w:t>
      </w:r>
      <w:r>
        <w:rPr>
          <w:spacing w:val="-5"/>
        </w:rPr>
        <w:t xml:space="preserve"> </w:t>
      </w:r>
      <w:r>
        <w:t>be</w:t>
      </w:r>
      <w:r>
        <w:rPr>
          <w:spacing w:val="-2"/>
        </w:rPr>
        <w:t xml:space="preserve"> </w:t>
      </w:r>
      <w:r>
        <w:t>applied.</w:t>
      </w:r>
      <w:r>
        <w:rPr>
          <w:spacing w:val="40"/>
        </w:rPr>
        <w:t xml:space="preserve"> </w:t>
      </w:r>
      <w:r>
        <w:t>The AUASB seeks to have the same effective date in Australia as that determined by the IAASB for the equivalent IAASB Standard.</w:t>
      </w:r>
    </w:p>
    <w:p w14:paraId="1E805D1B" w14:textId="77777777" w:rsidR="00AA4A02" w:rsidRDefault="00AA4A02">
      <w:pPr>
        <w:pStyle w:val="BodyText"/>
        <w:rPr>
          <w:sz w:val="20"/>
        </w:rPr>
      </w:pPr>
    </w:p>
    <w:p w14:paraId="1E805D1C" w14:textId="77777777" w:rsidR="00AA4A02" w:rsidRDefault="00960F31">
      <w:pPr>
        <w:pStyle w:val="BodyText"/>
        <w:spacing w:before="28"/>
        <w:rPr>
          <w:sz w:val="20"/>
        </w:rPr>
      </w:pPr>
      <w:r>
        <w:rPr>
          <w:noProof/>
          <w:sz w:val="20"/>
        </w:rPr>
        <mc:AlternateContent>
          <mc:Choice Requires="wps">
            <w:drawing>
              <wp:anchor distT="0" distB="0" distL="0" distR="0" simplePos="0" relativeHeight="487615488" behindDoc="1" locked="0" layoutInCell="1" allowOverlap="1" wp14:anchorId="1E805F7F" wp14:editId="1E805F80">
                <wp:simplePos x="0" y="0"/>
                <wp:positionH relativeFrom="page">
                  <wp:posOffset>900988</wp:posOffset>
                </wp:positionH>
                <wp:positionV relativeFrom="paragraph">
                  <wp:posOffset>179086</wp:posOffset>
                </wp:positionV>
                <wp:extent cx="1829435" cy="762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2DEFA" id="Graphic 89" o:spid="_x0000_s1026" style="position:absolute;margin-left:70.95pt;margin-top:14.1pt;width:144.05pt;height:.6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" path="m1829053,l,,,7620r1829053,l1829053,xe" fillcolor="black" stroked="f">
                <v:path arrowok="t"/>
                <w10:wrap type="topAndBottom" anchorx="page"/>
              </v:shape>
            </w:pict>
          </mc:Fallback>
        </mc:AlternateContent>
      </w:r>
    </w:p>
    <w:p w14:paraId="1E805D1D" w14:textId="77777777" w:rsidR="00AA4A02" w:rsidRDefault="00960F31">
      <w:pPr>
        <w:spacing w:before="74" w:line="171" w:lineRule="exact"/>
        <w:ind w:left="143"/>
        <w:rPr>
          <w:sz w:val="16"/>
        </w:rPr>
      </w:pPr>
      <w:r>
        <w:rPr>
          <w:sz w:val="16"/>
          <w:vertAlign w:val="superscript"/>
        </w:rPr>
        <w:t>76</w:t>
      </w:r>
      <w:r>
        <w:rPr>
          <w:spacing w:val="45"/>
          <w:sz w:val="16"/>
        </w:rPr>
        <w:t xml:space="preserve">  </w:t>
      </w:r>
      <w:r>
        <w:rPr>
          <w:sz w:val="16"/>
        </w:rPr>
        <w:t>Also</w:t>
      </w:r>
      <w:r>
        <w:rPr>
          <w:spacing w:val="-2"/>
          <w:sz w:val="16"/>
        </w:rPr>
        <w:t xml:space="preserve"> </w:t>
      </w:r>
      <w:r>
        <w:rPr>
          <w:sz w:val="16"/>
        </w:rPr>
        <w:t>see</w:t>
      </w:r>
      <w:r>
        <w:rPr>
          <w:spacing w:val="-3"/>
          <w:sz w:val="16"/>
        </w:rPr>
        <w:t xml:space="preserve"> </w:t>
      </w:r>
      <w:hyperlink r:id="rId117">
        <w:r>
          <w:rPr>
            <w:color w:val="0000FF"/>
            <w:sz w:val="16"/>
            <w:u w:val="single" w:color="0000FF"/>
          </w:rPr>
          <w:t>Preamble</w:t>
        </w:r>
        <w:r>
          <w:rPr>
            <w:sz w:val="16"/>
          </w:rPr>
          <w:t>,</w:t>
        </w:r>
      </w:hyperlink>
      <w:r>
        <w:rPr>
          <w:spacing w:val="-4"/>
          <w:sz w:val="16"/>
        </w:rPr>
        <w:t xml:space="preserve"> </w:t>
      </w:r>
      <w:r>
        <w:rPr>
          <w:sz w:val="16"/>
        </w:rPr>
        <w:t>paragraphs</w:t>
      </w:r>
      <w:r>
        <w:rPr>
          <w:spacing w:val="-2"/>
          <w:sz w:val="16"/>
        </w:rPr>
        <w:t xml:space="preserve"> </w:t>
      </w:r>
      <w:r>
        <w:rPr>
          <w:sz w:val="16"/>
        </w:rPr>
        <w:t>A33-</w:t>
      </w:r>
      <w:r>
        <w:rPr>
          <w:spacing w:val="-4"/>
          <w:sz w:val="16"/>
        </w:rPr>
        <w:t>A35.</w:t>
      </w:r>
    </w:p>
    <w:p w14:paraId="1E805D1E" w14:textId="77777777" w:rsidR="00AA4A02" w:rsidRDefault="00960F31">
      <w:pPr>
        <w:spacing w:before="6" w:line="208" w:lineRule="auto"/>
        <w:ind w:left="427" w:right="173" w:hanging="284"/>
        <w:rPr>
          <w:sz w:val="16"/>
        </w:rPr>
      </w:pPr>
      <w:r>
        <w:rPr>
          <w:sz w:val="16"/>
          <w:vertAlign w:val="superscript"/>
        </w:rPr>
        <w:t>77</w:t>
      </w:r>
      <w:r>
        <w:rPr>
          <w:spacing w:val="80"/>
          <w:w w:val="150"/>
          <w:sz w:val="16"/>
        </w:rPr>
        <w:t xml:space="preserve"> </w:t>
      </w:r>
      <w:r>
        <w:rPr>
          <w:sz w:val="16"/>
        </w:rPr>
        <w:t>When</w:t>
      </w:r>
      <w:r>
        <w:rPr>
          <w:spacing w:val="-2"/>
          <w:sz w:val="16"/>
        </w:rPr>
        <w:t xml:space="preserve"> </w:t>
      </w:r>
      <w:r>
        <w:rPr>
          <w:sz w:val="16"/>
        </w:rPr>
        <w:t>early</w:t>
      </w:r>
      <w:r>
        <w:rPr>
          <w:spacing w:val="-2"/>
          <w:sz w:val="16"/>
        </w:rPr>
        <w:t xml:space="preserve"> </w:t>
      </w:r>
      <w:r>
        <w:rPr>
          <w:sz w:val="16"/>
        </w:rPr>
        <w:t>adoption</w:t>
      </w:r>
      <w:r>
        <w:rPr>
          <w:spacing w:val="-2"/>
          <w:sz w:val="16"/>
        </w:rPr>
        <w:t xml:space="preserve"> </w:t>
      </w:r>
      <w:r>
        <w:rPr>
          <w:sz w:val="16"/>
        </w:rPr>
        <w:t>of</w:t>
      </w:r>
      <w:r>
        <w:rPr>
          <w:spacing w:val="-2"/>
          <w:sz w:val="16"/>
        </w:rPr>
        <w:t xml:space="preserve"> </w:t>
      </w:r>
      <w:r>
        <w:rPr>
          <w:sz w:val="16"/>
        </w:rPr>
        <w:t>an AUASB</w:t>
      </w:r>
      <w:r>
        <w:rPr>
          <w:spacing w:val="-2"/>
          <w:sz w:val="16"/>
        </w:rPr>
        <w:t xml:space="preserve"> </w:t>
      </w:r>
      <w:r>
        <w:rPr>
          <w:sz w:val="16"/>
        </w:rPr>
        <w:t>Standard</w:t>
      </w:r>
      <w:r>
        <w:rPr>
          <w:spacing w:val="-2"/>
          <w:sz w:val="16"/>
        </w:rPr>
        <w:t xml:space="preserve"> </w:t>
      </w:r>
      <w:r>
        <w:rPr>
          <w:sz w:val="16"/>
        </w:rPr>
        <w:t>is</w:t>
      </w:r>
      <w:r>
        <w:rPr>
          <w:spacing w:val="-3"/>
          <w:sz w:val="16"/>
        </w:rPr>
        <w:t xml:space="preserve"> </w:t>
      </w:r>
      <w:r>
        <w:rPr>
          <w:sz w:val="16"/>
        </w:rPr>
        <w:t>allowed, a</w:t>
      </w:r>
      <w:r>
        <w:rPr>
          <w:spacing w:val="-3"/>
          <w:sz w:val="16"/>
        </w:rPr>
        <w:t xml:space="preserve"> </w:t>
      </w:r>
      <w:r>
        <w:rPr>
          <w:sz w:val="16"/>
        </w:rPr>
        <w:t>statement</w:t>
      </w:r>
      <w:r>
        <w:rPr>
          <w:spacing w:val="-2"/>
          <w:sz w:val="16"/>
        </w:rPr>
        <w:t xml:space="preserve"> </w:t>
      </w:r>
      <w:r>
        <w:rPr>
          <w:sz w:val="16"/>
        </w:rPr>
        <w:t>to that</w:t>
      </w:r>
      <w:r>
        <w:rPr>
          <w:spacing w:val="-2"/>
          <w:sz w:val="16"/>
        </w:rPr>
        <w:t xml:space="preserve"> </w:t>
      </w:r>
      <w:r>
        <w:rPr>
          <w:sz w:val="16"/>
        </w:rPr>
        <w:t>effect is</w:t>
      </w:r>
      <w:r>
        <w:rPr>
          <w:spacing w:val="-3"/>
          <w:sz w:val="16"/>
        </w:rPr>
        <w:t xml:space="preserve"> </w:t>
      </w:r>
      <w:r>
        <w:rPr>
          <w:sz w:val="16"/>
        </w:rPr>
        <w:t>included</w:t>
      </w:r>
      <w:r>
        <w:rPr>
          <w:spacing w:val="-2"/>
          <w:sz w:val="16"/>
        </w:rPr>
        <w:t xml:space="preserve"> </w:t>
      </w:r>
      <w:r>
        <w:rPr>
          <w:sz w:val="16"/>
        </w:rPr>
        <w:t>in</w:t>
      </w:r>
      <w:r>
        <w:rPr>
          <w:spacing w:val="-2"/>
          <w:sz w:val="16"/>
        </w:rPr>
        <w:t xml:space="preserve"> </w:t>
      </w:r>
      <w:r>
        <w:rPr>
          <w:sz w:val="16"/>
        </w:rPr>
        <w:t>the</w:t>
      </w:r>
      <w:r>
        <w:rPr>
          <w:spacing w:val="-3"/>
          <w:sz w:val="16"/>
        </w:rPr>
        <w:t xml:space="preserve"> </w:t>
      </w:r>
      <w:r>
        <w:rPr>
          <w:sz w:val="16"/>
        </w:rPr>
        <w:t>operative</w:t>
      </w:r>
      <w:r>
        <w:rPr>
          <w:spacing w:val="-3"/>
          <w:sz w:val="16"/>
        </w:rPr>
        <w:t xml:space="preserve"> </w:t>
      </w:r>
      <w:r>
        <w:rPr>
          <w:sz w:val="16"/>
        </w:rPr>
        <w:t>date paragraph</w:t>
      </w:r>
      <w:r>
        <w:rPr>
          <w:spacing w:val="-2"/>
          <w:sz w:val="16"/>
        </w:rPr>
        <w:t xml:space="preserve"> </w:t>
      </w:r>
      <w:r>
        <w:rPr>
          <w:sz w:val="16"/>
        </w:rPr>
        <w:t>of</w:t>
      </w:r>
      <w:r>
        <w:rPr>
          <w:spacing w:val="-4"/>
          <w:sz w:val="16"/>
        </w:rPr>
        <w:t xml:space="preserve"> </w:t>
      </w:r>
      <w:r>
        <w:rPr>
          <w:sz w:val="16"/>
        </w:rPr>
        <w:t>the</w:t>
      </w:r>
      <w:r>
        <w:rPr>
          <w:spacing w:val="40"/>
          <w:sz w:val="16"/>
        </w:rPr>
        <w:t xml:space="preserve"> </w:t>
      </w:r>
      <w:r>
        <w:rPr>
          <w:sz w:val="16"/>
        </w:rPr>
        <w:t>AUASB Standard.</w:t>
      </w:r>
    </w:p>
    <w:p w14:paraId="1E805D1F"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D20" w14:textId="77777777" w:rsidR="00AA4A02" w:rsidRDefault="00960F31">
      <w:pPr>
        <w:pStyle w:val="ListParagraph"/>
        <w:numPr>
          <w:ilvl w:val="0"/>
          <w:numId w:val="29"/>
        </w:numPr>
        <w:tabs>
          <w:tab w:val="left" w:pos="851"/>
        </w:tabs>
        <w:spacing w:before="219" w:line="208" w:lineRule="auto"/>
        <w:ind w:right="297"/>
      </w:pPr>
      <w:r>
        <w:lastRenderedPageBreak/>
        <w:t>Under Australian legislative practice, AUASB Standards cannot enforce new or revised requirements</w:t>
      </w:r>
      <w:r>
        <w:rPr>
          <w:spacing w:val="-4"/>
        </w:rPr>
        <w:t xml:space="preserve"> </w:t>
      </w:r>
      <w:r>
        <w:t>where</w:t>
      </w:r>
      <w:r>
        <w:rPr>
          <w:spacing w:val="-2"/>
        </w:rPr>
        <w:t xml:space="preserve"> </w:t>
      </w:r>
      <w:r>
        <w:t>the operative</w:t>
      </w:r>
      <w:r>
        <w:rPr>
          <w:spacing w:val="-4"/>
        </w:rPr>
        <w:t xml:space="preserve"> </w:t>
      </w:r>
      <w:r>
        <w:t>date</w:t>
      </w:r>
      <w:r>
        <w:rPr>
          <w:spacing w:val="-2"/>
        </w:rPr>
        <w:t xml:space="preserve"> </w:t>
      </w:r>
      <w:r>
        <w:t>precedes</w:t>
      </w:r>
      <w:r>
        <w:rPr>
          <w:spacing w:val="-4"/>
        </w:rPr>
        <w:t xml:space="preserve"> </w:t>
      </w:r>
      <w:r>
        <w:t>the</w:t>
      </w:r>
      <w:r>
        <w:rPr>
          <w:spacing w:val="-2"/>
        </w:rPr>
        <w:t xml:space="preserve"> </w:t>
      </w:r>
      <w:r>
        <w:t>date</w:t>
      </w:r>
      <w:r>
        <w:rPr>
          <w:spacing w:val="-2"/>
        </w:rPr>
        <w:t xml:space="preserve"> </w:t>
      </w:r>
      <w:r>
        <w:t>on</w:t>
      </w:r>
      <w:r>
        <w:rPr>
          <w:spacing w:val="-2"/>
        </w:rPr>
        <w:t xml:space="preserve"> </w:t>
      </w:r>
      <w:r>
        <w:t>which</w:t>
      </w:r>
      <w:r>
        <w:rPr>
          <w:spacing w:val="-2"/>
        </w:rPr>
        <w:t xml:space="preserve"> </w:t>
      </w:r>
      <w:r>
        <w:t>the</w:t>
      </w:r>
      <w:r>
        <w:rPr>
          <w:spacing w:val="-2"/>
        </w:rPr>
        <w:t xml:space="preserve"> </w:t>
      </w:r>
      <w:r>
        <w:t>Standard</w:t>
      </w:r>
      <w:r>
        <w:rPr>
          <w:spacing w:val="-5"/>
        </w:rPr>
        <w:t xml:space="preserve"> </w:t>
      </w:r>
      <w:r>
        <w:t>is</w:t>
      </w:r>
      <w:r>
        <w:rPr>
          <w:spacing w:val="-4"/>
        </w:rPr>
        <w:t xml:space="preserve"> </w:t>
      </w:r>
      <w:r>
        <w:t>made.</w:t>
      </w:r>
      <w:r>
        <w:rPr>
          <w:spacing w:val="40"/>
        </w:rPr>
        <w:t xml:space="preserve"> </w:t>
      </w:r>
      <w:r>
        <w:t>The operative date is generally stated in relation to the commencement date of the financial reporting period, although this may be amended by the AUASB where relevant.</w:t>
      </w:r>
    </w:p>
    <w:p w14:paraId="1E805D21" w14:textId="77777777" w:rsidR="00AA4A02" w:rsidRDefault="00960F31">
      <w:pPr>
        <w:pStyle w:val="ListParagraph"/>
        <w:numPr>
          <w:ilvl w:val="0"/>
          <w:numId w:val="29"/>
        </w:numPr>
        <w:tabs>
          <w:tab w:val="left" w:pos="851"/>
        </w:tabs>
        <w:spacing w:before="200" w:line="208" w:lineRule="auto"/>
        <w:ind w:right="368"/>
      </w:pPr>
      <w:r>
        <w:t>When determining the operative date of standards, the AUASB seeks to ensure that stakeholders</w:t>
      </w:r>
      <w:r>
        <w:rPr>
          <w:spacing w:val="-2"/>
        </w:rPr>
        <w:t xml:space="preserve"> </w:t>
      </w:r>
      <w:r>
        <w:t>have</w:t>
      </w:r>
      <w:r>
        <w:rPr>
          <w:spacing w:val="-2"/>
        </w:rPr>
        <w:t xml:space="preserve"> </w:t>
      </w:r>
      <w:r>
        <w:t>adequate</w:t>
      </w:r>
      <w:r>
        <w:rPr>
          <w:spacing w:val="-4"/>
        </w:rPr>
        <w:t xml:space="preserve"> </w:t>
      </w:r>
      <w:r>
        <w:t>time</w:t>
      </w:r>
      <w:r>
        <w:rPr>
          <w:spacing w:val="-4"/>
        </w:rPr>
        <w:t xml:space="preserve"> </w:t>
      </w:r>
      <w:r>
        <w:t>to</w:t>
      </w:r>
      <w:r>
        <w:rPr>
          <w:spacing w:val="-2"/>
        </w:rPr>
        <w:t xml:space="preserve"> </w:t>
      </w:r>
      <w:r>
        <w:t>prepare</w:t>
      </w:r>
      <w:r>
        <w:rPr>
          <w:spacing w:val="-4"/>
        </w:rPr>
        <w:t xml:space="preserve"> </w:t>
      </w:r>
      <w:r>
        <w:t>for</w:t>
      </w:r>
      <w:r>
        <w:rPr>
          <w:spacing w:val="-4"/>
        </w:rPr>
        <w:t xml:space="preserve"> </w:t>
      </w:r>
      <w:r>
        <w:t>their</w:t>
      </w:r>
      <w:r>
        <w:rPr>
          <w:spacing w:val="-4"/>
        </w:rPr>
        <w:t xml:space="preserve"> </w:t>
      </w:r>
      <w:r>
        <w:t>implementation.</w:t>
      </w:r>
      <w:r>
        <w:rPr>
          <w:spacing w:val="-5"/>
        </w:rPr>
        <w:t xml:space="preserve"> </w:t>
      </w:r>
      <w:r>
        <w:t>Typically,</w:t>
      </w:r>
      <w:r>
        <w:rPr>
          <w:spacing w:val="-5"/>
        </w:rPr>
        <w:t xml:space="preserve"> </w:t>
      </w:r>
      <w:r>
        <w:t>the</w:t>
      </w:r>
      <w:r>
        <w:rPr>
          <w:spacing w:val="-2"/>
        </w:rPr>
        <w:t xml:space="preserve"> </w:t>
      </w:r>
      <w:r>
        <w:t>AUASB will issue a Standard at least two years before its operative date (that is, a year before the beginning of the comparative reporting period) and generally permits entities to apply those requirements early should they wish to do so.</w:t>
      </w:r>
    </w:p>
    <w:p w14:paraId="1E805D22" w14:textId="77777777" w:rsidR="00AA4A02" w:rsidRDefault="00960F31">
      <w:pPr>
        <w:pStyle w:val="ListParagraph"/>
        <w:numPr>
          <w:ilvl w:val="0"/>
          <w:numId w:val="29"/>
        </w:numPr>
        <w:tabs>
          <w:tab w:val="left" w:pos="851"/>
        </w:tabs>
        <w:spacing w:line="208" w:lineRule="auto"/>
        <w:ind w:right="174"/>
      </w:pPr>
      <w:r>
        <w:t>Following</w:t>
      </w:r>
      <w:r>
        <w:rPr>
          <w:spacing w:val="-2"/>
        </w:rPr>
        <w:t xml:space="preserve"> </w:t>
      </w:r>
      <w:r>
        <w:t>approval</w:t>
      </w:r>
      <w:r>
        <w:rPr>
          <w:spacing w:val="-4"/>
        </w:rPr>
        <w:t xml:space="preserve"> </w:t>
      </w:r>
      <w:r>
        <w:t>of</w:t>
      </w:r>
      <w:r>
        <w:rPr>
          <w:spacing w:val="-2"/>
        </w:rPr>
        <w:t xml:space="preserve"> </w:t>
      </w:r>
      <w:r>
        <w:t>a</w:t>
      </w:r>
      <w:r>
        <w:rPr>
          <w:spacing w:val="-2"/>
        </w:rPr>
        <w:t xml:space="preserve"> </w:t>
      </w:r>
      <w:r>
        <w:t>standard,</w:t>
      </w:r>
      <w:r>
        <w:rPr>
          <w:spacing w:val="-5"/>
        </w:rPr>
        <w:t xml:space="preserve"> </w:t>
      </w:r>
      <w:r>
        <w:t>the</w:t>
      </w:r>
      <w:r>
        <w:rPr>
          <w:spacing w:val="-4"/>
        </w:rPr>
        <w:t xml:space="preserve"> </w:t>
      </w:r>
      <w:r>
        <w:t>AUASB</w:t>
      </w:r>
      <w:r>
        <w:rPr>
          <w:spacing w:val="-4"/>
        </w:rPr>
        <w:t xml:space="preserve"> </w:t>
      </w:r>
      <w:r>
        <w:t>formally</w:t>
      </w:r>
      <w:r>
        <w:rPr>
          <w:spacing w:val="-2"/>
        </w:rPr>
        <w:t xml:space="preserve"> </w:t>
      </w:r>
      <w:r>
        <w:t>issues</w:t>
      </w:r>
      <w:r>
        <w:rPr>
          <w:spacing w:val="-4"/>
        </w:rPr>
        <w:t xml:space="preserve"> </w:t>
      </w:r>
      <w:r>
        <w:t>the</w:t>
      </w:r>
      <w:r>
        <w:rPr>
          <w:spacing w:val="-4"/>
        </w:rPr>
        <w:t xml:space="preserve"> </w:t>
      </w:r>
      <w:r>
        <w:t>standard</w:t>
      </w:r>
      <w:r>
        <w:rPr>
          <w:spacing w:val="-2"/>
        </w:rPr>
        <w:t xml:space="preserve"> </w:t>
      </w:r>
      <w:r>
        <w:t>and</w:t>
      </w:r>
      <w:r>
        <w:rPr>
          <w:spacing w:val="-2"/>
        </w:rPr>
        <w:t xml:space="preserve"> </w:t>
      </w:r>
      <w:r>
        <w:t>accompanying Basis for Conclusions by publishing it on the AUASB website and notifying stakeholders.</w:t>
      </w:r>
    </w:p>
    <w:p w14:paraId="1E805D23" w14:textId="77777777" w:rsidR="00AA4A02" w:rsidRDefault="00960F31">
      <w:pPr>
        <w:pStyle w:val="Heading4"/>
        <w:ind w:left="143" w:firstLine="0"/>
      </w:pPr>
      <w:bookmarkStart w:id="99" w:name="_TOC_250006"/>
      <w:r>
        <w:t>Basis</w:t>
      </w:r>
      <w:r>
        <w:rPr>
          <w:spacing w:val="-1"/>
        </w:rPr>
        <w:t xml:space="preserve"> </w:t>
      </w:r>
      <w:r>
        <w:t>for</w:t>
      </w:r>
      <w:r>
        <w:rPr>
          <w:spacing w:val="-1"/>
        </w:rPr>
        <w:t xml:space="preserve"> </w:t>
      </w:r>
      <w:bookmarkEnd w:id="99"/>
      <w:r>
        <w:rPr>
          <w:spacing w:val="-2"/>
        </w:rPr>
        <w:t>Conclusions</w:t>
      </w:r>
    </w:p>
    <w:p w14:paraId="1E805D24" w14:textId="77777777" w:rsidR="00AA4A02" w:rsidRDefault="00960F31">
      <w:pPr>
        <w:pStyle w:val="ListParagraph"/>
        <w:numPr>
          <w:ilvl w:val="0"/>
          <w:numId w:val="29"/>
        </w:numPr>
        <w:tabs>
          <w:tab w:val="left" w:pos="851"/>
        </w:tabs>
        <w:spacing w:before="167"/>
      </w:pPr>
      <w:r>
        <w:t>A</w:t>
      </w:r>
      <w:r>
        <w:rPr>
          <w:spacing w:val="-6"/>
        </w:rPr>
        <w:t xml:space="preserve"> </w:t>
      </w:r>
      <w:r>
        <w:t>Basis</w:t>
      </w:r>
      <w:r>
        <w:rPr>
          <w:spacing w:val="-4"/>
        </w:rPr>
        <w:t xml:space="preserve"> </w:t>
      </w:r>
      <w:r>
        <w:t>for</w:t>
      </w:r>
      <w:r>
        <w:rPr>
          <w:spacing w:val="-2"/>
        </w:rPr>
        <w:t xml:space="preserve"> </w:t>
      </w:r>
      <w:r>
        <w:t>Conclusions</w:t>
      </w:r>
      <w:r>
        <w:rPr>
          <w:spacing w:val="-4"/>
        </w:rPr>
        <w:t xml:space="preserve"> </w:t>
      </w:r>
      <w:r>
        <w:t>is</w:t>
      </w:r>
      <w:r>
        <w:rPr>
          <w:spacing w:val="-4"/>
        </w:rPr>
        <w:t xml:space="preserve"> </w:t>
      </w:r>
      <w:r>
        <w:t>prepared</w:t>
      </w:r>
      <w:r>
        <w:rPr>
          <w:spacing w:val="-4"/>
        </w:rPr>
        <w:t xml:space="preserve"> </w:t>
      </w:r>
      <w:r>
        <w:t>and</w:t>
      </w:r>
      <w:r>
        <w:rPr>
          <w:spacing w:val="-1"/>
        </w:rPr>
        <w:t xml:space="preserve"> </w:t>
      </w:r>
      <w:r>
        <w:t>issued</w:t>
      </w:r>
      <w:r>
        <w:rPr>
          <w:spacing w:val="-4"/>
        </w:rPr>
        <w:t xml:space="preserve"> </w:t>
      </w:r>
      <w:r>
        <w:t>for</w:t>
      </w:r>
      <w:r>
        <w:rPr>
          <w:spacing w:val="-4"/>
        </w:rPr>
        <w:t xml:space="preserve"> </w:t>
      </w:r>
      <w:r>
        <w:t>each</w:t>
      </w:r>
      <w:r>
        <w:rPr>
          <w:spacing w:val="-2"/>
        </w:rPr>
        <w:t xml:space="preserve"> </w:t>
      </w:r>
      <w:r>
        <w:t>AUASB</w:t>
      </w:r>
      <w:r>
        <w:rPr>
          <w:spacing w:val="-4"/>
        </w:rPr>
        <w:t xml:space="preserve"> </w:t>
      </w:r>
      <w:r>
        <w:t>Standard</w:t>
      </w:r>
      <w:r>
        <w:rPr>
          <w:spacing w:val="-2"/>
        </w:rPr>
        <w:t xml:space="preserve"> </w:t>
      </w:r>
      <w:r>
        <w:t>which</w:t>
      </w:r>
      <w:r>
        <w:rPr>
          <w:spacing w:val="-4"/>
        </w:rPr>
        <w:t xml:space="preserve"> </w:t>
      </w:r>
      <w:r>
        <w:rPr>
          <w:spacing w:val="-2"/>
        </w:rPr>
        <w:t>outlines:</w:t>
      </w:r>
    </w:p>
    <w:p w14:paraId="1E805D25" w14:textId="77777777" w:rsidR="00AA4A02" w:rsidRDefault="00960F31">
      <w:pPr>
        <w:pStyle w:val="ListParagraph"/>
        <w:numPr>
          <w:ilvl w:val="1"/>
          <w:numId w:val="29"/>
        </w:numPr>
        <w:tabs>
          <w:tab w:val="left" w:pos="1562"/>
        </w:tabs>
        <w:spacing w:before="168"/>
      </w:pPr>
      <w:r>
        <w:t>consultation</w:t>
      </w:r>
      <w:r>
        <w:rPr>
          <w:spacing w:val="-7"/>
        </w:rPr>
        <w:t xml:space="preserve"> </w:t>
      </w:r>
      <w:r>
        <w:t>processes</w:t>
      </w:r>
      <w:r>
        <w:rPr>
          <w:spacing w:val="-7"/>
        </w:rPr>
        <w:t xml:space="preserve"> </w:t>
      </w:r>
      <w:r>
        <w:rPr>
          <w:spacing w:val="-2"/>
        </w:rPr>
        <w:t>followed;</w:t>
      </w:r>
    </w:p>
    <w:p w14:paraId="1E805D26" w14:textId="77777777" w:rsidR="00AA4A02" w:rsidRDefault="00960F31">
      <w:pPr>
        <w:pStyle w:val="ListParagraph"/>
        <w:numPr>
          <w:ilvl w:val="1"/>
          <w:numId w:val="29"/>
        </w:numPr>
        <w:tabs>
          <w:tab w:val="left" w:pos="1562"/>
        </w:tabs>
        <w:spacing w:before="114" w:line="208" w:lineRule="auto"/>
        <w:ind w:right="746"/>
      </w:pPr>
      <w:r>
        <w:t>how</w:t>
      </w:r>
      <w:r>
        <w:rPr>
          <w:spacing w:val="-5"/>
        </w:rPr>
        <w:t xml:space="preserve"> </w:t>
      </w:r>
      <w:r>
        <w:t>the</w:t>
      </w:r>
      <w:r>
        <w:rPr>
          <w:spacing w:val="-4"/>
        </w:rPr>
        <w:t xml:space="preserve"> </w:t>
      </w:r>
      <w:r>
        <w:t>AUASB</w:t>
      </w:r>
      <w:r>
        <w:rPr>
          <w:spacing w:val="-6"/>
        </w:rPr>
        <w:t xml:space="preserve"> </w:t>
      </w:r>
      <w:r>
        <w:t>responded</w:t>
      </w:r>
      <w:r>
        <w:rPr>
          <w:spacing w:val="-4"/>
        </w:rPr>
        <w:t xml:space="preserve"> </w:t>
      </w:r>
      <w:r>
        <w:t>to</w:t>
      </w:r>
      <w:r>
        <w:rPr>
          <w:spacing w:val="-4"/>
        </w:rPr>
        <w:t xml:space="preserve"> </w:t>
      </w:r>
      <w:r>
        <w:t>significant</w:t>
      </w:r>
      <w:r>
        <w:rPr>
          <w:spacing w:val="-2"/>
        </w:rPr>
        <w:t xml:space="preserve"> </w:t>
      </w:r>
      <w:r>
        <w:t>comments</w:t>
      </w:r>
      <w:r>
        <w:rPr>
          <w:spacing w:val="-6"/>
        </w:rPr>
        <w:t xml:space="preserve"> </w:t>
      </w:r>
      <w:r>
        <w:t>received</w:t>
      </w:r>
      <w:r>
        <w:rPr>
          <w:spacing w:val="-6"/>
        </w:rPr>
        <w:t xml:space="preserve"> </w:t>
      </w:r>
      <w:r>
        <w:t>from</w:t>
      </w:r>
      <w:r>
        <w:rPr>
          <w:spacing w:val="-3"/>
        </w:rPr>
        <w:t xml:space="preserve"> </w:t>
      </w:r>
      <w:r>
        <w:t xml:space="preserve">consultation </w:t>
      </w:r>
      <w:r>
        <w:rPr>
          <w:spacing w:val="-2"/>
        </w:rPr>
        <w:t>processes;</w:t>
      </w:r>
    </w:p>
    <w:p w14:paraId="1E805D27" w14:textId="77777777" w:rsidR="00AA4A02" w:rsidRDefault="00960F31">
      <w:pPr>
        <w:pStyle w:val="ListParagraph"/>
        <w:numPr>
          <w:ilvl w:val="1"/>
          <w:numId w:val="29"/>
        </w:numPr>
        <w:tabs>
          <w:tab w:val="left" w:pos="1562"/>
        </w:tabs>
        <w:spacing w:before="119" w:line="208" w:lineRule="auto"/>
        <w:ind w:right="232"/>
      </w:pPr>
      <w:r>
        <w:t>a</w:t>
      </w:r>
      <w:r>
        <w:rPr>
          <w:spacing w:val="-3"/>
        </w:rPr>
        <w:t xml:space="preserve"> </w:t>
      </w:r>
      <w:r>
        <w:t>detailed</w:t>
      </w:r>
      <w:r>
        <w:rPr>
          <w:spacing w:val="-5"/>
        </w:rPr>
        <w:t xml:space="preserve"> </w:t>
      </w:r>
      <w:r>
        <w:t>consideration</w:t>
      </w:r>
      <w:r>
        <w:rPr>
          <w:spacing w:val="-5"/>
        </w:rPr>
        <w:t xml:space="preserve"> </w:t>
      </w:r>
      <w:r>
        <w:t>of</w:t>
      </w:r>
      <w:r>
        <w:rPr>
          <w:spacing w:val="-5"/>
        </w:rPr>
        <w:t xml:space="preserve"> </w:t>
      </w:r>
      <w:r>
        <w:t>the</w:t>
      </w:r>
      <w:r>
        <w:rPr>
          <w:spacing w:val="-3"/>
        </w:rPr>
        <w:t xml:space="preserve"> </w:t>
      </w:r>
      <w:r>
        <w:t>various</w:t>
      </w:r>
      <w:r>
        <w:rPr>
          <w:spacing w:val="-3"/>
        </w:rPr>
        <w:t xml:space="preserve"> </w:t>
      </w:r>
      <w:r>
        <w:t>options</w:t>
      </w:r>
      <w:r>
        <w:rPr>
          <w:spacing w:val="-3"/>
        </w:rPr>
        <w:t xml:space="preserve"> </w:t>
      </w:r>
      <w:r>
        <w:t>available</w:t>
      </w:r>
      <w:r>
        <w:rPr>
          <w:spacing w:val="-3"/>
        </w:rPr>
        <w:t xml:space="preserve"> </w:t>
      </w:r>
      <w:r>
        <w:t>to</w:t>
      </w:r>
      <w:r>
        <w:rPr>
          <w:spacing w:val="-3"/>
        </w:rPr>
        <w:t xml:space="preserve"> </w:t>
      </w:r>
      <w:r>
        <w:t>address</w:t>
      </w:r>
      <w:r>
        <w:rPr>
          <w:spacing w:val="-5"/>
        </w:rPr>
        <w:t xml:space="preserve"> </w:t>
      </w:r>
      <w:r>
        <w:t>the</w:t>
      </w:r>
      <w:r>
        <w:rPr>
          <w:spacing w:val="-5"/>
        </w:rPr>
        <w:t xml:space="preserve"> </w:t>
      </w:r>
      <w:r>
        <w:t>identified</w:t>
      </w:r>
      <w:r>
        <w:rPr>
          <w:spacing w:val="-5"/>
        </w:rPr>
        <w:t xml:space="preserve"> </w:t>
      </w:r>
      <w:r>
        <w:t>issue or problem, including both regulatory and non-regulatory options, together with the likely benefits and costs to stakeholders;</w:t>
      </w:r>
    </w:p>
    <w:p w14:paraId="1E805D28" w14:textId="77777777" w:rsidR="00AA4A02" w:rsidRDefault="00960F31">
      <w:pPr>
        <w:pStyle w:val="ListParagraph"/>
        <w:numPr>
          <w:ilvl w:val="1"/>
          <w:numId w:val="29"/>
        </w:numPr>
        <w:tabs>
          <w:tab w:val="left" w:pos="1562"/>
        </w:tabs>
        <w:spacing w:before="93"/>
      </w:pPr>
      <w:r>
        <w:t>evidence</w:t>
      </w:r>
      <w:r>
        <w:rPr>
          <w:spacing w:val="-4"/>
        </w:rPr>
        <w:t xml:space="preserve"> </w:t>
      </w:r>
      <w:r>
        <w:t>and</w:t>
      </w:r>
      <w:r>
        <w:rPr>
          <w:spacing w:val="-2"/>
        </w:rPr>
        <w:t xml:space="preserve"> </w:t>
      </w:r>
      <w:r>
        <w:t>key</w:t>
      </w:r>
      <w:r>
        <w:rPr>
          <w:spacing w:val="-2"/>
        </w:rPr>
        <w:t xml:space="preserve"> </w:t>
      </w:r>
      <w:r>
        <w:t>factors</w:t>
      </w:r>
      <w:r>
        <w:rPr>
          <w:spacing w:val="-4"/>
        </w:rPr>
        <w:t xml:space="preserve"> </w:t>
      </w:r>
      <w:r>
        <w:t>considered</w:t>
      </w:r>
      <w:r>
        <w:rPr>
          <w:spacing w:val="-4"/>
        </w:rPr>
        <w:t xml:space="preserve"> </w:t>
      </w:r>
      <w:r>
        <w:t>in</w:t>
      </w:r>
      <w:r>
        <w:rPr>
          <w:spacing w:val="-2"/>
        </w:rPr>
        <w:t xml:space="preserve"> </w:t>
      </w:r>
      <w:r>
        <w:t>arriving</w:t>
      </w:r>
      <w:r>
        <w:rPr>
          <w:spacing w:val="-2"/>
        </w:rPr>
        <w:t xml:space="preserve"> </w:t>
      </w:r>
      <w:r>
        <w:t>at</w:t>
      </w:r>
      <w:r>
        <w:rPr>
          <w:spacing w:val="-4"/>
        </w:rPr>
        <w:t xml:space="preserve"> </w:t>
      </w:r>
      <w:r>
        <w:t>the</w:t>
      </w:r>
      <w:r>
        <w:rPr>
          <w:spacing w:val="-1"/>
        </w:rPr>
        <w:t xml:space="preserve"> </w:t>
      </w:r>
      <w:r>
        <w:rPr>
          <w:spacing w:val="-2"/>
        </w:rPr>
        <w:t>decisions;</w:t>
      </w:r>
    </w:p>
    <w:p w14:paraId="1E805D29" w14:textId="77777777" w:rsidR="00AA4A02" w:rsidRDefault="00960F31">
      <w:pPr>
        <w:pStyle w:val="ListParagraph"/>
        <w:numPr>
          <w:ilvl w:val="1"/>
          <w:numId w:val="29"/>
        </w:numPr>
        <w:tabs>
          <w:tab w:val="left" w:pos="1560"/>
          <w:tab w:val="left" w:pos="1562"/>
        </w:tabs>
        <w:spacing w:before="115" w:line="208" w:lineRule="auto"/>
        <w:ind w:right="525"/>
        <w:jc w:val="both"/>
      </w:pPr>
      <w:r>
        <w:t>a</w:t>
      </w:r>
      <w:r>
        <w:rPr>
          <w:spacing w:val="-3"/>
        </w:rPr>
        <w:t xml:space="preserve"> </w:t>
      </w:r>
      <w:r>
        <w:t>clear</w:t>
      </w:r>
      <w:r>
        <w:rPr>
          <w:spacing w:val="-5"/>
        </w:rPr>
        <w:t xml:space="preserve"> </w:t>
      </w:r>
      <w:r>
        <w:t>statement</w:t>
      </w:r>
      <w:r>
        <w:rPr>
          <w:spacing w:val="-2"/>
        </w:rPr>
        <w:t xml:space="preserve"> </w:t>
      </w:r>
      <w:r>
        <w:t>of</w:t>
      </w:r>
      <w:r>
        <w:rPr>
          <w:spacing w:val="-3"/>
        </w:rPr>
        <w:t xml:space="preserve"> </w:t>
      </w:r>
      <w:r>
        <w:t>the</w:t>
      </w:r>
      <w:r>
        <w:rPr>
          <w:spacing w:val="-3"/>
        </w:rPr>
        <w:t xml:space="preserve"> </w:t>
      </w:r>
      <w:r>
        <w:t>conclusions</w:t>
      </w:r>
      <w:r>
        <w:rPr>
          <w:spacing w:val="-3"/>
        </w:rPr>
        <w:t xml:space="preserve"> </w:t>
      </w:r>
      <w:r>
        <w:t>reached,</w:t>
      </w:r>
      <w:r>
        <w:rPr>
          <w:spacing w:val="-3"/>
        </w:rPr>
        <w:t xml:space="preserve"> </w:t>
      </w:r>
      <w:r>
        <w:t>the</w:t>
      </w:r>
      <w:r>
        <w:rPr>
          <w:spacing w:val="-3"/>
        </w:rPr>
        <w:t xml:space="preserve"> </w:t>
      </w:r>
      <w:r>
        <w:t>recommended</w:t>
      </w:r>
      <w:r>
        <w:rPr>
          <w:spacing w:val="-3"/>
        </w:rPr>
        <w:t xml:space="preserve"> </w:t>
      </w:r>
      <w:r>
        <w:t>option,</w:t>
      </w:r>
      <w:r>
        <w:rPr>
          <w:spacing w:val="-3"/>
        </w:rPr>
        <w:t xml:space="preserve"> </w:t>
      </w:r>
      <w:r>
        <w:t>a</w:t>
      </w:r>
      <w:r>
        <w:rPr>
          <w:spacing w:val="-5"/>
        </w:rPr>
        <w:t xml:space="preserve"> </w:t>
      </w:r>
      <w:r>
        <w:t>review</w:t>
      </w:r>
      <w:r>
        <w:rPr>
          <w:spacing w:val="-3"/>
        </w:rPr>
        <w:t xml:space="preserve"> </w:t>
      </w:r>
      <w:r>
        <w:t>of that option</w:t>
      </w:r>
      <w:r>
        <w:rPr>
          <w:spacing w:val="-4"/>
        </w:rPr>
        <w:t xml:space="preserve"> </w:t>
      </w:r>
      <w:r>
        <w:t>and</w:t>
      </w:r>
      <w:r>
        <w:rPr>
          <w:spacing w:val="-3"/>
        </w:rPr>
        <w:t xml:space="preserve"> </w:t>
      </w:r>
      <w:r>
        <w:t>the</w:t>
      </w:r>
      <w:r>
        <w:rPr>
          <w:spacing w:val="-3"/>
        </w:rPr>
        <w:t xml:space="preserve"> </w:t>
      </w:r>
      <w:r>
        <w:t>reasons</w:t>
      </w:r>
      <w:r>
        <w:rPr>
          <w:spacing w:val="-3"/>
        </w:rPr>
        <w:t xml:space="preserve"> </w:t>
      </w:r>
      <w:r>
        <w:t>for</w:t>
      </w:r>
      <w:r>
        <w:rPr>
          <w:spacing w:val="-1"/>
        </w:rPr>
        <w:t xml:space="preserve"> </w:t>
      </w:r>
      <w:r>
        <w:t>deciding</w:t>
      </w:r>
      <w:r>
        <w:rPr>
          <w:spacing w:val="-1"/>
        </w:rPr>
        <w:t xml:space="preserve"> </w:t>
      </w:r>
      <w:r>
        <w:t>on</w:t>
      </w:r>
      <w:r>
        <w:rPr>
          <w:spacing w:val="-4"/>
        </w:rPr>
        <w:t xml:space="preserve"> </w:t>
      </w:r>
      <w:r>
        <w:t>that option</w:t>
      </w:r>
      <w:r>
        <w:rPr>
          <w:spacing w:val="-4"/>
        </w:rPr>
        <w:t xml:space="preserve"> </w:t>
      </w:r>
      <w:r>
        <w:t>(including</w:t>
      </w:r>
      <w:r>
        <w:rPr>
          <w:spacing w:val="-4"/>
        </w:rPr>
        <w:t xml:space="preserve"> </w:t>
      </w:r>
      <w:r>
        <w:t>any</w:t>
      </w:r>
      <w:r>
        <w:rPr>
          <w:spacing w:val="-1"/>
        </w:rPr>
        <w:t xml:space="preserve"> </w:t>
      </w:r>
      <w:r>
        <w:t>cost/benefits analysis considerations);</w:t>
      </w:r>
    </w:p>
    <w:p w14:paraId="1E805D2A" w14:textId="77777777" w:rsidR="00AA4A02" w:rsidRDefault="00960F31">
      <w:pPr>
        <w:pStyle w:val="ListParagraph"/>
        <w:numPr>
          <w:ilvl w:val="1"/>
          <w:numId w:val="29"/>
        </w:numPr>
        <w:tabs>
          <w:tab w:val="left" w:pos="1559"/>
        </w:tabs>
        <w:spacing w:before="93"/>
        <w:ind w:left="1559" w:hanging="708"/>
        <w:jc w:val="both"/>
      </w:pPr>
      <w:r>
        <w:t>a</w:t>
      </w:r>
      <w:r>
        <w:rPr>
          <w:spacing w:val="-5"/>
        </w:rPr>
        <w:t xml:space="preserve"> </w:t>
      </w:r>
      <w:r>
        <w:t>plan</w:t>
      </w:r>
      <w:r>
        <w:rPr>
          <w:spacing w:val="-5"/>
        </w:rPr>
        <w:t xml:space="preserve"> </w:t>
      </w:r>
      <w:r>
        <w:t>for</w:t>
      </w:r>
      <w:r>
        <w:rPr>
          <w:spacing w:val="-4"/>
        </w:rPr>
        <w:t xml:space="preserve"> </w:t>
      </w:r>
      <w:r>
        <w:t>implementation;</w:t>
      </w:r>
      <w:r>
        <w:rPr>
          <w:spacing w:val="-6"/>
        </w:rPr>
        <w:t xml:space="preserve"> </w:t>
      </w:r>
      <w:r>
        <w:rPr>
          <w:spacing w:val="-5"/>
        </w:rPr>
        <w:t>and</w:t>
      </w:r>
    </w:p>
    <w:p w14:paraId="1E805D2B" w14:textId="77777777" w:rsidR="00AA4A02" w:rsidRDefault="00960F31">
      <w:pPr>
        <w:pStyle w:val="ListParagraph"/>
        <w:numPr>
          <w:ilvl w:val="1"/>
          <w:numId w:val="29"/>
        </w:numPr>
        <w:tabs>
          <w:tab w:val="left" w:pos="1560"/>
        </w:tabs>
        <w:spacing w:before="87"/>
        <w:ind w:left="1560" w:hanging="709"/>
        <w:jc w:val="both"/>
      </w:pPr>
      <w:r>
        <w:t>dissenting</w:t>
      </w:r>
      <w:r>
        <w:rPr>
          <w:spacing w:val="-4"/>
        </w:rPr>
        <w:t xml:space="preserve"> </w:t>
      </w:r>
      <w:r>
        <w:rPr>
          <w:spacing w:val="-2"/>
        </w:rPr>
        <w:t>views.</w:t>
      </w:r>
    </w:p>
    <w:p w14:paraId="1E805D2C" w14:textId="77777777" w:rsidR="00AA4A02" w:rsidRDefault="00960F31">
      <w:pPr>
        <w:pStyle w:val="ListParagraph"/>
        <w:numPr>
          <w:ilvl w:val="0"/>
          <w:numId w:val="29"/>
        </w:numPr>
        <w:tabs>
          <w:tab w:val="left" w:pos="851"/>
        </w:tabs>
        <w:spacing w:before="192" w:line="208" w:lineRule="auto"/>
        <w:ind w:right="564"/>
      </w:pPr>
      <w:r>
        <w:t>For AUASB standards based on IAASB standards, the AUASB’s Basis for Conclusions document</w:t>
      </w:r>
      <w:r>
        <w:rPr>
          <w:spacing w:val="-3"/>
        </w:rPr>
        <w:t xml:space="preserve"> </w:t>
      </w:r>
      <w:r>
        <w:t>that</w:t>
      </w:r>
      <w:r>
        <w:rPr>
          <w:spacing w:val="-4"/>
        </w:rPr>
        <w:t xml:space="preserve"> </w:t>
      </w:r>
      <w:r>
        <w:t>accompanies</w:t>
      </w:r>
      <w:r>
        <w:rPr>
          <w:spacing w:val="-4"/>
        </w:rPr>
        <w:t xml:space="preserve"> </w:t>
      </w:r>
      <w:r>
        <w:t>the</w:t>
      </w:r>
      <w:r>
        <w:rPr>
          <w:spacing w:val="-2"/>
        </w:rPr>
        <w:t xml:space="preserve"> </w:t>
      </w:r>
      <w:r>
        <w:t>Australian</w:t>
      </w:r>
      <w:r>
        <w:rPr>
          <w:spacing w:val="-4"/>
        </w:rPr>
        <w:t xml:space="preserve"> </w:t>
      </w:r>
      <w:r>
        <w:t>standard,</w:t>
      </w:r>
      <w:r>
        <w:rPr>
          <w:spacing w:val="-5"/>
        </w:rPr>
        <w:t xml:space="preserve"> </w:t>
      </w:r>
      <w:r>
        <w:t>in</w:t>
      </w:r>
      <w:r>
        <w:rPr>
          <w:spacing w:val="-5"/>
        </w:rPr>
        <w:t xml:space="preserve"> </w:t>
      </w:r>
      <w:r>
        <w:t>addition</w:t>
      </w:r>
      <w:r>
        <w:rPr>
          <w:spacing w:val="-2"/>
        </w:rPr>
        <w:t xml:space="preserve"> </w:t>
      </w:r>
      <w:r>
        <w:t>to</w:t>
      </w:r>
      <w:r>
        <w:rPr>
          <w:spacing w:val="-5"/>
        </w:rPr>
        <w:t xml:space="preserve"> </w:t>
      </w:r>
      <w:r>
        <w:t>matters</w:t>
      </w:r>
      <w:r>
        <w:rPr>
          <w:spacing w:val="-2"/>
        </w:rPr>
        <w:t xml:space="preserve"> </w:t>
      </w:r>
      <w:r>
        <w:t>outlined</w:t>
      </w:r>
      <w:r>
        <w:rPr>
          <w:spacing w:val="-4"/>
        </w:rPr>
        <w:t xml:space="preserve"> </w:t>
      </w:r>
      <w:r>
        <w:t>above:</w:t>
      </w:r>
    </w:p>
    <w:p w14:paraId="1E805D2D" w14:textId="77777777" w:rsidR="00AA4A02" w:rsidRDefault="00960F31">
      <w:pPr>
        <w:pStyle w:val="ListParagraph"/>
        <w:numPr>
          <w:ilvl w:val="1"/>
          <w:numId w:val="29"/>
        </w:numPr>
        <w:tabs>
          <w:tab w:val="left" w:pos="1562"/>
        </w:tabs>
        <w:spacing w:line="208" w:lineRule="auto"/>
        <w:ind w:right="193"/>
      </w:pPr>
      <w:r>
        <w:t>refers Australian stakeholders to the IAASB’s Basis for Conclusions document that accompanies</w:t>
      </w:r>
      <w:r>
        <w:rPr>
          <w:spacing w:val="-4"/>
        </w:rPr>
        <w:t xml:space="preserve"> </w:t>
      </w:r>
      <w:r>
        <w:t>the</w:t>
      </w:r>
      <w:r>
        <w:rPr>
          <w:spacing w:val="-4"/>
        </w:rPr>
        <w:t xml:space="preserve"> </w:t>
      </w:r>
      <w:r>
        <w:t>international</w:t>
      </w:r>
      <w:r>
        <w:rPr>
          <w:spacing w:val="-3"/>
        </w:rPr>
        <w:t xml:space="preserve"> </w:t>
      </w:r>
      <w:r>
        <w:t>standard,</w:t>
      </w:r>
      <w:r>
        <w:rPr>
          <w:spacing w:val="-4"/>
        </w:rPr>
        <w:t xml:space="preserve"> </w:t>
      </w:r>
      <w:r>
        <w:t>which</w:t>
      </w:r>
      <w:r>
        <w:rPr>
          <w:spacing w:val="-4"/>
        </w:rPr>
        <w:t xml:space="preserve"> </w:t>
      </w:r>
      <w:r>
        <w:t>summarises</w:t>
      </w:r>
      <w:r>
        <w:rPr>
          <w:spacing w:val="-4"/>
        </w:rPr>
        <w:t xml:space="preserve"> </w:t>
      </w:r>
      <w:r>
        <w:t>how</w:t>
      </w:r>
      <w:r>
        <w:rPr>
          <w:spacing w:val="-8"/>
        </w:rPr>
        <w:t xml:space="preserve"> </w:t>
      </w:r>
      <w:r>
        <w:t>the</w:t>
      </w:r>
      <w:r>
        <w:rPr>
          <w:spacing w:val="-4"/>
        </w:rPr>
        <w:t xml:space="preserve"> </w:t>
      </w:r>
      <w:r>
        <w:t>IAASB</w:t>
      </w:r>
      <w:r>
        <w:rPr>
          <w:spacing w:val="-6"/>
        </w:rPr>
        <w:t xml:space="preserve"> </w:t>
      </w:r>
      <w:r>
        <w:t>responded to significant comments received on the ED and the reasons underlying the IAASB’s decision on the final wording of a standard;</w:t>
      </w:r>
    </w:p>
    <w:p w14:paraId="1E805D2E" w14:textId="77777777" w:rsidR="00AA4A02" w:rsidRDefault="00960F31">
      <w:pPr>
        <w:pStyle w:val="ListParagraph"/>
        <w:numPr>
          <w:ilvl w:val="1"/>
          <w:numId w:val="29"/>
        </w:numPr>
        <w:tabs>
          <w:tab w:val="left" w:pos="1562"/>
        </w:tabs>
        <w:spacing w:before="199" w:line="208" w:lineRule="auto"/>
        <w:ind w:right="324"/>
      </w:pPr>
      <w:r>
        <w:t>clearly</w:t>
      </w:r>
      <w:r>
        <w:rPr>
          <w:spacing w:val="-2"/>
        </w:rPr>
        <w:t xml:space="preserve"> </w:t>
      </w:r>
      <w:r>
        <w:t>indicates</w:t>
      </w:r>
      <w:r>
        <w:rPr>
          <w:spacing w:val="-2"/>
        </w:rPr>
        <w:t xml:space="preserve"> </w:t>
      </w:r>
      <w:r>
        <w:t>how</w:t>
      </w:r>
      <w:r>
        <w:rPr>
          <w:spacing w:val="-6"/>
        </w:rPr>
        <w:t xml:space="preserve"> </w:t>
      </w:r>
      <w:r>
        <w:t>the</w:t>
      </w:r>
      <w:r>
        <w:rPr>
          <w:spacing w:val="-4"/>
        </w:rPr>
        <w:t xml:space="preserve"> </w:t>
      </w:r>
      <w:r>
        <w:t>more</w:t>
      </w:r>
      <w:r>
        <w:rPr>
          <w:spacing w:val="-2"/>
        </w:rPr>
        <w:t xml:space="preserve"> </w:t>
      </w:r>
      <w:r>
        <w:t>significant</w:t>
      </w:r>
      <w:r>
        <w:rPr>
          <w:spacing w:val="-4"/>
        </w:rPr>
        <w:t xml:space="preserve"> </w:t>
      </w:r>
      <w:r>
        <w:t>issues</w:t>
      </w:r>
      <w:r>
        <w:rPr>
          <w:spacing w:val="-4"/>
        </w:rPr>
        <w:t xml:space="preserve"> </w:t>
      </w:r>
      <w:r>
        <w:t>raised</w:t>
      </w:r>
      <w:r>
        <w:rPr>
          <w:spacing w:val="-5"/>
        </w:rPr>
        <w:t xml:space="preserve"> </w:t>
      </w:r>
      <w:r>
        <w:t>in</w:t>
      </w:r>
      <w:r>
        <w:rPr>
          <w:spacing w:val="-2"/>
        </w:rPr>
        <w:t xml:space="preserve"> </w:t>
      </w:r>
      <w:r>
        <w:t>the</w:t>
      </w:r>
      <w:r>
        <w:rPr>
          <w:spacing w:val="-2"/>
        </w:rPr>
        <w:t xml:space="preserve"> </w:t>
      </w:r>
      <w:r>
        <w:t>AUASB</w:t>
      </w:r>
      <w:r>
        <w:rPr>
          <w:spacing w:val="-4"/>
        </w:rPr>
        <w:t xml:space="preserve"> </w:t>
      </w:r>
      <w:r>
        <w:t>submission</w:t>
      </w:r>
      <w:r>
        <w:rPr>
          <w:spacing w:val="-5"/>
        </w:rPr>
        <w:t xml:space="preserve"> </w:t>
      </w:r>
      <w:r>
        <w:t>to the IAASB have been addressed in the final IAASB standard;</w:t>
      </w:r>
    </w:p>
    <w:p w14:paraId="1E805D2F" w14:textId="77777777" w:rsidR="00AA4A02" w:rsidRDefault="00960F31">
      <w:pPr>
        <w:pStyle w:val="ListParagraph"/>
        <w:numPr>
          <w:ilvl w:val="1"/>
          <w:numId w:val="29"/>
        </w:numPr>
        <w:tabs>
          <w:tab w:val="left" w:pos="1562"/>
        </w:tabs>
        <w:spacing w:line="208" w:lineRule="auto"/>
        <w:ind w:right="207"/>
      </w:pPr>
      <w:r>
        <w:t>explains</w:t>
      </w:r>
      <w:r>
        <w:rPr>
          <w:spacing w:val="-5"/>
        </w:rPr>
        <w:t xml:space="preserve"> </w:t>
      </w:r>
      <w:r>
        <w:t>the</w:t>
      </w:r>
      <w:r>
        <w:rPr>
          <w:spacing w:val="-3"/>
        </w:rPr>
        <w:t xml:space="preserve"> </w:t>
      </w:r>
      <w:r>
        <w:t>AUASB’s</w:t>
      </w:r>
      <w:r>
        <w:rPr>
          <w:spacing w:val="-3"/>
        </w:rPr>
        <w:t xml:space="preserve"> </w:t>
      </w:r>
      <w:r>
        <w:t>conclusions</w:t>
      </w:r>
      <w:r>
        <w:rPr>
          <w:spacing w:val="-3"/>
        </w:rPr>
        <w:t xml:space="preserve"> </w:t>
      </w:r>
      <w:r>
        <w:t>on</w:t>
      </w:r>
      <w:r>
        <w:rPr>
          <w:spacing w:val="-3"/>
        </w:rPr>
        <w:t xml:space="preserve"> </w:t>
      </w:r>
      <w:r>
        <w:t>any</w:t>
      </w:r>
      <w:r>
        <w:rPr>
          <w:spacing w:val="-3"/>
        </w:rPr>
        <w:t xml:space="preserve"> </w:t>
      </w:r>
      <w:r>
        <w:t>AUASB</w:t>
      </w:r>
      <w:r>
        <w:rPr>
          <w:spacing w:val="-5"/>
        </w:rPr>
        <w:t xml:space="preserve"> </w:t>
      </w:r>
      <w:r>
        <w:t>compelling</w:t>
      </w:r>
      <w:r>
        <w:rPr>
          <w:spacing w:val="-6"/>
        </w:rPr>
        <w:t xml:space="preserve"> </w:t>
      </w:r>
      <w:r>
        <w:t>reasons</w:t>
      </w:r>
      <w:r>
        <w:rPr>
          <w:spacing w:val="-5"/>
        </w:rPr>
        <w:t xml:space="preserve"> </w:t>
      </w:r>
      <w:r>
        <w:t>modifications to the international standard, including the rationale for decisions not to make any compelling reasons changes; and</w:t>
      </w:r>
    </w:p>
    <w:p w14:paraId="1E805D30" w14:textId="77777777" w:rsidR="00AA4A02" w:rsidRDefault="00960F31">
      <w:pPr>
        <w:pStyle w:val="ListParagraph"/>
        <w:numPr>
          <w:ilvl w:val="1"/>
          <w:numId w:val="29"/>
        </w:numPr>
        <w:tabs>
          <w:tab w:val="left" w:pos="1562"/>
        </w:tabs>
        <w:spacing w:before="199" w:line="208" w:lineRule="auto"/>
        <w:ind w:right="253"/>
      </w:pPr>
      <w:r>
        <w:t>explains</w:t>
      </w:r>
      <w:r>
        <w:rPr>
          <w:spacing w:val="-5"/>
        </w:rPr>
        <w:t xml:space="preserve"> </w:t>
      </w:r>
      <w:r>
        <w:t>the</w:t>
      </w:r>
      <w:r>
        <w:rPr>
          <w:spacing w:val="-3"/>
        </w:rPr>
        <w:t xml:space="preserve"> </w:t>
      </w:r>
      <w:r>
        <w:t>reasons</w:t>
      </w:r>
      <w:r>
        <w:rPr>
          <w:spacing w:val="-3"/>
        </w:rPr>
        <w:t xml:space="preserve"> </w:t>
      </w:r>
      <w:r>
        <w:t>for</w:t>
      </w:r>
      <w:r>
        <w:rPr>
          <w:spacing w:val="-3"/>
        </w:rPr>
        <w:t xml:space="preserve"> </w:t>
      </w:r>
      <w:r>
        <w:t>any</w:t>
      </w:r>
      <w:r>
        <w:rPr>
          <w:spacing w:val="-3"/>
        </w:rPr>
        <w:t xml:space="preserve"> </w:t>
      </w:r>
      <w:r>
        <w:t>significant</w:t>
      </w:r>
      <w:r>
        <w:rPr>
          <w:spacing w:val="-1"/>
        </w:rPr>
        <w:t xml:space="preserve"> </w:t>
      </w:r>
      <w:r>
        <w:t>differences</w:t>
      </w:r>
      <w:r>
        <w:rPr>
          <w:spacing w:val="-3"/>
        </w:rPr>
        <w:t xml:space="preserve"> </w:t>
      </w:r>
      <w:r>
        <w:t>between</w:t>
      </w:r>
      <w:r>
        <w:rPr>
          <w:spacing w:val="-3"/>
        </w:rPr>
        <w:t xml:space="preserve"> </w:t>
      </w:r>
      <w:r>
        <w:t>the</w:t>
      </w:r>
      <w:r>
        <w:rPr>
          <w:spacing w:val="-3"/>
        </w:rPr>
        <w:t xml:space="preserve"> </w:t>
      </w:r>
      <w:r>
        <w:t>final</w:t>
      </w:r>
      <w:r>
        <w:rPr>
          <w:spacing w:val="-2"/>
        </w:rPr>
        <w:t xml:space="preserve"> </w:t>
      </w:r>
      <w:r>
        <w:t>standard</w:t>
      </w:r>
      <w:r>
        <w:rPr>
          <w:spacing w:val="-6"/>
        </w:rPr>
        <w:t xml:space="preserve"> </w:t>
      </w:r>
      <w:r>
        <w:t>and</w:t>
      </w:r>
      <w:r>
        <w:rPr>
          <w:spacing w:val="-5"/>
        </w:rPr>
        <w:t xml:space="preserve"> </w:t>
      </w:r>
      <w:r>
        <w:t>the original ED and, in circumstances where:</w:t>
      </w:r>
    </w:p>
    <w:p w14:paraId="1E805D31" w14:textId="77777777" w:rsidR="00AA4A02" w:rsidRDefault="00960F31">
      <w:pPr>
        <w:pStyle w:val="ListParagraph"/>
        <w:numPr>
          <w:ilvl w:val="0"/>
          <w:numId w:val="11"/>
        </w:numPr>
        <w:tabs>
          <w:tab w:val="left" w:pos="2128"/>
        </w:tabs>
        <w:spacing w:line="208" w:lineRule="auto"/>
        <w:ind w:right="482"/>
      </w:pPr>
      <w:r>
        <w:t>the</w:t>
      </w:r>
      <w:r>
        <w:rPr>
          <w:spacing w:val="-3"/>
        </w:rPr>
        <w:t xml:space="preserve"> </w:t>
      </w:r>
      <w:r>
        <w:t>IAASB</w:t>
      </w:r>
      <w:r>
        <w:rPr>
          <w:spacing w:val="-4"/>
        </w:rPr>
        <w:t xml:space="preserve"> </w:t>
      </w:r>
      <w:r>
        <w:t>and/or</w:t>
      </w:r>
      <w:r>
        <w:rPr>
          <w:spacing w:val="-1"/>
        </w:rPr>
        <w:t xml:space="preserve"> </w:t>
      </w:r>
      <w:r>
        <w:t>AUASB</w:t>
      </w:r>
      <w:r>
        <w:rPr>
          <w:spacing w:val="-4"/>
        </w:rPr>
        <w:t xml:space="preserve"> </w:t>
      </w:r>
      <w:r>
        <w:t>decided</w:t>
      </w:r>
      <w:r>
        <w:rPr>
          <w:spacing w:val="-3"/>
        </w:rPr>
        <w:t xml:space="preserve"> </w:t>
      </w:r>
      <w:r>
        <w:t>not</w:t>
      </w:r>
      <w:r>
        <w:rPr>
          <w:spacing w:val="-4"/>
        </w:rPr>
        <w:t xml:space="preserve"> </w:t>
      </w:r>
      <w:r>
        <w:t>to</w:t>
      </w:r>
      <w:r>
        <w:rPr>
          <w:spacing w:val="-3"/>
        </w:rPr>
        <w:t xml:space="preserve"> </w:t>
      </w:r>
      <w:r>
        <w:t>re-expose</w:t>
      </w:r>
      <w:r>
        <w:rPr>
          <w:spacing w:val="-3"/>
        </w:rPr>
        <w:t xml:space="preserve"> </w:t>
      </w:r>
      <w:r>
        <w:t>significant</w:t>
      </w:r>
      <w:r>
        <w:rPr>
          <w:spacing w:val="-4"/>
        </w:rPr>
        <w:t xml:space="preserve"> </w:t>
      </w:r>
      <w:r>
        <w:t>changes,</w:t>
      </w:r>
      <w:r>
        <w:rPr>
          <w:spacing w:val="-5"/>
        </w:rPr>
        <w:t xml:space="preserve"> </w:t>
      </w:r>
      <w:r>
        <w:t>the reasons for that decision(s); or</w:t>
      </w:r>
    </w:p>
    <w:p w14:paraId="1E805D32" w14:textId="77777777" w:rsidR="00AA4A02" w:rsidRDefault="00960F31">
      <w:pPr>
        <w:pStyle w:val="ListParagraph"/>
        <w:numPr>
          <w:ilvl w:val="0"/>
          <w:numId w:val="11"/>
        </w:numPr>
        <w:tabs>
          <w:tab w:val="left" w:pos="2124"/>
          <w:tab w:val="left" w:pos="2128"/>
        </w:tabs>
        <w:spacing w:before="198" w:line="208" w:lineRule="auto"/>
        <w:ind w:right="818"/>
        <w:jc w:val="both"/>
      </w:pPr>
      <w:r>
        <w:t>the</w:t>
      </w:r>
      <w:r>
        <w:rPr>
          <w:spacing w:val="-2"/>
        </w:rPr>
        <w:t xml:space="preserve"> </w:t>
      </w:r>
      <w:r>
        <w:t>IAASB</w:t>
      </w:r>
      <w:r>
        <w:rPr>
          <w:spacing w:val="-4"/>
        </w:rPr>
        <w:t xml:space="preserve"> </w:t>
      </w:r>
      <w:r>
        <w:t>decided</w:t>
      </w:r>
      <w:r>
        <w:rPr>
          <w:spacing w:val="-2"/>
        </w:rPr>
        <w:t xml:space="preserve"> </w:t>
      </w:r>
      <w:r>
        <w:t>not</w:t>
      </w:r>
      <w:r>
        <w:rPr>
          <w:spacing w:val="-4"/>
        </w:rPr>
        <w:t xml:space="preserve"> </w:t>
      </w:r>
      <w:r>
        <w:t>to</w:t>
      </w:r>
      <w:r>
        <w:rPr>
          <w:spacing w:val="-2"/>
        </w:rPr>
        <w:t xml:space="preserve"> </w:t>
      </w:r>
      <w:r>
        <w:t>re-expose</w:t>
      </w:r>
      <w:r>
        <w:rPr>
          <w:spacing w:val="-4"/>
        </w:rPr>
        <w:t xml:space="preserve"> </w:t>
      </w:r>
      <w:r>
        <w:t>significant</w:t>
      </w:r>
      <w:r>
        <w:rPr>
          <w:spacing w:val="-4"/>
        </w:rPr>
        <w:t xml:space="preserve"> </w:t>
      </w:r>
      <w:r>
        <w:t>changes but</w:t>
      </w:r>
      <w:r>
        <w:rPr>
          <w:spacing w:val="-4"/>
        </w:rPr>
        <w:t xml:space="preserve"> </w:t>
      </w:r>
      <w:r>
        <w:t>the</w:t>
      </w:r>
      <w:r>
        <w:rPr>
          <w:spacing w:val="-2"/>
        </w:rPr>
        <w:t xml:space="preserve"> </w:t>
      </w:r>
      <w:r>
        <w:t>AUASB decided</w:t>
      </w:r>
      <w:r>
        <w:rPr>
          <w:spacing w:val="-3"/>
        </w:rPr>
        <w:t xml:space="preserve"> </w:t>
      </w:r>
      <w:r>
        <w:t>that re-exposure was warranted</w:t>
      </w:r>
      <w:r>
        <w:rPr>
          <w:spacing w:val="-1"/>
        </w:rPr>
        <w:t xml:space="preserve"> </w:t>
      </w:r>
      <w:r>
        <w:t>in Australia,</w:t>
      </w:r>
      <w:r>
        <w:rPr>
          <w:spacing w:val="-3"/>
        </w:rPr>
        <w:t xml:space="preserve"> </w:t>
      </w:r>
      <w:r>
        <w:t xml:space="preserve">the reasons for that </w:t>
      </w:r>
      <w:r>
        <w:rPr>
          <w:spacing w:val="-2"/>
        </w:rPr>
        <w:t>decision.</w:t>
      </w:r>
    </w:p>
    <w:p w14:paraId="1E805D33" w14:textId="77777777" w:rsidR="00AA4A02" w:rsidRDefault="00AA4A02">
      <w:pPr>
        <w:pStyle w:val="ListParagraph"/>
        <w:spacing w:line="208" w:lineRule="auto"/>
        <w:jc w:val="both"/>
        <w:sectPr w:rsidR="00AA4A02">
          <w:pgSz w:w="11910" w:h="16840"/>
          <w:pgMar w:top="1380" w:right="1275" w:bottom="1040" w:left="1275" w:header="689" w:footer="842" w:gutter="0"/>
          <w:cols w:space="720"/>
        </w:sectPr>
      </w:pPr>
    </w:p>
    <w:p w14:paraId="1E805D34" w14:textId="77777777" w:rsidR="00AA4A02" w:rsidRDefault="00960F31">
      <w:pPr>
        <w:pStyle w:val="ListParagraph"/>
        <w:numPr>
          <w:ilvl w:val="0"/>
          <w:numId w:val="29"/>
        </w:numPr>
        <w:tabs>
          <w:tab w:val="left" w:pos="851"/>
        </w:tabs>
        <w:spacing w:before="219" w:line="208" w:lineRule="auto"/>
        <w:ind w:right="230"/>
      </w:pPr>
      <w:r>
        <w:lastRenderedPageBreak/>
        <w:t>The Basis for Conclusions is prepared by technical staff and reviewed by AUASB members for</w:t>
      </w:r>
      <w:r>
        <w:rPr>
          <w:spacing w:val="-4"/>
        </w:rPr>
        <w:t xml:space="preserve"> </w:t>
      </w:r>
      <w:r>
        <w:t>fatal</w:t>
      </w:r>
      <w:r>
        <w:rPr>
          <w:spacing w:val="-4"/>
        </w:rPr>
        <w:t xml:space="preserve"> </w:t>
      </w:r>
      <w:r>
        <w:t>flaws.</w:t>
      </w:r>
      <w:r>
        <w:rPr>
          <w:spacing w:val="40"/>
        </w:rPr>
        <w:t xml:space="preserve"> </w:t>
      </w:r>
      <w:r>
        <w:t>The</w:t>
      </w:r>
      <w:r>
        <w:rPr>
          <w:spacing w:val="-2"/>
        </w:rPr>
        <w:t xml:space="preserve"> </w:t>
      </w:r>
      <w:r>
        <w:t>AUASB</w:t>
      </w:r>
      <w:r>
        <w:rPr>
          <w:spacing w:val="-4"/>
        </w:rPr>
        <w:t xml:space="preserve"> </w:t>
      </w:r>
      <w:r>
        <w:t>Chair</w:t>
      </w:r>
      <w:r>
        <w:rPr>
          <w:spacing w:val="-4"/>
        </w:rPr>
        <w:t xml:space="preserve"> </w:t>
      </w:r>
      <w:r>
        <w:t>and Technical</w:t>
      </w:r>
      <w:r>
        <w:rPr>
          <w:spacing w:val="-1"/>
        </w:rPr>
        <w:t xml:space="preserve"> </w:t>
      </w:r>
      <w:r>
        <w:t>Director</w:t>
      </w:r>
      <w:r>
        <w:rPr>
          <w:spacing w:val="-2"/>
        </w:rPr>
        <w:t xml:space="preserve"> </w:t>
      </w:r>
      <w:r>
        <w:t>approve</w:t>
      </w:r>
      <w:r>
        <w:rPr>
          <w:spacing w:val="-4"/>
        </w:rPr>
        <w:t xml:space="preserve"> </w:t>
      </w:r>
      <w:r>
        <w:t>the</w:t>
      </w:r>
      <w:r>
        <w:rPr>
          <w:spacing w:val="-4"/>
        </w:rPr>
        <w:t xml:space="preserve"> </w:t>
      </w:r>
      <w:r>
        <w:t>final</w:t>
      </w:r>
      <w:r>
        <w:rPr>
          <w:spacing w:val="-3"/>
        </w:rPr>
        <w:t xml:space="preserve"> </w:t>
      </w:r>
      <w:r>
        <w:t>wording</w:t>
      </w:r>
      <w:r>
        <w:rPr>
          <w:spacing w:val="-2"/>
        </w:rPr>
        <w:t xml:space="preserve"> </w:t>
      </w:r>
      <w:r>
        <w:t>for</w:t>
      </w:r>
      <w:r>
        <w:rPr>
          <w:spacing w:val="-2"/>
        </w:rPr>
        <w:t xml:space="preserve"> </w:t>
      </w:r>
      <w:r>
        <w:t>each Basis for Conclusions.</w:t>
      </w:r>
    </w:p>
    <w:p w14:paraId="1E805D35" w14:textId="77777777" w:rsidR="00AA4A02" w:rsidRDefault="00960F31">
      <w:pPr>
        <w:pStyle w:val="Heading4"/>
        <w:spacing w:before="163"/>
        <w:ind w:left="143" w:firstLine="0"/>
      </w:pPr>
      <w:bookmarkStart w:id="100" w:name="_TOC_250005"/>
      <w:r>
        <w:t>Implementation</w:t>
      </w:r>
      <w:r>
        <w:rPr>
          <w:spacing w:val="-6"/>
        </w:rPr>
        <w:t xml:space="preserve"> </w:t>
      </w:r>
      <w:r>
        <w:t>Support</w:t>
      </w:r>
      <w:r>
        <w:rPr>
          <w:spacing w:val="-5"/>
        </w:rPr>
        <w:t xml:space="preserve"> </w:t>
      </w:r>
      <w:bookmarkEnd w:id="100"/>
      <w:r>
        <w:rPr>
          <w:spacing w:val="-2"/>
        </w:rPr>
        <w:t>Materials</w:t>
      </w:r>
    </w:p>
    <w:p w14:paraId="1E805D36" w14:textId="77777777" w:rsidR="00AA4A02" w:rsidRDefault="00960F31">
      <w:pPr>
        <w:pStyle w:val="ListParagraph"/>
        <w:numPr>
          <w:ilvl w:val="0"/>
          <w:numId w:val="29"/>
        </w:numPr>
        <w:tabs>
          <w:tab w:val="left" w:pos="851"/>
        </w:tabs>
        <w:spacing w:before="193" w:line="208" w:lineRule="auto"/>
        <w:ind w:right="339"/>
      </w:pPr>
      <w:r>
        <w:t>In the course of finalising and following the release of a standard the AUASB will consider what</w:t>
      </w:r>
      <w:r>
        <w:rPr>
          <w:spacing w:val="-2"/>
        </w:rPr>
        <w:t xml:space="preserve"> </w:t>
      </w:r>
      <w:r>
        <w:t>implementation</w:t>
      </w:r>
      <w:r>
        <w:rPr>
          <w:spacing w:val="-3"/>
        </w:rPr>
        <w:t xml:space="preserve"> </w:t>
      </w:r>
      <w:r>
        <w:t>support</w:t>
      </w:r>
      <w:r>
        <w:rPr>
          <w:spacing w:val="-5"/>
        </w:rPr>
        <w:t xml:space="preserve"> </w:t>
      </w:r>
      <w:r>
        <w:t>materials</w:t>
      </w:r>
      <w:r>
        <w:rPr>
          <w:spacing w:val="-2"/>
        </w:rPr>
        <w:t xml:space="preserve"> </w:t>
      </w:r>
      <w:r>
        <w:t>may</w:t>
      </w:r>
      <w:r>
        <w:rPr>
          <w:spacing w:val="-5"/>
        </w:rPr>
        <w:t xml:space="preserve"> </w:t>
      </w:r>
      <w:r>
        <w:t>be</w:t>
      </w:r>
      <w:r>
        <w:rPr>
          <w:spacing w:val="-3"/>
        </w:rPr>
        <w:t xml:space="preserve"> </w:t>
      </w:r>
      <w:r>
        <w:t>necessary</w:t>
      </w:r>
      <w:r>
        <w:rPr>
          <w:spacing w:val="-3"/>
        </w:rPr>
        <w:t xml:space="preserve"> </w:t>
      </w:r>
      <w:r>
        <w:t>to</w:t>
      </w:r>
      <w:r>
        <w:rPr>
          <w:spacing w:val="-4"/>
        </w:rPr>
        <w:t xml:space="preserve"> </w:t>
      </w:r>
      <w:r>
        <w:t>ensure</w:t>
      </w:r>
      <w:r>
        <w:rPr>
          <w:spacing w:val="-5"/>
        </w:rPr>
        <w:t xml:space="preserve"> </w:t>
      </w:r>
      <w:r>
        <w:t>effective</w:t>
      </w:r>
      <w:r>
        <w:rPr>
          <w:spacing w:val="-3"/>
        </w:rPr>
        <w:t xml:space="preserve"> </w:t>
      </w:r>
      <w:r>
        <w:t>implementation and application of the pronouncement.</w:t>
      </w:r>
    </w:p>
    <w:p w14:paraId="1E805D37" w14:textId="77777777" w:rsidR="00AA4A02" w:rsidRDefault="00960F31">
      <w:pPr>
        <w:pStyle w:val="ListParagraph"/>
        <w:numPr>
          <w:ilvl w:val="0"/>
          <w:numId w:val="29"/>
        </w:numPr>
        <w:tabs>
          <w:tab w:val="left" w:pos="851"/>
        </w:tabs>
        <w:spacing w:before="199" w:line="208" w:lineRule="auto"/>
        <w:ind w:right="167"/>
      </w:pPr>
      <w:r>
        <w:t>Where applicable, the AUASB considers what IAASB implementation support materials are going</w:t>
      </w:r>
      <w:r>
        <w:rPr>
          <w:spacing w:val="-5"/>
        </w:rPr>
        <w:t xml:space="preserve"> </w:t>
      </w:r>
      <w:r>
        <w:t>to</w:t>
      </w:r>
      <w:r>
        <w:rPr>
          <w:spacing w:val="-2"/>
        </w:rPr>
        <w:t xml:space="preserve"> </w:t>
      </w:r>
      <w:r>
        <w:t>be</w:t>
      </w:r>
      <w:r>
        <w:rPr>
          <w:spacing w:val="-2"/>
        </w:rPr>
        <w:t xml:space="preserve"> </w:t>
      </w:r>
      <w:r>
        <w:t>made</w:t>
      </w:r>
      <w:r>
        <w:rPr>
          <w:spacing w:val="-2"/>
        </w:rPr>
        <w:t xml:space="preserve"> </w:t>
      </w:r>
      <w:r>
        <w:t>available</w:t>
      </w:r>
      <w:r>
        <w:rPr>
          <w:spacing w:val="-4"/>
        </w:rPr>
        <w:t xml:space="preserve"> </w:t>
      </w:r>
      <w:r>
        <w:t>to</w:t>
      </w:r>
      <w:r>
        <w:rPr>
          <w:spacing w:val="-2"/>
        </w:rPr>
        <w:t xml:space="preserve"> </w:t>
      </w:r>
      <w:r>
        <w:t>support</w:t>
      </w:r>
      <w:r>
        <w:rPr>
          <w:spacing w:val="-1"/>
        </w:rPr>
        <w:t xml:space="preserve"> </w:t>
      </w:r>
      <w:r>
        <w:t>the</w:t>
      </w:r>
      <w:r>
        <w:rPr>
          <w:spacing w:val="-2"/>
        </w:rPr>
        <w:t xml:space="preserve"> </w:t>
      </w:r>
      <w:r>
        <w:t>IAASB</w:t>
      </w:r>
      <w:r>
        <w:rPr>
          <w:spacing w:val="-4"/>
        </w:rPr>
        <w:t xml:space="preserve"> </w:t>
      </w:r>
      <w:r>
        <w:t>equivalent</w:t>
      </w:r>
      <w:r>
        <w:rPr>
          <w:spacing w:val="-1"/>
        </w:rPr>
        <w:t xml:space="preserve"> </w:t>
      </w:r>
      <w:r>
        <w:t>of the</w:t>
      </w:r>
      <w:r>
        <w:rPr>
          <w:spacing w:val="-2"/>
        </w:rPr>
        <w:t xml:space="preserve"> </w:t>
      </w:r>
      <w:r>
        <w:t>AUASB</w:t>
      </w:r>
      <w:r>
        <w:rPr>
          <w:spacing w:val="-3"/>
        </w:rPr>
        <w:t xml:space="preserve"> </w:t>
      </w:r>
      <w:r>
        <w:t>Standard</w:t>
      </w:r>
      <w:r>
        <w:rPr>
          <w:spacing w:val="-5"/>
        </w:rPr>
        <w:t xml:space="preserve"> </w:t>
      </w:r>
      <w:r>
        <w:t>and</w:t>
      </w:r>
      <w:r>
        <w:rPr>
          <w:spacing w:val="-2"/>
        </w:rPr>
        <w:t xml:space="preserve"> </w:t>
      </w:r>
      <w:r>
        <w:t>how these can be adopted for use by AUASB stakeholders. In addition, technical staff will collaborate with other national auditing standard</w:t>
      </w:r>
      <w:r>
        <w:rPr>
          <w:spacing w:val="-2"/>
        </w:rPr>
        <w:t xml:space="preserve"> </w:t>
      </w:r>
      <w:r>
        <w:t>setters to co-develop</w:t>
      </w:r>
      <w:r>
        <w:rPr>
          <w:spacing w:val="-2"/>
        </w:rPr>
        <w:t xml:space="preserve"> </w:t>
      </w:r>
      <w:r>
        <w:t>implementation</w:t>
      </w:r>
      <w:r>
        <w:rPr>
          <w:spacing w:val="-3"/>
        </w:rPr>
        <w:t xml:space="preserve"> </w:t>
      </w:r>
      <w:r>
        <w:t>support materials where applicable.</w:t>
      </w:r>
    </w:p>
    <w:p w14:paraId="1E805D38" w14:textId="77777777" w:rsidR="00AA4A02" w:rsidRDefault="00960F31">
      <w:pPr>
        <w:pStyle w:val="ListParagraph"/>
        <w:numPr>
          <w:ilvl w:val="0"/>
          <w:numId w:val="29"/>
        </w:numPr>
        <w:tabs>
          <w:tab w:val="left" w:pos="851"/>
        </w:tabs>
        <w:spacing w:line="208" w:lineRule="auto"/>
        <w:ind w:right="248"/>
      </w:pPr>
      <w:r>
        <w:t>Generally, implementation support materials will be developed and made available on the AUASB</w:t>
      </w:r>
      <w:r>
        <w:rPr>
          <w:spacing w:val="-4"/>
        </w:rPr>
        <w:t xml:space="preserve"> </w:t>
      </w:r>
      <w:r>
        <w:t>website,</w:t>
      </w:r>
      <w:r>
        <w:rPr>
          <w:spacing w:val="-3"/>
        </w:rPr>
        <w:t xml:space="preserve"> </w:t>
      </w:r>
      <w:r>
        <w:t>before</w:t>
      </w:r>
      <w:r>
        <w:rPr>
          <w:spacing w:val="-4"/>
        </w:rPr>
        <w:t xml:space="preserve"> </w:t>
      </w:r>
      <w:r>
        <w:t>the</w:t>
      </w:r>
      <w:r>
        <w:rPr>
          <w:spacing w:val="-1"/>
        </w:rPr>
        <w:t xml:space="preserve"> </w:t>
      </w:r>
      <w:r>
        <w:t>operative</w:t>
      </w:r>
      <w:r>
        <w:rPr>
          <w:spacing w:val="-4"/>
        </w:rPr>
        <w:t xml:space="preserve"> </w:t>
      </w:r>
      <w:r>
        <w:t>date</w:t>
      </w:r>
      <w:r>
        <w:rPr>
          <w:spacing w:val="-2"/>
        </w:rPr>
        <w:t xml:space="preserve"> </w:t>
      </w:r>
      <w:r>
        <w:t>of</w:t>
      </w:r>
      <w:r>
        <w:rPr>
          <w:spacing w:val="-3"/>
        </w:rPr>
        <w:t xml:space="preserve"> </w:t>
      </w:r>
      <w:r>
        <w:t>a</w:t>
      </w:r>
      <w:r>
        <w:rPr>
          <w:spacing w:val="-2"/>
        </w:rPr>
        <w:t xml:space="preserve"> </w:t>
      </w:r>
      <w:r>
        <w:t>standard.</w:t>
      </w:r>
      <w:r>
        <w:rPr>
          <w:spacing w:val="-2"/>
        </w:rPr>
        <w:t xml:space="preserve"> </w:t>
      </w:r>
      <w:r>
        <w:t>The</w:t>
      </w:r>
      <w:r>
        <w:rPr>
          <w:spacing w:val="-2"/>
        </w:rPr>
        <w:t xml:space="preserve"> </w:t>
      </w:r>
      <w:r>
        <w:t>AUASB</w:t>
      </w:r>
      <w:r>
        <w:rPr>
          <w:spacing w:val="-4"/>
        </w:rPr>
        <w:t xml:space="preserve"> </w:t>
      </w:r>
      <w:r>
        <w:t>technical</w:t>
      </w:r>
      <w:r>
        <w:rPr>
          <w:spacing w:val="-1"/>
        </w:rPr>
        <w:t xml:space="preserve"> </w:t>
      </w:r>
      <w:r>
        <w:t>staff</w:t>
      </w:r>
      <w:r>
        <w:rPr>
          <w:spacing w:val="-4"/>
        </w:rPr>
        <w:t xml:space="preserve"> </w:t>
      </w:r>
      <w:r>
        <w:t>monitor the effectiveness of implementation support materials to ensure that any knowledge or performance gaps are identified and addressed as early as possible.</w:t>
      </w:r>
    </w:p>
    <w:p w14:paraId="1E805D39" w14:textId="77777777" w:rsidR="00AA4A02" w:rsidRDefault="00960F31">
      <w:pPr>
        <w:pStyle w:val="Heading4"/>
        <w:ind w:left="143" w:firstLine="0"/>
      </w:pPr>
      <w:bookmarkStart w:id="101" w:name="_TOC_250004"/>
      <w:r>
        <w:t>Education,</w:t>
      </w:r>
      <w:r>
        <w:rPr>
          <w:spacing w:val="-5"/>
        </w:rPr>
        <w:t xml:space="preserve"> </w:t>
      </w:r>
      <w:r>
        <w:t>Awareness</w:t>
      </w:r>
      <w:r>
        <w:rPr>
          <w:spacing w:val="-4"/>
        </w:rPr>
        <w:t xml:space="preserve"> </w:t>
      </w:r>
      <w:r>
        <w:t>and</w:t>
      </w:r>
      <w:bookmarkEnd w:id="101"/>
      <w:r>
        <w:rPr>
          <w:spacing w:val="-2"/>
        </w:rPr>
        <w:t xml:space="preserve"> Outreach</w:t>
      </w:r>
    </w:p>
    <w:p w14:paraId="1E805D3A" w14:textId="77777777" w:rsidR="00AA4A02" w:rsidRDefault="00960F31">
      <w:pPr>
        <w:pStyle w:val="ListParagraph"/>
        <w:numPr>
          <w:ilvl w:val="0"/>
          <w:numId w:val="29"/>
        </w:numPr>
        <w:tabs>
          <w:tab w:val="left" w:pos="851"/>
        </w:tabs>
        <w:spacing w:before="193" w:line="208" w:lineRule="auto"/>
        <w:ind w:right="164"/>
      </w:pPr>
      <w:r>
        <w:t>Following</w:t>
      </w:r>
      <w:r>
        <w:rPr>
          <w:spacing w:val="-5"/>
        </w:rPr>
        <w:t xml:space="preserve"> </w:t>
      </w:r>
      <w:r>
        <w:t>the</w:t>
      </w:r>
      <w:r>
        <w:rPr>
          <w:spacing w:val="-5"/>
        </w:rPr>
        <w:t xml:space="preserve"> </w:t>
      </w:r>
      <w:r>
        <w:t>implementation</w:t>
      </w:r>
      <w:r>
        <w:rPr>
          <w:spacing w:val="-3"/>
        </w:rPr>
        <w:t xml:space="preserve"> </w:t>
      </w:r>
      <w:r>
        <w:t>of</w:t>
      </w:r>
      <w:r>
        <w:rPr>
          <w:spacing w:val="-3"/>
        </w:rPr>
        <w:t xml:space="preserve"> </w:t>
      </w:r>
      <w:r>
        <w:t>a</w:t>
      </w:r>
      <w:r>
        <w:rPr>
          <w:spacing w:val="-4"/>
        </w:rPr>
        <w:t xml:space="preserve"> </w:t>
      </w:r>
      <w:r>
        <w:t>standard,</w:t>
      </w:r>
      <w:r>
        <w:rPr>
          <w:spacing w:val="-5"/>
        </w:rPr>
        <w:t xml:space="preserve"> </w:t>
      </w:r>
      <w:r>
        <w:t>the</w:t>
      </w:r>
      <w:r>
        <w:rPr>
          <w:spacing w:val="-3"/>
        </w:rPr>
        <w:t xml:space="preserve"> </w:t>
      </w:r>
      <w:r>
        <w:t>AUASB</w:t>
      </w:r>
      <w:r>
        <w:rPr>
          <w:spacing w:val="-4"/>
        </w:rPr>
        <w:t xml:space="preserve"> </w:t>
      </w:r>
      <w:r>
        <w:t>undertakes</w:t>
      </w:r>
      <w:r>
        <w:rPr>
          <w:spacing w:val="-3"/>
        </w:rPr>
        <w:t xml:space="preserve"> </w:t>
      </w:r>
      <w:r>
        <w:t>education,</w:t>
      </w:r>
      <w:r>
        <w:rPr>
          <w:spacing w:val="-3"/>
        </w:rPr>
        <w:t xml:space="preserve"> </w:t>
      </w:r>
      <w:r>
        <w:t>awareness</w:t>
      </w:r>
      <w:r>
        <w:rPr>
          <w:spacing w:val="-5"/>
        </w:rPr>
        <w:t xml:space="preserve"> </w:t>
      </w:r>
      <w:r>
        <w:t>and outreach activities to facilitate stakeholders’ knowledge and compliance with the new requirements, in accordance with its communications strategy. These activities may be</w:t>
      </w:r>
      <w:r>
        <w:rPr>
          <w:spacing w:val="40"/>
        </w:rPr>
        <w:t xml:space="preserve"> </w:t>
      </w:r>
      <w:r>
        <w:t>specific to the AUASB, co-developed or derived from IAASB materials, or carried out in conjunction with other National Auditing Standard Setters.</w:t>
      </w:r>
    </w:p>
    <w:p w14:paraId="1E805D3B" w14:textId="77777777" w:rsidR="00AA4A02" w:rsidRDefault="00960F31">
      <w:pPr>
        <w:pStyle w:val="Heading4"/>
        <w:ind w:left="143" w:firstLine="0"/>
      </w:pPr>
      <w:bookmarkStart w:id="102" w:name="_TOC_250003"/>
      <w:r>
        <w:t>Withdrawals</w:t>
      </w:r>
      <w:r>
        <w:rPr>
          <w:spacing w:val="-5"/>
        </w:rPr>
        <w:t xml:space="preserve"> </w:t>
      </w:r>
      <w:r>
        <w:t>(Repeal)</w:t>
      </w:r>
      <w:r>
        <w:rPr>
          <w:spacing w:val="-2"/>
        </w:rPr>
        <w:t xml:space="preserve"> </w:t>
      </w:r>
      <w:r>
        <w:t>of</w:t>
      </w:r>
      <w:r>
        <w:rPr>
          <w:spacing w:val="-1"/>
        </w:rPr>
        <w:t xml:space="preserve"> </w:t>
      </w:r>
      <w:bookmarkEnd w:id="102"/>
      <w:r>
        <w:rPr>
          <w:spacing w:val="-2"/>
        </w:rPr>
        <w:t>Standards</w:t>
      </w:r>
    </w:p>
    <w:p w14:paraId="1E805D3C" w14:textId="77777777" w:rsidR="00AA4A02" w:rsidRDefault="00960F31">
      <w:pPr>
        <w:pStyle w:val="ListParagraph"/>
        <w:numPr>
          <w:ilvl w:val="0"/>
          <w:numId w:val="29"/>
        </w:numPr>
        <w:tabs>
          <w:tab w:val="left" w:pos="851"/>
        </w:tabs>
        <w:spacing w:before="194" w:line="208" w:lineRule="auto"/>
        <w:ind w:right="582"/>
      </w:pPr>
      <w:r>
        <w:t>The due process applying to the issue of standards applies equally to their withdrawal or repeal.</w:t>
      </w:r>
      <w:r>
        <w:rPr>
          <w:spacing w:val="-2"/>
        </w:rPr>
        <w:t xml:space="preserve"> </w:t>
      </w:r>
      <w:r>
        <w:t>The</w:t>
      </w:r>
      <w:r>
        <w:rPr>
          <w:spacing w:val="-2"/>
        </w:rPr>
        <w:t xml:space="preserve"> </w:t>
      </w:r>
      <w:r>
        <w:t>repealing</w:t>
      </w:r>
      <w:r>
        <w:rPr>
          <w:spacing w:val="-2"/>
        </w:rPr>
        <w:t xml:space="preserve"> </w:t>
      </w:r>
      <w:r>
        <w:t>of</w:t>
      </w:r>
      <w:r>
        <w:rPr>
          <w:spacing w:val="-4"/>
        </w:rPr>
        <w:t xml:space="preserve"> </w:t>
      </w:r>
      <w:r>
        <w:t>a</w:t>
      </w:r>
      <w:r>
        <w:rPr>
          <w:spacing w:val="-2"/>
        </w:rPr>
        <w:t xml:space="preserve"> </w:t>
      </w:r>
      <w:r>
        <w:t>standard</w:t>
      </w:r>
      <w:r>
        <w:rPr>
          <w:spacing w:val="-2"/>
        </w:rPr>
        <w:t xml:space="preserve"> </w:t>
      </w:r>
      <w:r>
        <w:t>is</w:t>
      </w:r>
      <w:r>
        <w:rPr>
          <w:spacing w:val="-2"/>
        </w:rPr>
        <w:t xml:space="preserve"> </w:t>
      </w:r>
      <w:r>
        <w:t>necessary</w:t>
      </w:r>
      <w:r>
        <w:rPr>
          <w:spacing w:val="-2"/>
        </w:rPr>
        <w:t xml:space="preserve"> </w:t>
      </w:r>
      <w:r>
        <w:t>when</w:t>
      </w:r>
      <w:r>
        <w:rPr>
          <w:spacing w:val="-2"/>
        </w:rPr>
        <w:t xml:space="preserve"> </w:t>
      </w:r>
      <w:r>
        <w:t>the</w:t>
      </w:r>
      <w:r>
        <w:rPr>
          <w:spacing w:val="-2"/>
        </w:rPr>
        <w:t xml:space="preserve"> </w:t>
      </w:r>
      <w:r>
        <w:t>standard</w:t>
      </w:r>
      <w:r>
        <w:rPr>
          <w:spacing w:val="-5"/>
        </w:rPr>
        <w:t xml:space="preserve"> </w:t>
      </w:r>
      <w:r>
        <w:t>is</w:t>
      </w:r>
      <w:r>
        <w:rPr>
          <w:spacing w:val="-2"/>
        </w:rPr>
        <w:t xml:space="preserve"> </w:t>
      </w:r>
      <w:r>
        <w:t>no</w:t>
      </w:r>
      <w:r>
        <w:rPr>
          <w:spacing w:val="-4"/>
        </w:rPr>
        <w:t xml:space="preserve"> </w:t>
      </w:r>
      <w:r>
        <w:t>longer relevant</w:t>
      </w:r>
      <w:r>
        <w:rPr>
          <w:spacing w:val="-4"/>
        </w:rPr>
        <w:t xml:space="preserve"> </w:t>
      </w:r>
      <w:r>
        <w:t>or superseded by another AUASB pronouncement.</w:t>
      </w:r>
    </w:p>
    <w:p w14:paraId="1E805D3D" w14:textId="77777777" w:rsidR="00AA4A02" w:rsidRDefault="00960F31">
      <w:pPr>
        <w:pStyle w:val="ListParagraph"/>
        <w:numPr>
          <w:ilvl w:val="0"/>
          <w:numId w:val="29"/>
        </w:numPr>
        <w:tabs>
          <w:tab w:val="left" w:pos="851"/>
        </w:tabs>
        <w:spacing w:line="208" w:lineRule="auto"/>
        <w:ind w:right="160"/>
      </w:pPr>
      <w:r>
        <w:t>Before the AUASB repeals a standard, it must take appropriate steps to ensure that parties likely</w:t>
      </w:r>
      <w:r>
        <w:rPr>
          <w:spacing w:val="-5"/>
        </w:rPr>
        <w:t xml:space="preserve"> </w:t>
      </w:r>
      <w:r>
        <w:t>to</w:t>
      </w:r>
      <w:r>
        <w:rPr>
          <w:spacing w:val="-2"/>
        </w:rPr>
        <w:t xml:space="preserve"> </w:t>
      </w:r>
      <w:r>
        <w:t>be</w:t>
      </w:r>
      <w:r>
        <w:rPr>
          <w:spacing w:val="-2"/>
        </w:rPr>
        <w:t xml:space="preserve"> </w:t>
      </w:r>
      <w:r>
        <w:t>affected</w:t>
      </w:r>
      <w:r>
        <w:rPr>
          <w:spacing w:val="-2"/>
        </w:rPr>
        <w:t xml:space="preserve"> </w:t>
      </w:r>
      <w:r>
        <w:t>have</w:t>
      </w:r>
      <w:r>
        <w:rPr>
          <w:spacing w:val="-2"/>
        </w:rPr>
        <w:t xml:space="preserve"> </w:t>
      </w:r>
      <w:r>
        <w:t>been</w:t>
      </w:r>
      <w:r>
        <w:rPr>
          <w:spacing w:val="-2"/>
        </w:rPr>
        <w:t xml:space="preserve"> </w:t>
      </w:r>
      <w:r>
        <w:t>adequately</w:t>
      </w:r>
      <w:r>
        <w:rPr>
          <w:spacing w:val="-2"/>
        </w:rPr>
        <w:t xml:space="preserve"> </w:t>
      </w:r>
      <w:r>
        <w:t>consulted.</w:t>
      </w:r>
      <w:r>
        <w:rPr>
          <w:spacing w:val="40"/>
        </w:rPr>
        <w:t xml:space="preserve"> </w:t>
      </w:r>
      <w:r>
        <w:t>However,</w:t>
      </w:r>
      <w:r>
        <w:rPr>
          <w:spacing w:val="-2"/>
        </w:rPr>
        <w:t xml:space="preserve"> </w:t>
      </w:r>
      <w:r>
        <w:t>where</w:t>
      </w:r>
      <w:r>
        <w:rPr>
          <w:spacing w:val="-4"/>
        </w:rPr>
        <w:t xml:space="preserve"> </w:t>
      </w:r>
      <w:r>
        <w:t>the</w:t>
      </w:r>
      <w:r>
        <w:rPr>
          <w:spacing w:val="-4"/>
        </w:rPr>
        <w:t xml:space="preserve"> </w:t>
      </w:r>
      <w:r>
        <w:t>standard</w:t>
      </w:r>
      <w:r>
        <w:rPr>
          <w:spacing w:val="-2"/>
        </w:rPr>
        <w:t xml:space="preserve"> </w:t>
      </w:r>
      <w:r>
        <w:t>is</w:t>
      </w:r>
      <w:r>
        <w:rPr>
          <w:spacing w:val="-2"/>
        </w:rPr>
        <w:t xml:space="preserve"> </w:t>
      </w:r>
      <w:r>
        <w:t>repealed by another standard, a separate consultation process is not required, as the replacement</w:t>
      </w:r>
    </w:p>
    <w:p w14:paraId="1E805D3E" w14:textId="77777777" w:rsidR="00AA4A02" w:rsidRDefault="00960F31">
      <w:pPr>
        <w:pStyle w:val="BodyText"/>
        <w:spacing w:line="226" w:lineRule="exact"/>
        <w:ind w:left="851"/>
      </w:pPr>
      <w:r>
        <w:t>standard</w:t>
      </w:r>
      <w:r>
        <w:rPr>
          <w:spacing w:val="-9"/>
        </w:rPr>
        <w:t xml:space="preserve"> </w:t>
      </w:r>
      <w:r>
        <w:t>is</w:t>
      </w:r>
      <w:r>
        <w:rPr>
          <w:spacing w:val="-5"/>
        </w:rPr>
        <w:t xml:space="preserve"> </w:t>
      </w:r>
      <w:r>
        <w:t>already</w:t>
      </w:r>
      <w:r>
        <w:rPr>
          <w:spacing w:val="-3"/>
        </w:rPr>
        <w:t xml:space="preserve"> </w:t>
      </w:r>
      <w:r>
        <w:t>subject</w:t>
      </w:r>
      <w:r>
        <w:rPr>
          <w:spacing w:val="-6"/>
        </w:rPr>
        <w:t xml:space="preserve"> </w:t>
      </w:r>
      <w:r>
        <w:t>to</w:t>
      </w:r>
      <w:r>
        <w:rPr>
          <w:spacing w:val="-3"/>
        </w:rPr>
        <w:t xml:space="preserve"> </w:t>
      </w:r>
      <w:r>
        <w:t>the</w:t>
      </w:r>
      <w:r>
        <w:rPr>
          <w:spacing w:val="-4"/>
        </w:rPr>
        <w:t xml:space="preserve"> </w:t>
      </w:r>
      <w:r>
        <w:t>AUASB’s</w:t>
      </w:r>
      <w:r>
        <w:rPr>
          <w:spacing w:val="-5"/>
        </w:rPr>
        <w:t xml:space="preserve"> </w:t>
      </w:r>
      <w:r>
        <w:t>consultation</w:t>
      </w:r>
      <w:r>
        <w:rPr>
          <w:spacing w:val="-3"/>
        </w:rPr>
        <w:t xml:space="preserve"> </w:t>
      </w:r>
      <w:r>
        <w:t>process</w:t>
      </w:r>
      <w:r>
        <w:rPr>
          <w:spacing w:val="-6"/>
        </w:rPr>
        <w:t xml:space="preserve"> </w:t>
      </w:r>
      <w:r>
        <w:t>for</w:t>
      </w:r>
      <w:r>
        <w:rPr>
          <w:spacing w:val="-3"/>
        </w:rPr>
        <w:t xml:space="preserve"> </w:t>
      </w:r>
      <w:r>
        <w:t>new</w:t>
      </w:r>
      <w:r>
        <w:rPr>
          <w:spacing w:val="-3"/>
        </w:rPr>
        <w:t xml:space="preserve"> </w:t>
      </w:r>
      <w:r>
        <w:rPr>
          <w:spacing w:val="-2"/>
        </w:rPr>
        <w:t>standards.</w:t>
      </w:r>
    </w:p>
    <w:p w14:paraId="1E805D3F" w14:textId="77777777" w:rsidR="00AA4A02" w:rsidRDefault="00960F31">
      <w:pPr>
        <w:pStyle w:val="ListParagraph"/>
        <w:numPr>
          <w:ilvl w:val="0"/>
          <w:numId w:val="29"/>
        </w:numPr>
        <w:tabs>
          <w:tab w:val="left" w:pos="851"/>
        </w:tabs>
        <w:spacing w:before="194" w:line="208" w:lineRule="auto"/>
        <w:ind w:right="416"/>
      </w:pPr>
      <w:r>
        <w:t>The AUASB develops and issues the proposed repeal, including reasons for the repeal, and notifies</w:t>
      </w:r>
      <w:r>
        <w:rPr>
          <w:spacing w:val="-5"/>
        </w:rPr>
        <w:t xml:space="preserve"> </w:t>
      </w:r>
      <w:r>
        <w:t>interested</w:t>
      </w:r>
      <w:r>
        <w:rPr>
          <w:spacing w:val="-3"/>
        </w:rPr>
        <w:t xml:space="preserve"> </w:t>
      </w:r>
      <w:r>
        <w:t>and</w:t>
      </w:r>
      <w:r>
        <w:rPr>
          <w:spacing w:val="-6"/>
        </w:rPr>
        <w:t xml:space="preserve"> </w:t>
      </w:r>
      <w:r>
        <w:t>affected</w:t>
      </w:r>
      <w:r>
        <w:rPr>
          <w:spacing w:val="-3"/>
        </w:rPr>
        <w:t xml:space="preserve"> </w:t>
      </w:r>
      <w:r>
        <w:t>parties.</w:t>
      </w:r>
      <w:r>
        <w:rPr>
          <w:spacing w:val="40"/>
        </w:rPr>
        <w:t xml:space="preserve"> </w:t>
      </w:r>
      <w:r>
        <w:t>The</w:t>
      </w:r>
      <w:r>
        <w:rPr>
          <w:spacing w:val="-5"/>
        </w:rPr>
        <w:t xml:space="preserve"> </w:t>
      </w:r>
      <w:r>
        <w:t>comment</w:t>
      </w:r>
      <w:r>
        <w:rPr>
          <w:spacing w:val="-5"/>
        </w:rPr>
        <w:t xml:space="preserve"> </w:t>
      </w:r>
      <w:r>
        <w:t>period</w:t>
      </w:r>
      <w:r>
        <w:rPr>
          <w:spacing w:val="-3"/>
        </w:rPr>
        <w:t xml:space="preserve"> </w:t>
      </w:r>
      <w:r>
        <w:t>for</w:t>
      </w:r>
      <w:r>
        <w:rPr>
          <w:spacing w:val="-3"/>
        </w:rPr>
        <w:t xml:space="preserve"> </w:t>
      </w:r>
      <w:r>
        <w:t>the</w:t>
      </w:r>
      <w:r>
        <w:rPr>
          <w:spacing w:val="-3"/>
        </w:rPr>
        <w:t xml:space="preserve"> </w:t>
      </w:r>
      <w:r>
        <w:t>proposed</w:t>
      </w:r>
      <w:r>
        <w:rPr>
          <w:spacing w:val="-3"/>
        </w:rPr>
        <w:t xml:space="preserve"> </w:t>
      </w:r>
      <w:r>
        <w:t>withdrawal</w:t>
      </w:r>
      <w:r>
        <w:rPr>
          <w:spacing w:val="-2"/>
        </w:rPr>
        <w:t xml:space="preserve"> </w:t>
      </w:r>
      <w:r>
        <w:t>is typically 90 days.</w:t>
      </w:r>
    </w:p>
    <w:p w14:paraId="1E805D40" w14:textId="77777777" w:rsidR="00AA4A02" w:rsidRDefault="00960F31">
      <w:pPr>
        <w:pStyle w:val="ListParagraph"/>
        <w:numPr>
          <w:ilvl w:val="0"/>
          <w:numId w:val="29"/>
        </w:numPr>
        <w:tabs>
          <w:tab w:val="left" w:pos="851"/>
        </w:tabs>
        <w:spacing w:before="199" w:line="208" w:lineRule="auto"/>
        <w:ind w:right="170"/>
      </w:pPr>
      <w:r>
        <w:t>Comments are generally sought on the proposed repeal and those comments are taken into account</w:t>
      </w:r>
      <w:r>
        <w:rPr>
          <w:spacing w:val="-1"/>
        </w:rPr>
        <w:t xml:space="preserve"> </w:t>
      </w:r>
      <w:r>
        <w:t>when</w:t>
      </w:r>
      <w:r>
        <w:rPr>
          <w:spacing w:val="-4"/>
        </w:rPr>
        <w:t xml:space="preserve"> </w:t>
      </w:r>
      <w:r>
        <w:t>finalising</w:t>
      </w:r>
      <w:r>
        <w:rPr>
          <w:spacing w:val="-5"/>
        </w:rPr>
        <w:t xml:space="preserve"> </w:t>
      </w:r>
      <w:r>
        <w:t>the</w:t>
      </w:r>
      <w:r>
        <w:rPr>
          <w:spacing w:val="-4"/>
        </w:rPr>
        <w:t xml:space="preserve"> </w:t>
      </w:r>
      <w:r>
        <w:t>repeal.</w:t>
      </w:r>
      <w:r>
        <w:rPr>
          <w:spacing w:val="40"/>
        </w:rPr>
        <w:t xml:space="preserve"> </w:t>
      </w:r>
      <w:r>
        <w:t>Stakeholder</w:t>
      </w:r>
      <w:r>
        <w:rPr>
          <w:spacing w:val="-2"/>
        </w:rPr>
        <w:t xml:space="preserve"> </w:t>
      </w:r>
      <w:r>
        <w:t>comments</w:t>
      </w:r>
      <w:r>
        <w:rPr>
          <w:spacing w:val="-4"/>
        </w:rPr>
        <w:t xml:space="preserve"> </w:t>
      </w:r>
      <w:r>
        <w:t>are</w:t>
      </w:r>
      <w:r>
        <w:rPr>
          <w:spacing w:val="-2"/>
        </w:rPr>
        <w:t xml:space="preserve"> </w:t>
      </w:r>
      <w:r>
        <w:t>posted</w:t>
      </w:r>
      <w:r>
        <w:rPr>
          <w:spacing w:val="-2"/>
        </w:rPr>
        <w:t xml:space="preserve"> </w:t>
      </w:r>
      <w:r>
        <w:t>on</w:t>
      </w:r>
      <w:r>
        <w:rPr>
          <w:spacing w:val="-2"/>
        </w:rPr>
        <w:t xml:space="preserve"> </w:t>
      </w:r>
      <w:r>
        <w:t>the</w:t>
      </w:r>
      <w:r>
        <w:rPr>
          <w:spacing w:val="-2"/>
        </w:rPr>
        <w:t xml:space="preserve"> </w:t>
      </w:r>
      <w:r>
        <w:t>AUASB</w:t>
      </w:r>
      <w:r>
        <w:rPr>
          <w:spacing w:val="-4"/>
        </w:rPr>
        <w:t xml:space="preserve"> </w:t>
      </w:r>
      <w:r>
        <w:t>website, unless marked as confidential.</w:t>
      </w:r>
    </w:p>
    <w:p w14:paraId="1E805D41" w14:textId="77777777" w:rsidR="00AA4A02" w:rsidRDefault="00960F31">
      <w:pPr>
        <w:pStyle w:val="ListParagraph"/>
        <w:numPr>
          <w:ilvl w:val="0"/>
          <w:numId w:val="29"/>
        </w:numPr>
        <w:tabs>
          <w:tab w:val="left" w:pos="851"/>
        </w:tabs>
        <w:spacing w:before="199" w:line="208" w:lineRule="auto"/>
        <w:ind w:right="631"/>
      </w:pPr>
      <w:r>
        <w:t>Following</w:t>
      </w:r>
      <w:r>
        <w:rPr>
          <w:spacing w:val="-5"/>
        </w:rPr>
        <w:t xml:space="preserve"> </w:t>
      </w:r>
      <w:r>
        <w:t>the</w:t>
      </w:r>
      <w:r>
        <w:rPr>
          <w:spacing w:val="-4"/>
        </w:rPr>
        <w:t xml:space="preserve"> </w:t>
      </w:r>
      <w:r>
        <w:t>comment</w:t>
      </w:r>
      <w:r>
        <w:rPr>
          <w:spacing w:val="-1"/>
        </w:rPr>
        <w:t xml:space="preserve"> </w:t>
      </w:r>
      <w:r>
        <w:t>period,</w:t>
      </w:r>
      <w:r>
        <w:rPr>
          <w:spacing w:val="-5"/>
        </w:rPr>
        <w:t xml:space="preserve"> </w:t>
      </w:r>
      <w:r>
        <w:t>the</w:t>
      </w:r>
      <w:r>
        <w:rPr>
          <w:spacing w:val="-2"/>
        </w:rPr>
        <w:t xml:space="preserve"> </w:t>
      </w:r>
      <w:r>
        <w:t>AUASB</w:t>
      </w:r>
      <w:r>
        <w:rPr>
          <w:spacing w:val="-4"/>
        </w:rPr>
        <w:t xml:space="preserve"> </w:t>
      </w:r>
      <w:r>
        <w:t>considers</w:t>
      </w:r>
      <w:r>
        <w:rPr>
          <w:spacing w:val="-4"/>
        </w:rPr>
        <w:t xml:space="preserve"> </w:t>
      </w:r>
      <w:r>
        <w:t>stakeholder</w:t>
      </w:r>
      <w:r>
        <w:rPr>
          <w:spacing w:val="-3"/>
        </w:rPr>
        <w:t xml:space="preserve"> </w:t>
      </w:r>
      <w:r>
        <w:t>feedback,</w:t>
      </w:r>
      <w:r>
        <w:rPr>
          <w:spacing w:val="-2"/>
        </w:rPr>
        <w:t xml:space="preserve"> </w:t>
      </w:r>
      <w:r>
        <w:t>finalises</w:t>
      </w:r>
      <w:r>
        <w:rPr>
          <w:spacing w:val="-4"/>
        </w:rPr>
        <w:t xml:space="preserve"> </w:t>
      </w:r>
      <w:r>
        <w:t>the repeal and then votes on the repeal of the standard</w:t>
      </w:r>
      <w:r>
        <w:rPr>
          <w:vertAlign w:val="superscript"/>
        </w:rPr>
        <w:t>78</w:t>
      </w:r>
      <w:r>
        <w:t>, in accordance with the AUASB’s approval and legislative process (see paragraphs 212-237).</w:t>
      </w:r>
    </w:p>
    <w:p w14:paraId="1E805D42" w14:textId="77777777" w:rsidR="00AA4A02" w:rsidRDefault="00960F31">
      <w:pPr>
        <w:pStyle w:val="Heading4"/>
        <w:spacing w:before="163"/>
        <w:ind w:left="143" w:firstLine="0"/>
      </w:pPr>
      <w:bookmarkStart w:id="103" w:name="_TOC_250002"/>
      <w:r>
        <w:t>Post-Implementation</w:t>
      </w:r>
      <w:r>
        <w:rPr>
          <w:spacing w:val="-5"/>
        </w:rPr>
        <w:t xml:space="preserve"> </w:t>
      </w:r>
      <w:bookmarkEnd w:id="103"/>
      <w:r>
        <w:rPr>
          <w:spacing w:val="-2"/>
        </w:rPr>
        <w:t>Reviews</w:t>
      </w:r>
    </w:p>
    <w:p w14:paraId="1E805D43" w14:textId="77777777" w:rsidR="00AA4A02" w:rsidRDefault="00960F31">
      <w:pPr>
        <w:pStyle w:val="ListParagraph"/>
        <w:numPr>
          <w:ilvl w:val="0"/>
          <w:numId w:val="29"/>
        </w:numPr>
        <w:tabs>
          <w:tab w:val="left" w:pos="851"/>
        </w:tabs>
        <w:spacing w:before="193" w:line="208" w:lineRule="auto"/>
        <w:ind w:right="215"/>
      </w:pPr>
      <w:r>
        <w:t>To</w:t>
      </w:r>
      <w:r>
        <w:rPr>
          <w:spacing w:val="-3"/>
        </w:rPr>
        <w:t xml:space="preserve"> </w:t>
      </w:r>
      <w:r>
        <w:t>evaluate</w:t>
      </w:r>
      <w:r>
        <w:rPr>
          <w:spacing w:val="-1"/>
        </w:rPr>
        <w:t xml:space="preserve"> </w:t>
      </w:r>
      <w:r>
        <w:t>the</w:t>
      </w:r>
      <w:r>
        <w:rPr>
          <w:spacing w:val="-2"/>
        </w:rPr>
        <w:t xml:space="preserve"> </w:t>
      </w:r>
      <w:r>
        <w:t>effective</w:t>
      </w:r>
      <w:r>
        <w:rPr>
          <w:spacing w:val="-4"/>
        </w:rPr>
        <w:t xml:space="preserve"> </w:t>
      </w:r>
      <w:r>
        <w:t>and</w:t>
      </w:r>
      <w:r>
        <w:rPr>
          <w:spacing w:val="-2"/>
        </w:rPr>
        <w:t xml:space="preserve"> </w:t>
      </w:r>
      <w:r>
        <w:t>efficient</w:t>
      </w:r>
      <w:r>
        <w:rPr>
          <w:spacing w:val="-1"/>
        </w:rPr>
        <w:t xml:space="preserve"> </w:t>
      </w:r>
      <w:r>
        <w:t>implementation</w:t>
      </w:r>
      <w:r>
        <w:rPr>
          <w:spacing w:val="-5"/>
        </w:rPr>
        <w:t xml:space="preserve"> </w:t>
      </w:r>
      <w:r>
        <w:t>of new</w:t>
      </w:r>
      <w:r>
        <w:rPr>
          <w:spacing w:val="-2"/>
        </w:rPr>
        <w:t xml:space="preserve"> </w:t>
      </w:r>
      <w:r>
        <w:t>standards,</w:t>
      </w:r>
      <w:r>
        <w:rPr>
          <w:spacing w:val="-4"/>
        </w:rPr>
        <w:t xml:space="preserve"> </w:t>
      </w:r>
      <w:r>
        <w:t>the</w:t>
      </w:r>
      <w:r>
        <w:rPr>
          <w:spacing w:val="-2"/>
        </w:rPr>
        <w:t xml:space="preserve"> </w:t>
      </w:r>
      <w:r>
        <w:t>AUASB</w:t>
      </w:r>
      <w:r>
        <w:rPr>
          <w:spacing w:val="-4"/>
        </w:rPr>
        <w:t xml:space="preserve"> </w:t>
      </w:r>
      <w:r>
        <w:t>needs</w:t>
      </w:r>
      <w:r>
        <w:rPr>
          <w:spacing w:val="-4"/>
        </w:rPr>
        <w:t xml:space="preserve"> </w:t>
      </w:r>
      <w:r>
        <w:t>to be informed.</w:t>
      </w:r>
      <w:r>
        <w:rPr>
          <w:spacing w:val="40"/>
        </w:rPr>
        <w:t xml:space="preserve"> </w:t>
      </w:r>
      <w:r>
        <w:t>The AUASB’s EISS Strategy identifies various post-implementation phase activities aimed at understanding the specific implementation issues of Australian stakeholders, understanding the impact/effect of the issued or revised standards, including</w:t>
      </w:r>
    </w:p>
    <w:p w14:paraId="1E805D44" w14:textId="77777777" w:rsidR="00AA4A02" w:rsidRDefault="00960F31">
      <w:pPr>
        <w:pStyle w:val="BodyText"/>
        <w:rPr>
          <w:sz w:val="11"/>
        </w:rPr>
      </w:pPr>
      <w:r>
        <w:rPr>
          <w:noProof/>
          <w:sz w:val="11"/>
        </w:rPr>
        <mc:AlternateContent>
          <mc:Choice Requires="wps">
            <w:drawing>
              <wp:anchor distT="0" distB="0" distL="0" distR="0" simplePos="0" relativeHeight="487616000" behindDoc="1" locked="0" layoutInCell="1" allowOverlap="1" wp14:anchorId="1E805F81" wp14:editId="1E805F82">
                <wp:simplePos x="0" y="0"/>
                <wp:positionH relativeFrom="page">
                  <wp:posOffset>900988</wp:posOffset>
                </wp:positionH>
                <wp:positionV relativeFrom="paragraph">
                  <wp:posOffset>95727</wp:posOffset>
                </wp:positionV>
                <wp:extent cx="1829435" cy="762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3ECF8" id="Graphic 90" o:spid="_x0000_s1026" style="position:absolute;margin-left:70.95pt;margin-top:7.55pt;width:144.05pt;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" path="m1829053,l,,,7619r1829053,l1829053,xe" fillcolor="black" stroked="f">
                <v:path arrowok="t"/>
                <w10:wrap type="topAndBottom" anchorx="page"/>
              </v:shape>
            </w:pict>
          </mc:Fallback>
        </mc:AlternateContent>
      </w:r>
    </w:p>
    <w:p w14:paraId="1E805D45" w14:textId="77777777" w:rsidR="00AA4A02" w:rsidRDefault="00960F31">
      <w:pPr>
        <w:spacing w:before="93" w:line="208" w:lineRule="auto"/>
        <w:ind w:left="427" w:hanging="284"/>
        <w:rPr>
          <w:sz w:val="16"/>
        </w:rPr>
      </w:pPr>
      <w:r>
        <w:rPr>
          <w:sz w:val="16"/>
          <w:vertAlign w:val="superscript"/>
        </w:rPr>
        <w:t>78</w:t>
      </w:r>
      <w:r>
        <w:rPr>
          <w:spacing w:val="80"/>
          <w:w w:val="150"/>
          <w:sz w:val="16"/>
        </w:rPr>
        <w:t xml:space="preserve"> </w:t>
      </w:r>
      <w:r>
        <w:rPr>
          <w:sz w:val="16"/>
        </w:rPr>
        <w:t>Irrespective</w:t>
      </w:r>
      <w:r>
        <w:rPr>
          <w:spacing w:val="-3"/>
          <w:sz w:val="16"/>
        </w:rPr>
        <w:t xml:space="preserve"> </w:t>
      </w:r>
      <w:r>
        <w:rPr>
          <w:sz w:val="16"/>
        </w:rPr>
        <w:t>of whether</w:t>
      </w:r>
      <w:r>
        <w:rPr>
          <w:spacing w:val="-3"/>
          <w:sz w:val="16"/>
        </w:rPr>
        <w:t xml:space="preserve"> </w:t>
      </w:r>
      <w:r>
        <w:rPr>
          <w:sz w:val="16"/>
        </w:rPr>
        <w:t>the withdrawal is</w:t>
      </w:r>
      <w:r>
        <w:rPr>
          <w:spacing w:val="-3"/>
          <w:sz w:val="16"/>
        </w:rPr>
        <w:t xml:space="preserve"> </w:t>
      </w:r>
      <w:r>
        <w:rPr>
          <w:sz w:val="16"/>
        </w:rPr>
        <w:t>due</w:t>
      </w:r>
      <w:r>
        <w:rPr>
          <w:spacing w:val="-3"/>
          <w:sz w:val="16"/>
        </w:rPr>
        <w:t xml:space="preserve"> </w:t>
      </w:r>
      <w:r>
        <w:rPr>
          <w:sz w:val="16"/>
        </w:rPr>
        <w:t>to</w:t>
      </w:r>
      <w:r>
        <w:rPr>
          <w:spacing w:val="-2"/>
          <w:sz w:val="16"/>
        </w:rPr>
        <w:t xml:space="preserve"> </w:t>
      </w:r>
      <w:r>
        <w:rPr>
          <w:sz w:val="16"/>
        </w:rPr>
        <w:t>the</w:t>
      </w:r>
      <w:r>
        <w:rPr>
          <w:spacing w:val="-3"/>
          <w:sz w:val="16"/>
        </w:rPr>
        <w:t xml:space="preserve"> </w:t>
      </w:r>
      <w:r>
        <w:rPr>
          <w:sz w:val="16"/>
        </w:rPr>
        <w:t>issue</w:t>
      </w:r>
      <w:r>
        <w:rPr>
          <w:spacing w:val="-3"/>
          <w:sz w:val="16"/>
        </w:rPr>
        <w:t xml:space="preserve"> </w:t>
      </w:r>
      <w:r>
        <w:rPr>
          <w:sz w:val="16"/>
        </w:rPr>
        <w:t>of</w:t>
      </w:r>
      <w:r>
        <w:rPr>
          <w:spacing w:val="-2"/>
          <w:sz w:val="16"/>
        </w:rPr>
        <w:t xml:space="preserve"> </w:t>
      </w:r>
      <w:r>
        <w:rPr>
          <w:sz w:val="16"/>
        </w:rPr>
        <w:t>a</w:t>
      </w:r>
      <w:r>
        <w:rPr>
          <w:spacing w:val="-3"/>
          <w:sz w:val="16"/>
        </w:rPr>
        <w:t xml:space="preserve"> </w:t>
      </w:r>
      <w:r>
        <w:rPr>
          <w:sz w:val="16"/>
        </w:rPr>
        <w:t>new</w:t>
      </w:r>
      <w:r>
        <w:rPr>
          <w:spacing w:val="-4"/>
          <w:sz w:val="16"/>
        </w:rPr>
        <w:t xml:space="preserve"> </w:t>
      </w:r>
      <w:r>
        <w:rPr>
          <w:sz w:val="16"/>
        </w:rPr>
        <w:t>or</w:t>
      </w:r>
      <w:r>
        <w:rPr>
          <w:spacing w:val="-2"/>
          <w:sz w:val="16"/>
        </w:rPr>
        <w:t xml:space="preserve"> </w:t>
      </w:r>
      <w:r>
        <w:rPr>
          <w:sz w:val="16"/>
        </w:rPr>
        <w:t>a revised</w:t>
      </w:r>
      <w:r>
        <w:rPr>
          <w:spacing w:val="-2"/>
          <w:sz w:val="16"/>
        </w:rPr>
        <w:t xml:space="preserve"> </w:t>
      </w:r>
      <w:r>
        <w:rPr>
          <w:sz w:val="16"/>
        </w:rPr>
        <w:t>pronouncement that</w:t>
      </w:r>
      <w:r>
        <w:rPr>
          <w:spacing w:val="-2"/>
          <w:sz w:val="16"/>
        </w:rPr>
        <w:t xml:space="preserve"> </w:t>
      </w:r>
      <w:r>
        <w:rPr>
          <w:sz w:val="16"/>
        </w:rPr>
        <w:t>incorporates</w:t>
      </w:r>
      <w:r>
        <w:rPr>
          <w:spacing w:val="-3"/>
          <w:sz w:val="16"/>
        </w:rPr>
        <w:t xml:space="preserve"> </w:t>
      </w:r>
      <w:r>
        <w:rPr>
          <w:sz w:val="16"/>
        </w:rPr>
        <w:t>or</w:t>
      </w:r>
      <w:r>
        <w:rPr>
          <w:spacing w:val="-2"/>
          <w:sz w:val="16"/>
        </w:rPr>
        <w:t xml:space="preserve"> </w:t>
      </w:r>
      <w:r>
        <w:rPr>
          <w:sz w:val="16"/>
        </w:rPr>
        <w:t>replaces</w:t>
      </w:r>
      <w:r>
        <w:rPr>
          <w:spacing w:val="-3"/>
          <w:sz w:val="16"/>
        </w:rPr>
        <w:t xml:space="preserve"> </w:t>
      </w:r>
      <w:r>
        <w:rPr>
          <w:sz w:val="16"/>
        </w:rPr>
        <w:t>the subject</w:t>
      </w:r>
      <w:r>
        <w:rPr>
          <w:spacing w:val="40"/>
          <w:sz w:val="16"/>
        </w:rPr>
        <w:t xml:space="preserve"> </w:t>
      </w:r>
      <w:r>
        <w:rPr>
          <w:sz w:val="16"/>
        </w:rPr>
        <w:t>matter of the existing standard, or any other reason.</w:t>
      </w:r>
    </w:p>
    <w:p w14:paraId="1E805D46" w14:textId="77777777" w:rsidR="00AA4A02" w:rsidRDefault="00AA4A02">
      <w:pPr>
        <w:spacing w:line="208" w:lineRule="auto"/>
        <w:rPr>
          <w:sz w:val="16"/>
        </w:rPr>
        <w:sectPr w:rsidR="00AA4A02">
          <w:pgSz w:w="11910" w:h="16840"/>
          <w:pgMar w:top="1380" w:right="1275" w:bottom="1040" w:left="1275" w:header="689" w:footer="842" w:gutter="0"/>
          <w:cols w:space="720"/>
        </w:sectPr>
      </w:pPr>
    </w:p>
    <w:p w14:paraId="1E805D47" w14:textId="77777777" w:rsidR="00AA4A02" w:rsidRDefault="00960F31">
      <w:pPr>
        <w:pStyle w:val="BodyText"/>
        <w:spacing w:before="219" w:line="208" w:lineRule="auto"/>
        <w:ind w:left="851" w:right="95"/>
      </w:pPr>
      <w:r>
        <w:lastRenderedPageBreak/>
        <w:t>whether</w:t>
      </w:r>
      <w:r>
        <w:rPr>
          <w:spacing w:val="-3"/>
        </w:rPr>
        <w:t xml:space="preserve"> </w:t>
      </w:r>
      <w:r>
        <w:t>intended</w:t>
      </w:r>
      <w:r>
        <w:rPr>
          <w:spacing w:val="-3"/>
        </w:rPr>
        <w:t xml:space="preserve"> </w:t>
      </w:r>
      <w:r>
        <w:t>benefits</w:t>
      </w:r>
      <w:r>
        <w:rPr>
          <w:spacing w:val="-3"/>
        </w:rPr>
        <w:t xml:space="preserve"> </w:t>
      </w:r>
      <w:r>
        <w:t>have</w:t>
      </w:r>
      <w:r>
        <w:rPr>
          <w:spacing w:val="-3"/>
        </w:rPr>
        <w:t xml:space="preserve"> </w:t>
      </w:r>
      <w:r>
        <w:t>been</w:t>
      </w:r>
      <w:r>
        <w:rPr>
          <w:spacing w:val="-3"/>
        </w:rPr>
        <w:t xml:space="preserve"> </w:t>
      </w:r>
      <w:r>
        <w:t>achieved,</w:t>
      </w:r>
      <w:r>
        <w:rPr>
          <w:spacing w:val="-6"/>
        </w:rPr>
        <w:t xml:space="preserve"> </w:t>
      </w:r>
      <w:r>
        <w:t>and</w:t>
      </w:r>
      <w:r>
        <w:rPr>
          <w:spacing w:val="-5"/>
        </w:rPr>
        <w:t xml:space="preserve"> </w:t>
      </w:r>
      <w:r>
        <w:t>interpreting</w:t>
      </w:r>
      <w:r>
        <w:rPr>
          <w:spacing w:val="-3"/>
        </w:rPr>
        <w:t xml:space="preserve"> </w:t>
      </w:r>
      <w:r>
        <w:t>and</w:t>
      </w:r>
      <w:r>
        <w:rPr>
          <w:spacing w:val="-3"/>
        </w:rPr>
        <w:t xml:space="preserve"> </w:t>
      </w:r>
      <w:r>
        <w:t>communicating</w:t>
      </w:r>
      <w:r>
        <w:rPr>
          <w:spacing w:val="-3"/>
        </w:rPr>
        <w:t xml:space="preserve"> </w:t>
      </w:r>
      <w:r>
        <w:t>findings</w:t>
      </w:r>
      <w:r>
        <w:rPr>
          <w:spacing w:val="-3"/>
        </w:rPr>
        <w:t xml:space="preserve"> </w:t>
      </w:r>
      <w:r>
        <w:t>to contribute to and influence nationally and internationally.</w:t>
      </w:r>
    </w:p>
    <w:p w14:paraId="1E805D48" w14:textId="77777777" w:rsidR="00AA4A02" w:rsidRDefault="00960F31">
      <w:pPr>
        <w:pStyle w:val="ListParagraph"/>
        <w:numPr>
          <w:ilvl w:val="0"/>
          <w:numId w:val="29"/>
        </w:numPr>
        <w:tabs>
          <w:tab w:val="left" w:pos="851"/>
        </w:tabs>
        <w:spacing w:line="208" w:lineRule="auto"/>
        <w:ind w:right="274"/>
      </w:pPr>
      <w:r>
        <w:t>The</w:t>
      </w:r>
      <w:r>
        <w:rPr>
          <w:spacing w:val="-2"/>
        </w:rPr>
        <w:t xml:space="preserve"> </w:t>
      </w:r>
      <w:r>
        <w:t>AUASB</w:t>
      </w:r>
      <w:r>
        <w:rPr>
          <w:spacing w:val="-4"/>
        </w:rPr>
        <w:t xml:space="preserve"> </w:t>
      </w:r>
      <w:r>
        <w:t>performs</w:t>
      </w:r>
      <w:r>
        <w:rPr>
          <w:spacing w:val="-2"/>
        </w:rPr>
        <w:t xml:space="preserve"> </w:t>
      </w:r>
      <w:r>
        <w:t>a</w:t>
      </w:r>
      <w:r>
        <w:rPr>
          <w:spacing w:val="-4"/>
        </w:rPr>
        <w:t xml:space="preserve"> </w:t>
      </w:r>
      <w:r>
        <w:t>post-implementation</w:t>
      </w:r>
      <w:r>
        <w:rPr>
          <w:spacing w:val="-5"/>
        </w:rPr>
        <w:t xml:space="preserve"> </w:t>
      </w:r>
      <w:r>
        <w:t>review</w:t>
      </w:r>
      <w:r>
        <w:rPr>
          <w:spacing w:val="-2"/>
        </w:rPr>
        <w:t xml:space="preserve"> </w:t>
      </w:r>
      <w:r>
        <w:t>(PIR)</w:t>
      </w:r>
      <w:r>
        <w:rPr>
          <w:spacing w:val="-2"/>
        </w:rPr>
        <w:t xml:space="preserve"> </w:t>
      </w:r>
      <w:r>
        <w:t>of</w:t>
      </w:r>
      <w:r>
        <w:rPr>
          <w:spacing w:val="-2"/>
        </w:rPr>
        <w:t xml:space="preserve"> </w:t>
      </w:r>
      <w:r>
        <w:t>each</w:t>
      </w:r>
      <w:r>
        <w:rPr>
          <w:spacing w:val="-2"/>
        </w:rPr>
        <w:t xml:space="preserve"> </w:t>
      </w:r>
      <w:r>
        <w:t>new</w:t>
      </w:r>
      <w:r>
        <w:rPr>
          <w:spacing w:val="-3"/>
        </w:rPr>
        <w:t xml:space="preserve"> </w:t>
      </w:r>
      <w:r>
        <w:t>domestic</w:t>
      </w:r>
      <w:r>
        <w:rPr>
          <w:spacing w:val="-1"/>
        </w:rPr>
        <w:t xml:space="preserve"> </w:t>
      </w:r>
      <w:r>
        <w:t>standard</w:t>
      </w:r>
      <w:r>
        <w:rPr>
          <w:spacing w:val="-4"/>
        </w:rPr>
        <w:t xml:space="preserve"> </w:t>
      </w:r>
      <w:r>
        <w:t>or major revision(s) to a standard. A PIR is usually performed after the new requirements have been applied for two to three years.</w:t>
      </w:r>
    </w:p>
    <w:p w14:paraId="1E805D49" w14:textId="77777777" w:rsidR="00AA4A02" w:rsidRDefault="00960F31">
      <w:pPr>
        <w:pStyle w:val="ListParagraph"/>
        <w:numPr>
          <w:ilvl w:val="0"/>
          <w:numId w:val="29"/>
        </w:numPr>
        <w:tabs>
          <w:tab w:val="left" w:pos="851"/>
        </w:tabs>
        <w:spacing w:before="175"/>
      </w:pPr>
      <w:r>
        <w:t>A</w:t>
      </w:r>
      <w:r>
        <w:rPr>
          <w:spacing w:val="-3"/>
        </w:rPr>
        <w:t xml:space="preserve"> </w:t>
      </w:r>
      <w:r>
        <w:t>PIR</w:t>
      </w:r>
      <w:r>
        <w:rPr>
          <w:spacing w:val="-2"/>
        </w:rPr>
        <w:t xml:space="preserve"> </w:t>
      </w:r>
      <w:r>
        <w:t>generally</w:t>
      </w:r>
      <w:r>
        <w:rPr>
          <w:spacing w:val="-3"/>
        </w:rPr>
        <w:t xml:space="preserve"> </w:t>
      </w:r>
      <w:r>
        <w:rPr>
          <w:spacing w:val="-2"/>
        </w:rPr>
        <w:t>involves:</w:t>
      </w:r>
    </w:p>
    <w:p w14:paraId="1E805D4A" w14:textId="77777777" w:rsidR="00AA4A02" w:rsidRDefault="00960F31">
      <w:pPr>
        <w:pStyle w:val="ListParagraph"/>
        <w:numPr>
          <w:ilvl w:val="1"/>
          <w:numId w:val="29"/>
        </w:numPr>
        <w:tabs>
          <w:tab w:val="left" w:pos="1562"/>
        </w:tabs>
        <w:spacing w:before="191" w:line="208" w:lineRule="auto"/>
        <w:ind w:right="347"/>
      </w:pPr>
      <w:r>
        <w:t>review</w:t>
      </w:r>
      <w:r>
        <w:rPr>
          <w:spacing w:val="-3"/>
        </w:rPr>
        <w:t xml:space="preserve"> </w:t>
      </w:r>
      <w:r>
        <w:t>of</w:t>
      </w:r>
      <w:r>
        <w:rPr>
          <w:spacing w:val="-5"/>
        </w:rPr>
        <w:t xml:space="preserve"> </w:t>
      </w:r>
      <w:r>
        <w:t>any</w:t>
      </w:r>
      <w:r>
        <w:rPr>
          <w:spacing w:val="-5"/>
        </w:rPr>
        <w:t xml:space="preserve"> </w:t>
      </w:r>
      <w:r>
        <w:t>relevant</w:t>
      </w:r>
      <w:r>
        <w:rPr>
          <w:spacing w:val="-1"/>
        </w:rPr>
        <w:t xml:space="preserve"> </w:t>
      </w:r>
      <w:r>
        <w:t>evidence</w:t>
      </w:r>
      <w:r>
        <w:rPr>
          <w:spacing w:val="-5"/>
        </w:rPr>
        <w:t xml:space="preserve"> </w:t>
      </w:r>
      <w:r>
        <w:t>including</w:t>
      </w:r>
      <w:r>
        <w:rPr>
          <w:spacing w:val="-2"/>
        </w:rPr>
        <w:t xml:space="preserve"> </w:t>
      </w:r>
      <w:r>
        <w:t>research</w:t>
      </w:r>
      <w:r>
        <w:rPr>
          <w:spacing w:val="-3"/>
        </w:rPr>
        <w:t xml:space="preserve"> </w:t>
      </w:r>
      <w:r>
        <w:t>undertaken</w:t>
      </w:r>
      <w:r>
        <w:rPr>
          <w:spacing w:val="-5"/>
        </w:rPr>
        <w:t xml:space="preserve"> </w:t>
      </w:r>
      <w:r>
        <w:t>by</w:t>
      </w:r>
      <w:r>
        <w:rPr>
          <w:spacing w:val="-3"/>
        </w:rPr>
        <w:t xml:space="preserve"> </w:t>
      </w:r>
      <w:r>
        <w:t>AUASB</w:t>
      </w:r>
      <w:r>
        <w:rPr>
          <w:spacing w:val="-4"/>
        </w:rPr>
        <w:t xml:space="preserve"> </w:t>
      </w:r>
      <w:r>
        <w:t>technical staff, academics, and other stakeholders;</w:t>
      </w:r>
    </w:p>
    <w:p w14:paraId="1E805D4B" w14:textId="77777777" w:rsidR="00AA4A02" w:rsidRDefault="00960F31">
      <w:pPr>
        <w:pStyle w:val="ListParagraph"/>
        <w:numPr>
          <w:ilvl w:val="1"/>
          <w:numId w:val="29"/>
        </w:numPr>
        <w:tabs>
          <w:tab w:val="left" w:pos="1562"/>
        </w:tabs>
        <w:spacing w:line="208" w:lineRule="auto"/>
        <w:ind w:right="788"/>
      </w:pPr>
      <w:r>
        <w:t>collation</w:t>
      </w:r>
      <w:r>
        <w:rPr>
          <w:spacing w:val="-2"/>
        </w:rPr>
        <w:t xml:space="preserve"> </w:t>
      </w:r>
      <w:r>
        <w:t>of</w:t>
      </w:r>
      <w:r>
        <w:rPr>
          <w:spacing w:val="-2"/>
        </w:rPr>
        <w:t xml:space="preserve"> </w:t>
      </w:r>
      <w:r>
        <w:t>any</w:t>
      </w:r>
      <w:r>
        <w:rPr>
          <w:spacing w:val="-2"/>
        </w:rPr>
        <w:t xml:space="preserve"> </w:t>
      </w:r>
      <w:r>
        <w:t>issues</w:t>
      </w:r>
      <w:r>
        <w:rPr>
          <w:spacing w:val="-2"/>
        </w:rPr>
        <w:t xml:space="preserve"> </w:t>
      </w:r>
      <w:r>
        <w:t>notified</w:t>
      </w:r>
      <w:r>
        <w:rPr>
          <w:spacing w:val="-4"/>
        </w:rPr>
        <w:t xml:space="preserve"> </w:t>
      </w:r>
      <w:r>
        <w:t>to,</w:t>
      </w:r>
      <w:r>
        <w:rPr>
          <w:spacing w:val="-2"/>
        </w:rPr>
        <w:t xml:space="preserve"> </w:t>
      </w:r>
      <w:r>
        <w:t>or</w:t>
      </w:r>
      <w:r>
        <w:rPr>
          <w:spacing w:val="-1"/>
        </w:rPr>
        <w:t xml:space="preserve"> </w:t>
      </w:r>
      <w:r>
        <w:t>identified</w:t>
      </w:r>
      <w:r>
        <w:rPr>
          <w:spacing w:val="-4"/>
        </w:rPr>
        <w:t xml:space="preserve"> </w:t>
      </w:r>
      <w:r>
        <w:t>by,</w:t>
      </w:r>
      <w:r>
        <w:rPr>
          <w:spacing w:val="-2"/>
        </w:rPr>
        <w:t xml:space="preserve"> </w:t>
      </w:r>
      <w:r>
        <w:t>the</w:t>
      </w:r>
      <w:r>
        <w:rPr>
          <w:spacing w:val="-4"/>
        </w:rPr>
        <w:t xml:space="preserve"> </w:t>
      </w:r>
      <w:r>
        <w:t>AUASB</w:t>
      </w:r>
      <w:r>
        <w:rPr>
          <w:spacing w:val="-4"/>
        </w:rPr>
        <w:t xml:space="preserve"> </w:t>
      </w:r>
      <w:r>
        <w:t>prior</w:t>
      </w:r>
      <w:r>
        <w:rPr>
          <w:spacing w:val="-4"/>
        </w:rPr>
        <w:t xml:space="preserve"> </w:t>
      </w:r>
      <w:r>
        <w:t>to</w:t>
      </w:r>
      <w:r>
        <w:rPr>
          <w:spacing w:val="-5"/>
        </w:rPr>
        <w:t xml:space="preserve"> </w:t>
      </w:r>
      <w:r>
        <w:t>the</w:t>
      </w:r>
      <w:r>
        <w:rPr>
          <w:spacing w:val="-2"/>
        </w:rPr>
        <w:t xml:space="preserve"> </w:t>
      </w:r>
      <w:r>
        <w:t xml:space="preserve">PIR </w:t>
      </w:r>
      <w:r>
        <w:rPr>
          <w:spacing w:val="-2"/>
        </w:rPr>
        <w:t>commencing;</w:t>
      </w:r>
    </w:p>
    <w:p w14:paraId="1E805D4C" w14:textId="77777777" w:rsidR="00AA4A02" w:rsidRDefault="00960F31">
      <w:pPr>
        <w:pStyle w:val="ListParagraph"/>
        <w:numPr>
          <w:ilvl w:val="1"/>
          <w:numId w:val="29"/>
        </w:numPr>
        <w:tabs>
          <w:tab w:val="left" w:pos="1562"/>
        </w:tabs>
        <w:spacing w:line="208" w:lineRule="auto"/>
        <w:ind w:right="345"/>
      </w:pPr>
      <w:r>
        <w:t>early</w:t>
      </w:r>
      <w:r>
        <w:rPr>
          <w:spacing w:val="-2"/>
        </w:rPr>
        <w:t xml:space="preserve"> </w:t>
      </w:r>
      <w:r>
        <w:t>identification</w:t>
      </w:r>
      <w:r>
        <w:rPr>
          <w:spacing w:val="-2"/>
        </w:rPr>
        <w:t xml:space="preserve"> </w:t>
      </w:r>
      <w:r>
        <w:t>of</w:t>
      </w:r>
      <w:r>
        <w:rPr>
          <w:spacing w:val="-2"/>
        </w:rPr>
        <w:t xml:space="preserve"> </w:t>
      </w:r>
      <w:r>
        <w:t>the</w:t>
      </w:r>
      <w:r>
        <w:rPr>
          <w:spacing w:val="-2"/>
        </w:rPr>
        <w:t xml:space="preserve"> </w:t>
      </w:r>
      <w:r>
        <w:t>questions</w:t>
      </w:r>
      <w:r>
        <w:rPr>
          <w:spacing w:val="-2"/>
        </w:rPr>
        <w:t xml:space="preserve"> </w:t>
      </w:r>
      <w:r>
        <w:t>relating</w:t>
      </w:r>
      <w:r>
        <w:rPr>
          <w:spacing w:val="-2"/>
        </w:rPr>
        <w:t xml:space="preserve"> </w:t>
      </w:r>
      <w:r>
        <w:t>to</w:t>
      </w:r>
      <w:r>
        <w:rPr>
          <w:spacing w:val="-5"/>
        </w:rPr>
        <w:t xml:space="preserve"> </w:t>
      </w:r>
      <w:r>
        <w:t>the</w:t>
      </w:r>
      <w:r>
        <w:rPr>
          <w:spacing w:val="-4"/>
        </w:rPr>
        <w:t xml:space="preserve"> </w:t>
      </w:r>
      <w:r>
        <w:t>introduction</w:t>
      </w:r>
      <w:r>
        <w:rPr>
          <w:spacing w:val="-2"/>
        </w:rPr>
        <w:t xml:space="preserve"> </w:t>
      </w:r>
      <w:r>
        <w:t>of</w:t>
      </w:r>
      <w:r>
        <w:rPr>
          <w:spacing w:val="-2"/>
        </w:rPr>
        <w:t xml:space="preserve"> </w:t>
      </w:r>
      <w:r>
        <w:t>a</w:t>
      </w:r>
      <w:r>
        <w:rPr>
          <w:spacing w:val="-4"/>
        </w:rPr>
        <w:t xml:space="preserve"> </w:t>
      </w:r>
      <w:r>
        <w:t>new</w:t>
      </w:r>
      <w:r>
        <w:rPr>
          <w:spacing w:val="-2"/>
        </w:rPr>
        <w:t xml:space="preserve"> </w:t>
      </w:r>
      <w:r>
        <w:t>standard</w:t>
      </w:r>
      <w:r>
        <w:rPr>
          <w:spacing w:val="-5"/>
        </w:rPr>
        <w:t xml:space="preserve"> </w:t>
      </w:r>
      <w:r>
        <w:t>for which answers are sought;</w:t>
      </w:r>
    </w:p>
    <w:p w14:paraId="1E805D4D" w14:textId="77777777" w:rsidR="00AA4A02" w:rsidRDefault="00960F31">
      <w:pPr>
        <w:pStyle w:val="ListParagraph"/>
        <w:numPr>
          <w:ilvl w:val="1"/>
          <w:numId w:val="29"/>
        </w:numPr>
        <w:tabs>
          <w:tab w:val="left" w:pos="1562"/>
        </w:tabs>
        <w:spacing w:before="174"/>
      </w:pPr>
      <w:r>
        <w:t>consultation</w:t>
      </w:r>
      <w:r>
        <w:rPr>
          <w:spacing w:val="-6"/>
        </w:rPr>
        <w:t xml:space="preserve"> </w:t>
      </w:r>
      <w:r>
        <w:t>seeking</w:t>
      </w:r>
      <w:r>
        <w:rPr>
          <w:spacing w:val="-6"/>
        </w:rPr>
        <w:t xml:space="preserve"> </w:t>
      </w:r>
      <w:r>
        <w:t>implementation</w:t>
      </w:r>
      <w:r>
        <w:rPr>
          <w:spacing w:val="-6"/>
        </w:rPr>
        <w:t xml:space="preserve"> </w:t>
      </w:r>
      <w:r>
        <w:t>issues</w:t>
      </w:r>
      <w:r>
        <w:rPr>
          <w:spacing w:val="-5"/>
        </w:rPr>
        <w:t xml:space="preserve"> </w:t>
      </w:r>
      <w:r>
        <w:t>and</w:t>
      </w:r>
      <w:r>
        <w:rPr>
          <w:spacing w:val="-3"/>
        </w:rPr>
        <w:t xml:space="preserve"> </w:t>
      </w:r>
      <w:r>
        <w:t>views</w:t>
      </w:r>
      <w:r>
        <w:rPr>
          <w:spacing w:val="-6"/>
        </w:rPr>
        <w:t xml:space="preserve"> </w:t>
      </w:r>
      <w:r>
        <w:t>on</w:t>
      </w:r>
      <w:r>
        <w:rPr>
          <w:spacing w:val="-3"/>
        </w:rPr>
        <w:t xml:space="preserve"> </w:t>
      </w:r>
      <w:r>
        <w:t>the</w:t>
      </w:r>
      <w:r>
        <w:rPr>
          <w:spacing w:val="-5"/>
        </w:rPr>
        <w:t xml:space="preserve"> </w:t>
      </w:r>
      <w:r>
        <w:rPr>
          <w:spacing w:val="-2"/>
        </w:rPr>
        <w:t>pronouncement;</w:t>
      </w:r>
    </w:p>
    <w:p w14:paraId="1E805D4E" w14:textId="77777777" w:rsidR="00AA4A02" w:rsidRDefault="00960F31">
      <w:pPr>
        <w:pStyle w:val="ListParagraph"/>
        <w:numPr>
          <w:ilvl w:val="1"/>
          <w:numId w:val="29"/>
        </w:numPr>
        <w:tabs>
          <w:tab w:val="left" w:pos="1562"/>
        </w:tabs>
        <w:spacing w:before="167"/>
      </w:pPr>
      <w:r>
        <w:t>consideration</w:t>
      </w:r>
      <w:r>
        <w:rPr>
          <w:spacing w:val="-4"/>
        </w:rPr>
        <w:t xml:space="preserve"> </w:t>
      </w:r>
      <w:r>
        <w:t>of</w:t>
      </w:r>
      <w:r>
        <w:rPr>
          <w:spacing w:val="-4"/>
        </w:rPr>
        <w:t xml:space="preserve"> </w:t>
      </w:r>
      <w:r>
        <w:t>any</w:t>
      </w:r>
      <w:r>
        <w:rPr>
          <w:spacing w:val="-4"/>
        </w:rPr>
        <w:t xml:space="preserve"> </w:t>
      </w:r>
      <w:r>
        <w:t>feedback</w:t>
      </w:r>
      <w:r>
        <w:rPr>
          <w:spacing w:val="-4"/>
        </w:rPr>
        <w:t xml:space="preserve"> </w:t>
      </w:r>
      <w:r>
        <w:t>received;</w:t>
      </w:r>
      <w:r>
        <w:rPr>
          <w:spacing w:val="-1"/>
        </w:rPr>
        <w:t xml:space="preserve"> </w:t>
      </w:r>
      <w:r>
        <w:rPr>
          <w:spacing w:val="-5"/>
        </w:rPr>
        <w:t>and</w:t>
      </w:r>
    </w:p>
    <w:p w14:paraId="1E805D4F" w14:textId="77777777" w:rsidR="00AA4A02" w:rsidRDefault="00960F31">
      <w:pPr>
        <w:pStyle w:val="ListParagraph"/>
        <w:numPr>
          <w:ilvl w:val="1"/>
          <w:numId w:val="29"/>
        </w:numPr>
        <w:tabs>
          <w:tab w:val="left" w:pos="1562"/>
        </w:tabs>
        <w:spacing w:before="167"/>
      </w:pPr>
      <w:r>
        <w:t>publication</w:t>
      </w:r>
      <w:r>
        <w:rPr>
          <w:spacing w:val="-3"/>
        </w:rPr>
        <w:t xml:space="preserve"> </w:t>
      </w:r>
      <w:r>
        <w:t>of</w:t>
      </w:r>
      <w:r>
        <w:rPr>
          <w:spacing w:val="-4"/>
        </w:rPr>
        <w:t xml:space="preserve"> </w:t>
      </w:r>
      <w:r>
        <w:t>the</w:t>
      </w:r>
      <w:r>
        <w:rPr>
          <w:spacing w:val="-5"/>
        </w:rPr>
        <w:t xml:space="preserve"> </w:t>
      </w:r>
      <w:r>
        <w:t>findings</w:t>
      </w:r>
      <w:r>
        <w:rPr>
          <w:spacing w:val="-4"/>
        </w:rPr>
        <w:t xml:space="preserve"> </w:t>
      </w:r>
      <w:r>
        <w:t>of</w:t>
      </w:r>
      <w:r>
        <w:rPr>
          <w:spacing w:val="-3"/>
        </w:rPr>
        <w:t xml:space="preserve"> </w:t>
      </w:r>
      <w:r>
        <w:t>the</w:t>
      </w:r>
      <w:r>
        <w:rPr>
          <w:spacing w:val="-2"/>
        </w:rPr>
        <w:t xml:space="preserve"> </w:t>
      </w:r>
      <w:r>
        <w:rPr>
          <w:spacing w:val="-4"/>
        </w:rPr>
        <w:t>PIR.</w:t>
      </w:r>
    </w:p>
    <w:p w14:paraId="1E805D50" w14:textId="77777777" w:rsidR="00AA4A02" w:rsidRDefault="00960F31">
      <w:pPr>
        <w:pStyle w:val="ListParagraph"/>
        <w:numPr>
          <w:ilvl w:val="0"/>
          <w:numId w:val="29"/>
        </w:numPr>
        <w:tabs>
          <w:tab w:val="left" w:pos="851"/>
        </w:tabs>
        <w:spacing w:before="191" w:line="208" w:lineRule="auto"/>
        <w:ind w:right="204"/>
      </w:pPr>
      <w:r>
        <w:t>The</w:t>
      </w:r>
      <w:r>
        <w:rPr>
          <w:spacing w:val="-2"/>
        </w:rPr>
        <w:t xml:space="preserve"> </w:t>
      </w:r>
      <w:r>
        <w:t>IAASB</w:t>
      </w:r>
      <w:r>
        <w:rPr>
          <w:spacing w:val="-4"/>
        </w:rPr>
        <w:t xml:space="preserve"> </w:t>
      </w:r>
      <w:r>
        <w:t>commences</w:t>
      </w:r>
      <w:r>
        <w:rPr>
          <w:spacing w:val="-2"/>
        </w:rPr>
        <w:t xml:space="preserve"> </w:t>
      </w:r>
      <w:r>
        <w:t>its</w:t>
      </w:r>
      <w:r>
        <w:rPr>
          <w:spacing w:val="-4"/>
        </w:rPr>
        <w:t xml:space="preserve"> </w:t>
      </w:r>
      <w:r>
        <w:t>PIR</w:t>
      </w:r>
      <w:r>
        <w:rPr>
          <w:spacing w:val="-3"/>
        </w:rPr>
        <w:t xml:space="preserve"> </w:t>
      </w:r>
      <w:r>
        <w:t>with</w:t>
      </w:r>
      <w:r>
        <w:rPr>
          <w:spacing w:val="-2"/>
        </w:rPr>
        <w:t xml:space="preserve"> </w:t>
      </w:r>
      <w:r>
        <w:t>a request</w:t>
      </w:r>
      <w:r>
        <w:rPr>
          <w:spacing w:val="-3"/>
        </w:rPr>
        <w:t xml:space="preserve"> </w:t>
      </w:r>
      <w:r>
        <w:t>for</w:t>
      </w:r>
      <w:r>
        <w:rPr>
          <w:spacing w:val="-4"/>
        </w:rPr>
        <w:t xml:space="preserve"> </w:t>
      </w:r>
      <w:r>
        <w:t>input</w:t>
      </w:r>
      <w:r>
        <w:rPr>
          <w:spacing w:val="-1"/>
        </w:rPr>
        <w:t xml:space="preserve"> </w:t>
      </w:r>
      <w:r>
        <w:t>to</w:t>
      </w:r>
      <w:r>
        <w:rPr>
          <w:spacing w:val="-3"/>
        </w:rPr>
        <w:t xml:space="preserve"> </w:t>
      </w:r>
      <w:r>
        <w:t>its</w:t>
      </w:r>
      <w:r>
        <w:rPr>
          <w:spacing w:val="-2"/>
        </w:rPr>
        <w:t xml:space="preserve"> </w:t>
      </w:r>
      <w:r>
        <w:t>PIR,</w:t>
      </w:r>
      <w:r>
        <w:rPr>
          <w:spacing w:val="-2"/>
        </w:rPr>
        <w:t xml:space="preserve"> </w:t>
      </w:r>
      <w:r>
        <w:t>for</w:t>
      </w:r>
      <w:r>
        <w:rPr>
          <w:spacing w:val="-4"/>
        </w:rPr>
        <w:t xml:space="preserve"> </w:t>
      </w:r>
      <w:r>
        <w:t>example,</w:t>
      </w:r>
      <w:r>
        <w:rPr>
          <w:spacing w:val="-4"/>
        </w:rPr>
        <w:t xml:space="preserve"> </w:t>
      </w:r>
      <w:r>
        <w:t>in</w:t>
      </w:r>
      <w:r>
        <w:rPr>
          <w:spacing w:val="-4"/>
        </w:rPr>
        <w:t xml:space="preserve"> </w:t>
      </w:r>
      <w:r>
        <w:t>the</w:t>
      </w:r>
      <w:r>
        <w:rPr>
          <w:spacing w:val="-4"/>
        </w:rPr>
        <w:t xml:space="preserve"> </w:t>
      </w:r>
      <w:r>
        <w:t>form</w:t>
      </w:r>
      <w:r>
        <w:rPr>
          <w:spacing w:val="-1"/>
        </w:rPr>
        <w:t xml:space="preserve"> </w:t>
      </w:r>
      <w:r>
        <w:t>of a survey asking for input on the AUASB’s experience with, and providing feedback relating to, an identified standard. This feedback forms part of the IAASB’s information gathering activities related to its PIR to determine what possible further actions, if any, may need to be undertaken. The AUASB generally issues the request for information relating to the PIR locally at the same time as the IAASB and contributes to the IAASB’s process where the issues are considered significant to Australia.</w:t>
      </w:r>
    </w:p>
    <w:p w14:paraId="1E805D51" w14:textId="77777777" w:rsidR="00AA4A02" w:rsidRDefault="00960F31">
      <w:pPr>
        <w:pStyle w:val="ListParagraph"/>
        <w:numPr>
          <w:ilvl w:val="0"/>
          <w:numId w:val="29"/>
        </w:numPr>
        <w:tabs>
          <w:tab w:val="left" w:pos="851"/>
        </w:tabs>
        <w:spacing w:before="200" w:line="208" w:lineRule="auto"/>
        <w:ind w:right="252"/>
      </w:pPr>
      <w:r>
        <w:t>Any</w:t>
      </w:r>
      <w:r>
        <w:rPr>
          <w:spacing w:val="-2"/>
        </w:rPr>
        <w:t xml:space="preserve"> </w:t>
      </w:r>
      <w:r>
        <w:t>recommendations</w:t>
      </w:r>
      <w:r>
        <w:rPr>
          <w:spacing w:val="-1"/>
        </w:rPr>
        <w:t xml:space="preserve"> </w:t>
      </w:r>
      <w:r>
        <w:t>for</w:t>
      </w:r>
      <w:r>
        <w:rPr>
          <w:spacing w:val="-4"/>
        </w:rPr>
        <w:t xml:space="preserve"> </w:t>
      </w:r>
      <w:r>
        <w:t>changes</w:t>
      </w:r>
      <w:r>
        <w:rPr>
          <w:spacing w:val="-2"/>
        </w:rPr>
        <w:t xml:space="preserve"> </w:t>
      </w:r>
      <w:r>
        <w:t>to</w:t>
      </w:r>
      <w:r>
        <w:rPr>
          <w:spacing w:val="-2"/>
        </w:rPr>
        <w:t xml:space="preserve"> </w:t>
      </w:r>
      <w:r>
        <w:t>the</w:t>
      </w:r>
      <w:r>
        <w:rPr>
          <w:spacing w:val="-2"/>
        </w:rPr>
        <w:t xml:space="preserve"> </w:t>
      </w:r>
      <w:r>
        <w:t>pronouncement as</w:t>
      </w:r>
      <w:r>
        <w:rPr>
          <w:spacing w:val="-2"/>
        </w:rPr>
        <w:t xml:space="preserve"> </w:t>
      </w:r>
      <w:r>
        <w:t>a</w:t>
      </w:r>
      <w:r>
        <w:rPr>
          <w:spacing w:val="-4"/>
        </w:rPr>
        <w:t xml:space="preserve"> </w:t>
      </w:r>
      <w:r>
        <w:t>result</w:t>
      </w:r>
      <w:r>
        <w:rPr>
          <w:spacing w:val="-1"/>
        </w:rPr>
        <w:t xml:space="preserve"> </w:t>
      </w:r>
      <w:r>
        <w:t>of</w:t>
      </w:r>
      <w:r>
        <w:rPr>
          <w:spacing w:val="-4"/>
        </w:rPr>
        <w:t xml:space="preserve"> </w:t>
      </w:r>
      <w:r>
        <w:t>the</w:t>
      </w:r>
      <w:r>
        <w:rPr>
          <w:spacing w:val="-4"/>
        </w:rPr>
        <w:t xml:space="preserve"> </w:t>
      </w:r>
      <w:r>
        <w:t>outcomes</w:t>
      </w:r>
      <w:r>
        <w:rPr>
          <w:spacing w:val="-4"/>
        </w:rPr>
        <w:t xml:space="preserve"> </w:t>
      </w:r>
      <w:r>
        <w:t>from</w:t>
      </w:r>
      <w:r>
        <w:rPr>
          <w:spacing w:val="-4"/>
        </w:rPr>
        <w:t xml:space="preserve"> </w:t>
      </w:r>
      <w:r>
        <w:t>the PIR will follow a separate consultation and standard-setting development process in accordance with the AUASB’s standard-setting process in Section VIII of this document.</w:t>
      </w:r>
    </w:p>
    <w:p w14:paraId="1E805D52"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53" w14:textId="77777777" w:rsidR="00AA4A02" w:rsidRDefault="00960F31">
      <w:pPr>
        <w:pStyle w:val="Heading4"/>
        <w:numPr>
          <w:ilvl w:val="0"/>
          <w:numId w:val="30"/>
        </w:numPr>
        <w:tabs>
          <w:tab w:val="left" w:pos="851"/>
        </w:tabs>
        <w:spacing w:before="183"/>
      </w:pPr>
      <w:bookmarkStart w:id="104" w:name="_TOC_250001"/>
      <w:r>
        <w:lastRenderedPageBreak/>
        <w:t>AUASB</w:t>
      </w:r>
      <w:r>
        <w:rPr>
          <w:spacing w:val="-4"/>
        </w:rPr>
        <w:t xml:space="preserve"> </w:t>
      </w:r>
      <w:r>
        <w:t>Guidance</w:t>
      </w:r>
      <w:r>
        <w:rPr>
          <w:spacing w:val="-4"/>
        </w:rPr>
        <w:t xml:space="preserve"> </w:t>
      </w:r>
      <w:bookmarkEnd w:id="104"/>
      <w:r>
        <w:rPr>
          <w:spacing w:val="-2"/>
        </w:rPr>
        <w:t>Statements</w:t>
      </w:r>
    </w:p>
    <w:p w14:paraId="1E805D54" w14:textId="77777777" w:rsidR="00AA4A02" w:rsidRDefault="00960F31">
      <w:pPr>
        <w:pStyle w:val="ListParagraph"/>
        <w:numPr>
          <w:ilvl w:val="0"/>
          <w:numId w:val="29"/>
        </w:numPr>
        <w:tabs>
          <w:tab w:val="left" w:pos="851"/>
        </w:tabs>
        <w:spacing w:before="193" w:line="208" w:lineRule="auto"/>
        <w:ind w:right="234"/>
      </w:pPr>
      <w:r>
        <w:t>The</w:t>
      </w:r>
      <w:r>
        <w:rPr>
          <w:spacing w:val="-2"/>
        </w:rPr>
        <w:t xml:space="preserve"> </w:t>
      </w:r>
      <w:r>
        <w:t>purpose,</w:t>
      </w:r>
      <w:r>
        <w:rPr>
          <w:spacing w:val="-5"/>
        </w:rPr>
        <w:t xml:space="preserve"> </w:t>
      </w:r>
      <w:r>
        <w:t>authority</w:t>
      </w:r>
      <w:r>
        <w:rPr>
          <w:spacing w:val="-2"/>
        </w:rPr>
        <w:t xml:space="preserve"> </w:t>
      </w:r>
      <w:r>
        <w:t>and</w:t>
      </w:r>
      <w:r>
        <w:rPr>
          <w:spacing w:val="-4"/>
        </w:rPr>
        <w:t xml:space="preserve"> </w:t>
      </w:r>
      <w:r>
        <w:t>legal</w:t>
      </w:r>
      <w:r>
        <w:rPr>
          <w:spacing w:val="-1"/>
        </w:rPr>
        <w:t xml:space="preserve"> </w:t>
      </w:r>
      <w:r>
        <w:t>status of</w:t>
      </w:r>
      <w:r>
        <w:rPr>
          <w:spacing w:val="-2"/>
        </w:rPr>
        <w:t xml:space="preserve"> </w:t>
      </w:r>
      <w:r>
        <w:t>AUASB</w:t>
      </w:r>
      <w:r>
        <w:rPr>
          <w:spacing w:val="-4"/>
        </w:rPr>
        <w:t xml:space="preserve"> </w:t>
      </w:r>
      <w:r>
        <w:t>Guidance</w:t>
      </w:r>
      <w:r>
        <w:rPr>
          <w:spacing w:val="-2"/>
        </w:rPr>
        <w:t xml:space="preserve"> </w:t>
      </w:r>
      <w:r>
        <w:t>Statements</w:t>
      </w:r>
      <w:r>
        <w:rPr>
          <w:spacing w:val="-2"/>
        </w:rPr>
        <w:t xml:space="preserve"> </w:t>
      </w:r>
      <w:r>
        <w:t>(GSs)</w:t>
      </w:r>
      <w:r>
        <w:rPr>
          <w:spacing w:val="-3"/>
        </w:rPr>
        <w:t xml:space="preserve"> </w:t>
      </w:r>
      <w:r>
        <w:t>are</w:t>
      </w:r>
      <w:r>
        <w:rPr>
          <w:spacing w:val="-4"/>
        </w:rPr>
        <w:t xml:space="preserve"> </w:t>
      </w:r>
      <w:r>
        <w:t>outlined</w:t>
      </w:r>
      <w:r>
        <w:rPr>
          <w:spacing w:val="-2"/>
        </w:rPr>
        <w:t xml:space="preserve"> </w:t>
      </w:r>
      <w:r>
        <w:t>in Section IV of this document.</w:t>
      </w:r>
    </w:p>
    <w:p w14:paraId="1E805D55" w14:textId="77777777" w:rsidR="00AA4A02" w:rsidRDefault="00960F31">
      <w:pPr>
        <w:pStyle w:val="ListParagraph"/>
        <w:numPr>
          <w:ilvl w:val="0"/>
          <w:numId w:val="29"/>
        </w:numPr>
        <w:tabs>
          <w:tab w:val="left" w:pos="851"/>
        </w:tabs>
        <w:spacing w:before="174"/>
      </w:pPr>
      <w:r>
        <w:t>Circumstances</w:t>
      </w:r>
      <w:r>
        <w:rPr>
          <w:spacing w:val="-7"/>
        </w:rPr>
        <w:t xml:space="preserve"> </w:t>
      </w:r>
      <w:r>
        <w:t>that</w:t>
      </w:r>
      <w:r>
        <w:rPr>
          <w:spacing w:val="-5"/>
        </w:rPr>
        <w:t xml:space="preserve"> </w:t>
      </w:r>
      <w:r>
        <w:t>may</w:t>
      </w:r>
      <w:r>
        <w:rPr>
          <w:spacing w:val="-5"/>
        </w:rPr>
        <w:t xml:space="preserve"> </w:t>
      </w:r>
      <w:r>
        <w:t>lead</w:t>
      </w:r>
      <w:r>
        <w:rPr>
          <w:spacing w:val="-3"/>
        </w:rPr>
        <w:t xml:space="preserve"> </w:t>
      </w:r>
      <w:r>
        <w:t>to</w:t>
      </w:r>
      <w:r>
        <w:rPr>
          <w:spacing w:val="-5"/>
        </w:rPr>
        <w:t xml:space="preserve"> </w:t>
      </w:r>
      <w:r>
        <w:t>the</w:t>
      </w:r>
      <w:r>
        <w:rPr>
          <w:spacing w:val="-3"/>
        </w:rPr>
        <w:t xml:space="preserve"> </w:t>
      </w:r>
      <w:r>
        <w:t>AUASB</w:t>
      </w:r>
      <w:r>
        <w:rPr>
          <w:spacing w:val="-5"/>
        </w:rPr>
        <w:t xml:space="preserve"> </w:t>
      </w:r>
      <w:r>
        <w:t>issuing</w:t>
      </w:r>
      <w:r>
        <w:rPr>
          <w:spacing w:val="-3"/>
        </w:rPr>
        <w:t xml:space="preserve"> </w:t>
      </w:r>
      <w:r>
        <w:t>guidance</w:t>
      </w:r>
      <w:r>
        <w:rPr>
          <w:spacing w:val="1"/>
        </w:rPr>
        <w:t xml:space="preserve"> </w:t>
      </w:r>
      <w:r>
        <w:t>include</w:t>
      </w:r>
      <w:r>
        <w:rPr>
          <w:spacing w:val="-2"/>
        </w:rPr>
        <w:t xml:space="preserve"> where:</w:t>
      </w:r>
    </w:p>
    <w:p w14:paraId="1E805D56" w14:textId="77777777" w:rsidR="00AA4A02" w:rsidRDefault="00960F31">
      <w:pPr>
        <w:pStyle w:val="ListParagraph"/>
        <w:numPr>
          <w:ilvl w:val="1"/>
          <w:numId w:val="29"/>
        </w:numPr>
        <w:tabs>
          <w:tab w:val="left" w:pos="1562"/>
        </w:tabs>
        <w:spacing w:before="192" w:line="208" w:lineRule="auto"/>
        <w:ind w:right="403"/>
      </w:pPr>
      <w:r>
        <w:t>it is considered necessary to provide additional guidance on the application of an existing</w:t>
      </w:r>
      <w:r>
        <w:rPr>
          <w:spacing w:val="-4"/>
        </w:rPr>
        <w:t xml:space="preserve"> </w:t>
      </w:r>
      <w:r>
        <w:t>standard(s)</w:t>
      </w:r>
      <w:r>
        <w:rPr>
          <w:spacing w:val="-3"/>
        </w:rPr>
        <w:t xml:space="preserve"> </w:t>
      </w:r>
      <w:r>
        <w:t>of</w:t>
      </w:r>
      <w:r>
        <w:rPr>
          <w:spacing w:val="-4"/>
        </w:rPr>
        <w:t xml:space="preserve"> </w:t>
      </w:r>
      <w:r>
        <w:t>general</w:t>
      </w:r>
      <w:r>
        <w:rPr>
          <w:spacing w:val="-5"/>
        </w:rPr>
        <w:t xml:space="preserve"> </w:t>
      </w:r>
      <w:r>
        <w:t>application</w:t>
      </w:r>
      <w:r>
        <w:rPr>
          <w:spacing w:val="-5"/>
        </w:rPr>
        <w:t xml:space="preserve"> </w:t>
      </w:r>
      <w:r>
        <w:t>to</w:t>
      </w:r>
      <w:r>
        <w:rPr>
          <w:spacing w:val="-4"/>
        </w:rPr>
        <w:t xml:space="preserve"> </w:t>
      </w:r>
      <w:r>
        <w:t>particular</w:t>
      </w:r>
      <w:r>
        <w:rPr>
          <w:spacing w:val="-5"/>
        </w:rPr>
        <w:t xml:space="preserve"> </w:t>
      </w:r>
      <w:r>
        <w:t>circumstances</w:t>
      </w:r>
      <w:r>
        <w:rPr>
          <w:spacing w:val="-1"/>
        </w:rPr>
        <w:t xml:space="preserve"> </w:t>
      </w:r>
      <w:r>
        <w:t>or</w:t>
      </w:r>
      <w:r>
        <w:rPr>
          <w:spacing w:val="-5"/>
        </w:rPr>
        <w:t xml:space="preserve"> </w:t>
      </w:r>
      <w:r>
        <w:t>specialised industries/sectors, to assist auditors and assurance practitioners to comply with the mandatory requirements in an existing standard;</w:t>
      </w:r>
    </w:p>
    <w:p w14:paraId="1E805D57" w14:textId="77777777" w:rsidR="00AA4A02" w:rsidRDefault="00960F31">
      <w:pPr>
        <w:pStyle w:val="ListParagraph"/>
        <w:numPr>
          <w:ilvl w:val="1"/>
          <w:numId w:val="29"/>
        </w:numPr>
        <w:tabs>
          <w:tab w:val="left" w:pos="1562"/>
        </w:tabs>
        <w:spacing w:before="175"/>
      </w:pPr>
      <w:r>
        <w:t>the</w:t>
      </w:r>
      <w:r>
        <w:rPr>
          <w:spacing w:val="-6"/>
        </w:rPr>
        <w:t xml:space="preserve"> </w:t>
      </w:r>
      <w:r>
        <w:t>IAASB</w:t>
      </w:r>
      <w:r>
        <w:rPr>
          <w:spacing w:val="-5"/>
        </w:rPr>
        <w:t xml:space="preserve"> </w:t>
      </w:r>
      <w:r>
        <w:t>(or</w:t>
      </w:r>
      <w:r>
        <w:rPr>
          <w:spacing w:val="-4"/>
        </w:rPr>
        <w:t xml:space="preserve"> </w:t>
      </w:r>
      <w:r>
        <w:t>other</w:t>
      </w:r>
      <w:r>
        <w:rPr>
          <w:spacing w:val="-3"/>
        </w:rPr>
        <w:t xml:space="preserve"> </w:t>
      </w:r>
      <w:r>
        <w:t>national</w:t>
      </w:r>
      <w:r>
        <w:rPr>
          <w:spacing w:val="-3"/>
        </w:rPr>
        <w:t xml:space="preserve"> </w:t>
      </w:r>
      <w:r>
        <w:t>standard</w:t>
      </w:r>
      <w:r>
        <w:rPr>
          <w:spacing w:val="-6"/>
        </w:rPr>
        <w:t xml:space="preserve"> </w:t>
      </w:r>
      <w:r>
        <w:t>setter)</w:t>
      </w:r>
      <w:r>
        <w:rPr>
          <w:spacing w:val="-5"/>
        </w:rPr>
        <w:t xml:space="preserve"> </w:t>
      </w:r>
      <w:r>
        <w:t>issues</w:t>
      </w:r>
      <w:r>
        <w:rPr>
          <w:spacing w:val="-5"/>
        </w:rPr>
        <w:t xml:space="preserve"> </w:t>
      </w:r>
      <w:r>
        <w:t>guidance</w:t>
      </w:r>
      <w:r>
        <w:rPr>
          <w:spacing w:val="-4"/>
        </w:rPr>
        <w:t xml:space="preserve"> </w:t>
      </w:r>
      <w:r>
        <w:t>on</w:t>
      </w:r>
      <w:r>
        <w:rPr>
          <w:spacing w:val="-5"/>
        </w:rPr>
        <w:t xml:space="preserve"> </w:t>
      </w:r>
      <w:r>
        <w:t>a</w:t>
      </w:r>
      <w:r>
        <w:rPr>
          <w:spacing w:val="-4"/>
        </w:rPr>
        <w:t xml:space="preserve"> </w:t>
      </w:r>
      <w:r>
        <w:t>particular</w:t>
      </w:r>
      <w:r>
        <w:rPr>
          <w:spacing w:val="-4"/>
        </w:rPr>
        <w:t xml:space="preserve"> </w:t>
      </w:r>
      <w:r>
        <w:t>matter;</w:t>
      </w:r>
      <w:r>
        <w:rPr>
          <w:spacing w:val="-2"/>
        </w:rPr>
        <w:t xml:space="preserve"> </w:t>
      </w:r>
      <w:r>
        <w:rPr>
          <w:spacing w:val="-5"/>
        </w:rPr>
        <w:t>or</w:t>
      </w:r>
    </w:p>
    <w:p w14:paraId="1E805D58" w14:textId="77777777" w:rsidR="00AA4A02" w:rsidRDefault="00960F31">
      <w:pPr>
        <w:pStyle w:val="ListParagraph"/>
        <w:numPr>
          <w:ilvl w:val="1"/>
          <w:numId w:val="29"/>
        </w:numPr>
        <w:tabs>
          <w:tab w:val="left" w:pos="1562"/>
        </w:tabs>
        <w:spacing w:before="191" w:line="208" w:lineRule="auto"/>
        <w:ind w:right="296"/>
      </w:pPr>
      <w:r>
        <w:t>stakeholder(s)</w:t>
      </w:r>
      <w:r>
        <w:rPr>
          <w:spacing w:val="-2"/>
        </w:rPr>
        <w:t xml:space="preserve"> </w:t>
      </w:r>
      <w:r>
        <w:t>request</w:t>
      </w:r>
      <w:r>
        <w:rPr>
          <w:spacing w:val="-1"/>
        </w:rPr>
        <w:t xml:space="preserve"> </w:t>
      </w:r>
      <w:r>
        <w:t>guidance</w:t>
      </w:r>
      <w:r>
        <w:rPr>
          <w:spacing w:val="-4"/>
        </w:rPr>
        <w:t xml:space="preserve"> </w:t>
      </w:r>
      <w:r>
        <w:t>to</w:t>
      </w:r>
      <w:r>
        <w:rPr>
          <w:spacing w:val="-2"/>
        </w:rPr>
        <w:t xml:space="preserve"> </w:t>
      </w:r>
      <w:r>
        <w:t>be</w:t>
      </w:r>
      <w:r>
        <w:rPr>
          <w:spacing w:val="-4"/>
        </w:rPr>
        <w:t xml:space="preserve"> </w:t>
      </w:r>
      <w:r>
        <w:t>issued</w:t>
      </w:r>
      <w:r>
        <w:rPr>
          <w:spacing w:val="-5"/>
        </w:rPr>
        <w:t xml:space="preserve"> </w:t>
      </w:r>
      <w:r>
        <w:t>and</w:t>
      </w:r>
      <w:r>
        <w:rPr>
          <w:spacing w:val="-4"/>
        </w:rPr>
        <w:t xml:space="preserve"> </w:t>
      </w:r>
      <w:r>
        <w:t>the</w:t>
      </w:r>
      <w:r>
        <w:rPr>
          <w:spacing w:val="-2"/>
        </w:rPr>
        <w:t xml:space="preserve"> </w:t>
      </w:r>
      <w:r>
        <w:t>AUASB</w:t>
      </w:r>
      <w:r>
        <w:rPr>
          <w:spacing w:val="-4"/>
        </w:rPr>
        <w:t xml:space="preserve"> </w:t>
      </w:r>
      <w:r>
        <w:t>considers</w:t>
      </w:r>
      <w:r>
        <w:rPr>
          <w:spacing w:val="-4"/>
        </w:rPr>
        <w:t xml:space="preserve"> </w:t>
      </w:r>
      <w:r>
        <w:t>it</w:t>
      </w:r>
      <w:r>
        <w:rPr>
          <w:spacing w:val="-4"/>
        </w:rPr>
        <w:t xml:space="preserve"> </w:t>
      </w:r>
      <w:r>
        <w:t>appropriate to do so.</w:t>
      </w:r>
    </w:p>
    <w:p w14:paraId="1E805D59" w14:textId="77777777" w:rsidR="00AA4A02" w:rsidRDefault="00960F31">
      <w:pPr>
        <w:pStyle w:val="ListParagraph"/>
        <w:numPr>
          <w:ilvl w:val="0"/>
          <w:numId w:val="29"/>
        </w:numPr>
        <w:tabs>
          <w:tab w:val="left" w:pos="851"/>
        </w:tabs>
        <w:spacing w:before="199" w:line="211" w:lineRule="auto"/>
        <w:ind w:right="777"/>
      </w:pPr>
      <w:r>
        <w:t>Factors</w:t>
      </w:r>
      <w:r>
        <w:rPr>
          <w:spacing w:val="-4"/>
        </w:rPr>
        <w:t xml:space="preserve"> </w:t>
      </w:r>
      <w:r>
        <w:t>the</w:t>
      </w:r>
      <w:r>
        <w:rPr>
          <w:spacing w:val="-2"/>
        </w:rPr>
        <w:t xml:space="preserve"> </w:t>
      </w:r>
      <w:r>
        <w:t>AUASB</w:t>
      </w:r>
      <w:r>
        <w:rPr>
          <w:spacing w:val="-4"/>
        </w:rPr>
        <w:t xml:space="preserve"> </w:t>
      </w:r>
      <w:r>
        <w:t>considers</w:t>
      </w:r>
      <w:r>
        <w:rPr>
          <w:spacing w:val="-3"/>
        </w:rPr>
        <w:t xml:space="preserve"> </w:t>
      </w:r>
      <w:r>
        <w:t>in</w:t>
      </w:r>
      <w:r>
        <w:rPr>
          <w:spacing w:val="-2"/>
        </w:rPr>
        <w:t xml:space="preserve"> </w:t>
      </w:r>
      <w:r>
        <w:t>determining</w:t>
      </w:r>
      <w:r>
        <w:rPr>
          <w:spacing w:val="-2"/>
        </w:rPr>
        <w:t xml:space="preserve"> </w:t>
      </w:r>
      <w:r>
        <w:t>whether</w:t>
      </w:r>
      <w:r>
        <w:rPr>
          <w:spacing w:val="-3"/>
        </w:rPr>
        <w:t xml:space="preserve"> </w:t>
      </w:r>
      <w:r>
        <w:t>it</w:t>
      </w:r>
      <w:r>
        <w:rPr>
          <w:spacing w:val="-4"/>
        </w:rPr>
        <w:t xml:space="preserve"> </w:t>
      </w:r>
      <w:r>
        <w:t>is</w:t>
      </w:r>
      <w:r>
        <w:rPr>
          <w:spacing w:val="-2"/>
        </w:rPr>
        <w:t xml:space="preserve"> </w:t>
      </w:r>
      <w:r>
        <w:t>appropriate</w:t>
      </w:r>
      <w:r>
        <w:rPr>
          <w:spacing w:val="-2"/>
        </w:rPr>
        <w:t xml:space="preserve"> </w:t>
      </w:r>
      <w:r>
        <w:t>to</w:t>
      </w:r>
      <w:r>
        <w:rPr>
          <w:spacing w:val="-3"/>
        </w:rPr>
        <w:t xml:space="preserve"> </w:t>
      </w:r>
      <w:r>
        <w:t>issue</w:t>
      </w:r>
      <w:r>
        <w:rPr>
          <w:spacing w:val="-4"/>
        </w:rPr>
        <w:t xml:space="preserve"> </w:t>
      </w:r>
      <w:r>
        <w:t>a</w:t>
      </w:r>
      <w:r>
        <w:rPr>
          <w:spacing w:val="-4"/>
        </w:rPr>
        <w:t xml:space="preserve"> </w:t>
      </w:r>
      <w:r>
        <w:t>GS</w:t>
      </w:r>
      <w:r>
        <w:rPr>
          <w:spacing w:val="-2"/>
        </w:rPr>
        <w:t xml:space="preserve"> </w:t>
      </w:r>
      <w:r>
        <w:t>(or update an existing GS) in the specific circumstances include but are not limited to:</w:t>
      </w:r>
    </w:p>
    <w:p w14:paraId="1E805D5A" w14:textId="77777777" w:rsidR="00AA4A02" w:rsidRDefault="00960F31">
      <w:pPr>
        <w:pStyle w:val="ListParagraph"/>
        <w:numPr>
          <w:ilvl w:val="1"/>
          <w:numId w:val="29"/>
        </w:numPr>
        <w:tabs>
          <w:tab w:val="left" w:pos="1562"/>
        </w:tabs>
        <w:spacing w:before="198" w:line="208" w:lineRule="auto"/>
        <w:ind w:right="894"/>
      </w:pPr>
      <w:r>
        <w:t>How</w:t>
      </w:r>
      <w:r>
        <w:rPr>
          <w:spacing w:val="-3"/>
        </w:rPr>
        <w:t xml:space="preserve"> </w:t>
      </w:r>
      <w:r>
        <w:t>does</w:t>
      </w:r>
      <w:r>
        <w:rPr>
          <w:spacing w:val="-1"/>
        </w:rPr>
        <w:t xml:space="preserve"> </w:t>
      </w:r>
      <w:r>
        <w:t>the</w:t>
      </w:r>
      <w:r>
        <w:rPr>
          <w:spacing w:val="-2"/>
        </w:rPr>
        <w:t xml:space="preserve"> </w:t>
      </w:r>
      <w:r>
        <w:t>development</w:t>
      </w:r>
      <w:r>
        <w:rPr>
          <w:spacing w:val="-6"/>
        </w:rPr>
        <w:t xml:space="preserve"> </w:t>
      </w:r>
      <w:r>
        <w:t>or</w:t>
      </w:r>
      <w:r>
        <w:rPr>
          <w:spacing w:val="-2"/>
        </w:rPr>
        <w:t xml:space="preserve"> </w:t>
      </w:r>
      <w:r>
        <w:t>update</w:t>
      </w:r>
      <w:r>
        <w:rPr>
          <w:spacing w:val="-4"/>
        </w:rPr>
        <w:t xml:space="preserve"> </w:t>
      </w:r>
      <w:r>
        <w:t>of</w:t>
      </w:r>
      <w:r>
        <w:rPr>
          <w:spacing w:val="-4"/>
        </w:rPr>
        <w:t xml:space="preserve"> </w:t>
      </w:r>
      <w:r>
        <w:t>the</w:t>
      </w:r>
      <w:r>
        <w:rPr>
          <w:spacing w:val="-2"/>
        </w:rPr>
        <w:t xml:space="preserve"> </w:t>
      </w:r>
      <w:r>
        <w:t>GS</w:t>
      </w:r>
      <w:r>
        <w:rPr>
          <w:spacing w:val="-3"/>
        </w:rPr>
        <w:t xml:space="preserve"> </w:t>
      </w:r>
      <w:r>
        <w:t>align</w:t>
      </w:r>
      <w:r>
        <w:rPr>
          <w:spacing w:val="-2"/>
        </w:rPr>
        <w:t xml:space="preserve"> </w:t>
      </w:r>
      <w:r>
        <w:t>to</w:t>
      </w:r>
      <w:r>
        <w:rPr>
          <w:spacing w:val="-5"/>
        </w:rPr>
        <w:t xml:space="preserve"> </w:t>
      </w:r>
      <w:r>
        <w:t>the</w:t>
      </w:r>
      <w:r>
        <w:rPr>
          <w:spacing w:val="-2"/>
        </w:rPr>
        <w:t xml:space="preserve"> </w:t>
      </w:r>
      <w:r>
        <w:t>AUASB’s</w:t>
      </w:r>
      <w:r>
        <w:rPr>
          <w:spacing w:val="-2"/>
        </w:rPr>
        <w:t xml:space="preserve"> </w:t>
      </w:r>
      <w:r>
        <w:t>Overall Strategy and Strategic Objectives?</w:t>
      </w:r>
    </w:p>
    <w:p w14:paraId="1E805D5B" w14:textId="77777777" w:rsidR="00AA4A02" w:rsidRDefault="00960F31">
      <w:pPr>
        <w:pStyle w:val="ListParagraph"/>
        <w:numPr>
          <w:ilvl w:val="1"/>
          <w:numId w:val="29"/>
        </w:numPr>
        <w:tabs>
          <w:tab w:val="left" w:pos="1562"/>
        </w:tabs>
        <w:spacing w:before="198" w:line="208" w:lineRule="auto"/>
        <w:ind w:right="366"/>
      </w:pPr>
      <w:r>
        <w:t>Is</w:t>
      </w:r>
      <w:r>
        <w:rPr>
          <w:spacing w:val="-3"/>
        </w:rPr>
        <w:t xml:space="preserve"> </w:t>
      </w:r>
      <w:r>
        <w:t>the</w:t>
      </w:r>
      <w:r>
        <w:rPr>
          <w:spacing w:val="-3"/>
        </w:rPr>
        <w:t xml:space="preserve"> </w:t>
      </w:r>
      <w:r>
        <w:t>development</w:t>
      </w:r>
      <w:r>
        <w:rPr>
          <w:spacing w:val="-4"/>
        </w:rPr>
        <w:t xml:space="preserve"> </w:t>
      </w:r>
      <w:r>
        <w:t>of</w:t>
      </w:r>
      <w:r>
        <w:rPr>
          <w:spacing w:val="-5"/>
        </w:rPr>
        <w:t xml:space="preserve"> </w:t>
      </w:r>
      <w:r>
        <w:t>auditing</w:t>
      </w:r>
      <w:r>
        <w:rPr>
          <w:spacing w:val="-3"/>
        </w:rPr>
        <w:t xml:space="preserve"> </w:t>
      </w:r>
      <w:r>
        <w:t>or</w:t>
      </w:r>
      <w:r>
        <w:rPr>
          <w:spacing w:val="-3"/>
        </w:rPr>
        <w:t xml:space="preserve"> </w:t>
      </w:r>
      <w:r>
        <w:t>assurance</w:t>
      </w:r>
      <w:r>
        <w:rPr>
          <w:spacing w:val="-5"/>
        </w:rPr>
        <w:t xml:space="preserve"> </w:t>
      </w:r>
      <w:r>
        <w:t>guidance</w:t>
      </w:r>
      <w:r>
        <w:rPr>
          <w:spacing w:val="-3"/>
        </w:rPr>
        <w:t xml:space="preserve"> </w:t>
      </w:r>
      <w:r>
        <w:t>for</w:t>
      </w:r>
      <w:r>
        <w:rPr>
          <w:spacing w:val="-3"/>
        </w:rPr>
        <w:t xml:space="preserve"> </w:t>
      </w:r>
      <w:r>
        <w:t>the</w:t>
      </w:r>
      <w:r>
        <w:rPr>
          <w:spacing w:val="-3"/>
        </w:rPr>
        <w:t xml:space="preserve"> </w:t>
      </w:r>
      <w:r>
        <w:t>intended</w:t>
      </w:r>
      <w:r>
        <w:rPr>
          <w:spacing w:val="-5"/>
        </w:rPr>
        <w:t xml:space="preserve"> </w:t>
      </w:r>
      <w:r>
        <w:t>subject</w:t>
      </w:r>
      <w:r>
        <w:rPr>
          <w:spacing w:val="-2"/>
        </w:rPr>
        <w:t xml:space="preserve"> </w:t>
      </w:r>
      <w:r>
        <w:t>matter the</w:t>
      </w:r>
      <w:r>
        <w:rPr>
          <w:spacing w:val="-2"/>
        </w:rPr>
        <w:t xml:space="preserve"> </w:t>
      </w:r>
      <w:r>
        <w:t>responsibility of the AUASB</w:t>
      </w:r>
      <w:r>
        <w:rPr>
          <w:spacing w:val="-2"/>
        </w:rPr>
        <w:t xml:space="preserve"> </w:t>
      </w:r>
      <w:r>
        <w:t>or another</w:t>
      </w:r>
      <w:r>
        <w:rPr>
          <w:spacing w:val="-2"/>
        </w:rPr>
        <w:t xml:space="preserve"> </w:t>
      </w:r>
      <w:r>
        <w:t>organisation? In particular, the AUASB considers whether it is appropriate for the AUASB’s resources (including Board member time) to be applied to the development or update of the GS.</w:t>
      </w:r>
    </w:p>
    <w:p w14:paraId="1E805D5C" w14:textId="77777777" w:rsidR="00AA4A02" w:rsidRDefault="00960F31">
      <w:pPr>
        <w:pStyle w:val="ListParagraph"/>
        <w:numPr>
          <w:ilvl w:val="1"/>
          <w:numId w:val="29"/>
        </w:numPr>
        <w:tabs>
          <w:tab w:val="left" w:pos="1562"/>
        </w:tabs>
        <w:spacing w:before="200" w:line="208" w:lineRule="auto"/>
        <w:ind w:right="463"/>
      </w:pPr>
      <w:r>
        <w:t>Is</w:t>
      </w:r>
      <w:r>
        <w:rPr>
          <w:spacing w:val="-1"/>
        </w:rPr>
        <w:t xml:space="preserve"> </w:t>
      </w:r>
      <w:r>
        <w:t>the</w:t>
      </w:r>
      <w:r>
        <w:rPr>
          <w:spacing w:val="-1"/>
        </w:rPr>
        <w:t xml:space="preserve"> </w:t>
      </w:r>
      <w:r>
        <w:t>subject</w:t>
      </w:r>
      <w:r>
        <w:rPr>
          <w:spacing w:val="-3"/>
        </w:rPr>
        <w:t xml:space="preserve"> </w:t>
      </w:r>
      <w:r>
        <w:t>matter</w:t>
      </w:r>
      <w:r>
        <w:rPr>
          <w:spacing w:val="-3"/>
        </w:rPr>
        <w:t xml:space="preserve"> </w:t>
      </w:r>
      <w:r>
        <w:t>the</w:t>
      </w:r>
      <w:r>
        <w:rPr>
          <w:spacing w:val="-1"/>
        </w:rPr>
        <w:t xml:space="preserve"> </w:t>
      </w:r>
      <w:r>
        <w:t>GS</w:t>
      </w:r>
      <w:r>
        <w:rPr>
          <w:spacing w:val="-5"/>
        </w:rPr>
        <w:t xml:space="preserve"> </w:t>
      </w:r>
      <w:r>
        <w:t>is</w:t>
      </w:r>
      <w:r>
        <w:rPr>
          <w:spacing w:val="-1"/>
        </w:rPr>
        <w:t xml:space="preserve"> </w:t>
      </w:r>
      <w:r>
        <w:t>designed</w:t>
      </w:r>
      <w:r>
        <w:rPr>
          <w:spacing w:val="-3"/>
        </w:rPr>
        <w:t xml:space="preserve"> </w:t>
      </w:r>
      <w:r>
        <w:t>to</w:t>
      </w:r>
      <w:r>
        <w:rPr>
          <w:spacing w:val="-1"/>
        </w:rPr>
        <w:t xml:space="preserve"> </w:t>
      </w:r>
      <w:r>
        <w:t>address up</w:t>
      </w:r>
      <w:r>
        <w:rPr>
          <w:spacing w:val="-4"/>
        </w:rPr>
        <w:t xml:space="preserve"> </w:t>
      </w:r>
      <w:r>
        <w:t>to</w:t>
      </w:r>
      <w:r>
        <w:rPr>
          <w:spacing w:val="-1"/>
        </w:rPr>
        <w:t xml:space="preserve"> </w:t>
      </w:r>
      <w:r>
        <w:t>date</w:t>
      </w:r>
      <w:r>
        <w:rPr>
          <w:spacing w:val="-1"/>
        </w:rPr>
        <w:t xml:space="preserve"> </w:t>
      </w:r>
      <w:r>
        <w:t>or has</w:t>
      </w:r>
      <w:r>
        <w:rPr>
          <w:spacing w:val="-2"/>
        </w:rPr>
        <w:t xml:space="preserve"> </w:t>
      </w:r>
      <w:r>
        <w:t>it</w:t>
      </w:r>
      <w:r>
        <w:rPr>
          <w:spacing w:val="-3"/>
        </w:rPr>
        <w:t xml:space="preserve"> </w:t>
      </w:r>
      <w:r>
        <w:t>been</w:t>
      </w:r>
      <w:r>
        <w:rPr>
          <w:spacing w:val="-4"/>
        </w:rPr>
        <w:t xml:space="preserve"> </w:t>
      </w:r>
      <w:r>
        <w:t>updated recently? The AUASB should not update a GS in advance of any changes to other regulatory requirements or guidance issued by other organisations.</w:t>
      </w:r>
    </w:p>
    <w:p w14:paraId="1E805D5D" w14:textId="77777777" w:rsidR="00AA4A02" w:rsidRDefault="00960F31">
      <w:pPr>
        <w:pStyle w:val="ListParagraph"/>
        <w:numPr>
          <w:ilvl w:val="1"/>
          <w:numId w:val="29"/>
        </w:numPr>
        <w:tabs>
          <w:tab w:val="left" w:pos="1562"/>
        </w:tabs>
        <w:spacing w:line="208" w:lineRule="auto"/>
        <w:ind w:right="168"/>
      </w:pPr>
      <w:r>
        <w:t>Is there a need to issue a swift response to a development in the market? Is the intended</w:t>
      </w:r>
      <w:r>
        <w:rPr>
          <w:spacing w:val="-5"/>
        </w:rPr>
        <w:t xml:space="preserve"> </w:t>
      </w:r>
      <w:r>
        <w:t>subject</w:t>
      </w:r>
      <w:r>
        <w:rPr>
          <w:spacing w:val="-4"/>
        </w:rPr>
        <w:t xml:space="preserve"> </w:t>
      </w:r>
      <w:r>
        <w:t>matter</w:t>
      </w:r>
      <w:r>
        <w:rPr>
          <w:spacing w:val="-2"/>
        </w:rPr>
        <w:t xml:space="preserve"> </w:t>
      </w:r>
      <w:r>
        <w:t>in</w:t>
      </w:r>
      <w:r>
        <w:rPr>
          <w:spacing w:val="-5"/>
        </w:rPr>
        <w:t xml:space="preserve"> </w:t>
      </w:r>
      <w:r>
        <w:t>the</w:t>
      </w:r>
      <w:r>
        <w:rPr>
          <w:spacing w:val="-2"/>
        </w:rPr>
        <w:t xml:space="preserve"> </w:t>
      </w:r>
      <w:r>
        <w:t>GS</w:t>
      </w:r>
      <w:r>
        <w:rPr>
          <w:spacing w:val="-3"/>
        </w:rPr>
        <w:t xml:space="preserve"> </w:t>
      </w:r>
      <w:r>
        <w:t>related</w:t>
      </w:r>
      <w:r>
        <w:rPr>
          <w:spacing w:val="-4"/>
        </w:rPr>
        <w:t xml:space="preserve"> </w:t>
      </w:r>
      <w:r>
        <w:t>to</w:t>
      </w:r>
      <w:r>
        <w:rPr>
          <w:spacing w:val="-2"/>
        </w:rPr>
        <w:t xml:space="preserve"> </w:t>
      </w:r>
      <w:r>
        <w:t>auditing</w:t>
      </w:r>
      <w:r>
        <w:rPr>
          <w:spacing w:val="-5"/>
        </w:rPr>
        <w:t xml:space="preserve"> </w:t>
      </w:r>
      <w:r>
        <w:t>and/or</w:t>
      </w:r>
      <w:r>
        <w:rPr>
          <w:spacing w:val="-4"/>
        </w:rPr>
        <w:t xml:space="preserve"> </w:t>
      </w:r>
      <w:r>
        <w:t>assurance</w:t>
      </w:r>
      <w:r>
        <w:rPr>
          <w:spacing w:val="-4"/>
        </w:rPr>
        <w:t xml:space="preserve"> </w:t>
      </w:r>
      <w:r>
        <w:t>issues</w:t>
      </w:r>
      <w:r>
        <w:rPr>
          <w:spacing w:val="-2"/>
        </w:rPr>
        <w:t xml:space="preserve"> </w:t>
      </w:r>
      <w:r>
        <w:t>which are likely to be temporary or permanent? If not ongoing or permanent, then the development of a GS may not be appropriate, and another type of non-authoritative material may be more applicable.</w:t>
      </w:r>
    </w:p>
    <w:p w14:paraId="1E805D5E" w14:textId="77777777" w:rsidR="00AA4A02" w:rsidRDefault="00960F31">
      <w:pPr>
        <w:pStyle w:val="ListParagraph"/>
        <w:numPr>
          <w:ilvl w:val="1"/>
          <w:numId w:val="29"/>
        </w:numPr>
        <w:tabs>
          <w:tab w:val="left" w:pos="1562"/>
        </w:tabs>
        <w:spacing w:before="199" w:line="208" w:lineRule="auto"/>
        <w:ind w:right="240"/>
      </w:pPr>
      <w:r>
        <w:t>What</w:t>
      </w:r>
      <w:r>
        <w:rPr>
          <w:spacing w:val="-4"/>
        </w:rPr>
        <w:t xml:space="preserve"> </w:t>
      </w:r>
      <w:r>
        <w:t>level</w:t>
      </w:r>
      <w:r>
        <w:rPr>
          <w:spacing w:val="-4"/>
        </w:rPr>
        <w:t xml:space="preserve"> </w:t>
      </w:r>
      <w:r>
        <w:t>of</w:t>
      </w:r>
      <w:r>
        <w:rPr>
          <w:spacing w:val="-4"/>
        </w:rPr>
        <w:t xml:space="preserve"> </w:t>
      </w:r>
      <w:r>
        <w:t>authority</w:t>
      </w:r>
      <w:r>
        <w:rPr>
          <w:spacing w:val="-5"/>
        </w:rPr>
        <w:t xml:space="preserve"> </w:t>
      </w:r>
      <w:r>
        <w:t>is</w:t>
      </w:r>
      <w:r>
        <w:rPr>
          <w:spacing w:val="-4"/>
        </w:rPr>
        <w:t xml:space="preserve"> </w:t>
      </w:r>
      <w:r>
        <w:t>required</w:t>
      </w:r>
      <w:r>
        <w:rPr>
          <w:spacing w:val="-4"/>
        </w:rPr>
        <w:t xml:space="preserve"> </w:t>
      </w:r>
      <w:r>
        <w:t>to</w:t>
      </w:r>
      <w:r>
        <w:rPr>
          <w:spacing w:val="-5"/>
        </w:rPr>
        <w:t xml:space="preserve"> </w:t>
      </w:r>
      <w:r>
        <w:t>meet</w:t>
      </w:r>
      <w:r>
        <w:rPr>
          <w:spacing w:val="-1"/>
        </w:rPr>
        <w:t xml:space="preserve"> </w:t>
      </w:r>
      <w:r>
        <w:t>the</w:t>
      </w:r>
      <w:r>
        <w:rPr>
          <w:spacing w:val="-4"/>
        </w:rPr>
        <w:t xml:space="preserve"> </w:t>
      </w:r>
      <w:r>
        <w:t>informational</w:t>
      </w:r>
      <w:r>
        <w:rPr>
          <w:spacing w:val="-1"/>
        </w:rPr>
        <w:t xml:space="preserve"> </w:t>
      </w:r>
      <w:r>
        <w:t>need,</w:t>
      </w:r>
      <w:r>
        <w:rPr>
          <w:spacing w:val="-5"/>
        </w:rPr>
        <w:t xml:space="preserve"> </w:t>
      </w:r>
      <w:r>
        <w:t>and</w:t>
      </w:r>
      <w:r>
        <w:rPr>
          <w:spacing w:val="-2"/>
        </w:rPr>
        <w:t xml:space="preserve"> </w:t>
      </w:r>
      <w:r>
        <w:t>could</w:t>
      </w:r>
      <w:r>
        <w:rPr>
          <w:spacing w:val="-5"/>
        </w:rPr>
        <w:t xml:space="preserve"> </w:t>
      </w:r>
      <w:r>
        <w:t>the</w:t>
      </w:r>
      <w:r>
        <w:rPr>
          <w:spacing w:val="-2"/>
        </w:rPr>
        <w:t xml:space="preserve"> </w:t>
      </w:r>
      <w:r>
        <w:t>need be met through another type of non-authoritative material?</w:t>
      </w:r>
    </w:p>
    <w:p w14:paraId="1E805D5F" w14:textId="77777777" w:rsidR="00AA4A02" w:rsidRDefault="00960F31">
      <w:pPr>
        <w:pStyle w:val="ListParagraph"/>
        <w:numPr>
          <w:ilvl w:val="1"/>
          <w:numId w:val="29"/>
        </w:numPr>
        <w:tabs>
          <w:tab w:val="left" w:pos="1562"/>
        </w:tabs>
        <w:spacing w:before="200" w:line="208" w:lineRule="auto"/>
        <w:ind w:right="259"/>
      </w:pPr>
      <w:r>
        <w:t>Who</w:t>
      </w:r>
      <w:r>
        <w:rPr>
          <w:spacing w:val="-2"/>
        </w:rPr>
        <w:t xml:space="preserve"> </w:t>
      </w:r>
      <w:r>
        <w:t>are</w:t>
      </w:r>
      <w:r>
        <w:rPr>
          <w:spacing w:val="-4"/>
        </w:rPr>
        <w:t xml:space="preserve"> </w:t>
      </w:r>
      <w:r>
        <w:t>the</w:t>
      </w:r>
      <w:r>
        <w:rPr>
          <w:spacing w:val="-2"/>
        </w:rPr>
        <w:t xml:space="preserve"> </w:t>
      </w:r>
      <w:r>
        <w:t>stakeholders</w:t>
      </w:r>
      <w:r>
        <w:rPr>
          <w:spacing w:val="-4"/>
        </w:rPr>
        <w:t xml:space="preserve"> </w:t>
      </w:r>
      <w:r>
        <w:t>the</w:t>
      </w:r>
      <w:r>
        <w:rPr>
          <w:spacing w:val="-2"/>
        </w:rPr>
        <w:t xml:space="preserve"> </w:t>
      </w:r>
      <w:r>
        <w:t>subject</w:t>
      </w:r>
      <w:r>
        <w:rPr>
          <w:spacing w:val="-1"/>
        </w:rPr>
        <w:t xml:space="preserve"> </w:t>
      </w:r>
      <w:r>
        <w:t>matter is</w:t>
      </w:r>
      <w:r>
        <w:rPr>
          <w:spacing w:val="-2"/>
        </w:rPr>
        <w:t xml:space="preserve"> </w:t>
      </w:r>
      <w:r>
        <w:t>intended</w:t>
      </w:r>
      <w:r>
        <w:rPr>
          <w:spacing w:val="-4"/>
        </w:rPr>
        <w:t xml:space="preserve"> </w:t>
      </w:r>
      <w:r>
        <w:t>for?</w:t>
      </w:r>
      <w:r>
        <w:rPr>
          <w:spacing w:val="-4"/>
        </w:rPr>
        <w:t xml:space="preserve"> </w:t>
      </w:r>
      <w:r>
        <w:t>Does</w:t>
      </w:r>
      <w:r>
        <w:rPr>
          <w:spacing w:val="-4"/>
        </w:rPr>
        <w:t xml:space="preserve"> </w:t>
      </w:r>
      <w:r>
        <w:t>the</w:t>
      </w:r>
      <w:r>
        <w:rPr>
          <w:spacing w:val="-4"/>
        </w:rPr>
        <w:t xml:space="preserve"> </w:t>
      </w:r>
      <w:r>
        <w:t>development</w:t>
      </w:r>
      <w:r>
        <w:rPr>
          <w:spacing w:val="-4"/>
        </w:rPr>
        <w:t xml:space="preserve"> </w:t>
      </w:r>
      <w:r>
        <w:t>or update of the GS benefit AUASB stakeholders? Generally, a GS is developed primarily to support auditors and/or assurance practitioners. If the main audience of the GS is not auditors and/or assurance practitioners, then another type of non-authoritative material may be more applicable.</w:t>
      </w:r>
    </w:p>
    <w:p w14:paraId="1E805D60" w14:textId="77777777" w:rsidR="00AA4A02" w:rsidRDefault="00960F31">
      <w:pPr>
        <w:pStyle w:val="ListParagraph"/>
        <w:numPr>
          <w:ilvl w:val="1"/>
          <w:numId w:val="29"/>
        </w:numPr>
        <w:tabs>
          <w:tab w:val="left" w:pos="1562"/>
        </w:tabs>
        <w:spacing w:line="208" w:lineRule="auto"/>
        <w:ind w:right="246"/>
      </w:pPr>
      <w:r>
        <w:t>Does the subject matter in the GS have broad or only limited application? Does the development or update of the GS also benefit other relevant stakeholders, in addition to serving the needs of the intended primary users of the GS? A GS may not be appropriate if there is only a very narrow stakeholder group that it will benefit. However,</w:t>
      </w:r>
      <w:r>
        <w:rPr>
          <w:spacing w:val="-5"/>
        </w:rPr>
        <w:t xml:space="preserve"> </w:t>
      </w:r>
      <w:r>
        <w:t>irrespective</w:t>
      </w:r>
      <w:r>
        <w:rPr>
          <w:spacing w:val="-2"/>
        </w:rPr>
        <w:t xml:space="preserve"> </w:t>
      </w:r>
      <w:r>
        <w:t>of</w:t>
      </w:r>
      <w:r>
        <w:rPr>
          <w:spacing w:val="-4"/>
        </w:rPr>
        <w:t xml:space="preserve"> </w:t>
      </w:r>
      <w:r>
        <w:t>the</w:t>
      </w:r>
      <w:r>
        <w:rPr>
          <w:spacing w:val="-2"/>
        </w:rPr>
        <w:t xml:space="preserve"> </w:t>
      </w:r>
      <w:r>
        <w:t>breadth</w:t>
      </w:r>
      <w:r>
        <w:rPr>
          <w:spacing w:val="-2"/>
        </w:rPr>
        <w:t xml:space="preserve"> </w:t>
      </w:r>
      <w:r>
        <w:t>of</w:t>
      </w:r>
      <w:r>
        <w:rPr>
          <w:spacing w:val="-4"/>
        </w:rPr>
        <w:t xml:space="preserve"> </w:t>
      </w:r>
      <w:r>
        <w:t>application,</w:t>
      </w:r>
      <w:r>
        <w:rPr>
          <w:spacing w:val="-2"/>
        </w:rPr>
        <w:t xml:space="preserve"> </w:t>
      </w:r>
      <w:r>
        <w:t>where</w:t>
      </w:r>
      <w:r>
        <w:rPr>
          <w:spacing w:val="-4"/>
        </w:rPr>
        <w:t xml:space="preserve"> </w:t>
      </w:r>
      <w:r>
        <w:t>there</w:t>
      </w:r>
      <w:r>
        <w:rPr>
          <w:spacing w:val="-4"/>
        </w:rPr>
        <w:t xml:space="preserve"> </w:t>
      </w:r>
      <w:r>
        <w:t>are</w:t>
      </w:r>
      <w:r>
        <w:rPr>
          <w:spacing w:val="-4"/>
        </w:rPr>
        <w:t xml:space="preserve"> </w:t>
      </w:r>
      <w:r>
        <w:t>significant</w:t>
      </w:r>
      <w:r>
        <w:rPr>
          <w:spacing w:val="-4"/>
        </w:rPr>
        <w:t xml:space="preserve"> </w:t>
      </w:r>
      <w:r>
        <w:t>public interest considerations, the development of a GS may be appropriate (for example, where the number of users of the GS are small but the impact may be broad).</w:t>
      </w:r>
    </w:p>
    <w:p w14:paraId="1E805D61" w14:textId="77777777" w:rsidR="00AA4A02" w:rsidRDefault="00960F31">
      <w:pPr>
        <w:pStyle w:val="ListParagraph"/>
        <w:numPr>
          <w:ilvl w:val="1"/>
          <w:numId w:val="29"/>
        </w:numPr>
        <w:tabs>
          <w:tab w:val="left" w:pos="1562"/>
        </w:tabs>
        <w:spacing w:before="200" w:line="208" w:lineRule="auto"/>
        <w:ind w:right="193"/>
      </w:pPr>
      <w:r>
        <w:t>Is there capacity and the appropriate subject matter expertise (capability) within technical</w:t>
      </w:r>
      <w:r>
        <w:rPr>
          <w:spacing w:val="-4"/>
        </w:rPr>
        <w:t xml:space="preserve"> </w:t>
      </w:r>
      <w:r>
        <w:t>staff</w:t>
      </w:r>
      <w:r>
        <w:rPr>
          <w:spacing w:val="-2"/>
        </w:rPr>
        <w:t xml:space="preserve"> </w:t>
      </w:r>
      <w:r>
        <w:t>to</w:t>
      </w:r>
      <w:r>
        <w:rPr>
          <w:spacing w:val="-2"/>
        </w:rPr>
        <w:t xml:space="preserve"> </w:t>
      </w:r>
      <w:r>
        <w:t>develop</w:t>
      </w:r>
      <w:r>
        <w:rPr>
          <w:spacing w:val="-2"/>
        </w:rPr>
        <w:t xml:space="preserve"> </w:t>
      </w:r>
      <w:r>
        <w:t>or</w:t>
      </w:r>
      <w:r>
        <w:rPr>
          <w:spacing w:val="-4"/>
        </w:rPr>
        <w:t xml:space="preserve"> </w:t>
      </w:r>
      <w:r>
        <w:t>update</w:t>
      </w:r>
      <w:r>
        <w:rPr>
          <w:spacing w:val="-2"/>
        </w:rPr>
        <w:t xml:space="preserve"> </w:t>
      </w:r>
      <w:r>
        <w:t>the</w:t>
      </w:r>
      <w:r>
        <w:rPr>
          <w:spacing w:val="-2"/>
        </w:rPr>
        <w:t xml:space="preserve"> </w:t>
      </w:r>
      <w:r>
        <w:t>GS?</w:t>
      </w:r>
      <w:r>
        <w:rPr>
          <w:spacing w:val="-2"/>
        </w:rPr>
        <w:t xml:space="preserve"> </w:t>
      </w:r>
      <w:r>
        <w:t>If</w:t>
      </w:r>
      <w:r>
        <w:rPr>
          <w:spacing w:val="-2"/>
        </w:rPr>
        <w:t xml:space="preserve"> </w:t>
      </w:r>
      <w:r>
        <w:t>not,</w:t>
      </w:r>
      <w:r>
        <w:rPr>
          <w:spacing w:val="-3"/>
        </w:rPr>
        <w:t xml:space="preserve"> </w:t>
      </w:r>
      <w:r>
        <w:t>the</w:t>
      </w:r>
      <w:r>
        <w:rPr>
          <w:spacing w:val="-4"/>
        </w:rPr>
        <w:t xml:space="preserve"> </w:t>
      </w:r>
      <w:r>
        <w:t>AUASB</w:t>
      </w:r>
      <w:r>
        <w:rPr>
          <w:spacing w:val="-4"/>
        </w:rPr>
        <w:t xml:space="preserve"> </w:t>
      </w:r>
      <w:r>
        <w:t>considers</w:t>
      </w:r>
      <w:r>
        <w:rPr>
          <w:spacing w:val="-2"/>
        </w:rPr>
        <w:t xml:space="preserve"> </w:t>
      </w:r>
      <w:r>
        <w:t>whether</w:t>
      </w:r>
      <w:r>
        <w:rPr>
          <w:spacing w:val="-2"/>
        </w:rPr>
        <w:t xml:space="preserve"> </w:t>
      </w:r>
      <w:r>
        <w:t>this could</w:t>
      </w:r>
      <w:r>
        <w:rPr>
          <w:spacing w:val="-5"/>
        </w:rPr>
        <w:t xml:space="preserve"> </w:t>
      </w:r>
      <w:r>
        <w:t>be</w:t>
      </w:r>
      <w:r>
        <w:rPr>
          <w:spacing w:val="-3"/>
        </w:rPr>
        <w:t xml:space="preserve"> </w:t>
      </w:r>
      <w:r>
        <w:t>addressed</w:t>
      </w:r>
      <w:r>
        <w:rPr>
          <w:spacing w:val="-3"/>
        </w:rPr>
        <w:t xml:space="preserve"> </w:t>
      </w:r>
      <w:r>
        <w:t>through</w:t>
      </w:r>
      <w:r>
        <w:rPr>
          <w:spacing w:val="-5"/>
        </w:rPr>
        <w:t xml:space="preserve"> </w:t>
      </w:r>
      <w:r>
        <w:t>other</w:t>
      </w:r>
      <w:r>
        <w:rPr>
          <w:spacing w:val="-3"/>
        </w:rPr>
        <w:t xml:space="preserve"> </w:t>
      </w:r>
      <w:r>
        <w:t>resourcing</w:t>
      </w:r>
      <w:r>
        <w:rPr>
          <w:spacing w:val="-5"/>
        </w:rPr>
        <w:t xml:space="preserve"> </w:t>
      </w:r>
      <w:r>
        <w:t>methods</w:t>
      </w:r>
      <w:r>
        <w:rPr>
          <w:spacing w:val="-5"/>
        </w:rPr>
        <w:t xml:space="preserve"> </w:t>
      </w:r>
      <w:r>
        <w:t>(for</w:t>
      </w:r>
      <w:r>
        <w:rPr>
          <w:spacing w:val="-3"/>
        </w:rPr>
        <w:t xml:space="preserve"> </w:t>
      </w:r>
      <w:r>
        <w:t>example,</w:t>
      </w:r>
      <w:r>
        <w:rPr>
          <w:spacing w:val="-2"/>
        </w:rPr>
        <w:t xml:space="preserve"> </w:t>
      </w:r>
      <w:r>
        <w:t>contractors</w:t>
      </w:r>
      <w:r>
        <w:rPr>
          <w:spacing w:val="-2"/>
        </w:rPr>
        <w:t xml:space="preserve"> </w:t>
      </w:r>
      <w:r>
        <w:t>and/or working groups).</w:t>
      </w:r>
    </w:p>
    <w:p w14:paraId="1E805D62"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63" w14:textId="77777777" w:rsidR="00AA4A02" w:rsidRDefault="00960F31">
      <w:pPr>
        <w:pStyle w:val="ListParagraph"/>
        <w:numPr>
          <w:ilvl w:val="1"/>
          <w:numId w:val="29"/>
        </w:numPr>
        <w:tabs>
          <w:tab w:val="left" w:pos="1562"/>
        </w:tabs>
        <w:spacing w:before="219" w:line="208" w:lineRule="auto"/>
        <w:ind w:right="265"/>
      </w:pPr>
      <w:r>
        <w:lastRenderedPageBreak/>
        <w:t>For</w:t>
      </w:r>
      <w:r>
        <w:rPr>
          <w:spacing w:val="-2"/>
        </w:rPr>
        <w:t xml:space="preserve"> </w:t>
      </w:r>
      <w:r>
        <w:t>existing</w:t>
      </w:r>
      <w:r>
        <w:rPr>
          <w:spacing w:val="-5"/>
        </w:rPr>
        <w:t xml:space="preserve"> </w:t>
      </w:r>
      <w:r>
        <w:t>GS’s,</w:t>
      </w:r>
      <w:r>
        <w:rPr>
          <w:spacing w:val="-2"/>
        </w:rPr>
        <w:t xml:space="preserve"> </w:t>
      </w:r>
      <w:r>
        <w:t>does</w:t>
      </w:r>
      <w:r>
        <w:rPr>
          <w:spacing w:val="-4"/>
        </w:rPr>
        <w:t xml:space="preserve"> </w:t>
      </w:r>
      <w:r>
        <w:t>the</w:t>
      </w:r>
      <w:r>
        <w:rPr>
          <w:spacing w:val="-4"/>
        </w:rPr>
        <w:t xml:space="preserve"> </w:t>
      </w:r>
      <w:r>
        <w:t>original</w:t>
      </w:r>
      <w:r>
        <w:rPr>
          <w:spacing w:val="-1"/>
        </w:rPr>
        <w:t xml:space="preserve"> </w:t>
      </w:r>
      <w:r>
        <w:t>purpose</w:t>
      </w:r>
      <w:r>
        <w:rPr>
          <w:spacing w:val="-2"/>
        </w:rPr>
        <w:t xml:space="preserve"> </w:t>
      </w:r>
      <w:r>
        <w:t>of</w:t>
      </w:r>
      <w:r>
        <w:rPr>
          <w:spacing w:val="-3"/>
        </w:rPr>
        <w:t xml:space="preserve"> </w:t>
      </w:r>
      <w:r>
        <w:t>the</w:t>
      </w:r>
      <w:r>
        <w:rPr>
          <w:spacing w:val="-2"/>
        </w:rPr>
        <w:t xml:space="preserve"> </w:t>
      </w:r>
      <w:r>
        <w:t>GS</w:t>
      </w:r>
      <w:r>
        <w:rPr>
          <w:spacing w:val="-3"/>
        </w:rPr>
        <w:t xml:space="preserve"> </w:t>
      </w:r>
      <w:r>
        <w:t>still</w:t>
      </w:r>
      <w:r>
        <w:rPr>
          <w:spacing w:val="-4"/>
        </w:rPr>
        <w:t xml:space="preserve"> </w:t>
      </w:r>
      <w:r>
        <w:t>apply?</w:t>
      </w:r>
      <w:r>
        <w:rPr>
          <w:spacing w:val="-2"/>
        </w:rPr>
        <w:t xml:space="preserve"> </w:t>
      </w:r>
      <w:r>
        <w:t>If</w:t>
      </w:r>
      <w:r>
        <w:rPr>
          <w:spacing w:val="-2"/>
        </w:rPr>
        <w:t xml:space="preserve"> </w:t>
      </w:r>
      <w:r>
        <w:t>not,</w:t>
      </w:r>
      <w:r>
        <w:rPr>
          <w:spacing w:val="-5"/>
        </w:rPr>
        <w:t xml:space="preserve"> </w:t>
      </w:r>
      <w:r>
        <w:t>the</w:t>
      </w:r>
      <w:r>
        <w:rPr>
          <w:spacing w:val="-2"/>
        </w:rPr>
        <w:t xml:space="preserve"> </w:t>
      </w:r>
      <w:r>
        <w:t>AUASB considers whether the GS requires updating or potentially should be withdrawn.</w:t>
      </w:r>
    </w:p>
    <w:p w14:paraId="1E805D64" w14:textId="77777777" w:rsidR="00AA4A02" w:rsidRDefault="00960F31">
      <w:pPr>
        <w:pStyle w:val="ListParagraph"/>
        <w:numPr>
          <w:ilvl w:val="0"/>
          <w:numId w:val="29"/>
        </w:numPr>
        <w:tabs>
          <w:tab w:val="left" w:pos="851"/>
        </w:tabs>
        <w:spacing w:line="208" w:lineRule="auto"/>
        <w:ind w:right="145"/>
      </w:pPr>
      <w:r>
        <w:t>Where the AUASB determines a GS is not appropriate and another type of non-authoritative material</w:t>
      </w:r>
      <w:r>
        <w:rPr>
          <w:spacing w:val="-1"/>
        </w:rPr>
        <w:t xml:space="preserve"> </w:t>
      </w:r>
      <w:r>
        <w:t>may</w:t>
      </w:r>
      <w:r>
        <w:rPr>
          <w:spacing w:val="-2"/>
        </w:rPr>
        <w:t xml:space="preserve"> </w:t>
      </w:r>
      <w:r>
        <w:t>be</w:t>
      </w:r>
      <w:r>
        <w:rPr>
          <w:spacing w:val="-4"/>
        </w:rPr>
        <w:t xml:space="preserve"> </w:t>
      </w:r>
      <w:r>
        <w:t>more</w:t>
      </w:r>
      <w:r>
        <w:rPr>
          <w:spacing w:val="-4"/>
        </w:rPr>
        <w:t xml:space="preserve"> </w:t>
      </w:r>
      <w:r>
        <w:t>applicable,</w:t>
      </w:r>
      <w:r>
        <w:rPr>
          <w:spacing w:val="-2"/>
        </w:rPr>
        <w:t xml:space="preserve"> </w:t>
      </w:r>
      <w:r>
        <w:t>this</w:t>
      </w:r>
      <w:r>
        <w:rPr>
          <w:spacing w:val="-2"/>
        </w:rPr>
        <w:t xml:space="preserve"> </w:t>
      </w:r>
      <w:r>
        <w:t>material will</w:t>
      </w:r>
      <w:r>
        <w:rPr>
          <w:spacing w:val="-1"/>
        </w:rPr>
        <w:t xml:space="preserve"> </w:t>
      </w:r>
      <w:r>
        <w:t>be</w:t>
      </w:r>
      <w:r>
        <w:rPr>
          <w:spacing w:val="-4"/>
        </w:rPr>
        <w:t xml:space="preserve"> </w:t>
      </w:r>
      <w:r>
        <w:t>developed</w:t>
      </w:r>
      <w:r>
        <w:rPr>
          <w:spacing w:val="-4"/>
        </w:rPr>
        <w:t xml:space="preserve"> </w:t>
      </w:r>
      <w:r>
        <w:t>in</w:t>
      </w:r>
      <w:r>
        <w:rPr>
          <w:spacing w:val="-2"/>
        </w:rPr>
        <w:t xml:space="preserve"> </w:t>
      </w:r>
      <w:r>
        <w:t>accordance</w:t>
      </w:r>
      <w:r>
        <w:rPr>
          <w:spacing w:val="-2"/>
        </w:rPr>
        <w:t xml:space="preserve"> </w:t>
      </w:r>
      <w:r>
        <w:t>with</w:t>
      </w:r>
      <w:r>
        <w:rPr>
          <w:spacing w:val="-2"/>
        </w:rPr>
        <w:t xml:space="preserve"> </w:t>
      </w:r>
      <w:r>
        <w:t>Section X of this document.</w:t>
      </w:r>
    </w:p>
    <w:p w14:paraId="1E805D65" w14:textId="77777777" w:rsidR="00AA4A02" w:rsidRDefault="00960F31">
      <w:pPr>
        <w:pStyle w:val="ListParagraph"/>
        <w:numPr>
          <w:ilvl w:val="0"/>
          <w:numId w:val="29"/>
        </w:numPr>
        <w:tabs>
          <w:tab w:val="left" w:pos="851"/>
        </w:tabs>
        <w:spacing w:before="199" w:line="208" w:lineRule="auto"/>
        <w:ind w:right="979"/>
      </w:pPr>
      <w:r>
        <w:t>The</w:t>
      </w:r>
      <w:r>
        <w:rPr>
          <w:spacing w:val="-2"/>
        </w:rPr>
        <w:t xml:space="preserve"> </w:t>
      </w:r>
      <w:r>
        <w:t>due</w:t>
      </w:r>
      <w:r>
        <w:rPr>
          <w:spacing w:val="-2"/>
        </w:rPr>
        <w:t xml:space="preserve"> </w:t>
      </w:r>
      <w:r>
        <w:t>process</w:t>
      </w:r>
      <w:r>
        <w:rPr>
          <w:spacing w:val="-4"/>
        </w:rPr>
        <w:t xml:space="preserve"> </w:t>
      </w:r>
      <w:r>
        <w:t>for</w:t>
      </w:r>
      <w:r>
        <w:rPr>
          <w:spacing w:val="-2"/>
        </w:rPr>
        <w:t xml:space="preserve"> </w:t>
      </w:r>
      <w:r>
        <w:t>AUASB</w:t>
      </w:r>
      <w:r>
        <w:rPr>
          <w:spacing w:val="-4"/>
        </w:rPr>
        <w:t xml:space="preserve"> </w:t>
      </w:r>
      <w:r>
        <w:t>Standards</w:t>
      </w:r>
      <w:r>
        <w:rPr>
          <w:spacing w:val="-4"/>
        </w:rPr>
        <w:t xml:space="preserve"> </w:t>
      </w:r>
      <w:r>
        <w:t>detailed</w:t>
      </w:r>
      <w:r>
        <w:rPr>
          <w:spacing w:val="-4"/>
        </w:rPr>
        <w:t xml:space="preserve"> </w:t>
      </w:r>
      <w:r>
        <w:t>in</w:t>
      </w:r>
      <w:r>
        <w:rPr>
          <w:spacing w:val="-2"/>
        </w:rPr>
        <w:t xml:space="preserve"> </w:t>
      </w:r>
      <w:r>
        <w:t>Section</w:t>
      </w:r>
      <w:r>
        <w:rPr>
          <w:spacing w:val="-2"/>
        </w:rPr>
        <w:t xml:space="preserve"> </w:t>
      </w:r>
      <w:r>
        <w:t>VIII</w:t>
      </w:r>
      <w:r>
        <w:rPr>
          <w:spacing w:val="-4"/>
        </w:rPr>
        <w:t xml:space="preserve"> </w:t>
      </w:r>
      <w:r>
        <w:t>applies</w:t>
      </w:r>
      <w:r>
        <w:rPr>
          <w:spacing w:val="-2"/>
        </w:rPr>
        <w:t xml:space="preserve"> </w:t>
      </w:r>
      <w:r>
        <w:t>equally</w:t>
      </w:r>
      <w:r>
        <w:rPr>
          <w:spacing w:val="-5"/>
        </w:rPr>
        <w:t xml:space="preserve"> </w:t>
      </w:r>
      <w:r>
        <w:t>to</w:t>
      </w:r>
      <w:r>
        <w:rPr>
          <w:spacing w:val="-5"/>
        </w:rPr>
        <w:t xml:space="preserve"> </w:t>
      </w:r>
      <w:r>
        <w:t>the development and</w:t>
      </w:r>
      <w:r>
        <w:rPr>
          <w:spacing w:val="-2"/>
        </w:rPr>
        <w:t xml:space="preserve"> </w:t>
      </w:r>
      <w:r>
        <w:t>issuance</w:t>
      </w:r>
      <w:r>
        <w:rPr>
          <w:spacing w:val="-2"/>
        </w:rPr>
        <w:t xml:space="preserve"> </w:t>
      </w:r>
      <w:r>
        <w:t>of GSs, with</w:t>
      </w:r>
      <w:r>
        <w:rPr>
          <w:spacing w:val="-3"/>
        </w:rPr>
        <w:t xml:space="preserve"> </w:t>
      </w:r>
      <w:r>
        <w:t>the</w:t>
      </w:r>
      <w:r>
        <w:rPr>
          <w:spacing w:val="-2"/>
        </w:rPr>
        <w:t xml:space="preserve"> </w:t>
      </w:r>
      <w:r>
        <w:t>exception</w:t>
      </w:r>
      <w:r>
        <w:rPr>
          <w:spacing w:val="-3"/>
        </w:rPr>
        <w:t xml:space="preserve"> </w:t>
      </w:r>
      <w:r>
        <w:t>of the public exposure process.</w:t>
      </w:r>
    </w:p>
    <w:p w14:paraId="1E805D66" w14:textId="77777777" w:rsidR="00AA4A02" w:rsidRDefault="00960F31">
      <w:pPr>
        <w:pStyle w:val="ListParagraph"/>
        <w:numPr>
          <w:ilvl w:val="0"/>
          <w:numId w:val="29"/>
        </w:numPr>
        <w:tabs>
          <w:tab w:val="left" w:pos="851"/>
        </w:tabs>
        <w:spacing w:line="208" w:lineRule="auto"/>
        <w:ind w:right="159"/>
      </w:pPr>
      <w:r>
        <w:t>AUASB GSs are generally not subject to public exposure;</w:t>
      </w:r>
      <w:r>
        <w:rPr>
          <w:spacing w:val="40"/>
        </w:rPr>
        <w:t xml:space="preserve"> </w:t>
      </w:r>
      <w:r>
        <w:t>however, the AUASB may determine in</w:t>
      </w:r>
      <w:r>
        <w:rPr>
          <w:spacing w:val="-1"/>
        </w:rPr>
        <w:t xml:space="preserve"> </w:t>
      </w:r>
      <w:r>
        <w:t>some cases that targeted consultation on</w:t>
      </w:r>
      <w:r>
        <w:rPr>
          <w:spacing w:val="-1"/>
        </w:rPr>
        <w:t xml:space="preserve"> </w:t>
      </w:r>
      <w:r>
        <w:t>a GS, or a more formal consultation</w:t>
      </w:r>
      <w:r>
        <w:rPr>
          <w:spacing w:val="-1"/>
        </w:rPr>
        <w:t xml:space="preserve"> </w:t>
      </w:r>
      <w:r>
        <w:t>and exposure process with greater transparency in development and approval (similar to that undertaken</w:t>
      </w:r>
      <w:r>
        <w:rPr>
          <w:spacing w:val="-2"/>
        </w:rPr>
        <w:t xml:space="preserve"> </w:t>
      </w:r>
      <w:r>
        <w:t>for</w:t>
      </w:r>
      <w:r>
        <w:rPr>
          <w:spacing w:val="-2"/>
        </w:rPr>
        <w:t xml:space="preserve"> </w:t>
      </w:r>
      <w:r>
        <w:t>an</w:t>
      </w:r>
      <w:r>
        <w:rPr>
          <w:spacing w:val="-4"/>
        </w:rPr>
        <w:t xml:space="preserve"> </w:t>
      </w:r>
      <w:r>
        <w:t>AUASB</w:t>
      </w:r>
      <w:r>
        <w:rPr>
          <w:spacing w:val="-4"/>
        </w:rPr>
        <w:t xml:space="preserve"> </w:t>
      </w:r>
      <w:r>
        <w:t>Standard),</w:t>
      </w:r>
      <w:r>
        <w:rPr>
          <w:spacing w:val="-2"/>
        </w:rPr>
        <w:t xml:space="preserve"> </w:t>
      </w:r>
      <w:r>
        <w:t>may</w:t>
      </w:r>
      <w:r>
        <w:rPr>
          <w:spacing w:val="-2"/>
        </w:rPr>
        <w:t xml:space="preserve"> </w:t>
      </w:r>
      <w:r>
        <w:t>be</w:t>
      </w:r>
      <w:r>
        <w:rPr>
          <w:spacing w:val="-4"/>
        </w:rPr>
        <w:t xml:space="preserve"> </w:t>
      </w:r>
      <w:r>
        <w:t>necessary,</w:t>
      </w:r>
      <w:r>
        <w:rPr>
          <w:spacing w:val="-2"/>
        </w:rPr>
        <w:t xml:space="preserve"> </w:t>
      </w:r>
      <w:r>
        <w:t>especially</w:t>
      </w:r>
      <w:r>
        <w:rPr>
          <w:spacing w:val="-2"/>
        </w:rPr>
        <w:t xml:space="preserve"> </w:t>
      </w:r>
      <w:r>
        <w:t>where</w:t>
      </w:r>
      <w:r>
        <w:rPr>
          <w:spacing w:val="-4"/>
        </w:rPr>
        <w:t xml:space="preserve"> </w:t>
      </w:r>
      <w:r>
        <w:t>there</w:t>
      </w:r>
      <w:r>
        <w:rPr>
          <w:spacing w:val="-2"/>
        </w:rPr>
        <w:t xml:space="preserve"> </w:t>
      </w:r>
      <w:r>
        <w:t>is</w:t>
      </w:r>
      <w:r>
        <w:rPr>
          <w:spacing w:val="-4"/>
        </w:rPr>
        <w:t xml:space="preserve"> </w:t>
      </w:r>
      <w:r>
        <w:t>a</w:t>
      </w:r>
      <w:r>
        <w:rPr>
          <w:spacing w:val="-2"/>
        </w:rPr>
        <w:t xml:space="preserve"> </w:t>
      </w:r>
      <w:r>
        <w:t>significant public</w:t>
      </w:r>
      <w:r>
        <w:rPr>
          <w:spacing w:val="-2"/>
        </w:rPr>
        <w:t xml:space="preserve"> </w:t>
      </w:r>
      <w:r>
        <w:t>interest</w:t>
      </w:r>
      <w:r>
        <w:rPr>
          <w:spacing w:val="-3"/>
        </w:rPr>
        <w:t xml:space="preserve"> </w:t>
      </w:r>
      <w:r>
        <w:t>element,</w:t>
      </w:r>
      <w:r>
        <w:rPr>
          <w:spacing w:val="-5"/>
        </w:rPr>
        <w:t xml:space="preserve"> </w:t>
      </w:r>
      <w:r>
        <w:t>and/or</w:t>
      </w:r>
      <w:r>
        <w:rPr>
          <w:spacing w:val="-4"/>
        </w:rPr>
        <w:t xml:space="preserve"> </w:t>
      </w:r>
      <w:r>
        <w:t>if</w:t>
      </w:r>
      <w:r>
        <w:rPr>
          <w:spacing w:val="-4"/>
        </w:rPr>
        <w:t xml:space="preserve"> </w:t>
      </w:r>
      <w:r>
        <w:t>the</w:t>
      </w:r>
      <w:r>
        <w:rPr>
          <w:spacing w:val="-4"/>
        </w:rPr>
        <w:t xml:space="preserve"> </w:t>
      </w:r>
      <w:r>
        <w:t>content</w:t>
      </w:r>
      <w:r>
        <w:rPr>
          <w:spacing w:val="-1"/>
        </w:rPr>
        <w:t xml:space="preserve"> </w:t>
      </w:r>
      <w:r>
        <w:t>of</w:t>
      </w:r>
      <w:r>
        <w:rPr>
          <w:spacing w:val="-4"/>
        </w:rPr>
        <w:t xml:space="preserve"> </w:t>
      </w:r>
      <w:r>
        <w:t>the</w:t>
      </w:r>
      <w:r>
        <w:rPr>
          <w:spacing w:val="-2"/>
        </w:rPr>
        <w:t xml:space="preserve"> </w:t>
      </w:r>
      <w:r>
        <w:t>GS</w:t>
      </w:r>
      <w:r>
        <w:rPr>
          <w:spacing w:val="-6"/>
        </w:rPr>
        <w:t xml:space="preserve"> </w:t>
      </w:r>
      <w:r>
        <w:t>may</w:t>
      </w:r>
      <w:r>
        <w:rPr>
          <w:spacing w:val="-2"/>
        </w:rPr>
        <w:t xml:space="preserve"> </w:t>
      </w:r>
      <w:r>
        <w:t>be</w:t>
      </w:r>
      <w:r>
        <w:rPr>
          <w:spacing w:val="-2"/>
        </w:rPr>
        <w:t xml:space="preserve"> </w:t>
      </w:r>
      <w:r>
        <w:t>considered</w:t>
      </w:r>
      <w:r>
        <w:rPr>
          <w:spacing w:val="-2"/>
        </w:rPr>
        <w:t xml:space="preserve"> </w:t>
      </w:r>
      <w:r>
        <w:t>contentious</w:t>
      </w:r>
      <w:r>
        <w:rPr>
          <w:spacing w:val="-2"/>
        </w:rPr>
        <w:t xml:space="preserve"> </w:t>
      </w:r>
      <w:r>
        <w:t>or</w:t>
      </w:r>
      <w:r>
        <w:rPr>
          <w:spacing w:val="-4"/>
        </w:rPr>
        <w:t xml:space="preserve"> </w:t>
      </w:r>
      <w:r>
        <w:t>result in substantial additional work by practitioners. This consultation may take the form of</w:t>
      </w:r>
      <w:r>
        <w:rPr>
          <w:spacing w:val="40"/>
        </w:rPr>
        <w:t xml:space="preserve"> </w:t>
      </w:r>
      <w:r>
        <w:t>outreach with specific stakeholders relevant to the GS’s subject matter, or a survey of stakeholders by technical staff. Formal exposure of a proposed GS must be approved by the AUASB Chair and subjected to review by the AUASB before commencing.</w:t>
      </w:r>
    </w:p>
    <w:p w14:paraId="1E805D67" w14:textId="77777777" w:rsidR="00AA4A02" w:rsidRDefault="00960F31">
      <w:pPr>
        <w:pStyle w:val="ListParagraph"/>
        <w:numPr>
          <w:ilvl w:val="0"/>
          <w:numId w:val="29"/>
        </w:numPr>
        <w:tabs>
          <w:tab w:val="left" w:pos="851"/>
        </w:tabs>
        <w:spacing w:before="199" w:line="208" w:lineRule="auto"/>
        <w:ind w:right="496"/>
      </w:pPr>
      <w:r>
        <w:t>Discussion</w:t>
      </w:r>
      <w:r>
        <w:rPr>
          <w:spacing w:val="-2"/>
        </w:rPr>
        <w:t xml:space="preserve"> </w:t>
      </w:r>
      <w:r>
        <w:t>and</w:t>
      </w:r>
      <w:r>
        <w:rPr>
          <w:spacing w:val="-4"/>
        </w:rPr>
        <w:t xml:space="preserve"> </w:t>
      </w:r>
      <w:r>
        <w:t>analysis</w:t>
      </w:r>
      <w:r>
        <w:rPr>
          <w:spacing w:val="-2"/>
        </w:rPr>
        <w:t xml:space="preserve"> </w:t>
      </w:r>
      <w:r>
        <w:t>of</w:t>
      </w:r>
      <w:r>
        <w:rPr>
          <w:spacing w:val="-4"/>
        </w:rPr>
        <w:t xml:space="preserve"> </w:t>
      </w:r>
      <w:r>
        <w:t>the</w:t>
      </w:r>
      <w:r>
        <w:rPr>
          <w:spacing w:val="-2"/>
        </w:rPr>
        <w:t xml:space="preserve"> </w:t>
      </w:r>
      <w:r>
        <w:t>GS</w:t>
      </w:r>
      <w:r>
        <w:rPr>
          <w:spacing w:val="-3"/>
        </w:rPr>
        <w:t xml:space="preserve"> </w:t>
      </w:r>
      <w:r>
        <w:t>considerations</w:t>
      </w:r>
      <w:r>
        <w:rPr>
          <w:spacing w:val="-4"/>
        </w:rPr>
        <w:t xml:space="preserve"> </w:t>
      </w:r>
      <w:r>
        <w:t>in</w:t>
      </w:r>
      <w:r>
        <w:rPr>
          <w:spacing w:val="-2"/>
        </w:rPr>
        <w:t xml:space="preserve"> </w:t>
      </w:r>
      <w:r>
        <w:t>paragraph</w:t>
      </w:r>
      <w:r>
        <w:rPr>
          <w:spacing w:val="-1"/>
        </w:rPr>
        <w:t xml:space="preserve"> </w:t>
      </w:r>
      <w:r>
        <w:t>257</w:t>
      </w:r>
      <w:r>
        <w:rPr>
          <w:spacing w:val="-2"/>
        </w:rPr>
        <w:t xml:space="preserve"> </w:t>
      </w:r>
      <w:r>
        <w:t>is</w:t>
      </w:r>
      <w:r>
        <w:rPr>
          <w:spacing w:val="-2"/>
        </w:rPr>
        <w:t xml:space="preserve"> </w:t>
      </w:r>
      <w:r>
        <w:t>contained</w:t>
      </w:r>
      <w:r>
        <w:rPr>
          <w:spacing w:val="-5"/>
        </w:rPr>
        <w:t xml:space="preserve"> </w:t>
      </w:r>
      <w:r>
        <w:t>in</w:t>
      </w:r>
      <w:r>
        <w:rPr>
          <w:spacing w:val="-5"/>
        </w:rPr>
        <w:t xml:space="preserve"> </w:t>
      </w:r>
      <w:r>
        <w:t>a</w:t>
      </w:r>
      <w:r>
        <w:rPr>
          <w:spacing w:val="-2"/>
        </w:rPr>
        <w:t xml:space="preserve"> </w:t>
      </w:r>
      <w:r>
        <w:t>formal Project Plan, which is prepared by technical staff for all new GSs, and subsequent comprehensive revisions of such GSs, in accordance with the same requirements as for AUASB Standards, as described in paragraph 151-153 above.</w:t>
      </w:r>
    </w:p>
    <w:p w14:paraId="1E805D68" w14:textId="77777777" w:rsidR="00AA4A02" w:rsidRDefault="00960F31">
      <w:pPr>
        <w:pStyle w:val="ListParagraph"/>
        <w:numPr>
          <w:ilvl w:val="0"/>
          <w:numId w:val="29"/>
        </w:numPr>
        <w:tabs>
          <w:tab w:val="left" w:pos="851"/>
        </w:tabs>
        <w:spacing w:before="200" w:line="208" w:lineRule="auto"/>
        <w:ind w:right="414"/>
      </w:pPr>
      <w:r>
        <w:t>Recognising</w:t>
      </w:r>
      <w:r>
        <w:rPr>
          <w:spacing w:val="-2"/>
        </w:rPr>
        <w:t xml:space="preserve"> </w:t>
      </w:r>
      <w:r>
        <w:t>the</w:t>
      </w:r>
      <w:r>
        <w:rPr>
          <w:spacing w:val="-2"/>
        </w:rPr>
        <w:t xml:space="preserve"> </w:t>
      </w:r>
      <w:r>
        <w:t>specific</w:t>
      </w:r>
      <w:r>
        <w:rPr>
          <w:spacing w:val="-2"/>
        </w:rPr>
        <w:t xml:space="preserve"> </w:t>
      </w:r>
      <w:r>
        <w:t>nature</w:t>
      </w:r>
      <w:r>
        <w:rPr>
          <w:spacing w:val="-4"/>
        </w:rPr>
        <w:t xml:space="preserve"> </w:t>
      </w:r>
      <w:r>
        <w:t>of</w:t>
      </w:r>
      <w:r>
        <w:rPr>
          <w:spacing w:val="-4"/>
        </w:rPr>
        <w:t xml:space="preserve"> </w:t>
      </w:r>
      <w:r>
        <w:t>some</w:t>
      </w:r>
      <w:r>
        <w:rPr>
          <w:spacing w:val="-2"/>
        </w:rPr>
        <w:t xml:space="preserve"> </w:t>
      </w:r>
      <w:r>
        <w:t>GSs,</w:t>
      </w:r>
      <w:r>
        <w:rPr>
          <w:spacing w:val="-4"/>
        </w:rPr>
        <w:t xml:space="preserve"> </w:t>
      </w:r>
      <w:r>
        <w:t>the</w:t>
      </w:r>
      <w:r>
        <w:rPr>
          <w:spacing w:val="-2"/>
        </w:rPr>
        <w:t xml:space="preserve"> </w:t>
      </w:r>
      <w:r>
        <w:t>AUASB</w:t>
      </w:r>
      <w:r>
        <w:rPr>
          <w:spacing w:val="-4"/>
        </w:rPr>
        <w:t xml:space="preserve"> </w:t>
      </w:r>
      <w:r>
        <w:t>may</w:t>
      </w:r>
      <w:r>
        <w:rPr>
          <w:spacing w:val="-4"/>
        </w:rPr>
        <w:t xml:space="preserve"> </w:t>
      </w:r>
      <w:r>
        <w:t>set</w:t>
      </w:r>
      <w:r>
        <w:rPr>
          <w:spacing w:val="-4"/>
        </w:rPr>
        <w:t xml:space="preserve"> </w:t>
      </w:r>
      <w:r>
        <w:t>up</w:t>
      </w:r>
      <w:r>
        <w:rPr>
          <w:spacing w:val="-2"/>
        </w:rPr>
        <w:t xml:space="preserve"> </w:t>
      </w:r>
      <w:r>
        <w:t>a</w:t>
      </w:r>
      <w:r>
        <w:rPr>
          <w:spacing w:val="-2"/>
        </w:rPr>
        <w:t xml:space="preserve"> </w:t>
      </w:r>
      <w:r>
        <w:t>PAG</w:t>
      </w:r>
      <w:r>
        <w:rPr>
          <w:spacing w:val="-3"/>
        </w:rPr>
        <w:t xml:space="preserve"> </w:t>
      </w:r>
      <w:r>
        <w:t>to</w:t>
      </w:r>
      <w:r>
        <w:rPr>
          <w:spacing w:val="-2"/>
        </w:rPr>
        <w:t xml:space="preserve"> </w:t>
      </w:r>
      <w:r>
        <w:t>assist</w:t>
      </w:r>
      <w:r>
        <w:rPr>
          <w:spacing w:val="-1"/>
        </w:rPr>
        <w:t xml:space="preserve"> </w:t>
      </w:r>
      <w:r>
        <w:t>in</w:t>
      </w:r>
      <w:r>
        <w:rPr>
          <w:spacing w:val="-5"/>
        </w:rPr>
        <w:t xml:space="preserve"> </w:t>
      </w:r>
      <w:r>
        <w:t>the development or update of a GS.</w:t>
      </w:r>
    </w:p>
    <w:p w14:paraId="1E805D69" w14:textId="77777777" w:rsidR="00AA4A02" w:rsidRDefault="00960F31">
      <w:pPr>
        <w:pStyle w:val="ListParagraph"/>
        <w:numPr>
          <w:ilvl w:val="0"/>
          <w:numId w:val="29"/>
        </w:numPr>
        <w:tabs>
          <w:tab w:val="left" w:pos="851"/>
        </w:tabs>
        <w:spacing w:before="200" w:line="208" w:lineRule="auto"/>
        <w:ind w:right="245"/>
      </w:pPr>
      <w:r>
        <w:t>Following AUASB consideration of a draft GS, the draft is amended, as appropriate, and presented</w:t>
      </w:r>
      <w:r>
        <w:rPr>
          <w:spacing w:val="-2"/>
        </w:rPr>
        <w:t xml:space="preserve"> </w:t>
      </w:r>
      <w:r>
        <w:t>to</w:t>
      </w:r>
      <w:r>
        <w:rPr>
          <w:spacing w:val="-2"/>
        </w:rPr>
        <w:t xml:space="preserve"> </w:t>
      </w:r>
      <w:r>
        <w:t>the</w:t>
      </w:r>
      <w:r>
        <w:rPr>
          <w:spacing w:val="-2"/>
        </w:rPr>
        <w:t xml:space="preserve"> </w:t>
      </w:r>
      <w:r>
        <w:t>AUASB</w:t>
      </w:r>
      <w:r>
        <w:rPr>
          <w:spacing w:val="-4"/>
        </w:rPr>
        <w:t xml:space="preserve"> </w:t>
      </w:r>
      <w:r>
        <w:t>for</w:t>
      </w:r>
      <w:r>
        <w:rPr>
          <w:spacing w:val="-2"/>
        </w:rPr>
        <w:t xml:space="preserve"> </w:t>
      </w:r>
      <w:r>
        <w:t>further</w:t>
      </w:r>
      <w:r>
        <w:rPr>
          <w:spacing w:val="-4"/>
        </w:rPr>
        <w:t xml:space="preserve"> </w:t>
      </w:r>
      <w:r>
        <w:t>consideration</w:t>
      </w:r>
      <w:r>
        <w:rPr>
          <w:spacing w:val="-5"/>
        </w:rPr>
        <w:t xml:space="preserve"> </w:t>
      </w:r>
      <w:r>
        <w:t>or</w:t>
      </w:r>
      <w:r>
        <w:rPr>
          <w:spacing w:val="-4"/>
        </w:rPr>
        <w:t xml:space="preserve"> </w:t>
      </w:r>
      <w:r>
        <w:t>final</w:t>
      </w:r>
      <w:r>
        <w:rPr>
          <w:spacing w:val="-1"/>
        </w:rPr>
        <w:t xml:space="preserve"> </w:t>
      </w:r>
      <w:r>
        <w:t>approval.</w:t>
      </w:r>
      <w:r>
        <w:rPr>
          <w:spacing w:val="-5"/>
        </w:rPr>
        <w:t xml:space="preserve"> </w:t>
      </w:r>
      <w:r>
        <w:t>Approval</w:t>
      </w:r>
      <w:r>
        <w:rPr>
          <w:spacing w:val="-4"/>
        </w:rPr>
        <w:t xml:space="preserve"> </w:t>
      </w:r>
      <w:r>
        <w:t>by</w:t>
      </w:r>
      <w:r>
        <w:rPr>
          <w:spacing w:val="-2"/>
        </w:rPr>
        <w:t xml:space="preserve"> </w:t>
      </w:r>
      <w:r>
        <w:t>the</w:t>
      </w:r>
      <w:r>
        <w:rPr>
          <w:spacing w:val="-2"/>
        </w:rPr>
        <w:t xml:space="preserve"> </w:t>
      </w:r>
      <w:r>
        <w:t>AUASB of the GS is subject to the AUASB approval protocols described in the Board Charter.</w:t>
      </w:r>
    </w:p>
    <w:p w14:paraId="1E805D6A" w14:textId="77777777" w:rsidR="00AA4A02" w:rsidRDefault="00960F31">
      <w:pPr>
        <w:pStyle w:val="ListParagraph"/>
        <w:numPr>
          <w:ilvl w:val="0"/>
          <w:numId w:val="29"/>
        </w:numPr>
        <w:tabs>
          <w:tab w:val="left" w:pos="851"/>
        </w:tabs>
        <w:spacing w:before="199" w:line="208" w:lineRule="auto"/>
        <w:ind w:right="300"/>
      </w:pPr>
      <w:r>
        <w:t>GSs contain a specific clause indicating their operative date. A GS remains in force until the operative</w:t>
      </w:r>
      <w:r>
        <w:rPr>
          <w:spacing w:val="-2"/>
        </w:rPr>
        <w:t xml:space="preserve"> </w:t>
      </w:r>
      <w:r>
        <w:t>date</w:t>
      </w:r>
      <w:r>
        <w:rPr>
          <w:spacing w:val="-4"/>
        </w:rPr>
        <w:t xml:space="preserve"> </w:t>
      </w:r>
      <w:r>
        <w:t>of</w:t>
      </w:r>
      <w:r>
        <w:rPr>
          <w:spacing w:val="-2"/>
        </w:rPr>
        <w:t xml:space="preserve"> </w:t>
      </w:r>
      <w:r>
        <w:t>any</w:t>
      </w:r>
      <w:r>
        <w:rPr>
          <w:spacing w:val="-2"/>
        </w:rPr>
        <w:t xml:space="preserve"> </w:t>
      </w:r>
      <w:r>
        <w:t>amendment</w:t>
      </w:r>
      <w:r>
        <w:rPr>
          <w:spacing w:val="-1"/>
        </w:rPr>
        <w:t xml:space="preserve"> </w:t>
      </w:r>
      <w:r>
        <w:t>to</w:t>
      </w:r>
      <w:r>
        <w:rPr>
          <w:spacing w:val="-2"/>
        </w:rPr>
        <w:t xml:space="preserve"> </w:t>
      </w:r>
      <w:r>
        <w:t>the</w:t>
      </w:r>
      <w:r>
        <w:rPr>
          <w:spacing w:val="-2"/>
        </w:rPr>
        <w:t xml:space="preserve"> </w:t>
      </w:r>
      <w:r>
        <w:t>GS</w:t>
      </w:r>
      <w:r>
        <w:rPr>
          <w:spacing w:val="-3"/>
        </w:rPr>
        <w:t xml:space="preserve"> </w:t>
      </w:r>
      <w:r>
        <w:t>or</w:t>
      </w:r>
      <w:r>
        <w:rPr>
          <w:spacing w:val="-4"/>
        </w:rPr>
        <w:t xml:space="preserve"> </w:t>
      </w:r>
      <w:r>
        <w:t>until</w:t>
      </w:r>
      <w:r>
        <w:rPr>
          <w:spacing w:val="-4"/>
        </w:rPr>
        <w:t xml:space="preserve"> </w:t>
      </w:r>
      <w:r>
        <w:t>the</w:t>
      </w:r>
      <w:r>
        <w:rPr>
          <w:spacing w:val="-2"/>
        </w:rPr>
        <w:t xml:space="preserve"> </w:t>
      </w:r>
      <w:r>
        <w:t>GS</w:t>
      </w:r>
      <w:r>
        <w:rPr>
          <w:spacing w:val="-3"/>
        </w:rPr>
        <w:t xml:space="preserve"> </w:t>
      </w:r>
      <w:r>
        <w:t>is</w:t>
      </w:r>
      <w:r>
        <w:rPr>
          <w:spacing w:val="-2"/>
        </w:rPr>
        <w:t xml:space="preserve"> </w:t>
      </w:r>
      <w:r>
        <w:t>withdrawn</w:t>
      </w:r>
      <w:r>
        <w:rPr>
          <w:spacing w:val="-2"/>
        </w:rPr>
        <w:t xml:space="preserve"> </w:t>
      </w:r>
      <w:r>
        <w:t>by</w:t>
      </w:r>
      <w:r>
        <w:rPr>
          <w:spacing w:val="-2"/>
        </w:rPr>
        <w:t xml:space="preserve"> </w:t>
      </w:r>
      <w:r>
        <w:t>the</w:t>
      </w:r>
      <w:r>
        <w:rPr>
          <w:spacing w:val="-2"/>
        </w:rPr>
        <w:t xml:space="preserve"> </w:t>
      </w:r>
      <w:r>
        <w:t>AUASB.</w:t>
      </w:r>
      <w:r>
        <w:rPr>
          <w:spacing w:val="40"/>
        </w:rPr>
        <w:t xml:space="preserve"> </w:t>
      </w:r>
      <w:r>
        <w:t>An operative date is one of the features that differentiates a GS from an Explanatory Guide.</w:t>
      </w:r>
    </w:p>
    <w:p w14:paraId="1E805D6B" w14:textId="77777777" w:rsidR="00AA4A02" w:rsidRDefault="00960F31">
      <w:pPr>
        <w:pStyle w:val="ListParagraph"/>
        <w:numPr>
          <w:ilvl w:val="0"/>
          <w:numId w:val="29"/>
        </w:numPr>
        <w:tabs>
          <w:tab w:val="left" w:pos="851"/>
        </w:tabs>
        <w:spacing w:before="202" w:line="208" w:lineRule="auto"/>
        <w:ind w:right="172"/>
      </w:pPr>
      <w:r>
        <w:t>As</w:t>
      </w:r>
      <w:r>
        <w:rPr>
          <w:spacing w:val="-2"/>
        </w:rPr>
        <w:t xml:space="preserve"> </w:t>
      </w:r>
      <w:r>
        <w:t>GSs</w:t>
      </w:r>
      <w:r>
        <w:rPr>
          <w:spacing w:val="-2"/>
        </w:rPr>
        <w:t xml:space="preserve"> </w:t>
      </w:r>
      <w:r>
        <w:t>do</w:t>
      </w:r>
      <w:r>
        <w:rPr>
          <w:spacing w:val="-2"/>
        </w:rPr>
        <w:t xml:space="preserve"> </w:t>
      </w:r>
      <w:r>
        <w:t>not</w:t>
      </w:r>
      <w:r>
        <w:rPr>
          <w:spacing w:val="-1"/>
        </w:rPr>
        <w:t xml:space="preserve"> </w:t>
      </w:r>
      <w:r>
        <w:t>include</w:t>
      </w:r>
      <w:r>
        <w:rPr>
          <w:spacing w:val="-2"/>
        </w:rPr>
        <w:t xml:space="preserve"> </w:t>
      </w:r>
      <w:r>
        <w:t>any</w:t>
      </w:r>
      <w:r>
        <w:rPr>
          <w:spacing w:val="-5"/>
        </w:rPr>
        <w:t xml:space="preserve"> </w:t>
      </w:r>
      <w:r>
        <w:t>additional</w:t>
      </w:r>
      <w:r>
        <w:rPr>
          <w:spacing w:val="-4"/>
        </w:rPr>
        <w:t xml:space="preserve"> </w:t>
      </w:r>
      <w:r>
        <w:t>requirements</w:t>
      </w:r>
      <w:r>
        <w:rPr>
          <w:spacing w:val="-2"/>
        </w:rPr>
        <w:t xml:space="preserve"> </w:t>
      </w:r>
      <w:r>
        <w:t>or</w:t>
      </w:r>
      <w:r>
        <w:rPr>
          <w:spacing w:val="-4"/>
        </w:rPr>
        <w:t xml:space="preserve"> </w:t>
      </w:r>
      <w:r>
        <w:t>extend</w:t>
      </w:r>
      <w:r>
        <w:rPr>
          <w:spacing w:val="-2"/>
        </w:rPr>
        <w:t xml:space="preserve"> </w:t>
      </w:r>
      <w:r>
        <w:t>or</w:t>
      </w:r>
      <w:r>
        <w:rPr>
          <w:spacing w:val="-4"/>
        </w:rPr>
        <w:t xml:space="preserve"> </w:t>
      </w:r>
      <w:r>
        <w:t>vary</w:t>
      </w:r>
      <w:r>
        <w:rPr>
          <w:spacing w:val="-2"/>
        </w:rPr>
        <w:t xml:space="preserve"> </w:t>
      </w:r>
      <w:r>
        <w:t>the</w:t>
      </w:r>
      <w:r>
        <w:rPr>
          <w:spacing w:val="-2"/>
        </w:rPr>
        <w:t xml:space="preserve"> </w:t>
      </w:r>
      <w:r>
        <w:t>existing</w:t>
      </w:r>
      <w:r>
        <w:rPr>
          <w:spacing w:val="-7"/>
        </w:rPr>
        <w:t xml:space="preserve"> </w:t>
      </w:r>
      <w:r>
        <w:t>requirements of any AUASB Standards, and are not legally enforceable:</w:t>
      </w:r>
    </w:p>
    <w:p w14:paraId="1E805D6C" w14:textId="77777777" w:rsidR="00AA4A02" w:rsidRDefault="00960F31">
      <w:pPr>
        <w:pStyle w:val="ListParagraph"/>
        <w:numPr>
          <w:ilvl w:val="1"/>
          <w:numId w:val="29"/>
        </w:numPr>
        <w:tabs>
          <w:tab w:val="left" w:pos="1562"/>
        </w:tabs>
        <w:spacing w:before="171" w:line="237" w:lineRule="exact"/>
      </w:pPr>
      <w:r>
        <w:t>A</w:t>
      </w:r>
      <w:r>
        <w:rPr>
          <w:spacing w:val="-7"/>
        </w:rPr>
        <w:t xml:space="preserve"> </w:t>
      </w:r>
      <w:r>
        <w:t>formal</w:t>
      </w:r>
      <w:r>
        <w:rPr>
          <w:spacing w:val="-3"/>
        </w:rPr>
        <w:t xml:space="preserve"> </w:t>
      </w:r>
      <w:r>
        <w:t>PIR</w:t>
      </w:r>
      <w:r>
        <w:rPr>
          <w:spacing w:val="-4"/>
        </w:rPr>
        <w:t xml:space="preserve"> </w:t>
      </w:r>
      <w:r>
        <w:t>like</w:t>
      </w:r>
      <w:r>
        <w:rPr>
          <w:spacing w:val="-4"/>
        </w:rPr>
        <w:t xml:space="preserve"> </w:t>
      </w:r>
      <w:r>
        <w:t>that</w:t>
      </w:r>
      <w:r>
        <w:rPr>
          <w:spacing w:val="-3"/>
        </w:rPr>
        <w:t xml:space="preserve"> </w:t>
      </w:r>
      <w:r>
        <w:t>performed</w:t>
      </w:r>
      <w:r>
        <w:rPr>
          <w:spacing w:val="-3"/>
        </w:rPr>
        <w:t xml:space="preserve"> </w:t>
      </w:r>
      <w:r>
        <w:t>for</w:t>
      </w:r>
      <w:r>
        <w:rPr>
          <w:spacing w:val="-4"/>
        </w:rPr>
        <w:t xml:space="preserve"> </w:t>
      </w:r>
      <w:r>
        <w:t>AUASB</w:t>
      </w:r>
      <w:r>
        <w:rPr>
          <w:spacing w:val="-6"/>
        </w:rPr>
        <w:t xml:space="preserve"> </w:t>
      </w:r>
      <w:r>
        <w:t>Standards</w:t>
      </w:r>
      <w:r>
        <w:rPr>
          <w:spacing w:val="-3"/>
        </w:rPr>
        <w:t xml:space="preserve"> </w:t>
      </w:r>
      <w:r>
        <w:t>(as</w:t>
      </w:r>
      <w:r>
        <w:rPr>
          <w:spacing w:val="-4"/>
        </w:rPr>
        <w:t xml:space="preserve"> </w:t>
      </w:r>
      <w:r>
        <w:t>described</w:t>
      </w:r>
      <w:r>
        <w:rPr>
          <w:spacing w:val="-3"/>
        </w:rPr>
        <w:t xml:space="preserve"> </w:t>
      </w:r>
      <w:r>
        <w:rPr>
          <w:spacing w:val="-5"/>
        </w:rPr>
        <w:t>in</w:t>
      </w:r>
    </w:p>
    <w:p w14:paraId="1E805D6D" w14:textId="77777777" w:rsidR="00AA4A02" w:rsidRDefault="00960F31">
      <w:pPr>
        <w:pStyle w:val="BodyText"/>
        <w:spacing w:before="11" w:line="208" w:lineRule="auto"/>
        <w:ind w:left="1562" w:right="246"/>
      </w:pPr>
      <w:r>
        <w:t>paragraphs</w:t>
      </w:r>
      <w:r>
        <w:rPr>
          <w:spacing w:val="-2"/>
        </w:rPr>
        <w:t xml:space="preserve"> </w:t>
      </w:r>
      <w:r>
        <w:t>250-254</w:t>
      </w:r>
      <w:r>
        <w:rPr>
          <w:spacing w:val="-6"/>
        </w:rPr>
        <w:t xml:space="preserve"> </w:t>
      </w:r>
      <w:r>
        <w:t>above)</w:t>
      </w:r>
      <w:r>
        <w:rPr>
          <w:spacing w:val="-4"/>
        </w:rPr>
        <w:t xml:space="preserve"> </w:t>
      </w:r>
      <w:r>
        <w:t>is</w:t>
      </w:r>
      <w:r>
        <w:rPr>
          <w:spacing w:val="-3"/>
        </w:rPr>
        <w:t xml:space="preserve"> </w:t>
      </w:r>
      <w:r>
        <w:t>not</w:t>
      </w:r>
      <w:r>
        <w:rPr>
          <w:spacing w:val="-2"/>
        </w:rPr>
        <w:t xml:space="preserve"> </w:t>
      </w:r>
      <w:r>
        <w:t>required.</w:t>
      </w:r>
      <w:r>
        <w:rPr>
          <w:spacing w:val="-3"/>
        </w:rPr>
        <w:t xml:space="preserve"> </w:t>
      </w:r>
      <w:r>
        <w:t>However,</w:t>
      </w:r>
      <w:r>
        <w:rPr>
          <w:spacing w:val="-3"/>
        </w:rPr>
        <w:t xml:space="preserve"> </w:t>
      </w:r>
      <w:r>
        <w:t>the</w:t>
      </w:r>
      <w:r>
        <w:rPr>
          <w:spacing w:val="-3"/>
        </w:rPr>
        <w:t xml:space="preserve"> </w:t>
      </w:r>
      <w:r>
        <w:t>AUASB</w:t>
      </w:r>
      <w:r>
        <w:rPr>
          <w:spacing w:val="-5"/>
        </w:rPr>
        <w:t xml:space="preserve"> </w:t>
      </w:r>
      <w:r>
        <w:t>technical</w:t>
      </w:r>
      <w:r>
        <w:rPr>
          <w:spacing w:val="-2"/>
        </w:rPr>
        <w:t xml:space="preserve"> </w:t>
      </w:r>
      <w:r>
        <w:t>staff</w:t>
      </w:r>
      <w:r>
        <w:rPr>
          <w:spacing w:val="-3"/>
        </w:rPr>
        <w:t xml:space="preserve"> </w:t>
      </w:r>
      <w:r>
        <w:t>are required to periodically review and update the suite of AUASB GSs and assess the currency</w:t>
      </w:r>
      <w:r>
        <w:rPr>
          <w:spacing w:val="-3"/>
        </w:rPr>
        <w:t xml:space="preserve"> </w:t>
      </w:r>
      <w:r>
        <w:t>and</w:t>
      </w:r>
      <w:r>
        <w:rPr>
          <w:spacing w:val="-2"/>
        </w:rPr>
        <w:t xml:space="preserve"> </w:t>
      </w:r>
      <w:r>
        <w:t>relevance of each GSs. As</w:t>
      </w:r>
      <w:r>
        <w:rPr>
          <w:spacing w:val="-2"/>
        </w:rPr>
        <w:t xml:space="preserve"> </w:t>
      </w:r>
      <w:r>
        <w:t>a minimum,</w:t>
      </w:r>
      <w:r>
        <w:rPr>
          <w:spacing w:val="-3"/>
        </w:rPr>
        <w:t xml:space="preserve"> </w:t>
      </w:r>
      <w:r>
        <w:t>each GS</w:t>
      </w:r>
      <w:r>
        <w:rPr>
          <w:spacing w:val="-1"/>
        </w:rPr>
        <w:t xml:space="preserve"> </w:t>
      </w:r>
      <w:r>
        <w:t>should be reviewed to ensure</w:t>
      </w:r>
      <w:r>
        <w:rPr>
          <w:spacing w:val="-2"/>
        </w:rPr>
        <w:t xml:space="preserve"> </w:t>
      </w:r>
      <w:r>
        <w:t>it</w:t>
      </w:r>
      <w:r>
        <w:rPr>
          <w:spacing w:val="-1"/>
        </w:rPr>
        <w:t xml:space="preserve"> </w:t>
      </w:r>
      <w:r>
        <w:t>remains</w:t>
      </w:r>
      <w:r>
        <w:rPr>
          <w:spacing w:val="-2"/>
        </w:rPr>
        <w:t xml:space="preserve"> </w:t>
      </w:r>
      <w:r>
        <w:t>consistent</w:t>
      </w:r>
      <w:r>
        <w:rPr>
          <w:spacing w:val="-3"/>
        </w:rPr>
        <w:t xml:space="preserve"> </w:t>
      </w:r>
      <w:r>
        <w:t>with</w:t>
      </w:r>
      <w:r>
        <w:rPr>
          <w:spacing w:val="-2"/>
        </w:rPr>
        <w:t xml:space="preserve"> </w:t>
      </w:r>
      <w:r>
        <w:t>other</w:t>
      </w:r>
      <w:r>
        <w:rPr>
          <w:spacing w:val="-2"/>
        </w:rPr>
        <w:t xml:space="preserve"> </w:t>
      </w:r>
      <w:r>
        <w:t>AUASB</w:t>
      </w:r>
      <w:r>
        <w:rPr>
          <w:spacing w:val="-4"/>
        </w:rPr>
        <w:t xml:space="preserve"> </w:t>
      </w:r>
      <w:r>
        <w:t>pronouncements</w:t>
      </w:r>
      <w:r>
        <w:rPr>
          <w:spacing w:val="-2"/>
        </w:rPr>
        <w:t xml:space="preserve"> </w:t>
      </w:r>
      <w:r>
        <w:t>and</w:t>
      </w:r>
      <w:r>
        <w:rPr>
          <w:spacing w:val="-2"/>
        </w:rPr>
        <w:t xml:space="preserve"> </w:t>
      </w:r>
      <w:r>
        <w:t>fit</w:t>
      </w:r>
      <w:r>
        <w:rPr>
          <w:spacing w:val="-4"/>
        </w:rPr>
        <w:t xml:space="preserve"> </w:t>
      </w:r>
      <w:r>
        <w:t>for</w:t>
      </w:r>
      <w:r>
        <w:rPr>
          <w:spacing w:val="-4"/>
        </w:rPr>
        <w:t xml:space="preserve"> </w:t>
      </w:r>
      <w:r>
        <w:t>purpose, at least once every three years.</w:t>
      </w:r>
    </w:p>
    <w:p w14:paraId="1E805D6E" w14:textId="77777777" w:rsidR="00AA4A02" w:rsidRDefault="00960F31">
      <w:pPr>
        <w:pStyle w:val="ListParagraph"/>
        <w:numPr>
          <w:ilvl w:val="1"/>
          <w:numId w:val="29"/>
        </w:numPr>
        <w:tabs>
          <w:tab w:val="left" w:pos="1562"/>
        </w:tabs>
        <w:spacing w:before="200" w:line="208" w:lineRule="auto"/>
        <w:ind w:right="166"/>
      </w:pPr>
      <w:r>
        <w:t>A formal process to withdraw or repeal GSs is not required; however, before the withdrawal</w:t>
      </w:r>
      <w:r>
        <w:rPr>
          <w:spacing w:val="-1"/>
        </w:rPr>
        <w:t xml:space="preserve"> </w:t>
      </w:r>
      <w:r>
        <w:t>of</w:t>
      </w:r>
      <w:r>
        <w:rPr>
          <w:spacing w:val="-4"/>
        </w:rPr>
        <w:t xml:space="preserve"> </w:t>
      </w:r>
      <w:r>
        <w:t>a</w:t>
      </w:r>
      <w:r>
        <w:rPr>
          <w:spacing w:val="-2"/>
        </w:rPr>
        <w:t xml:space="preserve"> </w:t>
      </w:r>
      <w:r>
        <w:t>GS</w:t>
      </w:r>
      <w:r>
        <w:rPr>
          <w:spacing w:val="-3"/>
        </w:rPr>
        <w:t xml:space="preserve"> </w:t>
      </w:r>
      <w:r>
        <w:t>the</w:t>
      </w:r>
      <w:r>
        <w:rPr>
          <w:spacing w:val="-2"/>
        </w:rPr>
        <w:t xml:space="preserve"> </w:t>
      </w:r>
      <w:r>
        <w:t>AUASB</w:t>
      </w:r>
      <w:r>
        <w:rPr>
          <w:spacing w:val="-2"/>
        </w:rPr>
        <w:t xml:space="preserve"> </w:t>
      </w:r>
      <w:r>
        <w:t>will</w:t>
      </w:r>
      <w:r>
        <w:rPr>
          <w:spacing w:val="-1"/>
        </w:rPr>
        <w:t xml:space="preserve"> </w:t>
      </w:r>
      <w:r>
        <w:t>publicise</w:t>
      </w:r>
      <w:r>
        <w:rPr>
          <w:spacing w:val="-4"/>
        </w:rPr>
        <w:t xml:space="preserve"> </w:t>
      </w:r>
      <w:r>
        <w:t>the</w:t>
      </w:r>
      <w:r>
        <w:rPr>
          <w:spacing w:val="-4"/>
        </w:rPr>
        <w:t xml:space="preserve"> </w:t>
      </w:r>
      <w:r>
        <w:t>intention</w:t>
      </w:r>
      <w:r>
        <w:rPr>
          <w:spacing w:val="-2"/>
        </w:rPr>
        <w:t xml:space="preserve"> </w:t>
      </w:r>
      <w:r>
        <w:t>to</w:t>
      </w:r>
      <w:r>
        <w:rPr>
          <w:spacing w:val="-2"/>
        </w:rPr>
        <w:t xml:space="preserve"> </w:t>
      </w:r>
      <w:r>
        <w:t>withdraw</w:t>
      </w:r>
      <w:r>
        <w:rPr>
          <w:spacing w:val="-2"/>
        </w:rPr>
        <w:t xml:space="preserve"> </w:t>
      </w:r>
      <w:r>
        <w:t>the</w:t>
      </w:r>
      <w:r>
        <w:rPr>
          <w:spacing w:val="-2"/>
        </w:rPr>
        <w:t xml:space="preserve"> </w:t>
      </w:r>
      <w:r>
        <w:t>GS</w:t>
      </w:r>
      <w:r>
        <w:rPr>
          <w:spacing w:val="-2"/>
        </w:rPr>
        <w:t xml:space="preserve"> </w:t>
      </w:r>
      <w:r>
        <w:t>on</w:t>
      </w:r>
      <w:r>
        <w:rPr>
          <w:spacing w:val="-2"/>
        </w:rPr>
        <w:t xml:space="preserve"> </w:t>
      </w:r>
      <w:r>
        <w:t>the AUASB website and through standard AUASB communication channels,</w:t>
      </w:r>
      <w:r>
        <w:rPr>
          <w:spacing w:val="-1"/>
        </w:rPr>
        <w:t xml:space="preserve"> </w:t>
      </w:r>
      <w:r>
        <w:t>to elicit any objections from stakeholders.</w:t>
      </w:r>
    </w:p>
    <w:p w14:paraId="1E805D6F"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70" w14:textId="77777777" w:rsidR="00AA4A02" w:rsidRDefault="00960F31">
      <w:pPr>
        <w:pStyle w:val="Heading4"/>
        <w:numPr>
          <w:ilvl w:val="0"/>
          <w:numId w:val="30"/>
        </w:numPr>
        <w:tabs>
          <w:tab w:val="left" w:pos="851"/>
        </w:tabs>
        <w:spacing w:before="183"/>
      </w:pPr>
      <w:bookmarkStart w:id="105" w:name="_TOC_250000"/>
      <w:r>
        <w:lastRenderedPageBreak/>
        <w:t>Non-Authoritative</w:t>
      </w:r>
      <w:r>
        <w:rPr>
          <w:spacing w:val="-6"/>
        </w:rPr>
        <w:t xml:space="preserve"> </w:t>
      </w:r>
      <w:bookmarkEnd w:id="105"/>
      <w:r>
        <w:rPr>
          <w:spacing w:val="-2"/>
        </w:rPr>
        <w:t>Materials</w:t>
      </w:r>
    </w:p>
    <w:p w14:paraId="1E805D71" w14:textId="77777777" w:rsidR="00AA4A02" w:rsidRDefault="00960F31">
      <w:pPr>
        <w:spacing w:before="167"/>
        <w:ind w:left="143"/>
        <w:rPr>
          <w:i/>
        </w:rPr>
      </w:pPr>
      <w:bookmarkStart w:id="106" w:name="Non-authoritative_AUASB_publications_and"/>
      <w:bookmarkEnd w:id="106"/>
      <w:r>
        <w:rPr>
          <w:i/>
        </w:rPr>
        <w:t>Non-authoritative</w:t>
      </w:r>
      <w:r>
        <w:rPr>
          <w:i/>
          <w:spacing w:val="-4"/>
        </w:rPr>
        <w:t xml:space="preserve"> </w:t>
      </w:r>
      <w:r>
        <w:rPr>
          <w:i/>
        </w:rPr>
        <w:t>AUASB</w:t>
      </w:r>
      <w:r>
        <w:rPr>
          <w:i/>
          <w:spacing w:val="-8"/>
        </w:rPr>
        <w:t xml:space="preserve"> </w:t>
      </w:r>
      <w:r>
        <w:rPr>
          <w:i/>
        </w:rPr>
        <w:t>publications</w:t>
      </w:r>
      <w:r>
        <w:rPr>
          <w:i/>
          <w:spacing w:val="-4"/>
        </w:rPr>
        <w:t xml:space="preserve"> </w:t>
      </w:r>
      <w:r>
        <w:rPr>
          <w:i/>
        </w:rPr>
        <w:t>and</w:t>
      </w:r>
      <w:r>
        <w:rPr>
          <w:i/>
          <w:spacing w:val="-7"/>
        </w:rPr>
        <w:t xml:space="preserve"> </w:t>
      </w:r>
      <w:r>
        <w:rPr>
          <w:i/>
        </w:rPr>
        <w:t>guidance</w:t>
      </w:r>
      <w:r>
        <w:rPr>
          <w:i/>
          <w:spacing w:val="-6"/>
        </w:rPr>
        <w:t xml:space="preserve"> </w:t>
      </w:r>
      <w:r>
        <w:rPr>
          <w:i/>
          <w:spacing w:val="-2"/>
        </w:rPr>
        <w:t>materials</w:t>
      </w:r>
    </w:p>
    <w:p w14:paraId="1E805D72" w14:textId="77777777" w:rsidR="00AA4A02" w:rsidRDefault="00960F31">
      <w:pPr>
        <w:pStyle w:val="ListParagraph"/>
        <w:numPr>
          <w:ilvl w:val="0"/>
          <w:numId w:val="29"/>
        </w:numPr>
        <w:tabs>
          <w:tab w:val="left" w:pos="851"/>
        </w:tabs>
        <w:spacing w:before="193" w:line="208" w:lineRule="auto"/>
        <w:ind w:right="172"/>
      </w:pPr>
      <w:r>
        <w:t>The AUASB may issue non-authoritative publications and guidance materials if it considers that doing so would improve audit and assurance quality and consistency in application, or to raise awareness of the auditing and assurance implications of significant new or emerging issues in the public interest. As described in paragraph 33, such non-authoritative materials is likely to be appropriate where the AUASB decides that an AUASB Standard or Guidance Statement may not be appropriate and that another type of AUASB publication or staff guidance</w:t>
      </w:r>
      <w:r>
        <w:rPr>
          <w:spacing w:val="-5"/>
        </w:rPr>
        <w:t xml:space="preserve"> </w:t>
      </w:r>
      <w:r>
        <w:t>may</w:t>
      </w:r>
      <w:r>
        <w:rPr>
          <w:spacing w:val="-5"/>
        </w:rPr>
        <w:t xml:space="preserve"> </w:t>
      </w:r>
      <w:r>
        <w:t>be</w:t>
      </w:r>
      <w:r>
        <w:rPr>
          <w:spacing w:val="-5"/>
        </w:rPr>
        <w:t xml:space="preserve"> </w:t>
      </w:r>
      <w:r>
        <w:t>more</w:t>
      </w:r>
      <w:r>
        <w:rPr>
          <w:spacing w:val="-3"/>
        </w:rPr>
        <w:t xml:space="preserve"> </w:t>
      </w:r>
      <w:r>
        <w:t>suitable.</w:t>
      </w:r>
      <w:r>
        <w:rPr>
          <w:spacing w:val="-1"/>
        </w:rPr>
        <w:t xml:space="preserve"> </w:t>
      </w:r>
      <w:r>
        <w:t>Examples</w:t>
      </w:r>
      <w:r>
        <w:rPr>
          <w:spacing w:val="-5"/>
        </w:rPr>
        <w:t xml:space="preserve"> </w:t>
      </w:r>
      <w:r>
        <w:t>include:</w:t>
      </w:r>
      <w:r>
        <w:rPr>
          <w:spacing w:val="-2"/>
        </w:rPr>
        <w:t xml:space="preserve"> </w:t>
      </w:r>
      <w:r>
        <w:t>Explanatory</w:t>
      </w:r>
      <w:r>
        <w:rPr>
          <w:spacing w:val="-3"/>
        </w:rPr>
        <w:t xml:space="preserve"> </w:t>
      </w:r>
      <w:r>
        <w:t>Guides,</w:t>
      </w:r>
      <w:r>
        <w:rPr>
          <w:spacing w:val="-3"/>
        </w:rPr>
        <w:t xml:space="preserve"> </w:t>
      </w:r>
      <w:r>
        <w:t>Basis</w:t>
      </w:r>
      <w:r>
        <w:rPr>
          <w:spacing w:val="-3"/>
        </w:rPr>
        <w:t xml:space="preserve"> </w:t>
      </w:r>
      <w:r>
        <w:t>for</w:t>
      </w:r>
      <w:r>
        <w:rPr>
          <w:spacing w:val="-5"/>
        </w:rPr>
        <w:t xml:space="preserve"> </w:t>
      </w:r>
      <w:r>
        <w:t>Conclusions documents and AUASB Bulletins. Such materials do not have the same status as authoritative AUASB pronouncements, and do not establish or extend requirements for the performance of engagements under the AUASB Standards.</w:t>
      </w:r>
    </w:p>
    <w:p w14:paraId="1E805D73" w14:textId="77777777" w:rsidR="00AA4A02" w:rsidRDefault="00960F31">
      <w:pPr>
        <w:pStyle w:val="ListParagraph"/>
        <w:numPr>
          <w:ilvl w:val="0"/>
          <w:numId w:val="29"/>
        </w:numPr>
        <w:tabs>
          <w:tab w:val="left" w:pos="851"/>
        </w:tabs>
        <w:spacing w:before="200" w:line="208" w:lineRule="auto"/>
        <w:ind w:right="166"/>
      </w:pPr>
      <w:r>
        <w:t>All non-authoritative materials are developed by the AUASB technical staff. As these materials do not need to be developed in public AUASB meetings, such materials are not subject to the same public scrutiny as AUASB pronouncements. However, these materials are subject to internal quality assurance processes to ensure they do not add or change requirements in AUASB pronouncements and are clearly distinguished from AUASB pronouncements.</w:t>
      </w:r>
      <w:r>
        <w:rPr>
          <w:spacing w:val="-4"/>
        </w:rPr>
        <w:t xml:space="preserve"> </w:t>
      </w:r>
      <w:r>
        <w:t>These</w:t>
      </w:r>
      <w:r>
        <w:rPr>
          <w:spacing w:val="-5"/>
        </w:rPr>
        <w:t xml:space="preserve"> </w:t>
      </w:r>
      <w:r>
        <w:t>quality</w:t>
      </w:r>
      <w:r>
        <w:rPr>
          <w:spacing w:val="-4"/>
        </w:rPr>
        <w:t xml:space="preserve"> </w:t>
      </w:r>
      <w:r>
        <w:t>assurance</w:t>
      </w:r>
      <w:r>
        <w:rPr>
          <w:spacing w:val="-4"/>
        </w:rPr>
        <w:t xml:space="preserve"> </w:t>
      </w:r>
      <w:r>
        <w:t>processes</w:t>
      </w:r>
      <w:r>
        <w:rPr>
          <w:spacing w:val="-4"/>
        </w:rPr>
        <w:t xml:space="preserve"> </w:t>
      </w:r>
      <w:r>
        <w:t>may</w:t>
      </w:r>
      <w:r>
        <w:rPr>
          <w:spacing w:val="-4"/>
        </w:rPr>
        <w:t xml:space="preserve"> </w:t>
      </w:r>
      <w:r>
        <w:t>include</w:t>
      </w:r>
      <w:r>
        <w:rPr>
          <w:spacing w:val="-4"/>
        </w:rPr>
        <w:t xml:space="preserve"> </w:t>
      </w:r>
      <w:r>
        <w:t>obtaining</w:t>
      </w:r>
      <w:r>
        <w:rPr>
          <w:spacing w:val="-4"/>
        </w:rPr>
        <w:t xml:space="preserve"> </w:t>
      </w:r>
      <w:r>
        <w:t>input</w:t>
      </w:r>
      <w:r>
        <w:rPr>
          <w:spacing w:val="-5"/>
        </w:rPr>
        <w:t xml:space="preserve"> </w:t>
      </w:r>
      <w:r>
        <w:t>from</w:t>
      </w:r>
      <w:r>
        <w:rPr>
          <w:spacing w:val="-5"/>
        </w:rPr>
        <w:t xml:space="preserve"> </w:t>
      </w:r>
      <w:r>
        <w:t>relevant advisory panels, AUASB members with relevant subject matter expertise, specially formed AUASB subcommittees and/or the AUASB Chair.</w:t>
      </w:r>
    </w:p>
    <w:p w14:paraId="1E805D74" w14:textId="77777777" w:rsidR="00AA4A02" w:rsidRDefault="00960F31">
      <w:pPr>
        <w:pStyle w:val="ListParagraph"/>
        <w:numPr>
          <w:ilvl w:val="0"/>
          <w:numId w:val="29"/>
        </w:numPr>
        <w:tabs>
          <w:tab w:val="left" w:pos="851"/>
        </w:tabs>
        <w:spacing w:before="198" w:line="208" w:lineRule="auto"/>
        <w:ind w:right="242"/>
      </w:pPr>
      <w:r>
        <w:t>Similar</w:t>
      </w:r>
      <w:r>
        <w:rPr>
          <w:spacing w:val="-4"/>
        </w:rPr>
        <w:t xml:space="preserve"> </w:t>
      </w:r>
      <w:r>
        <w:t>to</w:t>
      </w:r>
      <w:r>
        <w:rPr>
          <w:spacing w:val="-2"/>
        </w:rPr>
        <w:t xml:space="preserve"> </w:t>
      </w:r>
      <w:r>
        <w:t>AUASB</w:t>
      </w:r>
      <w:r>
        <w:rPr>
          <w:spacing w:val="-3"/>
        </w:rPr>
        <w:t xml:space="preserve"> </w:t>
      </w:r>
      <w:r>
        <w:t>GSs,</w:t>
      </w:r>
      <w:r>
        <w:rPr>
          <w:spacing w:val="-2"/>
        </w:rPr>
        <w:t xml:space="preserve"> </w:t>
      </w:r>
      <w:r>
        <w:t>non-authoritative</w:t>
      </w:r>
      <w:r>
        <w:rPr>
          <w:spacing w:val="-4"/>
        </w:rPr>
        <w:t xml:space="preserve"> </w:t>
      </w:r>
      <w:r>
        <w:t>materials</w:t>
      </w:r>
      <w:r>
        <w:rPr>
          <w:spacing w:val="-4"/>
        </w:rPr>
        <w:t xml:space="preserve"> </w:t>
      </w:r>
      <w:r>
        <w:t>do</w:t>
      </w:r>
      <w:r>
        <w:rPr>
          <w:spacing w:val="-5"/>
        </w:rPr>
        <w:t xml:space="preserve"> </w:t>
      </w:r>
      <w:r>
        <w:t>not</w:t>
      </w:r>
      <w:r>
        <w:rPr>
          <w:spacing w:val="-1"/>
        </w:rPr>
        <w:t xml:space="preserve"> </w:t>
      </w:r>
      <w:r>
        <w:t>require</w:t>
      </w:r>
      <w:r>
        <w:rPr>
          <w:spacing w:val="-4"/>
        </w:rPr>
        <w:t xml:space="preserve"> </w:t>
      </w:r>
      <w:r>
        <w:t>public</w:t>
      </w:r>
      <w:r>
        <w:rPr>
          <w:spacing w:val="-4"/>
        </w:rPr>
        <w:t xml:space="preserve"> </w:t>
      </w:r>
      <w:r>
        <w:t>exposure;</w:t>
      </w:r>
      <w:r>
        <w:rPr>
          <w:spacing w:val="-1"/>
        </w:rPr>
        <w:t xml:space="preserve"> </w:t>
      </w:r>
      <w:r>
        <w:t xml:space="preserve">however, the AUASB may determine that targeted consultation on some of these materials may be </w:t>
      </w:r>
      <w:r>
        <w:rPr>
          <w:spacing w:val="-2"/>
        </w:rPr>
        <w:t>appropriate.</w:t>
      </w:r>
    </w:p>
    <w:p w14:paraId="1E805D75" w14:textId="77777777" w:rsidR="00AA4A02" w:rsidRDefault="00960F31">
      <w:pPr>
        <w:pStyle w:val="ListParagraph"/>
        <w:numPr>
          <w:ilvl w:val="0"/>
          <w:numId w:val="29"/>
        </w:numPr>
        <w:tabs>
          <w:tab w:val="left" w:pos="851"/>
        </w:tabs>
        <w:spacing w:line="208" w:lineRule="auto"/>
        <w:ind w:right="156"/>
      </w:pPr>
      <w:r>
        <w:t>These</w:t>
      </w:r>
      <w:r>
        <w:rPr>
          <w:spacing w:val="-4"/>
        </w:rPr>
        <w:t xml:space="preserve"> </w:t>
      </w:r>
      <w:r>
        <w:t>materials</w:t>
      </w:r>
      <w:r>
        <w:rPr>
          <w:spacing w:val="-1"/>
        </w:rPr>
        <w:t xml:space="preserve"> </w:t>
      </w:r>
      <w:r>
        <w:t>do</w:t>
      </w:r>
      <w:r>
        <w:rPr>
          <w:spacing w:val="-2"/>
        </w:rPr>
        <w:t xml:space="preserve"> </w:t>
      </w:r>
      <w:r>
        <w:t>not</w:t>
      </w:r>
      <w:r>
        <w:rPr>
          <w:spacing w:val="-1"/>
        </w:rPr>
        <w:t xml:space="preserve"> </w:t>
      </w:r>
      <w:r>
        <w:t>require</w:t>
      </w:r>
      <w:r>
        <w:rPr>
          <w:spacing w:val="-4"/>
        </w:rPr>
        <w:t xml:space="preserve"> </w:t>
      </w:r>
      <w:r>
        <w:t>formal</w:t>
      </w:r>
      <w:r>
        <w:rPr>
          <w:spacing w:val="-1"/>
        </w:rPr>
        <w:t xml:space="preserve"> </w:t>
      </w:r>
      <w:r>
        <w:t>AUASB</w:t>
      </w:r>
      <w:r>
        <w:rPr>
          <w:spacing w:val="-4"/>
        </w:rPr>
        <w:t xml:space="preserve"> </w:t>
      </w:r>
      <w:r>
        <w:t>approval</w:t>
      </w:r>
      <w:r>
        <w:rPr>
          <w:spacing w:val="-1"/>
        </w:rPr>
        <w:t xml:space="preserve"> </w:t>
      </w:r>
      <w:r>
        <w:t>in</w:t>
      </w:r>
      <w:r>
        <w:rPr>
          <w:spacing w:val="-5"/>
        </w:rPr>
        <w:t xml:space="preserve"> </w:t>
      </w:r>
      <w:r>
        <w:t>accordance</w:t>
      </w:r>
      <w:r>
        <w:rPr>
          <w:spacing w:val="-2"/>
        </w:rPr>
        <w:t xml:space="preserve"> </w:t>
      </w:r>
      <w:r>
        <w:t>with</w:t>
      </w:r>
      <w:r>
        <w:rPr>
          <w:spacing w:val="-5"/>
        </w:rPr>
        <w:t xml:space="preserve"> </w:t>
      </w:r>
      <w:r>
        <w:t>the</w:t>
      </w:r>
      <w:r>
        <w:rPr>
          <w:spacing w:val="-2"/>
        </w:rPr>
        <w:t xml:space="preserve"> </w:t>
      </w:r>
      <w:r>
        <w:t>Board</w:t>
      </w:r>
      <w:r>
        <w:rPr>
          <w:spacing w:val="-2"/>
        </w:rPr>
        <w:t xml:space="preserve"> </w:t>
      </w:r>
      <w:r>
        <w:t>Charter. All non-authoritative materials are subject to</w:t>
      </w:r>
      <w:r>
        <w:rPr>
          <w:spacing w:val="-1"/>
        </w:rPr>
        <w:t xml:space="preserve"> </w:t>
      </w:r>
      <w:r>
        <w:t>review by the AUASB.</w:t>
      </w:r>
      <w:r>
        <w:rPr>
          <w:spacing w:val="40"/>
        </w:rPr>
        <w:t xml:space="preserve"> </w:t>
      </w:r>
      <w:r>
        <w:t>Board</w:t>
      </w:r>
      <w:r>
        <w:rPr>
          <w:spacing w:val="-1"/>
        </w:rPr>
        <w:t xml:space="preserve"> </w:t>
      </w:r>
      <w:r>
        <w:t>members are sent a ‘fatal flaw’ draft version of the material prior to finalisation for feedback either at an AUASB meeting or out of session via email.</w:t>
      </w:r>
    </w:p>
    <w:p w14:paraId="1E805D76" w14:textId="77777777" w:rsidR="00AA4A02" w:rsidRDefault="00960F31">
      <w:pPr>
        <w:pStyle w:val="ListParagraph"/>
        <w:numPr>
          <w:ilvl w:val="0"/>
          <w:numId w:val="29"/>
        </w:numPr>
        <w:tabs>
          <w:tab w:val="left" w:pos="851"/>
        </w:tabs>
        <w:spacing w:before="200" w:line="208" w:lineRule="auto"/>
        <w:ind w:right="901"/>
      </w:pPr>
      <w:r>
        <w:t>The</w:t>
      </w:r>
      <w:r>
        <w:rPr>
          <w:spacing w:val="-3"/>
        </w:rPr>
        <w:t xml:space="preserve"> </w:t>
      </w:r>
      <w:r>
        <w:t>AUASB</w:t>
      </w:r>
      <w:r>
        <w:rPr>
          <w:spacing w:val="-4"/>
        </w:rPr>
        <w:t xml:space="preserve"> </w:t>
      </w:r>
      <w:r>
        <w:t>Chair</w:t>
      </w:r>
      <w:r>
        <w:rPr>
          <w:spacing w:val="-4"/>
        </w:rPr>
        <w:t xml:space="preserve"> </w:t>
      </w:r>
      <w:r>
        <w:t>and</w:t>
      </w:r>
      <w:r>
        <w:rPr>
          <w:spacing w:val="-2"/>
        </w:rPr>
        <w:t xml:space="preserve"> </w:t>
      </w:r>
      <w:r>
        <w:t>AUASB</w:t>
      </w:r>
      <w:r>
        <w:rPr>
          <w:spacing w:val="-4"/>
        </w:rPr>
        <w:t xml:space="preserve"> </w:t>
      </w:r>
      <w:r>
        <w:t>Technical</w:t>
      </w:r>
      <w:r>
        <w:rPr>
          <w:spacing w:val="-2"/>
        </w:rPr>
        <w:t xml:space="preserve"> </w:t>
      </w:r>
      <w:r>
        <w:t>Director</w:t>
      </w:r>
      <w:r>
        <w:rPr>
          <w:spacing w:val="-3"/>
        </w:rPr>
        <w:t xml:space="preserve"> </w:t>
      </w:r>
      <w:r>
        <w:t>approve</w:t>
      </w:r>
      <w:r>
        <w:rPr>
          <w:spacing w:val="-4"/>
        </w:rPr>
        <w:t xml:space="preserve"> </w:t>
      </w:r>
      <w:r>
        <w:t>the</w:t>
      </w:r>
      <w:r>
        <w:rPr>
          <w:spacing w:val="-4"/>
        </w:rPr>
        <w:t xml:space="preserve"> </w:t>
      </w:r>
      <w:r>
        <w:t>final</w:t>
      </w:r>
      <w:r>
        <w:rPr>
          <w:spacing w:val="-4"/>
        </w:rPr>
        <w:t xml:space="preserve"> </w:t>
      </w:r>
      <w:r>
        <w:t>wording of</w:t>
      </w:r>
      <w:r>
        <w:rPr>
          <w:spacing w:val="-4"/>
        </w:rPr>
        <w:t xml:space="preserve"> </w:t>
      </w:r>
      <w:r>
        <w:t>non-authoritative materials issued by the AUASB.</w:t>
      </w:r>
    </w:p>
    <w:p w14:paraId="1E805D77" w14:textId="77777777" w:rsidR="00AA4A02" w:rsidRDefault="00960F31">
      <w:pPr>
        <w:spacing w:before="174"/>
        <w:ind w:left="143"/>
        <w:rPr>
          <w:i/>
        </w:rPr>
      </w:pPr>
      <w:bookmarkStart w:id="107" w:name="Staff_FAQs,_staff_articles,_presentation"/>
      <w:bookmarkEnd w:id="107"/>
      <w:r>
        <w:rPr>
          <w:i/>
        </w:rPr>
        <w:t>Staff</w:t>
      </w:r>
      <w:r>
        <w:rPr>
          <w:i/>
          <w:spacing w:val="-5"/>
        </w:rPr>
        <w:t xml:space="preserve"> </w:t>
      </w:r>
      <w:r>
        <w:rPr>
          <w:i/>
        </w:rPr>
        <w:t>FAQs,</w:t>
      </w:r>
      <w:r>
        <w:rPr>
          <w:i/>
          <w:spacing w:val="-7"/>
        </w:rPr>
        <w:t xml:space="preserve"> </w:t>
      </w:r>
      <w:r>
        <w:rPr>
          <w:i/>
        </w:rPr>
        <w:t>staff</w:t>
      </w:r>
      <w:r>
        <w:rPr>
          <w:i/>
          <w:spacing w:val="-6"/>
        </w:rPr>
        <w:t xml:space="preserve"> </w:t>
      </w:r>
      <w:r>
        <w:rPr>
          <w:i/>
        </w:rPr>
        <w:t>articles,</w:t>
      </w:r>
      <w:r>
        <w:rPr>
          <w:i/>
          <w:spacing w:val="-6"/>
        </w:rPr>
        <w:t xml:space="preserve"> </w:t>
      </w:r>
      <w:r>
        <w:rPr>
          <w:i/>
        </w:rPr>
        <w:t>presentations,</w:t>
      </w:r>
      <w:r>
        <w:rPr>
          <w:i/>
          <w:spacing w:val="-5"/>
        </w:rPr>
        <w:t xml:space="preserve"> </w:t>
      </w:r>
      <w:r>
        <w:rPr>
          <w:i/>
        </w:rPr>
        <w:t>newsletters</w:t>
      </w:r>
      <w:r>
        <w:rPr>
          <w:i/>
          <w:spacing w:val="-5"/>
        </w:rPr>
        <w:t xml:space="preserve"> </w:t>
      </w:r>
      <w:r>
        <w:rPr>
          <w:i/>
        </w:rPr>
        <w:t>and</w:t>
      </w:r>
      <w:r>
        <w:rPr>
          <w:i/>
          <w:spacing w:val="-5"/>
        </w:rPr>
        <w:t xml:space="preserve"> </w:t>
      </w:r>
      <w:r>
        <w:rPr>
          <w:i/>
        </w:rPr>
        <w:t>other</w:t>
      </w:r>
      <w:r>
        <w:rPr>
          <w:i/>
          <w:spacing w:val="-5"/>
        </w:rPr>
        <w:t xml:space="preserve"> </w:t>
      </w:r>
      <w:r>
        <w:rPr>
          <w:i/>
        </w:rPr>
        <w:t>educational</w:t>
      </w:r>
      <w:r>
        <w:rPr>
          <w:i/>
          <w:spacing w:val="1"/>
        </w:rPr>
        <w:t xml:space="preserve"> </w:t>
      </w:r>
      <w:r>
        <w:rPr>
          <w:i/>
          <w:spacing w:val="-2"/>
        </w:rPr>
        <w:t>materials</w:t>
      </w:r>
    </w:p>
    <w:p w14:paraId="1E805D78" w14:textId="77777777" w:rsidR="00AA4A02" w:rsidRDefault="00960F31">
      <w:pPr>
        <w:pStyle w:val="ListParagraph"/>
        <w:numPr>
          <w:ilvl w:val="0"/>
          <w:numId w:val="29"/>
        </w:numPr>
        <w:tabs>
          <w:tab w:val="left" w:pos="851"/>
        </w:tabs>
        <w:spacing w:before="191" w:line="208" w:lineRule="auto"/>
        <w:ind w:right="141"/>
      </w:pPr>
      <w:r>
        <w:t>The AUASB or technical staff may also publish periodic newsletters and other supportive and educational material related to pronouncements on the website, including webcasts, podcasts, articles,</w:t>
      </w:r>
      <w:r>
        <w:rPr>
          <w:spacing w:val="-5"/>
        </w:rPr>
        <w:t xml:space="preserve"> </w:t>
      </w:r>
      <w:r>
        <w:t>presentations</w:t>
      </w:r>
      <w:r>
        <w:rPr>
          <w:spacing w:val="-2"/>
        </w:rPr>
        <w:t xml:space="preserve"> </w:t>
      </w:r>
      <w:r>
        <w:t>for</w:t>
      </w:r>
      <w:r>
        <w:rPr>
          <w:spacing w:val="-2"/>
        </w:rPr>
        <w:t xml:space="preserve"> </w:t>
      </w:r>
      <w:r>
        <w:t>conferences,</w:t>
      </w:r>
      <w:r>
        <w:rPr>
          <w:spacing w:val="-5"/>
        </w:rPr>
        <w:t xml:space="preserve"> </w:t>
      </w:r>
      <w:r>
        <w:t>training</w:t>
      </w:r>
      <w:r>
        <w:rPr>
          <w:spacing w:val="-5"/>
        </w:rPr>
        <w:t xml:space="preserve"> </w:t>
      </w:r>
      <w:r>
        <w:t>materials</w:t>
      </w:r>
      <w:r>
        <w:rPr>
          <w:spacing w:val="-4"/>
        </w:rPr>
        <w:t xml:space="preserve"> </w:t>
      </w:r>
      <w:r>
        <w:t>and</w:t>
      </w:r>
      <w:r>
        <w:rPr>
          <w:spacing w:val="-2"/>
        </w:rPr>
        <w:t xml:space="preserve"> </w:t>
      </w:r>
      <w:r>
        <w:t>staff</w:t>
      </w:r>
      <w:r>
        <w:rPr>
          <w:spacing w:val="-2"/>
        </w:rPr>
        <w:t xml:space="preserve"> </w:t>
      </w:r>
      <w:r>
        <w:t>Frequently</w:t>
      </w:r>
      <w:r>
        <w:rPr>
          <w:spacing w:val="-2"/>
        </w:rPr>
        <w:t xml:space="preserve"> </w:t>
      </w:r>
      <w:r>
        <w:t>Asked</w:t>
      </w:r>
      <w:r>
        <w:rPr>
          <w:spacing w:val="-2"/>
        </w:rPr>
        <w:t xml:space="preserve"> </w:t>
      </w:r>
      <w:r>
        <w:t>Questions (FAQs). These materials do not have authoritative status and cannot add or change requirements in AUASB pronouncements.</w:t>
      </w:r>
    </w:p>
    <w:p w14:paraId="1E805D79" w14:textId="77777777" w:rsidR="00AA4A02" w:rsidRDefault="00960F31">
      <w:pPr>
        <w:pStyle w:val="ListParagraph"/>
        <w:numPr>
          <w:ilvl w:val="0"/>
          <w:numId w:val="29"/>
        </w:numPr>
        <w:tabs>
          <w:tab w:val="left" w:pos="851"/>
        </w:tabs>
        <w:spacing w:line="208" w:lineRule="auto"/>
        <w:ind w:right="429"/>
      </w:pPr>
      <w:r>
        <w:t>Such supportive and educational materials are reviewed by the AUASB Technical Director and, where such materials include a significant new example demonstrating how the requirements might apply to a particular fact pattern, are reviewed at a minimum by the AUASB</w:t>
      </w:r>
      <w:r>
        <w:rPr>
          <w:spacing w:val="-4"/>
        </w:rPr>
        <w:t xml:space="preserve"> </w:t>
      </w:r>
      <w:r>
        <w:t>Chair</w:t>
      </w:r>
      <w:r>
        <w:rPr>
          <w:spacing w:val="-2"/>
        </w:rPr>
        <w:t xml:space="preserve"> </w:t>
      </w:r>
      <w:r>
        <w:t>and,</w:t>
      </w:r>
      <w:r>
        <w:rPr>
          <w:spacing w:val="-5"/>
        </w:rPr>
        <w:t xml:space="preserve"> </w:t>
      </w:r>
      <w:r>
        <w:t>if</w:t>
      </w:r>
      <w:r>
        <w:rPr>
          <w:spacing w:val="-2"/>
        </w:rPr>
        <w:t xml:space="preserve"> </w:t>
      </w:r>
      <w:r>
        <w:t>deemed</w:t>
      </w:r>
      <w:r>
        <w:rPr>
          <w:spacing w:val="-2"/>
        </w:rPr>
        <w:t xml:space="preserve"> </w:t>
      </w:r>
      <w:r>
        <w:t>necessary,</w:t>
      </w:r>
      <w:r>
        <w:rPr>
          <w:spacing w:val="-5"/>
        </w:rPr>
        <w:t xml:space="preserve"> </w:t>
      </w:r>
      <w:r>
        <w:t>by</w:t>
      </w:r>
      <w:r>
        <w:rPr>
          <w:spacing w:val="-2"/>
        </w:rPr>
        <w:t xml:space="preserve"> </w:t>
      </w:r>
      <w:r>
        <w:t>the</w:t>
      </w:r>
      <w:r>
        <w:rPr>
          <w:spacing w:val="-2"/>
        </w:rPr>
        <w:t xml:space="preserve"> </w:t>
      </w:r>
      <w:r>
        <w:t>AUASB</w:t>
      </w:r>
      <w:r>
        <w:rPr>
          <w:spacing w:val="-4"/>
        </w:rPr>
        <w:t xml:space="preserve"> </w:t>
      </w:r>
      <w:r>
        <w:t>Chair</w:t>
      </w:r>
      <w:r>
        <w:rPr>
          <w:spacing w:val="-3"/>
        </w:rPr>
        <w:t xml:space="preserve"> </w:t>
      </w:r>
      <w:r>
        <w:t>and</w:t>
      </w:r>
      <w:r>
        <w:rPr>
          <w:spacing w:val="-2"/>
        </w:rPr>
        <w:t xml:space="preserve"> </w:t>
      </w:r>
      <w:r>
        <w:t>at</w:t>
      </w:r>
      <w:r>
        <w:rPr>
          <w:spacing w:val="-4"/>
        </w:rPr>
        <w:t xml:space="preserve"> </w:t>
      </w:r>
      <w:r>
        <w:t>least</w:t>
      </w:r>
      <w:r>
        <w:rPr>
          <w:spacing w:val="-1"/>
        </w:rPr>
        <w:t xml:space="preserve"> </w:t>
      </w:r>
      <w:r>
        <w:t>one</w:t>
      </w:r>
      <w:r>
        <w:rPr>
          <w:spacing w:val="-2"/>
        </w:rPr>
        <w:t xml:space="preserve"> </w:t>
      </w:r>
      <w:r>
        <w:t>other</w:t>
      </w:r>
      <w:r>
        <w:rPr>
          <w:spacing w:val="-1"/>
        </w:rPr>
        <w:t xml:space="preserve"> </w:t>
      </w:r>
      <w:r>
        <w:t xml:space="preserve">Board </w:t>
      </w:r>
      <w:r>
        <w:rPr>
          <w:spacing w:val="-2"/>
        </w:rPr>
        <w:t>member.</w:t>
      </w:r>
    </w:p>
    <w:p w14:paraId="1E805D7A" w14:textId="77777777" w:rsidR="00AA4A02" w:rsidRDefault="00960F31">
      <w:pPr>
        <w:pStyle w:val="ListParagraph"/>
        <w:numPr>
          <w:ilvl w:val="0"/>
          <w:numId w:val="29"/>
        </w:numPr>
        <w:tabs>
          <w:tab w:val="left" w:pos="851"/>
        </w:tabs>
        <w:spacing w:before="173"/>
      </w:pPr>
      <w:r>
        <w:t>Final</w:t>
      </w:r>
      <w:r>
        <w:rPr>
          <w:spacing w:val="-5"/>
        </w:rPr>
        <w:t xml:space="preserve"> </w:t>
      </w:r>
      <w:r>
        <w:t>approval</w:t>
      </w:r>
      <w:r>
        <w:rPr>
          <w:spacing w:val="-3"/>
        </w:rPr>
        <w:t xml:space="preserve"> </w:t>
      </w:r>
      <w:r>
        <w:t>of</w:t>
      </w:r>
      <w:r>
        <w:rPr>
          <w:spacing w:val="-4"/>
        </w:rPr>
        <w:t xml:space="preserve"> </w:t>
      </w:r>
      <w:r>
        <w:t>all</w:t>
      </w:r>
      <w:r>
        <w:rPr>
          <w:spacing w:val="-2"/>
        </w:rPr>
        <w:t xml:space="preserve"> </w:t>
      </w:r>
      <w:r>
        <w:t>supportive</w:t>
      </w:r>
      <w:r>
        <w:rPr>
          <w:spacing w:val="-3"/>
        </w:rPr>
        <w:t xml:space="preserve"> </w:t>
      </w:r>
      <w:r>
        <w:t>and</w:t>
      </w:r>
      <w:r>
        <w:rPr>
          <w:spacing w:val="-7"/>
        </w:rPr>
        <w:t xml:space="preserve"> </w:t>
      </w:r>
      <w:r>
        <w:t>educational</w:t>
      </w:r>
      <w:r>
        <w:rPr>
          <w:spacing w:val="-5"/>
        </w:rPr>
        <w:t xml:space="preserve"> </w:t>
      </w:r>
      <w:r>
        <w:t>materials</w:t>
      </w:r>
      <w:r>
        <w:rPr>
          <w:spacing w:val="-4"/>
        </w:rPr>
        <w:t xml:space="preserve"> </w:t>
      </w:r>
      <w:r>
        <w:t>is</w:t>
      </w:r>
      <w:r>
        <w:rPr>
          <w:spacing w:val="-4"/>
        </w:rPr>
        <w:t xml:space="preserve"> </w:t>
      </w:r>
      <w:r>
        <w:t>determined</w:t>
      </w:r>
      <w:r>
        <w:rPr>
          <w:spacing w:val="-4"/>
        </w:rPr>
        <w:t xml:space="preserve"> </w:t>
      </w:r>
      <w:r>
        <w:t>by</w:t>
      </w:r>
      <w:r>
        <w:rPr>
          <w:spacing w:val="-5"/>
        </w:rPr>
        <w:t xml:space="preserve"> </w:t>
      </w:r>
      <w:r>
        <w:t>the</w:t>
      </w:r>
      <w:r>
        <w:rPr>
          <w:spacing w:val="-4"/>
        </w:rPr>
        <w:t xml:space="preserve"> </w:t>
      </w:r>
      <w:r>
        <w:t>AUASB</w:t>
      </w:r>
      <w:r>
        <w:rPr>
          <w:spacing w:val="-5"/>
        </w:rPr>
        <w:t xml:space="preserve"> </w:t>
      </w:r>
      <w:r>
        <w:rPr>
          <w:spacing w:val="-2"/>
        </w:rPr>
        <w:t>Chair.</w:t>
      </w:r>
    </w:p>
    <w:p w14:paraId="1E805D7B" w14:textId="77777777" w:rsidR="00AA4A02" w:rsidRDefault="00AA4A02">
      <w:pPr>
        <w:pStyle w:val="BodyText"/>
        <w:rPr>
          <w:sz w:val="20"/>
        </w:rPr>
      </w:pPr>
    </w:p>
    <w:p w14:paraId="1E805D7C" w14:textId="77777777" w:rsidR="00AA4A02" w:rsidRDefault="00AA4A02">
      <w:pPr>
        <w:pStyle w:val="BodyText"/>
        <w:rPr>
          <w:sz w:val="20"/>
        </w:rPr>
      </w:pPr>
    </w:p>
    <w:p w14:paraId="1E805D7D" w14:textId="77777777" w:rsidR="00AA4A02" w:rsidRDefault="00AA4A02">
      <w:pPr>
        <w:pStyle w:val="BodyText"/>
        <w:rPr>
          <w:sz w:val="20"/>
        </w:rPr>
      </w:pPr>
    </w:p>
    <w:p w14:paraId="1E805D7E" w14:textId="77777777" w:rsidR="00AA4A02" w:rsidRDefault="00960F31">
      <w:pPr>
        <w:pStyle w:val="BodyText"/>
        <w:spacing w:before="2"/>
        <w:rPr>
          <w:sz w:val="20"/>
        </w:rPr>
      </w:pPr>
      <w:r>
        <w:rPr>
          <w:noProof/>
          <w:sz w:val="20"/>
        </w:rPr>
        <mc:AlternateContent>
          <mc:Choice Requires="wps">
            <w:drawing>
              <wp:anchor distT="0" distB="0" distL="0" distR="0" simplePos="0" relativeHeight="487616512" behindDoc="1" locked="0" layoutInCell="1" allowOverlap="1" wp14:anchorId="1E805F83" wp14:editId="1E805F84">
                <wp:simplePos x="0" y="0"/>
                <wp:positionH relativeFrom="page">
                  <wp:posOffset>2713354</wp:posOffset>
                </wp:positionH>
                <wp:positionV relativeFrom="paragraph">
                  <wp:posOffset>162547</wp:posOffset>
                </wp:positionV>
                <wp:extent cx="21336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9140A2" id="Graphic 91" o:spid="_x0000_s1026" style="position:absolute;margin-left:213.65pt;margin-top:12.8pt;width:168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" path="m,l2133600,e" filled="f" strokeweight=".48pt">
                <v:path arrowok="t"/>
                <w10:wrap type="topAndBottom" anchorx="page"/>
              </v:shape>
            </w:pict>
          </mc:Fallback>
        </mc:AlternateContent>
      </w:r>
    </w:p>
    <w:p w14:paraId="1E805D7F" w14:textId="77777777" w:rsidR="00AA4A02" w:rsidRDefault="00AA4A02">
      <w:pPr>
        <w:pStyle w:val="BodyText"/>
        <w:rPr>
          <w:sz w:val="20"/>
        </w:rPr>
        <w:sectPr w:rsidR="00AA4A02">
          <w:pgSz w:w="11910" w:h="16840"/>
          <w:pgMar w:top="1380" w:right="1275" w:bottom="1040" w:left="1275" w:header="689" w:footer="842" w:gutter="0"/>
          <w:cols w:space="720"/>
        </w:sectPr>
      </w:pPr>
    </w:p>
    <w:p w14:paraId="1E805D80" w14:textId="77777777" w:rsidR="00AA4A02" w:rsidRDefault="00960F31">
      <w:pPr>
        <w:spacing w:before="196"/>
        <w:ind w:left="7943"/>
        <w:rPr>
          <w:b/>
          <w:sz w:val="24"/>
        </w:rPr>
      </w:pPr>
      <w:r>
        <w:rPr>
          <w:b/>
          <w:sz w:val="24"/>
        </w:rPr>
        <w:lastRenderedPageBreak/>
        <w:t xml:space="preserve">Appendix </w:t>
      </w:r>
      <w:r>
        <w:rPr>
          <w:b/>
          <w:spacing w:val="-10"/>
          <w:sz w:val="24"/>
        </w:rPr>
        <w:t>1</w:t>
      </w:r>
    </w:p>
    <w:p w14:paraId="1E805D81" w14:textId="77777777" w:rsidR="00AA4A02" w:rsidRDefault="00960F31">
      <w:pPr>
        <w:pStyle w:val="Heading6"/>
        <w:spacing w:before="207" w:line="223" w:lineRule="auto"/>
        <w:ind w:left="143" w:right="1147" w:firstLine="0"/>
      </w:pPr>
      <w:bookmarkStart w:id="108" w:name="Public_Interest_Framework_for_the_Develo"/>
      <w:bookmarkEnd w:id="108"/>
      <w:r>
        <w:t>Public</w:t>
      </w:r>
      <w:r>
        <w:rPr>
          <w:spacing w:val="-7"/>
        </w:rPr>
        <w:t xml:space="preserve"> </w:t>
      </w:r>
      <w:r>
        <w:t>Interest</w:t>
      </w:r>
      <w:r>
        <w:rPr>
          <w:spacing w:val="-7"/>
        </w:rPr>
        <w:t xml:space="preserve"> </w:t>
      </w:r>
      <w:r>
        <w:t>Framework</w:t>
      </w:r>
      <w:r>
        <w:rPr>
          <w:spacing w:val="-4"/>
        </w:rPr>
        <w:t xml:space="preserve"> </w:t>
      </w:r>
      <w:r>
        <w:t>for</w:t>
      </w:r>
      <w:r>
        <w:rPr>
          <w:spacing w:val="-4"/>
        </w:rPr>
        <w:t xml:space="preserve"> </w:t>
      </w:r>
      <w:r>
        <w:t>the</w:t>
      </w:r>
      <w:r>
        <w:rPr>
          <w:spacing w:val="-5"/>
        </w:rPr>
        <w:t xml:space="preserve"> </w:t>
      </w:r>
      <w:r>
        <w:t>Development</w:t>
      </w:r>
      <w:r>
        <w:rPr>
          <w:spacing w:val="-4"/>
        </w:rPr>
        <w:t xml:space="preserve"> </w:t>
      </w:r>
      <w:r>
        <w:t>of</w:t>
      </w:r>
      <w:r>
        <w:rPr>
          <w:spacing w:val="-7"/>
        </w:rPr>
        <w:t xml:space="preserve"> </w:t>
      </w:r>
      <w:r>
        <w:t xml:space="preserve">AUASB </w:t>
      </w:r>
      <w:r>
        <w:rPr>
          <w:spacing w:val="-2"/>
        </w:rPr>
        <w:t>Pronouncements</w:t>
      </w:r>
    </w:p>
    <w:p w14:paraId="1E805D82" w14:textId="77777777" w:rsidR="00AA4A02" w:rsidRDefault="00960F31">
      <w:pPr>
        <w:pStyle w:val="ListParagraph"/>
        <w:numPr>
          <w:ilvl w:val="0"/>
          <w:numId w:val="10"/>
        </w:numPr>
        <w:tabs>
          <w:tab w:val="left" w:pos="851"/>
        </w:tabs>
        <w:spacing w:before="202" w:line="208" w:lineRule="auto"/>
        <w:ind w:right="236"/>
      </w:pPr>
      <w:r>
        <w:t>The ‘Public Interest Framework for the Development of AUASB Pronouncements’ (Public Interest Framework) is derived from the ‘Public Interest Framework for the Development of International Audit-Related Standards’ issued by the Monitoring Group</w:t>
      </w:r>
      <w:r>
        <w:rPr>
          <w:vertAlign w:val="superscript"/>
        </w:rPr>
        <w:t>79</w:t>
      </w:r>
      <w:r>
        <w:t xml:space="preserve"> in their </w:t>
      </w:r>
      <w:r>
        <w:rPr>
          <w:i/>
        </w:rPr>
        <w:t>Strengthening</w:t>
      </w:r>
      <w:r>
        <w:rPr>
          <w:i/>
          <w:spacing w:val="-3"/>
        </w:rPr>
        <w:t xml:space="preserve"> </w:t>
      </w:r>
      <w:r>
        <w:rPr>
          <w:i/>
        </w:rPr>
        <w:t>the</w:t>
      </w:r>
      <w:r>
        <w:rPr>
          <w:i/>
          <w:spacing w:val="-3"/>
        </w:rPr>
        <w:t xml:space="preserve"> </w:t>
      </w:r>
      <w:r>
        <w:rPr>
          <w:i/>
        </w:rPr>
        <w:t>International</w:t>
      </w:r>
      <w:r>
        <w:rPr>
          <w:i/>
          <w:spacing w:val="-2"/>
        </w:rPr>
        <w:t xml:space="preserve"> </w:t>
      </w:r>
      <w:r>
        <w:rPr>
          <w:i/>
        </w:rPr>
        <w:t>Audit</w:t>
      </w:r>
      <w:r>
        <w:rPr>
          <w:i/>
          <w:spacing w:val="-5"/>
        </w:rPr>
        <w:t xml:space="preserve"> </w:t>
      </w:r>
      <w:r>
        <w:rPr>
          <w:i/>
        </w:rPr>
        <w:t>and</w:t>
      </w:r>
      <w:r>
        <w:rPr>
          <w:i/>
          <w:spacing w:val="-3"/>
        </w:rPr>
        <w:t xml:space="preserve"> </w:t>
      </w:r>
      <w:r>
        <w:rPr>
          <w:i/>
        </w:rPr>
        <w:t>Ethics</w:t>
      </w:r>
      <w:r>
        <w:rPr>
          <w:i/>
          <w:spacing w:val="-3"/>
        </w:rPr>
        <w:t xml:space="preserve"> </w:t>
      </w:r>
      <w:r>
        <w:rPr>
          <w:i/>
        </w:rPr>
        <w:t>Standard-Setting</w:t>
      </w:r>
      <w:r>
        <w:rPr>
          <w:i/>
          <w:spacing w:val="-3"/>
        </w:rPr>
        <w:t xml:space="preserve"> </w:t>
      </w:r>
      <w:r>
        <w:rPr>
          <w:i/>
        </w:rPr>
        <w:t>System</w:t>
      </w:r>
      <w:r>
        <w:rPr>
          <w:i/>
          <w:spacing w:val="-3"/>
        </w:rPr>
        <w:t xml:space="preserve"> </w:t>
      </w:r>
      <w:r>
        <w:t>Paper</w:t>
      </w:r>
      <w:r>
        <w:rPr>
          <w:spacing w:val="-3"/>
        </w:rPr>
        <w:t xml:space="preserve"> </w:t>
      </w:r>
      <w:r>
        <w:t>in</w:t>
      </w:r>
      <w:r>
        <w:rPr>
          <w:spacing w:val="-3"/>
        </w:rPr>
        <w:t xml:space="preserve"> </w:t>
      </w:r>
      <w:r>
        <w:t>July</w:t>
      </w:r>
      <w:r>
        <w:rPr>
          <w:spacing w:val="-6"/>
        </w:rPr>
        <w:t xml:space="preserve"> </w:t>
      </w:r>
      <w:r>
        <w:t>2020.</w:t>
      </w:r>
    </w:p>
    <w:p w14:paraId="1E805D83" w14:textId="77777777" w:rsidR="00AA4A02" w:rsidRDefault="00960F31">
      <w:pPr>
        <w:pStyle w:val="ListParagraph"/>
        <w:numPr>
          <w:ilvl w:val="0"/>
          <w:numId w:val="10"/>
        </w:numPr>
        <w:tabs>
          <w:tab w:val="left" w:pos="851"/>
        </w:tabs>
        <w:spacing w:before="200" w:line="208" w:lineRule="auto"/>
        <w:ind w:right="178" w:hanging="708"/>
      </w:pPr>
      <w:r>
        <w:t>The</w:t>
      </w:r>
      <w:r>
        <w:rPr>
          <w:spacing w:val="-3"/>
        </w:rPr>
        <w:t xml:space="preserve"> </w:t>
      </w:r>
      <w:r>
        <w:t>Public</w:t>
      </w:r>
      <w:r>
        <w:rPr>
          <w:spacing w:val="-3"/>
        </w:rPr>
        <w:t xml:space="preserve"> </w:t>
      </w:r>
      <w:r>
        <w:t>Interest</w:t>
      </w:r>
      <w:r>
        <w:rPr>
          <w:spacing w:val="-5"/>
        </w:rPr>
        <w:t xml:space="preserve"> </w:t>
      </w:r>
      <w:r>
        <w:t>Framework</w:t>
      </w:r>
      <w:r>
        <w:rPr>
          <w:spacing w:val="-2"/>
        </w:rPr>
        <w:t xml:space="preserve"> </w:t>
      </w:r>
      <w:r>
        <w:t>does</w:t>
      </w:r>
      <w:r>
        <w:rPr>
          <w:spacing w:val="-3"/>
        </w:rPr>
        <w:t xml:space="preserve"> </w:t>
      </w:r>
      <w:r>
        <w:t>not</w:t>
      </w:r>
      <w:r>
        <w:rPr>
          <w:spacing w:val="-2"/>
        </w:rPr>
        <w:t xml:space="preserve"> </w:t>
      </w:r>
      <w:r>
        <w:t>explicitly</w:t>
      </w:r>
      <w:r>
        <w:rPr>
          <w:spacing w:val="-2"/>
        </w:rPr>
        <w:t xml:space="preserve"> </w:t>
      </w:r>
      <w:r>
        <w:t>define</w:t>
      </w:r>
      <w:r>
        <w:rPr>
          <w:spacing w:val="-3"/>
        </w:rPr>
        <w:t xml:space="preserve"> </w:t>
      </w:r>
      <w:r>
        <w:t>“public</w:t>
      </w:r>
      <w:r>
        <w:rPr>
          <w:spacing w:val="-3"/>
        </w:rPr>
        <w:t xml:space="preserve"> </w:t>
      </w:r>
      <w:r>
        <w:t>interest”.</w:t>
      </w:r>
      <w:r>
        <w:rPr>
          <w:spacing w:val="-3"/>
        </w:rPr>
        <w:t xml:space="preserve"> </w:t>
      </w:r>
      <w:r>
        <w:t>Instead,</w:t>
      </w:r>
      <w:r>
        <w:rPr>
          <w:spacing w:val="-3"/>
        </w:rPr>
        <w:t xml:space="preserve"> </w:t>
      </w:r>
      <w:r>
        <w:t>it</w:t>
      </w:r>
      <w:r>
        <w:rPr>
          <w:spacing w:val="-1"/>
        </w:rPr>
        <w:t xml:space="preserve"> </w:t>
      </w:r>
      <w:r>
        <w:t>provides the framework under which audit related standard-setting activities are undertaken.</w:t>
      </w:r>
    </w:p>
    <w:p w14:paraId="1E805D84" w14:textId="77777777" w:rsidR="00AA4A02" w:rsidRDefault="00960F31">
      <w:pPr>
        <w:pStyle w:val="ListParagraph"/>
        <w:numPr>
          <w:ilvl w:val="0"/>
          <w:numId w:val="10"/>
        </w:numPr>
        <w:tabs>
          <w:tab w:val="left" w:pos="851"/>
        </w:tabs>
        <w:spacing w:before="200" w:line="208" w:lineRule="auto"/>
        <w:ind w:right="287" w:hanging="708"/>
      </w:pPr>
      <w:r>
        <w:t>The framework outlines a series of considerations to provide structure to the AUASB’s consideration</w:t>
      </w:r>
      <w:r>
        <w:rPr>
          <w:spacing w:val="-2"/>
        </w:rPr>
        <w:t xml:space="preserve"> </w:t>
      </w:r>
      <w:r>
        <w:t>of</w:t>
      </w:r>
      <w:r>
        <w:rPr>
          <w:spacing w:val="-2"/>
        </w:rPr>
        <w:t xml:space="preserve"> </w:t>
      </w:r>
      <w:r>
        <w:t>the</w:t>
      </w:r>
      <w:r>
        <w:rPr>
          <w:spacing w:val="-2"/>
        </w:rPr>
        <w:t xml:space="preserve"> </w:t>
      </w:r>
      <w:r>
        <w:t>“public”</w:t>
      </w:r>
      <w:r>
        <w:rPr>
          <w:spacing w:val="-2"/>
        </w:rPr>
        <w:t xml:space="preserve"> </w:t>
      </w:r>
      <w:r>
        <w:t>and “public</w:t>
      </w:r>
      <w:r>
        <w:rPr>
          <w:spacing w:val="-4"/>
        </w:rPr>
        <w:t xml:space="preserve"> </w:t>
      </w:r>
      <w:r>
        <w:t>interest”,</w:t>
      </w:r>
      <w:r>
        <w:rPr>
          <w:spacing w:val="-2"/>
        </w:rPr>
        <w:t xml:space="preserve"> </w:t>
      </w:r>
      <w:r>
        <w:t>and</w:t>
      </w:r>
      <w:r>
        <w:rPr>
          <w:spacing w:val="-4"/>
        </w:rPr>
        <w:t xml:space="preserve"> </w:t>
      </w:r>
      <w:r>
        <w:t>how</w:t>
      </w:r>
      <w:r>
        <w:rPr>
          <w:spacing w:val="-3"/>
        </w:rPr>
        <w:t xml:space="preserve"> </w:t>
      </w:r>
      <w:r>
        <w:t>the</w:t>
      </w:r>
      <w:r>
        <w:rPr>
          <w:spacing w:val="-2"/>
        </w:rPr>
        <w:t xml:space="preserve"> </w:t>
      </w:r>
      <w:r>
        <w:t>AUASB</w:t>
      </w:r>
      <w:r>
        <w:rPr>
          <w:spacing w:val="-3"/>
        </w:rPr>
        <w:t xml:space="preserve"> </w:t>
      </w:r>
      <w:r>
        <w:t>assesses</w:t>
      </w:r>
      <w:r>
        <w:rPr>
          <w:spacing w:val="-4"/>
        </w:rPr>
        <w:t xml:space="preserve"> </w:t>
      </w:r>
      <w:r>
        <w:t>whether</w:t>
      </w:r>
      <w:r>
        <w:rPr>
          <w:spacing w:val="-2"/>
        </w:rPr>
        <w:t xml:space="preserve"> </w:t>
      </w:r>
      <w:r>
        <w:t>its processes are appropriate and responsive to the public interest.</w:t>
      </w:r>
    </w:p>
    <w:p w14:paraId="1E805D85" w14:textId="77777777" w:rsidR="00AA4A02" w:rsidRDefault="00960F31">
      <w:pPr>
        <w:spacing w:before="175"/>
        <w:ind w:left="143"/>
        <w:rPr>
          <w:b/>
          <w:i/>
        </w:rPr>
      </w:pPr>
      <w:r>
        <w:rPr>
          <w:b/>
          <w:i/>
        </w:rPr>
        <w:t>The</w:t>
      </w:r>
      <w:r>
        <w:rPr>
          <w:b/>
          <w:i/>
          <w:spacing w:val="-4"/>
        </w:rPr>
        <w:t xml:space="preserve"> </w:t>
      </w:r>
      <w:r>
        <w:rPr>
          <w:b/>
          <w:i/>
        </w:rPr>
        <w:t>Framework’s</w:t>
      </w:r>
      <w:r>
        <w:rPr>
          <w:b/>
          <w:i/>
          <w:spacing w:val="-3"/>
        </w:rPr>
        <w:t xml:space="preserve"> </w:t>
      </w:r>
      <w:r>
        <w:rPr>
          <w:b/>
          <w:i/>
          <w:spacing w:val="-2"/>
        </w:rPr>
        <w:t>context</w:t>
      </w:r>
    </w:p>
    <w:p w14:paraId="1E805D86" w14:textId="77777777" w:rsidR="00AA4A02" w:rsidRDefault="00960F31">
      <w:pPr>
        <w:pStyle w:val="ListParagraph"/>
        <w:numPr>
          <w:ilvl w:val="0"/>
          <w:numId w:val="10"/>
        </w:numPr>
        <w:tabs>
          <w:tab w:val="left" w:pos="851"/>
        </w:tabs>
        <w:spacing w:before="192" w:line="208" w:lineRule="auto"/>
        <w:ind w:right="361" w:hanging="708"/>
      </w:pPr>
      <w:r>
        <w:t>The</w:t>
      </w:r>
      <w:r>
        <w:rPr>
          <w:spacing w:val="-3"/>
        </w:rPr>
        <w:t xml:space="preserve"> </w:t>
      </w:r>
      <w:r>
        <w:t>AUASB</w:t>
      </w:r>
      <w:r>
        <w:rPr>
          <w:spacing w:val="-5"/>
        </w:rPr>
        <w:t xml:space="preserve"> </w:t>
      </w:r>
      <w:r>
        <w:t>as</w:t>
      </w:r>
      <w:r>
        <w:rPr>
          <w:spacing w:val="-2"/>
        </w:rPr>
        <w:t xml:space="preserve"> </w:t>
      </w:r>
      <w:r>
        <w:t>independent</w:t>
      </w:r>
      <w:r>
        <w:rPr>
          <w:spacing w:val="-1"/>
        </w:rPr>
        <w:t xml:space="preserve"> </w:t>
      </w:r>
      <w:r>
        <w:t>standard-setter</w:t>
      </w:r>
      <w:r>
        <w:rPr>
          <w:spacing w:val="-2"/>
        </w:rPr>
        <w:t xml:space="preserve"> </w:t>
      </w:r>
      <w:r>
        <w:t>serves</w:t>
      </w:r>
      <w:r>
        <w:rPr>
          <w:spacing w:val="-5"/>
        </w:rPr>
        <w:t xml:space="preserve"> </w:t>
      </w:r>
      <w:r>
        <w:t>the</w:t>
      </w:r>
      <w:r>
        <w:rPr>
          <w:spacing w:val="-5"/>
        </w:rPr>
        <w:t xml:space="preserve"> </w:t>
      </w:r>
      <w:r>
        <w:t>public</w:t>
      </w:r>
      <w:r>
        <w:rPr>
          <w:spacing w:val="-3"/>
        </w:rPr>
        <w:t xml:space="preserve"> </w:t>
      </w:r>
      <w:r>
        <w:t>interest</w:t>
      </w:r>
      <w:r>
        <w:rPr>
          <w:spacing w:val="-2"/>
        </w:rPr>
        <w:t xml:space="preserve"> </w:t>
      </w:r>
      <w:r>
        <w:t>by</w:t>
      </w:r>
      <w:r>
        <w:rPr>
          <w:spacing w:val="-1"/>
        </w:rPr>
        <w:t xml:space="preserve"> </w:t>
      </w:r>
      <w:r>
        <w:t>developing,</w:t>
      </w:r>
      <w:r>
        <w:rPr>
          <w:spacing w:val="-3"/>
        </w:rPr>
        <w:t xml:space="preserve"> </w:t>
      </w:r>
      <w:r>
        <w:t>issuing and maintaining high-quality audit-related standards and guidance that enhance audit and assurance quality and consistency, thereby contributing to stakeholder confidence in the Australian economy, including its capital markets, and enhanced credibility in external reporting through independent auditing and assurance.</w:t>
      </w:r>
      <w:r>
        <w:rPr>
          <w:vertAlign w:val="superscript"/>
        </w:rPr>
        <w:t>80</w:t>
      </w:r>
    </w:p>
    <w:p w14:paraId="1E805D87" w14:textId="77777777" w:rsidR="00AA4A02" w:rsidRDefault="00960F31">
      <w:pPr>
        <w:pStyle w:val="ListParagraph"/>
        <w:numPr>
          <w:ilvl w:val="0"/>
          <w:numId w:val="10"/>
        </w:numPr>
        <w:tabs>
          <w:tab w:val="left" w:pos="851"/>
        </w:tabs>
        <w:spacing w:before="200" w:line="208" w:lineRule="auto"/>
        <w:ind w:right="357" w:hanging="708"/>
      </w:pPr>
      <w:r>
        <w:t>It is in the public interest that stakeholders have confidence in both the quality of such pronouncements</w:t>
      </w:r>
      <w:r>
        <w:rPr>
          <w:spacing w:val="-2"/>
        </w:rPr>
        <w:t xml:space="preserve"> </w:t>
      </w:r>
      <w:r>
        <w:t>as</w:t>
      </w:r>
      <w:r>
        <w:rPr>
          <w:spacing w:val="-3"/>
        </w:rPr>
        <w:t xml:space="preserve"> </w:t>
      </w:r>
      <w:r>
        <w:t>well</w:t>
      </w:r>
      <w:r>
        <w:rPr>
          <w:spacing w:val="-2"/>
        </w:rPr>
        <w:t xml:space="preserve"> </w:t>
      </w:r>
      <w:r>
        <w:t>as</w:t>
      </w:r>
      <w:r>
        <w:rPr>
          <w:spacing w:val="-5"/>
        </w:rPr>
        <w:t xml:space="preserve"> </w:t>
      </w:r>
      <w:r>
        <w:t>the</w:t>
      </w:r>
      <w:r>
        <w:rPr>
          <w:spacing w:val="-3"/>
        </w:rPr>
        <w:t xml:space="preserve"> </w:t>
      </w:r>
      <w:r>
        <w:t>credibility</w:t>
      </w:r>
      <w:r>
        <w:rPr>
          <w:spacing w:val="-6"/>
        </w:rPr>
        <w:t xml:space="preserve"> </w:t>
      </w:r>
      <w:r>
        <w:t>of</w:t>
      </w:r>
      <w:r>
        <w:rPr>
          <w:spacing w:val="-5"/>
        </w:rPr>
        <w:t xml:space="preserve"> </w:t>
      </w:r>
      <w:r>
        <w:t>the</w:t>
      </w:r>
      <w:r>
        <w:rPr>
          <w:spacing w:val="-3"/>
        </w:rPr>
        <w:t xml:space="preserve"> </w:t>
      </w:r>
      <w:r>
        <w:t>process</w:t>
      </w:r>
      <w:r>
        <w:rPr>
          <w:spacing w:val="-3"/>
        </w:rPr>
        <w:t xml:space="preserve"> </w:t>
      </w:r>
      <w:r>
        <w:t>by</w:t>
      </w:r>
      <w:r>
        <w:rPr>
          <w:spacing w:val="-3"/>
        </w:rPr>
        <w:t xml:space="preserve"> </w:t>
      </w:r>
      <w:r>
        <w:t>which</w:t>
      </w:r>
      <w:r>
        <w:rPr>
          <w:spacing w:val="-3"/>
        </w:rPr>
        <w:t xml:space="preserve"> </w:t>
      </w:r>
      <w:r>
        <w:t>those</w:t>
      </w:r>
      <w:r>
        <w:rPr>
          <w:spacing w:val="-1"/>
        </w:rPr>
        <w:t xml:space="preserve"> </w:t>
      </w:r>
      <w:r>
        <w:t>pronouncements</w:t>
      </w:r>
      <w:r>
        <w:rPr>
          <w:spacing w:val="-2"/>
        </w:rPr>
        <w:t xml:space="preserve"> </w:t>
      </w:r>
      <w:r>
        <w:t xml:space="preserve">are </w:t>
      </w:r>
      <w:r>
        <w:rPr>
          <w:spacing w:val="-2"/>
        </w:rPr>
        <w:t>developed.</w:t>
      </w:r>
    </w:p>
    <w:p w14:paraId="1E805D88" w14:textId="77777777" w:rsidR="00AA4A02" w:rsidRDefault="00960F31">
      <w:pPr>
        <w:pStyle w:val="ListParagraph"/>
        <w:numPr>
          <w:ilvl w:val="0"/>
          <w:numId w:val="10"/>
        </w:numPr>
        <w:tabs>
          <w:tab w:val="left" w:pos="851"/>
        </w:tabs>
        <w:spacing w:before="199" w:line="208" w:lineRule="auto"/>
        <w:ind w:right="833" w:hanging="708"/>
      </w:pPr>
      <w:r>
        <w:t>The</w:t>
      </w:r>
      <w:r>
        <w:rPr>
          <w:spacing w:val="-3"/>
        </w:rPr>
        <w:t xml:space="preserve"> </w:t>
      </w:r>
      <w:r>
        <w:t>Public</w:t>
      </w:r>
      <w:r>
        <w:rPr>
          <w:spacing w:val="-3"/>
        </w:rPr>
        <w:t xml:space="preserve"> </w:t>
      </w:r>
      <w:r>
        <w:t>Interest</w:t>
      </w:r>
      <w:r>
        <w:rPr>
          <w:spacing w:val="-5"/>
        </w:rPr>
        <w:t xml:space="preserve"> </w:t>
      </w:r>
      <w:r>
        <w:t>Framework,</w:t>
      </w:r>
      <w:r>
        <w:rPr>
          <w:spacing w:val="-3"/>
        </w:rPr>
        <w:t xml:space="preserve"> </w:t>
      </w:r>
      <w:r>
        <w:t>together</w:t>
      </w:r>
      <w:r>
        <w:rPr>
          <w:spacing w:val="-3"/>
        </w:rPr>
        <w:t xml:space="preserve"> </w:t>
      </w:r>
      <w:r>
        <w:t>with</w:t>
      </w:r>
      <w:r>
        <w:rPr>
          <w:spacing w:val="-3"/>
        </w:rPr>
        <w:t xml:space="preserve"> </w:t>
      </w:r>
      <w:r>
        <w:t>due</w:t>
      </w:r>
      <w:r>
        <w:rPr>
          <w:spacing w:val="-5"/>
        </w:rPr>
        <w:t xml:space="preserve"> </w:t>
      </w:r>
      <w:r>
        <w:t>process,</w:t>
      </w:r>
      <w:r>
        <w:rPr>
          <w:spacing w:val="-3"/>
        </w:rPr>
        <w:t xml:space="preserve"> </w:t>
      </w:r>
      <w:r>
        <w:t>articulate</w:t>
      </w:r>
      <w:r>
        <w:rPr>
          <w:spacing w:val="-5"/>
        </w:rPr>
        <w:t xml:space="preserve"> </w:t>
      </w:r>
      <w:r>
        <w:t>the</w:t>
      </w:r>
      <w:r>
        <w:rPr>
          <w:spacing w:val="-3"/>
        </w:rPr>
        <w:t xml:space="preserve"> </w:t>
      </w:r>
      <w:r>
        <w:t>public</w:t>
      </w:r>
      <w:r>
        <w:rPr>
          <w:spacing w:val="-5"/>
        </w:rPr>
        <w:t xml:space="preserve"> </w:t>
      </w:r>
      <w:r>
        <w:t>interest responsiveness of AUASB audit-related standard-setting.</w:t>
      </w:r>
    </w:p>
    <w:p w14:paraId="1E805D89" w14:textId="77777777" w:rsidR="00AA4A02" w:rsidRDefault="00960F31">
      <w:pPr>
        <w:spacing w:before="174"/>
        <w:ind w:left="143"/>
        <w:rPr>
          <w:b/>
          <w:i/>
        </w:rPr>
      </w:pPr>
      <w:r>
        <w:rPr>
          <w:b/>
          <w:i/>
        </w:rPr>
        <w:t>What</w:t>
      </w:r>
      <w:r>
        <w:rPr>
          <w:b/>
          <w:i/>
          <w:spacing w:val="-4"/>
        </w:rPr>
        <w:t xml:space="preserve"> </w:t>
      </w:r>
      <w:r>
        <w:rPr>
          <w:b/>
          <w:i/>
        </w:rPr>
        <w:t>is</w:t>
      </w:r>
      <w:r>
        <w:rPr>
          <w:b/>
          <w:i/>
          <w:spacing w:val="-4"/>
        </w:rPr>
        <w:t xml:space="preserve"> </w:t>
      </w:r>
      <w:r>
        <w:rPr>
          <w:b/>
          <w:i/>
        </w:rPr>
        <w:t>the</w:t>
      </w:r>
      <w:r>
        <w:rPr>
          <w:b/>
          <w:i/>
          <w:spacing w:val="-2"/>
        </w:rPr>
        <w:t xml:space="preserve"> </w:t>
      </w:r>
      <w:r>
        <w:rPr>
          <w:b/>
          <w:i/>
        </w:rPr>
        <w:t>objective</w:t>
      </w:r>
      <w:r>
        <w:rPr>
          <w:b/>
          <w:i/>
          <w:spacing w:val="-4"/>
        </w:rPr>
        <w:t xml:space="preserve"> </w:t>
      </w:r>
      <w:r>
        <w:rPr>
          <w:b/>
          <w:i/>
        </w:rPr>
        <w:t>of</w:t>
      </w:r>
      <w:r>
        <w:rPr>
          <w:b/>
          <w:i/>
          <w:spacing w:val="-4"/>
        </w:rPr>
        <w:t xml:space="preserve"> </w:t>
      </w:r>
      <w:r>
        <w:rPr>
          <w:b/>
          <w:i/>
        </w:rPr>
        <w:t>the</w:t>
      </w:r>
      <w:r>
        <w:rPr>
          <w:b/>
          <w:i/>
          <w:spacing w:val="-5"/>
        </w:rPr>
        <w:t xml:space="preserve"> </w:t>
      </w:r>
      <w:r>
        <w:rPr>
          <w:b/>
          <w:i/>
        </w:rPr>
        <w:t>Public</w:t>
      </w:r>
      <w:r>
        <w:rPr>
          <w:b/>
          <w:i/>
          <w:spacing w:val="-2"/>
        </w:rPr>
        <w:t xml:space="preserve"> </w:t>
      </w:r>
      <w:r>
        <w:rPr>
          <w:b/>
          <w:i/>
        </w:rPr>
        <w:t xml:space="preserve">Interest </w:t>
      </w:r>
      <w:r>
        <w:rPr>
          <w:b/>
          <w:i/>
          <w:spacing w:val="-2"/>
        </w:rPr>
        <w:t>Framework?</w:t>
      </w:r>
    </w:p>
    <w:p w14:paraId="1E805D8A" w14:textId="77777777" w:rsidR="00AA4A02" w:rsidRDefault="00960F31">
      <w:pPr>
        <w:pStyle w:val="ListParagraph"/>
        <w:numPr>
          <w:ilvl w:val="0"/>
          <w:numId w:val="10"/>
        </w:numPr>
        <w:tabs>
          <w:tab w:val="left" w:pos="851"/>
        </w:tabs>
        <w:spacing w:before="194" w:line="208" w:lineRule="auto"/>
        <w:ind w:right="164" w:hanging="708"/>
      </w:pPr>
      <w:r>
        <w:t>The overall objective of the Public Interest Framework is to reinforce consideration of the public</w:t>
      </w:r>
      <w:r>
        <w:rPr>
          <w:spacing w:val="-3"/>
        </w:rPr>
        <w:t xml:space="preserve"> </w:t>
      </w:r>
      <w:r>
        <w:t>interest</w:t>
      </w:r>
      <w:r>
        <w:rPr>
          <w:spacing w:val="-4"/>
        </w:rPr>
        <w:t xml:space="preserve"> </w:t>
      </w:r>
      <w:r>
        <w:t>throughout</w:t>
      </w:r>
      <w:r>
        <w:rPr>
          <w:spacing w:val="-1"/>
        </w:rPr>
        <w:t xml:space="preserve"> </w:t>
      </w:r>
      <w:r>
        <w:t>the</w:t>
      </w:r>
      <w:r>
        <w:rPr>
          <w:spacing w:val="-3"/>
        </w:rPr>
        <w:t xml:space="preserve"> </w:t>
      </w:r>
      <w:r>
        <w:t>process,</w:t>
      </w:r>
      <w:r>
        <w:rPr>
          <w:spacing w:val="-3"/>
        </w:rPr>
        <w:t xml:space="preserve"> </w:t>
      </w:r>
      <w:r>
        <w:t>thereby</w:t>
      </w:r>
      <w:r>
        <w:rPr>
          <w:spacing w:val="-3"/>
        </w:rPr>
        <w:t xml:space="preserve"> </w:t>
      </w:r>
      <w:r>
        <w:t>ensuring</w:t>
      </w:r>
      <w:r>
        <w:rPr>
          <w:spacing w:val="-3"/>
        </w:rPr>
        <w:t xml:space="preserve"> </w:t>
      </w:r>
      <w:r>
        <w:t>that pronouncements</w:t>
      </w:r>
      <w:r>
        <w:rPr>
          <w:spacing w:val="-2"/>
        </w:rPr>
        <w:t xml:space="preserve"> </w:t>
      </w:r>
      <w:r>
        <w:t>are</w:t>
      </w:r>
      <w:r>
        <w:rPr>
          <w:spacing w:val="-5"/>
        </w:rPr>
        <w:t xml:space="preserve"> </w:t>
      </w:r>
      <w:r>
        <w:t>responsive</w:t>
      </w:r>
      <w:r>
        <w:rPr>
          <w:spacing w:val="-5"/>
        </w:rPr>
        <w:t xml:space="preserve"> </w:t>
      </w:r>
      <w:r>
        <w:t>to the public interest.</w:t>
      </w:r>
      <w:r>
        <w:rPr>
          <w:spacing w:val="40"/>
        </w:rPr>
        <w:t xml:space="preserve"> </w:t>
      </w:r>
      <w:r>
        <w:t>It sets about to achieve this through:</w:t>
      </w:r>
    </w:p>
    <w:p w14:paraId="1E805D8B" w14:textId="77777777" w:rsidR="00AA4A02" w:rsidRDefault="00960F31">
      <w:pPr>
        <w:pStyle w:val="ListParagraph"/>
        <w:numPr>
          <w:ilvl w:val="1"/>
          <w:numId w:val="10"/>
        </w:numPr>
        <w:tabs>
          <w:tab w:val="left" w:pos="1562"/>
        </w:tabs>
        <w:spacing w:before="199" w:line="208" w:lineRule="auto"/>
        <w:ind w:right="221"/>
      </w:pPr>
      <w:r>
        <w:t>reinforcement</w:t>
      </w:r>
      <w:r>
        <w:rPr>
          <w:spacing w:val="-2"/>
        </w:rPr>
        <w:t xml:space="preserve"> </w:t>
      </w:r>
      <w:r>
        <w:t>of</w:t>
      </w:r>
      <w:r>
        <w:rPr>
          <w:spacing w:val="-3"/>
        </w:rPr>
        <w:t xml:space="preserve"> </w:t>
      </w:r>
      <w:r>
        <w:t>the</w:t>
      </w:r>
      <w:r>
        <w:rPr>
          <w:spacing w:val="-3"/>
        </w:rPr>
        <w:t xml:space="preserve"> </w:t>
      </w:r>
      <w:r>
        <w:t>importance</w:t>
      </w:r>
      <w:r>
        <w:rPr>
          <w:spacing w:val="-3"/>
        </w:rPr>
        <w:t xml:space="preserve"> </w:t>
      </w:r>
      <w:r>
        <w:t>of</w:t>
      </w:r>
      <w:r>
        <w:rPr>
          <w:spacing w:val="-3"/>
        </w:rPr>
        <w:t xml:space="preserve"> </w:t>
      </w:r>
      <w:r>
        <w:t>independence</w:t>
      </w:r>
      <w:r>
        <w:rPr>
          <w:spacing w:val="-5"/>
        </w:rPr>
        <w:t xml:space="preserve"> </w:t>
      </w:r>
      <w:r>
        <w:t>in the</w:t>
      </w:r>
      <w:r>
        <w:rPr>
          <w:spacing w:val="-5"/>
        </w:rPr>
        <w:t xml:space="preserve"> </w:t>
      </w:r>
      <w:r>
        <w:t>process</w:t>
      </w:r>
      <w:r>
        <w:rPr>
          <w:spacing w:val="-3"/>
        </w:rPr>
        <w:t xml:space="preserve"> </w:t>
      </w:r>
      <w:r>
        <w:t>benefitting</w:t>
      </w:r>
      <w:r>
        <w:rPr>
          <w:spacing w:val="-6"/>
        </w:rPr>
        <w:t xml:space="preserve"> </w:t>
      </w:r>
      <w:r>
        <w:t>from</w:t>
      </w:r>
      <w:r>
        <w:rPr>
          <w:spacing w:val="-2"/>
        </w:rPr>
        <w:t xml:space="preserve"> </w:t>
      </w:r>
      <w:r>
        <w:t>deep technical expertise and diversity of perspectives;</w:t>
      </w:r>
    </w:p>
    <w:p w14:paraId="1E805D8C" w14:textId="77777777" w:rsidR="00AA4A02" w:rsidRDefault="00960F31">
      <w:pPr>
        <w:pStyle w:val="ListParagraph"/>
        <w:numPr>
          <w:ilvl w:val="1"/>
          <w:numId w:val="10"/>
        </w:numPr>
        <w:tabs>
          <w:tab w:val="left" w:pos="1562"/>
        </w:tabs>
        <w:spacing w:before="121" w:line="208" w:lineRule="auto"/>
        <w:ind w:right="301"/>
      </w:pPr>
      <w:r>
        <w:t>a</w:t>
      </w:r>
      <w:r>
        <w:rPr>
          <w:spacing w:val="-2"/>
        </w:rPr>
        <w:t xml:space="preserve"> </w:t>
      </w:r>
      <w:r>
        <w:t>common</w:t>
      </w:r>
      <w:r>
        <w:rPr>
          <w:spacing w:val="-2"/>
        </w:rPr>
        <w:t xml:space="preserve"> </w:t>
      </w:r>
      <w:r>
        <w:t>understanding</w:t>
      </w:r>
      <w:r>
        <w:rPr>
          <w:spacing w:val="-4"/>
        </w:rPr>
        <w:t xml:space="preserve"> </w:t>
      </w:r>
      <w:r>
        <w:t>by</w:t>
      </w:r>
      <w:r>
        <w:rPr>
          <w:spacing w:val="-2"/>
        </w:rPr>
        <w:t xml:space="preserve"> </w:t>
      </w:r>
      <w:r>
        <w:t>Board</w:t>
      </w:r>
      <w:r>
        <w:rPr>
          <w:spacing w:val="-4"/>
        </w:rPr>
        <w:t xml:space="preserve"> </w:t>
      </w:r>
      <w:r>
        <w:t>members</w:t>
      </w:r>
      <w:r>
        <w:rPr>
          <w:spacing w:val="-3"/>
        </w:rPr>
        <w:t xml:space="preserve"> </w:t>
      </w:r>
      <w:r>
        <w:t>of</w:t>
      </w:r>
      <w:r>
        <w:rPr>
          <w:spacing w:val="-3"/>
        </w:rPr>
        <w:t xml:space="preserve"> </w:t>
      </w:r>
      <w:r>
        <w:t>the</w:t>
      </w:r>
      <w:r>
        <w:rPr>
          <w:spacing w:val="-3"/>
        </w:rPr>
        <w:t xml:space="preserve"> </w:t>
      </w:r>
      <w:r>
        <w:t>meaning</w:t>
      </w:r>
      <w:r>
        <w:rPr>
          <w:spacing w:val="-4"/>
        </w:rPr>
        <w:t xml:space="preserve"> </w:t>
      </w:r>
      <w:r>
        <w:t>of</w:t>
      </w:r>
      <w:r>
        <w:rPr>
          <w:spacing w:val="-3"/>
        </w:rPr>
        <w:t xml:space="preserve"> </w:t>
      </w:r>
      <w:r>
        <w:t>responsiveness</w:t>
      </w:r>
      <w:r>
        <w:rPr>
          <w:spacing w:val="-3"/>
        </w:rPr>
        <w:t xml:space="preserve"> </w:t>
      </w:r>
      <w:r>
        <w:t>to</w:t>
      </w:r>
      <w:r>
        <w:rPr>
          <w:spacing w:val="-4"/>
        </w:rPr>
        <w:t xml:space="preserve"> </w:t>
      </w:r>
      <w:r>
        <w:t>the public interest and the judgements required for achieving this objective;</w:t>
      </w:r>
    </w:p>
    <w:p w14:paraId="1E805D8D" w14:textId="77777777" w:rsidR="00AA4A02" w:rsidRDefault="00960F31">
      <w:pPr>
        <w:pStyle w:val="ListParagraph"/>
        <w:numPr>
          <w:ilvl w:val="1"/>
          <w:numId w:val="10"/>
        </w:numPr>
        <w:tabs>
          <w:tab w:val="left" w:pos="1562"/>
        </w:tabs>
        <w:spacing w:before="93"/>
      </w:pPr>
      <w:r>
        <w:t>focus</w:t>
      </w:r>
      <w:r>
        <w:rPr>
          <w:spacing w:val="-5"/>
        </w:rPr>
        <w:t xml:space="preserve"> </w:t>
      </w:r>
      <w:r>
        <w:t>by</w:t>
      </w:r>
      <w:r>
        <w:rPr>
          <w:spacing w:val="-3"/>
        </w:rPr>
        <w:t xml:space="preserve"> </w:t>
      </w:r>
      <w:r>
        <w:t>the</w:t>
      </w:r>
      <w:r>
        <w:rPr>
          <w:spacing w:val="-3"/>
        </w:rPr>
        <w:t xml:space="preserve"> </w:t>
      </w:r>
      <w:r>
        <w:t>Board</w:t>
      </w:r>
      <w:r>
        <w:rPr>
          <w:spacing w:val="-2"/>
        </w:rPr>
        <w:t xml:space="preserve"> </w:t>
      </w:r>
      <w:r>
        <w:t>on</w:t>
      </w:r>
      <w:r>
        <w:rPr>
          <w:spacing w:val="-6"/>
        </w:rPr>
        <w:t xml:space="preserve"> </w:t>
      </w:r>
      <w:r>
        <w:t>the</w:t>
      </w:r>
      <w:r>
        <w:rPr>
          <w:spacing w:val="-4"/>
        </w:rPr>
        <w:t xml:space="preserve"> </w:t>
      </w:r>
      <w:r>
        <w:t>public</w:t>
      </w:r>
      <w:r>
        <w:rPr>
          <w:spacing w:val="-3"/>
        </w:rPr>
        <w:t xml:space="preserve"> </w:t>
      </w:r>
      <w:r>
        <w:t>interest</w:t>
      </w:r>
      <w:r>
        <w:rPr>
          <w:spacing w:val="-5"/>
        </w:rPr>
        <w:t xml:space="preserve"> </w:t>
      </w:r>
      <w:r>
        <w:t>in</w:t>
      </w:r>
      <w:r>
        <w:rPr>
          <w:spacing w:val="-3"/>
        </w:rPr>
        <w:t xml:space="preserve"> </w:t>
      </w:r>
      <w:r>
        <w:t>its</w:t>
      </w:r>
      <w:r>
        <w:rPr>
          <w:spacing w:val="-2"/>
        </w:rPr>
        <w:t xml:space="preserve"> </w:t>
      </w:r>
      <w:r>
        <w:t>development</w:t>
      </w:r>
      <w:r>
        <w:rPr>
          <w:spacing w:val="-2"/>
        </w:rPr>
        <w:t xml:space="preserve"> </w:t>
      </w:r>
      <w:r>
        <w:t>of</w:t>
      </w:r>
      <w:r>
        <w:rPr>
          <w:spacing w:val="-1"/>
        </w:rPr>
        <w:t xml:space="preserve"> </w:t>
      </w:r>
      <w:r>
        <w:t>pronouncements;</w:t>
      </w:r>
      <w:r>
        <w:rPr>
          <w:spacing w:val="-4"/>
        </w:rPr>
        <w:t xml:space="preserve"> </w:t>
      </w:r>
      <w:r>
        <w:rPr>
          <w:spacing w:val="-5"/>
        </w:rPr>
        <w:t>and</w:t>
      </w:r>
    </w:p>
    <w:p w14:paraId="1E805D8E" w14:textId="77777777" w:rsidR="00AA4A02" w:rsidRDefault="00960F31">
      <w:pPr>
        <w:pStyle w:val="ListParagraph"/>
        <w:numPr>
          <w:ilvl w:val="1"/>
          <w:numId w:val="10"/>
        </w:numPr>
        <w:tabs>
          <w:tab w:val="left" w:pos="1562"/>
        </w:tabs>
        <w:spacing w:before="88"/>
      </w:pPr>
      <w:r>
        <w:t>appropriate</w:t>
      </w:r>
      <w:r>
        <w:rPr>
          <w:spacing w:val="-7"/>
        </w:rPr>
        <w:t xml:space="preserve"> </w:t>
      </w:r>
      <w:r>
        <w:t>accountability</w:t>
      </w:r>
      <w:r>
        <w:rPr>
          <w:spacing w:val="-7"/>
        </w:rPr>
        <w:t xml:space="preserve"> </w:t>
      </w:r>
      <w:r>
        <w:t>of</w:t>
      </w:r>
      <w:r>
        <w:rPr>
          <w:spacing w:val="-4"/>
        </w:rPr>
        <w:t xml:space="preserve"> </w:t>
      </w:r>
      <w:r>
        <w:t>the</w:t>
      </w:r>
      <w:r>
        <w:rPr>
          <w:spacing w:val="-4"/>
        </w:rPr>
        <w:t xml:space="preserve"> </w:t>
      </w:r>
      <w:r>
        <w:t>Board</w:t>
      </w:r>
      <w:r>
        <w:rPr>
          <w:spacing w:val="-4"/>
        </w:rPr>
        <w:t xml:space="preserve"> </w:t>
      </w:r>
      <w:r>
        <w:t>in</w:t>
      </w:r>
      <w:r>
        <w:rPr>
          <w:spacing w:val="-4"/>
        </w:rPr>
        <w:t xml:space="preserve"> </w:t>
      </w:r>
      <w:r>
        <w:t>fulfilling</w:t>
      </w:r>
      <w:r>
        <w:rPr>
          <w:spacing w:val="-4"/>
        </w:rPr>
        <w:t xml:space="preserve"> </w:t>
      </w:r>
      <w:r>
        <w:t>its</w:t>
      </w:r>
      <w:r>
        <w:rPr>
          <w:spacing w:val="-6"/>
        </w:rPr>
        <w:t xml:space="preserve"> </w:t>
      </w:r>
      <w:r>
        <w:rPr>
          <w:spacing w:val="-2"/>
        </w:rPr>
        <w:t>mandates.</w:t>
      </w:r>
    </w:p>
    <w:p w14:paraId="1E805D8F" w14:textId="77777777" w:rsidR="00AA4A02" w:rsidRDefault="00960F31">
      <w:pPr>
        <w:spacing w:before="167"/>
        <w:ind w:left="143"/>
        <w:rPr>
          <w:b/>
          <w:i/>
        </w:rPr>
      </w:pPr>
      <w:r>
        <w:rPr>
          <w:b/>
          <w:i/>
        </w:rPr>
        <w:t>For</w:t>
      </w:r>
      <w:r>
        <w:rPr>
          <w:b/>
          <w:i/>
          <w:spacing w:val="-6"/>
        </w:rPr>
        <w:t xml:space="preserve"> </w:t>
      </w:r>
      <w:r>
        <w:rPr>
          <w:b/>
          <w:i/>
        </w:rPr>
        <w:t>whom</w:t>
      </w:r>
      <w:r>
        <w:rPr>
          <w:b/>
          <w:i/>
          <w:spacing w:val="-4"/>
        </w:rPr>
        <w:t xml:space="preserve"> </w:t>
      </w:r>
      <w:r>
        <w:rPr>
          <w:b/>
          <w:i/>
        </w:rPr>
        <w:t>are</w:t>
      </w:r>
      <w:r>
        <w:rPr>
          <w:b/>
          <w:i/>
          <w:spacing w:val="-4"/>
        </w:rPr>
        <w:t xml:space="preserve"> </w:t>
      </w:r>
      <w:r>
        <w:rPr>
          <w:b/>
          <w:i/>
        </w:rPr>
        <w:t>pronouncements</w:t>
      </w:r>
      <w:r>
        <w:rPr>
          <w:b/>
          <w:i/>
          <w:spacing w:val="-3"/>
        </w:rPr>
        <w:t xml:space="preserve"> </w:t>
      </w:r>
      <w:r>
        <w:rPr>
          <w:b/>
          <w:i/>
        </w:rPr>
        <w:t>developed</w:t>
      </w:r>
      <w:r>
        <w:rPr>
          <w:b/>
          <w:i/>
          <w:spacing w:val="-5"/>
        </w:rPr>
        <w:t xml:space="preserve"> </w:t>
      </w:r>
      <w:r>
        <w:rPr>
          <w:b/>
          <w:i/>
        </w:rPr>
        <w:t>(the</w:t>
      </w:r>
      <w:r>
        <w:rPr>
          <w:b/>
          <w:i/>
          <w:spacing w:val="-4"/>
        </w:rPr>
        <w:t xml:space="preserve"> </w:t>
      </w:r>
      <w:r>
        <w:rPr>
          <w:b/>
          <w:i/>
        </w:rPr>
        <w:t>AUASB’s</w:t>
      </w:r>
      <w:r>
        <w:rPr>
          <w:b/>
          <w:i/>
          <w:spacing w:val="-4"/>
        </w:rPr>
        <w:t xml:space="preserve"> </w:t>
      </w:r>
      <w:r>
        <w:rPr>
          <w:b/>
          <w:i/>
          <w:spacing w:val="-2"/>
        </w:rPr>
        <w:t>‘public’)?</w:t>
      </w:r>
    </w:p>
    <w:p w14:paraId="1E805D90" w14:textId="77777777" w:rsidR="00AA4A02" w:rsidRDefault="00960F31">
      <w:pPr>
        <w:pStyle w:val="ListParagraph"/>
        <w:numPr>
          <w:ilvl w:val="0"/>
          <w:numId w:val="10"/>
        </w:numPr>
        <w:tabs>
          <w:tab w:val="left" w:pos="851"/>
        </w:tabs>
        <w:spacing w:before="193" w:line="208" w:lineRule="auto"/>
        <w:ind w:right="212" w:hanging="708"/>
      </w:pPr>
      <w:r>
        <w:t>In accepting its responsibility to serve the public interest through its audit related standard-setting</w:t>
      </w:r>
      <w:r>
        <w:rPr>
          <w:spacing w:val="-2"/>
        </w:rPr>
        <w:t xml:space="preserve"> </w:t>
      </w:r>
      <w:r>
        <w:t>activities,</w:t>
      </w:r>
      <w:r>
        <w:rPr>
          <w:spacing w:val="-2"/>
        </w:rPr>
        <w:t xml:space="preserve"> </w:t>
      </w:r>
      <w:r>
        <w:t>the</w:t>
      </w:r>
      <w:r>
        <w:rPr>
          <w:spacing w:val="-2"/>
        </w:rPr>
        <w:t xml:space="preserve"> </w:t>
      </w:r>
      <w:r>
        <w:t>AUASB</w:t>
      </w:r>
      <w:r>
        <w:rPr>
          <w:spacing w:val="-2"/>
        </w:rPr>
        <w:t xml:space="preserve"> </w:t>
      </w:r>
      <w:r>
        <w:t>is</w:t>
      </w:r>
      <w:r>
        <w:rPr>
          <w:spacing w:val="-4"/>
        </w:rPr>
        <w:t xml:space="preserve"> </w:t>
      </w:r>
      <w:r>
        <w:t>mindful</w:t>
      </w:r>
      <w:r>
        <w:rPr>
          <w:spacing w:val="-1"/>
        </w:rPr>
        <w:t xml:space="preserve"> </w:t>
      </w:r>
      <w:r>
        <w:t>that</w:t>
      </w:r>
      <w:r>
        <w:rPr>
          <w:spacing w:val="-4"/>
        </w:rPr>
        <w:t xml:space="preserve"> </w:t>
      </w:r>
      <w:r>
        <w:t>the</w:t>
      </w:r>
      <w:r>
        <w:rPr>
          <w:spacing w:val="-3"/>
        </w:rPr>
        <w:t xml:space="preserve"> </w:t>
      </w:r>
      <w:r>
        <w:t>building</w:t>
      </w:r>
      <w:r>
        <w:rPr>
          <w:spacing w:val="-2"/>
        </w:rPr>
        <w:t xml:space="preserve"> </w:t>
      </w:r>
      <w:r>
        <w:t>of</w:t>
      </w:r>
      <w:r>
        <w:rPr>
          <w:spacing w:val="-1"/>
        </w:rPr>
        <w:t xml:space="preserve"> </w:t>
      </w:r>
      <w:r>
        <w:t>trust,</w:t>
      </w:r>
      <w:r>
        <w:rPr>
          <w:spacing w:val="-2"/>
        </w:rPr>
        <w:t xml:space="preserve"> </w:t>
      </w:r>
      <w:r>
        <w:t>economic</w:t>
      </w:r>
      <w:r>
        <w:rPr>
          <w:spacing w:val="-4"/>
        </w:rPr>
        <w:t xml:space="preserve"> </w:t>
      </w:r>
      <w:r>
        <w:t>growth</w:t>
      </w:r>
      <w:r>
        <w:rPr>
          <w:spacing w:val="-2"/>
        </w:rPr>
        <w:t xml:space="preserve"> </w:t>
      </w:r>
      <w:r>
        <w:t>and</w:t>
      </w:r>
      <w:r>
        <w:rPr>
          <w:spacing w:val="-4"/>
        </w:rPr>
        <w:t xml:space="preserve"> </w:t>
      </w:r>
      <w:r>
        <w:t>long-term</w:t>
      </w:r>
      <w:r>
        <w:rPr>
          <w:spacing w:val="-3"/>
        </w:rPr>
        <w:t xml:space="preserve"> </w:t>
      </w:r>
      <w:r>
        <w:t>financial</w:t>
      </w:r>
      <w:r>
        <w:rPr>
          <w:spacing w:val="-4"/>
        </w:rPr>
        <w:t xml:space="preserve"> </w:t>
      </w:r>
      <w:r>
        <w:t>stability are</w:t>
      </w:r>
      <w:r>
        <w:rPr>
          <w:spacing w:val="-3"/>
        </w:rPr>
        <w:t xml:space="preserve"> </w:t>
      </w:r>
      <w:r>
        <w:t>important</w:t>
      </w:r>
      <w:r>
        <w:rPr>
          <w:spacing w:val="-4"/>
        </w:rPr>
        <w:t xml:space="preserve"> </w:t>
      </w:r>
      <w:r>
        <w:t>to</w:t>
      </w:r>
      <w:r>
        <w:rPr>
          <w:spacing w:val="-2"/>
        </w:rPr>
        <w:t xml:space="preserve"> </w:t>
      </w:r>
      <w:r>
        <w:t>the</w:t>
      </w:r>
      <w:r>
        <w:rPr>
          <w:spacing w:val="-2"/>
        </w:rPr>
        <w:t xml:space="preserve"> </w:t>
      </w:r>
      <w:r>
        <w:t>public</w:t>
      </w:r>
      <w:r>
        <w:rPr>
          <w:spacing w:val="-2"/>
        </w:rPr>
        <w:t xml:space="preserve"> </w:t>
      </w:r>
      <w:r>
        <w:t>at</w:t>
      </w:r>
      <w:r>
        <w:rPr>
          <w:spacing w:val="-1"/>
        </w:rPr>
        <w:t xml:space="preserve"> </w:t>
      </w:r>
      <w:r>
        <w:t>large.</w:t>
      </w:r>
      <w:r>
        <w:rPr>
          <w:spacing w:val="-1"/>
        </w:rPr>
        <w:t xml:space="preserve"> </w:t>
      </w:r>
      <w:r>
        <w:t>Therefore,</w:t>
      </w:r>
      <w:r>
        <w:rPr>
          <w:spacing w:val="-3"/>
        </w:rPr>
        <w:t xml:space="preserve"> </w:t>
      </w:r>
      <w:r>
        <w:t>the</w:t>
      </w:r>
      <w:r>
        <w:rPr>
          <w:spacing w:val="-4"/>
        </w:rPr>
        <w:t xml:space="preserve"> </w:t>
      </w:r>
      <w:r>
        <w:t>public</w:t>
      </w:r>
      <w:r>
        <w:rPr>
          <w:spacing w:val="-3"/>
        </w:rPr>
        <w:t xml:space="preserve"> </w:t>
      </w:r>
      <w:r>
        <w:t>at</w:t>
      </w:r>
      <w:r>
        <w:rPr>
          <w:spacing w:val="-3"/>
        </w:rPr>
        <w:t xml:space="preserve"> </w:t>
      </w:r>
      <w:r>
        <w:t>large,</w:t>
      </w:r>
      <w:r>
        <w:rPr>
          <w:spacing w:val="-2"/>
        </w:rPr>
        <w:t xml:space="preserve"> </w:t>
      </w:r>
      <w:r>
        <w:t>even those who do not invest in capital markets, are stakeholders to consider. The broader public, including those who do not hold direct investments in individual companies, are also often stakeholders through investment and superannuation funds and as taxpayers.</w:t>
      </w:r>
    </w:p>
    <w:p w14:paraId="1E805D91" w14:textId="77777777" w:rsidR="00AA4A02" w:rsidRDefault="00AA4A02">
      <w:pPr>
        <w:pStyle w:val="BodyText"/>
        <w:rPr>
          <w:sz w:val="20"/>
        </w:rPr>
      </w:pPr>
    </w:p>
    <w:p w14:paraId="1E805D92" w14:textId="77777777" w:rsidR="00AA4A02" w:rsidRDefault="00AA4A02">
      <w:pPr>
        <w:pStyle w:val="BodyText"/>
        <w:rPr>
          <w:sz w:val="20"/>
        </w:rPr>
      </w:pPr>
    </w:p>
    <w:p w14:paraId="1E805D93" w14:textId="77777777" w:rsidR="00AA4A02" w:rsidRDefault="00960F31">
      <w:pPr>
        <w:pStyle w:val="BodyText"/>
        <w:spacing w:before="221"/>
        <w:rPr>
          <w:sz w:val="20"/>
        </w:rPr>
      </w:pPr>
      <w:r>
        <w:rPr>
          <w:noProof/>
          <w:sz w:val="20"/>
        </w:rPr>
        <mc:AlternateContent>
          <mc:Choice Requires="wps">
            <w:drawing>
              <wp:anchor distT="0" distB="0" distL="0" distR="0" simplePos="0" relativeHeight="487617024" behindDoc="1" locked="0" layoutInCell="1" allowOverlap="1" wp14:anchorId="1E805F85" wp14:editId="1E805F86">
                <wp:simplePos x="0" y="0"/>
                <wp:positionH relativeFrom="page">
                  <wp:posOffset>900988</wp:posOffset>
                </wp:positionH>
                <wp:positionV relativeFrom="paragraph">
                  <wp:posOffset>301865</wp:posOffset>
                </wp:positionV>
                <wp:extent cx="1829435" cy="762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26C38" id="Graphic 92" o:spid="_x0000_s1026" style="position:absolute;margin-left:70.95pt;margin-top:23.75pt;width:144.05pt;height:.6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AtBANy4AAAAAkBAAAPAAAAAAAAAAAAAAAAAH0EAABkcnMvZG93&#10;bnJldi54bWxQSwUGAAAAAAQABADzAAAAigUAAAAA&#10;" path="m1829053,l,,,7619r1829053,l1829053,xe" fillcolor="black" stroked="f">
                <v:path arrowok="t"/>
                <w10:wrap type="topAndBottom" anchorx="page"/>
              </v:shape>
            </w:pict>
          </mc:Fallback>
        </mc:AlternateContent>
      </w:r>
    </w:p>
    <w:p w14:paraId="1E805D94" w14:textId="77777777" w:rsidR="00AA4A02" w:rsidRDefault="00960F31">
      <w:pPr>
        <w:spacing w:before="93" w:line="208" w:lineRule="auto"/>
        <w:ind w:left="427" w:right="246" w:hanging="284"/>
        <w:rPr>
          <w:sz w:val="16"/>
        </w:rPr>
      </w:pPr>
      <w:r>
        <w:rPr>
          <w:sz w:val="16"/>
          <w:vertAlign w:val="superscript"/>
        </w:rPr>
        <w:t>79</w:t>
      </w:r>
      <w:r>
        <w:rPr>
          <w:spacing w:val="80"/>
          <w:w w:val="150"/>
          <w:sz w:val="16"/>
        </w:rPr>
        <w:t xml:space="preserve"> </w:t>
      </w:r>
      <w:r>
        <w:rPr>
          <w:sz w:val="16"/>
        </w:rPr>
        <w:t>The members of the Monitoring Group are the Basel Committee on Banking Supervision, European Commission, Financial Stability</w:t>
      </w:r>
      <w:r>
        <w:rPr>
          <w:spacing w:val="40"/>
          <w:sz w:val="16"/>
        </w:rPr>
        <w:t xml:space="preserve"> </w:t>
      </w:r>
      <w:r>
        <w:rPr>
          <w:sz w:val="16"/>
        </w:rPr>
        <w:t>Board, International Association of Insurance Supervisors, International Forum of Independent Audit Regulators, International</w:t>
      </w:r>
      <w:r>
        <w:rPr>
          <w:spacing w:val="40"/>
          <w:sz w:val="16"/>
        </w:rPr>
        <w:t xml:space="preserve"> </w:t>
      </w:r>
      <w:r>
        <w:rPr>
          <w:sz w:val="16"/>
        </w:rPr>
        <w:t>Organization</w:t>
      </w:r>
      <w:r>
        <w:rPr>
          <w:spacing w:val="-3"/>
          <w:sz w:val="16"/>
        </w:rPr>
        <w:t xml:space="preserve"> </w:t>
      </w:r>
      <w:r>
        <w:rPr>
          <w:sz w:val="16"/>
        </w:rPr>
        <w:t>of</w:t>
      </w:r>
      <w:r>
        <w:rPr>
          <w:spacing w:val="-3"/>
          <w:sz w:val="16"/>
        </w:rPr>
        <w:t xml:space="preserve"> </w:t>
      </w:r>
      <w:r>
        <w:rPr>
          <w:sz w:val="16"/>
        </w:rPr>
        <w:t>Securities</w:t>
      </w:r>
      <w:r>
        <w:rPr>
          <w:spacing w:val="-4"/>
          <w:sz w:val="16"/>
        </w:rPr>
        <w:t xml:space="preserve"> </w:t>
      </w:r>
      <w:r>
        <w:rPr>
          <w:sz w:val="16"/>
        </w:rPr>
        <w:t>Commissions,</w:t>
      </w:r>
      <w:r>
        <w:rPr>
          <w:spacing w:val="-4"/>
          <w:sz w:val="16"/>
        </w:rPr>
        <w:t xml:space="preserve"> </w:t>
      </w:r>
      <w:r>
        <w:rPr>
          <w:sz w:val="16"/>
        </w:rPr>
        <w:t>and</w:t>
      </w:r>
      <w:r>
        <w:rPr>
          <w:spacing w:val="-3"/>
          <w:sz w:val="16"/>
        </w:rPr>
        <w:t xml:space="preserve"> </w:t>
      </w:r>
      <w:r>
        <w:rPr>
          <w:sz w:val="16"/>
        </w:rPr>
        <w:t>the</w:t>
      </w:r>
      <w:r>
        <w:rPr>
          <w:spacing w:val="-1"/>
          <w:sz w:val="16"/>
        </w:rPr>
        <w:t xml:space="preserve"> </w:t>
      </w:r>
      <w:r>
        <w:rPr>
          <w:sz w:val="16"/>
        </w:rPr>
        <w:t>World Bank</w:t>
      </w:r>
      <w:r>
        <w:rPr>
          <w:spacing w:val="-1"/>
          <w:sz w:val="16"/>
        </w:rPr>
        <w:t xml:space="preserve"> </w:t>
      </w:r>
      <w:r>
        <w:rPr>
          <w:sz w:val="16"/>
        </w:rPr>
        <w:t>Group.</w:t>
      </w:r>
      <w:r>
        <w:rPr>
          <w:spacing w:val="36"/>
          <w:sz w:val="16"/>
        </w:rPr>
        <w:t xml:space="preserve"> </w:t>
      </w:r>
      <w:r>
        <w:rPr>
          <w:sz w:val="16"/>
        </w:rPr>
        <w:t>The</w:t>
      </w:r>
      <w:r>
        <w:rPr>
          <w:spacing w:val="-4"/>
          <w:sz w:val="16"/>
        </w:rPr>
        <w:t xml:space="preserve"> </w:t>
      </w:r>
      <w:r>
        <w:rPr>
          <w:sz w:val="16"/>
        </w:rPr>
        <w:t>Monitoring</w:t>
      </w:r>
      <w:r>
        <w:rPr>
          <w:spacing w:val="-3"/>
          <w:sz w:val="16"/>
        </w:rPr>
        <w:t xml:space="preserve"> </w:t>
      </w:r>
      <w:r>
        <w:rPr>
          <w:sz w:val="16"/>
        </w:rPr>
        <w:t>Group</w:t>
      </w:r>
      <w:r>
        <w:rPr>
          <w:spacing w:val="-3"/>
          <w:sz w:val="16"/>
        </w:rPr>
        <w:t xml:space="preserve"> </w:t>
      </w:r>
      <w:r>
        <w:rPr>
          <w:sz w:val="16"/>
        </w:rPr>
        <w:t>is</w:t>
      </w:r>
      <w:r>
        <w:rPr>
          <w:spacing w:val="-2"/>
          <w:sz w:val="16"/>
        </w:rPr>
        <w:t xml:space="preserve"> </w:t>
      </w:r>
      <w:r>
        <w:rPr>
          <w:sz w:val="16"/>
        </w:rPr>
        <w:t>responsible</w:t>
      </w:r>
      <w:r>
        <w:rPr>
          <w:spacing w:val="-1"/>
          <w:sz w:val="16"/>
        </w:rPr>
        <w:t xml:space="preserve"> </w:t>
      </w:r>
      <w:r>
        <w:rPr>
          <w:sz w:val="16"/>
        </w:rPr>
        <w:t>for</w:t>
      </w:r>
      <w:r>
        <w:rPr>
          <w:spacing w:val="-3"/>
          <w:sz w:val="16"/>
        </w:rPr>
        <w:t xml:space="preserve"> </w:t>
      </w:r>
      <w:r>
        <w:rPr>
          <w:sz w:val="16"/>
        </w:rPr>
        <w:t>the</w:t>
      </w:r>
      <w:r>
        <w:rPr>
          <w:spacing w:val="-4"/>
          <w:sz w:val="16"/>
        </w:rPr>
        <w:t xml:space="preserve"> </w:t>
      </w:r>
      <w:r>
        <w:rPr>
          <w:sz w:val="16"/>
        </w:rPr>
        <w:t>overall</w:t>
      </w:r>
      <w:r>
        <w:rPr>
          <w:spacing w:val="-3"/>
          <w:sz w:val="16"/>
        </w:rPr>
        <w:t xml:space="preserve"> </w:t>
      </w:r>
      <w:r>
        <w:rPr>
          <w:sz w:val="16"/>
        </w:rPr>
        <w:t>governance</w:t>
      </w:r>
      <w:r>
        <w:rPr>
          <w:spacing w:val="40"/>
          <w:sz w:val="16"/>
        </w:rPr>
        <w:t xml:space="preserve"> </w:t>
      </w:r>
      <w:r>
        <w:rPr>
          <w:sz w:val="16"/>
        </w:rPr>
        <w:t>of the international audit and ethics standard-setting process and the review of its effectiveness.</w:t>
      </w:r>
    </w:p>
    <w:p w14:paraId="1E805D95" w14:textId="77777777" w:rsidR="00AA4A02" w:rsidRDefault="00960F31">
      <w:pPr>
        <w:spacing w:line="165" w:lineRule="exact"/>
        <w:ind w:left="143"/>
        <w:rPr>
          <w:sz w:val="16"/>
        </w:rPr>
      </w:pPr>
      <w:r>
        <w:rPr>
          <w:sz w:val="16"/>
          <w:vertAlign w:val="superscript"/>
        </w:rPr>
        <w:t>80</w:t>
      </w:r>
      <w:r>
        <w:rPr>
          <w:spacing w:val="47"/>
          <w:sz w:val="16"/>
        </w:rPr>
        <w:t xml:space="preserve">  </w:t>
      </w:r>
      <w:r>
        <w:rPr>
          <w:sz w:val="16"/>
        </w:rPr>
        <w:t xml:space="preserve">See </w:t>
      </w:r>
      <w:hyperlink r:id="rId118">
        <w:r>
          <w:rPr>
            <w:color w:val="0000FF"/>
            <w:sz w:val="16"/>
            <w:u w:val="single" w:color="0000FF"/>
          </w:rPr>
          <w:t>AUASB</w:t>
        </w:r>
        <w:r>
          <w:rPr>
            <w:color w:val="0000FF"/>
            <w:spacing w:val="-3"/>
            <w:sz w:val="16"/>
            <w:u w:val="single" w:color="0000FF"/>
          </w:rPr>
          <w:t xml:space="preserve"> </w:t>
        </w:r>
        <w:r>
          <w:rPr>
            <w:color w:val="0000FF"/>
            <w:sz w:val="16"/>
            <w:u w:val="single" w:color="0000FF"/>
          </w:rPr>
          <w:t xml:space="preserve">Corporate </w:t>
        </w:r>
        <w:r>
          <w:rPr>
            <w:color w:val="0000FF"/>
            <w:spacing w:val="-4"/>
            <w:sz w:val="16"/>
            <w:u w:val="single" w:color="0000FF"/>
          </w:rPr>
          <w:t>Plan</w:t>
        </w:r>
        <w:r>
          <w:rPr>
            <w:spacing w:val="-4"/>
            <w:sz w:val="16"/>
          </w:rPr>
          <w:t>.</w:t>
        </w:r>
      </w:hyperlink>
    </w:p>
    <w:p w14:paraId="1E805D96" w14:textId="77777777" w:rsidR="00AA4A02" w:rsidRDefault="00AA4A02">
      <w:pPr>
        <w:spacing w:line="165" w:lineRule="exact"/>
        <w:rPr>
          <w:sz w:val="16"/>
        </w:rPr>
        <w:sectPr w:rsidR="00AA4A02">
          <w:pgSz w:w="11910" w:h="16840"/>
          <w:pgMar w:top="1380" w:right="1275" w:bottom="1040" w:left="1275" w:header="689" w:footer="842" w:gutter="0"/>
          <w:cols w:space="720"/>
        </w:sectPr>
      </w:pPr>
    </w:p>
    <w:p w14:paraId="1E805D97" w14:textId="77777777" w:rsidR="00AA4A02" w:rsidRDefault="00AA4A02">
      <w:pPr>
        <w:pStyle w:val="BodyText"/>
        <w:spacing w:before="192"/>
      </w:pPr>
    </w:p>
    <w:p w14:paraId="1E805D98" w14:textId="77777777" w:rsidR="00AA4A02" w:rsidRDefault="00960F31">
      <w:pPr>
        <w:pStyle w:val="ListParagraph"/>
        <w:numPr>
          <w:ilvl w:val="0"/>
          <w:numId w:val="10"/>
        </w:numPr>
        <w:tabs>
          <w:tab w:val="left" w:pos="851"/>
        </w:tabs>
        <w:spacing w:before="0" w:line="208" w:lineRule="auto"/>
        <w:ind w:right="280" w:hanging="708"/>
      </w:pPr>
      <w:r>
        <w:t>For</w:t>
      </w:r>
      <w:r>
        <w:rPr>
          <w:spacing w:val="-2"/>
        </w:rPr>
        <w:t xml:space="preserve"> </w:t>
      </w:r>
      <w:r>
        <w:t>the</w:t>
      </w:r>
      <w:r>
        <w:rPr>
          <w:spacing w:val="-2"/>
        </w:rPr>
        <w:t xml:space="preserve"> </w:t>
      </w:r>
      <w:r>
        <w:t>purpose</w:t>
      </w:r>
      <w:r>
        <w:rPr>
          <w:spacing w:val="-2"/>
        </w:rPr>
        <w:t xml:space="preserve"> </w:t>
      </w:r>
      <w:r>
        <w:t>of</w:t>
      </w:r>
      <w:r>
        <w:rPr>
          <w:spacing w:val="-4"/>
        </w:rPr>
        <w:t xml:space="preserve"> </w:t>
      </w:r>
      <w:r>
        <w:t>this</w:t>
      </w:r>
      <w:r>
        <w:rPr>
          <w:spacing w:val="-2"/>
        </w:rPr>
        <w:t xml:space="preserve"> </w:t>
      </w:r>
      <w:r>
        <w:t>framework,</w:t>
      </w:r>
      <w:r>
        <w:rPr>
          <w:spacing w:val="-2"/>
        </w:rPr>
        <w:t xml:space="preserve"> </w:t>
      </w:r>
      <w:r>
        <w:t>the</w:t>
      </w:r>
      <w:r>
        <w:rPr>
          <w:spacing w:val="-2"/>
        </w:rPr>
        <w:t xml:space="preserve"> </w:t>
      </w:r>
      <w:r>
        <w:t>following</w:t>
      </w:r>
      <w:r>
        <w:rPr>
          <w:spacing w:val="-4"/>
        </w:rPr>
        <w:t xml:space="preserve"> </w:t>
      </w:r>
      <w:r>
        <w:t>groups</w:t>
      </w:r>
      <w:r>
        <w:rPr>
          <w:spacing w:val="-2"/>
        </w:rPr>
        <w:t xml:space="preserve"> </w:t>
      </w:r>
      <w:r>
        <w:t>of</w:t>
      </w:r>
      <w:r>
        <w:rPr>
          <w:spacing w:val="-4"/>
        </w:rPr>
        <w:t xml:space="preserve"> </w:t>
      </w:r>
      <w:r>
        <w:t>stakeholders</w:t>
      </w:r>
      <w:r>
        <w:rPr>
          <w:spacing w:val="-4"/>
        </w:rPr>
        <w:t xml:space="preserve"> </w:t>
      </w:r>
      <w:r>
        <w:t>may</w:t>
      </w:r>
      <w:r>
        <w:rPr>
          <w:spacing w:val="-4"/>
        </w:rPr>
        <w:t xml:space="preserve"> </w:t>
      </w:r>
      <w:r>
        <w:t>have</w:t>
      </w:r>
      <w:r>
        <w:rPr>
          <w:spacing w:val="-1"/>
        </w:rPr>
        <w:t xml:space="preserve"> </w:t>
      </w:r>
      <w:r>
        <w:t>an</w:t>
      </w:r>
      <w:r>
        <w:rPr>
          <w:spacing w:val="-4"/>
        </w:rPr>
        <w:t xml:space="preserve"> </w:t>
      </w:r>
      <w:r>
        <w:t>interest in the quality and adequacy of AUASB pronouncements:</w:t>
      </w:r>
    </w:p>
    <w:p w14:paraId="1E805D99" w14:textId="77777777" w:rsidR="00AA4A02" w:rsidRDefault="00960F31">
      <w:pPr>
        <w:pStyle w:val="ListParagraph"/>
        <w:numPr>
          <w:ilvl w:val="1"/>
          <w:numId w:val="10"/>
        </w:numPr>
        <w:tabs>
          <w:tab w:val="left" w:pos="1562"/>
        </w:tabs>
        <w:spacing w:before="172" w:line="237" w:lineRule="exact"/>
      </w:pPr>
      <w:r>
        <w:t>Users</w:t>
      </w:r>
      <w:r>
        <w:rPr>
          <w:spacing w:val="-3"/>
        </w:rPr>
        <w:t xml:space="preserve"> </w:t>
      </w:r>
      <w:r>
        <w:t>of</w:t>
      </w:r>
      <w:r>
        <w:rPr>
          <w:spacing w:val="-4"/>
        </w:rPr>
        <w:t xml:space="preserve"> </w:t>
      </w:r>
      <w:r>
        <w:t>the</w:t>
      </w:r>
      <w:r>
        <w:rPr>
          <w:spacing w:val="-4"/>
        </w:rPr>
        <w:t xml:space="preserve"> </w:t>
      </w:r>
      <w:r>
        <w:t>information</w:t>
      </w:r>
      <w:r>
        <w:rPr>
          <w:spacing w:val="-5"/>
        </w:rPr>
        <w:t xml:space="preserve"> </w:t>
      </w:r>
      <w:r>
        <w:t>that</w:t>
      </w:r>
      <w:r>
        <w:rPr>
          <w:spacing w:val="-1"/>
        </w:rPr>
        <w:t xml:space="preserve"> </w:t>
      </w:r>
      <w:r>
        <w:t>is</w:t>
      </w:r>
      <w:r>
        <w:rPr>
          <w:spacing w:val="-3"/>
        </w:rPr>
        <w:t xml:space="preserve"> </w:t>
      </w:r>
      <w:r>
        <w:t>the</w:t>
      </w:r>
      <w:r>
        <w:rPr>
          <w:spacing w:val="-2"/>
        </w:rPr>
        <w:t xml:space="preserve"> </w:t>
      </w:r>
      <w:r>
        <w:t>subject</w:t>
      </w:r>
      <w:r>
        <w:rPr>
          <w:spacing w:val="-3"/>
        </w:rPr>
        <w:t xml:space="preserve"> </w:t>
      </w:r>
      <w:r>
        <w:t>of</w:t>
      </w:r>
      <w:r>
        <w:rPr>
          <w:spacing w:val="-2"/>
        </w:rPr>
        <w:t xml:space="preserve"> </w:t>
      </w:r>
      <w:r>
        <w:t>an</w:t>
      </w:r>
      <w:r>
        <w:rPr>
          <w:spacing w:val="-3"/>
        </w:rPr>
        <w:t xml:space="preserve"> </w:t>
      </w:r>
      <w:r>
        <w:t>audit</w:t>
      </w:r>
      <w:r>
        <w:rPr>
          <w:spacing w:val="-4"/>
        </w:rPr>
        <w:t xml:space="preserve"> </w:t>
      </w:r>
      <w:r>
        <w:t>or</w:t>
      </w:r>
      <w:r>
        <w:rPr>
          <w:spacing w:val="-2"/>
        </w:rPr>
        <w:t xml:space="preserve"> </w:t>
      </w:r>
      <w:r>
        <w:t>audit-related</w:t>
      </w:r>
      <w:r>
        <w:rPr>
          <w:spacing w:val="-2"/>
        </w:rPr>
        <w:t xml:space="preserve"> engagement</w:t>
      </w:r>
    </w:p>
    <w:p w14:paraId="1E805D9A" w14:textId="77777777" w:rsidR="00AA4A02" w:rsidRDefault="00960F31">
      <w:pPr>
        <w:pStyle w:val="BodyText"/>
        <w:spacing w:before="11" w:line="208" w:lineRule="auto"/>
        <w:ind w:left="1562"/>
      </w:pPr>
      <w:r>
        <w:t>(“the</w:t>
      </w:r>
      <w:r>
        <w:rPr>
          <w:spacing w:val="-3"/>
        </w:rPr>
        <w:t xml:space="preserve"> </w:t>
      </w:r>
      <w:r>
        <w:t>users”).</w:t>
      </w:r>
      <w:r>
        <w:rPr>
          <w:spacing w:val="-3"/>
        </w:rPr>
        <w:t xml:space="preserve"> </w:t>
      </w:r>
      <w:r>
        <w:t>For</w:t>
      </w:r>
      <w:r>
        <w:rPr>
          <w:spacing w:val="-5"/>
        </w:rPr>
        <w:t xml:space="preserve"> </w:t>
      </w:r>
      <w:r>
        <w:t>financial</w:t>
      </w:r>
      <w:r>
        <w:rPr>
          <w:spacing w:val="-7"/>
        </w:rPr>
        <w:t xml:space="preserve"> </w:t>
      </w:r>
      <w:r>
        <w:t>reports,</w:t>
      </w:r>
      <w:r>
        <w:rPr>
          <w:spacing w:val="-3"/>
        </w:rPr>
        <w:t xml:space="preserve"> </w:t>
      </w:r>
      <w:r>
        <w:t>this</w:t>
      </w:r>
      <w:r>
        <w:rPr>
          <w:spacing w:val="-3"/>
        </w:rPr>
        <w:t xml:space="preserve"> </w:t>
      </w:r>
      <w:r>
        <w:t>group</w:t>
      </w:r>
      <w:r>
        <w:rPr>
          <w:spacing w:val="-3"/>
        </w:rPr>
        <w:t xml:space="preserve"> </w:t>
      </w:r>
      <w:r>
        <w:t>includes</w:t>
      </w:r>
      <w:r>
        <w:rPr>
          <w:spacing w:val="-4"/>
        </w:rPr>
        <w:t xml:space="preserve"> </w:t>
      </w:r>
      <w:r>
        <w:t>mainly</w:t>
      </w:r>
      <w:r>
        <w:rPr>
          <w:spacing w:val="-5"/>
        </w:rPr>
        <w:t xml:space="preserve"> </w:t>
      </w:r>
      <w:r>
        <w:t>investors,</w:t>
      </w:r>
      <w:r>
        <w:rPr>
          <w:spacing w:val="-2"/>
        </w:rPr>
        <w:t xml:space="preserve"> </w:t>
      </w:r>
      <w:r>
        <w:t>lenders,</w:t>
      </w:r>
      <w:r>
        <w:rPr>
          <w:spacing w:val="-2"/>
        </w:rPr>
        <w:t xml:space="preserve"> </w:t>
      </w:r>
      <w:r>
        <w:t xml:space="preserve">and other creditors, who rely on the audited financial report to make resource allocation </w:t>
      </w:r>
      <w:r>
        <w:rPr>
          <w:spacing w:val="-2"/>
        </w:rPr>
        <w:t>decisions.</w:t>
      </w:r>
    </w:p>
    <w:p w14:paraId="1E805D9B" w14:textId="77777777" w:rsidR="00AA4A02" w:rsidRDefault="00960F31">
      <w:pPr>
        <w:pStyle w:val="ListParagraph"/>
        <w:numPr>
          <w:ilvl w:val="1"/>
          <w:numId w:val="10"/>
        </w:numPr>
        <w:tabs>
          <w:tab w:val="left" w:pos="1562"/>
        </w:tabs>
        <w:spacing w:before="119" w:line="208" w:lineRule="auto"/>
        <w:ind w:right="1040"/>
      </w:pPr>
      <w:r>
        <w:t>The</w:t>
      </w:r>
      <w:r>
        <w:rPr>
          <w:spacing w:val="-4"/>
        </w:rPr>
        <w:t xml:space="preserve"> </w:t>
      </w:r>
      <w:r>
        <w:t>profession</w:t>
      </w:r>
      <w:r>
        <w:rPr>
          <w:spacing w:val="-3"/>
        </w:rPr>
        <w:t xml:space="preserve"> </w:t>
      </w:r>
      <w:r>
        <w:t>–</w:t>
      </w:r>
      <w:r>
        <w:rPr>
          <w:spacing w:val="-4"/>
        </w:rPr>
        <w:t xml:space="preserve"> </w:t>
      </w:r>
      <w:r>
        <w:t>all</w:t>
      </w:r>
      <w:r>
        <w:rPr>
          <w:spacing w:val="-4"/>
        </w:rPr>
        <w:t xml:space="preserve"> </w:t>
      </w:r>
      <w:r>
        <w:t>auditors</w:t>
      </w:r>
      <w:r>
        <w:rPr>
          <w:spacing w:val="-4"/>
        </w:rPr>
        <w:t xml:space="preserve"> </w:t>
      </w:r>
      <w:r>
        <w:t>and</w:t>
      </w:r>
      <w:r>
        <w:rPr>
          <w:spacing w:val="-4"/>
        </w:rPr>
        <w:t xml:space="preserve"> </w:t>
      </w:r>
      <w:r>
        <w:t>assurance</w:t>
      </w:r>
      <w:r>
        <w:rPr>
          <w:spacing w:val="-2"/>
        </w:rPr>
        <w:t xml:space="preserve"> </w:t>
      </w:r>
      <w:r>
        <w:t>providers,</w:t>
      </w:r>
      <w:r>
        <w:rPr>
          <w:spacing w:val="-6"/>
        </w:rPr>
        <w:t xml:space="preserve"> </w:t>
      </w:r>
      <w:r>
        <w:t>and</w:t>
      </w:r>
      <w:r>
        <w:rPr>
          <w:spacing w:val="-4"/>
        </w:rPr>
        <w:t xml:space="preserve"> </w:t>
      </w:r>
      <w:r>
        <w:t>other</w:t>
      </w:r>
      <w:r>
        <w:rPr>
          <w:spacing w:val="-5"/>
        </w:rPr>
        <w:t xml:space="preserve"> </w:t>
      </w:r>
      <w:r>
        <w:t>professional accountants in public practice and business who apply AUASB Standards.</w:t>
      </w:r>
    </w:p>
    <w:p w14:paraId="1E805D9C" w14:textId="77777777" w:rsidR="00AA4A02" w:rsidRDefault="00960F31">
      <w:pPr>
        <w:pStyle w:val="ListParagraph"/>
        <w:numPr>
          <w:ilvl w:val="1"/>
          <w:numId w:val="10"/>
        </w:numPr>
        <w:tabs>
          <w:tab w:val="left" w:pos="1562"/>
        </w:tabs>
        <w:spacing w:before="119" w:line="208" w:lineRule="auto"/>
        <w:ind w:right="339"/>
      </w:pPr>
      <w:r>
        <w:t>Those</w:t>
      </w:r>
      <w:r>
        <w:rPr>
          <w:spacing w:val="-5"/>
        </w:rPr>
        <w:t xml:space="preserve"> </w:t>
      </w:r>
      <w:r>
        <w:t>in</w:t>
      </w:r>
      <w:r>
        <w:rPr>
          <w:spacing w:val="-3"/>
        </w:rPr>
        <w:t xml:space="preserve"> </w:t>
      </w:r>
      <w:r>
        <w:t>charge</w:t>
      </w:r>
      <w:r>
        <w:rPr>
          <w:spacing w:val="-3"/>
        </w:rPr>
        <w:t xml:space="preserve"> </w:t>
      </w:r>
      <w:r>
        <w:t>of</w:t>
      </w:r>
      <w:r>
        <w:rPr>
          <w:spacing w:val="-3"/>
        </w:rPr>
        <w:t xml:space="preserve"> </w:t>
      </w:r>
      <w:r>
        <w:t>adoption,</w:t>
      </w:r>
      <w:r>
        <w:rPr>
          <w:spacing w:val="-3"/>
        </w:rPr>
        <w:t xml:space="preserve"> </w:t>
      </w:r>
      <w:r>
        <w:t>implementation</w:t>
      </w:r>
      <w:r>
        <w:rPr>
          <w:spacing w:val="-3"/>
        </w:rPr>
        <w:t xml:space="preserve"> </w:t>
      </w:r>
      <w:r>
        <w:t>and</w:t>
      </w:r>
      <w:r>
        <w:rPr>
          <w:spacing w:val="-3"/>
        </w:rPr>
        <w:t xml:space="preserve"> </w:t>
      </w:r>
      <w:r>
        <w:t>enforcement</w:t>
      </w:r>
      <w:r>
        <w:rPr>
          <w:spacing w:val="-3"/>
        </w:rPr>
        <w:t xml:space="preserve"> </w:t>
      </w:r>
      <w:r>
        <w:t>of</w:t>
      </w:r>
      <w:r>
        <w:rPr>
          <w:spacing w:val="-1"/>
        </w:rPr>
        <w:t xml:space="preserve"> </w:t>
      </w:r>
      <w:r>
        <w:t>AUASB</w:t>
      </w:r>
      <w:r>
        <w:rPr>
          <w:spacing w:val="-4"/>
        </w:rPr>
        <w:t xml:space="preserve"> </w:t>
      </w:r>
      <w:r>
        <w:t>Standards as well as monitoring of the capital markets who rely</w:t>
      </w:r>
      <w:r>
        <w:rPr>
          <w:spacing w:val="-1"/>
        </w:rPr>
        <w:t xml:space="preserve"> </w:t>
      </w:r>
      <w:r>
        <w:t>on such</w:t>
      </w:r>
      <w:r>
        <w:rPr>
          <w:spacing w:val="-1"/>
        </w:rPr>
        <w:t xml:space="preserve"> </w:t>
      </w:r>
      <w:r>
        <w:t>standards,</w:t>
      </w:r>
      <w:r>
        <w:rPr>
          <w:spacing w:val="-1"/>
        </w:rPr>
        <w:t xml:space="preserve"> </w:t>
      </w:r>
      <w:r>
        <w:t>including – regulators and audit inspectors, market authorities, public sector bodies, and professional accounting bodies.</w:t>
      </w:r>
    </w:p>
    <w:p w14:paraId="1E805D9D" w14:textId="77777777" w:rsidR="00AA4A02" w:rsidRDefault="00960F31">
      <w:pPr>
        <w:pStyle w:val="ListParagraph"/>
        <w:numPr>
          <w:ilvl w:val="1"/>
          <w:numId w:val="10"/>
        </w:numPr>
        <w:tabs>
          <w:tab w:val="left" w:pos="1562"/>
        </w:tabs>
        <w:spacing w:before="200" w:line="208" w:lineRule="auto"/>
        <w:ind w:right="217"/>
      </w:pPr>
      <w:r>
        <w:t>Preparers – management and professional accountants in business (being members</w:t>
      </w:r>
      <w:r>
        <w:rPr>
          <w:spacing w:val="-2"/>
        </w:rPr>
        <w:t xml:space="preserve"> </w:t>
      </w:r>
      <w:r>
        <w:t>of one</w:t>
      </w:r>
      <w:r>
        <w:rPr>
          <w:spacing w:val="-2"/>
        </w:rPr>
        <w:t xml:space="preserve"> </w:t>
      </w:r>
      <w:r>
        <w:t>of</w:t>
      </w:r>
      <w:r>
        <w:rPr>
          <w:spacing w:val="-4"/>
        </w:rPr>
        <w:t xml:space="preserve"> </w:t>
      </w:r>
      <w:r>
        <w:t>the</w:t>
      </w:r>
      <w:r>
        <w:rPr>
          <w:spacing w:val="-3"/>
        </w:rPr>
        <w:t xml:space="preserve"> </w:t>
      </w:r>
      <w:r>
        <w:t>professional</w:t>
      </w:r>
      <w:r>
        <w:rPr>
          <w:spacing w:val="-3"/>
        </w:rPr>
        <w:t xml:space="preserve"> </w:t>
      </w:r>
      <w:r>
        <w:t>accounting</w:t>
      </w:r>
      <w:r>
        <w:rPr>
          <w:spacing w:val="-2"/>
        </w:rPr>
        <w:t xml:space="preserve"> </w:t>
      </w:r>
      <w:r>
        <w:t>bodies</w:t>
      </w:r>
      <w:r>
        <w:rPr>
          <w:spacing w:val="-1"/>
        </w:rPr>
        <w:t xml:space="preserve"> </w:t>
      </w:r>
      <w:r>
        <w:t>including</w:t>
      </w:r>
      <w:r>
        <w:rPr>
          <w:spacing w:val="-2"/>
        </w:rPr>
        <w:t xml:space="preserve"> </w:t>
      </w:r>
      <w:r>
        <w:t>CA</w:t>
      </w:r>
      <w:r>
        <w:rPr>
          <w:spacing w:val="-3"/>
        </w:rPr>
        <w:t xml:space="preserve"> </w:t>
      </w:r>
      <w:r>
        <w:t>ANZ,</w:t>
      </w:r>
      <w:r>
        <w:rPr>
          <w:spacing w:val="-3"/>
        </w:rPr>
        <w:t xml:space="preserve"> </w:t>
      </w:r>
      <w:r>
        <w:t>CPA</w:t>
      </w:r>
      <w:r>
        <w:rPr>
          <w:spacing w:val="-4"/>
        </w:rPr>
        <w:t xml:space="preserve"> </w:t>
      </w:r>
      <w:r>
        <w:t>Australia,</w:t>
      </w:r>
      <w:r>
        <w:rPr>
          <w:spacing w:val="-4"/>
        </w:rPr>
        <w:t xml:space="preserve"> </w:t>
      </w:r>
      <w:r>
        <w:t>IPA,</w:t>
      </w:r>
      <w:r>
        <w:rPr>
          <w:spacing w:val="-2"/>
        </w:rPr>
        <w:t xml:space="preserve"> </w:t>
      </w:r>
      <w:r>
        <w:t>or bodies based in other jurisdictions), for entities of all sizes, in either the public or private sectors, as well as those charged with governance (for example, audit committees who oversee the audit process), the latter group being relevant to addressing the information asymmetries among different parties involved in the functioning of companies, and who also provide the basis for the auditor’s work.</w:t>
      </w:r>
    </w:p>
    <w:p w14:paraId="1E805D9E" w14:textId="77777777" w:rsidR="00AA4A02" w:rsidRDefault="00960F31">
      <w:pPr>
        <w:pStyle w:val="ListParagraph"/>
        <w:numPr>
          <w:ilvl w:val="1"/>
          <w:numId w:val="10"/>
        </w:numPr>
        <w:tabs>
          <w:tab w:val="left" w:pos="1562"/>
        </w:tabs>
        <w:spacing w:before="200" w:line="208" w:lineRule="auto"/>
        <w:ind w:right="230"/>
      </w:pPr>
      <w:r>
        <w:t>Other users – the reliability of financial and non-financial information affects a very wide range of interests in society, including consumers, taxpayers, employees, competition</w:t>
      </w:r>
      <w:r>
        <w:rPr>
          <w:spacing w:val="-3"/>
        </w:rPr>
        <w:t xml:space="preserve"> </w:t>
      </w:r>
      <w:r>
        <w:t>and</w:t>
      </w:r>
      <w:r>
        <w:rPr>
          <w:spacing w:val="-3"/>
        </w:rPr>
        <w:t xml:space="preserve"> </w:t>
      </w:r>
      <w:r>
        <w:t>prudential</w:t>
      </w:r>
      <w:r>
        <w:rPr>
          <w:spacing w:val="-5"/>
        </w:rPr>
        <w:t xml:space="preserve"> </w:t>
      </w:r>
      <w:r>
        <w:t>authorities,</w:t>
      </w:r>
      <w:r>
        <w:rPr>
          <w:spacing w:val="-6"/>
        </w:rPr>
        <w:t xml:space="preserve"> </w:t>
      </w:r>
      <w:r>
        <w:t>central</w:t>
      </w:r>
      <w:r>
        <w:rPr>
          <w:spacing w:val="-2"/>
        </w:rPr>
        <w:t xml:space="preserve"> </w:t>
      </w:r>
      <w:r>
        <w:t>banks</w:t>
      </w:r>
      <w:r>
        <w:rPr>
          <w:spacing w:val="-3"/>
        </w:rPr>
        <w:t xml:space="preserve"> </w:t>
      </w:r>
      <w:r>
        <w:t>and</w:t>
      </w:r>
      <w:r>
        <w:rPr>
          <w:spacing w:val="-3"/>
        </w:rPr>
        <w:t xml:space="preserve"> </w:t>
      </w:r>
      <w:r>
        <w:t>bodies</w:t>
      </w:r>
      <w:r>
        <w:rPr>
          <w:spacing w:val="-5"/>
        </w:rPr>
        <w:t xml:space="preserve"> </w:t>
      </w:r>
      <w:r>
        <w:t>in</w:t>
      </w:r>
      <w:r>
        <w:rPr>
          <w:spacing w:val="-3"/>
        </w:rPr>
        <w:t xml:space="preserve"> </w:t>
      </w:r>
      <w:r>
        <w:t>charge</w:t>
      </w:r>
      <w:r>
        <w:rPr>
          <w:spacing w:val="-3"/>
        </w:rPr>
        <w:t xml:space="preserve"> </w:t>
      </w:r>
      <w:r>
        <w:t>of</w:t>
      </w:r>
      <w:r>
        <w:rPr>
          <w:spacing w:val="-5"/>
        </w:rPr>
        <w:t xml:space="preserve"> </w:t>
      </w:r>
      <w:r>
        <w:t>financial stability oversight, and those granting public contracts.</w:t>
      </w:r>
    </w:p>
    <w:p w14:paraId="1E805D9F" w14:textId="77777777" w:rsidR="00AA4A02" w:rsidRDefault="00960F31">
      <w:pPr>
        <w:pStyle w:val="ListParagraph"/>
        <w:numPr>
          <w:ilvl w:val="0"/>
          <w:numId w:val="10"/>
        </w:numPr>
        <w:tabs>
          <w:tab w:val="left" w:pos="851"/>
        </w:tabs>
        <w:spacing w:before="200" w:line="208" w:lineRule="auto"/>
        <w:ind w:right="275" w:hanging="708"/>
      </w:pPr>
      <w:r>
        <w:t>The</w:t>
      </w:r>
      <w:r>
        <w:rPr>
          <w:spacing w:val="-2"/>
        </w:rPr>
        <w:t xml:space="preserve"> </w:t>
      </w:r>
      <w:r>
        <w:t>public</w:t>
      </w:r>
      <w:r>
        <w:rPr>
          <w:spacing w:val="-4"/>
        </w:rPr>
        <w:t xml:space="preserve"> </w:t>
      </w:r>
      <w:r>
        <w:t>interest,</w:t>
      </w:r>
      <w:r>
        <w:rPr>
          <w:spacing w:val="-2"/>
        </w:rPr>
        <w:t xml:space="preserve"> </w:t>
      </w:r>
      <w:r>
        <w:t>as</w:t>
      </w:r>
      <w:r>
        <w:rPr>
          <w:spacing w:val="-4"/>
        </w:rPr>
        <w:t xml:space="preserve"> </w:t>
      </w:r>
      <w:r>
        <w:t>it</w:t>
      </w:r>
      <w:r>
        <w:rPr>
          <w:spacing w:val="-1"/>
        </w:rPr>
        <w:t xml:space="preserve"> </w:t>
      </w:r>
      <w:r>
        <w:t>relates</w:t>
      </w:r>
      <w:r>
        <w:rPr>
          <w:spacing w:val="-4"/>
        </w:rPr>
        <w:t xml:space="preserve"> </w:t>
      </w:r>
      <w:r>
        <w:t>to</w:t>
      </w:r>
      <w:r>
        <w:rPr>
          <w:spacing w:val="-4"/>
        </w:rPr>
        <w:t xml:space="preserve"> </w:t>
      </w:r>
      <w:r>
        <w:t>audit-related</w:t>
      </w:r>
      <w:r>
        <w:rPr>
          <w:spacing w:val="-4"/>
        </w:rPr>
        <w:t xml:space="preserve"> </w:t>
      </w:r>
      <w:r>
        <w:t>standard</w:t>
      </w:r>
      <w:r>
        <w:rPr>
          <w:spacing w:val="-2"/>
        </w:rPr>
        <w:t xml:space="preserve"> </w:t>
      </w:r>
      <w:r>
        <w:t>setting,</w:t>
      </w:r>
      <w:r>
        <w:rPr>
          <w:spacing w:val="-2"/>
        </w:rPr>
        <w:t xml:space="preserve"> </w:t>
      </w:r>
      <w:r>
        <w:t>cannot</w:t>
      </w:r>
      <w:r>
        <w:rPr>
          <w:spacing w:val="-1"/>
        </w:rPr>
        <w:t xml:space="preserve"> </w:t>
      </w:r>
      <w:r>
        <w:t>be</w:t>
      </w:r>
      <w:r>
        <w:rPr>
          <w:spacing w:val="-4"/>
        </w:rPr>
        <w:t xml:space="preserve"> </w:t>
      </w:r>
      <w:r>
        <w:t>ensured</w:t>
      </w:r>
      <w:r>
        <w:rPr>
          <w:spacing w:val="-4"/>
        </w:rPr>
        <w:t xml:space="preserve"> </w:t>
      </w:r>
      <w:r>
        <w:t>by</w:t>
      </w:r>
      <w:r>
        <w:rPr>
          <w:spacing w:val="-2"/>
        </w:rPr>
        <w:t xml:space="preserve"> </w:t>
      </w:r>
      <w:r>
        <w:t>merely aggregating all stakeholder interests. Such interests may be mutually inconsistent; some will reflect a stakeholder group’s ability and resources to access the information necessary to protect their interests, while others may have limited capacity to do so; and different stakeholders have different capacities to convey their views. Consideration of public interest therefore requires weighing and balancing of all stakeholder views.</w:t>
      </w:r>
    </w:p>
    <w:p w14:paraId="1E805DA0" w14:textId="77777777" w:rsidR="00AA4A02" w:rsidRDefault="00960F31">
      <w:pPr>
        <w:pStyle w:val="ListParagraph"/>
        <w:numPr>
          <w:ilvl w:val="0"/>
          <w:numId w:val="10"/>
        </w:numPr>
        <w:tabs>
          <w:tab w:val="left" w:pos="851"/>
        </w:tabs>
        <w:spacing w:line="208" w:lineRule="auto"/>
        <w:ind w:right="222" w:hanging="708"/>
      </w:pPr>
      <w:r>
        <w:t>While this framework recognises the importance of all of the above stakeholders, it focuses primarily on</w:t>
      </w:r>
      <w:r>
        <w:rPr>
          <w:spacing w:val="-1"/>
        </w:rPr>
        <w:t xml:space="preserve"> </w:t>
      </w:r>
      <w:r>
        <w:t>the interests of users, and</w:t>
      </w:r>
      <w:r>
        <w:rPr>
          <w:spacing w:val="-1"/>
        </w:rPr>
        <w:t xml:space="preserve"> </w:t>
      </w:r>
      <w:r>
        <w:t>more specifically the longer-term interests of creditors and investors, and the protection of those interests. Creditor and investor decisions are key to the</w:t>
      </w:r>
      <w:r>
        <w:rPr>
          <w:spacing w:val="-2"/>
        </w:rPr>
        <w:t xml:space="preserve"> </w:t>
      </w:r>
      <w:r>
        <w:t>correct</w:t>
      </w:r>
      <w:r>
        <w:rPr>
          <w:spacing w:val="-1"/>
        </w:rPr>
        <w:t xml:space="preserve"> </w:t>
      </w:r>
      <w:r>
        <w:t>functioning</w:t>
      </w:r>
      <w:r>
        <w:rPr>
          <w:spacing w:val="-2"/>
        </w:rPr>
        <w:t xml:space="preserve"> </w:t>
      </w:r>
      <w:r>
        <w:t>of</w:t>
      </w:r>
      <w:r>
        <w:rPr>
          <w:spacing w:val="-2"/>
        </w:rPr>
        <w:t xml:space="preserve"> </w:t>
      </w:r>
      <w:r>
        <w:t>financial</w:t>
      </w:r>
      <w:r>
        <w:rPr>
          <w:spacing w:val="-4"/>
        </w:rPr>
        <w:t xml:space="preserve"> </w:t>
      </w:r>
      <w:r>
        <w:t>markets,</w:t>
      </w:r>
      <w:r>
        <w:rPr>
          <w:spacing w:val="-5"/>
        </w:rPr>
        <w:t xml:space="preserve"> </w:t>
      </w:r>
      <w:r>
        <w:t>but</w:t>
      </w:r>
      <w:r>
        <w:rPr>
          <w:spacing w:val="-4"/>
        </w:rPr>
        <w:t xml:space="preserve"> </w:t>
      </w:r>
      <w:r>
        <w:t>there</w:t>
      </w:r>
      <w:r>
        <w:rPr>
          <w:spacing w:val="-2"/>
        </w:rPr>
        <w:t xml:space="preserve"> </w:t>
      </w:r>
      <w:r>
        <w:t>are</w:t>
      </w:r>
      <w:r>
        <w:rPr>
          <w:spacing w:val="-2"/>
        </w:rPr>
        <w:t xml:space="preserve"> </w:t>
      </w:r>
      <w:r>
        <w:t>creditors</w:t>
      </w:r>
      <w:r>
        <w:rPr>
          <w:spacing w:val="-4"/>
        </w:rPr>
        <w:t xml:space="preserve"> </w:t>
      </w:r>
      <w:r>
        <w:t>and</w:t>
      </w:r>
      <w:r>
        <w:rPr>
          <w:spacing w:val="-2"/>
        </w:rPr>
        <w:t xml:space="preserve"> </w:t>
      </w:r>
      <w:r>
        <w:t>investors</w:t>
      </w:r>
      <w:r>
        <w:rPr>
          <w:spacing w:val="-2"/>
        </w:rPr>
        <w:t xml:space="preserve"> </w:t>
      </w:r>
      <w:r>
        <w:t>who</w:t>
      </w:r>
      <w:r>
        <w:rPr>
          <w:spacing w:val="-2"/>
        </w:rPr>
        <w:t xml:space="preserve"> </w:t>
      </w:r>
      <w:r>
        <w:t>may</w:t>
      </w:r>
      <w:r>
        <w:rPr>
          <w:spacing w:val="-2"/>
        </w:rPr>
        <w:t xml:space="preserve"> </w:t>
      </w:r>
      <w:r>
        <w:t>not always be equipped to contribute effectively to the standard-setting process.</w:t>
      </w:r>
      <w:r>
        <w:rPr>
          <w:spacing w:val="40"/>
        </w:rPr>
        <w:t xml:space="preserve"> </w:t>
      </w:r>
      <w:r>
        <w:t>These include direct</w:t>
      </w:r>
      <w:r>
        <w:rPr>
          <w:spacing w:val="-2"/>
        </w:rPr>
        <w:t xml:space="preserve"> </w:t>
      </w:r>
      <w:r>
        <w:t>shareholders, debt</w:t>
      </w:r>
      <w:r>
        <w:rPr>
          <w:spacing w:val="-1"/>
        </w:rPr>
        <w:t xml:space="preserve"> </w:t>
      </w:r>
      <w:r>
        <w:t>holders, and those indirectly holding a company’s equity</w:t>
      </w:r>
      <w:r>
        <w:rPr>
          <w:spacing w:val="-3"/>
        </w:rPr>
        <w:t xml:space="preserve"> </w:t>
      </w:r>
      <w:r>
        <w:t>or debt,</w:t>
      </w:r>
      <w:r>
        <w:rPr>
          <w:spacing w:val="-3"/>
        </w:rPr>
        <w:t xml:space="preserve"> </w:t>
      </w:r>
      <w:r>
        <w:t>for instance through investment funds or pension funds.</w:t>
      </w:r>
    </w:p>
    <w:p w14:paraId="1E805DA1" w14:textId="77777777" w:rsidR="00AA4A02" w:rsidRDefault="00960F31">
      <w:pPr>
        <w:spacing w:before="173"/>
        <w:ind w:left="143"/>
        <w:rPr>
          <w:b/>
          <w:i/>
        </w:rPr>
      </w:pPr>
      <w:r>
        <w:rPr>
          <w:b/>
          <w:i/>
        </w:rPr>
        <w:t>What</w:t>
      </w:r>
      <w:r>
        <w:rPr>
          <w:b/>
          <w:i/>
          <w:spacing w:val="-4"/>
        </w:rPr>
        <w:t xml:space="preserve"> </w:t>
      </w:r>
      <w:r>
        <w:rPr>
          <w:b/>
          <w:i/>
        </w:rPr>
        <w:t>interests</w:t>
      </w:r>
      <w:r>
        <w:rPr>
          <w:b/>
          <w:i/>
          <w:spacing w:val="-3"/>
        </w:rPr>
        <w:t xml:space="preserve"> </w:t>
      </w:r>
      <w:r>
        <w:rPr>
          <w:b/>
          <w:i/>
        </w:rPr>
        <w:t>need</w:t>
      </w:r>
      <w:r>
        <w:rPr>
          <w:b/>
          <w:i/>
          <w:spacing w:val="-3"/>
        </w:rPr>
        <w:t xml:space="preserve"> </w:t>
      </w:r>
      <w:r>
        <w:rPr>
          <w:b/>
          <w:i/>
        </w:rPr>
        <w:t>to</w:t>
      </w:r>
      <w:r>
        <w:rPr>
          <w:b/>
          <w:i/>
          <w:spacing w:val="-1"/>
        </w:rPr>
        <w:t xml:space="preserve"> </w:t>
      </w:r>
      <w:r>
        <w:rPr>
          <w:b/>
          <w:i/>
        </w:rPr>
        <w:t>be</w:t>
      </w:r>
      <w:r>
        <w:rPr>
          <w:b/>
          <w:i/>
          <w:spacing w:val="-1"/>
        </w:rPr>
        <w:t xml:space="preserve"> </w:t>
      </w:r>
      <w:r>
        <w:rPr>
          <w:b/>
          <w:i/>
          <w:spacing w:val="-2"/>
        </w:rPr>
        <w:t>served?</w:t>
      </w:r>
    </w:p>
    <w:p w14:paraId="1E805DA2" w14:textId="77777777" w:rsidR="00AA4A02" w:rsidRDefault="00960F31">
      <w:pPr>
        <w:pStyle w:val="ListParagraph"/>
        <w:numPr>
          <w:ilvl w:val="0"/>
          <w:numId w:val="10"/>
        </w:numPr>
        <w:tabs>
          <w:tab w:val="left" w:pos="851"/>
        </w:tabs>
        <w:spacing w:before="193" w:line="208" w:lineRule="auto"/>
        <w:ind w:right="696" w:hanging="708"/>
      </w:pPr>
      <w:r>
        <w:t>Audit-related standards and guidance are more likely to respond to users’ needs when developed primarily with the focus on building trust in the financial and non-financial reporting</w:t>
      </w:r>
      <w:r>
        <w:rPr>
          <w:spacing w:val="-2"/>
        </w:rPr>
        <w:t xml:space="preserve"> </w:t>
      </w:r>
      <w:r>
        <w:t>process.</w:t>
      </w:r>
      <w:r>
        <w:rPr>
          <w:spacing w:val="-2"/>
        </w:rPr>
        <w:t xml:space="preserve"> </w:t>
      </w:r>
      <w:r>
        <w:t>The</w:t>
      </w:r>
      <w:r>
        <w:rPr>
          <w:spacing w:val="-2"/>
        </w:rPr>
        <w:t xml:space="preserve"> </w:t>
      </w:r>
      <w:r>
        <w:t>AUASB</w:t>
      </w:r>
      <w:r>
        <w:rPr>
          <w:spacing w:val="-4"/>
        </w:rPr>
        <w:t xml:space="preserve"> </w:t>
      </w:r>
      <w:r>
        <w:t>will</w:t>
      </w:r>
      <w:r>
        <w:rPr>
          <w:spacing w:val="-4"/>
        </w:rPr>
        <w:t xml:space="preserve"> </w:t>
      </w:r>
      <w:r>
        <w:t>therefore</w:t>
      </w:r>
      <w:r>
        <w:rPr>
          <w:spacing w:val="-4"/>
        </w:rPr>
        <w:t xml:space="preserve"> </w:t>
      </w:r>
      <w:r>
        <w:t>carefully</w:t>
      </w:r>
      <w:r>
        <w:rPr>
          <w:spacing w:val="-2"/>
        </w:rPr>
        <w:t xml:space="preserve"> </w:t>
      </w:r>
      <w:r>
        <w:t>consider</w:t>
      </w:r>
      <w:r>
        <w:rPr>
          <w:spacing w:val="-2"/>
        </w:rPr>
        <w:t xml:space="preserve"> </w:t>
      </w:r>
      <w:r>
        <w:t>input</w:t>
      </w:r>
      <w:r>
        <w:rPr>
          <w:spacing w:val="-4"/>
        </w:rPr>
        <w:t xml:space="preserve"> </w:t>
      </w:r>
      <w:r>
        <w:t>from</w:t>
      </w:r>
      <w:r>
        <w:rPr>
          <w:spacing w:val="-4"/>
        </w:rPr>
        <w:t xml:space="preserve"> </w:t>
      </w:r>
      <w:r>
        <w:t>stakeholders seeking standards and guidance that:</w:t>
      </w:r>
    </w:p>
    <w:p w14:paraId="1E805DA3" w14:textId="77777777" w:rsidR="00AA4A02" w:rsidRDefault="00960F31">
      <w:pPr>
        <w:pStyle w:val="ListParagraph"/>
        <w:numPr>
          <w:ilvl w:val="1"/>
          <w:numId w:val="10"/>
        </w:numPr>
        <w:tabs>
          <w:tab w:val="left" w:pos="1562"/>
        </w:tabs>
        <w:spacing w:before="173"/>
      </w:pPr>
      <w:r>
        <w:t>promote</w:t>
      </w:r>
      <w:r>
        <w:rPr>
          <w:spacing w:val="-8"/>
        </w:rPr>
        <w:t xml:space="preserve"> </w:t>
      </w:r>
      <w:r>
        <w:t>consistent</w:t>
      </w:r>
      <w:r>
        <w:rPr>
          <w:spacing w:val="-2"/>
        </w:rPr>
        <w:t xml:space="preserve"> </w:t>
      </w:r>
      <w:r>
        <w:t>practice</w:t>
      </w:r>
      <w:r>
        <w:rPr>
          <w:spacing w:val="-6"/>
        </w:rPr>
        <w:t xml:space="preserve"> </w:t>
      </w:r>
      <w:r>
        <w:t>and</w:t>
      </w:r>
      <w:r>
        <w:rPr>
          <w:spacing w:val="-3"/>
        </w:rPr>
        <w:t xml:space="preserve"> </w:t>
      </w:r>
      <w:r>
        <w:t>behaviours</w:t>
      </w:r>
      <w:r>
        <w:rPr>
          <w:spacing w:val="-4"/>
        </w:rPr>
        <w:t xml:space="preserve"> </w:t>
      </w:r>
      <w:r>
        <w:t>by</w:t>
      </w:r>
      <w:r>
        <w:rPr>
          <w:spacing w:val="-3"/>
        </w:rPr>
        <w:t xml:space="preserve"> </w:t>
      </w:r>
      <w:r>
        <w:t>auditors</w:t>
      </w:r>
      <w:r>
        <w:rPr>
          <w:spacing w:val="-6"/>
        </w:rPr>
        <w:t xml:space="preserve"> </w:t>
      </w:r>
      <w:r>
        <w:t>and</w:t>
      </w:r>
      <w:r>
        <w:rPr>
          <w:spacing w:val="-3"/>
        </w:rPr>
        <w:t xml:space="preserve"> </w:t>
      </w:r>
      <w:r>
        <w:t>assurance</w:t>
      </w:r>
      <w:r>
        <w:rPr>
          <w:spacing w:val="-5"/>
        </w:rPr>
        <w:t xml:space="preserve"> </w:t>
      </w:r>
      <w:r>
        <w:rPr>
          <w:spacing w:val="-2"/>
        </w:rPr>
        <w:t>providers;</w:t>
      </w:r>
    </w:p>
    <w:p w14:paraId="1E805DA4" w14:textId="77777777" w:rsidR="00AA4A02" w:rsidRDefault="00960F31">
      <w:pPr>
        <w:pStyle w:val="ListParagraph"/>
        <w:numPr>
          <w:ilvl w:val="1"/>
          <w:numId w:val="10"/>
        </w:numPr>
        <w:tabs>
          <w:tab w:val="left" w:pos="1562"/>
        </w:tabs>
        <w:spacing w:before="113" w:line="208" w:lineRule="auto"/>
        <w:ind w:right="262"/>
      </w:pPr>
      <w:r>
        <w:t>facilitate</w:t>
      </w:r>
      <w:r>
        <w:rPr>
          <w:spacing w:val="-4"/>
        </w:rPr>
        <w:t xml:space="preserve"> </w:t>
      </w:r>
      <w:r>
        <w:t>identification</w:t>
      </w:r>
      <w:r>
        <w:rPr>
          <w:spacing w:val="-2"/>
        </w:rPr>
        <w:t xml:space="preserve"> </w:t>
      </w:r>
      <w:r>
        <w:t>of</w:t>
      </w:r>
      <w:r>
        <w:rPr>
          <w:spacing w:val="-4"/>
        </w:rPr>
        <w:t xml:space="preserve"> </w:t>
      </w:r>
      <w:r>
        <w:t>areas</w:t>
      </w:r>
      <w:r>
        <w:rPr>
          <w:spacing w:val="-4"/>
        </w:rPr>
        <w:t xml:space="preserve"> </w:t>
      </w:r>
      <w:r>
        <w:t>most</w:t>
      </w:r>
      <w:r>
        <w:rPr>
          <w:spacing w:val="-3"/>
        </w:rPr>
        <w:t xml:space="preserve"> </w:t>
      </w:r>
      <w:r>
        <w:t>relevant</w:t>
      </w:r>
      <w:r>
        <w:rPr>
          <w:spacing w:val="-4"/>
        </w:rPr>
        <w:t xml:space="preserve"> </w:t>
      </w:r>
      <w:r>
        <w:t>to</w:t>
      </w:r>
      <w:r>
        <w:rPr>
          <w:spacing w:val="-2"/>
        </w:rPr>
        <w:t xml:space="preserve"> </w:t>
      </w:r>
      <w:r>
        <w:t>the</w:t>
      </w:r>
      <w:r>
        <w:rPr>
          <w:spacing w:val="-2"/>
        </w:rPr>
        <w:t xml:space="preserve"> </w:t>
      </w:r>
      <w:r>
        <w:t>business</w:t>
      </w:r>
      <w:r>
        <w:rPr>
          <w:spacing w:val="-1"/>
        </w:rPr>
        <w:t xml:space="preserve"> </w:t>
      </w:r>
      <w:r>
        <w:t>of</w:t>
      </w:r>
      <w:r>
        <w:rPr>
          <w:spacing w:val="-2"/>
        </w:rPr>
        <w:t xml:space="preserve"> </w:t>
      </w:r>
      <w:r>
        <w:t>an</w:t>
      </w:r>
      <w:r>
        <w:rPr>
          <w:spacing w:val="-4"/>
        </w:rPr>
        <w:t xml:space="preserve"> </w:t>
      </w:r>
      <w:r>
        <w:t>audited</w:t>
      </w:r>
      <w:r>
        <w:rPr>
          <w:spacing w:val="-2"/>
        </w:rPr>
        <w:t xml:space="preserve"> </w:t>
      </w:r>
      <w:r>
        <w:t>entity,</w:t>
      </w:r>
      <w:r>
        <w:rPr>
          <w:spacing w:val="-5"/>
        </w:rPr>
        <w:t xml:space="preserve"> </w:t>
      </w:r>
      <w:r>
        <w:t>and drive effective measures to respond to related risks;</w:t>
      </w:r>
    </w:p>
    <w:p w14:paraId="1E805DA5" w14:textId="77777777" w:rsidR="00AA4A02" w:rsidRDefault="00960F31">
      <w:pPr>
        <w:pStyle w:val="ListParagraph"/>
        <w:numPr>
          <w:ilvl w:val="1"/>
          <w:numId w:val="10"/>
        </w:numPr>
        <w:tabs>
          <w:tab w:val="left" w:pos="1562"/>
        </w:tabs>
        <w:spacing w:before="121" w:line="208" w:lineRule="auto"/>
        <w:ind w:right="912"/>
      </w:pPr>
      <w:r>
        <w:t>reinforce</w:t>
      </w:r>
      <w:r>
        <w:rPr>
          <w:spacing w:val="-4"/>
        </w:rPr>
        <w:t xml:space="preserve"> </w:t>
      </w:r>
      <w:r>
        <w:t>the</w:t>
      </w:r>
      <w:r>
        <w:rPr>
          <w:spacing w:val="-5"/>
        </w:rPr>
        <w:t xml:space="preserve"> </w:t>
      </w:r>
      <w:r>
        <w:t>requirement</w:t>
      </w:r>
      <w:r>
        <w:rPr>
          <w:spacing w:val="-4"/>
        </w:rPr>
        <w:t xml:space="preserve"> </w:t>
      </w:r>
      <w:r>
        <w:t>for</w:t>
      </w:r>
      <w:r>
        <w:rPr>
          <w:spacing w:val="-2"/>
        </w:rPr>
        <w:t xml:space="preserve"> </w:t>
      </w:r>
      <w:r>
        <w:t>assurance</w:t>
      </w:r>
      <w:r>
        <w:rPr>
          <w:spacing w:val="-5"/>
        </w:rPr>
        <w:t xml:space="preserve"> </w:t>
      </w:r>
      <w:r>
        <w:t>practitioners</w:t>
      </w:r>
      <w:r>
        <w:rPr>
          <w:spacing w:val="-4"/>
        </w:rPr>
        <w:t xml:space="preserve"> </w:t>
      </w:r>
      <w:r>
        <w:t>to</w:t>
      </w:r>
      <w:r>
        <w:rPr>
          <w:spacing w:val="-3"/>
        </w:rPr>
        <w:t xml:space="preserve"> </w:t>
      </w:r>
      <w:r>
        <w:t>maintain</w:t>
      </w:r>
      <w:r>
        <w:rPr>
          <w:spacing w:val="-6"/>
        </w:rPr>
        <w:t xml:space="preserve"> </w:t>
      </w:r>
      <w:r>
        <w:t>an</w:t>
      </w:r>
      <w:r>
        <w:rPr>
          <w:spacing w:val="-3"/>
        </w:rPr>
        <w:t xml:space="preserve"> </w:t>
      </w:r>
      <w:r>
        <w:t>attitude</w:t>
      </w:r>
      <w:r>
        <w:rPr>
          <w:spacing w:val="-3"/>
        </w:rPr>
        <w:t xml:space="preserve"> </w:t>
      </w:r>
      <w:r>
        <w:t>of professional scepticism in gathering evidence, challenging assumptions, and developing conclusions; and</w:t>
      </w:r>
    </w:p>
    <w:p w14:paraId="1E805DA6" w14:textId="77777777" w:rsidR="00AA4A02" w:rsidRDefault="00960F31">
      <w:pPr>
        <w:pStyle w:val="ListParagraph"/>
        <w:numPr>
          <w:ilvl w:val="1"/>
          <w:numId w:val="10"/>
        </w:numPr>
        <w:tabs>
          <w:tab w:val="left" w:pos="1562"/>
        </w:tabs>
        <w:spacing w:before="120" w:line="208" w:lineRule="auto"/>
        <w:ind w:right="221"/>
      </w:pPr>
      <w:r>
        <w:t>ensure transparent, independent, rigorous and balanced reporting that prompts the adoption of appropriate measures by those charged with governance, as well as corrective</w:t>
      </w:r>
      <w:r>
        <w:rPr>
          <w:spacing w:val="-3"/>
        </w:rPr>
        <w:t xml:space="preserve"> </w:t>
      </w:r>
      <w:r>
        <w:t>action</w:t>
      </w:r>
      <w:r>
        <w:rPr>
          <w:spacing w:val="-3"/>
        </w:rPr>
        <w:t xml:space="preserve"> </w:t>
      </w:r>
      <w:r>
        <w:t>by</w:t>
      </w:r>
      <w:r>
        <w:rPr>
          <w:spacing w:val="-3"/>
        </w:rPr>
        <w:t xml:space="preserve"> </w:t>
      </w:r>
      <w:r>
        <w:t>oversight</w:t>
      </w:r>
      <w:r>
        <w:rPr>
          <w:spacing w:val="-2"/>
        </w:rPr>
        <w:t xml:space="preserve"> </w:t>
      </w:r>
      <w:r>
        <w:t>bodies</w:t>
      </w:r>
      <w:r>
        <w:rPr>
          <w:spacing w:val="-5"/>
        </w:rPr>
        <w:t xml:space="preserve"> </w:t>
      </w:r>
      <w:r>
        <w:t>including</w:t>
      </w:r>
      <w:r>
        <w:rPr>
          <w:spacing w:val="-3"/>
        </w:rPr>
        <w:t xml:space="preserve"> </w:t>
      </w:r>
      <w:r>
        <w:t>prudential</w:t>
      </w:r>
      <w:r>
        <w:rPr>
          <w:spacing w:val="-5"/>
        </w:rPr>
        <w:t xml:space="preserve"> </w:t>
      </w:r>
      <w:r>
        <w:t>and</w:t>
      </w:r>
      <w:r>
        <w:rPr>
          <w:spacing w:val="-5"/>
        </w:rPr>
        <w:t xml:space="preserve"> </w:t>
      </w:r>
      <w:r>
        <w:t>market</w:t>
      </w:r>
      <w:r>
        <w:rPr>
          <w:spacing w:val="-2"/>
        </w:rPr>
        <w:t xml:space="preserve"> </w:t>
      </w:r>
      <w:r>
        <w:t>authorities,</w:t>
      </w:r>
      <w:r>
        <w:rPr>
          <w:spacing w:val="-3"/>
        </w:rPr>
        <w:t xml:space="preserve"> </w:t>
      </w:r>
      <w:r>
        <w:t>also to address any potential threat to financial stability.</w:t>
      </w:r>
    </w:p>
    <w:p w14:paraId="1E805DA7"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A8" w14:textId="77777777" w:rsidR="00AA4A02" w:rsidRDefault="00AA4A02">
      <w:pPr>
        <w:pStyle w:val="BodyText"/>
        <w:spacing w:before="192"/>
      </w:pPr>
    </w:p>
    <w:p w14:paraId="1E805DA9" w14:textId="77777777" w:rsidR="00AA4A02" w:rsidRDefault="00960F31">
      <w:pPr>
        <w:pStyle w:val="ListParagraph"/>
        <w:numPr>
          <w:ilvl w:val="0"/>
          <w:numId w:val="10"/>
        </w:numPr>
        <w:tabs>
          <w:tab w:val="left" w:pos="851"/>
        </w:tabs>
        <w:spacing w:before="0" w:line="208" w:lineRule="auto"/>
        <w:ind w:right="332" w:hanging="708"/>
      </w:pPr>
      <w:r>
        <w:t>In considering the interests of stakeholders, the AUASB remains alert for any given activity that</w:t>
      </w:r>
      <w:r>
        <w:rPr>
          <w:spacing w:val="-2"/>
        </w:rPr>
        <w:t xml:space="preserve"> </w:t>
      </w:r>
      <w:r>
        <w:t>might</w:t>
      </w:r>
      <w:r>
        <w:rPr>
          <w:spacing w:val="-2"/>
        </w:rPr>
        <w:t xml:space="preserve"> </w:t>
      </w:r>
      <w:r>
        <w:t>be</w:t>
      </w:r>
      <w:r>
        <w:rPr>
          <w:spacing w:val="-3"/>
        </w:rPr>
        <w:t xml:space="preserve"> </w:t>
      </w:r>
      <w:r>
        <w:t>perceived</w:t>
      </w:r>
      <w:r>
        <w:rPr>
          <w:spacing w:val="-3"/>
        </w:rPr>
        <w:t xml:space="preserve"> </w:t>
      </w:r>
      <w:r>
        <w:t>as</w:t>
      </w:r>
      <w:r>
        <w:rPr>
          <w:spacing w:val="-5"/>
        </w:rPr>
        <w:t xml:space="preserve"> </w:t>
      </w:r>
      <w:r>
        <w:t>primarily</w:t>
      </w:r>
      <w:r>
        <w:rPr>
          <w:spacing w:val="-3"/>
        </w:rPr>
        <w:t xml:space="preserve"> </w:t>
      </w:r>
      <w:r>
        <w:t>protecting</w:t>
      </w:r>
      <w:r>
        <w:rPr>
          <w:spacing w:val="-5"/>
        </w:rPr>
        <w:t xml:space="preserve"> </w:t>
      </w:r>
      <w:r>
        <w:t>or</w:t>
      </w:r>
      <w:r>
        <w:rPr>
          <w:spacing w:val="-3"/>
        </w:rPr>
        <w:t xml:space="preserve"> </w:t>
      </w:r>
      <w:r>
        <w:t>serving</w:t>
      </w:r>
      <w:r>
        <w:rPr>
          <w:spacing w:val="-3"/>
        </w:rPr>
        <w:t xml:space="preserve"> </w:t>
      </w:r>
      <w:r>
        <w:t>the</w:t>
      </w:r>
      <w:r>
        <w:rPr>
          <w:spacing w:val="-3"/>
        </w:rPr>
        <w:t xml:space="preserve"> </w:t>
      </w:r>
      <w:r>
        <w:t>self-interest</w:t>
      </w:r>
      <w:r>
        <w:rPr>
          <w:spacing w:val="-4"/>
        </w:rPr>
        <w:t xml:space="preserve"> </w:t>
      </w:r>
      <w:r>
        <w:t>of</w:t>
      </w:r>
      <w:r>
        <w:rPr>
          <w:spacing w:val="-3"/>
        </w:rPr>
        <w:t xml:space="preserve"> </w:t>
      </w:r>
      <w:r>
        <w:t>one</w:t>
      </w:r>
      <w:r>
        <w:rPr>
          <w:spacing w:val="-3"/>
        </w:rPr>
        <w:t xml:space="preserve"> </w:t>
      </w:r>
      <w:r>
        <w:t>stakeholder at the expense of another.</w:t>
      </w:r>
    </w:p>
    <w:p w14:paraId="1E805DAA" w14:textId="77777777" w:rsidR="00AA4A02" w:rsidRDefault="00960F31">
      <w:pPr>
        <w:spacing w:before="173"/>
        <w:ind w:left="143"/>
        <w:rPr>
          <w:b/>
          <w:i/>
        </w:rPr>
      </w:pPr>
      <w:r>
        <w:rPr>
          <w:b/>
          <w:i/>
        </w:rPr>
        <w:t>How</w:t>
      </w:r>
      <w:r>
        <w:rPr>
          <w:b/>
          <w:i/>
          <w:spacing w:val="-6"/>
        </w:rPr>
        <w:t xml:space="preserve"> </w:t>
      </w:r>
      <w:r>
        <w:rPr>
          <w:b/>
          <w:i/>
        </w:rPr>
        <w:t>are</w:t>
      </w:r>
      <w:r>
        <w:rPr>
          <w:b/>
          <w:i/>
          <w:spacing w:val="-2"/>
        </w:rPr>
        <w:t xml:space="preserve"> </w:t>
      </w:r>
      <w:r>
        <w:rPr>
          <w:b/>
          <w:i/>
        </w:rPr>
        <w:t>the</w:t>
      </w:r>
      <w:r>
        <w:rPr>
          <w:b/>
          <w:i/>
          <w:spacing w:val="-3"/>
        </w:rPr>
        <w:t xml:space="preserve"> </w:t>
      </w:r>
      <w:r>
        <w:rPr>
          <w:b/>
          <w:i/>
        </w:rPr>
        <w:t>interests</w:t>
      </w:r>
      <w:r>
        <w:rPr>
          <w:b/>
          <w:i/>
          <w:spacing w:val="-2"/>
        </w:rPr>
        <w:t xml:space="preserve"> </w:t>
      </w:r>
      <w:r>
        <w:rPr>
          <w:b/>
          <w:i/>
        </w:rPr>
        <w:t>of</w:t>
      </w:r>
      <w:r>
        <w:rPr>
          <w:b/>
          <w:i/>
          <w:spacing w:val="-3"/>
        </w:rPr>
        <w:t xml:space="preserve"> </w:t>
      </w:r>
      <w:r>
        <w:rPr>
          <w:b/>
          <w:i/>
        </w:rPr>
        <w:t>users</w:t>
      </w:r>
      <w:r>
        <w:rPr>
          <w:b/>
          <w:i/>
          <w:spacing w:val="-2"/>
        </w:rPr>
        <w:t xml:space="preserve"> </w:t>
      </w:r>
      <w:r>
        <w:rPr>
          <w:b/>
          <w:i/>
        </w:rPr>
        <w:t>best</w:t>
      </w:r>
      <w:r>
        <w:rPr>
          <w:b/>
          <w:i/>
          <w:spacing w:val="-4"/>
        </w:rPr>
        <w:t xml:space="preserve"> </w:t>
      </w:r>
      <w:r>
        <w:rPr>
          <w:b/>
          <w:i/>
          <w:spacing w:val="-2"/>
        </w:rPr>
        <w:t>served?</w:t>
      </w:r>
    </w:p>
    <w:p w14:paraId="1E805DAB" w14:textId="77777777" w:rsidR="00AA4A02" w:rsidRDefault="00960F31">
      <w:pPr>
        <w:pStyle w:val="ListParagraph"/>
        <w:numPr>
          <w:ilvl w:val="0"/>
          <w:numId w:val="10"/>
        </w:numPr>
        <w:tabs>
          <w:tab w:val="left" w:pos="851"/>
        </w:tabs>
        <w:spacing w:before="167"/>
        <w:ind w:hanging="708"/>
      </w:pPr>
      <w:r>
        <w:t>In</w:t>
      </w:r>
      <w:r>
        <w:rPr>
          <w:spacing w:val="-6"/>
        </w:rPr>
        <w:t xml:space="preserve"> </w:t>
      </w:r>
      <w:r>
        <w:t>order</w:t>
      </w:r>
      <w:r>
        <w:rPr>
          <w:spacing w:val="-5"/>
        </w:rPr>
        <w:t xml:space="preserve"> </w:t>
      </w:r>
      <w:r>
        <w:t>to</w:t>
      </w:r>
      <w:r>
        <w:rPr>
          <w:spacing w:val="-3"/>
        </w:rPr>
        <w:t xml:space="preserve"> </w:t>
      </w:r>
      <w:r>
        <w:t>address</w:t>
      </w:r>
      <w:r>
        <w:rPr>
          <w:spacing w:val="-5"/>
        </w:rPr>
        <w:t xml:space="preserve"> </w:t>
      </w:r>
      <w:r>
        <w:t>stakeholder</w:t>
      </w:r>
      <w:r>
        <w:rPr>
          <w:spacing w:val="-5"/>
        </w:rPr>
        <w:t xml:space="preserve"> </w:t>
      </w:r>
      <w:r>
        <w:t>interests,</w:t>
      </w:r>
      <w:r>
        <w:rPr>
          <w:spacing w:val="-3"/>
        </w:rPr>
        <w:t xml:space="preserve"> </w:t>
      </w:r>
      <w:r>
        <w:t>the</w:t>
      </w:r>
      <w:r>
        <w:rPr>
          <w:spacing w:val="-3"/>
        </w:rPr>
        <w:t xml:space="preserve"> </w:t>
      </w:r>
      <w:r>
        <w:t>development</w:t>
      </w:r>
      <w:r>
        <w:rPr>
          <w:spacing w:val="-2"/>
        </w:rPr>
        <w:t xml:space="preserve"> </w:t>
      </w:r>
      <w:r>
        <w:t>of</w:t>
      </w:r>
      <w:r>
        <w:rPr>
          <w:spacing w:val="-3"/>
        </w:rPr>
        <w:t xml:space="preserve"> </w:t>
      </w:r>
      <w:r>
        <w:t>standards and</w:t>
      </w:r>
      <w:r>
        <w:rPr>
          <w:spacing w:val="-5"/>
        </w:rPr>
        <w:t xml:space="preserve"> </w:t>
      </w:r>
      <w:r>
        <w:t>guidance</w:t>
      </w:r>
      <w:r>
        <w:rPr>
          <w:spacing w:val="-2"/>
        </w:rPr>
        <w:t xml:space="preserve"> requires:</w:t>
      </w:r>
    </w:p>
    <w:p w14:paraId="1E805DAC" w14:textId="77777777" w:rsidR="00AA4A02" w:rsidRDefault="00960F31">
      <w:pPr>
        <w:pStyle w:val="ListParagraph"/>
        <w:numPr>
          <w:ilvl w:val="1"/>
          <w:numId w:val="10"/>
        </w:numPr>
        <w:tabs>
          <w:tab w:val="left" w:pos="1562"/>
        </w:tabs>
        <w:spacing w:before="167"/>
      </w:pPr>
      <w:r>
        <w:t>A</w:t>
      </w:r>
      <w:r>
        <w:rPr>
          <w:spacing w:val="-7"/>
        </w:rPr>
        <w:t xml:space="preserve"> </w:t>
      </w:r>
      <w:r>
        <w:t>permanent</w:t>
      </w:r>
      <w:r>
        <w:rPr>
          <w:spacing w:val="-3"/>
        </w:rPr>
        <w:t xml:space="preserve"> </w:t>
      </w:r>
      <w:r>
        <w:t>structure</w:t>
      </w:r>
      <w:r>
        <w:rPr>
          <w:spacing w:val="-6"/>
        </w:rPr>
        <w:t xml:space="preserve"> </w:t>
      </w:r>
      <w:r>
        <w:t>committed</w:t>
      </w:r>
      <w:r>
        <w:rPr>
          <w:spacing w:val="-4"/>
        </w:rPr>
        <w:t xml:space="preserve"> </w:t>
      </w:r>
      <w:r>
        <w:t>to</w:t>
      </w:r>
      <w:r>
        <w:rPr>
          <w:spacing w:val="-4"/>
        </w:rPr>
        <w:t xml:space="preserve"> </w:t>
      </w:r>
      <w:r>
        <w:t>pursuing</w:t>
      </w:r>
      <w:r>
        <w:rPr>
          <w:spacing w:val="-4"/>
        </w:rPr>
        <w:t xml:space="preserve"> </w:t>
      </w:r>
      <w:r>
        <w:t>the</w:t>
      </w:r>
      <w:r>
        <w:rPr>
          <w:spacing w:val="-4"/>
        </w:rPr>
        <w:t xml:space="preserve"> </w:t>
      </w:r>
      <w:r>
        <w:t>public</w:t>
      </w:r>
      <w:r>
        <w:rPr>
          <w:spacing w:val="-4"/>
        </w:rPr>
        <w:t xml:space="preserve"> </w:t>
      </w:r>
      <w:r>
        <w:t>interest</w:t>
      </w:r>
      <w:r>
        <w:rPr>
          <w:spacing w:val="-2"/>
        </w:rPr>
        <w:t xml:space="preserve"> through:</w:t>
      </w:r>
    </w:p>
    <w:p w14:paraId="1E805DAD" w14:textId="77777777" w:rsidR="00AA4A02" w:rsidRDefault="00960F31">
      <w:pPr>
        <w:pStyle w:val="ListParagraph"/>
        <w:numPr>
          <w:ilvl w:val="2"/>
          <w:numId w:val="10"/>
        </w:numPr>
        <w:tabs>
          <w:tab w:val="left" w:pos="2128"/>
        </w:tabs>
        <w:spacing w:before="88"/>
        <w:ind w:hanging="566"/>
      </w:pPr>
      <w:r>
        <w:t>an</w:t>
      </w:r>
      <w:r>
        <w:rPr>
          <w:spacing w:val="-6"/>
        </w:rPr>
        <w:t xml:space="preserve"> </w:t>
      </w:r>
      <w:r>
        <w:t>independent</w:t>
      </w:r>
      <w:r>
        <w:rPr>
          <w:spacing w:val="-1"/>
        </w:rPr>
        <w:t xml:space="preserve"> </w:t>
      </w:r>
      <w:r>
        <w:t>Board</w:t>
      </w:r>
      <w:r>
        <w:rPr>
          <w:spacing w:val="-3"/>
        </w:rPr>
        <w:t xml:space="preserve"> </w:t>
      </w:r>
      <w:r>
        <w:t>making</w:t>
      </w:r>
      <w:r>
        <w:rPr>
          <w:spacing w:val="-3"/>
        </w:rPr>
        <w:t xml:space="preserve"> </w:t>
      </w:r>
      <w:r>
        <w:t>decisions</w:t>
      </w:r>
      <w:r>
        <w:rPr>
          <w:spacing w:val="-5"/>
        </w:rPr>
        <w:t xml:space="preserve"> </w:t>
      </w:r>
      <w:r>
        <w:t>concerning</w:t>
      </w:r>
      <w:r>
        <w:rPr>
          <w:spacing w:val="-6"/>
        </w:rPr>
        <w:t xml:space="preserve"> </w:t>
      </w:r>
      <w:r>
        <w:t>the</w:t>
      </w:r>
      <w:r>
        <w:rPr>
          <w:spacing w:val="-5"/>
        </w:rPr>
        <w:t xml:space="preserve"> </w:t>
      </w:r>
      <w:r>
        <w:t>standards and</w:t>
      </w:r>
      <w:r>
        <w:rPr>
          <w:spacing w:val="-3"/>
        </w:rPr>
        <w:t xml:space="preserve"> </w:t>
      </w:r>
      <w:r>
        <w:rPr>
          <w:spacing w:val="-2"/>
        </w:rPr>
        <w:t>guidance;</w:t>
      </w:r>
    </w:p>
    <w:p w14:paraId="1E805DAE" w14:textId="77777777" w:rsidR="00AA4A02" w:rsidRDefault="00960F31">
      <w:pPr>
        <w:pStyle w:val="ListParagraph"/>
        <w:numPr>
          <w:ilvl w:val="2"/>
          <w:numId w:val="10"/>
        </w:numPr>
        <w:tabs>
          <w:tab w:val="left" w:pos="2128"/>
        </w:tabs>
        <w:spacing w:before="112" w:line="208" w:lineRule="auto"/>
        <w:ind w:right="712"/>
      </w:pPr>
      <w:r>
        <w:t>balanced</w:t>
      </w:r>
      <w:r>
        <w:rPr>
          <w:spacing w:val="-7"/>
        </w:rPr>
        <w:t xml:space="preserve"> </w:t>
      </w:r>
      <w:r>
        <w:t>and</w:t>
      </w:r>
      <w:r>
        <w:rPr>
          <w:spacing w:val="-4"/>
        </w:rPr>
        <w:t xml:space="preserve"> </w:t>
      </w:r>
      <w:r>
        <w:t>diverse</w:t>
      </w:r>
      <w:r>
        <w:rPr>
          <w:spacing w:val="-4"/>
        </w:rPr>
        <w:t xml:space="preserve"> </w:t>
      </w:r>
      <w:r>
        <w:t>participation</w:t>
      </w:r>
      <w:r>
        <w:rPr>
          <w:spacing w:val="-6"/>
        </w:rPr>
        <w:t xml:space="preserve"> </w:t>
      </w:r>
      <w:r>
        <w:t>of</w:t>
      </w:r>
      <w:r>
        <w:rPr>
          <w:spacing w:val="-6"/>
        </w:rPr>
        <w:t xml:space="preserve"> </w:t>
      </w:r>
      <w:r>
        <w:t>stakeholder</w:t>
      </w:r>
      <w:r>
        <w:rPr>
          <w:spacing w:val="-4"/>
        </w:rPr>
        <w:t xml:space="preserve"> </w:t>
      </w:r>
      <w:r>
        <w:t>groups</w:t>
      </w:r>
      <w:r>
        <w:rPr>
          <w:spacing w:val="-4"/>
        </w:rPr>
        <w:t xml:space="preserve"> </w:t>
      </w:r>
      <w:r>
        <w:t>while</w:t>
      </w:r>
      <w:r>
        <w:rPr>
          <w:spacing w:val="-4"/>
        </w:rPr>
        <w:t xml:space="preserve"> </w:t>
      </w:r>
      <w:r>
        <w:t>preventing undue and dominant influences;</w:t>
      </w:r>
    </w:p>
    <w:p w14:paraId="1E805DAF" w14:textId="77777777" w:rsidR="00AA4A02" w:rsidRDefault="00960F31">
      <w:pPr>
        <w:pStyle w:val="ListParagraph"/>
        <w:numPr>
          <w:ilvl w:val="2"/>
          <w:numId w:val="10"/>
        </w:numPr>
        <w:tabs>
          <w:tab w:val="left" w:pos="2128"/>
        </w:tabs>
        <w:spacing w:before="121" w:line="208" w:lineRule="auto"/>
        <w:ind w:right="405"/>
      </w:pPr>
      <w:r>
        <w:t>stable</w:t>
      </w:r>
      <w:r>
        <w:rPr>
          <w:spacing w:val="-5"/>
        </w:rPr>
        <w:t xml:space="preserve"> </w:t>
      </w:r>
      <w:r>
        <w:t>funding,</w:t>
      </w:r>
      <w:r>
        <w:rPr>
          <w:spacing w:val="-6"/>
        </w:rPr>
        <w:t xml:space="preserve"> </w:t>
      </w:r>
      <w:r>
        <w:t>adequate</w:t>
      </w:r>
      <w:r>
        <w:rPr>
          <w:spacing w:val="-5"/>
        </w:rPr>
        <w:t xml:space="preserve"> </w:t>
      </w:r>
      <w:r>
        <w:t>resources,</w:t>
      </w:r>
      <w:r>
        <w:rPr>
          <w:spacing w:val="-1"/>
        </w:rPr>
        <w:t xml:space="preserve"> </w:t>
      </w:r>
      <w:r>
        <w:t>and</w:t>
      </w:r>
      <w:r>
        <w:rPr>
          <w:spacing w:val="-4"/>
        </w:rPr>
        <w:t xml:space="preserve"> </w:t>
      </w:r>
      <w:r>
        <w:t>appropriately</w:t>
      </w:r>
      <w:r>
        <w:rPr>
          <w:spacing w:val="-4"/>
        </w:rPr>
        <w:t xml:space="preserve"> </w:t>
      </w:r>
      <w:r>
        <w:t>skilled</w:t>
      </w:r>
      <w:r>
        <w:rPr>
          <w:spacing w:val="-5"/>
        </w:rPr>
        <w:t xml:space="preserve"> </w:t>
      </w:r>
      <w:r>
        <w:t>and</w:t>
      </w:r>
      <w:r>
        <w:rPr>
          <w:spacing w:val="-4"/>
        </w:rPr>
        <w:t xml:space="preserve"> </w:t>
      </w:r>
      <w:r>
        <w:t xml:space="preserve">experienced </w:t>
      </w:r>
      <w:r>
        <w:rPr>
          <w:spacing w:val="-2"/>
        </w:rPr>
        <w:t>staff;</w:t>
      </w:r>
    </w:p>
    <w:p w14:paraId="1E805DB0" w14:textId="77777777" w:rsidR="00AA4A02" w:rsidRDefault="00960F31">
      <w:pPr>
        <w:pStyle w:val="ListParagraph"/>
        <w:numPr>
          <w:ilvl w:val="2"/>
          <w:numId w:val="10"/>
        </w:numPr>
        <w:tabs>
          <w:tab w:val="left" w:pos="2128"/>
        </w:tabs>
        <w:spacing w:before="117" w:line="211" w:lineRule="auto"/>
        <w:ind w:right="1201"/>
      </w:pPr>
      <w:r>
        <w:t>mechanisms</w:t>
      </w:r>
      <w:r>
        <w:rPr>
          <w:spacing w:val="-3"/>
        </w:rPr>
        <w:t xml:space="preserve"> </w:t>
      </w:r>
      <w:r>
        <w:t>to</w:t>
      </w:r>
      <w:r>
        <w:rPr>
          <w:spacing w:val="-4"/>
        </w:rPr>
        <w:t xml:space="preserve"> </w:t>
      </w:r>
      <w:r>
        <w:t>ensure</w:t>
      </w:r>
      <w:r>
        <w:rPr>
          <w:spacing w:val="-5"/>
        </w:rPr>
        <w:t xml:space="preserve"> </w:t>
      </w:r>
      <w:r>
        <w:t>adherence</w:t>
      </w:r>
      <w:r>
        <w:rPr>
          <w:spacing w:val="-3"/>
        </w:rPr>
        <w:t xml:space="preserve"> </w:t>
      </w:r>
      <w:r>
        <w:t>to</w:t>
      </w:r>
      <w:r>
        <w:rPr>
          <w:spacing w:val="-6"/>
        </w:rPr>
        <w:t xml:space="preserve"> </w:t>
      </w:r>
      <w:r>
        <w:t>sound</w:t>
      </w:r>
      <w:r>
        <w:rPr>
          <w:spacing w:val="-5"/>
        </w:rPr>
        <w:t xml:space="preserve"> </w:t>
      </w:r>
      <w:r>
        <w:t>governance</w:t>
      </w:r>
      <w:r>
        <w:rPr>
          <w:spacing w:val="-5"/>
        </w:rPr>
        <w:t xml:space="preserve"> </w:t>
      </w:r>
      <w:r>
        <w:t>and</w:t>
      </w:r>
      <w:r>
        <w:rPr>
          <w:spacing w:val="-3"/>
        </w:rPr>
        <w:t xml:space="preserve"> </w:t>
      </w:r>
      <w:r>
        <w:t xml:space="preserve">operating </w:t>
      </w:r>
      <w:r>
        <w:rPr>
          <w:spacing w:val="-2"/>
        </w:rPr>
        <w:t>procedures;</w:t>
      </w:r>
    </w:p>
    <w:p w14:paraId="1E805DB1" w14:textId="77777777" w:rsidR="00AA4A02" w:rsidRDefault="00960F31">
      <w:pPr>
        <w:pStyle w:val="ListParagraph"/>
        <w:numPr>
          <w:ilvl w:val="2"/>
          <w:numId w:val="10"/>
        </w:numPr>
        <w:tabs>
          <w:tab w:val="left" w:pos="2128"/>
        </w:tabs>
        <w:spacing w:before="92"/>
        <w:ind w:hanging="566"/>
      </w:pPr>
      <w:r>
        <w:t>meaningful</w:t>
      </w:r>
      <w:r>
        <w:rPr>
          <w:spacing w:val="-9"/>
        </w:rPr>
        <w:t xml:space="preserve"> </w:t>
      </w:r>
      <w:r>
        <w:t>accountability;</w:t>
      </w:r>
      <w:r>
        <w:rPr>
          <w:spacing w:val="-10"/>
        </w:rPr>
        <w:t xml:space="preserve"> </w:t>
      </w:r>
      <w:r>
        <w:rPr>
          <w:spacing w:val="-5"/>
        </w:rPr>
        <w:t>and</w:t>
      </w:r>
    </w:p>
    <w:p w14:paraId="1E805DB2" w14:textId="77777777" w:rsidR="00AA4A02" w:rsidRDefault="00960F31">
      <w:pPr>
        <w:pStyle w:val="ListParagraph"/>
        <w:numPr>
          <w:ilvl w:val="2"/>
          <w:numId w:val="10"/>
        </w:numPr>
        <w:tabs>
          <w:tab w:val="left" w:pos="2128"/>
        </w:tabs>
        <w:spacing w:before="86"/>
        <w:ind w:hanging="566"/>
      </w:pPr>
      <w:r>
        <w:t>appropriately</w:t>
      </w:r>
      <w:r>
        <w:rPr>
          <w:spacing w:val="-8"/>
        </w:rPr>
        <w:t xml:space="preserve"> </w:t>
      </w:r>
      <w:r>
        <w:t>diverse</w:t>
      </w:r>
      <w:r>
        <w:rPr>
          <w:spacing w:val="-4"/>
        </w:rPr>
        <w:t xml:space="preserve"> </w:t>
      </w:r>
      <w:r>
        <w:t>expertise</w:t>
      </w:r>
      <w:r>
        <w:rPr>
          <w:spacing w:val="-1"/>
        </w:rPr>
        <w:t xml:space="preserve"> </w:t>
      </w:r>
      <w:r>
        <w:t>in</w:t>
      </w:r>
      <w:r>
        <w:rPr>
          <w:spacing w:val="-6"/>
        </w:rPr>
        <w:t xml:space="preserve"> </w:t>
      </w:r>
      <w:r>
        <w:t>AUASB</w:t>
      </w:r>
      <w:r>
        <w:rPr>
          <w:spacing w:val="-6"/>
        </w:rPr>
        <w:t xml:space="preserve"> </w:t>
      </w:r>
      <w:r>
        <w:rPr>
          <w:spacing w:val="-2"/>
        </w:rPr>
        <w:t>members.</w:t>
      </w:r>
    </w:p>
    <w:p w14:paraId="1E805DB3" w14:textId="77777777" w:rsidR="00AA4A02" w:rsidRDefault="00960F31">
      <w:pPr>
        <w:pStyle w:val="ListParagraph"/>
        <w:numPr>
          <w:ilvl w:val="1"/>
          <w:numId w:val="10"/>
        </w:numPr>
        <w:tabs>
          <w:tab w:val="left" w:pos="1562"/>
        </w:tabs>
        <w:spacing w:before="167"/>
      </w:pPr>
      <w:r>
        <w:t>Audit-related</w:t>
      </w:r>
      <w:r>
        <w:rPr>
          <w:spacing w:val="-7"/>
        </w:rPr>
        <w:t xml:space="preserve"> </w:t>
      </w:r>
      <w:r>
        <w:t>standard-setting</w:t>
      </w:r>
      <w:r>
        <w:rPr>
          <w:spacing w:val="-4"/>
        </w:rPr>
        <w:t xml:space="preserve"> </w:t>
      </w:r>
      <w:r>
        <w:t>processes</w:t>
      </w:r>
      <w:r>
        <w:rPr>
          <w:spacing w:val="-6"/>
        </w:rPr>
        <w:t xml:space="preserve"> </w:t>
      </w:r>
      <w:r>
        <w:t>to</w:t>
      </w:r>
      <w:r>
        <w:rPr>
          <w:spacing w:val="-4"/>
        </w:rPr>
        <w:t xml:space="preserve"> </w:t>
      </w:r>
      <w:r>
        <w:t>ensure</w:t>
      </w:r>
      <w:r>
        <w:rPr>
          <w:spacing w:val="-3"/>
        </w:rPr>
        <w:t xml:space="preserve"> </w:t>
      </w:r>
      <w:r>
        <w:t>that</w:t>
      </w:r>
      <w:r>
        <w:rPr>
          <w:spacing w:val="-6"/>
        </w:rPr>
        <w:t xml:space="preserve"> </w:t>
      </w:r>
      <w:r>
        <w:t>the</w:t>
      </w:r>
      <w:r>
        <w:rPr>
          <w:spacing w:val="-4"/>
        </w:rPr>
        <w:t xml:space="preserve"> </w:t>
      </w:r>
      <w:r>
        <w:t>defined</w:t>
      </w:r>
      <w:r>
        <w:rPr>
          <w:spacing w:val="-5"/>
        </w:rPr>
        <w:t xml:space="preserve"> </w:t>
      </w:r>
      <w:r>
        <w:rPr>
          <w:spacing w:val="-2"/>
        </w:rPr>
        <w:t>structure:</w:t>
      </w:r>
    </w:p>
    <w:p w14:paraId="1E805DB4" w14:textId="77777777" w:rsidR="00AA4A02" w:rsidRDefault="00960F31">
      <w:pPr>
        <w:pStyle w:val="ListParagraph"/>
        <w:numPr>
          <w:ilvl w:val="2"/>
          <w:numId w:val="10"/>
        </w:numPr>
        <w:tabs>
          <w:tab w:val="left" w:pos="2128"/>
        </w:tabs>
        <w:spacing w:before="114" w:line="208" w:lineRule="auto"/>
        <w:ind w:right="303"/>
      </w:pPr>
      <w:r>
        <w:t>considers</w:t>
      </w:r>
      <w:r>
        <w:rPr>
          <w:spacing w:val="-4"/>
        </w:rPr>
        <w:t xml:space="preserve"> </w:t>
      </w:r>
      <w:r>
        <w:t>all</w:t>
      </w:r>
      <w:r>
        <w:rPr>
          <w:spacing w:val="-6"/>
        </w:rPr>
        <w:t xml:space="preserve"> </w:t>
      </w:r>
      <w:r>
        <w:t>stakeholder</w:t>
      </w:r>
      <w:r>
        <w:rPr>
          <w:spacing w:val="-4"/>
        </w:rPr>
        <w:t xml:space="preserve"> </w:t>
      </w:r>
      <w:r>
        <w:t>input</w:t>
      </w:r>
      <w:r>
        <w:rPr>
          <w:spacing w:val="-2"/>
        </w:rPr>
        <w:t xml:space="preserve"> </w:t>
      </w:r>
      <w:r>
        <w:t>and</w:t>
      </w:r>
      <w:r>
        <w:rPr>
          <w:spacing w:val="-4"/>
        </w:rPr>
        <w:t xml:space="preserve"> </w:t>
      </w:r>
      <w:r>
        <w:t>identifies</w:t>
      </w:r>
      <w:r>
        <w:rPr>
          <w:spacing w:val="-4"/>
        </w:rPr>
        <w:t xml:space="preserve"> </w:t>
      </w:r>
      <w:r>
        <w:t>the</w:t>
      </w:r>
      <w:r>
        <w:rPr>
          <w:spacing w:val="-4"/>
        </w:rPr>
        <w:t xml:space="preserve"> </w:t>
      </w:r>
      <w:r>
        <w:t>different</w:t>
      </w:r>
      <w:r>
        <w:rPr>
          <w:spacing w:val="-3"/>
        </w:rPr>
        <w:t xml:space="preserve"> </w:t>
      </w:r>
      <w:r>
        <w:t>stakeholder</w:t>
      </w:r>
      <w:r>
        <w:rPr>
          <w:spacing w:val="-4"/>
        </w:rPr>
        <w:t xml:space="preserve"> </w:t>
      </w:r>
      <w:r>
        <w:t>interests that affect the public interest;</w:t>
      </w:r>
    </w:p>
    <w:p w14:paraId="1E805DB5" w14:textId="77777777" w:rsidR="00AA4A02" w:rsidRDefault="00960F31">
      <w:pPr>
        <w:pStyle w:val="ListParagraph"/>
        <w:numPr>
          <w:ilvl w:val="2"/>
          <w:numId w:val="10"/>
        </w:numPr>
        <w:tabs>
          <w:tab w:val="left" w:pos="2128"/>
        </w:tabs>
        <w:spacing w:before="119" w:line="208" w:lineRule="auto"/>
        <w:ind w:right="230"/>
      </w:pPr>
      <w:r>
        <w:t>defines relevant public interest criteria to consider how to appropriately weigh the</w:t>
      </w:r>
      <w:r>
        <w:rPr>
          <w:spacing w:val="-4"/>
        </w:rPr>
        <w:t xml:space="preserve"> </w:t>
      </w:r>
      <w:r>
        <w:t>input</w:t>
      </w:r>
      <w:r>
        <w:rPr>
          <w:spacing w:val="-1"/>
        </w:rPr>
        <w:t xml:space="preserve"> </w:t>
      </w:r>
      <w:r>
        <w:t>received</w:t>
      </w:r>
      <w:r>
        <w:rPr>
          <w:spacing w:val="-4"/>
        </w:rPr>
        <w:t xml:space="preserve"> </w:t>
      </w:r>
      <w:r>
        <w:t>in</w:t>
      </w:r>
      <w:r>
        <w:rPr>
          <w:spacing w:val="-5"/>
        </w:rPr>
        <w:t xml:space="preserve"> </w:t>
      </w:r>
      <w:r>
        <w:t>terms</w:t>
      </w:r>
      <w:r>
        <w:rPr>
          <w:spacing w:val="-7"/>
        </w:rPr>
        <w:t xml:space="preserve"> </w:t>
      </w:r>
      <w:r>
        <w:t>of</w:t>
      </w:r>
      <w:r>
        <w:rPr>
          <w:spacing w:val="-2"/>
        </w:rPr>
        <w:t xml:space="preserve"> </w:t>
      </w:r>
      <w:r>
        <w:t>the</w:t>
      </w:r>
      <w:r>
        <w:rPr>
          <w:spacing w:val="-2"/>
        </w:rPr>
        <w:t xml:space="preserve"> </w:t>
      </w:r>
      <w:r>
        <w:t>public</w:t>
      </w:r>
      <w:r>
        <w:rPr>
          <w:spacing w:val="-2"/>
        </w:rPr>
        <w:t xml:space="preserve"> </w:t>
      </w:r>
      <w:r>
        <w:t>interest</w:t>
      </w:r>
      <w:r>
        <w:rPr>
          <w:spacing w:val="-4"/>
        </w:rPr>
        <w:t xml:space="preserve"> </w:t>
      </w:r>
      <w:r>
        <w:t>impact</w:t>
      </w:r>
      <w:r>
        <w:rPr>
          <w:spacing w:val="-1"/>
        </w:rPr>
        <w:t xml:space="preserve"> </w:t>
      </w:r>
      <w:r>
        <w:t>of</w:t>
      </w:r>
      <w:r>
        <w:rPr>
          <w:spacing w:val="-4"/>
        </w:rPr>
        <w:t xml:space="preserve"> </w:t>
      </w:r>
      <w:r>
        <w:t>the</w:t>
      </w:r>
      <w:r>
        <w:rPr>
          <w:spacing w:val="-4"/>
        </w:rPr>
        <w:t xml:space="preserve"> </w:t>
      </w:r>
      <w:r>
        <w:t>relative</w:t>
      </w:r>
      <w:r>
        <w:rPr>
          <w:spacing w:val="-2"/>
        </w:rPr>
        <w:t xml:space="preserve"> </w:t>
      </w:r>
      <w:r>
        <w:t xml:space="preserve">interests; </w:t>
      </w:r>
      <w:r>
        <w:rPr>
          <w:spacing w:val="-4"/>
        </w:rPr>
        <w:t>and</w:t>
      </w:r>
    </w:p>
    <w:p w14:paraId="1E805DB6" w14:textId="77777777" w:rsidR="00AA4A02" w:rsidRDefault="00960F31">
      <w:pPr>
        <w:pStyle w:val="ListParagraph"/>
        <w:numPr>
          <w:ilvl w:val="2"/>
          <w:numId w:val="10"/>
        </w:numPr>
        <w:tabs>
          <w:tab w:val="left" w:pos="2128"/>
        </w:tabs>
        <w:spacing w:before="120" w:line="208" w:lineRule="auto"/>
        <w:ind w:right="728"/>
      </w:pPr>
      <w:r>
        <w:t>appropriately</w:t>
      </w:r>
      <w:r>
        <w:rPr>
          <w:spacing w:val="-7"/>
        </w:rPr>
        <w:t xml:space="preserve"> </w:t>
      </w:r>
      <w:r>
        <w:t>balances</w:t>
      </w:r>
      <w:r>
        <w:rPr>
          <w:spacing w:val="-4"/>
        </w:rPr>
        <w:t xml:space="preserve"> </w:t>
      </w:r>
      <w:r>
        <w:t>alternative</w:t>
      </w:r>
      <w:r>
        <w:rPr>
          <w:spacing w:val="-4"/>
        </w:rPr>
        <w:t xml:space="preserve"> </w:t>
      </w:r>
      <w:r>
        <w:t>outcomes</w:t>
      </w:r>
      <w:r>
        <w:rPr>
          <w:spacing w:val="-4"/>
        </w:rPr>
        <w:t xml:space="preserve"> </w:t>
      </w:r>
      <w:r>
        <w:t>and</w:t>
      </w:r>
      <w:r>
        <w:rPr>
          <w:spacing w:val="-7"/>
        </w:rPr>
        <w:t xml:space="preserve"> </w:t>
      </w:r>
      <w:r>
        <w:t>interests</w:t>
      </w:r>
      <w:r>
        <w:rPr>
          <w:spacing w:val="-4"/>
        </w:rPr>
        <w:t xml:space="preserve"> </w:t>
      </w:r>
      <w:r>
        <w:t>in</w:t>
      </w:r>
      <w:r>
        <w:rPr>
          <w:spacing w:val="-4"/>
        </w:rPr>
        <w:t xml:space="preserve"> </w:t>
      </w:r>
      <w:r>
        <w:t>terms</w:t>
      </w:r>
      <w:r>
        <w:rPr>
          <w:spacing w:val="-4"/>
        </w:rPr>
        <w:t xml:space="preserve"> </w:t>
      </w:r>
      <w:r>
        <w:t>of their expected responsiveness to the public interest.</w:t>
      </w:r>
    </w:p>
    <w:p w14:paraId="1E805DB7" w14:textId="77777777" w:rsidR="00AA4A02" w:rsidRDefault="00960F31">
      <w:pPr>
        <w:pStyle w:val="BodyText"/>
        <w:spacing w:before="119" w:line="208" w:lineRule="auto"/>
        <w:ind w:left="1562" w:right="173"/>
      </w:pPr>
      <w:r>
        <w:t>These</w:t>
      </w:r>
      <w:r>
        <w:rPr>
          <w:spacing w:val="-3"/>
        </w:rPr>
        <w:t xml:space="preserve"> </w:t>
      </w:r>
      <w:r>
        <w:t>processes</w:t>
      </w:r>
      <w:r>
        <w:rPr>
          <w:spacing w:val="-3"/>
        </w:rPr>
        <w:t xml:space="preserve"> </w:t>
      </w:r>
      <w:r>
        <w:t>recognise</w:t>
      </w:r>
      <w:r>
        <w:rPr>
          <w:spacing w:val="-3"/>
        </w:rPr>
        <w:t xml:space="preserve"> </w:t>
      </w:r>
      <w:r>
        <w:t>the</w:t>
      </w:r>
      <w:r>
        <w:rPr>
          <w:spacing w:val="-3"/>
        </w:rPr>
        <w:t xml:space="preserve"> </w:t>
      </w:r>
      <w:r>
        <w:t>importance</w:t>
      </w:r>
      <w:r>
        <w:rPr>
          <w:spacing w:val="-3"/>
        </w:rPr>
        <w:t xml:space="preserve"> </w:t>
      </w:r>
      <w:r>
        <w:t>of</w:t>
      </w:r>
      <w:r>
        <w:rPr>
          <w:spacing w:val="-3"/>
        </w:rPr>
        <w:t xml:space="preserve"> </w:t>
      </w:r>
      <w:r>
        <w:t>all</w:t>
      </w:r>
      <w:r>
        <w:rPr>
          <w:spacing w:val="-2"/>
        </w:rPr>
        <w:t xml:space="preserve"> </w:t>
      </w:r>
      <w:r>
        <w:t>relevant</w:t>
      </w:r>
      <w:r>
        <w:rPr>
          <w:spacing w:val="-2"/>
        </w:rPr>
        <w:t xml:space="preserve"> </w:t>
      </w:r>
      <w:r>
        <w:t>stakeholders</w:t>
      </w:r>
      <w:r>
        <w:rPr>
          <w:spacing w:val="-3"/>
        </w:rPr>
        <w:t xml:space="preserve"> </w:t>
      </w:r>
      <w:r>
        <w:t>but</w:t>
      </w:r>
      <w:r>
        <w:rPr>
          <w:spacing w:val="-5"/>
        </w:rPr>
        <w:t xml:space="preserve"> </w:t>
      </w:r>
      <w:r>
        <w:t>with</w:t>
      </w:r>
      <w:r>
        <w:rPr>
          <w:spacing w:val="-3"/>
        </w:rPr>
        <w:t xml:space="preserve"> </w:t>
      </w:r>
      <w:r>
        <w:t>the focus primarily on the interests of users.</w:t>
      </w:r>
    </w:p>
    <w:p w14:paraId="1E805DB8" w14:textId="77777777" w:rsidR="00AA4A02" w:rsidRDefault="00960F31">
      <w:pPr>
        <w:pStyle w:val="ListParagraph"/>
        <w:numPr>
          <w:ilvl w:val="1"/>
          <w:numId w:val="10"/>
        </w:numPr>
        <w:tabs>
          <w:tab w:val="left" w:pos="1562"/>
        </w:tabs>
        <w:spacing w:line="208" w:lineRule="auto"/>
        <w:ind w:right="669"/>
      </w:pPr>
      <w:r>
        <w:t>Independent</w:t>
      </w:r>
      <w:r>
        <w:rPr>
          <w:spacing w:val="-2"/>
        </w:rPr>
        <w:t xml:space="preserve"> </w:t>
      </w:r>
      <w:r>
        <w:t>oversight</w:t>
      </w:r>
      <w:r>
        <w:rPr>
          <w:spacing w:val="-1"/>
        </w:rPr>
        <w:t xml:space="preserve"> </w:t>
      </w:r>
      <w:r>
        <w:t>by</w:t>
      </w:r>
      <w:r>
        <w:rPr>
          <w:spacing w:val="-6"/>
        </w:rPr>
        <w:t xml:space="preserve"> </w:t>
      </w:r>
      <w:r>
        <w:t>the</w:t>
      </w:r>
      <w:r>
        <w:rPr>
          <w:spacing w:val="-3"/>
        </w:rPr>
        <w:t xml:space="preserve"> </w:t>
      </w:r>
      <w:r>
        <w:t>FRC</w:t>
      </w:r>
      <w:r>
        <w:rPr>
          <w:spacing w:val="-4"/>
        </w:rPr>
        <w:t xml:space="preserve"> </w:t>
      </w:r>
      <w:r>
        <w:t>of</w:t>
      </w:r>
      <w:r>
        <w:rPr>
          <w:spacing w:val="-5"/>
        </w:rPr>
        <w:t xml:space="preserve"> </w:t>
      </w:r>
      <w:r>
        <w:t>the</w:t>
      </w:r>
      <w:r>
        <w:rPr>
          <w:spacing w:val="-3"/>
        </w:rPr>
        <w:t xml:space="preserve"> </w:t>
      </w:r>
      <w:r>
        <w:t>AUASB’s</w:t>
      </w:r>
      <w:r>
        <w:rPr>
          <w:spacing w:val="-3"/>
        </w:rPr>
        <w:t xml:space="preserve"> </w:t>
      </w:r>
      <w:r>
        <w:t>broad</w:t>
      </w:r>
      <w:r>
        <w:rPr>
          <w:spacing w:val="-3"/>
        </w:rPr>
        <w:t xml:space="preserve"> </w:t>
      </w:r>
      <w:r>
        <w:t>strategic</w:t>
      </w:r>
      <w:r>
        <w:rPr>
          <w:spacing w:val="-3"/>
        </w:rPr>
        <w:t xml:space="preserve"> </w:t>
      </w:r>
      <w:r>
        <w:t>direction</w:t>
      </w:r>
      <w:r>
        <w:rPr>
          <w:spacing w:val="-6"/>
        </w:rPr>
        <w:t xml:space="preserve"> </w:t>
      </w:r>
      <w:r>
        <w:t>and processes for setting audit-related standards and guidance.</w:t>
      </w:r>
    </w:p>
    <w:p w14:paraId="1E805DB9" w14:textId="77777777" w:rsidR="00AA4A02" w:rsidRDefault="00960F31">
      <w:pPr>
        <w:pStyle w:val="ListParagraph"/>
        <w:numPr>
          <w:ilvl w:val="0"/>
          <w:numId w:val="10"/>
        </w:numPr>
        <w:tabs>
          <w:tab w:val="left" w:pos="851"/>
        </w:tabs>
        <w:spacing w:line="208" w:lineRule="auto"/>
        <w:ind w:right="153" w:hanging="708"/>
      </w:pPr>
      <w:r>
        <w:t>User needs, and therefore the public interest, are dynamic and may change or evolve over</w:t>
      </w:r>
      <w:r>
        <w:rPr>
          <w:spacing w:val="40"/>
        </w:rPr>
        <w:t xml:space="preserve"> </w:t>
      </w:r>
      <w:r>
        <w:t>time.</w:t>
      </w:r>
      <w:r>
        <w:rPr>
          <w:spacing w:val="-3"/>
        </w:rPr>
        <w:t xml:space="preserve"> </w:t>
      </w:r>
      <w:r>
        <w:t>Audit-related</w:t>
      </w:r>
      <w:r>
        <w:rPr>
          <w:spacing w:val="-3"/>
        </w:rPr>
        <w:t xml:space="preserve"> </w:t>
      </w:r>
      <w:r>
        <w:t>standard-setting</w:t>
      </w:r>
      <w:r>
        <w:rPr>
          <w:spacing w:val="-5"/>
        </w:rPr>
        <w:t xml:space="preserve"> </w:t>
      </w:r>
      <w:r>
        <w:t>structures</w:t>
      </w:r>
      <w:r>
        <w:rPr>
          <w:spacing w:val="-2"/>
        </w:rPr>
        <w:t xml:space="preserve"> </w:t>
      </w:r>
      <w:r>
        <w:t>and</w:t>
      </w:r>
      <w:r>
        <w:rPr>
          <w:spacing w:val="-3"/>
        </w:rPr>
        <w:t xml:space="preserve"> </w:t>
      </w:r>
      <w:r>
        <w:t>processes</w:t>
      </w:r>
      <w:r>
        <w:rPr>
          <w:spacing w:val="-4"/>
        </w:rPr>
        <w:t xml:space="preserve"> </w:t>
      </w:r>
      <w:r>
        <w:t>therefore</w:t>
      </w:r>
      <w:r>
        <w:rPr>
          <w:spacing w:val="-3"/>
        </w:rPr>
        <w:t xml:space="preserve"> </w:t>
      </w:r>
      <w:r>
        <w:t>need</w:t>
      </w:r>
      <w:r>
        <w:rPr>
          <w:spacing w:val="-4"/>
        </w:rPr>
        <w:t xml:space="preserve"> </w:t>
      </w:r>
      <w:r>
        <w:t>to</w:t>
      </w:r>
      <w:r>
        <w:rPr>
          <w:spacing w:val="-6"/>
        </w:rPr>
        <w:t xml:space="preserve"> </w:t>
      </w:r>
      <w:r>
        <w:t>remain</w:t>
      </w:r>
      <w:r>
        <w:rPr>
          <w:spacing w:val="-3"/>
        </w:rPr>
        <w:t xml:space="preserve"> </w:t>
      </w:r>
      <w:r>
        <w:t>alert</w:t>
      </w:r>
      <w:r>
        <w:rPr>
          <w:spacing w:val="-1"/>
        </w:rPr>
        <w:t xml:space="preserve"> </w:t>
      </w:r>
      <w:r>
        <w:t>and to be flexible to respond to shifting needs and perceptions.</w:t>
      </w:r>
      <w:r>
        <w:rPr>
          <w:spacing w:val="40"/>
        </w:rPr>
        <w:t xml:space="preserve"> </w:t>
      </w:r>
      <w:r>
        <w:t>However, the system of audit-related standard-setting must also maintain fundamental stability and the long-term validity and credibility of principles-based standards and guidance in order to ensure continuity and inspire public confidence.</w:t>
      </w:r>
    </w:p>
    <w:p w14:paraId="1E805DBA" w14:textId="77777777" w:rsidR="00AA4A02" w:rsidRDefault="00960F31">
      <w:pPr>
        <w:spacing w:before="172"/>
        <w:ind w:left="143"/>
        <w:rPr>
          <w:b/>
          <w:i/>
        </w:rPr>
      </w:pPr>
      <w:r>
        <w:rPr>
          <w:b/>
          <w:i/>
        </w:rPr>
        <w:t>What</w:t>
      </w:r>
      <w:r>
        <w:rPr>
          <w:b/>
          <w:i/>
          <w:spacing w:val="-6"/>
        </w:rPr>
        <w:t xml:space="preserve"> </w:t>
      </w:r>
      <w:r>
        <w:rPr>
          <w:b/>
          <w:i/>
        </w:rPr>
        <w:t>qualitative</w:t>
      </w:r>
      <w:r>
        <w:rPr>
          <w:b/>
          <w:i/>
          <w:spacing w:val="-5"/>
        </w:rPr>
        <w:t xml:space="preserve"> </w:t>
      </w:r>
      <w:r>
        <w:rPr>
          <w:b/>
          <w:i/>
        </w:rPr>
        <w:t>characteristics</w:t>
      </w:r>
      <w:r>
        <w:rPr>
          <w:b/>
          <w:i/>
          <w:spacing w:val="-5"/>
        </w:rPr>
        <w:t xml:space="preserve"> </w:t>
      </w:r>
      <w:r>
        <w:rPr>
          <w:b/>
          <w:i/>
        </w:rPr>
        <w:t>should</w:t>
      </w:r>
      <w:r>
        <w:rPr>
          <w:b/>
          <w:i/>
          <w:spacing w:val="-4"/>
        </w:rPr>
        <w:t xml:space="preserve"> </w:t>
      </w:r>
      <w:r>
        <w:rPr>
          <w:b/>
          <w:i/>
        </w:rPr>
        <w:t>the</w:t>
      </w:r>
      <w:r>
        <w:rPr>
          <w:b/>
          <w:i/>
          <w:spacing w:val="-5"/>
        </w:rPr>
        <w:t xml:space="preserve"> </w:t>
      </w:r>
      <w:r>
        <w:rPr>
          <w:b/>
          <w:i/>
        </w:rPr>
        <w:t>standards</w:t>
      </w:r>
      <w:r>
        <w:rPr>
          <w:b/>
          <w:i/>
          <w:spacing w:val="-3"/>
        </w:rPr>
        <w:t xml:space="preserve"> </w:t>
      </w:r>
      <w:r>
        <w:rPr>
          <w:b/>
          <w:i/>
        </w:rPr>
        <w:t>and</w:t>
      </w:r>
      <w:r>
        <w:rPr>
          <w:b/>
          <w:i/>
          <w:spacing w:val="-5"/>
        </w:rPr>
        <w:t xml:space="preserve"> </w:t>
      </w:r>
      <w:r>
        <w:rPr>
          <w:b/>
          <w:i/>
        </w:rPr>
        <w:t>guidance</w:t>
      </w:r>
      <w:r>
        <w:rPr>
          <w:b/>
          <w:i/>
          <w:spacing w:val="-3"/>
        </w:rPr>
        <w:t xml:space="preserve"> </w:t>
      </w:r>
      <w:r>
        <w:rPr>
          <w:b/>
          <w:i/>
          <w:spacing w:val="-2"/>
        </w:rPr>
        <w:t>exhibit?</w:t>
      </w:r>
    </w:p>
    <w:p w14:paraId="1E805DBB" w14:textId="77777777" w:rsidR="00AA4A02" w:rsidRDefault="00960F31">
      <w:pPr>
        <w:pStyle w:val="ListParagraph"/>
        <w:numPr>
          <w:ilvl w:val="0"/>
          <w:numId w:val="10"/>
        </w:numPr>
        <w:tabs>
          <w:tab w:val="left" w:pos="851"/>
        </w:tabs>
        <w:spacing w:before="193" w:line="208" w:lineRule="auto"/>
        <w:ind w:right="171" w:hanging="708"/>
      </w:pPr>
      <w:r>
        <w:t>The</w:t>
      </w:r>
      <w:r>
        <w:rPr>
          <w:spacing w:val="-2"/>
        </w:rPr>
        <w:t xml:space="preserve"> </w:t>
      </w:r>
      <w:r>
        <w:t>qualitative</w:t>
      </w:r>
      <w:r>
        <w:rPr>
          <w:spacing w:val="-2"/>
        </w:rPr>
        <w:t xml:space="preserve"> </w:t>
      </w:r>
      <w:r>
        <w:t>characteristics</w:t>
      </w:r>
      <w:r>
        <w:rPr>
          <w:spacing w:val="-2"/>
        </w:rPr>
        <w:t xml:space="preserve"> </w:t>
      </w:r>
      <w:r>
        <w:t>used</w:t>
      </w:r>
      <w:r>
        <w:rPr>
          <w:spacing w:val="-2"/>
        </w:rPr>
        <w:t xml:space="preserve"> </w:t>
      </w:r>
      <w:r>
        <w:t>to</w:t>
      </w:r>
      <w:r>
        <w:rPr>
          <w:spacing w:val="-5"/>
        </w:rPr>
        <w:t xml:space="preserve"> </w:t>
      </w:r>
      <w:r>
        <w:t>assess</w:t>
      </w:r>
      <w:r>
        <w:rPr>
          <w:spacing w:val="-4"/>
        </w:rPr>
        <w:t xml:space="preserve"> </w:t>
      </w:r>
      <w:r>
        <w:t>responsiveness</w:t>
      </w:r>
      <w:r>
        <w:rPr>
          <w:spacing w:val="-4"/>
        </w:rPr>
        <w:t xml:space="preserve"> </w:t>
      </w:r>
      <w:r>
        <w:t>to</w:t>
      </w:r>
      <w:r>
        <w:rPr>
          <w:spacing w:val="-5"/>
        </w:rPr>
        <w:t xml:space="preserve"> </w:t>
      </w:r>
      <w:r>
        <w:t>the</w:t>
      </w:r>
      <w:r>
        <w:rPr>
          <w:spacing w:val="-4"/>
        </w:rPr>
        <w:t xml:space="preserve"> </w:t>
      </w:r>
      <w:r>
        <w:t>public</w:t>
      </w:r>
      <w:r>
        <w:rPr>
          <w:spacing w:val="-4"/>
        </w:rPr>
        <w:t xml:space="preserve"> </w:t>
      </w:r>
      <w:r>
        <w:t>interest</w:t>
      </w:r>
      <w:r>
        <w:rPr>
          <w:spacing w:val="-4"/>
        </w:rPr>
        <w:t xml:space="preserve"> </w:t>
      </w:r>
      <w:r>
        <w:t>includes,</w:t>
      </w:r>
      <w:r>
        <w:rPr>
          <w:spacing w:val="-2"/>
        </w:rPr>
        <w:t xml:space="preserve"> </w:t>
      </w:r>
      <w:r>
        <w:t>but are not limited to:</w:t>
      </w:r>
    </w:p>
    <w:p w14:paraId="1E805DBC" w14:textId="77777777" w:rsidR="00AA4A02" w:rsidRDefault="00960F31">
      <w:pPr>
        <w:pStyle w:val="ListParagraph"/>
        <w:numPr>
          <w:ilvl w:val="1"/>
          <w:numId w:val="10"/>
        </w:numPr>
        <w:tabs>
          <w:tab w:val="left" w:pos="1562"/>
        </w:tabs>
        <w:spacing w:before="174"/>
      </w:pPr>
      <w:r>
        <w:t>Consistency</w:t>
      </w:r>
      <w:r>
        <w:rPr>
          <w:spacing w:val="-7"/>
        </w:rPr>
        <w:t xml:space="preserve"> </w:t>
      </w:r>
      <w:r>
        <w:t>with</w:t>
      </w:r>
      <w:r>
        <w:rPr>
          <w:spacing w:val="-4"/>
        </w:rPr>
        <w:t xml:space="preserve"> </w:t>
      </w:r>
      <w:r>
        <w:t>priorities</w:t>
      </w:r>
      <w:r>
        <w:rPr>
          <w:spacing w:val="-6"/>
        </w:rPr>
        <w:t xml:space="preserve"> </w:t>
      </w:r>
      <w:r>
        <w:t>established</w:t>
      </w:r>
      <w:r>
        <w:rPr>
          <w:spacing w:val="-4"/>
        </w:rPr>
        <w:t xml:space="preserve"> </w:t>
      </w:r>
      <w:r>
        <w:t>in</w:t>
      </w:r>
      <w:r>
        <w:rPr>
          <w:spacing w:val="-7"/>
        </w:rPr>
        <w:t xml:space="preserve"> </w:t>
      </w:r>
      <w:r>
        <w:t>the</w:t>
      </w:r>
      <w:r>
        <w:rPr>
          <w:spacing w:val="-4"/>
        </w:rPr>
        <w:t xml:space="preserve"> </w:t>
      </w:r>
      <w:r>
        <w:t>strategic</w:t>
      </w:r>
      <w:r>
        <w:rPr>
          <w:spacing w:val="-6"/>
        </w:rPr>
        <w:t xml:space="preserve"> </w:t>
      </w:r>
      <w:r>
        <w:t>planning</w:t>
      </w:r>
      <w:r>
        <w:rPr>
          <w:spacing w:val="-4"/>
        </w:rPr>
        <w:t xml:space="preserve"> </w:t>
      </w:r>
      <w:r>
        <w:rPr>
          <w:spacing w:val="-2"/>
        </w:rPr>
        <w:t>process.</w:t>
      </w:r>
    </w:p>
    <w:p w14:paraId="1E805DBD" w14:textId="77777777" w:rsidR="00AA4A02" w:rsidRDefault="00960F31">
      <w:pPr>
        <w:pStyle w:val="ListParagraph"/>
        <w:numPr>
          <w:ilvl w:val="1"/>
          <w:numId w:val="10"/>
        </w:numPr>
        <w:tabs>
          <w:tab w:val="left" w:pos="1562"/>
        </w:tabs>
        <w:spacing w:before="89"/>
      </w:pPr>
      <w:r>
        <w:t>Coherence</w:t>
      </w:r>
      <w:r>
        <w:rPr>
          <w:spacing w:val="-4"/>
        </w:rPr>
        <w:t xml:space="preserve"> </w:t>
      </w:r>
      <w:r>
        <w:t>with</w:t>
      </w:r>
      <w:r>
        <w:rPr>
          <w:spacing w:val="-5"/>
        </w:rPr>
        <w:t xml:space="preserve"> </w:t>
      </w:r>
      <w:r>
        <w:t>the</w:t>
      </w:r>
      <w:r>
        <w:rPr>
          <w:spacing w:val="-2"/>
        </w:rPr>
        <w:t xml:space="preserve"> </w:t>
      </w:r>
      <w:r>
        <w:t>overall</w:t>
      </w:r>
      <w:r>
        <w:rPr>
          <w:spacing w:val="-4"/>
        </w:rPr>
        <w:t xml:space="preserve"> </w:t>
      </w:r>
      <w:r>
        <w:t>body</w:t>
      </w:r>
      <w:r>
        <w:rPr>
          <w:spacing w:val="-2"/>
        </w:rPr>
        <w:t xml:space="preserve"> </w:t>
      </w:r>
      <w:r>
        <w:t>of</w:t>
      </w:r>
      <w:r>
        <w:rPr>
          <w:spacing w:val="-2"/>
        </w:rPr>
        <w:t xml:space="preserve"> </w:t>
      </w:r>
      <w:r>
        <w:t>standards,</w:t>
      </w:r>
      <w:r>
        <w:rPr>
          <w:spacing w:val="-4"/>
        </w:rPr>
        <w:t xml:space="preserve"> </w:t>
      </w:r>
      <w:r>
        <w:t>to</w:t>
      </w:r>
      <w:r>
        <w:rPr>
          <w:spacing w:val="-2"/>
        </w:rPr>
        <w:t xml:space="preserve"> </w:t>
      </w:r>
      <w:r>
        <w:t>avoid</w:t>
      </w:r>
      <w:r>
        <w:rPr>
          <w:spacing w:val="-6"/>
        </w:rPr>
        <w:t xml:space="preserve"> </w:t>
      </w:r>
      <w:r>
        <w:rPr>
          <w:spacing w:val="-2"/>
        </w:rPr>
        <w:t>conflict.</w:t>
      </w:r>
    </w:p>
    <w:p w14:paraId="1E805DBE" w14:textId="77777777" w:rsidR="00AA4A02" w:rsidRDefault="00960F31">
      <w:pPr>
        <w:pStyle w:val="ListParagraph"/>
        <w:numPr>
          <w:ilvl w:val="1"/>
          <w:numId w:val="10"/>
        </w:numPr>
        <w:tabs>
          <w:tab w:val="left" w:pos="1562"/>
        </w:tabs>
        <w:spacing w:before="112" w:line="208" w:lineRule="auto"/>
        <w:ind w:right="1780"/>
      </w:pPr>
      <w:r>
        <w:t>Appropriate</w:t>
      </w:r>
      <w:r>
        <w:rPr>
          <w:spacing w:val="-3"/>
        </w:rPr>
        <w:t xml:space="preserve"> </w:t>
      </w:r>
      <w:r>
        <w:t>scope</w:t>
      </w:r>
      <w:r>
        <w:rPr>
          <w:spacing w:val="-5"/>
        </w:rPr>
        <w:t xml:space="preserve"> </w:t>
      </w:r>
      <w:r>
        <w:t>to</w:t>
      </w:r>
      <w:r>
        <w:rPr>
          <w:spacing w:val="-6"/>
        </w:rPr>
        <w:t xml:space="preserve"> </w:t>
      </w:r>
      <w:r>
        <w:t>address</w:t>
      </w:r>
      <w:r>
        <w:rPr>
          <w:spacing w:val="-2"/>
        </w:rPr>
        <w:t xml:space="preserve"> </w:t>
      </w:r>
      <w:r>
        <w:t>key</w:t>
      </w:r>
      <w:r>
        <w:rPr>
          <w:spacing w:val="-5"/>
        </w:rPr>
        <w:t xml:space="preserve"> </w:t>
      </w:r>
      <w:r>
        <w:t>issues,</w:t>
      </w:r>
      <w:r>
        <w:rPr>
          <w:spacing w:val="-3"/>
        </w:rPr>
        <w:t xml:space="preserve"> </w:t>
      </w:r>
      <w:r>
        <w:t>and</w:t>
      </w:r>
      <w:r>
        <w:rPr>
          <w:spacing w:val="-5"/>
        </w:rPr>
        <w:t xml:space="preserve"> </w:t>
      </w:r>
      <w:r>
        <w:t>to</w:t>
      </w:r>
      <w:r>
        <w:rPr>
          <w:spacing w:val="-3"/>
        </w:rPr>
        <w:t xml:space="preserve"> </w:t>
      </w:r>
      <w:r>
        <w:t>specify</w:t>
      </w:r>
      <w:r>
        <w:rPr>
          <w:spacing w:val="-3"/>
        </w:rPr>
        <w:t xml:space="preserve"> </w:t>
      </w:r>
      <w:r>
        <w:t>to</w:t>
      </w:r>
      <w:r>
        <w:rPr>
          <w:spacing w:val="-3"/>
        </w:rPr>
        <w:t xml:space="preserve"> </w:t>
      </w:r>
      <w:r>
        <w:t>whom</w:t>
      </w:r>
      <w:r>
        <w:rPr>
          <w:spacing w:val="-2"/>
        </w:rPr>
        <w:t xml:space="preserve"> </w:t>
      </w:r>
      <w:r>
        <w:t>the standard/guidance applies.</w:t>
      </w:r>
    </w:p>
    <w:p w14:paraId="1E805DBF" w14:textId="77777777" w:rsidR="00AA4A02" w:rsidRDefault="00960F31">
      <w:pPr>
        <w:pStyle w:val="ListParagraph"/>
        <w:numPr>
          <w:ilvl w:val="1"/>
          <w:numId w:val="10"/>
        </w:numPr>
        <w:tabs>
          <w:tab w:val="left" w:pos="1562"/>
        </w:tabs>
        <w:spacing w:before="95"/>
      </w:pPr>
      <w:r>
        <w:t>Scalability,</w:t>
      </w:r>
      <w:r>
        <w:rPr>
          <w:spacing w:val="-8"/>
        </w:rPr>
        <w:t xml:space="preserve"> </w:t>
      </w:r>
      <w:r>
        <w:t>including</w:t>
      </w:r>
      <w:r>
        <w:rPr>
          <w:spacing w:val="-4"/>
        </w:rPr>
        <w:t xml:space="preserve"> </w:t>
      </w:r>
      <w:r>
        <w:rPr>
          <w:spacing w:val="-2"/>
        </w:rPr>
        <w:t>proportionality.</w:t>
      </w:r>
    </w:p>
    <w:p w14:paraId="1E805DC0" w14:textId="77777777" w:rsidR="00AA4A02" w:rsidRDefault="00960F31">
      <w:pPr>
        <w:pStyle w:val="ListParagraph"/>
        <w:numPr>
          <w:ilvl w:val="1"/>
          <w:numId w:val="10"/>
        </w:numPr>
        <w:tabs>
          <w:tab w:val="left" w:pos="1562"/>
        </w:tabs>
        <w:spacing w:before="85"/>
      </w:pPr>
      <w:r>
        <w:t>Timeliness,</w:t>
      </w:r>
      <w:r>
        <w:rPr>
          <w:spacing w:val="-6"/>
        </w:rPr>
        <w:t xml:space="preserve"> </w:t>
      </w:r>
      <w:r>
        <w:t>without</w:t>
      </w:r>
      <w:r>
        <w:rPr>
          <w:spacing w:val="-6"/>
        </w:rPr>
        <w:t xml:space="preserve"> </w:t>
      </w:r>
      <w:r>
        <w:t>sacrificing</w:t>
      </w:r>
      <w:r>
        <w:rPr>
          <w:spacing w:val="-5"/>
        </w:rPr>
        <w:t xml:space="preserve"> </w:t>
      </w:r>
      <w:r>
        <w:rPr>
          <w:spacing w:val="-2"/>
        </w:rPr>
        <w:t>quality.</w:t>
      </w:r>
    </w:p>
    <w:p w14:paraId="1E805DC1" w14:textId="77777777" w:rsidR="00AA4A02" w:rsidRDefault="00960F31">
      <w:pPr>
        <w:pStyle w:val="ListParagraph"/>
        <w:numPr>
          <w:ilvl w:val="1"/>
          <w:numId w:val="10"/>
        </w:numPr>
        <w:tabs>
          <w:tab w:val="left" w:pos="1562"/>
        </w:tabs>
        <w:spacing w:before="114" w:line="208" w:lineRule="auto"/>
        <w:ind w:right="624"/>
      </w:pPr>
      <w:r>
        <w:t>Relevance</w:t>
      </w:r>
      <w:r>
        <w:rPr>
          <w:spacing w:val="-4"/>
        </w:rPr>
        <w:t xml:space="preserve"> </w:t>
      </w:r>
      <w:r>
        <w:t>in</w:t>
      </w:r>
      <w:r>
        <w:rPr>
          <w:spacing w:val="-5"/>
        </w:rPr>
        <w:t xml:space="preserve"> </w:t>
      </w:r>
      <w:r>
        <w:t>recognising</w:t>
      </w:r>
      <w:r>
        <w:rPr>
          <w:spacing w:val="-5"/>
        </w:rPr>
        <w:t xml:space="preserve"> </w:t>
      </w:r>
      <w:r>
        <w:t>and</w:t>
      </w:r>
      <w:r>
        <w:rPr>
          <w:spacing w:val="-2"/>
        </w:rPr>
        <w:t xml:space="preserve"> </w:t>
      </w:r>
      <w:r>
        <w:t>responding</w:t>
      </w:r>
      <w:r>
        <w:rPr>
          <w:spacing w:val="-5"/>
        </w:rPr>
        <w:t xml:space="preserve"> </w:t>
      </w:r>
      <w:r>
        <w:t>to</w:t>
      </w:r>
      <w:r>
        <w:rPr>
          <w:spacing w:val="-2"/>
        </w:rPr>
        <w:t xml:space="preserve"> </w:t>
      </w:r>
      <w:r>
        <w:t>emerging</w:t>
      </w:r>
      <w:r>
        <w:rPr>
          <w:spacing w:val="-5"/>
        </w:rPr>
        <w:t xml:space="preserve"> </w:t>
      </w:r>
      <w:r>
        <w:t>issues,</w:t>
      </w:r>
      <w:r>
        <w:rPr>
          <w:spacing w:val="-2"/>
        </w:rPr>
        <w:t xml:space="preserve"> </w:t>
      </w:r>
      <w:r>
        <w:t>changes</w:t>
      </w:r>
      <w:r>
        <w:rPr>
          <w:spacing w:val="-2"/>
        </w:rPr>
        <w:t xml:space="preserve"> </w:t>
      </w:r>
      <w:r>
        <w:t>in</w:t>
      </w:r>
      <w:r>
        <w:rPr>
          <w:spacing w:val="-2"/>
        </w:rPr>
        <w:t xml:space="preserve"> </w:t>
      </w:r>
      <w:r>
        <w:t>business environment, developments in accounting practices or technology.</w:t>
      </w:r>
    </w:p>
    <w:p w14:paraId="1E805DC2"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C3" w14:textId="77777777" w:rsidR="00AA4A02" w:rsidRDefault="00AA4A02">
      <w:pPr>
        <w:pStyle w:val="BodyText"/>
        <w:spacing w:before="192"/>
      </w:pPr>
    </w:p>
    <w:p w14:paraId="1E805DC4" w14:textId="77777777" w:rsidR="00AA4A02" w:rsidRDefault="00960F31">
      <w:pPr>
        <w:pStyle w:val="ListParagraph"/>
        <w:numPr>
          <w:ilvl w:val="1"/>
          <w:numId w:val="10"/>
        </w:numPr>
        <w:tabs>
          <w:tab w:val="left" w:pos="1562"/>
        </w:tabs>
        <w:spacing w:before="0" w:line="208" w:lineRule="auto"/>
        <w:ind w:right="700"/>
      </w:pPr>
      <w:r>
        <w:t>Completeness,</w:t>
      </w:r>
      <w:r>
        <w:rPr>
          <w:spacing w:val="-4"/>
        </w:rPr>
        <w:t xml:space="preserve"> </w:t>
      </w:r>
      <w:r>
        <w:t>reflecting</w:t>
      </w:r>
      <w:r>
        <w:rPr>
          <w:spacing w:val="-4"/>
        </w:rPr>
        <w:t xml:space="preserve"> </w:t>
      </w:r>
      <w:r>
        <w:t>results</w:t>
      </w:r>
      <w:r>
        <w:rPr>
          <w:spacing w:val="-4"/>
        </w:rPr>
        <w:t xml:space="preserve"> </w:t>
      </w:r>
      <w:r>
        <w:t>of</w:t>
      </w:r>
      <w:r>
        <w:rPr>
          <w:spacing w:val="-4"/>
        </w:rPr>
        <w:t xml:space="preserve"> </w:t>
      </w:r>
      <w:r>
        <w:t>broad</w:t>
      </w:r>
      <w:r>
        <w:rPr>
          <w:spacing w:val="-4"/>
        </w:rPr>
        <w:t xml:space="preserve"> </w:t>
      </w:r>
      <w:r>
        <w:t>consultation</w:t>
      </w:r>
      <w:r>
        <w:rPr>
          <w:spacing w:val="-7"/>
        </w:rPr>
        <w:t xml:space="preserve"> </w:t>
      </w:r>
      <w:r>
        <w:t>and</w:t>
      </w:r>
      <w:r>
        <w:rPr>
          <w:spacing w:val="-4"/>
        </w:rPr>
        <w:t xml:space="preserve"> </w:t>
      </w:r>
      <w:r>
        <w:t>balancing</w:t>
      </w:r>
      <w:r>
        <w:rPr>
          <w:spacing w:val="-7"/>
        </w:rPr>
        <w:t xml:space="preserve"> </w:t>
      </w:r>
      <w:r>
        <w:t xml:space="preserve">stakeholder </w:t>
      </w:r>
      <w:r>
        <w:rPr>
          <w:spacing w:val="-2"/>
        </w:rPr>
        <w:t>priorities.</w:t>
      </w:r>
    </w:p>
    <w:p w14:paraId="1E805DC5" w14:textId="77777777" w:rsidR="00AA4A02" w:rsidRDefault="00960F31">
      <w:pPr>
        <w:pStyle w:val="ListParagraph"/>
        <w:numPr>
          <w:ilvl w:val="1"/>
          <w:numId w:val="10"/>
        </w:numPr>
        <w:tabs>
          <w:tab w:val="left" w:pos="1562"/>
        </w:tabs>
        <w:spacing w:before="93"/>
      </w:pPr>
      <w:r>
        <w:t>Comprehensiveness,</w:t>
      </w:r>
      <w:r>
        <w:rPr>
          <w:spacing w:val="-7"/>
        </w:rPr>
        <w:t xml:space="preserve"> </w:t>
      </w:r>
      <w:r>
        <w:t>by</w:t>
      </w:r>
      <w:r>
        <w:rPr>
          <w:spacing w:val="-6"/>
        </w:rPr>
        <w:t xml:space="preserve"> </w:t>
      </w:r>
      <w:r>
        <w:t>limiting</w:t>
      </w:r>
      <w:r>
        <w:rPr>
          <w:spacing w:val="-4"/>
        </w:rPr>
        <w:t xml:space="preserve"> </w:t>
      </w:r>
      <w:r>
        <w:t>exceptions</w:t>
      </w:r>
      <w:r>
        <w:rPr>
          <w:spacing w:val="-7"/>
        </w:rPr>
        <w:t xml:space="preserve"> </w:t>
      </w:r>
      <w:r>
        <w:t>to</w:t>
      </w:r>
      <w:r>
        <w:rPr>
          <w:spacing w:val="-4"/>
        </w:rPr>
        <w:t xml:space="preserve"> </w:t>
      </w:r>
      <w:r>
        <w:t>the</w:t>
      </w:r>
      <w:r>
        <w:rPr>
          <w:spacing w:val="-4"/>
        </w:rPr>
        <w:t xml:space="preserve"> </w:t>
      </w:r>
      <w:r>
        <w:rPr>
          <w:spacing w:val="-2"/>
        </w:rPr>
        <w:t>principles.</w:t>
      </w:r>
    </w:p>
    <w:p w14:paraId="1E805DC6" w14:textId="77777777" w:rsidR="00AA4A02" w:rsidRDefault="00960F31">
      <w:pPr>
        <w:pStyle w:val="ListParagraph"/>
        <w:numPr>
          <w:ilvl w:val="1"/>
          <w:numId w:val="10"/>
        </w:numPr>
        <w:tabs>
          <w:tab w:val="left" w:pos="1562"/>
        </w:tabs>
        <w:spacing w:before="88"/>
      </w:pPr>
      <w:r>
        <w:t>Clarity</w:t>
      </w:r>
      <w:r>
        <w:rPr>
          <w:spacing w:val="-4"/>
        </w:rPr>
        <w:t xml:space="preserve"> </w:t>
      </w:r>
      <w:r>
        <w:t>and</w:t>
      </w:r>
      <w:r>
        <w:rPr>
          <w:spacing w:val="-3"/>
        </w:rPr>
        <w:t xml:space="preserve"> </w:t>
      </w:r>
      <w:r>
        <w:rPr>
          <w:spacing w:val="-2"/>
        </w:rPr>
        <w:t>conciseness.</w:t>
      </w:r>
    </w:p>
    <w:p w14:paraId="1E805DC7" w14:textId="77777777" w:rsidR="00AA4A02" w:rsidRDefault="00960F31">
      <w:pPr>
        <w:pStyle w:val="ListParagraph"/>
        <w:numPr>
          <w:ilvl w:val="1"/>
          <w:numId w:val="10"/>
        </w:numPr>
        <w:tabs>
          <w:tab w:val="left" w:pos="1562"/>
        </w:tabs>
        <w:spacing w:before="87"/>
      </w:pPr>
      <w:r>
        <w:t>Implementability</w:t>
      </w:r>
      <w:r>
        <w:rPr>
          <w:spacing w:val="-5"/>
        </w:rPr>
        <w:t xml:space="preserve"> </w:t>
      </w:r>
      <w:r>
        <w:t>and</w:t>
      </w:r>
      <w:r>
        <w:rPr>
          <w:spacing w:val="-6"/>
        </w:rPr>
        <w:t xml:space="preserve"> </w:t>
      </w:r>
      <w:r>
        <w:t>ability</w:t>
      </w:r>
      <w:r>
        <w:rPr>
          <w:spacing w:val="-4"/>
        </w:rPr>
        <w:t xml:space="preserve"> </w:t>
      </w:r>
      <w:r>
        <w:t>to</w:t>
      </w:r>
      <w:r>
        <w:rPr>
          <w:spacing w:val="-4"/>
        </w:rPr>
        <w:t xml:space="preserve"> </w:t>
      </w:r>
      <w:r>
        <w:t>be</w:t>
      </w:r>
      <w:r>
        <w:rPr>
          <w:spacing w:val="-6"/>
        </w:rPr>
        <w:t xml:space="preserve"> </w:t>
      </w:r>
      <w:r>
        <w:t>consistently</w:t>
      </w:r>
      <w:r>
        <w:rPr>
          <w:spacing w:val="-4"/>
        </w:rPr>
        <w:t xml:space="preserve"> </w:t>
      </w:r>
      <w:r>
        <w:rPr>
          <w:spacing w:val="-2"/>
        </w:rPr>
        <w:t>applied.</w:t>
      </w:r>
    </w:p>
    <w:p w14:paraId="1E805DC8" w14:textId="77777777" w:rsidR="00AA4A02" w:rsidRDefault="00960F31">
      <w:pPr>
        <w:pStyle w:val="ListParagraph"/>
        <w:numPr>
          <w:ilvl w:val="1"/>
          <w:numId w:val="10"/>
        </w:numPr>
        <w:tabs>
          <w:tab w:val="left" w:pos="1562"/>
        </w:tabs>
        <w:spacing w:before="86"/>
      </w:pPr>
      <w:r>
        <w:t>Enforceable,</w:t>
      </w:r>
      <w:r>
        <w:rPr>
          <w:spacing w:val="-6"/>
        </w:rPr>
        <w:t xml:space="preserve"> </w:t>
      </w:r>
      <w:r>
        <w:t>through</w:t>
      </w:r>
      <w:r>
        <w:rPr>
          <w:spacing w:val="-6"/>
        </w:rPr>
        <w:t xml:space="preserve"> </w:t>
      </w:r>
      <w:r>
        <w:t>clearly</w:t>
      </w:r>
      <w:r>
        <w:rPr>
          <w:spacing w:val="-3"/>
        </w:rPr>
        <w:t xml:space="preserve"> </w:t>
      </w:r>
      <w:r>
        <w:t>stated</w:t>
      </w:r>
      <w:r>
        <w:rPr>
          <w:spacing w:val="-5"/>
        </w:rPr>
        <w:t xml:space="preserve"> </w:t>
      </w:r>
      <w:r>
        <w:rPr>
          <w:spacing w:val="-2"/>
        </w:rPr>
        <w:t>responsibilities.</w:t>
      </w:r>
    </w:p>
    <w:p w14:paraId="1E805DC9" w14:textId="77777777" w:rsidR="00AA4A02" w:rsidRDefault="00960F31">
      <w:pPr>
        <w:spacing w:before="167"/>
        <w:ind w:left="143"/>
        <w:rPr>
          <w:b/>
          <w:i/>
        </w:rPr>
      </w:pPr>
      <w:r>
        <w:rPr>
          <w:b/>
          <w:i/>
        </w:rPr>
        <w:t>How</w:t>
      </w:r>
      <w:r>
        <w:rPr>
          <w:b/>
          <w:i/>
          <w:spacing w:val="-5"/>
        </w:rPr>
        <w:t xml:space="preserve"> </w:t>
      </w:r>
      <w:r>
        <w:rPr>
          <w:b/>
          <w:i/>
        </w:rPr>
        <w:t>does</w:t>
      </w:r>
      <w:r>
        <w:rPr>
          <w:b/>
          <w:i/>
          <w:spacing w:val="-3"/>
        </w:rPr>
        <w:t xml:space="preserve"> </w:t>
      </w:r>
      <w:r>
        <w:rPr>
          <w:b/>
          <w:i/>
        </w:rPr>
        <w:t>the</w:t>
      </w:r>
      <w:r>
        <w:rPr>
          <w:b/>
          <w:i/>
          <w:spacing w:val="-2"/>
        </w:rPr>
        <w:t xml:space="preserve"> </w:t>
      </w:r>
      <w:r>
        <w:rPr>
          <w:b/>
          <w:i/>
        </w:rPr>
        <w:t>AUASB</w:t>
      </w:r>
      <w:r>
        <w:rPr>
          <w:b/>
          <w:i/>
          <w:spacing w:val="-4"/>
        </w:rPr>
        <w:t xml:space="preserve"> </w:t>
      </w:r>
      <w:r>
        <w:rPr>
          <w:b/>
          <w:i/>
        </w:rPr>
        <w:t>assess</w:t>
      </w:r>
      <w:r>
        <w:rPr>
          <w:b/>
          <w:i/>
          <w:spacing w:val="-2"/>
        </w:rPr>
        <w:t xml:space="preserve"> </w:t>
      </w:r>
      <w:r>
        <w:rPr>
          <w:b/>
          <w:i/>
        </w:rPr>
        <w:t>the</w:t>
      </w:r>
      <w:r>
        <w:rPr>
          <w:b/>
          <w:i/>
          <w:spacing w:val="-2"/>
        </w:rPr>
        <w:t xml:space="preserve"> </w:t>
      </w:r>
      <w:r>
        <w:rPr>
          <w:b/>
          <w:i/>
        </w:rPr>
        <w:t>public</w:t>
      </w:r>
      <w:r>
        <w:rPr>
          <w:b/>
          <w:i/>
          <w:spacing w:val="-4"/>
        </w:rPr>
        <w:t xml:space="preserve"> </w:t>
      </w:r>
      <w:r>
        <w:rPr>
          <w:b/>
          <w:i/>
        </w:rPr>
        <w:t>interest</w:t>
      </w:r>
      <w:r>
        <w:rPr>
          <w:b/>
          <w:i/>
          <w:spacing w:val="-3"/>
        </w:rPr>
        <w:t xml:space="preserve"> </w:t>
      </w:r>
      <w:r>
        <w:rPr>
          <w:b/>
          <w:i/>
        </w:rPr>
        <w:t>responsiveness</w:t>
      </w:r>
      <w:r>
        <w:rPr>
          <w:b/>
          <w:i/>
          <w:spacing w:val="-4"/>
        </w:rPr>
        <w:t xml:space="preserve"> </w:t>
      </w:r>
      <w:r>
        <w:rPr>
          <w:b/>
          <w:i/>
        </w:rPr>
        <w:t>of</w:t>
      </w:r>
      <w:r>
        <w:rPr>
          <w:b/>
          <w:i/>
          <w:spacing w:val="-4"/>
        </w:rPr>
        <w:t xml:space="preserve"> </w:t>
      </w:r>
      <w:r>
        <w:rPr>
          <w:b/>
          <w:i/>
        </w:rPr>
        <w:t>standards</w:t>
      </w:r>
      <w:r>
        <w:rPr>
          <w:b/>
          <w:i/>
          <w:spacing w:val="-4"/>
        </w:rPr>
        <w:t xml:space="preserve"> </w:t>
      </w:r>
      <w:r>
        <w:rPr>
          <w:b/>
          <w:i/>
        </w:rPr>
        <w:t>and</w:t>
      </w:r>
      <w:r>
        <w:rPr>
          <w:b/>
          <w:i/>
          <w:spacing w:val="-4"/>
        </w:rPr>
        <w:t xml:space="preserve"> </w:t>
      </w:r>
      <w:r>
        <w:rPr>
          <w:b/>
          <w:i/>
          <w:spacing w:val="-2"/>
        </w:rPr>
        <w:t>guidance?</w:t>
      </w:r>
    </w:p>
    <w:p w14:paraId="1E805DCA" w14:textId="77777777" w:rsidR="00AA4A02" w:rsidRDefault="00960F31">
      <w:pPr>
        <w:pStyle w:val="ListParagraph"/>
        <w:numPr>
          <w:ilvl w:val="0"/>
          <w:numId w:val="10"/>
        </w:numPr>
        <w:tabs>
          <w:tab w:val="left" w:pos="851"/>
        </w:tabs>
        <w:spacing w:before="194" w:line="208" w:lineRule="auto"/>
        <w:ind w:right="569" w:hanging="708"/>
      </w:pPr>
      <w:r>
        <w:t>The</w:t>
      </w:r>
      <w:r>
        <w:rPr>
          <w:spacing w:val="-2"/>
        </w:rPr>
        <w:t xml:space="preserve"> </w:t>
      </w:r>
      <w:r>
        <w:t>public</w:t>
      </w:r>
      <w:r>
        <w:rPr>
          <w:spacing w:val="-4"/>
        </w:rPr>
        <w:t xml:space="preserve"> </w:t>
      </w:r>
      <w:r>
        <w:t>interest</w:t>
      </w:r>
      <w:r>
        <w:rPr>
          <w:spacing w:val="-1"/>
        </w:rPr>
        <w:t xml:space="preserve"> </w:t>
      </w:r>
      <w:r>
        <w:t>responsiveness of</w:t>
      </w:r>
      <w:r>
        <w:rPr>
          <w:spacing w:val="-4"/>
        </w:rPr>
        <w:t xml:space="preserve"> </w:t>
      </w:r>
      <w:r>
        <w:t>a</w:t>
      </w:r>
      <w:r>
        <w:rPr>
          <w:spacing w:val="-2"/>
        </w:rPr>
        <w:t xml:space="preserve"> </w:t>
      </w:r>
      <w:r>
        <w:t>new</w:t>
      </w:r>
      <w:r>
        <w:rPr>
          <w:spacing w:val="-3"/>
        </w:rPr>
        <w:t xml:space="preserve"> </w:t>
      </w:r>
      <w:r>
        <w:t>or</w:t>
      </w:r>
      <w:r>
        <w:rPr>
          <w:spacing w:val="-2"/>
        </w:rPr>
        <w:t xml:space="preserve"> </w:t>
      </w:r>
      <w:r>
        <w:t>revised</w:t>
      </w:r>
      <w:r>
        <w:rPr>
          <w:spacing w:val="-5"/>
        </w:rPr>
        <w:t xml:space="preserve"> </w:t>
      </w:r>
      <w:r>
        <w:t>standard</w:t>
      </w:r>
      <w:r>
        <w:rPr>
          <w:spacing w:val="-3"/>
        </w:rPr>
        <w:t xml:space="preserve"> </w:t>
      </w:r>
      <w:r>
        <w:t>or</w:t>
      </w:r>
      <w:r>
        <w:rPr>
          <w:spacing w:val="-2"/>
        </w:rPr>
        <w:t xml:space="preserve"> </w:t>
      </w:r>
      <w:r>
        <w:t>guidance</w:t>
      </w:r>
      <w:r>
        <w:rPr>
          <w:spacing w:val="-3"/>
        </w:rPr>
        <w:t xml:space="preserve"> </w:t>
      </w:r>
      <w:r>
        <w:t>is</w:t>
      </w:r>
      <w:r>
        <w:rPr>
          <w:spacing w:val="-4"/>
        </w:rPr>
        <w:t xml:space="preserve"> </w:t>
      </w:r>
      <w:r>
        <w:t>assessed</w:t>
      </w:r>
      <w:r>
        <w:rPr>
          <w:spacing w:val="-2"/>
        </w:rPr>
        <w:t xml:space="preserve"> </w:t>
      </w:r>
      <w:r>
        <w:t>by applying the above qualitative characteristics in the following steps:</w:t>
      </w:r>
    </w:p>
    <w:p w14:paraId="1E805DCB" w14:textId="77777777" w:rsidR="00AA4A02" w:rsidRDefault="00960F31">
      <w:pPr>
        <w:pStyle w:val="ListParagraph"/>
        <w:numPr>
          <w:ilvl w:val="1"/>
          <w:numId w:val="10"/>
        </w:numPr>
        <w:tabs>
          <w:tab w:val="left" w:pos="1562"/>
        </w:tabs>
        <w:spacing w:before="173"/>
      </w:pPr>
      <w:r>
        <w:t>Identify</w:t>
      </w:r>
      <w:r>
        <w:rPr>
          <w:spacing w:val="-6"/>
        </w:rPr>
        <w:t xml:space="preserve"> </w:t>
      </w:r>
      <w:r>
        <w:t>the</w:t>
      </w:r>
      <w:r>
        <w:rPr>
          <w:spacing w:val="-4"/>
        </w:rPr>
        <w:t xml:space="preserve"> </w:t>
      </w:r>
      <w:r>
        <w:t>perspectives</w:t>
      </w:r>
      <w:r>
        <w:rPr>
          <w:spacing w:val="-4"/>
        </w:rPr>
        <w:t xml:space="preserve"> </w:t>
      </w:r>
      <w:r>
        <w:t>and</w:t>
      </w:r>
      <w:r>
        <w:rPr>
          <w:spacing w:val="-4"/>
        </w:rPr>
        <w:t xml:space="preserve"> </w:t>
      </w:r>
      <w:r>
        <w:t>needs</w:t>
      </w:r>
      <w:r>
        <w:rPr>
          <w:spacing w:val="-3"/>
        </w:rPr>
        <w:t xml:space="preserve"> </w:t>
      </w:r>
      <w:r>
        <w:t>of</w:t>
      </w:r>
      <w:r>
        <w:rPr>
          <w:spacing w:val="-3"/>
        </w:rPr>
        <w:t xml:space="preserve"> </w:t>
      </w:r>
      <w:r>
        <w:t>groups</w:t>
      </w:r>
      <w:r>
        <w:rPr>
          <w:spacing w:val="-4"/>
        </w:rPr>
        <w:t xml:space="preserve"> </w:t>
      </w:r>
      <w:r>
        <w:t>with</w:t>
      </w:r>
      <w:r>
        <w:rPr>
          <w:spacing w:val="-4"/>
        </w:rPr>
        <w:t xml:space="preserve"> </w:t>
      </w:r>
      <w:r>
        <w:t>legitimate</w:t>
      </w:r>
      <w:r>
        <w:rPr>
          <w:spacing w:val="-5"/>
        </w:rPr>
        <w:t xml:space="preserve"> </w:t>
      </w:r>
      <w:r>
        <w:rPr>
          <w:spacing w:val="-2"/>
        </w:rPr>
        <w:t>interests.</w:t>
      </w:r>
    </w:p>
    <w:p w14:paraId="1E805DCC" w14:textId="77777777" w:rsidR="00AA4A02" w:rsidRDefault="00960F31">
      <w:pPr>
        <w:pStyle w:val="ListParagraph"/>
        <w:numPr>
          <w:ilvl w:val="1"/>
          <w:numId w:val="10"/>
        </w:numPr>
        <w:tabs>
          <w:tab w:val="left" w:pos="1562"/>
        </w:tabs>
        <w:spacing w:before="111" w:line="211" w:lineRule="auto"/>
        <w:ind w:right="655"/>
      </w:pPr>
      <w:r>
        <w:t>Define</w:t>
      </w:r>
      <w:r>
        <w:rPr>
          <w:spacing w:val="-2"/>
        </w:rPr>
        <w:t xml:space="preserve"> </w:t>
      </w:r>
      <w:r>
        <w:t>the</w:t>
      </w:r>
      <w:r>
        <w:rPr>
          <w:spacing w:val="-2"/>
        </w:rPr>
        <w:t xml:space="preserve"> </w:t>
      </w:r>
      <w:r>
        <w:t>desired</w:t>
      </w:r>
      <w:r>
        <w:rPr>
          <w:spacing w:val="-2"/>
        </w:rPr>
        <w:t xml:space="preserve"> </w:t>
      </w:r>
      <w:r>
        <w:t>goal</w:t>
      </w:r>
      <w:r>
        <w:rPr>
          <w:spacing w:val="-4"/>
        </w:rPr>
        <w:t xml:space="preserve"> </w:t>
      </w:r>
      <w:r>
        <w:t>that</w:t>
      </w:r>
      <w:r>
        <w:rPr>
          <w:spacing w:val="-4"/>
        </w:rPr>
        <w:t xml:space="preserve"> </w:t>
      </w:r>
      <w:r>
        <w:t>would</w:t>
      </w:r>
      <w:r>
        <w:rPr>
          <w:spacing w:val="-2"/>
        </w:rPr>
        <w:t xml:space="preserve"> </w:t>
      </w:r>
      <w:r>
        <w:t>allow</w:t>
      </w:r>
      <w:r>
        <w:rPr>
          <w:spacing w:val="-3"/>
        </w:rPr>
        <w:t xml:space="preserve"> </w:t>
      </w:r>
      <w:r>
        <w:t>the</w:t>
      </w:r>
      <w:r>
        <w:rPr>
          <w:spacing w:val="-4"/>
        </w:rPr>
        <w:t xml:space="preserve"> </w:t>
      </w:r>
      <w:r>
        <w:t>standard/guidance</w:t>
      </w:r>
      <w:r>
        <w:rPr>
          <w:spacing w:val="-4"/>
        </w:rPr>
        <w:t xml:space="preserve"> </w:t>
      </w:r>
      <w:r>
        <w:t>to</w:t>
      </w:r>
      <w:r>
        <w:rPr>
          <w:spacing w:val="-2"/>
        </w:rPr>
        <w:t xml:space="preserve"> </w:t>
      </w:r>
      <w:r>
        <w:t>best</w:t>
      </w:r>
      <w:r>
        <w:rPr>
          <w:spacing w:val="-3"/>
        </w:rPr>
        <w:t xml:space="preserve"> </w:t>
      </w:r>
      <w:r>
        <w:t>serve</w:t>
      </w:r>
      <w:r>
        <w:rPr>
          <w:spacing w:val="-2"/>
        </w:rPr>
        <w:t xml:space="preserve"> </w:t>
      </w:r>
      <w:r>
        <w:t xml:space="preserve">user </w:t>
      </w:r>
      <w:r>
        <w:rPr>
          <w:spacing w:val="-2"/>
        </w:rPr>
        <w:t>needs.</w:t>
      </w:r>
    </w:p>
    <w:p w14:paraId="1E805DCD" w14:textId="77777777" w:rsidR="00AA4A02" w:rsidRDefault="00960F31">
      <w:pPr>
        <w:pStyle w:val="ListParagraph"/>
        <w:numPr>
          <w:ilvl w:val="1"/>
          <w:numId w:val="10"/>
        </w:numPr>
        <w:tabs>
          <w:tab w:val="left" w:pos="1562"/>
        </w:tabs>
        <w:spacing w:before="92"/>
      </w:pPr>
      <w:r>
        <w:t>Identify</w:t>
      </w:r>
      <w:r>
        <w:rPr>
          <w:spacing w:val="-3"/>
        </w:rPr>
        <w:t xml:space="preserve"> </w:t>
      </w:r>
      <w:r>
        <w:t>criteria</w:t>
      </w:r>
      <w:r>
        <w:rPr>
          <w:spacing w:val="-4"/>
        </w:rPr>
        <w:t xml:space="preserve"> </w:t>
      </w:r>
      <w:r>
        <w:t>to</w:t>
      </w:r>
      <w:r>
        <w:rPr>
          <w:spacing w:val="-6"/>
        </w:rPr>
        <w:t xml:space="preserve"> </w:t>
      </w:r>
      <w:r>
        <w:t>assess</w:t>
      </w:r>
      <w:r>
        <w:rPr>
          <w:spacing w:val="-4"/>
        </w:rPr>
        <w:t xml:space="preserve"> </w:t>
      </w:r>
      <w:r>
        <w:t>responsiveness</w:t>
      </w:r>
      <w:r>
        <w:rPr>
          <w:spacing w:val="-5"/>
        </w:rPr>
        <w:t xml:space="preserve"> </w:t>
      </w:r>
      <w:r>
        <w:t>to</w:t>
      </w:r>
      <w:r>
        <w:rPr>
          <w:spacing w:val="-5"/>
        </w:rPr>
        <w:t xml:space="preserve"> </w:t>
      </w:r>
      <w:r>
        <w:t>the</w:t>
      </w:r>
      <w:r>
        <w:rPr>
          <w:spacing w:val="-2"/>
        </w:rPr>
        <w:t xml:space="preserve"> </w:t>
      </w:r>
      <w:r>
        <w:rPr>
          <w:spacing w:val="-4"/>
        </w:rPr>
        <w:t>goal.</w:t>
      </w:r>
    </w:p>
    <w:p w14:paraId="1E805DCE" w14:textId="77777777" w:rsidR="00AA4A02" w:rsidRDefault="00960F31">
      <w:pPr>
        <w:pStyle w:val="ListParagraph"/>
        <w:numPr>
          <w:ilvl w:val="1"/>
          <w:numId w:val="10"/>
        </w:numPr>
        <w:tabs>
          <w:tab w:val="left" w:pos="1562"/>
        </w:tabs>
        <w:spacing w:before="88"/>
      </w:pPr>
      <w:r>
        <w:t>According</w:t>
      </w:r>
      <w:r>
        <w:rPr>
          <w:spacing w:val="-9"/>
        </w:rPr>
        <w:t xml:space="preserve"> </w:t>
      </w:r>
      <w:r>
        <w:t>to</w:t>
      </w:r>
      <w:r>
        <w:rPr>
          <w:spacing w:val="-4"/>
        </w:rPr>
        <w:t xml:space="preserve"> </w:t>
      </w:r>
      <w:r>
        <w:t>the</w:t>
      </w:r>
      <w:r>
        <w:rPr>
          <w:spacing w:val="-4"/>
        </w:rPr>
        <w:t xml:space="preserve"> </w:t>
      </w:r>
      <w:r>
        <w:t>criteria,</w:t>
      </w:r>
      <w:r>
        <w:rPr>
          <w:spacing w:val="-4"/>
        </w:rPr>
        <w:t xml:space="preserve"> </w:t>
      </w:r>
      <w:r>
        <w:t>reasonably</w:t>
      </w:r>
      <w:r>
        <w:rPr>
          <w:spacing w:val="-4"/>
        </w:rPr>
        <w:t xml:space="preserve"> </w:t>
      </w:r>
      <w:r>
        <w:t>weigh</w:t>
      </w:r>
      <w:r>
        <w:rPr>
          <w:spacing w:val="-7"/>
        </w:rPr>
        <w:t xml:space="preserve"> </w:t>
      </w:r>
      <w:r>
        <w:t>input</w:t>
      </w:r>
      <w:r>
        <w:rPr>
          <w:spacing w:val="-3"/>
        </w:rPr>
        <w:t xml:space="preserve"> </w:t>
      </w:r>
      <w:r>
        <w:t>from</w:t>
      </w:r>
      <w:r>
        <w:rPr>
          <w:spacing w:val="-6"/>
        </w:rPr>
        <w:t xml:space="preserve"> </w:t>
      </w:r>
      <w:r>
        <w:t>different</w:t>
      </w:r>
      <w:r>
        <w:rPr>
          <w:spacing w:val="-4"/>
        </w:rPr>
        <w:t xml:space="preserve"> </w:t>
      </w:r>
      <w:r>
        <w:rPr>
          <w:spacing w:val="-2"/>
        </w:rPr>
        <w:t>groups.</w:t>
      </w:r>
    </w:p>
    <w:p w14:paraId="1E805DCF" w14:textId="77777777" w:rsidR="00AA4A02" w:rsidRDefault="00960F31">
      <w:pPr>
        <w:pStyle w:val="ListParagraph"/>
        <w:numPr>
          <w:ilvl w:val="1"/>
          <w:numId w:val="10"/>
        </w:numPr>
        <w:tabs>
          <w:tab w:val="left" w:pos="1562"/>
        </w:tabs>
        <w:spacing w:before="112" w:line="208" w:lineRule="auto"/>
        <w:ind w:right="623"/>
      </w:pPr>
      <w:r>
        <w:t>Assess</w:t>
      </w:r>
      <w:r>
        <w:rPr>
          <w:spacing w:val="-5"/>
        </w:rPr>
        <w:t xml:space="preserve"> </w:t>
      </w:r>
      <w:r>
        <w:t>the</w:t>
      </w:r>
      <w:r>
        <w:rPr>
          <w:spacing w:val="-5"/>
        </w:rPr>
        <w:t xml:space="preserve"> </w:t>
      </w:r>
      <w:r>
        <w:t>expected</w:t>
      </w:r>
      <w:r>
        <w:rPr>
          <w:spacing w:val="-3"/>
        </w:rPr>
        <w:t xml:space="preserve"> </w:t>
      </w:r>
      <w:r>
        <w:t>contribution</w:t>
      </w:r>
      <w:r>
        <w:rPr>
          <w:spacing w:val="-3"/>
        </w:rPr>
        <w:t xml:space="preserve"> </w:t>
      </w:r>
      <w:r>
        <w:t>of</w:t>
      </w:r>
      <w:r>
        <w:rPr>
          <w:spacing w:val="-5"/>
        </w:rPr>
        <w:t xml:space="preserve"> </w:t>
      </w:r>
      <w:r>
        <w:t>the</w:t>
      </w:r>
      <w:r>
        <w:rPr>
          <w:spacing w:val="-5"/>
        </w:rPr>
        <w:t xml:space="preserve"> </w:t>
      </w:r>
      <w:r>
        <w:t>standard/guidance</w:t>
      </w:r>
      <w:r>
        <w:rPr>
          <w:spacing w:val="-2"/>
        </w:rPr>
        <w:t xml:space="preserve"> </w:t>
      </w:r>
      <w:r>
        <w:t>to</w:t>
      </w:r>
      <w:r>
        <w:rPr>
          <w:spacing w:val="-3"/>
        </w:rPr>
        <w:t xml:space="preserve"> </w:t>
      </w:r>
      <w:r>
        <w:t>meeting</w:t>
      </w:r>
      <w:r>
        <w:rPr>
          <w:spacing w:val="-5"/>
        </w:rPr>
        <w:t xml:space="preserve"> </w:t>
      </w:r>
      <w:r>
        <w:t>its</w:t>
      </w:r>
      <w:r>
        <w:rPr>
          <w:spacing w:val="-3"/>
        </w:rPr>
        <w:t xml:space="preserve"> </w:t>
      </w:r>
      <w:r>
        <w:t>goal</w:t>
      </w:r>
      <w:r>
        <w:rPr>
          <w:spacing w:val="-2"/>
        </w:rPr>
        <w:t xml:space="preserve"> </w:t>
      </w:r>
      <w:r>
        <w:t>and consider whether it is responsive to the public interest.</w:t>
      </w:r>
    </w:p>
    <w:p w14:paraId="1E805DD0" w14:textId="77777777" w:rsidR="00AA4A02" w:rsidRDefault="00960F31">
      <w:pPr>
        <w:spacing w:before="174"/>
        <w:ind w:left="143"/>
        <w:rPr>
          <w:i/>
        </w:rPr>
      </w:pPr>
      <w:r>
        <w:rPr>
          <w:i/>
        </w:rPr>
        <w:t>Judgement</w:t>
      </w:r>
      <w:r>
        <w:rPr>
          <w:i/>
          <w:spacing w:val="-3"/>
        </w:rPr>
        <w:t xml:space="preserve"> </w:t>
      </w:r>
      <w:r>
        <w:rPr>
          <w:i/>
          <w:spacing w:val="-4"/>
        </w:rPr>
        <w:t>call</w:t>
      </w:r>
    </w:p>
    <w:p w14:paraId="1E805DD1" w14:textId="77777777" w:rsidR="00AA4A02" w:rsidRDefault="00960F31">
      <w:pPr>
        <w:pStyle w:val="ListParagraph"/>
        <w:numPr>
          <w:ilvl w:val="0"/>
          <w:numId w:val="10"/>
        </w:numPr>
        <w:tabs>
          <w:tab w:val="left" w:pos="851"/>
        </w:tabs>
        <w:spacing w:before="193" w:line="208" w:lineRule="auto"/>
        <w:ind w:right="329" w:hanging="708"/>
      </w:pPr>
      <w:r>
        <w:t>Assessing public interest requires the application of judgement. Judgement is best informed when</w:t>
      </w:r>
      <w:r>
        <w:rPr>
          <w:spacing w:val="-3"/>
        </w:rPr>
        <w:t xml:space="preserve"> </w:t>
      </w:r>
      <w:r>
        <w:t>the</w:t>
      </w:r>
      <w:r>
        <w:rPr>
          <w:spacing w:val="-3"/>
        </w:rPr>
        <w:t xml:space="preserve"> </w:t>
      </w:r>
      <w:r>
        <w:t>process</w:t>
      </w:r>
      <w:r>
        <w:rPr>
          <w:spacing w:val="-3"/>
        </w:rPr>
        <w:t xml:space="preserve"> </w:t>
      </w:r>
      <w:r>
        <w:t>and</w:t>
      </w:r>
      <w:r>
        <w:rPr>
          <w:spacing w:val="-6"/>
        </w:rPr>
        <w:t xml:space="preserve"> </w:t>
      </w:r>
      <w:r>
        <w:t>consultation</w:t>
      </w:r>
      <w:r>
        <w:rPr>
          <w:spacing w:val="-3"/>
        </w:rPr>
        <w:t xml:space="preserve"> </w:t>
      </w:r>
      <w:r>
        <w:t>elicits</w:t>
      </w:r>
      <w:r>
        <w:rPr>
          <w:spacing w:val="-3"/>
        </w:rPr>
        <w:t xml:space="preserve"> </w:t>
      </w:r>
      <w:r>
        <w:t>views</w:t>
      </w:r>
      <w:r>
        <w:rPr>
          <w:spacing w:val="-6"/>
        </w:rPr>
        <w:t xml:space="preserve"> </w:t>
      </w:r>
      <w:r>
        <w:t>from</w:t>
      </w:r>
      <w:r>
        <w:rPr>
          <w:spacing w:val="-2"/>
        </w:rPr>
        <w:t xml:space="preserve"> </w:t>
      </w:r>
      <w:r>
        <w:t>all interested</w:t>
      </w:r>
      <w:r>
        <w:rPr>
          <w:spacing w:val="-5"/>
        </w:rPr>
        <w:t xml:space="preserve"> </w:t>
      </w:r>
      <w:r>
        <w:t>stakeholders</w:t>
      </w:r>
      <w:r>
        <w:rPr>
          <w:spacing w:val="-3"/>
        </w:rPr>
        <w:t xml:space="preserve"> </w:t>
      </w:r>
      <w:r>
        <w:t>and</w:t>
      </w:r>
      <w:r>
        <w:rPr>
          <w:spacing w:val="-3"/>
        </w:rPr>
        <w:t xml:space="preserve"> </w:t>
      </w:r>
      <w:r>
        <w:t>balances the merits of the views, irrespective of whether a minority or majority view.</w:t>
      </w:r>
    </w:p>
    <w:p w14:paraId="1E805DD2" w14:textId="77777777" w:rsidR="00AA4A02" w:rsidRDefault="00AA4A02">
      <w:pPr>
        <w:pStyle w:val="ListParagraph"/>
        <w:spacing w:line="208" w:lineRule="auto"/>
        <w:sectPr w:rsidR="00AA4A02">
          <w:pgSz w:w="11910" w:h="16840"/>
          <w:pgMar w:top="1380" w:right="1275" w:bottom="1040" w:left="1275" w:header="689" w:footer="842" w:gutter="0"/>
          <w:cols w:space="720"/>
        </w:sectPr>
      </w:pPr>
    </w:p>
    <w:p w14:paraId="1E805DD3" w14:textId="77777777" w:rsidR="00AA4A02" w:rsidRDefault="00960F31">
      <w:pPr>
        <w:spacing w:before="196"/>
        <w:ind w:right="229"/>
        <w:jc w:val="right"/>
        <w:rPr>
          <w:b/>
          <w:sz w:val="24"/>
        </w:rPr>
      </w:pPr>
      <w:r>
        <w:rPr>
          <w:b/>
          <w:sz w:val="24"/>
        </w:rPr>
        <w:lastRenderedPageBreak/>
        <w:t xml:space="preserve">Appendix </w:t>
      </w:r>
      <w:r>
        <w:rPr>
          <w:b/>
          <w:spacing w:val="-10"/>
          <w:sz w:val="24"/>
        </w:rPr>
        <w:t>2</w:t>
      </w:r>
    </w:p>
    <w:p w14:paraId="1E805DD4" w14:textId="77777777" w:rsidR="00AA4A02" w:rsidRDefault="00960F31">
      <w:pPr>
        <w:pStyle w:val="Heading6"/>
        <w:spacing w:before="188"/>
        <w:ind w:left="143" w:firstLine="0"/>
      </w:pPr>
      <w:bookmarkStart w:id="109" w:name="Categories_of_Pronouncements_and_Other_M"/>
      <w:bookmarkEnd w:id="109"/>
      <w:r>
        <w:t>Categories</w:t>
      </w:r>
      <w:r>
        <w:rPr>
          <w:spacing w:val="-6"/>
        </w:rPr>
        <w:t xml:space="preserve"> </w:t>
      </w:r>
      <w:r>
        <w:t>of</w:t>
      </w:r>
      <w:r>
        <w:rPr>
          <w:spacing w:val="-7"/>
        </w:rPr>
        <w:t xml:space="preserve"> </w:t>
      </w:r>
      <w:r>
        <w:t>Pronouncements</w:t>
      </w:r>
      <w:r>
        <w:rPr>
          <w:spacing w:val="-4"/>
        </w:rPr>
        <w:t xml:space="preserve"> </w:t>
      </w:r>
      <w:r>
        <w:t>and</w:t>
      </w:r>
      <w:r>
        <w:rPr>
          <w:spacing w:val="-3"/>
        </w:rPr>
        <w:t xml:space="preserve"> </w:t>
      </w:r>
      <w:r>
        <w:t>Other</w:t>
      </w:r>
      <w:r>
        <w:rPr>
          <w:spacing w:val="-5"/>
        </w:rPr>
        <w:t xml:space="preserve"> </w:t>
      </w:r>
      <w:r>
        <w:t>Materials</w:t>
      </w:r>
      <w:r>
        <w:rPr>
          <w:spacing w:val="-4"/>
        </w:rPr>
        <w:t xml:space="preserve"> </w:t>
      </w:r>
      <w:r>
        <w:t>issued</w:t>
      </w:r>
      <w:r>
        <w:rPr>
          <w:spacing w:val="-7"/>
        </w:rPr>
        <w:t xml:space="preserve"> </w:t>
      </w:r>
      <w:r>
        <w:t>by</w:t>
      </w:r>
      <w:r>
        <w:rPr>
          <w:spacing w:val="-6"/>
        </w:rPr>
        <w:t xml:space="preserve"> </w:t>
      </w:r>
      <w:r>
        <w:t>the</w:t>
      </w:r>
      <w:r>
        <w:rPr>
          <w:spacing w:val="-8"/>
        </w:rPr>
        <w:t xml:space="preserve"> </w:t>
      </w:r>
      <w:r>
        <w:rPr>
          <w:spacing w:val="-2"/>
        </w:rPr>
        <w:t>AUASB</w:t>
      </w:r>
    </w:p>
    <w:p w14:paraId="1E805DD5" w14:textId="77777777" w:rsidR="00AA4A02" w:rsidRDefault="00960F31">
      <w:pPr>
        <w:pStyle w:val="BodyText"/>
        <w:spacing w:before="92"/>
        <w:rPr>
          <w:b/>
          <w:sz w:val="20"/>
        </w:rPr>
      </w:pPr>
      <w:r>
        <w:rPr>
          <w:b/>
          <w:noProof/>
          <w:sz w:val="20"/>
        </w:rPr>
        <mc:AlternateContent>
          <mc:Choice Requires="wpg">
            <w:drawing>
              <wp:anchor distT="0" distB="0" distL="0" distR="0" simplePos="0" relativeHeight="487617536" behindDoc="1" locked="0" layoutInCell="1" allowOverlap="1" wp14:anchorId="1E805F87" wp14:editId="1E805F88">
                <wp:simplePos x="0" y="0"/>
                <wp:positionH relativeFrom="page">
                  <wp:posOffset>965164</wp:posOffset>
                </wp:positionH>
                <wp:positionV relativeFrom="paragraph">
                  <wp:posOffset>220119</wp:posOffset>
                </wp:positionV>
                <wp:extent cx="5607050" cy="481012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4810125"/>
                          <a:chOff x="0" y="0"/>
                          <a:chExt cx="5607050" cy="4810125"/>
                        </a:xfrm>
                      </wpg:grpSpPr>
                      <wps:wsp>
                        <wps:cNvPr id="94" name="Graphic 94"/>
                        <wps:cNvSpPr/>
                        <wps:spPr>
                          <a:xfrm>
                            <a:off x="404184" y="1337693"/>
                            <a:ext cx="4163695" cy="2216785"/>
                          </a:xfrm>
                          <a:custGeom>
                            <a:avLst/>
                            <a:gdLst/>
                            <a:ahLst/>
                            <a:cxnLst/>
                            <a:rect l="l" t="t" r="r" b="b"/>
                            <a:pathLst>
                              <a:path w="4163695" h="2216785">
                                <a:moveTo>
                                  <a:pt x="4154846" y="0"/>
                                </a:moveTo>
                                <a:lnTo>
                                  <a:pt x="4154846" y="233370"/>
                                </a:lnTo>
                              </a:path>
                              <a:path w="4163695" h="2216785">
                                <a:moveTo>
                                  <a:pt x="1379153" y="0"/>
                                </a:moveTo>
                                <a:lnTo>
                                  <a:pt x="1379153" y="233370"/>
                                </a:lnTo>
                              </a:path>
                              <a:path w="4163695" h="2216785">
                                <a:moveTo>
                                  <a:pt x="1379153" y="431476"/>
                                </a:moveTo>
                                <a:lnTo>
                                  <a:pt x="1379153" y="708063"/>
                                </a:lnTo>
                              </a:path>
                              <a:path w="4163695" h="2216785">
                                <a:moveTo>
                                  <a:pt x="463581" y="1026138"/>
                                </a:moveTo>
                                <a:lnTo>
                                  <a:pt x="463581" y="1257434"/>
                                </a:lnTo>
                              </a:path>
                              <a:path w="4163695" h="2216785">
                                <a:moveTo>
                                  <a:pt x="492554" y="1778455"/>
                                </a:moveTo>
                                <a:lnTo>
                                  <a:pt x="492554" y="1994654"/>
                                </a:lnTo>
                              </a:path>
                              <a:path w="4163695" h="2216785">
                                <a:moveTo>
                                  <a:pt x="0" y="1994193"/>
                                </a:moveTo>
                                <a:lnTo>
                                  <a:pt x="992111" y="2002606"/>
                                </a:lnTo>
                              </a:path>
                              <a:path w="4163695" h="2216785">
                                <a:moveTo>
                                  <a:pt x="5794" y="1994193"/>
                                </a:moveTo>
                                <a:lnTo>
                                  <a:pt x="5794" y="2213273"/>
                                </a:lnTo>
                              </a:path>
                              <a:path w="4163695" h="2216785">
                                <a:moveTo>
                                  <a:pt x="990904" y="2005257"/>
                                </a:moveTo>
                                <a:lnTo>
                                  <a:pt x="990904" y="2216270"/>
                                </a:lnTo>
                              </a:path>
                              <a:path w="4163695" h="2216785">
                                <a:moveTo>
                                  <a:pt x="2419314" y="1026138"/>
                                </a:moveTo>
                                <a:lnTo>
                                  <a:pt x="2419314" y="1257434"/>
                                </a:lnTo>
                              </a:path>
                              <a:path w="4163695" h="2216785">
                                <a:moveTo>
                                  <a:pt x="2419314" y="1916749"/>
                                </a:moveTo>
                                <a:lnTo>
                                  <a:pt x="2419314" y="2215463"/>
                                </a:lnTo>
                              </a:path>
                              <a:path w="4163695" h="2216785">
                                <a:moveTo>
                                  <a:pt x="4163658" y="481261"/>
                                </a:moveTo>
                                <a:lnTo>
                                  <a:pt x="4163538" y="1225857"/>
                                </a:lnTo>
                              </a:path>
                            </a:pathLst>
                          </a:custGeom>
                          <a:ln w="8494">
                            <a:solidFill>
                              <a:srgbClr val="497DBA"/>
                            </a:solidFill>
                            <a:prstDash val="solid"/>
                          </a:ln>
                        </wps:spPr>
                        <wps:bodyPr wrap="square" lIns="0" tIns="0" rIns="0" bIns="0" rtlCol="0">
                          <a:prstTxWarp prst="textNoShape">
                            <a:avLst/>
                          </a:prstTxWarp>
                          <a:noAutofit/>
                        </wps:bodyPr>
                      </wps:wsp>
                      <wps:wsp>
                        <wps:cNvPr id="95" name="Graphic 95"/>
                        <wps:cNvSpPr/>
                        <wps:spPr>
                          <a:xfrm>
                            <a:off x="4586797" y="3192013"/>
                            <a:ext cx="1270" cy="375285"/>
                          </a:xfrm>
                          <a:custGeom>
                            <a:avLst/>
                            <a:gdLst/>
                            <a:ahLst/>
                            <a:cxnLst/>
                            <a:rect l="l" t="t" r="r" b="b"/>
                            <a:pathLst>
                              <a:path h="375285">
                                <a:moveTo>
                                  <a:pt x="0" y="0"/>
                                </a:moveTo>
                                <a:lnTo>
                                  <a:pt x="0" y="374972"/>
                                </a:lnTo>
                              </a:path>
                            </a:pathLst>
                          </a:custGeom>
                          <a:ln w="17866">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19" cstate="print"/>
                          <a:stretch>
                            <a:fillRect/>
                          </a:stretch>
                        </pic:blipFill>
                        <pic:spPr>
                          <a:xfrm>
                            <a:off x="161033" y="469656"/>
                            <a:ext cx="5261188" cy="289522"/>
                          </a:xfrm>
                          <a:prstGeom prst="rect">
                            <a:avLst/>
                          </a:prstGeom>
                        </pic:spPr>
                      </pic:pic>
                      <pic:pic xmlns:pic="http://schemas.openxmlformats.org/drawingml/2006/picture">
                        <pic:nvPicPr>
                          <pic:cNvPr id="97" name="Image 97"/>
                          <pic:cNvPicPr/>
                        </pic:nvPicPr>
                        <pic:blipFill>
                          <a:blip r:embed="rId120" cstate="print"/>
                          <a:stretch>
                            <a:fillRect/>
                          </a:stretch>
                        </pic:blipFill>
                        <pic:spPr>
                          <a:xfrm>
                            <a:off x="2396135" y="517612"/>
                            <a:ext cx="779395" cy="193611"/>
                          </a:xfrm>
                          <a:prstGeom prst="rect">
                            <a:avLst/>
                          </a:prstGeom>
                        </pic:spPr>
                      </pic:pic>
                      <pic:pic xmlns:pic="http://schemas.openxmlformats.org/drawingml/2006/picture">
                        <pic:nvPicPr>
                          <pic:cNvPr id="98" name="Image 98"/>
                          <pic:cNvPicPr/>
                        </pic:nvPicPr>
                        <pic:blipFill>
                          <a:blip r:embed="rId121" cstate="print"/>
                          <a:stretch>
                            <a:fillRect/>
                          </a:stretch>
                        </pic:blipFill>
                        <pic:spPr>
                          <a:xfrm>
                            <a:off x="156458" y="749945"/>
                            <a:ext cx="5270338" cy="298714"/>
                          </a:xfrm>
                          <a:prstGeom prst="rect">
                            <a:avLst/>
                          </a:prstGeom>
                        </pic:spPr>
                      </pic:pic>
                      <pic:pic xmlns:pic="http://schemas.openxmlformats.org/drawingml/2006/picture">
                        <pic:nvPicPr>
                          <pic:cNvPr id="99" name="Image 99"/>
                          <pic:cNvPicPr/>
                        </pic:nvPicPr>
                        <pic:blipFill>
                          <a:blip r:embed="rId122" cstate="print"/>
                          <a:stretch>
                            <a:fillRect/>
                          </a:stretch>
                        </pic:blipFill>
                        <pic:spPr>
                          <a:xfrm>
                            <a:off x="2428006" y="799731"/>
                            <a:ext cx="715653" cy="196376"/>
                          </a:xfrm>
                          <a:prstGeom prst="rect">
                            <a:avLst/>
                          </a:prstGeom>
                        </pic:spPr>
                      </pic:pic>
                      <wps:wsp>
                        <wps:cNvPr id="100" name="Graphic 100"/>
                        <wps:cNvSpPr/>
                        <wps:spPr>
                          <a:xfrm>
                            <a:off x="163702" y="1052808"/>
                            <a:ext cx="5255895" cy="285115"/>
                          </a:xfrm>
                          <a:custGeom>
                            <a:avLst/>
                            <a:gdLst/>
                            <a:ahLst/>
                            <a:cxnLst/>
                            <a:rect l="l" t="t" r="r" b="b"/>
                            <a:pathLst>
                              <a:path w="5255895" h="285115">
                                <a:moveTo>
                                  <a:pt x="5255851" y="0"/>
                                </a:moveTo>
                                <a:lnTo>
                                  <a:pt x="0" y="0"/>
                                </a:lnTo>
                                <a:lnTo>
                                  <a:pt x="0" y="284884"/>
                                </a:lnTo>
                                <a:lnTo>
                                  <a:pt x="5255851" y="284884"/>
                                </a:lnTo>
                                <a:lnTo>
                                  <a:pt x="5255851" y="0"/>
                                </a:lnTo>
                                <a:close/>
                              </a:path>
                            </a:pathLst>
                          </a:custGeom>
                          <a:solidFill>
                            <a:srgbClr val="85293E"/>
                          </a:solidFill>
                        </wps:spPr>
                        <wps:bodyPr wrap="square" lIns="0" tIns="0" rIns="0" bIns="0" rtlCol="0">
                          <a:prstTxWarp prst="textNoShape">
                            <a:avLst/>
                          </a:prstTxWarp>
                          <a:noAutofit/>
                        </wps:bodyPr>
                      </wps:wsp>
                      <wps:wsp>
                        <wps:cNvPr id="101" name="Graphic 101"/>
                        <wps:cNvSpPr/>
                        <wps:spPr>
                          <a:xfrm>
                            <a:off x="163702" y="1052808"/>
                            <a:ext cx="5255895" cy="285115"/>
                          </a:xfrm>
                          <a:custGeom>
                            <a:avLst/>
                            <a:gdLst/>
                            <a:ahLst/>
                            <a:cxnLst/>
                            <a:rect l="l" t="t" r="r" b="b"/>
                            <a:pathLst>
                              <a:path w="5255895" h="285115">
                                <a:moveTo>
                                  <a:pt x="0" y="284884"/>
                                </a:moveTo>
                                <a:lnTo>
                                  <a:pt x="5255851" y="284884"/>
                                </a:lnTo>
                                <a:lnTo>
                                  <a:pt x="5255851" y="0"/>
                                </a:lnTo>
                                <a:lnTo>
                                  <a:pt x="0" y="0"/>
                                </a:lnTo>
                                <a:lnTo>
                                  <a:pt x="0" y="284884"/>
                                </a:lnTo>
                                <a:close/>
                              </a:path>
                            </a:pathLst>
                          </a:custGeom>
                          <a:ln w="82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123" cstate="print"/>
                          <a:stretch>
                            <a:fillRect/>
                          </a:stretch>
                        </pic:blipFill>
                        <pic:spPr>
                          <a:xfrm>
                            <a:off x="1263258" y="1095679"/>
                            <a:ext cx="3042251" cy="196376"/>
                          </a:xfrm>
                          <a:prstGeom prst="rect">
                            <a:avLst/>
                          </a:prstGeom>
                        </pic:spPr>
                      </pic:pic>
                      <pic:pic xmlns:pic="http://schemas.openxmlformats.org/drawingml/2006/picture">
                        <pic:nvPicPr>
                          <pic:cNvPr id="103" name="Image 103"/>
                          <pic:cNvPicPr/>
                        </pic:nvPicPr>
                        <pic:blipFill>
                          <a:blip r:embed="rId124" cstate="print"/>
                          <a:stretch>
                            <a:fillRect/>
                          </a:stretch>
                        </pic:blipFill>
                        <pic:spPr>
                          <a:xfrm>
                            <a:off x="544707" y="2038842"/>
                            <a:ext cx="2767000" cy="331904"/>
                          </a:xfrm>
                          <a:prstGeom prst="rect">
                            <a:avLst/>
                          </a:prstGeom>
                        </pic:spPr>
                      </pic:pic>
                      <pic:pic xmlns:pic="http://schemas.openxmlformats.org/drawingml/2006/picture">
                        <pic:nvPicPr>
                          <pic:cNvPr id="104" name="Image 104"/>
                          <pic:cNvPicPr/>
                        </pic:nvPicPr>
                        <pic:blipFill>
                          <a:blip r:embed="rId125" cstate="print"/>
                          <a:stretch>
                            <a:fillRect/>
                          </a:stretch>
                        </pic:blipFill>
                        <pic:spPr>
                          <a:xfrm>
                            <a:off x="556297" y="2085861"/>
                            <a:ext cx="2665591" cy="232333"/>
                          </a:xfrm>
                          <a:prstGeom prst="rect">
                            <a:avLst/>
                          </a:prstGeom>
                        </pic:spPr>
                      </pic:pic>
                      <wps:wsp>
                        <wps:cNvPr id="105" name="Graphic 105"/>
                        <wps:cNvSpPr/>
                        <wps:spPr>
                          <a:xfrm>
                            <a:off x="114446" y="3553156"/>
                            <a:ext cx="967740" cy="503555"/>
                          </a:xfrm>
                          <a:custGeom>
                            <a:avLst/>
                            <a:gdLst/>
                            <a:ahLst/>
                            <a:cxnLst/>
                            <a:rect l="l" t="t" r="r" b="b"/>
                            <a:pathLst>
                              <a:path w="967740" h="503555">
                                <a:moveTo>
                                  <a:pt x="967725" y="0"/>
                                </a:moveTo>
                                <a:lnTo>
                                  <a:pt x="0" y="0"/>
                                </a:lnTo>
                                <a:lnTo>
                                  <a:pt x="0" y="503388"/>
                                </a:lnTo>
                                <a:lnTo>
                                  <a:pt x="967725" y="503388"/>
                                </a:lnTo>
                                <a:lnTo>
                                  <a:pt x="967725" y="0"/>
                                </a:lnTo>
                                <a:close/>
                              </a:path>
                            </a:pathLst>
                          </a:custGeom>
                          <a:solidFill>
                            <a:srgbClr val="85293E"/>
                          </a:solidFill>
                        </wps:spPr>
                        <wps:bodyPr wrap="square" lIns="0" tIns="0" rIns="0" bIns="0" rtlCol="0">
                          <a:prstTxWarp prst="textNoShape">
                            <a:avLst/>
                          </a:prstTxWarp>
                          <a:noAutofit/>
                        </wps:bodyPr>
                      </wps:wsp>
                      <wps:wsp>
                        <wps:cNvPr id="106" name="Graphic 106"/>
                        <wps:cNvSpPr/>
                        <wps:spPr>
                          <a:xfrm>
                            <a:off x="114446" y="3553156"/>
                            <a:ext cx="967740" cy="503555"/>
                          </a:xfrm>
                          <a:custGeom>
                            <a:avLst/>
                            <a:gdLst/>
                            <a:ahLst/>
                            <a:cxnLst/>
                            <a:rect l="l" t="t" r="r" b="b"/>
                            <a:pathLst>
                              <a:path w="967740" h="503555">
                                <a:moveTo>
                                  <a:pt x="0" y="503388"/>
                                </a:moveTo>
                                <a:lnTo>
                                  <a:pt x="967725" y="503388"/>
                                </a:lnTo>
                                <a:lnTo>
                                  <a:pt x="967725" y="0"/>
                                </a:lnTo>
                                <a:lnTo>
                                  <a:pt x="0" y="0"/>
                                </a:lnTo>
                                <a:lnTo>
                                  <a:pt x="0" y="503388"/>
                                </a:lnTo>
                                <a:close/>
                              </a:path>
                            </a:pathLst>
                          </a:custGeom>
                          <a:ln w="83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126" cstate="print"/>
                          <a:stretch>
                            <a:fillRect/>
                          </a:stretch>
                        </pic:blipFill>
                        <pic:spPr>
                          <a:xfrm>
                            <a:off x="118792" y="3596027"/>
                            <a:ext cx="863419" cy="212972"/>
                          </a:xfrm>
                          <a:prstGeom prst="rect">
                            <a:avLst/>
                          </a:prstGeom>
                        </pic:spPr>
                      </pic:pic>
                      <pic:pic xmlns:pic="http://schemas.openxmlformats.org/drawingml/2006/picture">
                        <pic:nvPicPr>
                          <pic:cNvPr id="108" name="Image 108"/>
                          <pic:cNvPicPr/>
                        </pic:nvPicPr>
                        <pic:blipFill>
                          <a:blip r:embed="rId127" cstate="print"/>
                          <a:stretch>
                            <a:fillRect/>
                          </a:stretch>
                        </pic:blipFill>
                        <pic:spPr>
                          <a:xfrm>
                            <a:off x="118792" y="3659642"/>
                            <a:ext cx="750422" cy="276587"/>
                          </a:xfrm>
                          <a:prstGeom prst="rect">
                            <a:avLst/>
                          </a:prstGeom>
                        </pic:spPr>
                      </pic:pic>
                      <pic:pic xmlns:pic="http://schemas.openxmlformats.org/drawingml/2006/picture">
                        <pic:nvPicPr>
                          <pic:cNvPr id="109" name="Image 109"/>
                          <pic:cNvPicPr/>
                        </pic:nvPicPr>
                        <pic:blipFill>
                          <a:blip r:embed="rId128" cstate="print"/>
                          <a:stretch>
                            <a:fillRect/>
                          </a:stretch>
                        </pic:blipFill>
                        <pic:spPr>
                          <a:xfrm>
                            <a:off x="118792" y="3786873"/>
                            <a:ext cx="802574" cy="224035"/>
                          </a:xfrm>
                          <a:prstGeom prst="rect">
                            <a:avLst/>
                          </a:prstGeom>
                        </pic:spPr>
                      </pic:pic>
                      <wps:wsp>
                        <wps:cNvPr id="110" name="Graphic 110"/>
                        <wps:cNvSpPr/>
                        <wps:spPr>
                          <a:xfrm>
                            <a:off x="1171991" y="3553156"/>
                            <a:ext cx="1043305" cy="503555"/>
                          </a:xfrm>
                          <a:custGeom>
                            <a:avLst/>
                            <a:gdLst/>
                            <a:ahLst/>
                            <a:cxnLst/>
                            <a:rect l="l" t="t" r="r" b="b"/>
                            <a:pathLst>
                              <a:path w="1043305" h="503555">
                                <a:moveTo>
                                  <a:pt x="1043057" y="0"/>
                                </a:moveTo>
                                <a:lnTo>
                                  <a:pt x="0" y="0"/>
                                </a:lnTo>
                                <a:lnTo>
                                  <a:pt x="0" y="503388"/>
                                </a:lnTo>
                                <a:lnTo>
                                  <a:pt x="1043057" y="503388"/>
                                </a:lnTo>
                                <a:lnTo>
                                  <a:pt x="1043057" y="0"/>
                                </a:lnTo>
                                <a:close/>
                              </a:path>
                            </a:pathLst>
                          </a:custGeom>
                          <a:solidFill>
                            <a:srgbClr val="85293E"/>
                          </a:solidFill>
                        </wps:spPr>
                        <wps:bodyPr wrap="square" lIns="0" tIns="0" rIns="0" bIns="0" rtlCol="0">
                          <a:prstTxWarp prst="textNoShape">
                            <a:avLst/>
                          </a:prstTxWarp>
                          <a:noAutofit/>
                        </wps:bodyPr>
                      </wps:wsp>
                      <wps:wsp>
                        <wps:cNvPr id="111" name="Graphic 111"/>
                        <wps:cNvSpPr/>
                        <wps:spPr>
                          <a:xfrm>
                            <a:off x="1171991" y="3553156"/>
                            <a:ext cx="1043305" cy="503555"/>
                          </a:xfrm>
                          <a:custGeom>
                            <a:avLst/>
                            <a:gdLst/>
                            <a:ahLst/>
                            <a:cxnLst/>
                            <a:rect l="l" t="t" r="r" b="b"/>
                            <a:pathLst>
                              <a:path w="1043305" h="503555">
                                <a:moveTo>
                                  <a:pt x="0" y="503388"/>
                                </a:moveTo>
                                <a:lnTo>
                                  <a:pt x="1043057" y="503388"/>
                                </a:lnTo>
                                <a:lnTo>
                                  <a:pt x="1043057" y="0"/>
                                </a:lnTo>
                                <a:lnTo>
                                  <a:pt x="0" y="0"/>
                                </a:lnTo>
                                <a:lnTo>
                                  <a:pt x="0" y="503388"/>
                                </a:lnTo>
                                <a:close/>
                              </a:path>
                            </a:pathLst>
                          </a:custGeom>
                          <a:ln w="83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29" cstate="print"/>
                          <a:stretch>
                            <a:fillRect/>
                          </a:stretch>
                        </pic:blipFill>
                        <pic:spPr>
                          <a:xfrm>
                            <a:off x="1176337" y="3596027"/>
                            <a:ext cx="1028570" cy="212972"/>
                          </a:xfrm>
                          <a:prstGeom prst="rect">
                            <a:avLst/>
                          </a:prstGeom>
                        </pic:spPr>
                      </pic:pic>
                      <pic:pic xmlns:pic="http://schemas.openxmlformats.org/drawingml/2006/picture">
                        <pic:nvPicPr>
                          <pic:cNvPr id="113" name="Image 113"/>
                          <pic:cNvPicPr/>
                        </pic:nvPicPr>
                        <pic:blipFill>
                          <a:blip r:embed="rId130" cstate="print"/>
                          <a:stretch>
                            <a:fillRect/>
                          </a:stretch>
                        </pic:blipFill>
                        <pic:spPr>
                          <a:xfrm>
                            <a:off x="1176337" y="3659642"/>
                            <a:ext cx="654808" cy="276587"/>
                          </a:xfrm>
                          <a:prstGeom prst="rect">
                            <a:avLst/>
                          </a:prstGeom>
                        </pic:spPr>
                      </pic:pic>
                      <pic:pic xmlns:pic="http://schemas.openxmlformats.org/drawingml/2006/picture">
                        <pic:nvPicPr>
                          <pic:cNvPr id="114" name="Image 114"/>
                          <pic:cNvPicPr/>
                        </pic:nvPicPr>
                        <pic:blipFill>
                          <a:blip r:embed="rId131" cstate="print"/>
                          <a:stretch>
                            <a:fillRect/>
                          </a:stretch>
                        </pic:blipFill>
                        <pic:spPr>
                          <a:xfrm>
                            <a:off x="1176337" y="3786873"/>
                            <a:ext cx="996699" cy="224035"/>
                          </a:xfrm>
                          <a:prstGeom prst="rect">
                            <a:avLst/>
                          </a:prstGeom>
                        </pic:spPr>
                      </pic:pic>
                      <wps:wsp>
                        <wps:cNvPr id="115" name="Graphic 115"/>
                        <wps:cNvSpPr/>
                        <wps:spPr>
                          <a:xfrm>
                            <a:off x="2380199" y="3553156"/>
                            <a:ext cx="1063625" cy="503555"/>
                          </a:xfrm>
                          <a:custGeom>
                            <a:avLst/>
                            <a:gdLst/>
                            <a:ahLst/>
                            <a:cxnLst/>
                            <a:rect l="l" t="t" r="r" b="b"/>
                            <a:pathLst>
                              <a:path w="1063625" h="503555">
                                <a:moveTo>
                                  <a:pt x="1063339" y="0"/>
                                </a:moveTo>
                                <a:lnTo>
                                  <a:pt x="0" y="0"/>
                                </a:lnTo>
                                <a:lnTo>
                                  <a:pt x="0" y="503388"/>
                                </a:lnTo>
                                <a:lnTo>
                                  <a:pt x="1063339" y="503388"/>
                                </a:lnTo>
                                <a:lnTo>
                                  <a:pt x="1063339" y="0"/>
                                </a:lnTo>
                                <a:close/>
                              </a:path>
                            </a:pathLst>
                          </a:custGeom>
                          <a:solidFill>
                            <a:srgbClr val="85293E"/>
                          </a:solidFill>
                        </wps:spPr>
                        <wps:bodyPr wrap="square" lIns="0" tIns="0" rIns="0" bIns="0" rtlCol="0">
                          <a:prstTxWarp prst="textNoShape">
                            <a:avLst/>
                          </a:prstTxWarp>
                          <a:noAutofit/>
                        </wps:bodyPr>
                      </wps:wsp>
                      <wps:wsp>
                        <wps:cNvPr id="116" name="Graphic 116"/>
                        <wps:cNvSpPr/>
                        <wps:spPr>
                          <a:xfrm>
                            <a:off x="2380199" y="3553156"/>
                            <a:ext cx="1063625" cy="503555"/>
                          </a:xfrm>
                          <a:custGeom>
                            <a:avLst/>
                            <a:gdLst/>
                            <a:ahLst/>
                            <a:cxnLst/>
                            <a:rect l="l" t="t" r="r" b="b"/>
                            <a:pathLst>
                              <a:path w="1063625" h="503555">
                                <a:moveTo>
                                  <a:pt x="0" y="503388"/>
                                </a:moveTo>
                                <a:lnTo>
                                  <a:pt x="1063339" y="503388"/>
                                </a:lnTo>
                                <a:lnTo>
                                  <a:pt x="1063339" y="0"/>
                                </a:lnTo>
                                <a:lnTo>
                                  <a:pt x="0" y="0"/>
                                </a:lnTo>
                                <a:lnTo>
                                  <a:pt x="0" y="503388"/>
                                </a:lnTo>
                                <a:close/>
                              </a:path>
                            </a:pathLst>
                          </a:custGeom>
                          <a:ln w="8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32" cstate="print"/>
                          <a:stretch>
                            <a:fillRect/>
                          </a:stretch>
                        </pic:blipFill>
                        <pic:spPr>
                          <a:xfrm>
                            <a:off x="2387443" y="3593262"/>
                            <a:ext cx="1028570" cy="212972"/>
                          </a:xfrm>
                          <a:prstGeom prst="rect">
                            <a:avLst/>
                          </a:prstGeom>
                        </pic:spPr>
                      </pic:pic>
                      <pic:pic xmlns:pic="http://schemas.openxmlformats.org/drawingml/2006/picture">
                        <pic:nvPicPr>
                          <pic:cNvPr id="118" name="Image 118"/>
                          <pic:cNvPicPr/>
                        </pic:nvPicPr>
                        <pic:blipFill>
                          <a:blip r:embed="rId133" cstate="print"/>
                          <a:stretch>
                            <a:fillRect/>
                          </a:stretch>
                        </pic:blipFill>
                        <pic:spPr>
                          <a:xfrm>
                            <a:off x="2387443" y="3656877"/>
                            <a:ext cx="848933" cy="276587"/>
                          </a:xfrm>
                          <a:prstGeom prst="rect">
                            <a:avLst/>
                          </a:prstGeom>
                        </pic:spPr>
                      </pic:pic>
                      <pic:pic xmlns:pic="http://schemas.openxmlformats.org/drawingml/2006/picture">
                        <pic:nvPicPr>
                          <pic:cNvPr id="119" name="Image 119"/>
                          <pic:cNvPicPr/>
                        </pic:nvPicPr>
                        <pic:blipFill>
                          <a:blip r:embed="rId134" cstate="print"/>
                          <a:stretch>
                            <a:fillRect/>
                          </a:stretch>
                        </pic:blipFill>
                        <pic:spPr>
                          <a:xfrm>
                            <a:off x="2387443" y="3784107"/>
                            <a:ext cx="996699" cy="224035"/>
                          </a:xfrm>
                          <a:prstGeom prst="rect">
                            <a:avLst/>
                          </a:prstGeom>
                        </pic:spPr>
                      </pic:pic>
                      <wps:wsp>
                        <wps:cNvPr id="120" name="Graphic 120"/>
                        <wps:cNvSpPr/>
                        <wps:spPr>
                          <a:xfrm>
                            <a:off x="4049091" y="3566986"/>
                            <a:ext cx="1049020" cy="489584"/>
                          </a:xfrm>
                          <a:custGeom>
                            <a:avLst/>
                            <a:gdLst/>
                            <a:ahLst/>
                            <a:cxnLst/>
                            <a:rect l="l" t="t" r="r" b="b"/>
                            <a:pathLst>
                              <a:path w="1049020" h="489584">
                                <a:moveTo>
                                  <a:pt x="1048852" y="0"/>
                                </a:moveTo>
                                <a:lnTo>
                                  <a:pt x="0" y="0"/>
                                </a:lnTo>
                                <a:lnTo>
                                  <a:pt x="0" y="489559"/>
                                </a:lnTo>
                                <a:lnTo>
                                  <a:pt x="1048852" y="489559"/>
                                </a:lnTo>
                                <a:lnTo>
                                  <a:pt x="1048852" y="0"/>
                                </a:lnTo>
                                <a:close/>
                              </a:path>
                            </a:pathLst>
                          </a:custGeom>
                          <a:solidFill>
                            <a:srgbClr val="85293E"/>
                          </a:solidFill>
                        </wps:spPr>
                        <wps:bodyPr wrap="square" lIns="0" tIns="0" rIns="0" bIns="0" rtlCol="0">
                          <a:prstTxWarp prst="textNoShape">
                            <a:avLst/>
                          </a:prstTxWarp>
                          <a:noAutofit/>
                        </wps:bodyPr>
                      </wps:wsp>
                      <wps:wsp>
                        <wps:cNvPr id="121" name="Graphic 121"/>
                        <wps:cNvSpPr/>
                        <wps:spPr>
                          <a:xfrm>
                            <a:off x="4049091" y="3566986"/>
                            <a:ext cx="1049020" cy="489584"/>
                          </a:xfrm>
                          <a:custGeom>
                            <a:avLst/>
                            <a:gdLst/>
                            <a:ahLst/>
                            <a:cxnLst/>
                            <a:rect l="l" t="t" r="r" b="b"/>
                            <a:pathLst>
                              <a:path w="1049020" h="489584">
                                <a:moveTo>
                                  <a:pt x="0" y="489559"/>
                                </a:moveTo>
                                <a:lnTo>
                                  <a:pt x="1048852" y="489559"/>
                                </a:lnTo>
                                <a:lnTo>
                                  <a:pt x="1048852" y="0"/>
                                </a:lnTo>
                                <a:lnTo>
                                  <a:pt x="0" y="0"/>
                                </a:lnTo>
                                <a:lnTo>
                                  <a:pt x="0" y="489559"/>
                                </a:lnTo>
                                <a:close/>
                              </a:path>
                            </a:pathLst>
                          </a:custGeom>
                          <a:ln w="836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35" cstate="print"/>
                          <a:stretch>
                            <a:fillRect/>
                          </a:stretch>
                        </pic:blipFill>
                        <pic:spPr>
                          <a:xfrm>
                            <a:off x="4053437" y="3612623"/>
                            <a:ext cx="1028570" cy="210206"/>
                          </a:xfrm>
                          <a:prstGeom prst="rect">
                            <a:avLst/>
                          </a:prstGeom>
                        </pic:spPr>
                      </pic:pic>
                      <pic:pic xmlns:pic="http://schemas.openxmlformats.org/drawingml/2006/picture">
                        <pic:nvPicPr>
                          <pic:cNvPr id="123" name="Image 123"/>
                          <pic:cNvPicPr/>
                        </pic:nvPicPr>
                        <pic:blipFill>
                          <a:blip r:embed="rId136" cstate="print"/>
                          <a:stretch>
                            <a:fillRect/>
                          </a:stretch>
                        </pic:blipFill>
                        <pic:spPr>
                          <a:xfrm>
                            <a:off x="4053437" y="3673472"/>
                            <a:ext cx="677987" cy="276587"/>
                          </a:xfrm>
                          <a:prstGeom prst="rect">
                            <a:avLst/>
                          </a:prstGeom>
                        </pic:spPr>
                      </pic:pic>
                      <pic:pic xmlns:pic="http://schemas.openxmlformats.org/drawingml/2006/picture">
                        <pic:nvPicPr>
                          <pic:cNvPr id="124" name="Image 124"/>
                          <pic:cNvPicPr/>
                        </pic:nvPicPr>
                        <pic:blipFill>
                          <a:blip r:embed="rId137" cstate="print"/>
                          <a:stretch>
                            <a:fillRect/>
                          </a:stretch>
                        </pic:blipFill>
                        <pic:spPr>
                          <a:xfrm>
                            <a:off x="4053437" y="3800702"/>
                            <a:ext cx="675090" cy="212972"/>
                          </a:xfrm>
                          <a:prstGeom prst="rect">
                            <a:avLst/>
                          </a:prstGeom>
                        </pic:spPr>
                      </pic:pic>
                      <pic:pic xmlns:pic="http://schemas.openxmlformats.org/drawingml/2006/picture">
                        <pic:nvPicPr>
                          <pic:cNvPr id="125" name="Image 125"/>
                          <pic:cNvPicPr/>
                        </pic:nvPicPr>
                        <pic:blipFill>
                          <a:blip r:embed="rId138" cstate="print"/>
                          <a:stretch>
                            <a:fillRect/>
                          </a:stretch>
                        </pic:blipFill>
                        <pic:spPr>
                          <a:xfrm>
                            <a:off x="1464143" y="1596994"/>
                            <a:ext cx="605552" cy="98879"/>
                          </a:xfrm>
                          <a:prstGeom prst="rect">
                            <a:avLst/>
                          </a:prstGeom>
                        </pic:spPr>
                      </pic:pic>
                      <pic:pic xmlns:pic="http://schemas.openxmlformats.org/drawingml/2006/picture">
                        <pic:nvPicPr>
                          <pic:cNvPr id="126" name="Image 126"/>
                          <pic:cNvPicPr/>
                        </pic:nvPicPr>
                        <pic:blipFill>
                          <a:blip r:embed="rId139" cstate="print"/>
                          <a:stretch>
                            <a:fillRect/>
                          </a:stretch>
                        </pic:blipFill>
                        <pic:spPr>
                          <a:xfrm>
                            <a:off x="4099496" y="1632950"/>
                            <a:ext cx="806805" cy="98879"/>
                          </a:xfrm>
                          <a:prstGeom prst="rect">
                            <a:avLst/>
                          </a:prstGeom>
                        </pic:spPr>
                      </pic:pic>
                      <pic:pic xmlns:pic="http://schemas.openxmlformats.org/drawingml/2006/picture">
                        <pic:nvPicPr>
                          <pic:cNvPr id="127" name="Image 127"/>
                          <pic:cNvPicPr/>
                        </pic:nvPicPr>
                        <pic:blipFill>
                          <a:blip r:embed="rId140" cstate="print"/>
                          <a:stretch>
                            <a:fillRect/>
                          </a:stretch>
                        </pic:blipFill>
                        <pic:spPr>
                          <a:xfrm>
                            <a:off x="485923" y="2716180"/>
                            <a:ext cx="1218294" cy="121758"/>
                          </a:xfrm>
                          <a:prstGeom prst="rect">
                            <a:avLst/>
                          </a:prstGeom>
                        </pic:spPr>
                      </pic:pic>
                      <pic:pic xmlns:pic="http://schemas.openxmlformats.org/drawingml/2006/picture">
                        <pic:nvPicPr>
                          <pic:cNvPr id="128" name="Image 128"/>
                          <pic:cNvPicPr/>
                        </pic:nvPicPr>
                        <pic:blipFill>
                          <a:blip r:embed="rId141" cstate="print"/>
                          <a:stretch>
                            <a:fillRect/>
                          </a:stretch>
                        </pic:blipFill>
                        <pic:spPr>
                          <a:xfrm>
                            <a:off x="417223" y="2780095"/>
                            <a:ext cx="1277745" cy="257226"/>
                          </a:xfrm>
                          <a:prstGeom prst="rect">
                            <a:avLst/>
                          </a:prstGeom>
                        </pic:spPr>
                      </pic:pic>
                      <pic:pic xmlns:pic="http://schemas.openxmlformats.org/drawingml/2006/picture">
                        <pic:nvPicPr>
                          <pic:cNvPr id="129" name="Image 129"/>
                          <pic:cNvPicPr/>
                        </pic:nvPicPr>
                        <pic:blipFill>
                          <a:blip r:embed="rId142" cstate="print"/>
                          <a:stretch>
                            <a:fillRect/>
                          </a:stretch>
                        </pic:blipFill>
                        <pic:spPr>
                          <a:xfrm>
                            <a:off x="417223" y="2907325"/>
                            <a:ext cx="790985" cy="235099"/>
                          </a:xfrm>
                          <a:prstGeom prst="rect">
                            <a:avLst/>
                          </a:prstGeom>
                        </pic:spPr>
                      </pic:pic>
                      <pic:pic xmlns:pic="http://schemas.openxmlformats.org/drawingml/2006/picture">
                        <pic:nvPicPr>
                          <pic:cNvPr id="130" name="Image 130"/>
                          <pic:cNvPicPr/>
                        </pic:nvPicPr>
                        <pic:blipFill>
                          <a:blip r:embed="rId143" cstate="print"/>
                          <a:stretch>
                            <a:fillRect/>
                          </a:stretch>
                        </pic:blipFill>
                        <pic:spPr>
                          <a:xfrm>
                            <a:off x="2074870" y="2712151"/>
                            <a:ext cx="1313794" cy="115685"/>
                          </a:xfrm>
                          <a:prstGeom prst="rect">
                            <a:avLst/>
                          </a:prstGeom>
                        </pic:spPr>
                      </pic:pic>
                      <pic:pic xmlns:pic="http://schemas.openxmlformats.org/drawingml/2006/picture">
                        <pic:nvPicPr>
                          <pic:cNvPr id="131" name="Image 131"/>
                          <pic:cNvPicPr/>
                        </pic:nvPicPr>
                        <pic:blipFill>
                          <a:blip r:embed="rId144" cstate="print"/>
                          <a:stretch>
                            <a:fillRect/>
                          </a:stretch>
                        </pic:blipFill>
                        <pic:spPr>
                          <a:xfrm>
                            <a:off x="2010783" y="2769032"/>
                            <a:ext cx="1341487" cy="257226"/>
                          </a:xfrm>
                          <a:prstGeom prst="rect">
                            <a:avLst/>
                          </a:prstGeom>
                        </pic:spPr>
                      </pic:pic>
                      <pic:pic xmlns:pic="http://schemas.openxmlformats.org/drawingml/2006/picture">
                        <pic:nvPicPr>
                          <pic:cNvPr id="132" name="Image 132"/>
                          <pic:cNvPicPr/>
                        </pic:nvPicPr>
                        <pic:blipFill>
                          <a:blip r:embed="rId145" cstate="print"/>
                          <a:stretch>
                            <a:fillRect/>
                          </a:stretch>
                        </pic:blipFill>
                        <pic:spPr>
                          <a:xfrm>
                            <a:off x="2010783" y="2896262"/>
                            <a:ext cx="1332795" cy="257226"/>
                          </a:xfrm>
                          <a:prstGeom prst="rect">
                            <a:avLst/>
                          </a:prstGeom>
                        </pic:spPr>
                      </pic:pic>
                      <pic:pic xmlns:pic="http://schemas.openxmlformats.org/drawingml/2006/picture">
                        <pic:nvPicPr>
                          <pic:cNvPr id="133" name="Image 133"/>
                          <pic:cNvPicPr/>
                        </pic:nvPicPr>
                        <pic:blipFill>
                          <a:blip r:embed="rId146" cstate="print"/>
                          <a:stretch>
                            <a:fillRect/>
                          </a:stretch>
                        </pic:blipFill>
                        <pic:spPr>
                          <a:xfrm>
                            <a:off x="2010783" y="3023492"/>
                            <a:ext cx="1341487" cy="190845"/>
                          </a:xfrm>
                          <a:prstGeom prst="rect">
                            <a:avLst/>
                          </a:prstGeom>
                        </pic:spPr>
                      </pic:pic>
                      <pic:pic xmlns:pic="http://schemas.openxmlformats.org/drawingml/2006/picture">
                        <pic:nvPicPr>
                          <pic:cNvPr id="134" name="Image 134"/>
                          <pic:cNvPicPr/>
                        </pic:nvPicPr>
                        <pic:blipFill>
                          <a:blip r:embed="rId147" cstate="print"/>
                          <a:stretch>
                            <a:fillRect/>
                          </a:stretch>
                        </pic:blipFill>
                        <pic:spPr>
                          <a:xfrm>
                            <a:off x="3839854" y="2716180"/>
                            <a:ext cx="1336945" cy="121758"/>
                          </a:xfrm>
                          <a:prstGeom prst="rect">
                            <a:avLst/>
                          </a:prstGeom>
                        </pic:spPr>
                      </pic:pic>
                      <pic:pic xmlns:pic="http://schemas.openxmlformats.org/drawingml/2006/picture">
                        <pic:nvPicPr>
                          <pic:cNvPr id="135" name="Image 135"/>
                          <pic:cNvPicPr/>
                        </pic:nvPicPr>
                        <pic:blipFill>
                          <a:blip r:embed="rId148" cstate="print"/>
                          <a:stretch>
                            <a:fillRect/>
                          </a:stretch>
                        </pic:blipFill>
                        <pic:spPr>
                          <a:xfrm>
                            <a:off x="3766596" y="2780095"/>
                            <a:ext cx="1573278" cy="257226"/>
                          </a:xfrm>
                          <a:prstGeom prst="rect">
                            <a:avLst/>
                          </a:prstGeom>
                        </pic:spPr>
                      </pic:pic>
                      <pic:pic xmlns:pic="http://schemas.openxmlformats.org/drawingml/2006/picture">
                        <pic:nvPicPr>
                          <pic:cNvPr id="136" name="Image 136"/>
                          <pic:cNvPicPr/>
                        </pic:nvPicPr>
                        <pic:blipFill>
                          <a:blip r:embed="rId149" cstate="print"/>
                          <a:stretch>
                            <a:fillRect/>
                          </a:stretch>
                        </pic:blipFill>
                        <pic:spPr>
                          <a:xfrm>
                            <a:off x="3766596" y="2907325"/>
                            <a:ext cx="1457383" cy="237865"/>
                          </a:xfrm>
                          <a:prstGeom prst="rect">
                            <a:avLst/>
                          </a:prstGeom>
                        </pic:spPr>
                      </pic:pic>
                      <wps:wsp>
                        <wps:cNvPr id="137" name="Textbox 137"/>
                        <wps:cNvSpPr txBox="1"/>
                        <wps:spPr>
                          <a:xfrm>
                            <a:off x="8692" y="8692"/>
                            <a:ext cx="5589905" cy="4792980"/>
                          </a:xfrm>
                          <a:prstGeom prst="rect">
                            <a:avLst/>
                          </a:prstGeom>
                          <a:ln w="17384">
                            <a:solidFill>
                              <a:srgbClr val="000000"/>
                            </a:solidFill>
                            <a:prstDash val="solid"/>
                          </a:ln>
                        </wps:spPr>
                        <wps:txbx>
                          <w:txbxContent>
                            <w:p w14:paraId="1E806069" w14:textId="77777777" w:rsidR="00AA4A02" w:rsidRDefault="00960F31">
                              <w:pPr>
                                <w:spacing w:before="229"/>
                                <w:ind w:right="58"/>
                                <w:jc w:val="center"/>
                                <w:rPr>
                                  <w:b/>
                                  <w:sz w:val="23"/>
                                </w:rPr>
                              </w:pPr>
                              <w:r>
                                <w:rPr>
                                  <w:b/>
                                  <w:w w:val="105"/>
                                  <w:sz w:val="23"/>
                                </w:rPr>
                                <w:t>Authoritative</w:t>
                              </w:r>
                              <w:r>
                                <w:rPr>
                                  <w:b/>
                                  <w:spacing w:val="24"/>
                                  <w:w w:val="105"/>
                                  <w:sz w:val="23"/>
                                </w:rPr>
                                <w:t xml:space="preserve"> </w:t>
                              </w:r>
                              <w:r>
                                <w:rPr>
                                  <w:b/>
                                  <w:w w:val="105"/>
                                  <w:sz w:val="23"/>
                                </w:rPr>
                                <w:t>AUASB</w:t>
                              </w:r>
                              <w:r>
                                <w:rPr>
                                  <w:b/>
                                  <w:spacing w:val="24"/>
                                  <w:w w:val="105"/>
                                  <w:sz w:val="23"/>
                                </w:rPr>
                                <w:t xml:space="preserve"> </w:t>
                              </w:r>
                              <w:r>
                                <w:rPr>
                                  <w:b/>
                                  <w:spacing w:val="-2"/>
                                  <w:w w:val="105"/>
                                  <w:sz w:val="23"/>
                                </w:rPr>
                                <w:t>Pronouncements</w:t>
                              </w:r>
                            </w:p>
                          </w:txbxContent>
                        </wps:txbx>
                        <wps:bodyPr wrap="square" lIns="0" tIns="0" rIns="0" bIns="0" rtlCol="0">
                          <a:noAutofit/>
                        </wps:bodyPr>
                      </wps:wsp>
                      <wps:wsp>
                        <wps:cNvPr id="138" name="Textbox 138"/>
                        <wps:cNvSpPr txBox="1"/>
                        <wps:spPr>
                          <a:xfrm>
                            <a:off x="166599" y="4393982"/>
                            <a:ext cx="5255895" cy="215900"/>
                          </a:xfrm>
                          <a:prstGeom prst="rect">
                            <a:avLst/>
                          </a:prstGeom>
                          <a:solidFill>
                            <a:srgbClr val="D99593"/>
                          </a:solidFill>
                          <a:ln w="8298">
                            <a:solidFill>
                              <a:srgbClr val="000000"/>
                            </a:solidFill>
                            <a:prstDash val="solid"/>
                          </a:ln>
                        </wps:spPr>
                        <wps:txbx>
                          <w:txbxContent>
                            <w:p w14:paraId="1E80606A" w14:textId="77777777" w:rsidR="00AA4A02" w:rsidRDefault="00960F31">
                              <w:pPr>
                                <w:spacing w:before="29"/>
                                <w:ind w:right="3"/>
                                <w:jc w:val="center"/>
                                <w:rPr>
                                  <w:b/>
                                  <w:color w:val="000000"/>
                                  <w:sz w:val="21"/>
                                </w:rPr>
                              </w:pPr>
                              <w:r>
                                <w:rPr>
                                  <w:b/>
                                  <w:color w:val="000000"/>
                                  <w:spacing w:val="2"/>
                                  <w:sz w:val="21"/>
                                </w:rPr>
                                <w:t>AUASB</w:t>
                              </w:r>
                              <w:r>
                                <w:rPr>
                                  <w:b/>
                                  <w:color w:val="000000"/>
                                  <w:spacing w:val="55"/>
                                  <w:sz w:val="21"/>
                                </w:rPr>
                                <w:t xml:space="preserve"> </w:t>
                              </w:r>
                              <w:r>
                                <w:rPr>
                                  <w:b/>
                                  <w:color w:val="000000"/>
                                  <w:spacing w:val="2"/>
                                  <w:sz w:val="21"/>
                                </w:rPr>
                                <w:t>Guidance</w:t>
                              </w:r>
                              <w:r>
                                <w:rPr>
                                  <w:b/>
                                  <w:color w:val="000000"/>
                                  <w:spacing w:val="55"/>
                                  <w:sz w:val="21"/>
                                </w:rPr>
                                <w:t xml:space="preserve"> </w:t>
                              </w:r>
                              <w:r>
                                <w:rPr>
                                  <w:b/>
                                  <w:color w:val="000000"/>
                                  <w:spacing w:val="-2"/>
                                  <w:sz w:val="21"/>
                                </w:rPr>
                                <w:t>Statements</w:t>
                              </w:r>
                            </w:p>
                          </w:txbxContent>
                        </wps:txbx>
                        <wps:bodyPr wrap="square" lIns="0" tIns="0" rIns="0" bIns="0" rtlCol="0">
                          <a:noAutofit/>
                        </wps:bodyPr>
                      </wps:wsp>
                    </wpg:wgp>
                  </a:graphicData>
                </a:graphic>
              </wp:anchor>
            </w:drawing>
          </mc:Choice>
          <mc:Fallback>
            <w:pict>
              <v:group w14:anchorId="1E805F87" id="Group 93" o:spid="_x0000_s1032" style="position:absolute;margin-left:76pt;margin-top:17.35pt;width:441.5pt;height:378.75pt;z-index:-15698944;mso-wrap-distance-left:0;mso-wrap-distance-right:0;mso-position-horizontal-relative:page;mso-position-vertical-relative:text" coordsize="56070,48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">
                <v:shape id="Graphic 94" o:spid="_x0000_s1033" style="position:absolute;left:4041;top:13376;width:41637;height:22168;visibility:visible;mso-wrap-style:square;v-text-anchor:top" coordsize="4163695,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" path="m4154846,r,233370em1379153,r,233370em1379153,431476r,276587em463581,1026138r,231296em492554,1778455r,216199em,1994193r992111,8413em5794,1994193r,219080em990904,2005257r,211013em2419314,1026138r,231296em2419314,1916749r,298714em4163658,481261r-120,744596e" filled="f" strokecolor="#497dba" strokeweight=".23594mm">
                  <v:path arrowok="t"/>
                </v:shape>
                <v:shape id="Graphic 95" o:spid="_x0000_s1034" style="position:absolute;left:45867;top:31920;width:13;height:3752;visibility:visible;mso-wrap-style:square;v-text-anchor:top" coordsize="12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" path="m,l,374972e" filled="f" strokecolor="#497dba" strokeweight=".49628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35" type="#_x0000_t75" style="position:absolute;left:1610;top:4696;width:5261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">
                  <v:imagedata r:id="rId150" o:title=""/>
                </v:shape>
                <v:shape id="Image 97" o:spid="_x0000_s1036" type="#_x0000_t75" style="position:absolute;left:23961;top:5176;width:7794;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">
                  <v:imagedata r:id="rId151" o:title=""/>
                </v:shape>
                <v:shape id="Image 98" o:spid="_x0000_s1037" type="#_x0000_t75" style="position:absolute;left:1564;top:7499;width:5270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">
                  <v:imagedata r:id="rId152" o:title=""/>
                </v:shape>
                <v:shape id="Image 99" o:spid="_x0000_s1038" type="#_x0000_t75" style="position:absolute;left:24280;top:7997;width:7156;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">
                  <v:imagedata r:id="rId153" o:title=""/>
                </v:shape>
                <v:shape id="Graphic 100" o:spid="_x0000_s1039" style="position:absolute;left:1637;top:10528;width:52558;height:2851;visibility:visible;mso-wrap-style:square;v-text-anchor:top" coordsize="525589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" path="m5255851,l,,,284884r5255851,l5255851,xe" fillcolor="#85293e" stroked="f">
                  <v:path arrowok="t"/>
                </v:shape>
                <v:shape id="Graphic 101" o:spid="_x0000_s1040" style="position:absolute;left:1637;top:10528;width:52558;height:2851;visibility:visible;mso-wrap-style:square;v-text-anchor:top" coordsize="525589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" path="m,284884r5255851,l5255851,,,,,284884xe" filled="f" strokeweight=".2305mm">
                  <v:path arrowok="t"/>
                </v:shape>
                <v:shape id="Image 102" o:spid="_x0000_s1041" type="#_x0000_t75" style="position:absolute;left:12632;top:10956;width:30423;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">
                  <v:imagedata r:id="rId154" o:title=""/>
                </v:shape>
                <v:shape id="Image 103" o:spid="_x0000_s1042" type="#_x0000_t75" style="position:absolute;left:5447;top:20388;width:27670;height: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">
                  <v:imagedata r:id="rId155" o:title=""/>
                </v:shape>
                <v:shape id="Image 104" o:spid="_x0000_s1043" type="#_x0000_t75" style="position:absolute;left:5562;top:20858;width:26656;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">
                  <v:imagedata r:id="rId156" o:title=""/>
                </v:shape>
                <v:shape id="Graphic 105" o:spid="_x0000_s1044" style="position:absolute;left:1144;top:35531;width:9677;height:5036;visibility:visible;mso-wrap-style:square;v-text-anchor:top" coordsize="96774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" path="m967725,l,,,503388r967725,l967725,xe" fillcolor="#85293e" stroked="f">
                  <v:path arrowok="t"/>
                </v:shape>
                <v:shape id="Graphic 106" o:spid="_x0000_s1045" style="position:absolute;left:1144;top:35531;width:9677;height:5036;visibility:visible;mso-wrap-style:square;v-text-anchor:top" coordsize="96774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" path="m,503388r967725,l967725,,,,,503388xe" filled="f" strokeweight=".23281mm">
                  <v:path arrowok="t"/>
                </v:shape>
                <v:shape id="Image 107" o:spid="_x0000_s1046" type="#_x0000_t75" style="position:absolute;left:1187;top:35960;width:8635;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">
                  <v:imagedata r:id="rId157" o:title=""/>
                </v:shape>
                <v:shape id="Image 108" o:spid="_x0000_s1047" type="#_x0000_t75" style="position:absolute;left:1187;top:36596;width:7505;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">
                  <v:imagedata r:id="rId158" o:title=""/>
                </v:shape>
                <v:shape id="Image 109" o:spid="_x0000_s1048" type="#_x0000_t75" style="position:absolute;left:1187;top:37868;width:8026;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">
                  <v:imagedata r:id="rId159" o:title=""/>
                </v:shape>
                <v:shape id="Graphic 110" o:spid="_x0000_s1049" style="position:absolute;left:11719;top:35531;width:10433;height:5036;visibility:visible;mso-wrap-style:square;v-text-anchor:top" coordsize="104330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" path="m1043057,l,,,503388r1043057,l1043057,xe" fillcolor="#85293e" stroked="f">
                  <v:path arrowok="t"/>
                </v:shape>
                <v:shape id="Graphic 111" o:spid="_x0000_s1050" style="position:absolute;left:11719;top:35531;width:10433;height:5036;visibility:visible;mso-wrap-style:square;v-text-anchor:top" coordsize="104330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" path="m,503388r1043057,l1043057,,,,,503388xe" filled="f" strokeweight=".23256mm">
                  <v:path arrowok="t"/>
                </v:shape>
                <v:shape id="Image 112" o:spid="_x0000_s1051" type="#_x0000_t75" style="position:absolute;left:11763;top:35960;width:10286;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">
                  <v:imagedata r:id="rId160" o:title=""/>
                </v:shape>
                <v:shape id="Image 113" o:spid="_x0000_s1052" type="#_x0000_t75" style="position:absolute;left:11763;top:36596;width:6548;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">
                  <v:imagedata r:id="rId161" o:title=""/>
                </v:shape>
                <v:shape id="Image 114" o:spid="_x0000_s1053" type="#_x0000_t75" style="position:absolute;left:11763;top:37868;width:9967;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">
                  <v:imagedata r:id="rId162" o:title=""/>
                </v:shape>
                <v:shape id="Graphic 115" o:spid="_x0000_s1054" style="position:absolute;left:23801;top:35531;width:10637;height:5036;visibility:visible;mso-wrap-style:square;v-text-anchor:top" coordsize="106362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" path="m1063339,l,,,503388r1063339,l1063339,xe" fillcolor="#85293e" stroked="f">
                  <v:path arrowok="t"/>
                </v:shape>
                <v:shape id="Graphic 116" o:spid="_x0000_s1055" style="position:absolute;left:23801;top:35531;width:10637;height:5036;visibility:visible;mso-wrap-style:square;v-text-anchor:top" coordsize="106362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" path="m,503388r1063339,l1063339,,,,,503388xe" filled="f" strokeweight=".23247mm">
                  <v:path arrowok="t"/>
                </v:shape>
                <v:shape id="Image 117" o:spid="_x0000_s1056" type="#_x0000_t75" style="position:absolute;left:23874;top:35932;width:10286;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">
                  <v:imagedata r:id="rId163" o:title=""/>
                </v:shape>
                <v:shape id="Image 118" o:spid="_x0000_s1057" type="#_x0000_t75" style="position:absolute;left:23874;top:36568;width:8489;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">
                  <v:imagedata r:id="rId164" o:title=""/>
                </v:shape>
                <v:shape id="Image 119" o:spid="_x0000_s1058" type="#_x0000_t75" style="position:absolute;left:23874;top:37841;width:9967;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">
                  <v:imagedata r:id="rId165" o:title=""/>
                </v:shape>
                <v:shape id="Graphic 120" o:spid="_x0000_s1059" style="position:absolute;left:40490;top:35669;width:10491;height:4896;visibility:visible;mso-wrap-style:square;v-text-anchor:top" coordsize="104902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" path="m1048852,l,,,489559r1048852,l1048852,xe" fillcolor="#85293e" stroked="f">
                  <v:path arrowok="t"/>
                </v:shape>
                <v:shape id="Graphic 121" o:spid="_x0000_s1060" style="position:absolute;left:40490;top:35669;width:10491;height:4896;visibility:visible;mso-wrap-style:square;v-text-anchor:top" coordsize="104902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" path="m,489559r1048852,l1048852,,,,,489559xe" filled="f" strokeweight=".23244mm">
                  <v:path arrowok="t"/>
                </v:shape>
                <v:shape id="Image 122" o:spid="_x0000_s1061" type="#_x0000_t75" style="position:absolute;left:40534;top:36126;width:10286;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">
                  <v:imagedata r:id="rId166" o:title=""/>
                </v:shape>
                <v:shape id="Image 123" o:spid="_x0000_s1062" type="#_x0000_t75" style="position:absolute;left:40534;top:36734;width:6780;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">
                  <v:imagedata r:id="rId167" o:title=""/>
                </v:shape>
                <v:shape id="Image 124" o:spid="_x0000_s1063" type="#_x0000_t75" style="position:absolute;left:40534;top:38007;width:6751;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">
                  <v:imagedata r:id="rId168" o:title=""/>
                </v:shape>
                <v:shape id="Image 125" o:spid="_x0000_s1064" type="#_x0000_t75" style="position:absolute;left:14641;top:15969;width:6055;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">
                  <v:imagedata r:id="rId169" o:title=""/>
                </v:shape>
                <v:shape id="Image 126" o:spid="_x0000_s1065" type="#_x0000_t75" style="position:absolute;left:40994;top:16329;width:806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">
                  <v:imagedata r:id="rId170" o:title=""/>
                </v:shape>
                <v:shape id="Image 127" o:spid="_x0000_s1066" type="#_x0000_t75" style="position:absolute;left:4859;top:27161;width:12183;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">
                  <v:imagedata r:id="rId171" o:title=""/>
                </v:shape>
                <v:shape id="Image 128" o:spid="_x0000_s1067" type="#_x0000_t75" style="position:absolute;left:4172;top:27800;width:12777;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">
                  <v:imagedata r:id="rId172" o:title=""/>
                </v:shape>
                <v:shape id="Image 129" o:spid="_x0000_s1068" type="#_x0000_t75" style="position:absolute;left:4172;top:29073;width:7910;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">
                  <v:imagedata r:id="rId173" o:title=""/>
                </v:shape>
                <v:shape id="Image 130" o:spid="_x0000_s1069" type="#_x0000_t75" style="position:absolute;left:20748;top:27121;width:13138;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">
                  <v:imagedata r:id="rId174" o:title=""/>
                </v:shape>
                <v:shape id="Image 131" o:spid="_x0000_s1070" type="#_x0000_t75" style="position:absolute;left:20107;top:27690;width:1341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">
                  <v:imagedata r:id="rId175" o:title=""/>
                </v:shape>
                <v:shape id="Image 132" o:spid="_x0000_s1071" type="#_x0000_t75" style="position:absolute;left:20107;top:28962;width:1332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">
                  <v:imagedata r:id="rId176" o:title=""/>
                </v:shape>
                <v:shape id="Image 133" o:spid="_x0000_s1072" type="#_x0000_t75" style="position:absolute;left:20107;top:30234;width:13415;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">
                  <v:imagedata r:id="rId177" o:title=""/>
                </v:shape>
                <v:shape id="Image 134" o:spid="_x0000_s1073" type="#_x0000_t75" style="position:absolute;left:38398;top:27161;width:13369;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">
                  <v:imagedata r:id="rId178" o:title=""/>
                </v:shape>
                <v:shape id="Image 135" o:spid="_x0000_s1074" type="#_x0000_t75" style="position:absolute;left:37665;top:27800;width:15733;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">
                  <v:imagedata r:id="rId179" o:title=""/>
                </v:shape>
                <v:shape id="Image 136" o:spid="_x0000_s1075" type="#_x0000_t75" style="position:absolute;left:37665;top:29073;width:14574;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">
                  <v:imagedata r:id="rId180" o:title=""/>
                </v:shape>
                <v:shape id="Textbox 137" o:spid="_x0000_s1076" type="#_x0000_t202" style="position:absolute;left:86;top:86;width:55899;height:47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" filled="f" strokeweight=".48289mm">
                  <v:textbox inset="0,0,0,0">
                    <w:txbxContent>
                      <w:p w14:paraId="1E806069" w14:textId="77777777" w:rsidR="00AA4A02" w:rsidRDefault="00960F31">
                        <w:pPr>
                          <w:spacing w:before="229"/>
                          <w:ind w:right="58"/>
                          <w:jc w:val="center"/>
                          <w:rPr>
                            <w:b/>
                            <w:sz w:val="23"/>
                          </w:rPr>
                        </w:pPr>
                        <w:r>
                          <w:rPr>
                            <w:b/>
                            <w:w w:val="105"/>
                            <w:sz w:val="23"/>
                          </w:rPr>
                          <w:t>Authoritative</w:t>
                        </w:r>
                        <w:r>
                          <w:rPr>
                            <w:b/>
                            <w:spacing w:val="24"/>
                            <w:w w:val="105"/>
                            <w:sz w:val="23"/>
                          </w:rPr>
                          <w:t xml:space="preserve"> </w:t>
                        </w:r>
                        <w:r>
                          <w:rPr>
                            <w:b/>
                            <w:w w:val="105"/>
                            <w:sz w:val="23"/>
                          </w:rPr>
                          <w:t>AUASB</w:t>
                        </w:r>
                        <w:r>
                          <w:rPr>
                            <w:b/>
                            <w:spacing w:val="24"/>
                            <w:w w:val="105"/>
                            <w:sz w:val="23"/>
                          </w:rPr>
                          <w:t xml:space="preserve"> </w:t>
                        </w:r>
                        <w:r>
                          <w:rPr>
                            <w:b/>
                            <w:spacing w:val="-2"/>
                            <w:w w:val="105"/>
                            <w:sz w:val="23"/>
                          </w:rPr>
                          <w:t>Pronouncements</w:t>
                        </w:r>
                      </w:p>
                    </w:txbxContent>
                  </v:textbox>
                </v:shape>
                <v:shape id="Textbox 138" o:spid="_x0000_s1077" type="#_x0000_t202" style="position:absolute;left:1665;top:43939;width:5255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" fillcolor="#d99593" strokeweight=".2305mm">
                  <v:textbox inset="0,0,0,0">
                    <w:txbxContent>
                      <w:p w14:paraId="1E80606A" w14:textId="77777777" w:rsidR="00AA4A02" w:rsidRDefault="00960F31">
                        <w:pPr>
                          <w:spacing w:before="29"/>
                          <w:ind w:right="3"/>
                          <w:jc w:val="center"/>
                          <w:rPr>
                            <w:b/>
                            <w:color w:val="000000"/>
                            <w:sz w:val="21"/>
                          </w:rPr>
                        </w:pPr>
                        <w:r>
                          <w:rPr>
                            <w:b/>
                            <w:color w:val="000000"/>
                            <w:spacing w:val="2"/>
                            <w:sz w:val="21"/>
                          </w:rPr>
                          <w:t>AUASB</w:t>
                        </w:r>
                        <w:r>
                          <w:rPr>
                            <w:b/>
                            <w:color w:val="000000"/>
                            <w:spacing w:val="55"/>
                            <w:sz w:val="21"/>
                          </w:rPr>
                          <w:t xml:space="preserve"> </w:t>
                        </w:r>
                        <w:r>
                          <w:rPr>
                            <w:b/>
                            <w:color w:val="000000"/>
                            <w:spacing w:val="2"/>
                            <w:sz w:val="21"/>
                          </w:rPr>
                          <w:t>Guidance</w:t>
                        </w:r>
                        <w:r>
                          <w:rPr>
                            <w:b/>
                            <w:color w:val="000000"/>
                            <w:spacing w:val="55"/>
                            <w:sz w:val="21"/>
                          </w:rPr>
                          <w:t xml:space="preserve"> </w:t>
                        </w:r>
                        <w:r>
                          <w:rPr>
                            <w:b/>
                            <w:color w:val="000000"/>
                            <w:spacing w:val="-2"/>
                            <w:sz w:val="21"/>
                          </w:rPr>
                          <w:t>Statements</w:t>
                        </w:r>
                      </w:p>
                    </w:txbxContent>
                  </v:textbox>
                </v:shape>
                <w10:wrap type="topAndBottom" anchorx="page"/>
              </v:group>
            </w:pict>
          </mc:Fallback>
        </mc:AlternateContent>
      </w:r>
      <w:r>
        <w:rPr>
          <w:b/>
          <w:noProof/>
          <w:sz w:val="20"/>
        </w:rPr>
        <mc:AlternateContent>
          <mc:Choice Requires="wpg">
            <w:drawing>
              <wp:anchor distT="0" distB="0" distL="0" distR="0" simplePos="0" relativeHeight="487618048" behindDoc="1" locked="0" layoutInCell="1" allowOverlap="1" wp14:anchorId="1E805F89" wp14:editId="1E805F8A">
                <wp:simplePos x="0" y="0"/>
                <wp:positionH relativeFrom="page">
                  <wp:posOffset>939270</wp:posOffset>
                </wp:positionH>
                <wp:positionV relativeFrom="paragraph">
                  <wp:posOffset>5279301</wp:posOffset>
                </wp:positionV>
                <wp:extent cx="5647055" cy="156337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055" cy="1563370"/>
                          <a:chOff x="0" y="0"/>
                          <a:chExt cx="5647055" cy="1563370"/>
                        </a:xfrm>
                      </wpg:grpSpPr>
                      <wps:wsp>
                        <wps:cNvPr id="140" name="Graphic 140"/>
                        <wps:cNvSpPr/>
                        <wps:spPr>
                          <a:xfrm>
                            <a:off x="4163" y="4163"/>
                            <a:ext cx="5638800" cy="1554480"/>
                          </a:xfrm>
                          <a:custGeom>
                            <a:avLst/>
                            <a:gdLst/>
                            <a:ahLst/>
                            <a:cxnLst/>
                            <a:rect l="l" t="t" r="r" b="b"/>
                            <a:pathLst>
                              <a:path w="5638800" h="1554480">
                                <a:moveTo>
                                  <a:pt x="0" y="1554419"/>
                                </a:moveTo>
                                <a:lnTo>
                                  <a:pt x="5638305" y="1554419"/>
                                </a:lnTo>
                                <a:lnTo>
                                  <a:pt x="5638305" y="0"/>
                                </a:lnTo>
                                <a:lnTo>
                                  <a:pt x="0" y="0"/>
                                </a:lnTo>
                                <a:lnTo>
                                  <a:pt x="0" y="1554419"/>
                                </a:lnTo>
                                <a:close/>
                              </a:path>
                            </a:pathLst>
                          </a:custGeom>
                          <a:ln w="8325">
                            <a:solidFill>
                              <a:srgbClr val="000000"/>
                            </a:solidFill>
                            <a:prstDash val="solid"/>
                          </a:ln>
                        </wps:spPr>
                        <wps:bodyPr wrap="square" lIns="0" tIns="0" rIns="0" bIns="0" rtlCol="0">
                          <a:prstTxWarp prst="textNoShape">
                            <a:avLst/>
                          </a:prstTxWarp>
                          <a:noAutofit/>
                        </wps:bodyPr>
                      </wps:wsp>
                      <wps:wsp>
                        <wps:cNvPr id="141" name="Graphic 141"/>
                        <wps:cNvSpPr/>
                        <wps:spPr>
                          <a:xfrm>
                            <a:off x="49069" y="51746"/>
                            <a:ext cx="5586730" cy="1464310"/>
                          </a:xfrm>
                          <a:custGeom>
                            <a:avLst/>
                            <a:gdLst/>
                            <a:ahLst/>
                            <a:cxnLst/>
                            <a:rect l="l" t="t" r="r" b="b"/>
                            <a:pathLst>
                              <a:path w="5586730" h="1464310">
                                <a:moveTo>
                                  <a:pt x="5586387" y="672401"/>
                                </a:moveTo>
                                <a:lnTo>
                                  <a:pt x="5569013" y="672401"/>
                                </a:lnTo>
                                <a:lnTo>
                                  <a:pt x="5569013" y="799909"/>
                                </a:lnTo>
                                <a:lnTo>
                                  <a:pt x="5569013" y="927112"/>
                                </a:lnTo>
                                <a:lnTo>
                                  <a:pt x="5569013" y="1447101"/>
                                </a:lnTo>
                                <a:lnTo>
                                  <a:pt x="17386" y="1447101"/>
                                </a:lnTo>
                                <a:lnTo>
                                  <a:pt x="17386" y="672401"/>
                                </a:lnTo>
                                <a:lnTo>
                                  <a:pt x="0" y="672401"/>
                                </a:lnTo>
                                <a:lnTo>
                                  <a:pt x="0" y="1463967"/>
                                </a:lnTo>
                                <a:lnTo>
                                  <a:pt x="17386" y="1463967"/>
                                </a:lnTo>
                                <a:lnTo>
                                  <a:pt x="5569013" y="1463967"/>
                                </a:lnTo>
                                <a:lnTo>
                                  <a:pt x="5586387" y="1463967"/>
                                </a:lnTo>
                                <a:lnTo>
                                  <a:pt x="5586387" y="1447101"/>
                                </a:lnTo>
                                <a:lnTo>
                                  <a:pt x="5586387" y="799909"/>
                                </a:lnTo>
                                <a:lnTo>
                                  <a:pt x="5586387" y="672401"/>
                                </a:lnTo>
                                <a:close/>
                              </a:path>
                              <a:path w="5586730" h="1464310">
                                <a:moveTo>
                                  <a:pt x="5586387" y="0"/>
                                </a:moveTo>
                                <a:lnTo>
                                  <a:pt x="5569013" y="0"/>
                                </a:lnTo>
                                <a:lnTo>
                                  <a:pt x="17386" y="0"/>
                                </a:lnTo>
                                <a:lnTo>
                                  <a:pt x="0" y="0"/>
                                </a:lnTo>
                                <a:lnTo>
                                  <a:pt x="0" y="16548"/>
                                </a:lnTo>
                                <a:lnTo>
                                  <a:pt x="0" y="672338"/>
                                </a:lnTo>
                                <a:lnTo>
                                  <a:pt x="17386" y="672338"/>
                                </a:lnTo>
                                <a:lnTo>
                                  <a:pt x="17386" y="547865"/>
                                </a:lnTo>
                                <a:lnTo>
                                  <a:pt x="17386" y="420636"/>
                                </a:lnTo>
                                <a:lnTo>
                                  <a:pt x="17386" y="293408"/>
                                </a:lnTo>
                                <a:lnTo>
                                  <a:pt x="17386" y="16586"/>
                                </a:lnTo>
                                <a:lnTo>
                                  <a:pt x="5569013" y="16586"/>
                                </a:lnTo>
                                <a:lnTo>
                                  <a:pt x="5569013" y="293408"/>
                                </a:lnTo>
                                <a:lnTo>
                                  <a:pt x="5569013" y="420636"/>
                                </a:lnTo>
                                <a:lnTo>
                                  <a:pt x="5569013" y="547865"/>
                                </a:lnTo>
                                <a:lnTo>
                                  <a:pt x="5569013" y="672338"/>
                                </a:lnTo>
                                <a:lnTo>
                                  <a:pt x="5586387" y="672338"/>
                                </a:lnTo>
                                <a:lnTo>
                                  <a:pt x="5586387" y="16548"/>
                                </a:lnTo>
                                <a:lnTo>
                                  <a:pt x="5586387"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3208910" y="595663"/>
                            <a:ext cx="2094230" cy="892810"/>
                          </a:xfrm>
                          <a:prstGeom prst="rect">
                            <a:avLst/>
                          </a:prstGeom>
                        </wps:spPr>
                        <wps:txbx>
                          <w:txbxContent>
                            <w:p w14:paraId="1E80606B" w14:textId="77777777" w:rsidR="00AA4A02" w:rsidRDefault="00960F31">
                              <w:pPr>
                                <w:spacing w:line="232" w:lineRule="auto"/>
                                <w:ind w:right="273"/>
                                <w:rPr>
                                  <w:sz w:val="18"/>
                                </w:rPr>
                              </w:pPr>
                              <w:r>
                                <w:rPr>
                                  <w:w w:val="105"/>
                                  <w:sz w:val="18"/>
                                </w:rPr>
                                <w:t>Frequently Asked Questions Newsletters and news alerts Implementation</w:t>
                              </w:r>
                              <w:r>
                                <w:rPr>
                                  <w:spacing w:val="-9"/>
                                  <w:w w:val="105"/>
                                  <w:sz w:val="18"/>
                                </w:rPr>
                                <w:t xml:space="preserve"> </w:t>
                              </w:r>
                              <w:r>
                                <w:rPr>
                                  <w:w w:val="105"/>
                                  <w:sz w:val="18"/>
                                </w:rPr>
                                <w:t>support</w:t>
                              </w:r>
                              <w:r>
                                <w:rPr>
                                  <w:spacing w:val="-12"/>
                                  <w:w w:val="105"/>
                                  <w:sz w:val="18"/>
                                </w:rPr>
                                <w:t xml:space="preserve"> </w:t>
                              </w:r>
                              <w:r>
                                <w:rPr>
                                  <w:w w:val="105"/>
                                  <w:sz w:val="18"/>
                                </w:rPr>
                                <w:t>materials</w:t>
                              </w:r>
                            </w:p>
                            <w:p w14:paraId="1E80606C" w14:textId="77777777" w:rsidR="00AA4A02" w:rsidRDefault="00960F31">
                              <w:pPr>
                                <w:spacing w:line="232" w:lineRule="auto"/>
                                <w:rPr>
                                  <w:sz w:val="18"/>
                                </w:rPr>
                              </w:pPr>
                              <w:r>
                                <w:rPr>
                                  <w:w w:val="105"/>
                                  <w:sz w:val="18"/>
                                </w:rPr>
                                <w:t>Other</w:t>
                              </w:r>
                              <w:r>
                                <w:rPr>
                                  <w:spacing w:val="-5"/>
                                  <w:w w:val="105"/>
                                  <w:sz w:val="18"/>
                                </w:rPr>
                                <w:t xml:space="preserve"> </w:t>
                              </w:r>
                              <w:r>
                                <w:rPr>
                                  <w:w w:val="105"/>
                                  <w:sz w:val="18"/>
                                </w:rPr>
                                <w:t>contextual,</w:t>
                              </w:r>
                              <w:r>
                                <w:rPr>
                                  <w:spacing w:val="-3"/>
                                  <w:w w:val="105"/>
                                  <w:sz w:val="18"/>
                                </w:rPr>
                                <w:t xml:space="preserve"> </w:t>
                              </w:r>
                              <w:r>
                                <w:rPr>
                                  <w:w w:val="105"/>
                                  <w:sz w:val="18"/>
                                </w:rPr>
                                <w:t>supportive</w:t>
                              </w:r>
                              <w:r>
                                <w:rPr>
                                  <w:spacing w:val="-3"/>
                                  <w:w w:val="105"/>
                                  <w:sz w:val="18"/>
                                </w:rPr>
                                <w:t xml:space="preserve"> </w:t>
                              </w:r>
                              <w:r>
                                <w:rPr>
                                  <w:w w:val="105"/>
                                  <w:sz w:val="18"/>
                                </w:rPr>
                                <w:t>and</w:t>
                              </w:r>
                              <w:r>
                                <w:rPr>
                                  <w:spacing w:val="-9"/>
                                  <w:w w:val="105"/>
                                  <w:sz w:val="18"/>
                                </w:rPr>
                                <w:t xml:space="preserve"> </w:t>
                              </w:r>
                              <w:r>
                                <w:rPr>
                                  <w:w w:val="105"/>
                                  <w:sz w:val="18"/>
                                </w:rPr>
                                <w:t>education materials, webcasts, podcasts, articles, presentations and training materials Research reports</w:t>
                              </w:r>
                            </w:p>
                          </w:txbxContent>
                        </wps:txbx>
                        <wps:bodyPr wrap="square" lIns="0" tIns="0" rIns="0" bIns="0" rtlCol="0">
                          <a:noAutofit/>
                        </wps:bodyPr>
                      </wps:wsp>
                      <wps:wsp>
                        <wps:cNvPr id="143" name="Textbox 143"/>
                        <wps:cNvSpPr txBox="1"/>
                        <wps:spPr>
                          <a:xfrm>
                            <a:off x="266666" y="595663"/>
                            <a:ext cx="1645285" cy="511175"/>
                          </a:xfrm>
                          <a:prstGeom prst="rect">
                            <a:avLst/>
                          </a:prstGeom>
                        </wps:spPr>
                        <wps:txbx>
                          <w:txbxContent>
                            <w:p w14:paraId="1E80606D" w14:textId="77777777" w:rsidR="00AA4A02" w:rsidRDefault="00960F31">
                              <w:pPr>
                                <w:spacing w:line="232" w:lineRule="auto"/>
                                <w:ind w:right="695"/>
                                <w:rPr>
                                  <w:sz w:val="18"/>
                                </w:rPr>
                              </w:pPr>
                              <w:r>
                                <w:rPr>
                                  <w:w w:val="105"/>
                                  <w:sz w:val="18"/>
                                </w:rPr>
                                <w:t>Explanatory Guides Basis</w:t>
                              </w:r>
                              <w:r>
                                <w:rPr>
                                  <w:spacing w:val="-12"/>
                                  <w:w w:val="105"/>
                                  <w:sz w:val="18"/>
                                </w:rPr>
                                <w:t xml:space="preserve"> </w:t>
                              </w:r>
                              <w:r>
                                <w:rPr>
                                  <w:w w:val="105"/>
                                  <w:sz w:val="18"/>
                                </w:rPr>
                                <w:t>for</w:t>
                              </w:r>
                              <w:r>
                                <w:rPr>
                                  <w:spacing w:val="-12"/>
                                  <w:w w:val="105"/>
                                  <w:sz w:val="18"/>
                                </w:rPr>
                                <w:t xml:space="preserve"> </w:t>
                              </w:r>
                              <w:r>
                                <w:rPr>
                                  <w:w w:val="105"/>
                                  <w:sz w:val="18"/>
                                </w:rPr>
                                <w:t>Conclusions AUASB Bulletins</w:t>
                              </w:r>
                            </w:p>
                            <w:p w14:paraId="1E80606E" w14:textId="77777777" w:rsidR="00AA4A02" w:rsidRDefault="00960F31">
                              <w:pPr>
                                <w:spacing w:line="201" w:lineRule="exact"/>
                                <w:rPr>
                                  <w:sz w:val="18"/>
                                </w:rPr>
                              </w:pPr>
                              <w:r>
                                <w:rPr>
                                  <w:w w:val="105"/>
                                  <w:sz w:val="18"/>
                                </w:rPr>
                                <w:t>AUASB Consultative</w:t>
                              </w:r>
                              <w:r>
                                <w:rPr>
                                  <w:spacing w:val="4"/>
                                  <w:w w:val="105"/>
                                  <w:sz w:val="18"/>
                                </w:rPr>
                                <w:t xml:space="preserve"> </w:t>
                              </w:r>
                              <w:r>
                                <w:rPr>
                                  <w:spacing w:val="-2"/>
                                  <w:w w:val="105"/>
                                  <w:sz w:val="18"/>
                                </w:rPr>
                                <w:t>Documents</w:t>
                              </w:r>
                            </w:p>
                          </w:txbxContent>
                        </wps:txbx>
                        <wps:bodyPr wrap="square" lIns="0" tIns="0" rIns="0" bIns="0" rtlCol="0">
                          <a:noAutofit/>
                        </wps:bodyPr>
                      </wps:wsp>
                      <wps:wsp>
                        <wps:cNvPr id="144" name="Textbox 144"/>
                        <wps:cNvSpPr txBox="1"/>
                        <wps:spPr>
                          <a:xfrm>
                            <a:off x="2971324" y="334110"/>
                            <a:ext cx="2491105" cy="140970"/>
                          </a:xfrm>
                          <a:prstGeom prst="rect">
                            <a:avLst/>
                          </a:prstGeom>
                        </wps:spPr>
                        <wps:txbx>
                          <w:txbxContent>
                            <w:p w14:paraId="1E80606F" w14:textId="77777777" w:rsidR="00AA4A02" w:rsidRDefault="00960F31">
                              <w:pPr>
                                <w:spacing w:line="222" w:lineRule="exact"/>
                                <w:rPr>
                                  <w:i/>
                                  <w:sz w:val="20"/>
                                </w:rPr>
                              </w:pPr>
                              <w:r>
                                <w:rPr>
                                  <w:i/>
                                  <w:w w:val="105"/>
                                  <w:sz w:val="20"/>
                                </w:rPr>
                                <w:t>Technical</w:t>
                              </w:r>
                              <w:r>
                                <w:rPr>
                                  <w:i/>
                                  <w:spacing w:val="-7"/>
                                  <w:w w:val="105"/>
                                  <w:sz w:val="20"/>
                                </w:rPr>
                                <w:t xml:space="preserve"> </w:t>
                              </w:r>
                              <w:r>
                                <w:rPr>
                                  <w:i/>
                                  <w:w w:val="105"/>
                                  <w:sz w:val="20"/>
                                </w:rPr>
                                <w:t>Staff</w:t>
                              </w:r>
                              <w:r>
                                <w:rPr>
                                  <w:i/>
                                  <w:spacing w:val="-10"/>
                                  <w:w w:val="105"/>
                                  <w:sz w:val="20"/>
                                </w:rPr>
                                <w:t xml:space="preserve"> </w:t>
                              </w:r>
                              <w:r>
                                <w:rPr>
                                  <w:i/>
                                  <w:w w:val="105"/>
                                  <w:sz w:val="20"/>
                                </w:rPr>
                                <w:t>Guidance</w:t>
                              </w:r>
                              <w:r>
                                <w:rPr>
                                  <w:i/>
                                  <w:spacing w:val="-10"/>
                                  <w:w w:val="105"/>
                                  <w:sz w:val="20"/>
                                </w:rPr>
                                <w:t xml:space="preserve"> </w:t>
                              </w:r>
                              <w:r>
                                <w:rPr>
                                  <w:i/>
                                  <w:w w:val="105"/>
                                  <w:sz w:val="20"/>
                                </w:rPr>
                                <w:t>and</w:t>
                              </w:r>
                              <w:r>
                                <w:rPr>
                                  <w:i/>
                                  <w:spacing w:val="-11"/>
                                  <w:w w:val="105"/>
                                  <w:sz w:val="20"/>
                                </w:rPr>
                                <w:t xml:space="preserve"> </w:t>
                              </w:r>
                              <w:r>
                                <w:rPr>
                                  <w:i/>
                                  <w:w w:val="105"/>
                                  <w:sz w:val="20"/>
                                </w:rPr>
                                <w:t>Other</w:t>
                              </w:r>
                              <w:r>
                                <w:rPr>
                                  <w:i/>
                                  <w:spacing w:val="-8"/>
                                  <w:w w:val="105"/>
                                  <w:sz w:val="20"/>
                                </w:rPr>
                                <w:t xml:space="preserve"> </w:t>
                              </w:r>
                              <w:r>
                                <w:rPr>
                                  <w:i/>
                                  <w:spacing w:val="-2"/>
                                  <w:w w:val="105"/>
                                  <w:sz w:val="20"/>
                                </w:rPr>
                                <w:t>Materials</w:t>
                              </w:r>
                            </w:p>
                          </w:txbxContent>
                        </wps:txbx>
                        <wps:bodyPr wrap="square" lIns="0" tIns="0" rIns="0" bIns="0" rtlCol="0">
                          <a:noAutofit/>
                        </wps:bodyPr>
                      </wps:wsp>
                      <wps:wsp>
                        <wps:cNvPr id="145" name="Textbox 145"/>
                        <wps:cNvSpPr txBox="1"/>
                        <wps:spPr>
                          <a:xfrm>
                            <a:off x="130200" y="334110"/>
                            <a:ext cx="2456180" cy="140970"/>
                          </a:xfrm>
                          <a:prstGeom prst="rect">
                            <a:avLst/>
                          </a:prstGeom>
                        </wps:spPr>
                        <wps:txbx>
                          <w:txbxContent>
                            <w:p w14:paraId="1E806070" w14:textId="77777777" w:rsidR="00AA4A02" w:rsidRDefault="00960F31">
                              <w:pPr>
                                <w:spacing w:line="222" w:lineRule="exact"/>
                                <w:rPr>
                                  <w:i/>
                                  <w:sz w:val="20"/>
                                </w:rPr>
                              </w:pPr>
                              <w:r>
                                <w:rPr>
                                  <w:i/>
                                  <w:w w:val="105"/>
                                  <w:sz w:val="20"/>
                                </w:rPr>
                                <w:t>AUASB</w:t>
                              </w:r>
                              <w:r>
                                <w:rPr>
                                  <w:i/>
                                  <w:spacing w:val="-10"/>
                                  <w:w w:val="105"/>
                                  <w:sz w:val="20"/>
                                </w:rPr>
                                <w:t xml:space="preserve"> </w:t>
                              </w:r>
                              <w:r>
                                <w:rPr>
                                  <w:i/>
                                  <w:w w:val="105"/>
                                  <w:sz w:val="20"/>
                                </w:rPr>
                                <w:t>Publications</w:t>
                              </w:r>
                              <w:r>
                                <w:rPr>
                                  <w:i/>
                                  <w:spacing w:val="-12"/>
                                  <w:w w:val="105"/>
                                  <w:sz w:val="20"/>
                                </w:rPr>
                                <w:t xml:space="preserve"> </w:t>
                              </w:r>
                              <w:r>
                                <w:rPr>
                                  <w:i/>
                                  <w:w w:val="105"/>
                                  <w:sz w:val="20"/>
                                </w:rPr>
                                <w:t>and</w:t>
                              </w:r>
                              <w:r>
                                <w:rPr>
                                  <w:i/>
                                  <w:spacing w:val="-13"/>
                                  <w:w w:val="105"/>
                                  <w:sz w:val="20"/>
                                </w:rPr>
                                <w:t xml:space="preserve"> </w:t>
                              </w:r>
                              <w:r>
                                <w:rPr>
                                  <w:i/>
                                  <w:w w:val="105"/>
                                  <w:sz w:val="20"/>
                                </w:rPr>
                                <w:t>Guidance</w:t>
                              </w:r>
                              <w:r>
                                <w:rPr>
                                  <w:i/>
                                  <w:spacing w:val="-9"/>
                                  <w:w w:val="105"/>
                                  <w:sz w:val="20"/>
                                </w:rPr>
                                <w:t xml:space="preserve"> </w:t>
                              </w:r>
                              <w:r>
                                <w:rPr>
                                  <w:i/>
                                  <w:spacing w:val="-2"/>
                                  <w:w w:val="105"/>
                                  <w:sz w:val="20"/>
                                </w:rPr>
                                <w:t>Materials</w:t>
                              </w:r>
                            </w:p>
                          </w:txbxContent>
                        </wps:txbx>
                        <wps:bodyPr wrap="square" lIns="0" tIns="0" rIns="0" bIns="0" rtlCol="0">
                          <a:noAutofit/>
                        </wps:bodyPr>
                      </wps:wsp>
                      <wps:wsp>
                        <wps:cNvPr id="146" name="Textbox 146"/>
                        <wps:cNvSpPr txBox="1"/>
                        <wps:spPr>
                          <a:xfrm>
                            <a:off x="1864042" y="65464"/>
                            <a:ext cx="1931670" cy="165735"/>
                          </a:xfrm>
                          <a:prstGeom prst="rect">
                            <a:avLst/>
                          </a:prstGeom>
                        </wps:spPr>
                        <wps:txbx>
                          <w:txbxContent>
                            <w:p w14:paraId="1E806071" w14:textId="77777777" w:rsidR="00AA4A02" w:rsidRDefault="00960F31">
                              <w:pPr>
                                <w:spacing w:line="259" w:lineRule="exact"/>
                                <w:rPr>
                                  <w:b/>
                                  <w:sz w:val="23"/>
                                </w:rPr>
                              </w:pPr>
                              <w:r>
                                <w:rPr>
                                  <w:b/>
                                  <w:w w:val="105"/>
                                  <w:sz w:val="23"/>
                                </w:rPr>
                                <w:t>Non-Authoritative</w:t>
                              </w:r>
                              <w:r>
                                <w:rPr>
                                  <w:b/>
                                  <w:spacing w:val="38"/>
                                  <w:w w:val="105"/>
                                  <w:sz w:val="23"/>
                                </w:rPr>
                                <w:t xml:space="preserve"> </w:t>
                              </w:r>
                              <w:r>
                                <w:rPr>
                                  <w:b/>
                                  <w:spacing w:val="-2"/>
                                  <w:w w:val="105"/>
                                  <w:sz w:val="23"/>
                                </w:rPr>
                                <w:t>Materials</w:t>
                              </w:r>
                            </w:p>
                          </w:txbxContent>
                        </wps:txbx>
                        <wps:bodyPr wrap="square" lIns="0" tIns="0" rIns="0" bIns="0" rtlCol="0">
                          <a:noAutofit/>
                        </wps:bodyPr>
                      </wps:wsp>
                    </wpg:wgp>
                  </a:graphicData>
                </a:graphic>
              </wp:anchor>
            </w:drawing>
          </mc:Choice>
          <mc:Fallback>
            <w:pict>
              <v:group w14:anchorId="1E805F89" id="Group 139" o:spid="_x0000_s1078" style="position:absolute;margin-left:73.95pt;margin-top:415.7pt;width:444.65pt;height:123.1pt;z-index:-15698432;mso-wrap-distance-left:0;mso-wrap-distance-right:0;mso-position-horizontal-relative:page;mso-position-vertical-relative:text" coordsize="56470,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">
                <v:shape id="Graphic 140" o:spid="_x0000_s1079" style="position:absolute;left:41;top:41;width:56388;height:15545;visibility:visible;mso-wrap-style:square;v-text-anchor:top" coordsize="563880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" path="m,1554419r5638305,l5638305,,,,,1554419xe" filled="f" strokeweight=".23125mm">
                  <v:path arrowok="t"/>
                </v:shape>
                <v:shape id="Graphic 141" o:spid="_x0000_s1080" style="position:absolute;left:490;top:517;width:55867;height:14643;visibility:visible;mso-wrap-style:square;v-text-anchor:top" coordsize="5586730,146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" path="m5586387,672401r-17374,l5569013,799909r,127203l5569013,1447101r-5551627,l17386,672401,,672401r,791566l17386,1463967r5551627,l5586387,1463967r,-16866l5586387,799909r,-127508xem5586387,r-17374,l17386,,,,,16548,,672338r17386,l17386,547865r,-127229l17386,293408r,-276822l5569013,16586r,276822l5569013,420636r,127229l5569013,672338r17374,l5586387,16548r,-16548xe" fillcolor="black" stroked="f">
                  <v:path arrowok="t"/>
                </v:shape>
                <v:shape id="Textbox 142" o:spid="_x0000_s1081" type="#_x0000_t202" style="position:absolute;left:32089;top:5956;width:20942;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E80606B" w14:textId="77777777" w:rsidR="00AA4A02" w:rsidRDefault="00960F31">
                        <w:pPr>
                          <w:spacing w:line="232" w:lineRule="auto"/>
                          <w:ind w:right="273"/>
                          <w:rPr>
                            <w:sz w:val="18"/>
                          </w:rPr>
                        </w:pPr>
                        <w:r>
                          <w:rPr>
                            <w:w w:val="105"/>
                            <w:sz w:val="18"/>
                          </w:rPr>
                          <w:t>Frequently Asked Questions Newsletters and news alerts Implementation</w:t>
                        </w:r>
                        <w:r>
                          <w:rPr>
                            <w:spacing w:val="-9"/>
                            <w:w w:val="105"/>
                            <w:sz w:val="18"/>
                          </w:rPr>
                          <w:t xml:space="preserve"> </w:t>
                        </w:r>
                        <w:r>
                          <w:rPr>
                            <w:w w:val="105"/>
                            <w:sz w:val="18"/>
                          </w:rPr>
                          <w:t>support</w:t>
                        </w:r>
                        <w:r>
                          <w:rPr>
                            <w:spacing w:val="-12"/>
                            <w:w w:val="105"/>
                            <w:sz w:val="18"/>
                          </w:rPr>
                          <w:t xml:space="preserve"> </w:t>
                        </w:r>
                        <w:r>
                          <w:rPr>
                            <w:w w:val="105"/>
                            <w:sz w:val="18"/>
                          </w:rPr>
                          <w:t>materials</w:t>
                        </w:r>
                      </w:p>
                      <w:p w14:paraId="1E80606C" w14:textId="77777777" w:rsidR="00AA4A02" w:rsidRDefault="00960F31">
                        <w:pPr>
                          <w:spacing w:line="232" w:lineRule="auto"/>
                          <w:rPr>
                            <w:sz w:val="18"/>
                          </w:rPr>
                        </w:pPr>
                        <w:r>
                          <w:rPr>
                            <w:w w:val="105"/>
                            <w:sz w:val="18"/>
                          </w:rPr>
                          <w:t>Other</w:t>
                        </w:r>
                        <w:r>
                          <w:rPr>
                            <w:spacing w:val="-5"/>
                            <w:w w:val="105"/>
                            <w:sz w:val="18"/>
                          </w:rPr>
                          <w:t xml:space="preserve"> </w:t>
                        </w:r>
                        <w:r>
                          <w:rPr>
                            <w:w w:val="105"/>
                            <w:sz w:val="18"/>
                          </w:rPr>
                          <w:t>contextual,</w:t>
                        </w:r>
                        <w:r>
                          <w:rPr>
                            <w:spacing w:val="-3"/>
                            <w:w w:val="105"/>
                            <w:sz w:val="18"/>
                          </w:rPr>
                          <w:t xml:space="preserve"> </w:t>
                        </w:r>
                        <w:r>
                          <w:rPr>
                            <w:w w:val="105"/>
                            <w:sz w:val="18"/>
                          </w:rPr>
                          <w:t>supportive</w:t>
                        </w:r>
                        <w:r>
                          <w:rPr>
                            <w:spacing w:val="-3"/>
                            <w:w w:val="105"/>
                            <w:sz w:val="18"/>
                          </w:rPr>
                          <w:t xml:space="preserve"> </w:t>
                        </w:r>
                        <w:r>
                          <w:rPr>
                            <w:w w:val="105"/>
                            <w:sz w:val="18"/>
                          </w:rPr>
                          <w:t>and</w:t>
                        </w:r>
                        <w:r>
                          <w:rPr>
                            <w:spacing w:val="-9"/>
                            <w:w w:val="105"/>
                            <w:sz w:val="18"/>
                          </w:rPr>
                          <w:t xml:space="preserve"> </w:t>
                        </w:r>
                        <w:r>
                          <w:rPr>
                            <w:w w:val="105"/>
                            <w:sz w:val="18"/>
                          </w:rPr>
                          <w:t>education materials, webcasts, podcasts, articles, presentations and training materials Research reports</w:t>
                        </w:r>
                      </w:p>
                    </w:txbxContent>
                  </v:textbox>
                </v:shape>
                <v:shape id="Textbox 143" o:spid="_x0000_s1082" type="#_x0000_t202" style="position:absolute;left:2666;top:5956;width:16453;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E80606D" w14:textId="77777777" w:rsidR="00AA4A02" w:rsidRDefault="00960F31">
                        <w:pPr>
                          <w:spacing w:line="232" w:lineRule="auto"/>
                          <w:ind w:right="695"/>
                          <w:rPr>
                            <w:sz w:val="18"/>
                          </w:rPr>
                        </w:pPr>
                        <w:r>
                          <w:rPr>
                            <w:w w:val="105"/>
                            <w:sz w:val="18"/>
                          </w:rPr>
                          <w:t>Explanatory Guides Basis</w:t>
                        </w:r>
                        <w:r>
                          <w:rPr>
                            <w:spacing w:val="-12"/>
                            <w:w w:val="105"/>
                            <w:sz w:val="18"/>
                          </w:rPr>
                          <w:t xml:space="preserve"> </w:t>
                        </w:r>
                        <w:r>
                          <w:rPr>
                            <w:w w:val="105"/>
                            <w:sz w:val="18"/>
                          </w:rPr>
                          <w:t>for</w:t>
                        </w:r>
                        <w:r>
                          <w:rPr>
                            <w:spacing w:val="-12"/>
                            <w:w w:val="105"/>
                            <w:sz w:val="18"/>
                          </w:rPr>
                          <w:t xml:space="preserve"> </w:t>
                        </w:r>
                        <w:r>
                          <w:rPr>
                            <w:w w:val="105"/>
                            <w:sz w:val="18"/>
                          </w:rPr>
                          <w:t>Conclusions AUASB Bulletins</w:t>
                        </w:r>
                      </w:p>
                      <w:p w14:paraId="1E80606E" w14:textId="77777777" w:rsidR="00AA4A02" w:rsidRDefault="00960F31">
                        <w:pPr>
                          <w:spacing w:line="201" w:lineRule="exact"/>
                          <w:rPr>
                            <w:sz w:val="18"/>
                          </w:rPr>
                        </w:pPr>
                        <w:r>
                          <w:rPr>
                            <w:w w:val="105"/>
                            <w:sz w:val="18"/>
                          </w:rPr>
                          <w:t>AUASB Consultative</w:t>
                        </w:r>
                        <w:r>
                          <w:rPr>
                            <w:spacing w:val="4"/>
                            <w:w w:val="105"/>
                            <w:sz w:val="18"/>
                          </w:rPr>
                          <w:t xml:space="preserve"> </w:t>
                        </w:r>
                        <w:r>
                          <w:rPr>
                            <w:spacing w:val="-2"/>
                            <w:w w:val="105"/>
                            <w:sz w:val="18"/>
                          </w:rPr>
                          <w:t>Documents</w:t>
                        </w:r>
                      </w:p>
                    </w:txbxContent>
                  </v:textbox>
                </v:shape>
                <v:shape id="Textbox 144" o:spid="_x0000_s1083" type="#_x0000_t202" style="position:absolute;left:29713;top:3341;width:2491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E80606F" w14:textId="77777777" w:rsidR="00AA4A02" w:rsidRDefault="00960F31">
                        <w:pPr>
                          <w:spacing w:line="222" w:lineRule="exact"/>
                          <w:rPr>
                            <w:i/>
                            <w:sz w:val="20"/>
                          </w:rPr>
                        </w:pPr>
                        <w:r>
                          <w:rPr>
                            <w:i/>
                            <w:w w:val="105"/>
                            <w:sz w:val="20"/>
                          </w:rPr>
                          <w:t>Technical</w:t>
                        </w:r>
                        <w:r>
                          <w:rPr>
                            <w:i/>
                            <w:spacing w:val="-7"/>
                            <w:w w:val="105"/>
                            <w:sz w:val="20"/>
                          </w:rPr>
                          <w:t xml:space="preserve"> </w:t>
                        </w:r>
                        <w:r>
                          <w:rPr>
                            <w:i/>
                            <w:w w:val="105"/>
                            <w:sz w:val="20"/>
                          </w:rPr>
                          <w:t>Staff</w:t>
                        </w:r>
                        <w:r>
                          <w:rPr>
                            <w:i/>
                            <w:spacing w:val="-10"/>
                            <w:w w:val="105"/>
                            <w:sz w:val="20"/>
                          </w:rPr>
                          <w:t xml:space="preserve"> </w:t>
                        </w:r>
                        <w:r>
                          <w:rPr>
                            <w:i/>
                            <w:w w:val="105"/>
                            <w:sz w:val="20"/>
                          </w:rPr>
                          <w:t>Guidance</w:t>
                        </w:r>
                        <w:r>
                          <w:rPr>
                            <w:i/>
                            <w:spacing w:val="-10"/>
                            <w:w w:val="105"/>
                            <w:sz w:val="20"/>
                          </w:rPr>
                          <w:t xml:space="preserve"> </w:t>
                        </w:r>
                        <w:r>
                          <w:rPr>
                            <w:i/>
                            <w:w w:val="105"/>
                            <w:sz w:val="20"/>
                          </w:rPr>
                          <w:t>and</w:t>
                        </w:r>
                        <w:r>
                          <w:rPr>
                            <w:i/>
                            <w:spacing w:val="-11"/>
                            <w:w w:val="105"/>
                            <w:sz w:val="20"/>
                          </w:rPr>
                          <w:t xml:space="preserve"> </w:t>
                        </w:r>
                        <w:r>
                          <w:rPr>
                            <w:i/>
                            <w:w w:val="105"/>
                            <w:sz w:val="20"/>
                          </w:rPr>
                          <w:t>Other</w:t>
                        </w:r>
                        <w:r>
                          <w:rPr>
                            <w:i/>
                            <w:spacing w:val="-8"/>
                            <w:w w:val="105"/>
                            <w:sz w:val="20"/>
                          </w:rPr>
                          <w:t xml:space="preserve"> </w:t>
                        </w:r>
                        <w:r>
                          <w:rPr>
                            <w:i/>
                            <w:spacing w:val="-2"/>
                            <w:w w:val="105"/>
                            <w:sz w:val="20"/>
                          </w:rPr>
                          <w:t>Materials</w:t>
                        </w:r>
                      </w:p>
                    </w:txbxContent>
                  </v:textbox>
                </v:shape>
                <v:shape id="Textbox 145" o:spid="_x0000_s1084" type="#_x0000_t202" style="position:absolute;left:1302;top:3341;width:2456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E806070" w14:textId="77777777" w:rsidR="00AA4A02" w:rsidRDefault="00960F31">
                        <w:pPr>
                          <w:spacing w:line="222" w:lineRule="exact"/>
                          <w:rPr>
                            <w:i/>
                            <w:sz w:val="20"/>
                          </w:rPr>
                        </w:pPr>
                        <w:r>
                          <w:rPr>
                            <w:i/>
                            <w:w w:val="105"/>
                            <w:sz w:val="20"/>
                          </w:rPr>
                          <w:t>AUASB</w:t>
                        </w:r>
                        <w:r>
                          <w:rPr>
                            <w:i/>
                            <w:spacing w:val="-10"/>
                            <w:w w:val="105"/>
                            <w:sz w:val="20"/>
                          </w:rPr>
                          <w:t xml:space="preserve"> </w:t>
                        </w:r>
                        <w:r>
                          <w:rPr>
                            <w:i/>
                            <w:w w:val="105"/>
                            <w:sz w:val="20"/>
                          </w:rPr>
                          <w:t>Publications</w:t>
                        </w:r>
                        <w:r>
                          <w:rPr>
                            <w:i/>
                            <w:spacing w:val="-12"/>
                            <w:w w:val="105"/>
                            <w:sz w:val="20"/>
                          </w:rPr>
                          <w:t xml:space="preserve"> </w:t>
                        </w:r>
                        <w:r>
                          <w:rPr>
                            <w:i/>
                            <w:w w:val="105"/>
                            <w:sz w:val="20"/>
                          </w:rPr>
                          <w:t>and</w:t>
                        </w:r>
                        <w:r>
                          <w:rPr>
                            <w:i/>
                            <w:spacing w:val="-13"/>
                            <w:w w:val="105"/>
                            <w:sz w:val="20"/>
                          </w:rPr>
                          <w:t xml:space="preserve"> </w:t>
                        </w:r>
                        <w:r>
                          <w:rPr>
                            <w:i/>
                            <w:w w:val="105"/>
                            <w:sz w:val="20"/>
                          </w:rPr>
                          <w:t>Guidance</w:t>
                        </w:r>
                        <w:r>
                          <w:rPr>
                            <w:i/>
                            <w:spacing w:val="-9"/>
                            <w:w w:val="105"/>
                            <w:sz w:val="20"/>
                          </w:rPr>
                          <w:t xml:space="preserve"> </w:t>
                        </w:r>
                        <w:r>
                          <w:rPr>
                            <w:i/>
                            <w:spacing w:val="-2"/>
                            <w:w w:val="105"/>
                            <w:sz w:val="20"/>
                          </w:rPr>
                          <w:t>Materials</w:t>
                        </w:r>
                      </w:p>
                    </w:txbxContent>
                  </v:textbox>
                </v:shape>
                <v:shape id="Textbox 146" o:spid="_x0000_s1085" type="#_x0000_t202" style="position:absolute;left:18640;top:654;width:1931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E806071" w14:textId="77777777" w:rsidR="00AA4A02" w:rsidRDefault="00960F31">
                        <w:pPr>
                          <w:spacing w:line="259" w:lineRule="exact"/>
                          <w:rPr>
                            <w:b/>
                            <w:sz w:val="23"/>
                          </w:rPr>
                        </w:pPr>
                        <w:r>
                          <w:rPr>
                            <w:b/>
                            <w:w w:val="105"/>
                            <w:sz w:val="23"/>
                          </w:rPr>
                          <w:t>Non-Authoritative</w:t>
                        </w:r>
                        <w:r>
                          <w:rPr>
                            <w:b/>
                            <w:spacing w:val="38"/>
                            <w:w w:val="105"/>
                            <w:sz w:val="23"/>
                          </w:rPr>
                          <w:t xml:space="preserve"> </w:t>
                        </w:r>
                        <w:r>
                          <w:rPr>
                            <w:b/>
                            <w:spacing w:val="-2"/>
                            <w:w w:val="105"/>
                            <w:sz w:val="23"/>
                          </w:rPr>
                          <w:t>Materials</w:t>
                        </w:r>
                      </w:p>
                    </w:txbxContent>
                  </v:textbox>
                </v:shape>
                <w10:wrap type="topAndBottom" anchorx="page"/>
              </v:group>
            </w:pict>
          </mc:Fallback>
        </mc:AlternateContent>
      </w:r>
    </w:p>
    <w:p w14:paraId="1E805DD6" w14:textId="77777777" w:rsidR="00AA4A02" w:rsidRDefault="00AA4A02">
      <w:pPr>
        <w:pStyle w:val="BodyText"/>
        <w:spacing w:before="138"/>
        <w:rPr>
          <w:b/>
          <w:sz w:val="20"/>
        </w:rPr>
      </w:pPr>
    </w:p>
    <w:p w14:paraId="1E805DD7" w14:textId="77777777" w:rsidR="00AA4A02" w:rsidRDefault="00AA4A02">
      <w:pPr>
        <w:pStyle w:val="BodyText"/>
        <w:spacing w:before="3"/>
        <w:rPr>
          <w:b/>
          <w:sz w:val="13"/>
        </w:rPr>
      </w:pPr>
    </w:p>
    <w:tbl>
      <w:tblPr>
        <w:tblW w:w="0" w:type="auto"/>
        <w:tblInd w:w="275" w:type="dxa"/>
        <w:tblLayout w:type="fixed"/>
        <w:tblCellMar>
          <w:left w:w="0" w:type="dxa"/>
          <w:right w:w="0" w:type="dxa"/>
        </w:tblCellMar>
        <w:tblLook w:val="01E0" w:firstRow="1" w:lastRow="1" w:firstColumn="1" w:lastColumn="1" w:noHBand="0" w:noVBand="0"/>
      </w:tblPr>
      <w:tblGrid>
        <w:gridCol w:w="1763"/>
        <w:gridCol w:w="1947"/>
        <w:gridCol w:w="2786"/>
        <w:gridCol w:w="1956"/>
      </w:tblGrid>
      <w:tr w:rsidR="00AA4A02" w14:paraId="1E805DDC" w14:textId="77777777">
        <w:trPr>
          <w:trHeight w:val="191"/>
        </w:trPr>
        <w:tc>
          <w:tcPr>
            <w:tcW w:w="1763" w:type="dxa"/>
          </w:tcPr>
          <w:p w14:paraId="1E805DD8" w14:textId="77777777" w:rsidR="00AA4A02" w:rsidRDefault="00960F31">
            <w:pPr>
              <w:pStyle w:val="TableParagraph"/>
              <w:spacing w:line="172" w:lineRule="exact"/>
              <w:ind w:left="182"/>
              <w:rPr>
                <w:sz w:val="16"/>
              </w:rPr>
            </w:pPr>
            <w:r>
              <w:rPr>
                <w:spacing w:val="-2"/>
                <w:w w:val="110"/>
                <w:sz w:val="16"/>
              </w:rPr>
              <w:t>Framework</w:t>
            </w:r>
          </w:p>
        </w:tc>
        <w:tc>
          <w:tcPr>
            <w:tcW w:w="1947" w:type="dxa"/>
          </w:tcPr>
          <w:p w14:paraId="1E805DD9" w14:textId="77777777" w:rsidR="00AA4A02" w:rsidRDefault="00960F31">
            <w:pPr>
              <w:pStyle w:val="TableParagraph"/>
              <w:spacing w:line="172" w:lineRule="exact"/>
              <w:ind w:left="569"/>
              <w:rPr>
                <w:sz w:val="16"/>
              </w:rPr>
            </w:pPr>
            <w:r>
              <w:rPr>
                <w:spacing w:val="-2"/>
                <w:w w:val="110"/>
                <w:sz w:val="16"/>
              </w:rPr>
              <w:t>Standards</w:t>
            </w:r>
          </w:p>
        </w:tc>
        <w:tc>
          <w:tcPr>
            <w:tcW w:w="2786" w:type="dxa"/>
          </w:tcPr>
          <w:p w14:paraId="1E805DDA" w14:textId="77777777" w:rsidR="00AA4A02" w:rsidRDefault="00960F31">
            <w:pPr>
              <w:pStyle w:val="TableParagraph"/>
              <w:spacing w:line="172" w:lineRule="exact"/>
              <w:ind w:left="704"/>
              <w:rPr>
                <w:sz w:val="16"/>
              </w:rPr>
            </w:pPr>
            <w:r>
              <w:rPr>
                <w:w w:val="105"/>
                <w:sz w:val="16"/>
              </w:rPr>
              <w:t>Guidance</w:t>
            </w:r>
            <w:r>
              <w:rPr>
                <w:spacing w:val="4"/>
                <w:w w:val="110"/>
                <w:sz w:val="16"/>
              </w:rPr>
              <w:t xml:space="preserve"> </w:t>
            </w:r>
            <w:r>
              <w:rPr>
                <w:spacing w:val="-2"/>
                <w:w w:val="110"/>
                <w:sz w:val="16"/>
              </w:rPr>
              <w:t>Statements</w:t>
            </w:r>
          </w:p>
        </w:tc>
        <w:tc>
          <w:tcPr>
            <w:tcW w:w="1956" w:type="dxa"/>
          </w:tcPr>
          <w:p w14:paraId="1E805DDB" w14:textId="77777777" w:rsidR="00AA4A02" w:rsidRDefault="00960F31">
            <w:pPr>
              <w:pStyle w:val="TableParagraph"/>
              <w:spacing w:line="172" w:lineRule="exact"/>
              <w:ind w:left="644"/>
              <w:rPr>
                <w:sz w:val="16"/>
              </w:rPr>
            </w:pPr>
            <w:r>
              <w:rPr>
                <w:w w:val="105"/>
                <w:sz w:val="16"/>
              </w:rPr>
              <w:t>Non-</w:t>
            </w:r>
            <w:r>
              <w:rPr>
                <w:spacing w:val="-2"/>
                <w:w w:val="110"/>
                <w:sz w:val="16"/>
              </w:rPr>
              <w:t>Authoritative</w:t>
            </w:r>
          </w:p>
        </w:tc>
      </w:tr>
      <w:tr w:rsidR="00AA4A02" w14:paraId="1E805DE1" w14:textId="77777777">
        <w:trPr>
          <w:trHeight w:val="191"/>
        </w:trPr>
        <w:tc>
          <w:tcPr>
            <w:tcW w:w="1763" w:type="dxa"/>
          </w:tcPr>
          <w:p w14:paraId="1E805DDD" w14:textId="77777777" w:rsidR="00AA4A02" w:rsidRDefault="00960F31">
            <w:pPr>
              <w:pStyle w:val="TableParagraph"/>
              <w:spacing w:before="6" w:line="165" w:lineRule="exact"/>
              <w:ind w:left="50"/>
              <w:rPr>
                <w:sz w:val="16"/>
              </w:rPr>
            </w:pPr>
            <w:r>
              <w:rPr>
                <w:spacing w:val="-2"/>
                <w:w w:val="110"/>
                <w:sz w:val="16"/>
              </w:rPr>
              <w:t>Pronouncements</w:t>
            </w:r>
          </w:p>
        </w:tc>
        <w:tc>
          <w:tcPr>
            <w:tcW w:w="1947" w:type="dxa"/>
          </w:tcPr>
          <w:p w14:paraId="1E805DDE" w14:textId="77777777" w:rsidR="00AA4A02" w:rsidRDefault="00AA4A02">
            <w:pPr>
              <w:pStyle w:val="TableParagraph"/>
              <w:ind w:left="0"/>
              <w:rPr>
                <w:sz w:val="12"/>
              </w:rPr>
            </w:pPr>
          </w:p>
        </w:tc>
        <w:tc>
          <w:tcPr>
            <w:tcW w:w="2786" w:type="dxa"/>
          </w:tcPr>
          <w:p w14:paraId="1E805DDF" w14:textId="77777777" w:rsidR="00AA4A02" w:rsidRDefault="00AA4A02">
            <w:pPr>
              <w:pStyle w:val="TableParagraph"/>
              <w:ind w:left="0"/>
              <w:rPr>
                <w:sz w:val="12"/>
              </w:rPr>
            </w:pPr>
          </w:p>
        </w:tc>
        <w:tc>
          <w:tcPr>
            <w:tcW w:w="1956" w:type="dxa"/>
          </w:tcPr>
          <w:p w14:paraId="1E805DE0" w14:textId="77777777" w:rsidR="00AA4A02" w:rsidRDefault="00960F31">
            <w:pPr>
              <w:pStyle w:val="TableParagraph"/>
              <w:spacing w:before="6" w:line="165" w:lineRule="exact"/>
              <w:ind w:left="639"/>
              <w:rPr>
                <w:sz w:val="16"/>
              </w:rPr>
            </w:pPr>
            <w:r>
              <w:rPr>
                <w:spacing w:val="-2"/>
                <w:w w:val="110"/>
                <w:sz w:val="16"/>
              </w:rPr>
              <w:t>Materials</w:t>
            </w:r>
          </w:p>
        </w:tc>
      </w:tr>
    </w:tbl>
    <w:p w14:paraId="1E805DE2" w14:textId="77777777" w:rsidR="00AA4A02" w:rsidRDefault="00AA4A02">
      <w:pPr>
        <w:pStyle w:val="BodyText"/>
        <w:spacing w:before="9"/>
        <w:rPr>
          <w:b/>
          <w:sz w:val="4"/>
        </w:rPr>
      </w:pPr>
    </w:p>
    <w:p w14:paraId="1E805DE3" w14:textId="77777777" w:rsidR="00AA4A02" w:rsidRDefault="00960F31">
      <w:pPr>
        <w:tabs>
          <w:tab w:val="left" w:pos="2608"/>
          <w:tab w:val="left" w:pos="5104"/>
          <w:tab w:val="left" w:pos="7680"/>
        </w:tabs>
        <w:ind w:left="466"/>
        <w:rPr>
          <w:position w:val="2"/>
          <w:sz w:val="20"/>
        </w:rPr>
      </w:pPr>
      <w:r>
        <w:rPr>
          <w:noProof/>
          <w:sz w:val="20"/>
        </w:rPr>
        <w:drawing>
          <wp:inline distT="0" distB="0" distL="0" distR="0" wp14:anchorId="1E805F8B" wp14:editId="1E805F8C">
            <wp:extent cx="450366" cy="246887"/>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81" cstate="print"/>
                    <a:stretch>
                      <a:fillRect/>
                    </a:stretch>
                  </pic:blipFill>
                  <pic:spPr>
                    <a:xfrm>
                      <a:off x="0" y="0"/>
                      <a:ext cx="450366" cy="246887"/>
                    </a:xfrm>
                    <a:prstGeom prst="rect">
                      <a:avLst/>
                    </a:prstGeom>
                  </pic:spPr>
                </pic:pic>
              </a:graphicData>
            </a:graphic>
          </wp:inline>
        </w:drawing>
      </w:r>
      <w:r>
        <w:rPr>
          <w:sz w:val="20"/>
        </w:rPr>
        <w:tab/>
      </w:r>
      <w:r>
        <w:rPr>
          <w:noProof/>
          <w:sz w:val="20"/>
        </w:rPr>
        <mc:AlternateContent>
          <mc:Choice Requires="wpg">
            <w:drawing>
              <wp:inline distT="0" distB="0" distL="0" distR="0" wp14:anchorId="1E805F8D" wp14:editId="1E805F8E">
                <wp:extent cx="417195" cy="224154"/>
                <wp:effectExtent l="0" t="0" r="0" b="444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224154"/>
                          <a:chOff x="0" y="0"/>
                          <a:chExt cx="417195" cy="224154"/>
                        </a:xfrm>
                      </wpg:grpSpPr>
                      <wps:wsp>
                        <wps:cNvPr id="149" name="Graphic 149"/>
                        <wps:cNvSpPr/>
                        <wps:spPr>
                          <a:xfrm>
                            <a:off x="4195" y="4195"/>
                            <a:ext cx="408940" cy="215900"/>
                          </a:xfrm>
                          <a:custGeom>
                            <a:avLst/>
                            <a:gdLst/>
                            <a:ahLst/>
                            <a:cxnLst/>
                            <a:rect l="l" t="t" r="r" b="b"/>
                            <a:pathLst>
                              <a:path w="408940" h="215900">
                                <a:moveTo>
                                  <a:pt x="408530" y="0"/>
                                </a:moveTo>
                                <a:lnTo>
                                  <a:pt x="0" y="0"/>
                                </a:lnTo>
                                <a:lnTo>
                                  <a:pt x="0" y="215738"/>
                                </a:lnTo>
                                <a:lnTo>
                                  <a:pt x="408530" y="215738"/>
                                </a:lnTo>
                                <a:lnTo>
                                  <a:pt x="408530" y="0"/>
                                </a:lnTo>
                                <a:close/>
                              </a:path>
                            </a:pathLst>
                          </a:custGeom>
                          <a:solidFill>
                            <a:srgbClr val="85293E"/>
                          </a:solidFill>
                        </wps:spPr>
                        <wps:bodyPr wrap="square" lIns="0" tIns="0" rIns="0" bIns="0" rtlCol="0">
                          <a:prstTxWarp prst="textNoShape">
                            <a:avLst/>
                          </a:prstTxWarp>
                          <a:noAutofit/>
                        </wps:bodyPr>
                      </wps:wsp>
                      <wps:wsp>
                        <wps:cNvPr id="150" name="Graphic 150"/>
                        <wps:cNvSpPr/>
                        <wps:spPr>
                          <a:xfrm>
                            <a:off x="4195" y="4195"/>
                            <a:ext cx="408940" cy="215900"/>
                          </a:xfrm>
                          <a:custGeom>
                            <a:avLst/>
                            <a:gdLst/>
                            <a:ahLst/>
                            <a:cxnLst/>
                            <a:rect l="l" t="t" r="r" b="b"/>
                            <a:pathLst>
                              <a:path w="408940" h="215900">
                                <a:moveTo>
                                  <a:pt x="0" y="215738"/>
                                </a:moveTo>
                                <a:lnTo>
                                  <a:pt x="408530" y="215738"/>
                                </a:lnTo>
                                <a:lnTo>
                                  <a:pt x="408530" y="0"/>
                                </a:lnTo>
                                <a:lnTo>
                                  <a:pt x="0" y="0"/>
                                </a:lnTo>
                                <a:lnTo>
                                  <a:pt x="0" y="215738"/>
                                </a:lnTo>
                                <a:close/>
                              </a:path>
                            </a:pathLst>
                          </a:custGeom>
                          <a:ln w="83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40CC71" id="Group 148" o:spid="_x0000_s1026" style="width:32.85pt;height:17.65pt;mso-position-horizontal-relative:char;mso-position-vertical-relative:line" coordsize="417195,22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">
                <v:shape id="Graphic 149" o:spid="_x0000_s1027" style="position:absolute;left:4195;top:4195;width:408940;height:215900;visibility:visible;mso-wrap-style:square;v-text-anchor:top" coordsize="4089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" path="m408530,l,,,215738r408530,l408530,xe" fillcolor="#85293e" stroked="f">
                  <v:path arrowok="t"/>
                </v:shape>
                <v:shape id="Graphic 150" o:spid="_x0000_s1028" style="position:absolute;left:4195;top:4195;width:408940;height:215900;visibility:visible;mso-wrap-style:square;v-text-anchor:top" coordsize="4089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" path="m,215738r408530,l408530,,,,,215738xe" filled="f" strokeweight=".23286mm">
                  <v:path arrowok="t"/>
                </v:shape>
                <w10:anchorlock/>
              </v:group>
            </w:pict>
          </mc:Fallback>
        </mc:AlternateContent>
      </w:r>
      <w:r>
        <w:rPr>
          <w:sz w:val="20"/>
        </w:rPr>
        <w:tab/>
      </w:r>
      <w:r>
        <w:rPr>
          <w:noProof/>
          <w:position w:val="1"/>
          <w:sz w:val="20"/>
        </w:rPr>
        <mc:AlternateContent>
          <mc:Choice Requires="wpg">
            <w:drawing>
              <wp:inline distT="0" distB="0" distL="0" distR="0" wp14:anchorId="1E805F8F" wp14:editId="1E805F90">
                <wp:extent cx="402590" cy="215900"/>
                <wp:effectExtent l="0" t="0" r="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215900"/>
                          <a:chOff x="0" y="0"/>
                          <a:chExt cx="402590" cy="215900"/>
                        </a:xfrm>
                      </wpg:grpSpPr>
                      <wps:wsp>
                        <wps:cNvPr id="152" name="Graphic 152"/>
                        <wps:cNvSpPr/>
                        <wps:spPr>
                          <a:xfrm>
                            <a:off x="4194" y="4194"/>
                            <a:ext cx="394335" cy="207645"/>
                          </a:xfrm>
                          <a:custGeom>
                            <a:avLst/>
                            <a:gdLst/>
                            <a:ahLst/>
                            <a:cxnLst/>
                            <a:rect l="l" t="t" r="r" b="b"/>
                            <a:pathLst>
                              <a:path w="394335" h="207645">
                                <a:moveTo>
                                  <a:pt x="394043" y="0"/>
                                </a:moveTo>
                                <a:lnTo>
                                  <a:pt x="0" y="0"/>
                                </a:lnTo>
                                <a:lnTo>
                                  <a:pt x="0" y="207440"/>
                                </a:lnTo>
                                <a:lnTo>
                                  <a:pt x="394043" y="207440"/>
                                </a:lnTo>
                                <a:lnTo>
                                  <a:pt x="394043" y="0"/>
                                </a:lnTo>
                                <a:close/>
                              </a:path>
                            </a:pathLst>
                          </a:custGeom>
                          <a:solidFill>
                            <a:srgbClr val="D99593"/>
                          </a:solidFill>
                        </wps:spPr>
                        <wps:bodyPr wrap="square" lIns="0" tIns="0" rIns="0" bIns="0" rtlCol="0">
                          <a:prstTxWarp prst="textNoShape">
                            <a:avLst/>
                          </a:prstTxWarp>
                          <a:noAutofit/>
                        </wps:bodyPr>
                      </wps:wsp>
                      <wps:wsp>
                        <wps:cNvPr id="153" name="Graphic 153"/>
                        <wps:cNvSpPr/>
                        <wps:spPr>
                          <a:xfrm>
                            <a:off x="4194" y="4194"/>
                            <a:ext cx="394335" cy="207645"/>
                          </a:xfrm>
                          <a:custGeom>
                            <a:avLst/>
                            <a:gdLst/>
                            <a:ahLst/>
                            <a:cxnLst/>
                            <a:rect l="l" t="t" r="r" b="b"/>
                            <a:pathLst>
                              <a:path w="394335" h="207645">
                                <a:moveTo>
                                  <a:pt x="0" y="207440"/>
                                </a:moveTo>
                                <a:lnTo>
                                  <a:pt x="394043" y="207440"/>
                                </a:lnTo>
                                <a:lnTo>
                                  <a:pt x="394043" y="0"/>
                                </a:lnTo>
                                <a:lnTo>
                                  <a:pt x="0" y="0"/>
                                </a:lnTo>
                                <a:lnTo>
                                  <a:pt x="0" y="207440"/>
                                </a:lnTo>
                                <a:close/>
                              </a:path>
                            </a:pathLst>
                          </a:custGeom>
                          <a:ln w="83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7C10FD" id="Group 151" o:spid="_x0000_s1026" style="width:31.7pt;height:17pt;mso-position-horizontal-relative:char;mso-position-vertical-relative:line"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">
                <v:shape id="Graphic 152" o:spid="_x0000_s1027" style="position:absolute;left:4194;top:4194;width:394335;height:207645;visibility:visible;mso-wrap-style:square;v-text-anchor:top" coordsize="39433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" path="m394043,l,,,207440r394043,l394043,xe" fillcolor="#d99593" stroked="f">
                  <v:path arrowok="t"/>
                </v:shape>
                <v:shape id="Graphic 153" o:spid="_x0000_s1028" style="position:absolute;left:4194;top:4194;width:394335;height:207645;visibility:visible;mso-wrap-style:square;v-text-anchor:top" coordsize="39433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" path="m,207440r394043,l394043,,,,,207440xe" filled="f" strokeweight=".23286mm">
                  <v:path arrowok="t"/>
                </v:shape>
                <w10:anchorlock/>
              </v:group>
            </w:pict>
          </mc:Fallback>
        </mc:AlternateContent>
      </w:r>
      <w:r>
        <w:rPr>
          <w:position w:val="1"/>
          <w:sz w:val="20"/>
        </w:rPr>
        <w:tab/>
      </w:r>
      <w:r>
        <w:rPr>
          <w:noProof/>
          <w:position w:val="2"/>
          <w:sz w:val="20"/>
        </w:rPr>
        <mc:AlternateContent>
          <mc:Choice Requires="wpg">
            <w:drawing>
              <wp:inline distT="0" distB="0" distL="0" distR="0" wp14:anchorId="1E805F91" wp14:editId="1E805F92">
                <wp:extent cx="400050" cy="210820"/>
                <wp:effectExtent l="0" t="0" r="0" b="8254"/>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210820"/>
                          <a:chOff x="0" y="0"/>
                          <a:chExt cx="400050" cy="210820"/>
                        </a:xfrm>
                      </wpg:grpSpPr>
                      <wps:wsp>
                        <wps:cNvPr id="155" name="Graphic 155"/>
                        <wps:cNvSpPr/>
                        <wps:spPr>
                          <a:xfrm>
                            <a:off x="4193" y="4193"/>
                            <a:ext cx="391160" cy="201930"/>
                          </a:xfrm>
                          <a:custGeom>
                            <a:avLst/>
                            <a:gdLst/>
                            <a:ahLst/>
                            <a:cxnLst/>
                            <a:rect l="l" t="t" r="r" b="b"/>
                            <a:pathLst>
                              <a:path w="391160" h="201930">
                                <a:moveTo>
                                  <a:pt x="0" y="201908"/>
                                </a:moveTo>
                                <a:lnTo>
                                  <a:pt x="391146" y="201908"/>
                                </a:lnTo>
                                <a:lnTo>
                                  <a:pt x="391146" y="0"/>
                                </a:lnTo>
                                <a:lnTo>
                                  <a:pt x="0" y="0"/>
                                </a:lnTo>
                                <a:lnTo>
                                  <a:pt x="0" y="201908"/>
                                </a:lnTo>
                                <a:close/>
                              </a:path>
                            </a:pathLst>
                          </a:custGeom>
                          <a:ln w="83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B951FD" id="Group 154" o:spid="_x0000_s1026" style="width:31.5pt;height:16.6pt;mso-position-horizontal-relative:char;mso-position-vertical-relative:line" coordsize="40005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">
                <v:shape id="Graphic 155" o:spid="_x0000_s1027" style="position:absolute;left:4193;top:4193;width:391160;height:201930;visibility:visible;mso-wrap-style:square;v-text-anchor:top" coordsize="39116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" path="m,201908r391146,l391146,,,,,201908xe" filled="f" strokeweight=".23278mm">
                  <v:path arrowok="t"/>
                </v:shape>
                <w10:anchorlock/>
              </v:group>
            </w:pict>
          </mc:Fallback>
        </mc:AlternateContent>
      </w:r>
    </w:p>
    <w:p w14:paraId="1E805DE4" w14:textId="77777777" w:rsidR="00AA4A02" w:rsidRDefault="00AA4A02">
      <w:pPr>
        <w:rPr>
          <w:position w:val="2"/>
          <w:sz w:val="20"/>
        </w:rPr>
        <w:sectPr w:rsidR="00AA4A02">
          <w:pgSz w:w="11910" w:h="16840"/>
          <w:pgMar w:top="1380" w:right="1275" w:bottom="1040" w:left="1275" w:header="689" w:footer="842" w:gutter="0"/>
          <w:cols w:space="720"/>
        </w:sectPr>
      </w:pPr>
    </w:p>
    <w:p w14:paraId="1E805DE5" w14:textId="77777777" w:rsidR="00AA4A02" w:rsidRDefault="00960F31">
      <w:pPr>
        <w:spacing w:before="80"/>
        <w:ind w:right="137"/>
        <w:jc w:val="right"/>
        <w:rPr>
          <w:b/>
          <w:sz w:val="24"/>
        </w:rPr>
      </w:pPr>
      <w:r>
        <w:rPr>
          <w:b/>
          <w:sz w:val="24"/>
        </w:rPr>
        <w:lastRenderedPageBreak/>
        <w:t xml:space="preserve">Appendix </w:t>
      </w:r>
      <w:r>
        <w:rPr>
          <w:b/>
          <w:spacing w:val="-10"/>
          <w:sz w:val="24"/>
        </w:rPr>
        <w:t>3</w:t>
      </w:r>
    </w:p>
    <w:p w14:paraId="1E805DE6" w14:textId="77777777" w:rsidR="00AA4A02" w:rsidRDefault="00AA4A02">
      <w:pPr>
        <w:pStyle w:val="BodyText"/>
        <w:spacing w:before="126"/>
        <w:rPr>
          <w:b/>
          <w:sz w:val="28"/>
        </w:rPr>
      </w:pPr>
    </w:p>
    <w:p w14:paraId="1E805DE7" w14:textId="77777777" w:rsidR="00AA4A02" w:rsidRDefault="00960F31">
      <w:pPr>
        <w:pStyle w:val="Heading6"/>
        <w:spacing w:before="1" w:line="223" w:lineRule="auto"/>
        <w:ind w:left="1" w:right="265" w:firstLine="0"/>
      </w:pPr>
      <w:r>
        <w:t>Diagram</w:t>
      </w:r>
      <w:r>
        <w:rPr>
          <w:spacing w:val="-4"/>
        </w:rPr>
        <w:t xml:space="preserve"> </w:t>
      </w:r>
      <w:r>
        <w:t>depicting</w:t>
      </w:r>
      <w:r>
        <w:rPr>
          <w:spacing w:val="-1"/>
        </w:rPr>
        <w:t xml:space="preserve"> </w:t>
      </w:r>
      <w:r>
        <w:t>the</w:t>
      </w:r>
      <w:r>
        <w:rPr>
          <w:spacing w:val="-3"/>
        </w:rPr>
        <w:t xml:space="preserve"> </w:t>
      </w:r>
      <w:r>
        <w:t>Process</w:t>
      </w:r>
      <w:r>
        <w:rPr>
          <w:spacing w:val="-2"/>
        </w:rPr>
        <w:t xml:space="preserve"> </w:t>
      </w:r>
      <w:r>
        <w:t>for</w:t>
      </w:r>
      <w:r>
        <w:rPr>
          <w:spacing w:val="-5"/>
        </w:rPr>
        <w:t xml:space="preserve"> </w:t>
      </w:r>
      <w:r>
        <w:t>Developing</w:t>
      </w:r>
      <w:r>
        <w:rPr>
          <w:spacing w:val="-6"/>
        </w:rPr>
        <w:t xml:space="preserve"> </w:t>
      </w:r>
      <w:r>
        <w:t>AUASB</w:t>
      </w:r>
      <w:r>
        <w:rPr>
          <w:spacing w:val="-1"/>
        </w:rPr>
        <w:t xml:space="preserve"> </w:t>
      </w:r>
      <w:r>
        <w:t>Standards</w:t>
      </w:r>
      <w:r>
        <w:rPr>
          <w:spacing w:val="-2"/>
        </w:rPr>
        <w:t xml:space="preserve"> </w:t>
      </w:r>
      <w:r>
        <w:t>based</w:t>
      </w:r>
      <w:r>
        <w:rPr>
          <w:spacing w:val="-6"/>
        </w:rPr>
        <w:t xml:space="preserve"> </w:t>
      </w:r>
      <w:r>
        <w:t>on</w:t>
      </w:r>
      <w:r>
        <w:rPr>
          <w:spacing w:val="-3"/>
        </w:rPr>
        <w:t xml:space="preserve"> </w:t>
      </w:r>
      <w:r>
        <w:t>Equivalent</w:t>
      </w:r>
      <w:r>
        <w:rPr>
          <w:spacing w:val="-6"/>
        </w:rPr>
        <w:t xml:space="preserve"> </w:t>
      </w:r>
      <w:r>
        <w:t>IAASB</w:t>
      </w:r>
      <w:r>
        <w:rPr>
          <w:spacing w:val="-3"/>
        </w:rPr>
        <w:t xml:space="preserve"> </w:t>
      </w:r>
      <w:r>
        <w:t>Standards (Process 1)</w:t>
      </w:r>
    </w:p>
    <w:p w14:paraId="1E805DE8" w14:textId="77777777" w:rsidR="00AA4A02" w:rsidRDefault="00960F31">
      <w:pPr>
        <w:pStyle w:val="BodyText"/>
        <w:spacing w:before="175"/>
        <w:ind w:left="1"/>
      </w:pPr>
      <w:r>
        <w:t>The</w:t>
      </w:r>
      <w:r>
        <w:rPr>
          <w:spacing w:val="-6"/>
        </w:rPr>
        <w:t xml:space="preserve"> </w:t>
      </w:r>
      <w:r>
        <w:t>following</w:t>
      </w:r>
      <w:r>
        <w:rPr>
          <w:spacing w:val="-2"/>
        </w:rPr>
        <w:t xml:space="preserve"> </w:t>
      </w:r>
      <w:r>
        <w:t>diagram</w:t>
      </w:r>
      <w:r>
        <w:rPr>
          <w:spacing w:val="-3"/>
        </w:rPr>
        <w:t xml:space="preserve"> </w:t>
      </w:r>
      <w:r>
        <w:t>outlines</w:t>
      </w:r>
      <w:r>
        <w:rPr>
          <w:spacing w:val="-5"/>
        </w:rPr>
        <w:t xml:space="preserve"> </w:t>
      </w:r>
      <w:r>
        <w:t>the</w:t>
      </w:r>
      <w:r>
        <w:rPr>
          <w:spacing w:val="-3"/>
        </w:rPr>
        <w:t xml:space="preserve"> </w:t>
      </w:r>
      <w:r>
        <w:t>AUASB’s</w:t>
      </w:r>
      <w:r>
        <w:rPr>
          <w:spacing w:val="-4"/>
        </w:rPr>
        <w:t xml:space="preserve"> </w:t>
      </w:r>
      <w:r>
        <w:t>approach</w:t>
      </w:r>
      <w:r>
        <w:rPr>
          <w:spacing w:val="-3"/>
        </w:rPr>
        <w:t xml:space="preserve"> </w:t>
      </w:r>
      <w:r>
        <w:t>to</w:t>
      </w:r>
      <w:r>
        <w:rPr>
          <w:spacing w:val="-6"/>
        </w:rPr>
        <w:t xml:space="preserve"> </w:t>
      </w:r>
      <w:r>
        <w:t>the</w:t>
      </w:r>
      <w:r>
        <w:rPr>
          <w:spacing w:val="-2"/>
        </w:rPr>
        <w:t xml:space="preserve"> </w:t>
      </w:r>
      <w:r>
        <w:t>development</w:t>
      </w:r>
      <w:r>
        <w:rPr>
          <w:spacing w:val="-2"/>
        </w:rPr>
        <w:t xml:space="preserve"> </w:t>
      </w:r>
      <w:r>
        <w:t>of</w:t>
      </w:r>
      <w:r>
        <w:rPr>
          <w:spacing w:val="-5"/>
        </w:rPr>
        <w:t xml:space="preserve"> </w:t>
      </w:r>
      <w:r>
        <w:t>an</w:t>
      </w:r>
      <w:r>
        <w:rPr>
          <w:spacing w:val="-7"/>
        </w:rPr>
        <w:t xml:space="preserve"> </w:t>
      </w:r>
      <w:r>
        <w:t>AUASB</w:t>
      </w:r>
      <w:r>
        <w:rPr>
          <w:spacing w:val="-4"/>
        </w:rPr>
        <w:t xml:space="preserve"> </w:t>
      </w:r>
      <w:r>
        <w:t>standard</w:t>
      </w:r>
      <w:r>
        <w:rPr>
          <w:spacing w:val="-3"/>
        </w:rPr>
        <w:t xml:space="preserve"> </w:t>
      </w:r>
      <w:r>
        <w:t>that</w:t>
      </w:r>
      <w:r>
        <w:rPr>
          <w:spacing w:val="-5"/>
        </w:rPr>
        <w:t xml:space="preserve"> </w:t>
      </w:r>
      <w:r>
        <w:t>is</w:t>
      </w:r>
      <w:r>
        <w:rPr>
          <w:spacing w:val="-5"/>
        </w:rPr>
        <w:t xml:space="preserve"> </w:t>
      </w:r>
      <w:r>
        <w:t>based</w:t>
      </w:r>
      <w:r>
        <w:rPr>
          <w:spacing w:val="-3"/>
        </w:rPr>
        <w:t xml:space="preserve"> </w:t>
      </w:r>
      <w:r>
        <w:t>on</w:t>
      </w:r>
      <w:r>
        <w:rPr>
          <w:spacing w:val="-6"/>
        </w:rPr>
        <w:t xml:space="preserve"> </w:t>
      </w:r>
      <w:r>
        <w:t>an</w:t>
      </w:r>
      <w:r>
        <w:rPr>
          <w:spacing w:val="-3"/>
        </w:rPr>
        <w:t xml:space="preserve"> </w:t>
      </w:r>
      <w:r>
        <w:t>equivalent</w:t>
      </w:r>
      <w:r>
        <w:rPr>
          <w:spacing w:val="-2"/>
        </w:rPr>
        <w:t xml:space="preserve"> </w:t>
      </w:r>
      <w:r>
        <w:t>IAASB</w:t>
      </w:r>
      <w:r>
        <w:rPr>
          <w:spacing w:val="-5"/>
        </w:rPr>
        <w:t xml:space="preserve"> </w:t>
      </w:r>
      <w:r>
        <w:rPr>
          <w:spacing w:val="-2"/>
        </w:rPr>
        <w:t>standard.</w:t>
      </w:r>
    </w:p>
    <w:p w14:paraId="1E805DE9" w14:textId="77777777" w:rsidR="00AA4A02" w:rsidRDefault="00960F31">
      <w:pPr>
        <w:pStyle w:val="BodyText"/>
        <w:spacing w:before="43"/>
        <w:rPr>
          <w:sz w:val="20"/>
        </w:rPr>
      </w:pPr>
      <w:r>
        <w:rPr>
          <w:noProof/>
          <w:sz w:val="20"/>
        </w:rPr>
        <w:drawing>
          <wp:anchor distT="0" distB="0" distL="0" distR="0" simplePos="0" relativeHeight="487620096" behindDoc="1" locked="0" layoutInCell="1" allowOverlap="1" wp14:anchorId="1E805F93" wp14:editId="1E805F94">
            <wp:simplePos x="0" y="0"/>
            <wp:positionH relativeFrom="page">
              <wp:posOffset>1729502</wp:posOffset>
            </wp:positionH>
            <wp:positionV relativeFrom="paragraph">
              <wp:posOffset>189162</wp:posOffset>
            </wp:positionV>
            <wp:extent cx="6644405" cy="4111752"/>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82" cstate="print"/>
                    <a:stretch>
                      <a:fillRect/>
                    </a:stretch>
                  </pic:blipFill>
                  <pic:spPr>
                    <a:xfrm>
                      <a:off x="0" y="0"/>
                      <a:ext cx="6644405" cy="4111752"/>
                    </a:xfrm>
                    <a:prstGeom prst="rect">
                      <a:avLst/>
                    </a:prstGeom>
                  </pic:spPr>
                </pic:pic>
              </a:graphicData>
            </a:graphic>
          </wp:anchor>
        </w:drawing>
      </w:r>
    </w:p>
    <w:p w14:paraId="1E805DEA" w14:textId="77777777" w:rsidR="00AA4A02" w:rsidRDefault="00AA4A02">
      <w:pPr>
        <w:pStyle w:val="BodyText"/>
        <w:rPr>
          <w:sz w:val="20"/>
        </w:rPr>
        <w:sectPr w:rsidR="00AA4A02">
          <w:headerReference w:type="default" r:id="rId183"/>
          <w:footerReference w:type="default" r:id="rId184"/>
          <w:pgSz w:w="16840" w:h="11910" w:orient="landscape"/>
          <w:pgMar w:top="1280" w:right="1700" w:bottom="1040" w:left="1417" w:header="689" w:footer="842" w:gutter="0"/>
          <w:cols w:space="720"/>
        </w:sectPr>
      </w:pPr>
    </w:p>
    <w:p w14:paraId="1E805DEB" w14:textId="77777777" w:rsidR="00AA4A02" w:rsidRDefault="00960F31">
      <w:pPr>
        <w:pStyle w:val="Heading9"/>
        <w:spacing w:before="80"/>
        <w:ind w:left="0" w:right="138"/>
        <w:jc w:val="right"/>
      </w:pPr>
      <w:r>
        <w:lastRenderedPageBreak/>
        <w:t xml:space="preserve">Appendix 3 </w:t>
      </w:r>
      <w:r>
        <w:rPr>
          <w:spacing w:val="-2"/>
        </w:rPr>
        <w:t>(continued)</w:t>
      </w:r>
    </w:p>
    <w:p w14:paraId="1E805DEC" w14:textId="77777777" w:rsidR="00AA4A02" w:rsidRDefault="00960F31">
      <w:pPr>
        <w:pStyle w:val="BodyText"/>
        <w:spacing w:before="215"/>
        <w:rPr>
          <w:b/>
          <w:sz w:val="20"/>
        </w:rPr>
      </w:pPr>
      <w:r>
        <w:rPr>
          <w:b/>
          <w:noProof/>
          <w:sz w:val="20"/>
        </w:rPr>
        <w:drawing>
          <wp:anchor distT="0" distB="0" distL="0" distR="0" simplePos="0" relativeHeight="487620608" behindDoc="1" locked="0" layoutInCell="1" allowOverlap="1" wp14:anchorId="1E805F95" wp14:editId="1E805F96">
            <wp:simplePos x="0" y="0"/>
            <wp:positionH relativeFrom="page">
              <wp:posOffset>1556479</wp:posOffset>
            </wp:positionH>
            <wp:positionV relativeFrom="paragraph">
              <wp:posOffset>298237</wp:posOffset>
            </wp:positionV>
            <wp:extent cx="7068474" cy="4544282"/>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85" cstate="print"/>
                    <a:stretch>
                      <a:fillRect/>
                    </a:stretch>
                  </pic:blipFill>
                  <pic:spPr>
                    <a:xfrm>
                      <a:off x="0" y="0"/>
                      <a:ext cx="7068474" cy="4544282"/>
                    </a:xfrm>
                    <a:prstGeom prst="rect">
                      <a:avLst/>
                    </a:prstGeom>
                  </pic:spPr>
                </pic:pic>
              </a:graphicData>
            </a:graphic>
          </wp:anchor>
        </w:drawing>
      </w:r>
    </w:p>
    <w:p w14:paraId="1E805DED" w14:textId="77777777" w:rsidR="00AA4A02" w:rsidRDefault="00AA4A02">
      <w:pPr>
        <w:pStyle w:val="BodyText"/>
        <w:rPr>
          <w:b/>
          <w:sz w:val="20"/>
        </w:rPr>
        <w:sectPr w:rsidR="00AA4A02">
          <w:pgSz w:w="16840" w:h="11910" w:orient="landscape"/>
          <w:pgMar w:top="1280" w:right="1700" w:bottom="1040" w:left="1417" w:header="689" w:footer="842" w:gutter="0"/>
          <w:cols w:space="720"/>
        </w:sectPr>
      </w:pPr>
    </w:p>
    <w:p w14:paraId="1E805DEE" w14:textId="77777777" w:rsidR="00AA4A02" w:rsidRDefault="00AA4A02">
      <w:pPr>
        <w:pStyle w:val="BodyText"/>
        <w:spacing w:before="3"/>
        <w:rPr>
          <w:b/>
          <w:sz w:val="20"/>
        </w:rPr>
      </w:pPr>
    </w:p>
    <w:p w14:paraId="1E805DEF" w14:textId="77777777" w:rsidR="00AA4A02" w:rsidRDefault="00960F31">
      <w:pPr>
        <w:spacing w:line="20" w:lineRule="exact"/>
        <w:ind w:left="824"/>
        <w:rPr>
          <w:sz w:val="2"/>
        </w:rPr>
      </w:pPr>
      <w:r>
        <w:rPr>
          <w:noProof/>
          <w:sz w:val="2"/>
        </w:rPr>
        <mc:AlternateContent>
          <mc:Choice Requires="wpg">
            <w:drawing>
              <wp:inline distT="0" distB="0" distL="0" distR="0" wp14:anchorId="1E805F97" wp14:editId="1E805F98">
                <wp:extent cx="5796915" cy="635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6350"/>
                          <a:chOff x="0" y="0"/>
                          <a:chExt cx="5796915" cy="6350"/>
                        </a:xfrm>
                      </wpg:grpSpPr>
                      <wps:wsp>
                        <wps:cNvPr id="164" name="Graphic 164"/>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34C054" id="Group 163" o:spid="_x0000_s1026" style="width:456.45pt;height:.5pt;mso-position-horizontal-relative:char;mso-position-vertical-relative:line" coordsize="579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">
                <v:shape id="Graphic 164" o:spid="_x0000_s1027" style="position:absolute;width:57969;height:63;visibility:visible;mso-wrap-style:square;v-text-anchor:top" coordsize="5796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" path="m5796660,l,,,6096r5796660,l5796660,xe" fillcolor="black" stroked="f">
                  <v:path arrowok="t"/>
                </v:shape>
                <w10:anchorlock/>
              </v:group>
            </w:pict>
          </mc:Fallback>
        </mc:AlternateContent>
      </w:r>
    </w:p>
    <w:p w14:paraId="1E805DF0" w14:textId="77777777" w:rsidR="00AA4A02" w:rsidRDefault="00960F31">
      <w:pPr>
        <w:spacing w:before="185"/>
        <w:ind w:right="229"/>
        <w:jc w:val="right"/>
        <w:rPr>
          <w:b/>
          <w:sz w:val="24"/>
        </w:rPr>
      </w:pPr>
      <w:r>
        <w:rPr>
          <w:b/>
          <w:sz w:val="24"/>
        </w:rPr>
        <w:t xml:space="preserve">Appendix </w:t>
      </w:r>
      <w:r>
        <w:rPr>
          <w:b/>
          <w:spacing w:val="-10"/>
          <w:sz w:val="24"/>
        </w:rPr>
        <w:t>4</w:t>
      </w:r>
    </w:p>
    <w:p w14:paraId="1E805DF1" w14:textId="77777777" w:rsidR="00AA4A02" w:rsidRDefault="00AA4A02">
      <w:pPr>
        <w:pStyle w:val="BodyText"/>
        <w:spacing w:before="125"/>
        <w:rPr>
          <w:b/>
          <w:sz w:val="28"/>
        </w:rPr>
      </w:pPr>
    </w:p>
    <w:p w14:paraId="1E805DF2" w14:textId="77777777" w:rsidR="00AA4A02" w:rsidRDefault="00960F31">
      <w:pPr>
        <w:pStyle w:val="Heading6"/>
        <w:spacing w:line="223" w:lineRule="auto"/>
        <w:ind w:firstLine="0"/>
      </w:pPr>
      <w:bookmarkStart w:id="110" w:name="Diagram_depicting_the_Process_for_Develo"/>
      <w:bookmarkEnd w:id="110"/>
      <w:r>
        <w:t>Diagram</w:t>
      </w:r>
      <w:r>
        <w:rPr>
          <w:spacing w:val="-5"/>
        </w:rPr>
        <w:t xml:space="preserve"> </w:t>
      </w:r>
      <w:r>
        <w:t>depicting</w:t>
      </w:r>
      <w:r>
        <w:rPr>
          <w:spacing w:val="-2"/>
        </w:rPr>
        <w:t xml:space="preserve"> </w:t>
      </w:r>
      <w:r>
        <w:t>the</w:t>
      </w:r>
      <w:r>
        <w:rPr>
          <w:spacing w:val="-4"/>
        </w:rPr>
        <w:t xml:space="preserve"> </w:t>
      </w:r>
      <w:r>
        <w:t>Process</w:t>
      </w:r>
      <w:r>
        <w:rPr>
          <w:spacing w:val="-3"/>
        </w:rPr>
        <w:t xml:space="preserve"> </w:t>
      </w:r>
      <w:r>
        <w:t>for</w:t>
      </w:r>
      <w:r>
        <w:rPr>
          <w:spacing w:val="-6"/>
        </w:rPr>
        <w:t xml:space="preserve"> </w:t>
      </w:r>
      <w:r>
        <w:t>Developing</w:t>
      </w:r>
      <w:r>
        <w:rPr>
          <w:spacing w:val="-4"/>
        </w:rPr>
        <w:t xml:space="preserve"> </w:t>
      </w:r>
      <w:r>
        <w:t>Domestic</w:t>
      </w:r>
      <w:r>
        <w:rPr>
          <w:spacing w:val="-3"/>
        </w:rPr>
        <w:t xml:space="preserve"> </w:t>
      </w:r>
      <w:r>
        <w:t>AUASB</w:t>
      </w:r>
      <w:r>
        <w:rPr>
          <w:spacing w:val="-4"/>
        </w:rPr>
        <w:t xml:space="preserve"> </w:t>
      </w:r>
      <w:r>
        <w:t>Standards (Process 2)</w:t>
      </w:r>
    </w:p>
    <w:p w14:paraId="1E805DF3" w14:textId="77777777" w:rsidR="00AA4A02" w:rsidRDefault="00960F31">
      <w:pPr>
        <w:pStyle w:val="BodyText"/>
        <w:spacing w:before="203" w:line="208" w:lineRule="auto"/>
        <w:ind w:left="852"/>
      </w:pPr>
      <w:r>
        <w:t>The</w:t>
      </w:r>
      <w:r>
        <w:rPr>
          <w:spacing w:val="-3"/>
        </w:rPr>
        <w:t xml:space="preserve"> </w:t>
      </w:r>
      <w:r>
        <w:t>following</w:t>
      </w:r>
      <w:r>
        <w:rPr>
          <w:spacing w:val="-3"/>
        </w:rPr>
        <w:t xml:space="preserve"> </w:t>
      </w:r>
      <w:r>
        <w:t>diagram</w:t>
      </w:r>
      <w:r>
        <w:rPr>
          <w:spacing w:val="-2"/>
        </w:rPr>
        <w:t xml:space="preserve"> </w:t>
      </w:r>
      <w:r>
        <w:t>outlines</w:t>
      </w:r>
      <w:r>
        <w:rPr>
          <w:spacing w:val="-5"/>
        </w:rPr>
        <w:t xml:space="preserve"> </w:t>
      </w:r>
      <w:r>
        <w:t>the</w:t>
      </w:r>
      <w:r>
        <w:rPr>
          <w:spacing w:val="-3"/>
        </w:rPr>
        <w:t xml:space="preserve"> </w:t>
      </w:r>
      <w:r>
        <w:t>AUASB’s</w:t>
      </w:r>
      <w:r>
        <w:rPr>
          <w:spacing w:val="-3"/>
        </w:rPr>
        <w:t xml:space="preserve"> </w:t>
      </w:r>
      <w:r>
        <w:t>approach</w:t>
      </w:r>
      <w:r>
        <w:rPr>
          <w:spacing w:val="-3"/>
        </w:rPr>
        <w:t xml:space="preserve"> </w:t>
      </w:r>
      <w:r>
        <w:t>to</w:t>
      </w:r>
      <w:r>
        <w:rPr>
          <w:spacing w:val="-6"/>
        </w:rPr>
        <w:t xml:space="preserve"> </w:t>
      </w:r>
      <w:r>
        <w:t>the development</w:t>
      </w:r>
      <w:r>
        <w:rPr>
          <w:spacing w:val="-2"/>
        </w:rPr>
        <w:t xml:space="preserve"> </w:t>
      </w:r>
      <w:r>
        <w:t>of</w:t>
      </w:r>
      <w:r>
        <w:rPr>
          <w:spacing w:val="-5"/>
        </w:rPr>
        <w:t xml:space="preserve"> </w:t>
      </w:r>
      <w:r>
        <w:t>a</w:t>
      </w:r>
      <w:r>
        <w:rPr>
          <w:spacing w:val="-3"/>
        </w:rPr>
        <w:t xml:space="preserve"> </w:t>
      </w:r>
      <w:r>
        <w:t>domestic</w:t>
      </w:r>
      <w:r>
        <w:rPr>
          <w:spacing w:val="-3"/>
        </w:rPr>
        <w:t xml:space="preserve"> </w:t>
      </w:r>
      <w:r>
        <w:t xml:space="preserve">AUASB </w:t>
      </w:r>
      <w:r>
        <w:rPr>
          <w:spacing w:val="-2"/>
        </w:rPr>
        <w:t>standard.</w:t>
      </w:r>
    </w:p>
    <w:p w14:paraId="1E805DF4" w14:textId="77777777" w:rsidR="00AA4A02" w:rsidRDefault="00960F31">
      <w:pPr>
        <w:pStyle w:val="BodyText"/>
        <w:rPr>
          <w:sz w:val="19"/>
        </w:rPr>
      </w:pPr>
      <w:r>
        <w:rPr>
          <w:noProof/>
          <w:sz w:val="19"/>
        </w:rPr>
        <w:drawing>
          <wp:anchor distT="0" distB="0" distL="0" distR="0" simplePos="0" relativeHeight="487621632" behindDoc="1" locked="0" layoutInCell="1" allowOverlap="1" wp14:anchorId="1E805F99" wp14:editId="1E805F9A">
            <wp:simplePos x="0" y="0"/>
            <wp:positionH relativeFrom="page">
              <wp:posOffset>958314</wp:posOffset>
            </wp:positionH>
            <wp:positionV relativeFrom="paragraph">
              <wp:posOffset>154514</wp:posOffset>
            </wp:positionV>
            <wp:extent cx="4949973" cy="7172039"/>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86" cstate="print"/>
                    <a:stretch>
                      <a:fillRect/>
                    </a:stretch>
                  </pic:blipFill>
                  <pic:spPr>
                    <a:xfrm>
                      <a:off x="0" y="0"/>
                      <a:ext cx="4949973" cy="7172039"/>
                    </a:xfrm>
                    <a:prstGeom prst="rect">
                      <a:avLst/>
                    </a:prstGeom>
                  </pic:spPr>
                </pic:pic>
              </a:graphicData>
            </a:graphic>
          </wp:anchor>
        </w:drawing>
      </w:r>
    </w:p>
    <w:p w14:paraId="1E805DF5" w14:textId="77777777" w:rsidR="00AA4A02" w:rsidRDefault="00AA4A02">
      <w:pPr>
        <w:pStyle w:val="BodyText"/>
        <w:rPr>
          <w:sz w:val="19"/>
        </w:rPr>
        <w:sectPr w:rsidR="00AA4A02">
          <w:headerReference w:type="default" r:id="rId187"/>
          <w:footerReference w:type="default" r:id="rId188"/>
          <w:pgSz w:w="11910" w:h="16840"/>
          <w:pgMar w:top="1140" w:right="1275" w:bottom="1040" w:left="566" w:header="689" w:footer="842" w:gutter="0"/>
          <w:cols w:space="720"/>
        </w:sectPr>
      </w:pPr>
    </w:p>
    <w:p w14:paraId="1E805DF6" w14:textId="77777777" w:rsidR="00AA4A02" w:rsidRDefault="00960F31">
      <w:pPr>
        <w:spacing w:before="220"/>
        <w:ind w:right="559"/>
        <w:jc w:val="right"/>
        <w:rPr>
          <w:b/>
          <w:sz w:val="24"/>
        </w:rPr>
      </w:pPr>
      <w:r>
        <w:rPr>
          <w:b/>
          <w:sz w:val="24"/>
        </w:rPr>
        <w:lastRenderedPageBreak/>
        <w:t>Appendix</w:t>
      </w:r>
      <w:r>
        <w:rPr>
          <w:b/>
          <w:spacing w:val="1"/>
          <w:sz w:val="24"/>
        </w:rPr>
        <w:t xml:space="preserve"> </w:t>
      </w:r>
      <w:r>
        <w:rPr>
          <w:b/>
          <w:spacing w:val="-10"/>
          <w:sz w:val="24"/>
        </w:rPr>
        <w:t>5</w:t>
      </w:r>
    </w:p>
    <w:p w14:paraId="1E805DF7" w14:textId="77777777" w:rsidR="00AA4A02" w:rsidRDefault="00960F31">
      <w:pPr>
        <w:pStyle w:val="Heading6"/>
        <w:spacing w:before="309"/>
        <w:ind w:left="65" w:firstLine="0"/>
      </w:pPr>
      <w:bookmarkStart w:id="111" w:name="Summary_of_Due_Process_Considerations_re"/>
      <w:bookmarkEnd w:id="111"/>
      <w:r>
        <w:t>Summary</w:t>
      </w:r>
      <w:r>
        <w:rPr>
          <w:spacing w:val="-8"/>
        </w:rPr>
        <w:t xml:space="preserve"> </w:t>
      </w:r>
      <w:r>
        <w:t>of</w:t>
      </w:r>
      <w:r>
        <w:rPr>
          <w:spacing w:val="-7"/>
        </w:rPr>
        <w:t xml:space="preserve"> </w:t>
      </w:r>
      <w:r>
        <w:t>Due</w:t>
      </w:r>
      <w:r>
        <w:rPr>
          <w:spacing w:val="-4"/>
        </w:rPr>
        <w:t xml:space="preserve"> </w:t>
      </w:r>
      <w:r>
        <w:t>Process</w:t>
      </w:r>
      <w:r>
        <w:rPr>
          <w:spacing w:val="-4"/>
        </w:rPr>
        <w:t xml:space="preserve"> </w:t>
      </w:r>
      <w:r>
        <w:t>Considerations</w:t>
      </w:r>
      <w:r>
        <w:rPr>
          <w:spacing w:val="-4"/>
        </w:rPr>
        <w:t xml:space="preserve"> </w:t>
      </w:r>
      <w:r>
        <w:t>requiring</w:t>
      </w:r>
      <w:r>
        <w:rPr>
          <w:spacing w:val="-4"/>
        </w:rPr>
        <w:t xml:space="preserve"> </w:t>
      </w:r>
      <w:r>
        <w:t>Approval</w:t>
      </w:r>
      <w:r>
        <w:rPr>
          <w:spacing w:val="-3"/>
        </w:rPr>
        <w:t xml:space="preserve"> </w:t>
      </w:r>
      <w:r>
        <w:t>by</w:t>
      </w:r>
      <w:r>
        <w:rPr>
          <w:spacing w:val="-6"/>
        </w:rPr>
        <w:t xml:space="preserve"> </w:t>
      </w:r>
      <w:r>
        <w:t>the</w:t>
      </w:r>
      <w:r>
        <w:rPr>
          <w:spacing w:val="-5"/>
        </w:rPr>
        <w:t xml:space="preserve"> </w:t>
      </w:r>
      <w:r>
        <w:rPr>
          <w:spacing w:val="-2"/>
        </w:rPr>
        <w:t>AUASB</w:t>
      </w:r>
    </w:p>
    <w:p w14:paraId="1E805DF8" w14:textId="77777777" w:rsidR="00AA4A02" w:rsidRDefault="00AA4A02">
      <w:pPr>
        <w:pStyle w:val="BodyText"/>
        <w:rPr>
          <w:b/>
          <w:sz w:val="20"/>
        </w:rPr>
      </w:pPr>
    </w:p>
    <w:p w14:paraId="1E805DF9" w14:textId="77777777" w:rsidR="00AA4A02" w:rsidRDefault="00AA4A02">
      <w:pPr>
        <w:pStyle w:val="BodyText"/>
        <w:spacing w:before="160" w:after="1"/>
        <w:rPr>
          <w:b/>
          <w:sz w:val="20"/>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5245"/>
      </w:tblGrid>
      <w:tr w:rsidR="00AA4A02" w14:paraId="1E805DFC" w14:textId="77777777">
        <w:trPr>
          <w:trHeight w:val="565"/>
        </w:trPr>
        <w:tc>
          <w:tcPr>
            <w:tcW w:w="4391" w:type="dxa"/>
            <w:shd w:val="clear" w:color="auto" w:fill="EDEBE0"/>
          </w:tcPr>
          <w:p w14:paraId="1E805DFA" w14:textId="77777777" w:rsidR="00AA4A02" w:rsidRDefault="00960F31">
            <w:pPr>
              <w:pStyle w:val="TableParagraph"/>
              <w:spacing w:before="92"/>
              <w:rPr>
                <w:b/>
              </w:rPr>
            </w:pPr>
            <w:r>
              <w:rPr>
                <w:b/>
              </w:rPr>
              <w:t>AUASB</w:t>
            </w:r>
            <w:r>
              <w:rPr>
                <w:b/>
                <w:spacing w:val="-10"/>
              </w:rPr>
              <w:t xml:space="preserve"> </w:t>
            </w:r>
            <w:r>
              <w:rPr>
                <w:b/>
                <w:spacing w:val="-2"/>
              </w:rPr>
              <w:t>Document</w:t>
            </w:r>
          </w:p>
        </w:tc>
        <w:tc>
          <w:tcPr>
            <w:tcW w:w="5245" w:type="dxa"/>
            <w:shd w:val="clear" w:color="auto" w:fill="EDEBE0"/>
          </w:tcPr>
          <w:p w14:paraId="1E805DFB" w14:textId="77777777" w:rsidR="00AA4A02" w:rsidRDefault="00960F31">
            <w:pPr>
              <w:pStyle w:val="TableParagraph"/>
              <w:spacing w:before="92"/>
              <w:rPr>
                <w:b/>
              </w:rPr>
            </w:pPr>
            <w:r>
              <w:rPr>
                <w:b/>
              </w:rPr>
              <w:t>Review/Approval</w:t>
            </w:r>
            <w:r>
              <w:rPr>
                <w:b/>
                <w:spacing w:val="-8"/>
              </w:rPr>
              <w:t xml:space="preserve"> </w:t>
            </w:r>
            <w:r>
              <w:rPr>
                <w:b/>
                <w:spacing w:val="-2"/>
              </w:rPr>
              <w:t>Requirements</w:t>
            </w:r>
          </w:p>
        </w:tc>
      </w:tr>
      <w:tr w:rsidR="00AA4A02" w14:paraId="1E805DFF" w14:textId="77777777">
        <w:trPr>
          <w:trHeight w:val="568"/>
        </w:trPr>
        <w:tc>
          <w:tcPr>
            <w:tcW w:w="4391" w:type="dxa"/>
          </w:tcPr>
          <w:p w14:paraId="1E805DFD" w14:textId="77777777" w:rsidR="00AA4A02" w:rsidRDefault="00960F31">
            <w:pPr>
              <w:pStyle w:val="TableParagraph"/>
              <w:spacing w:before="92"/>
            </w:pPr>
            <w:r>
              <w:t xml:space="preserve">Project </w:t>
            </w:r>
            <w:r>
              <w:rPr>
                <w:spacing w:val="-2"/>
              </w:rPr>
              <w:t>Plans</w:t>
            </w:r>
          </w:p>
        </w:tc>
        <w:tc>
          <w:tcPr>
            <w:tcW w:w="5245" w:type="dxa"/>
          </w:tcPr>
          <w:p w14:paraId="1E805DFE" w14:textId="77777777" w:rsidR="00AA4A02" w:rsidRDefault="00960F31">
            <w:pPr>
              <w:pStyle w:val="TableParagraph"/>
              <w:spacing w:before="92"/>
            </w:pPr>
            <w:r>
              <w:rPr>
                <w:spacing w:val="-2"/>
              </w:rPr>
              <w:t>AUASB</w:t>
            </w:r>
            <w:r>
              <w:rPr>
                <w:spacing w:val="-2"/>
                <w:vertAlign w:val="superscript"/>
              </w:rPr>
              <w:t>#</w:t>
            </w:r>
          </w:p>
        </w:tc>
      </w:tr>
      <w:tr w:rsidR="00AA4A02" w14:paraId="1E805E02" w14:textId="77777777">
        <w:trPr>
          <w:trHeight w:val="565"/>
        </w:trPr>
        <w:tc>
          <w:tcPr>
            <w:tcW w:w="4391" w:type="dxa"/>
          </w:tcPr>
          <w:p w14:paraId="1E805E00" w14:textId="77777777" w:rsidR="00AA4A02" w:rsidRDefault="00960F31">
            <w:pPr>
              <w:pStyle w:val="TableParagraph"/>
              <w:spacing w:before="92"/>
            </w:pPr>
            <w:r>
              <w:t>Exposure</w:t>
            </w:r>
            <w:r>
              <w:rPr>
                <w:spacing w:val="-3"/>
              </w:rPr>
              <w:t xml:space="preserve"> </w:t>
            </w:r>
            <w:r>
              <w:t>Drafts</w:t>
            </w:r>
            <w:r>
              <w:rPr>
                <w:spacing w:val="-2"/>
              </w:rPr>
              <w:t xml:space="preserve"> </w:t>
            </w:r>
            <w:r>
              <w:t>and</w:t>
            </w:r>
            <w:r>
              <w:rPr>
                <w:spacing w:val="-5"/>
              </w:rPr>
              <w:t xml:space="preserve"> </w:t>
            </w:r>
            <w:r>
              <w:t>re-exposure</w:t>
            </w:r>
            <w:r>
              <w:rPr>
                <w:spacing w:val="-3"/>
              </w:rPr>
              <w:t xml:space="preserve"> </w:t>
            </w:r>
            <w:r>
              <w:rPr>
                <w:spacing w:val="-2"/>
              </w:rPr>
              <w:t>drafts</w:t>
            </w:r>
          </w:p>
        </w:tc>
        <w:tc>
          <w:tcPr>
            <w:tcW w:w="5245" w:type="dxa"/>
          </w:tcPr>
          <w:p w14:paraId="1E805E01" w14:textId="77777777" w:rsidR="00AA4A02" w:rsidRDefault="00960F31">
            <w:pPr>
              <w:pStyle w:val="TableParagraph"/>
              <w:spacing w:before="92"/>
            </w:pPr>
            <w:r>
              <w:rPr>
                <w:spacing w:val="-2"/>
              </w:rPr>
              <w:t>AUASB</w:t>
            </w:r>
            <w:r>
              <w:rPr>
                <w:spacing w:val="-2"/>
                <w:vertAlign w:val="superscript"/>
              </w:rPr>
              <w:t>*</w:t>
            </w:r>
          </w:p>
        </w:tc>
      </w:tr>
      <w:tr w:rsidR="00AA4A02" w14:paraId="1E805E05" w14:textId="77777777">
        <w:trPr>
          <w:trHeight w:val="681"/>
        </w:trPr>
        <w:tc>
          <w:tcPr>
            <w:tcW w:w="4391" w:type="dxa"/>
          </w:tcPr>
          <w:p w14:paraId="1E805E03" w14:textId="77777777" w:rsidR="00AA4A02" w:rsidRDefault="00960F31">
            <w:pPr>
              <w:pStyle w:val="TableParagraph"/>
              <w:spacing w:before="118" w:line="208" w:lineRule="auto"/>
            </w:pPr>
            <w:r>
              <w:t>AUASB</w:t>
            </w:r>
            <w:r>
              <w:rPr>
                <w:spacing w:val="-13"/>
              </w:rPr>
              <w:t xml:space="preserve"> </w:t>
            </w:r>
            <w:r>
              <w:t>Standards</w:t>
            </w:r>
            <w:r>
              <w:rPr>
                <w:spacing w:val="-12"/>
              </w:rPr>
              <w:t xml:space="preserve"> </w:t>
            </w:r>
            <w:r>
              <w:t>(including</w:t>
            </w:r>
            <w:r>
              <w:rPr>
                <w:spacing w:val="-12"/>
              </w:rPr>
              <w:t xml:space="preserve"> </w:t>
            </w:r>
            <w:r>
              <w:t xml:space="preserve">Amending </w:t>
            </w:r>
            <w:r>
              <w:rPr>
                <w:spacing w:val="-2"/>
              </w:rPr>
              <w:t>Standards)</w:t>
            </w:r>
          </w:p>
        </w:tc>
        <w:tc>
          <w:tcPr>
            <w:tcW w:w="5245" w:type="dxa"/>
          </w:tcPr>
          <w:p w14:paraId="1E805E04" w14:textId="77777777" w:rsidR="00AA4A02" w:rsidRDefault="00960F31">
            <w:pPr>
              <w:pStyle w:val="TableParagraph"/>
              <w:spacing w:before="92"/>
            </w:pPr>
            <w:r>
              <w:rPr>
                <w:spacing w:val="-2"/>
              </w:rPr>
              <w:t>AUASB</w:t>
            </w:r>
            <w:r>
              <w:rPr>
                <w:spacing w:val="-2"/>
                <w:vertAlign w:val="superscript"/>
              </w:rPr>
              <w:t>*</w:t>
            </w:r>
          </w:p>
        </w:tc>
      </w:tr>
      <w:tr w:rsidR="00AA4A02" w14:paraId="1E805E08" w14:textId="77777777">
        <w:trPr>
          <w:trHeight w:val="566"/>
        </w:trPr>
        <w:tc>
          <w:tcPr>
            <w:tcW w:w="4391" w:type="dxa"/>
          </w:tcPr>
          <w:p w14:paraId="1E805E06" w14:textId="77777777" w:rsidR="00AA4A02" w:rsidRDefault="00960F31">
            <w:pPr>
              <w:pStyle w:val="TableParagraph"/>
              <w:spacing w:before="92"/>
            </w:pPr>
            <w:r>
              <w:t>AUASB</w:t>
            </w:r>
            <w:r>
              <w:rPr>
                <w:spacing w:val="-6"/>
              </w:rPr>
              <w:t xml:space="preserve"> </w:t>
            </w:r>
            <w:r>
              <w:t>Guidance</w:t>
            </w:r>
            <w:r>
              <w:rPr>
                <w:spacing w:val="-4"/>
              </w:rPr>
              <w:t xml:space="preserve"> </w:t>
            </w:r>
            <w:r>
              <w:rPr>
                <w:spacing w:val="-2"/>
              </w:rPr>
              <w:t>Statements</w:t>
            </w:r>
          </w:p>
        </w:tc>
        <w:tc>
          <w:tcPr>
            <w:tcW w:w="5245" w:type="dxa"/>
          </w:tcPr>
          <w:p w14:paraId="1E805E07" w14:textId="77777777" w:rsidR="00AA4A02" w:rsidRDefault="00960F31">
            <w:pPr>
              <w:pStyle w:val="TableParagraph"/>
              <w:spacing w:before="92"/>
            </w:pPr>
            <w:r>
              <w:rPr>
                <w:spacing w:val="-2"/>
              </w:rPr>
              <w:t>AUASB</w:t>
            </w:r>
            <w:r>
              <w:rPr>
                <w:spacing w:val="-2"/>
                <w:vertAlign w:val="superscript"/>
              </w:rPr>
              <w:t>*</w:t>
            </w:r>
          </w:p>
        </w:tc>
      </w:tr>
      <w:tr w:rsidR="00AA4A02" w14:paraId="1E805E0B" w14:textId="77777777">
        <w:trPr>
          <w:trHeight w:val="899"/>
        </w:trPr>
        <w:tc>
          <w:tcPr>
            <w:tcW w:w="4391" w:type="dxa"/>
          </w:tcPr>
          <w:p w14:paraId="1E805E09" w14:textId="77777777" w:rsidR="00AA4A02" w:rsidRDefault="00960F31">
            <w:pPr>
              <w:pStyle w:val="TableParagraph"/>
              <w:spacing w:before="118" w:line="208" w:lineRule="auto"/>
            </w:pPr>
            <w:r>
              <w:t>Framework</w:t>
            </w:r>
            <w:r>
              <w:rPr>
                <w:spacing w:val="-14"/>
              </w:rPr>
              <w:t xml:space="preserve"> </w:t>
            </w:r>
            <w:r>
              <w:t>Pronouncements</w:t>
            </w:r>
            <w:r>
              <w:rPr>
                <w:spacing w:val="-14"/>
              </w:rPr>
              <w:t xml:space="preserve"> </w:t>
            </w:r>
            <w:r>
              <w:t xml:space="preserve">(Foreword, Glossary, Framework for Assurance </w:t>
            </w:r>
            <w:r>
              <w:rPr>
                <w:spacing w:val="-2"/>
              </w:rPr>
              <w:t>Engagements)</w:t>
            </w:r>
          </w:p>
        </w:tc>
        <w:tc>
          <w:tcPr>
            <w:tcW w:w="5245" w:type="dxa"/>
          </w:tcPr>
          <w:p w14:paraId="1E805E0A" w14:textId="77777777" w:rsidR="00AA4A02" w:rsidRDefault="00960F31">
            <w:pPr>
              <w:pStyle w:val="TableParagraph"/>
              <w:spacing w:before="92"/>
            </w:pPr>
            <w:r>
              <w:rPr>
                <w:spacing w:val="-2"/>
              </w:rPr>
              <w:t>AUASB</w:t>
            </w:r>
            <w:r>
              <w:rPr>
                <w:spacing w:val="-2"/>
                <w:vertAlign w:val="superscript"/>
              </w:rPr>
              <w:t>*</w:t>
            </w:r>
          </w:p>
        </w:tc>
      </w:tr>
      <w:tr w:rsidR="00AA4A02" w14:paraId="1E805E0E" w14:textId="77777777">
        <w:trPr>
          <w:trHeight w:val="1341"/>
        </w:trPr>
        <w:tc>
          <w:tcPr>
            <w:tcW w:w="4391" w:type="dxa"/>
          </w:tcPr>
          <w:p w14:paraId="1E805E0C" w14:textId="77777777" w:rsidR="00AA4A02" w:rsidRDefault="00960F31">
            <w:pPr>
              <w:pStyle w:val="TableParagraph"/>
              <w:spacing w:before="118" w:line="208" w:lineRule="auto"/>
            </w:pPr>
            <w:r>
              <w:t>Non-authoritative</w:t>
            </w:r>
            <w:r>
              <w:rPr>
                <w:spacing w:val="-12"/>
              </w:rPr>
              <w:t xml:space="preserve"> </w:t>
            </w:r>
            <w:r>
              <w:t>AUASB</w:t>
            </w:r>
            <w:r>
              <w:rPr>
                <w:spacing w:val="-14"/>
              </w:rPr>
              <w:t xml:space="preserve"> </w:t>
            </w:r>
            <w:r>
              <w:t>publications</w:t>
            </w:r>
            <w:r>
              <w:rPr>
                <w:spacing w:val="-11"/>
              </w:rPr>
              <w:t xml:space="preserve"> </w:t>
            </w:r>
            <w:r>
              <w:t>and guidance materials (including Basis for Conclusions, Explanatory Memorandums, AUASB Bulletins and other AUASB consultation documents)</w:t>
            </w:r>
          </w:p>
        </w:tc>
        <w:tc>
          <w:tcPr>
            <w:tcW w:w="5245" w:type="dxa"/>
          </w:tcPr>
          <w:p w14:paraId="1E805E0D" w14:textId="77777777" w:rsidR="00AA4A02" w:rsidRDefault="00960F31">
            <w:pPr>
              <w:pStyle w:val="TableParagraph"/>
              <w:spacing w:before="92" w:line="436" w:lineRule="auto"/>
              <w:ind w:right="628"/>
            </w:pPr>
            <w:r>
              <w:t>Reviewed</w:t>
            </w:r>
            <w:r>
              <w:rPr>
                <w:spacing w:val="-8"/>
              </w:rPr>
              <w:t xml:space="preserve"> </w:t>
            </w:r>
            <w:r>
              <w:t>by</w:t>
            </w:r>
            <w:r>
              <w:rPr>
                <w:spacing w:val="-5"/>
              </w:rPr>
              <w:t xml:space="preserve"> </w:t>
            </w:r>
            <w:r>
              <w:t>AUASB</w:t>
            </w:r>
            <w:r>
              <w:rPr>
                <w:spacing w:val="-7"/>
              </w:rPr>
              <w:t xml:space="preserve"> </w:t>
            </w:r>
            <w:r>
              <w:t>members</w:t>
            </w:r>
            <w:r>
              <w:rPr>
                <w:spacing w:val="-7"/>
              </w:rPr>
              <w:t xml:space="preserve"> </w:t>
            </w:r>
            <w:r>
              <w:t>for</w:t>
            </w:r>
            <w:r>
              <w:rPr>
                <w:spacing w:val="-7"/>
              </w:rPr>
              <w:t xml:space="preserve"> </w:t>
            </w:r>
            <w:r>
              <w:t>fatal</w:t>
            </w:r>
            <w:r>
              <w:rPr>
                <w:spacing w:val="-4"/>
              </w:rPr>
              <w:t xml:space="preserve"> </w:t>
            </w:r>
            <w:r>
              <w:t>flaws Final wording and approval by AUASB Chair</w:t>
            </w:r>
          </w:p>
        </w:tc>
      </w:tr>
      <w:tr w:rsidR="00AA4A02" w14:paraId="1E805E12" w14:textId="77777777">
        <w:trPr>
          <w:trHeight w:val="1800"/>
        </w:trPr>
        <w:tc>
          <w:tcPr>
            <w:tcW w:w="4391" w:type="dxa"/>
          </w:tcPr>
          <w:p w14:paraId="1E805E0F" w14:textId="77777777" w:rsidR="00AA4A02" w:rsidRDefault="00960F31">
            <w:pPr>
              <w:pStyle w:val="TableParagraph"/>
              <w:spacing w:before="116" w:line="208" w:lineRule="auto"/>
              <w:ind w:right="189"/>
            </w:pPr>
            <w:r>
              <w:t>AUASB</w:t>
            </w:r>
            <w:r>
              <w:rPr>
                <w:spacing w:val="-10"/>
              </w:rPr>
              <w:t xml:space="preserve"> </w:t>
            </w:r>
            <w:r>
              <w:t>technical</w:t>
            </w:r>
            <w:r>
              <w:rPr>
                <w:spacing w:val="-9"/>
              </w:rPr>
              <w:t xml:space="preserve"> </w:t>
            </w:r>
            <w:r>
              <w:t>staff</w:t>
            </w:r>
            <w:r>
              <w:rPr>
                <w:spacing w:val="-8"/>
              </w:rPr>
              <w:t xml:space="preserve"> </w:t>
            </w:r>
            <w:r>
              <w:t>guidance</w:t>
            </w:r>
            <w:r>
              <w:rPr>
                <w:spacing w:val="-10"/>
              </w:rPr>
              <w:t xml:space="preserve"> </w:t>
            </w:r>
            <w:r>
              <w:t>materials (e.g. FAQs, newsletters, implementation support</w:t>
            </w:r>
            <w:r>
              <w:rPr>
                <w:spacing w:val="-7"/>
              </w:rPr>
              <w:t xml:space="preserve"> </w:t>
            </w:r>
            <w:r>
              <w:t>materials</w:t>
            </w:r>
            <w:r>
              <w:rPr>
                <w:spacing w:val="-5"/>
              </w:rPr>
              <w:t xml:space="preserve"> </w:t>
            </w:r>
            <w:r>
              <w:t>and</w:t>
            </w:r>
            <w:r>
              <w:rPr>
                <w:spacing w:val="-6"/>
              </w:rPr>
              <w:t xml:space="preserve"> </w:t>
            </w:r>
            <w:r>
              <w:t>other</w:t>
            </w:r>
            <w:r>
              <w:rPr>
                <w:spacing w:val="-8"/>
              </w:rPr>
              <w:t xml:space="preserve"> </w:t>
            </w:r>
            <w:r>
              <w:t>contextual</w:t>
            </w:r>
            <w:r>
              <w:rPr>
                <w:spacing w:val="-8"/>
              </w:rPr>
              <w:t xml:space="preserve"> </w:t>
            </w:r>
            <w:r>
              <w:t>and educational materials)</w:t>
            </w:r>
          </w:p>
        </w:tc>
        <w:tc>
          <w:tcPr>
            <w:tcW w:w="5245" w:type="dxa"/>
          </w:tcPr>
          <w:p w14:paraId="1E805E10" w14:textId="77777777" w:rsidR="00AA4A02" w:rsidRDefault="00960F31">
            <w:pPr>
              <w:pStyle w:val="TableParagraph"/>
              <w:spacing w:before="92"/>
            </w:pPr>
            <w:r>
              <w:t>Approved</w:t>
            </w:r>
            <w:r>
              <w:rPr>
                <w:spacing w:val="-6"/>
              </w:rPr>
              <w:t xml:space="preserve"> </w:t>
            </w:r>
            <w:r>
              <w:t>by</w:t>
            </w:r>
            <w:r>
              <w:rPr>
                <w:spacing w:val="-3"/>
              </w:rPr>
              <w:t xml:space="preserve"> </w:t>
            </w:r>
            <w:r>
              <w:t>AUASB</w:t>
            </w:r>
            <w:r>
              <w:rPr>
                <w:spacing w:val="-5"/>
              </w:rPr>
              <w:t xml:space="preserve"> </w:t>
            </w:r>
            <w:r>
              <w:t>Technical</w:t>
            </w:r>
            <w:r>
              <w:rPr>
                <w:spacing w:val="-2"/>
              </w:rPr>
              <w:t xml:space="preserve"> Director</w:t>
            </w:r>
          </w:p>
          <w:p w14:paraId="1E805E11" w14:textId="77777777" w:rsidR="00AA4A02" w:rsidRDefault="00960F31">
            <w:pPr>
              <w:pStyle w:val="TableParagraph"/>
              <w:spacing w:before="232" w:line="208" w:lineRule="auto"/>
            </w:pPr>
            <w:r>
              <w:t>Significant new guidance materials and FAQs which require interpretation of AUASB Standards must be reviewed by the AUASB Chair and, where deemed necessary,</w:t>
            </w:r>
            <w:r>
              <w:rPr>
                <w:spacing w:val="-4"/>
              </w:rPr>
              <w:t xml:space="preserve"> </w:t>
            </w:r>
            <w:r>
              <w:t>by</w:t>
            </w:r>
            <w:r>
              <w:rPr>
                <w:spacing w:val="-6"/>
              </w:rPr>
              <w:t xml:space="preserve"> </w:t>
            </w:r>
            <w:r>
              <w:t>the</w:t>
            </w:r>
            <w:r>
              <w:rPr>
                <w:spacing w:val="-4"/>
              </w:rPr>
              <w:t xml:space="preserve"> </w:t>
            </w:r>
            <w:r>
              <w:t>AUASB</w:t>
            </w:r>
            <w:r>
              <w:rPr>
                <w:spacing w:val="-7"/>
              </w:rPr>
              <w:t xml:space="preserve"> </w:t>
            </w:r>
            <w:r>
              <w:t>Chair</w:t>
            </w:r>
            <w:r>
              <w:rPr>
                <w:spacing w:val="-6"/>
              </w:rPr>
              <w:t xml:space="preserve"> </w:t>
            </w:r>
            <w:r>
              <w:t>and</w:t>
            </w:r>
            <w:r>
              <w:rPr>
                <w:spacing w:val="-4"/>
              </w:rPr>
              <w:t xml:space="preserve"> </w:t>
            </w:r>
            <w:r>
              <w:t>at</w:t>
            </w:r>
            <w:r>
              <w:rPr>
                <w:spacing w:val="-6"/>
              </w:rPr>
              <w:t xml:space="preserve"> </w:t>
            </w:r>
            <w:r>
              <w:t>least</w:t>
            </w:r>
            <w:r>
              <w:rPr>
                <w:spacing w:val="-3"/>
              </w:rPr>
              <w:t xml:space="preserve"> </w:t>
            </w:r>
            <w:r>
              <w:t>one</w:t>
            </w:r>
            <w:r>
              <w:rPr>
                <w:spacing w:val="-4"/>
              </w:rPr>
              <w:t xml:space="preserve"> </w:t>
            </w:r>
            <w:r>
              <w:t>other AUASB member</w:t>
            </w:r>
          </w:p>
        </w:tc>
      </w:tr>
      <w:tr w:rsidR="00AA4A02" w14:paraId="1E805E16" w14:textId="77777777">
        <w:trPr>
          <w:trHeight w:val="1139"/>
        </w:trPr>
        <w:tc>
          <w:tcPr>
            <w:tcW w:w="4391" w:type="dxa"/>
          </w:tcPr>
          <w:p w14:paraId="1E805E13" w14:textId="77777777" w:rsidR="00AA4A02" w:rsidRDefault="00960F31">
            <w:pPr>
              <w:pStyle w:val="TableParagraph"/>
              <w:spacing w:before="118" w:line="208" w:lineRule="auto"/>
            </w:pPr>
            <w:r>
              <w:t>AUASB</w:t>
            </w:r>
            <w:r>
              <w:rPr>
                <w:spacing w:val="-8"/>
              </w:rPr>
              <w:t xml:space="preserve"> </w:t>
            </w:r>
            <w:r>
              <w:t>Submissions</w:t>
            </w:r>
            <w:r>
              <w:rPr>
                <w:spacing w:val="-6"/>
              </w:rPr>
              <w:t xml:space="preserve"> </w:t>
            </w:r>
            <w:r>
              <w:t>to</w:t>
            </w:r>
            <w:r>
              <w:rPr>
                <w:spacing w:val="-5"/>
              </w:rPr>
              <w:t xml:space="preserve"> </w:t>
            </w:r>
            <w:r>
              <w:t>the</w:t>
            </w:r>
            <w:r>
              <w:rPr>
                <w:spacing w:val="-6"/>
              </w:rPr>
              <w:t xml:space="preserve"> </w:t>
            </w:r>
            <w:r>
              <w:t>IAASB</w:t>
            </w:r>
            <w:r>
              <w:rPr>
                <w:spacing w:val="-7"/>
              </w:rPr>
              <w:t xml:space="preserve"> </w:t>
            </w:r>
            <w:r>
              <w:t>(or</w:t>
            </w:r>
            <w:r>
              <w:rPr>
                <w:spacing w:val="-6"/>
              </w:rPr>
              <w:t xml:space="preserve"> </w:t>
            </w:r>
            <w:r>
              <w:t xml:space="preserve">other international standard-setting or oversight </w:t>
            </w:r>
            <w:r>
              <w:rPr>
                <w:spacing w:val="-2"/>
              </w:rPr>
              <w:t>bodies)</w:t>
            </w:r>
          </w:p>
        </w:tc>
        <w:tc>
          <w:tcPr>
            <w:tcW w:w="5245" w:type="dxa"/>
          </w:tcPr>
          <w:p w14:paraId="1E805E14" w14:textId="77777777" w:rsidR="00AA4A02" w:rsidRDefault="00960F31">
            <w:pPr>
              <w:pStyle w:val="TableParagraph"/>
              <w:spacing w:before="118" w:line="208" w:lineRule="auto"/>
              <w:ind w:right="15"/>
            </w:pPr>
            <w:r>
              <w:t>AUASB</w:t>
            </w:r>
            <w:r>
              <w:rPr>
                <w:spacing w:val="-7"/>
              </w:rPr>
              <w:t xml:space="preserve"> </w:t>
            </w:r>
            <w:r>
              <w:t>review</w:t>
            </w:r>
            <w:r>
              <w:rPr>
                <w:spacing w:val="-6"/>
              </w:rPr>
              <w:t xml:space="preserve"> </w:t>
            </w:r>
            <w:r>
              <w:t>and</w:t>
            </w:r>
            <w:r>
              <w:rPr>
                <w:spacing w:val="-6"/>
              </w:rPr>
              <w:t xml:space="preserve"> </w:t>
            </w:r>
            <w:r>
              <w:t>deliberation</w:t>
            </w:r>
            <w:r>
              <w:rPr>
                <w:spacing w:val="-6"/>
              </w:rPr>
              <w:t xml:space="preserve"> </w:t>
            </w:r>
            <w:r>
              <w:t>at</w:t>
            </w:r>
            <w:r>
              <w:rPr>
                <w:spacing w:val="-5"/>
              </w:rPr>
              <w:t xml:space="preserve"> </w:t>
            </w:r>
            <w:r>
              <w:t>AUASB</w:t>
            </w:r>
            <w:r>
              <w:rPr>
                <w:spacing w:val="-7"/>
              </w:rPr>
              <w:t xml:space="preserve"> </w:t>
            </w:r>
            <w:r>
              <w:t>meeting</w:t>
            </w:r>
            <w:r>
              <w:rPr>
                <w:spacing w:val="-6"/>
              </w:rPr>
              <w:t xml:space="preserve"> </w:t>
            </w:r>
            <w:r>
              <w:t>or out of session</w:t>
            </w:r>
          </w:p>
          <w:p w14:paraId="1E805E15" w14:textId="77777777" w:rsidR="00AA4A02" w:rsidRDefault="00960F31">
            <w:pPr>
              <w:pStyle w:val="TableParagraph"/>
              <w:spacing w:before="213"/>
            </w:pPr>
            <w:r>
              <w:t>Final</w:t>
            </w:r>
            <w:r>
              <w:rPr>
                <w:spacing w:val="-3"/>
              </w:rPr>
              <w:t xml:space="preserve"> </w:t>
            </w:r>
            <w:r>
              <w:t>wording</w:t>
            </w:r>
            <w:r>
              <w:rPr>
                <w:spacing w:val="-3"/>
              </w:rPr>
              <w:t xml:space="preserve"> </w:t>
            </w:r>
            <w:r>
              <w:t>and</w:t>
            </w:r>
            <w:r>
              <w:rPr>
                <w:spacing w:val="-4"/>
              </w:rPr>
              <w:t xml:space="preserve"> </w:t>
            </w:r>
            <w:r>
              <w:t>approval</w:t>
            </w:r>
            <w:r>
              <w:rPr>
                <w:spacing w:val="-4"/>
              </w:rPr>
              <w:t xml:space="preserve"> </w:t>
            </w:r>
            <w:r>
              <w:t>by</w:t>
            </w:r>
            <w:r>
              <w:rPr>
                <w:spacing w:val="-3"/>
              </w:rPr>
              <w:t xml:space="preserve"> </w:t>
            </w:r>
            <w:r>
              <w:t>AUASB</w:t>
            </w:r>
            <w:r>
              <w:rPr>
                <w:spacing w:val="-5"/>
              </w:rPr>
              <w:t xml:space="preserve"> </w:t>
            </w:r>
            <w:r>
              <w:rPr>
                <w:spacing w:val="-4"/>
              </w:rPr>
              <w:t>Chair</w:t>
            </w:r>
          </w:p>
        </w:tc>
      </w:tr>
    </w:tbl>
    <w:p w14:paraId="1E805E17" w14:textId="77777777" w:rsidR="00AA4A02" w:rsidRDefault="00AA4A02">
      <w:pPr>
        <w:pStyle w:val="BodyText"/>
        <w:spacing w:before="240"/>
        <w:rPr>
          <w:b/>
          <w:sz w:val="28"/>
        </w:rPr>
      </w:pPr>
    </w:p>
    <w:p w14:paraId="1E805E18" w14:textId="77777777" w:rsidR="00AA4A02" w:rsidRDefault="00960F31">
      <w:pPr>
        <w:pStyle w:val="BodyText"/>
        <w:spacing w:line="208" w:lineRule="auto"/>
        <w:ind w:left="206" w:right="583" w:hanging="142"/>
      </w:pPr>
      <w:r>
        <w:rPr>
          <w:vertAlign w:val="superscript"/>
        </w:rPr>
        <w:t>#</w:t>
      </w:r>
      <w:r>
        <w:t xml:space="preserve"> For</w:t>
      </w:r>
      <w:r>
        <w:rPr>
          <w:spacing w:val="-2"/>
        </w:rPr>
        <w:t xml:space="preserve"> </w:t>
      </w:r>
      <w:r>
        <w:t>Project</w:t>
      </w:r>
      <w:r>
        <w:rPr>
          <w:spacing w:val="-1"/>
        </w:rPr>
        <w:t xml:space="preserve"> </w:t>
      </w:r>
      <w:r>
        <w:t>Plans,</w:t>
      </w:r>
      <w:r>
        <w:rPr>
          <w:spacing w:val="-3"/>
        </w:rPr>
        <w:t xml:space="preserve"> </w:t>
      </w:r>
      <w:r>
        <w:t>approval</w:t>
      </w:r>
      <w:r>
        <w:rPr>
          <w:spacing w:val="-1"/>
        </w:rPr>
        <w:t xml:space="preserve"> </w:t>
      </w:r>
      <w:r>
        <w:t>requires</w:t>
      </w:r>
      <w:r>
        <w:rPr>
          <w:spacing w:val="-2"/>
        </w:rPr>
        <w:t xml:space="preserve"> </w:t>
      </w:r>
      <w:r>
        <w:t>a simple</w:t>
      </w:r>
      <w:r>
        <w:rPr>
          <w:spacing w:val="-2"/>
        </w:rPr>
        <w:t xml:space="preserve"> </w:t>
      </w:r>
      <w:r>
        <w:t>majority</w:t>
      </w:r>
      <w:r>
        <w:rPr>
          <w:spacing w:val="-2"/>
        </w:rPr>
        <w:t xml:space="preserve"> </w:t>
      </w:r>
      <w:r>
        <w:t>of</w:t>
      </w:r>
      <w:r>
        <w:rPr>
          <w:spacing w:val="-2"/>
        </w:rPr>
        <w:t xml:space="preserve"> </w:t>
      </w:r>
      <w:r>
        <w:t>those</w:t>
      </w:r>
      <w:r>
        <w:rPr>
          <w:spacing w:val="-4"/>
        </w:rPr>
        <w:t xml:space="preserve"> </w:t>
      </w:r>
      <w:r>
        <w:t>in</w:t>
      </w:r>
      <w:r>
        <w:rPr>
          <w:spacing w:val="-5"/>
        </w:rPr>
        <w:t xml:space="preserve"> </w:t>
      </w:r>
      <w:r>
        <w:t>attendance</w:t>
      </w:r>
      <w:r>
        <w:rPr>
          <w:spacing w:val="-4"/>
        </w:rPr>
        <w:t xml:space="preserve"> </w:t>
      </w:r>
      <w:r>
        <w:t>at</w:t>
      </w:r>
      <w:r>
        <w:rPr>
          <w:spacing w:val="-4"/>
        </w:rPr>
        <w:t xml:space="preserve"> </w:t>
      </w:r>
      <w:r>
        <w:t>the</w:t>
      </w:r>
      <w:r>
        <w:rPr>
          <w:spacing w:val="-2"/>
        </w:rPr>
        <w:t xml:space="preserve"> </w:t>
      </w:r>
      <w:r>
        <w:t>meeting,</w:t>
      </w:r>
      <w:r>
        <w:rPr>
          <w:spacing w:val="-5"/>
        </w:rPr>
        <w:t xml:space="preserve"> </w:t>
      </w:r>
      <w:r>
        <w:t>or</w:t>
      </w:r>
      <w:r>
        <w:rPr>
          <w:spacing w:val="-2"/>
        </w:rPr>
        <w:t xml:space="preserve"> </w:t>
      </w:r>
      <w:r>
        <w:t>of</w:t>
      </w:r>
      <w:r>
        <w:rPr>
          <w:spacing w:val="-2"/>
        </w:rPr>
        <w:t xml:space="preserve"> </w:t>
      </w:r>
      <w:r>
        <w:t>the members with voting rights when voting out of session.</w:t>
      </w:r>
    </w:p>
    <w:p w14:paraId="1E805E19" w14:textId="77777777" w:rsidR="00AA4A02" w:rsidRDefault="00960F31">
      <w:pPr>
        <w:pStyle w:val="BodyText"/>
        <w:spacing w:before="201" w:line="208" w:lineRule="auto"/>
        <w:ind w:left="206" w:right="583" w:hanging="142"/>
      </w:pPr>
      <w:r>
        <w:rPr>
          <w:vertAlign w:val="superscript"/>
        </w:rPr>
        <w:t>*</w:t>
      </w:r>
      <w:r>
        <w:rPr>
          <w:spacing w:val="13"/>
        </w:rPr>
        <w:t xml:space="preserve"> </w:t>
      </w:r>
      <w:r>
        <w:t>For</w:t>
      </w:r>
      <w:r>
        <w:rPr>
          <w:spacing w:val="-2"/>
        </w:rPr>
        <w:t xml:space="preserve"> </w:t>
      </w:r>
      <w:r>
        <w:t>AUASB</w:t>
      </w:r>
      <w:r>
        <w:rPr>
          <w:spacing w:val="-4"/>
        </w:rPr>
        <w:t xml:space="preserve"> </w:t>
      </w:r>
      <w:r>
        <w:t>pronouncements,</w:t>
      </w:r>
      <w:r>
        <w:rPr>
          <w:spacing w:val="-4"/>
        </w:rPr>
        <w:t xml:space="preserve"> </w:t>
      </w:r>
      <w:r>
        <w:t>approval</w:t>
      </w:r>
      <w:r>
        <w:rPr>
          <w:spacing w:val="-1"/>
        </w:rPr>
        <w:t xml:space="preserve"> </w:t>
      </w:r>
      <w:r>
        <w:t>requires</w:t>
      </w:r>
      <w:r>
        <w:rPr>
          <w:spacing w:val="-17"/>
        </w:rPr>
        <w:t xml:space="preserve"> </w:t>
      </w:r>
      <w:r>
        <w:t>a</w:t>
      </w:r>
      <w:r>
        <w:rPr>
          <w:spacing w:val="-4"/>
        </w:rPr>
        <w:t xml:space="preserve"> </w:t>
      </w:r>
      <w:r>
        <w:t>two-thirds</w:t>
      </w:r>
      <w:r>
        <w:rPr>
          <w:spacing w:val="-4"/>
        </w:rPr>
        <w:t xml:space="preserve"> </w:t>
      </w:r>
      <w:r>
        <w:t>majority</w:t>
      </w:r>
      <w:r>
        <w:rPr>
          <w:spacing w:val="-3"/>
        </w:rPr>
        <w:t xml:space="preserve"> </w:t>
      </w:r>
      <w:r>
        <w:t>of</w:t>
      </w:r>
      <w:r>
        <w:rPr>
          <w:spacing w:val="-2"/>
        </w:rPr>
        <w:t xml:space="preserve"> </w:t>
      </w:r>
      <w:r>
        <w:t>all</w:t>
      </w:r>
      <w:r>
        <w:rPr>
          <w:spacing w:val="-4"/>
        </w:rPr>
        <w:t xml:space="preserve"> </w:t>
      </w:r>
      <w:r>
        <w:t>AUASB</w:t>
      </w:r>
      <w:r>
        <w:rPr>
          <w:spacing w:val="-4"/>
        </w:rPr>
        <w:t xml:space="preserve"> </w:t>
      </w:r>
      <w:r>
        <w:t>members</w:t>
      </w:r>
      <w:r>
        <w:rPr>
          <w:spacing w:val="-2"/>
        </w:rPr>
        <w:t xml:space="preserve"> </w:t>
      </w:r>
      <w:r>
        <w:t>with voting rights (not just members present).</w:t>
      </w:r>
    </w:p>
    <w:p w14:paraId="1E805E1A" w14:textId="77777777" w:rsidR="00AA4A02" w:rsidRDefault="00960F31">
      <w:pPr>
        <w:tabs>
          <w:tab w:val="left" w:pos="771"/>
        </w:tabs>
        <w:spacing w:before="172" w:line="237" w:lineRule="exact"/>
        <w:ind w:left="65"/>
      </w:pPr>
      <w:r>
        <w:rPr>
          <w:b/>
          <w:spacing w:val="-2"/>
          <w:u w:val="single"/>
        </w:rPr>
        <w:t>Note</w:t>
      </w:r>
      <w:r>
        <w:rPr>
          <w:spacing w:val="-2"/>
        </w:rPr>
        <w:t>:</w:t>
      </w:r>
      <w:r>
        <w:tab/>
        <w:t>AUASB</w:t>
      </w:r>
      <w:r>
        <w:rPr>
          <w:spacing w:val="-6"/>
        </w:rPr>
        <w:t xml:space="preserve"> </w:t>
      </w:r>
      <w:r>
        <w:t>approval</w:t>
      </w:r>
      <w:r>
        <w:rPr>
          <w:spacing w:val="-2"/>
        </w:rPr>
        <w:t xml:space="preserve"> </w:t>
      </w:r>
      <w:r>
        <w:t>and</w:t>
      </w:r>
      <w:r>
        <w:rPr>
          <w:spacing w:val="-5"/>
        </w:rPr>
        <w:t xml:space="preserve"> </w:t>
      </w:r>
      <w:r>
        <w:t>voting</w:t>
      </w:r>
      <w:r>
        <w:rPr>
          <w:spacing w:val="-3"/>
        </w:rPr>
        <w:t xml:space="preserve"> </w:t>
      </w:r>
      <w:r>
        <w:t>protocols</w:t>
      </w:r>
      <w:r>
        <w:rPr>
          <w:spacing w:val="-3"/>
        </w:rPr>
        <w:t xml:space="preserve"> </w:t>
      </w:r>
      <w:r>
        <w:t>are</w:t>
      </w:r>
      <w:r>
        <w:rPr>
          <w:spacing w:val="-3"/>
        </w:rPr>
        <w:t xml:space="preserve"> </w:t>
      </w:r>
      <w:r>
        <w:t>derived</w:t>
      </w:r>
      <w:r>
        <w:rPr>
          <w:spacing w:val="-4"/>
        </w:rPr>
        <w:t xml:space="preserve"> </w:t>
      </w:r>
      <w:r>
        <w:t>from</w:t>
      </w:r>
      <w:r>
        <w:rPr>
          <w:spacing w:val="-2"/>
        </w:rPr>
        <w:t xml:space="preserve"> </w:t>
      </w:r>
      <w:r>
        <w:t>Section</w:t>
      </w:r>
      <w:r>
        <w:rPr>
          <w:spacing w:val="-3"/>
        </w:rPr>
        <w:t xml:space="preserve"> </w:t>
      </w:r>
      <w:r>
        <w:t>6</w:t>
      </w:r>
      <w:r>
        <w:rPr>
          <w:spacing w:val="-3"/>
        </w:rPr>
        <w:t xml:space="preserve"> </w:t>
      </w:r>
      <w:r>
        <w:t>of</w:t>
      </w:r>
      <w:r>
        <w:rPr>
          <w:spacing w:val="-3"/>
        </w:rPr>
        <w:t xml:space="preserve"> </w:t>
      </w:r>
      <w:r>
        <w:t>the</w:t>
      </w:r>
      <w:r>
        <w:rPr>
          <w:spacing w:val="-1"/>
        </w:rPr>
        <w:t xml:space="preserve"> </w:t>
      </w:r>
      <w:hyperlink r:id="rId189">
        <w:r>
          <w:rPr>
            <w:i/>
            <w:color w:val="0000FF"/>
            <w:u w:val="single" w:color="0000FF"/>
          </w:rPr>
          <w:t>AUASB</w:t>
        </w:r>
        <w:r>
          <w:rPr>
            <w:i/>
            <w:color w:val="0000FF"/>
            <w:spacing w:val="-7"/>
            <w:u w:val="single" w:color="0000FF"/>
          </w:rPr>
          <w:t xml:space="preserve"> </w:t>
        </w:r>
        <w:r>
          <w:rPr>
            <w:i/>
            <w:color w:val="0000FF"/>
            <w:u w:val="single" w:color="0000FF"/>
          </w:rPr>
          <w:t>Board</w:t>
        </w:r>
        <w:r>
          <w:rPr>
            <w:i/>
            <w:color w:val="0000FF"/>
            <w:spacing w:val="-2"/>
            <w:u w:val="single" w:color="0000FF"/>
          </w:rPr>
          <w:t xml:space="preserve"> Charter</w:t>
        </w:r>
      </w:hyperlink>
      <w:r>
        <w:rPr>
          <w:spacing w:val="-2"/>
        </w:rPr>
        <w:t>.</w:t>
      </w:r>
    </w:p>
    <w:p w14:paraId="1E805E1B" w14:textId="77777777" w:rsidR="00AA4A02" w:rsidRDefault="00960F31">
      <w:pPr>
        <w:pStyle w:val="BodyText"/>
        <w:spacing w:before="10" w:line="208" w:lineRule="auto"/>
        <w:ind w:left="771" w:right="583"/>
        <w:rPr>
          <w:i/>
        </w:rPr>
      </w:pPr>
      <w:r>
        <w:t>Voting</w:t>
      </w:r>
      <w:r>
        <w:rPr>
          <w:spacing w:val="-5"/>
        </w:rPr>
        <w:t xml:space="preserve"> </w:t>
      </w:r>
      <w:r>
        <w:t>for</w:t>
      </w:r>
      <w:r>
        <w:rPr>
          <w:spacing w:val="-2"/>
        </w:rPr>
        <w:t xml:space="preserve"> </w:t>
      </w:r>
      <w:r>
        <w:t>the</w:t>
      </w:r>
      <w:r>
        <w:rPr>
          <w:spacing w:val="-2"/>
        </w:rPr>
        <w:t xml:space="preserve"> </w:t>
      </w:r>
      <w:r>
        <w:t>approval</w:t>
      </w:r>
      <w:r>
        <w:rPr>
          <w:spacing w:val="-1"/>
        </w:rPr>
        <w:t xml:space="preserve"> </w:t>
      </w:r>
      <w:r>
        <w:t>of</w:t>
      </w:r>
      <w:r>
        <w:rPr>
          <w:spacing w:val="-4"/>
        </w:rPr>
        <w:t xml:space="preserve"> </w:t>
      </w:r>
      <w:r>
        <w:t>AUASB</w:t>
      </w:r>
      <w:r>
        <w:rPr>
          <w:spacing w:val="-4"/>
        </w:rPr>
        <w:t xml:space="preserve"> </w:t>
      </w:r>
      <w:r>
        <w:t>Pronouncements</w:t>
      </w:r>
      <w:r>
        <w:rPr>
          <w:spacing w:val="-4"/>
        </w:rPr>
        <w:t xml:space="preserve"> </w:t>
      </w:r>
      <w:r>
        <w:t>may</w:t>
      </w:r>
      <w:r>
        <w:rPr>
          <w:spacing w:val="-2"/>
        </w:rPr>
        <w:t xml:space="preserve"> </w:t>
      </w:r>
      <w:r>
        <w:t>be</w:t>
      </w:r>
      <w:r>
        <w:rPr>
          <w:spacing w:val="-2"/>
        </w:rPr>
        <w:t xml:space="preserve"> </w:t>
      </w:r>
      <w:r>
        <w:t>through</w:t>
      </w:r>
      <w:r>
        <w:rPr>
          <w:spacing w:val="-2"/>
        </w:rPr>
        <w:t xml:space="preserve"> </w:t>
      </w:r>
      <w:r>
        <w:t>out-of-session</w:t>
      </w:r>
      <w:r>
        <w:rPr>
          <w:spacing w:val="-2"/>
        </w:rPr>
        <w:t xml:space="preserve"> </w:t>
      </w:r>
      <w:r>
        <w:t>voting,</w:t>
      </w:r>
      <w:r>
        <w:rPr>
          <w:spacing w:val="-2"/>
        </w:rPr>
        <w:t xml:space="preserve"> </w:t>
      </w:r>
      <w:r>
        <w:t xml:space="preserve">in accordance with the AUASB’s approvals protocols set out in the </w:t>
      </w:r>
      <w:r>
        <w:rPr>
          <w:i/>
        </w:rPr>
        <w:t>AUASB Board Charter.</w:t>
      </w:r>
    </w:p>
    <w:p w14:paraId="1E805E1C" w14:textId="77777777" w:rsidR="00AA4A02" w:rsidRDefault="00AA4A02">
      <w:pPr>
        <w:pStyle w:val="BodyText"/>
        <w:rPr>
          <w:i/>
          <w:sz w:val="20"/>
        </w:rPr>
      </w:pPr>
    </w:p>
    <w:p w14:paraId="1E805E1D" w14:textId="77777777" w:rsidR="00AA4A02" w:rsidRDefault="00AA4A02">
      <w:pPr>
        <w:pStyle w:val="BodyText"/>
        <w:rPr>
          <w:i/>
          <w:sz w:val="20"/>
        </w:rPr>
      </w:pPr>
    </w:p>
    <w:p w14:paraId="1E805E1E" w14:textId="77777777" w:rsidR="00AA4A02" w:rsidRDefault="00AA4A02">
      <w:pPr>
        <w:pStyle w:val="BodyText"/>
        <w:rPr>
          <w:i/>
          <w:sz w:val="20"/>
        </w:rPr>
      </w:pPr>
    </w:p>
    <w:p w14:paraId="1E805E1F" w14:textId="77777777" w:rsidR="00AA4A02" w:rsidRDefault="00AA4A02">
      <w:pPr>
        <w:pStyle w:val="BodyText"/>
        <w:rPr>
          <w:i/>
          <w:sz w:val="20"/>
        </w:rPr>
      </w:pPr>
    </w:p>
    <w:p w14:paraId="1E805E20" w14:textId="77777777" w:rsidR="00AA4A02" w:rsidRDefault="00AA4A02">
      <w:pPr>
        <w:pStyle w:val="BodyText"/>
        <w:rPr>
          <w:i/>
          <w:sz w:val="20"/>
        </w:rPr>
      </w:pPr>
    </w:p>
    <w:p w14:paraId="1E805E21" w14:textId="77777777" w:rsidR="00AA4A02" w:rsidRDefault="00AA4A02">
      <w:pPr>
        <w:pStyle w:val="BodyText"/>
        <w:rPr>
          <w:i/>
          <w:sz w:val="20"/>
        </w:rPr>
      </w:pPr>
    </w:p>
    <w:p w14:paraId="1E805E22" w14:textId="77777777" w:rsidR="00AA4A02" w:rsidRDefault="00AA4A02">
      <w:pPr>
        <w:pStyle w:val="BodyText"/>
        <w:rPr>
          <w:i/>
          <w:sz w:val="20"/>
        </w:rPr>
      </w:pPr>
    </w:p>
    <w:p w14:paraId="1E805E23" w14:textId="77777777" w:rsidR="00AA4A02" w:rsidRDefault="00AA4A02">
      <w:pPr>
        <w:pStyle w:val="BodyText"/>
        <w:rPr>
          <w:i/>
          <w:sz w:val="20"/>
        </w:rPr>
      </w:pPr>
    </w:p>
    <w:p w14:paraId="1E805E24" w14:textId="77777777" w:rsidR="00AA4A02" w:rsidRDefault="00AA4A02">
      <w:pPr>
        <w:pStyle w:val="BodyText"/>
        <w:rPr>
          <w:i/>
          <w:sz w:val="20"/>
        </w:rPr>
      </w:pPr>
    </w:p>
    <w:p w14:paraId="1E805E25" w14:textId="77777777" w:rsidR="00AA4A02" w:rsidRDefault="00AA4A02">
      <w:pPr>
        <w:pStyle w:val="BodyText"/>
        <w:rPr>
          <w:i/>
          <w:sz w:val="20"/>
        </w:rPr>
      </w:pPr>
    </w:p>
    <w:p w14:paraId="1E805E26" w14:textId="77777777" w:rsidR="00AA4A02" w:rsidRDefault="00AA4A02">
      <w:pPr>
        <w:pStyle w:val="BodyText"/>
        <w:spacing w:before="209"/>
        <w:rPr>
          <w:i/>
          <w:sz w:val="20"/>
        </w:rPr>
      </w:pPr>
    </w:p>
    <w:p w14:paraId="1E805E27" w14:textId="77777777" w:rsidR="00AA4A02" w:rsidRDefault="00960F31">
      <w:pPr>
        <w:spacing w:before="1"/>
        <w:ind w:left="708" w:right="1203"/>
        <w:jc w:val="center"/>
        <w:rPr>
          <w:sz w:val="20"/>
        </w:rPr>
      </w:pPr>
      <w:r>
        <w:rPr>
          <w:sz w:val="20"/>
        </w:rPr>
        <w:t xml:space="preserve">- 58 </w:t>
      </w:r>
      <w:r>
        <w:rPr>
          <w:spacing w:val="-10"/>
          <w:sz w:val="20"/>
        </w:rPr>
        <w:t>-</w:t>
      </w:r>
    </w:p>
    <w:p w14:paraId="1E805E28" w14:textId="77777777" w:rsidR="00AA4A02" w:rsidRDefault="00AA4A02">
      <w:pPr>
        <w:jc w:val="center"/>
        <w:rPr>
          <w:sz w:val="20"/>
        </w:rPr>
        <w:sectPr w:rsidR="00AA4A02">
          <w:headerReference w:type="default" r:id="rId190"/>
          <w:footerReference w:type="default" r:id="rId191"/>
          <w:pgSz w:w="11910" w:h="16840"/>
          <w:pgMar w:top="1000" w:right="1275" w:bottom="280" w:left="566" w:header="547" w:footer="0" w:gutter="0"/>
          <w:cols w:space="720"/>
        </w:sectPr>
      </w:pPr>
    </w:p>
    <w:p w14:paraId="1E805E29" w14:textId="77777777" w:rsidR="00AA4A02" w:rsidRDefault="00960F31">
      <w:pPr>
        <w:pStyle w:val="BodyText"/>
        <w:rPr>
          <w:sz w:val="29"/>
        </w:rPr>
      </w:pPr>
      <w:r>
        <w:rPr>
          <w:noProof/>
          <w:sz w:val="29"/>
        </w:rPr>
        <w:lastRenderedPageBreak/>
        <w:drawing>
          <wp:anchor distT="0" distB="0" distL="0" distR="0" simplePos="0" relativeHeight="15763456" behindDoc="0" locked="0" layoutInCell="1" allowOverlap="1" wp14:anchorId="1E805F9B" wp14:editId="1E805F9C">
            <wp:simplePos x="0" y="0"/>
            <wp:positionH relativeFrom="page">
              <wp:posOffset>0</wp:posOffset>
            </wp:positionH>
            <wp:positionV relativeFrom="page">
              <wp:posOffset>0</wp:posOffset>
            </wp:positionV>
            <wp:extent cx="7560564" cy="1156334"/>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92" cstate="print"/>
                    <a:stretch>
                      <a:fillRect/>
                    </a:stretch>
                  </pic:blipFill>
                  <pic:spPr>
                    <a:xfrm>
                      <a:off x="0" y="0"/>
                      <a:ext cx="7560564" cy="1156334"/>
                    </a:xfrm>
                    <a:prstGeom prst="rect">
                      <a:avLst/>
                    </a:prstGeom>
                  </pic:spPr>
                </pic:pic>
              </a:graphicData>
            </a:graphic>
          </wp:anchor>
        </w:drawing>
      </w:r>
    </w:p>
    <w:p w14:paraId="1E805E2A" w14:textId="77777777" w:rsidR="00AA4A02" w:rsidRDefault="00AA4A02">
      <w:pPr>
        <w:pStyle w:val="BodyText"/>
        <w:rPr>
          <w:sz w:val="29"/>
        </w:rPr>
      </w:pPr>
    </w:p>
    <w:p w14:paraId="1E805E2B" w14:textId="77777777" w:rsidR="00AA4A02" w:rsidRDefault="00AA4A02">
      <w:pPr>
        <w:pStyle w:val="BodyText"/>
        <w:rPr>
          <w:sz w:val="29"/>
        </w:rPr>
      </w:pPr>
    </w:p>
    <w:p w14:paraId="1E805E2C" w14:textId="77777777" w:rsidR="00AA4A02" w:rsidRDefault="00AA4A02">
      <w:pPr>
        <w:pStyle w:val="BodyText"/>
        <w:rPr>
          <w:sz w:val="29"/>
        </w:rPr>
      </w:pPr>
    </w:p>
    <w:p w14:paraId="1E805E2D" w14:textId="77777777" w:rsidR="00AA4A02" w:rsidRDefault="00AA4A02">
      <w:pPr>
        <w:pStyle w:val="BodyText"/>
        <w:rPr>
          <w:sz w:val="29"/>
        </w:rPr>
      </w:pPr>
    </w:p>
    <w:p w14:paraId="1E805E2E" w14:textId="77777777" w:rsidR="00AA4A02" w:rsidRDefault="00AA4A02">
      <w:pPr>
        <w:pStyle w:val="BodyText"/>
        <w:spacing w:before="62"/>
        <w:rPr>
          <w:sz w:val="29"/>
        </w:rPr>
      </w:pPr>
    </w:p>
    <w:p w14:paraId="1E805E2F" w14:textId="77777777" w:rsidR="00AA4A02" w:rsidRDefault="00960F31">
      <w:pPr>
        <w:pStyle w:val="Heading2"/>
        <w:ind w:right="141"/>
      </w:pPr>
      <w:bookmarkStart w:id="112" w:name="5_Regulatory_and_International_Developme"/>
      <w:bookmarkStart w:id="113" w:name="Item_5"/>
      <w:bookmarkEnd w:id="112"/>
      <w:bookmarkEnd w:id="113"/>
      <w:r>
        <w:rPr>
          <w:smallCaps/>
          <w:color w:val="585858"/>
        </w:rPr>
        <w:t>Item</w:t>
      </w:r>
      <w:r>
        <w:rPr>
          <w:smallCaps/>
          <w:color w:val="585858"/>
          <w:spacing w:val="-1"/>
        </w:rPr>
        <w:t xml:space="preserve"> </w:t>
      </w:r>
      <w:r>
        <w:rPr>
          <w:smallCaps/>
          <w:color w:val="585858"/>
          <w:spacing w:val="-10"/>
        </w:rPr>
        <w:t>5</w:t>
      </w:r>
    </w:p>
    <w:p w14:paraId="1E805E30" w14:textId="77777777" w:rsidR="00AA4A02" w:rsidRDefault="00960F31">
      <w:pPr>
        <w:spacing w:before="119"/>
        <w:ind w:right="141"/>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31" w14:textId="77777777" w:rsidR="00AA4A02" w:rsidRDefault="00960F31">
      <w:pPr>
        <w:pStyle w:val="Heading2"/>
        <w:spacing w:before="301"/>
        <w:ind w:left="852"/>
        <w:jc w:val="left"/>
      </w:pPr>
      <w:bookmarkStart w:id="114" w:name="Regulatory/International_developments"/>
      <w:bookmarkEnd w:id="114"/>
      <w:r>
        <w:rPr>
          <w:smallCaps/>
          <w:color w:val="585858"/>
        </w:rPr>
        <w:t>Regulatory/International</w:t>
      </w:r>
      <w:r>
        <w:rPr>
          <w:smallCaps/>
          <w:color w:val="585858"/>
          <w:spacing w:val="-16"/>
        </w:rPr>
        <w:t xml:space="preserve"> </w:t>
      </w:r>
      <w:r>
        <w:rPr>
          <w:smallCaps/>
          <w:color w:val="585858"/>
          <w:spacing w:val="-2"/>
        </w:rPr>
        <w:t>developments</w:t>
      </w:r>
    </w:p>
    <w:p w14:paraId="1E805E32" w14:textId="77777777" w:rsidR="00AA4A02" w:rsidRDefault="00960F31">
      <w:pPr>
        <w:pStyle w:val="BodyText"/>
        <w:spacing w:before="91"/>
        <w:rPr>
          <w:rFonts w:ascii="Calibri"/>
          <w:b/>
          <w:sz w:val="20"/>
        </w:rPr>
      </w:pPr>
      <w:r>
        <w:rPr>
          <w:rFonts w:ascii="Calibri"/>
          <w:b/>
          <w:noProof/>
          <w:sz w:val="20"/>
        </w:rPr>
        <mc:AlternateContent>
          <mc:Choice Requires="wps">
            <w:drawing>
              <wp:anchor distT="0" distB="0" distL="0" distR="0" simplePos="0" relativeHeight="487622144" behindDoc="1" locked="0" layoutInCell="1" allowOverlap="1" wp14:anchorId="1E805F9D" wp14:editId="1E805F9E">
                <wp:simplePos x="0" y="0"/>
                <wp:positionH relativeFrom="page">
                  <wp:posOffset>903732</wp:posOffset>
                </wp:positionH>
                <wp:positionV relativeFrom="paragraph">
                  <wp:posOffset>231418</wp:posOffset>
                </wp:positionV>
                <wp:extent cx="5753100" cy="676910"/>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76910"/>
                        </a:xfrm>
                        <a:prstGeom prst="rect">
                          <a:avLst/>
                        </a:prstGeom>
                        <a:solidFill>
                          <a:srgbClr val="E0EFFF"/>
                        </a:solidFill>
                        <a:ln w="6108">
                          <a:solidFill>
                            <a:srgbClr val="2E5395"/>
                          </a:solidFill>
                          <a:prstDash val="solid"/>
                        </a:ln>
                      </wps:spPr>
                      <wps:txbx>
                        <w:txbxContent>
                          <w:p w14:paraId="1E806072" w14:textId="77777777" w:rsidR="00AA4A02" w:rsidRDefault="00960F31">
                            <w:pPr>
                              <w:spacing w:before="122"/>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73" w14:textId="77777777" w:rsidR="00AA4A02" w:rsidRDefault="00960F31">
                            <w:pPr>
                              <w:numPr>
                                <w:ilvl w:val="0"/>
                                <w:numId w:val="9"/>
                              </w:numPr>
                              <w:tabs>
                                <w:tab w:val="left" w:pos="549"/>
                              </w:tabs>
                              <w:spacing w:before="179"/>
                              <w:ind w:hanging="422"/>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wps:txbx>
                      <wps:bodyPr wrap="square" lIns="0" tIns="0" rIns="0" bIns="0" rtlCol="0">
                        <a:noAutofit/>
                      </wps:bodyPr>
                    </wps:wsp>
                  </a:graphicData>
                </a:graphic>
              </wp:anchor>
            </w:drawing>
          </mc:Choice>
          <mc:Fallback>
            <w:pict>
              <v:shape w14:anchorId="1E805F9D" id="Textbox 168" o:spid="_x0000_s1086" type="#_x0000_t202" style="position:absolute;margin-left:71.15pt;margin-top:18.2pt;width:453pt;height:53.3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" fillcolor="#e0efff" strokecolor="#2e5395" strokeweight=".16967mm">
                <v:path arrowok="t"/>
                <v:textbox inset="0,0,0,0">
                  <w:txbxContent>
                    <w:p w14:paraId="1E806072" w14:textId="77777777" w:rsidR="00AA4A02" w:rsidRDefault="00960F31">
                      <w:pPr>
                        <w:spacing w:before="122"/>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73" w14:textId="77777777" w:rsidR="00AA4A02" w:rsidRDefault="00960F31">
                      <w:pPr>
                        <w:numPr>
                          <w:ilvl w:val="0"/>
                          <w:numId w:val="9"/>
                        </w:numPr>
                        <w:tabs>
                          <w:tab w:val="left" w:pos="549"/>
                        </w:tabs>
                        <w:spacing w:before="179"/>
                        <w:ind w:hanging="422"/>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v:textbox>
                <w10:wrap type="topAndBottom" anchorx="page"/>
              </v:shape>
            </w:pict>
          </mc:Fallback>
        </mc:AlternateContent>
      </w:r>
    </w:p>
    <w:p w14:paraId="1E805E33" w14:textId="77777777" w:rsidR="00AA4A02" w:rsidRDefault="00AA4A02">
      <w:pPr>
        <w:pStyle w:val="BodyText"/>
        <w:spacing w:before="244"/>
        <w:rPr>
          <w:rFonts w:ascii="Calibri"/>
          <w:b/>
          <w:sz w:val="24"/>
        </w:rPr>
      </w:pPr>
    </w:p>
    <w:p w14:paraId="1E805E34" w14:textId="77777777" w:rsidR="00AA4A02" w:rsidRDefault="00960F31">
      <w:pPr>
        <w:ind w:left="852"/>
        <w:rPr>
          <w:rFonts w:ascii="Calibri"/>
          <w:sz w:val="24"/>
        </w:rPr>
      </w:pPr>
      <w:r>
        <w:rPr>
          <w:rFonts w:ascii="Calibri"/>
          <w:b/>
          <w:sz w:val="24"/>
        </w:rPr>
        <w:t>Attachment</w:t>
      </w:r>
      <w:r>
        <w:rPr>
          <w:rFonts w:ascii="Calibri"/>
          <w:b/>
          <w:spacing w:val="-3"/>
          <w:sz w:val="24"/>
        </w:rPr>
        <w:t xml:space="preserve"> </w:t>
      </w:r>
      <w:r>
        <w:rPr>
          <w:rFonts w:ascii="Calibri"/>
          <w:b/>
          <w:sz w:val="24"/>
        </w:rPr>
        <w:t>A</w:t>
      </w:r>
      <w:r>
        <w:rPr>
          <w:rFonts w:ascii="Calibri"/>
          <w:b/>
          <w:spacing w:val="-3"/>
          <w:sz w:val="24"/>
        </w:rPr>
        <w:t xml:space="preserve"> </w:t>
      </w:r>
      <w:r>
        <w:rPr>
          <w:rFonts w:ascii="Calibri"/>
          <w:sz w:val="24"/>
        </w:rPr>
        <w:t>provides</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summary</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recent key</w:t>
      </w:r>
      <w:r>
        <w:rPr>
          <w:rFonts w:ascii="Calibri"/>
          <w:spacing w:val="-2"/>
          <w:sz w:val="24"/>
        </w:rPr>
        <w:t xml:space="preserve"> </w:t>
      </w:r>
      <w:r>
        <w:rPr>
          <w:rFonts w:ascii="Calibri"/>
          <w:sz w:val="24"/>
        </w:rPr>
        <w:t>releases</w:t>
      </w:r>
      <w:r>
        <w:rPr>
          <w:rFonts w:ascii="Calibri"/>
          <w:spacing w:val="-4"/>
          <w:sz w:val="24"/>
        </w:rPr>
        <w:t xml:space="preserve"> </w:t>
      </w:r>
      <w:r>
        <w:rPr>
          <w:rFonts w:ascii="Calibri"/>
          <w:sz w:val="24"/>
        </w:rPr>
        <w:t>from</w:t>
      </w:r>
      <w:r>
        <w:rPr>
          <w:rFonts w:ascii="Calibri"/>
          <w:spacing w:val="-4"/>
          <w:sz w:val="24"/>
        </w:rPr>
        <w:t xml:space="preserve"> </w:t>
      </w:r>
      <w:r>
        <w:rPr>
          <w:rFonts w:ascii="Calibri"/>
          <w:sz w:val="24"/>
        </w:rPr>
        <w:t>regulators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relevant international matters.</w:t>
      </w:r>
    </w:p>
    <w:p w14:paraId="1E805E35" w14:textId="77777777" w:rsidR="00AA4A02" w:rsidRDefault="00960F31">
      <w:pPr>
        <w:spacing w:before="239"/>
        <w:ind w:left="852"/>
        <w:rPr>
          <w:rFonts w:ascii="Calibri"/>
          <w:sz w:val="24"/>
        </w:rPr>
      </w:pPr>
      <w:r>
        <w:rPr>
          <w:rFonts w:ascii="Calibri"/>
          <w:b/>
          <w:sz w:val="24"/>
        </w:rPr>
        <w:t xml:space="preserve">Attachment B </w:t>
      </w:r>
      <w:r>
        <w:rPr>
          <w:rFonts w:ascii="Calibri"/>
          <w:sz w:val="24"/>
        </w:rPr>
        <w:t>is the link for the Global Regulatory Report for March and April 2026 that summarises</w:t>
      </w:r>
      <w:r>
        <w:rPr>
          <w:rFonts w:ascii="Calibri"/>
          <w:spacing w:val="-3"/>
          <w:sz w:val="24"/>
        </w:rPr>
        <w:t xml:space="preserve"> </w:t>
      </w:r>
      <w:r>
        <w:rPr>
          <w:rFonts w:ascii="Calibri"/>
          <w:sz w:val="24"/>
        </w:rPr>
        <w:t>globally</w:t>
      </w:r>
      <w:r>
        <w:rPr>
          <w:rFonts w:ascii="Calibri"/>
          <w:spacing w:val="-3"/>
          <w:sz w:val="24"/>
        </w:rPr>
        <w:t xml:space="preserve"> </w:t>
      </w:r>
      <w:r>
        <w:rPr>
          <w:rFonts w:ascii="Calibri"/>
          <w:sz w:val="24"/>
        </w:rPr>
        <w:t>significant</w:t>
      </w:r>
      <w:r>
        <w:rPr>
          <w:rFonts w:ascii="Calibri"/>
          <w:spacing w:val="-4"/>
          <w:sz w:val="24"/>
        </w:rPr>
        <w:t xml:space="preserve"> </w:t>
      </w:r>
      <w:r>
        <w:rPr>
          <w:rFonts w:ascii="Calibri"/>
          <w:sz w:val="24"/>
        </w:rPr>
        <w:t>public</w:t>
      </w:r>
      <w:r>
        <w:rPr>
          <w:rFonts w:ascii="Calibri"/>
          <w:spacing w:val="-6"/>
          <w:sz w:val="24"/>
        </w:rPr>
        <w:t xml:space="preserve"> </w:t>
      </w:r>
      <w:r>
        <w:rPr>
          <w:rFonts w:ascii="Calibri"/>
          <w:sz w:val="24"/>
        </w:rPr>
        <w:t>policy</w:t>
      </w:r>
      <w:r>
        <w:rPr>
          <w:rFonts w:ascii="Calibri"/>
          <w:spacing w:val="-3"/>
          <w:sz w:val="24"/>
        </w:rPr>
        <w:t xml:space="preserve"> </w:t>
      </w:r>
      <w:r>
        <w:rPr>
          <w:rFonts w:ascii="Calibri"/>
          <w:sz w:val="24"/>
        </w:rPr>
        <w:t>and</w:t>
      </w:r>
      <w:r>
        <w:rPr>
          <w:rFonts w:ascii="Calibri"/>
          <w:spacing w:val="-1"/>
          <w:sz w:val="24"/>
        </w:rPr>
        <w:t xml:space="preserve"> </w:t>
      </w:r>
      <w:r>
        <w:rPr>
          <w:rFonts w:ascii="Calibri"/>
          <w:sz w:val="24"/>
        </w:rPr>
        <w:t>regulatory</w:t>
      </w:r>
      <w:r>
        <w:rPr>
          <w:rFonts w:ascii="Calibri"/>
          <w:spacing w:val="-3"/>
          <w:sz w:val="24"/>
        </w:rPr>
        <w:t xml:space="preserve"> </w:t>
      </w:r>
      <w:r>
        <w:rPr>
          <w:rFonts w:ascii="Calibri"/>
          <w:sz w:val="24"/>
        </w:rPr>
        <w:t>developments</w:t>
      </w:r>
      <w:r>
        <w:rPr>
          <w:rFonts w:ascii="Calibri"/>
          <w:spacing w:val="-5"/>
          <w:sz w:val="24"/>
        </w:rPr>
        <w:t xml:space="preserve"> </w:t>
      </w:r>
      <w:r>
        <w:rPr>
          <w:rFonts w:ascii="Calibri"/>
          <w:sz w:val="24"/>
        </w:rPr>
        <w:t>impacting</w:t>
      </w:r>
      <w:r>
        <w:rPr>
          <w:rFonts w:ascii="Calibri"/>
          <w:spacing w:val="-5"/>
          <w:sz w:val="24"/>
        </w:rPr>
        <w:t xml:space="preserve"> </w:t>
      </w:r>
      <w:r>
        <w:rPr>
          <w:rFonts w:ascii="Calibri"/>
          <w:sz w:val="24"/>
        </w:rPr>
        <w:t>the accounting and auditing profession.</w:t>
      </w:r>
    </w:p>
    <w:p w14:paraId="1E805E36" w14:textId="77777777" w:rsidR="00AA4A02" w:rsidRDefault="00AA4A02">
      <w:pPr>
        <w:pStyle w:val="BodyText"/>
        <w:rPr>
          <w:rFonts w:ascii="Calibri"/>
          <w:sz w:val="24"/>
        </w:rPr>
      </w:pPr>
    </w:p>
    <w:p w14:paraId="1E805E37" w14:textId="77777777" w:rsidR="00AA4A02" w:rsidRDefault="00AA4A02">
      <w:pPr>
        <w:pStyle w:val="BodyText"/>
        <w:rPr>
          <w:rFonts w:ascii="Calibri"/>
          <w:sz w:val="24"/>
        </w:rPr>
      </w:pPr>
    </w:p>
    <w:p w14:paraId="1E805E38" w14:textId="77777777" w:rsidR="00AA4A02" w:rsidRDefault="00AA4A02">
      <w:pPr>
        <w:pStyle w:val="BodyText"/>
        <w:rPr>
          <w:rFonts w:ascii="Calibri"/>
          <w:sz w:val="24"/>
        </w:rPr>
      </w:pPr>
    </w:p>
    <w:p w14:paraId="1E805E39" w14:textId="77777777" w:rsidR="00AA4A02" w:rsidRDefault="00AA4A02">
      <w:pPr>
        <w:pStyle w:val="BodyText"/>
        <w:rPr>
          <w:rFonts w:ascii="Calibri"/>
          <w:sz w:val="24"/>
        </w:rPr>
      </w:pPr>
    </w:p>
    <w:p w14:paraId="1E805E3A" w14:textId="77777777" w:rsidR="00AA4A02" w:rsidRDefault="00AA4A02">
      <w:pPr>
        <w:pStyle w:val="BodyText"/>
        <w:rPr>
          <w:rFonts w:ascii="Calibri"/>
          <w:sz w:val="24"/>
        </w:rPr>
      </w:pPr>
    </w:p>
    <w:p w14:paraId="1E805E3B" w14:textId="77777777" w:rsidR="00AA4A02" w:rsidRDefault="00AA4A02">
      <w:pPr>
        <w:pStyle w:val="BodyText"/>
        <w:rPr>
          <w:rFonts w:ascii="Calibri"/>
          <w:sz w:val="24"/>
        </w:rPr>
      </w:pPr>
    </w:p>
    <w:p w14:paraId="1E805E3C" w14:textId="77777777" w:rsidR="00AA4A02" w:rsidRDefault="00AA4A02">
      <w:pPr>
        <w:pStyle w:val="BodyText"/>
        <w:rPr>
          <w:rFonts w:ascii="Calibri"/>
          <w:sz w:val="24"/>
        </w:rPr>
      </w:pPr>
    </w:p>
    <w:p w14:paraId="1E805E3D" w14:textId="77777777" w:rsidR="00AA4A02" w:rsidRDefault="00AA4A02">
      <w:pPr>
        <w:pStyle w:val="BodyText"/>
        <w:rPr>
          <w:rFonts w:ascii="Calibri"/>
          <w:sz w:val="24"/>
        </w:rPr>
      </w:pPr>
    </w:p>
    <w:p w14:paraId="1E805E3E" w14:textId="77777777" w:rsidR="00AA4A02" w:rsidRDefault="00AA4A02">
      <w:pPr>
        <w:pStyle w:val="BodyText"/>
        <w:rPr>
          <w:rFonts w:ascii="Calibri"/>
          <w:sz w:val="24"/>
        </w:rPr>
      </w:pPr>
    </w:p>
    <w:p w14:paraId="1E805E3F" w14:textId="77777777" w:rsidR="00AA4A02" w:rsidRDefault="00AA4A02">
      <w:pPr>
        <w:pStyle w:val="BodyText"/>
        <w:rPr>
          <w:rFonts w:ascii="Calibri"/>
          <w:sz w:val="24"/>
        </w:rPr>
      </w:pPr>
    </w:p>
    <w:p w14:paraId="1E805E40" w14:textId="77777777" w:rsidR="00AA4A02" w:rsidRDefault="00AA4A02">
      <w:pPr>
        <w:pStyle w:val="BodyText"/>
        <w:rPr>
          <w:rFonts w:ascii="Calibri"/>
          <w:sz w:val="24"/>
        </w:rPr>
      </w:pPr>
    </w:p>
    <w:p w14:paraId="1E805E41" w14:textId="77777777" w:rsidR="00AA4A02" w:rsidRDefault="00AA4A02">
      <w:pPr>
        <w:pStyle w:val="BodyText"/>
        <w:rPr>
          <w:rFonts w:ascii="Calibri"/>
          <w:sz w:val="24"/>
        </w:rPr>
      </w:pPr>
    </w:p>
    <w:p w14:paraId="1E805E42" w14:textId="77777777" w:rsidR="00AA4A02" w:rsidRDefault="00AA4A02">
      <w:pPr>
        <w:pStyle w:val="BodyText"/>
        <w:rPr>
          <w:rFonts w:ascii="Calibri"/>
          <w:sz w:val="24"/>
        </w:rPr>
      </w:pPr>
    </w:p>
    <w:p w14:paraId="1E805E43" w14:textId="77777777" w:rsidR="00AA4A02" w:rsidRDefault="00AA4A02">
      <w:pPr>
        <w:pStyle w:val="BodyText"/>
        <w:rPr>
          <w:rFonts w:ascii="Calibri"/>
          <w:sz w:val="24"/>
        </w:rPr>
      </w:pPr>
    </w:p>
    <w:p w14:paraId="1E805E44" w14:textId="77777777" w:rsidR="00AA4A02" w:rsidRDefault="00AA4A02">
      <w:pPr>
        <w:pStyle w:val="BodyText"/>
        <w:rPr>
          <w:rFonts w:ascii="Calibri"/>
          <w:sz w:val="24"/>
        </w:rPr>
      </w:pPr>
    </w:p>
    <w:p w14:paraId="1E805E45" w14:textId="77777777" w:rsidR="00AA4A02" w:rsidRDefault="00AA4A02">
      <w:pPr>
        <w:pStyle w:val="BodyText"/>
        <w:rPr>
          <w:rFonts w:ascii="Calibri"/>
          <w:sz w:val="24"/>
        </w:rPr>
      </w:pPr>
    </w:p>
    <w:p w14:paraId="1E805E46" w14:textId="77777777" w:rsidR="00AA4A02" w:rsidRDefault="00AA4A02">
      <w:pPr>
        <w:pStyle w:val="BodyText"/>
        <w:rPr>
          <w:rFonts w:ascii="Calibri"/>
          <w:sz w:val="24"/>
        </w:rPr>
      </w:pPr>
    </w:p>
    <w:p w14:paraId="1E805E47" w14:textId="77777777" w:rsidR="00AA4A02" w:rsidRDefault="00AA4A02">
      <w:pPr>
        <w:pStyle w:val="BodyText"/>
        <w:rPr>
          <w:rFonts w:ascii="Calibri"/>
          <w:sz w:val="24"/>
        </w:rPr>
      </w:pPr>
    </w:p>
    <w:p w14:paraId="1E805E48" w14:textId="77777777" w:rsidR="00AA4A02" w:rsidRDefault="00AA4A02">
      <w:pPr>
        <w:pStyle w:val="BodyText"/>
        <w:rPr>
          <w:rFonts w:ascii="Calibri"/>
          <w:sz w:val="24"/>
        </w:rPr>
      </w:pPr>
    </w:p>
    <w:p w14:paraId="1E805E49" w14:textId="77777777" w:rsidR="00AA4A02" w:rsidRDefault="00AA4A02">
      <w:pPr>
        <w:pStyle w:val="BodyText"/>
        <w:rPr>
          <w:rFonts w:ascii="Calibri"/>
          <w:sz w:val="24"/>
        </w:rPr>
      </w:pPr>
    </w:p>
    <w:p w14:paraId="1E805E4A" w14:textId="77777777" w:rsidR="00AA4A02" w:rsidRDefault="00AA4A02">
      <w:pPr>
        <w:pStyle w:val="BodyText"/>
        <w:rPr>
          <w:rFonts w:ascii="Calibri"/>
          <w:sz w:val="24"/>
        </w:rPr>
      </w:pPr>
    </w:p>
    <w:p w14:paraId="1E805E4B" w14:textId="77777777" w:rsidR="00AA4A02" w:rsidRDefault="00AA4A02">
      <w:pPr>
        <w:pStyle w:val="BodyText"/>
        <w:rPr>
          <w:rFonts w:ascii="Calibri"/>
          <w:sz w:val="24"/>
        </w:rPr>
      </w:pPr>
    </w:p>
    <w:p w14:paraId="1E805E4C" w14:textId="77777777" w:rsidR="00AA4A02" w:rsidRDefault="00AA4A02">
      <w:pPr>
        <w:pStyle w:val="BodyText"/>
        <w:rPr>
          <w:rFonts w:ascii="Calibri"/>
          <w:sz w:val="24"/>
        </w:rPr>
      </w:pPr>
    </w:p>
    <w:p w14:paraId="1E805E4D" w14:textId="77777777" w:rsidR="00AA4A02" w:rsidRDefault="00AA4A02">
      <w:pPr>
        <w:pStyle w:val="BodyText"/>
        <w:rPr>
          <w:rFonts w:ascii="Calibri"/>
          <w:sz w:val="24"/>
        </w:rPr>
      </w:pPr>
    </w:p>
    <w:p w14:paraId="1E805E4E" w14:textId="77777777" w:rsidR="00AA4A02" w:rsidRDefault="00AA4A02">
      <w:pPr>
        <w:pStyle w:val="BodyText"/>
        <w:rPr>
          <w:rFonts w:ascii="Calibri"/>
          <w:sz w:val="24"/>
        </w:rPr>
      </w:pPr>
    </w:p>
    <w:p w14:paraId="1E805E4F" w14:textId="77777777" w:rsidR="00AA4A02" w:rsidRDefault="00AA4A02">
      <w:pPr>
        <w:pStyle w:val="BodyText"/>
        <w:rPr>
          <w:rFonts w:ascii="Calibri"/>
          <w:sz w:val="24"/>
        </w:rPr>
      </w:pPr>
    </w:p>
    <w:p w14:paraId="1E805E50" w14:textId="77777777" w:rsidR="00AA4A02" w:rsidRDefault="00AA4A02">
      <w:pPr>
        <w:pStyle w:val="BodyText"/>
        <w:rPr>
          <w:rFonts w:ascii="Calibri"/>
          <w:sz w:val="24"/>
        </w:rPr>
      </w:pPr>
    </w:p>
    <w:p w14:paraId="1E805E51" w14:textId="77777777" w:rsidR="00AA4A02" w:rsidRDefault="00AA4A02">
      <w:pPr>
        <w:pStyle w:val="BodyText"/>
        <w:spacing w:before="189"/>
        <w:rPr>
          <w:rFonts w:ascii="Calibri"/>
          <w:sz w:val="24"/>
        </w:rPr>
      </w:pPr>
    </w:p>
    <w:p w14:paraId="1E805E52" w14:textId="77777777" w:rsidR="00AA4A02" w:rsidRDefault="00960F31">
      <w:pPr>
        <w:spacing w:before="1"/>
        <w:ind w:left="1203" w:right="495"/>
        <w:jc w:val="center"/>
        <w:rPr>
          <w:rFonts w:ascii="Calibri"/>
          <w:sz w:val="24"/>
        </w:rPr>
      </w:pPr>
      <w:r>
        <w:rPr>
          <w:rFonts w:ascii="Calibri"/>
          <w:spacing w:val="-10"/>
          <w:sz w:val="24"/>
        </w:rPr>
        <w:t>1</w:t>
      </w:r>
    </w:p>
    <w:p w14:paraId="1E805E53" w14:textId="77777777" w:rsidR="00AA4A02" w:rsidRDefault="00AA4A02">
      <w:pPr>
        <w:jc w:val="center"/>
        <w:rPr>
          <w:rFonts w:ascii="Calibri"/>
          <w:sz w:val="24"/>
        </w:rPr>
        <w:sectPr w:rsidR="00AA4A02">
          <w:headerReference w:type="default" r:id="rId193"/>
          <w:footerReference w:type="default" r:id="rId194"/>
          <w:pgSz w:w="11910" w:h="16840"/>
          <w:pgMar w:top="0" w:right="1275" w:bottom="280" w:left="566" w:header="0" w:footer="0" w:gutter="0"/>
          <w:cols w:space="720"/>
        </w:sectPr>
      </w:pPr>
    </w:p>
    <w:p w14:paraId="1E805E54" w14:textId="77777777" w:rsidR="00AA4A02" w:rsidRDefault="00960F31">
      <w:pPr>
        <w:pStyle w:val="Heading2"/>
        <w:spacing w:line="439" w:lineRule="exact"/>
        <w:ind w:right="144"/>
      </w:pPr>
      <w:bookmarkStart w:id="115" w:name="ATTACHMENT_A"/>
      <w:bookmarkEnd w:id="115"/>
      <w:r>
        <w:rPr>
          <w:color w:val="585858"/>
          <w:spacing w:val="-2"/>
        </w:rPr>
        <w:lastRenderedPageBreak/>
        <w:t>ATTACHMENT</w:t>
      </w:r>
      <w:r>
        <w:rPr>
          <w:color w:val="585858"/>
          <w:spacing w:val="-3"/>
        </w:rPr>
        <w:t xml:space="preserve"> </w:t>
      </w:r>
      <w:r>
        <w:rPr>
          <w:color w:val="585858"/>
          <w:spacing w:val="-10"/>
        </w:rPr>
        <w:t>A</w:t>
      </w:r>
    </w:p>
    <w:p w14:paraId="1E805E55" w14:textId="77777777" w:rsidR="00AA4A02" w:rsidRDefault="00960F31">
      <w:pPr>
        <w:pStyle w:val="Heading5"/>
        <w:spacing w:before="0" w:line="341" w:lineRule="exact"/>
        <w:ind w:left="852"/>
      </w:pPr>
      <w:bookmarkStart w:id="116" w:name="RECENT_MEDIA_RELEASES"/>
      <w:bookmarkEnd w:id="116"/>
      <w:r>
        <w:t>RECENT</w:t>
      </w:r>
      <w:r>
        <w:rPr>
          <w:spacing w:val="-4"/>
        </w:rPr>
        <w:t xml:space="preserve"> </w:t>
      </w:r>
      <w:r>
        <w:t>MEDIA</w:t>
      </w:r>
      <w:r>
        <w:rPr>
          <w:spacing w:val="-4"/>
        </w:rPr>
        <w:t xml:space="preserve"> </w:t>
      </w:r>
      <w:r>
        <w:rPr>
          <w:spacing w:val="-2"/>
        </w:rPr>
        <w:t>RELEASES</w:t>
      </w:r>
    </w:p>
    <w:p w14:paraId="1E805E56" w14:textId="77777777" w:rsidR="00AA4A02" w:rsidRDefault="00960F31">
      <w:pPr>
        <w:spacing w:before="119"/>
        <w:ind w:left="852"/>
        <w:rPr>
          <w:rFonts w:ascii="Calibri" w:hAnsi="Calibri"/>
          <w:b/>
          <w:sz w:val="24"/>
        </w:rPr>
      </w:pPr>
      <w:r>
        <w:rPr>
          <w:rFonts w:ascii="Calibri" w:hAnsi="Calibri"/>
          <w:b/>
          <w:sz w:val="24"/>
          <w:u w:val="single"/>
        </w:rPr>
        <w:t>Regulator</w:t>
      </w:r>
      <w:r>
        <w:rPr>
          <w:rFonts w:ascii="Calibri" w:hAnsi="Calibri"/>
          <w:b/>
          <w:spacing w:val="-4"/>
          <w:sz w:val="24"/>
          <w:u w:val="single"/>
        </w:rPr>
        <w:t xml:space="preserve"> </w:t>
      </w:r>
      <w:r>
        <w:rPr>
          <w:rFonts w:ascii="Calibri" w:hAnsi="Calibri"/>
          <w:b/>
          <w:sz w:val="24"/>
          <w:u w:val="single"/>
        </w:rPr>
        <w:t>updates</w:t>
      </w:r>
      <w:r>
        <w:rPr>
          <w:rFonts w:ascii="Calibri" w:hAnsi="Calibri"/>
          <w:b/>
          <w:spacing w:val="-1"/>
          <w:sz w:val="24"/>
          <w:u w:val="single"/>
        </w:rPr>
        <w:t xml:space="preserve"> </w:t>
      </w:r>
      <w:r>
        <w:rPr>
          <w:rFonts w:ascii="Calibri" w:hAnsi="Calibri"/>
          <w:b/>
          <w:sz w:val="24"/>
          <w:u w:val="single"/>
        </w:rPr>
        <w:t>–</w:t>
      </w:r>
      <w:r>
        <w:rPr>
          <w:rFonts w:ascii="Calibri" w:hAnsi="Calibri"/>
          <w:b/>
          <w:spacing w:val="-3"/>
          <w:sz w:val="24"/>
          <w:u w:val="single"/>
        </w:rPr>
        <w:t xml:space="preserve"> </w:t>
      </w:r>
      <w:r>
        <w:rPr>
          <w:rFonts w:ascii="Calibri" w:hAnsi="Calibri"/>
          <w:b/>
          <w:spacing w:val="-4"/>
          <w:sz w:val="24"/>
          <w:u w:val="single"/>
        </w:rPr>
        <w:t>ASIC</w:t>
      </w:r>
    </w:p>
    <w:p w14:paraId="1E805E57" w14:textId="77777777" w:rsidR="00AA4A02" w:rsidRDefault="00960F31">
      <w:pPr>
        <w:pStyle w:val="ListParagraph"/>
        <w:numPr>
          <w:ilvl w:val="0"/>
          <w:numId w:val="8"/>
        </w:numPr>
        <w:tabs>
          <w:tab w:val="left" w:pos="1418"/>
        </w:tabs>
        <w:spacing w:before="119"/>
        <w:ind w:right="254"/>
        <w:rPr>
          <w:rFonts w:ascii="Calibri" w:hAnsi="Calibri"/>
          <w:sz w:val="24"/>
        </w:rPr>
      </w:pPr>
      <w:r>
        <w:rPr>
          <w:rFonts w:ascii="Calibri" w:hAnsi="Calibri"/>
          <w:sz w:val="24"/>
        </w:rPr>
        <w:t xml:space="preserve">ASIC has set </w:t>
      </w:r>
      <w:hyperlink r:id="rId195">
        <w:r>
          <w:rPr>
            <w:rFonts w:ascii="Calibri" w:hAnsi="Calibri"/>
            <w:color w:val="44536A"/>
            <w:sz w:val="24"/>
            <w:u w:val="single" w:color="44536A"/>
          </w:rPr>
          <w:t>financial reporting, audit and sustainability focus areas for FY 2026–27</w:t>
        </w:r>
      </w:hyperlink>
      <w:r>
        <w:rPr>
          <w:rFonts w:ascii="Calibri" w:hAnsi="Calibri"/>
          <w:sz w:val="24"/>
        </w:rPr>
        <w:t>. For financial reporting, ASIC will monitor areas requiring significant judgment from preparers, including revenue recognition, asset impairment and recognition and impairment</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financial</w:t>
      </w:r>
      <w:r>
        <w:rPr>
          <w:rFonts w:ascii="Calibri" w:hAnsi="Calibri"/>
          <w:spacing w:val="-4"/>
          <w:sz w:val="24"/>
        </w:rPr>
        <w:t xml:space="preserve"> </w:t>
      </w:r>
      <w:r>
        <w:rPr>
          <w:rFonts w:ascii="Calibri" w:hAnsi="Calibri"/>
          <w:sz w:val="24"/>
        </w:rPr>
        <w:t>instruments.</w:t>
      </w:r>
      <w:r>
        <w:rPr>
          <w:rFonts w:ascii="Calibri" w:hAnsi="Calibri"/>
          <w:spacing w:val="-2"/>
          <w:sz w:val="24"/>
        </w:rPr>
        <w:t xml:space="preserve"> </w:t>
      </w:r>
      <w:r>
        <w:rPr>
          <w:rFonts w:ascii="Calibri" w:hAnsi="Calibri"/>
          <w:sz w:val="24"/>
        </w:rPr>
        <w:t>For</w:t>
      </w:r>
      <w:r>
        <w:rPr>
          <w:rFonts w:ascii="Calibri" w:hAnsi="Calibri"/>
          <w:spacing w:val="-4"/>
          <w:sz w:val="24"/>
        </w:rPr>
        <w:t xml:space="preserve"> </w:t>
      </w:r>
      <w:r>
        <w:rPr>
          <w:rFonts w:ascii="Calibri" w:hAnsi="Calibri"/>
          <w:sz w:val="24"/>
        </w:rPr>
        <w:t>audit,</w:t>
      </w:r>
      <w:r>
        <w:rPr>
          <w:rFonts w:ascii="Calibri" w:hAnsi="Calibri"/>
          <w:spacing w:val="-4"/>
          <w:sz w:val="24"/>
        </w:rPr>
        <w:t xml:space="preserve"> </w:t>
      </w:r>
      <w:r>
        <w:rPr>
          <w:rFonts w:ascii="Calibri" w:hAnsi="Calibri"/>
          <w:sz w:val="24"/>
        </w:rPr>
        <w:t>ASIC</w:t>
      </w:r>
      <w:r>
        <w:rPr>
          <w:rFonts w:ascii="Calibri" w:hAnsi="Calibri"/>
          <w:spacing w:val="-2"/>
          <w:sz w:val="24"/>
        </w:rPr>
        <w:t xml:space="preserve"> </w:t>
      </w:r>
      <w:r>
        <w:rPr>
          <w:rFonts w:ascii="Calibri" w:hAnsi="Calibri"/>
          <w:sz w:val="24"/>
        </w:rPr>
        <w:t>will</w:t>
      </w:r>
      <w:r>
        <w:rPr>
          <w:rFonts w:ascii="Calibri" w:hAnsi="Calibri"/>
          <w:spacing w:val="-1"/>
          <w:sz w:val="24"/>
        </w:rPr>
        <w:t xml:space="preserve"> </w:t>
      </w:r>
      <w:r>
        <w:rPr>
          <w:rFonts w:ascii="Calibri" w:hAnsi="Calibri"/>
          <w:sz w:val="24"/>
        </w:rPr>
        <w:t>review</w:t>
      </w:r>
      <w:r>
        <w:rPr>
          <w:rFonts w:ascii="Calibri" w:hAnsi="Calibri"/>
          <w:spacing w:val="-3"/>
          <w:sz w:val="24"/>
        </w:rPr>
        <w:t xml:space="preserve"> </w:t>
      </w:r>
      <w:r>
        <w:rPr>
          <w:rFonts w:ascii="Calibri" w:hAnsi="Calibri"/>
          <w:sz w:val="24"/>
        </w:rPr>
        <w:t>25</w:t>
      </w:r>
      <w:r>
        <w:rPr>
          <w:rFonts w:ascii="Calibri" w:hAnsi="Calibri"/>
          <w:spacing w:val="-1"/>
          <w:sz w:val="24"/>
        </w:rPr>
        <w:t xml:space="preserve"> </w:t>
      </w:r>
      <w:r>
        <w:rPr>
          <w:rFonts w:ascii="Calibri" w:hAnsi="Calibri"/>
          <w:sz w:val="24"/>
        </w:rPr>
        <w:t>audit</w:t>
      </w:r>
      <w:r>
        <w:rPr>
          <w:rFonts w:ascii="Calibri" w:hAnsi="Calibri"/>
          <w:spacing w:val="-3"/>
          <w:sz w:val="24"/>
        </w:rPr>
        <w:t xml:space="preserve"> </w:t>
      </w:r>
      <w:r>
        <w:rPr>
          <w:rFonts w:ascii="Calibri" w:hAnsi="Calibri"/>
          <w:sz w:val="24"/>
        </w:rPr>
        <w:t>files,</w:t>
      </w:r>
      <w:r>
        <w:rPr>
          <w:rFonts w:ascii="Calibri" w:hAnsi="Calibri"/>
          <w:spacing w:val="-1"/>
          <w:sz w:val="24"/>
        </w:rPr>
        <w:t xml:space="preserve"> </w:t>
      </w:r>
      <w:r>
        <w:rPr>
          <w:rFonts w:ascii="Calibri" w:hAnsi="Calibri"/>
          <w:sz w:val="24"/>
        </w:rPr>
        <w:t>focusing on listed and unlisted companies and RSEs and a selection of MISs.</w:t>
      </w:r>
    </w:p>
    <w:p w14:paraId="1E805E58" w14:textId="77777777" w:rsidR="00AA4A02" w:rsidRDefault="00960F31">
      <w:pPr>
        <w:pStyle w:val="ListParagraph"/>
        <w:numPr>
          <w:ilvl w:val="0"/>
          <w:numId w:val="8"/>
        </w:numPr>
        <w:tabs>
          <w:tab w:val="left" w:pos="1418"/>
        </w:tabs>
        <w:spacing w:before="121"/>
        <w:ind w:right="251"/>
        <w:rPr>
          <w:rFonts w:ascii="Calibri" w:hAnsi="Calibri"/>
          <w:sz w:val="24"/>
        </w:rPr>
      </w:pPr>
      <w:r>
        <w:rPr>
          <w:rFonts w:ascii="Calibri" w:hAnsi="Calibri"/>
          <w:sz w:val="24"/>
        </w:rPr>
        <w:t xml:space="preserve">ASIC has issued </w:t>
      </w:r>
      <w:hyperlink r:id="rId196">
        <w:r>
          <w:rPr>
            <w:rFonts w:ascii="Calibri" w:hAnsi="Calibri"/>
            <w:color w:val="44536A"/>
            <w:sz w:val="24"/>
            <w:u w:val="single" w:color="44536A"/>
          </w:rPr>
          <w:t>early observations on sustainability reporting</w:t>
        </w:r>
      </w:hyperlink>
      <w:r>
        <w:rPr>
          <w:rFonts w:ascii="Calibri" w:hAnsi="Calibri"/>
          <w:color w:val="44536A"/>
          <w:sz w:val="24"/>
        </w:rPr>
        <w:t xml:space="preserve"> </w:t>
      </w:r>
      <w:r>
        <w:rPr>
          <w:rFonts w:ascii="Calibri" w:hAnsi="Calibri"/>
          <w:sz w:val="24"/>
        </w:rPr>
        <w:t>ahead of 30 June 2026 and</w:t>
      </w:r>
      <w:r>
        <w:rPr>
          <w:rFonts w:ascii="Calibri" w:hAnsi="Calibri"/>
          <w:spacing w:val="-4"/>
          <w:sz w:val="24"/>
        </w:rPr>
        <w:t xml:space="preserve"> </w:t>
      </w:r>
      <w:r>
        <w:rPr>
          <w:rFonts w:ascii="Calibri" w:hAnsi="Calibri"/>
          <w:sz w:val="24"/>
        </w:rPr>
        <w:t>noted</w:t>
      </w:r>
      <w:r>
        <w:rPr>
          <w:rFonts w:ascii="Calibri" w:hAnsi="Calibri"/>
          <w:spacing w:val="-4"/>
          <w:sz w:val="24"/>
        </w:rPr>
        <w:t xml:space="preserve"> </w:t>
      </w:r>
      <w:r>
        <w:rPr>
          <w:rFonts w:ascii="Calibri" w:hAnsi="Calibri"/>
          <w:sz w:val="24"/>
        </w:rPr>
        <w:t>that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first</w:t>
      </w:r>
      <w:r>
        <w:rPr>
          <w:rFonts w:ascii="Calibri" w:hAnsi="Calibri"/>
          <w:spacing w:val="-4"/>
          <w:sz w:val="24"/>
        </w:rPr>
        <w:t xml:space="preserve"> </w:t>
      </w:r>
      <w:r>
        <w:rPr>
          <w:rFonts w:ascii="Calibri" w:hAnsi="Calibri"/>
          <w:sz w:val="24"/>
        </w:rPr>
        <w:t>round</w:t>
      </w:r>
      <w:r>
        <w:rPr>
          <w:rFonts w:ascii="Calibri" w:hAnsi="Calibri"/>
          <w:spacing w:val="-1"/>
          <w:sz w:val="24"/>
        </w:rPr>
        <w:t xml:space="preserve"> </w:t>
      </w:r>
      <w:r>
        <w:rPr>
          <w:rFonts w:ascii="Calibri" w:hAnsi="Calibri"/>
          <w:sz w:val="24"/>
        </w:rPr>
        <w:t>of</w:t>
      </w:r>
      <w:r>
        <w:rPr>
          <w:rFonts w:ascii="Calibri" w:hAnsi="Calibri"/>
          <w:spacing w:val="-1"/>
          <w:sz w:val="24"/>
        </w:rPr>
        <w:t xml:space="preserve"> </w:t>
      </w:r>
      <w:r>
        <w:rPr>
          <w:rFonts w:ascii="Calibri" w:hAnsi="Calibri"/>
          <w:sz w:val="24"/>
        </w:rPr>
        <w:t>mandatory</w:t>
      </w:r>
      <w:r>
        <w:rPr>
          <w:rFonts w:ascii="Calibri" w:hAnsi="Calibri"/>
          <w:spacing w:val="-3"/>
          <w:sz w:val="24"/>
        </w:rPr>
        <w:t xml:space="preserve"> </w:t>
      </w:r>
      <w:r>
        <w:rPr>
          <w:rFonts w:ascii="Calibri" w:hAnsi="Calibri"/>
          <w:sz w:val="24"/>
        </w:rPr>
        <w:t>sustainability</w:t>
      </w:r>
      <w:r>
        <w:rPr>
          <w:rFonts w:ascii="Calibri" w:hAnsi="Calibri"/>
          <w:spacing w:val="-3"/>
          <w:sz w:val="24"/>
        </w:rPr>
        <w:t xml:space="preserve"> </w:t>
      </w:r>
      <w:r>
        <w:rPr>
          <w:rFonts w:ascii="Calibri" w:hAnsi="Calibri"/>
          <w:sz w:val="24"/>
        </w:rPr>
        <w:t>reports</w:t>
      </w:r>
      <w:r>
        <w:rPr>
          <w:rFonts w:ascii="Calibri" w:hAnsi="Calibri"/>
          <w:spacing w:val="-3"/>
          <w:sz w:val="24"/>
        </w:rPr>
        <w:t xml:space="preserve"> </w:t>
      </w:r>
      <w:r>
        <w:rPr>
          <w:rFonts w:ascii="Calibri" w:hAnsi="Calibri"/>
          <w:sz w:val="24"/>
        </w:rPr>
        <w:t>showed</w:t>
      </w:r>
      <w:r>
        <w:rPr>
          <w:rFonts w:ascii="Calibri" w:hAnsi="Calibri"/>
          <w:spacing w:val="-4"/>
          <w:sz w:val="24"/>
        </w:rPr>
        <w:t xml:space="preserve"> </w:t>
      </w:r>
      <w:r>
        <w:rPr>
          <w:rFonts w:ascii="Calibri" w:hAnsi="Calibri"/>
          <w:sz w:val="24"/>
        </w:rPr>
        <w:t>an</w:t>
      </w:r>
      <w:r>
        <w:rPr>
          <w:rFonts w:ascii="Calibri" w:hAnsi="Calibri"/>
          <w:spacing w:val="-1"/>
          <w:sz w:val="24"/>
        </w:rPr>
        <w:t xml:space="preserve"> </w:t>
      </w:r>
      <w:r>
        <w:rPr>
          <w:rFonts w:ascii="Calibri" w:hAnsi="Calibri"/>
          <w:sz w:val="24"/>
        </w:rPr>
        <w:t>increase in the quantity and quality of disclosures, with reporting becoming more consistent and comparable.</w:t>
      </w:r>
    </w:p>
    <w:p w14:paraId="1E805E59" w14:textId="77777777" w:rsidR="00AA4A02" w:rsidRDefault="00960F31">
      <w:pPr>
        <w:pStyle w:val="ListParagraph"/>
        <w:numPr>
          <w:ilvl w:val="1"/>
          <w:numId w:val="8"/>
        </w:numPr>
        <w:tabs>
          <w:tab w:val="left" w:pos="1985"/>
        </w:tabs>
        <w:spacing w:before="121"/>
        <w:ind w:right="501"/>
        <w:rPr>
          <w:rFonts w:ascii="Calibri" w:hAnsi="Calibri"/>
          <w:sz w:val="24"/>
        </w:rPr>
      </w:pPr>
      <w:r>
        <w:rPr>
          <w:rFonts w:ascii="Calibri" w:hAnsi="Calibri"/>
          <w:sz w:val="24"/>
        </w:rPr>
        <w:t>However, ASIC identified several opportunities to strengthen disclosures, including</w:t>
      </w:r>
      <w:r>
        <w:rPr>
          <w:rFonts w:ascii="Calibri" w:hAnsi="Calibri"/>
          <w:spacing w:val="-4"/>
          <w:sz w:val="24"/>
        </w:rPr>
        <w:t xml:space="preserve"> </w:t>
      </w:r>
      <w:r>
        <w:rPr>
          <w:rFonts w:ascii="Calibri" w:hAnsi="Calibri"/>
          <w:sz w:val="24"/>
        </w:rPr>
        <w:t>avoiding</w:t>
      </w:r>
      <w:r>
        <w:rPr>
          <w:rFonts w:ascii="Calibri" w:hAnsi="Calibri"/>
          <w:spacing w:val="-6"/>
          <w:sz w:val="24"/>
        </w:rPr>
        <w:t xml:space="preserve"> </w:t>
      </w:r>
      <w:r>
        <w:rPr>
          <w:rFonts w:ascii="Calibri" w:hAnsi="Calibri"/>
          <w:sz w:val="24"/>
        </w:rPr>
        <w:t>disclaimers</w:t>
      </w:r>
      <w:r>
        <w:rPr>
          <w:rFonts w:ascii="Calibri" w:hAnsi="Calibri"/>
          <w:spacing w:val="-4"/>
          <w:sz w:val="24"/>
        </w:rPr>
        <w:t xml:space="preserve"> </w:t>
      </w:r>
      <w:r>
        <w:rPr>
          <w:rFonts w:ascii="Calibri" w:hAnsi="Calibri"/>
          <w:sz w:val="24"/>
        </w:rPr>
        <w:t>that</w:t>
      </w:r>
      <w:r>
        <w:rPr>
          <w:rFonts w:ascii="Calibri" w:hAnsi="Calibri"/>
          <w:spacing w:val="-5"/>
          <w:sz w:val="24"/>
        </w:rPr>
        <w:t xml:space="preserve"> </w:t>
      </w:r>
      <w:r>
        <w:rPr>
          <w:rFonts w:ascii="Calibri" w:hAnsi="Calibri"/>
          <w:sz w:val="24"/>
        </w:rPr>
        <w:t>conflict</w:t>
      </w:r>
      <w:r>
        <w:rPr>
          <w:rFonts w:ascii="Calibri" w:hAnsi="Calibri"/>
          <w:spacing w:val="-5"/>
          <w:sz w:val="24"/>
        </w:rPr>
        <w:t xml:space="preserve"> </w:t>
      </w:r>
      <w:r>
        <w:rPr>
          <w:rFonts w:ascii="Calibri" w:hAnsi="Calibri"/>
          <w:sz w:val="24"/>
        </w:rPr>
        <w:t>with</w:t>
      </w:r>
      <w:r>
        <w:rPr>
          <w:rFonts w:ascii="Calibri" w:hAnsi="Calibri"/>
          <w:spacing w:val="-3"/>
          <w:sz w:val="24"/>
        </w:rPr>
        <w:t xml:space="preserve"> </w:t>
      </w:r>
      <w:r>
        <w:rPr>
          <w:rFonts w:ascii="Calibri" w:hAnsi="Calibri"/>
          <w:sz w:val="24"/>
        </w:rPr>
        <w:t>statutory</w:t>
      </w:r>
      <w:r>
        <w:rPr>
          <w:rFonts w:ascii="Calibri" w:hAnsi="Calibri"/>
          <w:spacing w:val="-4"/>
          <w:sz w:val="24"/>
        </w:rPr>
        <w:t xml:space="preserve"> </w:t>
      </w:r>
      <w:r>
        <w:rPr>
          <w:rFonts w:ascii="Calibri" w:hAnsi="Calibri"/>
          <w:sz w:val="24"/>
        </w:rPr>
        <w:t>objectives,</w:t>
      </w:r>
      <w:r>
        <w:rPr>
          <w:rFonts w:ascii="Calibri" w:hAnsi="Calibri"/>
          <w:spacing w:val="-6"/>
          <w:sz w:val="24"/>
        </w:rPr>
        <w:t xml:space="preserve"> </w:t>
      </w:r>
      <w:r>
        <w:rPr>
          <w:rFonts w:ascii="Calibri" w:hAnsi="Calibri"/>
          <w:sz w:val="24"/>
        </w:rPr>
        <w:t>ensuring assumptions are clear and ensuring that cross-referencing practices meet disclosure requirements.</w:t>
      </w:r>
    </w:p>
    <w:p w14:paraId="1E805E5A" w14:textId="77777777" w:rsidR="00AA4A02" w:rsidRDefault="00960F31">
      <w:pPr>
        <w:pStyle w:val="ListParagraph"/>
        <w:numPr>
          <w:ilvl w:val="1"/>
          <w:numId w:val="8"/>
        </w:numPr>
        <w:tabs>
          <w:tab w:val="left" w:pos="1985"/>
        </w:tabs>
        <w:spacing w:before="60"/>
        <w:ind w:right="331"/>
        <w:rPr>
          <w:rFonts w:ascii="Calibri" w:hAnsi="Calibri"/>
          <w:sz w:val="24"/>
        </w:rPr>
      </w:pPr>
      <w:r>
        <w:rPr>
          <w:rFonts w:ascii="Calibri" w:hAnsi="Calibri"/>
          <w:sz w:val="24"/>
        </w:rPr>
        <w:t>ASIC’s</w:t>
      </w:r>
      <w:r>
        <w:rPr>
          <w:rFonts w:ascii="Calibri" w:hAnsi="Calibri"/>
          <w:spacing w:val="-3"/>
          <w:sz w:val="24"/>
        </w:rPr>
        <w:t xml:space="preserve"> </w:t>
      </w:r>
      <w:r>
        <w:rPr>
          <w:rFonts w:ascii="Calibri" w:hAnsi="Calibri"/>
          <w:sz w:val="24"/>
        </w:rPr>
        <w:t>review</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31</w:t>
      </w:r>
      <w:r>
        <w:rPr>
          <w:rFonts w:ascii="Calibri" w:hAnsi="Calibri"/>
          <w:spacing w:val="-4"/>
          <w:sz w:val="24"/>
        </w:rPr>
        <w:t xml:space="preserve"> </w:t>
      </w:r>
      <w:r>
        <w:rPr>
          <w:rFonts w:ascii="Calibri" w:hAnsi="Calibri"/>
          <w:sz w:val="24"/>
        </w:rPr>
        <w:t>December</w:t>
      </w:r>
      <w:r>
        <w:rPr>
          <w:rFonts w:ascii="Calibri" w:hAnsi="Calibri"/>
          <w:spacing w:val="-5"/>
          <w:sz w:val="24"/>
        </w:rPr>
        <w:t xml:space="preserve"> </w:t>
      </w:r>
      <w:r>
        <w:rPr>
          <w:rFonts w:ascii="Calibri" w:hAnsi="Calibri"/>
          <w:sz w:val="24"/>
        </w:rPr>
        <w:t>2025</w:t>
      </w:r>
      <w:r>
        <w:rPr>
          <w:rFonts w:ascii="Calibri" w:hAnsi="Calibri"/>
          <w:spacing w:val="-2"/>
          <w:sz w:val="24"/>
        </w:rPr>
        <w:t xml:space="preserve"> </w:t>
      </w:r>
      <w:r>
        <w:rPr>
          <w:rFonts w:ascii="Calibri" w:hAnsi="Calibri"/>
          <w:sz w:val="24"/>
        </w:rPr>
        <w:t>sustainability</w:t>
      </w:r>
      <w:r>
        <w:rPr>
          <w:rFonts w:ascii="Calibri" w:hAnsi="Calibri"/>
          <w:spacing w:val="-6"/>
          <w:sz w:val="24"/>
        </w:rPr>
        <w:t xml:space="preserve"> </w:t>
      </w:r>
      <w:r>
        <w:rPr>
          <w:rFonts w:ascii="Calibri" w:hAnsi="Calibri"/>
          <w:sz w:val="24"/>
        </w:rPr>
        <w:t>reports</w:t>
      </w:r>
      <w:r>
        <w:rPr>
          <w:rFonts w:ascii="Calibri" w:hAnsi="Calibri"/>
          <w:spacing w:val="-5"/>
          <w:sz w:val="24"/>
        </w:rPr>
        <w:t xml:space="preserve"> </w:t>
      </w:r>
      <w:r>
        <w:rPr>
          <w:rFonts w:ascii="Calibri" w:hAnsi="Calibri"/>
          <w:sz w:val="24"/>
        </w:rPr>
        <w:t>will</w:t>
      </w:r>
      <w:r>
        <w:rPr>
          <w:rFonts w:ascii="Calibri" w:hAnsi="Calibri"/>
          <w:spacing w:val="-2"/>
          <w:sz w:val="24"/>
        </w:rPr>
        <w:t xml:space="preserve"> </w:t>
      </w:r>
      <w:r>
        <w:rPr>
          <w:rFonts w:ascii="Calibri" w:hAnsi="Calibri"/>
          <w:sz w:val="24"/>
        </w:rPr>
        <w:t>continue</w:t>
      </w:r>
      <w:r>
        <w:rPr>
          <w:rFonts w:ascii="Calibri" w:hAnsi="Calibri"/>
          <w:spacing w:val="-4"/>
          <w:sz w:val="24"/>
        </w:rPr>
        <w:t xml:space="preserve"> </w:t>
      </w:r>
      <w:r>
        <w:rPr>
          <w:rFonts w:ascii="Calibri" w:hAnsi="Calibri"/>
          <w:sz w:val="24"/>
        </w:rPr>
        <w:t>over</w:t>
      </w:r>
      <w:r>
        <w:rPr>
          <w:rFonts w:ascii="Calibri" w:hAnsi="Calibri"/>
          <w:spacing w:val="-2"/>
          <w:sz w:val="24"/>
        </w:rPr>
        <w:t xml:space="preserve"> </w:t>
      </w:r>
      <w:r>
        <w:rPr>
          <w:rFonts w:ascii="Calibri" w:hAnsi="Calibri"/>
          <w:sz w:val="24"/>
        </w:rPr>
        <w:t xml:space="preserve">the coming months, with final observations to be published in the second half of </w:t>
      </w:r>
      <w:r>
        <w:rPr>
          <w:rFonts w:ascii="Calibri" w:hAnsi="Calibri"/>
          <w:spacing w:val="-2"/>
          <w:sz w:val="24"/>
        </w:rPr>
        <w:t>2026.</w:t>
      </w:r>
    </w:p>
    <w:p w14:paraId="1E805E5B" w14:textId="77777777" w:rsidR="00AA4A02" w:rsidRDefault="00960F31">
      <w:pPr>
        <w:pStyle w:val="ListParagraph"/>
        <w:numPr>
          <w:ilvl w:val="0"/>
          <w:numId w:val="8"/>
        </w:numPr>
        <w:tabs>
          <w:tab w:val="left" w:pos="1418"/>
        </w:tabs>
        <w:spacing w:before="58"/>
        <w:ind w:right="442"/>
        <w:rPr>
          <w:rFonts w:ascii="Calibri" w:hAnsi="Calibri"/>
          <w:sz w:val="24"/>
        </w:rPr>
      </w:pPr>
      <w:r>
        <w:rPr>
          <w:rFonts w:ascii="Calibri" w:hAnsi="Calibri"/>
          <w:sz w:val="24"/>
        </w:rPr>
        <w:t>ASIC</w:t>
      </w:r>
      <w:r>
        <w:rPr>
          <w:rFonts w:ascii="Calibri" w:hAnsi="Calibri"/>
          <w:spacing w:val="-3"/>
          <w:sz w:val="24"/>
        </w:rPr>
        <w:t xml:space="preserve"> </w:t>
      </w:r>
      <w:r>
        <w:rPr>
          <w:rFonts w:ascii="Calibri" w:hAnsi="Calibri"/>
          <w:sz w:val="24"/>
        </w:rPr>
        <w:t>has</w:t>
      </w:r>
      <w:r>
        <w:rPr>
          <w:rFonts w:ascii="Calibri" w:hAnsi="Calibri"/>
          <w:spacing w:val="-3"/>
          <w:sz w:val="24"/>
        </w:rPr>
        <w:t xml:space="preserve"> </w:t>
      </w:r>
      <w:hyperlink r:id="rId197">
        <w:r>
          <w:rPr>
            <w:rFonts w:ascii="Calibri" w:hAnsi="Calibri"/>
            <w:color w:val="44536A"/>
            <w:sz w:val="24"/>
            <w:u w:val="single" w:color="44536A"/>
          </w:rPr>
          <w:t>reissued</w:t>
        </w:r>
      </w:hyperlink>
      <w:r>
        <w:rPr>
          <w:rFonts w:ascii="Calibri" w:hAnsi="Calibri"/>
          <w:color w:val="44536A"/>
          <w:spacing w:val="-4"/>
          <w:sz w:val="24"/>
        </w:rPr>
        <w:t xml:space="preserve"> </w:t>
      </w:r>
      <w:r>
        <w:rPr>
          <w:rFonts w:ascii="Calibri" w:hAnsi="Calibri"/>
          <w:sz w:val="24"/>
        </w:rPr>
        <w:t>Regulatory</w:t>
      </w:r>
      <w:r>
        <w:rPr>
          <w:rFonts w:ascii="Calibri" w:hAnsi="Calibri"/>
          <w:spacing w:val="-3"/>
          <w:sz w:val="24"/>
        </w:rPr>
        <w:t xml:space="preserve"> </w:t>
      </w:r>
      <w:r>
        <w:rPr>
          <w:rFonts w:ascii="Calibri" w:hAnsi="Calibri"/>
          <w:sz w:val="24"/>
        </w:rPr>
        <w:t>Guide</w:t>
      </w:r>
      <w:r>
        <w:rPr>
          <w:rFonts w:ascii="Calibri" w:hAnsi="Calibri"/>
          <w:spacing w:val="-4"/>
          <w:sz w:val="24"/>
        </w:rPr>
        <w:t xml:space="preserve"> </w:t>
      </w:r>
      <w:r>
        <w:rPr>
          <w:rFonts w:ascii="Calibri" w:hAnsi="Calibri"/>
          <w:sz w:val="24"/>
        </w:rPr>
        <w:t>43</w:t>
      </w:r>
      <w:r>
        <w:rPr>
          <w:rFonts w:ascii="Calibri" w:hAnsi="Calibri"/>
          <w:spacing w:val="-4"/>
          <w:sz w:val="24"/>
        </w:rPr>
        <w:t xml:space="preserve"> </w:t>
      </w:r>
      <w:r>
        <w:rPr>
          <w:rFonts w:ascii="Calibri" w:hAnsi="Calibri"/>
          <w:i/>
          <w:sz w:val="24"/>
        </w:rPr>
        <w:t>Financial</w:t>
      </w:r>
      <w:r>
        <w:rPr>
          <w:rFonts w:ascii="Calibri" w:hAnsi="Calibri"/>
          <w:i/>
          <w:spacing w:val="-2"/>
          <w:sz w:val="24"/>
        </w:rPr>
        <w:t xml:space="preserve"> </w:t>
      </w:r>
      <w:r>
        <w:rPr>
          <w:rFonts w:ascii="Calibri" w:hAnsi="Calibri"/>
          <w:i/>
          <w:sz w:val="24"/>
        </w:rPr>
        <w:t>reporting</w:t>
      </w:r>
      <w:r>
        <w:rPr>
          <w:rFonts w:ascii="Calibri" w:hAnsi="Calibri"/>
          <w:i/>
          <w:spacing w:val="-4"/>
          <w:sz w:val="24"/>
        </w:rPr>
        <w:t xml:space="preserve"> </w:t>
      </w:r>
      <w:r>
        <w:rPr>
          <w:rFonts w:ascii="Calibri" w:hAnsi="Calibri"/>
          <w:i/>
          <w:sz w:val="24"/>
        </w:rPr>
        <w:t>and</w:t>
      </w:r>
      <w:r>
        <w:rPr>
          <w:rFonts w:ascii="Calibri" w:hAnsi="Calibri"/>
          <w:i/>
          <w:spacing w:val="-4"/>
          <w:sz w:val="24"/>
        </w:rPr>
        <w:t xml:space="preserve"> </w:t>
      </w:r>
      <w:r>
        <w:rPr>
          <w:rFonts w:ascii="Calibri" w:hAnsi="Calibri"/>
          <w:i/>
          <w:sz w:val="24"/>
        </w:rPr>
        <w:t>audit</w:t>
      </w:r>
      <w:r>
        <w:rPr>
          <w:rFonts w:ascii="Calibri" w:hAnsi="Calibri"/>
          <w:i/>
          <w:spacing w:val="-1"/>
          <w:sz w:val="24"/>
        </w:rPr>
        <w:t xml:space="preserve"> </w:t>
      </w:r>
      <w:r>
        <w:rPr>
          <w:rFonts w:ascii="Calibri" w:hAnsi="Calibri"/>
          <w:i/>
          <w:sz w:val="24"/>
        </w:rPr>
        <w:t>relief</w:t>
      </w:r>
      <w:r>
        <w:rPr>
          <w:rFonts w:ascii="Calibri" w:hAnsi="Calibri"/>
          <w:i/>
          <w:spacing w:val="-4"/>
          <w:sz w:val="24"/>
        </w:rPr>
        <w:t xml:space="preserve"> </w:t>
      </w:r>
      <w:r>
        <w:rPr>
          <w:rFonts w:ascii="Calibri" w:hAnsi="Calibri"/>
          <w:sz w:val="24"/>
        </w:rPr>
        <w:t>(</w:t>
      </w:r>
      <w:hyperlink r:id="rId198">
        <w:r>
          <w:rPr>
            <w:rFonts w:ascii="Calibri" w:hAnsi="Calibri"/>
            <w:color w:val="44536A"/>
            <w:sz w:val="24"/>
          </w:rPr>
          <w:t>RG</w:t>
        </w:r>
        <w:r>
          <w:rPr>
            <w:rFonts w:ascii="Calibri" w:hAnsi="Calibri"/>
            <w:color w:val="44536A"/>
            <w:spacing w:val="-3"/>
            <w:sz w:val="24"/>
          </w:rPr>
          <w:t xml:space="preserve"> </w:t>
        </w:r>
        <w:r>
          <w:rPr>
            <w:rFonts w:ascii="Calibri" w:hAnsi="Calibri"/>
            <w:color w:val="44536A"/>
            <w:sz w:val="24"/>
          </w:rPr>
          <w:t>43</w:t>
        </w:r>
      </w:hyperlink>
      <w:r>
        <w:rPr>
          <w:rFonts w:ascii="Calibri" w:hAnsi="Calibri"/>
          <w:sz w:val="24"/>
        </w:rPr>
        <w:t>)</w:t>
      </w:r>
      <w:r>
        <w:rPr>
          <w:rFonts w:ascii="Calibri" w:hAnsi="Calibri"/>
          <w:spacing w:val="-3"/>
          <w:sz w:val="24"/>
        </w:rPr>
        <w:t xml:space="preserve"> </w:t>
      </w:r>
      <w:r>
        <w:rPr>
          <w:rFonts w:ascii="Calibri" w:hAnsi="Calibri"/>
          <w:sz w:val="24"/>
        </w:rPr>
        <w:t>to streamline guidance on financial reporting and audit relief and reflect changes to legislation. RG 43 provides guidance to entities seeking relief from the financial reporting and audit requirements of the Corporations Act.</w:t>
      </w:r>
    </w:p>
    <w:p w14:paraId="1E805E5C" w14:textId="77777777" w:rsidR="00AA4A02" w:rsidRDefault="00960F31">
      <w:pPr>
        <w:pStyle w:val="ListParagraph"/>
        <w:numPr>
          <w:ilvl w:val="0"/>
          <w:numId w:val="8"/>
        </w:numPr>
        <w:tabs>
          <w:tab w:val="left" w:pos="1418"/>
        </w:tabs>
        <w:spacing w:before="121"/>
        <w:ind w:right="370"/>
        <w:rPr>
          <w:rFonts w:ascii="Calibri" w:hAnsi="Calibri"/>
          <w:sz w:val="24"/>
        </w:rPr>
      </w:pPr>
      <w:r>
        <w:rPr>
          <w:rFonts w:ascii="Calibri" w:hAnsi="Calibri"/>
          <w:noProof/>
          <w:sz w:val="24"/>
        </w:rPr>
        <mc:AlternateContent>
          <mc:Choice Requires="wps">
            <w:drawing>
              <wp:anchor distT="0" distB="0" distL="0" distR="0" simplePos="0" relativeHeight="485493248" behindDoc="1" locked="0" layoutInCell="1" allowOverlap="1" wp14:anchorId="1E805F9F" wp14:editId="1E805FA0">
                <wp:simplePos x="0" y="0"/>
                <wp:positionH relativeFrom="page">
                  <wp:posOffset>5244084</wp:posOffset>
                </wp:positionH>
                <wp:positionV relativeFrom="paragraph">
                  <wp:posOffset>247247</wp:posOffset>
                </wp:positionV>
                <wp:extent cx="35560" cy="1079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795"/>
                        </a:xfrm>
                        <a:custGeom>
                          <a:avLst/>
                          <a:gdLst/>
                          <a:ahLst/>
                          <a:cxnLst/>
                          <a:rect l="l" t="t" r="r" b="b"/>
                          <a:pathLst>
                            <a:path w="35560" h="10795">
                              <a:moveTo>
                                <a:pt x="35051" y="0"/>
                              </a:moveTo>
                              <a:lnTo>
                                <a:pt x="0" y="0"/>
                              </a:lnTo>
                              <a:lnTo>
                                <a:pt x="0" y="10667"/>
                              </a:lnTo>
                              <a:lnTo>
                                <a:pt x="35051" y="10667"/>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97C65" id="Graphic 170" o:spid="_x0000_s1026" style="position:absolute;margin-left:412.9pt;margin-top:19.45pt;width:2.8pt;height:.85pt;z-index:-17823232;visibility:visible;mso-wrap-style:square;mso-wrap-distance-left:0;mso-wrap-distance-top:0;mso-wrap-distance-right:0;mso-wrap-distance-bottom:0;mso-position-horizontal:absolute;mso-position-horizontal-relative:page;mso-position-vertical:absolute;mso-position-vertical-relative:text;v-text-anchor:top" coordsize="35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" path="m35051,l,,,10667r35051,l35051,xe" fillcolor="black" stroked="f">
                <v:path arrowok="t"/>
                <w10:wrap anchorx="page"/>
              </v:shape>
            </w:pict>
          </mc:Fallback>
        </mc:AlternateContent>
      </w:r>
      <w:r>
        <w:rPr>
          <w:rFonts w:ascii="Calibri" w:hAnsi="Calibri"/>
          <w:sz w:val="24"/>
        </w:rPr>
        <w:t>ASIC</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AASB</w:t>
      </w:r>
      <w:r>
        <w:rPr>
          <w:rFonts w:ascii="Calibri" w:hAnsi="Calibri"/>
          <w:spacing w:val="-5"/>
          <w:sz w:val="24"/>
        </w:rPr>
        <w:t xml:space="preserve"> </w:t>
      </w:r>
      <w:r>
        <w:rPr>
          <w:rFonts w:ascii="Calibri" w:hAnsi="Calibri"/>
          <w:sz w:val="24"/>
        </w:rPr>
        <w:t>will</w:t>
      </w:r>
      <w:r>
        <w:rPr>
          <w:rFonts w:ascii="Calibri" w:hAnsi="Calibri"/>
          <w:spacing w:val="-4"/>
          <w:sz w:val="24"/>
        </w:rPr>
        <w:t xml:space="preserve"> </w:t>
      </w:r>
      <w:r>
        <w:rPr>
          <w:rFonts w:ascii="Calibri" w:hAnsi="Calibri"/>
          <w:sz w:val="24"/>
        </w:rPr>
        <w:t>host a</w:t>
      </w:r>
      <w:r>
        <w:rPr>
          <w:rFonts w:ascii="Calibri" w:hAnsi="Calibri"/>
          <w:spacing w:val="-4"/>
          <w:sz w:val="24"/>
        </w:rPr>
        <w:t xml:space="preserve"> </w:t>
      </w:r>
      <w:r>
        <w:rPr>
          <w:rFonts w:ascii="Calibri" w:hAnsi="Calibri"/>
          <w:sz w:val="24"/>
        </w:rPr>
        <w:t>series</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z w:val="24"/>
        </w:rPr>
        <w:t>free</w:t>
      </w:r>
      <w:r>
        <w:rPr>
          <w:rFonts w:ascii="Calibri" w:hAnsi="Calibri"/>
          <w:spacing w:val="-1"/>
          <w:sz w:val="24"/>
        </w:rPr>
        <w:t xml:space="preserve"> </w:t>
      </w:r>
      <w:r>
        <w:rPr>
          <w:rFonts w:ascii="Calibri" w:hAnsi="Calibri"/>
          <w:sz w:val="24"/>
        </w:rPr>
        <w:t>in-person</w:t>
      </w:r>
      <w:r>
        <w:rPr>
          <w:rFonts w:ascii="Calibri" w:hAnsi="Calibri"/>
          <w:spacing w:val="-3"/>
          <w:sz w:val="24"/>
        </w:rPr>
        <w:t xml:space="preserve"> </w:t>
      </w:r>
      <w:hyperlink r:id="rId199">
        <w:r>
          <w:rPr>
            <w:rFonts w:ascii="Calibri" w:hAnsi="Calibri"/>
            <w:color w:val="44536A"/>
            <w:sz w:val="24"/>
            <w:u w:val="single" w:color="44536A"/>
          </w:rPr>
          <w:t>workshops</w:t>
        </w:r>
      </w:hyperlink>
      <w:r>
        <w:rPr>
          <w:rFonts w:ascii="Calibri" w:hAnsi="Calibri"/>
          <w:color w:val="44536A"/>
          <w:spacing w:val="-5"/>
          <w:sz w:val="24"/>
        </w:rPr>
        <w:t xml:space="preserve"> </w:t>
      </w:r>
      <w:r>
        <w:rPr>
          <w:rFonts w:ascii="Calibri" w:hAnsi="Calibri"/>
          <w:sz w:val="24"/>
        </w:rPr>
        <w:t>in</w:t>
      </w:r>
      <w:r>
        <w:rPr>
          <w:rFonts w:ascii="Calibri" w:hAnsi="Calibri"/>
          <w:spacing w:val="-3"/>
          <w:sz w:val="24"/>
        </w:rPr>
        <w:t xml:space="preserve"> </w:t>
      </w:r>
      <w:r>
        <w:rPr>
          <w:rFonts w:ascii="Calibri" w:hAnsi="Calibri"/>
          <w:sz w:val="24"/>
        </w:rPr>
        <w:t>May</w:t>
      </w:r>
      <w:r>
        <w:rPr>
          <w:rFonts w:ascii="Calibri" w:hAnsi="Calibri"/>
          <w:spacing w:val="-5"/>
          <w:sz w:val="24"/>
        </w:rPr>
        <w:t xml:space="preserve"> </w:t>
      </w:r>
      <w:r>
        <w:rPr>
          <w:rFonts w:ascii="Calibri" w:hAnsi="Calibri"/>
          <w:sz w:val="24"/>
        </w:rPr>
        <w:t>2026</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help companies prepare for the new mandatory sustainability reporting requirements.</w:t>
      </w:r>
    </w:p>
    <w:p w14:paraId="1E805E5D" w14:textId="77777777" w:rsidR="00AA4A02" w:rsidRDefault="00960F31">
      <w:pPr>
        <w:pStyle w:val="ListParagraph"/>
        <w:numPr>
          <w:ilvl w:val="0"/>
          <w:numId w:val="8"/>
        </w:numPr>
        <w:tabs>
          <w:tab w:val="left" w:pos="1418"/>
        </w:tabs>
        <w:spacing w:before="119"/>
        <w:ind w:right="478"/>
        <w:rPr>
          <w:rFonts w:ascii="Calibri" w:hAnsi="Calibri"/>
          <w:sz w:val="24"/>
        </w:rPr>
      </w:pPr>
      <w:r>
        <w:rPr>
          <w:rFonts w:ascii="Calibri" w:hAnsi="Calibri"/>
          <w:sz w:val="24"/>
        </w:rPr>
        <w:t>ASIC</w:t>
      </w:r>
      <w:r>
        <w:rPr>
          <w:rFonts w:ascii="Calibri" w:hAnsi="Calibri"/>
          <w:spacing w:val="-3"/>
          <w:sz w:val="24"/>
        </w:rPr>
        <w:t xml:space="preserve"> </w:t>
      </w:r>
      <w:r>
        <w:rPr>
          <w:rFonts w:ascii="Calibri" w:hAnsi="Calibri"/>
          <w:sz w:val="24"/>
        </w:rPr>
        <w:t>has</w:t>
      </w:r>
      <w:r>
        <w:rPr>
          <w:rFonts w:ascii="Calibri" w:hAnsi="Calibri"/>
          <w:spacing w:val="-3"/>
          <w:sz w:val="24"/>
        </w:rPr>
        <w:t xml:space="preserve"> </w:t>
      </w:r>
      <w:hyperlink r:id="rId200">
        <w:r>
          <w:rPr>
            <w:rFonts w:ascii="Calibri" w:hAnsi="Calibri"/>
            <w:color w:val="44536A"/>
            <w:sz w:val="24"/>
            <w:u w:val="single" w:color="44536A"/>
          </w:rPr>
          <w:t>published</w:t>
        </w:r>
      </w:hyperlink>
      <w:r>
        <w:rPr>
          <w:rFonts w:ascii="Calibri" w:hAnsi="Calibri"/>
          <w:color w:val="44536A"/>
          <w:spacing w:val="-4"/>
          <w:sz w:val="24"/>
        </w:rPr>
        <w:t xml:space="preserve"> </w:t>
      </w:r>
      <w:r>
        <w:rPr>
          <w:rFonts w:ascii="Calibri" w:hAnsi="Calibri"/>
          <w:sz w:val="24"/>
        </w:rPr>
        <w:t>e-learning</w:t>
      </w:r>
      <w:r>
        <w:rPr>
          <w:rFonts w:ascii="Calibri" w:hAnsi="Calibri"/>
          <w:spacing w:val="-3"/>
          <w:sz w:val="24"/>
        </w:rPr>
        <w:t xml:space="preserve"> </w:t>
      </w:r>
      <w:r>
        <w:rPr>
          <w:rFonts w:ascii="Calibri" w:hAnsi="Calibri"/>
          <w:sz w:val="24"/>
        </w:rPr>
        <w:t>sustainability</w:t>
      </w:r>
      <w:r>
        <w:rPr>
          <w:rFonts w:ascii="Calibri" w:hAnsi="Calibri"/>
          <w:spacing w:val="-3"/>
          <w:sz w:val="24"/>
        </w:rPr>
        <w:t xml:space="preserve"> </w:t>
      </w:r>
      <w:r>
        <w:rPr>
          <w:rFonts w:ascii="Calibri" w:hAnsi="Calibri"/>
          <w:sz w:val="24"/>
        </w:rPr>
        <w:t>reporting</w:t>
      </w:r>
      <w:r>
        <w:rPr>
          <w:rFonts w:ascii="Calibri" w:hAnsi="Calibri"/>
          <w:spacing w:val="-3"/>
          <w:sz w:val="24"/>
        </w:rPr>
        <w:t xml:space="preserve"> </w:t>
      </w:r>
      <w:r>
        <w:rPr>
          <w:rFonts w:ascii="Calibri" w:hAnsi="Calibri"/>
          <w:sz w:val="24"/>
        </w:rPr>
        <w:t>educational</w:t>
      </w:r>
      <w:r>
        <w:rPr>
          <w:rFonts w:ascii="Calibri" w:hAnsi="Calibri"/>
          <w:spacing w:val="-5"/>
          <w:sz w:val="24"/>
        </w:rPr>
        <w:t xml:space="preserve"> </w:t>
      </w:r>
      <w:hyperlink r:id="rId201">
        <w:r>
          <w:rPr>
            <w:rFonts w:ascii="Calibri" w:hAnsi="Calibri"/>
            <w:color w:val="44536A"/>
            <w:sz w:val="24"/>
            <w:u w:val="single" w:color="44536A"/>
          </w:rPr>
          <w:t>Modules</w:t>
        </w:r>
      </w:hyperlink>
      <w:r>
        <w:rPr>
          <w:rFonts w:ascii="Calibri" w:hAnsi="Calibri"/>
          <w:color w:val="44536A"/>
          <w:spacing w:val="-6"/>
          <w:sz w:val="24"/>
        </w:rPr>
        <w:t xml:space="preserve"> </w:t>
      </w:r>
      <w:r>
        <w:rPr>
          <w:rFonts w:ascii="Calibri" w:hAnsi="Calibri"/>
          <w:sz w:val="24"/>
        </w:rPr>
        <w:t>1</w:t>
      </w:r>
      <w:r>
        <w:rPr>
          <w:rFonts w:ascii="Calibri" w:hAnsi="Calibri"/>
          <w:spacing w:val="-2"/>
          <w:sz w:val="24"/>
        </w:rPr>
        <w:t xml:space="preserve"> </w:t>
      </w:r>
      <w:r>
        <w:rPr>
          <w:rFonts w:ascii="Calibri" w:hAnsi="Calibri"/>
          <w:sz w:val="24"/>
        </w:rPr>
        <w:t>to</w:t>
      </w:r>
      <w:r>
        <w:rPr>
          <w:rFonts w:ascii="Calibri" w:hAnsi="Calibri"/>
          <w:spacing w:val="-4"/>
          <w:sz w:val="24"/>
        </w:rPr>
        <w:t xml:space="preserve"> </w:t>
      </w:r>
      <w:r>
        <w:rPr>
          <w:rFonts w:ascii="Calibri" w:hAnsi="Calibri"/>
          <w:sz w:val="24"/>
        </w:rPr>
        <w:t>3</w:t>
      </w:r>
      <w:r>
        <w:rPr>
          <w:rFonts w:ascii="Calibri" w:hAnsi="Calibri"/>
          <w:spacing w:val="-4"/>
          <w:sz w:val="24"/>
        </w:rPr>
        <w:t xml:space="preserve"> </w:t>
      </w:r>
      <w:r>
        <w:rPr>
          <w:rFonts w:ascii="Calibri" w:hAnsi="Calibri"/>
          <w:sz w:val="24"/>
        </w:rPr>
        <w:t>to assist companies in understanding the core concepts behind the new sustainability reporting requirements in the Corporations Act. The modules were developed in partnership with the AASB.</w:t>
      </w:r>
    </w:p>
    <w:p w14:paraId="1E805E5E" w14:textId="77777777" w:rsidR="00AA4A02" w:rsidRDefault="00960F31">
      <w:pPr>
        <w:pStyle w:val="ListParagraph"/>
        <w:numPr>
          <w:ilvl w:val="0"/>
          <w:numId w:val="8"/>
        </w:numPr>
        <w:tabs>
          <w:tab w:val="left" w:pos="1418"/>
        </w:tabs>
        <w:spacing w:before="121"/>
        <w:ind w:right="250"/>
        <w:rPr>
          <w:rFonts w:ascii="Calibri" w:hAnsi="Calibri"/>
          <w:sz w:val="24"/>
        </w:rPr>
      </w:pPr>
      <w:r>
        <w:rPr>
          <w:rFonts w:ascii="Calibri" w:hAnsi="Calibri"/>
          <w:sz w:val="24"/>
        </w:rPr>
        <w:t xml:space="preserve">ASIC has </w:t>
      </w:r>
      <w:hyperlink r:id="rId202">
        <w:r>
          <w:rPr>
            <w:rFonts w:ascii="Calibri" w:hAnsi="Calibri"/>
            <w:color w:val="44536A"/>
            <w:sz w:val="24"/>
            <w:u w:val="single" w:color="44536A"/>
          </w:rPr>
          <w:t>remade</w:t>
        </w:r>
      </w:hyperlink>
      <w:r>
        <w:rPr>
          <w:rFonts w:ascii="Calibri" w:hAnsi="Calibri"/>
          <w:color w:val="44536A"/>
          <w:sz w:val="24"/>
        </w:rPr>
        <w:t xml:space="preserve"> </w:t>
      </w:r>
      <w:r>
        <w:rPr>
          <w:rFonts w:ascii="Calibri" w:hAnsi="Calibri"/>
          <w:sz w:val="24"/>
        </w:rPr>
        <w:t>three legislative instruments that provide financial reporting relief following</w:t>
      </w:r>
      <w:r>
        <w:rPr>
          <w:rFonts w:ascii="Calibri" w:hAnsi="Calibri"/>
          <w:spacing w:val="-4"/>
          <w:sz w:val="24"/>
        </w:rPr>
        <w:t xml:space="preserve"> </w:t>
      </w:r>
      <w:r>
        <w:rPr>
          <w:rFonts w:ascii="Calibri" w:hAnsi="Calibri"/>
          <w:sz w:val="24"/>
        </w:rPr>
        <w:t>consultation</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industry.</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new</w:t>
      </w:r>
      <w:r>
        <w:rPr>
          <w:rFonts w:ascii="Calibri" w:hAnsi="Calibri"/>
          <w:spacing w:val="-2"/>
          <w:sz w:val="24"/>
        </w:rPr>
        <w:t xml:space="preserve"> </w:t>
      </w:r>
      <w:r>
        <w:rPr>
          <w:rFonts w:ascii="Calibri" w:hAnsi="Calibri"/>
          <w:sz w:val="24"/>
        </w:rPr>
        <w:t>instruments,</w:t>
      </w:r>
      <w:r>
        <w:rPr>
          <w:rFonts w:ascii="Calibri" w:hAnsi="Calibri"/>
          <w:spacing w:val="-6"/>
          <w:sz w:val="24"/>
        </w:rPr>
        <w:t xml:space="preserve"> </w:t>
      </w:r>
      <w:r>
        <w:rPr>
          <w:rFonts w:ascii="Calibri" w:hAnsi="Calibri"/>
          <w:sz w:val="24"/>
        </w:rPr>
        <w:t>which</w:t>
      </w:r>
      <w:r>
        <w:rPr>
          <w:rFonts w:ascii="Calibri" w:hAnsi="Calibri"/>
          <w:spacing w:val="-5"/>
          <w:sz w:val="24"/>
        </w:rPr>
        <w:t xml:space="preserve"> </w:t>
      </w:r>
      <w:r>
        <w:rPr>
          <w:rFonts w:ascii="Calibri" w:hAnsi="Calibri"/>
          <w:sz w:val="24"/>
        </w:rPr>
        <w:t>replace</w:t>
      </w:r>
      <w:r>
        <w:rPr>
          <w:rFonts w:ascii="Calibri" w:hAnsi="Calibri"/>
          <w:spacing w:val="-3"/>
          <w:sz w:val="24"/>
        </w:rPr>
        <w:t xml:space="preserve"> </w:t>
      </w:r>
      <w:r>
        <w:rPr>
          <w:rFonts w:ascii="Calibri" w:hAnsi="Calibri"/>
          <w:sz w:val="24"/>
        </w:rPr>
        <w:t>instruments due to sunset on 1 April 2026, are listed below and will expire on 1 April 2031:</w:t>
      </w:r>
    </w:p>
    <w:p w14:paraId="1E805E5F" w14:textId="77777777" w:rsidR="00AA4A02" w:rsidRDefault="00960F31">
      <w:pPr>
        <w:numPr>
          <w:ilvl w:val="1"/>
          <w:numId w:val="8"/>
        </w:numPr>
        <w:tabs>
          <w:tab w:val="left" w:pos="1985"/>
        </w:tabs>
        <w:spacing w:before="120"/>
        <w:ind w:right="1101"/>
        <w:rPr>
          <w:rFonts w:ascii="Calibri"/>
          <w:i/>
          <w:sz w:val="24"/>
        </w:rPr>
      </w:pPr>
      <w:hyperlink r:id="rId203">
        <w:r>
          <w:rPr>
            <w:rFonts w:ascii="Calibri"/>
            <w:i/>
            <w:color w:val="44536A"/>
            <w:sz w:val="24"/>
          </w:rPr>
          <w:t>ASIC</w:t>
        </w:r>
        <w:r>
          <w:rPr>
            <w:rFonts w:ascii="Calibri"/>
            <w:i/>
            <w:color w:val="44536A"/>
            <w:spacing w:val="-6"/>
            <w:sz w:val="24"/>
          </w:rPr>
          <w:t xml:space="preserve"> </w:t>
        </w:r>
        <w:r>
          <w:rPr>
            <w:rFonts w:ascii="Calibri"/>
            <w:i/>
            <w:color w:val="44536A"/>
            <w:sz w:val="24"/>
          </w:rPr>
          <w:t>Corporations</w:t>
        </w:r>
        <w:r>
          <w:rPr>
            <w:rFonts w:ascii="Calibri"/>
            <w:i/>
            <w:color w:val="44536A"/>
            <w:spacing w:val="-6"/>
            <w:sz w:val="24"/>
          </w:rPr>
          <w:t xml:space="preserve"> </w:t>
        </w:r>
        <w:r>
          <w:rPr>
            <w:rFonts w:ascii="Calibri"/>
            <w:i/>
            <w:color w:val="44536A"/>
            <w:sz w:val="24"/>
          </w:rPr>
          <w:t>(Rounding</w:t>
        </w:r>
        <w:r>
          <w:rPr>
            <w:rFonts w:ascii="Calibri"/>
            <w:i/>
            <w:color w:val="44536A"/>
            <w:spacing w:val="-7"/>
            <w:sz w:val="24"/>
          </w:rPr>
          <w:t xml:space="preserve"> </w:t>
        </w:r>
        <w:r>
          <w:rPr>
            <w:rFonts w:ascii="Calibri"/>
            <w:i/>
            <w:color w:val="44536A"/>
            <w:sz w:val="24"/>
          </w:rPr>
          <w:t>in</w:t>
        </w:r>
        <w:r>
          <w:rPr>
            <w:rFonts w:ascii="Calibri"/>
            <w:i/>
            <w:color w:val="44536A"/>
            <w:spacing w:val="-7"/>
            <w:sz w:val="24"/>
          </w:rPr>
          <w:t xml:space="preserve"> </w:t>
        </w:r>
        <w:r>
          <w:rPr>
            <w:rFonts w:ascii="Calibri"/>
            <w:i/>
            <w:color w:val="44536A"/>
            <w:sz w:val="24"/>
          </w:rPr>
          <w:t>Financial/Directors'</w:t>
        </w:r>
        <w:r>
          <w:rPr>
            <w:rFonts w:ascii="Calibri"/>
            <w:i/>
            <w:color w:val="44536A"/>
            <w:spacing w:val="-6"/>
            <w:sz w:val="24"/>
          </w:rPr>
          <w:t xml:space="preserve"> </w:t>
        </w:r>
        <w:r>
          <w:rPr>
            <w:rFonts w:ascii="Calibri"/>
            <w:i/>
            <w:color w:val="44536A"/>
            <w:sz w:val="24"/>
          </w:rPr>
          <w:t>Reports)</w:t>
        </w:r>
        <w:r>
          <w:rPr>
            <w:rFonts w:ascii="Calibri"/>
            <w:i/>
            <w:color w:val="44536A"/>
            <w:spacing w:val="-6"/>
            <w:sz w:val="24"/>
          </w:rPr>
          <w:t xml:space="preserve"> </w:t>
        </w:r>
        <w:r>
          <w:rPr>
            <w:rFonts w:ascii="Calibri"/>
            <w:i/>
            <w:color w:val="44536A"/>
            <w:sz w:val="24"/>
          </w:rPr>
          <w:t>Instrument</w:t>
        </w:r>
      </w:hyperlink>
      <w:r>
        <w:rPr>
          <w:rFonts w:ascii="Calibri"/>
          <w:i/>
          <w:color w:val="44536A"/>
          <w:sz w:val="24"/>
        </w:rPr>
        <w:t xml:space="preserve"> </w:t>
      </w:r>
      <w:hyperlink r:id="rId204">
        <w:r>
          <w:rPr>
            <w:rFonts w:ascii="Calibri"/>
            <w:i/>
            <w:color w:val="44536A"/>
            <w:spacing w:val="-2"/>
            <w:sz w:val="24"/>
          </w:rPr>
          <w:t>2026/183</w:t>
        </w:r>
      </w:hyperlink>
    </w:p>
    <w:p w14:paraId="1E805E60" w14:textId="77777777" w:rsidR="00AA4A02" w:rsidRDefault="00960F31">
      <w:pPr>
        <w:pStyle w:val="ListParagraph"/>
        <w:numPr>
          <w:ilvl w:val="1"/>
          <w:numId w:val="8"/>
        </w:numPr>
        <w:tabs>
          <w:tab w:val="left" w:pos="1985"/>
        </w:tabs>
        <w:spacing w:before="62"/>
        <w:rPr>
          <w:rFonts w:ascii="Calibri" w:hAnsi="Calibri"/>
          <w:i/>
          <w:sz w:val="24"/>
        </w:rPr>
      </w:pPr>
      <w:hyperlink r:id="rId205">
        <w:r>
          <w:rPr>
            <w:rFonts w:ascii="Calibri" w:hAnsi="Calibri"/>
            <w:i/>
            <w:color w:val="44536A"/>
            <w:sz w:val="24"/>
          </w:rPr>
          <w:t>ASIC</w:t>
        </w:r>
        <w:r>
          <w:rPr>
            <w:rFonts w:ascii="Calibri" w:hAnsi="Calibri"/>
            <w:i/>
            <w:color w:val="44536A"/>
            <w:spacing w:val="-6"/>
            <w:sz w:val="24"/>
          </w:rPr>
          <w:t xml:space="preserve"> </w:t>
        </w:r>
        <w:r>
          <w:rPr>
            <w:rFonts w:ascii="Calibri" w:hAnsi="Calibri"/>
            <w:i/>
            <w:color w:val="44536A"/>
            <w:sz w:val="24"/>
          </w:rPr>
          <w:t>Corporations</w:t>
        </w:r>
        <w:r>
          <w:rPr>
            <w:rFonts w:ascii="Calibri" w:hAnsi="Calibri"/>
            <w:i/>
            <w:color w:val="44536A"/>
            <w:spacing w:val="-2"/>
            <w:sz w:val="24"/>
          </w:rPr>
          <w:t xml:space="preserve"> </w:t>
        </w:r>
        <w:r>
          <w:rPr>
            <w:rFonts w:ascii="Calibri" w:hAnsi="Calibri"/>
            <w:i/>
            <w:color w:val="44536A"/>
            <w:sz w:val="24"/>
          </w:rPr>
          <w:t>(Electronic</w:t>
        </w:r>
        <w:r>
          <w:rPr>
            <w:rFonts w:ascii="Calibri" w:hAnsi="Calibri"/>
            <w:i/>
            <w:color w:val="44536A"/>
            <w:spacing w:val="-3"/>
            <w:sz w:val="24"/>
          </w:rPr>
          <w:t xml:space="preserve"> </w:t>
        </w:r>
        <w:r>
          <w:rPr>
            <w:rFonts w:ascii="Calibri" w:hAnsi="Calibri"/>
            <w:i/>
            <w:color w:val="44536A"/>
            <w:sz w:val="24"/>
          </w:rPr>
          <w:t>Lodgment</w:t>
        </w:r>
        <w:r>
          <w:rPr>
            <w:rFonts w:ascii="Calibri" w:hAnsi="Calibri"/>
            <w:i/>
            <w:color w:val="44536A"/>
            <w:spacing w:val="-1"/>
            <w:sz w:val="24"/>
          </w:rPr>
          <w:t xml:space="preserve"> </w:t>
        </w:r>
        <w:r>
          <w:rPr>
            <w:rFonts w:ascii="Calibri" w:hAnsi="Calibri"/>
            <w:i/>
            <w:color w:val="44536A"/>
            <w:sz w:val="24"/>
          </w:rPr>
          <w:t>of</w:t>
        </w:r>
        <w:r>
          <w:rPr>
            <w:rFonts w:ascii="Calibri" w:hAnsi="Calibri"/>
            <w:i/>
            <w:color w:val="44536A"/>
            <w:spacing w:val="-1"/>
            <w:sz w:val="24"/>
          </w:rPr>
          <w:t xml:space="preserve"> </w:t>
        </w:r>
        <w:r>
          <w:rPr>
            <w:rFonts w:ascii="Calibri" w:hAnsi="Calibri"/>
            <w:i/>
            <w:color w:val="44536A"/>
            <w:sz w:val="24"/>
          </w:rPr>
          <w:t>Financial</w:t>
        </w:r>
        <w:r>
          <w:rPr>
            <w:rFonts w:ascii="Calibri" w:hAnsi="Calibri"/>
            <w:i/>
            <w:color w:val="44536A"/>
            <w:spacing w:val="-3"/>
            <w:sz w:val="24"/>
          </w:rPr>
          <w:t xml:space="preserve"> </w:t>
        </w:r>
        <w:r>
          <w:rPr>
            <w:rFonts w:ascii="Calibri" w:hAnsi="Calibri"/>
            <w:i/>
            <w:color w:val="44536A"/>
            <w:sz w:val="24"/>
          </w:rPr>
          <w:t>and</w:t>
        </w:r>
        <w:r>
          <w:rPr>
            <w:rFonts w:ascii="Calibri" w:hAnsi="Calibri"/>
            <w:i/>
            <w:color w:val="44536A"/>
            <w:spacing w:val="-4"/>
            <w:sz w:val="24"/>
          </w:rPr>
          <w:t xml:space="preserve"> </w:t>
        </w:r>
        <w:r>
          <w:rPr>
            <w:rFonts w:ascii="Calibri" w:hAnsi="Calibri"/>
            <w:i/>
            <w:color w:val="44536A"/>
            <w:sz w:val="24"/>
          </w:rPr>
          <w:t>Sustainability</w:t>
        </w:r>
        <w:r>
          <w:rPr>
            <w:rFonts w:ascii="Calibri" w:hAnsi="Calibri"/>
            <w:i/>
            <w:color w:val="44536A"/>
            <w:spacing w:val="-2"/>
            <w:sz w:val="24"/>
          </w:rPr>
          <w:t xml:space="preserve"> Reports)</w:t>
        </w:r>
      </w:hyperlink>
    </w:p>
    <w:p w14:paraId="1E805E61" w14:textId="77777777" w:rsidR="00AA4A02" w:rsidRDefault="00960F31">
      <w:pPr>
        <w:ind w:left="1985"/>
        <w:rPr>
          <w:rFonts w:ascii="Calibri"/>
          <w:sz w:val="24"/>
        </w:rPr>
      </w:pPr>
      <w:hyperlink r:id="rId206">
        <w:r>
          <w:rPr>
            <w:rFonts w:ascii="Calibri"/>
            <w:i/>
            <w:color w:val="44536A"/>
            <w:sz w:val="24"/>
          </w:rPr>
          <w:t>Instrument</w:t>
        </w:r>
        <w:r>
          <w:rPr>
            <w:rFonts w:ascii="Calibri"/>
            <w:i/>
            <w:color w:val="44536A"/>
            <w:spacing w:val="-2"/>
            <w:sz w:val="24"/>
          </w:rPr>
          <w:t xml:space="preserve"> </w:t>
        </w:r>
        <w:r>
          <w:rPr>
            <w:rFonts w:ascii="Calibri"/>
            <w:i/>
            <w:color w:val="44536A"/>
            <w:sz w:val="24"/>
          </w:rPr>
          <w:t>2026/59</w:t>
        </w:r>
      </w:hyperlink>
      <w:r>
        <w:rPr>
          <w:rFonts w:ascii="Calibri"/>
          <w:sz w:val="24"/>
        </w:rPr>
        <w:t>,</w:t>
      </w:r>
      <w:r>
        <w:rPr>
          <w:rFonts w:ascii="Calibri"/>
          <w:spacing w:val="-5"/>
          <w:sz w:val="24"/>
        </w:rPr>
        <w:t xml:space="preserve"> and</w:t>
      </w:r>
    </w:p>
    <w:p w14:paraId="1E805E62" w14:textId="77777777" w:rsidR="00AA4A02" w:rsidRDefault="00960F31">
      <w:pPr>
        <w:numPr>
          <w:ilvl w:val="1"/>
          <w:numId w:val="8"/>
        </w:numPr>
        <w:tabs>
          <w:tab w:val="left" w:pos="1985"/>
        </w:tabs>
        <w:spacing w:before="59"/>
        <w:rPr>
          <w:rFonts w:ascii="Calibri"/>
          <w:sz w:val="24"/>
        </w:rPr>
      </w:pPr>
      <w:hyperlink r:id="rId207">
        <w:r>
          <w:rPr>
            <w:rFonts w:ascii="Calibri"/>
            <w:i/>
            <w:color w:val="44536A"/>
            <w:sz w:val="24"/>
          </w:rPr>
          <w:t>ASIC</w:t>
        </w:r>
        <w:r>
          <w:rPr>
            <w:rFonts w:ascii="Calibri"/>
            <w:i/>
            <w:color w:val="44536A"/>
            <w:spacing w:val="-4"/>
            <w:sz w:val="24"/>
          </w:rPr>
          <w:t xml:space="preserve"> </w:t>
        </w:r>
        <w:r>
          <w:rPr>
            <w:rFonts w:ascii="Calibri"/>
            <w:i/>
            <w:color w:val="44536A"/>
            <w:sz w:val="24"/>
          </w:rPr>
          <w:t>Corporations</w:t>
        </w:r>
        <w:r>
          <w:rPr>
            <w:rFonts w:ascii="Calibri"/>
            <w:i/>
            <w:color w:val="44536A"/>
            <w:spacing w:val="-3"/>
            <w:sz w:val="24"/>
          </w:rPr>
          <w:t xml:space="preserve"> </w:t>
        </w:r>
        <w:r>
          <w:rPr>
            <w:rFonts w:ascii="Calibri"/>
            <w:i/>
            <w:color w:val="44536A"/>
            <w:sz w:val="24"/>
          </w:rPr>
          <w:t>(Disregarding</w:t>
        </w:r>
        <w:r>
          <w:rPr>
            <w:rFonts w:ascii="Calibri"/>
            <w:i/>
            <w:color w:val="44536A"/>
            <w:spacing w:val="-4"/>
            <w:sz w:val="24"/>
          </w:rPr>
          <w:t xml:space="preserve"> </w:t>
        </w:r>
        <w:r>
          <w:rPr>
            <w:rFonts w:ascii="Calibri"/>
            <w:i/>
            <w:color w:val="44536A"/>
            <w:sz w:val="24"/>
          </w:rPr>
          <w:t>Technical</w:t>
        </w:r>
        <w:r>
          <w:rPr>
            <w:rFonts w:ascii="Calibri"/>
            <w:i/>
            <w:color w:val="44536A"/>
            <w:spacing w:val="-3"/>
            <w:sz w:val="24"/>
          </w:rPr>
          <w:t xml:space="preserve"> </w:t>
        </w:r>
        <w:r>
          <w:rPr>
            <w:rFonts w:ascii="Calibri"/>
            <w:i/>
            <w:color w:val="44536A"/>
            <w:sz w:val="24"/>
          </w:rPr>
          <w:t>Relief)</w:t>
        </w:r>
        <w:r>
          <w:rPr>
            <w:rFonts w:ascii="Calibri"/>
            <w:i/>
            <w:color w:val="44536A"/>
            <w:spacing w:val="-4"/>
            <w:sz w:val="24"/>
          </w:rPr>
          <w:t xml:space="preserve"> </w:t>
        </w:r>
        <w:r>
          <w:rPr>
            <w:rFonts w:ascii="Calibri"/>
            <w:i/>
            <w:color w:val="44536A"/>
            <w:sz w:val="24"/>
          </w:rPr>
          <w:t>Instrument</w:t>
        </w:r>
        <w:r>
          <w:rPr>
            <w:rFonts w:ascii="Calibri"/>
            <w:i/>
            <w:color w:val="44536A"/>
            <w:spacing w:val="-1"/>
            <w:sz w:val="24"/>
          </w:rPr>
          <w:t xml:space="preserve"> </w:t>
        </w:r>
        <w:r>
          <w:rPr>
            <w:rFonts w:ascii="Calibri"/>
            <w:i/>
            <w:color w:val="44536A"/>
            <w:spacing w:val="-2"/>
            <w:sz w:val="24"/>
          </w:rPr>
          <w:t>2026/180</w:t>
        </w:r>
      </w:hyperlink>
      <w:r>
        <w:rPr>
          <w:rFonts w:ascii="Calibri"/>
          <w:spacing w:val="-2"/>
          <w:sz w:val="24"/>
        </w:rPr>
        <w:t>.</w:t>
      </w:r>
    </w:p>
    <w:p w14:paraId="1E805E63" w14:textId="77777777" w:rsidR="00AA4A02" w:rsidRDefault="00AA4A02">
      <w:pPr>
        <w:rPr>
          <w:rFonts w:ascii="Calibri"/>
          <w:sz w:val="24"/>
        </w:rPr>
        <w:sectPr w:rsidR="00AA4A02">
          <w:headerReference w:type="default" r:id="rId208"/>
          <w:footerReference w:type="default" r:id="rId209"/>
          <w:pgSz w:w="11910" w:h="16840"/>
          <w:pgMar w:top="1400" w:right="1275" w:bottom="1240" w:left="566" w:header="0" w:footer="1048" w:gutter="0"/>
          <w:pgNumType w:start="2"/>
          <w:cols w:space="720"/>
        </w:sectPr>
      </w:pPr>
    </w:p>
    <w:p w14:paraId="1E805E64" w14:textId="77777777" w:rsidR="00AA4A02" w:rsidRDefault="00960F31">
      <w:pPr>
        <w:spacing w:before="39"/>
        <w:ind w:left="852"/>
        <w:rPr>
          <w:rFonts w:ascii="Calibri"/>
          <w:b/>
          <w:sz w:val="24"/>
        </w:rPr>
      </w:pPr>
      <w:r>
        <w:rPr>
          <w:rFonts w:ascii="Calibri"/>
          <w:b/>
          <w:sz w:val="24"/>
          <w:u w:val="single"/>
        </w:rPr>
        <w:lastRenderedPageBreak/>
        <w:t>Other</w:t>
      </w:r>
      <w:r>
        <w:rPr>
          <w:rFonts w:ascii="Calibri"/>
          <w:b/>
          <w:spacing w:val="-2"/>
          <w:sz w:val="24"/>
          <w:u w:val="single"/>
        </w:rPr>
        <w:t xml:space="preserve"> updates</w:t>
      </w:r>
    </w:p>
    <w:p w14:paraId="1E805E65" w14:textId="77777777" w:rsidR="00AA4A02" w:rsidRDefault="00960F31">
      <w:pPr>
        <w:pStyle w:val="Heading9"/>
        <w:spacing w:before="240" w:line="436" w:lineRule="auto"/>
        <w:ind w:right="7988"/>
        <w:rPr>
          <w:rFonts w:ascii="Calibri"/>
        </w:rPr>
      </w:pPr>
      <w:r>
        <w:rPr>
          <w:rFonts w:ascii="Calibri"/>
          <w:spacing w:val="-2"/>
        </w:rPr>
        <w:t xml:space="preserve">Treasury </w:t>
      </w:r>
      <w:r>
        <w:rPr>
          <w:rFonts w:ascii="Calibri"/>
        </w:rPr>
        <w:t>ERA Bill</w:t>
      </w:r>
    </w:p>
    <w:p w14:paraId="1E805E66" w14:textId="77777777" w:rsidR="00AA4A02" w:rsidRDefault="00960F31">
      <w:pPr>
        <w:pStyle w:val="ListParagraph"/>
        <w:numPr>
          <w:ilvl w:val="0"/>
          <w:numId w:val="7"/>
        </w:numPr>
        <w:tabs>
          <w:tab w:val="left" w:pos="1572"/>
        </w:tabs>
        <w:spacing w:before="0"/>
        <w:ind w:right="570"/>
        <w:jc w:val="both"/>
        <w:rPr>
          <w:rFonts w:ascii="Calibri" w:hAnsi="Calibri"/>
          <w:sz w:val="24"/>
        </w:rPr>
      </w:pPr>
      <w:r>
        <w:rPr>
          <w:rFonts w:ascii="Calibri" w:hAnsi="Calibri"/>
          <w:sz w:val="24"/>
        </w:rPr>
        <w:t>The</w:t>
      </w:r>
      <w:r>
        <w:rPr>
          <w:rFonts w:ascii="Calibri" w:hAnsi="Calibri"/>
          <w:spacing w:val="-3"/>
          <w:sz w:val="24"/>
        </w:rPr>
        <w:t xml:space="preserve"> </w:t>
      </w:r>
      <w:r>
        <w:rPr>
          <w:rFonts w:ascii="Calibri" w:hAnsi="Calibri"/>
          <w:sz w:val="24"/>
        </w:rPr>
        <w:t>Senate</w:t>
      </w:r>
      <w:r>
        <w:rPr>
          <w:rFonts w:ascii="Calibri" w:hAnsi="Calibri"/>
          <w:spacing w:val="-3"/>
          <w:sz w:val="24"/>
        </w:rPr>
        <w:t xml:space="preserve"> </w:t>
      </w:r>
      <w:r>
        <w:rPr>
          <w:rFonts w:ascii="Calibri" w:hAnsi="Calibri"/>
          <w:sz w:val="24"/>
        </w:rPr>
        <w:t>Economics</w:t>
      </w:r>
      <w:r>
        <w:rPr>
          <w:rFonts w:ascii="Calibri" w:hAnsi="Calibri"/>
          <w:spacing w:val="-4"/>
          <w:sz w:val="24"/>
        </w:rPr>
        <w:t xml:space="preserve"> </w:t>
      </w:r>
      <w:r>
        <w:rPr>
          <w:rFonts w:ascii="Calibri" w:hAnsi="Calibri"/>
          <w:sz w:val="24"/>
        </w:rPr>
        <w:t>Legislation</w:t>
      </w:r>
      <w:r>
        <w:rPr>
          <w:rFonts w:ascii="Calibri" w:hAnsi="Calibri"/>
          <w:spacing w:val="-5"/>
          <w:sz w:val="24"/>
        </w:rPr>
        <w:t xml:space="preserve"> </w:t>
      </w:r>
      <w:r>
        <w:rPr>
          <w:rFonts w:ascii="Calibri" w:hAnsi="Calibri"/>
          <w:sz w:val="24"/>
        </w:rPr>
        <w:t>Committee</w:t>
      </w:r>
      <w:r>
        <w:rPr>
          <w:rFonts w:ascii="Calibri" w:hAnsi="Calibri"/>
          <w:spacing w:val="-5"/>
          <w:sz w:val="24"/>
        </w:rPr>
        <w:t xml:space="preserve"> </w:t>
      </w:r>
      <w:r>
        <w:rPr>
          <w:rFonts w:ascii="Calibri" w:hAnsi="Calibri"/>
          <w:sz w:val="24"/>
        </w:rPr>
        <w:t>released</w:t>
      </w:r>
      <w:r>
        <w:rPr>
          <w:rFonts w:ascii="Calibri" w:hAnsi="Calibri"/>
          <w:spacing w:val="-5"/>
          <w:sz w:val="24"/>
        </w:rPr>
        <w:t xml:space="preserve"> </w:t>
      </w:r>
      <w:r>
        <w:rPr>
          <w:rFonts w:ascii="Calibri" w:hAnsi="Calibri"/>
          <w:sz w:val="24"/>
        </w:rPr>
        <w:t>their</w:t>
      </w:r>
      <w:r>
        <w:rPr>
          <w:rFonts w:ascii="Calibri" w:hAnsi="Calibri"/>
          <w:spacing w:val="-5"/>
          <w:sz w:val="24"/>
        </w:rPr>
        <w:t xml:space="preserve"> </w:t>
      </w:r>
      <w:r>
        <w:rPr>
          <w:rFonts w:ascii="Calibri" w:hAnsi="Calibri"/>
          <w:sz w:val="24"/>
        </w:rPr>
        <w:t>Report</w:t>
      </w:r>
      <w:r>
        <w:rPr>
          <w:rFonts w:ascii="Calibri" w:hAnsi="Calibri"/>
          <w:spacing w:val="-5"/>
          <w:sz w:val="24"/>
        </w:rPr>
        <w:t xml:space="preserve"> </w:t>
      </w:r>
      <w:r>
        <w:rPr>
          <w:rFonts w:ascii="Calibri" w:hAnsi="Calibri"/>
          <w:sz w:val="24"/>
        </w:rPr>
        <w:t>regarding</w:t>
      </w:r>
      <w:r>
        <w:rPr>
          <w:rFonts w:ascii="Calibri" w:hAnsi="Calibri"/>
          <w:spacing w:val="-4"/>
          <w:sz w:val="24"/>
        </w:rPr>
        <w:t xml:space="preserve"> </w:t>
      </w:r>
      <w:r>
        <w:rPr>
          <w:rFonts w:ascii="Calibri" w:hAnsi="Calibri"/>
          <w:sz w:val="24"/>
        </w:rPr>
        <w:t>the Treasury</w:t>
      </w:r>
      <w:r>
        <w:rPr>
          <w:rFonts w:ascii="Calibri" w:hAnsi="Calibri"/>
          <w:spacing w:val="-3"/>
          <w:sz w:val="24"/>
        </w:rPr>
        <w:t xml:space="preserve"> </w:t>
      </w:r>
      <w:r>
        <w:rPr>
          <w:rFonts w:ascii="Calibri" w:hAnsi="Calibri"/>
          <w:sz w:val="24"/>
        </w:rPr>
        <w:t>Laws</w:t>
      </w:r>
      <w:r>
        <w:rPr>
          <w:rFonts w:ascii="Calibri" w:hAnsi="Calibri"/>
          <w:spacing w:val="-3"/>
          <w:sz w:val="24"/>
        </w:rPr>
        <w:t xml:space="preserve"> </w:t>
      </w:r>
      <w:r>
        <w:rPr>
          <w:rFonts w:ascii="Calibri" w:hAnsi="Calibri"/>
          <w:sz w:val="24"/>
        </w:rPr>
        <w:t>Amendment</w:t>
      </w:r>
      <w:r>
        <w:rPr>
          <w:rFonts w:ascii="Calibri" w:hAnsi="Calibri"/>
          <w:spacing w:val="-1"/>
          <w:sz w:val="24"/>
        </w:rPr>
        <w:t xml:space="preserve"> </w:t>
      </w:r>
      <w:r>
        <w:rPr>
          <w:rFonts w:ascii="Calibri" w:hAnsi="Calibri"/>
          <w:sz w:val="24"/>
        </w:rPr>
        <w:t>(Financial</w:t>
      </w:r>
      <w:r>
        <w:rPr>
          <w:rFonts w:ascii="Calibri" w:hAnsi="Calibri"/>
          <w:spacing w:val="-2"/>
          <w:sz w:val="24"/>
        </w:rPr>
        <w:t xml:space="preserve"> </w:t>
      </w:r>
      <w:r>
        <w:rPr>
          <w:rFonts w:ascii="Calibri" w:hAnsi="Calibri"/>
          <w:sz w:val="24"/>
        </w:rPr>
        <w:t>Reporting</w:t>
      </w:r>
      <w:r>
        <w:rPr>
          <w:rFonts w:ascii="Calibri" w:hAnsi="Calibri"/>
          <w:spacing w:val="-5"/>
          <w:sz w:val="24"/>
        </w:rPr>
        <w:t xml:space="preserve"> </w:t>
      </w:r>
      <w:r>
        <w:rPr>
          <w:rFonts w:ascii="Calibri" w:hAnsi="Calibri"/>
          <w:sz w:val="24"/>
        </w:rPr>
        <w:t>System</w:t>
      </w:r>
      <w:r>
        <w:rPr>
          <w:rFonts w:ascii="Calibri" w:hAnsi="Calibri"/>
          <w:spacing w:val="-2"/>
          <w:sz w:val="24"/>
        </w:rPr>
        <w:t xml:space="preserve"> </w:t>
      </w:r>
      <w:r>
        <w:rPr>
          <w:rFonts w:ascii="Calibri" w:hAnsi="Calibri"/>
          <w:sz w:val="24"/>
        </w:rPr>
        <w:t>Reform)</w:t>
      </w:r>
      <w:r>
        <w:rPr>
          <w:rFonts w:ascii="Calibri" w:hAnsi="Calibri"/>
          <w:spacing w:val="-3"/>
          <w:sz w:val="24"/>
        </w:rPr>
        <w:t xml:space="preserve"> </w:t>
      </w:r>
      <w:r>
        <w:rPr>
          <w:rFonts w:ascii="Calibri" w:hAnsi="Calibri"/>
          <w:sz w:val="24"/>
        </w:rPr>
        <w:t>Bill</w:t>
      </w:r>
      <w:r>
        <w:rPr>
          <w:rFonts w:ascii="Calibri" w:hAnsi="Calibri"/>
          <w:spacing w:val="-2"/>
          <w:sz w:val="24"/>
        </w:rPr>
        <w:t xml:space="preserve"> </w:t>
      </w:r>
      <w:r>
        <w:rPr>
          <w:rFonts w:ascii="Calibri" w:hAnsi="Calibri"/>
          <w:sz w:val="24"/>
        </w:rPr>
        <w:t>2026</w:t>
      </w:r>
      <w:r>
        <w:rPr>
          <w:rFonts w:ascii="Calibri" w:hAnsi="Calibri"/>
          <w:spacing w:val="-4"/>
          <w:sz w:val="24"/>
        </w:rPr>
        <w:t xml:space="preserve"> </w:t>
      </w:r>
      <w:r>
        <w:rPr>
          <w:rFonts w:ascii="Calibri" w:hAnsi="Calibri"/>
          <w:sz w:val="24"/>
        </w:rPr>
        <w:t>in</w:t>
      </w:r>
      <w:r>
        <w:rPr>
          <w:rFonts w:ascii="Calibri" w:hAnsi="Calibri"/>
          <w:spacing w:val="-1"/>
          <w:sz w:val="24"/>
        </w:rPr>
        <w:t xml:space="preserve"> </w:t>
      </w:r>
      <w:r>
        <w:rPr>
          <w:rFonts w:ascii="Calibri" w:hAnsi="Calibri"/>
          <w:sz w:val="24"/>
        </w:rPr>
        <w:t xml:space="preserve">April </w:t>
      </w:r>
      <w:r>
        <w:rPr>
          <w:rFonts w:ascii="Calibri" w:hAnsi="Calibri"/>
          <w:spacing w:val="-2"/>
          <w:sz w:val="24"/>
        </w:rPr>
        <w:t>2026.</w:t>
      </w:r>
    </w:p>
    <w:p w14:paraId="1E805E67" w14:textId="77777777" w:rsidR="00AA4A02" w:rsidRDefault="00960F31">
      <w:pPr>
        <w:pStyle w:val="Heading9"/>
        <w:spacing w:before="240"/>
        <w:rPr>
          <w:rFonts w:ascii="Calibri"/>
        </w:rPr>
      </w:pPr>
      <w:r>
        <w:rPr>
          <w:rFonts w:ascii="Calibri"/>
          <w:spacing w:val="-2"/>
        </w:rPr>
        <w:t>Budget</w:t>
      </w:r>
    </w:p>
    <w:p w14:paraId="1E805E68" w14:textId="77777777" w:rsidR="00AA4A02" w:rsidRDefault="00960F31">
      <w:pPr>
        <w:pStyle w:val="ListParagraph"/>
        <w:numPr>
          <w:ilvl w:val="0"/>
          <w:numId w:val="7"/>
        </w:numPr>
        <w:tabs>
          <w:tab w:val="left" w:pos="1572"/>
        </w:tabs>
        <w:spacing w:before="239"/>
        <w:ind w:right="221"/>
        <w:rPr>
          <w:rFonts w:ascii="Calibri" w:hAnsi="Calibri"/>
          <w:sz w:val="24"/>
        </w:rPr>
      </w:pPr>
      <w:r>
        <w:rPr>
          <w:rFonts w:ascii="Calibri" w:hAnsi="Calibri"/>
          <w:sz w:val="24"/>
        </w:rPr>
        <w:t>The Government released the 2026-27 Budget on 12 May, announcing plans to reduce regulatory</w:t>
      </w:r>
      <w:r>
        <w:rPr>
          <w:rFonts w:ascii="Calibri" w:hAnsi="Calibri"/>
          <w:spacing w:val="-2"/>
          <w:sz w:val="24"/>
        </w:rPr>
        <w:t xml:space="preserve"> </w:t>
      </w:r>
      <w:r>
        <w:rPr>
          <w:rFonts w:ascii="Calibri" w:hAnsi="Calibri"/>
          <w:sz w:val="24"/>
        </w:rPr>
        <w:t>burdens in the financial sector by $780 million per</w:t>
      </w:r>
      <w:r>
        <w:rPr>
          <w:rFonts w:ascii="Calibri" w:hAnsi="Calibri"/>
          <w:spacing w:val="-1"/>
          <w:sz w:val="24"/>
        </w:rPr>
        <w:t xml:space="preserve"> </w:t>
      </w:r>
      <w:r>
        <w:rPr>
          <w:rFonts w:ascii="Calibri" w:hAnsi="Calibri"/>
          <w:sz w:val="24"/>
        </w:rPr>
        <w:t>year.</w:t>
      </w:r>
      <w:r>
        <w:rPr>
          <w:rFonts w:ascii="Calibri" w:hAnsi="Calibri"/>
          <w:spacing w:val="-2"/>
          <w:sz w:val="24"/>
        </w:rPr>
        <w:t xml:space="preserve"> </w:t>
      </w:r>
      <w:r>
        <w:rPr>
          <w:rFonts w:ascii="Calibri" w:hAnsi="Calibri"/>
          <w:sz w:val="24"/>
        </w:rPr>
        <w:t>Measures include</w:t>
      </w:r>
      <w:r>
        <w:rPr>
          <w:rFonts w:ascii="Calibri" w:hAnsi="Calibri"/>
          <w:spacing w:val="-4"/>
          <w:sz w:val="24"/>
        </w:rPr>
        <w:t xml:space="preserve"> </w:t>
      </w:r>
      <w:r>
        <w:rPr>
          <w:rFonts w:ascii="Calibri" w:hAnsi="Calibri"/>
          <w:sz w:val="24"/>
        </w:rPr>
        <w:t>corporate</w:t>
      </w:r>
      <w:r>
        <w:rPr>
          <w:rFonts w:ascii="Calibri" w:hAnsi="Calibri"/>
          <w:spacing w:val="-2"/>
          <w:sz w:val="24"/>
        </w:rPr>
        <w:t xml:space="preserve"> </w:t>
      </w:r>
      <w:r>
        <w:rPr>
          <w:rFonts w:ascii="Calibri" w:hAnsi="Calibri"/>
          <w:sz w:val="24"/>
        </w:rPr>
        <w:t>reporting</w:t>
      </w:r>
      <w:r>
        <w:rPr>
          <w:rFonts w:ascii="Calibri" w:hAnsi="Calibri"/>
          <w:spacing w:val="-3"/>
          <w:sz w:val="24"/>
        </w:rPr>
        <w:t xml:space="preserve"> </w:t>
      </w:r>
      <w:r>
        <w:rPr>
          <w:rFonts w:ascii="Calibri" w:hAnsi="Calibri"/>
          <w:sz w:val="24"/>
        </w:rPr>
        <w:t>relief,</w:t>
      </w:r>
      <w:r>
        <w:rPr>
          <w:rFonts w:ascii="Calibri" w:hAnsi="Calibri"/>
          <w:spacing w:val="-4"/>
          <w:sz w:val="24"/>
        </w:rPr>
        <w:t xml:space="preserve"> </w:t>
      </w:r>
      <w:r>
        <w:rPr>
          <w:rFonts w:ascii="Calibri" w:hAnsi="Calibri"/>
          <w:sz w:val="24"/>
        </w:rPr>
        <w:t>delivered</w:t>
      </w:r>
      <w:r>
        <w:rPr>
          <w:rFonts w:ascii="Calibri" w:hAnsi="Calibri"/>
          <w:spacing w:val="-4"/>
          <w:sz w:val="24"/>
        </w:rPr>
        <w:t xml:space="preserve"> </w:t>
      </w:r>
      <w:r>
        <w:rPr>
          <w:rFonts w:ascii="Calibri" w:hAnsi="Calibri"/>
          <w:sz w:val="24"/>
        </w:rPr>
        <w:t>by</w:t>
      </w:r>
      <w:r>
        <w:rPr>
          <w:rFonts w:ascii="Calibri" w:hAnsi="Calibri"/>
          <w:spacing w:val="-4"/>
          <w:sz w:val="24"/>
        </w:rPr>
        <w:t xml:space="preserve"> </w:t>
      </w:r>
      <w:r>
        <w:rPr>
          <w:rFonts w:ascii="Calibri" w:hAnsi="Calibri"/>
          <w:sz w:val="24"/>
        </w:rPr>
        <w:t>increases</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monetary</w:t>
      </w:r>
      <w:r>
        <w:rPr>
          <w:rFonts w:ascii="Calibri" w:hAnsi="Calibri"/>
          <w:spacing w:val="-5"/>
          <w:sz w:val="24"/>
        </w:rPr>
        <w:t xml:space="preserve"> </w:t>
      </w:r>
      <w:r>
        <w:rPr>
          <w:rFonts w:ascii="Calibri" w:hAnsi="Calibri"/>
          <w:sz w:val="24"/>
        </w:rPr>
        <w:t>thresholds for large proprietary companies and improvements to the efficiency of climate</w:t>
      </w:r>
      <w:r>
        <w:rPr>
          <w:rFonts w:ascii="Cambria Math" w:hAnsi="Cambria Math"/>
          <w:sz w:val="24"/>
        </w:rPr>
        <w:t>‑</w:t>
      </w:r>
      <w:r>
        <w:rPr>
          <w:rFonts w:ascii="Calibri" w:hAnsi="Calibri"/>
          <w:sz w:val="24"/>
        </w:rPr>
        <w:t>related financial disclosures.</w:t>
      </w:r>
    </w:p>
    <w:p w14:paraId="1E805E69" w14:textId="77777777" w:rsidR="00AA4A02" w:rsidRDefault="00960F31">
      <w:pPr>
        <w:pStyle w:val="Heading8"/>
      </w:pPr>
      <w:r>
        <w:rPr>
          <w:spacing w:val="-4"/>
        </w:rPr>
        <w:t>G100</w:t>
      </w:r>
    </w:p>
    <w:p w14:paraId="1E805E6A" w14:textId="77777777" w:rsidR="00AA4A02" w:rsidRDefault="00960F31">
      <w:pPr>
        <w:pStyle w:val="ListParagraph"/>
        <w:numPr>
          <w:ilvl w:val="0"/>
          <w:numId w:val="7"/>
        </w:numPr>
        <w:tabs>
          <w:tab w:val="left" w:pos="1572"/>
        </w:tabs>
        <w:spacing w:before="239" w:line="242" w:lineRule="auto"/>
        <w:ind w:right="197"/>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Group</w:t>
      </w:r>
      <w:r>
        <w:rPr>
          <w:rFonts w:ascii="Calibri" w:hAnsi="Calibri"/>
          <w:spacing w:val="-1"/>
          <w:sz w:val="24"/>
        </w:rPr>
        <w:t xml:space="preserve"> </w:t>
      </w:r>
      <w:r>
        <w:rPr>
          <w:rFonts w:ascii="Calibri" w:hAnsi="Calibri"/>
          <w:sz w:val="24"/>
        </w:rPr>
        <w:t>of</w:t>
      </w:r>
      <w:r>
        <w:rPr>
          <w:rFonts w:ascii="Calibri" w:hAnsi="Calibri"/>
          <w:spacing w:val="-1"/>
          <w:sz w:val="24"/>
        </w:rPr>
        <w:t xml:space="preserve"> </w:t>
      </w:r>
      <w:r>
        <w:rPr>
          <w:rFonts w:ascii="Calibri" w:hAnsi="Calibri"/>
          <w:sz w:val="24"/>
        </w:rPr>
        <w:t>100</w:t>
      </w:r>
      <w:r>
        <w:rPr>
          <w:rFonts w:ascii="Calibri" w:hAnsi="Calibri"/>
          <w:spacing w:val="-4"/>
          <w:sz w:val="24"/>
        </w:rPr>
        <w:t xml:space="preserve"> </w:t>
      </w:r>
      <w:hyperlink r:id="rId210">
        <w:r>
          <w:rPr>
            <w:rFonts w:ascii="Calibri" w:hAnsi="Calibri"/>
            <w:color w:val="44536A"/>
            <w:sz w:val="24"/>
          </w:rPr>
          <w:t>announced</w:t>
        </w:r>
      </w:hyperlink>
      <w:r>
        <w:rPr>
          <w:rFonts w:ascii="Calibri" w:hAnsi="Calibri"/>
          <w:color w:val="44536A"/>
          <w:spacing w:val="-4"/>
          <w:sz w:val="24"/>
        </w:rPr>
        <w:t xml:space="preserve"> </w:t>
      </w:r>
      <w:r>
        <w:rPr>
          <w:rFonts w:ascii="Calibri" w:hAnsi="Calibri"/>
          <w:sz w:val="24"/>
        </w:rPr>
        <w:t>that</w:t>
      </w:r>
      <w:r>
        <w:rPr>
          <w:rFonts w:ascii="Calibri" w:hAnsi="Calibri"/>
          <w:spacing w:val="-1"/>
          <w:sz w:val="24"/>
        </w:rPr>
        <w:t xml:space="preserve"> </w:t>
      </w:r>
      <w:r>
        <w:rPr>
          <w:rFonts w:ascii="Calibri" w:hAnsi="Calibri"/>
          <w:sz w:val="24"/>
        </w:rPr>
        <w:t>Alex</w:t>
      </w:r>
      <w:r>
        <w:rPr>
          <w:rFonts w:ascii="Calibri" w:hAnsi="Calibri"/>
          <w:spacing w:val="-3"/>
          <w:sz w:val="24"/>
        </w:rPr>
        <w:t xml:space="preserve"> </w:t>
      </w:r>
      <w:r>
        <w:rPr>
          <w:rFonts w:ascii="Calibri" w:hAnsi="Calibri"/>
          <w:sz w:val="24"/>
        </w:rPr>
        <w:t>Bell</w:t>
      </w:r>
      <w:r>
        <w:rPr>
          <w:rFonts w:ascii="Calibri" w:hAnsi="Calibri"/>
          <w:spacing w:val="-2"/>
          <w:sz w:val="24"/>
        </w:rPr>
        <w:t xml:space="preserve"> </w:t>
      </w:r>
      <w:r>
        <w:rPr>
          <w:rFonts w:ascii="Calibri" w:hAnsi="Calibri"/>
          <w:sz w:val="24"/>
        </w:rPr>
        <w:t>CFO</w:t>
      </w:r>
      <w:r>
        <w:rPr>
          <w:rFonts w:ascii="Calibri" w:hAnsi="Calibri"/>
          <w:spacing w:val="-3"/>
          <w:sz w:val="24"/>
        </w:rPr>
        <w:t xml:space="preserve"> </w:t>
      </w:r>
      <w:r>
        <w:rPr>
          <w:rFonts w:ascii="Calibri" w:hAnsi="Calibri"/>
          <w:sz w:val="24"/>
        </w:rPr>
        <w:t>Challenger</w:t>
      </w:r>
      <w:r>
        <w:rPr>
          <w:rFonts w:ascii="Calibri" w:hAnsi="Calibri"/>
          <w:spacing w:val="-2"/>
          <w:sz w:val="24"/>
        </w:rPr>
        <w:t xml:space="preserve"> </w:t>
      </w:r>
      <w:r>
        <w:rPr>
          <w:rFonts w:ascii="Calibri" w:hAnsi="Calibri"/>
          <w:sz w:val="24"/>
        </w:rPr>
        <w:t>Limited,</w:t>
      </w:r>
      <w:r>
        <w:rPr>
          <w:rFonts w:ascii="Calibri" w:hAnsi="Calibri"/>
          <w:spacing w:val="-5"/>
          <w:sz w:val="24"/>
        </w:rPr>
        <w:t xml:space="preserve"> </w:t>
      </w:r>
      <w:r>
        <w:rPr>
          <w:rFonts w:ascii="Calibri" w:hAnsi="Calibri"/>
          <w:sz w:val="24"/>
        </w:rPr>
        <w:t>has</w:t>
      </w:r>
      <w:r>
        <w:rPr>
          <w:rFonts w:ascii="Calibri" w:hAnsi="Calibri"/>
          <w:spacing w:val="-5"/>
          <w:sz w:val="24"/>
        </w:rPr>
        <w:t xml:space="preserve"> </w:t>
      </w:r>
      <w:r>
        <w:rPr>
          <w:rFonts w:ascii="Calibri" w:hAnsi="Calibri"/>
          <w:sz w:val="24"/>
        </w:rPr>
        <w:t>been</w:t>
      </w:r>
      <w:r>
        <w:rPr>
          <w:rFonts w:ascii="Calibri" w:hAnsi="Calibri"/>
          <w:spacing w:val="-1"/>
          <w:sz w:val="24"/>
        </w:rPr>
        <w:t xml:space="preserve"> </w:t>
      </w:r>
      <w:r>
        <w:rPr>
          <w:rFonts w:ascii="Calibri" w:hAnsi="Calibri"/>
          <w:sz w:val="24"/>
        </w:rPr>
        <w:t xml:space="preserve">elected </w:t>
      </w:r>
      <w:r>
        <w:rPr>
          <w:rFonts w:ascii="Calibri" w:hAnsi="Calibri"/>
          <w:spacing w:val="-2"/>
          <w:sz w:val="24"/>
        </w:rPr>
        <w:t>Chair.</w:t>
      </w:r>
    </w:p>
    <w:p w14:paraId="1E805E6B" w14:textId="77777777" w:rsidR="00AA4A02" w:rsidRDefault="00960F31">
      <w:pPr>
        <w:spacing w:before="236"/>
        <w:ind w:left="852"/>
        <w:rPr>
          <w:rFonts w:ascii="Calibri"/>
          <w:b/>
          <w:sz w:val="24"/>
        </w:rPr>
      </w:pPr>
      <w:r>
        <w:rPr>
          <w:rFonts w:ascii="Calibri"/>
          <w:b/>
          <w:sz w:val="24"/>
          <w:u w:val="single"/>
        </w:rPr>
        <w:t>International</w:t>
      </w:r>
      <w:r>
        <w:rPr>
          <w:rFonts w:ascii="Calibri"/>
          <w:b/>
          <w:spacing w:val="-2"/>
          <w:sz w:val="24"/>
          <w:u w:val="single"/>
        </w:rPr>
        <w:t xml:space="preserve"> </w:t>
      </w:r>
      <w:r>
        <w:rPr>
          <w:rFonts w:ascii="Calibri"/>
          <w:b/>
          <w:sz w:val="24"/>
          <w:u w:val="single"/>
        </w:rPr>
        <w:t>(See</w:t>
      </w:r>
      <w:r>
        <w:rPr>
          <w:rFonts w:ascii="Calibri"/>
          <w:b/>
          <w:spacing w:val="-2"/>
          <w:sz w:val="24"/>
          <w:u w:val="single"/>
        </w:rPr>
        <w:t xml:space="preserve"> </w:t>
      </w:r>
      <w:r>
        <w:rPr>
          <w:rFonts w:ascii="Calibri"/>
          <w:b/>
          <w:sz w:val="24"/>
          <w:u w:val="single"/>
        </w:rPr>
        <w:t>also</w:t>
      </w:r>
      <w:r>
        <w:rPr>
          <w:rFonts w:ascii="Calibri"/>
          <w:b/>
          <w:spacing w:val="-2"/>
          <w:sz w:val="24"/>
          <w:u w:val="single"/>
        </w:rPr>
        <w:t xml:space="preserve"> </w:t>
      </w:r>
      <w:r>
        <w:rPr>
          <w:rFonts w:ascii="Calibri"/>
          <w:b/>
          <w:sz w:val="24"/>
          <w:u w:val="single"/>
        </w:rPr>
        <w:t>Attachment</w:t>
      </w:r>
      <w:r>
        <w:rPr>
          <w:rFonts w:ascii="Calibri"/>
          <w:b/>
          <w:spacing w:val="-1"/>
          <w:sz w:val="24"/>
          <w:u w:val="single"/>
        </w:rPr>
        <w:t xml:space="preserve"> </w:t>
      </w:r>
      <w:r>
        <w:rPr>
          <w:rFonts w:ascii="Calibri"/>
          <w:b/>
          <w:sz w:val="24"/>
          <w:u w:val="single"/>
        </w:rPr>
        <w:t>B</w:t>
      </w:r>
      <w:r>
        <w:rPr>
          <w:rFonts w:ascii="Calibri"/>
          <w:b/>
          <w:spacing w:val="-3"/>
          <w:sz w:val="24"/>
          <w:u w:val="single"/>
        </w:rPr>
        <w:t xml:space="preserve"> </w:t>
      </w:r>
      <w:r>
        <w:rPr>
          <w:rFonts w:ascii="Calibri"/>
          <w:b/>
          <w:sz w:val="24"/>
          <w:u w:val="single"/>
        </w:rPr>
        <w:t>-</w:t>
      </w:r>
      <w:r>
        <w:rPr>
          <w:rFonts w:ascii="Calibri"/>
          <w:b/>
          <w:spacing w:val="-3"/>
          <w:sz w:val="24"/>
          <w:u w:val="single"/>
        </w:rPr>
        <w:t xml:space="preserve"> </w:t>
      </w:r>
      <w:r>
        <w:rPr>
          <w:rFonts w:ascii="Calibri"/>
          <w:b/>
          <w:sz w:val="24"/>
          <w:u w:val="single"/>
        </w:rPr>
        <w:t>Global Regulatory</w:t>
      </w:r>
      <w:r>
        <w:rPr>
          <w:rFonts w:ascii="Calibri"/>
          <w:b/>
          <w:spacing w:val="-2"/>
          <w:sz w:val="24"/>
          <w:u w:val="single"/>
        </w:rPr>
        <w:t xml:space="preserve"> </w:t>
      </w:r>
      <w:r>
        <w:rPr>
          <w:rFonts w:ascii="Calibri"/>
          <w:b/>
          <w:sz w:val="24"/>
          <w:u w:val="single"/>
        </w:rPr>
        <w:t>Report</w:t>
      </w:r>
      <w:r>
        <w:rPr>
          <w:rFonts w:ascii="Calibri"/>
          <w:b/>
          <w:spacing w:val="-2"/>
          <w:sz w:val="24"/>
          <w:u w:val="single"/>
        </w:rPr>
        <w:t xml:space="preserve"> </w:t>
      </w:r>
      <w:r>
        <w:rPr>
          <w:rFonts w:ascii="Calibri"/>
          <w:b/>
          <w:sz w:val="24"/>
          <w:u w:val="single"/>
        </w:rPr>
        <w:t>for</w:t>
      </w:r>
      <w:r>
        <w:rPr>
          <w:rFonts w:ascii="Calibri"/>
          <w:b/>
          <w:spacing w:val="-2"/>
          <w:sz w:val="24"/>
          <w:u w:val="single"/>
        </w:rPr>
        <w:t xml:space="preserve"> </w:t>
      </w:r>
      <w:r>
        <w:rPr>
          <w:rFonts w:ascii="Calibri"/>
          <w:b/>
          <w:sz w:val="24"/>
          <w:u w:val="single"/>
        </w:rPr>
        <w:t>March</w:t>
      </w:r>
      <w:r>
        <w:rPr>
          <w:rFonts w:ascii="Calibri"/>
          <w:b/>
          <w:spacing w:val="-1"/>
          <w:sz w:val="24"/>
          <w:u w:val="single"/>
        </w:rPr>
        <w:t xml:space="preserve"> </w:t>
      </w:r>
      <w:r>
        <w:rPr>
          <w:rFonts w:ascii="Calibri"/>
          <w:b/>
          <w:spacing w:val="-2"/>
          <w:sz w:val="24"/>
          <w:u w:val="single"/>
        </w:rPr>
        <w:t>2026)</w:t>
      </w:r>
    </w:p>
    <w:p w14:paraId="1E805E6C" w14:textId="77777777" w:rsidR="00AA4A02" w:rsidRDefault="00960F31">
      <w:pPr>
        <w:pStyle w:val="Heading8"/>
      </w:pPr>
      <w:r>
        <w:rPr>
          <w:spacing w:val="-4"/>
        </w:rPr>
        <w:t>IFRS</w:t>
      </w:r>
    </w:p>
    <w:p w14:paraId="1E805E6D" w14:textId="77777777" w:rsidR="00AA4A02" w:rsidRDefault="00960F31">
      <w:pPr>
        <w:pStyle w:val="ListParagraph"/>
        <w:numPr>
          <w:ilvl w:val="0"/>
          <w:numId w:val="8"/>
        </w:numPr>
        <w:tabs>
          <w:tab w:val="left" w:pos="1418"/>
        </w:tabs>
        <w:spacing w:before="119"/>
        <w:ind w:right="261"/>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IFRS</w:t>
      </w:r>
      <w:r>
        <w:rPr>
          <w:rFonts w:ascii="Calibri" w:hAnsi="Calibri"/>
          <w:spacing w:val="-2"/>
          <w:sz w:val="24"/>
        </w:rPr>
        <w:t xml:space="preserve"> </w:t>
      </w:r>
      <w:r>
        <w:rPr>
          <w:rFonts w:ascii="Calibri" w:hAnsi="Calibri"/>
          <w:sz w:val="24"/>
        </w:rPr>
        <w:t>Foundation</w:t>
      </w:r>
      <w:r>
        <w:rPr>
          <w:rFonts w:ascii="Calibri" w:hAnsi="Calibri"/>
          <w:spacing w:val="-4"/>
          <w:sz w:val="24"/>
        </w:rPr>
        <w:t xml:space="preserve"> </w:t>
      </w:r>
      <w:r>
        <w:rPr>
          <w:rFonts w:ascii="Calibri" w:hAnsi="Calibri"/>
          <w:sz w:val="24"/>
        </w:rPr>
        <w:t>Trustees</w:t>
      </w:r>
      <w:r>
        <w:rPr>
          <w:rFonts w:ascii="Calibri" w:hAnsi="Calibri"/>
          <w:spacing w:val="-5"/>
          <w:sz w:val="24"/>
        </w:rPr>
        <w:t xml:space="preserve"> </w:t>
      </w:r>
      <w:r>
        <w:rPr>
          <w:rFonts w:ascii="Calibri" w:hAnsi="Calibri"/>
          <w:sz w:val="24"/>
        </w:rPr>
        <w:t>have</w:t>
      </w:r>
      <w:r>
        <w:rPr>
          <w:rFonts w:ascii="Calibri" w:hAnsi="Calibri"/>
          <w:spacing w:val="-2"/>
          <w:sz w:val="24"/>
        </w:rPr>
        <w:t xml:space="preserve"> </w:t>
      </w:r>
      <w:hyperlink r:id="rId211">
        <w:r>
          <w:rPr>
            <w:rFonts w:ascii="Calibri" w:hAnsi="Calibri"/>
            <w:color w:val="44536A"/>
            <w:sz w:val="24"/>
            <w:u w:val="single" w:color="44536A"/>
          </w:rPr>
          <w:t>revised</w:t>
        </w:r>
        <w:r>
          <w:rPr>
            <w:rFonts w:ascii="Calibri" w:hAnsi="Calibri"/>
            <w:color w:val="44536A"/>
            <w:spacing w:val="-4"/>
            <w:sz w:val="24"/>
            <w:u w:val="single" w:color="44536A"/>
          </w:rPr>
          <w:t xml:space="preserve"> </w:t>
        </w:r>
        <w:r>
          <w:rPr>
            <w:rFonts w:ascii="Calibri" w:hAnsi="Calibri"/>
            <w:color w:val="44536A"/>
            <w:sz w:val="24"/>
            <w:u w:val="single" w:color="44536A"/>
          </w:rPr>
          <w:t>the</w:t>
        </w:r>
        <w:r>
          <w:rPr>
            <w:rFonts w:ascii="Calibri" w:hAnsi="Calibri"/>
            <w:color w:val="44536A"/>
            <w:spacing w:val="-2"/>
            <w:sz w:val="24"/>
            <w:u w:val="single" w:color="44536A"/>
          </w:rPr>
          <w:t xml:space="preserve"> </w:t>
        </w:r>
        <w:r>
          <w:rPr>
            <w:rFonts w:ascii="Calibri" w:hAnsi="Calibri"/>
            <w:color w:val="44536A"/>
            <w:sz w:val="24"/>
            <w:u w:val="single" w:color="44536A"/>
          </w:rPr>
          <w:t>Due</w:t>
        </w:r>
        <w:r>
          <w:rPr>
            <w:rFonts w:ascii="Calibri" w:hAnsi="Calibri"/>
            <w:color w:val="44536A"/>
            <w:spacing w:val="-2"/>
            <w:sz w:val="24"/>
            <w:u w:val="single" w:color="44536A"/>
          </w:rPr>
          <w:t xml:space="preserve"> </w:t>
        </w:r>
        <w:r>
          <w:rPr>
            <w:rFonts w:ascii="Calibri" w:hAnsi="Calibri"/>
            <w:color w:val="44536A"/>
            <w:sz w:val="24"/>
            <w:u w:val="single" w:color="44536A"/>
          </w:rPr>
          <w:t>Process</w:t>
        </w:r>
        <w:r>
          <w:rPr>
            <w:rFonts w:ascii="Calibri" w:hAnsi="Calibri"/>
            <w:color w:val="44536A"/>
            <w:spacing w:val="-3"/>
            <w:sz w:val="24"/>
            <w:u w:val="single" w:color="44536A"/>
          </w:rPr>
          <w:t xml:space="preserve"> </w:t>
        </w:r>
        <w:r>
          <w:rPr>
            <w:rFonts w:ascii="Calibri" w:hAnsi="Calibri"/>
            <w:color w:val="44536A"/>
            <w:sz w:val="24"/>
            <w:u w:val="single" w:color="44536A"/>
          </w:rPr>
          <w:t>Handbook</w:t>
        </w:r>
      </w:hyperlink>
      <w:r>
        <w:rPr>
          <w:rFonts w:ascii="Calibri" w:hAnsi="Calibri"/>
          <w:sz w:val="24"/>
        </w:rPr>
        <w:t>,</w:t>
      </w:r>
      <w:r>
        <w:rPr>
          <w:rFonts w:ascii="Calibri" w:hAnsi="Calibri"/>
          <w:spacing w:val="-2"/>
          <w:sz w:val="24"/>
        </w:rPr>
        <w:t xml:space="preserve"> </w:t>
      </w:r>
      <w:r>
        <w:rPr>
          <w:rFonts w:ascii="Calibri" w:hAnsi="Calibri"/>
          <w:sz w:val="24"/>
        </w:rPr>
        <w:t>which</w:t>
      </w:r>
      <w:r>
        <w:rPr>
          <w:rFonts w:ascii="Calibri" w:hAnsi="Calibri"/>
          <w:spacing w:val="-1"/>
          <w:sz w:val="24"/>
        </w:rPr>
        <w:t xml:space="preserve"> </w:t>
      </w:r>
      <w:r>
        <w:rPr>
          <w:rFonts w:ascii="Calibri" w:hAnsi="Calibri"/>
          <w:sz w:val="24"/>
        </w:rPr>
        <w:t>sets</w:t>
      </w:r>
      <w:r>
        <w:rPr>
          <w:rFonts w:ascii="Calibri" w:hAnsi="Calibri"/>
          <w:spacing w:val="-3"/>
          <w:sz w:val="24"/>
        </w:rPr>
        <w:t xml:space="preserve"> </w:t>
      </w:r>
      <w:r>
        <w:rPr>
          <w:rFonts w:ascii="Calibri" w:hAnsi="Calibri"/>
          <w:sz w:val="24"/>
        </w:rPr>
        <w:t>out the required steps for the IASB and the ISSB in developing and maintaining Standards and supporting their consistent application.</w:t>
      </w:r>
    </w:p>
    <w:p w14:paraId="1E805E6E" w14:textId="77777777" w:rsidR="00AA4A02" w:rsidRDefault="00960F31">
      <w:pPr>
        <w:pStyle w:val="ListParagraph"/>
        <w:numPr>
          <w:ilvl w:val="0"/>
          <w:numId w:val="8"/>
        </w:numPr>
        <w:tabs>
          <w:tab w:val="left" w:pos="1418"/>
        </w:tabs>
        <w:spacing w:before="121"/>
        <w:ind w:right="304"/>
        <w:rPr>
          <w:rFonts w:ascii="Calibri" w:hAnsi="Calibri"/>
          <w:sz w:val="24"/>
        </w:rPr>
      </w:pPr>
      <w:r>
        <w:rPr>
          <w:rFonts w:ascii="Calibri" w:hAnsi="Calibri"/>
          <w:sz w:val="24"/>
        </w:rPr>
        <w:t>Trustees</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IFRS</w:t>
      </w:r>
      <w:r>
        <w:rPr>
          <w:rFonts w:ascii="Calibri" w:hAnsi="Calibri"/>
          <w:spacing w:val="-1"/>
          <w:sz w:val="24"/>
        </w:rPr>
        <w:t xml:space="preserve"> </w:t>
      </w:r>
      <w:r>
        <w:rPr>
          <w:rFonts w:ascii="Calibri" w:hAnsi="Calibri"/>
          <w:sz w:val="24"/>
        </w:rPr>
        <w:t>Foundation</w:t>
      </w:r>
      <w:r>
        <w:rPr>
          <w:rFonts w:ascii="Calibri" w:hAnsi="Calibri"/>
          <w:spacing w:val="-3"/>
          <w:sz w:val="24"/>
        </w:rPr>
        <w:t xml:space="preserve"> </w:t>
      </w:r>
      <w:r>
        <w:rPr>
          <w:rFonts w:ascii="Calibri" w:hAnsi="Calibri"/>
          <w:sz w:val="24"/>
        </w:rPr>
        <w:t>have</w:t>
      </w:r>
      <w:r>
        <w:rPr>
          <w:rFonts w:ascii="Calibri" w:hAnsi="Calibri"/>
          <w:spacing w:val="-3"/>
          <w:sz w:val="24"/>
        </w:rPr>
        <w:t xml:space="preserve"> </w:t>
      </w:r>
      <w:hyperlink r:id="rId212">
        <w:r>
          <w:rPr>
            <w:rFonts w:ascii="Calibri" w:hAnsi="Calibri"/>
            <w:color w:val="44536A"/>
            <w:sz w:val="24"/>
            <w:u w:val="single" w:color="44536A"/>
          </w:rPr>
          <w:t>announced</w:t>
        </w:r>
      </w:hyperlink>
      <w:r>
        <w:rPr>
          <w:rFonts w:ascii="Calibri" w:hAnsi="Calibri"/>
          <w:color w:val="44536A"/>
          <w:spacing w:val="-3"/>
          <w:sz w:val="24"/>
        </w:rPr>
        <w:t xml:space="preserve"> </w:t>
      </w:r>
      <w:r>
        <w:rPr>
          <w:rFonts w:ascii="Calibri" w:hAnsi="Calibri"/>
          <w:sz w:val="24"/>
        </w:rPr>
        <w:t>that</w:t>
      </w:r>
      <w:r>
        <w:rPr>
          <w:rFonts w:ascii="Calibri" w:hAnsi="Calibri"/>
          <w:spacing w:val="-3"/>
          <w:sz w:val="24"/>
        </w:rPr>
        <w:t xml:space="preserve"> </w:t>
      </w:r>
      <w:r>
        <w:rPr>
          <w:rFonts w:ascii="Calibri" w:hAnsi="Calibri"/>
          <w:sz w:val="24"/>
        </w:rPr>
        <w:t>they</w:t>
      </w:r>
      <w:r>
        <w:rPr>
          <w:rFonts w:ascii="Calibri" w:hAnsi="Calibri"/>
          <w:spacing w:val="-2"/>
          <w:sz w:val="24"/>
        </w:rPr>
        <w:t xml:space="preserve"> </w:t>
      </w:r>
      <w:r>
        <w:rPr>
          <w:rFonts w:ascii="Calibri" w:hAnsi="Calibri"/>
          <w:sz w:val="24"/>
        </w:rPr>
        <w:t>are</w:t>
      </w:r>
      <w:r>
        <w:rPr>
          <w:rFonts w:ascii="Calibri" w:hAnsi="Calibri"/>
          <w:spacing w:val="-3"/>
          <w:sz w:val="24"/>
        </w:rPr>
        <w:t xml:space="preserve"> </w:t>
      </w:r>
      <w:r>
        <w:rPr>
          <w:rFonts w:ascii="Calibri" w:hAnsi="Calibri"/>
          <w:sz w:val="24"/>
        </w:rPr>
        <w:t>seeking</w:t>
      </w:r>
      <w:r>
        <w:rPr>
          <w:rFonts w:ascii="Calibri" w:hAnsi="Calibri"/>
          <w:spacing w:val="-4"/>
          <w:sz w:val="24"/>
        </w:rPr>
        <w:t xml:space="preserve"> </w:t>
      </w:r>
      <w:r>
        <w:rPr>
          <w:rFonts w:ascii="Calibri" w:hAnsi="Calibri"/>
          <w:sz w:val="24"/>
        </w:rPr>
        <w:t>new members of the IFRS Advisory Council – the strategic advisory body to the Trustees and the Foundation’s two standard-setting boards. Applications are sought by 31 July 2026.</w:t>
      </w:r>
    </w:p>
    <w:p w14:paraId="1E805E6F" w14:textId="77777777" w:rsidR="00AA4A02" w:rsidRDefault="00960F31">
      <w:pPr>
        <w:pStyle w:val="Heading8"/>
        <w:spacing w:before="119"/>
      </w:pPr>
      <w:r>
        <w:rPr>
          <w:spacing w:val="-4"/>
        </w:rPr>
        <w:t>ISSB</w:t>
      </w:r>
    </w:p>
    <w:p w14:paraId="1E805E70" w14:textId="77777777" w:rsidR="00AA4A02" w:rsidRDefault="00960F31">
      <w:pPr>
        <w:pStyle w:val="ListParagraph"/>
        <w:numPr>
          <w:ilvl w:val="0"/>
          <w:numId w:val="8"/>
        </w:numPr>
        <w:tabs>
          <w:tab w:val="left" w:pos="1418"/>
        </w:tabs>
        <w:spacing w:before="119" w:line="242" w:lineRule="auto"/>
        <w:ind w:right="234"/>
        <w:jc w:val="both"/>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ISSB</w:t>
      </w:r>
      <w:r>
        <w:rPr>
          <w:rFonts w:ascii="Calibri" w:hAnsi="Calibri"/>
          <w:spacing w:val="-5"/>
          <w:sz w:val="24"/>
        </w:rPr>
        <w:t xml:space="preserve"> </w:t>
      </w:r>
      <w:r>
        <w:rPr>
          <w:rFonts w:ascii="Calibri" w:hAnsi="Calibri"/>
          <w:sz w:val="24"/>
        </w:rPr>
        <w:t>has</w:t>
      </w:r>
      <w:r>
        <w:rPr>
          <w:rFonts w:ascii="Calibri" w:hAnsi="Calibri"/>
          <w:spacing w:val="-5"/>
          <w:sz w:val="24"/>
        </w:rPr>
        <w:t xml:space="preserve"> </w:t>
      </w:r>
      <w:r>
        <w:rPr>
          <w:rFonts w:ascii="Calibri" w:hAnsi="Calibri"/>
          <w:sz w:val="24"/>
        </w:rPr>
        <w:t>published</w:t>
      </w:r>
      <w:r>
        <w:rPr>
          <w:rFonts w:ascii="Calibri" w:hAnsi="Calibri"/>
          <w:spacing w:val="-1"/>
          <w:sz w:val="24"/>
        </w:rPr>
        <w:t xml:space="preserve"> </w:t>
      </w:r>
      <w:r>
        <w:rPr>
          <w:rFonts w:ascii="Calibri" w:hAnsi="Calibri"/>
          <w:sz w:val="24"/>
        </w:rPr>
        <w:t>the</w:t>
      </w:r>
      <w:r>
        <w:rPr>
          <w:rFonts w:ascii="Calibri" w:hAnsi="Calibri"/>
          <w:spacing w:val="-4"/>
          <w:sz w:val="24"/>
        </w:rPr>
        <w:t xml:space="preserve"> </w:t>
      </w:r>
      <w:r>
        <w:rPr>
          <w:rFonts w:ascii="Calibri" w:hAnsi="Calibri"/>
          <w:sz w:val="24"/>
        </w:rPr>
        <w:t>transcript</w:t>
      </w:r>
      <w:r>
        <w:rPr>
          <w:rFonts w:ascii="Calibri" w:hAnsi="Calibri"/>
          <w:spacing w:val="-4"/>
          <w:sz w:val="24"/>
        </w:rPr>
        <w:t xml:space="preserve"> </w:t>
      </w:r>
      <w:r>
        <w:rPr>
          <w:rFonts w:ascii="Calibri" w:hAnsi="Calibri"/>
          <w:sz w:val="24"/>
        </w:rPr>
        <w:t>of</w:t>
      </w:r>
      <w:r>
        <w:rPr>
          <w:rFonts w:ascii="Calibri" w:hAnsi="Calibri"/>
          <w:spacing w:val="-4"/>
          <w:sz w:val="24"/>
        </w:rPr>
        <w:t xml:space="preserve"> </w:t>
      </w:r>
      <w:hyperlink r:id="rId213">
        <w:r>
          <w:rPr>
            <w:rFonts w:ascii="Calibri" w:hAnsi="Calibri"/>
            <w:color w:val="44536A"/>
            <w:sz w:val="24"/>
          </w:rPr>
          <w:t>Emmanuel</w:t>
        </w:r>
        <w:r>
          <w:rPr>
            <w:rFonts w:ascii="Calibri" w:hAnsi="Calibri"/>
            <w:color w:val="44536A"/>
            <w:spacing w:val="-2"/>
            <w:sz w:val="24"/>
          </w:rPr>
          <w:t xml:space="preserve"> </w:t>
        </w:r>
        <w:r>
          <w:rPr>
            <w:rFonts w:ascii="Calibri" w:hAnsi="Calibri"/>
            <w:color w:val="44536A"/>
            <w:sz w:val="24"/>
          </w:rPr>
          <w:t>Faber's</w:t>
        </w:r>
        <w:r>
          <w:rPr>
            <w:rFonts w:ascii="Calibri" w:hAnsi="Calibri"/>
            <w:color w:val="44536A"/>
            <w:spacing w:val="-3"/>
            <w:sz w:val="24"/>
          </w:rPr>
          <w:t xml:space="preserve"> </w:t>
        </w:r>
        <w:r>
          <w:rPr>
            <w:rFonts w:ascii="Calibri" w:hAnsi="Calibri"/>
            <w:color w:val="44536A"/>
            <w:sz w:val="24"/>
          </w:rPr>
          <w:t>speech</w:t>
        </w:r>
      </w:hyperlink>
      <w:r>
        <w:rPr>
          <w:rFonts w:ascii="Calibri" w:hAnsi="Calibri"/>
          <w:color w:val="44536A"/>
          <w:spacing w:val="-1"/>
          <w:sz w:val="24"/>
        </w:rPr>
        <w:t xml:space="preserve"> </w:t>
      </w:r>
      <w:r>
        <w:rPr>
          <w:rFonts w:ascii="Calibri" w:hAnsi="Calibri"/>
          <w:sz w:val="24"/>
        </w:rPr>
        <w:t>at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International Sustainability Conference in Beijing, confirming:</w:t>
      </w:r>
    </w:p>
    <w:p w14:paraId="1E805E71" w14:textId="77777777" w:rsidR="00AA4A02" w:rsidRDefault="00960F31">
      <w:pPr>
        <w:pStyle w:val="ListParagraph"/>
        <w:numPr>
          <w:ilvl w:val="1"/>
          <w:numId w:val="8"/>
        </w:numPr>
        <w:tabs>
          <w:tab w:val="left" w:pos="1985"/>
        </w:tabs>
        <w:spacing w:before="117"/>
        <w:ind w:right="353"/>
        <w:jc w:val="both"/>
        <w:rPr>
          <w:rFonts w:ascii="Calibri" w:hAnsi="Calibri"/>
          <w:sz w:val="24"/>
        </w:rPr>
      </w:pPr>
      <w:r>
        <w:rPr>
          <w:rFonts w:ascii="Calibri" w:hAnsi="Calibri"/>
          <w:sz w:val="24"/>
        </w:rPr>
        <w:t>An</w:t>
      </w:r>
      <w:r>
        <w:rPr>
          <w:rFonts w:ascii="Calibri" w:hAnsi="Calibri"/>
          <w:spacing w:val="-1"/>
          <w:sz w:val="24"/>
        </w:rPr>
        <w:t xml:space="preserve"> </w:t>
      </w:r>
      <w:r>
        <w:rPr>
          <w:rFonts w:ascii="Calibri" w:hAnsi="Calibri"/>
          <w:sz w:val="24"/>
        </w:rPr>
        <w:t>exposure</w:t>
      </w:r>
      <w:r>
        <w:rPr>
          <w:rFonts w:ascii="Calibri" w:hAnsi="Calibri"/>
          <w:spacing w:val="-4"/>
          <w:sz w:val="24"/>
        </w:rPr>
        <w:t xml:space="preserve"> </w:t>
      </w:r>
      <w:r>
        <w:rPr>
          <w:rFonts w:ascii="Calibri" w:hAnsi="Calibri"/>
          <w:sz w:val="24"/>
        </w:rPr>
        <w:t>draft</w:t>
      </w:r>
      <w:r>
        <w:rPr>
          <w:rFonts w:ascii="Calibri" w:hAnsi="Calibri"/>
          <w:spacing w:val="-4"/>
          <w:sz w:val="24"/>
        </w:rPr>
        <w:t xml:space="preserve"> </w:t>
      </w:r>
      <w:r>
        <w:rPr>
          <w:rFonts w:ascii="Calibri" w:hAnsi="Calibri"/>
          <w:sz w:val="24"/>
        </w:rPr>
        <w:t>for</w:t>
      </w:r>
      <w:r>
        <w:rPr>
          <w:rFonts w:ascii="Calibri" w:hAnsi="Calibri"/>
          <w:spacing w:val="-2"/>
          <w:sz w:val="24"/>
        </w:rPr>
        <w:t xml:space="preserve"> </w:t>
      </w:r>
      <w:r>
        <w:rPr>
          <w:rFonts w:ascii="Calibri" w:hAnsi="Calibri"/>
          <w:sz w:val="24"/>
        </w:rPr>
        <w:t>an</w:t>
      </w:r>
      <w:r>
        <w:rPr>
          <w:rFonts w:ascii="Calibri" w:hAnsi="Calibri"/>
          <w:spacing w:val="-4"/>
          <w:sz w:val="24"/>
        </w:rPr>
        <w:t xml:space="preserve"> </w:t>
      </w:r>
      <w:r>
        <w:rPr>
          <w:rFonts w:ascii="Calibri" w:hAnsi="Calibri"/>
          <w:sz w:val="24"/>
        </w:rPr>
        <w:t>IFRS</w:t>
      </w:r>
      <w:r>
        <w:rPr>
          <w:rFonts w:ascii="Calibri" w:hAnsi="Calibri"/>
          <w:spacing w:val="-2"/>
          <w:sz w:val="24"/>
        </w:rPr>
        <w:t xml:space="preserve"> </w:t>
      </w:r>
      <w:r>
        <w:rPr>
          <w:rFonts w:ascii="Calibri" w:hAnsi="Calibri"/>
          <w:sz w:val="24"/>
        </w:rPr>
        <w:t>Practice</w:t>
      </w:r>
      <w:r>
        <w:rPr>
          <w:rFonts w:ascii="Calibri" w:hAnsi="Calibri"/>
          <w:spacing w:val="-2"/>
          <w:sz w:val="24"/>
        </w:rPr>
        <w:t xml:space="preserve"> </w:t>
      </w:r>
      <w:r>
        <w:rPr>
          <w:rFonts w:ascii="Calibri" w:hAnsi="Calibri"/>
          <w:sz w:val="24"/>
        </w:rPr>
        <w:t>Statement</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nature</w:t>
      </w:r>
      <w:r>
        <w:rPr>
          <w:rFonts w:ascii="Calibri" w:hAnsi="Calibri"/>
          <w:spacing w:val="-4"/>
          <w:sz w:val="24"/>
        </w:rPr>
        <w:t xml:space="preserve"> </w:t>
      </w:r>
      <w:r>
        <w:rPr>
          <w:rFonts w:ascii="Calibri" w:hAnsi="Calibri"/>
          <w:sz w:val="24"/>
        </w:rPr>
        <w:t>will</w:t>
      </w:r>
      <w:r>
        <w:rPr>
          <w:rFonts w:ascii="Calibri" w:hAnsi="Calibri"/>
          <w:spacing w:val="-5"/>
          <w:sz w:val="24"/>
        </w:rPr>
        <w:t xml:space="preserve"> </w:t>
      </w:r>
      <w:r>
        <w:rPr>
          <w:rFonts w:ascii="Calibri" w:hAnsi="Calibri"/>
          <w:sz w:val="24"/>
        </w:rPr>
        <w:t>be</w:t>
      </w:r>
      <w:r>
        <w:rPr>
          <w:rFonts w:ascii="Calibri" w:hAnsi="Calibri"/>
          <w:spacing w:val="-4"/>
          <w:sz w:val="24"/>
        </w:rPr>
        <w:t xml:space="preserve"> </w:t>
      </w:r>
      <w:r>
        <w:rPr>
          <w:rFonts w:ascii="Calibri" w:hAnsi="Calibri"/>
          <w:sz w:val="24"/>
        </w:rPr>
        <w:t>published</w:t>
      </w:r>
      <w:r>
        <w:rPr>
          <w:rFonts w:ascii="Calibri" w:hAnsi="Calibri"/>
          <w:spacing w:val="-1"/>
          <w:sz w:val="24"/>
        </w:rPr>
        <w:t xml:space="preserve"> </w:t>
      </w:r>
      <w:r>
        <w:rPr>
          <w:rFonts w:ascii="Calibri" w:hAnsi="Calibri"/>
          <w:sz w:val="24"/>
        </w:rPr>
        <w:t>at the next Biodiversity COP in October 2026.</w:t>
      </w:r>
    </w:p>
    <w:p w14:paraId="1E805E72" w14:textId="77777777" w:rsidR="00AA4A02" w:rsidRDefault="00960F31">
      <w:pPr>
        <w:pStyle w:val="ListParagraph"/>
        <w:numPr>
          <w:ilvl w:val="1"/>
          <w:numId w:val="8"/>
        </w:numPr>
        <w:tabs>
          <w:tab w:val="left" w:pos="1985"/>
        </w:tabs>
        <w:spacing w:before="59"/>
        <w:ind w:right="344"/>
        <w:jc w:val="both"/>
        <w:rPr>
          <w:rFonts w:ascii="Calibri" w:hAnsi="Calibri"/>
          <w:sz w:val="24"/>
        </w:rPr>
      </w:pPr>
      <w:r>
        <w:rPr>
          <w:rFonts w:ascii="Calibri" w:hAnsi="Calibri"/>
          <w:sz w:val="24"/>
        </w:rPr>
        <w:t>42</w:t>
      </w:r>
      <w:r>
        <w:rPr>
          <w:rFonts w:ascii="Calibri" w:hAnsi="Calibri"/>
          <w:spacing w:val="-2"/>
          <w:sz w:val="24"/>
        </w:rPr>
        <w:t xml:space="preserve"> </w:t>
      </w:r>
      <w:r>
        <w:rPr>
          <w:rFonts w:ascii="Calibri" w:hAnsi="Calibri"/>
          <w:sz w:val="24"/>
        </w:rPr>
        <w:t>jurisdictions</w:t>
      </w:r>
      <w:r>
        <w:rPr>
          <w:rFonts w:ascii="Calibri" w:hAnsi="Calibri"/>
          <w:spacing w:val="-5"/>
          <w:sz w:val="24"/>
        </w:rPr>
        <w:t xml:space="preserve"> </w:t>
      </w:r>
      <w:r>
        <w:rPr>
          <w:rFonts w:ascii="Calibri" w:hAnsi="Calibri"/>
          <w:sz w:val="24"/>
        </w:rPr>
        <w:t>have</w:t>
      </w:r>
      <w:r>
        <w:rPr>
          <w:rFonts w:ascii="Calibri" w:hAnsi="Calibri"/>
          <w:spacing w:val="-4"/>
          <w:sz w:val="24"/>
        </w:rPr>
        <w:t xml:space="preserve"> </w:t>
      </w:r>
      <w:r>
        <w:rPr>
          <w:rFonts w:ascii="Calibri" w:hAnsi="Calibri"/>
          <w:sz w:val="24"/>
        </w:rPr>
        <w:t>now</w:t>
      </w:r>
      <w:r>
        <w:rPr>
          <w:rFonts w:ascii="Calibri" w:hAnsi="Calibri"/>
          <w:spacing w:val="-1"/>
          <w:sz w:val="24"/>
        </w:rPr>
        <w:t xml:space="preserve"> </w:t>
      </w:r>
      <w:r>
        <w:rPr>
          <w:rFonts w:ascii="Calibri" w:hAnsi="Calibri"/>
          <w:sz w:val="24"/>
        </w:rPr>
        <w:t>adopted</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ISSB</w:t>
      </w:r>
      <w:r>
        <w:rPr>
          <w:rFonts w:ascii="Calibri" w:hAnsi="Calibri"/>
          <w:spacing w:val="-3"/>
          <w:sz w:val="24"/>
        </w:rPr>
        <w:t xml:space="preserve"> </w:t>
      </w:r>
      <w:r>
        <w:rPr>
          <w:rFonts w:ascii="Calibri" w:hAnsi="Calibri"/>
          <w:sz w:val="24"/>
        </w:rPr>
        <w:t>standards,</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he</w:t>
      </w:r>
      <w:r>
        <w:rPr>
          <w:rFonts w:ascii="Calibri" w:hAnsi="Calibri"/>
          <w:spacing w:val="-2"/>
          <w:sz w:val="24"/>
        </w:rPr>
        <w:t xml:space="preserve"> </w:t>
      </w:r>
      <w:r>
        <w:rPr>
          <w:rFonts w:ascii="Calibri" w:hAnsi="Calibri"/>
          <w:sz w:val="24"/>
        </w:rPr>
        <w:t>assured</w:t>
      </w:r>
      <w:r>
        <w:rPr>
          <w:rFonts w:ascii="Calibri" w:hAnsi="Calibri"/>
          <w:spacing w:val="-4"/>
          <w:sz w:val="24"/>
        </w:rPr>
        <w:t xml:space="preserve"> </w:t>
      </w:r>
      <w:r>
        <w:rPr>
          <w:rFonts w:ascii="Calibri" w:hAnsi="Calibri"/>
          <w:sz w:val="24"/>
        </w:rPr>
        <w:t>that</w:t>
      </w:r>
      <w:r>
        <w:rPr>
          <w:rFonts w:ascii="Calibri" w:hAnsi="Calibri"/>
          <w:spacing w:val="-1"/>
          <w:sz w:val="24"/>
        </w:rPr>
        <w:t xml:space="preserve"> </w:t>
      </w:r>
      <w:r>
        <w:rPr>
          <w:rFonts w:ascii="Calibri" w:hAnsi="Calibri"/>
          <w:sz w:val="24"/>
        </w:rPr>
        <w:t>ISSB standards</w:t>
      </w:r>
      <w:r>
        <w:rPr>
          <w:rFonts w:ascii="Calibri" w:hAnsi="Calibri"/>
          <w:spacing w:val="-4"/>
          <w:sz w:val="24"/>
        </w:rPr>
        <w:t xml:space="preserve"> </w:t>
      </w:r>
      <w:r>
        <w:rPr>
          <w:rFonts w:ascii="Calibri" w:hAnsi="Calibri"/>
          <w:sz w:val="24"/>
        </w:rPr>
        <w:t>will</w:t>
      </w:r>
      <w:r>
        <w:rPr>
          <w:rFonts w:ascii="Calibri" w:hAnsi="Calibri"/>
          <w:spacing w:val="-4"/>
          <w:sz w:val="24"/>
        </w:rPr>
        <w:t xml:space="preserve"> </w:t>
      </w:r>
      <w:r>
        <w:rPr>
          <w:rFonts w:ascii="Calibri" w:hAnsi="Calibri"/>
          <w:sz w:val="24"/>
        </w:rPr>
        <w:t>remain</w:t>
      </w:r>
      <w:r>
        <w:rPr>
          <w:rFonts w:ascii="Calibri" w:hAnsi="Calibri"/>
          <w:spacing w:val="-3"/>
          <w:sz w:val="24"/>
        </w:rPr>
        <w:t xml:space="preserve"> </w:t>
      </w:r>
      <w:r>
        <w:rPr>
          <w:rFonts w:ascii="Calibri" w:hAnsi="Calibri"/>
          <w:sz w:val="24"/>
        </w:rPr>
        <w:t>relevant</w:t>
      </w:r>
      <w:r>
        <w:rPr>
          <w:rFonts w:ascii="Calibri" w:hAnsi="Calibri"/>
          <w:spacing w:val="-3"/>
          <w:sz w:val="24"/>
        </w:rPr>
        <w:t xml:space="preserve"> </w:t>
      </w:r>
      <w:r>
        <w:rPr>
          <w:rFonts w:ascii="Calibri" w:hAnsi="Calibri"/>
          <w:sz w:val="24"/>
        </w:rPr>
        <w:t>as</w:t>
      </w:r>
      <w:r>
        <w:rPr>
          <w:rFonts w:ascii="Calibri" w:hAnsi="Calibri"/>
          <w:spacing w:val="-3"/>
          <w:sz w:val="24"/>
        </w:rPr>
        <w:t xml:space="preserve"> </w:t>
      </w:r>
      <w:r>
        <w:rPr>
          <w:rFonts w:ascii="Calibri" w:hAnsi="Calibri"/>
          <w:sz w:val="24"/>
        </w:rPr>
        <w:t>they</w:t>
      </w:r>
      <w:r>
        <w:rPr>
          <w:rFonts w:ascii="Calibri" w:hAnsi="Calibri"/>
          <w:spacing w:val="-3"/>
          <w:sz w:val="24"/>
        </w:rPr>
        <w:t xml:space="preserve"> </w:t>
      </w:r>
      <w:r>
        <w:rPr>
          <w:rFonts w:ascii="Calibri" w:hAnsi="Calibri"/>
          <w:sz w:val="24"/>
        </w:rPr>
        <w:t>are</w:t>
      </w:r>
      <w:r>
        <w:rPr>
          <w:rFonts w:ascii="Calibri" w:hAnsi="Calibri"/>
          <w:spacing w:val="-2"/>
          <w:sz w:val="24"/>
        </w:rPr>
        <w:t xml:space="preserve"> </w:t>
      </w:r>
      <w:r>
        <w:rPr>
          <w:rFonts w:ascii="Calibri" w:hAnsi="Calibri"/>
          <w:sz w:val="24"/>
        </w:rPr>
        <w:t>about</w:t>
      </w:r>
      <w:r>
        <w:rPr>
          <w:rFonts w:ascii="Calibri" w:hAnsi="Calibri"/>
          <w:spacing w:val="-1"/>
          <w:sz w:val="24"/>
        </w:rPr>
        <w:t xml:space="preserve"> </w:t>
      </w:r>
      <w:r>
        <w:rPr>
          <w:rFonts w:ascii="Calibri" w:hAnsi="Calibri"/>
          <w:sz w:val="24"/>
        </w:rPr>
        <w:t>reporting</w:t>
      </w:r>
      <w:r>
        <w:rPr>
          <w:rFonts w:ascii="Calibri" w:hAnsi="Calibri"/>
          <w:spacing w:val="-4"/>
          <w:sz w:val="24"/>
        </w:rPr>
        <w:t xml:space="preserve"> </w:t>
      </w:r>
      <w:r>
        <w:rPr>
          <w:rFonts w:ascii="Calibri" w:hAnsi="Calibri"/>
          <w:sz w:val="24"/>
        </w:rPr>
        <w:t>an</w:t>
      </w:r>
      <w:r>
        <w:rPr>
          <w:rFonts w:ascii="Calibri" w:hAnsi="Calibri"/>
          <w:spacing w:val="-3"/>
          <w:sz w:val="24"/>
        </w:rPr>
        <w:t xml:space="preserve"> </w:t>
      </w:r>
      <w:r>
        <w:rPr>
          <w:rFonts w:ascii="Calibri" w:hAnsi="Calibri"/>
          <w:sz w:val="24"/>
        </w:rPr>
        <w:t>entity's</w:t>
      </w:r>
      <w:r>
        <w:rPr>
          <w:rFonts w:ascii="Calibri" w:hAnsi="Calibri"/>
          <w:spacing w:val="-3"/>
          <w:sz w:val="24"/>
        </w:rPr>
        <w:t xml:space="preserve"> </w:t>
      </w:r>
      <w:r>
        <w:rPr>
          <w:rFonts w:ascii="Calibri" w:hAnsi="Calibri"/>
          <w:sz w:val="24"/>
        </w:rPr>
        <w:t>resilience rather than merely about reporting ESG issues.</w:t>
      </w:r>
    </w:p>
    <w:p w14:paraId="1E805E73" w14:textId="77777777" w:rsidR="00AA4A02" w:rsidRDefault="00960F31">
      <w:pPr>
        <w:pStyle w:val="ListParagraph"/>
        <w:numPr>
          <w:ilvl w:val="1"/>
          <w:numId w:val="8"/>
        </w:numPr>
        <w:tabs>
          <w:tab w:val="left" w:pos="1985"/>
        </w:tabs>
        <w:spacing w:before="60"/>
        <w:ind w:right="165"/>
        <w:rPr>
          <w:rFonts w:ascii="Calibri" w:hAnsi="Calibri"/>
          <w:sz w:val="24"/>
        </w:rPr>
      </w:pPr>
      <w:r>
        <w:rPr>
          <w:rFonts w:ascii="Calibri" w:hAnsi="Calibri"/>
          <w:sz w:val="24"/>
        </w:rPr>
        <w:t>The ISSB's jurisdictional adopters working group has been expanded to a group</w:t>
      </w:r>
      <w:r>
        <w:rPr>
          <w:rFonts w:ascii="Calibri" w:hAnsi="Calibri"/>
          <w:spacing w:val="40"/>
          <w:sz w:val="24"/>
        </w:rPr>
        <w:t xml:space="preserve"> </w:t>
      </w:r>
      <w:r>
        <w:rPr>
          <w:rFonts w:ascii="Calibri" w:hAnsi="Calibri"/>
          <w:sz w:val="24"/>
        </w:rPr>
        <w:t>of 40 jurisdictions. The group’s remit will focus on ISSB passporting “…which would allow, in those jurisdictions, foreign private issuers and subsidiaries of international companies that operate in a domestic jurisdiction to report against the</w:t>
      </w:r>
      <w:r>
        <w:rPr>
          <w:rFonts w:ascii="Calibri" w:hAnsi="Calibri"/>
          <w:spacing w:val="-4"/>
          <w:sz w:val="24"/>
        </w:rPr>
        <w:t xml:space="preserve"> </w:t>
      </w:r>
      <w:r>
        <w:rPr>
          <w:rFonts w:ascii="Calibri" w:hAnsi="Calibri"/>
          <w:sz w:val="24"/>
        </w:rPr>
        <w:t>requirements</w:t>
      </w:r>
      <w:r>
        <w:rPr>
          <w:rFonts w:ascii="Calibri" w:hAnsi="Calibri"/>
          <w:spacing w:val="-3"/>
          <w:sz w:val="24"/>
        </w:rPr>
        <w:t xml:space="preserve"> </w:t>
      </w:r>
      <w:r>
        <w:rPr>
          <w:rFonts w:ascii="Calibri" w:hAnsi="Calibri"/>
          <w:sz w:val="24"/>
        </w:rPr>
        <w:t>in</w:t>
      </w:r>
      <w:r>
        <w:rPr>
          <w:rFonts w:ascii="Calibri" w:hAnsi="Calibri"/>
          <w:spacing w:val="-4"/>
          <w:sz w:val="24"/>
        </w:rPr>
        <w:t xml:space="preserve"> </w:t>
      </w:r>
      <w:r>
        <w:rPr>
          <w:rFonts w:ascii="Calibri" w:hAnsi="Calibri"/>
          <w:sz w:val="24"/>
        </w:rPr>
        <w:t>that</w:t>
      </w:r>
      <w:r>
        <w:rPr>
          <w:rFonts w:ascii="Calibri" w:hAnsi="Calibri"/>
          <w:spacing w:val="-6"/>
          <w:sz w:val="24"/>
        </w:rPr>
        <w:t xml:space="preserve"> </w:t>
      </w:r>
      <w:r>
        <w:rPr>
          <w:rFonts w:ascii="Calibri" w:hAnsi="Calibri"/>
          <w:sz w:val="24"/>
        </w:rPr>
        <w:t>particular</w:t>
      </w:r>
      <w:r>
        <w:rPr>
          <w:rFonts w:ascii="Calibri" w:hAnsi="Calibri"/>
          <w:spacing w:val="-2"/>
          <w:sz w:val="24"/>
        </w:rPr>
        <w:t xml:space="preserve"> </w:t>
      </w:r>
      <w:r>
        <w:rPr>
          <w:rFonts w:ascii="Calibri" w:hAnsi="Calibri"/>
          <w:sz w:val="24"/>
        </w:rPr>
        <w:t>jurisdiction</w:t>
      </w:r>
      <w:r>
        <w:rPr>
          <w:rFonts w:ascii="Calibri" w:hAnsi="Calibri"/>
          <w:spacing w:val="-4"/>
          <w:sz w:val="24"/>
        </w:rPr>
        <w:t xml:space="preserve"> </w:t>
      </w:r>
      <w:r>
        <w:rPr>
          <w:rFonts w:ascii="Calibri" w:hAnsi="Calibri"/>
          <w:sz w:val="24"/>
        </w:rPr>
        <w:t>using</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ISSB</w:t>
      </w:r>
      <w:r>
        <w:rPr>
          <w:rFonts w:ascii="Calibri" w:hAnsi="Calibri"/>
          <w:spacing w:val="-3"/>
          <w:sz w:val="24"/>
        </w:rPr>
        <w:t xml:space="preserve"> </w:t>
      </w:r>
      <w:r>
        <w:rPr>
          <w:rFonts w:ascii="Calibri" w:hAnsi="Calibri"/>
          <w:sz w:val="24"/>
        </w:rPr>
        <w:t>Standards</w:t>
      </w:r>
      <w:r>
        <w:rPr>
          <w:rFonts w:ascii="Calibri" w:hAnsi="Calibri"/>
          <w:spacing w:val="-3"/>
          <w:sz w:val="24"/>
        </w:rPr>
        <w:t xml:space="preserve"> </w:t>
      </w:r>
      <w:r>
        <w:rPr>
          <w:rFonts w:ascii="Calibri" w:hAnsi="Calibri"/>
          <w:sz w:val="24"/>
        </w:rPr>
        <w:t>as</w:t>
      </w:r>
      <w:r>
        <w:rPr>
          <w:rFonts w:ascii="Calibri" w:hAnsi="Calibri"/>
          <w:spacing w:val="-5"/>
          <w:sz w:val="24"/>
        </w:rPr>
        <w:t xml:space="preserve"> </w:t>
      </w:r>
      <w:r>
        <w:rPr>
          <w:rFonts w:ascii="Calibri" w:hAnsi="Calibri"/>
          <w:sz w:val="24"/>
        </w:rPr>
        <w:t>issued by the ISSB.”</w:t>
      </w:r>
    </w:p>
    <w:p w14:paraId="1E805E74" w14:textId="77777777" w:rsidR="00AA4A02" w:rsidRDefault="00AA4A02">
      <w:pPr>
        <w:pStyle w:val="ListParagraph"/>
        <w:rPr>
          <w:rFonts w:ascii="Calibri" w:hAnsi="Calibri"/>
          <w:sz w:val="24"/>
        </w:rPr>
        <w:sectPr w:rsidR="00AA4A02">
          <w:headerReference w:type="default" r:id="rId214"/>
          <w:footerReference w:type="default" r:id="rId215"/>
          <w:pgSz w:w="11910" w:h="16840"/>
          <w:pgMar w:top="1360" w:right="1275" w:bottom="1240" w:left="566" w:header="0" w:footer="1048" w:gutter="0"/>
          <w:cols w:space="720"/>
        </w:sectPr>
      </w:pPr>
    </w:p>
    <w:p w14:paraId="1E805E75" w14:textId="77777777" w:rsidR="00AA4A02" w:rsidRDefault="00960F31">
      <w:pPr>
        <w:pStyle w:val="ListParagraph"/>
        <w:numPr>
          <w:ilvl w:val="0"/>
          <w:numId w:val="8"/>
        </w:numPr>
        <w:tabs>
          <w:tab w:val="left" w:pos="1418"/>
        </w:tabs>
        <w:spacing w:before="78"/>
        <w:ind w:right="190"/>
        <w:jc w:val="both"/>
        <w:rPr>
          <w:rFonts w:ascii="Calibri" w:hAnsi="Calibri"/>
          <w:sz w:val="24"/>
        </w:rPr>
      </w:pPr>
      <w:r>
        <w:rPr>
          <w:rFonts w:ascii="Calibri" w:hAnsi="Calibri"/>
          <w:sz w:val="24"/>
        </w:rPr>
        <w:lastRenderedPageBreak/>
        <w:t>The</w:t>
      </w:r>
      <w:r>
        <w:rPr>
          <w:rFonts w:ascii="Calibri" w:hAnsi="Calibri"/>
          <w:spacing w:val="-1"/>
          <w:sz w:val="24"/>
        </w:rPr>
        <w:t xml:space="preserve"> </w:t>
      </w:r>
      <w:r>
        <w:rPr>
          <w:rFonts w:ascii="Calibri" w:hAnsi="Calibri"/>
          <w:sz w:val="24"/>
        </w:rPr>
        <w:t>ISSB</w:t>
      </w:r>
      <w:r>
        <w:rPr>
          <w:rFonts w:ascii="Calibri" w:hAnsi="Calibri"/>
          <w:spacing w:val="-5"/>
          <w:sz w:val="24"/>
        </w:rPr>
        <w:t xml:space="preserve"> </w:t>
      </w:r>
      <w:r>
        <w:rPr>
          <w:rFonts w:ascii="Calibri" w:hAnsi="Calibri"/>
          <w:sz w:val="24"/>
        </w:rPr>
        <w:t>has</w:t>
      </w:r>
      <w:r>
        <w:rPr>
          <w:rFonts w:ascii="Calibri" w:hAnsi="Calibri"/>
          <w:spacing w:val="-2"/>
          <w:sz w:val="24"/>
        </w:rPr>
        <w:t xml:space="preserve"> </w:t>
      </w:r>
      <w:r>
        <w:rPr>
          <w:rFonts w:ascii="Calibri" w:hAnsi="Calibri"/>
          <w:sz w:val="24"/>
        </w:rPr>
        <w:t>also</w:t>
      </w:r>
      <w:r>
        <w:rPr>
          <w:rFonts w:ascii="Calibri" w:hAnsi="Calibri"/>
          <w:spacing w:val="-3"/>
          <w:sz w:val="24"/>
        </w:rPr>
        <w:t xml:space="preserve"> </w:t>
      </w:r>
      <w:r>
        <w:rPr>
          <w:rFonts w:ascii="Calibri" w:hAnsi="Calibri"/>
          <w:sz w:val="24"/>
        </w:rPr>
        <w:t>agreed</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propose</w:t>
      </w:r>
      <w:r>
        <w:rPr>
          <w:rFonts w:ascii="Calibri" w:hAnsi="Calibri"/>
          <w:spacing w:val="-1"/>
          <w:sz w:val="24"/>
        </w:rPr>
        <w:t xml:space="preserve"> </w:t>
      </w:r>
      <w:r>
        <w:rPr>
          <w:rFonts w:ascii="Calibri" w:hAnsi="Calibri"/>
          <w:sz w:val="24"/>
        </w:rPr>
        <w:t>requirements</w:t>
      </w:r>
      <w:r>
        <w:rPr>
          <w:rFonts w:ascii="Calibri" w:hAnsi="Calibri"/>
          <w:spacing w:val="-4"/>
          <w:sz w:val="24"/>
        </w:rPr>
        <w:t xml:space="preserve"> </w:t>
      </w:r>
      <w:r>
        <w:rPr>
          <w:rFonts w:ascii="Calibri" w:hAnsi="Calibri"/>
          <w:sz w:val="24"/>
        </w:rPr>
        <w:t>for</w:t>
      </w:r>
      <w:r>
        <w:rPr>
          <w:rFonts w:ascii="Calibri" w:hAnsi="Calibri"/>
          <w:spacing w:val="-4"/>
          <w:sz w:val="24"/>
        </w:rPr>
        <w:t xml:space="preserve"> </w:t>
      </w:r>
      <w:hyperlink r:id="rId216">
        <w:r>
          <w:rPr>
            <w:rFonts w:ascii="Calibri" w:hAnsi="Calibri"/>
            <w:color w:val="44536A"/>
            <w:sz w:val="24"/>
          </w:rPr>
          <w:t>nature-related disclosures</w:t>
        </w:r>
      </w:hyperlink>
      <w:r>
        <w:rPr>
          <w:rFonts w:ascii="Calibri" w:hAnsi="Calibri"/>
          <w:color w:val="44536A"/>
          <w:spacing w:val="-2"/>
          <w:sz w:val="24"/>
        </w:rPr>
        <w:t xml:space="preserve"> </w:t>
      </w:r>
      <w:r>
        <w:rPr>
          <w:rFonts w:ascii="Calibri" w:hAnsi="Calibri"/>
          <w:sz w:val="24"/>
        </w:rPr>
        <w:t>in</w:t>
      </w:r>
      <w:r>
        <w:rPr>
          <w:rFonts w:ascii="Calibri" w:hAnsi="Calibri"/>
          <w:spacing w:val="-3"/>
          <w:sz w:val="24"/>
        </w:rPr>
        <w:t xml:space="preserve"> </w:t>
      </w:r>
      <w:r>
        <w:rPr>
          <w:rFonts w:ascii="Calibri" w:hAnsi="Calibri"/>
          <w:sz w:val="24"/>
        </w:rPr>
        <w:t>the form of an IFRS Practice Statement.</w:t>
      </w:r>
    </w:p>
    <w:p w14:paraId="1E805E76" w14:textId="77777777" w:rsidR="00AA4A02" w:rsidRDefault="00960F31">
      <w:pPr>
        <w:pStyle w:val="ListParagraph"/>
        <w:numPr>
          <w:ilvl w:val="1"/>
          <w:numId w:val="8"/>
        </w:numPr>
        <w:tabs>
          <w:tab w:val="left" w:pos="1985"/>
        </w:tabs>
        <w:spacing w:before="120"/>
        <w:ind w:right="608"/>
        <w:jc w:val="both"/>
        <w:rPr>
          <w:rFonts w:ascii="Calibri" w:hAnsi="Calibri"/>
          <w:sz w:val="24"/>
        </w:rPr>
      </w:pPr>
      <w:r>
        <w:rPr>
          <w:rFonts w:ascii="Calibri" w:hAnsi="Calibri"/>
          <w:sz w:val="24"/>
        </w:rPr>
        <w:t>The ISSB’s existing Standards already require companies to provide material information</w:t>
      </w:r>
      <w:r>
        <w:rPr>
          <w:rFonts w:ascii="Calibri" w:hAnsi="Calibri"/>
          <w:spacing w:val="-3"/>
          <w:sz w:val="24"/>
        </w:rPr>
        <w:t xml:space="preserve"> </w:t>
      </w:r>
      <w:r>
        <w:rPr>
          <w:rFonts w:ascii="Calibri" w:hAnsi="Calibri"/>
          <w:sz w:val="24"/>
        </w:rPr>
        <w:t>about</w:t>
      </w:r>
      <w:r>
        <w:rPr>
          <w:rFonts w:ascii="Calibri" w:hAnsi="Calibri"/>
          <w:spacing w:val="-6"/>
          <w:sz w:val="24"/>
        </w:rPr>
        <w:t xml:space="preserve"> </w:t>
      </w:r>
      <w:r>
        <w:rPr>
          <w:rFonts w:ascii="Calibri" w:hAnsi="Calibri"/>
          <w:sz w:val="24"/>
        </w:rPr>
        <w:t>all</w:t>
      </w:r>
      <w:r>
        <w:rPr>
          <w:rFonts w:ascii="Calibri" w:hAnsi="Calibri"/>
          <w:spacing w:val="-4"/>
          <w:sz w:val="24"/>
        </w:rPr>
        <w:t xml:space="preserve"> </w:t>
      </w:r>
      <w:r>
        <w:rPr>
          <w:rFonts w:ascii="Calibri" w:hAnsi="Calibri"/>
          <w:sz w:val="24"/>
        </w:rPr>
        <w:t>sustainability-related</w:t>
      </w:r>
      <w:r>
        <w:rPr>
          <w:rFonts w:ascii="Calibri" w:hAnsi="Calibri"/>
          <w:spacing w:val="-6"/>
          <w:sz w:val="24"/>
        </w:rPr>
        <w:t xml:space="preserve"> </w:t>
      </w:r>
      <w:r>
        <w:rPr>
          <w:rFonts w:ascii="Calibri" w:hAnsi="Calibri"/>
          <w:sz w:val="24"/>
        </w:rPr>
        <w:t>risks</w:t>
      </w:r>
      <w:r>
        <w:rPr>
          <w:rFonts w:ascii="Calibri" w:hAnsi="Calibri"/>
          <w:spacing w:val="-5"/>
          <w:sz w:val="24"/>
        </w:rPr>
        <w:t xml:space="preserve"> </w:t>
      </w:r>
      <w:r>
        <w:rPr>
          <w:rFonts w:ascii="Calibri" w:hAnsi="Calibri"/>
          <w:sz w:val="24"/>
        </w:rPr>
        <w:t>and</w:t>
      </w:r>
      <w:r>
        <w:rPr>
          <w:rFonts w:ascii="Calibri" w:hAnsi="Calibri"/>
          <w:spacing w:val="-6"/>
          <w:sz w:val="24"/>
        </w:rPr>
        <w:t xml:space="preserve"> </w:t>
      </w:r>
      <w:r>
        <w:rPr>
          <w:rFonts w:ascii="Calibri" w:hAnsi="Calibri"/>
          <w:sz w:val="24"/>
        </w:rPr>
        <w:t>opportunities,</w:t>
      </w:r>
      <w:r>
        <w:rPr>
          <w:rFonts w:ascii="Calibri" w:hAnsi="Calibri"/>
          <w:spacing w:val="-7"/>
          <w:sz w:val="24"/>
        </w:rPr>
        <w:t xml:space="preserve"> </w:t>
      </w:r>
      <w:r>
        <w:rPr>
          <w:rFonts w:ascii="Calibri" w:hAnsi="Calibri"/>
          <w:sz w:val="24"/>
        </w:rPr>
        <w:t>including nature-related risks and opportunities that could reasonably be expected to affect a company’s prospects.</w:t>
      </w:r>
    </w:p>
    <w:p w14:paraId="1E805E77" w14:textId="77777777" w:rsidR="00AA4A02" w:rsidRDefault="00960F31">
      <w:pPr>
        <w:pStyle w:val="ListParagraph"/>
        <w:numPr>
          <w:ilvl w:val="1"/>
          <w:numId w:val="8"/>
        </w:numPr>
        <w:tabs>
          <w:tab w:val="left" w:pos="1985"/>
        </w:tabs>
        <w:spacing w:before="62"/>
        <w:ind w:right="138"/>
        <w:rPr>
          <w:rFonts w:ascii="Calibri" w:hAnsi="Calibri"/>
          <w:sz w:val="24"/>
        </w:rPr>
      </w:pPr>
      <w:r>
        <w:rPr>
          <w:rFonts w:ascii="Calibri" w:hAnsi="Calibri"/>
          <w:sz w:val="24"/>
        </w:rPr>
        <w:t>The Practice Statement would complement IFRS S1 General Requirements for Disclosure of Sustainability-related Financial Information and IFRS S2 Climate-related</w:t>
      </w:r>
      <w:r>
        <w:rPr>
          <w:rFonts w:ascii="Calibri" w:hAnsi="Calibri"/>
          <w:spacing w:val="-3"/>
          <w:sz w:val="24"/>
        </w:rPr>
        <w:t xml:space="preserve"> </w:t>
      </w:r>
      <w:r>
        <w:rPr>
          <w:rFonts w:ascii="Calibri" w:hAnsi="Calibri"/>
          <w:sz w:val="24"/>
        </w:rPr>
        <w:t>Disclosures,</w:t>
      </w:r>
      <w:r>
        <w:rPr>
          <w:rFonts w:ascii="Calibri" w:hAnsi="Calibri"/>
          <w:spacing w:val="-4"/>
          <w:sz w:val="24"/>
        </w:rPr>
        <w:t xml:space="preserve"> </w:t>
      </w:r>
      <w:r>
        <w:rPr>
          <w:rFonts w:ascii="Calibri" w:hAnsi="Calibri"/>
          <w:sz w:val="24"/>
        </w:rPr>
        <w:t>without</w:t>
      </w:r>
      <w:r>
        <w:rPr>
          <w:rFonts w:ascii="Calibri" w:hAnsi="Calibri"/>
          <w:spacing w:val="-3"/>
          <w:sz w:val="24"/>
        </w:rPr>
        <w:t xml:space="preserve"> </w:t>
      </w:r>
      <w:r>
        <w:rPr>
          <w:rFonts w:ascii="Calibri" w:hAnsi="Calibri"/>
          <w:sz w:val="24"/>
        </w:rPr>
        <w:t>changing</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requirements</w:t>
      </w:r>
      <w:r>
        <w:rPr>
          <w:rFonts w:ascii="Calibri" w:hAnsi="Calibri"/>
          <w:spacing w:val="-4"/>
          <w:sz w:val="24"/>
        </w:rPr>
        <w:t xml:space="preserve"> </w:t>
      </w:r>
      <w:r>
        <w:rPr>
          <w:rFonts w:ascii="Calibri" w:hAnsi="Calibri"/>
          <w:sz w:val="24"/>
        </w:rPr>
        <w:t>in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Standards.</w:t>
      </w:r>
      <w:r>
        <w:rPr>
          <w:rFonts w:ascii="Calibri" w:hAnsi="Calibri"/>
          <w:spacing w:val="-5"/>
          <w:sz w:val="24"/>
        </w:rPr>
        <w:t xml:space="preserve"> </w:t>
      </w:r>
      <w:r>
        <w:rPr>
          <w:rFonts w:ascii="Calibri" w:hAnsi="Calibri"/>
          <w:sz w:val="24"/>
        </w:rPr>
        <w:t>When</w:t>
      </w:r>
      <w:r>
        <w:rPr>
          <w:rFonts w:ascii="Calibri" w:hAnsi="Calibri"/>
          <w:spacing w:val="-3"/>
          <w:sz w:val="24"/>
        </w:rPr>
        <w:t xml:space="preserve"> </w:t>
      </w:r>
      <w:r>
        <w:rPr>
          <w:rFonts w:ascii="Calibri" w:hAnsi="Calibri"/>
          <w:sz w:val="24"/>
        </w:rPr>
        <w:t>a company needs to provide information about nature-related risks and opportunities in accordance with IFRS S1, the Practice Statement would explain how to do this. This form of standard-setting therefore minimises disruption, which is particularly important because companies and jurisdictions are in the process of implementing and adopting the ISSB Standards.</w:t>
      </w:r>
    </w:p>
    <w:p w14:paraId="1E805E78" w14:textId="77777777" w:rsidR="00AA4A02" w:rsidRDefault="00AA4A02">
      <w:pPr>
        <w:pStyle w:val="ListParagraph"/>
        <w:rPr>
          <w:rFonts w:ascii="Calibri" w:hAnsi="Calibri"/>
          <w:sz w:val="24"/>
        </w:rPr>
        <w:sectPr w:rsidR="00AA4A02">
          <w:headerReference w:type="default" r:id="rId217"/>
          <w:footerReference w:type="default" r:id="rId218"/>
          <w:pgSz w:w="11910" w:h="16840"/>
          <w:pgMar w:top="1320" w:right="1275" w:bottom="1240" w:left="566" w:header="0" w:footer="1048" w:gutter="0"/>
          <w:cols w:space="720"/>
        </w:sectPr>
      </w:pPr>
    </w:p>
    <w:p w14:paraId="1E805E79" w14:textId="77777777" w:rsidR="00AA4A02" w:rsidRDefault="00960F31">
      <w:pPr>
        <w:pStyle w:val="Heading8"/>
        <w:spacing w:before="39"/>
      </w:pPr>
      <w:r>
        <w:rPr>
          <w:spacing w:val="-4"/>
        </w:rPr>
        <w:lastRenderedPageBreak/>
        <w:t>IASB</w:t>
      </w:r>
    </w:p>
    <w:p w14:paraId="1E805E7A" w14:textId="77777777" w:rsidR="00AA4A02" w:rsidRDefault="00960F31">
      <w:pPr>
        <w:pStyle w:val="ListParagraph"/>
        <w:numPr>
          <w:ilvl w:val="0"/>
          <w:numId w:val="8"/>
        </w:numPr>
        <w:tabs>
          <w:tab w:val="left" w:pos="1418"/>
        </w:tabs>
        <w:spacing w:before="119"/>
        <w:ind w:right="166"/>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IASB</w:t>
      </w:r>
      <w:r>
        <w:rPr>
          <w:rFonts w:ascii="Calibri" w:hAnsi="Calibri"/>
          <w:spacing w:val="-5"/>
          <w:sz w:val="24"/>
        </w:rPr>
        <w:t xml:space="preserve"> </w:t>
      </w:r>
      <w:r>
        <w:rPr>
          <w:rFonts w:ascii="Calibri" w:hAnsi="Calibri"/>
          <w:sz w:val="24"/>
        </w:rPr>
        <w:t>has</w:t>
      </w:r>
      <w:r>
        <w:rPr>
          <w:rFonts w:ascii="Calibri" w:hAnsi="Calibri"/>
          <w:spacing w:val="-4"/>
          <w:sz w:val="24"/>
        </w:rPr>
        <w:t xml:space="preserve"> </w:t>
      </w:r>
      <w:r>
        <w:rPr>
          <w:rFonts w:ascii="Calibri" w:hAnsi="Calibri"/>
          <w:sz w:val="24"/>
        </w:rPr>
        <w:t>published</w:t>
      </w:r>
      <w:r>
        <w:rPr>
          <w:rFonts w:ascii="Calibri" w:hAnsi="Calibri"/>
          <w:spacing w:val="-1"/>
          <w:sz w:val="24"/>
        </w:rPr>
        <w:t xml:space="preserve"> </w:t>
      </w:r>
      <w:r>
        <w:rPr>
          <w:rFonts w:ascii="Calibri" w:hAnsi="Calibri"/>
          <w:sz w:val="24"/>
        </w:rPr>
        <w:t>an</w:t>
      </w:r>
      <w:r>
        <w:rPr>
          <w:rFonts w:ascii="Calibri" w:hAnsi="Calibri"/>
          <w:spacing w:val="-1"/>
          <w:sz w:val="24"/>
        </w:rPr>
        <w:t xml:space="preserve"> </w:t>
      </w:r>
      <w:r>
        <w:rPr>
          <w:rFonts w:ascii="Calibri" w:hAnsi="Calibri"/>
          <w:sz w:val="24"/>
        </w:rPr>
        <w:t>Exposure</w:t>
      </w:r>
      <w:r>
        <w:rPr>
          <w:rFonts w:ascii="Calibri" w:hAnsi="Calibri"/>
          <w:spacing w:val="-4"/>
          <w:sz w:val="24"/>
        </w:rPr>
        <w:t xml:space="preserve"> </w:t>
      </w:r>
      <w:r>
        <w:rPr>
          <w:rFonts w:ascii="Calibri" w:hAnsi="Calibri"/>
          <w:sz w:val="24"/>
        </w:rPr>
        <w:t>Draft</w:t>
      </w:r>
      <w:r>
        <w:rPr>
          <w:rFonts w:ascii="Calibri" w:hAnsi="Calibri"/>
          <w:spacing w:val="-4"/>
          <w:sz w:val="24"/>
        </w:rPr>
        <w:t xml:space="preserve"> </w:t>
      </w:r>
      <w:r>
        <w:rPr>
          <w:rFonts w:ascii="Calibri" w:hAnsi="Calibri"/>
          <w:sz w:val="24"/>
        </w:rPr>
        <w:t>proposing</w:t>
      </w:r>
      <w:r>
        <w:rPr>
          <w:rFonts w:ascii="Calibri" w:hAnsi="Calibri"/>
          <w:spacing w:val="-3"/>
          <w:sz w:val="24"/>
        </w:rPr>
        <w:t xml:space="preserve"> </w:t>
      </w:r>
      <w:hyperlink r:id="rId219">
        <w:r>
          <w:rPr>
            <w:rFonts w:ascii="Calibri" w:hAnsi="Calibri"/>
            <w:color w:val="44536A"/>
            <w:sz w:val="24"/>
            <w:u w:val="single" w:color="44536A"/>
          </w:rPr>
          <w:t>narrow-scope</w:t>
        </w:r>
        <w:r>
          <w:rPr>
            <w:rFonts w:ascii="Calibri" w:hAnsi="Calibri"/>
            <w:color w:val="44536A"/>
            <w:spacing w:val="-4"/>
            <w:sz w:val="24"/>
            <w:u w:val="single" w:color="44536A"/>
          </w:rPr>
          <w:t xml:space="preserve"> </w:t>
        </w:r>
        <w:r>
          <w:rPr>
            <w:rFonts w:ascii="Calibri" w:hAnsi="Calibri"/>
            <w:color w:val="44536A"/>
            <w:sz w:val="24"/>
            <w:u w:val="single" w:color="44536A"/>
          </w:rPr>
          <w:t>amendments</w:t>
        </w:r>
        <w:r>
          <w:rPr>
            <w:rFonts w:ascii="Calibri" w:hAnsi="Calibri"/>
            <w:color w:val="44536A"/>
            <w:spacing w:val="-4"/>
            <w:sz w:val="24"/>
            <w:u w:val="single" w:color="44536A"/>
          </w:rPr>
          <w:t xml:space="preserve"> </w:t>
        </w:r>
        <w:r>
          <w:rPr>
            <w:rFonts w:ascii="Calibri" w:hAnsi="Calibri"/>
            <w:color w:val="44536A"/>
            <w:sz w:val="24"/>
            <w:u w:val="single" w:color="44536A"/>
          </w:rPr>
          <w:t>to</w:t>
        </w:r>
        <w:r>
          <w:rPr>
            <w:rFonts w:ascii="Calibri" w:hAnsi="Calibri"/>
            <w:color w:val="44536A"/>
            <w:spacing w:val="-4"/>
            <w:sz w:val="24"/>
            <w:u w:val="single" w:color="44536A"/>
          </w:rPr>
          <w:t xml:space="preserve"> </w:t>
        </w:r>
        <w:r>
          <w:rPr>
            <w:rFonts w:ascii="Calibri" w:hAnsi="Calibri"/>
            <w:color w:val="44536A"/>
            <w:sz w:val="24"/>
            <w:u w:val="single" w:color="44536A"/>
          </w:rPr>
          <w:t>the</w:t>
        </w:r>
      </w:hyperlink>
      <w:r>
        <w:rPr>
          <w:rFonts w:ascii="Calibri" w:hAnsi="Calibri"/>
          <w:color w:val="44536A"/>
          <w:sz w:val="24"/>
        </w:rPr>
        <w:t xml:space="preserve"> </w:t>
      </w:r>
      <w:hyperlink r:id="rId220">
        <w:r>
          <w:rPr>
            <w:rFonts w:ascii="Calibri" w:hAnsi="Calibri"/>
            <w:color w:val="44536A"/>
            <w:sz w:val="24"/>
            <w:u w:val="single" w:color="44536A"/>
          </w:rPr>
          <w:t>IFRS for SMEs</w:t>
        </w:r>
        <w:r>
          <w:rPr>
            <w:rFonts w:ascii="Calibri" w:hAnsi="Calibri"/>
            <w:color w:val="44536A"/>
            <w:spacing w:val="-1"/>
            <w:sz w:val="24"/>
            <w:u w:val="single" w:color="44536A"/>
          </w:rPr>
          <w:t xml:space="preserve"> </w:t>
        </w:r>
        <w:r>
          <w:rPr>
            <w:rFonts w:ascii="Calibri" w:hAnsi="Calibri"/>
            <w:color w:val="44536A"/>
            <w:sz w:val="24"/>
            <w:u w:val="single" w:color="44536A"/>
          </w:rPr>
          <w:t>Accounting</w:t>
        </w:r>
        <w:r>
          <w:rPr>
            <w:rFonts w:ascii="Calibri" w:hAnsi="Calibri"/>
            <w:color w:val="44536A"/>
            <w:spacing w:val="-1"/>
            <w:sz w:val="24"/>
            <w:u w:val="single" w:color="44536A"/>
          </w:rPr>
          <w:t xml:space="preserve"> </w:t>
        </w:r>
        <w:r>
          <w:rPr>
            <w:rFonts w:ascii="Calibri" w:hAnsi="Calibri"/>
            <w:color w:val="44536A"/>
            <w:sz w:val="24"/>
            <w:u w:val="single" w:color="44536A"/>
          </w:rPr>
          <w:t>Standard</w:t>
        </w:r>
      </w:hyperlink>
      <w:r>
        <w:rPr>
          <w:rFonts w:ascii="Calibri" w:hAnsi="Calibri"/>
          <w:sz w:val="24"/>
        </w:rPr>
        <w:t>.</w:t>
      </w:r>
      <w:r>
        <w:rPr>
          <w:rFonts w:ascii="Calibri" w:hAnsi="Calibri"/>
          <w:spacing w:val="-1"/>
          <w:sz w:val="24"/>
        </w:rPr>
        <w:t xml:space="preserve"> </w:t>
      </w:r>
      <w:r>
        <w:rPr>
          <w:rFonts w:ascii="Calibri" w:hAnsi="Calibri"/>
          <w:sz w:val="24"/>
        </w:rPr>
        <w:t>The</w:t>
      </w:r>
      <w:r>
        <w:rPr>
          <w:rFonts w:ascii="Calibri" w:hAnsi="Calibri"/>
          <w:spacing w:val="-2"/>
          <w:sz w:val="24"/>
        </w:rPr>
        <w:t xml:space="preserve"> </w:t>
      </w:r>
      <w:r>
        <w:rPr>
          <w:rFonts w:ascii="Calibri" w:hAnsi="Calibri"/>
          <w:sz w:val="24"/>
        </w:rPr>
        <w:t>proposal</w:t>
      </w:r>
      <w:r>
        <w:rPr>
          <w:rFonts w:ascii="Calibri" w:hAnsi="Calibri"/>
          <w:spacing w:val="-3"/>
          <w:sz w:val="24"/>
        </w:rPr>
        <w:t xml:space="preserve"> </w:t>
      </w:r>
      <w:r>
        <w:rPr>
          <w:rFonts w:ascii="Calibri" w:hAnsi="Calibri"/>
          <w:sz w:val="24"/>
        </w:rPr>
        <w:t>introduces</w:t>
      </w:r>
      <w:r>
        <w:rPr>
          <w:rFonts w:ascii="Calibri" w:hAnsi="Calibri"/>
          <w:spacing w:val="-1"/>
          <w:sz w:val="24"/>
        </w:rPr>
        <w:t xml:space="preserve"> </w:t>
      </w:r>
      <w:r>
        <w:rPr>
          <w:rFonts w:ascii="Calibri" w:hAnsi="Calibri"/>
          <w:sz w:val="24"/>
        </w:rPr>
        <w:t>a consolidation exception for intermediate parents that have a parent or ultimate parent that is an investment entity and that does not produce consolidated financial statements.</w:t>
      </w:r>
    </w:p>
    <w:p w14:paraId="1E805E7B" w14:textId="77777777" w:rsidR="00AA4A02" w:rsidRDefault="00AA4A02">
      <w:pPr>
        <w:pStyle w:val="ListParagraph"/>
        <w:rPr>
          <w:rFonts w:ascii="Calibri" w:hAnsi="Calibri"/>
          <w:sz w:val="24"/>
        </w:rPr>
        <w:sectPr w:rsidR="00AA4A02">
          <w:headerReference w:type="default" r:id="rId221"/>
          <w:footerReference w:type="default" r:id="rId222"/>
          <w:pgSz w:w="11910" w:h="16840"/>
          <w:pgMar w:top="1360" w:right="1275" w:bottom="1240" w:left="566" w:header="0" w:footer="1048" w:gutter="0"/>
          <w:cols w:space="720"/>
        </w:sectPr>
      </w:pPr>
    </w:p>
    <w:p w14:paraId="1E805E7C" w14:textId="77777777" w:rsidR="00AA4A02" w:rsidRDefault="00960F31">
      <w:pPr>
        <w:pStyle w:val="Heading2"/>
        <w:spacing w:line="439" w:lineRule="exact"/>
        <w:ind w:right="143"/>
      </w:pPr>
      <w:bookmarkStart w:id="117" w:name="ATTACHMENT_B"/>
      <w:bookmarkEnd w:id="117"/>
      <w:r>
        <w:rPr>
          <w:color w:val="585858"/>
          <w:spacing w:val="-2"/>
        </w:rPr>
        <w:lastRenderedPageBreak/>
        <w:t>ATTACHMENT</w:t>
      </w:r>
      <w:r>
        <w:rPr>
          <w:color w:val="585858"/>
          <w:spacing w:val="-3"/>
        </w:rPr>
        <w:t xml:space="preserve"> </w:t>
      </w:r>
      <w:r>
        <w:rPr>
          <w:color w:val="585858"/>
          <w:spacing w:val="-10"/>
        </w:rPr>
        <w:t>B</w:t>
      </w:r>
    </w:p>
    <w:p w14:paraId="1E805E7D" w14:textId="77777777" w:rsidR="00AA4A02" w:rsidRDefault="00960F31">
      <w:pPr>
        <w:pStyle w:val="Heading5"/>
        <w:spacing w:before="0" w:line="341" w:lineRule="exact"/>
        <w:ind w:left="852"/>
      </w:pPr>
      <w:bookmarkStart w:id="118" w:name="Summary_of_march_AND_APRIL_2026_global_r"/>
      <w:bookmarkEnd w:id="118"/>
      <w:r>
        <w:t>SUMMARY</w:t>
      </w:r>
      <w:r>
        <w:rPr>
          <w:spacing w:val="-7"/>
        </w:rPr>
        <w:t xml:space="preserve"> </w:t>
      </w:r>
      <w:r>
        <w:t>OF</w:t>
      </w:r>
      <w:r>
        <w:rPr>
          <w:spacing w:val="-4"/>
        </w:rPr>
        <w:t xml:space="preserve"> </w:t>
      </w:r>
      <w:r>
        <w:t>MARCH</w:t>
      </w:r>
      <w:r>
        <w:rPr>
          <w:spacing w:val="-5"/>
        </w:rPr>
        <w:t xml:space="preserve"> </w:t>
      </w:r>
      <w:r>
        <w:t>AND</w:t>
      </w:r>
      <w:r>
        <w:rPr>
          <w:spacing w:val="-4"/>
        </w:rPr>
        <w:t xml:space="preserve"> </w:t>
      </w:r>
      <w:r>
        <w:t>APRIL</w:t>
      </w:r>
      <w:r>
        <w:rPr>
          <w:spacing w:val="-3"/>
        </w:rPr>
        <w:t xml:space="preserve"> </w:t>
      </w:r>
      <w:r>
        <w:t>2026</w:t>
      </w:r>
      <w:r>
        <w:rPr>
          <w:spacing w:val="-6"/>
        </w:rPr>
        <w:t xml:space="preserve"> </w:t>
      </w:r>
      <w:hyperlink r:id="rId223">
        <w:r>
          <w:rPr>
            <w:color w:val="44536A"/>
          </w:rPr>
          <w:t>GLOBAL</w:t>
        </w:r>
        <w:r>
          <w:rPr>
            <w:color w:val="44536A"/>
            <w:spacing w:val="-3"/>
          </w:rPr>
          <w:t xml:space="preserve"> </w:t>
        </w:r>
        <w:r>
          <w:rPr>
            <w:color w:val="44536A"/>
          </w:rPr>
          <w:t>REGULATORY</w:t>
        </w:r>
        <w:r>
          <w:rPr>
            <w:color w:val="44536A"/>
            <w:spacing w:val="-4"/>
          </w:rPr>
          <w:t xml:space="preserve"> </w:t>
        </w:r>
        <w:r>
          <w:rPr>
            <w:color w:val="44536A"/>
            <w:spacing w:val="-2"/>
          </w:rPr>
          <w:t>REPORT</w:t>
        </w:r>
      </w:hyperlink>
    </w:p>
    <w:p w14:paraId="1E805E7E" w14:textId="77777777" w:rsidR="00AA4A02" w:rsidRDefault="00960F31">
      <w:pPr>
        <w:spacing w:before="119"/>
        <w:ind w:left="852"/>
        <w:rPr>
          <w:rFonts w:ascii="Calibri"/>
          <w:b/>
        </w:rPr>
      </w:pPr>
      <w:r>
        <w:rPr>
          <w:rFonts w:ascii="Calibri"/>
          <w:b/>
          <w:u w:val="single"/>
        </w:rPr>
        <w:t>International</w:t>
      </w:r>
      <w:r>
        <w:rPr>
          <w:rFonts w:ascii="Calibri"/>
          <w:b/>
          <w:spacing w:val="-6"/>
          <w:u w:val="single"/>
        </w:rPr>
        <w:t xml:space="preserve"> </w:t>
      </w:r>
      <w:r>
        <w:rPr>
          <w:rFonts w:ascii="Calibri"/>
          <w:b/>
          <w:spacing w:val="-2"/>
          <w:u w:val="single"/>
        </w:rPr>
        <w:t>bodies</w:t>
      </w:r>
    </w:p>
    <w:p w14:paraId="1E805E7F" w14:textId="77777777" w:rsidR="00AA4A02" w:rsidRDefault="00960F31">
      <w:pPr>
        <w:spacing w:before="240"/>
        <w:ind w:left="852"/>
        <w:rPr>
          <w:rFonts w:ascii="Calibri"/>
          <w:b/>
        </w:rPr>
      </w:pPr>
      <w:r>
        <w:rPr>
          <w:rFonts w:ascii="Calibri"/>
          <w:b/>
          <w:spacing w:val="-5"/>
        </w:rPr>
        <w:t>GRI</w:t>
      </w:r>
    </w:p>
    <w:p w14:paraId="1E805E80" w14:textId="77777777" w:rsidR="00AA4A02" w:rsidRDefault="00960F31">
      <w:pPr>
        <w:pStyle w:val="BodyText"/>
        <w:spacing w:before="240"/>
        <w:ind w:left="852"/>
        <w:rPr>
          <w:rFonts w:ascii="Calibri"/>
        </w:rPr>
      </w:pPr>
      <w:hyperlink r:id="rId224">
        <w:r>
          <w:rPr>
            <w:rFonts w:ascii="Calibri"/>
            <w:color w:val="44536A"/>
            <w:u w:val="single" w:color="44536A"/>
          </w:rPr>
          <w:t>Consultation</w:t>
        </w:r>
      </w:hyperlink>
      <w:r>
        <w:rPr>
          <w:rFonts w:ascii="Calibri"/>
          <w:color w:val="44536A"/>
          <w:spacing w:val="-3"/>
        </w:rPr>
        <w:t xml:space="preserve"> </w:t>
      </w:r>
      <w:r>
        <w:rPr>
          <w:rFonts w:ascii="Calibri"/>
        </w:rPr>
        <w:t>underway</w:t>
      </w:r>
      <w:r>
        <w:rPr>
          <w:rFonts w:ascii="Calibri"/>
          <w:spacing w:val="-3"/>
        </w:rPr>
        <w:t xml:space="preserve"> </w:t>
      </w:r>
      <w:r>
        <w:rPr>
          <w:rFonts w:ascii="Calibri"/>
        </w:rPr>
        <w:t>on</w:t>
      </w:r>
      <w:r>
        <w:rPr>
          <w:rFonts w:ascii="Calibri"/>
          <w:spacing w:val="-5"/>
        </w:rPr>
        <w:t xml:space="preserve"> </w:t>
      </w:r>
      <w:r>
        <w:rPr>
          <w:rFonts w:ascii="Calibri"/>
        </w:rPr>
        <w:t>draft</w:t>
      </w:r>
      <w:r>
        <w:rPr>
          <w:rFonts w:ascii="Calibri"/>
          <w:spacing w:val="-1"/>
        </w:rPr>
        <w:t xml:space="preserve"> </w:t>
      </w:r>
      <w:r>
        <w:rPr>
          <w:rFonts w:ascii="Calibri"/>
        </w:rPr>
        <w:t>Global</w:t>
      </w:r>
      <w:r>
        <w:rPr>
          <w:rFonts w:ascii="Calibri"/>
          <w:spacing w:val="-5"/>
        </w:rPr>
        <w:t xml:space="preserve"> </w:t>
      </w:r>
      <w:r>
        <w:rPr>
          <w:rFonts w:ascii="Calibri"/>
        </w:rPr>
        <w:t>Reporting</w:t>
      </w:r>
      <w:r>
        <w:rPr>
          <w:rFonts w:ascii="Calibri"/>
          <w:spacing w:val="-3"/>
        </w:rPr>
        <w:t xml:space="preserve"> </w:t>
      </w:r>
      <w:r>
        <w:rPr>
          <w:rFonts w:ascii="Calibri"/>
        </w:rPr>
        <w:t>Initiative</w:t>
      </w:r>
      <w:r>
        <w:rPr>
          <w:rFonts w:ascii="Calibri"/>
          <w:spacing w:val="-3"/>
        </w:rPr>
        <w:t xml:space="preserve"> </w:t>
      </w:r>
      <w:r>
        <w:rPr>
          <w:rFonts w:ascii="Calibri"/>
        </w:rPr>
        <w:t>Standards</w:t>
      </w:r>
      <w:r>
        <w:rPr>
          <w:rFonts w:ascii="Calibri"/>
          <w:spacing w:val="-2"/>
        </w:rPr>
        <w:t xml:space="preserve"> </w:t>
      </w:r>
      <w:r>
        <w:rPr>
          <w:rFonts w:ascii="Calibri"/>
        </w:rPr>
        <w:t>to</w:t>
      </w:r>
      <w:r>
        <w:rPr>
          <w:rFonts w:ascii="Calibri"/>
          <w:spacing w:val="-1"/>
        </w:rPr>
        <w:t xml:space="preserve"> </w:t>
      </w:r>
      <w:r>
        <w:rPr>
          <w:rFonts w:ascii="Calibri"/>
        </w:rPr>
        <w:t>strengthen</w:t>
      </w:r>
      <w:r>
        <w:rPr>
          <w:rFonts w:ascii="Calibri"/>
          <w:spacing w:val="-3"/>
        </w:rPr>
        <w:t xml:space="preserve"> </w:t>
      </w:r>
      <w:r>
        <w:rPr>
          <w:rFonts w:ascii="Calibri"/>
        </w:rPr>
        <w:t>reporting</w:t>
      </w:r>
      <w:r>
        <w:rPr>
          <w:rFonts w:ascii="Calibri"/>
          <w:spacing w:val="-3"/>
        </w:rPr>
        <w:t xml:space="preserve"> </w:t>
      </w:r>
      <w:r>
        <w:rPr>
          <w:rFonts w:ascii="Calibri"/>
        </w:rPr>
        <w:t>on pollution impacts and management.</w:t>
      </w:r>
    </w:p>
    <w:p w14:paraId="1E805E81" w14:textId="77777777" w:rsidR="00AA4A02" w:rsidRDefault="00960F31">
      <w:pPr>
        <w:spacing w:before="241"/>
        <w:ind w:left="852"/>
        <w:rPr>
          <w:rFonts w:ascii="Calibri"/>
          <w:b/>
        </w:rPr>
      </w:pPr>
      <w:r>
        <w:rPr>
          <w:rFonts w:ascii="Calibri"/>
          <w:b/>
          <w:spacing w:val="-2"/>
        </w:rPr>
        <w:t>IOSCO</w:t>
      </w:r>
    </w:p>
    <w:p w14:paraId="1E805E82" w14:textId="77777777" w:rsidR="00AA4A02" w:rsidRDefault="00960F31">
      <w:pPr>
        <w:pStyle w:val="BodyText"/>
        <w:spacing w:before="240"/>
        <w:ind w:left="852" w:right="184"/>
        <w:jc w:val="both"/>
        <w:rPr>
          <w:rFonts w:ascii="Calibri"/>
        </w:rPr>
      </w:pPr>
      <w:r>
        <w:rPr>
          <w:rFonts w:ascii="Calibri"/>
        </w:rPr>
        <w:t>The</w:t>
      </w:r>
      <w:r>
        <w:rPr>
          <w:rFonts w:ascii="Calibri"/>
          <w:spacing w:val="-2"/>
        </w:rPr>
        <w:t xml:space="preserve"> </w:t>
      </w:r>
      <w:hyperlink r:id="rId225">
        <w:r>
          <w:rPr>
            <w:rFonts w:ascii="Calibri"/>
            <w:color w:val="44536A"/>
            <w:u w:val="single" w:color="44536A"/>
          </w:rPr>
          <w:t>call</w:t>
        </w:r>
        <w:r>
          <w:rPr>
            <w:rFonts w:ascii="Calibri"/>
            <w:color w:val="44536A"/>
            <w:spacing w:val="-3"/>
            <w:u w:val="single" w:color="44536A"/>
          </w:rPr>
          <w:t xml:space="preserve"> </w:t>
        </w:r>
        <w:r>
          <w:rPr>
            <w:rFonts w:ascii="Calibri"/>
            <w:color w:val="44536A"/>
            <w:u w:val="single" w:color="44536A"/>
          </w:rPr>
          <w:t>for</w:t>
        </w:r>
        <w:r>
          <w:rPr>
            <w:rFonts w:ascii="Calibri"/>
            <w:color w:val="44536A"/>
            <w:spacing w:val="-3"/>
            <w:u w:val="single" w:color="44536A"/>
          </w:rPr>
          <w:t xml:space="preserve"> </w:t>
        </w:r>
        <w:r>
          <w:rPr>
            <w:rFonts w:ascii="Calibri"/>
            <w:color w:val="44536A"/>
            <w:u w:val="single" w:color="44536A"/>
          </w:rPr>
          <w:t>applications</w:t>
        </w:r>
        <w:r>
          <w:rPr>
            <w:rFonts w:ascii="Calibri"/>
            <w:color w:val="44536A"/>
            <w:spacing w:val="-5"/>
            <w:u w:val="single" w:color="44536A"/>
          </w:rPr>
          <w:t xml:space="preserve"> </w:t>
        </w:r>
        <w:r>
          <w:rPr>
            <w:rFonts w:ascii="Calibri"/>
            <w:color w:val="44536A"/>
            <w:u w:val="single" w:color="44536A"/>
          </w:rPr>
          <w:t>for</w:t>
        </w:r>
        <w:r>
          <w:rPr>
            <w:rFonts w:ascii="Calibri"/>
            <w:color w:val="44536A"/>
            <w:spacing w:val="-5"/>
            <w:u w:val="single" w:color="44536A"/>
          </w:rPr>
          <w:t xml:space="preserve"> </w:t>
        </w:r>
        <w:r>
          <w:rPr>
            <w:rFonts w:ascii="Calibri"/>
            <w:color w:val="44536A"/>
            <w:u w:val="single" w:color="44536A"/>
          </w:rPr>
          <w:t>the</w:t>
        </w:r>
        <w:r>
          <w:rPr>
            <w:rFonts w:ascii="Calibri"/>
            <w:color w:val="44536A"/>
            <w:spacing w:val="-2"/>
            <w:u w:val="single" w:color="44536A"/>
          </w:rPr>
          <w:t xml:space="preserve"> </w:t>
        </w:r>
        <w:r>
          <w:rPr>
            <w:rFonts w:ascii="Calibri"/>
            <w:color w:val="44536A"/>
            <w:u w:val="single" w:color="44536A"/>
          </w:rPr>
          <w:t>first</w:t>
        </w:r>
        <w:r>
          <w:rPr>
            <w:rFonts w:ascii="Calibri"/>
            <w:color w:val="44536A"/>
            <w:spacing w:val="-2"/>
            <w:u w:val="single" w:color="44536A"/>
          </w:rPr>
          <w:t xml:space="preserve"> </w:t>
        </w:r>
        <w:r>
          <w:rPr>
            <w:rFonts w:ascii="Calibri"/>
            <w:color w:val="44536A"/>
            <w:u w:val="single" w:color="44536A"/>
          </w:rPr>
          <w:t>International</w:t>
        </w:r>
        <w:r>
          <w:rPr>
            <w:rFonts w:ascii="Calibri"/>
            <w:color w:val="44536A"/>
            <w:spacing w:val="-6"/>
            <w:u w:val="single" w:color="44536A"/>
          </w:rPr>
          <w:t xml:space="preserve"> </w:t>
        </w:r>
        <w:r>
          <w:rPr>
            <w:rFonts w:ascii="Calibri"/>
            <w:color w:val="44536A"/>
            <w:u w:val="single" w:color="44536A"/>
          </w:rPr>
          <w:t>Organization</w:t>
        </w:r>
        <w:r>
          <w:rPr>
            <w:rFonts w:ascii="Calibri"/>
            <w:color w:val="44536A"/>
            <w:spacing w:val="-4"/>
            <w:u w:val="single" w:color="44536A"/>
          </w:rPr>
          <w:t xml:space="preserve"> </w:t>
        </w:r>
        <w:r>
          <w:rPr>
            <w:rFonts w:ascii="Calibri"/>
            <w:color w:val="44536A"/>
            <w:u w:val="single" w:color="44536A"/>
          </w:rPr>
          <w:t>of</w:t>
        </w:r>
        <w:r>
          <w:rPr>
            <w:rFonts w:ascii="Calibri"/>
            <w:color w:val="44536A"/>
            <w:spacing w:val="-5"/>
            <w:u w:val="single" w:color="44536A"/>
          </w:rPr>
          <w:t xml:space="preserve"> </w:t>
        </w:r>
        <w:r>
          <w:rPr>
            <w:rFonts w:ascii="Calibri"/>
            <w:color w:val="44536A"/>
            <w:u w:val="single" w:color="44536A"/>
          </w:rPr>
          <w:t>Securities</w:t>
        </w:r>
        <w:r>
          <w:rPr>
            <w:rFonts w:ascii="Calibri"/>
            <w:color w:val="44536A"/>
            <w:spacing w:val="-3"/>
            <w:u w:val="single" w:color="44536A"/>
          </w:rPr>
          <w:t xml:space="preserve"> </w:t>
        </w:r>
        <w:r>
          <w:rPr>
            <w:rFonts w:ascii="Calibri"/>
            <w:color w:val="44536A"/>
            <w:u w:val="single" w:color="44536A"/>
          </w:rPr>
          <w:t>Commissions</w:t>
        </w:r>
        <w:r>
          <w:rPr>
            <w:rFonts w:ascii="Calibri"/>
            <w:color w:val="44536A"/>
            <w:spacing w:val="-2"/>
            <w:u w:val="single" w:color="44536A"/>
          </w:rPr>
          <w:t xml:space="preserve"> </w:t>
        </w:r>
        <w:r>
          <w:rPr>
            <w:rFonts w:ascii="Calibri"/>
            <w:color w:val="44536A"/>
            <w:u w:val="single" w:color="44536A"/>
          </w:rPr>
          <w:t>TechSprint</w:t>
        </w:r>
        <w:r>
          <w:rPr>
            <w:rFonts w:ascii="Calibri"/>
          </w:rPr>
          <w:t>,</w:t>
        </w:r>
      </w:hyperlink>
      <w:r>
        <w:rPr>
          <w:rFonts w:ascii="Calibri"/>
        </w:rPr>
        <w:t xml:space="preserve"> powered</w:t>
      </w:r>
      <w:r>
        <w:rPr>
          <w:rFonts w:ascii="Calibri"/>
          <w:spacing w:val="-1"/>
        </w:rPr>
        <w:t xml:space="preserve"> </w:t>
      </w:r>
      <w:r>
        <w:rPr>
          <w:rFonts w:ascii="Calibri"/>
        </w:rPr>
        <w:t>by</w:t>
      </w:r>
      <w:r>
        <w:rPr>
          <w:rFonts w:ascii="Calibri"/>
          <w:spacing w:val="-1"/>
        </w:rPr>
        <w:t xml:space="preserve"> </w:t>
      </w:r>
      <w:r>
        <w:rPr>
          <w:rFonts w:ascii="Calibri"/>
        </w:rPr>
        <w:t>the UK Financial Conduct Authority AI</w:t>
      </w:r>
      <w:r>
        <w:rPr>
          <w:rFonts w:ascii="Calibri"/>
          <w:spacing w:val="-3"/>
        </w:rPr>
        <w:t xml:space="preserve"> </w:t>
      </w:r>
      <w:r>
        <w:rPr>
          <w:rFonts w:ascii="Calibri"/>
        </w:rPr>
        <w:t>Lab, was launched</w:t>
      </w:r>
      <w:r>
        <w:rPr>
          <w:rFonts w:ascii="Calibri"/>
          <w:spacing w:val="-1"/>
        </w:rPr>
        <w:t xml:space="preserve"> </w:t>
      </w:r>
      <w:r>
        <w:rPr>
          <w:rFonts w:ascii="Calibri"/>
        </w:rPr>
        <w:t>today.</w:t>
      </w:r>
      <w:r>
        <w:rPr>
          <w:rFonts w:ascii="Calibri"/>
          <w:spacing w:val="-3"/>
        </w:rPr>
        <w:t xml:space="preserve"> </w:t>
      </w:r>
      <w:r>
        <w:rPr>
          <w:rFonts w:ascii="Calibri"/>
        </w:rPr>
        <w:t>The</w:t>
      </w:r>
      <w:r>
        <w:rPr>
          <w:rFonts w:ascii="Calibri"/>
          <w:spacing w:val="-2"/>
        </w:rPr>
        <w:t xml:space="preserve"> </w:t>
      </w:r>
      <w:r>
        <w:rPr>
          <w:rFonts w:ascii="Calibri"/>
        </w:rPr>
        <w:t>online portal</w:t>
      </w:r>
      <w:r>
        <w:rPr>
          <w:rFonts w:ascii="Calibri"/>
          <w:spacing w:val="-2"/>
        </w:rPr>
        <w:t xml:space="preserve"> </w:t>
      </w:r>
      <w:r>
        <w:rPr>
          <w:rFonts w:ascii="Calibri"/>
        </w:rPr>
        <w:t>will be open from today, 2 March, to 30 April 2026.</w:t>
      </w:r>
    </w:p>
    <w:p w14:paraId="1E805E83" w14:textId="77777777" w:rsidR="00AA4A02" w:rsidRDefault="00960F31">
      <w:pPr>
        <w:pStyle w:val="BodyText"/>
        <w:spacing w:before="238"/>
        <w:ind w:left="852" w:right="237"/>
        <w:rPr>
          <w:rFonts w:ascii="Calibri"/>
        </w:rPr>
      </w:pPr>
      <w:r>
        <w:rPr>
          <w:rFonts w:ascii="Calibri"/>
        </w:rPr>
        <w:t>In</w:t>
      </w:r>
      <w:r>
        <w:rPr>
          <w:rFonts w:ascii="Calibri"/>
          <w:spacing w:val="-3"/>
        </w:rPr>
        <w:t xml:space="preserve"> </w:t>
      </w:r>
      <w:r>
        <w:rPr>
          <w:rFonts w:ascii="Calibri"/>
        </w:rPr>
        <w:t>addition,</w:t>
      </w:r>
      <w:r>
        <w:rPr>
          <w:rFonts w:ascii="Calibri"/>
          <w:spacing w:val="-2"/>
        </w:rPr>
        <w:t xml:space="preserve"> </w:t>
      </w:r>
      <w:r>
        <w:rPr>
          <w:rFonts w:ascii="Calibri"/>
        </w:rPr>
        <w:t>the</w:t>
      </w:r>
      <w:r>
        <w:rPr>
          <w:rFonts w:ascii="Calibri"/>
          <w:spacing w:val="-4"/>
        </w:rPr>
        <w:t xml:space="preserve"> </w:t>
      </w:r>
      <w:r>
        <w:rPr>
          <w:rFonts w:ascii="Calibri"/>
        </w:rPr>
        <w:t>Monitoring</w:t>
      </w:r>
      <w:r>
        <w:rPr>
          <w:rFonts w:ascii="Calibri"/>
          <w:spacing w:val="-3"/>
        </w:rPr>
        <w:t xml:space="preserve"> </w:t>
      </w:r>
      <w:r>
        <w:rPr>
          <w:rFonts w:ascii="Calibri"/>
        </w:rPr>
        <w:t>Group</w:t>
      </w:r>
      <w:r>
        <w:rPr>
          <w:rFonts w:ascii="Calibri"/>
          <w:spacing w:val="-3"/>
        </w:rPr>
        <w:t xml:space="preserve"> </w:t>
      </w:r>
      <w:r>
        <w:rPr>
          <w:rFonts w:ascii="Calibri"/>
        </w:rPr>
        <w:t>announced</w:t>
      </w:r>
      <w:r>
        <w:rPr>
          <w:rFonts w:ascii="Calibri"/>
          <w:spacing w:val="-3"/>
        </w:rPr>
        <w:t xml:space="preserve"> </w:t>
      </w:r>
      <w:r>
        <w:rPr>
          <w:rFonts w:ascii="Calibri"/>
        </w:rPr>
        <w:t>second</w:t>
      </w:r>
      <w:r>
        <w:rPr>
          <w:rFonts w:ascii="Calibri"/>
          <w:spacing w:val="-5"/>
        </w:rPr>
        <w:t xml:space="preserve"> </w:t>
      </w:r>
      <w:r>
        <w:rPr>
          <w:rFonts w:ascii="Calibri"/>
        </w:rPr>
        <w:t>term</w:t>
      </w:r>
      <w:r>
        <w:rPr>
          <w:rFonts w:ascii="Calibri"/>
          <w:spacing w:val="-3"/>
        </w:rPr>
        <w:t xml:space="preserve"> </w:t>
      </w:r>
      <w:hyperlink r:id="rId226">
        <w:r>
          <w:rPr>
            <w:rFonts w:ascii="Calibri"/>
            <w:color w:val="44536A"/>
            <w:u w:val="single" w:color="44536A"/>
          </w:rPr>
          <w:t>extensions</w:t>
        </w:r>
      </w:hyperlink>
      <w:r>
        <w:rPr>
          <w:rFonts w:ascii="Calibri"/>
          <w:color w:val="44536A"/>
          <w:spacing w:val="-1"/>
        </w:rPr>
        <w:t xml:space="preserve"> </w:t>
      </w:r>
      <w:r>
        <w:rPr>
          <w:rFonts w:ascii="Calibri"/>
        </w:rPr>
        <w:t>(until</w:t>
      </w:r>
      <w:r>
        <w:rPr>
          <w:rFonts w:ascii="Calibri"/>
          <w:spacing w:val="-5"/>
        </w:rPr>
        <w:t xml:space="preserve"> </w:t>
      </w:r>
      <w:r>
        <w:rPr>
          <w:rFonts w:ascii="Calibri"/>
        </w:rPr>
        <w:t>31</w:t>
      </w:r>
      <w:r>
        <w:rPr>
          <w:rFonts w:ascii="Calibri"/>
          <w:spacing w:val="-3"/>
        </w:rPr>
        <w:t xml:space="preserve"> </w:t>
      </w:r>
      <w:r>
        <w:rPr>
          <w:rFonts w:ascii="Calibri"/>
        </w:rPr>
        <w:t>December</w:t>
      </w:r>
      <w:r>
        <w:rPr>
          <w:rFonts w:ascii="Calibri"/>
          <w:spacing w:val="-4"/>
        </w:rPr>
        <w:t xml:space="preserve"> </w:t>
      </w:r>
      <w:r>
        <w:rPr>
          <w:rFonts w:ascii="Calibri"/>
        </w:rPr>
        <w:t>2027)</w:t>
      </w:r>
      <w:r>
        <w:rPr>
          <w:rFonts w:ascii="Calibri"/>
          <w:spacing w:val="-2"/>
        </w:rPr>
        <w:t xml:space="preserve"> </w:t>
      </w:r>
      <w:r>
        <w:rPr>
          <w:rFonts w:ascii="Calibri"/>
        </w:rPr>
        <w:t>for the following PIOB members:</w:t>
      </w:r>
    </w:p>
    <w:p w14:paraId="1E805E84" w14:textId="77777777" w:rsidR="00AA4A02" w:rsidRDefault="00960F31">
      <w:pPr>
        <w:pStyle w:val="ListParagraph"/>
        <w:numPr>
          <w:ilvl w:val="0"/>
          <w:numId w:val="6"/>
        </w:numPr>
        <w:tabs>
          <w:tab w:val="left" w:pos="1572"/>
        </w:tabs>
        <w:spacing w:before="241"/>
        <w:ind w:hanging="360"/>
        <w:rPr>
          <w:rFonts w:ascii="Symbol" w:hAnsi="Symbol"/>
        </w:rPr>
      </w:pPr>
      <w:r>
        <w:rPr>
          <w:rFonts w:ascii="Calibri" w:hAnsi="Calibri"/>
        </w:rPr>
        <w:t>Mr.</w:t>
      </w:r>
      <w:r>
        <w:rPr>
          <w:rFonts w:ascii="Calibri" w:hAnsi="Calibri"/>
          <w:spacing w:val="-4"/>
        </w:rPr>
        <w:t xml:space="preserve"> </w:t>
      </w:r>
      <w:r>
        <w:rPr>
          <w:rFonts w:ascii="Calibri" w:hAnsi="Calibri"/>
        </w:rPr>
        <w:t>Philippe</w:t>
      </w:r>
      <w:r>
        <w:rPr>
          <w:rFonts w:ascii="Calibri" w:hAnsi="Calibri"/>
          <w:spacing w:val="-4"/>
        </w:rPr>
        <w:t xml:space="preserve"> </w:t>
      </w:r>
      <w:r>
        <w:rPr>
          <w:rFonts w:ascii="Calibri" w:hAnsi="Calibri"/>
          <w:spacing w:val="-2"/>
        </w:rPr>
        <w:t>Christelle</w:t>
      </w:r>
    </w:p>
    <w:p w14:paraId="1E805E85" w14:textId="77777777" w:rsidR="00AA4A02" w:rsidRDefault="00960F31">
      <w:pPr>
        <w:pStyle w:val="ListParagraph"/>
        <w:numPr>
          <w:ilvl w:val="0"/>
          <w:numId w:val="6"/>
        </w:numPr>
        <w:tabs>
          <w:tab w:val="left" w:pos="1572"/>
        </w:tabs>
        <w:spacing w:before="121"/>
        <w:ind w:hanging="360"/>
        <w:rPr>
          <w:rFonts w:ascii="Symbol" w:hAnsi="Symbol"/>
        </w:rPr>
      </w:pPr>
      <w:r>
        <w:rPr>
          <w:rFonts w:ascii="Calibri" w:hAnsi="Calibri"/>
        </w:rPr>
        <w:t>Mr.</w:t>
      </w:r>
      <w:r>
        <w:rPr>
          <w:rFonts w:ascii="Calibri" w:hAnsi="Calibri"/>
          <w:spacing w:val="-3"/>
        </w:rPr>
        <w:t xml:space="preserve"> </w:t>
      </w:r>
      <w:r>
        <w:rPr>
          <w:rFonts w:ascii="Calibri" w:hAnsi="Calibri"/>
        </w:rPr>
        <w:t>Tom</w:t>
      </w:r>
      <w:r>
        <w:rPr>
          <w:rFonts w:ascii="Calibri" w:hAnsi="Calibri"/>
          <w:spacing w:val="-1"/>
        </w:rPr>
        <w:t xml:space="preserve"> </w:t>
      </w:r>
      <w:r>
        <w:rPr>
          <w:rFonts w:ascii="Calibri" w:hAnsi="Calibri"/>
          <w:spacing w:val="-2"/>
        </w:rPr>
        <w:t>Furusawa</w:t>
      </w:r>
    </w:p>
    <w:p w14:paraId="1E805E86" w14:textId="77777777" w:rsidR="00AA4A02" w:rsidRDefault="00960F31">
      <w:pPr>
        <w:pStyle w:val="ListParagraph"/>
        <w:numPr>
          <w:ilvl w:val="0"/>
          <w:numId w:val="6"/>
        </w:numPr>
        <w:tabs>
          <w:tab w:val="left" w:pos="1572"/>
        </w:tabs>
        <w:spacing w:before="120"/>
        <w:ind w:hanging="360"/>
        <w:rPr>
          <w:rFonts w:ascii="Symbol" w:hAnsi="Symbol"/>
        </w:rPr>
      </w:pPr>
      <w:r>
        <w:rPr>
          <w:rFonts w:ascii="Calibri" w:hAnsi="Calibri"/>
        </w:rPr>
        <w:t>Mr.</w:t>
      </w:r>
      <w:r>
        <w:rPr>
          <w:rFonts w:ascii="Calibri" w:hAnsi="Calibri"/>
          <w:spacing w:val="-5"/>
        </w:rPr>
        <w:t xml:space="preserve"> </w:t>
      </w:r>
      <w:r>
        <w:rPr>
          <w:rFonts w:ascii="Calibri" w:hAnsi="Calibri"/>
        </w:rPr>
        <w:t>Mark</w:t>
      </w:r>
      <w:r>
        <w:rPr>
          <w:rFonts w:ascii="Calibri" w:hAnsi="Calibri"/>
          <w:spacing w:val="-1"/>
        </w:rPr>
        <w:t xml:space="preserve"> </w:t>
      </w:r>
      <w:r>
        <w:rPr>
          <w:rFonts w:ascii="Calibri" w:hAnsi="Calibri"/>
          <w:spacing w:val="-4"/>
        </w:rPr>
        <w:t>Smith</w:t>
      </w:r>
    </w:p>
    <w:p w14:paraId="1E805E87" w14:textId="77777777" w:rsidR="00AA4A02" w:rsidRDefault="00960F31">
      <w:pPr>
        <w:spacing w:before="120"/>
        <w:ind w:left="853"/>
        <w:rPr>
          <w:rFonts w:ascii="Calibri"/>
          <w:b/>
        </w:rPr>
      </w:pPr>
      <w:r>
        <w:rPr>
          <w:rFonts w:ascii="Calibri"/>
          <w:b/>
          <w:spacing w:val="-4"/>
        </w:rPr>
        <w:t>ISSB</w:t>
      </w:r>
    </w:p>
    <w:p w14:paraId="1E805E88" w14:textId="77777777" w:rsidR="00AA4A02" w:rsidRDefault="00960F31">
      <w:pPr>
        <w:pStyle w:val="BodyText"/>
        <w:spacing w:before="238"/>
        <w:ind w:left="852" w:right="583"/>
        <w:rPr>
          <w:rFonts w:ascii="Calibri"/>
        </w:rPr>
      </w:pPr>
      <w:r>
        <w:rPr>
          <w:rFonts w:ascii="Calibri"/>
        </w:rPr>
        <w:t xml:space="preserve">The International Sustainability Standards Board has published an </w:t>
      </w:r>
      <w:hyperlink r:id="rId227">
        <w:r>
          <w:rPr>
            <w:rFonts w:ascii="Calibri"/>
            <w:color w:val="44536A"/>
            <w:u w:val="single" w:color="44536A"/>
          </w:rPr>
          <w:t>Exposure Draft proposing</w:t>
        </w:r>
      </w:hyperlink>
      <w:r>
        <w:rPr>
          <w:rFonts w:ascii="Calibri"/>
          <w:color w:val="44536A"/>
        </w:rPr>
        <w:t xml:space="preserve"> </w:t>
      </w:r>
      <w:hyperlink r:id="rId228">
        <w:r>
          <w:rPr>
            <w:rFonts w:ascii="Calibri"/>
            <w:color w:val="44536A"/>
            <w:u w:val="single" w:color="44536A"/>
          </w:rPr>
          <w:t>amendments</w:t>
        </w:r>
        <w:r>
          <w:rPr>
            <w:rFonts w:ascii="Calibri"/>
            <w:color w:val="44536A"/>
            <w:spacing w:val="-5"/>
            <w:u w:val="single" w:color="44536A"/>
          </w:rPr>
          <w:t xml:space="preserve"> </w:t>
        </w:r>
        <w:r>
          <w:rPr>
            <w:rFonts w:ascii="Calibri"/>
            <w:color w:val="44536A"/>
            <w:u w:val="single" w:color="44536A"/>
          </w:rPr>
          <w:t>to</w:t>
        </w:r>
        <w:r>
          <w:rPr>
            <w:rFonts w:ascii="Calibri"/>
            <w:color w:val="44536A"/>
            <w:spacing w:val="-2"/>
            <w:u w:val="single" w:color="44536A"/>
          </w:rPr>
          <w:t xml:space="preserve"> </w:t>
        </w:r>
        <w:r>
          <w:rPr>
            <w:rFonts w:ascii="Calibri"/>
            <w:color w:val="44536A"/>
            <w:u w:val="single" w:color="44536A"/>
          </w:rPr>
          <w:t>three</w:t>
        </w:r>
        <w:r>
          <w:rPr>
            <w:rFonts w:ascii="Calibri"/>
            <w:color w:val="44536A"/>
            <w:spacing w:val="-2"/>
            <w:u w:val="single" w:color="44536A"/>
          </w:rPr>
          <w:t xml:space="preserve"> </w:t>
        </w:r>
        <w:r>
          <w:rPr>
            <w:rFonts w:ascii="Calibri"/>
            <w:color w:val="44536A"/>
            <w:u w:val="single" w:color="44536A"/>
          </w:rPr>
          <w:t>SASB</w:t>
        </w:r>
        <w:r>
          <w:rPr>
            <w:rFonts w:ascii="Calibri"/>
            <w:color w:val="44536A"/>
            <w:spacing w:val="-5"/>
            <w:u w:val="single" w:color="44536A"/>
          </w:rPr>
          <w:t xml:space="preserve"> </w:t>
        </w:r>
        <w:r>
          <w:rPr>
            <w:rFonts w:ascii="Calibri"/>
            <w:color w:val="44536A"/>
            <w:u w:val="single" w:color="44536A"/>
          </w:rPr>
          <w:t>Standards</w:t>
        </w:r>
      </w:hyperlink>
      <w:r>
        <w:rPr>
          <w:rFonts w:ascii="Calibri"/>
          <w:color w:val="44536A"/>
          <w:spacing w:val="-3"/>
        </w:rPr>
        <w:t xml:space="preserve"> </w:t>
      </w:r>
      <w:r>
        <w:rPr>
          <w:rFonts w:ascii="Calibri"/>
        </w:rPr>
        <w:t>and</w:t>
      </w:r>
      <w:r>
        <w:rPr>
          <w:rFonts w:ascii="Calibri"/>
          <w:spacing w:val="-4"/>
        </w:rPr>
        <w:t xml:space="preserve"> </w:t>
      </w:r>
      <w:r>
        <w:rPr>
          <w:rFonts w:ascii="Calibri"/>
        </w:rPr>
        <w:t>consequential</w:t>
      </w:r>
      <w:r>
        <w:rPr>
          <w:rFonts w:ascii="Calibri"/>
          <w:spacing w:val="-3"/>
        </w:rPr>
        <w:t xml:space="preserve"> </w:t>
      </w:r>
      <w:r>
        <w:rPr>
          <w:rFonts w:ascii="Calibri"/>
        </w:rPr>
        <w:t>amendments</w:t>
      </w:r>
      <w:r>
        <w:rPr>
          <w:rFonts w:ascii="Calibri"/>
          <w:spacing w:val="-3"/>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Industry-based Guidance on Implementing IFRS S2 Climate-related Disclosures.</w:t>
      </w:r>
    </w:p>
    <w:p w14:paraId="1E805E89" w14:textId="77777777" w:rsidR="00AA4A02" w:rsidRDefault="00960F31">
      <w:pPr>
        <w:spacing w:before="241"/>
        <w:ind w:left="852"/>
        <w:rPr>
          <w:rFonts w:ascii="Calibri"/>
          <w:b/>
        </w:rPr>
      </w:pPr>
      <w:r>
        <w:rPr>
          <w:rFonts w:ascii="Calibri"/>
          <w:b/>
          <w:spacing w:val="-2"/>
        </w:rPr>
        <w:t>PCAOB</w:t>
      </w:r>
    </w:p>
    <w:p w14:paraId="1E805E8A" w14:textId="77777777" w:rsidR="00AA4A02" w:rsidRDefault="00960F31">
      <w:pPr>
        <w:pStyle w:val="BodyText"/>
        <w:spacing w:before="240"/>
        <w:ind w:left="852" w:right="194"/>
        <w:jc w:val="both"/>
        <w:rPr>
          <w:rFonts w:ascii="Calibri" w:hAnsi="Calibri"/>
        </w:rPr>
      </w:pPr>
      <w:r>
        <w:rPr>
          <w:rFonts w:ascii="Calibri" w:hAnsi="Calibri"/>
          <w:noProof/>
        </w:rPr>
        <mc:AlternateContent>
          <mc:Choice Requires="wps">
            <w:drawing>
              <wp:anchor distT="0" distB="0" distL="0" distR="0" simplePos="0" relativeHeight="15764480" behindDoc="0" locked="0" layoutInCell="1" allowOverlap="1" wp14:anchorId="1E805FA1" wp14:editId="1E805FA2">
                <wp:simplePos x="0" y="0"/>
                <wp:positionH relativeFrom="page">
                  <wp:posOffset>4992623</wp:posOffset>
                </wp:positionH>
                <wp:positionV relativeFrom="paragraph">
                  <wp:posOffset>471626</wp:posOffset>
                </wp:positionV>
                <wp:extent cx="33655" cy="952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6954A" id="Graphic 175" o:spid="_x0000_s1026" style="position:absolute;margin-left:393.1pt;margin-top:37.15pt;width:2.65pt;height:.75pt;z-index:15764480;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" path="m33527,l,,,9144r33527,l33527,xe" fillcolor="black" stroked="f">
                <v:path arrowok="t"/>
                <w10:wrap anchorx="page"/>
              </v:shape>
            </w:pict>
          </mc:Fallback>
        </mc:AlternateContent>
      </w:r>
      <w:r>
        <w:rPr>
          <w:rFonts w:ascii="Calibri" w:hAnsi="Calibri"/>
        </w:rPr>
        <w:t>At</w:t>
      </w:r>
      <w:r>
        <w:rPr>
          <w:rFonts w:ascii="Calibri" w:hAnsi="Calibri"/>
          <w:spacing w:val="-1"/>
        </w:rPr>
        <w:t xml:space="preserve"> </w:t>
      </w:r>
      <w:r>
        <w:rPr>
          <w:rFonts w:ascii="Calibri" w:hAnsi="Calibri"/>
        </w:rPr>
        <w:t>an</w:t>
      </w:r>
      <w:r>
        <w:rPr>
          <w:rFonts w:ascii="Calibri" w:hAnsi="Calibri"/>
          <w:spacing w:val="-3"/>
        </w:rPr>
        <w:t xml:space="preserve"> </w:t>
      </w:r>
      <w:r>
        <w:rPr>
          <w:rFonts w:ascii="Calibri" w:hAnsi="Calibri"/>
        </w:rPr>
        <w:t>open</w:t>
      </w:r>
      <w:r>
        <w:rPr>
          <w:rFonts w:ascii="Calibri" w:hAnsi="Calibri"/>
          <w:spacing w:val="-3"/>
        </w:rPr>
        <w:t xml:space="preserve"> </w:t>
      </w:r>
      <w:r>
        <w:rPr>
          <w:rFonts w:ascii="Calibri" w:hAnsi="Calibri"/>
        </w:rPr>
        <w:t>meeting</w:t>
      </w:r>
      <w:r>
        <w:rPr>
          <w:rFonts w:ascii="Calibri" w:hAnsi="Calibri"/>
          <w:spacing w:val="-3"/>
        </w:rPr>
        <w:t xml:space="preserve"> </w:t>
      </w:r>
      <w:r>
        <w:rPr>
          <w:rFonts w:ascii="Calibri" w:hAnsi="Calibri"/>
        </w:rPr>
        <w:t>held</w:t>
      </w:r>
      <w:r>
        <w:rPr>
          <w:rFonts w:ascii="Calibri" w:hAnsi="Calibri"/>
          <w:spacing w:val="-3"/>
        </w:rPr>
        <w:t xml:space="preserve"> </w:t>
      </w:r>
      <w:r>
        <w:rPr>
          <w:rFonts w:ascii="Calibri" w:hAnsi="Calibri"/>
        </w:rPr>
        <w:t>today,</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Public</w:t>
      </w:r>
      <w:r>
        <w:rPr>
          <w:rFonts w:ascii="Calibri" w:hAnsi="Calibri"/>
          <w:spacing w:val="-2"/>
        </w:rPr>
        <w:t xml:space="preserve"> </w:t>
      </w:r>
      <w:r>
        <w:rPr>
          <w:rFonts w:ascii="Calibri" w:hAnsi="Calibri"/>
        </w:rPr>
        <w:t>Company</w:t>
      </w:r>
      <w:r>
        <w:rPr>
          <w:rFonts w:ascii="Calibri" w:hAnsi="Calibri"/>
          <w:spacing w:val="-1"/>
        </w:rPr>
        <w:t xml:space="preserve"> </w:t>
      </w:r>
      <w:r>
        <w:rPr>
          <w:rFonts w:ascii="Calibri" w:hAnsi="Calibri"/>
        </w:rPr>
        <w:t>Accounting</w:t>
      </w:r>
      <w:r>
        <w:rPr>
          <w:rFonts w:ascii="Calibri" w:hAnsi="Calibri"/>
          <w:spacing w:val="-3"/>
        </w:rPr>
        <w:t xml:space="preserve"> </w:t>
      </w:r>
      <w:r>
        <w:rPr>
          <w:rFonts w:ascii="Calibri" w:hAnsi="Calibri"/>
        </w:rPr>
        <w:t>Oversight</w:t>
      </w:r>
      <w:r>
        <w:rPr>
          <w:rFonts w:ascii="Calibri" w:hAnsi="Calibri"/>
          <w:spacing w:val="-4"/>
        </w:rPr>
        <w:t xml:space="preserve"> </w:t>
      </w:r>
      <w:r>
        <w:rPr>
          <w:rFonts w:ascii="Calibri" w:hAnsi="Calibri"/>
        </w:rPr>
        <w:t>Board</w:t>
      </w:r>
      <w:r>
        <w:rPr>
          <w:rFonts w:ascii="Calibri" w:hAnsi="Calibri"/>
          <w:spacing w:val="-4"/>
        </w:rPr>
        <w:t xml:space="preserve"> </w:t>
      </w:r>
      <w:r>
        <w:rPr>
          <w:rFonts w:ascii="Calibri" w:hAnsi="Calibri"/>
        </w:rPr>
        <w:t>issued</w:t>
      </w:r>
      <w:r>
        <w:rPr>
          <w:rFonts w:ascii="Calibri" w:hAnsi="Calibri"/>
          <w:spacing w:val="-3"/>
        </w:rPr>
        <w:t xml:space="preserve"> </w:t>
      </w:r>
      <w:r>
        <w:rPr>
          <w:rFonts w:ascii="Calibri" w:hAnsi="Calibri"/>
        </w:rPr>
        <w:t>a</w:t>
      </w:r>
      <w:r>
        <w:rPr>
          <w:rFonts w:ascii="Calibri" w:hAnsi="Calibri"/>
          <w:spacing w:val="-2"/>
        </w:rPr>
        <w:t xml:space="preserve"> </w:t>
      </w:r>
      <w:hyperlink r:id="rId229">
        <w:r>
          <w:rPr>
            <w:rFonts w:ascii="Calibri" w:hAnsi="Calibri"/>
            <w:color w:val="44536A"/>
            <w:u w:val="single" w:color="44536A"/>
          </w:rPr>
          <w:t>request</w:t>
        </w:r>
        <w:r>
          <w:rPr>
            <w:rFonts w:ascii="Calibri" w:hAnsi="Calibri"/>
            <w:color w:val="44536A"/>
            <w:spacing w:val="-1"/>
            <w:u w:val="single" w:color="44536A"/>
          </w:rPr>
          <w:t xml:space="preserve"> </w:t>
        </w:r>
        <w:r>
          <w:rPr>
            <w:rFonts w:ascii="Calibri" w:hAnsi="Calibri"/>
            <w:color w:val="44536A"/>
            <w:u w:val="single" w:color="44536A"/>
          </w:rPr>
          <w:t>for</w:t>
        </w:r>
      </w:hyperlink>
      <w:r>
        <w:rPr>
          <w:rFonts w:ascii="Calibri" w:hAnsi="Calibri"/>
          <w:color w:val="44536A"/>
        </w:rPr>
        <w:t xml:space="preserve"> </w:t>
      </w:r>
      <w:hyperlink r:id="rId230">
        <w:r>
          <w:rPr>
            <w:rFonts w:ascii="Calibri" w:hAnsi="Calibri"/>
            <w:color w:val="44536A"/>
            <w:u w:val="single" w:color="44536A"/>
          </w:rPr>
          <w:t>public comment seeking input regarding the PCAOB’s strategic priorities</w:t>
        </w:r>
        <w:r>
          <w:rPr>
            <w:rFonts w:ascii="Calibri" w:hAnsi="Calibri"/>
          </w:rPr>
          <w:t>.</w:t>
        </w:r>
      </w:hyperlink>
    </w:p>
    <w:p w14:paraId="1E805E8B" w14:textId="77777777" w:rsidR="00AA4A02" w:rsidRDefault="00960F31">
      <w:pPr>
        <w:spacing w:before="241"/>
        <w:ind w:left="852"/>
        <w:rPr>
          <w:rFonts w:ascii="Calibri"/>
          <w:b/>
        </w:rPr>
      </w:pPr>
      <w:r>
        <w:rPr>
          <w:rFonts w:ascii="Calibri"/>
          <w:b/>
          <w:spacing w:val="-2"/>
        </w:rPr>
        <w:t>IAASB</w:t>
      </w:r>
    </w:p>
    <w:p w14:paraId="1E805E8C" w14:textId="77777777" w:rsidR="00AA4A02" w:rsidRDefault="00960F31">
      <w:pPr>
        <w:pStyle w:val="BodyText"/>
        <w:spacing w:before="180" w:line="259" w:lineRule="auto"/>
        <w:ind w:left="852" w:right="237"/>
        <w:rPr>
          <w:rFonts w:ascii="Calibri"/>
        </w:rPr>
      </w:pPr>
      <w:r>
        <w:rPr>
          <w:rFonts w:ascii="Calibri"/>
        </w:rPr>
        <w:t>The International Auditing and Assurance Standards Board and the International Ethics Standards Board</w:t>
      </w:r>
      <w:r>
        <w:rPr>
          <w:rFonts w:ascii="Calibri"/>
          <w:spacing w:val="-3"/>
        </w:rPr>
        <w:t xml:space="preserve"> </w:t>
      </w:r>
      <w:r>
        <w:rPr>
          <w:rFonts w:ascii="Calibri"/>
        </w:rPr>
        <w:t>for</w:t>
      </w:r>
      <w:r>
        <w:rPr>
          <w:rFonts w:ascii="Calibri"/>
          <w:spacing w:val="-2"/>
        </w:rPr>
        <w:t xml:space="preserve"> </w:t>
      </w:r>
      <w:r>
        <w:rPr>
          <w:rFonts w:ascii="Calibri"/>
        </w:rPr>
        <w:t>Accountants</w:t>
      </w:r>
      <w:r>
        <w:rPr>
          <w:rFonts w:ascii="Calibri"/>
          <w:spacing w:val="-4"/>
        </w:rPr>
        <w:t xml:space="preserve"> </w:t>
      </w:r>
      <w:hyperlink r:id="rId231">
        <w:r>
          <w:rPr>
            <w:rFonts w:ascii="Calibri"/>
            <w:color w:val="44536A"/>
            <w:u w:val="single" w:color="44536A"/>
          </w:rPr>
          <w:t>welcome</w:t>
        </w:r>
        <w:r>
          <w:rPr>
            <w:rFonts w:ascii="Calibri"/>
            <w:color w:val="44536A"/>
            <w:spacing w:val="-4"/>
            <w:u w:val="single" w:color="44536A"/>
          </w:rPr>
          <w:t xml:space="preserve"> </w:t>
        </w:r>
        <w:r>
          <w:rPr>
            <w:rFonts w:ascii="Calibri"/>
            <w:color w:val="44536A"/>
            <w:u w:val="single" w:color="44536A"/>
          </w:rPr>
          <w:t>the</w:t>
        </w:r>
        <w:r>
          <w:rPr>
            <w:rFonts w:ascii="Calibri"/>
            <w:color w:val="44536A"/>
            <w:spacing w:val="-1"/>
            <w:u w:val="single" w:color="44536A"/>
          </w:rPr>
          <w:t xml:space="preserve"> </w:t>
        </w:r>
        <w:r>
          <w:rPr>
            <w:rFonts w:ascii="Calibri"/>
            <w:color w:val="44536A"/>
            <w:u w:val="single" w:color="44536A"/>
          </w:rPr>
          <w:t>appointment</w:t>
        </w:r>
        <w:r>
          <w:rPr>
            <w:rFonts w:ascii="Calibri"/>
            <w:color w:val="44536A"/>
            <w:spacing w:val="-4"/>
            <w:u w:val="single" w:color="44536A"/>
          </w:rPr>
          <w:t xml:space="preserve"> </w:t>
        </w:r>
        <w:r>
          <w:rPr>
            <w:rFonts w:ascii="Calibri"/>
            <w:color w:val="44536A"/>
            <w:u w:val="single" w:color="44536A"/>
          </w:rPr>
          <w:t>of</w:t>
        </w:r>
        <w:r>
          <w:rPr>
            <w:rFonts w:ascii="Calibri"/>
            <w:color w:val="44536A"/>
            <w:spacing w:val="-2"/>
            <w:u w:val="single" w:color="44536A"/>
          </w:rPr>
          <w:t xml:space="preserve"> </w:t>
        </w:r>
        <w:r>
          <w:rPr>
            <w:rFonts w:ascii="Calibri"/>
            <w:color w:val="44536A"/>
            <w:u w:val="single" w:color="44536A"/>
          </w:rPr>
          <w:t>Emily</w:t>
        </w:r>
        <w:r>
          <w:rPr>
            <w:rFonts w:ascii="Calibri"/>
            <w:color w:val="44536A"/>
            <w:spacing w:val="-1"/>
            <w:u w:val="single" w:color="44536A"/>
          </w:rPr>
          <w:t xml:space="preserve"> </w:t>
        </w:r>
        <w:r>
          <w:rPr>
            <w:rFonts w:ascii="Calibri"/>
            <w:color w:val="44536A"/>
            <w:u w:val="single" w:color="44536A"/>
          </w:rPr>
          <w:t>Fitts</w:t>
        </w:r>
        <w:r>
          <w:rPr>
            <w:rFonts w:ascii="Calibri"/>
            <w:color w:val="44536A"/>
            <w:spacing w:val="-2"/>
            <w:u w:val="single" w:color="44536A"/>
          </w:rPr>
          <w:t xml:space="preserve"> </w:t>
        </w:r>
        <w:r>
          <w:rPr>
            <w:rFonts w:ascii="Calibri"/>
            <w:color w:val="44536A"/>
            <w:u w:val="single" w:color="44536A"/>
          </w:rPr>
          <w:t>as</w:t>
        </w:r>
        <w:r>
          <w:rPr>
            <w:rFonts w:ascii="Calibri"/>
            <w:color w:val="44536A"/>
            <w:spacing w:val="-2"/>
            <w:u w:val="single" w:color="44536A"/>
          </w:rPr>
          <w:t xml:space="preserve"> </w:t>
        </w:r>
        <w:r>
          <w:rPr>
            <w:rFonts w:ascii="Calibri"/>
            <w:color w:val="44536A"/>
            <w:u w:val="single" w:color="44536A"/>
          </w:rPr>
          <w:t>the</w:t>
        </w:r>
        <w:r>
          <w:rPr>
            <w:rFonts w:ascii="Calibri"/>
            <w:color w:val="44536A"/>
            <w:spacing w:val="-4"/>
            <w:u w:val="single" w:color="44536A"/>
          </w:rPr>
          <w:t xml:space="preserve"> </w:t>
        </w:r>
        <w:r>
          <w:rPr>
            <w:rFonts w:ascii="Calibri"/>
            <w:color w:val="44536A"/>
            <w:u w:val="single" w:color="44536A"/>
          </w:rPr>
          <w:t>new</w:t>
        </w:r>
        <w:r>
          <w:rPr>
            <w:rFonts w:ascii="Calibri"/>
            <w:color w:val="44536A"/>
            <w:spacing w:val="-4"/>
            <w:u w:val="single" w:color="44536A"/>
          </w:rPr>
          <w:t xml:space="preserve"> </w:t>
        </w:r>
        <w:r>
          <w:rPr>
            <w:rFonts w:ascii="Calibri"/>
            <w:color w:val="44536A"/>
            <w:u w:val="single" w:color="44536A"/>
          </w:rPr>
          <w:t>Chair</w:t>
        </w:r>
        <w:r>
          <w:rPr>
            <w:rFonts w:ascii="Calibri"/>
            <w:color w:val="44536A"/>
            <w:spacing w:val="-4"/>
            <w:u w:val="single" w:color="44536A"/>
          </w:rPr>
          <w:t xml:space="preserve"> </w:t>
        </w:r>
        <w:r>
          <w:rPr>
            <w:rFonts w:ascii="Calibri"/>
            <w:color w:val="44536A"/>
            <w:u w:val="single" w:color="44536A"/>
          </w:rPr>
          <w:t>of</w:t>
        </w:r>
        <w:r>
          <w:rPr>
            <w:rFonts w:ascii="Calibri"/>
            <w:color w:val="44536A"/>
            <w:spacing w:val="-2"/>
            <w:u w:val="single" w:color="44536A"/>
          </w:rPr>
          <w:t xml:space="preserve"> </w:t>
        </w:r>
        <w:r>
          <w:rPr>
            <w:rFonts w:ascii="Calibri"/>
            <w:color w:val="44536A"/>
            <w:u w:val="single" w:color="44536A"/>
          </w:rPr>
          <w:t>the</w:t>
        </w:r>
        <w:r>
          <w:rPr>
            <w:rFonts w:ascii="Calibri"/>
            <w:color w:val="44536A"/>
            <w:spacing w:val="-4"/>
            <w:u w:val="single" w:color="44536A"/>
          </w:rPr>
          <w:t xml:space="preserve"> </w:t>
        </w:r>
        <w:r>
          <w:rPr>
            <w:rFonts w:ascii="Calibri"/>
            <w:color w:val="44536A"/>
            <w:u w:val="single" w:color="44536A"/>
          </w:rPr>
          <w:t>Monitoring</w:t>
        </w:r>
      </w:hyperlink>
      <w:r>
        <w:rPr>
          <w:rFonts w:ascii="Calibri"/>
          <w:color w:val="44536A"/>
        </w:rPr>
        <w:t xml:space="preserve"> </w:t>
      </w:r>
      <w:hyperlink r:id="rId232">
        <w:r>
          <w:rPr>
            <w:rFonts w:ascii="Calibri"/>
            <w:color w:val="44536A"/>
            <w:u w:val="single" w:color="44536A"/>
          </w:rPr>
          <w:t>Group</w:t>
        </w:r>
        <w:r>
          <w:rPr>
            <w:rFonts w:ascii="Calibri"/>
          </w:rPr>
          <w:t>.</w:t>
        </w:r>
      </w:hyperlink>
      <w:r>
        <w:rPr>
          <w:rFonts w:ascii="Calibri"/>
        </w:rPr>
        <w:t xml:space="preserve"> The Monitoring Group (international financial institutions/regulatory bodies) focuses on public interest and international audit standard setting and audit quality.</w:t>
      </w:r>
    </w:p>
    <w:p w14:paraId="1E805E8D" w14:textId="77777777" w:rsidR="00AA4A02" w:rsidRDefault="00960F31">
      <w:pPr>
        <w:spacing w:before="160"/>
        <w:ind w:left="852"/>
        <w:rPr>
          <w:rFonts w:ascii="Calibri"/>
          <w:b/>
        </w:rPr>
      </w:pPr>
      <w:r>
        <w:rPr>
          <w:rFonts w:ascii="Calibri"/>
          <w:b/>
          <w:spacing w:val="-5"/>
        </w:rPr>
        <w:t>FSB</w:t>
      </w:r>
    </w:p>
    <w:p w14:paraId="1E805E8E" w14:textId="77777777" w:rsidR="00AA4A02" w:rsidRDefault="00960F31">
      <w:pPr>
        <w:pStyle w:val="BodyText"/>
        <w:spacing w:before="240"/>
        <w:ind w:left="852" w:right="583"/>
        <w:rPr>
          <w:rFonts w:ascii="Calibri" w:hAnsi="Calibri"/>
        </w:rPr>
      </w:pPr>
      <w:r>
        <w:rPr>
          <w:rFonts w:ascii="Calibri" w:hAnsi="Calibri"/>
        </w:rPr>
        <w:t>The</w:t>
      </w:r>
      <w:r>
        <w:rPr>
          <w:rFonts w:ascii="Calibri" w:hAnsi="Calibri"/>
          <w:spacing w:val="-1"/>
        </w:rPr>
        <w:t xml:space="preserve"> </w:t>
      </w:r>
      <w:r>
        <w:rPr>
          <w:rFonts w:ascii="Calibri" w:hAnsi="Calibri"/>
        </w:rPr>
        <w:t>Financial</w:t>
      </w:r>
      <w:r>
        <w:rPr>
          <w:rFonts w:ascii="Calibri" w:hAnsi="Calibri"/>
          <w:spacing w:val="-2"/>
        </w:rPr>
        <w:t xml:space="preserve"> </w:t>
      </w:r>
      <w:r>
        <w:rPr>
          <w:rFonts w:ascii="Calibri" w:hAnsi="Calibri"/>
        </w:rPr>
        <w:t>Stability</w:t>
      </w:r>
      <w:r>
        <w:rPr>
          <w:rFonts w:ascii="Calibri" w:hAnsi="Calibri"/>
          <w:spacing w:val="-1"/>
        </w:rPr>
        <w:t xml:space="preserve"> </w:t>
      </w:r>
      <w:r>
        <w:rPr>
          <w:rFonts w:ascii="Calibri" w:hAnsi="Calibri"/>
        </w:rPr>
        <w:t>Board</w:t>
      </w:r>
      <w:r>
        <w:rPr>
          <w:rFonts w:ascii="Calibri" w:hAnsi="Calibri"/>
          <w:spacing w:val="-3"/>
        </w:rPr>
        <w:t xml:space="preserve"> </w:t>
      </w:r>
      <w:r>
        <w:rPr>
          <w:rFonts w:ascii="Calibri" w:hAnsi="Calibri"/>
        </w:rPr>
        <w:t>published</w:t>
      </w:r>
      <w:r>
        <w:rPr>
          <w:rFonts w:ascii="Calibri" w:hAnsi="Calibri"/>
          <w:spacing w:val="-3"/>
        </w:rPr>
        <w:t xml:space="preserve"> </w:t>
      </w:r>
      <w:r>
        <w:rPr>
          <w:rFonts w:ascii="Calibri" w:hAnsi="Calibri"/>
        </w:rPr>
        <w:t>its</w:t>
      </w:r>
      <w:r>
        <w:rPr>
          <w:rFonts w:ascii="Calibri" w:hAnsi="Calibri"/>
          <w:spacing w:val="-2"/>
        </w:rPr>
        <w:t xml:space="preserve"> </w:t>
      </w:r>
      <w:hyperlink r:id="rId233">
        <w:r>
          <w:rPr>
            <w:rFonts w:ascii="Calibri" w:hAnsi="Calibri"/>
            <w:color w:val="44536A"/>
            <w:u w:val="single" w:color="44536A"/>
          </w:rPr>
          <w:t>Annual</w:t>
        </w:r>
        <w:r>
          <w:rPr>
            <w:rFonts w:ascii="Calibri" w:hAnsi="Calibri"/>
            <w:color w:val="44536A"/>
            <w:spacing w:val="-2"/>
            <w:u w:val="single" w:color="44536A"/>
          </w:rPr>
          <w:t xml:space="preserve"> </w:t>
        </w:r>
        <w:r>
          <w:rPr>
            <w:rFonts w:ascii="Calibri" w:hAnsi="Calibri"/>
            <w:color w:val="44536A"/>
            <w:u w:val="single" w:color="44536A"/>
          </w:rPr>
          <w:t>Report</w:t>
        </w:r>
        <w:r>
          <w:rPr>
            <w:rFonts w:ascii="Calibri" w:hAnsi="Calibri"/>
          </w:rPr>
          <w:t>,</w:t>
        </w:r>
      </w:hyperlink>
      <w:r>
        <w:rPr>
          <w:rFonts w:ascii="Calibri" w:hAnsi="Calibri"/>
          <w:spacing w:val="-2"/>
        </w:rPr>
        <w:t xml:space="preserve"> </w:t>
      </w:r>
      <w:r>
        <w:rPr>
          <w:rFonts w:ascii="Calibri" w:hAnsi="Calibri"/>
        </w:rPr>
        <w:t>describing</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FSB’s</w:t>
      </w:r>
      <w:r>
        <w:rPr>
          <w:rFonts w:ascii="Calibri" w:hAnsi="Calibri"/>
          <w:spacing w:val="-2"/>
        </w:rPr>
        <w:t xml:space="preserve"> </w:t>
      </w:r>
      <w:r>
        <w:rPr>
          <w:rFonts w:ascii="Calibri" w:hAnsi="Calibri"/>
        </w:rPr>
        <w:t>work</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promote global financial stability in 2025.</w:t>
      </w:r>
    </w:p>
    <w:p w14:paraId="1E805E8F" w14:textId="77777777" w:rsidR="00AA4A02" w:rsidRDefault="00960F31">
      <w:pPr>
        <w:spacing w:before="240"/>
        <w:ind w:left="852"/>
        <w:rPr>
          <w:rFonts w:ascii="Calibri"/>
          <w:b/>
        </w:rPr>
      </w:pPr>
      <w:r>
        <w:rPr>
          <w:rFonts w:ascii="Calibri"/>
          <w:b/>
          <w:spacing w:val="-4"/>
        </w:rPr>
        <w:t>IFAC</w:t>
      </w:r>
    </w:p>
    <w:p w14:paraId="1E805E90" w14:textId="77777777" w:rsidR="00AA4A02" w:rsidRDefault="00960F31">
      <w:pPr>
        <w:pStyle w:val="BodyText"/>
        <w:spacing w:before="241"/>
        <w:ind w:left="852" w:right="35"/>
        <w:rPr>
          <w:rFonts w:ascii="Calibri"/>
        </w:rPr>
      </w:pPr>
      <w:r>
        <w:rPr>
          <w:rFonts w:ascii="Calibri"/>
          <w:noProof/>
        </w:rPr>
        <mc:AlternateContent>
          <mc:Choice Requires="wps">
            <w:drawing>
              <wp:anchor distT="0" distB="0" distL="0" distR="0" simplePos="0" relativeHeight="15764992" behindDoc="0" locked="0" layoutInCell="1" allowOverlap="1" wp14:anchorId="1E805FA3" wp14:editId="1E805FA4">
                <wp:simplePos x="0" y="0"/>
                <wp:positionH relativeFrom="page">
                  <wp:posOffset>5108447</wp:posOffset>
                </wp:positionH>
                <wp:positionV relativeFrom="paragraph">
                  <wp:posOffset>301294</wp:posOffset>
                </wp:positionV>
                <wp:extent cx="32384" cy="952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9525"/>
                        </a:xfrm>
                        <a:custGeom>
                          <a:avLst/>
                          <a:gdLst/>
                          <a:ahLst/>
                          <a:cxnLst/>
                          <a:rect l="l" t="t" r="r" b="b"/>
                          <a:pathLst>
                            <a:path w="32384" h="9525">
                              <a:moveTo>
                                <a:pt x="32003" y="0"/>
                              </a:moveTo>
                              <a:lnTo>
                                <a:pt x="0" y="0"/>
                              </a:lnTo>
                              <a:lnTo>
                                <a:pt x="0" y="9143"/>
                              </a:lnTo>
                              <a:lnTo>
                                <a:pt x="32003" y="9143"/>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49242" id="Graphic 176" o:spid="_x0000_s1026" style="position:absolute;margin-left:402.25pt;margin-top:23.7pt;width:2.55pt;height:.75pt;z-index:15764992;visibility:visible;mso-wrap-style:square;mso-wrap-distance-left:0;mso-wrap-distance-top:0;mso-wrap-distance-right:0;mso-wrap-distance-bottom:0;mso-position-horizontal:absolute;mso-position-horizontal-relative:page;mso-position-vertical:absolute;mso-position-vertical-relative:text;v-text-anchor:top"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" path="m32003,l,,,9143r32003,l32003,xe" fillcolor="black" stroked="f">
                <v:path arrowok="t"/>
                <w10:wrap anchorx="page"/>
              </v:shape>
            </w:pict>
          </mc:Fallback>
        </mc:AlternateContent>
      </w:r>
      <w:r>
        <w:rPr>
          <w:rFonts w:ascii="Calibri"/>
        </w:rPr>
        <w:t>The</w:t>
      </w:r>
      <w:r>
        <w:rPr>
          <w:rFonts w:ascii="Calibri"/>
          <w:spacing w:val="-2"/>
        </w:rPr>
        <w:t xml:space="preserve"> </w:t>
      </w:r>
      <w:r>
        <w:rPr>
          <w:rFonts w:ascii="Calibri"/>
        </w:rPr>
        <w:t>International</w:t>
      </w:r>
      <w:r>
        <w:rPr>
          <w:rFonts w:ascii="Calibri"/>
          <w:spacing w:val="-3"/>
        </w:rPr>
        <w:t xml:space="preserve"> </w:t>
      </w:r>
      <w:r>
        <w:rPr>
          <w:rFonts w:ascii="Calibri"/>
        </w:rPr>
        <w:t>Federation</w:t>
      </w:r>
      <w:r>
        <w:rPr>
          <w:rFonts w:ascii="Calibri"/>
          <w:spacing w:val="-4"/>
        </w:rPr>
        <w:t xml:space="preserve"> </w:t>
      </w:r>
      <w:r>
        <w:rPr>
          <w:rFonts w:ascii="Calibri"/>
        </w:rPr>
        <w:t>of</w:t>
      </w:r>
      <w:r>
        <w:rPr>
          <w:rFonts w:ascii="Calibri"/>
          <w:spacing w:val="-3"/>
        </w:rPr>
        <w:t xml:space="preserve"> </w:t>
      </w:r>
      <w:r>
        <w:rPr>
          <w:rFonts w:ascii="Calibri"/>
        </w:rPr>
        <w:t>Accountants</w:t>
      </w:r>
      <w:r>
        <w:rPr>
          <w:rFonts w:ascii="Calibri"/>
          <w:spacing w:val="-5"/>
        </w:rPr>
        <w:t xml:space="preserve"> </w:t>
      </w:r>
      <w:r>
        <w:rPr>
          <w:rFonts w:ascii="Calibri"/>
        </w:rPr>
        <w:t>released</w:t>
      </w:r>
      <w:r>
        <w:rPr>
          <w:rFonts w:ascii="Calibri"/>
          <w:spacing w:val="-5"/>
        </w:rPr>
        <w:t xml:space="preserve"> </w:t>
      </w:r>
      <w:hyperlink r:id="rId234">
        <w:r>
          <w:rPr>
            <w:rFonts w:ascii="Calibri"/>
            <w:color w:val="44536A"/>
            <w:u w:val="single" w:color="44536A"/>
          </w:rPr>
          <w:t>new</w:t>
        </w:r>
        <w:r>
          <w:rPr>
            <w:rFonts w:ascii="Calibri"/>
            <w:color w:val="44536A"/>
            <w:spacing w:val="-2"/>
            <w:u w:val="single" w:color="44536A"/>
          </w:rPr>
          <w:t xml:space="preserve"> </w:t>
        </w:r>
        <w:r>
          <w:rPr>
            <w:rFonts w:ascii="Calibri"/>
            <w:color w:val="44536A"/>
            <w:u w:val="single" w:color="44536A"/>
          </w:rPr>
          <w:t>global</w:t>
        </w:r>
        <w:r>
          <w:rPr>
            <w:rFonts w:ascii="Calibri"/>
            <w:color w:val="44536A"/>
            <w:spacing w:val="-6"/>
            <w:u w:val="single" w:color="44536A"/>
          </w:rPr>
          <w:t xml:space="preserve"> </w:t>
        </w:r>
        <w:r>
          <w:rPr>
            <w:rFonts w:ascii="Calibri"/>
            <w:color w:val="44536A"/>
            <w:u w:val="single" w:color="44536A"/>
          </w:rPr>
          <w:t>research</w:t>
        </w:r>
      </w:hyperlink>
      <w:r>
        <w:rPr>
          <w:rFonts w:ascii="Calibri"/>
          <w:color w:val="44536A"/>
          <w:spacing w:val="-3"/>
        </w:rPr>
        <w:t xml:space="preserve"> </w:t>
      </w:r>
      <w:r>
        <w:rPr>
          <w:rFonts w:ascii="Calibri"/>
        </w:rPr>
        <w:t>analysing</w:t>
      </w:r>
      <w:r>
        <w:rPr>
          <w:rFonts w:ascii="Calibri"/>
          <w:spacing w:val="-3"/>
        </w:rPr>
        <w:t xml:space="preserve"> </w:t>
      </w:r>
      <w:r>
        <w:rPr>
          <w:rFonts w:ascii="Calibri"/>
        </w:rPr>
        <w:t>the</w:t>
      </w:r>
      <w:r>
        <w:rPr>
          <w:rFonts w:ascii="Calibri"/>
          <w:spacing w:val="-2"/>
        </w:rPr>
        <w:t xml:space="preserve"> </w:t>
      </w:r>
      <w:r>
        <w:rPr>
          <w:rFonts w:ascii="Calibri"/>
        </w:rPr>
        <w:t>rapid</w:t>
      </w:r>
      <w:r>
        <w:rPr>
          <w:rFonts w:ascii="Calibri"/>
          <w:spacing w:val="-4"/>
        </w:rPr>
        <w:t xml:space="preserve"> </w:t>
      </w:r>
      <w:r>
        <w:rPr>
          <w:rFonts w:ascii="Calibri"/>
        </w:rPr>
        <w:t>growth of private equity investment in professional accountancy firms and its potential implications for the future of the profession.</w:t>
      </w:r>
    </w:p>
    <w:p w14:paraId="1E805E91" w14:textId="77777777" w:rsidR="00AA4A02" w:rsidRDefault="00AA4A02">
      <w:pPr>
        <w:pStyle w:val="BodyText"/>
        <w:rPr>
          <w:rFonts w:ascii="Calibri"/>
        </w:rPr>
        <w:sectPr w:rsidR="00AA4A02">
          <w:headerReference w:type="default" r:id="rId235"/>
          <w:footerReference w:type="default" r:id="rId236"/>
          <w:pgSz w:w="11910" w:h="16840"/>
          <w:pgMar w:top="1400" w:right="1275" w:bottom="1240" w:left="566" w:header="0" w:footer="1048" w:gutter="0"/>
          <w:cols w:space="720"/>
        </w:sectPr>
      </w:pPr>
    </w:p>
    <w:p w14:paraId="1E805E92" w14:textId="77777777" w:rsidR="00AA4A02" w:rsidRDefault="00960F31">
      <w:pPr>
        <w:pStyle w:val="BodyText"/>
        <w:spacing w:before="39"/>
        <w:ind w:left="852" w:right="237"/>
        <w:rPr>
          <w:rFonts w:ascii="Calibri" w:hAnsi="Calibri"/>
        </w:rPr>
      </w:pPr>
      <w:r>
        <w:rPr>
          <w:rFonts w:ascii="Calibri" w:hAnsi="Calibri"/>
        </w:rPr>
        <w:lastRenderedPageBreak/>
        <w:t xml:space="preserve">IFAC also announced revisions to its </w:t>
      </w:r>
      <w:hyperlink r:id="rId237">
        <w:r>
          <w:rPr>
            <w:rFonts w:ascii="Calibri" w:hAnsi="Calibri"/>
            <w:color w:val="44536A"/>
            <w:u w:val="single" w:color="44536A"/>
          </w:rPr>
          <w:t>Statements of Membership Obligations (SMOs) 1–7</w:t>
        </w:r>
      </w:hyperlink>
      <w:r>
        <w:rPr>
          <w:rFonts w:ascii="Calibri" w:hAnsi="Calibri"/>
        </w:rPr>
        <w:t>, effective April 1, 2026. The SMOs set global benchmarks for IFAC members to support the adoption and implementation</w:t>
      </w:r>
      <w:r>
        <w:rPr>
          <w:rFonts w:ascii="Calibri" w:hAnsi="Calibri"/>
          <w:spacing w:val="-6"/>
        </w:rPr>
        <w:t xml:space="preserve"> </w:t>
      </w:r>
      <w:r>
        <w:rPr>
          <w:rFonts w:ascii="Calibri" w:hAnsi="Calibri"/>
        </w:rPr>
        <w:t>of</w:t>
      </w:r>
      <w:r>
        <w:rPr>
          <w:rFonts w:ascii="Calibri" w:hAnsi="Calibri"/>
          <w:spacing w:val="-3"/>
        </w:rPr>
        <w:t xml:space="preserve"> </w:t>
      </w:r>
      <w:r>
        <w:rPr>
          <w:rFonts w:ascii="Calibri" w:hAnsi="Calibri"/>
        </w:rPr>
        <w:t>international</w:t>
      </w:r>
      <w:r>
        <w:rPr>
          <w:rFonts w:ascii="Calibri" w:hAnsi="Calibri"/>
          <w:spacing w:val="-3"/>
        </w:rPr>
        <w:t xml:space="preserve"> </w:t>
      </w:r>
      <w:r>
        <w:rPr>
          <w:rFonts w:ascii="Calibri" w:hAnsi="Calibri"/>
        </w:rPr>
        <w:t>standards,</w:t>
      </w:r>
      <w:r>
        <w:rPr>
          <w:rFonts w:ascii="Calibri" w:hAnsi="Calibri"/>
          <w:spacing w:val="-5"/>
        </w:rPr>
        <w:t xml:space="preserve"> </w:t>
      </w:r>
      <w:r>
        <w:rPr>
          <w:rFonts w:ascii="Calibri" w:hAnsi="Calibri"/>
        </w:rPr>
        <w:t>as</w:t>
      </w:r>
      <w:r>
        <w:rPr>
          <w:rFonts w:ascii="Calibri" w:hAnsi="Calibri"/>
          <w:spacing w:val="-3"/>
        </w:rPr>
        <w:t xml:space="preserve"> </w:t>
      </w:r>
      <w:r>
        <w:rPr>
          <w:rFonts w:ascii="Calibri" w:hAnsi="Calibri"/>
        </w:rPr>
        <w:t>well</w:t>
      </w:r>
      <w:r>
        <w:rPr>
          <w:rFonts w:ascii="Calibri" w:hAnsi="Calibri"/>
          <w:spacing w:val="-3"/>
        </w:rPr>
        <w:t xml:space="preserve"> </w:t>
      </w:r>
      <w:r>
        <w:rPr>
          <w:rFonts w:ascii="Calibri" w:hAnsi="Calibri"/>
        </w:rPr>
        <w:t>as</w:t>
      </w:r>
      <w:r>
        <w:rPr>
          <w:rFonts w:ascii="Calibri" w:hAnsi="Calibri"/>
          <w:spacing w:val="-5"/>
        </w:rPr>
        <w:t xml:space="preserve"> </w:t>
      </w:r>
      <w:r>
        <w:rPr>
          <w:rFonts w:ascii="Calibri" w:hAnsi="Calibri"/>
        </w:rPr>
        <w:t>robust</w:t>
      </w:r>
      <w:r>
        <w:rPr>
          <w:rFonts w:ascii="Calibri" w:hAnsi="Calibri"/>
          <w:spacing w:val="-2"/>
        </w:rPr>
        <w:t xml:space="preserve"> </w:t>
      </w:r>
      <w:r>
        <w:rPr>
          <w:rFonts w:ascii="Calibri" w:hAnsi="Calibri"/>
        </w:rPr>
        <w:t>quality</w:t>
      </w:r>
      <w:r>
        <w:rPr>
          <w:rFonts w:ascii="Calibri" w:hAnsi="Calibri"/>
          <w:spacing w:val="-2"/>
        </w:rPr>
        <w:t xml:space="preserve"> </w:t>
      </w:r>
      <w:r>
        <w:rPr>
          <w:rFonts w:ascii="Calibri" w:hAnsi="Calibri"/>
        </w:rPr>
        <w:t>assurance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investigation</w:t>
      </w:r>
      <w:r>
        <w:rPr>
          <w:rFonts w:ascii="Calibri" w:hAnsi="Calibri"/>
          <w:spacing w:val="-4"/>
        </w:rPr>
        <w:t xml:space="preserve"> </w:t>
      </w:r>
      <w:r>
        <w:rPr>
          <w:rFonts w:ascii="Calibri" w:hAnsi="Calibri"/>
        </w:rPr>
        <w:t>and disciplinary systems.</w:t>
      </w:r>
    </w:p>
    <w:p w14:paraId="1E805E93" w14:textId="77777777" w:rsidR="00AA4A02" w:rsidRDefault="00960F31">
      <w:pPr>
        <w:spacing w:before="238"/>
        <w:ind w:left="852"/>
        <w:rPr>
          <w:rFonts w:ascii="Calibri"/>
          <w:b/>
        </w:rPr>
      </w:pPr>
      <w:r>
        <w:rPr>
          <w:rFonts w:ascii="Calibri"/>
          <w:b/>
        </w:rPr>
        <w:t>IFRS</w:t>
      </w:r>
      <w:r>
        <w:rPr>
          <w:rFonts w:ascii="Calibri"/>
          <w:b/>
          <w:spacing w:val="-1"/>
        </w:rPr>
        <w:t xml:space="preserve"> </w:t>
      </w:r>
      <w:r>
        <w:rPr>
          <w:rFonts w:ascii="Calibri"/>
          <w:b/>
          <w:spacing w:val="-2"/>
        </w:rPr>
        <w:t>Foundation</w:t>
      </w:r>
    </w:p>
    <w:p w14:paraId="1E805E94" w14:textId="77777777" w:rsidR="00AA4A02" w:rsidRDefault="00960F31">
      <w:pPr>
        <w:pStyle w:val="BodyText"/>
        <w:spacing w:before="240"/>
        <w:ind w:left="852"/>
        <w:rPr>
          <w:rFonts w:ascii="Calibri"/>
        </w:rPr>
      </w:pPr>
      <w:r>
        <w:rPr>
          <w:rFonts w:ascii="Calibri"/>
        </w:rPr>
        <w:t>Rudolf</w:t>
      </w:r>
      <w:r>
        <w:rPr>
          <w:rFonts w:ascii="Calibri"/>
          <w:spacing w:val="-1"/>
        </w:rPr>
        <w:t xml:space="preserve"> </w:t>
      </w:r>
      <w:r>
        <w:rPr>
          <w:rFonts w:ascii="Calibri"/>
        </w:rPr>
        <w:t>Bless</w:t>
      </w:r>
      <w:r>
        <w:rPr>
          <w:rFonts w:ascii="Calibri"/>
          <w:spacing w:val="-1"/>
        </w:rPr>
        <w:t xml:space="preserve"> </w:t>
      </w:r>
      <w:r>
        <w:rPr>
          <w:rFonts w:ascii="Calibri"/>
        </w:rPr>
        <w:t>has</w:t>
      </w:r>
      <w:r>
        <w:rPr>
          <w:rFonts w:ascii="Calibri"/>
          <w:spacing w:val="-1"/>
        </w:rPr>
        <w:t xml:space="preserve"> </w:t>
      </w:r>
      <w:r>
        <w:rPr>
          <w:rFonts w:ascii="Calibri"/>
        </w:rPr>
        <w:t>been</w:t>
      </w:r>
      <w:r>
        <w:rPr>
          <w:rFonts w:ascii="Calibri"/>
          <w:spacing w:val="-2"/>
        </w:rPr>
        <w:t xml:space="preserve"> </w:t>
      </w:r>
      <w:hyperlink r:id="rId238">
        <w:r>
          <w:rPr>
            <w:rFonts w:ascii="Calibri"/>
            <w:color w:val="44536A"/>
            <w:u w:val="single" w:color="44536A"/>
          </w:rPr>
          <w:t>appointed</w:t>
        </w:r>
        <w:r>
          <w:rPr>
            <w:rFonts w:ascii="Calibri"/>
            <w:color w:val="44536A"/>
            <w:spacing w:val="-2"/>
            <w:u w:val="single" w:color="44536A"/>
          </w:rPr>
          <w:t xml:space="preserve"> </w:t>
        </w:r>
        <w:r>
          <w:rPr>
            <w:rFonts w:ascii="Calibri"/>
            <w:color w:val="44536A"/>
            <w:u w:val="single" w:color="44536A"/>
          </w:rPr>
          <w:t>as</w:t>
        </w:r>
        <w:r>
          <w:rPr>
            <w:rFonts w:ascii="Calibri"/>
            <w:color w:val="44536A"/>
            <w:spacing w:val="-1"/>
            <w:u w:val="single" w:color="44536A"/>
          </w:rPr>
          <w:t xml:space="preserve"> </w:t>
        </w:r>
        <w:r>
          <w:rPr>
            <w:rFonts w:ascii="Calibri"/>
            <w:color w:val="44536A"/>
            <w:u w:val="single" w:color="44536A"/>
          </w:rPr>
          <w:t>a</w:t>
        </w:r>
        <w:r>
          <w:rPr>
            <w:rFonts w:ascii="Calibri"/>
            <w:color w:val="44536A"/>
            <w:spacing w:val="-1"/>
            <w:u w:val="single" w:color="44536A"/>
          </w:rPr>
          <w:t xml:space="preserve"> </w:t>
        </w:r>
        <w:r>
          <w:rPr>
            <w:rFonts w:ascii="Calibri"/>
            <w:color w:val="44536A"/>
            <w:u w:val="single" w:color="44536A"/>
          </w:rPr>
          <w:t>Vice-Chair</w:t>
        </w:r>
        <w:r>
          <w:rPr>
            <w:rFonts w:ascii="Calibri"/>
            <w:color w:val="44536A"/>
            <w:spacing w:val="-3"/>
            <w:u w:val="single" w:color="44536A"/>
          </w:rPr>
          <w:t xml:space="preserve"> </w:t>
        </w:r>
        <w:r>
          <w:rPr>
            <w:rFonts w:ascii="Calibri"/>
            <w:color w:val="44536A"/>
            <w:u w:val="single" w:color="44536A"/>
          </w:rPr>
          <w:t>of</w:t>
        </w:r>
        <w:r>
          <w:rPr>
            <w:rFonts w:ascii="Calibri"/>
            <w:color w:val="44536A"/>
            <w:spacing w:val="-4"/>
            <w:u w:val="single" w:color="44536A"/>
          </w:rPr>
          <w:t xml:space="preserve"> </w:t>
        </w:r>
        <w:r>
          <w:rPr>
            <w:rFonts w:ascii="Calibri"/>
            <w:color w:val="44536A"/>
            <w:u w:val="single" w:color="44536A"/>
          </w:rPr>
          <w:t>the</w:t>
        </w:r>
        <w:r>
          <w:rPr>
            <w:rFonts w:ascii="Calibri"/>
            <w:color w:val="44536A"/>
            <w:spacing w:val="-3"/>
            <w:u w:val="single" w:color="44536A"/>
          </w:rPr>
          <w:t xml:space="preserve"> </w:t>
        </w:r>
        <w:r>
          <w:rPr>
            <w:rFonts w:ascii="Calibri"/>
            <w:color w:val="44536A"/>
            <w:u w:val="single" w:color="44536A"/>
          </w:rPr>
          <w:t>IFRS</w:t>
        </w:r>
        <w:r>
          <w:rPr>
            <w:rFonts w:ascii="Calibri"/>
            <w:color w:val="44536A"/>
            <w:spacing w:val="-1"/>
            <w:u w:val="single" w:color="44536A"/>
          </w:rPr>
          <w:t xml:space="preserve"> </w:t>
        </w:r>
        <w:r>
          <w:rPr>
            <w:rFonts w:ascii="Calibri"/>
            <w:color w:val="44536A"/>
            <w:u w:val="single" w:color="44536A"/>
          </w:rPr>
          <w:t>Foundation</w:t>
        </w:r>
        <w:r>
          <w:rPr>
            <w:rFonts w:ascii="Calibri"/>
            <w:color w:val="44536A"/>
            <w:spacing w:val="-4"/>
            <w:u w:val="single" w:color="44536A"/>
          </w:rPr>
          <w:t xml:space="preserve"> </w:t>
        </w:r>
        <w:r>
          <w:rPr>
            <w:rFonts w:ascii="Calibri"/>
            <w:color w:val="44536A"/>
            <w:u w:val="single" w:color="44536A"/>
          </w:rPr>
          <w:t>Trustees</w:t>
        </w:r>
      </w:hyperlink>
      <w:r>
        <w:rPr>
          <w:rFonts w:ascii="Calibri"/>
        </w:rPr>
        <w:t>.</w:t>
      </w:r>
      <w:r>
        <w:rPr>
          <w:rFonts w:ascii="Calibri"/>
          <w:spacing w:val="-4"/>
        </w:rPr>
        <w:t xml:space="preserve"> </w:t>
      </w:r>
      <w:r>
        <w:rPr>
          <w:rFonts w:ascii="Calibri"/>
        </w:rPr>
        <w:t>He has</w:t>
      </w:r>
      <w:r>
        <w:rPr>
          <w:rFonts w:ascii="Calibri"/>
          <w:spacing w:val="-1"/>
        </w:rPr>
        <w:t xml:space="preserve"> </w:t>
      </w:r>
      <w:r>
        <w:rPr>
          <w:rFonts w:ascii="Calibri"/>
        </w:rPr>
        <w:t>served</w:t>
      </w:r>
      <w:r>
        <w:rPr>
          <w:rFonts w:ascii="Calibri"/>
          <w:spacing w:val="-4"/>
        </w:rPr>
        <w:t xml:space="preserve"> </w:t>
      </w:r>
      <w:r>
        <w:rPr>
          <w:rFonts w:ascii="Calibri"/>
        </w:rPr>
        <w:t>as</w:t>
      </w:r>
      <w:r>
        <w:rPr>
          <w:rFonts w:ascii="Calibri"/>
          <w:spacing w:val="-1"/>
        </w:rPr>
        <w:t xml:space="preserve"> </w:t>
      </w:r>
      <w:r>
        <w:rPr>
          <w:rFonts w:ascii="Calibri"/>
        </w:rPr>
        <w:t>a Trustee since January 2024.</w:t>
      </w:r>
    </w:p>
    <w:p w14:paraId="1E805E95" w14:textId="77777777" w:rsidR="00AA4A02" w:rsidRDefault="00960F31">
      <w:pPr>
        <w:pStyle w:val="BodyText"/>
        <w:spacing w:before="241"/>
        <w:ind w:left="852" w:right="476"/>
        <w:rPr>
          <w:rFonts w:ascii="Calibri"/>
        </w:rPr>
      </w:pPr>
      <w:r>
        <w:rPr>
          <w:rFonts w:ascii="Calibri"/>
          <w:noProof/>
        </w:rPr>
        <mc:AlternateContent>
          <mc:Choice Requires="wps">
            <w:drawing>
              <wp:anchor distT="0" distB="0" distL="0" distR="0" simplePos="0" relativeHeight="15765504" behindDoc="0" locked="0" layoutInCell="1" allowOverlap="1" wp14:anchorId="1E805FA5" wp14:editId="1E805FA6">
                <wp:simplePos x="0" y="0"/>
                <wp:positionH relativeFrom="page">
                  <wp:posOffset>2368295</wp:posOffset>
                </wp:positionH>
                <wp:positionV relativeFrom="paragraph">
                  <wp:posOffset>472387</wp:posOffset>
                </wp:positionV>
                <wp:extent cx="35560" cy="952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
                        </a:xfrm>
                        <a:custGeom>
                          <a:avLst/>
                          <a:gdLst/>
                          <a:ahLst/>
                          <a:cxnLst/>
                          <a:rect l="l" t="t" r="r" b="b"/>
                          <a:pathLst>
                            <a:path w="35560" h="9525">
                              <a:moveTo>
                                <a:pt x="35051" y="0"/>
                              </a:moveTo>
                              <a:lnTo>
                                <a:pt x="0" y="0"/>
                              </a:lnTo>
                              <a:lnTo>
                                <a:pt x="0" y="9144"/>
                              </a:lnTo>
                              <a:lnTo>
                                <a:pt x="35051" y="9144"/>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36AA2" id="Graphic 178" o:spid="_x0000_s1026" style="position:absolute;margin-left:186.5pt;margin-top:37.2pt;width:2.8pt;height:.75pt;z-index:15765504;visibility:visible;mso-wrap-style:square;mso-wrap-distance-left:0;mso-wrap-distance-top:0;mso-wrap-distance-right:0;mso-wrap-distance-bottom:0;mso-position-horizontal:absolute;mso-position-horizontal-relative:page;mso-position-vertical:absolute;mso-position-vertical-relative:text;v-text-anchor:top" coordsize="35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" path="m35051,l,,,9144r35051,l35051,xe" fillcolor="black" stroked="f">
                <v:path arrowok="t"/>
                <w10:wrap anchorx="page"/>
              </v:shape>
            </w:pict>
          </mc:Fallback>
        </mc:AlternateContent>
      </w:r>
      <w:r>
        <w:rPr>
          <w:rFonts w:ascii="Calibri"/>
        </w:rPr>
        <w:t>The</w:t>
      </w:r>
      <w:r>
        <w:rPr>
          <w:rFonts w:ascii="Calibri"/>
          <w:spacing w:val="-1"/>
        </w:rPr>
        <w:t xml:space="preserve"> </w:t>
      </w:r>
      <w:r>
        <w:rPr>
          <w:rFonts w:ascii="Calibri"/>
        </w:rPr>
        <w:t>IFRS</w:t>
      </w:r>
      <w:r>
        <w:rPr>
          <w:rFonts w:ascii="Calibri"/>
          <w:spacing w:val="-3"/>
        </w:rPr>
        <w:t xml:space="preserve"> </w:t>
      </w:r>
      <w:r>
        <w:rPr>
          <w:rFonts w:ascii="Calibri"/>
        </w:rPr>
        <w:t>Foundation</w:t>
      </w:r>
      <w:r>
        <w:rPr>
          <w:rFonts w:ascii="Calibri"/>
          <w:spacing w:val="-3"/>
        </w:rPr>
        <w:t xml:space="preserve"> </w:t>
      </w:r>
      <w:r>
        <w:rPr>
          <w:rFonts w:ascii="Calibri"/>
        </w:rPr>
        <w:t>has</w:t>
      </w:r>
      <w:r>
        <w:rPr>
          <w:rFonts w:ascii="Calibri"/>
          <w:spacing w:val="-2"/>
        </w:rPr>
        <w:t xml:space="preserve"> </w:t>
      </w:r>
      <w:r>
        <w:rPr>
          <w:rFonts w:ascii="Calibri"/>
        </w:rPr>
        <w:t>published</w:t>
      </w:r>
      <w:r>
        <w:rPr>
          <w:rFonts w:ascii="Calibri"/>
          <w:spacing w:val="-3"/>
        </w:rPr>
        <w:t xml:space="preserve"> </w:t>
      </w:r>
      <w:r>
        <w:rPr>
          <w:rFonts w:ascii="Calibri"/>
        </w:rPr>
        <w:t>its</w:t>
      </w:r>
      <w:r>
        <w:rPr>
          <w:rFonts w:ascii="Calibri"/>
          <w:spacing w:val="-2"/>
        </w:rPr>
        <w:t xml:space="preserve"> </w:t>
      </w:r>
      <w:hyperlink r:id="rId239">
        <w:r>
          <w:rPr>
            <w:rFonts w:ascii="Calibri"/>
            <w:color w:val="44536A"/>
            <w:u w:val="single" w:color="44536A"/>
          </w:rPr>
          <w:t>annual</w:t>
        </w:r>
        <w:r>
          <w:rPr>
            <w:rFonts w:ascii="Calibri"/>
            <w:color w:val="44536A"/>
            <w:spacing w:val="-2"/>
            <w:u w:val="single" w:color="44536A"/>
          </w:rPr>
          <w:t xml:space="preserve"> </w:t>
        </w:r>
        <w:r>
          <w:rPr>
            <w:rFonts w:ascii="Calibri"/>
            <w:color w:val="44536A"/>
            <w:u w:val="single" w:color="44536A"/>
          </w:rPr>
          <w:t>report</w:t>
        </w:r>
        <w:r>
          <w:rPr>
            <w:rFonts w:ascii="Calibri"/>
            <w:color w:val="44536A"/>
            <w:spacing w:val="-1"/>
            <w:u w:val="single" w:color="44536A"/>
          </w:rPr>
          <w:t xml:space="preserve"> </w:t>
        </w:r>
        <w:r>
          <w:rPr>
            <w:rFonts w:ascii="Calibri"/>
            <w:color w:val="44536A"/>
            <w:u w:val="single" w:color="44536A"/>
          </w:rPr>
          <w:t>and</w:t>
        </w:r>
        <w:r>
          <w:rPr>
            <w:rFonts w:ascii="Calibri"/>
            <w:color w:val="44536A"/>
            <w:spacing w:val="-3"/>
            <w:u w:val="single" w:color="44536A"/>
          </w:rPr>
          <w:t xml:space="preserve"> </w:t>
        </w:r>
        <w:r>
          <w:rPr>
            <w:rFonts w:ascii="Calibri"/>
            <w:color w:val="44536A"/>
            <w:u w:val="single" w:color="44536A"/>
          </w:rPr>
          <w:t>audited</w:t>
        </w:r>
        <w:r>
          <w:rPr>
            <w:rFonts w:ascii="Calibri"/>
            <w:color w:val="44536A"/>
            <w:spacing w:val="-3"/>
            <w:u w:val="single" w:color="44536A"/>
          </w:rPr>
          <w:t xml:space="preserve"> </w:t>
        </w:r>
        <w:r>
          <w:rPr>
            <w:rFonts w:ascii="Calibri"/>
            <w:color w:val="44536A"/>
            <w:u w:val="single" w:color="44536A"/>
          </w:rPr>
          <w:t>financial</w:t>
        </w:r>
        <w:r>
          <w:rPr>
            <w:rFonts w:ascii="Calibri"/>
            <w:color w:val="44536A"/>
            <w:spacing w:val="-2"/>
            <w:u w:val="single" w:color="44536A"/>
          </w:rPr>
          <w:t xml:space="preserve"> </w:t>
        </w:r>
        <w:r>
          <w:rPr>
            <w:rFonts w:ascii="Calibri"/>
            <w:color w:val="44536A"/>
            <w:u w:val="single" w:color="44536A"/>
          </w:rPr>
          <w:t>statements</w:t>
        </w:r>
        <w:r>
          <w:rPr>
            <w:rFonts w:ascii="Calibri"/>
            <w:color w:val="44536A"/>
            <w:spacing w:val="-2"/>
            <w:u w:val="single" w:color="44536A"/>
          </w:rPr>
          <w:t xml:space="preserve"> </w:t>
        </w:r>
        <w:r>
          <w:rPr>
            <w:rFonts w:ascii="Calibri"/>
            <w:color w:val="44536A"/>
            <w:u w:val="single" w:color="44536A"/>
          </w:rPr>
          <w:t>for</w:t>
        </w:r>
        <w:r>
          <w:rPr>
            <w:rFonts w:ascii="Calibri"/>
            <w:color w:val="44536A"/>
            <w:spacing w:val="-2"/>
            <w:u w:val="single" w:color="44536A"/>
          </w:rPr>
          <w:t xml:space="preserve"> </w:t>
        </w:r>
        <w:r>
          <w:rPr>
            <w:rFonts w:ascii="Calibri"/>
            <w:color w:val="44536A"/>
            <w:u w:val="single" w:color="44536A"/>
          </w:rPr>
          <w:t>the</w:t>
        </w:r>
        <w:r>
          <w:rPr>
            <w:rFonts w:ascii="Calibri"/>
            <w:color w:val="44536A"/>
            <w:spacing w:val="-4"/>
            <w:u w:val="single" w:color="44536A"/>
          </w:rPr>
          <w:t xml:space="preserve"> </w:t>
        </w:r>
        <w:r>
          <w:rPr>
            <w:rFonts w:ascii="Calibri"/>
            <w:color w:val="44536A"/>
            <w:u w:val="single" w:color="44536A"/>
          </w:rPr>
          <w:t>year</w:t>
        </w:r>
      </w:hyperlink>
      <w:r>
        <w:rPr>
          <w:rFonts w:ascii="Calibri"/>
          <w:color w:val="44536A"/>
        </w:rPr>
        <w:t xml:space="preserve"> </w:t>
      </w:r>
      <w:hyperlink r:id="rId240">
        <w:r>
          <w:rPr>
            <w:rFonts w:ascii="Calibri"/>
            <w:color w:val="44536A"/>
            <w:u w:val="single" w:color="44536A"/>
          </w:rPr>
          <w:t>ended 31 December 2025</w:t>
        </w:r>
        <w:r>
          <w:rPr>
            <w:rFonts w:ascii="Calibri"/>
          </w:rPr>
          <w:t>,</w:t>
        </w:r>
      </w:hyperlink>
      <w:r>
        <w:rPr>
          <w:rFonts w:ascii="Calibri"/>
        </w:rPr>
        <w:t xml:space="preserve"> setting out its financial results, the progress made in delivering its public-interest mission and the steps taken to ensure the organisation is fit for the future.</w:t>
      </w:r>
    </w:p>
    <w:p w14:paraId="1E805E96" w14:textId="77777777" w:rsidR="00AA4A02" w:rsidRDefault="00960F31">
      <w:pPr>
        <w:spacing w:before="241"/>
        <w:ind w:left="852"/>
        <w:rPr>
          <w:rFonts w:ascii="Calibri"/>
          <w:b/>
        </w:rPr>
      </w:pPr>
      <w:r>
        <w:rPr>
          <w:rFonts w:ascii="Calibri"/>
          <w:b/>
          <w:spacing w:val="-4"/>
        </w:rPr>
        <w:t>PIOB</w:t>
      </w:r>
    </w:p>
    <w:p w14:paraId="1E805E97" w14:textId="77777777" w:rsidR="00AA4A02" w:rsidRDefault="00960F31">
      <w:pPr>
        <w:pStyle w:val="BodyText"/>
        <w:spacing w:before="240"/>
        <w:ind w:left="852" w:right="237"/>
        <w:rPr>
          <w:rFonts w:ascii="Calibri"/>
        </w:rPr>
      </w:pPr>
      <w:r>
        <w:rPr>
          <w:rFonts w:ascii="Calibri"/>
        </w:rPr>
        <w:t>The</w:t>
      </w:r>
      <w:r>
        <w:rPr>
          <w:rFonts w:ascii="Calibri"/>
          <w:spacing w:val="-1"/>
        </w:rPr>
        <w:t xml:space="preserve"> </w:t>
      </w:r>
      <w:r>
        <w:rPr>
          <w:rFonts w:ascii="Calibri"/>
        </w:rPr>
        <w:t>PIOB</w:t>
      </w:r>
      <w:r>
        <w:rPr>
          <w:rFonts w:ascii="Calibri"/>
          <w:spacing w:val="-2"/>
        </w:rPr>
        <w:t xml:space="preserve"> </w:t>
      </w:r>
      <w:r>
        <w:rPr>
          <w:rFonts w:ascii="Calibri"/>
        </w:rPr>
        <w:t>has</w:t>
      </w:r>
      <w:r>
        <w:rPr>
          <w:rFonts w:ascii="Calibri"/>
          <w:spacing w:val="-2"/>
        </w:rPr>
        <w:t xml:space="preserve"> </w:t>
      </w:r>
      <w:r>
        <w:rPr>
          <w:rFonts w:ascii="Calibri"/>
        </w:rPr>
        <w:t>released</w:t>
      </w:r>
      <w:r>
        <w:rPr>
          <w:rFonts w:ascii="Calibri"/>
          <w:spacing w:val="-3"/>
        </w:rPr>
        <w:t xml:space="preserve"> </w:t>
      </w:r>
      <w:r>
        <w:rPr>
          <w:rFonts w:ascii="Calibri"/>
        </w:rPr>
        <w:t>new</w:t>
      </w:r>
      <w:r>
        <w:rPr>
          <w:rFonts w:ascii="Calibri"/>
          <w:spacing w:val="-4"/>
        </w:rPr>
        <w:t xml:space="preserve"> </w:t>
      </w:r>
      <w:hyperlink r:id="rId241">
        <w:r>
          <w:rPr>
            <w:rFonts w:ascii="Calibri"/>
            <w:color w:val="44536A"/>
            <w:u w:val="single" w:color="44536A"/>
          </w:rPr>
          <w:t>quarterly</w:t>
        </w:r>
        <w:r>
          <w:rPr>
            <w:rFonts w:ascii="Calibri"/>
            <w:color w:val="44536A"/>
            <w:spacing w:val="-3"/>
            <w:u w:val="single" w:color="44536A"/>
          </w:rPr>
          <w:t xml:space="preserve"> </w:t>
        </w:r>
        <w:r>
          <w:rPr>
            <w:rFonts w:ascii="Calibri"/>
            <w:color w:val="44536A"/>
            <w:u w:val="single" w:color="44536A"/>
          </w:rPr>
          <w:t>oversight</w:t>
        </w:r>
        <w:r>
          <w:rPr>
            <w:rFonts w:ascii="Calibri"/>
            <w:color w:val="44536A"/>
            <w:spacing w:val="-4"/>
            <w:u w:val="single" w:color="44536A"/>
          </w:rPr>
          <w:t xml:space="preserve"> </w:t>
        </w:r>
        <w:r>
          <w:rPr>
            <w:rFonts w:ascii="Calibri"/>
            <w:color w:val="44536A"/>
            <w:u w:val="single" w:color="44536A"/>
          </w:rPr>
          <w:t>publications</w:t>
        </w:r>
      </w:hyperlink>
      <w:r>
        <w:rPr>
          <w:rFonts w:ascii="Calibri"/>
          <w:color w:val="44536A"/>
          <w:spacing w:val="-1"/>
        </w:rPr>
        <w:t xml:space="preserve"> </w:t>
      </w:r>
      <w:r>
        <w:rPr>
          <w:rFonts w:ascii="Calibri"/>
        </w:rPr>
        <w:t>that</w:t>
      </w:r>
      <w:r>
        <w:rPr>
          <w:rFonts w:ascii="Calibri"/>
          <w:spacing w:val="-1"/>
        </w:rPr>
        <w:t xml:space="preserve"> </w:t>
      </w:r>
      <w:r>
        <w:rPr>
          <w:rFonts w:ascii="Calibri"/>
        </w:rPr>
        <w:t>provide</w:t>
      </w:r>
      <w:r>
        <w:rPr>
          <w:rFonts w:ascii="Calibri"/>
          <w:spacing w:val="-4"/>
        </w:rPr>
        <w:t xml:space="preserve"> </w:t>
      </w:r>
      <w:r>
        <w:rPr>
          <w:rFonts w:ascii="Calibri"/>
        </w:rPr>
        <w:t>valuable</w:t>
      </w:r>
      <w:r>
        <w:rPr>
          <w:rFonts w:ascii="Calibri"/>
          <w:spacing w:val="-6"/>
        </w:rPr>
        <w:t xml:space="preserve"> </w:t>
      </w:r>
      <w:r>
        <w:rPr>
          <w:rFonts w:ascii="Calibri"/>
        </w:rPr>
        <w:t>insights</w:t>
      </w:r>
      <w:r>
        <w:rPr>
          <w:rFonts w:ascii="Calibri"/>
          <w:spacing w:val="-2"/>
        </w:rPr>
        <w:t xml:space="preserve"> </w:t>
      </w:r>
      <w:r>
        <w:rPr>
          <w:rFonts w:ascii="Calibri"/>
        </w:rPr>
        <w:t>into</w:t>
      </w:r>
      <w:r>
        <w:rPr>
          <w:rFonts w:ascii="Calibri"/>
          <w:spacing w:val="-1"/>
        </w:rPr>
        <w:t xml:space="preserve"> </w:t>
      </w:r>
      <w:r>
        <w:rPr>
          <w:rFonts w:ascii="Calibri"/>
        </w:rPr>
        <w:t>how the PIOB identifies Public Interest Issues and carries out its oversight work.</w:t>
      </w:r>
    </w:p>
    <w:p w14:paraId="1E805E98" w14:textId="77777777" w:rsidR="00AA4A02" w:rsidRDefault="00960F31">
      <w:pPr>
        <w:spacing w:before="241"/>
        <w:ind w:left="852"/>
        <w:rPr>
          <w:rFonts w:ascii="Calibri"/>
          <w:b/>
        </w:rPr>
      </w:pPr>
      <w:r>
        <w:rPr>
          <w:rFonts w:ascii="Calibri"/>
          <w:b/>
          <w:u w:val="single"/>
        </w:rPr>
        <w:t>Comparable</w:t>
      </w:r>
      <w:r>
        <w:rPr>
          <w:rFonts w:ascii="Calibri"/>
          <w:b/>
          <w:spacing w:val="-7"/>
          <w:u w:val="single"/>
        </w:rPr>
        <w:t xml:space="preserve"> </w:t>
      </w:r>
      <w:r>
        <w:rPr>
          <w:rFonts w:ascii="Calibri"/>
          <w:b/>
          <w:spacing w:val="-2"/>
          <w:u w:val="single"/>
        </w:rPr>
        <w:t>jurisdictions</w:t>
      </w:r>
    </w:p>
    <w:p w14:paraId="1E805E99" w14:textId="77777777" w:rsidR="00AA4A02" w:rsidRDefault="00960F31">
      <w:pPr>
        <w:spacing w:before="238"/>
        <w:ind w:left="852"/>
        <w:rPr>
          <w:rFonts w:ascii="Calibri"/>
          <w:b/>
        </w:rPr>
      </w:pPr>
      <w:r>
        <w:rPr>
          <w:rFonts w:ascii="Calibri"/>
          <w:b/>
          <w:spacing w:val="-5"/>
        </w:rPr>
        <w:t>NZ</w:t>
      </w:r>
    </w:p>
    <w:p w14:paraId="1E805E9A" w14:textId="77777777" w:rsidR="00AA4A02" w:rsidRDefault="00960F31">
      <w:pPr>
        <w:pStyle w:val="BodyText"/>
        <w:spacing w:before="240"/>
        <w:ind w:left="852" w:right="368"/>
        <w:rPr>
          <w:rFonts w:ascii="Calibri"/>
        </w:rPr>
      </w:pPr>
      <w:r>
        <w:rPr>
          <w:rFonts w:ascii="Calibri"/>
        </w:rPr>
        <w:t xml:space="preserve">The NZ Financial Markets Authority has </w:t>
      </w:r>
      <w:hyperlink r:id="rId242">
        <w:r>
          <w:rPr>
            <w:rFonts w:ascii="Calibri"/>
            <w:color w:val="44536A"/>
            <w:u w:val="single" w:color="44536A"/>
          </w:rPr>
          <w:t>released a report</w:t>
        </w:r>
      </w:hyperlink>
      <w:r>
        <w:rPr>
          <w:rFonts w:ascii="Calibri"/>
          <w:color w:val="44536A"/>
        </w:rPr>
        <w:t xml:space="preserve"> </w:t>
      </w:r>
      <w:r>
        <w:rPr>
          <w:rFonts w:ascii="Calibri"/>
        </w:rPr>
        <w:t>with findings from reviews of 60 audited financial statements and the lodgement behaviour of FMC reporting entities between 2022 and 2025.</w:t>
      </w:r>
      <w:r>
        <w:rPr>
          <w:rFonts w:ascii="Calibri"/>
          <w:spacing w:val="-2"/>
        </w:rPr>
        <w:t xml:space="preserve"> </w:t>
      </w:r>
      <w:r>
        <w:rPr>
          <w:rFonts w:ascii="Calibri"/>
        </w:rPr>
        <w:t>It</w:t>
      </w:r>
      <w:r>
        <w:rPr>
          <w:rFonts w:ascii="Calibri"/>
          <w:spacing w:val="-4"/>
        </w:rPr>
        <w:t xml:space="preserve"> </w:t>
      </w:r>
      <w:r>
        <w:rPr>
          <w:rFonts w:ascii="Calibri"/>
        </w:rPr>
        <w:t>was</w:t>
      </w:r>
      <w:r>
        <w:rPr>
          <w:rFonts w:ascii="Calibri"/>
          <w:spacing w:val="-4"/>
        </w:rPr>
        <w:t xml:space="preserve"> </w:t>
      </w:r>
      <w:r>
        <w:rPr>
          <w:rFonts w:ascii="Calibri"/>
        </w:rPr>
        <w:t>found</w:t>
      </w:r>
      <w:r>
        <w:rPr>
          <w:rFonts w:ascii="Calibri"/>
          <w:spacing w:val="-3"/>
        </w:rPr>
        <w:t xml:space="preserve"> </w:t>
      </w:r>
      <w:r>
        <w:rPr>
          <w:rFonts w:ascii="Calibri"/>
        </w:rPr>
        <w:t>that</w:t>
      </w:r>
      <w:r>
        <w:rPr>
          <w:rFonts w:ascii="Calibri"/>
          <w:spacing w:val="-4"/>
        </w:rPr>
        <w:t xml:space="preserve"> </w:t>
      </w:r>
      <w:r>
        <w:rPr>
          <w:rFonts w:ascii="Calibri"/>
        </w:rPr>
        <w:t>most</w:t>
      </w:r>
      <w:r>
        <w:rPr>
          <w:rFonts w:ascii="Calibri"/>
          <w:spacing w:val="-1"/>
        </w:rPr>
        <w:t xml:space="preserve"> </w:t>
      </w:r>
      <w:r>
        <w:rPr>
          <w:rFonts w:ascii="Calibri"/>
        </w:rPr>
        <w:t>entities</w:t>
      </w:r>
      <w:r>
        <w:rPr>
          <w:rFonts w:ascii="Calibri"/>
          <w:spacing w:val="-2"/>
        </w:rPr>
        <w:t xml:space="preserve"> </w:t>
      </w:r>
      <w:r>
        <w:rPr>
          <w:rFonts w:ascii="Calibri"/>
        </w:rPr>
        <w:t>complied</w:t>
      </w:r>
      <w:r>
        <w:rPr>
          <w:rFonts w:ascii="Calibri"/>
          <w:spacing w:val="-4"/>
        </w:rPr>
        <w:t xml:space="preserve"> </w:t>
      </w:r>
      <w:r>
        <w:rPr>
          <w:rFonts w:ascii="Calibri"/>
        </w:rPr>
        <w:t>with</w:t>
      </w:r>
      <w:r>
        <w:rPr>
          <w:rFonts w:ascii="Calibri"/>
          <w:spacing w:val="-3"/>
        </w:rPr>
        <w:t xml:space="preserve"> </w:t>
      </w:r>
      <w:r>
        <w:rPr>
          <w:rFonts w:ascii="Calibri"/>
        </w:rPr>
        <w:t>NZ</w:t>
      </w:r>
      <w:r>
        <w:rPr>
          <w:rFonts w:ascii="Calibri"/>
          <w:spacing w:val="-2"/>
        </w:rPr>
        <w:t xml:space="preserve"> </w:t>
      </w:r>
      <w:r>
        <w:rPr>
          <w:rFonts w:ascii="Calibri"/>
        </w:rPr>
        <w:t>IFRS</w:t>
      </w:r>
      <w:r>
        <w:rPr>
          <w:rFonts w:ascii="Calibri"/>
          <w:spacing w:val="-3"/>
        </w:rPr>
        <w:t xml:space="preserve"> </w:t>
      </w:r>
      <w:r>
        <w:rPr>
          <w:rFonts w:ascii="Calibri"/>
        </w:rPr>
        <w:t>requirements</w:t>
      </w:r>
      <w:r>
        <w:rPr>
          <w:rFonts w:ascii="Calibri"/>
          <w:spacing w:val="-4"/>
        </w:rPr>
        <w:t xml:space="preserve"> </w:t>
      </w:r>
      <w:r>
        <w:rPr>
          <w:rFonts w:ascii="Calibri"/>
        </w:rPr>
        <w:t>and</w:t>
      </w:r>
      <w:r>
        <w:rPr>
          <w:rFonts w:ascii="Calibri"/>
          <w:spacing w:val="-3"/>
        </w:rPr>
        <w:t xml:space="preserve"> </w:t>
      </w:r>
      <w:r>
        <w:rPr>
          <w:rFonts w:ascii="Calibri"/>
        </w:rPr>
        <w:t>maintained</w:t>
      </w:r>
      <w:r>
        <w:rPr>
          <w:rFonts w:ascii="Calibri"/>
          <w:spacing w:val="-3"/>
        </w:rPr>
        <w:t xml:space="preserve"> </w:t>
      </w:r>
      <w:r>
        <w:rPr>
          <w:rFonts w:ascii="Calibri"/>
        </w:rPr>
        <w:t>detailed accounting records to support significant accounting judgements and estimates. However, weaknesses were identified including revenue recognition, impairment of non-financial assets and climate-related matters.</w:t>
      </w:r>
    </w:p>
    <w:p w14:paraId="1E805E9B" w14:textId="77777777" w:rsidR="00AA4A02" w:rsidRDefault="00960F31">
      <w:pPr>
        <w:spacing w:before="241"/>
        <w:ind w:left="852"/>
        <w:rPr>
          <w:rFonts w:ascii="Calibri"/>
          <w:b/>
        </w:rPr>
      </w:pPr>
      <w:r>
        <w:rPr>
          <w:rFonts w:ascii="Calibri"/>
          <w:b/>
        </w:rPr>
        <w:t>United</w:t>
      </w:r>
      <w:r>
        <w:rPr>
          <w:rFonts w:ascii="Calibri"/>
          <w:b/>
          <w:spacing w:val="-4"/>
        </w:rPr>
        <w:t xml:space="preserve"> </w:t>
      </w:r>
      <w:r>
        <w:rPr>
          <w:rFonts w:ascii="Calibri"/>
          <w:b/>
          <w:spacing w:val="-2"/>
        </w:rPr>
        <w:t>Kingdom</w:t>
      </w:r>
    </w:p>
    <w:p w14:paraId="1E805E9C" w14:textId="77777777" w:rsidR="00AA4A02" w:rsidRDefault="00960F31">
      <w:pPr>
        <w:pStyle w:val="BodyText"/>
        <w:spacing w:before="238"/>
        <w:ind w:left="852"/>
        <w:rPr>
          <w:rFonts w:ascii="Calibri" w:hAnsi="Calibri"/>
        </w:rPr>
      </w:pPr>
      <w:r>
        <w:rPr>
          <w:rFonts w:ascii="Calibri" w:hAnsi="Calibri"/>
        </w:rPr>
        <w:t>The</w:t>
      </w:r>
      <w:r>
        <w:rPr>
          <w:rFonts w:ascii="Calibri" w:hAnsi="Calibri"/>
          <w:spacing w:val="-1"/>
        </w:rPr>
        <w:t xml:space="preserve"> </w:t>
      </w:r>
      <w:r>
        <w:rPr>
          <w:rFonts w:ascii="Calibri" w:hAnsi="Calibri"/>
        </w:rPr>
        <w:t>FRC</w:t>
      </w:r>
      <w:r>
        <w:rPr>
          <w:rFonts w:ascii="Calibri" w:hAnsi="Calibri"/>
          <w:spacing w:val="-2"/>
        </w:rPr>
        <w:t xml:space="preserve"> </w:t>
      </w:r>
      <w:r>
        <w:rPr>
          <w:rFonts w:ascii="Calibri" w:hAnsi="Calibri"/>
        </w:rPr>
        <w:t>has</w:t>
      </w:r>
      <w:r>
        <w:rPr>
          <w:rFonts w:ascii="Calibri" w:hAnsi="Calibri"/>
          <w:spacing w:val="-4"/>
        </w:rPr>
        <w:t xml:space="preserve"> </w:t>
      </w:r>
      <w:r>
        <w:rPr>
          <w:rFonts w:ascii="Calibri" w:hAnsi="Calibri"/>
        </w:rPr>
        <w:t>announced</w:t>
      </w:r>
      <w:r>
        <w:rPr>
          <w:rFonts w:ascii="Calibri" w:hAnsi="Calibri"/>
          <w:spacing w:val="-5"/>
        </w:rPr>
        <w:t xml:space="preserve"> </w:t>
      </w:r>
      <w:r>
        <w:rPr>
          <w:rFonts w:ascii="Calibri" w:hAnsi="Calibri"/>
        </w:rPr>
        <w:t>a</w:t>
      </w:r>
      <w:r>
        <w:rPr>
          <w:rFonts w:ascii="Calibri" w:hAnsi="Calibri"/>
          <w:spacing w:val="-2"/>
        </w:rPr>
        <w:t xml:space="preserve"> </w:t>
      </w:r>
      <w:hyperlink r:id="rId243">
        <w:r>
          <w:rPr>
            <w:rFonts w:ascii="Calibri" w:hAnsi="Calibri"/>
            <w:color w:val="44536A"/>
          </w:rPr>
          <w:t>plan</w:t>
        </w:r>
      </w:hyperlink>
      <w:r>
        <w:rPr>
          <w:rFonts w:ascii="Calibri" w:hAnsi="Calibri"/>
          <w:color w:val="44536A"/>
          <w:spacing w:val="-2"/>
        </w:rPr>
        <w:t xml:space="preserve"> </w:t>
      </w:r>
      <w:r>
        <w:rPr>
          <w:rFonts w:ascii="Calibri" w:hAnsi="Calibri"/>
        </w:rPr>
        <w:t>of</w:t>
      </w:r>
      <w:r>
        <w:rPr>
          <w:rFonts w:ascii="Calibri" w:hAnsi="Calibri"/>
          <w:spacing w:val="-2"/>
        </w:rPr>
        <w:t xml:space="preserve"> </w:t>
      </w:r>
      <w:r>
        <w:rPr>
          <w:rFonts w:ascii="Calibri" w:hAnsi="Calibri"/>
        </w:rPr>
        <w:t>focused</w:t>
      </w:r>
      <w:r>
        <w:rPr>
          <w:rFonts w:ascii="Calibri" w:hAnsi="Calibri"/>
          <w:spacing w:val="-5"/>
        </w:rPr>
        <w:t xml:space="preserve"> </w:t>
      </w:r>
      <w:r>
        <w:rPr>
          <w:rFonts w:ascii="Calibri" w:hAnsi="Calibri"/>
        </w:rPr>
        <w:t>delivery</w:t>
      </w:r>
      <w:r>
        <w:rPr>
          <w:rFonts w:ascii="Calibri" w:hAnsi="Calibri"/>
          <w:spacing w:val="-3"/>
        </w:rPr>
        <w:t xml:space="preserve"> </w:t>
      </w:r>
      <w:r>
        <w:rPr>
          <w:rFonts w:ascii="Calibri" w:hAnsi="Calibri"/>
        </w:rPr>
        <w:t>across</w:t>
      </w:r>
      <w:r>
        <w:rPr>
          <w:rFonts w:ascii="Calibri" w:hAnsi="Calibri"/>
          <w:spacing w:val="-2"/>
        </w:rPr>
        <w:t xml:space="preserve"> </w:t>
      </w:r>
      <w:r>
        <w:rPr>
          <w:rFonts w:ascii="Calibri" w:hAnsi="Calibri"/>
        </w:rPr>
        <w:t>five</w:t>
      </w:r>
      <w:r>
        <w:rPr>
          <w:rFonts w:ascii="Calibri" w:hAnsi="Calibri"/>
          <w:spacing w:val="-4"/>
        </w:rPr>
        <w:t xml:space="preserve"> </w:t>
      </w:r>
      <w:r>
        <w:rPr>
          <w:rFonts w:ascii="Calibri" w:hAnsi="Calibri"/>
        </w:rPr>
        <w:t>major</w:t>
      </w:r>
      <w:r>
        <w:rPr>
          <w:rFonts w:ascii="Calibri" w:hAnsi="Calibri"/>
          <w:spacing w:val="-2"/>
        </w:rPr>
        <w:t xml:space="preserve"> </w:t>
      </w:r>
      <w:r>
        <w:rPr>
          <w:rFonts w:ascii="Calibri" w:hAnsi="Calibri"/>
        </w:rPr>
        <w:t>projects,</w:t>
      </w:r>
      <w:r>
        <w:rPr>
          <w:rFonts w:ascii="Calibri" w:hAnsi="Calibri"/>
          <w:spacing w:val="-2"/>
        </w:rPr>
        <w:t xml:space="preserve"> </w:t>
      </w:r>
      <w:r>
        <w:rPr>
          <w:rFonts w:ascii="Calibri" w:hAnsi="Calibri"/>
        </w:rPr>
        <w:t>including</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new</w:t>
      </w:r>
      <w:r>
        <w:rPr>
          <w:rFonts w:ascii="Calibri" w:hAnsi="Calibri"/>
          <w:spacing w:val="-1"/>
        </w:rPr>
        <w:t xml:space="preserve"> </w:t>
      </w:r>
      <w:hyperlink r:id="rId244">
        <w:r>
          <w:rPr>
            <w:rFonts w:ascii="Calibri" w:hAnsi="Calibri"/>
            <w:color w:val="44536A"/>
          </w:rPr>
          <w:t>Audit</w:t>
        </w:r>
      </w:hyperlink>
      <w:r>
        <w:rPr>
          <w:rFonts w:ascii="Calibri" w:hAnsi="Calibri"/>
          <w:color w:val="44536A"/>
        </w:rPr>
        <w:t xml:space="preserve"> </w:t>
      </w:r>
      <w:hyperlink r:id="rId245">
        <w:r>
          <w:rPr>
            <w:rFonts w:ascii="Calibri" w:hAnsi="Calibri"/>
            <w:color w:val="44536A"/>
          </w:rPr>
          <w:t>Supervision Approach</w:t>
        </w:r>
        <w:r>
          <w:rPr>
            <w:rFonts w:ascii="Calibri" w:hAnsi="Calibri"/>
          </w:rPr>
          <w:t>,</w:t>
        </w:r>
      </w:hyperlink>
      <w:r>
        <w:rPr>
          <w:rFonts w:ascii="Calibri" w:hAnsi="Calibri"/>
        </w:rPr>
        <w:t xml:space="preserve"> which will evolve the FRC's supervisory processes to promote a more proportionate and risk-based approach across the audit market, and the End-to-End Enforcement Review, which will introduce faster and more efficient enforcement processes — including an Accelerated Procedure and Early Admissions process — benefiting stakeholders.</w:t>
      </w:r>
    </w:p>
    <w:p w14:paraId="1E805E9D" w14:textId="77777777" w:rsidR="00AA4A02" w:rsidRDefault="00960F31">
      <w:pPr>
        <w:pStyle w:val="BodyText"/>
        <w:spacing w:before="241"/>
        <w:ind w:left="852" w:right="237" w:hanging="1"/>
        <w:rPr>
          <w:rFonts w:ascii="Calibri"/>
        </w:rPr>
      </w:pPr>
      <w:r>
        <w:rPr>
          <w:rFonts w:ascii="Calibri"/>
          <w:noProof/>
        </w:rPr>
        <mc:AlternateContent>
          <mc:Choice Requires="wps">
            <w:drawing>
              <wp:anchor distT="0" distB="0" distL="0" distR="0" simplePos="0" relativeHeight="15766016" behindDoc="0" locked="0" layoutInCell="1" allowOverlap="1" wp14:anchorId="1E805FA7" wp14:editId="1E805FA8">
                <wp:simplePos x="0" y="0"/>
                <wp:positionH relativeFrom="page">
                  <wp:posOffset>6318503</wp:posOffset>
                </wp:positionH>
                <wp:positionV relativeFrom="paragraph">
                  <wp:posOffset>301766</wp:posOffset>
                </wp:positionV>
                <wp:extent cx="32384" cy="952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9525"/>
                        </a:xfrm>
                        <a:custGeom>
                          <a:avLst/>
                          <a:gdLst/>
                          <a:ahLst/>
                          <a:cxnLst/>
                          <a:rect l="l" t="t" r="r" b="b"/>
                          <a:pathLst>
                            <a:path w="32384" h="9525">
                              <a:moveTo>
                                <a:pt x="32003" y="0"/>
                              </a:moveTo>
                              <a:lnTo>
                                <a:pt x="0" y="0"/>
                              </a:lnTo>
                              <a:lnTo>
                                <a:pt x="0" y="9144"/>
                              </a:lnTo>
                              <a:lnTo>
                                <a:pt x="32003" y="9144"/>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CD126" id="Graphic 179" o:spid="_x0000_s1026" style="position:absolute;margin-left:497.5pt;margin-top:23.75pt;width:2.55pt;height:.75pt;z-index:15766016;visibility:visible;mso-wrap-style:square;mso-wrap-distance-left:0;mso-wrap-distance-top:0;mso-wrap-distance-right:0;mso-wrap-distance-bottom:0;mso-position-horizontal:absolute;mso-position-horizontal-relative:page;mso-position-vertical:absolute;mso-position-vertical-relative:text;v-text-anchor:top"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" path="m32003,l,,,9144r32003,l32003,xe" fillcolor="black" stroked="f">
                <v:path arrowok="t"/>
                <w10:wrap anchorx="page"/>
              </v:shape>
            </w:pict>
          </mc:Fallback>
        </mc:AlternateContent>
      </w:r>
      <w:r>
        <w:rPr>
          <w:rFonts w:ascii="Calibri"/>
        </w:rPr>
        <w:t>The</w:t>
      </w:r>
      <w:r>
        <w:rPr>
          <w:rFonts w:ascii="Calibri"/>
          <w:spacing w:val="-2"/>
        </w:rPr>
        <w:t xml:space="preserve"> </w:t>
      </w:r>
      <w:r>
        <w:rPr>
          <w:rFonts w:ascii="Calibri"/>
        </w:rPr>
        <w:t>FRC</w:t>
      </w:r>
      <w:r>
        <w:rPr>
          <w:rFonts w:ascii="Calibri"/>
          <w:spacing w:val="-2"/>
        </w:rPr>
        <w:t xml:space="preserve"> </w:t>
      </w:r>
      <w:r>
        <w:rPr>
          <w:rFonts w:ascii="Calibri"/>
        </w:rPr>
        <w:t>has</w:t>
      </w:r>
      <w:r>
        <w:rPr>
          <w:rFonts w:ascii="Calibri"/>
          <w:spacing w:val="-4"/>
        </w:rPr>
        <w:t xml:space="preserve"> </w:t>
      </w:r>
      <w:r>
        <w:rPr>
          <w:rFonts w:ascii="Calibri"/>
        </w:rPr>
        <w:t>also</w:t>
      </w:r>
      <w:r>
        <w:rPr>
          <w:rFonts w:ascii="Calibri"/>
          <w:spacing w:val="-1"/>
        </w:rPr>
        <w:t xml:space="preserve"> </w:t>
      </w:r>
      <w:r>
        <w:rPr>
          <w:rFonts w:ascii="Calibri"/>
        </w:rPr>
        <w:t>published</w:t>
      </w:r>
      <w:r>
        <w:rPr>
          <w:rFonts w:ascii="Calibri"/>
          <w:spacing w:val="-3"/>
        </w:rPr>
        <w:t xml:space="preserve"> </w:t>
      </w:r>
      <w:hyperlink r:id="rId246">
        <w:r>
          <w:rPr>
            <w:rFonts w:ascii="Calibri"/>
            <w:color w:val="44536A"/>
            <w:u w:val="single" w:color="44536A"/>
          </w:rPr>
          <w:t>updated</w:t>
        </w:r>
        <w:r>
          <w:rPr>
            <w:rFonts w:ascii="Calibri"/>
            <w:color w:val="44536A"/>
            <w:spacing w:val="-3"/>
            <w:u w:val="single" w:color="44536A"/>
          </w:rPr>
          <w:t xml:space="preserve"> </w:t>
        </w:r>
        <w:r>
          <w:rPr>
            <w:rFonts w:ascii="Calibri"/>
            <w:color w:val="44536A"/>
            <w:u w:val="single" w:color="44536A"/>
          </w:rPr>
          <w:t>Public</w:t>
        </w:r>
        <w:r>
          <w:rPr>
            <w:rFonts w:ascii="Calibri"/>
            <w:color w:val="44536A"/>
            <w:spacing w:val="-2"/>
            <w:u w:val="single" w:color="44536A"/>
          </w:rPr>
          <w:t xml:space="preserve"> </w:t>
        </w:r>
        <w:r>
          <w:rPr>
            <w:rFonts w:ascii="Calibri"/>
            <w:color w:val="44536A"/>
            <w:u w:val="single" w:color="44536A"/>
          </w:rPr>
          <w:t>Interest</w:t>
        </w:r>
        <w:r>
          <w:rPr>
            <w:rFonts w:ascii="Calibri"/>
            <w:color w:val="44536A"/>
            <w:spacing w:val="-2"/>
            <w:u w:val="single" w:color="44536A"/>
          </w:rPr>
          <w:t xml:space="preserve"> </w:t>
        </w:r>
        <w:r>
          <w:rPr>
            <w:rFonts w:ascii="Calibri"/>
            <w:color w:val="44536A"/>
            <w:u w:val="single" w:color="44536A"/>
          </w:rPr>
          <w:t>Entity</w:t>
        </w:r>
        <w:r>
          <w:rPr>
            <w:rFonts w:ascii="Calibri"/>
            <w:color w:val="44536A"/>
            <w:spacing w:val="-3"/>
            <w:u w:val="single" w:color="44536A"/>
          </w:rPr>
          <w:t xml:space="preserve"> </w:t>
        </w:r>
        <w:r>
          <w:rPr>
            <w:rFonts w:ascii="Calibri"/>
            <w:color w:val="44536A"/>
            <w:u w:val="single" w:color="44536A"/>
          </w:rPr>
          <w:t>(PIE)</w:t>
        </w:r>
        <w:r>
          <w:rPr>
            <w:rFonts w:ascii="Calibri"/>
            <w:color w:val="44536A"/>
            <w:spacing w:val="-2"/>
            <w:u w:val="single" w:color="44536A"/>
          </w:rPr>
          <w:t xml:space="preserve"> </w:t>
        </w:r>
        <w:r>
          <w:rPr>
            <w:rFonts w:ascii="Calibri"/>
            <w:color w:val="44536A"/>
            <w:u w:val="single" w:color="44536A"/>
          </w:rPr>
          <w:t>Auditor</w:t>
        </w:r>
        <w:r>
          <w:rPr>
            <w:rFonts w:ascii="Calibri"/>
            <w:color w:val="44536A"/>
            <w:spacing w:val="-4"/>
            <w:u w:val="single" w:color="44536A"/>
          </w:rPr>
          <w:t xml:space="preserve"> </w:t>
        </w:r>
        <w:r>
          <w:rPr>
            <w:rFonts w:ascii="Calibri"/>
            <w:color w:val="44536A"/>
            <w:u w:val="single" w:color="44536A"/>
          </w:rPr>
          <w:t>Registration</w:t>
        </w:r>
        <w:r>
          <w:rPr>
            <w:rFonts w:ascii="Calibri"/>
            <w:color w:val="44536A"/>
            <w:spacing w:val="-3"/>
            <w:u w:val="single" w:color="44536A"/>
          </w:rPr>
          <w:t xml:space="preserve"> </w:t>
        </w:r>
        <w:r>
          <w:rPr>
            <w:rFonts w:ascii="Calibri"/>
            <w:color w:val="44536A"/>
            <w:u w:val="single" w:color="44536A"/>
          </w:rPr>
          <w:t>Regulations</w:t>
        </w:r>
      </w:hyperlink>
      <w:r>
        <w:rPr>
          <w:rFonts w:ascii="Calibri"/>
          <w:color w:val="44536A"/>
          <w:spacing w:val="-2"/>
        </w:rPr>
        <w:t xml:space="preserve"> </w:t>
      </w:r>
      <w:r>
        <w:rPr>
          <w:rFonts w:ascii="Calibri"/>
        </w:rPr>
        <w:t>and accompanying guidance in respect of its PIE Auditor Register (PAR), strengthening its oversight of audit firm restructuring and reducing, where possible, administrative burdens on PAR-registered audit firms.</w:t>
      </w:r>
    </w:p>
    <w:p w14:paraId="1E805E9E" w14:textId="77777777" w:rsidR="00AA4A02" w:rsidRDefault="00960F31">
      <w:pPr>
        <w:pStyle w:val="BodyText"/>
        <w:spacing w:before="241"/>
        <w:ind w:left="852" w:right="237" w:hanging="1"/>
        <w:rPr>
          <w:rFonts w:ascii="Calibri"/>
        </w:rPr>
      </w:pPr>
      <w:r>
        <w:rPr>
          <w:rFonts w:ascii="Calibri"/>
        </w:rPr>
        <w:t>The</w:t>
      </w:r>
      <w:r>
        <w:rPr>
          <w:rFonts w:ascii="Calibri"/>
          <w:spacing w:val="-1"/>
        </w:rPr>
        <w:t xml:space="preserve"> </w:t>
      </w:r>
      <w:r>
        <w:rPr>
          <w:rFonts w:ascii="Calibri"/>
        </w:rPr>
        <w:t>FRC</w:t>
      </w:r>
      <w:r>
        <w:rPr>
          <w:rFonts w:ascii="Calibri"/>
          <w:spacing w:val="-2"/>
        </w:rPr>
        <w:t xml:space="preserve"> </w:t>
      </w:r>
      <w:r>
        <w:rPr>
          <w:rFonts w:ascii="Calibri"/>
        </w:rPr>
        <w:t>is</w:t>
      </w:r>
      <w:r>
        <w:rPr>
          <w:rFonts w:ascii="Calibri"/>
          <w:spacing w:val="-4"/>
        </w:rPr>
        <w:t xml:space="preserve"> </w:t>
      </w:r>
      <w:r>
        <w:rPr>
          <w:rFonts w:ascii="Calibri"/>
        </w:rPr>
        <w:t>also inviting</w:t>
      </w:r>
      <w:r>
        <w:rPr>
          <w:rFonts w:ascii="Calibri"/>
          <w:spacing w:val="-5"/>
        </w:rPr>
        <w:t xml:space="preserve"> </w:t>
      </w:r>
      <w:hyperlink r:id="rId247">
        <w:r>
          <w:rPr>
            <w:rFonts w:ascii="Calibri"/>
            <w:color w:val="44536A"/>
            <w:u w:val="single" w:color="44536A"/>
          </w:rPr>
          <w:t>stakeholders</w:t>
        </w:r>
        <w:r>
          <w:rPr>
            <w:rFonts w:ascii="Calibri"/>
            <w:color w:val="44536A"/>
            <w:spacing w:val="-4"/>
            <w:u w:val="single" w:color="44536A"/>
          </w:rPr>
          <w:t xml:space="preserve"> </w:t>
        </w:r>
        <w:r>
          <w:rPr>
            <w:rFonts w:ascii="Calibri"/>
            <w:color w:val="44536A"/>
            <w:u w:val="single" w:color="44536A"/>
          </w:rPr>
          <w:t>to</w:t>
        </w:r>
        <w:r>
          <w:rPr>
            <w:rFonts w:ascii="Calibri"/>
            <w:color w:val="44536A"/>
            <w:spacing w:val="-3"/>
            <w:u w:val="single" w:color="44536A"/>
          </w:rPr>
          <w:t xml:space="preserve"> </w:t>
        </w:r>
        <w:r>
          <w:rPr>
            <w:rFonts w:ascii="Calibri"/>
            <w:color w:val="44536A"/>
            <w:u w:val="single" w:color="44536A"/>
          </w:rPr>
          <w:t>take</w:t>
        </w:r>
        <w:r>
          <w:rPr>
            <w:rFonts w:ascii="Calibri"/>
            <w:color w:val="44536A"/>
            <w:spacing w:val="-1"/>
            <w:u w:val="single" w:color="44536A"/>
          </w:rPr>
          <w:t xml:space="preserve"> </w:t>
        </w:r>
        <w:r>
          <w:rPr>
            <w:rFonts w:ascii="Calibri"/>
            <w:color w:val="44536A"/>
            <w:u w:val="single" w:color="44536A"/>
          </w:rPr>
          <w:t>part</w:t>
        </w:r>
        <w:r>
          <w:rPr>
            <w:rFonts w:ascii="Calibri"/>
            <w:color w:val="44536A"/>
            <w:spacing w:val="-4"/>
            <w:u w:val="single" w:color="44536A"/>
          </w:rPr>
          <w:t xml:space="preserve"> </w:t>
        </w:r>
        <w:r>
          <w:rPr>
            <w:rFonts w:ascii="Calibri"/>
            <w:color w:val="44536A"/>
            <w:u w:val="single" w:color="44536A"/>
          </w:rPr>
          <w:t>in</w:t>
        </w:r>
        <w:r>
          <w:rPr>
            <w:rFonts w:ascii="Calibri"/>
            <w:color w:val="44536A"/>
            <w:spacing w:val="-3"/>
            <w:u w:val="single" w:color="44536A"/>
          </w:rPr>
          <w:t xml:space="preserve"> </w:t>
        </w:r>
        <w:r>
          <w:rPr>
            <w:rFonts w:ascii="Calibri"/>
            <w:color w:val="44536A"/>
            <w:u w:val="single" w:color="44536A"/>
          </w:rPr>
          <w:t>two</w:t>
        </w:r>
        <w:r>
          <w:rPr>
            <w:rFonts w:ascii="Calibri"/>
            <w:color w:val="44536A"/>
            <w:spacing w:val="-1"/>
            <w:u w:val="single" w:color="44536A"/>
          </w:rPr>
          <w:t xml:space="preserve"> </w:t>
        </w:r>
        <w:r>
          <w:rPr>
            <w:rFonts w:ascii="Calibri"/>
            <w:color w:val="44536A"/>
            <w:u w:val="single" w:color="44536A"/>
          </w:rPr>
          <w:t>roundtable</w:t>
        </w:r>
        <w:r>
          <w:rPr>
            <w:rFonts w:ascii="Calibri"/>
            <w:color w:val="44536A"/>
            <w:spacing w:val="-1"/>
            <w:u w:val="single" w:color="44536A"/>
          </w:rPr>
          <w:t xml:space="preserve"> </w:t>
        </w:r>
        <w:r>
          <w:rPr>
            <w:rFonts w:ascii="Calibri"/>
            <w:color w:val="44536A"/>
            <w:u w:val="single" w:color="44536A"/>
          </w:rPr>
          <w:t>discussions</w:t>
        </w:r>
      </w:hyperlink>
      <w:r>
        <w:rPr>
          <w:rFonts w:ascii="Calibri"/>
          <w:color w:val="44536A"/>
          <w:spacing w:val="-1"/>
        </w:rPr>
        <w:t xml:space="preserve"> </w:t>
      </w:r>
      <w:r>
        <w:rPr>
          <w:rFonts w:ascii="Calibri"/>
        </w:rPr>
        <w:t>to</w:t>
      </w:r>
      <w:r>
        <w:rPr>
          <w:rFonts w:ascii="Calibri"/>
          <w:spacing w:val="-3"/>
        </w:rPr>
        <w:t xml:space="preserve"> </w:t>
      </w:r>
      <w:r>
        <w:rPr>
          <w:rFonts w:ascii="Calibri"/>
        </w:rPr>
        <w:t>share</w:t>
      </w:r>
      <w:r>
        <w:rPr>
          <w:rFonts w:ascii="Calibri"/>
          <w:spacing w:val="-1"/>
        </w:rPr>
        <w:t xml:space="preserve"> </w:t>
      </w:r>
      <w:r>
        <w:rPr>
          <w:rFonts w:ascii="Calibri"/>
        </w:rPr>
        <w:t>their</w:t>
      </w:r>
      <w:r>
        <w:rPr>
          <w:rFonts w:ascii="Calibri"/>
          <w:spacing w:val="-2"/>
        </w:rPr>
        <w:t xml:space="preserve"> </w:t>
      </w:r>
      <w:r>
        <w:rPr>
          <w:rFonts w:ascii="Calibri"/>
        </w:rPr>
        <w:t>views on the International Standard for Auditing for Less Complex Entities (ISA for LCE).</w:t>
      </w:r>
    </w:p>
    <w:p w14:paraId="1E805E9F" w14:textId="77777777" w:rsidR="00AA4A02" w:rsidRDefault="00960F31">
      <w:pPr>
        <w:spacing w:before="238"/>
        <w:ind w:left="852"/>
        <w:rPr>
          <w:rFonts w:ascii="Calibri"/>
          <w:b/>
        </w:rPr>
      </w:pPr>
      <w:r>
        <w:rPr>
          <w:rFonts w:ascii="Calibri"/>
          <w:b/>
        </w:rPr>
        <w:t>United</w:t>
      </w:r>
      <w:r>
        <w:rPr>
          <w:rFonts w:ascii="Calibri"/>
          <w:b/>
          <w:spacing w:val="-6"/>
        </w:rPr>
        <w:t xml:space="preserve"> </w:t>
      </w:r>
      <w:r>
        <w:rPr>
          <w:rFonts w:ascii="Calibri"/>
          <w:b/>
          <w:spacing w:val="-2"/>
        </w:rPr>
        <w:t>States</w:t>
      </w:r>
    </w:p>
    <w:p w14:paraId="1E805EA0" w14:textId="77777777" w:rsidR="00AA4A02" w:rsidRDefault="00960F31">
      <w:pPr>
        <w:pStyle w:val="BodyText"/>
        <w:spacing w:before="241"/>
        <w:ind w:left="852"/>
        <w:rPr>
          <w:rFonts w:ascii="Calibri"/>
        </w:rPr>
      </w:pPr>
      <w:r>
        <w:rPr>
          <w:rFonts w:ascii="Calibri"/>
        </w:rPr>
        <w:t>The</w:t>
      </w:r>
      <w:r>
        <w:rPr>
          <w:rFonts w:ascii="Calibri"/>
          <w:spacing w:val="-2"/>
        </w:rPr>
        <w:t xml:space="preserve"> </w:t>
      </w:r>
      <w:r>
        <w:rPr>
          <w:rFonts w:ascii="Calibri"/>
        </w:rPr>
        <w:t>Centre</w:t>
      </w:r>
      <w:r>
        <w:rPr>
          <w:rFonts w:ascii="Calibri"/>
          <w:spacing w:val="-2"/>
        </w:rPr>
        <w:t xml:space="preserve"> </w:t>
      </w:r>
      <w:r>
        <w:rPr>
          <w:rFonts w:ascii="Calibri"/>
        </w:rPr>
        <w:t>for</w:t>
      </w:r>
      <w:r>
        <w:rPr>
          <w:rFonts w:ascii="Calibri"/>
          <w:spacing w:val="-2"/>
        </w:rPr>
        <w:t xml:space="preserve"> </w:t>
      </w:r>
      <w:r>
        <w:rPr>
          <w:rFonts w:ascii="Calibri"/>
        </w:rPr>
        <w:t>Audit</w:t>
      </w:r>
      <w:r>
        <w:rPr>
          <w:rFonts w:ascii="Calibri"/>
          <w:spacing w:val="-4"/>
        </w:rPr>
        <w:t xml:space="preserve"> </w:t>
      </w:r>
      <w:r>
        <w:rPr>
          <w:rFonts w:ascii="Calibri"/>
        </w:rPr>
        <w:t>Quality</w:t>
      </w:r>
      <w:r>
        <w:rPr>
          <w:rFonts w:ascii="Calibri"/>
          <w:spacing w:val="-2"/>
        </w:rPr>
        <w:t xml:space="preserve"> </w:t>
      </w:r>
      <w:r>
        <w:rPr>
          <w:rFonts w:ascii="Calibri"/>
        </w:rPr>
        <w:t>has</w:t>
      </w:r>
      <w:r>
        <w:rPr>
          <w:rFonts w:ascii="Calibri"/>
          <w:spacing w:val="-2"/>
        </w:rPr>
        <w:t xml:space="preserve"> </w:t>
      </w:r>
      <w:r>
        <w:rPr>
          <w:rFonts w:ascii="Calibri"/>
        </w:rPr>
        <w:t>requested</w:t>
      </w:r>
      <w:r>
        <w:rPr>
          <w:rFonts w:ascii="Calibri"/>
          <w:spacing w:val="-4"/>
        </w:rPr>
        <w:t xml:space="preserve"> </w:t>
      </w:r>
      <w:r>
        <w:rPr>
          <w:rFonts w:ascii="Calibri"/>
        </w:rPr>
        <w:t>a</w:t>
      </w:r>
      <w:r>
        <w:rPr>
          <w:rFonts w:ascii="Calibri"/>
          <w:spacing w:val="-2"/>
        </w:rPr>
        <w:t xml:space="preserve"> </w:t>
      </w:r>
      <w:r>
        <w:rPr>
          <w:rFonts w:ascii="Calibri"/>
        </w:rPr>
        <w:t>comprehensive</w:t>
      </w:r>
      <w:r>
        <w:rPr>
          <w:rFonts w:ascii="Calibri"/>
          <w:spacing w:val="-4"/>
        </w:rPr>
        <w:t xml:space="preserve"> </w:t>
      </w:r>
      <w:r>
        <w:rPr>
          <w:rFonts w:ascii="Calibri"/>
        </w:rPr>
        <w:t>review</w:t>
      </w:r>
      <w:r>
        <w:rPr>
          <w:rFonts w:ascii="Calibri"/>
          <w:spacing w:val="-4"/>
        </w:rPr>
        <w:t xml:space="preserve"> </w:t>
      </w:r>
      <w:r>
        <w:rPr>
          <w:rFonts w:ascii="Calibri"/>
        </w:rPr>
        <w:t>of</w:t>
      </w:r>
      <w:r>
        <w:rPr>
          <w:rFonts w:ascii="Calibri"/>
          <w:spacing w:val="-4"/>
        </w:rPr>
        <w:t xml:space="preserve"> </w:t>
      </w:r>
      <w:hyperlink r:id="rId248">
        <w:r>
          <w:rPr>
            <w:rFonts w:ascii="Calibri"/>
            <w:color w:val="44536A"/>
          </w:rPr>
          <w:t>Regulation</w:t>
        </w:r>
        <w:r>
          <w:rPr>
            <w:rFonts w:ascii="Calibri"/>
            <w:color w:val="44536A"/>
            <w:spacing w:val="-3"/>
          </w:rPr>
          <w:t xml:space="preserve"> </w:t>
        </w:r>
        <w:r>
          <w:rPr>
            <w:rFonts w:ascii="Calibri"/>
            <w:color w:val="44536A"/>
          </w:rPr>
          <w:t>S-K</w:t>
        </w:r>
      </w:hyperlink>
      <w:r>
        <w:rPr>
          <w:rFonts w:ascii="Calibri"/>
          <w:color w:val="44536A"/>
          <w:spacing w:val="-2"/>
        </w:rPr>
        <w:t xml:space="preserve"> </w:t>
      </w:r>
      <w:r>
        <w:rPr>
          <w:rFonts w:ascii="Calibri"/>
        </w:rPr>
        <w:t>(non-financial reporting requirements for public companies under the Securities Act of 1933).</w:t>
      </w:r>
    </w:p>
    <w:p w14:paraId="1E805EA1" w14:textId="77777777" w:rsidR="00AA4A02" w:rsidRDefault="00960F31">
      <w:pPr>
        <w:spacing w:before="240"/>
        <w:ind w:left="852"/>
        <w:rPr>
          <w:rFonts w:ascii="Calibri"/>
          <w:b/>
        </w:rPr>
      </w:pPr>
      <w:r>
        <w:rPr>
          <w:rFonts w:ascii="Calibri"/>
          <w:b/>
          <w:spacing w:val="-2"/>
        </w:rPr>
        <w:t>Canada</w:t>
      </w:r>
    </w:p>
    <w:p w14:paraId="1E805EA2" w14:textId="77777777" w:rsidR="00AA4A02" w:rsidRDefault="00AA4A02">
      <w:pPr>
        <w:rPr>
          <w:rFonts w:ascii="Calibri"/>
          <w:b/>
        </w:rPr>
        <w:sectPr w:rsidR="00AA4A02">
          <w:headerReference w:type="default" r:id="rId249"/>
          <w:footerReference w:type="default" r:id="rId250"/>
          <w:pgSz w:w="11910" w:h="16840"/>
          <w:pgMar w:top="1360" w:right="1275" w:bottom="1240" w:left="566" w:header="0" w:footer="1048" w:gutter="0"/>
          <w:cols w:space="720"/>
        </w:sectPr>
      </w:pPr>
    </w:p>
    <w:p w14:paraId="1E805EA3" w14:textId="77777777" w:rsidR="00AA4A02" w:rsidRDefault="00960F31">
      <w:pPr>
        <w:pStyle w:val="BodyText"/>
        <w:spacing w:before="39"/>
        <w:ind w:left="852"/>
        <w:rPr>
          <w:rFonts w:ascii="Calibri"/>
        </w:rPr>
      </w:pPr>
      <w:r>
        <w:rPr>
          <w:rFonts w:ascii="Calibri"/>
        </w:rPr>
        <w:lastRenderedPageBreak/>
        <w:t>The</w:t>
      </w:r>
      <w:r>
        <w:rPr>
          <w:rFonts w:ascii="Calibri"/>
          <w:spacing w:val="-2"/>
        </w:rPr>
        <w:t xml:space="preserve"> </w:t>
      </w:r>
      <w:r>
        <w:rPr>
          <w:rFonts w:ascii="Calibri"/>
        </w:rPr>
        <w:t>Accounting</w:t>
      </w:r>
      <w:r>
        <w:rPr>
          <w:rFonts w:ascii="Calibri"/>
          <w:spacing w:val="-4"/>
        </w:rPr>
        <w:t xml:space="preserve"> </w:t>
      </w:r>
      <w:r>
        <w:rPr>
          <w:rFonts w:ascii="Calibri"/>
        </w:rPr>
        <w:t>Standards</w:t>
      </w:r>
      <w:r>
        <w:rPr>
          <w:rFonts w:ascii="Calibri"/>
          <w:spacing w:val="-5"/>
        </w:rPr>
        <w:t xml:space="preserve"> </w:t>
      </w:r>
      <w:r>
        <w:rPr>
          <w:rFonts w:ascii="Calibri"/>
        </w:rPr>
        <w:t>Board</w:t>
      </w:r>
      <w:r>
        <w:rPr>
          <w:rFonts w:ascii="Calibri"/>
          <w:spacing w:val="-4"/>
        </w:rPr>
        <w:t xml:space="preserve"> </w:t>
      </w:r>
      <w:r>
        <w:rPr>
          <w:rFonts w:ascii="Calibri"/>
        </w:rPr>
        <w:t>proposes</w:t>
      </w:r>
      <w:r>
        <w:rPr>
          <w:rFonts w:ascii="Calibri"/>
          <w:spacing w:val="-3"/>
        </w:rPr>
        <w:t xml:space="preserve"> </w:t>
      </w:r>
      <w:r>
        <w:rPr>
          <w:rFonts w:ascii="Calibri"/>
        </w:rPr>
        <w:t>to</w:t>
      </w:r>
      <w:r>
        <w:rPr>
          <w:rFonts w:ascii="Calibri"/>
          <w:spacing w:val="-2"/>
        </w:rPr>
        <w:t xml:space="preserve"> </w:t>
      </w:r>
      <w:hyperlink r:id="rId251">
        <w:r>
          <w:rPr>
            <w:rFonts w:ascii="Calibri"/>
            <w:color w:val="44536A"/>
            <w:u w:val="single" w:color="44536A"/>
          </w:rPr>
          <w:t>incorporate</w:t>
        </w:r>
        <w:r>
          <w:rPr>
            <w:rFonts w:ascii="Calibri"/>
            <w:color w:val="44536A"/>
            <w:spacing w:val="-2"/>
            <w:u w:val="single" w:color="44536A"/>
          </w:rPr>
          <w:t xml:space="preserve"> </w:t>
        </w:r>
        <w:r>
          <w:rPr>
            <w:rFonts w:ascii="Calibri"/>
            <w:color w:val="44536A"/>
            <w:u w:val="single" w:color="44536A"/>
          </w:rPr>
          <w:t>amendments</w:t>
        </w:r>
        <w:r>
          <w:rPr>
            <w:rFonts w:ascii="Calibri"/>
            <w:color w:val="44536A"/>
            <w:spacing w:val="-5"/>
            <w:u w:val="single" w:color="44536A"/>
          </w:rPr>
          <w:t xml:space="preserve"> </w:t>
        </w:r>
        <w:r>
          <w:rPr>
            <w:rFonts w:ascii="Calibri"/>
            <w:color w:val="44536A"/>
            <w:u w:val="single" w:color="44536A"/>
          </w:rPr>
          <w:t>to</w:t>
        </w:r>
        <w:r>
          <w:rPr>
            <w:rFonts w:ascii="Calibri"/>
            <w:color w:val="44536A"/>
            <w:spacing w:val="-2"/>
            <w:u w:val="single" w:color="44536A"/>
          </w:rPr>
          <w:t xml:space="preserve"> </w:t>
        </w:r>
        <w:r>
          <w:rPr>
            <w:rFonts w:ascii="Calibri"/>
            <w:color w:val="44536A"/>
            <w:u w:val="single" w:color="44536A"/>
          </w:rPr>
          <w:t>International</w:t>
        </w:r>
        <w:r>
          <w:rPr>
            <w:rFonts w:ascii="Calibri"/>
            <w:color w:val="44536A"/>
            <w:spacing w:val="-3"/>
            <w:u w:val="single" w:color="44536A"/>
          </w:rPr>
          <w:t xml:space="preserve"> </w:t>
        </w:r>
        <w:r>
          <w:rPr>
            <w:rFonts w:ascii="Calibri"/>
            <w:color w:val="44536A"/>
            <w:u w:val="single" w:color="44536A"/>
          </w:rPr>
          <w:t>Accounting</w:t>
        </w:r>
      </w:hyperlink>
      <w:r>
        <w:rPr>
          <w:rFonts w:ascii="Calibri"/>
          <w:color w:val="44536A"/>
        </w:rPr>
        <w:t xml:space="preserve"> </w:t>
      </w:r>
      <w:hyperlink r:id="rId252">
        <w:r>
          <w:rPr>
            <w:rFonts w:ascii="Calibri"/>
            <w:color w:val="44536A"/>
            <w:u w:val="single" w:color="44536A"/>
          </w:rPr>
          <w:t>Standard (IAS) 28</w:t>
        </w:r>
      </w:hyperlink>
      <w:r>
        <w:rPr>
          <w:rFonts w:ascii="Calibri"/>
          <w:color w:val="44536A"/>
        </w:rPr>
        <w:t xml:space="preserve"> </w:t>
      </w:r>
      <w:r>
        <w:rPr>
          <w:rFonts w:ascii="Calibri"/>
        </w:rPr>
        <w:t>Investments in Associates and Joint Ventures in the CPA Canada Handbook.</w:t>
      </w:r>
    </w:p>
    <w:p w14:paraId="1E805EA4" w14:textId="77777777" w:rsidR="00AA4A02" w:rsidRDefault="00960F31">
      <w:pPr>
        <w:pStyle w:val="BodyText"/>
        <w:spacing w:before="241"/>
        <w:ind w:left="852"/>
        <w:rPr>
          <w:rFonts w:ascii="Calibri" w:hAnsi="Calibri"/>
        </w:rPr>
      </w:pPr>
      <w:r>
        <w:rPr>
          <w:rFonts w:ascii="Calibri" w:hAnsi="Calibri"/>
        </w:rPr>
        <w:t>The</w:t>
      </w:r>
      <w:r>
        <w:rPr>
          <w:rFonts w:ascii="Calibri" w:hAnsi="Calibri"/>
          <w:spacing w:val="-2"/>
        </w:rPr>
        <w:t xml:space="preserve"> </w:t>
      </w:r>
      <w:r>
        <w:rPr>
          <w:rFonts w:ascii="Calibri" w:hAnsi="Calibri"/>
        </w:rPr>
        <w:t>Canadian</w:t>
      </w:r>
      <w:r>
        <w:rPr>
          <w:rFonts w:ascii="Calibri" w:hAnsi="Calibri"/>
          <w:spacing w:val="-4"/>
        </w:rPr>
        <w:t xml:space="preserve"> </w:t>
      </w:r>
      <w:r>
        <w:rPr>
          <w:rFonts w:ascii="Calibri" w:hAnsi="Calibri"/>
        </w:rPr>
        <w:t>Sustainability</w:t>
      </w:r>
      <w:r>
        <w:rPr>
          <w:rFonts w:ascii="Calibri" w:hAnsi="Calibri"/>
          <w:spacing w:val="-4"/>
        </w:rPr>
        <w:t xml:space="preserve"> </w:t>
      </w:r>
      <w:r>
        <w:rPr>
          <w:rFonts w:ascii="Calibri" w:hAnsi="Calibri"/>
        </w:rPr>
        <w:t>Standards</w:t>
      </w:r>
      <w:r>
        <w:rPr>
          <w:rFonts w:ascii="Calibri" w:hAnsi="Calibri"/>
          <w:spacing w:val="-3"/>
        </w:rPr>
        <w:t xml:space="preserve"> </w:t>
      </w:r>
      <w:r>
        <w:rPr>
          <w:rFonts w:ascii="Calibri" w:hAnsi="Calibri"/>
        </w:rPr>
        <w:t>Board</w:t>
      </w:r>
      <w:r>
        <w:rPr>
          <w:rFonts w:ascii="Calibri" w:hAnsi="Calibri"/>
          <w:spacing w:val="-2"/>
        </w:rPr>
        <w:t xml:space="preserve"> </w:t>
      </w:r>
      <w:r>
        <w:rPr>
          <w:rFonts w:ascii="Calibri" w:hAnsi="Calibri"/>
        </w:rPr>
        <w:t>(CSSB)</w:t>
      </w:r>
      <w:r>
        <w:rPr>
          <w:rFonts w:ascii="Calibri" w:hAnsi="Calibri"/>
          <w:spacing w:val="-3"/>
        </w:rPr>
        <w:t xml:space="preserve"> </w:t>
      </w:r>
      <w:r>
        <w:rPr>
          <w:rFonts w:ascii="Calibri" w:hAnsi="Calibri"/>
        </w:rPr>
        <w:t>proposes,</w:t>
      </w:r>
      <w:r>
        <w:rPr>
          <w:rFonts w:ascii="Calibri" w:hAnsi="Calibri"/>
          <w:spacing w:val="-3"/>
        </w:rPr>
        <w:t xml:space="preserve"> </w:t>
      </w:r>
      <w:r>
        <w:rPr>
          <w:rFonts w:ascii="Calibri" w:hAnsi="Calibri"/>
        </w:rPr>
        <w:t>subject</w:t>
      </w:r>
      <w:r>
        <w:rPr>
          <w:rFonts w:ascii="Calibri" w:hAnsi="Calibri"/>
          <w:spacing w:val="-5"/>
        </w:rPr>
        <w:t xml:space="preserve"> </w:t>
      </w:r>
      <w:r>
        <w:rPr>
          <w:rFonts w:ascii="Calibri" w:hAnsi="Calibri"/>
        </w:rPr>
        <w:t>to</w:t>
      </w:r>
      <w:r>
        <w:rPr>
          <w:rFonts w:ascii="Calibri" w:hAnsi="Calibri"/>
          <w:spacing w:val="-4"/>
        </w:rPr>
        <w:t xml:space="preserve"> </w:t>
      </w:r>
      <w:r>
        <w:rPr>
          <w:rFonts w:ascii="Calibri" w:hAnsi="Calibri"/>
        </w:rPr>
        <w:t>feedback</w:t>
      </w:r>
      <w:r>
        <w:rPr>
          <w:rFonts w:ascii="Calibri" w:hAnsi="Calibri"/>
          <w:spacing w:val="-2"/>
        </w:rPr>
        <w:t xml:space="preserve"> </w:t>
      </w:r>
      <w:r>
        <w:rPr>
          <w:rFonts w:ascii="Calibri" w:hAnsi="Calibri"/>
        </w:rPr>
        <w:t>on</w:t>
      </w:r>
      <w:r>
        <w:rPr>
          <w:rFonts w:ascii="Calibri" w:hAnsi="Calibri"/>
          <w:spacing w:val="-6"/>
        </w:rPr>
        <w:t xml:space="preserve"> </w:t>
      </w:r>
      <w:r>
        <w:rPr>
          <w:rFonts w:ascii="Calibri" w:hAnsi="Calibri"/>
        </w:rPr>
        <w:t>the</w:t>
      </w:r>
      <w:r>
        <w:rPr>
          <w:rFonts w:ascii="Calibri" w:hAnsi="Calibri"/>
          <w:spacing w:val="-2"/>
        </w:rPr>
        <w:t xml:space="preserve"> </w:t>
      </w:r>
      <w:r>
        <w:rPr>
          <w:rFonts w:ascii="Calibri" w:hAnsi="Calibri"/>
        </w:rPr>
        <w:t>Exposure Draft, “</w:t>
      </w:r>
      <w:hyperlink r:id="rId253">
        <w:r>
          <w:rPr>
            <w:rFonts w:ascii="Calibri" w:hAnsi="Calibri"/>
            <w:color w:val="44536A"/>
            <w:u w:val="single" w:color="44536A"/>
          </w:rPr>
          <w:t>Proposed Amendments to CSDS 2: Amendments to Greenhouse Gas (GHG) Emissions</w:t>
        </w:r>
      </w:hyperlink>
      <w:r>
        <w:rPr>
          <w:rFonts w:ascii="Calibri" w:hAnsi="Calibri"/>
          <w:color w:val="44536A"/>
        </w:rPr>
        <w:t xml:space="preserve"> </w:t>
      </w:r>
      <w:hyperlink r:id="rId254">
        <w:r>
          <w:rPr>
            <w:rFonts w:ascii="Calibri" w:hAnsi="Calibri"/>
            <w:color w:val="44536A"/>
            <w:u w:val="single" w:color="44536A"/>
          </w:rPr>
          <w:t>Disclosures</w:t>
        </w:r>
        <w:r>
          <w:rPr>
            <w:rFonts w:ascii="Calibri" w:hAnsi="Calibri"/>
            <w:color w:val="44536A"/>
          </w:rPr>
          <w:t>,”</w:t>
        </w:r>
      </w:hyperlink>
      <w:r>
        <w:rPr>
          <w:rFonts w:ascii="Calibri" w:hAnsi="Calibri"/>
          <w:color w:val="44536A"/>
        </w:rPr>
        <w:t xml:space="preserve"> </w:t>
      </w:r>
      <w:r>
        <w:rPr>
          <w:rFonts w:ascii="Calibri" w:hAnsi="Calibri"/>
        </w:rPr>
        <w:t>to adopt the ISSB standards, with appropriate Canadian modifications.</w:t>
      </w:r>
    </w:p>
    <w:p w14:paraId="1E805EA5" w14:textId="77777777" w:rsidR="00AA4A02" w:rsidRDefault="00960F31">
      <w:pPr>
        <w:pStyle w:val="BodyText"/>
        <w:spacing w:before="238"/>
        <w:ind w:left="852"/>
        <w:rPr>
          <w:rFonts w:ascii="Calibri" w:hAnsi="Calibri"/>
        </w:rPr>
      </w:pPr>
      <w:r>
        <w:rPr>
          <w:rFonts w:ascii="Calibri" w:hAnsi="Calibri"/>
        </w:rPr>
        <w:t>The</w:t>
      </w:r>
      <w:r>
        <w:rPr>
          <w:rFonts w:ascii="Calibri" w:hAnsi="Calibri"/>
          <w:spacing w:val="-1"/>
        </w:rPr>
        <w:t xml:space="preserve"> </w:t>
      </w:r>
      <w:r>
        <w:rPr>
          <w:rFonts w:ascii="Calibri" w:hAnsi="Calibri"/>
        </w:rPr>
        <w:t>CSSB</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seeking</w:t>
      </w:r>
      <w:r>
        <w:rPr>
          <w:rFonts w:ascii="Calibri" w:hAnsi="Calibri"/>
          <w:spacing w:val="-2"/>
        </w:rPr>
        <w:t xml:space="preserve"> </w:t>
      </w:r>
      <w:r>
        <w:rPr>
          <w:rFonts w:ascii="Calibri" w:hAnsi="Calibri"/>
        </w:rPr>
        <w:t>Canadian</w:t>
      </w:r>
      <w:r>
        <w:rPr>
          <w:rFonts w:ascii="Calibri" w:hAnsi="Calibri"/>
          <w:spacing w:val="-2"/>
        </w:rPr>
        <w:t xml:space="preserve"> </w:t>
      </w:r>
      <w:r>
        <w:rPr>
          <w:rFonts w:ascii="Calibri" w:hAnsi="Calibri"/>
        </w:rPr>
        <w:t>input</w:t>
      </w:r>
      <w:r>
        <w:rPr>
          <w:rFonts w:ascii="Calibri" w:hAnsi="Calibri"/>
          <w:spacing w:val="-1"/>
        </w:rPr>
        <w:t xml:space="preserve"> </w:t>
      </w:r>
      <w:r>
        <w:rPr>
          <w:rFonts w:ascii="Calibri" w:hAnsi="Calibri"/>
        </w:rPr>
        <w:t>on</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ISSB’s</w:t>
      </w:r>
      <w:r>
        <w:rPr>
          <w:rFonts w:ascii="Calibri" w:hAnsi="Calibri"/>
          <w:spacing w:val="-3"/>
        </w:rPr>
        <w:t xml:space="preserve"> </w:t>
      </w:r>
      <w:r>
        <w:rPr>
          <w:rFonts w:ascii="Calibri" w:hAnsi="Calibri"/>
        </w:rPr>
        <w:t>Exposure</w:t>
      </w:r>
      <w:r>
        <w:rPr>
          <w:rFonts w:ascii="Calibri" w:hAnsi="Calibri"/>
          <w:spacing w:val="-3"/>
        </w:rPr>
        <w:t xml:space="preserve"> </w:t>
      </w:r>
      <w:r>
        <w:rPr>
          <w:rFonts w:ascii="Calibri" w:hAnsi="Calibri"/>
        </w:rPr>
        <w:t>Draft,</w:t>
      </w:r>
      <w:r>
        <w:rPr>
          <w:rFonts w:ascii="Calibri" w:hAnsi="Calibri"/>
          <w:spacing w:val="-3"/>
        </w:rPr>
        <w:t xml:space="preserve"> </w:t>
      </w:r>
      <w:hyperlink r:id="rId255">
        <w:r>
          <w:rPr>
            <w:rFonts w:ascii="Calibri" w:hAnsi="Calibri"/>
            <w:color w:val="44536A"/>
            <w:u w:val="single" w:color="44536A"/>
          </w:rPr>
          <w:t>“Proposed</w:t>
        </w:r>
        <w:r>
          <w:rPr>
            <w:rFonts w:ascii="Calibri" w:hAnsi="Calibri"/>
            <w:color w:val="44536A"/>
            <w:spacing w:val="-4"/>
            <w:u w:val="single" w:color="44536A"/>
          </w:rPr>
          <w:t xml:space="preserve"> </w:t>
        </w:r>
        <w:r>
          <w:rPr>
            <w:rFonts w:ascii="Calibri" w:hAnsi="Calibri"/>
            <w:color w:val="44536A"/>
            <w:u w:val="single" w:color="44536A"/>
          </w:rPr>
          <w:t>amendments</w:t>
        </w:r>
        <w:r>
          <w:rPr>
            <w:rFonts w:ascii="Calibri" w:hAnsi="Calibri"/>
            <w:color w:val="44536A"/>
            <w:spacing w:val="-3"/>
            <w:u w:val="single" w:color="44536A"/>
          </w:rPr>
          <w:t xml:space="preserve"> </w:t>
        </w:r>
        <w:r>
          <w:rPr>
            <w:rFonts w:ascii="Calibri" w:hAnsi="Calibri"/>
            <w:color w:val="44536A"/>
            <w:u w:val="single" w:color="44536A"/>
          </w:rPr>
          <w:t>to</w:t>
        </w:r>
        <w:r>
          <w:rPr>
            <w:rFonts w:ascii="Calibri" w:hAnsi="Calibri"/>
            <w:color w:val="44536A"/>
            <w:spacing w:val="-1"/>
            <w:u w:val="single" w:color="44536A"/>
          </w:rPr>
          <w:t xml:space="preserve"> </w:t>
        </w:r>
        <w:r>
          <w:rPr>
            <w:rFonts w:ascii="Calibri" w:hAnsi="Calibri"/>
            <w:color w:val="44536A"/>
            <w:u w:val="single" w:color="44536A"/>
          </w:rPr>
          <w:t>the</w:t>
        </w:r>
      </w:hyperlink>
      <w:r>
        <w:rPr>
          <w:rFonts w:ascii="Calibri" w:hAnsi="Calibri"/>
          <w:color w:val="44536A"/>
        </w:rPr>
        <w:t xml:space="preserve"> </w:t>
      </w:r>
      <w:hyperlink r:id="rId256">
        <w:r>
          <w:rPr>
            <w:rFonts w:ascii="Calibri" w:hAnsi="Calibri"/>
            <w:color w:val="44536A"/>
            <w:u w:val="single" w:color="44536A"/>
          </w:rPr>
          <w:t>SASB Standards and IFRS S2 Industry-related Guidance.”</w:t>
        </w:r>
      </w:hyperlink>
    </w:p>
    <w:p w14:paraId="1E805EA6" w14:textId="77777777" w:rsidR="00AA4A02" w:rsidRDefault="00960F31">
      <w:pPr>
        <w:spacing w:before="240"/>
        <w:ind w:left="852"/>
        <w:rPr>
          <w:rFonts w:ascii="Calibri"/>
          <w:b/>
        </w:rPr>
      </w:pPr>
      <w:r>
        <w:rPr>
          <w:rFonts w:ascii="Calibri"/>
          <w:b/>
          <w:spacing w:val="-5"/>
        </w:rPr>
        <w:t>EU</w:t>
      </w:r>
    </w:p>
    <w:p w14:paraId="1E805EA7" w14:textId="77777777" w:rsidR="00AA4A02" w:rsidRDefault="00960F31">
      <w:pPr>
        <w:pStyle w:val="BodyText"/>
        <w:spacing w:before="241"/>
        <w:ind w:left="852"/>
        <w:rPr>
          <w:rFonts w:ascii="Calibri" w:hAnsi="Calibri"/>
        </w:rPr>
      </w:pPr>
      <w:r>
        <w:rPr>
          <w:rFonts w:ascii="Calibri" w:hAnsi="Calibri"/>
        </w:rPr>
        <w:t>The</w:t>
      </w:r>
      <w:r>
        <w:rPr>
          <w:rFonts w:ascii="Calibri" w:hAnsi="Calibri"/>
          <w:spacing w:val="-2"/>
        </w:rPr>
        <w:t xml:space="preserve"> </w:t>
      </w:r>
      <w:r>
        <w:rPr>
          <w:rFonts w:ascii="Calibri" w:hAnsi="Calibri"/>
        </w:rPr>
        <w:t>European</w:t>
      </w:r>
      <w:r>
        <w:rPr>
          <w:rFonts w:ascii="Calibri" w:hAnsi="Calibri"/>
          <w:spacing w:val="-4"/>
        </w:rPr>
        <w:t xml:space="preserve"> </w:t>
      </w:r>
      <w:r>
        <w:rPr>
          <w:rFonts w:ascii="Calibri" w:hAnsi="Calibri"/>
        </w:rPr>
        <w:t>Financial</w:t>
      </w:r>
      <w:r>
        <w:rPr>
          <w:rFonts w:ascii="Calibri" w:hAnsi="Calibri"/>
          <w:spacing w:val="-3"/>
        </w:rPr>
        <w:t xml:space="preserve"> </w:t>
      </w:r>
      <w:r>
        <w:rPr>
          <w:rFonts w:ascii="Calibri" w:hAnsi="Calibri"/>
        </w:rPr>
        <w:t>Reporting</w:t>
      </w:r>
      <w:r>
        <w:rPr>
          <w:rFonts w:ascii="Calibri" w:hAnsi="Calibri"/>
          <w:spacing w:val="-4"/>
        </w:rPr>
        <w:t xml:space="preserve"> </w:t>
      </w:r>
      <w:r>
        <w:rPr>
          <w:rFonts w:ascii="Calibri" w:hAnsi="Calibri"/>
        </w:rPr>
        <w:t>Advisory</w:t>
      </w:r>
      <w:r>
        <w:rPr>
          <w:rFonts w:ascii="Calibri" w:hAnsi="Calibri"/>
          <w:spacing w:val="-4"/>
        </w:rPr>
        <w:t xml:space="preserve"> </w:t>
      </w:r>
      <w:r>
        <w:rPr>
          <w:rFonts w:ascii="Calibri" w:hAnsi="Calibri"/>
        </w:rPr>
        <w:t>Group</w:t>
      </w:r>
      <w:r>
        <w:rPr>
          <w:rFonts w:ascii="Calibri" w:hAnsi="Calibri"/>
          <w:spacing w:val="-3"/>
        </w:rPr>
        <w:t xml:space="preserve"> </w:t>
      </w:r>
      <w:r>
        <w:rPr>
          <w:rFonts w:ascii="Calibri" w:hAnsi="Calibri"/>
        </w:rPr>
        <w:t>seeks</w:t>
      </w:r>
      <w:r>
        <w:rPr>
          <w:rFonts w:ascii="Calibri" w:hAnsi="Calibri"/>
          <w:spacing w:val="-3"/>
        </w:rPr>
        <w:t xml:space="preserve"> </w:t>
      </w:r>
      <w:r>
        <w:rPr>
          <w:rFonts w:ascii="Calibri" w:hAnsi="Calibri"/>
        </w:rPr>
        <w:t>participation</w:t>
      </w:r>
      <w:r>
        <w:rPr>
          <w:rFonts w:ascii="Calibri" w:hAnsi="Calibri"/>
          <w:spacing w:val="-4"/>
        </w:rPr>
        <w:t xml:space="preserve"> </w:t>
      </w:r>
      <w:r>
        <w:rPr>
          <w:rFonts w:ascii="Calibri" w:hAnsi="Calibri"/>
        </w:rPr>
        <w:t>from</w:t>
      </w:r>
      <w:r>
        <w:rPr>
          <w:rFonts w:ascii="Calibri" w:hAnsi="Calibri"/>
          <w:spacing w:val="-2"/>
        </w:rPr>
        <w:t xml:space="preserve"> </w:t>
      </w:r>
      <w:r>
        <w:rPr>
          <w:rFonts w:ascii="Calibri" w:hAnsi="Calibri"/>
        </w:rPr>
        <w:t>EU</w:t>
      </w:r>
      <w:r>
        <w:rPr>
          <w:rFonts w:ascii="Calibri" w:hAnsi="Calibri"/>
          <w:spacing w:val="-4"/>
        </w:rPr>
        <w:t xml:space="preserve"> </w:t>
      </w:r>
      <w:r>
        <w:rPr>
          <w:rFonts w:ascii="Calibri" w:hAnsi="Calibri"/>
        </w:rPr>
        <w:t>stakeholders</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 xml:space="preserve">future engagement and research activities on the </w:t>
      </w:r>
      <w:hyperlink r:id="rId257">
        <w:r>
          <w:rPr>
            <w:rFonts w:ascii="Calibri" w:hAnsi="Calibri"/>
            <w:color w:val="44536A"/>
            <w:u w:val="single" w:color="44536A"/>
          </w:rPr>
          <w:t>application of the upcoming Voluntary Standard by non-</w:t>
        </w:r>
      </w:hyperlink>
      <w:hyperlink r:id="rId258">
        <w:r>
          <w:rPr>
            <w:rFonts w:ascii="Calibri" w:hAnsi="Calibri"/>
            <w:color w:val="44536A"/>
            <w:u w:val="single" w:color="44536A"/>
          </w:rPr>
          <w:t>SME companies outside the scope of the Corporate Sustainability Reporting Directive</w:t>
        </w:r>
      </w:hyperlink>
      <w:r>
        <w:rPr>
          <w:rFonts w:ascii="Calibri" w:hAnsi="Calibri"/>
        </w:rPr>
        <w:t>. In particular, EFRAG will consider applications from EU companies that are not SMEs and have fewer than 1,000 employees or an annual turnover of less than €450m.</w:t>
      </w:r>
    </w:p>
    <w:p w14:paraId="1E805EA8" w14:textId="77777777" w:rsidR="00AA4A02" w:rsidRDefault="00960F31">
      <w:pPr>
        <w:pStyle w:val="BodyText"/>
        <w:spacing w:before="241" w:line="259" w:lineRule="auto"/>
        <w:ind w:left="852" w:right="237"/>
        <w:rPr>
          <w:rFonts w:ascii="Calibri"/>
        </w:rPr>
      </w:pPr>
      <w:r>
        <w:rPr>
          <w:rFonts w:ascii="Calibri"/>
        </w:rPr>
        <w:t>Accountancy</w:t>
      </w:r>
      <w:r>
        <w:rPr>
          <w:rFonts w:ascii="Calibri"/>
          <w:spacing w:val="-1"/>
        </w:rPr>
        <w:t xml:space="preserve"> </w:t>
      </w:r>
      <w:r>
        <w:rPr>
          <w:rFonts w:ascii="Calibri"/>
        </w:rPr>
        <w:t>Europe</w:t>
      </w:r>
      <w:r>
        <w:rPr>
          <w:rFonts w:ascii="Calibri"/>
          <w:spacing w:val="-1"/>
        </w:rPr>
        <w:t xml:space="preserve"> </w:t>
      </w:r>
      <w:r>
        <w:rPr>
          <w:rFonts w:ascii="Calibri"/>
        </w:rPr>
        <w:t>has</w:t>
      </w:r>
      <w:r>
        <w:rPr>
          <w:rFonts w:ascii="Calibri"/>
          <w:spacing w:val="-4"/>
        </w:rPr>
        <w:t xml:space="preserve"> </w:t>
      </w:r>
      <w:r>
        <w:rPr>
          <w:rFonts w:ascii="Calibri"/>
        </w:rPr>
        <w:t>reported</w:t>
      </w:r>
      <w:r>
        <w:rPr>
          <w:rFonts w:ascii="Calibri"/>
          <w:spacing w:val="-2"/>
        </w:rPr>
        <w:t xml:space="preserve"> </w:t>
      </w:r>
      <w:r>
        <w:rPr>
          <w:rFonts w:ascii="Calibri"/>
        </w:rPr>
        <w:t>a</w:t>
      </w:r>
      <w:r>
        <w:rPr>
          <w:rFonts w:ascii="Calibri"/>
          <w:spacing w:val="-4"/>
        </w:rPr>
        <w:t xml:space="preserve"> </w:t>
      </w:r>
      <w:r>
        <w:rPr>
          <w:rFonts w:ascii="Calibri"/>
        </w:rPr>
        <w:t>timeline</w:t>
      </w:r>
      <w:r>
        <w:rPr>
          <w:rFonts w:ascii="Calibri"/>
          <w:spacing w:val="-4"/>
        </w:rPr>
        <w:t xml:space="preserve"> </w:t>
      </w:r>
      <w:r>
        <w:rPr>
          <w:rFonts w:ascii="Calibri"/>
        </w:rPr>
        <w:t>for</w:t>
      </w:r>
      <w:r>
        <w:rPr>
          <w:rFonts w:ascii="Calibri"/>
          <w:spacing w:val="-4"/>
        </w:rPr>
        <w:t xml:space="preserve"> </w:t>
      </w:r>
      <w:r>
        <w:rPr>
          <w:rFonts w:ascii="Calibri"/>
        </w:rPr>
        <w:t>European</w:t>
      </w:r>
      <w:r>
        <w:rPr>
          <w:rFonts w:ascii="Calibri"/>
          <w:spacing w:val="-3"/>
        </w:rPr>
        <w:t xml:space="preserve"> </w:t>
      </w:r>
      <w:r>
        <w:rPr>
          <w:rFonts w:ascii="Calibri"/>
        </w:rPr>
        <w:t>Single</w:t>
      </w:r>
      <w:r>
        <w:rPr>
          <w:rFonts w:ascii="Calibri"/>
          <w:spacing w:val="-1"/>
        </w:rPr>
        <w:t xml:space="preserve"> </w:t>
      </w:r>
      <w:r>
        <w:rPr>
          <w:rFonts w:ascii="Calibri"/>
        </w:rPr>
        <w:t>Access</w:t>
      </w:r>
      <w:r>
        <w:rPr>
          <w:rFonts w:ascii="Calibri"/>
          <w:spacing w:val="-4"/>
        </w:rPr>
        <w:t xml:space="preserve"> </w:t>
      </w:r>
      <w:r>
        <w:rPr>
          <w:rFonts w:ascii="Calibri"/>
        </w:rPr>
        <w:t>Point</w:t>
      </w:r>
      <w:r>
        <w:rPr>
          <w:rFonts w:ascii="Calibri"/>
          <w:spacing w:val="-4"/>
        </w:rPr>
        <w:t xml:space="preserve"> </w:t>
      </w:r>
      <w:r>
        <w:rPr>
          <w:rFonts w:ascii="Calibri"/>
        </w:rPr>
        <w:t>(ESAP).</w:t>
      </w:r>
      <w:r>
        <w:rPr>
          <w:rFonts w:ascii="Calibri"/>
          <w:spacing w:val="-2"/>
        </w:rPr>
        <w:t xml:space="preserve"> </w:t>
      </w:r>
      <w:r>
        <w:rPr>
          <w:rFonts w:ascii="Calibri"/>
        </w:rPr>
        <w:t>The</w:t>
      </w:r>
      <w:r>
        <w:rPr>
          <w:rFonts w:ascii="Calibri"/>
          <w:spacing w:val="-4"/>
        </w:rPr>
        <w:t xml:space="preserve"> </w:t>
      </w:r>
      <w:r>
        <w:rPr>
          <w:rFonts w:ascii="Calibri"/>
        </w:rPr>
        <w:t>ESAP</w:t>
      </w:r>
      <w:r>
        <w:rPr>
          <w:rFonts w:ascii="Calibri"/>
          <w:spacing w:val="-3"/>
        </w:rPr>
        <w:t xml:space="preserve"> </w:t>
      </w:r>
      <w:r>
        <w:rPr>
          <w:rFonts w:ascii="Calibri"/>
        </w:rPr>
        <w:t>is</w:t>
      </w:r>
      <w:r>
        <w:rPr>
          <w:rFonts w:ascii="Calibri"/>
          <w:spacing w:val="-2"/>
        </w:rPr>
        <w:t xml:space="preserve"> </w:t>
      </w:r>
      <w:r>
        <w:rPr>
          <w:rFonts w:ascii="Calibri"/>
        </w:rPr>
        <w:t>an EU-wide digital platform designed to centralise access to public financial and sustainability information from companies. The scope will include a broad range of entities such as listed entities, credit institutions, insurers, investment firms, audit firms, but also other entities</w:t>
      </w:r>
      <w:r>
        <w:rPr>
          <w:rFonts w:ascii="Calibri"/>
          <w:spacing w:val="-2"/>
        </w:rPr>
        <w:t xml:space="preserve"> </w:t>
      </w:r>
      <w:r>
        <w:rPr>
          <w:rFonts w:ascii="Calibri"/>
        </w:rPr>
        <w:t>and SMEs required to disclose information under various EU regulations and directives.</w:t>
      </w:r>
    </w:p>
    <w:p w14:paraId="1E805EA9" w14:textId="77777777" w:rsidR="00AA4A02" w:rsidRDefault="00AA4A02">
      <w:pPr>
        <w:pStyle w:val="BodyText"/>
        <w:spacing w:line="259" w:lineRule="auto"/>
        <w:rPr>
          <w:rFonts w:ascii="Calibri"/>
        </w:rPr>
        <w:sectPr w:rsidR="00AA4A02">
          <w:headerReference w:type="default" r:id="rId259"/>
          <w:footerReference w:type="default" r:id="rId260"/>
          <w:pgSz w:w="11910" w:h="16840"/>
          <w:pgMar w:top="1360" w:right="1275" w:bottom="1240" w:left="566" w:header="0" w:footer="1048" w:gutter="0"/>
          <w:cols w:space="720"/>
        </w:sectPr>
      </w:pPr>
    </w:p>
    <w:p w14:paraId="1E805EAA" w14:textId="77777777" w:rsidR="00AA4A02" w:rsidRDefault="00960F31">
      <w:pPr>
        <w:pStyle w:val="BodyText"/>
        <w:rPr>
          <w:rFonts w:ascii="Calibri"/>
          <w:sz w:val="36"/>
        </w:rPr>
      </w:pPr>
      <w:r>
        <w:rPr>
          <w:rFonts w:ascii="Calibri"/>
          <w:noProof/>
          <w:sz w:val="36"/>
        </w:rPr>
        <w:lastRenderedPageBreak/>
        <w:drawing>
          <wp:anchor distT="0" distB="0" distL="0" distR="0" simplePos="0" relativeHeight="15767040" behindDoc="0" locked="0" layoutInCell="1" allowOverlap="1" wp14:anchorId="1E805FA9" wp14:editId="1E805FAA">
            <wp:simplePos x="0" y="0"/>
            <wp:positionH relativeFrom="page">
              <wp:posOffset>2540</wp:posOffset>
            </wp:positionH>
            <wp:positionV relativeFrom="page">
              <wp:posOffset>0</wp:posOffset>
            </wp:positionV>
            <wp:extent cx="7558024" cy="116585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61" cstate="print"/>
                    <a:stretch>
                      <a:fillRect/>
                    </a:stretch>
                  </pic:blipFill>
                  <pic:spPr>
                    <a:xfrm>
                      <a:off x="0" y="0"/>
                      <a:ext cx="7558024" cy="1165859"/>
                    </a:xfrm>
                    <a:prstGeom prst="rect">
                      <a:avLst/>
                    </a:prstGeom>
                  </pic:spPr>
                </pic:pic>
              </a:graphicData>
            </a:graphic>
          </wp:anchor>
        </w:drawing>
      </w:r>
    </w:p>
    <w:p w14:paraId="1E805EAB" w14:textId="77777777" w:rsidR="00AA4A02" w:rsidRDefault="00AA4A02">
      <w:pPr>
        <w:pStyle w:val="BodyText"/>
        <w:rPr>
          <w:rFonts w:ascii="Calibri"/>
          <w:sz w:val="36"/>
        </w:rPr>
      </w:pPr>
    </w:p>
    <w:p w14:paraId="1E805EAC" w14:textId="77777777" w:rsidR="00AA4A02" w:rsidRDefault="00AA4A02">
      <w:pPr>
        <w:pStyle w:val="BodyText"/>
        <w:rPr>
          <w:rFonts w:ascii="Calibri"/>
          <w:sz w:val="36"/>
        </w:rPr>
      </w:pPr>
    </w:p>
    <w:p w14:paraId="1E805EAD" w14:textId="77777777" w:rsidR="00AA4A02" w:rsidRDefault="00AA4A02">
      <w:pPr>
        <w:pStyle w:val="BodyText"/>
        <w:rPr>
          <w:rFonts w:ascii="Calibri"/>
          <w:sz w:val="36"/>
        </w:rPr>
      </w:pPr>
    </w:p>
    <w:p w14:paraId="1E805EAE" w14:textId="77777777" w:rsidR="00AA4A02" w:rsidRDefault="00AA4A02">
      <w:pPr>
        <w:pStyle w:val="BodyText"/>
        <w:spacing w:before="14"/>
        <w:rPr>
          <w:rFonts w:ascii="Calibri"/>
          <w:sz w:val="36"/>
        </w:rPr>
      </w:pPr>
    </w:p>
    <w:p w14:paraId="1E805EAF" w14:textId="77777777" w:rsidR="00AA4A02" w:rsidRDefault="00960F31">
      <w:pPr>
        <w:pStyle w:val="Heading2"/>
        <w:spacing w:line="439" w:lineRule="exact"/>
        <w:ind w:right="139"/>
      </w:pPr>
      <w:bookmarkStart w:id="119" w:name="6A_AASB_Chair_Report_Financial_Reporting"/>
      <w:bookmarkStart w:id="120" w:name="3_June_2026"/>
      <w:bookmarkEnd w:id="119"/>
      <w:bookmarkEnd w:id="120"/>
      <w:r>
        <w:rPr>
          <w:color w:val="585858"/>
        </w:rPr>
        <w:t>Item</w:t>
      </w:r>
      <w:r>
        <w:rPr>
          <w:color w:val="585858"/>
          <w:spacing w:val="-1"/>
        </w:rPr>
        <w:t xml:space="preserve"> </w:t>
      </w:r>
      <w:r>
        <w:rPr>
          <w:color w:val="585858"/>
          <w:spacing w:val="-5"/>
        </w:rPr>
        <w:t>6A</w:t>
      </w:r>
    </w:p>
    <w:p w14:paraId="1E805EB0" w14:textId="77777777" w:rsidR="00AA4A02" w:rsidRDefault="00960F31">
      <w:pPr>
        <w:spacing w:line="390" w:lineRule="exact"/>
        <w:ind w:right="141"/>
        <w:jc w:val="right"/>
        <w:rPr>
          <w:rFonts w:ascii="Calibri"/>
          <w:b/>
          <w:sz w:val="32"/>
        </w:rPr>
      </w:pPr>
      <w:r>
        <w:rPr>
          <w:rFonts w:ascii="Calibri"/>
          <w:b/>
          <w:color w:val="585858"/>
          <w:sz w:val="32"/>
        </w:rPr>
        <w:t>3</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B1" w14:textId="77777777" w:rsidR="00AA4A02" w:rsidRDefault="00960F31">
      <w:pPr>
        <w:pStyle w:val="Heading2"/>
        <w:spacing w:before="301" w:line="439" w:lineRule="exact"/>
        <w:ind w:left="852"/>
        <w:jc w:val="left"/>
      </w:pPr>
      <w:bookmarkStart w:id="121" w:name="AASB_Chair_Report_–_Financial_Reporting_"/>
      <w:bookmarkEnd w:id="121"/>
      <w:r>
        <w:rPr>
          <w:smallCaps/>
          <w:color w:val="585858"/>
        </w:rPr>
        <w:t>AASB</w:t>
      </w:r>
      <w:r>
        <w:rPr>
          <w:smallCaps/>
          <w:color w:val="585858"/>
          <w:spacing w:val="-20"/>
        </w:rPr>
        <w:t xml:space="preserve"> </w:t>
      </w:r>
      <w:r>
        <w:rPr>
          <w:smallCaps/>
          <w:color w:val="585858"/>
        </w:rPr>
        <w:t>Chair</w:t>
      </w:r>
      <w:r>
        <w:rPr>
          <w:smallCaps/>
          <w:color w:val="585858"/>
          <w:spacing w:val="-6"/>
        </w:rPr>
        <w:t xml:space="preserve"> </w:t>
      </w:r>
      <w:r>
        <w:rPr>
          <w:smallCaps/>
          <w:color w:val="585858"/>
        </w:rPr>
        <w:t>Report</w:t>
      </w:r>
      <w:r>
        <w:rPr>
          <w:smallCaps/>
          <w:color w:val="585858"/>
          <w:spacing w:val="-4"/>
        </w:rPr>
        <w:t xml:space="preserve"> </w:t>
      </w:r>
      <w:r>
        <w:rPr>
          <w:smallCaps/>
          <w:color w:val="585858"/>
        </w:rPr>
        <w:t>–</w:t>
      </w:r>
      <w:r>
        <w:rPr>
          <w:smallCaps/>
          <w:color w:val="585858"/>
          <w:spacing w:val="-16"/>
        </w:rPr>
        <w:t xml:space="preserve"> </w:t>
      </w:r>
      <w:r>
        <w:rPr>
          <w:smallCaps/>
          <w:color w:val="585858"/>
        </w:rPr>
        <w:t>Financial</w:t>
      </w:r>
      <w:r>
        <w:rPr>
          <w:smallCaps/>
          <w:color w:val="585858"/>
          <w:spacing w:val="-4"/>
        </w:rPr>
        <w:t xml:space="preserve"> </w:t>
      </w:r>
      <w:r>
        <w:rPr>
          <w:smallCaps/>
          <w:color w:val="585858"/>
        </w:rPr>
        <w:t>Reporting</w:t>
      </w:r>
      <w:r>
        <w:rPr>
          <w:smallCaps/>
          <w:color w:val="585858"/>
          <w:spacing w:val="-4"/>
        </w:rPr>
        <w:t xml:space="preserve"> </w:t>
      </w:r>
      <w:r>
        <w:rPr>
          <w:smallCaps/>
          <w:color w:val="585858"/>
        </w:rPr>
        <w:t>Update</w:t>
      </w:r>
      <w:r>
        <w:rPr>
          <w:smallCaps/>
          <w:color w:val="585858"/>
          <w:spacing w:val="-3"/>
        </w:rPr>
        <w:t xml:space="preserve"> </w:t>
      </w:r>
      <w:r>
        <w:rPr>
          <w:smallCaps/>
          <w:color w:val="585858"/>
          <w:spacing w:val="-5"/>
        </w:rPr>
        <w:t>and</w:t>
      </w:r>
    </w:p>
    <w:p w14:paraId="1E805EB2" w14:textId="77777777" w:rsidR="00AA4A02" w:rsidRDefault="00960F31">
      <w:pPr>
        <w:ind w:left="852"/>
        <w:rPr>
          <w:rFonts w:ascii="Calibri"/>
          <w:b/>
          <w:sz w:val="36"/>
        </w:rPr>
      </w:pPr>
      <w:r>
        <w:rPr>
          <w:rFonts w:ascii="Calibri"/>
          <w:b/>
          <w:smallCaps/>
          <w:color w:val="585858"/>
          <w:sz w:val="36"/>
        </w:rPr>
        <w:t>Sustainability</w:t>
      </w:r>
      <w:r>
        <w:rPr>
          <w:rFonts w:ascii="Calibri"/>
          <w:b/>
          <w:smallCaps/>
          <w:color w:val="585858"/>
          <w:spacing w:val="-6"/>
          <w:sz w:val="36"/>
        </w:rPr>
        <w:t xml:space="preserve"> </w:t>
      </w:r>
      <w:r>
        <w:rPr>
          <w:rFonts w:ascii="Calibri"/>
          <w:b/>
          <w:smallCaps/>
          <w:color w:val="585858"/>
          <w:sz w:val="36"/>
        </w:rPr>
        <w:t>Reporting</w:t>
      </w:r>
      <w:r>
        <w:rPr>
          <w:rFonts w:ascii="Calibri"/>
          <w:b/>
          <w:smallCaps/>
          <w:color w:val="585858"/>
          <w:spacing w:val="-6"/>
          <w:sz w:val="36"/>
        </w:rPr>
        <w:t xml:space="preserve"> </w:t>
      </w:r>
      <w:r>
        <w:rPr>
          <w:rFonts w:ascii="Calibri"/>
          <w:b/>
          <w:smallCaps/>
          <w:color w:val="585858"/>
          <w:spacing w:val="-2"/>
          <w:sz w:val="36"/>
        </w:rPr>
        <w:t>Update</w:t>
      </w:r>
    </w:p>
    <w:p w14:paraId="1E805EB3" w14:textId="77777777" w:rsidR="00AA4A02" w:rsidRDefault="00960F31">
      <w:pPr>
        <w:pStyle w:val="BodyText"/>
        <w:spacing w:before="91"/>
        <w:rPr>
          <w:rFonts w:ascii="Calibri"/>
          <w:b/>
          <w:sz w:val="20"/>
        </w:rPr>
      </w:pPr>
      <w:r>
        <w:rPr>
          <w:rFonts w:ascii="Calibri"/>
          <w:b/>
          <w:noProof/>
          <w:sz w:val="20"/>
        </w:rPr>
        <mc:AlternateContent>
          <mc:Choice Requires="wps">
            <w:drawing>
              <wp:anchor distT="0" distB="0" distL="0" distR="0" simplePos="0" relativeHeight="487625728" behindDoc="1" locked="0" layoutInCell="1" allowOverlap="1" wp14:anchorId="1E805FAB" wp14:editId="1E805FAC">
                <wp:simplePos x="0" y="0"/>
                <wp:positionH relativeFrom="page">
                  <wp:posOffset>903732</wp:posOffset>
                </wp:positionH>
                <wp:positionV relativeFrom="paragraph">
                  <wp:posOffset>231294</wp:posOffset>
                </wp:positionV>
                <wp:extent cx="5753100" cy="76073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760730"/>
                        </a:xfrm>
                        <a:prstGeom prst="rect">
                          <a:avLst/>
                        </a:prstGeom>
                        <a:solidFill>
                          <a:srgbClr val="E0EFFF"/>
                        </a:solidFill>
                        <a:ln w="6108">
                          <a:solidFill>
                            <a:srgbClr val="2E5395"/>
                          </a:solidFill>
                          <a:prstDash val="solid"/>
                        </a:ln>
                      </wps:spPr>
                      <wps:txbx>
                        <w:txbxContent>
                          <w:p w14:paraId="1E806074" w14:textId="77777777" w:rsidR="00AA4A02" w:rsidRDefault="00960F31">
                            <w:pPr>
                              <w:spacing w:before="119"/>
                              <w:ind w:left="103"/>
                              <w:rPr>
                                <w:rFonts w:ascii="Calibri"/>
                                <w:b/>
                                <w:color w:val="000000"/>
                                <w:sz w:val="28"/>
                              </w:rPr>
                            </w:pPr>
                            <w:r>
                              <w:rPr>
                                <w:rFonts w:ascii="Calibri"/>
                                <w:b/>
                                <w:color w:val="000000"/>
                                <w:spacing w:val="-2"/>
                                <w:sz w:val="28"/>
                              </w:rPr>
                              <w:t>ACTION</w:t>
                            </w:r>
                          </w:p>
                          <w:p w14:paraId="1E806075" w14:textId="77777777" w:rsidR="00AA4A02" w:rsidRDefault="00960F31">
                            <w:pPr>
                              <w:numPr>
                                <w:ilvl w:val="0"/>
                                <w:numId w:val="5"/>
                              </w:numPr>
                              <w:tabs>
                                <w:tab w:val="left" w:pos="823"/>
                              </w:tabs>
                              <w:spacing w:before="181"/>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wps:txbx>
                      <wps:bodyPr wrap="square" lIns="0" tIns="0" rIns="0" bIns="0" rtlCol="0">
                        <a:noAutofit/>
                      </wps:bodyPr>
                    </wps:wsp>
                  </a:graphicData>
                </a:graphic>
              </wp:anchor>
            </w:drawing>
          </mc:Choice>
          <mc:Fallback>
            <w:pict>
              <v:shape w14:anchorId="1E805FAB" id="Textbox 183" o:spid="_x0000_s1087" type="#_x0000_t202" style="position:absolute;margin-left:71.15pt;margin-top:18.2pt;width:453pt;height:59.9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" fillcolor="#e0efff" strokecolor="#2e5395" strokeweight=".16967mm">
                <v:path arrowok="t"/>
                <v:textbox inset="0,0,0,0">
                  <w:txbxContent>
                    <w:p w14:paraId="1E806074" w14:textId="77777777" w:rsidR="00AA4A02" w:rsidRDefault="00960F31">
                      <w:pPr>
                        <w:spacing w:before="119"/>
                        <w:ind w:left="103"/>
                        <w:rPr>
                          <w:rFonts w:ascii="Calibri"/>
                          <w:b/>
                          <w:color w:val="000000"/>
                          <w:sz w:val="28"/>
                        </w:rPr>
                      </w:pPr>
                      <w:r>
                        <w:rPr>
                          <w:rFonts w:ascii="Calibri"/>
                          <w:b/>
                          <w:color w:val="000000"/>
                          <w:spacing w:val="-2"/>
                          <w:sz w:val="28"/>
                        </w:rPr>
                        <w:t>ACTION</w:t>
                      </w:r>
                    </w:p>
                    <w:p w14:paraId="1E806075" w14:textId="77777777" w:rsidR="00AA4A02" w:rsidRDefault="00960F31">
                      <w:pPr>
                        <w:numPr>
                          <w:ilvl w:val="0"/>
                          <w:numId w:val="5"/>
                        </w:numPr>
                        <w:tabs>
                          <w:tab w:val="left" w:pos="823"/>
                        </w:tabs>
                        <w:spacing w:before="181"/>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v:textbox>
                <w10:wrap type="topAndBottom" anchorx="page"/>
              </v:shape>
            </w:pict>
          </mc:Fallback>
        </mc:AlternateContent>
      </w:r>
    </w:p>
    <w:p w14:paraId="1E805EB4" w14:textId="77777777" w:rsidR="00AA4A02" w:rsidRDefault="00AA4A02">
      <w:pPr>
        <w:pStyle w:val="BodyText"/>
        <w:spacing w:before="49"/>
        <w:rPr>
          <w:rFonts w:ascii="Calibri"/>
          <w:b/>
          <w:sz w:val="24"/>
        </w:rPr>
      </w:pPr>
    </w:p>
    <w:p w14:paraId="1E805EB5" w14:textId="77777777" w:rsidR="00AA4A02" w:rsidRDefault="00960F31">
      <w:pPr>
        <w:ind w:left="852"/>
        <w:rPr>
          <w:rFonts w:ascii="Calibri"/>
          <w:sz w:val="24"/>
        </w:rPr>
      </w:pPr>
      <w:r>
        <w:rPr>
          <w:rFonts w:ascii="Calibri"/>
          <w:sz w:val="24"/>
        </w:rPr>
        <w:t>The AASB</w:t>
      </w:r>
      <w:r>
        <w:rPr>
          <w:rFonts w:ascii="Calibri"/>
          <w:spacing w:val="-2"/>
          <w:sz w:val="24"/>
        </w:rPr>
        <w:t xml:space="preserve"> </w:t>
      </w:r>
      <w:r>
        <w:rPr>
          <w:rFonts w:ascii="Calibri"/>
          <w:sz w:val="24"/>
        </w:rPr>
        <w:t>Chair</w:t>
      </w:r>
      <w:r>
        <w:rPr>
          <w:rFonts w:ascii="Calibri"/>
          <w:spacing w:val="-3"/>
          <w:sz w:val="24"/>
        </w:rPr>
        <w:t xml:space="preserve"> </w:t>
      </w:r>
      <w:r>
        <w:rPr>
          <w:rFonts w:ascii="Calibri"/>
          <w:sz w:val="24"/>
        </w:rPr>
        <w:t>will</w:t>
      </w:r>
      <w:r>
        <w:rPr>
          <w:rFonts w:ascii="Calibri"/>
          <w:spacing w:val="-2"/>
          <w:sz w:val="24"/>
        </w:rPr>
        <w:t xml:space="preserve"> </w:t>
      </w:r>
      <w:r>
        <w:rPr>
          <w:rFonts w:ascii="Calibri"/>
          <w:sz w:val="24"/>
        </w:rPr>
        <w:t>report</w:t>
      </w:r>
      <w:r>
        <w:rPr>
          <w:rFonts w:ascii="Calibri"/>
          <w:spacing w:val="1"/>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1"/>
          <w:sz w:val="24"/>
        </w:rPr>
        <w:t xml:space="preserve"> </w:t>
      </w:r>
      <w:r>
        <w:rPr>
          <w:rFonts w:ascii="Calibri"/>
          <w:spacing w:val="-2"/>
          <w:sz w:val="24"/>
        </w:rPr>
        <w:t>following:</w:t>
      </w:r>
    </w:p>
    <w:p w14:paraId="1E805EB6" w14:textId="77777777" w:rsidR="00AA4A02" w:rsidRDefault="00960F31">
      <w:pPr>
        <w:pStyle w:val="ListParagraph"/>
        <w:numPr>
          <w:ilvl w:val="0"/>
          <w:numId w:val="6"/>
        </w:numPr>
        <w:tabs>
          <w:tab w:val="left" w:pos="1572"/>
        </w:tabs>
        <w:spacing w:before="119" w:line="305" w:lineRule="exact"/>
        <w:ind w:hanging="360"/>
        <w:rPr>
          <w:rFonts w:ascii="Symbol" w:hAnsi="Symbol"/>
          <w:sz w:val="24"/>
        </w:rPr>
      </w:pPr>
      <w:r>
        <w:rPr>
          <w:rFonts w:ascii="Calibri" w:hAnsi="Calibri"/>
          <w:sz w:val="24"/>
        </w:rPr>
        <w:t>Agenda</w:t>
      </w:r>
      <w:r>
        <w:rPr>
          <w:rFonts w:ascii="Calibri" w:hAnsi="Calibri"/>
          <w:spacing w:val="-3"/>
          <w:sz w:val="24"/>
        </w:rPr>
        <w:t xml:space="preserve"> </w:t>
      </w:r>
      <w:r>
        <w:rPr>
          <w:rFonts w:ascii="Calibri" w:hAnsi="Calibri"/>
          <w:sz w:val="24"/>
        </w:rPr>
        <w:t>paper</w:t>
      </w:r>
      <w:r>
        <w:rPr>
          <w:rFonts w:ascii="Calibri" w:hAnsi="Calibri"/>
          <w:spacing w:val="-3"/>
          <w:sz w:val="24"/>
        </w:rPr>
        <w:t xml:space="preserve"> </w:t>
      </w:r>
      <w:r>
        <w:rPr>
          <w:rFonts w:ascii="Calibri" w:hAnsi="Calibri"/>
          <w:sz w:val="24"/>
        </w:rPr>
        <w:t>6A.0</w:t>
      </w:r>
      <w:r>
        <w:rPr>
          <w:rFonts w:ascii="Calibri" w:hAnsi="Calibri"/>
          <w:spacing w:val="-1"/>
          <w:sz w:val="24"/>
        </w:rPr>
        <w:t xml:space="preserve"> </w:t>
      </w:r>
      <w:r>
        <w:rPr>
          <w:rFonts w:ascii="Calibri" w:hAnsi="Calibri"/>
          <w:sz w:val="24"/>
        </w:rPr>
        <w:t>AASB</w:t>
      </w:r>
      <w:r>
        <w:rPr>
          <w:rFonts w:ascii="Calibri" w:hAnsi="Calibri"/>
          <w:spacing w:val="-1"/>
          <w:sz w:val="24"/>
        </w:rPr>
        <w:t xml:space="preserve"> </w:t>
      </w:r>
      <w:r>
        <w:rPr>
          <w:rFonts w:ascii="Calibri" w:hAnsi="Calibri"/>
          <w:sz w:val="24"/>
        </w:rPr>
        <w:t xml:space="preserve">Strategic </w:t>
      </w:r>
      <w:r>
        <w:rPr>
          <w:rFonts w:ascii="Calibri" w:hAnsi="Calibri"/>
          <w:spacing w:val="-2"/>
          <w:sz w:val="24"/>
        </w:rPr>
        <w:t>Overview</w:t>
      </w:r>
    </w:p>
    <w:p w14:paraId="1E805EB7" w14:textId="77777777" w:rsidR="00AA4A02" w:rsidRDefault="00960F31">
      <w:pPr>
        <w:pStyle w:val="ListParagraph"/>
        <w:numPr>
          <w:ilvl w:val="0"/>
          <w:numId w:val="6"/>
        </w:numPr>
        <w:tabs>
          <w:tab w:val="left" w:pos="1572"/>
        </w:tabs>
        <w:spacing w:before="0" w:line="305" w:lineRule="exact"/>
        <w:ind w:hanging="360"/>
        <w:rPr>
          <w:rFonts w:ascii="Symbol" w:hAnsi="Symbol"/>
          <w:sz w:val="24"/>
        </w:rPr>
      </w:pPr>
      <w:r>
        <w:rPr>
          <w:rFonts w:ascii="Calibri" w:hAnsi="Calibri"/>
          <w:sz w:val="24"/>
        </w:rPr>
        <w:t>Agenda</w:t>
      </w:r>
      <w:r>
        <w:rPr>
          <w:rFonts w:ascii="Calibri" w:hAnsi="Calibri"/>
          <w:spacing w:val="-3"/>
          <w:sz w:val="24"/>
        </w:rPr>
        <w:t xml:space="preserve"> </w:t>
      </w:r>
      <w:r>
        <w:rPr>
          <w:rFonts w:ascii="Calibri" w:hAnsi="Calibri"/>
          <w:sz w:val="24"/>
        </w:rPr>
        <w:t>paper</w:t>
      </w:r>
      <w:r>
        <w:rPr>
          <w:rFonts w:ascii="Calibri" w:hAnsi="Calibri"/>
          <w:spacing w:val="-2"/>
          <w:sz w:val="24"/>
        </w:rPr>
        <w:t xml:space="preserve"> </w:t>
      </w:r>
      <w:r>
        <w:rPr>
          <w:rFonts w:ascii="Calibri" w:hAnsi="Calibri"/>
          <w:sz w:val="24"/>
        </w:rPr>
        <w:t>6A.1</w:t>
      </w:r>
      <w:r>
        <w:rPr>
          <w:rFonts w:ascii="Calibri" w:hAnsi="Calibri"/>
          <w:spacing w:val="-1"/>
          <w:sz w:val="24"/>
        </w:rPr>
        <w:t xml:space="preserve"> </w:t>
      </w:r>
      <w:r>
        <w:rPr>
          <w:rFonts w:ascii="Calibri" w:hAnsi="Calibri"/>
          <w:sz w:val="24"/>
        </w:rPr>
        <w:t>AASB Chair</w:t>
      </w:r>
      <w:r>
        <w:rPr>
          <w:rFonts w:ascii="Calibri" w:hAnsi="Calibri"/>
          <w:spacing w:val="1"/>
          <w:sz w:val="24"/>
        </w:rPr>
        <w:t xml:space="preserve"> </w:t>
      </w:r>
      <w:r>
        <w:rPr>
          <w:rFonts w:ascii="Calibri" w:hAnsi="Calibri"/>
          <w:spacing w:val="-2"/>
          <w:sz w:val="24"/>
        </w:rPr>
        <w:t>Report</w:t>
      </w:r>
    </w:p>
    <w:p w14:paraId="1E805EB8" w14:textId="77777777" w:rsidR="00AA4A02" w:rsidRDefault="00960F31">
      <w:pPr>
        <w:pStyle w:val="ListParagraph"/>
        <w:numPr>
          <w:ilvl w:val="0"/>
          <w:numId w:val="6"/>
        </w:numPr>
        <w:tabs>
          <w:tab w:val="left" w:pos="1572"/>
        </w:tabs>
        <w:spacing w:before="4"/>
        <w:ind w:hanging="360"/>
        <w:rPr>
          <w:rFonts w:ascii="Symbol" w:hAnsi="Symbol"/>
          <w:sz w:val="24"/>
        </w:rPr>
      </w:pPr>
      <w:r>
        <w:rPr>
          <w:rFonts w:ascii="Calibri" w:hAnsi="Calibri"/>
          <w:sz w:val="24"/>
        </w:rPr>
        <w:t>Agenda</w:t>
      </w:r>
      <w:r>
        <w:rPr>
          <w:rFonts w:ascii="Calibri" w:hAnsi="Calibri"/>
          <w:spacing w:val="-5"/>
          <w:sz w:val="24"/>
        </w:rPr>
        <w:t xml:space="preserve"> </w:t>
      </w:r>
      <w:r>
        <w:rPr>
          <w:rFonts w:ascii="Calibri" w:hAnsi="Calibri"/>
          <w:sz w:val="24"/>
        </w:rPr>
        <w:t>paper</w:t>
      </w:r>
      <w:r>
        <w:rPr>
          <w:rFonts w:ascii="Calibri" w:hAnsi="Calibri"/>
          <w:spacing w:val="-3"/>
          <w:sz w:val="24"/>
        </w:rPr>
        <w:t xml:space="preserve"> </w:t>
      </w:r>
      <w:r>
        <w:rPr>
          <w:rFonts w:ascii="Calibri" w:hAnsi="Calibri"/>
          <w:sz w:val="24"/>
        </w:rPr>
        <w:t>6A.2</w:t>
      </w:r>
      <w:r>
        <w:rPr>
          <w:rFonts w:ascii="Calibri" w:hAnsi="Calibri"/>
          <w:spacing w:val="-1"/>
          <w:sz w:val="24"/>
        </w:rPr>
        <w:t xml:space="preserve"> </w:t>
      </w:r>
      <w:r>
        <w:rPr>
          <w:rFonts w:ascii="Calibri" w:hAnsi="Calibri"/>
          <w:sz w:val="24"/>
        </w:rPr>
        <w:t>AASB</w:t>
      </w:r>
      <w:r>
        <w:rPr>
          <w:rFonts w:ascii="Calibri" w:hAnsi="Calibri"/>
          <w:spacing w:val="-1"/>
          <w:sz w:val="24"/>
        </w:rPr>
        <w:t xml:space="preserve"> </w:t>
      </w:r>
      <w:r>
        <w:rPr>
          <w:rFonts w:ascii="Calibri" w:hAnsi="Calibri"/>
          <w:sz w:val="24"/>
        </w:rPr>
        <w:t>Chair Report</w:t>
      </w:r>
      <w:r>
        <w:rPr>
          <w:rFonts w:ascii="Calibri" w:hAnsi="Calibri"/>
          <w:spacing w:val="-1"/>
          <w:sz w:val="24"/>
        </w:rPr>
        <w:t xml:space="preserve"> </w:t>
      </w:r>
      <w:r>
        <w:rPr>
          <w:rFonts w:ascii="Calibri" w:hAnsi="Calibri"/>
          <w:sz w:val="24"/>
        </w:rPr>
        <w:t>–</w:t>
      </w:r>
      <w:r>
        <w:rPr>
          <w:rFonts w:ascii="Calibri" w:hAnsi="Calibri"/>
          <w:spacing w:val="-2"/>
          <w:sz w:val="24"/>
        </w:rPr>
        <w:t xml:space="preserve"> </w:t>
      </w:r>
      <w:r>
        <w:rPr>
          <w:rFonts w:ascii="Calibri" w:hAnsi="Calibri"/>
          <w:sz w:val="24"/>
        </w:rPr>
        <w:t xml:space="preserve">Sustainability </w:t>
      </w:r>
      <w:r>
        <w:rPr>
          <w:rFonts w:ascii="Calibri" w:hAnsi="Calibri"/>
          <w:spacing w:val="-2"/>
          <w:sz w:val="24"/>
        </w:rPr>
        <w:t>Report</w:t>
      </w:r>
    </w:p>
    <w:p w14:paraId="1E805EB9" w14:textId="77777777" w:rsidR="00AA4A02" w:rsidRDefault="00AA4A02">
      <w:pPr>
        <w:pStyle w:val="ListParagraph"/>
        <w:rPr>
          <w:rFonts w:ascii="Symbol" w:hAnsi="Symbol"/>
          <w:sz w:val="24"/>
        </w:rPr>
        <w:sectPr w:rsidR="00AA4A02">
          <w:headerReference w:type="default" r:id="rId262"/>
          <w:footerReference w:type="default" r:id="rId263"/>
          <w:pgSz w:w="11910" w:h="16840"/>
          <w:pgMar w:top="0" w:right="1275" w:bottom="1000" w:left="566" w:header="0" w:footer="803" w:gutter="0"/>
          <w:cols w:space="720"/>
        </w:sectPr>
      </w:pPr>
    </w:p>
    <w:p w14:paraId="1E805EBA" w14:textId="77777777" w:rsidR="00AA4A02" w:rsidRDefault="00960F31">
      <w:pPr>
        <w:pStyle w:val="Heading2"/>
        <w:spacing w:before="310"/>
        <w:ind w:right="141"/>
      </w:pPr>
      <w:bookmarkStart w:id="122" w:name="6B_AUASB_Chair_Report"/>
      <w:bookmarkStart w:id="123" w:name="Item_6B"/>
      <w:bookmarkEnd w:id="122"/>
      <w:bookmarkEnd w:id="123"/>
      <w:r>
        <w:rPr>
          <w:smallCaps/>
          <w:color w:val="585858"/>
        </w:rPr>
        <w:lastRenderedPageBreak/>
        <w:t>Item</w:t>
      </w:r>
      <w:r>
        <w:rPr>
          <w:smallCaps/>
          <w:color w:val="585858"/>
          <w:spacing w:val="-1"/>
        </w:rPr>
        <w:t xml:space="preserve"> </w:t>
      </w:r>
      <w:r>
        <w:rPr>
          <w:smallCaps/>
          <w:color w:val="585858"/>
          <w:spacing w:val="-5"/>
        </w:rPr>
        <w:t>6B</w:t>
      </w:r>
    </w:p>
    <w:p w14:paraId="1E805EBB" w14:textId="77777777" w:rsidR="00AA4A02" w:rsidRDefault="00960F31">
      <w:pPr>
        <w:spacing w:before="120"/>
        <w:ind w:right="141"/>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BC" w14:textId="77777777" w:rsidR="00AA4A02" w:rsidRDefault="00960F31">
      <w:pPr>
        <w:pStyle w:val="Heading5"/>
        <w:spacing w:before="300"/>
        <w:ind w:left="852"/>
      </w:pPr>
      <w:bookmarkStart w:id="124" w:name="AUASB_Financial_auditing_and_assurance_A"/>
      <w:bookmarkEnd w:id="124"/>
      <w:r>
        <w:t>AUASB</w:t>
      </w:r>
      <w:r>
        <w:rPr>
          <w:spacing w:val="-4"/>
        </w:rPr>
        <w:t xml:space="preserve"> </w:t>
      </w:r>
      <w:r>
        <w:t>FINANCIAL</w:t>
      </w:r>
      <w:r>
        <w:rPr>
          <w:spacing w:val="-4"/>
        </w:rPr>
        <w:t xml:space="preserve"> </w:t>
      </w:r>
      <w:r>
        <w:t>AUDITING</w:t>
      </w:r>
      <w:r>
        <w:rPr>
          <w:spacing w:val="-4"/>
        </w:rPr>
        <w:t xml:space="preserve"> </w:t>
      </w:r>
      <w:r>
        <w:t>AND</w:t>
      </w:r>
      <w:r>
        <w:rPr>
          <w:spacing w:val="-5"/>
        </w:rPr>
        <w:t xml:space="preserve"> </w:t>
      </w:r>
      <w:r>
        <w:t>ASSURANCE</w:t>
      </w:r>
      <w:r>
        <w:rPr>
          <w:spacing w:val="-6"/>
        </w:rPr>
        <w:t xml:space="preserve"> </w:t>
      </w:r>
      <w:r>
        <w:t>AND</w:t>
      </w:r>
      <w:r>
        <w:rPr>
          <w:spacing w:val="-5"/>
        </w:rPr>
        <w:t xml:space="preserve"> </w:t>
      </w:r>
      <w:r>
        <w:t>SUSTAINABILITY ASSURANCE UPDATE</w:t>
      </w:r>
    </w:p>
    <w:p w14:paraId="1E805EBD" w14:textId="77777777" w:rsidR="00AA4A02" w:rsidRDefault="00AA4A02">
      <w:pPr>
        <w:pStyle w:val="BodyText"/>
        <w:rPr>
          <w:rFonts w:ascii="Calibri"/>
          <w:b/>
          <w:sz w:val="20"/>
        </w:rPr>
      </w:pPr>
    </w:p>
    <w:p w14:paraId="1E805EBE" w14:textId="77777777" w:rsidR="00AA4A02" w:rsidRDefault="00960F31">
      <w:pPr>
        <w:pStyle w:val="BodyText"/>
        <w:spacing w:before="141"/>
        <w:rPr>
          <w:rFonts w:ascii="Calibri"/>
          <w:b/>
          <w:sz w:val="20"/>
        </w:rPr>
      </w:pPr>
      <w:r>
        <w:rPr>
          <w:rFonts w:ascii="Calibri"/>
          <w:b/>
          <w:noProof/>
          <w:sz w:val="20"/>
        </w:rPr>
        <mc:AlternateContent>
          <mc:Choice Requires="wps">
            <w:drawing>
              <wp:anchor distT="0" distB="0" distL="0" distR="0" simplePos="0" relativeHeight="487626752" behindDoc="1" locked="0" layoutInCell="1" allowOverlap="1" wp14:anchorId="1E805FAD" wp14:editId="1E805FAE">
                <wp:simplePos x="0" y="0"/>
                <wp:positionH relativeFrom="page">
                  <wp:posOffset>903732</wp:posOffset>
                </wp:positionH>
                <wp:positionV relativeFrom="paragraph">
                  <wp:posOffset>263136</wp:posOffset>
                </wp:positionV>
                <wp:extent cx="5753100" cy="76073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760730"/>
                        </a:xfrm>
                        <a:prstGeom prst="rect">
                          <a:avLst/>
                        </a:prstGeom>
                        <a:solidFill>
                          <a:srgbClr val="E0EFFF"/>
                        </a:solidFill>
                        <a:ln w="6108">
                          <a:solidFill>
                            <a:srgbClr val="2E5395"/>
                          </a:solidFill>
                          <a:prstDash val="solid"/>
                        </a:ln>
                      </wps:spPr>
                      <wps:txbx>
                        <w:txbxContent>
                          <w:p w14:paraId="1E806076" w14:textId="77777777" w:rsidR="00AA4A02" w:rsidRDefault="00960F31">
                            <w:pPr>
                              <w:spacing w:before="119"/>
                              <w:ind w:left="103"/>
                              <w:rPr>
                                <w:rFonts w:ascii="Calibri"/>
                                <w:b/>
                                <w:color w:val="000000"/>
                                <w:sz w:val="28"/>
                              </w:rPr>
                            </w:pPr>
                            <w:r>
                              <w:rPr>
                                <w:rFonts w:ascii="Calibri"/>
                                <w:b/>
                                <w:color w:val="000000"/>
                                <w:spacing w:val="-2"/>
                                <w:sz w:val="28"/>
                              </w:rPr>
                              <w:t>ACTION</w:t>
                            </w:r>
                          </w:p>
                          <w:p w14:paraId="1E806077" w14:textId="77777777" w:rsidR="00AA4A02" w:rsidRDefault="00960F31">
                            <w:pPr>
                              <w:numPr>
                                <w:ilvl w:val="0"/>
                                <w:numId w:val="4"/>
                              </w:numPr>
                              <w:tabs>
                                <w:tab w:val="left" w:pos="823"/>
                              </w:tabs>
                              <w:spacing w:before="181"/>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wps:txbx>
                      <wps:bodyPr wrap="square" lIns="0" tIns="0" rIns="0" bIns="0" rtlCol="0">
                        <a:noAutofit/>
                      </wps:bodyPr>
                    </wps:wsp>
                  </a:graphicData>
                </a:graphic>
              </wp:anchor>
            </w:drawing>
          </mc:Choice>
          <mc:Fallback>
            <w:pict>
              <v:shape w14:anchorId="1E805FAD" id="Textbox 186" o:spid="_x0000_s1088" type="#_x0000_t202" style="position:absolute;margin-left:71.15pt;margin-top:20.7pt;width:453pt;height:59.9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" fillcolor="#e0efff" strokecolor="#2e5395" strokeweight=".16967mm">
                <v:path arrowok="t"/>
                <v:textbox inset="0,0,0,0">
                  <w:txbxContent>
                    <w:p w14:paraId="1E806076" w14:textId="77777777" w:rsidR="00AA4A02" w:rsidRDefault="00960F31">
                      <w:pPr>
                        <w:spacing w:before="119"/>
                        <w:ind w:left="103"/>
                        <w:rPr>
                          <w:rFonts w:ascii="Calibri"/>
                          <w:b/>
                          <w:color w:val="000000"/>
                          <w:sz w:val="28"/>
                        </w:rPr>
                      </w:pPr>
                      <w:r>
                        <w:rPr>
                          <w:rFonts w:ascii="Calibri"/>
                          <w:b/>
                          <w:color w:val="000000"/>
                          <w:spacing w:val="-2"/>
                          <w:sz w:val="28"/>
                        </w:rPr>
                        <w:t>ACTION</w:t>
                      </w:r>
                    </w:p>
                    <w:p w14:paraId="1E806077" w14:textId="77777777" w:rsidR="00AA4A02" w:rsidRDefault="00960F31">
                      <w:pPr>
                        <w:numPr>
                          <w:ilvl w:val="0"/>
                          <w:numId w:val="4"/>
                        </w:numPr>
                        <w:tabs>
                          <w:tab w:val="left" w:pos="823"/>
                        </w:tabs>
                        <w:spacing w:before="181"/>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v:textbox>
                <w10:wrap type="topAndBottom" anchorx="page"/>
              </v:shape>
            </w:pict>
          </mc:Fallback>
        </mc:AlternateContent>
      </w:r>
    </w:p>
    <w:p w14:paraId="1E805EBF" w14:textId="77777777" w:rsidR="00AA4A02" w:rsidRDefault="00AA4A02">
      <w:pPr>
        <w:pStyle w:val="BodyText"/>
        <w:spacing w:before="4"/>
        <w:rPr>
          <w:rFonts w:ascii="Calibri"/>
          <w:b/>
          <w:sz w:val="24"/>
        </w:rPr>
      </w:pPr>
    </w:p>
    <w:p w14:paraId="1E805EC0" w14:textId="77777777" w:rsidR="00AA4A02" w:rsidRDefault="00960F31">
      <w:pPr>
        <w:ind w:left="852"/>
        <w:rPr>
          <w:rFonts w:ascii="Calibri"/>
          <w:sz w:val="24"/>
        </w:rPr>
      </w:pPr>
      <w:r>
        <w:rPr>
          <w:rFonts w:ascii="Calibri"/>
          <w:sz w:val="24"/>
        </w:rPr>
        <w:t>The</w:t>
      </w:r>
      <w:r>
        <w:rPr>
          <w:rFonts w:ascii="Calibri"/>
          <w:spacing w:val="-1"/>
          <w:sz w:val="24"/>
        </w:rPr>
        <w:t xml:space="preserve"> </w:t>
      </w:r>
      <w:r>
        <w:rPr>
          <w:rFonts w:ascii="Calibri"/>
          <w:sz w:val="24"/>
        </w:rPr>
        <w:t>AUASB</w:t>
      </w:r>
      <w:r>
        <w:rPr>
          <w:rFonts w:ascii="Calibri"/>
          <w:spacing w:val="-2"/>
          <w:sz w:val="24"/>
        </w:rPr>
        <w:t xml:space="preserve"> </w:t>
      </w:r>
      <w:r>
        <w:rPr>
          <w:rFonts w:ascii="Calibri"/>
          <w:sz w:val="24"/>
        </w:rPr>
        <w:t>Chair</w:t>
      </w:r>
      <w:r>
        <w:rPr>
          <w:rFonts w:ascii="Calibri"/>
          <w:spacing w:val="-3"/>
          <w:sz w:val="24"/>
        </w:rPr>
        <w:t xml:space="preserve"> </w:t>
      </w:r>
      <w:r>
        <w:rPr>
          <w:rFonts w:ascii="Calibri"/>
          <w:sz w:val="24"/>
        </w:rPr>
        <w:t>provided the</w:t>
      </w:r>
      <w:r>
        <w:rPr>
          <w:rFonts w:ascii="Calibri"/>
          <w:spacing w:val="-2"/>
          <w:sz w:val="24"/>
        </w:rPr>
        <w:t xml:space="preserve"> </w:t>
      </w:r>
      <w:r>
        <w:rPr>
          <w:rFonts w:ascii="Calibri"/>
          <w:sz w:val="24"/>
        </w:rPr>
        <w:t>attached</w:t>
      </w:r>
      <w:r>
        <w:rPr>
          <w:rFonts w:ascii="Calibri"/>
          <w:spacing w:val="-2"/>
          <w:sz w:val="24"/>
        </w:rPr>
        <w:t xml:space="preserve"> report.</w:t>
      </w:r>
    </w:p>
    <w:p w14:paraId="1E805EC1" w14:textId="77777777" w:rsidR="00AA4A02" w:rsidRDefault="00AA4A02">
      <w:pPr>
        <w:rPr>
          <w:rFonts w:ascii="Calibri"/>
          <w:sz w:val="24"/>
        </w:rPr>
        <w:sectPr w:rsidR="00AA4A02">
          <w:headerReference w:type="default" r:id="rId264"/>
          <w:footerReference w:type="default" r:id="rId265"/>
          <w:pgSz w:w="11910" w:h="16840"/>
          <w:pgMar w:top="1820" w:right="1275" w:bottom="940" w:left="566" w:header="0" w:footer="753" w:gutter="0"/>
          <w:cols w:space="720"/>
        </w:sectPr>
      </w:pPr>
    </w:p>
    <w:p w14:paraId="1E805EC2" w14:textId="77777777" w:rsidR="00AA4A02" w:rsidRDefault="00960F31">
      <w:pPr>
        <w:pStyle w:val="Heading2"/>
        <w:spacing w:before="260"/>
        <w:ind w:right="162"/>
      </w:pPr>
      <w:bookmarkStart w:id="125" w:name="7_Public_Sector_Advisory_Group_-_Update"/>
      <w:bookmarkStart w:id="126" w:name="Item_7"/>
      <w:bookmarkEnd w:id="125"/>
      <w:bookmarkEnd w:id="126"/>
      <w:r>
        <w:rPr>
          <w:smallCaps/>
          <w:color w:val="585858"/>
        </w:rPr>
        <w:lastRenderedPageBreak/>
        <w:t>Item</w:t>
      </w:r>
      <w:r>
        <w:rPr>
          <w:smallCaps/>
          <w:color w:val="585858"/>
          <w:spacing w:val="-1"/>
        </w:rPr>
        <w:t xml:space="preserve"> </w:t>
      </w:r>
      <w:r>
        <w:rPr>
          <w:smallCaps/>
          <w:color w:val="585858"/>
          <w:spacing w:val="-10"/>
        </w:rPr>
        <w:t>7</w:t>
      </w:r>
    </w:p>
    <w:p w14:paraId="1E805EC3" w14:textId="77777777" w:rsidR="00AA4A02" w:rsidRDefault="00960F31">
      <w:pPr>
        <w:spacing w:before="119"/>
        <w:ind w:right="163"/>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C4" w14:textId="77777777" w:rsidR="00AA4A02" w:rsidRDefault="00960F31">
      <w:pPr>
        <w:pStyle w:val="Heading2"/>
        <w:spacing w:before="301"/>
        <w:ind w:left="874"/>
        <w:jc w:val="left"/>
      </w:pPr>
      <w:bookmarkStart w:id="127" w:name="Public_Sector_Advisory_Group"/>
      <w:bookmarkEnd w:id="127"/>
      <w:r>
        <w:rPr>
          <w:smallCaps/>
          <w:color w:val="585858"/>
        </w:rPr>
        <w:t>Public</w:t>
      </w:r>
      <w:r>
        <w:rPr>
          <w:smallCaps/>
          <w:color w:val="585858"/>
          <w:spacing w:val="-4"/>
        </w:rPr>
        <w:t xml:space="preserve"> </w:t>
      </w:r>
      <w:r>
        <w:rPr>
          <w:smallCaps/>
          <w:color w:val="585858"/>
        </w:rPr>
        <w:t>Sector</w:t>
      </w:r>
      <w:r>
        <w:rPr>
          <w:smallCaps/>
          <w:color w:val="585858"/>
          <w:spacing w:val="-4"/>
        </w:rPr>
        <w:t xml:space="preserve"> </w:t>
      </w:r>
      <w:r>
        <w:rPr>
          <w:smallCaps/>
          <w:color w:val="585858"/>
        </w:rPr>
        <w:t>Advisory</w:t>
      </w:r>
      <w:r>
        <w:rPr>
          <w:smallCaps/>
          <w:color w:val="585858"/>
          <w:spacing w:val="-3"/>
        </w:rPr>
        <w:t xml:space="preserve"> </w:t>
      </w:r>
      <w:r>
        <w:rPr>
          <w:smallCaps/>
          <w:color w:val="585858"/>
          <w:spacing w:val="-2"/>
        </w:rPr>
        <w:t>Group</w:t>
      </w:r>
    </w:p>
    <w:p w14:paraId="1E805EC5" w14:textId="77777777" w:rsidR="00AA4A02" w:rsidRDefault="00960F31">
      <w:pPr>
        <w:pStyle w:val="BodyText"/>
        <w:spacing w:before="91"/>
        <w:rPr>
          <w:rFonts w:ascii="Calibri"/>
          <w:b/>
          <w:sz w:val="20"/>
        </w:rPr>
      </w:pPr>
      <w:r>
        <w:rPr>
          <w:rFonts w:ascii="Calibri"/>
          <w:b/>
          <w:noProof/>
          <w:sz w:val="20"/>
        </w:rPr>
        <mc:AlternateContent>
          <mc:Choice Requires="wps">
            <w:drawing>
              <wp:anchor distT="0" distB="0" distL="0" distR="0" simplePos="0" relativeHeight="487627264" behindDoc="1" locked="0" layoutInCell="1" allowOverlap="1" wp14:anchorId="1E805FAF" wp14:editId="1E805FB0">
                <wp:simplePos x="0" y="0"/>
                <wp:positionH relativeFrom="page">
                  <wp:posOffset>844296</wp:posOffset>
                </wp:positionH>
                <wp:positionV relativeFrom="paragraph">
                  <wp:posOffset>230040</wp:posOffset>
                </wp:positionV>
                <wp:extent cx="5872480" cy="50800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2480" cy="508000"/>
                        </a:xfrm>
                        <a:prstGeom prst="rect">
                          <a:avLst/>
                        </a:prstGeom>
                        <a:solidFill>
                          <a:srgbClr val="E0EFFF"/>
                        </a:solidFill>
                        <a:ln w="3035">
                          <a:solidFill>
                            <a:srgbClr val="365F91"/>
                          </a:solidFill>
                          <a:prstDash val="solid"/>
                        </a:ln>
                      </wps:spPr>
                      <wps:txbx>
                        <w:txbxContent>
                          <w:p w14:paraId="1E806078"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79" w14:textId="77777777" w:rsidR="00AA4A02" w:rsidRDefault="00960F31">
                            <w:pPr>
                              <w:numPr>
                                <w:ilvl w:val="0"/>
                                <w:numId w:val="3"/>
                              </w:numPr>
                              <w:tabs>
                                <w:tab w:val="left" w:pos="535"/>
                              </w:tabs>
                              <w:spacing w:before="119"/>
                              <w:ind w:hanging="427"/>
                              <w:rPr>
                                <w:rFonts w:ascii="Calibri"/>
                                <w:color w:val="000000"/>
                                <w:sz w:val="24"/>
                              </w:rPr>
                            </w:pPr>
                            <w:r>
                              <w:rPr>
                                <w:rFonts w:ascii="Calibri"/>
                                <w:color w:val="000000"/>
                                <w:sz w:val="24"/>
                              </w:rPr>
                              <w:t>FRC</w:t>
                            </w:r>
                            <w:r>
                              <w:rPr>
                                <w:rFonts w:ascii="Calibri"/>
                                <w:color w:val="000000"/>
                                <w:spacing w:val="-1"/>
                                <w:sz w:val="24"/>
                              </w:rPr>
                              <w:t xml:space="preserve"> </w:t>
                            </w:r>
                            <w:r>
                              <w:rPr>
                                <w:rFonts w:ascii="Calibri"/>
                                <w:color w:val="000000"/>
                                <w:sz w:val="24"/>
                              </w:rPr>
                              <w:t>to</w:t>
                            </w:r>
                            <w:r>
                              <w:rPr>
                                <w:rFonts w:ascii="Calibri"/>
                                <w:color w:val="000000"/>
                                <w:spacing w:val="1"/>
                                <w:sz w:val="24"/>
                              </w:rPr>
                              <w:t xml:space="preserve"> </w:t>
                            </w:r>
                            <w:r>
                              <w:rPr>
                                <w:rFonts w:ascii="Calibri"/>
                                <w:color w:val="000000"/>
                                <w:sz w:val="24"/>
                              </w:rPr>
                              <w:t>note</w:t>
                            </w:r>
                            <w:r>
                              <w:rPr>
                                <w:rFonts w:ascii="Calibri"/>
                                <w:color w:val="000000"/>
                                <w:spacing w:val="-1"/>
                                <w:sz w:val="24"/>
                              </w:rPr>
                              <w:t xml:space="preserve"> </w:t>
                            </w:r>
                            <w:r>
                              <w:rPr>
                                <w:rFonts w:ascii="Calibri"/>
                                <w:color w:val="000000"/>
                                <w:sz w:val="24"/>
                              </w:rPr>
                              <w:t>PSAG</w:t>
                            </w:r>
                            <w:r>
                              <w:rPr>
                                <w:rFonts w:ascii="Calibri"/>
                                <w:color w:val="000000"/>
                                <w:spacing w:val="-2"/>
                                <w:sz w:val="24"/>
                              </w:rPr>
                              <w:t xml:space="preserve"> </w:t>
                            </w:r>
                            <w:r>
                              <w:rPr>
                                <w:rFonts w:ascii="Calibri"/>
                                <w:color w:val="000000"/>
                                <w:sz w:val="24"/>
                              </w:rPr>
                              <w:t>Chair</w:t>
                            </w:r>
                            <w:r>
                              <w:rPr>
                                <w:rFonts w:ascii="Calibri"/>
                                <w:color w:val="000000"/>
                                <w:spacing w:val="-2"/>
                                <w:sz w:val="24"/>
                              </w:rPr>
                              <w:t xml:space="preserve"> update.</w:t>
                            </w:r>
                          </w:p>
                        </w:txbxContent>
                      </wps:txbx>
                      <wps:bodyPr wrap="square" lIns="0" tIns="0" rIns="0" bIns="0" rtlCol="0">
                        <a:noAutofit/>
                      </wps:bodyPr>
                    </wps:wsp>
                  </a:graphicData>
                </a:graphic>
              </wp:anchor>
            </w:drawing>
          </mc:Choice>
          <mc:Fallback>
            <w:pict>
              <v:shape w14:anchorId="1E805FAF" id="Textbox 187" o:spid="_x0000_s1089" type="#_x0000_t202" style="position:absolute;margin-left:66.5pt;margin-top:18.1pt;width:462.4pt;height:40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" fillcolor="#e0efff" strokecolor="#365f91" strokeweight=".08431mm">
                <v:path arrowok="t"/>
                <v:textbox inset="0,0,0,0">
                  <w:txbxContent>
                    <w:p w14:paraId="1E806078" w14:textId="77777777" w:rsidR="00AA4A02" w:rsidRDefault="00960F31">
                      <w:pPr>
                        <w:spacing w:before="21"/>
                        <w:ind w:left="108"/>
                        <w:rPr>
                          <w:rFonts w:ascii="Calibri"/>
                          <w:b/>
                          <w:color w:val="000000"/>
                          <w:sz w:val="28"/>
                        </w:rPr>
                      </w:pPr>
                      <w:r>
                        <w:rPr>
                          <w:rFonts w:ascii="Calibri"/>
                          <w:b/>
                          <w:color w:val="000000"/>
                          <w:spacing w:val="-2"/>
                          <w:sz w:val="28"/>
                        </w:rPr>
                        <w:t>ACTION</w:t>
                      </w:r>
                    </w:p>
                    <w:p w14:paraId="1E806079" w14:textId="77777777" w:rsidR="00AA4A02" w:rsidRDefault="00960F31">
                      <w:pPr>
                        <w:numPr>
                          <w:ilvl w:val="0"/>
                          <w:numId w:val="3"/>
                        </w:numPr>
                        <w:tabs>
                          <w:tab w:val="left" w:pos="535"/>
                        </w:tabs>
                        <w:spacing w:before="119"/>
                        <w:ind w:hanging="427"/>
                        <w:rPr>
                          <w:rFonts w:ascii="Calibri"/>
                          <w:color w:val="000000"/>
                          <w:sz w:val="24"/>
                        </w:rPr>
                      </w:pPr>
                      <w:r>
                        <w:rPr>
                          <w:rFonts w:ascii="Calibri"/>
                          <w:color w:val="000000"/>
                          <w:sz w:val="24"/>
                        </w:rPr>
                        <w:t>FRC</w:t>
                      </w:r>
                      <w:r>
                        <w:rPr>
                          <w:rFonts w:ascii="Calibri"/>
                          <w:color w:val="000000"/>
                          <w:spacing w:val="-1"/>
                          <w:sz w:val="24"/>
                        </w:rPr>
                        <w:t xml:space="preserve"> </w:t>
                      </w:r>
                      <w:r>
                        <w:rPr>
                          <w:rFonts w:ascii="Calibri"/>
                          <w:color w:val="000000"/>
                          <w:sz w:val="24"/>
                        </w:rPr>
                        <w:t>to</w:t>
                      </w:r>
                      <w:r>
                        <w:rPr>
                          <w:rFonts w:ascii="Calibri"/>
                          <w:color w:val="000000"/>
                          <w:spacing w:val="1"/>
                          <w:sz w:val="24"/>
                        </w:rPr>
                        <w:t xml:space="preserve"> </w:t>
                      </w:r>
                      <w:r>
                        <w:rPr>
                          <w:rFonts w:ascii="Calibri"/>
                          <w:color w:val="000000"/>
                          <w:sz w:val="24"/>
                        </w:rPr>
                        <w:t>note</w:t>
                      </w:r>
                      <w:r>
                        <w:rPr>
                          <w:rFonts w:ascii="Calibri"/>
                          <w:color w:val="000000"/>
                          <w:spacing w:val="-1"/>
                          <w:sz w:val="24"/>
                        </w:rPr>
                        <w:t xml:space="preserve"> </w:t>
                      </w:r>
                      <w:r>
                        <w:rPr>
                          <w:rFonts w:ascii="Calibri"/>
                          <w:color w:val="000000"/>
                          <w:sz w:val="24"/>
                        </w:rPr>
                        <w:t>PSAG</w:t>
                      </w:r>
                      <w:r>
                        <w:rPr>
                          <w:rFonts w:ascii="Calibri"/>
                          <w:color w:val="000000"/>
                          <w:spacing w:val="-2"/>
                          <w:sz w:val="24"/>
                        </w:rPr>
                        <w:t xml:space="preserve"> </w:t>
                      </w:r>
                      <w:r>
                        <w:rPr>
                          <w:rFonts w:ascii="Calibri"/>
                          <w:color w:val="000000"/>
                          <w:sz w:val="24"/>
                        </w:rPr>
                        <w:t>Chair</w:t>
                      </w:r>
                      <w:r>
                        <w:rPr>
                          <w:rFonts w:ascii="Calibri"/>
                          <w:color w:val="000000"/>
                          <w:spacing w:val="-2"/>
                          <w:sz w:val="24"/>
                        </w:rPr>
                        <w:t xml:space="preserve"> update.</w:t>
                      </w:r>
                    </w:p>
                  </w:txbxContent>
                </v:textbox>
                <w10:wrap type="topAndBottom" anchorx="page"/>
              </v:shape>
            </w:pict>
          </mc:Fallback>
        </mc:AlternateContent>
      </w:r>
    </w:p>
    <w:p w14:paraId="1E805EC6" w14:textId="77777777" w:rsidR="00AA4A02" w:rsidRDefault="00AA4A02">
      <w:pPr>
        <w:pStyle w:val="BodyText"/>
        <w:spacing w:before="121"/>
        <w:rPr>
          <w:rFonts w:ascii="Calibri"/>
          <w:b/>
          <w:sz w:val="24"/>
        </w:rPr>
      </w:pPr>
    </w:p>
    <w:p w14:paraId="1E805EC7" w14:textId="77777777" w:rsidR="00AA4A02" w:rsidRDefault="00960F31">
      <w:pPr>
        <w:spacing w:line="242" w:lineRule="auto"/>
        <w:ind w:left="874"/>
        <w:rPr>
          <w:rFonts w:ascii="Calibri"/>
          <w:sz w:val="24"/>
        </w:rPr>
      </w:pPr>
      <w:r>
        <w:rPr>
          <w:rFonts w:ascii="Calibri"/>
          <w:sz w:val="24"/>
        </w:rPr>
        <w:t>Chair</w:t>
      </w:r>
      <w:r>
        <w:rPr>
          <w:rFonts w:ascii="Calibri"/>
          <w:spacing w:val="-1"/>
          <w:sz w:val="24"/>
        </w:rPr>
        <w:t xml:space="preserve"> </w:t>
      </w:r>
      <w:r>
        <w:rPr>
          <w:rFonts w:ascii="Calibri"/>
          <w:sz w:val="24"/>
        </w:rPr>
        <w:t>of the</w:t>
      </w:r>
      <w:r>
        <w:rPr>
          <w:rFonts w:ascii="Calibri"/>
          <w:spacing w:val="-3"/>
          <w:sz w:val="24"/>
        </w:rPr>
        <w:t xml:space="preserve"> </w:t>
      </w:r>
      <w:r>
        <w:rPr>
          <w:rFonts w:ascii="Calibri"/>
          <w:sz w:val="24"/>
        </w:rPr>
        <w:t>PSAG,</w:t>
      </w:r>
      <w:r>
        <w:rPr>
          <w:rFonts w:ascii="Calibri"/>
          <w:spacing w:val="-4"/>
          <w:sz w:val="24"/>
        </w:rPr>
        <w:t xml:space="preserve"> </w:t>
      </w:r>
      <w:r>
        <w:rPr>
          <w:rFonts w:ascii="Calibri"/>
          <w:sz w:val="24"/>
        </w:rPr>
        <w:t>Amy</w:t>
      </w:r>
      <w:r>
        <w:rPr>
          <w:rFonts w:ascii="Calibri"/>
          <w:spacing w:val="-2"/>
          <w:sz w:val="24"/>
        </w:rPr>
        <w:t xml:space="preserve"> </w:t>
      </w:r>
      <w:r>
        <w:rPr>
          <w:rFonts w:ascii="Calibri"/>
          <w:sz w:val="24"/>
        </w:rPr>
        <w:t>Fox,</w:t>
      </w:r>
      <w:r>
        <w:rPr>
          <w:rFonts w:ascii="Calibri"/>
          <w:spacing w:val="-1"/>
          <w:sz w:val="24"/>
        </w:rPr>
        <w:t xml:space="preserve"> </w:t>
      </w:r>
      <w:r>
        <w:rPr>
          <w:rFonts w:ascii="Calibri"/>
          <w:sz w:val="24"/>
        </w:rPr>
        <w:t>to</w:t>
      </w:r>
      <w:r>
        <w:rPr>
          <w:rFonts w:ascii="Calibri"/>
          <w:spacing w:val="-3"/>
          <w:sz w:val="24"/>
        </w:rPr>
        <w:t xml:space="preserve"> </w:t>
      </w:r>
      <w:r>
        <w:rPr>
          <w:rFonts w:ascii="Calibri"/>
          <w:sz w:val="24"/>
        </w:rPr>
        <w:t>provide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verbal</w:t>
      </w:r>
      <w:r>
        <w:rPr>
          <w:rFonts w:ascii="Calibri"/>
          <w:spacing w:val="-1"/>
          <w:sz w:val="24"/>
        </w:rPr>
        <w:t xml:space="preserve"> </w:t>
      </w:r>
      <w:r>
        <w:rPr>
          <w:rFonts w:ascii="Calibri"/>
          <w:sz w:val="24"/>
        </w:rPr>
        <w:t>update</w:t>
      </w:r>
      <w:r>
        <w:rPr>
          <w:rFonts w:ascii="Calibri"/>
          <w:spacing w:val="-1"/>
          <w:sz w:val="24"/>
        </w:rPr>
        <w:t xml:space="preserve"> </w:t>
      </w:r>
      <w:r>
        <w:rPr>
          <w:rFonts w:ascii="Calibri"/>
          <w:sz w:val="24"/>
        </w:rPr>
        <w:t>about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PSAG</w:t>
      </w:r>
      <w:r>
        <w:rPr>
          <w:rFonts w:ascii="Calibri"/>
          <w:spacing w:val="-4"/>
          <w:sz w:val="24"/>
        </w:rPr>
        <w:t xml:space="preserve"> </w:t>
      </w:r>
      <w:r>
        <w:rPr>
          <w:rFonts w:ascii="Calibri"/>
          <w:sz w:val="24"/>
        </w:rPr>
        <w:t>meeting</w:t>
      </w:r>
      <w:r>
        <w:rPr>
          <w:rFonts w:ascii="Calibri"/>
          <w:spacing w:val="-4"/>
          <w:sz w:val="24"/>
        </w:rPr>
        <w:t xml:space="preserve"> </w:t>
      </w:r>
      <w:r>
        <w:rPr>
          <w:rFonts w:ascii="Calibri"/>
          <w:sz w:val="24"/>
        </w:rPr>
        <w:t>on 18</w:t>
      </w:r>
      <w:r>
        <w:rPr>
          <w:rFonts w:ascii="Calibri"/>
          <w:spacing w:val="-1"/>
          <w:sz w:val="24"/>
        </w:rPr>
        <w:t xml:space="preserve"> </w:t>
      </w:r>
      <w:r>
        <w:rPr>
          <w:rFonts w:ascii="Calibri"/>
          <w:sz w:val="24"/>
        </w:rPr>
        <w:t xml:space="preserve">May </w:t>
      </w:r>
      <w:r>
        <w:rPr>
          <w:rFonts w:ascii="Calibri"/>
          <w:spacing w:val="-2"/>
          <w:sz w:val="24"/>
        </w:rPr>
        <w:t>2026.</w:t>
      </w:r>
    </w:p>
    <w:p w14:paraId="1E805EC8" w14:textId="77777777" w:rsidR="00AA4A02" w:rsidRDefault="00AA4A02">
      <w:pPr>
        <w:spacing w:line="242" w:lineRule="auto"/>
        <w:rPr>
          <w:rFonts w:ascii="Calibri"/>
          <w:sz w:val="24"/>
        </w:rPr>
        <w:sectPr w:rsidR="00AA4A02">
          <w:pgSz w:w="11910" w:h="16840"/>
          <w:pgMar w:top="1820" w:right="1275" w:bottom="940" w:left="566" w:header="0" w:footer="753" w:gutter="0"/>
          <w:cols w:space="720"/>
        </w:sectPr>
      </w:pPr>
    </w:p>
    <w:p w14:paraId="1E805EC9" w14:textId="77777777" w:rsidR="00AA4A02" w:rsidRDefault="00960F31">
      <w:pPr>
        <w:pStyle w:val="Heading2"/>
        <w:spacing w:before="260"/>
        <w:ind w:right="141"/>
      </w:pPr>
      <w:bookmarkStart w:id="128" w:name="8A_Correspondence"/>
      <w:bookmarkStart w:id="129" w:name="Item_8A"/>
      <w:bookmarkEnd w:id="128"/>
      <w:bookmarkEnd w:id="129"/>
      <w:r>
        <w:rPr>
          <w:smallCaps/>
          <w:color w:val="585858"/>
        </w:rPr>
        <w:lastRenderedPageBreak/>
        <w:t>Item</w:t>
      </w:r>
      <w:r>
        <w:rPr>
          <w:smallCaps/>
          <w:color w:val="585858"/>
          <w:spacing w:val="-1"/>
        </w:rPr>
        <w:t xml:space="preserve"> </w:t>
      </w:r>
      <w:r>
        <w:rPr>
          <w:smallCaps/>
          <w:color w:val="585858"/>
          <w:spacing w:val="-5"/>
        </w:rPr>
        <w:t>8A</w:t>
      </w:r>
    </w:p>
    <w:p w14:paraId="1E805ECA" w14:textId="77777777" w:rsidR="00AA4A02" w:rsidRDefault="00960F31">
      <w:pPr>
        <w:spacing w:before="119"/>
        <w:ind w:right="141"/>
        <w:jc w:val="right"/>
        <w:rPr>
          <w:rFonts w:ascii="Calibri"/>
          <w:b/>
          <w:sz w:val="32"/>
        </w:rPr>
      </w:pPr>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CB" w14:textId="77777777" w:rsidR="00AA4A02" w:rsidRDefault="00960F31">
      <w:pPr>
        <w:pStyle w:val="Heading2"/>
        <w:spacing w:before="301"/>
        <w:ind w:left="917"/>
        <w:jc w:val="left"/>
      </w:pPr>
      <w:bookmarkStart w:id="130" w:name="Correspondence"/>
      <w:bookmarkEnd w:id="130"/>
      <w:r>
        <w:rPr>
          <w:smallCaps/>
          <w:color w:val="585858"/>
          <w:spacing w:val="-2"/>
        </w:rPr>
        <w:t>Correspondence</w:t>
      </w:r>
    </w:p>
    <w:p w14:paraId="1E805ECC" w14:textId="77777777" w:rsidR="00AA4A02" w:rsidRDefault="00960F31">
      <w:pPr>
        <w:pStyle w:val="BodyText"/>
        <w:spacing w:before="211"/>
        <w:rPr>
          <w:rFonts w:ascii="Calibri"/>
          <w:b/>
          <w:sz w:val="20"/>
        </w:rPr>
      </w:pPr>
      <w:r>
        <w:rPr>
          <w:rFonts w:ascii="Calibri"/>
          <w:b/>
          <w:noProof/>
          <w:sz w:val="20"/>
        </w:rPr>
        <mc:AlternateContent>
          <mc:Choice Requires="wps">
            <w:drawing>
              <wp:anchor distT="0" distB="0" distL="0" distR="0" simplePos="0" relativeHeight="487627776" behindDoc="1" locked="0" layoutInCell="1" allowOverlap="1" wp14:anchorId="1E805FB1" wp14:editId="1E805FB2">
                <wp:simplePos x="0" y="0"/>
                <wp:positionH relativeFrom="page">
                  <wp:posOffset>903732</wp:posOffset>
                </wp:positionH>
                <wp:positionV relativeFrom="paragraph">
                  <wp:posOffset>307764</wp:posOffset>
                </wp:positionV>
                <wp:extent cx="5753100" cy="676910"/>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76910"/>
                        </a:xfrm>
                        <a:prstGeom prst="rect">
                          <a:avLst/>
                        </a:prstGeom>
                        <a:solidFill>
                          <a:srgbClr val="E0EFFF"/>
                        </a:solidFill>
                        <a:ln w="6108">
                          <a:solidFill>
                            <a:srgbClr val="2E5395"/>
                          </a:solidFill>
                          <a:prstDash val="solid"/>
                        </a:ln>
                      </wps:spPr>
                      <wps:txbx>
                        <w:txbxContent>
                          <w:p w14:paraId="1E80607A" w14:textId="77777777" w:rsidR="00AA4A02" w:rsidRDefault="00960F31">
                            <w:pPr>
                              <w:spacing w:before="119"/>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7B" w14:textId="77777777" w:rsidR="00AA4A02" w:rsidRDefault="00960F31">
                            <w:pPr>
                              <w:spacing w:before="179"/>
                              <w:ind w:left="1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wps:txbx>
                      <wps:bodyPr wrap="square" lIns="0" tIns="0" rIns="0" bIns="0" rtlCol="0">
                        <a:noAutofit/>
                      </wps:bodyPr>
                    </wps:wsp>
                  </a:graphicData>
                </a:graphic>
              </wp:anchor>
            </w:drawing>
          </mc:Choice>
          <mc:Fallback>
            <w:pict>
              <v:shape w14:anchorId="1E805FB1" id="Textbox 188" o:spid="_x0000_s1090" type="#_x0000_t202" style="position:absolute;margin-left:71.15pt;margin-top:24.25pt;width:453pt;height:53.3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" fillcolor="#e0efff" strokecolor="#2e5395" strokeweight=".16967mm">
                <v:path arrowok="t"/>
                <v:textbox inset="0,0,0,0">
                  <w:txbxContent>
                    <w:p w14:paraId="1E80607A" w14:textId="77777777" w:rsidR="00AA4A02" w:rsidRDefault="00960F31">
                      <w:pPr>
                        <w:spacing w:before="119"/>
                        <w:ind w:left="103"/>
                        <w:rPr>
                          <w:rFonts w:ascii="Calibri"/>
                          <w:b/>
                          <w:color w:val="000000"/>
                          <w:sz w:val="28"/>
                        </w:rPr>
                      </w:pPr>
                      <w:r>
                        <w:rPr>
                          <w:rFonts w:ascii="Cambria"/>
                          <w:color w:val="000000"/>
                          <w:spacing w:val="-4"/>
                          <w:w w:val="97"/>
                          <w:sz w:val="2"/>
                        </w:rPr>
                        <w:t>0</w:t>
                      </w:r>
                      <w:r>
                        <w:rPr>
                          <w:rFonts w:ascii="Cambria"/>
                          <w:color w:val="000000"/>
                          <w:spacing w:val="-2"/>
                          <w:w w:val="97"/>
                          <w:sz w:val="2"/>
                        </w:rPr>
                        <w:t>B</w:t>
                      </w:r>
                      <w:r>
                        <w:rPr>
                          <w:rFonts w:ascii="Calibri"/>
                          <w:b/>
                          <w:color w:val="000000"/>
                          <w:spacing w:val="-2"/>
                          <w:w w:val="101"/>
                          <w:sz w:val="28"/>
                        </w:rPr>
                        <w:t>ACT</w:t>
                      </w:r>
                      <w:r>
                        <w:rPr>
                          <w:rFonts w:ascii="Calibri"/>
                          <w:b/>
                          <w:color w:val="000000"/>
                          <w:spacing w:val="-3"/>
                          <w:w w:val="101"/>
                          <w:sz w:val="28"/>
                        </w:rPr>
                        <w:t>IO</w:t>
                      </w:r>
                      <w:r>
                        <w:rPr>
                          <w:rFonts w:ascii="Calibri"/>
                          <w:b/>
                          <w:color w:val="000000"/>
                          <w:spacing w:val="-2"/>
                          <w:w w:val="101"/>
                          <w:sz w:val="28"/>
                        </w:rPr>
                        <w:t>N</w:t>
                      </w:r>
                    </w:p>
                    <w:p w14:paraId="1E80607B" w14:textId="77777777" w:rsidR="00AA4A02" w:rsidRDefault="00960F31">
                      <w:pPr>
                        <w:spacing w:before="179"/>
                        <w:ind w:left="1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v:textbox>
                <w10:wrap type="topAndBottom" anchorx="page"/>
              </v:shape>
            </w:pict>
          </mc:Fallback>
        </mc:AlternateContent>
      </w:r>
    </w:p>
    <w:p w14:paraId="1E805ECD" w14:textId="77777777" w:rsidR="00AA4A02" w:rsidRDefault="00AA4A02">
      <w:pPr>
        <w:pStyle w:val="BodyText"/>
        <w:spacing w:before="63"/>
        <w:rPr>
          <w:rFonts w:ascii="Calibri"/>
          <w:b/>
          <w:sz w:val="29"/>
        </w:rPr>
      </w:pPr>
    </w:p>
    <w:p w14:paraId="1E805ECE" w14:textId="77777777" w:rsidR="00AA4A02" w:rsidRDefault="00960F31">
      <w:pPr>
        <w:pStyle w:val="ListParagraph"/>
        <w:numPr>
          <w:ilvl w:val="0"/>
          <w:numId w:val="2"/>
        </w:numPr>
        <w:tabs>
          <w:tab w:val="left" w:pos="1279"/>
        </w:tabs>
        <w:spacing w:before="0"/>
        <w:ind w:right="280"/>
        <w:rPr>
          <w:rFonts w:ascii="Calibri" w:hAnsi="Calibri"/>
          <w:sz w:val="24"/>
        </w:rPr>
      </w:pPr>
      <w:r>
        <w:rPr>
          <w:rFonts w:ascii="Calibri" w:hAnsi="Calibri"/>
          <w:sz w:val="24"/>
        </w:rPr>
        <w:t>On 24</w:t>
      </w:r>
      <w:r>
        <w:rPr>
          <w:rFonts w:ascii="Calibri" w:hAnsi="Calibri"/>
          <w:spacing w:val="-3"/>
          <w:sz w:val="24"/>
        </w:rPr>
        <w:t xml:space="preserve"> </w:t>
      </w:r>
      <w:r>
        <w:rPr>
          <w:rFonts w:ascii="Calibri" w:hAnsi="Calibri"/>
          <w:sz w:val="24"/>
        </w:rPr>
        <w:t>April,</w:t>
      </w:r>
      <w:r>
        <w:rPr>
          <w:rFonts w:ascii="Calibri" w:hAnsi="Calibri"/>
          <w:spacing w:val="-1"/>
          <w:sz w:val="24"/>
        </w:rPr>
        <w:t xml:space="preserve"> </w:t>
      </w:r>
      <w:r>
        <w:rPr>
          <w:rFonts w:ascii="Calibri" w:hAnsi="Calibri"/>
          <w:sz w:val="24"/>
        </w:rPr>
        <w:t>the</w:t>
      </w:r>
      <w:r>
        <w:rPr>
          <w:rFonts w:ascii="Calibri" w:hAnsi="Calibri"/>
          <w:spacing w:val="-3"/>
          <w:sz w:val="24"/>
        </w:rPr>
        <w:t xml:space="preserve"> </w:t>
      </w:r>
      <w:r>
        <w:rPr>
          <w:rFonts w:ascii="Calibri" w:hAnsi="Calibri"/>
          <w:sz w:val="24"/>
        </w:rPr>
        <w:t>FRC</w:t>
      </w:r>
      <w:r>
        <w:rPr>
          <w:rFonts w:ascii="Calibri" w:hAnsi="Calibri"/>
          <w:spacing w:val="-2"/>
          <w:sz w:val="24"/>
        </w:rPr>
        <w:t xml:space="preserve"> </w:t>
      </w:r>
      <w:r>
        <w:rPr>
          <w:rFonts w:ascii="Calibri" w:hAnsi="Calibri"/>
          <w:sz w:val="24"/>
        </w:rPr>
        <w:t>Chair</w:t>
      </w:r>
      <w:r>
        <w:rPr>
          <w:rFonts w:ascii="Calibri" w:hAnsi="Calibri"/>
          <w:spacing w:val="-1"/>
          <w:sz w:val="24"/>
        </w:rPr>
        <w:t xml:space="preserve"> </w:t>
      </w:r>
      <w:r>
        <w:rPr>
          <w:rFonts w:ascii="Calibri" w:hAnsi="Calibri"/>
          <w:sz w:val="24"/>
        </w:rPr>
        <w:t>and Chair</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Nominations</w:t>
      </w:r>
      <w:r>
        <w:rPr>
          <w:rFonts w:ascii="Calibri" w:hAnsi="Calibri"/>
          <w:spacing w:val="-4"/>
          <w:sz w:val="24"/>
        </w:rPr>
        <w:t xml:space="preserve"> </w:t>
      </w:r>
      <w:r>
        <w:rPr>
          <w:rFonts w:ascii="Calibri" w:hAnsi="Calibri"/>
          <w:sz w:val="24"/>
        </w:rPr>
        <w:t>Committee</w:t>
      </w:r>
      <w:r>
        <w:rPr>
          <w:rFonts w:ascii="Calibri" w:hAnsi="Calibri"/>
          <w:spacing w:val="-3"/>
          <w:sz w:val="24"/>
        </w:rPr>
        <w:t xml:space="preserve"> </w:t>
      </w:r>
      <w:r>
        <w:rPr>
          <w:rFonts w:ascii="Calibri" w:hAnsi="Calibri"/>
          <w:sz w:val="24"/>
        </w:rPr>
        <w:t>wrote</w:t>
      </w:r>
      <w:r>
        <w:rPr>
          <w:rFonts w:ascii="Calibri" w:hAnsi="Calibri"/>
          <w:spacing w:val="-6"/>
          <w:sz w:val="24"/>
        </w:rPr>
        <w:t xml:space="preserve"> </w:t>
      </w:r>
      <w:r>
        <w:rPr>
          <w:rFonts w:ascii="Calibri" w:hAnsi="Calibri"/>
          <w:sz w:val="24"/>
        </w:rPr>
        <w:t>to</w:t>
      </w:r>
      <w:r>
        <w:rPr>
          <w:rFonts w:ascii="Calibri" w:hAnsi="Calibri"/>
          <w:spacing w:val="-3"/>
          <w:sz w:val="24"/>
        </w:rPr>
        <w:t xml:space="preserve"> </w:t>
      </w:r>
      <w:r>
        <w:rPr>
          <w:rFonts w:ascii="Calibri" w:hAnsi="Calibri"/>
          <w:sz w:val="24"/>
        </w:rPr>
        <w:t>non-Chair AASB/AUASB members concerning their appointments.</w:t>
      </w:r>
    </w:p>
    <w:p w14:paraId="1E805ECF" w14:textId="77777777" w:rsidR="00AA4A02" w:rsidRDefault="00AA4A02">
      <w:pPr>
        <w:pStyle w:val="ListParagraph"/>
        <w:rPr>
          <w:rFonts w:ascii="Calibri" w:hAnsi="Calibri"/>
          <w:sz w:val="24"/>
        </w:rPr>
        <w:sectPr w:rsidR="00AA4A02">
          <w:pgSz w:w="11910" w:h="16840"/>
          <w:pgMar w:top="1820" w:right="1275" w:bottom="940" w:left="566" w:header="0" w:footer="753" w:gutter="0"/>
          <w:cols w:space="720"/>
        </w:sectPr>
      </w:pPr>
    </w:p>
    <w:p w14:paraId="1E805ED0" w14:textId="77777777" w:rsidR="00AA4A02" w:rsidRDefault="00960F31">
      <w:pPr>
        <w:pStyle w:val="BodyText"/>
        <w:rPr>
          <w:rFonts w:ascii="Calibri"/>
          <w:sz w:val="29"/>
        </w:rPr>
      </w:pPr>
      <w:r>
        <w:rPr>
          <w:rFonts w:ascii="Calibri"/>
          <w:noProof/>
          <w:sz w:val="29"/>
        </w:rPr>
        <w:lastRenderedPageBreak/>
        <w:drawing>
          <wp:anchor distT="0" distB="0" distL="0" distR="0" simplePos="0" relativeHeight="15769600" behindDoc="0" locked="0" layoutInCell="1" allowOverlap="1" wp14:anchorId="1E805FB3" wp14:editId="1E805FB4">
            <wp:simplePos x="0" y="0"/>
            <wp:positionH relativeFrom="page">
              <wp:posOffset>2857</wp:posOffset>
            </wp:positionH>
            <wp:positionV relativeFrom="page">
              <wp:posOffset>0</wp:posOffset>
            </wp:positionV>
            <wp:extent cx="7551648" cy="115506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66" cstate="print"/>
                    <a:stretch>
                      <a:fillRect/>
                    </a:stretch>
                  </pic:blipFill>
                  <pic:spPr>
                    <a:xfrm>
                      <a:off x="0" y="0"/>
                      <a:ext cx="7551648" cy="1155064"/>
                    </a:xfrm>
                    <a:prstGeom prst="rect">
                      <a:avLst/>
                    </a:prstGeom>
                  </pic:spPr>
                </pic:pic>
              </a:graphicData>
            </a:graphic>
          </wp:anchor>
        </w:drawing>
      </w:r>
    </w:p>
    <w:p w14:paraId="1E805ED1" w14:textId="77777777" w:rsidR="00AA4A02" w:rsidRDefault="00AA4A02">
      <w:pPr>
        <w:pStyle w:val="BodyText"/>
        <w:rPr>
          <w:rFonts w:ascii="Calibri"/>
          <w:sz w:val="29"/>
        </w:rPr>
      </w:pPr>
    </w:p>
    <w:p w14:paraId="1E805ED2" w14:textId="77777777" w:rsidR="00AA4A02" w:rsidRDefault="00AA4A02">
      <w:pPr>
        <w:pStyle w:val="BodyText"/>
        <w:rPr>
          <w:rFonts w:ascii="Calibri"/>
          <w:sz w:val="29"/>
        </w:rPr>
      </w:pPr>
    </w:p>
    <w:p w14:paraId="1E805ED3" w14:textId="77777777" w:rsidR="00AA4A02" w:rsidRDefault="00AA4A02">
      <w:pPr>
        <w:pStyle w:val="BodyText"/>
        <w:rPr>
          <w:rFonts w:ascii="Calibri"/>
          <w:sz w:val="29"/>
        </w:rPr>
      </w:pPr>
    </w:p>
    <w:p w14:paraId="1E805ED4" w14:textId="77777777" w:rsidR="00AA4A02" w:rsidRDefault="00AA4A02">
      <w:pPr>
        <w:pStyle w:val="BodyText"/>
        <w:rPr>
          <w:rFonts w:ascii="Calibri"/>
          <w:sz w:val="29"/>
        </w:rPr>
      </w:pPr>
    </w:p>
    <w:p w14:paraId="1E805ED5" w14:textId="77777777" w:rsidR="00AA4A02" w:rsidRDefault="00AA4A02">
      <w:pPr>
        <w:pStyle w:val="BodyText"/>
        <w:spacing w:before="102"/>
        <w:rPr>
          <w:rFonts w:ascii="Calibri"/>
          <w:sz w:val="29"/>
        </w:rPr>
      </w:pPr>
    </w:p>
    <w:p w14:paraId="1E805ED6" w14:textId="77777777" w:rsidR="00AA4A02" w:rsidRDefault="00960F31">
      <w:pPr>
        <w:pStyle w:val="Heading2"/>
        <w:ind w:right="140"/>
      </w:pPr>
      <w:bookmarkStart w:id="131" w:name="8B_Action_items"/>
      <w:bookmarkStart w:id="132" w:name="Item_8B"/>
      <w:bookmarkEnd w:id="131"/>
      <w:bookmarkEnd w:id="132"/>
      <w:r>
        <w:rPr>
          <w:smallCaps/>
          <w:color w:val="585858"/>
        </w:rPr>
        <w:t>Item</w:t>
      </w:r>
      <w:r>
        <w:rPr>
          <w:smallCaps/>
          <w:color w:val="585858"/>
          <w:spacing w:val="-1"/>
        </w:rPr>
        <w:t xml:space="preserve"> </w:t>
      </w:r>
      <w:r>
        <w:rPr>
          <w:smallCaps/>
          <w:color w:val="585858"/>
          <w:spacing w:val="-5"/>
        </w:rPr>
        <w:t>8B</w:t>
      </w:r>
    </w:p>
    <w:p w14:paraId="1E805ED7" w14:textId="77777777" w:rsidR="00AA4A02" w:rsidRDefault="00960F31">
      <w:pPr>
        <w:spacing w:before="117"/>
        <w:ind w:right="141"/>
        <w:jc w:val="right"/>
        <w:rPr>
          <w:rFonts w:ascii="Calibri"/>
          <w:b/>
          <w:sz w:val="32"/>
        </w:rPr>
      </w:pPr>
      <w:bookmarkStart w:id="133" w:name="5_June_2026"/>
      <w:bookmarkEnd w:id="133"/>
      <w:r>
        <w:rPr>
          <w:rFonts w:ascii="Calibri"/>
          <w:b/>
          <w:color w:val="585858"/>
          <w:sz w:val="32"/>
        </w:rPr>
        <w:t>5</w:t>
      </w:r>
      <w:r>
        <w:rPr>
          <w:rFonts w:ascii="Calibri"/>
          <w:b/>
          <w:color w:val="585858"/>
          <w:spacing w:val="-19"/>
          <w:sz w:val="32"/>
        </w:rPr>
        <w:t xml:space="preserve"> </w:t>
      </w:r>
      <w:r>
        <w:rPr>
          <w:rFonts w:ascii="Calibri"/>
          <w:b/>
          <w:color w:val="585858"/>
          <w:sz w:val="32"/>
        </w:rPr>
        <w:t>J</w:t>
      </w:r>
      <w:r>
        <w:rPr>
          <w:rFonts w:ascii="Calibri"/>
          <w:b/>
          <w:color w:val="585858"/>
          <w:sz w:val="26"/>
        </w:rPr>
        <w:t>UNE</w:t>
      </w:r>
      <w:r>
        <w:rPr>
          <w:rFonts w:ascii="Calibri"/>
          <w:b/>
          <w:color w:val="585858"/>
          <w:spacing w:val="-5"/>
          <w:sz w:val="26"/>
        </w:rPr>
        <w:t xml:space="preserve"> </w:t>
      </w:r>
      <w:r>
        <w:rPr>
          <w:rFonts w:ascii="Calibri"/>
          <w:b/>
          <w:color w:val="585858"/>
          <w:spacing w:val="-4"/>
          <w:sz w:val="32"/>
        </w:rPr>
        <w:t>2026</w:t>
      </w:r>
    </w:p>
    <w:p w14:paraId="1E805ED8" w14:textId="77777777" w:rsidR="00AA4A02" w:rsidRDefault="00960F31">
      <w:pPr>
        <w:pStyle w:val="Heading2"/>
        <w:spacing w:before="301"/>
        <w:ind w:left="852"/>
        <w:jc w:val="left"/>
      </w:pPr>
      <w:bookmarkStart w:id="134" w:name="ACTION_ITEMS"/>
      <w:bookmarkEnd w:id="134"/>
      <w:r>
        <w:rPr>
          <w:color w:val="585858"/>
        </w:rPr>
        <w:t>ACTION</w:t>
      </w:r>
      <w:r>
        <w:rPr>
          <w:color w:val="585858"/>
          <w:spacing w:val="-20"/>
        </w:rPr>
        <w:t xml:space="preserve"> </w:t>
      </w:r>
      <w:r>
        <w:rPr>
          <w:color w:val="585858"/>
          <w:spacing w:val="-2"/>
        </w:rPr>
        <w:t>ITEMS</w:t>
      </w:r>
    </w:p>
    <w:p w14:paraId="1E805ED9" w14:textId="77777777" w:rsidR="00AA4A02" w:rsidRDefault="00960F31">
      <w:pPr>
        <w:pStyle w:val="BodyText"/>
        <w:spacing w:before="92"/>
        <w:rPr>
          <w:rFonts w:ascii="Calibri"/>
          <w:b/>
          <w:sz w:val="20"/>
        </w:rPr>
      </w:pPr>
      <w:r>
        <w:rPr>
          <w:rFonts w:ascii="Calibri"/>
          <w:b/>
          <w:noProof/>
          <w:sz w:val="20"/>
        </w:rPr>
        <mc:AlternateContent>
          <mc:Choice Requires="wps">
            <w:drawing>
              <wp:anchor distT="0" distB="0" distL="0" distR="0" simplePos="0" relativeHeight="487628288" behindDoc="1" locked="0" layoutInCell="1" allowOverlap="1" wp14:anchorId="1E805FB5" wp14:editId="1E805FB6">
                <wp:simplePos x="0" y="0"/>
                <wp:positionH relativeFrom="page">
                  <wp:posOffset>830580</wp:posOffset>
                </wp:positionH>
                <wp:positionV relativeFrom="paragraph">
                  <wp:posOffset>231175</wp:posOffset>
                </wp:positionV>
                <wp:extent cx="5899785" cy="508000"/>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508000"/>
                        </a:xfrm>
                        <a:prstGeom prst="rect">
                          <a:avLst/>
                        </a:prstGeom>
                        <a:solidFill>
                          <a:srgbClr val="E0EFFF"/>
                        </a:solidFill>
                        <a:ln w="3035">
                          <a:solidFill>
                            <a:srgbClr val="365F91"/>
                          </a:solidFill>
                          <a:prstDash val="solid"/>
                        </a:ln>
                      </wps:spPr>
                      <wps:txbx>
                        <w:txbxContent>
                          <w:p w14:paraId="1E80607C" w14:textId="77777777" w:rsidR="00AA4A02" w:rsidRDefault="00960F31">
                            <w:pPr>
                              <w:spacing w:before="21"/>
                              <w:ind w:left="108"/>
                              <w:rPr>
                                <w:rFonts w:ascii="Calibri"/>
                                <w:b/>
                                <w:color w:val="000000"/>
                                <w:sz w:val="28"/>
                              </w:rPr>
                            </w:pPr>
                            <w:bookmarkStart w:id="135" w:name="Action"/>
                            <w:bookmarkEnd w:id="135"/>
                            <w:r>
                              <w:rPr>
                                <w:rFonts w:ascii="Calibri"/>
                                <w:b/>
                                <w:color w:val="000000"/>
                                <w:spacing w:val="-2"/>
                                <w:sz w:val="28"/>
                              </w:rPr>
                              <w:t>ACTION</w:t>
                            </w:r>
                          </w:p>
                          <w:p w14:paraId="1E80607D" w14:textId="77777777" w:rsidR="00AA4A02" w:rsidRDefault="00960F31">
                            <w:pPr>
                              <w:numPr>
                                <w:ilvl w:val="0"/>
                                <w:numId w:val="1"/>
                              </w:numPr>
                              <w:tabs>
                                <w:tab w:val="left" w:pos="535"/>
                              </w:tabs>
                              <w:spacing w:before="116"/>
                              <w:ind w:hanging="4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wps:txbx>
                      <wps:bodyPr wrap="square" lIns="0" tIns="0" rIns="0" bIns="0" rtlCol="0">
                        <a:noAutofit/>
                      </wps:bodyPr>
                    </wps:wsp>
                  </a:graphicData>
                </a:graphic>
              </wp:anchor>
            </w:drawing>
          </mc:Choice>
          <mc:Fallback>
            <w:pict>
              <v:shape w14:anchorId="1E805FB5" id="Textbox 191" o:spid="_x0000_s1091" type="#_x0000_t202" style="position:absolute;margin-left:65.4pt;margin-top:18.2pt;width:464.55pt;height:40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" fillcolor="#e0efff" strokecolor="#365f91" strokeweight=".08431mm">
                <v:path arrowok="t"/>
                <v:textbox inset="0,0,0,0">
                  <w:txbxContent>
                    <w:p w14:paraId="1E80607C" w14:textId="77777777" w:rsidR="00AA4A02" w:rsidRDefault="00960F31">
                      <w:pPr>
                        <w:spacing w:before="21"/>
                        <w:ind w:left="108"/>
                        <w:rPr>
                          <w:rFonts w:ascii="Calibri"/>
                          <w:b/>
                          <w:color w:val="000000"/>
                          <w:sz w:val="28"/>
                        </w:rPr>
                      </w:pPr>
                      <w:bookmarkStart w:id="136" w:name="Action"/>
                      <w:bookmarkEnd w:id="136"/>
                      <w:r>
                        <w:rPr>
                          <w:rFonts w:ascii="Calibri"/>
                          <w:b/>
                          <w:color w:val="000000"/>
                          <w:spacing w:val="-2"/>
                          <w:sz w:val="28"/>
                        </w:rPr>
                        <w:t>ACTION</w:t>
                      </w:r>
                    </w:p>
                    <w:p w14:paraId="1E80607D" w14:textId="77777777" w:rsidR="00AA4A02" w:rsidRDefault="00960F31">
                      <w:pPr>
                        <w:numPr>
                          <w:ilvl w:val="0"/>
                          <w:numId w:val="1"/>
                        </w:numPr>
                        <w:tabs>
                          <w:tab w:val="left" w:pos="535"/>
                        </w:tabs>
                        <w:spacing w:before="116"/>
                        <w:ind w:hanging="427"/>
                        <w:rPr>
                          <w:rFonts w:ascii="Calibri"/>
                          <w:color w:val="000000"/>
                          <w:sz w:val="24"/>
                        </w:rPr>
                      </w:pPr>
                      <w:r>
                        <w:rPr>
                          <w:rFonts w:ascii="Calibri"/>
                          <w:color w:val="000000"/>
                          <w:sz w:val="24"/>
                        </w:rPr>
                        <w:t>FRC</w:t>
                      </w:r>
                      <w:r>
                        <w:rPr>
                          <w:rFonts w:ascii="Calibri"/>
                          <w:color w:val="000000"/>
                          <w:spacing w:val="-2"/>
                          <w:sz w:val="24"/>
                        </w:rPr>
                        <w:t xml:space="preserve"> </w:t>
                      </w:r>
                      <w:r>
                        <w:rPr>
                          <w:rFonts w:ascii="Calibri"/>
                          <w:color w:val="000000"/>
                          <w:sz w:val="24"/>
                        </w:rPr>
                        <w:t>to</w:t>
                      </w:r>
                      <w:r>
                        <w:rPr>
                          <w:rFonts w:ascii="Calibri"/>
                          <w:color w:val="000000"/>
                          <w:spacing w:val="1"/>
                          <w:sz w:val="24"/>
                        </w:rPr>
                        <w:t xml:space="preserve"> </w:t>
                      </w:r>
                      <w:r>
                        <w:rPr>
                          <w:rFonts w:ascii="Calibri"/>
                          <w:color w:val="000000"/>
                          <w:spacing w:val="-4"/>
                          <w:sz w:val="24"/>
                        </w:rPr>
                        <w:t>note.</w:t>
                      </w:r>
                    </w:p>
                  </w:txbxContent>
                </v:textbox>
                <w10:wrap type="topAndBottom" anchorx="page"/>
              </v:shape>
            </w:pict>
          </mc:Fallback>
        </mc:AlternateContent>
      </w:r>
    </w:p>
    <w:p w14:paraId="1E805EDA" w14:textId="77777777" w:rsidR="00AA4A02" w:rsidRDefault="00AA4A02">
      <w:pPr>
        <w:pStyle w:val="BodyText"/>
        <w:spacing w:before="121"/>
        <w:rPr>
          <w:rFonts w:ascii="Calibri"/>
          <w:b/>
          <w:sz w:val="24"/>
        </w:rPr>
      </w:pPr>
    </w:p>
    <w:p w14:paraId="1E805EDB" w14:textId="77777777" w:rsidR="00AA4A02" w:rsidRDefault="00960F31">
      <w:pPr>
        <w:ind w:left="852"/>
        <w:rPr>
          <w:rFonts w:ascii="Calibri"/>
          <w:sz w:val="24"/>
        </w:rPr>
      </w:pPr>
      <w:r>
        <w:rPr>
          <w:rFonts w:ascii="Calibri"/>
          <w:sz w:val="24"/>
        </w:rPr>
        <w:t>Attached</w:t>
      </w:r>
      <w:r>
        <w:rPr>
          <w:rFonts w:ascii="Calibri"/>
          <w:spacing w:val="-2"/>
          <w:sz w:val="24"/>
        </w:rPr>
        <w:t xml:space="preserve"> </w:t>
      </w:r>
      <w:r>
        <w:rPr>
          <w:rFonts w:ascii="Calibri"/>
          <w:sz w:val="24"/>
        </w:rPr>
        <w:t>are</w:t>
      </w:r>
      <w:r>
        <w:rPr>
          <w:rFonts w:ascii="Calibri"/>
          <w:spacing w:val="-2"/>
          <w:sz w:val="24"/>
        </w:rPr>
        <w:t xml:space="preserve"> </w:t>
      </w:r>
      <w:r>
        <w:rPr>
          <w:rFonts w:ascii="Calibri"/>
          <w:sz w:val="24"/>
        </w:rPr>
        <w:t>the action</w:t>
      </w:r>
      <w:r>
        <w:rPr>
          <w:rFonts w:ascii="Calibri"/>
          <w:spacing w:val="1"/>
          <w:sz w:val="24"/>
        </w:rPr>
        <w:t xml:space="preserve"> </w:t>
      </w:r>
      <w:r>
        <w:rPr>
          <w:rFonts w:ascii="Calibri"/>
          <w:sz w:val="24"/>
        </w:rPr>
        <w:t>items</w:t>
      </w:r>
      <w:r>
        <w:rPr>
          <w:rFonts w:ascii="Calibri"/>
          <w:spacing w:val="-3"/>
          <w:sz w:val="24"/>
        </w:rPr>
        <w:t xml:space="preserve"> </w:t>
      </w:r>
      <w:r>
        <w:rPr>
          <w:rFonts w:ascii="Calibri"/>
          <w:sz w:val="24"/>
        </w:rPr>
        <w:t>from</w:t>
      </w:r>
      <w:r>
        <w:rPr>
          <w:rFonts w:ascii="Calibri"/>
          <w:spacing w:val="-3"/>
          <w:sz w:val="24"/>
        </w:rPr>
        <w:t xml:space="preserve"> </w:t>
      </w:r>
      <w:r>
        <w:rPr>
          <w:rFonts w:ascii="Calibri"/>
          <w:sz w:val="24"/>
        </w:rPr>
        <w:t>the FRC</w:t>
      </w:r>
      <w:r>
        <w:rPr>
          <w:rFonts w:ascii="Calibri"/>
          <w:spacing w:val="-1"/>
          <w:sz w:val="24"/>
        </w:rPr>
        <w:t xml:space="preserve"> </w:t>
      </w:r>
      <w:r>
        <w:rPr>
          <w:rFonts w:ascii="Calibri"/>
          <w:sz w:val="24"/>
        </w:rPr>
        <w:t>meeting</w:t>
      </w:r>
      <w:r>
        <w:rPr>
          <w:rFonts w:ascii="Calibri"/>
          <w:spacing w:val="-1"/>
          <w:sz w:val="24"/>
        </w:rPr>
        <w:t xml:space="preserve"> </w:t>
      </w:r>
      <w:r>
        <w:rPr>
          <w:rFonts w:ascii="Calibri"/>
          <w:sz w:val="24"/>
        </w:rPr>
        <w:t>held</w:t>
      </w:r>
      <w:r>
        <w:rPr>
          <w:rFonts w:ascii="Calibri"/>
          <w:spacing w:val="-2"/>
          <w:sz w:val="24"/>
        </w:rPr>
        <w:t xml:space="preserve"> </w:t>
      </w:r>
      <w:r>
        <w:rPr>
          <w:rFonts w:ascii="Calibri"/>
          <w:sz w:val="24"/>
        </w:rPr>
        <w:t>on</w:t>
      </w:r>
      <w:r>
        <w:rPr>
          <w:rFonts w:ascii="Calibri"/>
          <w:spacing w:val="-2"/>
          <w:sz w:val="24"/>
        </w:rPr>
        <w:t xml:space="preserve"> </w:t>
      </w:r>
      <w:r>
        <w:rPr>
          <w:rFonts w:ascii="Calibri"/>
          <w:sz w:val="24"/>
        </w:rPr>
        <w:t>26</w:t>
      </w:r>
      <w:r>
        <w:rPr>
          <w:rFonts w:ascii="Calibri"/>
          <w:spacing w:val="-2"/>
          <w:sz w:val="24"/>
        </w:rPr>
        <w:t xml:space="preserve"> </w:t>
      </w:r>
      <w:r>
        <w:rPr>
          <w:rFonts w:ascii="Calibri"/>
          <w:sz w:val="24"/>
        </w:rPr>
        <w:t>March</w:t>
      </w:r>
      <w:r>
        <w:rPr>
          <w:rFonts w:ascii="Calibri"/>
          <w:spacing w:val="-1"/>
          <w:sz w:val="24"/>
        </w:rPr>
        <w:t xml:space="preserve"> </w:t>
      </w:r>
      <w:r>
        <w:rPr>
          <w:rFonts w:ascii="Calibri"/>
          <w:spacing w:val="-2"/>
          <w:sz w:val="24"/>
        </w:rPr>
        <w:t>2026.</w:t>
      </w:r>
    </w:p>
    <w:p w14:paraId="1E805EDC" w14:textId="77777777" w:rsidR="00AA4A02" w:rsidRDefault="00AA4A02">
      <w:pPr>
        <w:rPr>
          <w:rFonts w:ascii="Calibri"/>
          <w:sz w:val="24"/>
        </w:rPr>
        <w:sectPr w:rsidR="00AA4A02">
          <w:headerReference w:type="default" r:id="rId267"/>
          <w:footerReference w:type="default" r:id="rId268"/>
          <w:pgSz w:w="11910" w:h="16840"/>
          <w:pgMar w:top="0" w:right="1275" w:bottom="940" w:left="566" w:header="0" w:footer="755" w:gutter="0"/>
          <w:cols w:space="720"/>
        </w:sectPr>
      </w:pPr>
    </w:p>
    <w:p w14:paraId="1E805EDD" w14:textId="77777777" w:rsidR="00AA4A02" w:rsidRDefault="00960F31">
      <w:pPr>
        <w:spacing w:before="154"/>
        <w:ind w:left="23"/>
        <w:rPr>
          <w:rFonts w:ascii="Calibri"/>
          <w:b/>
          <w:sz w:val="28"/>
        </w:rPr>
      </w:pPr>
      <w:bookmarkStart w:id="137" w:name="26_March_2026_Action_Items"/>
      <w:bookmarkEnd w:id="137"/>
      <w:r>
        <w:rPr>
          <w:rFonts w:ascii="Calibri"/>
          <w:b/>
          <w:sz w:val="28"/>
        </w:rPr>
        <w:lastRenderedPageBreak/>
        <w:t>26</w:t>
      </w:r>
      <w:r>
        <w:rPr>
          <w:rFonts w:ascii="Calibri"/>
          <w:b/>
          <w:spacing w:val="-4"/>
          <w:sz w:val="28"/>
        </w:rPr>
        <w:t xml:space="preserve"> </w:t>
      </w:r>
      <w:r>
        <w:rPr>
          <w:rFonts w:ascii="Calibri"/>
          <w:b/>
          <w:sz w:val="28"/>
        </w:rPr>
        <w:t>MARCH</w:t>
      </w:r>
      <w:r>
        <w:rPr>
          <w:rFonts w:ascii="Calibri"/>
          <w:b/>
          <w:spacing w:val="-3"/>
          <w:sz w:val="28"/>
        </w:rPr>
        <w:t xml:space="preserve"> </w:t>
      </w:r>
      <w:r>
        <w:rPr>
          <w:rFonts w:ascii="Calibri"/>
          <w:b/>
          <w:sz w:val="28"/>
        </w:rPr>
        <w:t>2026</w:t>
      </w:r>
      <w:r>
        <w:rPr>
          <w:rFonts w:ascii="Calibri"/>
          <w:b/>
          <w:spacing w:val="-4"/>
          <w:sz w:val="28"/>
        </w:rPr>
        <w:t xml:space="preserve"> </w:t>
      </w:r>
      <w:r>
        <w:rPr>
          <w:rFonts w:ascii="Calibri"/>
          <w:b/>
          <w:sz w:val="28"/>
        </w:rPr>
        <w:t>ACTION</w:t>
      </w:r>
      <w:r>
        <w:rPr>
          <w:rFonts w:ascii="Calibri"/>
          <w:b/>
          <w:spacing w:val="-3"/>
          <w:sz w:val="28"/>
        </w:rPr>
        <w:t xml:space="preserve"> </w:t>
      </w:r>
      <w:r>
        <w:rPr>
          <w:rFonts w:ascii="Calibri"/>
          <w:b/>
          <w:spacing w:val="-4"/>
          <w:sz w:val="28"/>
        </w:rPr>
        <w:t>ITEMS</w:t>
      </w:r>
    </w:p>
    <w:p w14:paraId="1E805EDE" w14:textId="77777777" w:rsidR="00AA4A02" w:rsidRDefault="00AA4A02">
      <w:pPr>
        <w:pStyle w:val="BodyText"/>
        <w:spacing w:before="167" w:after="1"/>
        <w:rPr>
          <w:rFonts w:ascii="Calibri"/>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7752"/>
        <w:gridCol w:w="2191"/>
        <w:gridCol w:w="3398"/>
      </w:tblGrid>
      <w:tr w:rsidR="00AA4A02" w14:paraId="1E805EE3" w14:textId="77777777">
        <w:trPr>
          <w:trHeight w:val="582"/>
        </w:trPr>
        <w:tc>
          <w:tcPr>
            <w:tcW w:w="607" w:type="dxa"/>
          </w:tcPr>
          <w:p w14:paraId="1E805EDF" w14:textId="77777777" w:rsidR="00AA4A02" w:rsidRDefault="00AA4A02">
            <w:pPr>
              <w:pStyle w:val="TableParagraph"/>
              <w:ind w:left="0"/>
            </w:pPr>
          </w:p>
        </w:tc>
        <w:tc>
          <w:tcPr>
            <w:tcW w:w="7752" w:type="dxa"/>
          </w:tcPr>
          <w:p w14:paraId="1E805EE0" w14:textId="77777777" w:rsidR="00AA4A02" w:rsidRDefault="00960F31">
            <w:pPr>
              <w:pStyle w:val="TableParagraph"/>
              <w:spacing w:before="121"/>
              <w:ind w:left="108"/>
              <w:rPr>
                <w:rFonts w:ascii="Calibri"/>
                <w:b/>
              </w:rPr>
            </w:pPr>
            <w:r>
              <w:rPr>
                <w:rFonts w:ascii="Calibri"/>
                <w:b/>
              </w:rPr>
              <w:t>Action</w:t>
            </w:r>
            <w:r>
              <w:rPr>
                <w:rFonts w:ascii="Calibri"/>
                <w:b/>
                <w:spacing w:val="-5"/>
              </w:rPr>
              <w:t xml:space="preserve"> </w:t>
            </w:r>
            <w:r>
              <w:rPr>
                <w:rFonts w:ascii="Calibri"/>
                <w:b/>
                <w:spacing w:val="-4"/>
              </w:rPr>
              <w:t>item</w:t>
            </w:r>
          </w:p>
        </w:tc>
        <w:tc>
          <w:tcPr>
            <w:tcW w:w="2191" w:type="dxa"/>
          </w:tcPr>
          <w:p w14:paraId="1E805EE1" w14:textId="77777777" w:rsidR="00AA4A02" w:rsidRDefault="00960F31">
            <w:pPr>
              <w:pStyle w:val="TableParagraph"/>
              <w:spacing w:before="121"/>
              <w:rPr>
                <w:rFonts w:ascii="Calibri"/>
                <w:b/>
              </w:rPr>
            </w:pPr>
            <w:r>
              <w:rPr>
                <w:rFonts w:ascii="Calibri"/>
                <w:b/>
                <w:spacing w:val="-2"/>
              </w:rPr>
              <w:t>Owner</w:t>
            </w:r>
          </w:p>
        </w:tc>
        <w:tc>
          <w:tcPr>
            <w:tcW w:w="3398" w:type="dxa"/>
          </w:tcPr>
          <w:p w14:paraId="1E805EE2" w14:textId="77777777" w:rsidR="00AA4A02" w:rsidRDefault="00960F31">
            <w:pPr>
              <w:pStyle w:val="TableParagraph"/>
              <w:spacing w:before="121"/>
              <w:ind w:left="108"/>
              <w:rPr>
                <w:rFonts w:ascii="Calibri"/>
                <w:b/>
              </w:rPr>
            </w:pPr>
            <w:r>
              <w:rPr>
                <w:rFonts w:ascii="Calibri"/>
                <w:b/>
                <w:spacing w:val="-2"/>
              </w:rPr>
              <w:t>Status</w:t>
            </w:r>
          </w:p>
        </w:tc>
      </w:tr>
      <w:tr w:rsidR="00AA4A02" w14:paraId="1E805EE8" w14:textId="77777777">
        <w:trPr>
          <w:trHeight w:val="825"/>
        </w:trPr>
        <w:tc>
          <w:tcPr>
            <w:tcW w:w="607" w:type="dxa"/>
          </w:tcPr>
          <w:p w14:paraId="1E805EE4" w14:textId="77777777" w:rsidR="00AA4A02" w:rsidRDefault="00960F31">
            <w:pPr>
              <w:pStyle w:val="TableParagraph"/>
              <w:spacing w:before="119"/>
              <w:rPr>
                <w:rFonts w:ascii="Calibri"/>
              </w:rPr>
            </w:pPr>
            <w:r>
              <w:rPr>
                <w:rFonts w:ascii="Calibri"/>
                <w:spacing w:val="-10"/>
              </w:rPr>
              <w:t>1</w:t>
            </w:r>
          </w:p>
        </w:tc>
        <w:tc>
          <w:tcPr>
            <w:tcW w:w="7752" w:type="dxa"/>
          </w:tcPr>
          <w:p w14:paraId="1E805EE5" w14:textId="77777777" w:rsidR="00AA4A02" w:rsidRDefault="00960F31">
            <w:pPr>
              <w:pStyle w:val="TableParagraph"/>
              <w:ind w:left="108" w:right="110"/>
              <w:rPr>
                <w:rFonts w:ascii="Calibri"/>
                <w:sz w:val="24"/>
              </w:rPr>
            </w:pPr>
            <w:r>
              <w:rPr>
                <w:rFonts w:ascii="Calibri"/>
                <w:sz w:val="24"/>
              </w:rPr>
              <w:t>FRC</w:t>
            </w:r>
            <w:r>
              <w:rPr>
                <w:rFonts w:ascii="Calibri"/>
                <w:spacing w:val="-4"/>
                <w:sz w:val="24"/>
              </w:rPr>
              <w:t xml:space="preserve"> </w:t>
            </w:r>
            <w:r>
              <w:rPr>
                <w:rFonts w:ascii="Calibri"/>
                <w:sz w:val="24"/>
              </w:rPr>
              <w:t>Secretariat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organise</w:t>
            </w:r>
            <w:r>
              <w:rPr>
                <w:rFonts w:ascii="Calibri"/>
                <w:spacing w:val="-3"/>
                <w:sz w:val="24"/>
              </w:rPr>
              <w:t xml:space="preserve"> </w:t>
            </w:r>
            <w:r>
              <w:rPr>
                <w:rFonts w:ascii="Calibri"/>
                <w:sz w:val="24"/>
              </w:rPr>
              <w:t>out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session</w:t>
            </w:r>
            <w:r>
              <w:rPr>
                <w:rFonts w:ascii="Calibri"/>
                <w:spacing w:val="-5"/>
                <w:sz w:val="24"/>
              </w:rPr>
              <w:t xml:space="preserve"> </w:t>
            </w:r>
            <w:r>
              <w:rPr>
                <w:rFonts w:ascii="Calibri"/>
                <w:sz w:val="24"/>
              </w:rPr>
              <w:t>between</w:t>
            </w:r>
            <w:r>
              <w:rPr>
                <w:rFonts w:ascii="Calibri"/>
                <w:spacing w:val="-3"/>
                <w:sz w:val="24"/>
              </w:rPr>
              <w:t xml:space="preserve"> </w:t>
            </w:r>
            <w:r>
              <w:rPr>
                <w:rFonts w:ascii="Calibri"/>
                <w:sz w:val="24"/>
              </w:rPr>
              <w:t>Chairs</w:t>
            </w:r>
            <w:r>
              <w:rPr>
                <w:rFonts w:ascii="Calibri"/>
                <w:spacing w:val="-6"/>
                <w:sz w:val="24"/>
              </w:rPr>
              <w:t xml:space="preserve"> </w:t>
            </w:r>
            <w:r>
              <w:rPr>
                <w:rFonts w:ascii="Calibri"/>
                <w:sz w:val="24"/>
              </w:rPr>
              <w:t>of</w:t>
            </w:r>
            <w:r>
              <w:rPr>
                <w:rFonts w:ascii="Calibri"/>
                <w:spacing w:val="-5"/>
                <w:sz w:val="24"/>
              </w:rPr>
              <w:t xml:space="preserve"> </w:t>
            </w:r>
            <w:r>
              <w:rPr>
                <w:rFonts w:ascii="Calibri"/>
                <w:sz w:val="24"/>
              </w:rPr>
              <w:t>AASB,</w:t>
            </w:r>
            <w:r>
              <w:rPr>
                <w:rFonts w:ascii="Calibri"/>
                <w:spacing w:val="-3"/>
                <w:sz w:val="24"/>
              </w:rPr>
              <w:t xml:space="preserve"> </w:t>
            </w:r>
            <w:r>
              <w:rPr>
                <w:rFonts w:ascii="Calibri"/>
                <w:sz w:val="24"/>
              </w:rPr>
              <w:t>AUASB, and FRC to discuss RSE disclosures</w:t>
            </w:r>
          </w:p>
        </w:tc>
        <w:tc>
          <w:tcPr>
            <w:tcW w:w="2191" w:type="dxa"/>
          </w:tcPr>
          <w:p w14:paraId="1E805EE6" w14:textId="77777777" w:rsidR="00AA4A02" w:rsidRDefault="00960F31">
            <w:pPr>
              <w:pStyle w:val="TableParagraph"/>
              <w:spacing w:before="119"/>
              <w:ind w:left="108"/>
              <w:rPr>
                <w:rFonts w:ascii="Calibri"/>
              </w:rPr>
            </w:pPr>
            <w:r>
              <w:rPr>
                <w:rFonts w:ascii="Calibri"/>
                <w:spacing w:val="-2"/>
              </w:rPr>
              <w:t>Secretariat</w:t>
            </w:r>
          </w:p>
        </w:tc>
        <w:tc>
          <w:tcPr>
            <w:tcW w:w="3398" w:type="dxa"/>
          </w:tcPr>
          <w:p w14:paraId="1E805EE7" w14:textId="77777777" w:rsidR="00AA4A02" w:rsidRDefault="00960F31">
            <w:pPr>
              <w:pStyle w:val="TableParagraph"/>
              <w:spacing w:before="119"/>
              <w:ind w:left="108"/>
              <w:rPr>
                <w:rFonts w:ascii="Calibri"/>
              </w:rPr>
            </w:pPr>
            <w:r>
              <w:rPr>
                <w:rFonts w:ascii="Calibri"/>
                <w:spacing w:val="-2"/>
              </w:rPr>
              <w:t>Ongoing</w:t>
            </w:r>
          </w:p>
        </w:tc>
      </w:tr>
      <w:tr w:rsidR="00AA4A02" w14:paraId="1E805EED" w14:textId="77777777">
        <w:trPr>
          <w:trHeight w:val="1509"/>
        </w:trPr>
        <w:tc>
          <w:tcPr>
            <w:tcW w:w="607" w:type="dxa"/>
          </w:tcPr>
          <w:p w14:paraId="1E805EE9" w14:textId="77777777" w:rsidR="00AA4A02" w:rsidRDefault="00960F31">
            <w:pPr>
              <w:pStyle w:val="TableParagraph"/>
              <w:spacing w:before="121"/>
              <w:rPr>
                <w:rFonts w:ascii="Calibri"/>
              </w:rPr>
            </w:pPr>
            <w:r>
              <w:rPr>
                <w:rFonts w:ascii="Calibri"/>
                <w:spacing w:val="-10"/>
              </w:rPr>
              <w:t>2</w:t>
            </w:r>
          </w:p>
        </w:tc>
        <w:tc>
          <w:tcPr>
            <w:tcW w:w="7752" w:type="dxa"/>
          </w:tcPr>
          <w:p w14:paraId="1E805EEA" w14:textId="77777777" w:rsidR="00AA4A02" w:rsidRDefault="00960F31">
            <w:pPr>
              <w:pStyle w:val="TableParagraph"/>
              <w:spacing w:before="1"/>
              <w:ind w:left="108"/>
              <w:rPr>
                <w:rFonts w:ascii="Calibri"/>
                <w:sz w:val="24"/>
              </w:rPr>
            </w:pPr>
            <w:r>
              <w:rPr>
                <w:rFonts w:ascii="Calibri"/>
                <w:sz w:val="24"/>
              </w:rPr>
              <w:t>FRC</w:t>
            </w:r>
            <w:r>
              <w:rPr>
                <w:rFonts w:ascii="Calibri"/>
                <w:spacing w:val="-4"/>
                <w:sz w:val="24"/>
              </w:rPr>
              <w:t xml:space="preserve"> </w:t>
            </w:r>
            <w:r>
              <w:rPr>
                <w:rFonts w:ascii="Calibri"/>
                <w:sz w:val="24"/>
              </w:rPr>
              <w:t>Secretariat</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include</w:t>
            </w:r>
            <w:r>
              <w:rPr>
                <w:rFonts w:ascii="Calibri"/>
                <w:spacing w:val="-3"/>
                <w:sz w:val="24"/>
              </w:rPr>
              <w:t xml:space="preserve"> </w:t>
            </w:r>
            <w:r>
              <w:rPr>
                <w:rFonts w:ascii="Calibri"/>
                <w:sz w:val="24"/>
              </w:rPr>
              <w:t>other</w:t>
            </w:r>
            <w:r>
              <w:rPr>
                <w:rFonts w:ascii="Calibri"/>
                <w:spacing w:val="-6"/>
                <w:sz w:val="24"/>
              </w:rPr>
              <w:t xml:space="preserve"> </w:t>
            </w:r>
            <w:r>
              <w:rPr>
                <w:rFonts w:ascii="Calibri"/>
                <w:sz w:val="24"/>
              </w:rPr>
              <w:t>FRC</w:t>
            </w:r>
            <w:r>
              <w:rPr>
                <w:rFonts w:ascii="Calibri"/>
                <w:spacing w:val="-4"/>
                <w:sz w:val="24"/>
              </w:rPr>
              <w:t xml:space="preserve"> </w:t>
            </w:r>
            <w:r>
              <w:rPr>
                <w:rFonts w:ascii="Calibri"/>
                <w:sz w:val="24"/>
              </w:rPr>
              <w:t>members</w:t>
            </w:r>
            <w:r>
              <w:rPr>
                <w:rFonts w:ascii="Calibri"/>
                <w:spacing w:val="-4"/>
                <w:sz w:val="24"/>
              </w:rPr>
              <w:t xml:space="preserve"> </w:t>
            </w:r>
            <w:r>
              <w:rPr>
                <w:rFonts w:ascii="Calibri"/>
                <w:sz w:val="24"/>
              </w:rPr>
              <w:t>in</w:t>
            </w:r>
            <w:r>
              <w:rPr>
                <w:rFonts w:ascii="Calibri"/>
                <w:spacing w:val="-5"/>
                <w:sz w:val="24"/>
              </w:rPr>
              <w:t xml:space="preserve"> </w:t>
            </w:r>
            <w:r>
              <w:rPr>
                <w:rFonts w:ascii="Calibri"/>
                <w:sz w:val="24"/>
              </w:rPr>
              <w:t>future</w:t>
            </w:r>
            <w:r>
              <w:rPr>
                <w:rFonts w:ascii="Calibri"/>
                <w:spacing w:val="-5"/>
                <w:sz w:val="24"/>
              </w:rPr>
              <w:t xml:space="preserve"> </w:t>
            </w:r>
            <w:r>
              <w:rPr>
                <w:rFonts w:ascii="Calibri"/>
                <w:sz w:val="24"/>
              </w:rPr>
              <w:t>roundtables</w:t>
            </w:r>
            <w:r>
              <w:rPr>
                <w:rFonts w:ascii="Calibri"/>
                <w:spacing w:val="-4"/>
                <w:sz w:val="24"/>
              </w:rPr>
              <w:t xml:space="preserve"> </w:t>
            </w:r>
            <w:r>
              <w:rPr>
                <w:rFonts w:ascii="Calibri"/>
                <w:sz w:val="24"/>
              </w:rPr>
              <w:t>and</w:t>
            </w:r>
            <w:r>
              <w:rPr>
                <w:rFonts w:ascii="Calibri"/>
                <w:spacing w:val="-5"/>
                <w:sz w:val="24"/>
              </w:rPr>
              <w:t xml:space="preserve"> </w:t>
            </w:r>
            <w:r>
              <w:rPr>
                <w:rFonts w:ascii="Calibri"/>
                <w:sz w:val="24"/>
              </w:rPr>
              <w:t>to engage FRC members on appropriate stakeholders (i.e., targeted investor groups and users of financial statements).</w:t>
            </w:r>
          </w:p>
        </w:tc>
        <w:tc>
          <w:tcPr>
            <w:tcW w:w="2191" w:type="dxa"/>
          </w:tcPr>
          <w:p w14:paraId="1E805EEB" w14:textId="77777777" w:rsidR="00AA4A02" w:rsidRDefault="00960F31">
            <w:pPr>
              <w:pStyle w:val="TableParagraph"/>
              <w:spacing w:before="121"/>
              <w:ind w:left="108"/>
              <w:rPr>
                <w:rFonts w:ascii="Calibri"/>
              </w:rPr>
            </w:pPr>
            <w:r>
              <w:rPr>
                <w:rFonts w:ascii="Calibri"/>
              </w:rPr>
              <w:t>Secretariat</w:t>
            </w:r>
            <w:r>
              <w:rPr>
                <w:rFonts w:ascii="Calibri"/>
                <w:spacing w:val="-4"/>
              </w:rPr>
              <w:t xml:space="preserve"> </w:t>
            </w:r>
            <w:r>
              <w:rPr>
                <w:rFonts w:ascii="Calibri"/>
              </w:rPr>
              <w:t>&amp;</w:t>
            </w:r>
            <w:r>
              <w:rPr>
                <w:rFonts w:ascii="Calibri"/>
                <w:spacing w:val="-5"/>
              </w:rPr>
              <w:t xml:space="preserve"> </w:t>
            </w:r>
            <w:r>
              <w:rPr>
                <w:rFonts w:ascii="Calibri"/>
                <w:spacing w:val="-2"/>
              </w:rPr>
              <w:t>Chair</w:t>
            </w:r>
          </w:p>
        </w:tc>
        <w:tc>
          <w:tcPr>
            <w:tcW w:w="3398" w:type="dxa"/>
          </w:tcPr>
          <w:p w14:paraId="1E805EEC" w14:textId="77777777" w:rsidR="00AA4A02" w:rsidRDefault="00960F31">
            <w:pPr>
              <w:pStyle w:val="TableParagraph"/>
              <w:spacing w:before="121"/>
              <w:ind w:left="108"/>
              <w:rPr>
                <w:rFonts w:ascii="Calibri"/>
              </w:rPr>
            </w:pPr>
            <w:r>
              <w:rPr>
                <w:rFonts w:ascii="Calibri"/>
                <w:spacing w:val="-2"/>
              </w:rPr>
              <w:t>Ongoing</w:t>
            </w:r>
          </w:p>
        </w:tc>
      </w:tr>
      <w:tr w:rsidR="00AA4A02" w14:paraId="1E805EF2" w14:textId="77777777">
        <w:trPr>
          <w:trHeight w:val="825"/>
        </w:trPr>
        <w:tc>
          <w:tcPr>
            <w:tcW w:w="607" w:type="dxa"/>
          </w:tcPr>
          <w:p w14:paraId="1E805EEE" w14:textId="77777777" w:rsidR="00AA4A02" w:rsidRDefault="00960F31">
            <w:pPr>
              <w:pStyle w:val="TableParagraph"/>
              <w:spacing w:before="119"/>
              <w:rPr>
                <w:rFonts w:ascii="Calibri"/>
              </w:rPr>
            </w:pPr>
            <w:r>
              <w:rPr>
                <w:rFonts w:ascii="Calibri"/>
                <w:spacing w:val="-10"/>
              </w:rPr>
              <w:t>3</w:t>
            </w:r>
          </w:p>
        </w:tc>
        <w:tc>
          <w:tcPr>
            <w:tcW w:w="7752" w:type="dxa"/>
          </w:tcPr>
          <w:p w14:paraId="1E805EEF" w14:textId="77777777" w:rsidR="00AA4A02" w:rsidRDefault="00960F31">
            <w:pPr>
              <w:pStyle w:val="TableParagraph"/>
              <w:spacing w:before="119"/>
              <w:ind w:left="108" w:right="110"/>
              <w:rPr>
                <w:rFonts w:ascii="Calibri"/>
                <w:sz w:val="24"/>
              </w:rPr>
            </w:pPr>
            <w:r>
              <w:rPr>
                <w:rFonts w:ascii="Calibri"/>
                <w:sz w:val="24"/>
              </w:rPr>
              <w:t>FRC</w:t>
            </w:r>
            <w:r>
              <w:rPr>
                <w:rFonts w:ascii="Calibri"/>
                <w:spacing w:val="-4"/>
                <w:sz w:val="24"/>
              </w:rPr>
              <w:t xml:space="preserve"> </w:t>
            </w:r>
            <w:r>
              <w:rPr>
                <w:rFonts w:ascii="Calibri"/>
                <w:sz w:val="24"/>
              </w:rPr>
              <w:t>Secretariat</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invite</w:t>
            </w:r>
            <w:r>
              <w:rPr>
                <w:rFonts w:ascii="Calibri"/>
                <w:spacing w:val="-8"/>
                <w:sz w:val="24"/>
              </w:rPr>
              <w:t xml:space="preserve"> </w:t>
            </w:r>
            <w:r>
              <w:rPr>
                <w:rFonts w:ascii="Calibri"/>
                <w:sz w:val="24"/>
              </w:rPr>
              <w:t>CA</w:t>
            </w:r>
            <w:r>
              <w:rPr>
                <w:rFonts w:ascii="Calibri"/>
                <w:spacing w:val="-3"/>
                <w:sz w:val="24"/>
              </w:rPr>
              <w:t xml:space="preserve"> </w:t>
            </w:r>
            <w:r>
              <w:rPr>
                <w:rFonts w:ascii="Calibri"/>
                <w:sz w:val="24"/>
              </w:rPr>
              <w:t>ANZ</w:t>
            </w:r>
            <w:r>
              <w:rPr>
                <w:rFonts w:ascii="Calibri"/>
                <w:spacing w:val="-6"/>
                <w:sz w:val="24"/>
              </w:rPr>
              <w:t xml:space="preserve"> </w:t>
            </w:r>
            <w:r>
              <w:rPr>
                <w:rFonts w:ascii="Calibri"/>
                <w:sz w:val="24"/>
              </w:rPr>
              <w:t>to</w:t>
            </w:r>
            <w:r>
              <w:rPr>
                <w:rFonts w:ascii="Calibri"/>
                <w:spacing w:val="-3"/>
                <w:sz w:val="24"/>
              </w:rPr>
              <w:t xml:space="preserve"> </w:t>
            </w:r>
            <w:r>
              <w:rPr>
                <w:rFonts w:ascii="Calibri"/>
                <w:sz w:val="24"/>
              </w:rPr>
              <w:t>give</w:t>
            </w:r>
            <w:r>
              <w:rPr>
                <w:rFonts w:ascii="Calibri"/>
                <w:spacing w:val="-3"/>
                <w:sz w:val="24"/>
              </w:rPr>
              <w:t xml:space="preserve"> </w:t>
            </w:r>
            <w:r>
              <w:rPr>
                <w:rFonts w:ascii="Calibri"/>
                <w:sz w:val="24"/>
              </w:rPr>
              <w:t>update</w:t>
            </w:r>
            <w:r>
              <w:rPr>
                <w:rFonts w:ascii="Calibri"/>
                <w:spacing w:val="-5"/>
                <w:sz w:val="24"/>
              </w:rPr>
              <w:t xml:space="preserve"> </w:t>
            </w:r>
            <w:r>
              <w:rPr>
                <w:rFonts w:ascii="Calibri"/>
                <w:sz w:val="24"/>
              </w:rPr>
              <w:t>on</w:t>
            </w:r>
            <w:r>
              <w:rPr>
                <w:rFonts w:ascii="Calibri"/>
                <w:spacing w:val="-3"/>
                <w:sz w:val="24"/>
              </w:rPr>
              <w:t xml:space="preserve"> </w:t>
            </w:r>
            <w:r>
              <w:rPr>
                <w:rFonts w:ascii="Calibri"/>
                <w:sz w:val="24"/>
              </w:rPr>
              <w:t>integrity</w:t>
            </w:r>
            <w:r>
              <w:rPr>
                <w:rFonts w:ascii="Calibri"/>
                <w:spacing w:val="-4"/>
                <w:sz w:val="24"/>
              </w:rPr>
              <w:t xml:space="preserve"> </w:t>
            </w:r>
            <w:r>
              <w:rPr>
                <w:rFonts w:ascii="Calibri"/>
                <w:sz w:val="24"/>
              </w:rPr>
              <w:t>and</w:t>
            </w:r>
            <w:r>
              <w:rPr>
                <w:rFonts w:ascii="Calibri"/>
                <w:spacing w:val="-2"/>
                <w:sz w:val="24"/>
              </w:rPr>
              <w:t xml:space="preserve"> </w:t>
            </w:r>
            <w:r>
              <w:rPr>
                <w:rFonts w:ascii="Calibri"/>
                <w:sz w:val="24"/>
              </w:rPr>
              <w:t>oversight over the accounting and audit profession</w:t>
            </w:r>
          </w:p>
        </w:tc>
        <w:tc>
          <w:tcPr>
            <w:tcW w:w="2191" w:type="dxa"/>
          </w:tcPr>
          <w:p w14:paraId="1E805EF0" w14:textId="77777777" w:rsidR="00AA4A02" w:rsidRDefault="00960F31">
            <w:pPr>
              <w:pStyle w:val="TableParagraph"/>
              <w:spacing w:before="119"/>
              <w:rPr>
                <w:rFonts w:ascii="Calibri"/>
              </w:rPr>
            </w:pPr>
            <w:r>
              <w:rPr>
                <w:rFonts w:ascii="Calibri"/>
                <w:spacing w:val="-2"/>
              </w:rPr>
              <w:t>Secretariat</w:t>
            </w:r>
          </w:p>
        </w:tc>
        <w:tc>
          <w:tcPr>
            <w:tcW w:w="3398" w:type="dxa"/>
          </w:tcPr>
          <w:p w14:paraId="1E805EF1" w14:textId="77777777" w:rsidR="00AA4A02" w:rsidRDefault="00960F31">
            <w:pPr>
              <w:pStyle w:val="TableParagraph"/>
              <w:spacing w:before="119"/>
              <w:ind w:left="108"/>
              <w:rPr>
                <w:rFonts w:ascii="Calibri"/>
              </w:rPr>
            </w:pPr>
            <w:r>
              <w:rPr>
                <w:rFonts w:ascii="Calibri"/>
              </w:rPr>
              <w:t>Completed</w:t>
            </w:r>
            <w:r>
              <w:rPr>
                <w:rFonts w:ascii="Calibri"/>
                <w:spacing w:val="-6"/>
              </w:rPr>
              <w:t xml:space="preserve"> </w:t>
            </w:r>
            <w:r>
              <w:rPr>
                <w:rFonts w:ascii="Calibri"/>
              </w:rPr>
              <w:t>at</w:t>
            </w:r>
            <w:r>
              <w:rPr>
                <w:rFonts w:ascii="Calibri"/>
                <w:spacing w:val="-4"/>
              </w:rPr>
              <w:t xml:space="preserve"> </w:t>
            </w:r>
            <w:r>
              <w:rPr>
                <w:rFonts w:ascii="Calibri"/>
              </w:rPr>
              <w:t>March</w:t>
            </w:r>
            <w:r>
              <w:rPr>
                <w:rFonts w:ascii="Calibri"/>
                <w:spacing w:val="-5"/>
              </w:rPr>
              <w:t xml:space="preserve"> </w:t>
            </w:r>
            <w:r>
              <w:rPr>
                <w:rFonts w:ascii="Calibri"/>
                <w:spacing w:val="-2"/>
              </w:rPr>
              <w:t>meeting</w:t>
            </w:r>
          </w:p>
        </w:tc>
      </w:tr>
    </w:tbl>
    <w:p w14:paraId="1E805EF3" w14:textId="77777777" w:rsidR="00AA4A02" w:rsidRDefault="00AA4A02">
      <w:pPr>
        <w:pStyle w:val="TableParagraph"/>
        <w:rPr>
          <w:rFonts w:ascii="Calibri"/>
        </w:rPr>
        <w:sectPr w:rsidR="00AA4A02">
          <w:headerReference w:type="default" r:id="rId269"/>
          <w:footerReference w:type="default" r:id="rId270"/>
          <w:pgSz w:w="16840" w:h="11910" w:orient="landscape"/>
          <w:pgMar w:top="1400" w:right="1417" w:bottom="940" w:left="1417" w:header="756" w:footer="753" w:gutter="0"/>
          <w:pgNumType w:start="2"/>
          <w:cols w:space="720"/>
        </w:sectPr>
      </w:pPr>
    </w:p>
    <w:p w14:paraId="1E805EF4" w14:textId="77777777" w:rsidR="00AA4A02" w:rsidRDefault="00960F31">
      <w:pPr>
        <w:spacing w:before="34"/>
        <w:ind w:left="23"/>
        <w:rPr>
          <w:rFonts w:ascii="Calibri"/>
          <w:b/>
          <w:sz w:val="28"/>
        </w:rPr>
      </w:pPr>
      <w:r>
        <w:rPr>
          <w:rFonts w:ascii="Calibri"/>
          <w:b/>
          <w:sz w:val="28"/>
        </w:rPr>
        <w:lastRenderedPageBreak/>
        <w:t>ONGOING</w:t>
      </w:r>
      <w:r>
        <w:rPr>
          <w:rFonts w:ascii="Calibri"/>
          <w:b/>
          <w:spacing w:val="-6"/>
          <w:sz w:val="28"/>
        </w:rPr>
        <w:t xml:space="preserve"> </w:t>
      </w:r>
      <w:r>
        <w:rPr>
          <w:rFonts w:ascii="Calibri"/>
          <w:b/>
          <w:spacing w:val="-2"/>
          <w:sz w:val="28"/>
        </w:rPr>
        <w:t>MATTERS</w:t>
      </w:r>
    </w:p>
    <w:p w14:paraId="1E805EF5" w14:textId="77777777" w:rsidR="00AA4A02" w:rsidRDefault="00AA4A02">
      <w:pPr>
        <w:pStyle w:val="BodyText"/>
        <w:spacing w:before="7"/>
        <w:rPr>
          <w:rFonts w:ascii="Calibri"/>
          <w:b/>
          <w:sz w:val="19"/>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7752"/>
        <w:gridCol w:w="2191"/>
        <w:gridCol w:w="3398"/>
      </w:tblGrid>
      <w:tr w:rsidR="00AA4A02" w14:paraId="1E805EFA" w14:textId="77777777">
        <w:trPr>
          <w:trHeight w:val="582"/>
        </w:trPr>
        <w:tc>
          <w:tcPr>
            <w:tcW w:w="607" w:type="dxa"/>
          </w:tcPr>
          <w:p w14:paraId="1E805EF6" w14:textId="77777777" w:rsidR="00AA4A02" w:rsidRDefault="00AA4A02">
            <w:pPr>
              <w:pStyle w:val="TableParagraph"/>
              <w:ind w:left="0"/>
            </w:pPr>
          </w:p>
        </w:tc>
        <w:tc>
          <w:tcPr>
            <w:tcW w:w="7752" w:type="dxa"/>
          </w:tcPr>
          <w:p w14:paraId="1E805EF7" w14:textId="77777777" w:rsidR="00AA4A02" w:rsidRDefault="00960F31">
            <w:pPr>
              <w:pStyle w:val="TableParagraph"/>
              <w:spacing w:before="121"/>
              <w:ind w:left="108"/>
              <w:rPr>
                <w:rFonts w:ascii="Calibri"/>
                <w:b/>
              </w:rPr>
            </w:pPr>
            <w:r>
              <w:rPr>
                <w:rFonts w:ascii="Calibri"/>
                <w:b/>
              </w:rPr>
              <w:t>Action</w:t>
            </w:r>
            <w:r>
              <w:rPr>
                <w:rFonts w:ascii="Calibri"/>
                <w:b/>
                <w:spacing w:val="-5"/>
              </w:rPr>
              <w:t xml:space="preserve"> </w:t>
            </w:r>
            <w:r>
              <w:rPr>
                <w:rFonts w:ascii="Calibri"/>
                <w:b/>
                <w:spacing w:val="-4"/>
              </w:rPr>
              <w:t>item</w:t>
            </w:r>
          </w:p>
        </w:tc>
        <w:tc>
          <w:tcPr>
            <w:tcW w:w="2191" w:type="dxa"/>
          </w:tcPr>
          <w:p w14:paraId="1E805EF8" w14:textId="77777777" w:rsidR="00AA4A02" w:rsidRDefault="00960F31">
            <w:pPr>
              <w:pStyle w:val="TableParagraph"/>
              <w:spacing w:before="121"/>
              <w:rPr>
                <w:rFonts w:ascii="Calibri"/>
                <w:b/>
              </w:rPr>
            </w:pPr>
            <w:r>
              <w:rPr>
                <w:rFonts w:ascii="Calibri"/>
                <w:b/>
                <w:spacing w:val="-2"/>
              </w:rPr>
              <w:t>Owner</w:t>
            </w:r>
          </w:p>
        </w:tc>
        <w:tc>
          <w:tcPr>
            <w:tcW w:w="3398" w:type="dxa"/>
          </w:tcPr>
          <w:p w14:paraId="1E805EF9" w14:textId="77777777" w:rsidR="00AA4A02" w:rsidRDefault="00960F31">
            <w:pPr>
              <w:pStyle w:val="TableParagraph"/>
              <w:spacing w:before="121"/>
              <w:ind w:left="108"/>
              <w:rPr>
                <w:rFonts w:ascii="Calibri"/>
                <w:b/>
              </w:rPr>
            </w:pPr>
            <w:r>
              <w:rPr>
                <w:rFonts w:ascii="Calibri"/>
                <w:b/>
                <w:spacing w:val="-2"/>
              </w:rPr>
              <w:t>Status</w:t>
            </w:r>
          </w:p>
        </w:tc>
      </w:tr>
      <w:tr w:rsidR="00AA4A02" w14:paraId="1E805EFF" w14:textId="77777777">
        <w:trPr>
          <w:trHeight w:val="777"/>
        </w:trPr>
        <w:tc>
          <w:tcPr>
            <w:tcW w:w="607" w:type="dxa"/>
          </w:tcPr>
          <w:p w14:paraId="1E805EFB" w14:textId="77777777" w:rsidR="00AA4A02" w:rsidRDefault="00960F31">
            <w:pPr>
              <w:pStyle w:val="TableParagraph"/>
              <w:spacing w:before="119"/>
              <w:rPr>
                <w:rFonts w:ascii="Calibri"/>
              </w:rPr>
            </w:pPr>
            <w:r>
              <w:rPr>
                <w:rFonts w:ascii="Calibri"/>
                <w:spacing w:val="-10"/>
              </w:rPr>
              <w:t>1</w:t>
            </w:r>
          </w:p>
        </w:tc>
        <w:tc>
          <w:tcPr>
            <w:tcW w:w="7752" w:type="dxa"/>
          </w:tcPr>
          <w:p w14:paraId="1E805EFC" w14:textId="77777777" w:rsidR="00AA4A02" w:rsidRDefault="00960F31">
            <w:pPr>
              <w:pStyle w:val="TableParagraph"/>
              <w:spacing w:before="119"/>
              <w:ind w:left="108"/>
              <w:rPr>
                <w:rFonts w:ascii="Calibri"/>
              </w:rPr>
            </w:pPr>
            <w:r>
              <w:rPr>
                <w:rFonts w:ascii="Calibri"/>
              </w:rPr>
              <w:t>FRC</w:t>
            </w:r>
            <w:r>
              <w:rPr>
                <w:rFonts w:ascii="Calibri"/>
                <w:spacing w:val="-4"/>
              </w:rPr>
              <w:t xml:space="preserve"> </w:t>
            </w:r>
            <w:r>
              <w:rPr>
                <w:rFonts w:ascii="Calibri"/>
              </w:rPr>
              <w:t>members</w:t>
            </w:r>
            <w:r>
              <w:rPr>
                <w:rFonts w:ascii="Calibri"/>
                <w:spacing w:val="-4"/>
              </w:rPr>
              <w:t xml:space="preserve"> </w:t>
            </w:r>
            <w:r>
              <w:rPr>
                <w:rFonts w:ascii="Calibri"/>
              </w:rPr>
              <w:t>to</w:t>
            </w:r>
            <w:r>
              <w:rPr>
                <w:rFonts w:ascii="Calibri"/>
                <w:spacing w:val="-3"/>
              </w:rPr>
              <w:t xml:space="preserve"> </w:t>
            </w:r>
            <w:r>
              <w:rPr>
                <w:rFonts w:ascii="Calibri"/>
              </w:rPr>
              <w:t>use</w:t>
            </w:r>
            <w:r>
              <w:rPr>
                <w:rFonts w:ascii="Calibri"/>
                <w:spacing w:val="-3"/>
              </w:rPr>
              <w:t xml:space="preserve"> </w:t>
            </w:r>
            <w:r>
              <w:rPr>
                <w:rFonts w:ascii="Calibri"/>
              </w:rPr>
              <w:t>stakeholder</w:t>
            </w:r>
            <w:r>
              <w:rPr>
                <w:rFonts w:ascii="Calibri"/>
                <w:spacing w:val="-4"/>
              </w:rPr>
              <w:t xml:space="preserve"> </w:t>
            </w:r>
            <w:r>
              <w:rPr>
                <w:rFonts w:ascii="Calibri"/>
              </w:rPr>
              <w:t>engagement</w:t>
            </w:r>
            <w:r>
              <w:rPr>
                <w:rFonts w:ascii="Calibri"/>
                <w:spacing w:val="-3"/>
              </w:rPr>
              <w:t xml:space="preserve"> </w:t>
            </w:r>
            <w:r>
              <w:rPr>
                <w:rFonts w:ascii="Calibri"/>
              </w:rPr>
              <w:t>to</w:t>
            </w:r>
            <w:r>
              <w:rPr>
                <w:rFonts w:ascii="Calibri"/>
                <w:spacing w:val="-3"/>
              </w:rPr>
              <w:t xml:space="preserve"> </w:t>
            </w:r>
            <w:r>
              <w:rPr>
                <w:rFonts w:ascii="Calibri"/>
              </w:rPr>
              <w:t>identify</w:t>
            </w:r>
            <w:r>
              <w:rPr>
                <w:rFonts w:ascii="Calibri"/>
                <w:spacing w:val="-3"/>
              </w:rPr>
              <w:t xml:space="preserve"> </w:t>
            </w:r>
            <w:r>
              <w:rPr>
                <w:rFonts w:ascii="Calibri"/>
              </w:rPr>
              <w:t>people</w:t>
            </w:r>
            <w:r>
              <w:rPr>
                <w:rFonts w:ascii="Calibri"/>
                <w:spacing w:val="-6"/>
              </w:rPr>
              <w:t xml:space="preserve"> </w:t>
            </w:r>
            <w:r>
              <w:rPr>
                <w:rFonts w:ascii="Calibri"/>
              </w:rPr>
              <w:t>with</w:t>
            </w:r>
            <w:r>
              <w:rPr>
                <w:rFonts w:ascii="Calibri"/>
                <w:spacing w:val="-5"/>
              </w:rPr>
              <w:t xml:space="preserve"> </w:t>
            </w:r>
            <w:r>
              <w:rPr>
                <w:rFonts w:ascii="Calibri"/>
              </w:rPr>
              <w:t>appropriate skills to be AUASB/AASB candidates.</w:t>
            </w:r>
          </w:p>
        </w:tc>
        <w:tc>
          <w:tcPr>
            <w:tcW w:w="2191" w:type="dxa"/>
          </w:tcPr>
          <w:p w14:paraId="1E805EFD" w14:textId="77777777" w:rsidR="00AA4A02" w:rsidRDefault="00960F31">
            <w:pPr>
              <w:pStyle w:val="TableParagraph"/>
              <w:spacing w:before="119"/>
              <w:ind w:left="108"/>
              <w:rPr>
                <w:rFonts w:ascii="Calibri"/>
              </w:rPr>
            </w:pPr>
            <w:r>
              <w:rPr>
                <w:rFonts w:ascii="Calibri"/>
                <w:spacing w:val="-5"/>
              </w:rPr>
              <w:t>FRC</w:t>
            </w:r>
          </w:p>
        </w:tc>
        <w:tc>
          <w:tcPr>
            <w:tcW w:w="3398" w:type="dxa"/>
          </w:tcPr>
          <w:p w14:paraId="1E805EFE" w14:textId="77777777" w:rsidR="00AA4A02" w:rsidRDefault="00960F31">
            <w:pPr>
              <w:pStyle w:val="TableParagraph"/>
              <w:spacing w:before="119"/>
              <w:ind w:left="108"/>
              <w:rPr>
                <w:rFonts w:ascii="Calibri"/>
              </w:rPr>
            </w:pPr>
            <w:r>
              <w:rPr>
                <w:rFonts w:ascii="Calibri"/>
              </w:rPr>
              <w:t>In</w:t>
            </w:r>
            <w:r>
              <w:rPr>
                <w:rFonts w:ascii="Calibri"/>
                <w:spacing w:val="-2"/>
              </w:rPr>
              <w:t xml:space="preserve"> progress</w:t>
            </w:r>
          </w:p>
        </w:tc>
      </w:tr>
      <w:tr w:rsidR="00AA4A02" w14:paraId="1E805F04" w14:textId="77777777">
        <w:trPr>
          <w:trHeight w:val="1045"/>
        </w:trPr>
        <w:tc>
          <w:tcPr>
            <w:tcW w:w="607" w:type="dxa"/>
          </w:tcPr>
          <w:p w14:paraId="1E805F00" w14:textId="77777777" w:rsidR="00AA4A02" w:rsidRDefault="00960F31">
            <w:pPr>
              <w:pStyle w:val="TableParagraph"/>
              <w:spacing w:before="119"/>
              <w:rPr>
                <w:rFonts w:ascii="Calibri"/>
              </w:rPr>
            </w:pPr>
            <w:r>
              <w:rPr>
                <w:rFonts w:ascii="Calibri"/>
                <w:spacing w:val="-10"/>
              </w:rPr>
              <w:t>2</w:t>
            </w:r>
          </w:p>
        </w:tc>
        <w:tc>
          <w:tcPr>
            <w:tcW w:w="7752" w:type="dxa"/>
          </w:tcPr>
          <w:p w14:paraId="1E805F01" w14:textId="77777777" w:rsidR="00AA4A02" w:rsidRDefault="00960F31">
            <w:pPr>
              <w:pStyle w:val="TableParagraph"/>
              <w:spacing w:before="119"/>
              <w:ind w:left="108" w:right="110"/>
              <w:rPr>
                <w:rFonts w:ascii="Calibri"/>
              </w:rPr>
            </w:pPr>
            <w:r>
              <w:rPr>
                <w:rFonts w:ascii="Calibri"/>
              </w:rPr>
              <w:t>FRC to continue seeking targeted feedback on strategic issues through its stakeholder</w:t>
            </w:r>
            <w:r>
              <w:rPr>
                <w:rFonts w:ascii="Calibri"/>
                <w:spacing w:val="-4"/>
              </w:rPr>
              <w:t xml:space="preserve"> </w:t>
            </w:r>
            <w:r>
              <w:rPr>
                <w:rFonts w:ascii="Calibri"/>
              </w:rPr>
              <w:t>engagement</w:t>
            </w:r>
            <w:r>
              <w:rPr>
                <w:rFonts w:ascii="Calibri"/>
                <w:spacing w:val="-1"/>
              </w:rPr>
              <w:t xml:space="preserve"> </w:t>
            </w:r>
            <w:r>
              <w:rPr>
                <w:rFonts w:ascii="Calibri"/>
              </w:rPr>
              <w:t>to</w:t>
            </w:r>
            <w:r>
              <w:rPr>
                <w:rFonts w:ascii="Calibri"/>
                <w:spacing w:val="-3"/>
              </w:rPr>
              <w:t xml:space="preserve"> </w:t>
            </w:r>
            <w:r>
              <w:rPr>
                <w:rFonts w:ascii="Calibri"/>
              </w:rPr>
              <w:t>monitor</w:t>
            </w:r>
            <w:r>
              <w:rPr>
                <w:rFonts w:ascii="Calibri"/>
                <w:spacing w:val="-4"/>
              </w:rPr>
              <w:t xml:space="preserve"> </w:t>
            </w:r>
            <w:r>
              <w:rPr>
                <w:rFonts w:ascii="Calibri"/>
              </w:rPr>
              <w:t>the</w:t>
            </w:r>
            <w:r>
              <w:rPr>
                <w:rFonts w:ascii="Calibri"/>
                <w:spacing w:val="-4"/>
              </w:rPr>
              <w:t xml:space="preserve"> </w:t>
            </w:r>
            <w:r>
              <w:rPr>
                <w:rFonts w:ascii="Calibri"/>
              </w:rPr>
              <w:t>matters</w:t>
            </w:r>
            <w:r>
              <w:rPr>
                <w:rFonts w:ascii="Calibri"/>
                <w:spacing w:val="-4"/>
              </w:rPr>
              <w:t xml:space="preserve"> </w:t>
            </w:r>
            <w:r>
              <w:rPr>
                <w:rFonts w:ascii="Calibri"/>
              </w:rPr>
              <w:t>referred</w:t>
            </w:r>
            <w:r>
              <w:rPr>
                <w:rFonts w:ascii="Calibri"/>
                <w:spacing w:val="-3"/>
              </w:rPr>
              <w:t xml:space="preserve"> </w:t>
            </w:r>
            <w:r>
              <w:rPr>
                <w:rFonts w:ascii="Calibri"/>
              </w:rPr>
              <w:t>to</w:t>
            </w:r>
            <w:r>
              <w:rPr>
                <w:rFonts w:ascii="Calibri"/>
                <w:spacing w:val="-1"/>
              </w:rPr>
              <w:t xml:space="preserve"> </w:t>
            </w:r>
            <w:r>
              <w:rPr>
                <w:rFonts w:ascii="Calibri"/>
              </w:rPr>
              <w:t>in</w:t>
            </w:r>
            <w:r>
              <w:rPr>
                <w:rFonts w:ascii="Calibri"/>
                <w:spacing w:val="-3"/>
              </w:rPr>
              <w:t xml:space="preserve"> </w:t>
            </w:r>
            <w:r>
              <w:rPr>
                <w:rFonts w:ascii="Calibri"/>
              </w:rPr>
              <w:t>the</w:t>
            </w:r>
            <w:r>
              <w:rPr>
                <w:rFonts w:ascii="Calibri"/>
                <w:spacing w:val="-4"/>
              </w:rPr>
              <w:t xml:space="preserve"> </w:t>
            </w:r>
            <w:r>
              <w:rPr>
                <w:rFonts w:ascii="Calibri"/>
              </w:rPr>
              <w:t>ASIC</w:t>
            </w:r>
            <w:r>
              <w:rPr>
                <w:rFonts w:ascii="Calibri"/>
                <w:spacing w:val="-2"/>
              </w:rPr>
              <w:t xml:space="preserve"> </w:t>
            </w:r>
            <w:r>
              <w:rPr>
                <w:rFonts w:ascii="Calibri"/>
              </w:rPr>
              <w:t>Act</w:t>
            </w:r>
            <w:r>
              <w:rPr>
                <w:rFonts w:ascii="Calibri"/>
                <w:spacing w:val="-4"/>
              </w:rPr>
              <w:t xml:space="preserve"> </w:t>
            </w:r>
            <w:r>
              <w:rPr>
                <w:rFonts w:ascii="Calibri"/>
              </w:rPr>
              <w:t>(such</w:t>
            </w:r>
            <w:r>
              <w:rPr>
                <w:rFonts w:ascii="Calibri"/>
                <w:spacing w:val="-3"/>
              </w:rPr>
              <w:t xml:space="preserve"> </w:t>
            </w:r>
            <w:r>
              <w:rPr>
                <w:rFonts w:ascii="Calibri"/>
              </w:rPr>
              <w:t>as professional ethics) on a periodic basis</w:t>
            </w:r>
          </w:p>
        </w:tc>
        <w:tc>
          <w:tcPr>
            <w:tcW w:w="2191" w:type="dxa"/>
          </w:tcPr>
          <w:p w14:paraId="1E805F02" w14:textId="77777777" w:rsidR="00AA4A02" w:rsidRDefault="00960F31">
            <w:pPr>
              <w:pStyle w:val="TableParagraph"/>
              <w:spacing w:before="119"/>
              <w:ind w:left="108"/>
              <w:rPr>
                <w:rFonts w:ascii="Calibri"/>
              </w:rPr>
            </w:pPr>
            <w:r>
              <w:rPr>
                <w:rFonts w:ascii="Calibri"/>
                <w:spacing w:val="-5"/>
              </w:rPr>
              <w:t>FRC</w:t>
            </w:r>
          </w:p>
        </w:tc>
        <w:tc>
          <w:tcPr>
            <w:tcW w:w="3398" w:type="dxa"/>
          </w:tcPr>
          <w:p w14:paraId="1E805F03" w14:textId="77777777" w:rsidR="00AA4A02" w:rsidRDefault="00960F31">
            <w:pPr>
              <w:pStyle w:val="TableParagraph"/>
              <w:spacing w:before="119"/>
              <w:ind w:left="108"/>
              <w:rPr>
                <w:rFonts w:ascii="Calibri"/>
              </w:rPr>
            </w:pPr>
            <w:r>
              <w:rPr>
                <w:rFonts w:ascii="Calibri"/>
              </w:rPr>
              <w:t>In</w:t>
            </w:r>
            <w:r>
              <w:rPr>
                <w:rFonts w:ascii="Calibri"/>
                <w:spacing w:val="-2"/>
              </w:rPr>
              <w:t xml:space="preserve"> progress</w:t>
            </w:r>
          </w:p>
        </w:tc>
      </w:tr>
      <w:tr w:rsidR="00AA4A02" w14:paraId="1E805F09" w14:textId="77777777">
        <w:trPr>
          <w:trHeight w:val="777"/>
        </w:trPr>
        <w:tc>
          <w:tcPr>
            <w:tcW w:w="607" w:type="dxa"/>
          </w:tcPr>
          <w:p w14:paraId="1E805F05" w14:textId="77777777" w:rsidR="00AA4A02" w:rsidRDefault="00960F31">
            <w:pPr>
              <w:pStyle w:val="TableParagraph"/>
              <w:spacing w:before="119"/>
              <w:rPr>
                <w:rFonts w:ascii="Calibri"/>
              </w:rPr>
            </w:pPr>
            <w:r>
              <w:rPr>
                <w:rFonts w:ascii="Calibri"/>
                <w:spacing w:val="-10"/>
              </w:rPr>
              <w:t>3</w:t>
            </w:r>
          </w:p>
        </w:tc>
        <w:tc>
          <w:tcPr>
            <w:tcW w:w="7752" w:type="dxa"/>
          </w:tcPr>
          <w:p w14:paraId="1E805F06" w14:textId="77777777" w:rsidR="00AA4A02" w:rsidRDefault="00960F31">
            <w:pPr>
              <w:pStyle w:val="TableParagraph"/>
              <w:spacing w:before="119"/>
              <w:ind w:left="108"/>
              <w:rPr>
                <w:rFonts w:ascii="Calibri"/>
              </w:rPr>
            </w:pPr>
            <w:r>
              <w:rPr>
                <w:rFonts w:ascii="Calibri"/>
              </w:rPr>
              <w:t>Explore</w:t>
            </w:r>
            <w:r>
              <w:rPr>
                <w:rFonts w:ascii="Calibri"/>
                <w:spacing w:val="-5"/>
              </w:rPr>
              <w:t xml:space="preserve"> </w:t>
            </w:r>
            <w:r>
              <w:rPr>
                <w:rFonts w:ascii="Calibri"/>
              </w:rPr>
              <w:t>whether</w:t>
            </w:r>
            <w:r>
              <w:rPr>
                <w:rFonts w:ascii="Calibri"/>
                <w:spacing w:val="-3"/>
              </w:rPr>
              <w:t xml:space="preserve"> </w:t>
            </w:r>
            <w:r>
              <w:rPr>
                <w:rFonts w:ascii="Calibri"/>
              </w:rPr>
              <w:t>identified</w:t>
            </w:r>
            <w:r>
              <w:rPr>
                <w:rFonts w:ascii="Calibri"/>
                <w:spacing w:val="-6"/>
              </w:rPr>
              <w:t xml:space="preserve"> </w:t>
            </w:r>
            <w:r>
              <w:rPr>
                <w:rFonts w:ascii="Calibri"/>
              </w:rPr>
              <w:t>candidates</w:t>
            </w:r>
            <w:r>
              <w:rPr>
                <w:rFonts w:ascii="Calibri"/>
                <w:spacing w:val="-3"/>
              </w:rPr>
              <w:t xml:space="preserve"> </w:t>
            </w:r>
            <w:r>
              <w:rPr>
                <w:rFonts w:ascii="Calibri"/>
              </w:rPr>
              <w:t>for</w:t>
            </w:r>
            <w:r>
              <w:rPr>
                <w:rFonts w:ascii="Calibri"/>
                <w:spacing w:val="-3"/>
              </w:rPr>
              <w:t xml:space="preserve"> </w:t>
            </w:r>
            <w:r>
              <w:rPr>
                <w:rFonts w:ascii="Calibri"/>
              </w:rPr>
              <w:t>international</w:t>
            </w:r>
            <w:r>
              <w:rPr>
                <w:rFonts w:ascii="Calibri"/>
                <w:spacing w:val="-3"/>
              </w:rPr>
              <w:t xml:space="preserve"> </w:t>
            </w:r>
            <w:r>
              <w:rPr>
                <w:rFonts w:ascii="Calibri"/>
              </w:rPr>
              <w:t>roles</w:t>
            </w:r>
            <w:r>
              <w:rPr>
                <w:rFonts w:ascii="Calibri"/>
                <w:spacing w:val="-5"/>
              </w:rPr>
              <w:t xml:space="preserve"> </w:t>
            </w:r>
            <w:r>
              <w:rPr>
                <w:rFonts w:ascii="Calibri"/>
              </w:rPr>
              <w:t>should</w:t>
            </w:r>
            <w:r>
              <w:rPr>
                <w:rFonts w:ascii="Calibri"/>
                <w:spacing w:val="-4"/>
              </w:rPr>
              <w:t xml:space="preserve"> </w:t>
            </w:r>
            <w:r>
              <w:rPr>
                <w:rFonts w:ascii="Calibri"/>
              </w:rPr>
              <w:t>be</w:t>
            </w:r>
            <w:r>
              <w:rPr>
                <w:rFonts w:ascii="Calibri"/>
                <w:spacing w:val="-5"/>
              </w:rPr>
              <w:t xml:space="preserve"> </w:t>
            </w:r>
            <w:r>
              <w:rPr>
                <w:rFonts w:ascii="Calibri"/>
              </w:rPr>
              <w:t>put</w:t>
            </w:r>
            <w:r>
              <w:rPr>
                <w:rFonts w:ascii="Calibri"/>
                <w:spacing w:val="-2"/>
              </w:rPr>
              <w:t xml:space="preserve"> </w:t>
            </w:r>
            <w:r>
              <w:rPr>
                <w:rFonts w:ascii="Calibri"/>
              </w:rPr>
              <w:t>forward for nomination.</w:t>
            </w:r>
          </w:p>
        </w:tc>
        <w:tc>
          <w:tcPr>
            <w:tcW w:w="2191" w:type="dxa"/>
          </w:tcPr>
          <w:p w14:paraId="1E805F07" w14:textId="77777777" w:rsidR="00AA4A02" w:rsidRDefault="00960F31">
            <w:pPr>
              <w:pStyle w:val="TableParagraph"/>
              <w:spacing w:before="119"/>
              <w:ind w:left="108"/>
              <w:rPr>
                <w:rFonts w:ascii="Calibri"/>
              </w:rPr>
            </w:pPr>
            <w:r>
              <w:rPr>
                <w:rFonts w:ascii="Calibri"/>
                <w:spacing w:val="-2"/>
              </w:rPr>
              <w:t>Secretariat</w:t>
            </w:r>
          </w:p>
        </w:tc>
        <w:tc>
          <w:tcPr>
            <w:tcW w:w="3398" w:type="dxa"/>
          </w:tcPr>
          <w:p w14:paraId="1E805F08" w14:textId="77777777" w:rsidR="00AA4A02" w:rsidRDefault="00960F31">
            <w:pPr>
              <w:pStyle w:val="TableParagraph"/>
              <w:spacing w:before="119"/>
              <w:ind w:left="108"/>
              <w:rPr>
                <w:rFonts w:ascii="Calibri"/>
              </w:rPr>
            </w:pPr>
            <w:r>
              <w:rPr>
                <w:rFonts w:ascii="Calibri"/>
              </w:rPr>
              <w:t>In</w:t>
            </w:r>
            <w:r>
              <w:rPr>
                <w:rFonts w:ascii="Calibri"/>
                <w:spacing w:val="-2"/>
              </w:rPr>
              <w:t xml:space="preserve"> progress</w:t>
            </w:r>
          </w:p>
        </w:tc>
      </w:tr>
      <w:tr w:rsidR="00AA4A02" w14:paraId="1E805F0E" w14:textId="77777777">
        <w:trPr>
          <w:trHeight w:val="777"/>
        </w:trPr>
        <w:tc>
          <w:tcPr>
            <w:tcW w:w="607" w:type="dxa"/>
          </w:tcPr>
          <w:p w14:paraId="1E805F0A" w14:textId="77777777" w:rsidR="00AA4A02" w:rsidRDefault="00960F31">
            <w:pPr>
              <w:pStyle w:val="TableParagraph"/>
              <w:spacing w:before="119"/>
              <w:rPr>
                <w:rFonts w:ascii="Calibri"/>
              </w:rPr>
            </w:pPr>
            <w:r>
              <w:rPr>
                <w:rFonts w:ascii="Calibri"/>
                <w:spacing w:val="-10"/>
              </w:rPr>
              <w:t>4</w:t>
            </w:r>
          </w:p>
        </w:tc>
        <w:tc>
          <w:tcPr>
            <w:tcW w:w="7752" w:type="dxa"/>
          </w:tcPr>
          <w:p w14:paraId="1E805F0B" w14:textId="77777777" w:rsidR="00AA4A02" w:rsidRDefault="00960F31">
            <w:pPr>
              <w:pStyle w:val="TableParagraph"/>
              <w:spacing w:before="119"/>
              <w:ind w:left="108"/>
              <w:rPr>
                <w:rFonts w:ascii="Calibri"/>
              </w:rPr>
            </w:pPr>
            <w:r>
              <w:rPr>
                <w:rFonts w:ascii="Calibri"/>
              </w:rPr>
              <w:t>Secretariat</w:t>
            </w:r>
            <w:r>
              <w:rPr>
                <w:rFonts w:ascii="Calibri"/>
                <w:spacing w:val="-3"/>
              </w:rPr>
              <w:t xml:space="preserve"> </w:t>
            </w:r>
            <w:r>
              <w:rPr>
                <w:rFonts w:ascii="Calibri"/>
              </w:rPr>
              <w:t>to</w:t>
            </w:r>
            <w:r>
              <w:rPr>
                <w:rFonts w:ascii="Calibri"/>
                <w:spacing w:val="-3"/>
              </w:rPr>
              <w:t xml:space="preserve"> </w:t>
            </w:r>
            <w:r>
              <w:rPr>
                <w:rFonts w:ascii="Calibri"/>
              </w:rPr>
              <w:t>circulate</w:t>
            </w:r>
            <w:r>
              <w:rPr>
                <w:rFonts w:ascii="Calibri"/>
                <w:spacing w:val="-6"/>
              </w:rPr>
              <w:t xml:space="preserve"> </w:t>
            </w:r>
            <w:r>
              <w:rPr>
                <w:rFonts w:ascii="Calibri"/>
              </w:rPr>
              <w:t>relevant</w:t>
            </w:r>
            <w:r>
              <w:rPr>
                <w:rFonts w:ascii="Calibri"/>
                <w:spacing w:val="-6"/>
              </w:rPr>
              <w:t xml:space="preserve"> </w:t>
            </w:r>
            <w:r>
              <w:rPr>
                <w:rFonts w:ascii="Calibri"/>
              </w:rPr>
              <w:t>matters</w:t>
            </w:r>
            <w:r>
              <w:rPr>
                <w:rFonts w:ascii="Calibri"/>
                <w:spacing w:val="-4"/>
              </w:rPr>
              <w:t xml:space="preserve"> </w:t>
            </w:r>
            <w:r>
              <w:rPr>
                <w:rFonts w:ascii="Calibri"/>
              </w:rPr>
              <w:t>about</w:t>
            </w:r>
            <w:r>
              <w:rPr>
                <w:rFonts w:ascii="Calibri"/>
                <w:spacing w:val="-3"/>
              </w:rPr>
              <w:t xml:space="preserve"> </w:t>
            </w:r>
            <w:r>
              <w:rPr>
                <w:rFonts w:ascii="Calibri"/>
              </w:rPr>
              <w:t>financial</w:t>
            </w:r>
            <w:r>
              <w:rPr>
                <w:rFonts w:ascii="Calibri"/>
                <w:spacing w:val="-4"/>
              </w:rPr>
              <w:t xml:space="preserve"> </w:t>
            </w:r>
            <w:r>
              <w:rPr>
                <w:rFonts w:ascii="Calibri"/>
              </w:rPr>
              <w:t>reporting</w:t>
            </w:r>
            <w:r>
              <w:rPr>
                <w:rFonts w:ascii="Calibri"/>
                <w:spacing w:val="-5"/>
              </w:rPr>
              <w:t xml:space="preserve"> </w:t>
            </w:r>
            <w:r>
              <w:rPr>
                <w:rFonts w:ascii="Calibri"/>
              </w:rPr>
              <w:t>and</w:t>
            </w:r>
            <w:r>
              <w:rPr>
                <w:rFonts w:ascii="Calibri"/>
                <w:spacing w:val="-5"/>
              </w:rPr>
              <w:t xml:space="preserve"> </w:t>
            </w:r>
            <w:r>
              <w:rPr>
                <w:rFonts w:ascii="Calibri"/>
              </w:rPr>
              <w:t>audit</w:t>
            </w:r>
            <w:r>
              <w:rPr>
                <w:rFonts w:ascii="Calibri"/>
                <w:spacing w:val="-3"/>
              </w:rPr>
              <w:t xml:space="preserve"> </w:t>
            </w:r>
            <w:r>
              <w:rPr>
                <w:rFonts w:ascii="Calibri"/>
              </w:rPr>
              <w:t>to</w:t>
            </w:r>
            <w:r>
              <w:rPr>
                <w:rFonts w:ascii="Calibri"/>
                <w:spacing w:val="-3"/>
              </w:rPr>
              <w:t xml:space="preserve"> </w:t>
            </w:r>
            <w:r>
              <w:rPr>
                <w:rFonts w:ascii="Calibri"/>
              </w:rPr>
              <w:t xml:space="preserve">FRC </w:t>
            </w:r>
            <w:r>
              <w:rPr>
                <w:rFonts w:ascii="Calibri"/>
                <w:spacing w:val="-2"/>
              </w:rPr>
              <w:t>members.</w:t>
            </w:r>
          </w:p>
        </w:tc>
        <w:tc>
          <w:tcPr>
            <w:tcW w:w="2191" w:type="dxa"/>
          </w:tcPr>
          <w:p w14:paraId="1E805F0C" w14:textId="77777777" w:rsidR="00AA4A02" w:rsidRDefault="00960F31">
            <w:pPr>
              <w:pStyle w:val="TableParagraph"/>
              <w:spacing w:before="119"/>
              <w:ind w:left="108"/>
              <w:rPr>
                <w:rFonts w:ascii="Calibri"/>
              </w:rPr>
            </w:pPr>
            <w:r>
              <w:rPr>
                <w:rFonts w:ascii="Calibri"/>
                <w:spacing w:val="-2"/>
              </w:rPr>
              <w:t>Secretariat</w:t>
            </w:r>
          </w:p>
        </w:tc>
        <w:tc>
          <w:tcPr>
            <w:tcW w:w="3398" w:type="dxa"/>
          </w:tcPr>
          <w:p w14:paraId="1E805F0D" w14:textId="77777777" w:rsidR="00AA4A02" w:rsidRDefault="00960F31">
            <w:pPr>
              <w:pStyle w:val="TableParagraph"/>
              <w:spacing w:before="119"/>
              <w:ind w:left="108"/>
              <w:rPr>
                <w:rFonts w:ascii="Calibri"/>
              </w:rPr>
            </w:pPr>
            <w:r>
              <w:rPr>
                <w:rFonts w:ascii="Calibri"/>
              </w:rPr>
              <w:t>In</w:t>
            </w:r>
            <w:r>
              <w:rPr>
                <w:rFonts w:ascii="Calibri"/>
                <w:spacing w:val="-2"/>
              </w:rPr>
              <w:t xml:space="preserve"> progress</w:t>
            </w:r>
          </w:p>
        </w:tc>
      </w:tr>
    </w:tbl>
    <w:p w14:paraId="1E805F0F" w14:textId="77777777" w:rsidR="00960F31" w:rsidRDefault="00960F31"/>
    <w:sectPr w:rsidR="00960F31">
      <w:pgSz w:w="16840" w:h="11910" w:orient="landscape"/>
      <w:pgMar w:top="1400" w:right="1417" w:bottom="940" w:left="1417" w:header="756" w:footer="7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5EFB0" w14:textId="77777777" w:rsidR="00B960F5" w:rsidRDefault="00B960F5">
      <w:r>
        <w:separator/>
      </w:r>
    </w:p>
  </w:endnote>
  <w:endnote w:type="continuationSeparator" w:id="0">
    <w:p w14:paraId="24BD5A26" w14:textId="77777777" w:rsidR="00B960F5" w:rsidRDefault="00B9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8"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58432" behindDoc="1" locked="0" layoutInCell="1" allowOverlap="1" wp14:anchorId="1E805FFB" wp14:editId="1E805FFC">
              <wp:simplePos x="0" y="0"/>
              <wp:positionH relativeFrom="page">
                <wp:posOffset>3728720</wp:posOffset>
              </wp:positionH>
              <wp:positionV relativeFrom="page">
                <wp:posOffset>10073131</wp:posOffset>
              </wp:positionV>
              <wp:extent cx="10287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E80607E" w14:textId="77777777" w:rsidR="00AA4A02" w:rsidRDefault="00960F31">
                          <w:pPr>
                            <w:spacing w:line="264" w:lineRule="exact"/>
                            <w:ind w:left="20"/>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1E805FFB" id="_x0000_t202" coordsize="21600,21600" o:spt="202" path="m,l,21600r21600,l21600,xe">
              <v:stroke joinstyle="miter"/>
              <v:path gradientshapeok="t" o:connecttype="rect"/>
            </v:shapetype>
            <v:shape id="Textbox 3" o:spid="_x0000_s1092" type="#_x0000_t202" style="position:absolute;margin-left:293.6pt;margin-top:793.15pt;width:8.1pt;height:14pt;z-index:-17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" filled="f" stroked="f">
              <v:textbox inset="0,0,0,0">
                <w:txbxContent>
                  <w:p w14:paraId="1E80607E" w14:textId="77777777" w:rsidR="00AA4A02" w:rsidRDefault="00960F31">
                    <w:pPr>
                      <w:spacing w:line="264" w:lineRule="exact"/>
                      <w:ind w:left="20"/>
                      <w:rPr>
                        <w:rFonts w:ascii="Calibri"/>
                        <w:sz w:val="24"/>
                      </w:rPr>
                    </w:pPr>
                    <w:r>
                      <w:rPr>
                        <w:rFonts w:ascii="Calibri"/>
                        <w:spacing w:val="-10"/>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A" w14:textId="77777777" w:rsidR="00AA4A02" w:rsidRDefault="00AA4A0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C"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5088" behindDoc="1" locked="0" layoutInCell="1" allowOverlap="1" wp14:anchorId="1E806015" wp14:editId="1E806016">
              <wp:simplePos x="0" y="0"/>
              <wp:positionH relativeFrom="page">
                <wp:posOffset>898956</wp:posOffset>
              </wp:positionH>
              <wp:positionV relativeFrom="page">
                <wp:posOffset>10093166</wp:posOffset>
              </wp:positionV>
              <wp:extent cx="1826260"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260" cy="167640"/>
                      </a:xfrm>
                      <a:prstGeom prst="rect">
                        <a:avLst/>
                      </a:prstGeom>
                    </wps:spPr>
                    <wps:txbx>
                      <w:txbxContent>
                        <w:p w14:paraId="1E806087" w14:textId="77777777" w:rsidR="00AA4A02" w:rsidRDefault="00960F31">
                          <w:pPr>
                            <w:spacing w:before="13"/>
                            <w:ind w:left="20"/>
                            <w:rPr>
                              <w:b/>
                              <w:sz w:val="20"/>
                            </w:rPr>
                          </w:pPr>
                          <w:r>
                            <w:rPr>
                              <w:b/>
                              <w:sz w:val="20"/>
                            </w:rPr>
                            <w:t>DUE</w:t>
                          </w:r>
                          <w:r>
                            <w:rPr>
                              <w:b/>
                              <w:spacing w:val="-4"/>
                              <w:sz w:val="20"/>
                            </w:rPr>
                            <w:t xml:space="preserve"> </w:t>
                          </w:r>
                          <w:r>
                            <w:rPr>
                              <w:b/>
                              <w:sz w:val="20"/>
                            </w:rPr>
                            <w:t>PROCESS</w:t>
                          </w:r>
                          <w:r>
                            <w:rPr>
                              <w:b/>
                              <w:spacing w:val="-9"/>
                              <w:sz w:val="20"/>
                            </w:rPr>
                            <w:t xml:space="preserve"> </w:t>
                          </w:r>
                          <w:r>
                            <w:rPr>
                              <w:b/>
                              <w:spacing w:val="-2"/>
                              <w:sz w:val="20"/>
                            </w:rPr>
                            <w:t>FRAMEWORK</w:t>
                          </w:r>
                        </w:p>
                      </w:txbxContent>
                    </wps:txbx>
                    <wps:bodyPr wrap="square" lIns="0" tIns="0" rIns="0" bIns="0" rtlCol="0">
                      <a:noAutofit/>
                    </wps:bodyPr>
                  </wps:wsp>
                </a:graphicData>
              </a:graphic>
            </wp:anchor>
          </w:drawing>
        </mc:Choice>
        <mc:Fallback>
          <w:pict>
            <v:shapetype w14:anchorId="1E806015" id="_x0000_t202" coordsize="21600,21600" o:spt="202" path="m,l,21600r21600,l21600,xe">
              <v:stroke joinstyle="miter"/>
              <v:path gradientshapeok="t" o:connecttype="rect"/>
            </v:shapetype>
            <v:shape id="Textbox 23" o:spid="_x0000_s1101" type="#_x0000_t202" style="position:absolute;margin-left:70.8pt;margin-top:794.75pt;width:143.8pt;height:13.2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" filled="f" stroked="f">
              <v:textbox inset="0,0,0,0">
                <w:txbxContent>
                  <w:p w14:paraId="1E806087" w14:textId="77777777" w:rsidR="00AA4A02" w:rsidRDefault="00960F31">
                    <w:pPr>
                      <w:spacing w:before="13"/>
                      <w:ind w:left="20"/>
                      <w:rPr>
                        <w:b/>
                        <w:sz w:val="20"/>
                      </w:rPr>
                    </w:pPr>
                    <w:r>
                      <w:rPr>
                        <w:b/>
                        <w:sz w:val="20"/>
                      </w:rPr>
                      <w:t>DUE</w:t>
                    </w:r>
                    <w:r>
                      <w:rPr>
                        <w:b/>
                        <w:spacing w:val="-4"/>
                        <w:sz w:val="20"/>
                      </w:rPr>
                      <w:t xml:space="preserve"> </w:t>
                    </w:r>
                    <w:r>
                      <w:rPr>
                        <w:b/>
                        <w:sz w:val="20"/>
                      </w:rPr>
                      <w:t>PROCESS</w:t>
                    </w:r>
                    <w:r>
                      <w:rPr>
                        <w:b/>
                        <w:spacing w:val="-9"/>
                        <w:sz w:val="20"/>
                      </w:rPr>
                      <w:t xml:space="preserve"> </w:t>
                    </w:r>
                    <w:r>
                      <w:rPr>
                        <w:b/>
                        <w:spacing w:val="-2"/>
                        <w:sz w:val="20"/>
                      </w:rPr>
                      <w:t>FRAMEWORK</w:t>
                    </w:r>
                  </w:p>
                </w:txbxContent>
              </v:textbox>
              <w10:wrap anchorx="page" anchory="page"/>
            </v:shape>
          </w:pict>
        </mc:Fallback>
      </mc:AlternateContent>
    </w:r>
    <w:r>
      <w:rPr>
        <w:noProof/>
        <w:sz w:val="20"/>
      </w:rPr>
      <mc:AlternateContent>
        <mc:Choice Requires="wps">
          <w:drawing>
            <wp:anchor distT="0" distB="0" distL="0" distR="0" simplePos="0" relativeHeight="485465600" behindDoc="1" locked="0" layoutInCell="1" allowOverlap="1" wp14:anchorId="1E806017" wp14:editId="1E806018">
              <wp:simplePos x="0" y="0"/>
              <wp:positionH relativeFrom="page">
                <wp:posOffset>6515861</wp:posOffset>
              </wp:positionH>
              <wp:positionV relativeFrom="page">
                <wp:posOffset>10093166</wp:posOffset>
              </wp:positionV>
              <wp:extent cx="191770" cy="16764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7640"/>
                      </a:xfrm>
                      <a:prstGeom prst="rect">
                        <a:avLst/>
                      </a:prstGeom>
                    </wps:spPr>
                    <wps:txbx>
                      <w:txbxContent>
                        <w:p w14:paraId="1E806088" w14:textId="77777777" w:rsidR="00AA4A02" w:rsidRDefault="00960F31">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E806017" id="Textbox 24" o:spid="_x0000_s1102" type="#_x0000_t202" style="position:absolute;margin-left:513.05pt;margin-top:794.75pt;width:15.1pt;height:13.2pt;z-index:-17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" filled="f" stroked="f">
              <v:textbox inset="0,0,0,0">
                <w:txbxContent>
                  <w:p w14:paraId="1E806088" w14:textId="77777777" w:rsidR="00AA4A02" w:rsidRDefault="00960F31">
                    <w:pPr>
                      <w:spacing w:before="13"/>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E" w14:textId="77777777" w:rsidR="00AA4A02" w:rsidRDefault="00AA4A0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0"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6112" behindDoc="1" locked="0" layoutInCell="1" allowOverlap="1" wp14:anchorId="1E806019" wp14:editId="1E80601A">
              <wp:simplePos x="0" y="0"/>
              <wp:positionH relativeFrom="page">
                <wp:posOffset>3662298</wp:posOffset>
              </wp:positionH>
              <wp:positionV relativeFrom="page">
                <wp:posOffset>10018020</wp:posOffset>
              </wp:positionV>
              <wp:extent cx="23876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5735"/>
                      </a:xfrm>
                      <a:prstGeom prst="rect">
                        <a:avLst/>
                      </a:prstGeom>
                    </wps:spPr>
                    <wps:txbx>
                      <w:txbxContent>
                        <w:p w14:paraId="1E806089" w14:textId="77777777" w:rsidR="00AA4A02" w:rsidRDefault="00960F31">
                          <w:pPr>
                            <w:spacing w:before="10"/>
                            <w:ind w:left="20"/>
                            <w:rPr>
                              <w:b/>
                              <w:sz w:val="20"/>
                            </w:rPr>
                          </w:pPr>
                          <w:r>
                            <w:rPr>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z w:val="20"/>
                            </w:rPr>
                            <w:t xml:space="preserve"> </w:t>
                          </w:r>
                          <w:r>
                            <w:rPr>
                              <w:b/>
                              <w:spacing w:val="-10"/>
                              <w:sz w:val="20"/>
                            </w:rPr>
                            <w:t>-</w:t>
                          </w:r>
                        </w:p>
                      </w:txbxContent>
                    </wps:txbx>
                    <wps:bodyPr wrap="square" lIns="0" tIns="0" rIns="0" bIns="0" rtlCol="0">
                      <a:noAutofit/>
                    </wps:bodyPr>
                  </wps:wsp>
                </a:graphicData>
              </a:graphic>
            </wp:anchor>
          </w:drawing>
        </mc:Choice>
        <mc:Fallback>
          <w:pict>
            <v:shapetype w14:anchorId="1E806019" id="_x0000_t202" coordsize="21600,21600" o:spt="202" path="m,l,21600r21600,l21600,xe">
              <v:stroke joinstyle="miter"/>
              <v:path gradientshapeok="t" o:connecttype="rect"/>
            </v:shapetype>
            <v:shape id="Textbox 41" o:spid="_x0000_s1103" type="#_x0000_t202" style="position:absolute;margin-left:288.35pt;margin-top:788.8pt;width:18.8pt;height:13.05pt;z-index:-17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" filled="f" stroked="f">
              <v:textbox inset="0,0,0,0">
                <w:txbxContent>
                  <w:p w14:paraId="1E806089" w14:textId="77777777" w:rsidR="00AA4A02" w:rsidRDefault="00960F31">
                    <w:pPr>
                      <w:spacing w:before="10"/>
                      <w:ind w:left="20"/>
                      <w:rPr>
                        <w:b/>
                        <w:sz w:val="20"/>
                      </w:rPr>
                    </w:pPr>
                    <w:r>
                      <w:rPr>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z w:val="20"/>
                      </w:rPr>
                      <w:t xml:space="preserve"> </w:t>
                    </w:r>
                    <w:r>
                      <w:rPr>
                        <w:b/>
                        <w:spacing w:val="-10"/>
                        <w:sz w:val="20"/>
                      </w:rP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2"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7648" behindDoc="1" locked="0" layoutInCell="1" allowOverlap="1" wp14:anchorId="1E80601F" wp14:editId="1E806020">
              <wp:simplePos x="0" y="0"/>
              <wp:positionH relativeFrom="page">
                <wp:posOffset>3630295</wp:posOffset>
              </wp:positionH>
              <wp:positionV relativeFrom="page">
                <wp:posOffset>10018020</wp:posOffset>
              </wp:positionV>
              <wp:extent cx="30226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8B"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1E80601F" id="_x0000_t202" coordsize="21600,21600" o:spt="202" path="m,l,21600r21600,l21600,xe">
              <v:stroke joinstyle="miter"/>
              <v:path gradientshapeok="t" o:connecttype="rect"/>
            </v:shapetype>
            <v:shape id="Textbox 44" o:spid="_x0000_s1105" type="#_x0000_t202" style="position:absolute;margin-left:285.85pt;margin-top:788.8pt;width:23.8pt;height:13.05pt;z-index:-17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symAEAACIDAAAOAAAAZHJzL2Uyb0RvYy54bWysUsFuGyEQvVfqPyDuNWtbca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" filled="f" stroked="f">
              <v:textbox inset="0,0,0,0">
                <w:txbxContent>
                  <w:p w14:paraId="1E80608B"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z w:val="20"/>
                      </w:rPr>
                      <w:t xml:space="preserve"> </w:t>
                    </w:r>
                    <w:r>
                      <w:rPr>
                        <w:spacing w:val="-10"/>
                        <w:sz w:val="20"/>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4"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8672" behindDoc="1" locked="0" layoutInCell="1" allowOverlap="1" wp14:anchorId="1E806023" wp14:editId="1E806024">
              <wp:simplePos x="0" y="0"/>
              <wp:positionH relativeFrom="page">
                <wp:posOffset>3630295</wp:posOffset>
              </wp:positionH>
              <wp:positionV relativeFrom="page">
                <wp:posOffset>10018020</wp:posOffset>
              </wp:positionV>
              <wp:extent cx="30226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8D"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22</w:t>
                          </w:r>
                          <w:r>
                            <w:rPr>
                              <w:sz w:val="20"/>
                            </w:rPr>
                            <w:fldChar w:fldCharType="end"/>
                          </w:r>
                          <w:r>
                            <w:rPr>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1E806023" id="_x0000_t202" coordsize="21600,21600" o:spt="202" path="m,l,21600r21600,l21600,xe">
              <v:stroke joinstyle="miter"/>
              <v:path gradientshapeok="t" o:connecttype="rect"/>
            </v:shapetype>
            <v:shape id="Textbox 62" o:spid="_x0000_s1107" type="#_x0000_t202" style="position:absolute;margin-left:285.85pt;margin-top:788.8pt;width:23.8pt;height:13.05pt;z-index:-17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DMlgEAACI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" filled="f" stroked="f">
              <v:textbox inset="0,0,0,0">
                <w:txbxContent>
                  <w:p w14:paraId="1E80608D"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22</w:t>
                    </w:r>
                    <w:r>
                      <w:rPr>
                        <w:sz w:val="20"/>
                      </w:rPr>
                      <w:fldChar w:fldCharType="end"/>
                    </w:r>
                    <w:r>
                      <w:rPr>
                        <w:sz w:val="20"/>
                      </w:rPr>
                      <w:t xml:space="preserve"> </w:t>
                    </w:r>
                    <w:r>
                      <w:rPr>
                        <w:spacing w:val="-10"/>
                        <w:sz w:val="20"/>
                      </w:rP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6"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0208" behindDoc="1" locked="0" layoutInCell="1" allowOverlap="1" wp14:anchorId="1E806029" wp14:editId="1E80602A">
              <wp:simplePos x="0" y="0"/>
              <wp:positionH relativeFrom="page">
                <wp:posOffset>3630295</wp:posOffset>
              </wp:positionH>
              <wp:positionV relativeFrom="page">
                <wp:posOffset>10018020</wp:posOffset>
              </wp:positionV>
              <wp:extent cx="30226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8F"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23</w:t>
                          </w:r>
                          <w:r>
                            <w:rPr>
                              <w:sz w:val="20"/>
                            </w:rPr>
                            <w:fldChar w:fldCharType="end"/>
                          </w:r>
                          <w:r>
                            <w:rPr>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1E806029" id="_x0000_t202" coordsize="21600,21600" o:spt="202" path="m,l,21600r21600,l21600,xe">
              <v:stroke joinstyle="miter"/>
              <v:path gradientshapeok="t" o:connecttype="rect"/>
            </v:shapetype>
            <v:shape id="Textbox 68" o:spid="_x0000_s1109" type="#_x0000_t202" style="position:absolute;margin-left:285.85pt;margin-top:788.8pt;width:23.8pt;height:13.05pt;z-index:-17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kvmAEAACI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" filled="f" stroked="f">
              <v:textbox inset="0,0,0,0">
                <w:txbxContent>
                  <w:p w14:paraId="1E80608F"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23</w:t>
                    </w:r>
                    <w:r>
                      <w:rPr>
                        <w:sz w:val="20"/>
                      </w:rPr>
                      <w:fldChar w:fldCharType="end"/>
                    </w:r>
                    <w:r>
                      <w:rPr>
                        <w:sz w:val="20"/>
                      </w:rPr>
                      <w:t xml:space="preserve"> </w:t>
                    </w:r>
                    <w:r>
                      <w:rPr>
                        <w:spacing w:val="-10"/>
                        <w:sz w:val="20"/>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8"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1232" behindDoc="1" locked="0" layoutInCell="1" allowOverlap="1" wp14:anchorId="1E80602D" wp14:editId="1E80602E">
              <wp:simplePos x="0" y="0"/>
              <wp:positionH relativeFrom="page">
                <wp:posOffset>3630295</wp:posOffset>
              </wp:positionH>
              <wp:positionV relativeFrom="page">
                <wp:posOffset>10018020</wp:posOffset>
              </wp:positionV>
              <wp:extent cx="30226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91"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37</w:t>
                          </w:r>
                          <w:r>
                            <w:rPr>
                              <w:sz w:val="20"/>
                            </w:rPr>
                            <w:fldChar w:fldCharType="end"/>
                          </w:r>
                          <w:r>
                            <w:rPr>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1E80602D" id="_x0000_t202" coordsize="21600,21600" o:spt="202" path="m,l,21600r21600,l21600,xe">
              <v:stroke joinstyle="miter"/>
              <v:path gradientshapeok="t" o:connecttype="rect"/>
            </v:shapetype>
            <v:shape id="Textbox 79" o:spid="_x0000_s1111" type="#_x0000_t202" style="position:absolute;margin-left:285.85pt;margin-top:788.8pt;width:23.8pt;height:13.05pt;z-index:-17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" filled="f" stroked="f">
              <v:textbox inset="0,0,0,0">
                <w:txbxContent>
                  <w:p w14:paraId="1E806091"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37</w:t>
                    </w:r>
                    <w:r>
                      <w:rPr>
                        <w:sz w:val="20"/>
                      </w:rPr>
                      <w:fldChar w:fldCharType="end"/>
                    </w:r>
                    <w:r>
                      <w:rPr>
                        <w:sz w:val="20"/>
                      </w:rPr>
                      <w:t xml:space="preserve"> </w:t>
                    </w:r>
                    <w:r>
                      <w:rPr>
                        <w:spacing w:val="-10"/>
                        <w:sz w:val="20"/>
                      </w:rPr>
                      <w: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A"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2768" behindDoc="1" locked="0" layoutInCell="1" allowOverlap="1" wp14:anchorId="1E806033" wp14:editId="1E806034">
              <wp:simplePos x="0" y="0"/>
              <wp:positionH relativeFrom="page">
                <wp:posOffset>3630295</wp:posOffset>
              </wp:positionH>
              <wp:positionV relativeFrom="page">
                <wp:posOffset>10018020</wp:posOffset>
              </wp:positionV>
              <wp:extent cx="30226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93"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z w:val="20"/>
                            </w:rPr>
                            <w:t xml:space="preserve"> </w:t>
                          </w:r>
                          <w:r>
                            <w:rPr>
                              <w:spacing w:val="-10"/>
                              <w:sz w:val="20"/>
                            </w:rPr>
                            <w:t>-</w:t>
                          </w:r>
                        </w:p>
                      </w:txbxContent>
                    </wps:txbx>
                    <wps:bodyPr wrap="square" lIns="0" tIns="0" rIns="0" bIns="0" rtlCol="0">
                      <a:noAutofit/>
                    </wps:bodyPr>
                  </wps:wsp>
                </a:graphicData>
              </a:graphic>
            </wp:anchor>
          </w:drawing>
        </mc:Choice>
        <mc:Fallback>
          <w:pict>
            <v:shapetype w14:anchorId="1E806033" id="_x0000_t202" coordsize="21600,21600" o:spt="202" path="m,l,21600r21600,l21600,xe">
              <v:stroke joinstyle="miter"/>
              <v:path gradientshapeok="t" o:connecttype="rect"/>
            </v:shapetype>
            <v:shape id="Textbox 85" o:spid="_x0000_s1113" type="#_x0000_t202" style="position:absolute;margin-left:285.85pt;margin-top:788.8pt;width:23.8pt;height:13.05pt;z-index:-17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" filled="f" stroked="f">
              <v:textbox inset="0,0,0,0">
                <w:txbxContent>
                  <w:p w14:paraId="1E806093" w14:textId="77777777" w:rsidR="00AA4A02" w:rsidRDefault="00960F31">
                    <w:pPr>
                      <w:spacing w:before="10"/>
                      <w:ind w:left="20"/>
                      <w:rPr>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38</w:t>
                    </w:r>
                    <w:r>
                      <w:rPr>
                        <w:sz w:val="20"/>
                      </w:rPr>
                      <w:fldChar w:fldCharType="end"/>
                    </w:r>
                    <w:r>
                      <w:rPr>
                        <w:sz w:val="20"/>
                      </w:rPr>
                      <w:t xml:space="preserve"> </w:t>
                    </w:r>
                    <w:r>
                      <w:rPr>
                        <w:spacing w:val="-10"/>
                        <w:sz w:val="20"/>
                      </w:rPr>
                      <w: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C"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4304" behindDoc="1" locked="0" layoutInCell="1" allowOverlap="1" wp14:anchorId="1E806039" wp14:editId="1E80603A">
              <wp:simplePos x="0" y="0"/>
              <wp:positionH relativeFrom="page">
                <wp:posOffset>5061330</wp:posOffset>
              </wp:positionH>
              <wp:positionV relativeFrom="page">
                <wp:posOffset>6886200</wp:posOffset>
              </wp:positionV>
              <wp:extent cx="30226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95" w14:textId="77777777" w:rsidR="00AA4A02" w:rsidRDefault="00960F31">
                          <w:pPr>
                            <w:spacing w:before="10"/>
                            <w:ind w:left="20"/>
                            <w:rPr>
                              <w:b/>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55</w:t>
                          </w:r>
                          <w:r>
                            <w:rPr>
                              <w:sz w:val="20"/>
                            </w:rPr>
                            <w:fldChar w:fldCharType="end"/>
                          </w:r>
                          <w:r>
                            <w:rPr>
                              <w:sz w:val="20"/>
                            </w:rPr>
                            <w:t xml:space="preserve"> </w:t>
                          </w:r>
                          <w:r>
                            <w:rPr>
                              <w:b/>
                              <w:spacing w:val="-10"/>
                              <w:sz w:val="20"/>
                            </w:rPr>
                            <w:t>-</w:t>
                          </w:r>
                        </w:p>
                      </w:txbxContent>
                    </wps:txbx>
                    <wps:bodyPr wrap="square" lIns="0" tIns="0" rIns="0" bIns="0" rtlCol="0">
                      <a:noAutofit/>
                    </wps:bodyPr>
                  </wps:wsp>
                </a:graphicData>
              </a:graphic>
            </wp:anchor>
          </w:drawing>
        </mc:Choice>
        <mc:Fallback>
          <w:pict>
            <v:shapetype w14:anchorId="1E806039" id="_x0000_t202" coordsize="21600,21600" o:spt="202" path="m,l,21600r21600,l21600,xe">
              <v:stroke joinstyle="miter"/>
              <v:path gradientshapeok="t" o:connecttype="rect"/>
            </v:shapetype>
            <v:shape id="Textbox 158" o:spid="_x0000_s1115" type="#_x0000_t202" style="position:absolute;margin-left:398.55pt;margin-top:542.2pt;width:23.8pt;height:13.05pt;z-index:-17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HQmAEAACIDAAAOAAAAZHJzL2Uyb0RvYy54bWysUsGO0zAQvSPxD5bv1GmqLS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" filled="f" stroked="f">
              <v:textbox inset="0,0,0,0">
                <w:txbxContent>
                  <w:p w14:paraId="1E806095" w14:textId="77777777" w:rsidR="00AA4A02" w:rsidRDefault="00960F31">
                    <w:pPr>
                      <w:spacing w:before="10"/>
                      <w:ind w:left="20"/>
                      <w:rPr>
                        <w:b/>
                        <w:sz w:val="20"/>
                      </w:rPr>
                    </w:pPr>
                    <w:r>
                      <w:rPr>
                        <w:sz w:val="20"/>
                      </w:rPr>
                      <w:t>-</w:t>
                    </w:r>
                    <w:r>
                      <w:rPr>
                        <w:spacing w:val="-1"/>
                        <w:sz w:val="20"/>
                      </w:rPr>
                      <w:t xml:space="preserve"> </w:t>
                    </w:r>
                    <w:r>
                      <w:rPr>
                        <w:sz w:val="20"/>
                      </w:rPr>
                      <w:fldChar w:fldCharType="begin"/>
                    </w:r>
                    <w:r>
                      <w:rPr>
                        <w:sz w:val="20"/>
                      </w:rPr>
                      <w:instrText xml:space="preserve"> PAGE </w:instrText>
                    </w:r>
                    <w:r>
                      <w:rPr>
                        <w:sz w:val="20"/>
                      </w:rPr>
                      <w:fldChar w:fldCharType="separate"/>
                    </w:r>
                    <w:r>
                      <w:rPr>
                        <w:sz w:val="20"/>
                      </w:rPr>
                      <w:t>55</w:t>
                    </w:r>
                    <w:r>
                      <w:rPr>
                        <w:sz w:val="20"/>
                      </w:rPr>
                      <w:fldChar w:fldCharType="end"/>
                    </w:r>
                    <w:r>
                      <w:rPr>
                        <w:sz w:val="20"/>
                      </w:rPr>
                      <w:t xml:space="preserve"> </w:t>
                    </w:r>
                    <w:r>
                      <w:rPr>
                        <w:b/>
                        <w:spacing w:val="-10"/>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A"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58944" behindDoc="1" locked="0" layoutInCell="1" allowOverlap="1" wp14:anchorId="1E805FFD" wp14:editId="1E805FFE">
              <wp:simplePos x="0" y="0"/>
              <wp:positionH relativeFrom="page">
                <wp:posOffset>3703320</wp:posOffset>
              </wp:positionH>
              <wp:positionV relativeFrom="page">
                <wp:posOffset>9887203</wp:posOffset>
              </wp:positionV>
              <wp:extent cx="166370" cy="177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7F"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5FFD" id="_x0000_t202" coordsize="21600,21600" o:spt="202" path="m,l,21600r21600,l21600,xe">
              <v:stroke joinstyle="miter"/>
              <v:path gradientshapeok="t" o:connecttype="rect"/>
            </v:shapetype>
            <v:shape id="Textbox 6" o:spid="_x0000_s1093" type="#_x0000_t202" style="position:absolute;margin-left:291.6pt;margin-top:778.5pt;width:13.1pt;height:14pt;z-index:-17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Wm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Vu/XnDGcWq7Xt1XxW10fR6T0xYIXOWgk&#10;8rgKAX18oJTb6/pcMnN5bp+JpGk3ib7NnLky3+ygPbGUkafZSPp90GilGL4GtiuP/hzgOdidA0zD&#10;JygfJCsK8OGQwPWFwBV3JsBzKLzmP5MH/fe5VF1/9vYPAA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JxrpaaXAQAA&#10;IQMAAA4AAAAAAAAAAAAAAAAALgIAAGRycy9lMm9Eb2MueG1sUEsBAi0AFAAGAAgAAAAhAKaPp9Xh&#10;AAAADQEAAA8AAAAAAAAAAAAAAAAA8QMAAGRycy9kb3ducmV2LnhtbFBLBQYAAAAABAAEAPMAAAD/&#10;BAAAAAA=&#10;" filled="f" stroked="f">
              <v:textbox inset="0,0,0,0">
                <w:txbxContent>
                  <w:p w14:paraId="1E80607F"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E"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5328" behindDoc="1" locked="0" layoutInCell="1" allowOverlap="1" wp14:anchorId="1E80603D" wp14:editId="1E80603E">
              <wp:simplePos x="0" y="0"/>
              <wp:positionH relativeFrom="page">
                <wp:posOffset>3630295</wp:posOffset>
              </wp:positionH>
              <wp:positionV relativeFrom="page">
                <wp:posOffset>10018020</wp:posOffset>
              </wp:positionV>
              <wp:extent cx="30226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1E806097" w14:textId="77777777" w:rsidR="00AA4A02" w:rsidRDefault="00960F31">
                          <w:pPr>
                            <w:spacing w:before="10"/>
                            <w:ind w:left="20"/>
                            <w:rPr>
                              <w:b/>
                              <w:sz w:val="20"/>
                            </w:rPr>
                          </w:pPr>
                          <w:r>
                            <w:rPr>
                              <w:sz w:val="20"/>
                            </w:rPr>
                            <w:t xml:space="preserve">- 57 </w:t>
                          </w:r>
                          <w:r>
                            <w:rPr>
                              <w:b/>
                              <w:spacing w:val="-10"/>
                              <w:sz w:val="20"/>
                            </w:rPr>
                            <w:t>-</w:t>
                          </w:r>
                        </w:p>
                      </w:txbxContent>
                    </wps:txbx>
                    <wps:bodyPr wrap="square" lIns="0" tIns="0" rIns="0" bIns="0" rtlCol="0">
                      <a:noAutofit/>
                    </wps:bodyPr>
                  </wps:wsp>
                </a:graphicData>
              </a:graphic>
            </wp:anchor>
          </w:drawing>
        </mc:Choice>
        <mc:Fallback>
          <w:pict>
            <v:shapetype w14:anchorId="1E80603D" id="_x0000_t202" coordsize="21600,21600" o:spt="202" path="m,l,21600r21600,l21600,xe">
              <v:stroke joinstyle="miter"/>
              <v:path gradientshapeok="t" o:connecttype="rect"/>
            </v:shapetype>
            <v:shape id="Textbox 162" o:spid="_x0000_s1117" type="#_x0000_t202" style="position:absolute;margin-left:285.85pt;margin-top:788.8pt;width:23.8pt;height:13.05pt;z-index:-17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" filled="f" stroked="f">
              <v:textbox inset="0,0,0,0">
                <w:txbxContent>
                  <w:p w14:paraId="1E806097" w14:textId="77777777" w:rsidR="00AA4A02" w:rsidRDefault="00960F31">
                    <w:pPr>
                      <w:spacing w:before="10"/>
                      <w:ind w:left="20"/>
                      <w:rPr>
                        <w:b/>
                        <w:sz w:val="20"/>
                      </w:rPr>
                    </w:pPr>
                    <w:r>
                      <w:rPr>
                        <w:sz w:val="20"/>
                      </w:rPr>
                      <w:t xml:space="preserve">- 57 </w:t>
                    </w:r>
                    <w:r>
                      <w:rPr>
                        <w:b/>
                        <w:spacing w:val="-10"/>
                        <w:sz w:val="20"/>
                      </w:rPr>
                      <w: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0" w14:textId="77777777" w:rsidR="00AA4A02" w:rsidRDefault="00AA4A0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2" w14:textId="77777777" w:rsidR="00AA4A02" w:rsidRDefault="00AA4A0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4"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6352" behindDoc="1" locked="0" layoutInCell="1" allowOverlap="1" wp14:anchorId="1E806041" wp14:editId="1E806042">
              <wp:simplePos x="0" y="0"/>
              <wp:positionH relativeFrom="page">
                <wp:posOffset>3703320</wp:posOffset>
              </wp:positionH>
              <wp:positionV relativeFrom="page">
                <wp:posOffset>9887203</wp:posOffset>
              </wp:positionV>
              <wp:extent cx="166370" cy="1778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A"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1" id="_x0000_t202" coordsize="21600,21600" o:spt="202" path="m,l,21600r21600,l21600,xe">
              <v:stroke joinstyle="miter"/>
              <v:path gradientshapeok="t" o:connecttype="rect"/>
            </v:shapetype>
            <v:shape id="Textbox 169" o:spid="_x0000_s1119" type="#_x0000_t202" style="position:absolute;margin-left:291.6pt;margin-top:778.5pt;width:13.1pt;height:14pt;z-index:-17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HWtkqCXAQAA&#10;IgMAAA4AAAAAAAAAAAAAAAAALgIAAGRycy9lMm9Eb2MueG1sUEsBAi0AFAAGAAgAAAAhAKaPp9Xh&#10;AAAADQEAAA8AAAAAAAAAAAAAAAAA8QMAAGRycy9kb3ducmV2LnhtbFBLBQYAAAAABAAEAPMAAAD/&#10;BAAAAAA=&#10;" filled="f" stroked="f">
              <v:textbox inset="0,0,0,0">
                <w:txbxContent>
                  <w:p w14:paraId="1E80609A"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6"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6864" behindDoc="1" locked="0" layoutInCell="1" allowOverlap="1" wp14:anchorId="1E806043" wp14:editId="1E806044">
              <wp:simplePos x="0" y="0"/>
              <wp:positionH relativeFrom="page">
                <wp:posOffset>3703320</wp:posOffset>
              </wp:positionH>
              <wp:positionV relativeFrom="page">
                <wp:posOffset>9887203</wp:posOffset>
              </wp:positionV>
              <wp:extent cx="166370" cy="1778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B"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3</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3" id="_x0000_t202" coordsize="21600,21600" o:spt="202" path="m,l,21600r21600,l21600,xe">
              <v:stroke joinstyle="miter"/>
              <v:path gradientshapeok="t" o:connecttype="rect"/>
            </v:shapetype>
            <v:shape id="Textbox 171" o:spid="_x0000_s1120" type="#_x0000_t202" style="position:absolute;margin-left:291.6pt;margin-top:778.5pt;width:13.1pt;height:14pt;z-index:-17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" filled="f" stroked="f">
              <v:textbox inset="0,0,0,0">
                <w:txbxContent>
                  <w:p w14:paraId="1E80609B"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3</w:t>
                    </w:r>
                    <w:r>
                      <w:rPr>
                        <w:rFonts w:ascii="Calibri"/>
                        <w:spacing w:val="-10"/>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8"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7376" behindDoc="1" locked="0" layoutInCell="1" allowOverlap="1" wp14:anchorId="1E806045" wp14:editId="1E806046">
              <wp:simplePos x="0" y="0"/>
              <wp:positionH relativeFrom="page">
                <wp:posOffset>3703320</wp:posOffset>
              </wp:positionH>
              <wp:positionV relativeFrom="page">
                <wp:posOffset>9887203</wp:posOffset>
              </wp:positionV>
              <wp:extent cx="166370" cy="1778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C"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4</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5" id="_x0000_t202" coordsize="21600,21600" o:spt="202" path="m,l,21600r21600,l21600,xe">
              <v:stroke joinstyle="miter"/>
              <v:path gradientshapeok="t" o:connecttype="rect"/>
            </v:shapetype>
            <v:shape id="Textbox 172" o:spid="_x0000_s1121" type="#_x0000_t202" style="position:absolute;margin-left:291.6pt;margin-top:778.5pt;width:13.1pt;height:14pt;z-index:-17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By0jWWXAQAA&#10;IgMAAA4AAAAAAAAAAAAAAAAALgIAAGRycy9lMm9Eb2MueG1sUEsBAi0AFAAGAAgAAAAhAKaPp9Xh&#10;AAAADQEAAA8AAAAAAAAAAAAAAAAA8QMAAGRycy9kb3ducmV2LnhtbFBLBQYAAAAABAAEAPMAAAD/&#10;BAAAAAA=&#10;" filled="f" stroked="f">
              <v:textbox inset="0,0,0,0">
                <w:txbxContent>
                  <w:p w14:paraId="1E80609C"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4</w:t>
                    </w:r>
                    <w:r>
                      <w:rPr>
                        <w:rFonts w:ascii="Calibri"/>
                        <w:spacing w:val="-10"/>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A"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7888" behindDoc="1" locked="0" layoutInCell="1" allowOverlap="1" wp14:anchorId="1E806047" wp14:editId="1E806048">
              <wp:simplePos x="0" y="0"/>
              <wp:positionH relativeFrom="page">
                <wp:posOffset>3703320</wp:posOffset>
              </wp:positionH>
              <wp:positionV relativeFrom="page">
                <wp:posOffset>9887203</wp:posOffset>
              </wp:positionV>
              <wp:extent cx="166370" cy="1778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D"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7" id="_x0000_t202" coordsize="21600,21600" o:spt="202" path="m,l,21600r21600,l21600,xe">
              <v:stroke joinstyle="miter"/>
              <v:path gradientshapeok="t" o:connecttype="rect"/>
            </v:shapetype>
            <v:shape id="Textbox 173" o:spid="_x0000_s1122" type="#_x0000_t202" style="position:absolute;margin-left:291.6pt;margin-top:778.5pt;width:13.1pt;height:14pt;z-index:-17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ArabMeXAQAA&#10;IgMAAA4AAAAAAAAAAAAAAAAALgIAAGRycy9lMm9Eb2MueG1sUEsBAi0AFAAGAAgAAAAhAKaPp9Xh&#10;AAAADQEAAA8AAAAAAAAAAAAAAAAA8QMAAGRycy9kb3ducmV2LnhtbFBLBQYAAAAABAAEAPMAAAD/&#10;BAAAAAA=&#10;" filled="f" stroked="f">
              <v:textbox inset="0,0,0,0">
                <w:txbxContent>
                  <w:p w14:paraId="1E80609D"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C"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8400" behindDoc="1" locked="0" layoutInCell="1" allowOverlap="1" wp14:anchorId="1E806049" wp14:editId="1E80604A">
              <wp:simplePos x="0" y="0"/>
              <wp:positionH relativeFrom="page">
                <wp:posOffset>3703320</wp:posOffset>
              </wp:positionH>
              <wp:positionV relativeFrom="page">
                <wp:posOffset>9887203</wp:posOffset>
              </wp:positionV>
              <wp:extent cx="166370" cy="1778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E"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6</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9" id="_x0000_t202" coordsize="21600,21600" o:spt="202" path="m,l,21600r21600,l21600,xe">
              <v:stroke joinstyle="miter"/>
              <v:path gradientshapeok="t" o:connecttype="rect"/>
            </v:shapetype>
            <v:shape id="Textbox 174" o:spid="_x0000_s1123" type="#_x0000_t202" style="position:absolute;margin-left:291.6pt;margin-top:778.5pt;width:13.1pt;height:14pt;z-index:-17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" filled="f" stroked="f">
              <v:textbox inset="0,0,0,0">
                <w:txbxContent>
                  <w:p w14:paraId="1E80609E"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6</w:t>
                    </w:r>
                    <w:r>
                      <w:rPr>
                        <w:rFonts w:ascii="Calibri"/>
                        <w:spacing w:val="-10"/>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E"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8912" behindDoc="1" locked="0" layoutInCell="1" allowOverlap="1" wp14:anchorId="1E80604B" wp14:editId="1E80604C">
              <wp:simplePos x="0" y="0"/>
              <wp:positionH relativeFrom="page">
                <wp:posOffset>3703320</wp:posOffset>
              </wp:positionH>
              <wp:positionV relativeFrom="page">
                <wp:posOffset>9887203</wp:posOffset>
              </wp:positionV>
              <wp:extent cx="166370" cy="1778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9F"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7</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B" id="_x0000_t202" coordsize="21600,21600" o:spt="202" path="m,l,21600r21600,l21600,xe">
              <v:stroke joinstyle="miter"/>
              <v:path gradientshapeok="t" o:connecttype="rect"/>
            </v:shapetype>
            <v:shape id="Textbox 177" o:spid="_x0000_s1124" type="#_x0000_t202" style="position:absolute;margin-left:291.6pt;margin-top:778.5pt;width:13.1pt;height:14pt;z-index:-17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IRqNSSXAQAA&#10;IgMAAA4AAAAAAAAAAAAAAAAALgIAAGRycy9lMm9Eb2MueG1sUEsBAi0AFAAGAAgAAAAhAKaPp9Xh&#10;AAAADQEAAA8AAAAAAAAAAAAAAAAA8QMAAGRycy9kb3ducmV2LnhtbFBLBQYAAAAABAAEAPMAAAD/&#10;BAAAAAA=&#10;" filled="f" stroked="f">
              <v:textbox inset="0,0,0,0">
                <w:txbxContent>
                  <w:p w14:paraId="1E80609F"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7</w:t>
                    </w:r>
                    <w:r>
                      <w:rPr>
                        <w:rFonts w:ascii="Calibri"/>
                        <w:spacing w:val="-10"/>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0"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9424" behindDoc="1" locked="0" layoutInCell="1" allowOverlap="1" wp14:anchorId="1E80604D" wp14:editId="1E80604E">
              <wp:simplePos x="0" y="0"/>
              <wp:positionH relativeFrom="page">
                <wp:posOffset>3703320</wp:posOffset>
              </wp:positionH>
              <wp:positionV relativeFrom="page">
                <wp:posOffset>9887203</wp:posOffset>
              </wp:positionV>
              <wp:extent cx="166370" cy="1778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A0"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8</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4D" id="_x0000_t202" coordsize="21600,21600" o:spt="202" path="m,l,21600r21600,l21600,xe">
              <v:stroke joinstyle="miter"/>
              <v:path gradientshapeok="t" o:connecttype="rect"/>
            </v:shapetype>
            <v:shape id="Textbox 180" o:spid="_x0000_s1125" type="#_x0000_t202" style="position:absolute;margin-left:291.6pt;margin-top:778.5pt;width:13.1pt;height:14pt;z-index:-17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MOymVWXAQAA&#10;IgMAAA4AAAAAAAAAAAAAAAAALgIAAGRycy9lMm9Eb2MueG1sUEsBAi0AFAAGAAgAAAAhAKaPp9Xh&#10;AAAADQEAAA8AAAAAAAAAAAAAAAAA8QMAAGRycy9kb3ducmV2LnhtbFBLBQYAAAAABAAEAPMAAAD/&#10;BAAAAAA=&#10;" filled="f" stroked="f">
              <v:textbox inset="0,0,0,0">
                <w:txbxContent>
                  <w:p w14:paraId="1E8060A0"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8</w:t>
                    </w:r>
                    <w:r>
                      <w:rPr>
                        <w:rFonts w:ascii="Calibri"/>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C"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59456" behindDoc="1" locked="0" layoutInCell="1" allowOverlap="1" wp14:anchorId="1E805FFF" wp14:editId="1E806000">
              <wp:simplePos x="0" y="0"/>
              <wp:positionH relativeFrom="page">
                <wp:posOffset>3703320</wp:posOffset>
              </wp:positionH>
              <wp:positionV relativeFrom="page">
                <wp:posOffset>9887203</wp:posOffset>
              </wp:positionV>
              <wp:extent cx="16637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80"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3</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5FFF" id="_x0000_t202" coordsize="21600,21600" o:spt="202" path="m,l,21600r21600,l21600,xe">
              <v:stroke joinstyle="miter"/>
              <v:path gradientshapeok="t" o:connecttype="rect"/>
            </v:shapetype>
            <v:shape id="Textbox 7" o:spid="_x0000_s1094" type="#_x0000_t202" style="position:absolute;margin-left:291.6pt;margin-top:778.5pt;width:13.1pt;height:14pt;z-index:-17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" filled="f" stroked="f">
              <v:textbox inset="0,0,0,0">
                <w:txbxContent>
                  <w:p w14:paraId="1E806080"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3</w:t>
                    </w:r>
                    <w:r>
                      <w:rPr>
                        <w:rFonts w:ascii="Calibri"/>
                        <w:spacing w:val="-10"/>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2"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9936" behindDoc="1" locked="0" layoutInCell="1" allowOverlap="1" wp14:anchorId="1E80604F" wp14:editId="1E806050">
              <wp:simplePos x="0" y="0"/>
              <wp:positionH relativeFrom="page">
                <wp:posOffset>3728720</wp:posOffset>
              </wp:positionH>
              <wp:positionV relativeFrom="page">
                <wp:posOffset>10042652</wp:posOffset>
              </wp:positionV>
              <wp:extent cx="102870" cy="1778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E8060A1" w14:textId="77777777" w:rsidR="00AA4A02" w:rsidRDefault="00960F31">
                          <w:pPr>
                            <w:spacing w:line="264" w:lineRule="exact"/>
                            <w:ind w:left="20"/>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1E80604F" id="_x0000_t202" coordsize="21600,21600" o:spt="202" path="m,l,21600r21600,l21600,xe">
              <v:stroke joinstyle="miter"/>
              <v:path gradientshapeok="t" o:connecttype="rect"/>
            </v:shapetype>
            <v:shape id="Textbox 181" o:spid="_x0000_s1126" type="#_x0000_t202" style="position:absolute;margin-left:293.6pt;margin-top:790.75pt;width:8.1pt;height:14pt;z-index:-17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" filled="f" stroked="f">
              <v:textbox inset="0,0,0,0">
                <w:txbxContent>
                  <w:p w14:paraId="1E8060A1" w14:textId="77777777" w:rsidR="00AA4A02" w:rsidRDefault="00960F31">
                    <w:pPr>
                      <w:spacing w:line="264" w:lineRule="exact"/>
                      <w:ind w:left="20"/>
                      <w:rPr>
                        <w:rFonts w:ascii="Calibri"/>
                        <w:sz w:val="24"/>
                      </w:rPr>
                    </w:pPr>
                    <w:r>
                      <w:rPr>
                        <w:rFonts w:ascii="Calibri"/>
                        <w:spacing w:val="-10"/>
                        <w:sz w:val="24"/>
                      </w:rPr>
                      <w:t>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4" w14:textId="77777777" w:rsidR="00AA4A02" w:rsidRDefault="00960F31">
    <w:pPr>
      <w:pStyle w:val="BodyText"/>
      <w:spacing w:line="14" w:lineRule="auto"/>
      <w:rPr>
        <w:sz w:val="19"/>
      </w:rPr>
    </w:pPr>
    <w:r>
      <w:rPr>
        <w:noProof/>
        <w:sz w:val="19"/>
      </w:rPr>
      <mc:AlternateContent>
        <mc:Choice Requires="wps">
          <w:drawing>
            <wp:anchor distT="0" distB="0" distL="0" distR="0" simplePos="0" relativeHeight="485480960" behindDoc="1" locked="0" layoutInCell="1" allowOverlap="1" wp14:anchorId="1E806053" wp14:editId="1E806054">
              <wp:simplePos x="0" y="0"/>
              <wp:positionH relativeFrom="page">
                <wp:posOffset>3728720</wp:posOffset>
              </wp:positionH>
              <wp:positionV relativeFrom="page">
                <wp:posOffset>10074655</wp:posOffset>
              </wp:positionV>
              <wp:extent cx="102870" cy="1778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E8060A2" w14:textId="77777777" w:rsidR="00AA4A02" w:rsidRDefault="00960F31">
                          <w:pPr>
                            <w:spacing w:line="264" w:lineRule="exact"/>
                            <w:ind w:left="20"/>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1E806053" id="_x0000_t202" coordsize="21600,21600" o:spt="202" path="m,l,21600r21600,l21600,xe">
              <v:stroke joinstyle="miter"/>
              <v:path gradientshapeok="t" o:connecttype="rect"/>
            </v:shapetype>
            <v:shape id="Textbox 185" o:spid="_x0000_s1127" type="#_x0000_t202" style="position:absolute;margin-left:293.6pt;margin-top:793.3pt;width:8.1pt;height:14pt;z-index:-17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" filled="f" stroked="f">
              <v:textbox inset="0,0,0,0">
                <w:txbxContent>
                  <w:p w14:paraId="1E8060A2" w14:textId="77777777" w:rsidR="00AA4A02" w:rsidRDefault="00960F31">
                    <w:pPr>
                      <w:spacing w:line="264" w:lineRule="exact"/>
                      <w:ind w:left="20"/>
                      <w:rPr>
                        <w:rFonts w:ascii="Calibri"/>
                        <w:sz w:val="24"/>
                      </w:rPr>
                    </w:pPr>
                    <w:r>
                      <w:rPr>
                        <w:rFonts w:ascii="Calibri"/>
                        <w:spacing w:val="-10"/>
                        <w:sz w:val="24"/>
                      </w:rPr>
                      <w:t>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6"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81472" behindDoc="1" locked="0" layoutInCell="1" allowOverlap="1" wp14:anchorId="1E806055" wp14:editId="1E806056">
              <wp:simplePos x="0" y="0"/>
              <wp:positionH relativeFrom="page">
                <wp:posOffset>3728720</wp:posOffset>
              </wp:positionH>
              <wp:positionV relativeFrom="page">
                <wp:posOffset>10073131</wp:posOffset>
              </wp:positionV>
              <wp:extent cx="102870" cy="1778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E8060A3" w14:textId="77777777" w:rsidR="00AA4A02" w:rsidRDefault="00960F31">
                          <w:pPr>
                            <w:spacing w:line="264" w:lineRule="exact"/>
                            <w:ind w:left="20"/>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1E806055" id="_x0000_t202" coordsize="21600,21600" o:spt="202" path="m,l,21600r21600,l21600,xe">
              <v:stroke joinstyle="miter"/>
              <v:path gradientshapeok="t" o:connecttype="rect"/>
            </v:shapetype>
            <v:shape id="Textbox 189" o:spid="_x0000_s1128" type="#_x0000_t202" style="position:absolute;margin-left:293.6pt;margin-top:793.15pt;width:8.1pt;height:14pt;z-index:-17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" filled="f" stroked="f">
              <v:textbox inset="0,0,0,0">
                <w:txbxContent>
                  <w:p w14:paraId="1E8060A3" w14:textId="77777777" w:rsidR="00AA4A02" w:rsidRDefault="00960F31">
                    <w:pPr>
                      <w:spacing w:line="264" w:lineRule="exact"/>
                      <w:ind w:left="20"/>
                      <w:rPr>
                        <w:rFonts w:ascii="Calibri"/>
                        <w:sz w:val="24"/>
                      </w:rPr>
                    </w:pPr>
                    <w:r>
                      <w:rPr>
                        <w:rFonts w:ascii="Calibri"/>
                        <w:spacing w:val="-10"/>
                        <w:sz w:val="24"/>
                      </w:rPr>
                      <w:t>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8"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82496" behindDoc="1" locked="0" layoutInCell="1" allowOverlap="1" wp14:anchorId="1E806059" wp14:editId="1E80605A">
              <wp:simplePos x="0" y="0"/>
              <wp:positionH relativeFrom="page">
                <wp:posOffset>5268467</wp:posOffset>
              </wp:positionH>
              <wp:positionV relativeFrom="page">
                <wp:posOffset>6942835</wp:posOffset>
              </wp:positionV>
              <wp:extent cx="166370" cy="1778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A5"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59" id="_x0000_t202" coordsize="21600,21600" o:spt="202" path="m,l,21600r21600,l21600,xe">
              <v:stroke joinstyle="miter"/>
              <v:path gradientshapeok="t" o:connecttype="rect"/>
            </v:shapetype>
            <v:shape id="Textbox 193" o:spid="_x0000_s1130" type="#_x0000_t202" style="position:absolute;margin-left:414.85pt;margin-top:546.7pt;width:13.1pt;height:14pt;z-index:-17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" filled="f" stroked="f">
              <v:textbox inset="0,0,0,0">
                <w:txbxContent>
                  <w:p w14:paraId="1E8060A5"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2</w:t>
                    </w:r>
                    <w:r>
                      <w:rPr>
                        <w:rFonts w:ascii="Calibri"/>
                        <w:spacing w:val="-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E"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59968" behindDoc="1" locked="0" layoutInCell="1" allowOverlap="1" wp14:anchorId="1E806001" wp14:editId="1E806002">
              <wp:simplePos x="0" y="0"/>
              <wp:positionH relativeFrom="page">
                <wp:posOffset>3703320</wp:posOffset>
              </wp:positionH>
              <wp:positionV relativeFrom="page">
                <wp:posOffset>9887203</wp:posOffset>
              </wp:positionV>
              <wp:extent cx="16637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81"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4</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01" id="_x0000_t202" coordsize="21600,21600" o:spt="202" path="m,l,21600r21600,l21600,xe">
              <v:stroke joinstyle="miter"/>
              <v:path gradientshapeok="t" o:connecttype="rect"/>
            </v:shapetype>
            <v:shape id="Textbox 8" o:spid="_x0000_s1095" type="#_x0000_t202" style="position:absolute;margin-left:291.6pt;margin-top:778.5pt;width:13.1pt;height:14pt;z-index:-17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BLb/EWXAQAA&#10;IQMAAA4AAAAAAAAAAAAAAAAALgIAAGRycy9lMm9Eb2MueG1sUEsBAi0AFAAGAAgAAAAhAKaPp9Xh&#10;AAAADQEAAA8AAAAAAAAAAAAAAAAA8QMAAGRycy9kb3ducmV2LnhtbFBLBQYAAAAABAAEAPMAAAD/&#10;BAAAAAA=&#10;" filled="f" stroked="f">
              <v:textbox inset="0,0,0,0">
                <w:txbxContent>
                  <w:p w14:paraId="1E806081"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4</w:t>
                    </w:r>
                    <w:r>
                      <w:rPr>
                        <w:rFonts w:ascii="Calibri"/>
                        <w:spacing w:val="-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0"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0480" behindDoc="1" locked="0" layoutInCell="1" allowOverlap="1" wp14:anchorId="1E806003" wp14:editId="1E806004">
              <wp:simplePos x="0" y="0"/>
              <wp:positionH relativeFrom="page">
                <wp:posOffset>3703320</wp:posOffset>
              </wp:positionH>
              <wp:positionV relativeFrom="page">
                <wp:posOffset>9887203</wp:posOffset>
              </wp:positionV>
              <wp:extent cx="16637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82"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03" id="_x0000_t202" coordsize="21600,21600" o:spt="202" path="m,l,21600r21600,l21600,xe">
              <v:stroke joinstyle="miter"/>
              <v:path gradientshapeok="t" o:connecttype="rect"/>
            </v:shapetype>
            <v:shape id="Textbox 9" o:spid="_x0000_s1096" type="#_x0000_t202" style="position:absolute;margin-left:291.6pt;margin-top:778.5pt;width:13.1pt;height:14pt;z-index:-17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IbUy8qXAQAA&#10;IQMAAA4AAAAAAAAAAAAAAAAALgIAAGRycy9lMm9Eb2MueG1sUEsBAi0AFAAGAAgAAAAhAKaPp9Xh&#10;AAAADQEAAA8AAAAAAAAAAAAAAAAA8QMAAGRycy9kb3ducmV2LnhtbFBLBQYAAAAABAAEAPMAAAD/&#10;BAAAAAA=&#10;" filled="f" stroked="f">
              <v:textbox inset="0,0,0,0">
                <w:txbxContent>
                  <w:p w14:paraId="1E806082"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2"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0992" behindDoc="1" locked="0" layoutInCell="1" allowOverlap="1" wp14:anchorId="1E806005" wp14:editId="1E806006">
              <wp:simplePos x="0" y="0"/>
              <wp:positionH relativeFrom="page">
                <wp:posOffset>3703320</wp:posOffset>
              </wp:positionH>
              <wp:positionV relativeFrom="page">
                <wp:posOffset>9887203</wp:posOffset>
              </wp:positionV>
              <wp:extent cx="16637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83"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6</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05" id="_x0000_t202" coordsize="21600,21600" o:spt="202" path="m,l,21600r21600,l21600,xe">
              <v:stroke joinstyle="miter"/>
              <v:path gradientshapeok="t" o:connecttype="rect"/>
            </v:shapetype>
            <v:shape id="Textbox 10" o:spid="_x0000_s1097" type="#_x0000_t202" style="position:absolute;margin-left:291.6pt;margin-top:778.5pt;width:13.1pt;height:14pt;z-index:-17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" filled="f" stroked="f">
              <v:textbox inset="0,0,0,0">
                <w:txbxContent>
                  <w:p w14:paraId="1E806083"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6</w:t>
                    </w:r>
                    <w:r>
                      <w:rPr>
                        <w:rFonts w:ascii="Calibri"/>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4"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2016" behindDoc="1" locked="0" layoutInCell="1" allowOverlap="1" wp14:anchorId="1E806009" wp14:editId="1E80600A">
              <wp:simplePos x="0" y="0"/>
              <wp:positionH relativeFrom="page">
                <wp:posOffset>3703320</wp:posOffset>
              </wp:positionH>
              <wp:positionV relativeFrom="page">
                <wp:posOffset>9838435</wp:posOffset>
              </wp:positionV>
              <wp:extent cx="16637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E806084"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1</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1E806009" id="_x0000_t202" coordsize="21600,21600" o:spt="202" path="m,l,21600r21600,l21600,xe">
              <v:stroke joinstyle="miter"/>
              <v:path gradientshapeok="t" o:connecttype="rect"/>
            </v:shapetype>
            <v:shape id="Textbox 12" o:spid="_x0000_s1098" type="#_x0000_t202" style="position:absolute;margin-left:291.6pt;margin-top:774.7pt;width:13.1pt;height:14pt;z-index:-17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" filled="f" stroked="f">
              <v:textbox inset="0,0,0,0">
                <w:txbxContent>
                  <w:p w14:paraId="1E806084" w14:textId="77777777" w:rsidR="00AA4A02" w:rsidRDefault="00960F31">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1</w:t>
                    </w:r>
                    <w:r>
                      <w:rPr>
                        <w:rFonts w:ascii="Calibri"/>
                        <w:spacing w:val="-10"/>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6"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3552" behindDoc="1" locked="0" layoutInCell="1" allowOverlap="1" wp14:anchorId="1E80600F" wp14:editId="1E806010">
              <wp:simplePos x="0" y="0"/>
              <wp:positionH relativeFrom="page">
                <wp:posOffset>3728720</wp:posOffset>
              </wp:positionH>
              <wp:positionV relativeFrom="page">
                <wp:posOffset>10042652</wp:posOffset>
              </wp:positionV>
              <wp:extent cx="102870"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1E806086" w14:textId="77777777" w:rsidR="00AA4A02" w:rsidRDefault="00960F31">
                          <w:pPr>
                            <w:spacing w:line="264" w:lineRule="exact"/>
                            <w:ind w:left="20"/>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1E80600F" id="_x0000_t202" coordsize="21600,21600" o:spt="202" path="m,l,21600r21600,l21600,xe">
              <v:stroke joinstyle="miter"/>
              <v:path gradientshapeok="t" o:connecttype="rect"/>
            </v:shapetype>
            <v:shape id="Textbox 16" o:spid="_x0000_s1100" type="#_x0000_t202" style="position:absolute;margin-left:293.6pt;margin-top:790.75pt;width:8.1pt;height:14pt;z-index:-17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" filled="f" stroked="f">
              <v:textbox inset="0,0,0,0">
                <w:txbxContent>
                  <w:p w14:paraId="1E806086" w14:textId="77777777" w:rsidR="00AA4A02" w:rsidRDefault="00960F31">
                    <w:pPr>
                      <w:spacing w:line="264" w:lineRule="exact"/>
                      <w:ind w:left="20"/>
                      <w:rPr>
                        <w:rFonts w:ascii="Calibri"/>
                        <w:sz w:val="24"/>
                      </w:rPr>
                    </w:pPr>
                    <w:r>
                      <w:rPr>
                        <w:rFonts w:ascii="Calibri"/>
                        <w:spacing w:val="-10"/>
                        <w:sz w:val="24"/>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8" w14:textId="77777777" w:rsidR="00AA4A02" w:rsidRDefault="00AA4A0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B5AE5" w14:textId="77777777" w:rsidR="00B960F5" w:rsidRDefault="00B960F5">
      <w:r>
        <w:separator/>
      </w:r>
    </w:p>
  </w:footnote>
  <w:footnote w:type="continuationSeparator" w:id="0">
    <w:p w14:paraId="0D95F8B0" w14:textId="77777777" w:rsidR="00B960F5" w:rsidRDefault="00B96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7" w14:textId="77777777" w:rsidR="00AA4A02" w:rsidRDefault="00960F31">
    <w:pPr>
      <w:pStyle w:val="BodyText"/>
      <w:spacing w:line="14" w:lineRule="auto"/>
      <w:rPr>
        <w:sz w:val="20"/>
      </w:rPr>
    </w:pPr>
    <w:r>
      <w:rPr>
        <w:noProof/>
        <w:sz w:val="20"/>
      </w:rPr>
      <w:drawing>
        <wp:anchor distT="0" distB="0" distL="0" distR="0" simplePos="0" relativeHeight="485457920" behindDoc="1" locked="0" layoutInCell="1" allowOverlap="1" wp14:anchorId="1E805FF9" wp14:editId="1E805FFA">
          <wp:simplePos x="0" y="0"/>
          <wp:positionH relativeFrom="page">
            <wp:posOffset>0</wp:posOffset>
          </wp:positionH>
          <wp:positionV relativeFrom="page">
            <wp:posOffset>0</wp:posOffset>
          </wp:positionV>
          <wp:extent cx="7560564" cy="115633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0564" cy="115633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9" w14:textId="77777777" w:rsidR="00AA4A02" w:rsidRDefault="00960F31">
    <w:pPr>
      <w:pStyle w:val="BodyText"/>
      <w:spacing w:line="14" w:lineRule="auto"/>
      <w:rPr>
        <w:sz w:val="20"/>
      </w:rPr>
    </w:pPr>
    <w:r>
      <w:rPr>
        <w:noProof/>
        <w:sz w:val="20"/>
      </w:rPr>
      <w:drawing>
        <wp:anchor distT="0" distB="0" distL="0" distR="0" simplePos="0" relativeHeight="485464064" behindDoc="1" locked="0" layoutInCell="1" allowOverlap="1" wp14:anchorId="1E806011" wp14:editId="1E806012">
          <wp:simplePos x="0" y="0"/>
          <wp:positionH relativeFrom="page">
            <wp:posOffset>414039</wp:posOffset>
          </wp:positionH>
          <wp:positionV relativeFrom="page">
            <wp:posOffset>413821</wp:posOffset>
          </wp:positionV>
          <wp:extent cx="2347758" cy="44545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2347758" cy="44545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B" w14:textId="77777777" w:rsidR="00AA4A02" w:rsidRDefault="00960F31">
    <w:pPr>
      <w:pStyle w:val="BodyText"/>
      <w:spacing w:line="14" w:lineRule="auto"/>
      <w:rPr>
        <w:sz w:val="20"/>
      </w:rPr>
    </w:pPr>
    <w:r>
      <w:rPr>
        <w:noProof/>
        <w:sz w:val="20"/>
      </w:rPr>
      <w:drawing>
        <wp:anchor distT="0" distB="0" distL="0" distR="0" simplePos="0" relativeHeight="485464576" behindDoc="1" locked="0" layoutInCell="1" allowOverlap="1" wp14:anchorId="1E806013" wp14:editId="1E806014">
          <wp:simplePos x="0" y="0"/>
          <wp:positionH relativeFrom="page">
            <wp:posOffset>414039</wp:posOffset>
          </wp:positionH>
          <wp:positionV relativeFrom="page">
            <wp:posOffset>413821</wp:posOffset>
          </wp:positionV>
          <wp:extent cx="2347758" cy="44545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2347758" cy="44545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D" w14:textId="77777777" w:rsidR="00AA4A02" w:rsidRDefault="00AA4A0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F" w14:textId="77777777" w:rsidR="00AA4A02" w:rsidRDefault="00AA4A0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1"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6624" behindDoc="1" locked="0" layoutInCell="1" allowOverlap="1" wp14:anchorId="1E80601B" wp14:editId="1E80601C">
              <wp:simplePos x="0" y="0"/>
              <wp:positionH relativeFrom="page">
                <wp:posOffset>882700</wp:posOffset>
              </wp:positionH>
              <wp:positionV relativeFrom="page">
                <wp:posOffset>880871</wp:posOffset>
              </wp:positionV>
              <wp:extent cx="5796915"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32F83" id="Graphic 42" o:spid="_x0000_s1026" style="position:absolute;margin-left:69.5pt;margin-top:69.35pt;width:456.45pt;height:.5pt;z-index:-1784985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85467136" behindDoc="1" locked="0" layoutInCell="1" allowOverlap="1" wp14:anchorId="1E80601D" wp14:editId="1E80601E">
              <wp:simplePos x="0" y="0"/>
              <wp:positionH relativeFrom="page">
                <wp:posOffset>888288</wp:posOffset>
              </wp:positionH>
              <wp:positionV relativeFrom="page">
                <wp:posOffset>424714</wp:posOffset>
              </wp:positionV>
              <wp:extent cx="5612765" cy="321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321310"/>
                      </a:xfrm>
                      <a:prstGeom prst="rect">
                        <a:avLst/>
                      </a:prstGeom>
                    </wps:spPr>
                    <wps:txbx>
                      <w:txbxContent>
                        <w:p w14:paraId="1E80608A"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1D" id="_x0000_t202" coordsize="21600,21600" o:spt="202" path="m,l,21600r21600,l21600,xe">
              <v:stroke joinstyle="miter"/>
              <v:path gradientshapeok="t" o:connecttype="rect"/>
            </v:shapetype>
            <v:shape id="Textbox 43" o:spid="_x0000_s1104" type="#_x0000_t202" style="position:absolute;margin-left:69.95pt;margin-top:33.45pt;width:441.95pt;height:25.3pt;z-index:-17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" filled="f" stroked="f">
              <v:textbox inset="0,0,0,0">
                <w:txbxContent>
                  <w:p w14:paraId="1E80608A"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3"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8160" behindDoc="1" locked="0" layoutInCell="1" allowOverlap="1" wp14:anchorId="1E806021" wp14:editId="1E806022">
              <wp:simplePos x="0" y="0"/>
              <wp:positionH relativeFrom="page">
                <wp:posOffset>888288</wp:posOffset>
              </wp:positionH>
              <wp:positionV relativeFrom="page">
                <wp:posOffset>424714</wp:posOffset>
              </wp:positionV>
              <wp:extent cx="5612765" cy="321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321310"/>
                      </a:xfrm>
                      <a:prstGeom prst="rect">
                        <a:avLst/>
                      </a:prstGeom>
                    </wps:spPr>
                    <wps:txbx>
                      <w:txbxContent>
                        <w:p w14:paraId="1E80608C"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21" id="_x0000_t202" coordsize="21600,21600" o:spt="202" path="m,l,21600r21600,l21600,xe">
              <v:stroke joinstyle="miter"/>
              <v:path gradientshapeok="t" o:connecttype="rect"/>
            </v:shapetype>
            <v:shape id="Textbox 61" o:spid="_x0000_s1106" type="#_x0000_t202" style="position:absolute;margin-left:69.95pt;margin-top:33.45pt;width:441.95pt;height:25.3pt;z-index:-17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" filled="f" stroked="f">
              <v:textbox inset="0,0,0,0">
                <w:txbxContent>
                  <w:p w14:paraId="1E80608C"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5"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9184" behindDoc="1" locked="0" layoutInCell="1" allowOverlap="1" wp14:anchorId="1E806025" wp14:editId="1E806026">
              <wp:simplePos x="0" y="0"/>
              <wp:positionH relativeFrom="page">
                <wp:posOffset>882700</wp:posOffset>
              </wp:positionH>
              <wp:positionV relativeFrom="page">
                <wp:posOffset>880871</wp:posOffset>
              </wp:positionV>
              <wp:extent cx="5796915" cy="63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666F4" id="Graphic 66" o:spid="_x0000_s1026" style="position:absolute;margin-left:69.5pt;margin-top:69.35pt;width:456.45pt;height:.5pt;z-index:-1784729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85469696" behindDoc="1" locked="0" layoutInCell="1" allowOverlap="1" wp14:anchorId="1E806027" wp14:editId="1E806028">
              <wp:simplePos x="0" y="0"/>
              <wp:positionH relativeFrom="page">
                <wp:posOffset>888288</wp:posOffset>
              </wp:positionH>
              <wp:positionV relativeFrom="page">
                <wp:posOffset>424714</wp:posOffset>
              </wp:positionV>
              <wp:extent cx="5612765" cy="321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321310"/>
                      </a:xfrm>
                      <a:prstGeom prst="rect">
                        <a:avLst/>
                      </a:prstGeom>
                    </wps:spPr>
                    <wps:txbx>
                      <w:txbxContent>
                        <w:p w14:paraId="1E80608E"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27" id="_x0000_t202" coordsize="21600,21600" o:spt="202" path="m,l,21600r21600,l21600,xe">
              <v:stroke joinstyle="miter"/>
              <v:path gradientshapeok="t" o:connecttype="rect"/>
            </v:shapetype>
            <v:shape id="Textbox 67" o:spid="_x0000_s1108" type="#_x0000_t202" style="position:absolute;margin-left:69.95pt;margin-top:33.45pt;width:441.95pt;height:25.3pt;z-index:-17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" filled="f" stroked="f">
              <v:textbox inset="0,0,0,0">
                <w:txbxContent>
                  <w:p w14:paraId="1E80608E"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7"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0720" behindDoc="1" locked="0" layoutInCell="1" allowOverlap="1" wp14:anchorId="1E80602B" wp14:editId="1E80602C">
              <wp:simplePos x="0" y="0"/>
              <wp:positionH relativeFrom="page">
                <wp:posOffset>888288</wp:posOffset>
              </wp:positionH>
              <wp:positionV relativeFrom="page">
                <wp:posOffset>424714</wp:posOffset>
              </wp:positionV>
              <wp:extent cx="5612765" cy="321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321310"/>
                      </a:xfrm>
                      <a:prstGeom prst="rect">
                        <a:avLst/>
                      </a:prstGeom>
                    </wps:spPr>
                    <wps:txbx>
                      <w:txbxContent>
                        <w:p w14:paraId="1E806090"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2B" id="_x0000_t202" coordsize="21600,21600" o:spt="202" path="m,l,21600r21600,l21600,xe">
              <v:stroke joinstyle="miter"/>
              <v:path gradientshapeok="t" o:connecttype="rect"/>
            </v:shapetype>
            <v:shape id="Textbox 78" o:spid="_x0000_s1110" type="#_x0000_t202" style="position:absolute;margin-left:69.95pt;margin-top:33.45pt;width:441.95pt;height:25.3pt;z-index:-17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" filled="f" stroked="f">
              <v:textbox inset="0,0,0,0">
                <w:txbxContent>
                  <w:p w14:paraId="1E806090"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9"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1744" behindDoc="1" locked="0" layoutInCell="1" allowOverlap="1" wp14:anchorId="1E80602F" wp14:editId="1E806030">
              <wp:simplePos x="0" y="0"/>
              <wp:positionH relativeFrom="page">
                <wp:posOffset>882700</wp:posOffset>
              </wp:positionH>
              <wp:positionV relativeFrom="page">
                <wp:posOffset>880871</wp:posOffset>
              </wp:positionV>
              <wp:extent cx="5796915"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AD33D" id="Graphic 83" o:spid="_x0000_s1026" style="position:absolute;margin-left:69.5pt;margin-top:69.35pt;width:456.45pt;height:.5pt;z-index:-1784473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85472256" behindDoc="1" locked="0" layoutInCell="1" allowOverlap="1" wp14:anchorId="1E806031" wp14:editId="1E806032">
              <wp:simplePos x="0" y="0"/>
              <wp:positionH relativeFrom="page">
                <wp:posOffset>888288</wp:posOffset>
              </wp:positionH>
              <wp:positionV relativeFrom="page">
                <wp:posOffset>424714</wp:posOffset>
              </wp:positionV>
              <wp:extent cx="5612765" cy="321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321310"/>
                      </a:xfrm>
                      <a:prstGeom prst="rect">
                        <a:avLst/>
                      </a:prstGeom>
                    </wps:spPr>
                    <wps:txbx>
                      <w:txbxContent>
                        <w:p w14:paraId="1E806092"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31" id="_x0000_t202" coordsize="21600,21600" o:spt="202" path="m,l,21600r21600,l21600,xe">
              <v:stroke joinstyle="miter"/>
              <v:path gradientshapeok="t" o:connecttype="rect"/>
            </v:shapetype>
            <v:shape id="Textbox 84" o:spid="_x0000_s1112" type="#_x0000_t202" style="position:absolute;margin-left:69.95pt;margin-top:33.45pt;width:441.95pt;height:25.3pt;z-index:-17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" filled="f" stroked="f">
              <v:textbox inset="0,0,0,0">
                <w:txbxContent>
                  <w:p w14:paraId="1E806092" w14:textId="77777777" w:rsidR="00AA4A02" w:rsidRDefault="00960F31">
                    <w:pPr>
                      <w:spacing w:before="38" w:line="208" w:lineRule="auto"/>
                      <w:ind w:left="20"/>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B"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3280" behindDoc="1" locked="0" layoutInCell="1" allowOverlap="1" wp14:anchorId="1E806035" wp14:editId="1E806036">
              <wp:simplePos x="0" y="0"/>
              <wp:positionH relativeFrom="page">
                <wp:posOffset>882396</wp:posOffset>
              </wp:positionH>
              <wp:positionV relativeFrom="page">
                <wp:posOffset>740664</wp:posOffset>
              </wp:positionV>
              <wp:extent cx="8659495" cy="635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9495" cy="6350"/>
                      </a:xfrm>
                      <a:custGeom>
                        <a:avLst/>
                        <a:gdLst/>
                        <a:ahLst/>
                        <a:cxnLst/>
                        <a:rect l="l" t="t" r="r" b="b"/>
                        <a:pathLst>
                          <a:path w="8659495" h="6350">
                            <a:moveTo>
                              <a:pt x="8659114" y="0"/>
                            </a:moveTo>
                            <a:lnTo>
                              <a:pt x="0" y="0"/>
                            </a:lnTo>
                            <a:lnTo>
                              <a:pt x="0" y="6096"/>
                            </a:lnTo>
                            <a:lnTo>
                              <a:pt x="8659114" y="6096"/>
                            </a:lnTo>
                            <a:lnTo>
                              <a:pt x="86591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B4B1B" id="Graphic 156" o:spid="_x0000_s1026" style="position:absolute;margin-left:69.5pt;margin-top:58.3pt;width:681.85pt;height:.5pt;z-index:-17843200;visibility:visible;mso-wrap-style:square;mso-wrap-distance-left:0;mso-wrap-distance-top:0;mso-wrap-distance-right:0;mso-wrap-distance-bottom:0;mso-position-horizontal:absolute;mso-position-horizontal-relative:page;mso-position-vertical:absolute;mso-position-vertical-relative:page;v-text-anchor:top" coordsize="8659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" path="m8659114,l,,,6096r8659114,l8659114,xe" fillcolor="black" stroked="f">
              <v:path arrowok="t"/>
              <w10:wrap anchorx="page" anchory="page"/>
            </v:shape>
          </w:pict>
        </mc:Fallback>
      </mc:AlternateContent>
    </w:r>
    <w:r>
      <w:rPr>
        <w:noProof/>
        <w:sz w:val="20"/>
      </w:rPr>
      <mc:AlternateContent>
        <mc:Choice Requires="wps">
          <w:drawing>
            <wp:anchor distT="0" distB="0" distL="0" distR="0" simplePos="0" relativeHeight="485473792" behindDoc="1" locked="0" layoutInCell="1" allowOverlap="1" wp14:anchorId="1E806037" wp14:editId="1E806038">
              <wp:simplePos x="0" y="0"/>
              <wp:positionH relativeFrom="page">
                <wp:posOffset>887983</wp:posOffset>
              </wp:positionH>
              <wp:positionV relativeFrom="page">
                <wp:posOffset>424714</wp:posOffset>
              </wp:positionV>
              <wp:extent cx="6738620" cy="1809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8620" cy="180975"/>
                      </a:xfrm>
                      <a:prstGeom prst="rect">
                        <a:avLst/>
                      </a:prstGeom>
                    </wps:spPr>
                    <wps:txbx>
                      <w:txbxContent>
                        <w:p w14:paraId="1E806094" w14:textId="77777777" w:rsidR="00AA4A02" w:rsidRDefault="00960F31">
                          <w:pPr>
                            <w:spacing w:before="11"/>
                            <w:ind w:left="20"/>
                            <w:rPr>
                              <w:b/>
                              <w:i/>
                            </w:rPr>
                          </w:pPr>
                          <w:r>
                            <w:rPr>
                              <w:b/>
                              <w:i/>
                            </w:rPr>
                            <w:t>Due</w:t>
                          </w:r>
                          <w:r>
                            <w:rPr>
                              <w:b/>
                              <w:i/>
                              <w:spacing w:val="-5"/>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w:t>
                          </w:r>
                          <w:r>
                            <w:rPr>
                              <w:b/>
                              <w:i/>
                              <w:spacing w:val="-4"/>
                            </w:rPr>
                            <w:t xml:space="preserve"> </w:t>
                          </w:r>
                          <w:r>
                            <w:rPr>
                              <w:b/>
                              <w:i/>
                            </w:rPr>
                            <w:t>Other</w:t>
                          </w:r>
                          <w:r>
                            <w:rPr>
                              <w:b/>
                              <w:i/>
                              <w:spacing w:val="-5"/>
                            </w:rPr>
                            <w:t xml:space="preserve"> </w:t>
                          </w:r>
                          <w:r>
                            <w:rPr>
                              <w:b/>
                              <w:i/>
                              <w:spacing w:val="-2"/>
                            </w:rPr>
                            <w:t>Publications</w:t>
                          </w:r>
                        </w:p>
                      </w:txbxContent>
                    </wps:txbx>
                    <wps:bodyPr wrap="square" lIns="0" tIns="0" rIns="0" bIns="0" rtlCol="0">
                      <a:noAutofit/>
                    </wps:bodyPr>
                  </wps:wsp>
                </a:graphicData>
              </a:graphic>
            </wp:anchor>
          </w:drawing>
        </mc:Choice>
        <mc:Fallback>
          <w:pict>
            <v:shapetype w14:anchorId="1E806037" id="_x0000_t202" coordsize="21600,21600" o:spt="202" path="m,l,21600r21600,l21600,xe">
              <v:stroke joinstyle="miter"/>
              <v:path gradientshapeok="t" o:connecttype="rect"/>
            </v:shapetype>
            <v:shape id="Textbox 157" o:spid="_x0000_s1114" type="#_x0000_t202" style="position:absolute;margin-left:69.9pt;margin-top:33.45pt;width:530.6pt;height:14.25pt;z-index:-17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CNmQEAACMDAAAOAAAAZHJzL2Uyb0RvYy54bWysUtGuEyEQfTfxHwjvlu0ae+u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" filled="f" stroked="f">
              <v:textbox inset="0,0,0,0">
                <w:txbxContent>
                  <w:p w14:paraId="1E806094" w14:textId="77777777" w:rsidR="00AA4A02" w:rsidRDefault="00960F31">
                    <w:pPr>
                      <w:spacing w:before="11"/>
                      <w:ind w:left="20"/>
                      <w:rPr>
                        <w:b/>
                        <w:i/>
                      </w:rPr>
                    </w:pPr>
                    <w:r>
                      <w:rPr>
                        <w:b/>
                        <w:i/>
                      </w:rPr>
                      <w:t>Due</w:t>
                    </w:r>
                    <w:r>
                      <w:rPr>
                        <w:b/>
                        <w:i/>
                        <w:spacing w:val="-5"/>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w:t>
                    </w:r>
                    <w:r>
                      <w:rPr>
                        <w:b/>
                        <w:i/>
                        <w:spacing w:val="-4"/>
                      </w:rPr>
                      <w:t xml:space="preserve"> </w:t>
                    </w:r>
                    <w:r>
                      <w:rPr>
                        <w:b/>
                        <w:i/>
                      </w:rPr>
                      <w:t>Other</w:t>
                    </w:r>
                    <w:r>
                      <w:rPr>
                        <w:b/>
                        <w:i/>
                        <w:spacing w:val="-5"/>
                      </w:rPr>
                      <w:t xml:space="preserve"> </w:t>
                    </w:r>
                    <w:r>
                      <w:rPr>
                        <w:b/>
                        <w:i/>
                        <w:spacing w:val="-2"/>
                      </w:rPr>
                      <w:t>Publications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9" w14:textId="77777777" w:rsidR="00AA4A02" w:rsidRDefault="00AA4A0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D"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4816" behindDoc="1" locked="0" layoutInCell="1" allowOverlap="1" wp14:anchorId="1E80603B" wp14:editId="1E80603C">
              <wp:simplePos x="0" y="0"/>
              <wp:positionH relativeFrom="page">
                <wp:posOffset>888288</wp:posOffset>
              </wp:positionH>
              <wp:positionV relativeFrom="page">
                <wp:posOffset>424714</wp:posOffset>
              </wp:positionV>
              <wp:extent cx="5613400" cy="321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321310"/>
                      </a:xfrm>
                      <a:prstGeom prst="rect">
                        <a:avLst/>
                      </a:prstGeom>
                    </wps:spPr>
                    <wps:txbx>
                      <w:txbxContent>
                        <w:p w14:paraId="1E806096" w14:textId="77777777" w:rsidR="00AA4A02" w:rsidRDefault="00960F31">
                          <w:pPr>
                            <w:spacing w:before="38" w:line="208" w:lineRule="auto"/>
                            <w:ind w:left="20" w:right="18"/>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wps:txbx>
                    <wps:bodyPr wrap="square" lIns="0" tIns="0" rIns="0" bIns="0" rtlCol="0">
                      <a:noAutofit/>
                    </wps:bodyPr>
                  </wps:wsp>
                </a:graphicData>
              </a:graphic>
            </wp:anchor>
          </w:drawing>
        </mc:Choice>
        <mc:Fallback>
          <w:pict>
            <v:shapetype w14:anchorId="1E80603B" id="_x0000_t202" coordsize="21600,21600" o:spt="202" path="m,l,21600r21600,l21600,xe">
              <v:stroke joinstyle="miter"/>
              <v:path gradientshapeok="t" o:connecttype="rect"/>
            </v:shapetype>
            <v:shape id="Textbox 161" o:spid="_x0000_s1116" type="#_x0000_t202" style="position:absolute;margin-left:69.95pt;margin-top:33.45pt;width:442pt;height:25.3pt;z-index:-178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" filled="f" stroked="f">
              <v:textbox inset="0,0,0,0">
                <w:txbxContent>
                  <w:p w14:paraId="1E806096" w14:textId="77777777" w:rsidR="00AA4A02" w:rsidRDefault="00960F31">
                    <w:pPr>
                      <w:spacing w:before="38" w:line="208" w:lineRule="auto"/>
                      <w:ind w:left="20" w:right="18"/>
                      <w:rPr>
                        <w:b/>
                        <w:i/>
                      </w:rPr>
                    </w:pPr>
                    <w:r>
                      <w:rPr>
                        <w:b/>
                        <w:i/>
                      </w:rPr>
                      <w:t>Due</w:t>
                    </w:r>
                    <w:r>
                      <w:rPr>
                        <w:b/>
                        <w:i/>
                        <w:spacing w:val="-4"/>
                      </w:rPr>
                      <w:t xml:space="preserve"> </w:t>
                    </w:r>
                    <w:r>
                      <w:rPr>
                        <w:b/>
                        <w:i/>
                      </w:rPr>
                      <w:t>Process</w:t>
                    </w:r>
                    <w:r>
                      <w:rPr>
                        <w:b/>
                        <w:i/>
                        <w:spacing w:val="-3"/>
                      </w:rPr>
                      <w:t xml:space="preserve"> </w:t>
                    </w:r>
                    <w:r>
                      <w:rPr>
                        <w:b/>
                        <w:i/>
                      </w:rPr>
                      <w:t>Framework</w:t>
                    </w:r>
                    <w:r>
                      <w:rPr>
                        <w:b/>
                        <w:i/>
                        <w:spacing w:val="-4"/>
                      </w:rPr>
                      <w:t xml:space="preserve"> </w:t>
                    </w:r>
                    <w:r>
                      <w:rPr>
                        <w:b/>
                        <w:i/>
                      </w:rPr>
                      <w:t>for</w:t>
                    </w:r>
                    <w:r>
                      <w:rPr>
                        <w:b/>
                        <w:i/>
                        <w:spacing w:val="-4"/>
                      </w:rPr>
                      <w:t xml:space="preserve"> </w:t>
                    </w:r>
                    <w:r>
                      <w:rPr>
                        <w:b/>
                        <w:i/>
                      </w:rPr>
                      <w:t>Developing,</w:t>
                    </w:r>
                    <w:r>
                      <w:rPr>
                        <w:b/>
                        <w:i/>
                        <w:spacing w:val="-4"/>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4"/>
                      </w:rPr>
                      <w:t xml:space="preserve"> </w:t>
                    </w:r>
                    <w:r>
                      <w:rPr>
                        <w:b/>
                        <w:i/>
                      </w:rPr>
                      <w:t>AUASB</w:t>
                    </w:r>
                    <w:r>
                      <w:rPr>
                        <w:b/>
                        <w:i/>
                        <w:spacing w:val="-6"/>
                      </w:rPr>
                      <w:t xml:space="preserve"> </w:t>
                    </w:r>
                    <w:r>
                      <w:rPr>
                        <w:b/>
                        <w:i/>
                      </w:rPr>
                      <w:t>Pronouncements</w:t>
                    </w:r>
                    <w:r>
                      <w:rPr>
                        <w:b/>
                        <w:i/>
                        <w:spacing w:val="-4"/>
                      </w:rPr>
                      <w:t xml:space="preserve"> </w:t>
                    </w:r>
                    <w:r>
                      <w:rPr>
                        <w:b/>
                        <w:i/>
                      </w:rPr>
                      <w:t>and Other Publications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DF"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75840" behindDoc="1" locked="0" layoutInCell="1" allowOverlap="1" wp14:anchorId="1E80603F" wp14:editId="1E806040">
              <wp:simplePos x="0" y="0"/>
              <wp:positionH relativeFrom="page">
                <wp:posOffset>369824</wp:posOffset>
              </wp:positionH>
              <wp:positionV relativeFrom="page">
                <wp:posOffset>334798</wp:posOffset>
              </wp:positionV>
              <wp:extent cx="5915660" cy="31940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319405"/>
                      </a:xfrm>
                      <a:prstGeom prst="rect">
                        <a:avLst/>
                      </a:prstGeom>
                    </wps:spPr>
                    <wps:txbx>
                      <w:txbxContent>
                        <w:p w14:paraId="1E806098" w14:textId="77777777" w:rsidR="00AA4A02" w:rsidRDefault="00960F31">
                          <w:pPr>
                            <w:spacing w:before="11" w:line="236" w:lineRule="exact"/>
                            <w:ind w:left="48"/>
                            <w:rPr>
                              <w:b/>
                              <w:i/>
                            </w:rPr>
                          </w:pPr>
                          <w:r>
                            <w:rPr>
                              <w:b/>
                              <w:i/>
                            </w:rPr>
                            <w:t>Due</w:t>
                          </w:r>
                          <w:r>
                            <w:rPr>
                              <w:b/>
                              <w:i/>
                              <w:spacing w:val="-5"/>
                            </w:rPr>
                            <w:t xml:space="preserve"> </w:t>
                          </w:r>
                          <w:r>
                            <w:rPr>
                              <w:b/>
                              <w:i/>
                            </w:rPr>
                            <w:t>Process</w:t>
                          </w:r>
                          <w:r>
                            <w:rPr>
                              <w:b/>
                              <w:i/>
                              <w:spacing w:val="-3"/>
                            </w:rPr>
                            <w:t xml:space="preserve"> </w:t>
                          </w:r>
                          <w:r>
                            <w:rPr>
                              <w:b/>
                              <w:i/>
                            </w:rPr>
                            <w:t>Framework</w:t>
                          </w:r>
                          <w:r>
                            <w:rPr>
                              <w:b/>
                              <w:i/>
                              <w:spacing w:val="-5"/>
                            </w:rPr>
                            <w:t xml:space="preserve"> </w:t>
                          </w:r>
                          <w:r>
                            <w:rPr>
                              <w:b/>
                              <w:i/>
                            </w:rPr>
                            <w:t>for</w:t>
                          </w:r>
                          <w:r>
                            <w:rPr>
                              <w:b/>
                              <w:i/>
                              <w:spacing w:val="-4"/>
                            </w:rPr>
                            <w:t xml:space="preserve"> </w:t>
                          </w:r>
                          <w:r>
                            <w:rPr>
                              <w:b/>
                              <w:i/>
                            </w:rPr>
                            <w:t>Developing,</w:t>
                          </w:r>
                          <w:r>
                            <w:rPr>
                              <w:b/>
                              <w:i/>
                              <w:spacing w:val="-5"/>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5"/>
                            </w:rPr>
                            <w:t xml:space="preserve"> </w:t>
                          </w:r>
                          <w:r>
                            <w:rPr>
                              <w:b/>
                              <w:i/>
                            </w:rPr>
                            <w:t>AUASB</w:t>
                          </w:r>
                          <w:r>
                            <w:rPr>
                              <w:b/>
                              <w:i/>
                              <w:spacing w:val="-6"/>
                            </w:rPr>
                            <w:t xml:space="preserve"> </w:t>
                          </w:r>
                          <w:r>
                            <w:rPr>
                              <w:b/>
                              <w:i/>
                            </w:rPr>
                            <w:t>Pronouncements</w:t>
                          </w:r>
                          <w:r>
                            <w:rPr>
                              <w:b/>
                              <w:i/>
                              <w:spacing w:val="-4"/>
                            </w:rPr>
                            <w:t xml:space="preserve"> </w:t>
                          </w:r>
                          <w:r>
                            <w:rPr>
                              <w:b/>
                              <w:i/>
                              <w:spacing w:val="-5"/>
                            </w:rPr>
                            <w:t>and</w:t>
                          </w:r>
                        </w:p>
                        <w:p w14:paraId="1E806099" w14:textId="77777777" w:rsidR="00AA4A02" w:rsidRDefault="00960F31">
                          <w:pPr>
                            <w:tabs>
                              <w:tab w:val="left" w:pos="9295"/>
                            </w:tabs>
                            <w:spacing w:line="236" w:lineRule="exact"/>
                            <w:ind w:left="20"/>
                            <w:rPr>
                              <w:b/>
                              <w:i/>
                            </w:rPr>
                          </w:pPr>
                          <w:r>
                            <w:rPr>
                              <w:b/>
                              <w:i/>
                              <w:spacing w:val="-27"/>
                              <w:u w:val="single"/>
                            </w:rPr>
                            <w:t xml:space="preserve"> </w:t>
                          </w:r>
                          <w:r>
                            <w:rPr>
                              <w:b/>
                              <w:i/>
                              <w:u w:val="single"/>
                            </w:rPr>
                            <w:t>Other</w:t>
                          </w:r>
                          <w:r>
                            <w:rPr>
                              <w:b/>
                              <w:i/>
                              <w:spacing w:val="-2"/>
                              <w:u w:val="single"/>
                            </w:rPr>
                            <w:t xml:space="preserve"> Publications</w:t>
                          </w:r>
                          <w:r>
                            <w:rPr>
                              <w:b/>
                              <w:i/>
                              <w:u w:val="single"/>
                            </w:rPr>
                            <w:tab/>
                          </w:r>
                        </w:p>
                      </w:txbxContent>
                    </wps:txbx>
                    <wps:bodyPr wrap="square" lIns="0" tIns="0" rIns="0" bIns="0" rtlCol="0">
                      <a:noAutofit/>
                    </wps:bodyPr>
                  </wps:wsp>
                </a:graphicData>
              </a:graphic>
            </wp:anchor>
          </w:drawing>
        </mc:Choice>
        <mc:Fallback>
          <w:pict>
            <v:shapetype w14:anchorId="1E80603F" id="_x0000_t202" coordsize="21600,21600" o:spt="202" path="m,l,21600r21600,l21600,xe">
              <v:stroke joinstyle="miter"/>
              <v:path gradientshapeok="t" o:connecttype="rect"/>
            </v:shapetype>
            <v:shape id="Textbox 166" o:spid="_x0000_s1118" type="#_x0000_t202" style="position:absolute;margin-left:29.1pt;margin-top:26.35pt;width:465.8pt;height:25.15pt;z-index:-17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" filled="f" stroked="f">
              <v:textbox inset="0,0,0,0">
                <w:txbxContent>
                  <w:p w14:paraId="1E806098" w14:textId="77777777" w:rsidR="00AA4A02" w:rsidRDefault="00960F31">
                    <w:pPr>
                      <w:spacing w:before="11" w:line="236" w:lineRule="exact"/>
                      <w:ind w:left="48"/>
                      <w:rPr>
                        <w:b/>
                        <w:i/>
                      </w:rPr>
                    </w:pPr>
                    <w:r>
                      <w:rPr>
                        <w:b/>
                        <w:i/>
                      </w:rPr>
                      <w:t>Due</w:t>
                    </w:r>
                    <w:r>
                      <w:rPr>
                        <w:b/>
                        <w:i/>
                        <w:spacing w:val="-5"/>
                      </w:rPr>
                      <w:t xml:space="preserve"> </w:t>
                    </w:r>
                    <w:r>
                      <w:rPr>
                        <w:b/>
                        <w:i/>
                      </w:rPr>
                      <w:t>Process</w:t>
                    </w:r>
                    <w:r>
                      <w:rPr>
                        <w:b/>
                        <w:i/>
                        <w:spacing w:val="-3"/>
                      </w:rPr>
                      <w:t xml:space="preserve"> </w:t>
                    </w:r>
                    <w:r>
                      <w:rPr>
                        <w:b/>
                        <w:i/>
                      </w:rPr>
                      <w:t>Framework</w:t>
                    </w:r>
                    <w:r>
                      <w:rPr>
                        <w:b/>
                        <w:i/>
                        <w:spacing w:val="-5"/>
                      </w:rPr>
                      <w:t xml:space="preserve"> </w:t>
                    </w:r>
                    <w:r>
                      <w:rPr>
                        <w:b/>
                        <w:i/>
                      </w:rPr>
                      <w:t>for</w:t>
                    </w:r>
                    <w:r>
                      <w:rPr>
                        <w:b/>
                        <w:i/>
                        <w:spacing w:val="-4"/>
                      </w:rPr>
                      <w:t xml:space="preserve"> </w:t>
                    </w:r>
                    <w:r>
                      <w:rPr>
                        <w:b/>
                        <w:i/>
                      </w:rPr>
                      <w:t>Developing,</w:t>
                    </w:r>
                    <w:r>
                      <w:rPr>
                        <w:b/>
                        <w:i/>
                        <w:spacing w:val="-5"/>
                      </w:rPr>
                      <w:t xml:space="preserve"> </w:t>
                    </w:r>
                    <w:r>
                      <w:rPr>
                        <w:b/>
                        <w:i/>
                      </w:rPr>
                      <w:t>Issuing</w:t>
                    </w:r>
                    <w:r>
                      <w:rPr>
                        <w:b/>
                        <w:i/>
                        <w:spacing w:val="-4"/>
                      </w:rPr>
                      <w:t xml:space="preserve"> </w:t>
                    </w:r>
                    <w:r>
                      <w:rPr>
                        <w:b/>
                        <w:i/>
                      </w:rPr>
                      <w:t>and</w:t>
                    </w:r>
                    <w:r>
                      <w:rPr>
                        <w:b/>
                        <w:i/>
                        <w:spacing w:val="-4"/>
                      </w:rPr>
                      <w:t xml:space="preserve"> </w:t>
                    </w:r>
                    <w:r>
                      <w:rPr>
                        <w:b/>
                        <w:i/>
                      </w:rPr>
                      <w:t>Maintaining</w:t>
                    </w:r>
                    <w:r>
                      <w:rPr>
                        <w:b/>
                        <w:i/>
                        <w:spacing w:val="-5"/>
                      </w:rPr>
                      <w:t xml:space="preserve"> </w:t>
                    </w:r>
                    <w:r>
                      <w:rPr>
                        <w:b/>
                        <w:i/>
                      </w:rPr>
                      <w:t>AUASB</w:t>
                    </w:r>
                    <w:r>
                      <w:rPr>
                        <w:b/>
                        <w:i/>
                        <w:spacing w:val="-6"/>
                      </w:rPr>
                      <w:t xml:space="preserve"> </w:t>
                    </w:r>
                    <w:r>
                      <w:rPr>
                        <w:b/>
                        <w:i/>
                      </w:rPr>
                      <w:t>Pronouncements</w:t>
                    </w:r>
                    <w:r>
                      <w:rPr>
                        <w:b/>
                        <w:i/>
                        <w:spacing w:val="-4"/>
                      </w:rPr>
                      <w:t xml:space="preserve"> </w:t>
                    </w:r>
                    <w:r>
                      <w:rPr>
                        <w:b/>
                        <w:i/>
                        <w:spacing w:val="-5"/>
                      </w:rPr>
                      <w:t>and</w:t>
                    </w:r>
                  </w:p>
                  <w:p w14:paraId="1E806099" w14:textId="77777777" w:rsidR="00AA4A02" w:rsidRDefault="00960F31">
                    <w:pPr>
                      <w:tabs>
                        <w:tab w:val="left" w:pos="9295"/>
                      </w:tabs>
                      <w:spacing w:line="236" w:lineRule="exact"/>
                      <w:ind w:left="20"/>
                      <w:rPr>
                        <w:b/>
                        <w:i/>
                      </w:rPr>
                    </w:pPr>
                    <w:r>
                      <w:rPr>
                        <w:b/>
                        <w:i/>
                        <w:spacing w:val="-27"/>
                        <w:u w:val="single"/>
                      </w:rPr>
                      <w:t xml:space="preserve"> </w:t>
                    </w:r>
                    <w:r>
                      <w:rPr>
                        <w:b/>
                        <w:i/>
                        <w:u w:val="single"/>
                      </w:rPr>
                      <w:t>Other</w:t>
                    </w:r>
                    <w:r>
                      <w:rPr>
                        <w:b/>
                        <w:i/>
                        <w:spacing w:val="-2"/>
                        <w:u w:val="single"/>
                      </w:rPr>
                      <w:t xml:space="preserve"> Publications</w:t>
                    </w:r>
                    <w:r>
                      <w:rPr>
                        <w:b/>
                        <w:i/>
                        <w:u w:val="single"/>
                      </w:rPr>
                      <w:tab/>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1" w14:textId="77777777" w:rsidR="00AA4A02" w:rsidRDefault="00AA4A0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3" w14:textId="77777777" w:rsidR="00AA4A02" w:rsidRDefault="00AA4A0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5" w14:textId="77777777" w:rsidR="00AA4A02" w:rsidRDefault="00AA4A0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7" w14:textId="77777777" w:rsidR="00AA4A02" w:rsidRDefault="00AA4A0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9" w14:textId="77777777" w:rsidR="00AA4A02" w:rsidRDefault="00AA4A0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B" w14:textId="77777777" w:rsidR="00AA4A02" w:rsidRDefault="00AA4A0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D" w14:textId="77777777" w:rsidR="00AA4A02" w:rsidRDefault="00AA4A0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EF" w14:textId="77777777" w:rsidR="00AA4A02" w:rsidRDefault="00AA4A0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B" w14:textId="77777777" w:rsidR="00AA4A02" w:rsidRDefault="00AA4A0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1" w14:textId="77777777" w:rsidR="00AA4A02" w:rsidRDefault="00AA4A0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3" w14:textId="77777777" w:rsidR="00AA4A02" w:rsidRDefault="00960F31">
    <w:pPr>
      <w:pStyle w:val="BodyText"/>
      <w:spacing w:line="14" w:lineRule="auto"/>
      <w:rPr>
        <w:sz w:val="20"/>
      </w:rPr>
    </w:pPr>
    <w:r>
      <w:rPr>
        <w:noProof/>
        <w:sz w:val="20"/>
      </w:rPr>
      <w:drawing>
        <wp:anchor distT="0" distB="0" distL="0" distR="0" simplePos="0" relativeHeight="485480448" behindDoc="1" locked="0" layoutInCell="1" allowOverlap="1" wp14:anchorId="1E806051" wp14:editId="1E806052">
          <wp:simplePos x="0" y="0"/>
          <wp:positionH relativeFrom="page">
            <wp:posOffset>0</wp:posOffset>
          </wp:positionH>
          <wp:positionV relativeFrom="page">
            <wp:posOffset>0</wp:posOffset>
          </wp:positionV>
          <wp:extent cx="7560564" cy="1156334"/>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7560564" cy="1156334"/>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5" w14:textId="77777777" w:rsidR="00AA4A02" w:rsidRDefault="00AA4A0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F7"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81984" behindDoc="1" locked="0" layoutInCell="1" allowOverlap="1" wp14:anchorId="1E806057" wp14:editId="1E806058">
              <wp:simplePos x="0" y="0"/>
              <wp:positionH relativeFrom="page">
                <wp:posOffset>901700</wp:posOffset>
              </wp:positionH>
              <wp:positionV relativeFrom="page">
                <wp:posOffset>467360</wp:posOffset>
              </wp:positionV>
              <wp:extent cx="949960" cy="1778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177800"/>
                      </a:xfrm>
                      <a:prstGeom prst="rect">
                        <a:avLst/>
                      </a:prstGeom>
                    </wps:spPr>
                    <wps:txbx>
                      <w:txbxContent>
                        <w:p w14:paraId="1E8060A4" w14:textId="77777777" w:rsidR="00AA4A02" w:rsidRDefault="00960F31">
                          <w:pPr>
                            <w:spacing w:line="264" w:lineRule="exact"/>
                            <w:ind w:left="20"/>
                            <w:rPr>
                              <w:rFonts w:ascii="Calibri"/>
                              <w:b/>
                              <w:sz w:val="24"/>
                            </w:rPr>
                          </w:pPr>
                          <w:r>
                            <w:rPr>
                              <w:rFonts w:ascii="Calibri"/>
                              <w:b/>
                              <w:sz w:val="24"/>
                            </w:rPr>
                            <w:t>ACTION</w:t>
                          </w:r>
                          <w:r>
                            <w:rPr>
                              <w:rFonts w:ascii="Calibri"/>
                              <w:b/>
                              <w:spacing w:val="-3"/>
                              <w:sz w:val="24"/>
                            </w:rPr>
                            <w:t xml:space="preserve"> </w:t>
                          </w:r>
                          <w:r>
                            <w:rPr>
                              <w:rFonts w:ascii="Calibri"/>
                              <w:b/>
                              <w:spacing w:val="-2"/>
                              <w:sz w:val="24"/>
                            </w:rPr>
                            <w:t>ITEMS</w:t>
                          </w:r>
                        </w:p>
                      </w:txbxContent>
                    </wps:txbx>
                    <wps:bodyPr wrap="square" lIns="0" tIns="0" rIns="0" bIns="0" rtlCol="0">
                      <a:noAutofit/>
                    </wps:bodyPr>
                  </wps:wsp>
                </a:graphicData>
              </a:graphic>
            </wp:anchor>
          </w:drawing>
        </mc:Choice>
        <mc:Fallback>
          <w:pict>
            <v:shapetype w14:anchorId="1E806057" id="_x0000_t202" coordsize="21600,21600" o:spt="202" path="m,l,21600r21600,l21600,xe">
              <v:stroke joinstyle="miter"/>
              <v:path gradientshapeok="t" o:connecttype="rect"/>
            </v:shapetype>
            <v:shape id="Textbox 192" o:spid="_x0000_s1129" type="#_x0000_t202" style="position:absolute;margin-left:71pt;margin-top:36.8pt;width:74.8pt;height:14pt;z-index:-17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" filled="f" stroked="f">
              <v:textbox inset="0,0,0,0">
                <w:txbxContent>
                  <w:p w14:paraId="1E8060A4" w14:textId="77777777" w:rsidR="00AA4A02" w:rsidRDefault="00960F31">
                    <w:pPr>
                      <w:spacing w:line="264" w:lineRule="exact"/>
                      <w:ind w:left="20"/>
                      <w:rPr>
                        <w:rFonts w:ascii="Calibri"/>
                        <w:b/>
                        <w:sz w:val="24"/>
                      </w:rPr>
                    </w:pPr>
                    <w:r>
                      <w:rPr>
                        <w:rFonts w:ascii="Calibri"/>
                        <w:b/>
                        <w:sz w:val="24"/>
                      </w:rPr>
                      <w:t>ACTION</w:t>
                    </w:r>
                    <w:r>
                      <w:rPr>
                        <w:rFonts w:ascii="Calibri"/>
                        <w:b/>
                        <w:spacing w:val="-3"/>
                        <w:sz w:val="24"/>
                      </w:rPr>
                      <w:t xml:space="preserve"> </w:t>
                    </w:r>
                    <w:r>
                      <w:rPr>
                        <w:rFonts w:ascii="Calibri"/>
                        <w:b/>
                        <w:spacing w:val="-2"/>
                        <w:sz w:val="24"/>
                      </w:rPr>
                      <w:t>ITEMS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D" w14:textId="77777777" w:rsidR="00AA4A02" w:rsidRDefault="00AA4A0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BF" w14:textId="77777777" w:rsidR="00AA4A02" w:rsidRDefault="00AA4A0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1" w14:textId="77777777" w:rsidR="00AA4A02" w:rsidRDefault="00AA4A0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3" w14:textId="77777777" w:rsidR="00AA4A02" w:rsidRDefault="00960F31">
    <w:pPr>
      <w:pStyle w:val="BodyText"/>
      <w:spacing w:line="14" w:lineRule="auto"/>
      <w:rPr>
        <w:sz w:val="20"/>
      </w:rPr>
    </w:pPr>
    <w:r>
      <w:rPr>
        <w:noProof/>
        <w:sz w:val="20"/>
      </w:rPr>
      <w:drawing>
        <wp:anchor distT="0" distB="0" distL="0" distR="0" simplePos="0" relativeHeight="485461504" behindDoc="1" locked="0" layoutInCell="1" allowOverlap="1" wp14:anchorId="1E806007" wp14:editId="1E806008">
          <wp:simplePos x="0" y="0"/>
          <wp:positionH relativeFrom="page">
            <wp:posOffset>0</wp:posOffset>
          </wp:positionH>
          <wp:positionV relativeFrom="page">
            <wp:posOffset>0</wp:posOffset>
          </wp:positionV>
          <wp:extent cx="7560564" cy="116585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7560564" cy="1165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5" w14:textId="77777777" w:rsidR="00AA4A02" w:rsidRDefault="00960F31">
    <w:pPr>
      <w:pStyle w:val="BodyText"/>
      <w:spacing w:line="14" w:lineRule="auto"/>
      <w:rPr>
        <w:sz w:val="20"/>
      </w:rPr>
    </w:pPr>
    <w:r>
      <w:rPr>
        <w:noProof/>
        <w:sz w:val="20"/>
      </w:rPr>
      <mc:AlternateContent>
        <mc:Choice Requires="wps">
          <w:drawing>
            <wp:anchor distT="0" distB="0" distL="0" distR="0" simplePos="0" relativeHeight="485462528" behindDoc="1" locked="0" layoutInCell="1" allowOverlap="1" wp14:anchorId="1E80600B" wp14:editId="1E80600C">
              <wp:simplePos x="0" y="0"/>
              <wp:positionH relativeFrom="page">
                <wp:posOffset>3026664</wp:posOffset>
              </wp:positionH>
              <wp:positionV relativeFrom="page">
                <wp:posOffset>235416</wp:posOffset>
              </wp:positionV>
              <wp:extent cx="1508125" cy="1708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170815"/>
                      </a:xfrm>
                      <a:prstGeom prst="rect">
                        <a:avLst/>
                      </a:prstGeom>
                    </wps:spPr>
                    <wps:txbx>
                      <w:txbxContent>
                        <w:p w14:paraId="1E806085" w14:textId="77777777" w:rsidR="00AA4A02" w:rsidRDefault="00960F31">
                          <w:pPr>
                            <w:spacing w:line="268" w:lineRule="exact"/>
                            <w:rPr>
                              <w:rFonts w:ascii="Arial"/>
                              <w:b/>
                              <w:sz w:val="24"/>
                            </w:rPr>
                          </w:pPr>
                          <w:r>
                            <w:rPr>
                              <w:rFonts w:ascii="Arial"/>
                              <w:b/>
                              <w:color w:val="FF0000"/>
                              <w:sz w:val="24"/>
                            </w:rPr>
                            <w:t>OFFICIAL:</w:t>
                          </w:r>
                          <w:r>
                            <w:rPr>
                              <w:rFonts w:ascii="Arial"/>
                              <w:b/>
                              <w:color w:val="FF0000"/>
                              <w:spacing w:val="61"/>
                              <w:sz w:val="24"/>
                            </w:rPr>
                            <w:t xml:space="preserve"> </w:t>
                          </w:r>
                          <w:r>
                            <w:rPr>
                              <w:rFonts w:ascii="Arial"/>
                              <w:b/>
                              <w:color w:val="FF0000"/>
                              <w:spacing w:val="-2"/>
                              <w:sz w:val="24"/>
                            </w:rPr>
                            <w:t>Sensitive</w:t>
                          </w:r>
                        </w:p>
                      </w:txbxContent>
                    </wps:txbx>
                    <wps:bodyPr wrap="square" lIns="0" tIns="0" rIns="0" bIns="0" rtlCol="0">
                      <a:noAutofit/>
                    </wps:bodyPr>
                  </wps:wsp>
                </a:graphicData>
              </a:graphic>
            </wp:anchor>
          </w:drawing>
        </mc:Choice>
        <mc:Fallback>
          <w:pict>
            <v:shapetype w14:anchorId="1E80600B" id="_x0000_t202" coordsize="21600,21600" o:spt="202" path="m,l,21600r21600,l21600,xe">
              <v:stroke joinstyle="miter"/>
              <v:path gradientshapeok="t" o:connecttype="rect"/>
            </v:shapetype>
            <v:shape id="Textbox 14" o:spid="_x0000_s1099" type="#_x0000_t202" style="position:absolute;margin-left:238.3pt;margin-top:18.55pt;width:118.75pt;height:13.45pt;z-index:-17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" filled="f" stroked="f">
              <v:textbox inset="0,0,0,0">
                <w:txbxContent>
                  <w:p w14:paraId="1E806085" w14:textId="77777777" w:rsidR="00AA4A02" w:rsidRDefault="00960F31">
                    <w:pPr>
                      <w:spacing w:line="268" w:lineRule="exact"/>
                      <w:rPr>
                        <w:rFonts w:ascii="Arial"/>
                        <w:b/>
                        <w:sz w:val="24"/>
                      </w:rPr>
                    </w:pPr>
                    <w:r>
                      <w:rPr>
                        <w:rFonts w:ascii="Arial"/>
                        <w:b/>
                        <w:color w:val="FF0000"/>
                        <w:sz w:val="24"/>
                      </w:rPr>
                      <w:t>OFFICIAL:</w:t>
                    </w:r>
                    <w:r>
                      <w:rPr>
                        <w:rFonts w:ascii="Arial"/>
                        <w:b/>
                        <w:color w:val="FF0000"/>
                        <w:spacing w:val="61"/>
                        <w:sz w:val="24"/>
                      </w:rPr>
                      <w:t xml:space="preserve"> </w:t>
                    </w:r>
                    <w:r>
                      <w:rPr>
                        <w:rFonts w:ascii="Arial"/>
                        <w:b/>
                        <w:color w:val="FF0000"/>
                        <w:spacing w:val="-2"/>
                        <w:sz w:val="24"/>
                      </w:rPr>
                      <w:t>Sensitive</w:t>
                    </w:r>
                  </w:p>
                </w:txbxContent>
              </v:textbox>
              <w10:wrap anchorx="page" anchory="page"/>
            </v:shape>
          </w:pict>
        </mc:Fallback>
      </mc:AlternateContent>
    </w:r>
    <w:r>
      <w:rPr>
        <w:noProof/>
        <w:sz w:val="20"/>
      </w:rPr>
      <w:drawing>
        <wp:anchor distT="0" distB="0" distL="0" distR="0" simplePos="0" relativeHeight="485463040" behindDoc="1" locked="0" layoutInCell="1" allowOverlap="1" wp14:anchorId="1E80600D" wp14:editId="1E80600E">
          <wp:simplePos x="0" y="0"/>
          <wp:positionH relativeFrom="page">
            <wp:posOffset>0</wp:posOffset>
          </wp:positionH>
          <wp:positionV relativeFrom="page">
            <wp:posOffset>0</wp:posOffset>
          </wp:positionV>
          <wp:extent cx="7560564" cy="115633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7560564" cy="115633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5FC7" w14:textId="77777777" w:rsidR="00AA4A02" w:rsidRDefault="00AA4A0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7A80"/>
    <w:multiLevelType w:val="hybridMultilevel"/>
    <w:tmpl w:val="CB40CAB0"/>
    <w:lvl w:ilvl="0" w:tplc="67CA2A2C">
      <w:start w:val="1"/>
      <w:numFmt w:val="lowerLetter"/>
      <w:lvlText w:val="(%1)"/>
      <w:lvlJc w:val="left"/>
      <w:pPr>
        <w:ind w:left="707"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C700B5C">
      <w:start w:val="1"/>
      <w:numFmt w:val="lowerRoman"/>
      <w:lvlText w:val="(%2)"/>
      <w:lvlJc w:val="left"/>
      <w:pPr>
        <w:ind w:left="1274" w:hanging="567"/>
        <w:jc w:val="left"/>
      </w:pPr>
      <w:rPr>
        <w:rFonts w:hint="default"/>
        <w:spacing w:val="0"/>
        <w:w w:val="100"/>
        <w:lang w:val="en-US" w:eastAsia="en-US" w:bidi="ar-SA"/>
      </w:rPr>
    </w:lvl>
    <w:lvl w:ilvl="2" w:tplc="297A7A12">
      <w:numFmt w:val="bullet"/>
      <w:lvlText w:val="•"/>
      <w:lvlJc w:val="left"/>
      <w:pPr>
        <w:ind w:left="1593" w:hanging="567"/>
      </w:pPr>
      <w:rPr>
        <w:rFonts w:hint="default"/>
        <w:lang w:val="en-US" w:eastAsia="en-US" w:bidi="ar-SA"/>
      </w:rPr>
    </w:lvl>
    <w:lvl w:ilvl="3" w:tplc="972A8C00">
      <w:numFmt w:val="bullet"/>
      <w:lvlText w:val="•"/>
      <w:lvlJc w:val="left"/>
      <w:pPr>
        <w:ind w:left="1907" w:hanging="567"/>
      </w:pPr>
      <w:rPr>
        <w:rFonts w:hint="default"/>
        <w:lang w:val="en-US" w:eastAsia="en-US" w:bidi="ar-SA"/>
      </w:rPr>
    </w:lvl>
    <w:lvl w:ilvl="4" w:tplc="5B4043C0">
      <w:numFmt w:val="bullet"/>
      <w:lvlText w:val="•"/>
      <w:lvlJc w:val="left"/>
      <w:pPr>
        <w:ind w:left="2220" w:hanging="567"/>
      </w:pPr>
      <w:rPr>
        <w:rFonts w:hint="default"/>
        <w:lang w:val="en-US" w:eastAsia="en-US" w:bidi="ar-SA"/>
      </w:rPr>
    </w:lvl>
    <w:lvl w:ilvl="5" w:tplc="99409A70">
      <w:numFmt w:val="bullet"/>
      <w:lvlText w:val="•"/>
      <w:lvlJc w:val="left"/>
      <w:pPr>
        <w:ind w:left="2534" w:hanging="567"/>
      </w:pPr>
      <w:rPr>
        <w:rFonts w:hint="default"/>
        <w:lang w:val="en-US" w:eastAsia="en-US" w:bidi="ar-SA"/>
      </w:rPr>
    </w:lvl>
    <w:lvl w:ilvl="6" w:tplc="532ACD22">
      <w:numFmt w:val="bullet"/>
      <w:lvlText w:val="•"/>
      <w:lvlJc w:val="left"/>
      <w:pPr>
        <w:ind w:left="2847" w:hanging="567"/>
      </w:pPr>
      <w:rPr>
        <w:rFonts w:hint="default"/>
        <w:lang w:val="en-US" w:eastAsia="en-US" w:bidi="ar-SA"/>
      </w:rPr>
    </w:lvl>
    <w:lvl w:ilvl="7" w:tplc="48241FDA">
      <w:numFmt w:val="bullet"/>
      <w:lvlText w:val="•"/>
      <w:lvlJc w:val="left"/>
      <w:pPr>
        <w:ind w:left="3161" w:hanging="567"/>
      </w:pPr>
      <w:rPr>
        <w:rFonts w:hint="default"/>
        <w:lang w:val="en-US" w:eastAsia="en-US" w:bidi="ar-SA"/>
      </w:rPr>
    </w:lvl>
    <w:lvl w:ilvl="8" w:tplc="3BF22842">
      <w:numFmt w:val="bullet"/>
      <w:lvlText w:val="•"/>
      <w:lvlJc w:val="left"/>
      <w:pPr>
        <w:ind w:left="3474" w:hanging="567"/>
      </w:pPr>
      <w:rPr>
        <w:rFonts w:hint="default"/>
        <w:lang w:val="en-US" w:eastAsia="en-US" w:bidi="ar-SA"/>
      </w:rPr>
    </w:lvl>
  </w:abstractNum>
  <w:abstractNum w:abstractNumId="1" w15:restartNumberingAfterBreak="0">
    <w:nsid w:val="019F6DD3"/>
    <w:multiLevelType w:val="multilevel"/>
    <w:tmpl w:val="12BC0270"/>
    <w:lvl w:ilvl="0">
      <w:start w:val="10"/>
      <w:numFmt w:val="decimal"/>
      <w:lvlText w:val="%1"/>
      <w:lvlJc w:val="left"/>
      <w:pPr>
        <w:ind w:left="852" w:hanging="711"/>
        <w:jc w:val="left"/>
      </w:pPr>
      <w:rPr>
        <w:rFonts w:hint="default"/>
        <w:lang w:val="en-US" w:eastAsia="en-US" w:bidi="ar-SA"/>
      </w:rPr>
    </w:lvl>
    <w:lvl w:ilvl="1">
      <w:start w:val="1"/>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2" w15:restartNumberingAfterBreak="0">
    <w:nsid w:val="04747D4D"/>
    <w:multiLevelType w:val="multilevel"/>
    <w:tmpl w:val="84181DDC"/>
    <w:lvl w:ilvl="0">
      <w:start w:val="8"/>
      <w:numFmt w:val="decimal"/>
      <w:lvlText w:val="%1"/>
      <w:lvlJc w:val="left"/>
      <w:pPr>
        <w:ind w:left="852" w:hanging="711"/>
        <w:jc w:val="left"/>
      </w:pPr>
      <w:rPr>
        <w:rFonts w:hint="default"/>
        <w:lang w:val="en-US" w:eastAsia="en-US" w:bidi="ar-SA"/>
      </w:rPr>
    </w:lvl>
    <w:lvl w:ilvl="1">
      <w:start w:val="3"/>
      <w:numFmt w:val="decimal"/>
      <w:lvlText w:val="%1.%2"/>
      <w:lvlJc w:val="left"/>
      <w:pPr>
        <w:ind w:left="852" w:hanging="711"/>
        <w:jc w:val="left"/>
      </w:pPr>
      <w:rPr>
        <w:rFonts w:hint="default"/>
        <w:lang w:val="en-US" w:eastAsia="en-US" w:bidi="ar-SA"/>
      </w:rPr>
    </w:lvl>
    <w:lvl w:ilvl="2">
      <w:start w:val="2"/>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3" w15:restartNumberingAfterBreak="0">
    <w:nsid w:val="076A0E44"/>
    <w:multiLevelType w:val="hybridMultilevel"/>
    <w:tmpl w:val="E9608760"/>
    <w:lvl w:ilvl="0" w:tplc="F578B382">
      <w:numFmt w:val="bullet"/>
      <w:lvlText w:val=""/>
      <w:lvlJc w:val="left"/>
      <w:pPr>
        <w:ind w:left="1562" w:hanging="711"/>
      </w:pPr>
      <w:rPr>
        <w:rFonts w:ascii="Symbol" w:eastAsia="Symbol" w:hAnsi="Symbol" w:cs="Symbol" w:hint="default"/>
        <w:b w:val="0"/>
        <w:bCs w:val="0"/>
        <w:i w:val="0"/>
        <w:iCs w:val="0"/>
        <w:spacing w:val="0"/>
        <w:w w:val="100"/>
        <w:sz w:val="22"/>
        <w:szCs w:val="22"/>
        <w:lang w:val="en-US" w:eastAsia="en-US" w:bidi="ar-SA"/>
      </w:rPr>
    </w:lvl>
    <w:lvl w:ilvl="1" w:tplc="20825F72">
      <w:numFmt w:val="bullet"/>
      <w:lvlText w:val="•"/>
      <w:lvlJc w:val="left"/>
      <w:pPr>
        <w:ind w:left="2339" w:hanging="711"/>
      </w:pPr>
      <w:rPr>
        <w:rFonts w:hint="default"/>
        <w:lang w:val="en-US" w:eastAsia="en-US" w:bidi="ar-SA"/>
      </w:rPr>
    </w:lvl>
    <w:lvl w:ilvl="2" w:tplc="2690B5D8">
      <w:numFmt w:val="bullet"/>
      <w:lvlText w:val="•"/>
      <w:lvlJc w:val="left"/>
      <w:pPr>
        <w:ind w:left="3119" w:hanging="711"/>
      </w:pPr>
      <w:rPr>
        <w:rFonts w:hint="default"/>
        <w:lang w:val="en-US" w:eastAsia="en-US" w:bidi="ar-SA"/>
      </w:rPr>
    </w:lvl>
    <w:lvl w:ilvl="3" w:tplc="8DD8126E">
      <w:numFmt w:val="bullet"/>
      <w:lvlText w:val="•"/>
      <w:lvlJc w:val="left"/>
      <w:pPr>
        <w:ind w:left="3898" w:hanging="711"/>
      </w:pPr>
      <w:rPr>
        <w:rFonts w:hint="default"/>
        <w:lang w:val="en-US" w:eastAsia="en-US" w:bidi="ar-SA"/>
      </w:rPr>
    </w:lvl>
    <w:lvl w:ilvl="4" w:tplc="4CE8B7D8">
      <w:numFmt w:val="bullet"/>
      <w:lvlText w:val="•"/>
      <w:lvlJc w:val="left"/>
      <w:pPr>
        <w:ind w:left="4678" w:hanging="711"/>
      </w:pPr>
      <w:rPr>
        <w:rFonts w:hint="default"/>
        <w:lang w:val="en-US" w:eastAsia="en-US" w:bidi="ar-SA"/>
      </w:rPr>
    </w:lvl>
    <w:lvl w:ilvl="5" w:tplc="51DE1298">
      <w:numFmt w:val="bullet"/>
      <w:lvlText w:val="•"/>
      <w:lvlJc w:val="left"/>
      <w:pPr>
        <w:ind w:left="5458" w:hanging="711"/>
      </w:pPr>
      <w:rPr>
        <w:rFonts w:hint="default"/>
        <w:lang w:val="en-US" w:eastAsia="en-US" w:bidi="ar-SA"/>
      </w:rPr>
    </w:lvl>
    <w:lvl w:ilvl="6" w:tplc="C8BC7668">
      <w:numFmt w:val="bullet"/>
      <w:lvlText w:val="•"/>
      <w:lvlJc w:val="left"/>
      <w:pPr>
        <w:ind w:left="6237" w:hanging="711"/>
      </w:pPr>
      <w:rPr>
        <w:rFonts w:hint="default"/>
        <w:lang w:val="en-US" w:eastAsia="en-US" w:bidi="ar-SA"/>
      </w:rPr>
    </w:lvl>
    <w:lvl w:ilvl="7" w:tplc="03FAC9BE">
      <w:numFmt w:val="bullet"/>
      <w:lvlText w:val="•"/>
      <w:lvlJc w:val="left"/>
      <w:pPr>
        <w:ind w:left="7017" w:hanging="711"/>
      </w:pPr>
      <w:rPr>
        <w:rFonts w:hint="default"/>
        <w:lang w:val="en-US" w:eastAsia="en-US" w:bidi="ar-SA"/>
      </w:rPr>
    </w:lvl>
    <w:lvl w:ilvl="8" w:tplc="F1CA7A56">
      <w:numFmt w:val="bullet"/>
      <w:lvlText w:val="•"/>
      <w:lvlJc w:val="left"/>
      <w:pPr>
        <w:ind w:left="7797" w:hanging="711"/>
      </w:pPr>
      <w:rPr>
        <w:rFonts w:hint="default"/>
        <w:lang w:val="en-US" w:eastAsia="en-US" w:bidi="ar-SA"/>
      </w:rPr>
    </w:lvl>
  </w:abstractNum>
  <w:abstractNum w:abstractNumId="4" w15:restartNumberingAfterBreak="0">
    <w:nsid w:val="080F4D02"/>
    <w:multiLevelType w:val="hybridMultilevel"/>
    <w:tmpl w:val="1A56D350"/>
    <w:lvl w:ilvl="0" w:tplc="595C983C">
      <w:start w:val="1"/>
      <w:numFmt w:val="decimal"/>
      <w:lvlText w:val="%1"/>
      <w:lvlJc w:val="left"/>
      <w:pPr>
        <w:ind w:left="482" w:hanging="342"/>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A81CAE2C">
      <w:numFmt w:val="bullet"/>
      <w:lvlText w:val="•"/>
      <w:lvlJc w:val="left"/>
      <w:pPr>
        <w:ind w:left="1395" w:hanging="342"/>
      </w:pPr>
      <w:rPr>
        <w:rFonts w:hint="default"/>
        <w:lang w:val="en-US" w:eastAsia="en-US" w:bidi="ar-SA"/>
      </w:rPr>
    </w:lvl>
    <w:lvl w:ilvl="2" w:tplc="6B9CAD3E">
      <w:numFmt w:val="bullet"/>
      <w:lvlText w:val="•"/>
      <w:lvlJc w:val="left"/>
      <w:pPr>
        <w:ind w:left="2310" w:hanging="342"/>
      </w:pPr>
      <w:rPr>
        <w:rFonts w:hint="default"/>
        <w:lang w:val="en-US" w:eastAsia="en-US" w:bidi="ar-SA"/>
      </w:rPr>
    </w:lvl>
    <w:lvl w:ilvl="3" w:tplc="BF5A631A">
      <w:numFmt w:val="bullet"/>
      <w:lvlText w:val="•"/>
      <w:lvlJc w:val="left"/>
      <w:pPr>
        <w:ind w:left="3225" w:hanging="342"/>
      </w:pPr>
      <w:rPr>
        <w:rFonts w:hint="default"/>
        <w:lang w:val="en-US" w:eastAsia="en-US" w:bidi="ar-SA"/>
      </w:rPr>
    </w:lvl>
    <w:lvl w:ilvl="4" w:tplc="3DCC3780">
      <w:numFmt w:val="bullet"/>
      <w:lvlText w:val="•"/>
      <w:lvlJc w:val="left"/>
      <w:pPr>
        <w:ind w:left="4140" w:hanging="342"/>
      </w:pPr>
      <w:rPr>
        <w:rFonts w:hint="default"/>
        <w:lang w:val="en-US" w:eastAsia="en-US" w:bidi="ar-SA"/>
      </w:rPr>
    </w:lvl>
    <w:lvl w:ilvl="5" w:tplc="89888D94">
      <w:numFmt w:val="bullet"/>
      <w:lvlText w:val="•"/>
      <w:lvlJc w:val="left"/>
      <w:pPr>
        <w:ind w:left="5056" w:hanging="342"/>
      </w:pPr>
      <w:rPr>
        <w:rFonts w:hint="default"/>
        <w:lang w:val="en-US" w:eastAsia="en-US" w:bidi="ar-SA"/>
      </w:rPr>
    </w:lvl>
    <w:lvl w:ilvl="6" w:tplc="0D6AFFFA">
      <w:numFmt w:val="bullet"/>
      <w:lvlText w:val="•"/>
      <w:lvlJc w:val="left"/>
      <w:pPr>
        <w:ind w:left="5971" w:hanging="342"/>
      </w:pPr>
      <w:rPr>
        <w:rFonts w:hint="default"/>
        <w:lang w:val="en-US" w:eastAsia="en-US" w:bidi="ar-SA"/>
      </w:rPr>
    </w:lvl>
    <w:lvl w:ilvl="7" w:tplc="9D1CD864">
      <w:numFmt w:val="bullet"/>
      <w:lvlText w:val="•"/>
      <w:lvlJc w:val="left"/>
      <w:pPr>
        <w:ind w:left="6886" w:hanging="342"/>
      </w:pPr>
      <w:rPr>
        <w:rFonts w:hint="default"/>
        <w:lang w:val="en-US" w:eastAsia="en-US" w:bidi="ar-SA"/>
      </w:rPr>
    </w:lvl>
    <w:lvl w:ilvl="8" w:tplc="10CCDD16">
      <w:numFmt w:val="bullet"/>
      <w:lvlText w:val="•"/>
      <w:lvlJc w:val="left"/>
      <w:pPr>
        <w:ind w:left="7801" w:hanging="342"/>
      </w:pPr>
      <w:rPr>
        <w:rFonts w:hint="default"/>
        <w:lang w:val="en-US" w:eastAsia="en-US" w:bidi="ar-SA"/>
      </w:rPr>
    </w:lvl>
  </w:abstractNum>
  <w:abstractNum w:abstractNumId="5" w15:restartNumberingAfterBreak="0">
    <w:nsid w:val="0A4C3941"/>
    <w:multiLevelType w:val="multilevel"/>
    <w:tmpl w:val="70861DAC"/>
    <w:lvl w:ilvl="0">
      <w:start w:val="7"/>
      <w:numFmt w:val="decimal"/>
      <w:lvlText w:val="%1"/>
      <w:lvlJc w:val="left"/>
      <w:pPr>
        <w:ind w:left="852" w:hanging="711"/>
        <w:jc w:val="left"/>
      </w:pPr>
      <w:rPr>
        <w:rFonts w:hint="default"/>
        <w:lang w:val="en-US" w:eastAsia="en-US" w:bidi="ar-SA"/>
      </w:rPr>
    </w:lvl>
    <w:lvl w:ilvl="1">
      <w:start w:val="9"/>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6" w15:restartNumberingAfterBreak="0">
    <w:nsid w:val="0BEE6275"/>
    <w:multiLevelType w:val="hybridMultilevel"/>
    <w:tmpl w:val="E64C7BD4"/>
    <w:lvl w:ilvl="0" w:tplc="D572F716">
      <w:start w:val="1"/>
      <w:numFmt w:val="upperRoman"/>
      <w:lvlText w:val="%1"/>
      <w:lvlJc w:val="left"/>
      <w:pPr>
        <w:ind w:left="851" w:hanging="708"/>
        <w:jc w:val="left"/>
      </w:pPr>
      <w:rPr>
        <w:rFonts w:ascii="Times New Roman" w:eastAsia="Times New Roman" w:hAnsi="Times New Roman" w:cs="Times New Roman" w:hint="default"/>
        <w:b/>
        <w:bCs/>
        <w:i w:val="0"/>
        <w:iCs w:val="0"/>
        <w:spacing w:val="0"/>
        <w:w w:val="100"/>
        <w:sz w:val="30"/>
        <w:szCs w:val="30"/>
        <w:lang w:val="en-US" w:eastAsia="en-US" w:bidi="ar-SA"/>
      </w:rPr>
    </w:lvl>
    <w:lvl w:ilvl="1" w:tplc="B52CD4FE">
      <w:start w:val="1"/>
      <w:numFmt w:val="decimal"/>
      <w:lvlText w:val="%2."/>
      <w:lvlJc w:val="left"/>
      <w:pPr>
        <w:ind w:left="851" w:hanging="70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A9B06F14">
      <w:start w:val="1"/>
      <w:numFmt w:val="lowerLetter"/>
      <w:lvlText w:val="(%3)"/>
      <w:lvlJc w:val="left"/>
      <w:pPr>
        <w:ind w:left="1562" w:hanging="71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C0B8E024">
      <w:start w:val="1"/>
      <w:numFmt w:val="lowerRoman"/>
      <w:lvlText w:val="(%4)"/>
      <w:lvlJc w:val="left"/>
      <w:pPr>
        <w:ind w:left="2128"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4" w:tplc="7B74789C">
      <w:numFmt w:val="bullet"/>
      <w:lvlText w:val="•"/>
      <w:lvlJc w:val="left"/>
      <w:pPr>
        <w:ind w:left="3929" w:hanging="567"/>
      </w:pPr>
      <w:rPr>
        <w:rFonts w:hint="default"/>
        <w:lang w:val="en-US" w:eastAsia="en-US" w:bidi="ar-SA"/>
      </w:rPr>
    </w:lvl>
    <w:lvl w:ilvl="5" w:tplc="691605F6">
      <w:numFmt w:val="bullet"/>
      <w:lvlText w:val="•"/>
      <w:lvlJc w:val="left"/>
      <w:pPr>
        <w:ind w:left="4833" w:hanging="567"/>
      </w:pPr>
      <w:rPr>
        <w:rFonts w:hint="default"/>
        <w:lang w:val="en-US" w:eastAsia="en-US" w:bidi="ar-SA"/>
      </w:rPr>
    </w:lvl>
    <w:lvl w:ilvl="6" w:tplc="1FE62B54">
      <w:numFmt w:val="bullet"/>
      <w:lvlText w:val="•"/>
      <w:lvlJc w:val="left"/>
      <w:pPr>
        <w:ind w:left="5738" w:hanging="567"/>
      </w:pPr>
      <w:rPr>
        <w:rFonts w:hint="default"/>
        <w:lang w:val="en-US" w:eastAsia="en-US" w:bidi="ar-SA"/>
      </w:rPr>
    </w:lvl>
    <w:lvl w:ilvl="7" w:tplc="93A21046">
      <w:numFmt w:val="bullet"/>
      <w:lvlText w:val="•"/>
      <w:lvlJc w:val="left"/>
      <w:pPr>
        <w:ind w:left="6642" w:hanging="567"/>
      </w:pPr>
      <w:rPr>
        <w:rFonts w:hint="default"/>
        <w:lang w:val="en-US" w:eastAsia="en-US" w:bidi="ar-SA"/>
      </w:rPr>
    </w:lvl>
    <w:lvl w:ilvl="8" w:tplc="9BE8B254">
      <w:numFmt w:val="bullet"/>
      <w:lvlText w:val="•"/>
      <w:lvlJc w:val="left"/>
      <w:pPr>
        <w:ind w:left="7547" w:hanging="567"/>
      </w:pPr>
      <w:rPr>
        <w:rFonts w:hint="default"/>
        <w:lang w:val="en-US" w:eastAsia="en-US" w:bidi="ar-SA"/>
      </w:rPr>
    </w:lvl>
  </w:abstractNum>
  <w:abstractNum w:abstractNumId="7" w15:restartNumberingAfterBreak="0">
    <w:nsid w:val="0C913E2B"/>
    <w:multiLevelType w:val="hybridMultilevel"/>
    <w:tmpl w:val="8B362E9E"/>
    <w:lvl w:ilvl="0" w:tplc="E8B62E5C">
      <w:numFmt w:val="bullet"/>
      <w:lvlText w:val=""/>
      <w:lvlJc w:val="left"/>
      <w:pPr>
        <w:ind w:left="707" w:hanging="567"/>
      </w:pPr>
      <w:rPr>
        <w:rFonts w:ascii="Symbol" w:eastAsia="Symbol" w:hAnsi="Symbol" w:cs="Symbol" w:hint="default"/>
        <w:b w:val="0"/>
        <w:bCs w:val="0"/>
        <w:i w:val="0"/>
        <w:iCs w:val="0"/>
        <w:spacing w:val="0"/>
        <w:w w:val="100"/>
        <w:sz w:val="22"/>
        <w:szCs w:val="22"/>
        <w:lang w:val="en-US" w:eastAsia="en-US" w:bidi="ar-SA"/>
      </w:rPr>
    </w:lvl>
    <w:lvl w:ilvl="1" w:tplc="00FC1024">
      <w:numFmt w:val="bullet"/>
      <w:lvlText w:val="•"/>
      <w:lvlJc w:val="left"/>
      <w:pPr>
        <w:ind w:left="1464" w:hanging="567"/>
      </w:pPr>
      <w:rPr>
        <w:rFonts w:hint="default"/>
        <w:lang w:val="en-US" w:eastAsia="en-US" w:bidi="ar-SA"/>
      </w:rPr>
    </w:lvl>
    <w:lvl w:ilvl="2" w:tplc="B570406C">
      <w:numFmt w:val="bullet"/>
      <w:lvlText w:val="•"/>
      <w:lvlJc w:val="left"/>
      <w:pPr>
        <w:ind w:left="2229" w:hanging="567"/>
      </w:pPr>
      <w:rPr>
        <w:rFonts w:hint="default"/>
        <w:lang w:val="en-US" w:eastAsia="en-US" w:bidi="ar-SA"/>
      </w:rPr>
    </w:lvl>
    <w:lvl w:ilvl="3" w:tplc="FFC0EBD2">
      <w:numFmt w:val="bullet"/>
      <w:lvlText w:val="•"/>
      <w:lvlJc w:val="left"/>
      <w:pPr>
        <w:ind w:left="2994" w:hanging="567"/>
      </w:pPr>
      <w:rPr>
        <w:rFonts w:hint="default"/>
        <w:lang w:val="en-US" w:eastAsia="en-US" w:bidi="ar-SA"/>
      </w:rPr>
    </w:lvl>
    <w:lvl w:ilvl="4" w:tplc="72140656">
      <w:numFmt w:val="bullet"/>
      <w:lvlText w:val="•"/>
      <w:lvlJc w:val="left"/>
      <w:pPr>
        <w:ind w:left="3759" w:hanging="567"/>
      </w:pPr>
      <w:rPr>
        <w:rFonts w:hint="default"/>
        <w:lang w:val="en-US" w:eastAsia="en-US" w:bidi="ar-SA"/>
      </w:rPr>
    </w:lvl>
    <w:lvl w:ilvl="5" w:tplc="7AACB55E">
      <w:numFmt w:val="bullet"/>
      <w:lvlText w:val="•"/>
      <w:lvlJc w:val="left"/>
      <w:pPr>
        <w:ind w:left="4524" w:hanging="567"/>
      </w:pPr>
      <w:rPr>
        <w:rFonts w:hint="default"/>
        <w:lang w:val="en-US" w:eastAsia="en-US" w:bidi="ar-SA"/>
      </w:rPr>
    </w:lvl>
    <w:lvl w:ilvl="6" w:tplc="8ACAE526">
      <w:numFmt w:val="bullet"/>
      <w:lvlText w:val="•"/>
      <w:lvlJc w:val="left"/>
      <w:pPr>
        <w:ind w:left="5288" w:hanging="567"/>
      </w:pPr>
      <w:rPr>
        <w:rFonts w:hint="default"/>
        <w:lang w:val="en-US" w:eastAsia="en-US" w:bidi="ar-SA"/>
      </w:rPr>
    </w:lvl>
    <w:lvl w:ilvl="7" w:tplc="8A984F4A">
      <w:numFmt w:val="bullet"/>
      <w:lvlText w:val="•"/>
      <w:lvlJc w:val="left"/>
      <w:pPr>
        <w:ind w:left="6053" w:hanging="567"/>
      </w:pPr>
      <w:rPr>
        <w:rFonts w:hint="default"/>
        <w:lang w:val="en-US" w:eastAsia="en-US" w:bidi="ar-SA"/>
      </w:rPr>
    </w:lvl>
    <w:lvl w:ilvl="8" w:tplc="5462AB22">
      <w:numFmt w:val="bullet"/>
      <w:lvlText w:val="•"/>
      <w:lvlJc w:val="left"/>
      <w:pPr>
        <w:ind w:left="6818" w:hanging="567"/>
      </w:pPr>
      <w:rPr>
        <w:rFonts w:hint="default"/>
        <w:lang w:val="en-US" w:eastAsia="en-US" w:bidi="ar-SA"/>
      </w:rPr>
    </w:lvl>
  </w:abstractNum>
  <w:abstractNum w:abstractNumId="8" w15:restartNumberingAfterBreak="0">
    <w:nsid w:val="0F184022"/>
    <w:multiLevelType w:val="multilevel"/>
    <w:tmpl w:val="0F0E0114"/>
    <w:lvl w:ilvl="0">
      <w:start w:val="7"/>
      <w:numFmt w:val="decimal"/>
      <w:lvlText w:val="%1"/>
      <w:lvlJc w:val="left"/>
      <w:pPr>
        <w:ind w:left="852" w:hanging="711"/>
        <w:jc w:val="left"/>
      </w:pPr>
      <w:rPr>
        <w:rFonts w:hint="default"/>
        <w:lang w:val="en-US" w:eastAsia="en-US" w:bidi="ar-SA"/>
      </w:rPr>
    </w:lvl>
    <w:lvl w:ilvl="1">
      <w:start w:val="4"/>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9" w15:restartNumberingAfterBreak="0">
    <w:nsid w:val="0FD2300E"/>
    <w:multiLevelType w:val="hybridMultilevel"/>
    <w:tmpl w:val="A11E8540"/>
    <w:lvl w:ilvl="0" w:tplc="7C0A2EFE">
      <w:numFmt w:val="bullet"/>
      <w:lvlText w:val=""/>
      <w:lvlJc w:val="left"/>
      <w:pPr>
        <w:ind w:left="823" w:hanging="360"/>
      </w:pPr>
      <w:rPr>
        <w:rFonts w:ascii="Symbol" w:eastAsia="Symbol" w:hAnsi="Symbol" w:cs="Symbol" w:hint="default"/>
        <w:b w:val="0"/>
        <w:bCs w:val="0"/>
        <w:i w:val="0"/>
        <w:iCs w:val="0"/>
        <w:spacing w:val="0"/>
        <w:w w:val="100"/>
        <w:sz w:val="24"/>
        <w:szCs w:val="24"/>
        <w:lang w:val="en-US" w:eastAsia="en-US" w:bidi="ar-SA"/>
      </w:rPr>
    </w:lvl>
    <w:lvl w:ilvl="1" w:tplc="1106945E">
      <w:numFmt w:val="bullet"/>
      <w:lvlText w:val="•"/>
      <w:lvlJc w:val="left"/>
      <w:pPr>
        <w:ind w:left="1643" w:hanging="360"/>
      </w:pPr>
      <w:rPr>
        <w:rFonts w:hint="default"/>
        <w:lang w:val="en-US" w:eastAsia="en-US" w:bidi="ar-SA"/>
      </w:rPr>
    </w:lvl>
    <w:lvl w:ilvl="2" w:tplc="66066524">
      <w:numFmt w:val="bullet"/>
      <w:lvlText w:val="•"/>
      <w:lvlJc w:val="left"/>
      <w:pPr>
        <w:ind w:left="2466" w:hanging="360"/>
      </w:pPr>
      <w:rPr>
        <w:rFonts w:hint="default"/>
        <w:lang w:val="en-US" w:eastAsia="en-US" w:bidi="ar-SA"/>
      </w:rPr>
    </w:lvl>
    <w:lvl w:ilvl="3" w:tplc="B2AE4296">
      <w:numFmt w:val="bullet"/>
      <w:lvlText w:val="•"/>
      <w:lvlJc w:val="left"/>
      <w:pPr>
        <w:ind w:left="3289" w:hanging="360"/>
      </w:pPr>
      <w:rPr>
        <w:rFonts w:hint="default"/>
        <w:lang w:val="en-US" w:eastAsia="en-US" w:bidi="ar-SA"/>
      </w:rPr>
    </w:lvl>
    <w:lvl w:ilvl="4" w:tplc="BF607666">
      <w:numFmt w:val="bullet"/>
      <w:lvlText w:val="•"/>
      <w:lvlJc w:val="left"/>
      <w:pPr>
        <w:ind w:left="4112" w:hanging="360"/>
      </w:pPr>
      <w:rPr>
        <w:rFonts w:hint="default"/>
        <w:lang w:val="en-US" w:eastAsia="en-US" w:bidi="ar-SA"/>
      </w:rPr>
    </w:lvl>
    <w:lvl w:ilvl="5" w:tplc="A6E66D5E">
      <w:numFmt w:val="bullet"/>
      <w:lvlText w:val="•"/>
      <w:lvlJc w:val="left"/>
      <w:pPr>
        <w:ind w:left="4935" w:hanging="360"/>
      </w:pPr>
      <w:rPr>
        <w:rFonts w:hint="default"/>
        <w:lang w:val="en-US" w:eastAsia="en-US" w:bidi="ar-SA"/>
      </w:rPr>
    </w:lvl>
    <w:lvl w:ilvl="6" w:tplc="4F80633A">
      <w:numFmt w:val="bullet"/>
      <w:lvlText w:val="•"/>
      <w:lvlJc w:val="left"/>
      <w:pPr>
        <w:ind w:left="5758" w:hanging="360"/>
      </w:pPr>
      <w:rPr>
        <w:rFonts w:hint="default"/>
        <w:lang w:val="en-US" w:eastAsia="en-US" w:bidi="ar-SA"/>
      </w:rPr>
    </w:lvl>
    <w:lvl w:ilvl="7" w:tplc="34806824">
      <w:numFmt w:val="bullet"/>
      <w:lvlText w:val="•"/>
      <w:lvlJc w:val="left"/>
      <w:pPr>
        <w:ind w:left="6581" w:hanging="360"/>
      </w:pPr>
      <w:rPr>
        <w:rFonts w:hint="default"/>
        <w:lang w:val="en-US" w:eastAsia="en-US" w:bidi="ar-SA"/>
      </w:rPr>
    </w:lvl>
    <w:lvl w:ilvl="8" w:tplc="BBCAAFA2">
      <w:numFmt w:val="bullet"/>
      <w:lvlText w:val="•"/>
      <w:lvlJc w:val="left"/>
      <w:pPr>
        <w:ind w:left="7404" w:hanging="360"/>
      </w:pPr>
      <w:rPr>
        <w:rFonts w:hint="default"/>
        <w:lang w:val="en-US" w:eastAsia="en-US" w:bidi="ar-SA"/>
      </w:rPr>
    </w:lvl>
  </w:abstractNum>
  <w:abstractNum w:abstractNumId="10" w15:restartNumberingAfterBreak="0">
    <w:nsid w:val="110823BB"/>
    <w:multiLevelType w:val="hybridMultilevel"/>
    <w:tmpl w:val="EF16E538"/>
    <w:lvl w:ilvl="0" w:tplc="55E0DF1C">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B5ECA540">
      <w:numFmt w:val="bullet"/>
      <w:lvlText w:val="•"/>
      <w:lvlJc w:val="left"/>
      <w:pPr>
        <w:ind w:left="1020" w:hanging="360"/>
      </w:pPr>
      <w:rPr>
        <w:rFonts w:hint="default"/>
        <w:lang w:val="en-US" w:eastAsia="en-US" w:bidi="ar-SA"/>
      </w:rPr>
    </w:lvl>
    <w:lvl w:ilvl="2" w:tplc="34D0815C">
      <w:numFmt w:val="bullet"/>
      <w:lvlText w:val="•"/>
      <w:lvlJc w:val="left"/>
      <w:pPr>
        <w:ind w:left="1220" w:hanging="360"/>
      </w:pPr>
      <w:rPr>
        <w:rFonts w:hint="default"/>
        <w:lang w:val="en-US" w:eastAsia="en-US" w:bidi="ar-SA"/>
      </w:rPr>
    </w:lvl>
    <w:lvl w:ilvl="3" w:tplc="330E0326">
      <w:numFmt w:val="bullet"/>
      <w:lvlText w:val="•"/>
      <w:lvlJc w:val="left"/>
      <w:pPr>
        <w:ind w:left="1421" w:hanging="360"/>
      </w:pPr>
      <w:rPr>
        <w:rFonts w:hint="default"/>
        <w:lang w:val="en-US" w:eastAsia="en-US" w:bidi="ar-SA"/>
      </w:rPr>
    </w:lvl>
    <w:lvl w:ilvl="4" w:tplc="19EE3AC0">
      <w:numFmt w:val="bullet"/>
      <w:lvlText w:val="•"/>
      <w:lvlJc w:val="left"/>
      <w:pPr>
        <w:ind w:left="1621" w:hanging="360"/>
      </w:pPr>
      <w:rPr>
        <w:rFonts w:hint="default"/>
        <w:lang w:val="en-US" w:eastAsia="en-US" w:bidi="ar-SA"/>
      </w:rPr>
    </w:lvl>
    <w:lvl w:ilvl="5" w:tplc="316C4126">
      <w:numFmt w:val="bullet"/>
      <w:lvlText w:val="•"/>
      <w:lvlJc w:val="left"/>
      <w:pPr>
        <w:ind w:left="1822" w:hanging="360"/>
      </w:pPr>
      <w:rPr>
        <w:rFonts w:hint="default"/>
        <w:lang w:val="en-US" w:eastAsia="en-US" w:bidi="ar-SA"/>
      </w:rPr>
    </w:lvl>
    <w:lvl w:ilvl="6" w:tplc="AC1055DA">
      <w:numFmt w:val="bullet"/>
      <w:lvlText w:val="•"/>
      <w:lvlJc w:val="left"/>
      <w:pPr>
        <w:ind w:left="2022" w:hanging="360"/>
      </w:pPr>
      <w:rPr>
        <w:rFonts w:hint="default"/>
        <w:lang w:val="en-US" w:eastAsia="en-US" w:bidi="ar-SA"/>
      </w:rPr>
    </w:lvl>
    <w:lvl w:ilvl="7" w:tplc="E63C08F4">
      <w:numFmt w:val="bullet"/>
      <w:lvlText w:val="•"/>
      <w:lvlJc w:val="left"/>
      <w:pPr>
        <w:ind w:left="2222" w:hanging="360"/>
      </w:pPr>
      <w:rPr>
        <w:rFonts w:hint="default"/>
        <w:lang w:val="en-US" w:eastAsia="en-US" w:bidi="ar-SA"/>
      </w:rPr>
    </w:lvl>
    <w:lvl w:ilvl="8" w:tplc="B36A85AE">
      <w:numFmt w:val="bullet"/>
      <w:lvlText w:val="•"/>
      <w:lvlJc w:val="left"/>
      <w:pPr>
        <w:ind w:left="2423" w:hanging="360"/>
      </w:pPr>
      <w:rPr>
        <w:rFonts w:hint="default"/>
        <w:lang w:val="en-US" w:eastAsia="en-US" w:bidi="ar-SA"/>
      </w:rPr>
    </w:lvl>
  </w:abstractNum>
  <w:abstractNum w:abstractNumId="11" w15:restartNumberingAfterBreak="0">
    <w:nsid w:val="13915407"/>
    <w:multiLevelType w:val="hybridMultilevel"/>
    <w:tmpl w:val="948078E2"/>
    <w:lvl w:ilvl="0" w:tplc="E190E434">
      <w:numFmt w:val="bullet"/>
      <w:lvlText w:val=""/>
      <w:lvlJc w:val="left"/>
      <w:pPr>
        <w:ind w:left="823" w:hanging="360"/>
      </w:pPr>
      <w:rPr>
        <w:rFonts w:ascii="Symbol" w:eastAsia="Symbol" w:hAnsi="Symbol" w:cs="Symbol" w:hint="default"/>
        <w:b w:val="0"/>
        <w:bCs w:val="0"/>
        <w:i w:val="0"/>
        <w:iCs w:val="0"/>
        <w:spacing w:val="0"/>
        <w:w w:val="100"/>
        <w:sz w:val="24"/>
        <w:szCs w:val="24"/>
        <w:lang w:val="en-US" w:eastAsia="en-US" w:bidi="ar-SA"/>
      </w:rPr>
    </w:lvl>
    <w:lvl w:ilvl="1" w:tplc="3328F31A">
      <w:numFmt w:val="bullet"/>
      <w:lvlText w:val="•"/>
      <w:lvlJc w:val="left"/>
      <w:pPr>
        <w:ind w:left="1643" w:hanging="360"/>
      </w:pPr>
      <w:rPr>
        <w:rFonts w:hint="default"/>
        <w:lang w:val="en-US" w:eastAsia="en-US" w:bidi="ar-SA"/>
      </w:rPr>
    </w:lvl>
    <w:lvl w:ilvl="2" w:tplc="F7A8798E">
      <w:numFmt w:val="bullet"/>
      <w:lvlText w:val="•"/>
      <w:lvlJc w:val="left"/>
      <w:pPr>
        <w:ind w:left="2466" w:hanging="360"/>
      </w:pPr>
      <w:rPr>
        <w:rFonts w:hint="default"/>
        <w:lang w:val="en-US" w:eastAsia="en-US" w:bidi="ar-SA"/>
      </w:rPr>
    </w:lvl>
    <w:lvl w:ilvl="3" w:tplc="D91CC098">
      <w:numFmt w:val="bullet"/>
      <w:lvlText w:val="•"/>
      <w:lvlJc w:val="left"/>
      <w:pPr>
        <w:ind w:left="3289" w:hanging="360"/>
      </w:pPr>
      <w:rPr>
        <w:rFonts w:hint="default"/>
        <w:lang w:val="en-US" w:eastAsia="en-US" w:bidi="ar-SA"/>
      </w:rPr>
    </w:lvl>
    <w:lvl w:ilvl="4" w:tplc="25A82B48">
      <w:numFmt w:val="bullet"/>
      <w:lvlText w:val="•"/>
      <w:lvlJc w:val="left"/>
      <w:pPr>
        <w:ind w:left="4112" w:hanging="360"/>
      </w:pPr>
      <w:rPr>
        <w:rFonts w:hint="default"/>
        <w:lang w:val="en-US" w:eastAsia="en-US" w:bidi="ar-SA"/>
      </w:rPr>
    </w:lvl>
    <w:lvl w:ilvl="5" w:tplc="EAD0B502">
      <w:numFmt w:val="bullet"/>
      <w:lvlText w:val="•"/>
      <w:lvlJc w:val="left"/>
      <w:pPr>
        <w:ind w:left="4935" w:hanging="360"/>
      </w:pPr>
      <w:rPr>
        <w:rFonts w:hint="default"/>
        <w:lang w:val="en-US" w:eastAsia="en-US" w:bidi="ar-SA"/>
      </w:rPr>
    </w:lvl>
    <w:lvl w:ilvl="6" w:tplc="B1B29F3C">
      <w:numFmt w:val="bullet"/>
      <w:lvlText w:val="•"/>
      <w:lvlJc w:val="left"/>
      <w:pPr>
        <w:ind w:left="5758" w:hanging="360"/>
      </w:pPr>
      <w:rPr>
        <w:rFonts w:hint="default"/>
        <w:lang w:val="en-US" w:eastAsia="en-US" w:bidi="ar-SA"/>
      </w:rPr>
    </w:lvl>
    <w:lvl w:ilvl="7" w:tplc="3E7C8130">
      <w:numFmt w:val="bullet"/>
      <w:lvlText w:val="•"/>
      <w:lvlJc w:val="left"/>
      <w:pPr>
        <w:ind w:left="6581" w:hanging="360"/>
      </w:pPr>
      <w:rPr>
        <w:rFonts w:hint="default"/>
        <w:lang w:val="en-US" w:eastAsia="en-US" w:bidi="ar-SA"/>
      </w:rPr>
    </w:lvl>
    <w:lvl w:ilvl="8" w:tplc="B69E3D10">
      <w:numFmt w:val="bullet"/>
      <w:lvlText w:val="•"/>
      <w:lvlJc w:val="left"/>
      <w:pPr>
        <w:ind w:left="7404" w:hanging="360"/>
      </w:pPr>
      <w:rPr>
        <w:rFonts w:hint="default"/>
        <w:lang w:val="en-US" w:eastAsia="en-US" w:bidi="ar-SA"/>
      </w:rPr>
    </w:lvl>
  </w:abstractNum>
  <w:abstractNum w:abstractNumId="12" w15:restartNumberingAfterBreak="0">
    <w:nsid w:val="17886A48"/>
    <w:multiLevelType w:val="hybridMultilevel"/>
    <w:tmpl w:val="1EC6F6B8"/>
    <w:lvl w:ilvl="0" w:tplc="98149ED4">
      <w:start w:val="1"/>
      <w:numFmt w:val="decimal"/>
      <w:lvlText w:val="%1."/>
      <w:lvlJc w:val="left"/>
      <w:pPr>
        <w:ind w:left="583" w:hanging="4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CCC1844">
      <w:numFmt w:val="bullet"/>
      <w:lvlText w:val="•"/>
      <w:lvlJc w:val="left"/>
      <w:pPr>
        <w:ind w:left="1485" w:hanging="443"/>
      </w:pPr>
      <w:rPr>
        <w:rFonts w:hint="default"/>
        <w:lang w:val="en-US" w:eastAsia="en-US" w:bidi="ar-SA"/>
      </w:rPr>
    </w:lvl>
    <w:lvl w:ilvl="2" w:tplc="4590FB92">
      <w:numFmt w:val="bullet"/>
      <w:lvlText w:val="•"/>
      <w:lvlJc w:val="left"/>
      <w:pPr>
        <w:ind w:left="2390" w:hanging="443"/>
      </w:pPr>
      <w:rPr>
        <w:rFonts w:hint="default"/>
        <w:lang w:val="en-US" w:eastAsia="en-US" w:bidi="ar-SA"/>
      </w:rPr>
    </w:lvl>
    <w:lvl w:ilvl="3" w:tplc="A43E5B86">
      <w:numFmt w:val="bullet"/>
      <w:lvlText w:val="•"/>
      <w:lvlJc w:val="left"/>
      <w:pPr>
        <w:ind w:left="3295" w:hanging="443"/>
      </w:pPr>
      <w:rPr>
        <w:rFonts w:hint="default"/>
        <w:lang w:val="en-US" w:eastAsia="en-US" w:bidi="ar-SA"/>
      </w:rPr>
    </w:lvl>
    <w:lvl w:ilvl="4" w:tplc="B25ACD04">
      <w:numFmt w:val="bullet"/>
      <w:lvlText w:val="•"/>
      <w:lvlJc w:val="left"/>
      <w:pPr>
        <w:ind w:left="4200" w:hanging="443"/>
      </w:pPr>
      <w:rPr>
        <w:rFonts w:hint="default"/>
        <w:lang w:val="en-US" w:eastAsia="en-US" w:bidi="ar-SA"/>
      </w:rPr>
    </w:lvl>
    <w:lvl w:ilvl="5" w:tplc="B07627B8">
      <w:numFmt w:val="bullet"/>
      <w:lvlText w:val="•"/>
      <w:lvlJc w:val="left"/>
      <w:pPr>
        <w:ind w:left="5106" w:hanging="443"/>
      </w:pPr>
      <w:rPr>
        <w:rFonts w:hint="default"/>
        <w:lang w:val="en-US" w:eastAsia="en-US" w:bidi="ar-SA"/>
      </w:rPr>
    </w:lvl>
    <w:lvl w:ilvl="6" w:tplc="24F0690C">
      <w:numFmt w:val="bullet"/>
      <w:lvlText w:val="•"/>
      <w:lvlJc w:val="left"/>
      <w:pPr>
        <w:ind w:left="6011" w:hanging="443"/>
      </w:pPr>
      <w:rPr>
        <w:rFonts w:hint="default"/>
        <w:lang w:val="en-US" w:eastAsia="en-US" w:bidi="ar-SA"/>
      </w:rPr>
    </w:lvl>
    <w:lvl w:ilvl="7" w:tplc="91143A56">
      <w:numFmt w:val="bullet"/>
      <w:lvlText w:val="•"/>
      <w:lvlJc w:val="left"/>
      <w:pPr>
        <w:ind w:left="6916" w:hanging="443"/>
      </w:pPr>
      <w:rPr>
        <w:rFonts w:hint="default"/>
        <w:lang w:val="en-US" w:eastAsia="en-US" w:bidi="ar-SA"/>
      </w:rPr>
    </w:lvl>
    <w:lvl w:ilvl="8" w:tplc="7A385668">
      <w:numFmt w:val="bullet"/>
      <w:lvlText w:val="•"/>
      <w:lvlJc w:val="left"/>
      <w:pPr>
        <w:ind w:left="7821" w:hanging="443"/>
      </w:pPr>
      <w:rPr>
        <w:rFonts w:hint="default"/>
        <w:lang w:val="en-US" w:eastAsia="en-US" w:bidi="ar-SA"/>
      </w:rPr>
    </w:lvl>
  </w:abstractNum>
  <w:abstractNum w:abstractNumId="13" w15:restartNumberingAfterBreak="0">
    <w:nsid w:val="19435E20"/>
    <w:multiLevelType w:val="hybridMultilevel"/>
    <w:tmpl w:val="7D06CF58"/>
    <w:lvl w:ilvl="0" w:tplc="FE98C164">
      <w:start w:val="1"/>
      <w:numFmt w:val="lowerRoman"/>
      <w:lvlText w:val="(%1)"/>
      <w:lvlJc w:val="left"/>
      <w:pPr>
        <w:ind w:left="2282" w:hanging="7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0129A42">
      <w:numFmt w:val="bullet"/>
      <w:lvlText w:val="•"/>
      <w:lvlJc w:val="left"/>
      <w:pPr>
        <w:ind w:left="2987" w:hanging="720"/>
      </w:pPr>
      <w:rPr>
        <w:rFonts w:hint="default"/>
        <w:lang w:val="en-US" w:eastAsia="en-US" w:bidi="ar-SA"/>
      </w:rPr>
    </w:lvl>
    <w:lvl w:ilvl="2" w:tplc="81925696">
      <w:numFmt w:val="bullet"/>
      <w:lvlText w:val="•"/>
      <w:lvlJc w:val="left"/>
      <w:pPr>
        <w:ind w:left="3695" w:hanging="720"/>
      </w:pPr>
      <w:rPr>
        <w:rFonts w:hint="default"/>
        <w:lang w:val="en-US" w:eastAsia="en-US" w:bidi="ar-SA"/>
      </w:rPr>
    </w:lvl>
    <w:lvl w:ilvl="3" w:tplc="33FE2656">
      <w:numFmt w:val="bullet"/>
      <w:lvlText w:val="•"/>
      <w:lvlJc w:val="left"/>
      <w:pPr>
        <w:ind w:left="4402" w:hanging="720"/>
      </w:pPr>
      <w:rPr>
        <w:rFonts w:hint="default"/>
        <w:lang w:val="en-US" w:eastAsia="en-US" w:bidi="ar-SA"/>
      </w:rPr>
    </w:lvl>
    <w:lvl w:ilvl="4" w:tplc="3B5CB692">
      <w:numFmt w:val="bullet"/>
      <w:lvlText w:val="•"/>
      <w:lvlJc w:val="left"/>
      <w:pPr>
        <w:ind w:left="5110" w:hanging="720"/>
      </w:pPr>
      <w:rPr>
        <w:rFonts w:hint="default"/>
        <w:lang w:val="en-US" w:eastAsia="en-US" w:bidi="ar-SA"/>
      </w:rPr>
    </w:lvl>
    <w:lvl w:ilvl="5" w:tplc="794CCE0E">
      <w:numFmt w:val="bullet"/>
      <w:lvlText w:val="•"/>
      <w:lvlJc w:val="left"/>
      <w:pPr>
        <w:ind w:left="5818" w:hanging="720"/>
      </w:pPr>
      <w:rPr>
        <w:rFonts w:hint="default"/>
        <w:lang w:val="en-US" w:eastAsia="en-US" w:bidi="ar-SA"/>
      </w:rPr>
    </w:lvl>
    <w:lvl w:ilvl="6" w:tplc="A04AC142">
      <w:numFmt w:val="bullet"/>
      <w:lvlText w:val="•"/>
      <w:lvlJc w:val="left"/>
      <w:pPr>
        <w:ind w:left="6525" w:hanging="720"/>
      </w:pPr>
      <w:rPr>
        <w:rFonts w:hint="default"/>
        <w:lang w:val="en-US" w:eastAsia="en-US" w:bidi="ar-SA"/>
      </w:rPr>
    </w:lvl>
    <w:lvl w:ilvl="7" w:tplc="80A24B54">
      <w:numFmt w:val="bullet"/>
      <w:lvlText w:val="•"/>
      <w:lvlJc w:val="left"/>
      <w:pPr>
        <w:ind w:left="7233" w:hanging="720"/>
      </w:pPr>
      <w:rPr>
        <w:rFonts w:hint="default"/>
        <w:lang w:val="en-US" w:eastAsia="en-US" w:bidi="ar-SA"/>
      </w:rPr>
    </w:lvl>
    <w:lvl w:ilvl="8" w:tplc="604CAB6A">
      <w:numFmt w:val="bullet"/>
      <w:lvlText w:val="•"/>
      <w:lvlJc w:val="left"/>
      <w:pPr>
        <w:ind w:left="7941" w:hanging="720"/>
      </w:pPr>
      <w:rPr>
        <w:rFonts w:hint="default"/>
        <w:lang w:val="en-US" w:eastAsia="en-US" w:bidi="ar-SA"/>
      </w:rPr>
    </w:lvl>
  </w:abstractNum>
  <w:abstractNum w:abstractNumId="14" w15:restartNumberingAfterBreak="0">
    <w:nsid w:val="1A1E2613"/>
    <w:multiLevelType w:val="hybridMultilevel"/>
    <w:tmpl w:val="BB28601A"/>
    <w:lvl w:ilvl="0" w:tplc="494ECE00">
      <w:start w:val="8"/>
      <w:numFmt w:val="decimal"/>
      <w:lvlText w:val="%1."/>
      <w:lvlJc w:val="left"/>
      <w:pPr>
        <w:ind w:left="851" w:hanging="70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0EC6F04">
      <w:start w:val="1"/>
      <w:numFmt w:val="lowerLetter"/>
      <w:lvlText w:val="(%2)"/>
      <w:lvlJc w:val="left"/>
      <w:pPr>
        <w:ind w:left="1562" w:hanging="71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7C74FBA4">
      <w:numFmt w:val="bullet"/>
      <w:lvlText w:val="–"/>
      <w:lvlJc w:val="left"/>
      <w:pPr>
        <w:ind w:left="198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tplc="8808FB76">
      <w:numFmt w:val="bullet"/>
      <w:lvlText w:val="•"/>
      <w:lvlJc w:val="left"/>
      <w:pPr>
        <w:ind w:left="1620" w:hanging="360"/>
      </w:pPr>
      <w:rPr>
        <w:rFonts w:hint="default"/>
        <w:lang w:val="en-US" w:eastAsia="en-US" w:bidi="ar-SA"/>
      </w:rPr>
    </w:lvl>
    <w:lvl w:ilvl="4" w:tplc="7D128692">
      <w:numFmt w:val="bullet"/>
      <w:lvlText w:val="•"/>
      <w:lvlJc w:val="left"/>
      <w:pPr>
        <w:ind w:left="1980" w:hanging="360"/>
      </w:pPr>
      <w:rPr>
        <w:rFonts w:hint="default"/>
        <w:lang w:val="en-US" w:eastAsia="en-US" w:bidi="ar-SA"/>
      </w:rPr>
    </w:lvl>
    <w:lvl w:ilvl="5" w:tplc="FD58D3CC">
      <w:numFmt w:val="bullet"/>
      <w:lvlText w:val="•"/>
      <w:lvlJc w:val="left"/>
      <w:pPr>
        <w:ind w:left="3209" w:hanging="360"/>
      </w:pPr>
      <w:rPr>
        <w:rFonts w:hint="default"/>
        <w:lang w:val="en-US" w:eastAsia="en-US" w:bidi="ar-SA"/>
      </w:rPr>
    </w:lvl>
    <w:lvl w:ilvl="6" w:tplc="DDD0F2D2">
      <w:numFmt w:val="bullet"/>
      <w:lvlText w:val="•"/>
      <w:lvlJc w:val="left"/>
      <w:pPr>
        <w:ind w:left="4438" w:hanging="360"/>
      </w:pPr>
      <w:rPr>
        <w:rFonts w:hint="default"/>
        <w:lang w:val="en-US" w:eastAsia="en-US" w:bidi="ar-SA"/>
      </w:rPr>
    </w:lvl>
    <w:lvl w:ilvl="7" w:tplc="FDF2F594">
      <w:numFmt w:val="bullet"/>
      <w:lvlText w:val="•"/>
      <w:lvlJc w:val="left"/>
      <w:pPr>
        <w:ind w:left="5668" w:hanging="360"/>
      </w:pPr>
      <w:rPr>
        <w:rFonts w:hint="default"/>
        <w:lang w:val="en-US" w:eastAsia="en-US" w:bidi="ar-SA"/>
      </w:rPr>
    </w:lvl>
    <w:lvl w:ilvl="8" w:tplc="B97A2962">
      <w:numFmt w:val="bullet"/>
      <w:lvlText w:val="•"/>
      <w:lvlJc w:val="left"/>
      <w:pPr>
        <w:ind w:left="6897" w:hanging="360"/>
      </w:pPr>
      <w:rPr>
        <w:rFonts w:hint="default"/>
        <w:lang w:val="en-US" w:eastAsia="en-US" w:bidi="ar-SA"/>
      </w:rPr>
    </w:lvl>
  </w:abstractNum>
  <w:abstractNum w:abstractNumId="15" w15:restartNumberingAfterBreak="0">
    <w:nsid w:val="1BFA7C26"/>
    <w:multiLevelType w:val="multilevel"/>
    <w:tmpl w:val="3ECA3FEC"/>
    <w:lvl w:ilvl="0">
      <w:start w:val="9"/>
      <w:numFmt w:val="decimal"/>
      <w:lvlText w:val="%1"/>
      <w:lvlJc w:val="left"/>
      <w:pPr>
        <w:ind w:left="852" w:hanging="711"/>
        <w:jc w:val="left"/>
      </w:pPr>
      <w:rPr>
        <w:rFonts w:hint="default"/>
        <w:lang w:val="en-US" w:eastAsia="en-US" w:bidi="ar-SA"/>
      </w:rPr>
    </w:lvl>
    <w:lvl w:ilvl="1">
      <w:start w:val="3"/>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16" w15:restartNumberingAfterBreak="0">
    <w:nsid w:val="1CC9089A"/>
    <w:multiLevelType w:val="multilevel"/>
    <w:tmpl w:val="3F7E417E"/>
    <w:lvl w:ilvl="0">
      <w:start w:val="6"/>
      <w:numFmt w:val="decimal"/>
      <w:lvlText w:val="%1"/>
      <w:lvlJc w:val="left"/>
      <w:pPr>
        <w:ind w:left="852" w:hanging="711"/>
        <w:jc w:val="left"/>
      </w:pPr>
      <w:rPr>
        <w:rFonts w:hint="default"/>
        <w:lang w:val="en-US" w:eastAsia="en-US" w:bidi="ar-SA"/>
      </w:rPr>
    </w:lvl>
    <w:lvl w:ilvl="1">
      <w:start w:val="4"/>
      <w:numFmt w:val="decimal"/>
      <w:lvlText w:val="%1.%2"/>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lowerLetter"/>
      <w:lvlText w:val="(%3)"/>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353" w:hanging="706"/>
      </w:pPr>
      <w:rPr>
        <w:rFonts w:hint="default"/>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17" w15:restartNumberingAfterBreak="0">
    <w:nsid w:val="1ECB1079"/>
    <w:multiLevelType w:val="hybridMultilevel"/>
    <w:tmpl w:val="2F3443A2"/>
    <w:lvl w:ilvl="0" w:tplc="E86AE964">
      <w:start w:val="1"/>
      <w:numFmt w:val="lowerLetter"/>
      <w:lvlText w:val="(%1)"/>
      <w:lvlJc w:val="left"/>
      <w:pPr>
        <w:ind w:left="707"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CBC37CE">
      <w:numFmt w:val="bullet"/>
      <w:lvlText w:val="•"/>
      <w:lvlJc w:val="left"/>
      <w:pPr>
        <w:ind w:left="1040" w:hanging="567"/>
      </w:pPr>
      <w:rPr>
        <w:rFonts w:hint="default"/>
        <w:lang w:val="en-US" w:eastAsia="en-US" w:bidi="ar-SA"/>
      </w:rPr>
    </w:lvl>
    <w:lvl w:ilvl="2" w:tplc="367466CA">
      <w:numFmt w:val="bullet"/>
      <w:lvlText w:val="•"/>
      <w:lvlJc w:val="left"/>
      <w:pPr>
        <w:ind w:left="1380" w:hanging="567"/>
      </w:pPr>
      <w:rPr>
        <w:rFonts w:hint="default"/>
        <w:lang w:val="en-US" w:eastAsia="en-US" w:bidi="ar-SA"/>
      </w:rPr>
    </w:lvl>
    <w:lvl w:ilvl="3" w:tplc="AEFC6426">
      <w:numFmt w:val="bullet"/>
      <w:lvlText w:val="•"/>
      <w:lvlJc w:val="left"/>
      <w:pPr>
        <w:ind w:left="1720" w:hanging="567"/>
      </w:pPr>
      <w:rPr>
        <w:rFonts w:hint="default"/>
        <w:lang w:val="en-US" w:eastAsia="en-US" w:bidi="ar-SA"/>
      </w:rPr>
    </w:lvl>
    <w:lvl w:ilvl="4" w:tplc="648252E2">
      <w:numFmt w:val="bullet"/>
      <w:lvlText w:val="•"/>
      <w:lvlJc w:val="left"/>
      <w:pPr>
        <w:ind w:left="2060" w:hanging="567"/>
      </w:pPr>
      <w:rPr>
        <w:rFonts w:hint="default"/>
        <w:lang w:val="en-US" w:eastAsia="en-US" w:bidi="ar-SA"/>
      </w:rPr>
    </w:lvl>
    <w:lvl w:ilvl="5" w:tplc="043838CE">
      <w:numFmt w:val="bullet"/>
      <w:lvlText w:val="•"/>
      <w:lvlJc w:val="left"/>
      <w:pPr>
        <w:ind w:left="2401" w:hanging="567"/>
      </w:pPr>
      <w:rPr>
        <w:rFonts w:hint="default"/>
        <w:lang w:val="en-US" w:eastAsia="en-US" w:bidi="ar-SA"/>
      </w:rPr>
    </w:lvl>
    <w:lvl w:ilvl="6" w:tplc="87264D2A">
      <w:numFmt w:val="bullet"/>
      <w:lvlText w:val="•"/>
      <w:lvlJc w:val="left"/>
      <w:pPr>
        <w:ind w:left="2741" w:hanging="567"/>
      </w:pPr>
      <w:rPr>
        <w:rFonts w:hint="default"/>
        <w:lang w:val="en-US" w:eastAsia="en-US" w:bidi="ar-SA"/>
      </w:rPr>
    </w:lvl>
    <w:lvl w:ilvl="7" w:tplc="CD70D376">
      <w:numFmt w:val="bullet"/>
      <w:lvlText w:val="•"/>
      <w:lvlJc w:val="left"/>
      <w:pPr>
        <w:ind w:left="3081" w:hanging="567"/>
      </w:pPr>
      <w:rPr>
        <w:rFonts w:hint="default"/>
        <w:lang w:val="en-US" w:eastAsia="en-US" w:bidi="ar-SA"/>
      </w:rPr>
    </w:lvl>
    <w:lvl w:ilvl="8" w:tplc="F0F44DF8">
      <w:numFmt w:val="bullet"/>
      <w:lvlText w:val="•"/>
      <w:lvlJc w:val="left"/>
      <w:pPr>
        <w:ind w:left="3421" w:hanging="567"/>
      </w:pPr>
      <w:rPr>
        <w:rFonts w:hint="default"/>
        <w:lang w:val="en-US" w:eastAsia="en-US" w:bidi="ar-SA"/>
      </w:rPr>
    </w:lvl>
  </w:abstractNum>
  <w:abstractNum w:abstractNumId="18" w15:restartNumberingAfterBreak="0">
    <w:nsid w:val="1F7A3537"/>
    <w:multiLevelType w:val="multilevel"/>
    <w:tmpl w:val="7A6CF0B4"/>
    <w:lvl w:ilvl="0">
      <w:start w:val="7"/>
      <w:numFmt w:val="decimal"/>
      <w:lvlText w:val="%1"/>
      <w:lvlJc w:val="left"/>
      <w:pPr>
        <w:ind w:left="852" w:hanging="711"/>
        <w:jc w:val="left"/>
      </w:pPr>
      <w:rPr>
        <w:rFonts w:hint="default"/>
        <w:lang w:val="en-US" w:eastAsia="en-US" w:bidi="ar-SA"/>
      </w:rPr>
    </w:lvl>
    <w:lvl w:ilvl="1">
      <w:start w:val="2"/>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19" w15:restartNumberingAfterBreak="0">
    <w:nsid w:val="238A1574"/>
    <w:multiLevelType w:val="multilevel"/>
    <w:tmpl w:val="7EC02786"/>
    <w:lvl w:ilvl="0">
      <w:start w:val="6"/>
      <w:numFmt w:val="decimal"/>
      <w:lvlText w:val="%1"/>
      <w:lvlJc w:val="left"/>
      <w:pPr>
        <w:ind w:left="852" w:hanging="711"/>
        <w:jc w:val="left"/>
      </w:pPr>
      <w:rPr>
        <w:rFonts w:hint="default"/>
        <w:lang w:val="en-US" w:eastAsia="en-US" w:bidi="ar-SA"/>
      </w:rPr>
    </w:lvl>
    <w:lvl w:ilvl="1">
      <w:start w:val="3"/>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20" w15:restartNumberingAfterBreak="0">
    <w:nsid w:val="25752E78"/>
    <w:multiLevelType w:val="multilevel"/>
    <w:tmpl w:val="DECE1E5E"/>
    <w:lvl w:ilvl="0">
      <w:start w:val="7"/>
      <w:numFmt w:val="decimal"/>
      <w:lvlText w:val="%1"/>
      <w:lvlJc w:val="left"/>
      <w:pPr>
        <w:ind w:left="852" w:hanging="711"/>
        <w:jc w:val="left"/>
      </w:pPr>
      <w:rPr>
        <w:rFonts w:hint="default"/>
        <w:lang w:val="en-US" w:eastAsia="en-US" w:bidi="ar-SA"/>
      </w:rPr>
    </w:lvl>
    <w:lvl w:ilvl="1">
      <w:start w:val="11"/>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21" w15:restartNumberingAfterBreak="0">
    <w:nsid w:val="28586267"/>
    <w:multiLevelType w:val="hybridMultilevel"/>
    <w:tmpl w:val="9A58C64E"/>
    <w:lvl w:ilvl="0" w:tplc="22101842">
      <w:start w:val="1"/>
      <w:numFmt w:val="lowerRoman"/>
      <w:lvlText w:val="(%1)"/>
      <w:lvlJc w:val="left"/>
      <w:pPr>
        <w:ind w:left="1987"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35889FE">
      <w:numFmt w:val="bullet"/>
      <w:lvlText w:val="•"/>
      <w:lvlJc w:val="left"/>
      <w:pPr>
        <w:ind w:left="2717" w:hanging="567"/>
      </w:pPr>
      <w:rPr>
        <w:rFonts w:hint="default"/>
        <w:lang w:val="en-US" w:eastAsia="en-US" w:bidi="ar-SA"/>
      </w:rPr>
    </w:lvl>
    <w:lvl w:ilvl="2" w:tplc="808E2724">
      <w:numFmt w:val="bullet"/>
      <w:lvlText w:val="•"/>
      <w:lvlJc w:val="left"/>
      <w:pPr>
        <w:ind w:left="3455" w:hanging="567"/>
      </w:pPr>
      <w:rPr>
        <w:rFonts w:hint="default"/>
        <w:lang w:val="en-US" w:eastAsia="en-US" w:bidi="ar-SA"/>
      </w:rPr>
    </w:lvl>
    <w:lvl w:ilvl="3" w:tplc="EABCC6EC">
      <w:numFmt w:val="bullet"/>
      <w:lvlText w:val="•"/>
      <w:lvlJc w:val="left"/>
      <w:pPr>
        <w:ind w:left="4192" w:hanging="567"/>
      </w:pPr>
      <w:rPr>
        <w:rFonts w:hint="default"/>
        <w:lang w:val="en-US" w:eastAsia="en-US" w:bidi="ar-SA"/>
      </w:rPr>
    </w:lvl>
    <w:lvl w:ilvl="4" w:tplc="DEFE551C">
      <w:numFmt w:val="bullet"/>
      <w:lvlText w:val="•"/>
      <w:lvlJc w:val="left"/>
      <w:pPr>
        <w:ind w:left="4930" w:hanging="567"/>
      </w:pPr>
      <w:rPr>
        <w:rFonts w:hint="default"/>
        <w:lang w:val="en-US" w:eastAsia="en-US" w:bidi="ar-SA"/>
      </w:rPr>
    </w:lvl>
    <w:lvl w:ilvl="5" w:tplc="951CF002">
      <w:numFmt w:val="bullet"/>
      <w:lvlText w:val="•"/>
      <w:lvlJc w:val="left"/>
      <w:pPr>
        <w:ind w:left="5668" w:hanging="567"/>
      </w:pPr>
      <w:rPr>
        <w:rFonts w:hint="default"/>
        <w:lang w:val="en-US" w:eastAsia="en-US" w:bidi="ar-SA"/>
      </w:rPr>
    </w:lvl>
    <w:lvl w:ilvl="6" w:tplc="048CD000">
      <w:numFmt w:val="bullet"/>
      <w:lvlText w:val="•"/>
      <w:lvlJc w:val="left"/>
      <w:pPr>
        <w:ind w:left="6405" w:hanging="567"/>
      </w:pPr>
      <w:rPr>
        <w:rFonts w:hint="default"/>
        <w:lang w:val="en-US" w:eastAsia="en-US" w:bidi="ar-SA"/>
      </w:rPr>
    </w:lvl>
    <w:lvl w:ilvl="7" w:tplc="37F06530">
      <w:numFmt w:val="bullet"/>
      <w:lvlText w:val="•"/>
      <w:lvlJc w:val="left"/>
      <w:pPr>
        <w:ind w:left="7143" w:hanging="567"/>
      </w:pPr>
      <w:rPr>
        <w:rFonts w:hint="default"/>
        <w:lang w:val="en-US" w:eastAsia="en-US" w:bidi="ar-SA"/>
      </w:rPr>
    </w:lvl>
    <w:lvl w:ilvl="8" w:tplc="508A3506">
      <w:numFmt w:val="bullet"/>
      <w:lvlText w:val="•"/>
      <w:lvlJc w:val="left"/>
      <w:pPr>
        <w:ind w:left="7881" w:hanging="567"/>
      </w:pPr>
      <w:rPr>
        <w:rFonts w:hint="default"/>
        <w:lang w:val="en-US" w:eastAsia="en-US" w:bidi="ar-SA"/>
      </w:rPr>
    </w:lvl>
  </w:abstractNum>
  <w:abstractNum w:abstractNumId="22" w15:restartNumberingAfterBreak="0">
    <w:nsid w:val="29A85365"/>
    <w:multiLevelType w:val="hybridMultilevel"/>
    <w:tmpl w:val="115A1446"/>
    <w:lvl w:ilvl="0" w:tplc="3AC4D48C">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9906F43E">
      <w:numFmt w:val="bullet"/>
      <w:lvlText w:val="•"/>
      <w:lvlJc w:val="left"/>
      <w:pPr>
        <w:ind w:left="1414" w:hanging="428"/>
      </w:pPr>
      <w:rPr>
        <w:rFonts w:hint="default"/>
        <w:lang w:val="en-US" w:eastAsia="en-US" w:bidi="ar-SA"/>
      </w:rPr>
    </w:lvl>
    <w:lvl w:ilvl="2" w:tplc="B8F2B378">
      <w:numFmt w:val="bullet"/>
      <w:lvlText w:val="•"/>
      <w:lvlJc w:val="left"/>
      <w:pPr>
        <w:ind w:left="2289" w:hanging="428"/>
      </w:pPr>
      <w:rPr>
        <w:rFonts w:hint="default"/>
        <w:lang w:val="en-US" w:eastAsia="en-US" w:bidi="ar-SA"/>
      </w:rPr>
    </w:lvl>
    <w:lvl w:ilvl="3" w:tplc="ADB0B544">
      <w:numFmt w:val="bullet"/>
      <w:lvlText w:val="•"/>
      <w:lvlJc w:val="left"/>
      <w:pPr>
        <w:ind w:left="3163" w:hanging="428"/>
      </w:pPr>
      <w:rPr>
        <w:rFonts w:hint="default"/>
        <w:lang w:val="en-US" w:eastAsia="en-US" w:bidi="ar-SA"/>
      </w:rPr>
    </w:lvl>
    <w:lvl w:ilvl="4" w:tplc="6B2CF03E">
      <w:numFmt w:val="bullet"/>
      <w:lvlText w:val="•"/>
      <w:lvlJc w:val="left"/>
      <w:pPr>
        <w:ind w:left="4038" w:hanging="428"/>
      </w:pPr>
      <w:rPr>
        <w:rFonts w:hint="default"/>
        <w:lang w:val="en-US" w:eastAsia="en-US" w:bidi="ar-SA"/>
      </w:rPr>
    </w:lvl>
    <w:lvl w:ilvl="5" w:tplc="0E2E4BDC">
      <w:numFmt w:val="bullet"/>
      <w:lvlText w:val="•"/>
      <w:lvlJc w:val="left"/>
      <w:pPr>
        <w:ind w:left="4912" w:hanging="428"/>
      </w:pPr>
      <w:rPr>
        <w:rFonts w:hint="default"/>
        <w:lang w:val="en-US" w:eastAsia="en-US" w:bidi="ar-SA"/>
      </w:rPr>
    </w:lvl>
    <w:lvl w:ilvl="6" w:tplc="86CEF3CE">
      <w:numFmt w:val="bullet"/>
      <w:lvlText w:val="•"/>
      <w:lvlJc w:val="left"/>
      <w:pPr>
        <w:ind w:left="5787" w:hanging="428"/>
      </w:pPr>
      <w:rPr>
        <w:rFonts w:hint="default"/>
        <w:lang w:val="en-US" w:eastAsia="en-US" w:bidi="ar-SA"/>
      </w:rPr>
    </w:lvl>
    <w:lvl w:ilvl="7" w:tplc="C3CE32F2">
      <w:numFmt w:val="bullet"/>
      <w:lvlText w:val="•"/>
      <w:lvlJc w:val="left"/>
      <w:pPr>
        <w:ind w:left="6661" w:hanging="428"/>
      </w:pPr>
      <w:rPr>
        <w:rFonts w:hint="default"/>
        <w:lang w:val="en-US" w:eastAsia="en-US" w:bidi="ar-SA"/>
      </w:rPr>
    </w:lvl>
    <w:lvl w:ilvl="8" w:tplc="B9B4B54E">
      <w:numFmt w:val="bullet"/>
      <w:lvlText w:val="•"/>
      <w:lvlJc w:val="left"/>
      <w:pPr>
        <w:ind w:left="7536" w:hanging="428"/>
      </w:pPr>
      <w:rPr>
        <w:rFonts w:hint="default"/>
        <w:lang w:val="en-US" w:eastAsia="en-US" w:bidi="ar-SA"/>
      </w:rPr>
    </w:lvl>
  </w:abstractNum>
  <w:abstractNum w:abstractNumId="23" w15:restartNumberingAfterBreak="0">
    <w:nsid w:val="2A070E0A"/>
    <w:multiLevelType w:val="multilevel"/>
    <w:tmpl w:val="A600B68C"/>
    <w:lvl w:ilvl="0">
      <w:start w:val="7"/>
      <w:numFmt w:val="decimal"/>
      <w:lvlText w:val="%1"/>
      <w:lvlJc w:val="left"/>
      <w:pPr>
        <w:ind w:left="852" w:hanging="711"/>
        <w:jc w:val="left"/>
      </w:pPr>
      <w:rPr>
        <w:rFonts w:hint="default"/>
        <w:lang w:val="en-US" w:eastAsia="en-US" w:bidi="ar-SA"/>
      </w:rPr>
    </w:lvl>
    <w:lvl w:ilvl="1">
      <w:start w:val="8"/>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24" w15:restartNumberingAfterBreak="0">
    <w:nsid w:val="2C921E6D"/>
    <w:multiLevelType w:val="hybridMultilevel"/>
    <w:tmpl w:val="F1EEFF60"/>
    <w:lvl w:ilvl="0" w:tplc="C90A04A2">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0E0E79C8">
      <w:numFmt w:val="bullet"/>
      <w:lvlText w:val="•"/>
      <w:lvlJc w:val="left"/>
      <w:pPr>
        <w:ind w:left="1414" w:hanging="428"/>
      </w:pPr>
      <w:rPr>
        <w:rFonts w:hint="default"/>
        <w:lang w:val="en-US" w:eastAsia="en-US" w:bidi="ar-SA"/>
      </w:rPr>
    </w:lvl>
    <w:lvl w:ilvl="2" w:tplc="6C068690">
      <w:numFmt w:val="bullet"/>
      <w:lvlText w:val="•"/>
      <w:lvlJc w:val="left"/>
      <w:pPr>
        <w:ind w:left="2289" w:hanging="428"/>
      </w:pPr>
      <w:rPr>
        <w:rFonts w:hint="default"/>
        <w:lang w:val="en-US" w:eastAsia="en-US" w:bidi="ar-SA"/>
      </w:rPr>
    </w:lvl>
    <w:lvl w:ilvl="3" w:tplc="D8BAEF7A">
      <w:numFmt w:val="bullet"/>
      <w:lvlText w:val="•"/>
      <w:lvlJc w:val="left"/>
      <w:pPr>
        <w:ind w:left="3163" w:hanging="428"/>
      </w:pPr>
      <w:rPr>
        <w:rFonts w:hint="default"/>
        <w:lang w:val="en-US" w:eastAsia="en-US" w:bidi="ar-SA"/>
      </w:rPr>
    </w:lvl>
    <w:lvl w:ilvl="4" w:tplc="A538F456">
      <w:numFmt w:val="bullet"/>
      <w:lvlText w:val="•"/>
      <w:lvlJc w:val="left"/>
      <w:pPr>
        <w:ind w:left="4038" w:hanging="428"/>
      </w:pPr>
      <w:rPr>
        <w:rFonts w:hint="default"/>
        <w:lang w:val="en-US" w:eastAsia="en-US" w:bidi="ar-SA"/>
      </w:rPr>
    </w:lvl>
    <w:lvl w:ilvl="5" w:tplc="41E41E00">
      <w:numFmt w:val="bullet"/>
      <w:lvlText w:val="•"/>
      <w:lvlJc w:val="left"/>
      <w:pPr>
        <w:ind w:left="4912" w:hanging="428"/>
      </w:pPr>
      <w:rPr>
        <w:rFonts w:hint="default"/>
        <w:lang w:val="en-US" w:eastAsia="en-US" w:bidi="ar-SA"/>
      </w:rPr>
    </w:lvl>
    <w:lvl w:ilvl="6" w:tplc="319ED090">
      <w:numFmt w:val="bullet"/>
      <w:lvlText w:val="•"/>
      <w:lvlJc w:val="left"/>
      <w:pPr>
        <w:ind w:left="5787" w:hanging="428"/>
      </w:pPr>
      <w:rPr>
        <w:rFonts w:hint="default"/>
        <w:lang w:val="en-US" w:eastAsia="en-US" w:bidi="ar-SA"/>
      </w:rPr>
    </w:lvl>
    <w:lvl w:ilvl="7" w:tplc="D71AAF3A">
      <w:numFmt w:val="bullet"/>
      <w:lvlText w:val="•"/>
      <w:lvlJc w:val="left"/>
      <w:pPr>
        <w:ind w:left="6661" w:hanging="428"/>
      </w:pPr>
      <w:rPr>
        <w:rFonts w:hint="default"/>
        <w:lang w:val="en-US" w:eastAsia="en-US" w:bidi="ar-SA"/>
      </w:rPr>
    </w:lvl>
    <w:lvl w:ilvl="8" w:tplc="BE4636B0">
      <w:numFmt w:val="bullet"/>
      <w:lvlText w:val="•"/>
      <w:lvlJc w:val="left"/>
      <w:pPr>
        <w:ind w:left="7536" w:hanging="428"/>
      </w:pPr>
      <w:rPr>
        <w:rFonts w:hint="default"/>
        <w:lang w:val="en-US" w:eastAsia="en-US" w:bidi="ar-SA"/>
      </w:rPr>
    </w:lvl>
  </w:abstractNum>
  <w:abstractNum w:abstractNumId="25" w15:restartNumberingAfterBreak="0">
    <w:nsid w:val="2FD238B0"/>
    <w:multiLevelType w:val="hybridMultilevel"/>
    <w:tmpl w:val="E1E00252"/>
    <w:lvl w:ilvl="0" w:tplc="3FB6744E">
      <w:numFmt w:val="bullet"/>
      <w:lvlText w:val="–"/>
      <w:lvlJc w:val="left"/>
      <w:pPr>
        <w:ind w:left="863" w:hanging="360"/>
      </w:pPr>
      <w:rPr>
        <w:rFonts w:ascii="Times New Roman" w:eastAsia="Times New Roman" w:hAnsi="Times New Roman" w:cs="Times New Roman" w:hint="default"/>
        <w:b w:val="0"/>
        <w:bCs w:val="0"/>
        <w:i w:val="0"/>
        <w:iCs w:val="0"/>
        <w:spacing w:val="0"/>
        <w:w w:val="100"/>
        <w:sz w:val="16"/>
        <w:szCs w:val="16"/>
        <w:lang w:val="en-US" w:eastAsia="en-US" w:bidi="ar-SA"/>
      </w:rPr>
    </w:lvl>
    <w:lvl w:ilvl="1" w:tplc="6C043B9A">
      <w:numFmt w:val="bullet"/>
      <w:lvlText w:val="•"/>
      <w:lvlJc w:val="left"/>
      <w:pPr>
        <w:ind w:left="1709" w:hanging="360"/>
      </w:pPr>
      <w:rPr>
        <w:rFonts w:hint="default"/>
        <w:lang w:val="en-US" w:eastAsia="en-US" w:bidi="ar-SA"/>
      </w:rPr>
    </w:lvl>
    <w:lvl w:ilvl="2" w:tplc="FF18C1AA">
      <w:numFmt w:val="bullet"/>
      <w:lvlText w:val="•"/>
      <w:lvlJc w:val="left"/>
      <w:pPr>
        <w:ind w:left="2559" w:hanging="360"/>
      </w:pPr>
      <w:rPr>
        <w:rFonts w:hint="default"/>
        <w:lang w:val="en-US" w:eastAsia="en-US" w:bidi="ar-SA"/>
      </w:rPr>
    </w:lvl>
    <w:lvl w:ilvl="3" w:tplc="43349D58">
      <w:numFmt w:val="bullet"/>
      <w:lvlText w:val="•"/>
      <w:lvlJc w:val="left"/>
      <w:pPr>
        <w:ind w:left="3408" w:hanging="360"/>
      </w:pPr>
      <w:rPr>
        <w:rFonts w:hint="default"/>
        <w:lang w:val="en-US" w:eastAsia="en-US" w:bidi="ar-SA"/>
      </w:rPr>
    </w:lvl>
    <w:lvl w:ilvl="4" w:tplc="C9426F84">
      <w:numFmt w:val="bullet"/>
      <w:lvlText w:val="•"/>
      <w:lvlJc w:val="left"/>
      <w:pPr>
        <w:ind w:left="4258" w:hanging="360"/>
      </w:pPr>
      <w:rPr>
        <w:rFonts w:hint="default"/>
        <w:lang w:val="en-US" w:eastAsia="en-US" w:bidi="ar-SA"/>
      </w:rPr>
    </w:lvl>
    <w:lvl w:ilvl="5" w:tplc="AA4CD8F0">
      <w:numFmt w:val="bullet"/>
      <w:lvlText w:val="•"/>
      <w:lvlJc w:val="left"/>
      <w:pPr>
        <w:ind w:left="5108" w:hanging="360"/>
      </w:pPr>
      <w:rPr>
        <w:rFonts w:hint="default"/>
        <w:lang w:val="en-US" w:eastAsia="en-US" w:bidi="ar-SA"/>
      </w:rPr>
    </w:lvl>
    <w:lvl w:ilvl="6" w:tplc="2BA47AD4">
      <w:numFmt w:val="bullet"/>
      <w:lvlText w:val="•"/>
      <w:lvlJc w:val="left"/>
      <w:pPr>
        <w:ind w:left="5957" w:hanging="360"/>
      </w:pPr>
      <w:rPr>
        <w:rFonts w:hint="default"/>
        <w:lang w:val="en-US" w:eastAsia="en-US" w:bidi="ar-SA"/>
      </w:rPr>
    </w:lvl>
    <w:lvl w:ilvl="7" w:tplc="9ADC501C">
      <w:numFmt w:val="bullet"/>
      <w:lvlText w:val="•"/>
      <w:lvlJc w:val="left"/>
      <w:pPr>
        <w:ind w:left="6807" w:hanging="360"/>
      </w:pPr>
      <w:rPr>
        <w:rFonts w:hint="default"/>
        <w:lang w:val="en-US" w:eastAsia="en-US" w:bidi="ar-SA"/>
      </w:rPr>
    </w:lvl>
    <w:lvl w:ilvl="8" w:tplc="C7081ACE">
      <w:numFmt w:val="bullet"/>
      <w:lvlText w:val="•"/>
      <w:lvlJc w:val="left"/>
      <w:pPr>
        <w:ind w:left="7657" w:hanging="360"/>
      </w:pPr>
      <w:rPr>
        <w:rFonts w:hint="default"/>
        <w:lang w:val="en-US" w:eastAsia="en-US" w:bidi="ar-SA"/>
      </w:rPr>
    </w:lvl>
  </w:abstractNum>
  <w:abstractNum w:abstractNumId="26" w15:restartNumberingAfterBreak="0">
    <w:nsid w:val="30C1218E"/>
    <w:multiLevelType w:val="hybridMultilevel"/>
    <w:tmpl w:val="E88270EE"/>
    <w:lvl w:ilvl="0" w:tplc="C00C2E78">
      <w:numFmt w:val="bullet"/>
      <w:lvlText w:val=""/>
      <w:lvlJc w:val="left"/>
      <w:pPr>
        <w:ind w:left="1562" w:hanging="711"/>
      </w:pPr>
      <w:rPr>
        <w:rFonts w:ascii="Symbol" w:eastAsia="Symbol" w:hAnsi="Symbol" w:cs="Symbol" w:hint="default"/>
        <w:b w:val="0"/>
        <w:bCs w:val="0"/>
        <w:i w:val="0"/>
        <w:iCs w:val="0"/>
        <w:spacing w:val="0"/>
        <w:w w:val="100"/>
        <w:sz w:val="22"/>
        <w:szCs w:val="22"/>
        <w:lang w:val="en-US" w:eastAsia="en-US" w:bidi="ar-SA"/>
      </w:rPr>
    </w:lvl>
    <w:lvl w:ilvl="1" w:tplc="14789030">
      <w:numFmt w:val="bullet"/>
      <w:lvlText w:val="o"/>
      <w:lvlJc w:val="left"/>
      <w:pPr>
        <w:ind w:left="2128" w:hanging="567"/>
      </w:pPr>
      <w:rPr>
        <w:rFonts w:ascii="Courier New" w:eastAsia="Courier New" w:hAnsi="Courier New" w:cs="Courier New" w:hint="default"/>
        <w:b w:val="0"/>
        <w:bCs w:val="0"/>
        <w:i w:val="0"/>
        <w:iCs w:val="0"/>
        <w:spacing w:val="0"/>
        <w:w w:val="100"/>
        <w:sz w:val="22"/>
        <w:szCs w:val="22"/>
        <w:lang w:val="en-US" w:eastAsia="en-US" w:bidi="ar-SA"/>
      </w:rPr>
    </w:lvl>
    <w:lvl w:ilvl="2" w:tplc="0AFCAFA2">
      <w:numFmt w:val="bullet"/>
      <w:lvlText w:val="•"/>
      <w:lvlJc w:val="left"/>
      <w:pPr>
        <w:ind w:left="2924" w:hanging="567"/>
      </w:pPr>
      <w:rPr>
        <w:rFonts w:hint="default"/>
        <w:lang w:val="en-US" w:eastAsia="en-US" w:bidi="ar-SA"/>
      </w:rPr>
    </w:lvl>
    <w:lvl w:ilvl="3" w:tplc="743CC236">
      <w:numFmt w:val="bullet"/>
      <w:lvlText w:val="•"/>
      <w:lvlJc w:val="left"/>
      <w:pPr>
        <w:ind w:left="3728" w:hanging="567"/>
      </w:pPr>
      <w:rPr>
        <w:rFonts w:hint="default"/>
        <w:lang w:val="en-US" w:eastAsia="en-US" w:bidi="ar-SA"/>
      </w:rPr>
    </w:lvl>
    <w:lvl w:ilvl="4" w:tplc="421C8036">
      <w:numFmt w:val="bullet"/>
      <w:lvlText w:val="•"/>
      <w:lvlJc w:val="left"/>
      <w:pPr>
        <w:ind w:left="4532" w:hanging="567"/>
      </w:pPr>
      <w:rPr>
        <w:rFonts w:hint="default"/>
        <w:lang w:val="en-US" w:eastAsia="en-US" w:bidi="ar-SA"/>
      </w:rPr>
    </w:lvl>
    <w:lvl w:ilvl="5" w:tplc="408A5564">
      <w:numFmt w:val="bullet"/>
      <w:lvlText w:val="•"/>
      <w:lvlJc w:val="left"/>
      <w:pPr>
        <w:ind w:left="5336" w:hanging="567"/>
      </w:pPr>
      <w:rPr>
        <w:rFonts w:hint="default"/>
        <w:lang w:val="en-US" w:eastAsia="en-US" w:bidi="ar-SA"/>
      </w:rPr>
    </w:lvl>
    <w:lvl w:ilvl="6" w:tplc="77740EB6">
      <w:numFmt w:val="bullet"/>
      <w:lvlText w:val="•"/>
      <w:lvlJc w:val="left"/>
      <w:pPr>
        <w:ind w:left="6140" w:hanging="567"/>
      </w:pPr>
      <w:rPr>
        <w:rFonts w:hint="default"/>
        <w:lang w:val="en-US" w:eastAsia="en-US" w:bidi="ar-SA"/>
      </w:rPr>
    </w:lvl>
    <w:lvl w:ilvl="7" w:tplc="D3F605D8">
      <w:numFmt w:val="bullet"/>
      <w:lvlText w:val="•"/>
      <w:lvlJc w:val="left"/>
      <w:pPr>
        <w:ind w:left="6944" w:hanging="567"/>
      </w:pPr>
      <w:rPr>
        <w:rFonts w:hint="default"/>
        <w:lang w:val="en-US" w:eastAsia="en-US" w:bidi="ar-SA"/>
      </w:rPr>
    </w:lvl>
    <w:lvl w:ilvl="8" w:tplc="ABE2A686">
      <w:numFmt w:val="bullet"/>
      <w:lvlText w:val="•"/>
      <w:lvlJc w:val="left"/>
      <w:pPr>
        <w:ind w:left="7748" w:hanging="567"/>
      </w:pPr>
      <w:rPr>
        <w:rFonts w:hint="default"/>
        <w:lang w:val="en-US" w:eastAsia="en-US" w:bidi="ar-SA"/>
      </w:rPr>
    </w:lvl>
  </w:abstractNum>
  <w:abstractNum w:abstractNumId="27" w15:restartNumberingAfterBreak="0">
    <w:nsid w:val="34E27B6C"/>
    <w:multiLevelType w:val="hybridMultilevel"/>
    <w:tmpl w:val="5478DFB8"/>
    <w:lvl w:ilvl="0" w:tplc="29923F7C">
      <w:numFmt w:val="bullet"/>
      <w:lvlText w:val=""/>
      <w:lvlJc w:val="left"/>
      <w:pPr>
        <w:ind w:left="1562" w:hanging="711"/>
      </w:pPr>
      <w:rPr>
        <w:rFonts w:ascii="Symbol" w:eastAsia="Symbol" w:hAnsi="Symbol" w:cs="Symbol" w:hint="default"/>
        <w:b w:val="0"/>
        <w:bCs w:val="0"/>
        <w:i w:val="0"/>
        <w:iCs w:val="0"/>
        <w:spacing w:val="0"/>
        <w:w w:val="100"/>
        <w:sz w:val="22"/>
        <w:szCs w:val="22"/>
        <w:lang w:val="en-US" w:eastAsia="en-US" w:bidi="ar-SA"/>
      </w:rPr>
    </w:lvl>
    <w:lvl w:ilvl="1" w:tplc="F2DA1712">
      <w:numFmt w:val="bullet"/>
      <w:lvlText w:val="o"/>
      <w:lvlJc w:val="left"/>
      <w:pPr>
        <w:ind w:left="2128" w:hanging="567"/>
      </w:pPr>
      <w:rPr>
        <w:rFonts w:ascii="Courier New" w:eastAsia="Courier New" w:hAnsi="Courier New" w:cs="Courier New" w:hint="default"/>
        <w:b w:val="0"/>
        <w:bCs w:val="0"/>
        <w:i w:val="0"/>
        <w:iCs w:val="0"/>
        <w:spacing w:val="0"/>
        <w:w w:val="100"/>
        <w:sz w:val="22"/>
        <w:szCs w:val="22"/>
        <w:lang w:val="en-US" w:eastAsia="en-US" w:bidi="ar-SA"/>
      </w:rPr>
    </w:lvl>
    <w:lvl w:ilvl="2" w:tplc="4DA645D4">
      <w:numFmt w:val="bullet"/>
      <w:lvlText w:val="•"/>
      <w:lvlJc w:val="left"/>
      <w:pPr>
        <w:ind w:left="2924" w:hanging="567"/>
      </w:pPr>
      <w:rPr>
        <w:rFonts w:hint="default"/>
        <w:lang w:val="en-US" w:eastAsia="en-US" w:bidi="ar-SA"/>
      </w:rPr>
    </w:lvl>
    <w:lvl w:ilvl="3" w:tplc="3D1A9920">
      <w:numFmt w:val="bullet"/>
      <w:lvlText w:val="•"/>
      <w:lvlJc w:val="left"/>
      <w:pPr>
        <w:ind w:left="3728" w:hanging="567"/>
      </w:pPr>
      <w:rPr>
        <w:rFonts w:hint="default"/>
        <w:lang w:val="en-US" w:eastAsia="en-US" w:bidi="ar-SA"/>
      </w:rPr>
    </w:lvl>
    <w:lvl w:ilvl="4" w:tplc="CDEC7600">
      <w:numFmt w:val="bullet"/>
      <w:lvlText w:val="•"/>
      <w:lvlJc w:val="left"/>
      <w:pPr>
        <w:ind w:left="4532" w:hanging="567"/>
      </w:pPr>
      <w:rPr>
        <w:rFonts w:hint="default"/>
        <w:lang w:val="en-US" w:eastAsia="en-US" w:bidi="ar-SA"/>
      </w:rPr>
    </w:lvl>
    <w:lvl w:ilvl="5" w:tplc="548E47E0">
      <w:numFmt w:val="bullet"/>
      <w:lvlText w:val="•"/>
      <w:lvlJc w:val="left"/>
      <w:pPr>
        <w:ind w:left="5336" w:hanging="567"/>
      </w:pPr>
      <w:rPr>
        <w:rFonts w:hint="default"/>
        <w:lang w:val="en-US" w:eastAsia="en-US" w:bidi="ar-SA"/>
      </w:rPr>
    </w:lvl>
    <w:lvl w:ilvl="6" w:tplc="E4C04662">
      <w:numFmt w:val="bullet"/>
      <w:lvlText w:val="•"/>
      <w:lvlJc w:val="left"/>
      <w:pPr>
        <w:ind w:left="6140" w:hanging="567"/>
      </w:pPr>
      <w:rPr>
        <w:rFonts w:hint="default"/>
        <w:lang w:val="en-US" w:eastAsia="en-US" w:bidi="ar-SA"/>
      </w:rPr>
    </w:lvl>
    <w:lvl w:ilvl="7" w:tplc="8C7293B6">
      <w:numFmt w:val="bullet"/>
      <w:lvlText w:val="•"/>
      <w:lvlJc w:val="left"/>
      <w:pPr>
        <w:ind w:left="6944" w:hanging="567"/>
      </w:pPr>
      <w:rPr>
        <w:rFonts w:hint="default"/>
        <w:lang w:val="en-US" w:eastAsia="en-US" w:bidi="ar-SA"/>
      </w:rPr>
    </w:lvl>
    <w:lvl w:ilvl="8" w:tplc="4506652A">
      <w:numFmt w:val="bullet"/>
      <w:lvlText w:val="•"/>
      <w:lvlJc w:val="left"/>
      <w:pPr>
        <w:ind w:left="7748" w:hanging="567"/>
      </w:pPr>
      <w:rPr>
        <w:rFonts w:hint="default"/>
        <w:lang w:val="en-US" w:eastAsia="en-US" w:bidi="ar-SA"/>
      </w:rPr>
    </w:lvl>
  </w:abstractNum>
  <w:abstractNum w:abstractNumId="28" w15:restartNumberingAfterBreak="0">
    <w:nsid w:val="39965E1D"/>
    <w:multiLevelType w:val="hybridMultilevel"/>
    <w:tmpl w:val="7B18B7FE"/>
    <w:lvl w:ilvl="0" w:tplc="2E062B16">
      <w:numFmt w:val="bullet"/>
      <w:lvlText w:val="•"/>
      <w:lvlJc w:val="left"/>
      <w:pPr>
        <w:ind w:left="1279"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4D121A02">
      <w:numFmt w:val="bullet"/>
      <w:lvlText w:val="•"/>
      <w:lvlJc w:val="left"/>
      <w:pPr>
        <w:ind w:left="2158" w:hanging="428"/>
      </w:pPr>
      <w:rPr>
        <w:rFonts w:hint="default"/>
        <w:lang w:val="en-US" w:eastAsia="en-US" w:bidi="ar-SA"/>
      </w:rPr>
    </w:lvl>
    <w:lvl w:ilvl="2" w:tplc="35705AE2">
      <w:numFmt w:val="bullet"/>
      <w:lvlText w:val="•"/>
      <w:lvlJc w:val="left"/>
      <w:pPr>
        <w:ind w:left="3037" w:hanging="428"/>
      </w:pPr>
      <w:rPr>
        <w:rFonts w:hint="default"/>
        <w:lang w:val="en-US" w:eastAsia="en-US" w:bidi="ar-SA"/>
      </w:rPr>
    </w:lvl>
    <w:lvl w:ilvl="3" w:tplc="0B06334A">
      <w:numFmt w:val="bullet"/>
      <w:lvlText w:val="•"/>
      <w:lvlJc w:val="left"/>
      <w:pPr>
        <w:ind w:left="3915" w:hanging="428"/>
      </w:pPr>
      <w:rPr>
        <w:rFonts w:hint="default"/>
        <w:lang w:val="en-US" w:eastAsia="en-US" w:bidi="ar-SA"/>
      </w:rPr>
    </w:lvl>
    <w:lvl w:ilvl="4" w:tplc="F30CCA5E">
      <w:numFmt w:val="bullet"/>
      <w:lvlText w:val="•"/>
      <w:lvlJc w:val="left"/>
      <w:pPr>
        <w:ind w:left="4794" w:hanging="428"/>
      </w:pPr>
      <w:rPr>
        <w:rFonts w:hint="default"/>
        <w:lang w:val="en-US" w:eastAsia="en-US" w:bidi="ar-SA"/>
      </w:rPr>
    </w:lvl>
    <w:lvl w:ilvl="5" w:tplc="23ACDDB2">
      <w:numFmt w:val="bullet"/>
      <w:lvlText w:val="•"/>
      <w:lvlJc w:val="left"/>
      <w:pPr>
        <w:ind w:left="5672" w:hanging="428"/>
      </w:pPr>
      <w:rPr>
        <w:rFonts w:hint="default"/>
        <w:lang w:val="en-US" w:eastAsia="en-US" w:bidi="ar-SA"/>
      </w:rPr>
    </w:lvl>
    <w:lvl w:ilvl="6" w:tplc="751AC0DA">
      <w:numFmt w:val="bullet"/>
      <w:lvlText w:val="•"/>
      <w:lvlJc w:val="left"/>
      <w:pPr>
        <w:ind w:left="6551" w:hanging="428"/>
      </w:pPr>
      <w:rPr>
        <w:rFonts w:hint="default"/>
        <w:lang w:val="en-US" w:eastAsia="en-US" w:bidi="ar-SA"/>
      </w:rPr>
    </w:lvl>
    <w:lvl w:ilvl="7" w:tplc="1E389B7A">
      <w:numFmt w:val="bullet"/>
      <w:lvlText w:val="•"/>
      <w:lvlJc w:val="left"/>
      <w:pPr>
        <w:ind w:left="7429" w:hanging="428"/>
      </w:pPr>
      <w:rPr>
        <w:rFonts w:hint="default"/>
        <w:lang w:val="en-US" w:eastAsia="en-US" w:bidi="ar-SA"/>
      </w:rPr>
    </w:lvl>
    <w:lvl w:ilvl="8" w:tplc="2A9AB7FE">
      <w:numFmt w:val="bullet"/>
      <w:lvlText w:val="•"/>
      <w:lvlJc w:val="left"/>
      <w:pPr>
        <w:ind w:left="8308" w:hanging="428"/>
      </w:pPr>
      <w:rPr>
        <w:rFonts w:hint="default"/>
        <w:lang w:val="en-US" w:eastAsia="en-US" w:bidi="ar-SA"/>
      </w:rPr>
    </w:lvl>
  </w:abstractNum>
  <w:abstractNum w:abstractNumId="29" w15:restartNumberingAfterBreak="0">
    <w:nsid w:val="3C5708F7"/>
    <w:multiLevelType w:val="hybridMultilevel"/>
    <w:tmpl w:val="3C66635A"/>
    <w:lvl w:ilvl="0" w:tplc="CE5A0FAA">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2E20E7D6">
      <w:numFmt w:val="bullet"/>
      <w:lvlText w:val="•"/>
      <w:lvlJc w:val="left"/>
      <w:pPr>
        <w:ind w:left="1414" w:hanging="428"/>
      </w:pPr>
      <w:rPr>
        <w:rFonts w:hint="default"/>
        <w:lang w:val="en-US" w:eastAsia="en-US" w:bidi="ar-SA"/>
      </w:rPr>
    </w:lvl>
    <w:lvl w:ilvl="2" w:tplc="C43CDDE2">
      <w:numFmt w:val="bullet"/>
      <w:lvlText w:val="•"/>
      <w:lvlJc w:val="left"/>
      <w:pPr>
        <w:ind w:left="2289" w:hanging="428"/>
      </w:pPr>
      <w:rPr>
        <w:rFonts w:hint="default"/>
        <w:lang w:val="en-US" w:eastAsia="en-US" w:bidi="ar-SA"/>
      </w:rPr>
    </w:lvl>
    <w:lvl w:ilvl="3" w:tplc="B832DF78">
      <w:numFmt w:val="bullet"/>
      <w:lvlText w:val="•"/>
      <w:lvlJc w:val="left"/>
      <w:pPr>
        <w:ind w:left="3163" w:hanging="428"/>
      </w:pPr>
      <w:rPr>
        <w:rFonts w:hint="default"/>
        <w:lang w:val="en-US" w:eastAsia="en-US" w:bidi="ar-SA"/>
      </w:rPr>
    </w:lvl>
    <w:lvl w:ilvl="4" w:tplc="90B267F0">
      <w:numFmt w:val="bullet"/>
      <w:lvlText w:val="•"/>
      <w:lvlJc w:val="left"/>
      <w:pPr>
        <w:ind w:left="4038" w:hanging="428"/>
      </w:pPr>
      <w:rPr>
        <w:rFonts w:hint="default"/>
        <w:lang w:val="en-US" w:eastAsia="en-US" w:bidi="ar-SA"/>
      </w:rPr>
    </w:lvl>
    <w:lvl w:ilvl="5" w:tplc="CFA0E900">
      <w:numFmt w:val="bullet"/>
      <w:lvlText w:val="•"/>
      <w:lvlJc w:val="left"/>
      <w:pPr>
        <w:ind w:left="4912" w:hanging="428"/>
      </w:pPr>
      <w:rPr>
        <w:rFonts w:hint="default"/>
        <w:lang w:val="en-US" w:eastAsia="en-US" w:bidi="ar-SA"/>
      </w:rPr>
    </w:lvl>
    <w:lvl w:ilvl="6" w:tplc="4E743ECE">
      <w:numFmt w:val="bullet"/>
      <w:lvlText w:val="•"/>
      <w:lvlJc w:val="left"/>
      <w:pPr>
        <w:ind w:left="5787" w:hanging="428"/>
      </w:pPr>
      <w:rPr>
        <w:rFonts w:hint="default"/>
        <w:lang w:val="en-US" w:eastAsia="en-US" w:bidi="ar-SA"/>
      </w:rPr>
    </w:lvl>
    <w:lvl w:ilvl="7" w:tplc="B6242F1A">
      <w:numFmt w:val="bullet"/>
      <w:lvlText w:val="•"/>
      <w:lvlJc w:val="left"/>
      <w:pPr>
        <w:ind w:left="6661" w:hanging="428"/>
      </w:pPr>
      <w:rPr>
        <w:rFonts w:hint="default"/>
        <w:lang w:val="en-US" w:eastAsia="en-US" w:bidi="ar-SA"/>
      </w:rPr>
    </w:lvl>
    <w:lvl w:ilvl="8" w:tplc="61E63A02">
      <w:numFmt w:val="bullet"/>
      <w:lvlText w:val="•"/>
      <w:lvlJc w:val="left"/>
      <w:pPr>
        <w:ind w:left="7536" w:hanging="428"/>
      </w:pPr>
      <w:rPr>
        <w:rFonts w:hint="default"/>
        <w:lang w:val="en-US" w:eastAsia="en-US" w:bidi="ar-SA"/>
      </w:rPr>
    </w:lvl>
  </w:abstractNum>
  <w:abstractNum w:abstractNumId="30" w15:restartNumberingAfterBreak="0">
    <w:nsid w:val="3CF41574"/>
    <w:multiLevelType w:val="multilevel"/>
    <w:tmpl w:val="4EFC8FC8"/>
    <w:lvl w:ilvl="0">
      <w:start w:val="7"/>
      <w:numFmt w:val="decimal"/>
      <w:lvlText w:val="%1"/>
      <w:lvlJc w:val="left"/>
      <w:pPr>
        <w:ind w:left="852" w:hanging="711"/>
        <w:jc w:val="left"/>
      </w:pPr>
      <w:rPr>
        <w:rFonts w:hint="default"/>
        <w:lang w:val="en-US" w:eastAsia="en-US" w:bidi="ar-SA"/>
      </w:rPr>
    </w:lvl>
    <w:lvl w:ilvl="1">
      <w:start w:val="14"/>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31" w15:restartNumberingAfterBreak="0">
    <w:nsid w:val="3E3B3126"/>
    <w:multiLevelType w:val="hybridMultilevel"/>
    <w:tmpl w:val="8226567A"/>
    <w:lvl w:ilvl="0" w:tplc="F1247AFC">
      <w:start w:val="1"/>
      <w:numFmt w:val="upperRoman"/>
      <w:lvlText w:val="%1."/>
      <w:lvlJc w:val="left"/>
      <w:pPr>
        <w:ind w:left="851" w:hanging="720"/>
        <w:jc w:val="left"/>
      </w:pPr>
      <w:rPr>
        <w:rFonts w:ascii="Times New Roman" w:eastAsia="Times New Roman" w:hAnsi="Times New Roman" w:cs="Times New Roman" w:hint="default"/>
        <w:b/>
        <w:bCs/>
        <w:i w:val="0"/>
        <w:iCs w:val="0"/>
        <w:spacing w:val="0"/>
        <w:w w:val="100"/>
        <w:sz w:val="22"/>
        <w:szCs w:val="22"/>
        <w:lang w:val="en-US" w:eastAsia="en-US" w:bidi="ar-SA"/>
      </w:rPr>
    </w:lvl>
    <w:lvl w:ilvl="1" w:tplc="83EECFA0">
      <w:numFmt w:val="bullet"/>
      <w:lvlText w:val="•"/>
      <w:lvlJc w:val="left"/>
      <w:pPr>
        <w:ind w:left="1709" w:hanging="720"/>
      </w:pPr>
      <w:rPr>
        <w:rFonts w:hint="default"/>
        <w:lang w:val="en-US" w:eastAsia="en-US" w:bidi="ar-SA"/>
      </w:rPr>
    </w:lvl>
    <w:lvl w:ilvl="2" w:tplc="B4A83932">
      <w:numFmt w:val="bullet"/>
      <w:lvlText w:val="•"/>
      <w:lvlJc w:val="left"/>
      <w:pPr>
        <w:ind w:left="2559" w:hanging="720"/>
      </w:pPr>
      <w:rPr>
        <w:rFonts w:hint="default"/>
        <w:lang w:val="en-US" w:eastAsia="en-US" w:bidi="ar-SA"/>
      </w:rPr>
    </w:lvl>
    <w:lvl w:ilvl="3" w:tplc="7C46E814">
      <w:numFmt w:val="bullet"/>
      <w:lvlText w:val="•"/>
      <w:lvlJc w:val="left"/>
      <w:pPr>
        <w:ind w:left="3408" w:hanging="720"/>
      </w:pPr>
      <w:rPr>
        <w:rFonts w:hint="default"/>
        <w:lang w:val="en-US" w:eastAsia="en-US" w:bidi="ar-SA"/>
      </w:rPr>
    </w:lvl>
    <w:lvl w:ilvl="4" w:tplc="E53EFD36">
      <w:numFmt w:val="bullet"/>
      <w:lvlText w:val="•"/>
      <w:lvlJc w:val="left"/>
      <w:pPr>
        <w:ind w:left="4258" w:hanging="720"/>
      </w:pPr>
      <w:rPr>
        <w:rFonts w:hint="default"/>
        <w:lang w:val="en-US" w:eastAsia="en-US" w:bidi="ar-SA"/>
      </w:rPr>
    </w:lvl>
    <w:lvl w:ilvl="5" w:tplc="C30675DC">
      <w:numFmt w:val="bullet"/>
      <w:lvlText w:val="•"/>
      <w:lvlJc w:val="left"/>
      <w:pPr>
        <w:ind w:left="5108" w:hanging="720"/>
      </w:pPr>
      <w:rPr>
        <w:rFonts w:hint="default"/>
        <w:lang w:val="en-US" w:eastAsia="en-US" w:bidi="ar-SA"/>
      </w:rPr>
    </w:lvl>
    <w:lvl w:ilvl="6" w:tplc="10E69A72">
      <w:numFmt w:val="bullet"/>
      <w:lvlText w:val="•"/>
      <w:lvlJc w:val="left"/>
      <w:pPr>
        <w:ind w:left="5957" w:hanging="720"/>
      </w:pPr>
      <w:rPr>
        <w:rFonts w:hint="default"/>
        <w:lang w:val="en-US" w:eastAsia="en-US" w:bidi="ar-SA"/>
      </w:rPr>
    </w:lvl>
    <w:lvl w:ilvl="7" w:tplc="B6046904">
      <w:numFmt w:val="bullet"/>
      <w:lvlText w:val="•"/>
      <w:lvlJc w:val="left"/>
      <w:pPr>
        <w:ind w:left="6807" w:hanging="720"/>
      </w:pPr>
      <w:rPr>
        <w:rFonts w:hint="default"/>
        <w:lang w:val="en-US" w:eastAsia="en-US" w:bidi="ar-SA"/>
      </w:rPr>
    </w:lvl>
    <w:lvl w:ilvl="8" w:tplc="2AEE34A4">
      <w:numFmt w:val="bullet"/>
      <w:lvlText w:val="•"/>
      <w:lvlJc w:val="left"/>
      <w:pPr>
        <w:ind w:left="7657" w:hanging="720"/>
      </w:pPr>
      <w:rPr>
        <w:rFonts w:hint="default"/>
        <w:lang w:val="en-US" w:eastAsia="en-US" w:bidi="ar-SA"/>
      </w:rPr>
    </w:lvl>
  </w:abstractNum>
  <w:abstractNum w:abstractNumId="32" w15:restartNumberingAfterBreak="0">
    <w:nsid w:val="3F6952C8"/>
    <w:multiLevelType w:val="hybridMultilevel"/>
    <w:tmpl w:val="F4B2D624"/>
    <w:lvl w:ilvl="0" w:tplc="ABFED966">
      <w:start w:val="1"/>
      <w:numFmt w:val="upperLetter"/>
      <w:lvlText w:val="%1."/>
      <w:lvlJc w:val="left"/>
      <w:pPr>
        <w:ind w:left="863" w:hanging="720"/>
        <w:jc w:val="left"/>
      </w:pPr>
      <w:rPr>
        <w:rFonts w:ascii="Times New Roman" w:eastAsia="Times New Roman" w:hAnsi="Times New Roman" w:cs="Times New Roman" w:hint="default"/>
        <w:b/>
        <w:bCs/>
        <w:i/>
        <w:iCs/>
        <w:spacing w:val="0"/>
        <w:w w:val="100"/>
        <w:sz w:val="24"/>
        <w:szCs w:val="24"/>
        <w:lang w:val="en-US" w:eastAsia="en-US" w:bidi="ar-SA"/>
      </w:rPr>
    </w:lvl>
    <w:lvl w:ilvl="1" w:tplc="C39A6234">
      <w:numFmt w:val="bullet"/>
      <w:lvlText w:val="•"/>
      <w:lvlJc w:val="left"/>
      <w:pPr>
        <w:ind w:left="1709" w:hanging="720"/>
      </w:pPr>
      <w:rPr>
        <w:rFonts w:hint="default"/>
        <w:lang w:val="en-US" w:eastAsia="en-US" w:bidi="ar-SA"/>
      </w:rPr>
    </w:lvl>
    <w:lvl w:ilvl="2" w:tplc="E3D4CC20">
      <w:numFmt w:val="bullet"/>
      <w:lvlText w:val="•"/>
      <w:lvlJc w:val="left"/>
      <w:pPr>
        <w:ind w:left="2559" w:hanging="720"/>
      </w:pPr>
      <w:rPr>
        <w:rFonts w:hint="default"/>
        <w:lang w:val="en-US" w:eastAsia="en-US" w:bidi="ar-SA"/>
      </w:rPr>
    </w:lvl>
    <w:lvl w:ilvl="3" w:tplc="A4A4B4D4">
      <w:numFmt w:val="bullet"/>
      <w:lvlText w:val="•"/>
      <w:lvlJc w:val="left"/>
      <w:pPr>
        <w:ind w:left="3408" w:hanging="720"/>
      </w:pPr>
      <w:rPr>
        <w:rFonts w:hint="default"/>
        <w:lang w:val="en-US" w:eastAsia="en-US" w:bidi="ar-SA"/>
      </w:rPr>
    </w:lvl>
    <w:lvl w:ilvl="4" w:tplc="E0B4E37C">
      <w:numFmt w:val="bullet"/>
      <w:lvlText w:val="•"/>
      <w:lvlJc w:val="left"/>
      <w:pPr>
        <w:ind w:left="4258" w:hanging="720"/>
      </w:pPr>
      <w:rPr>
        <w:rFonts w:hint="default"/>
        <w:lang w:val="en-US" w:eastAsia="en-US" w:bidi="ar-SA"/>
      </w:rPr>
    </w:lvl>
    <w:lvl w:ilvl="5" w:tplc="BFE2D5E2">
      <w:numFmt w:val="bullet"/>
      <w:lvlText w:val="•"/>
      <w:lvlJc w:val="left"/>
      <w:pPr>
        <w:ind w:left="5108" w:hanging="720"/>
      </w:pPr>
      <w:rPr>
        <w:rFonts w:hint="default"/>
        <w:lang w:val="en-US" w:eastAsia="en-US" w:bidi="ar-SA"/>
      </w:rPr>
    </w:lvl>
    <w:lvl w:ilvl="6" w:tplc="006A23A8">
      <w:numFmt w:val="bullet"/>
      <w:lvlText w:val="•"/>
      <w:lvlJc w:val="left"/>
      <w:pPr>
        <w:ind w:left="5957" w:hanging="720"/>
      </w:pPr>
      <w:rPr>
        <w:rFonts w:hint="default"/>
        <w:lang w:val="en-US" w:eastAsia="en-US" w:bidi="ar-SA"/>
      </w:rPr>
    </w:lvl>
    <w:lvl w:ilvl="7" w:tplc="3EE8B83E">
      <w:numFmt w:val="bullet"/>
      <w:lvlText w:val="•"/>
      <w:lvlJc w:val="left"/>
      <w:pPr>
        <w:ind w:left="6807" w:hanging="720"/>
      </w:pPr>
      <w:rPr>
        <w:rFonts w:hint="default"/>
        <w:lang w:val="en-US" w:eastAsia="en-US" w:bidi="ar-SA"/>
      </w:rPr>
    </w:lvl>
    <w:lvl w:ilvl="8" w:tplc="BA9EC7D4">
      <w:numFmt w:val="bullet"/>
      <w:lvlText w:val="•"/>
      <w:lvlJc w:val="left"/>
      <w:pPr>
        <w:ind w:left="7657" w:hanging="720"/>
      </w:pPr>
      <w:rPr>
        <w:rFonts w:hint="default"/>
        <w:lang w:val="en-US" w:eastAsia="en-US" w:bidi="ar-SA"/>
      </w:rPr>
    </w:lvl>
  </w:abstractNum>
  <w:abstractNum w:abstractNumId="33" w15:restartNumberingAfterBreak="0">
    <w:nsid w:val="41286F8C"/>
    <w:multiLevelType w:val="hybridMultilevel"/>
    <w:tmpl w:val="3B28D7AE"/>
    <w:lvl w:ilvl="0" w:tplc="DEDAFC50">
      <w:start w:val="4"/>
      <w:numFmt w:val="lowerLetter"/>
      <w:lvlText w:val="(%1)"/>
      <w:lvlJc w:val="left"/>
      <w:pPr>
        <w:ind w:left="1562" w:hanging="71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B5CB09A">
      <w:numFmt w:val="bullet"/>
      <w:lvlText w:val="•"/>
      <w:lvlJc w:val="left"/>
      <w:pPr>
        <w:ind w:left="2339" w:hanging="711"/>
      </w:pPr>
      <w:rPr>
        <w:rFonts w:hint="default"/>
        <w:lang w:val="en-US" w:eastAsia="en-US" w:bidi="ar-SA"/>
      </w:rPr>
    </w:lvl>
    <w:lvl w:ilvl="2" w:tplc="AB824A76">
      <w:numFmt w:val="bullet"/>
      <w:lvlText w:val="•"/>
      <w:lvlJc w:val="left"/>
      <w:pPr>
        <w:ind w:left="3119" w:hanging="711"/>
      </w:pPr>
      <w:rPr>
        <w:rFonts w:hint="default"/>
        <w:lang w:val="en-US" w:eastAsia="en-US" w:bidi="ar-SA"/>
      </w:rPr>
    </w:lvl>
    <w:lvl w:ilvl="3" w:tplc="08FAB314">
      <w:numFmt w:val="bullet"/>
      <w:lvlText w:val="•"/>
      <w:lvlJc w:val="left"/>
      <w:pPr>
        <w:ind w:left="3898" w:hanging="711"/>
      </w:pPr>
      <w:rPr>
        <w:rFonts w:hint="default"/>
        <w:lang w:val="en-US" w:eastAsia="en-US" w:bidi="ar-SA"/>
      </w:rPr>
    </w:lvl>
    <w:lvl w:ilvl="4" w:tplc="A5D8F0D2">
      <w:numFmt w:val="bullet"/>
      <w:lvlText w:val="•"/>
      <w:lvlJc w:val="left"/>
      <w:pPr>
        <w:ind w:left="4678" w:hanging="711"/>
      </w:pPr>
      <w:rPr>
        <w:rFonts w:hint="default"/>
        <w:lang w:val="en-US" w:eastAsia="en-US" w:bidi="ar-SA"/>
      </w:rPr>
    </w:lvl>
    <w:lvl w:ilvl="5" w:tplc="5DEC8582">
      <w:numFmt w:val="bullet"/>
      <w:lvlText w:val="•"/>
      <w:lvlJc w:val="left"/>
      <w:pPr>
        <w:ind w:left="5458" w:hanging="711"/>
      </w:pPr>
      <w:rPr>
        <w:rFonts w:hint="default"/>
        <w:lang w:val="en-US" w:eastAsia="en-US" w:bidi="ar-SA"/>
      </w:rPr>
    </w:lvl>
    <w:lvl w:ilvl="6" w:tplc="6FAC7F42">
      <w:numFmt w:val="bullet"/>
      <w:lvlText w:val="•"/>
      <w:lvlJc w:val="left"/>
      <w:pPr>
        <w:ind w:left="6237" w:hanging="711"/>
      </w:pPr>
      <w:rPr>
        <w:rFonts w:hint="default"/>
        <w:lang w:val="en-US" w:eastAsia="en-US" w:bidi="ar-SA"/>
      </w:rPr>
    </w:lvl>
    <w:lvl w:ilvl="7" w:tplc="9424C91C">
      <w:numFmt w:val="bullet"/>
      <w:lvlText w:val="•"/>
      <w:lvlJc w:val="left"/>
      <w:pPr>
        <w:ind w:left="7017" w:hanging="711"/>
      </w:pPr>
      <w:rPr>
        <w:rFonts w:hint="default"/>
        <w:lang w:val="en-US" w:eastAsia="en-US" w:bidi="ar-SA"/>
      </w:rPr>
    </w:lvl>
    <w:lvl w:ilvl="8" w:tplc="C2A84A30">
      <w:numFmt w:val="bullet"/>
      <w:lvlText w:val="•"/>
      <w:lvlJc w:val="left"/>
      <w:pPr>
        <w:ind w:left="7797" w:hanging="711"/>
      </w:pPr>
      <w:rPr>
        <w:rFonts w:hint="default"/>
        <w:lang w:val="en-US" w:eastAsia="en-US" w:bidi="ar-SA"/>
      </w:rPr>
    </w:lvl>
  </w:abstractNum>
  <w:abstractNum w:abstractNumId="34" w15:restartNumberingAfterBreak="0">
    <w:nsid w:val="435E369C"/>
    <w:multiLevelType w:val="hybridMultilevel"/>
    <w:tmpl w:val="9DD0CDFA"/>
    <w:lvl w:ilvl="0" w:tplc="A886AEA2">
      <w:start w:val="2"/>
      <w:numFmt w:val="lowerLetter"/>
      <w:lvlText w:val="(%1)"/>
      <w:lvlJc w:val="left"/>
      <w:pPr>
        <w:ind w:left="707"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C620678">
      <w:start w:val="1"/>
      <w:numFmt w:val="lowerRoman"/>
      <w:lvlText w:val="(%2)"/>
      <w:lvlJc w:val="left"/>
      <w:pPr>
        <w:ind w:left="1274"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A402838A">
      <w:numFmt w:val="bullet"/>
      <w:lvlText w:val="•"/>
      <w:lvlJc w:val="left"/>
      <w:pPr>
        <w:ind w:left="1593" w:hanging="567"/>
      </w:pPr>
      <w:rPr>
        <w:rFonts w:hint="default"/>
        <w:lang w:val="en-US" w:eastAsia="en-US" w:bidi="ar-SA"/>
      </w:rPr>
    </w:lvl>
    <w:lvl w:ilvl="3" w:tplc="CCE0449E">
      <w:numFmt w:val="bullet"/>
      <w:lvlText w:val="•"/>
      <w:lvlJc w:val="left"/>
      <w:pPr>
        <w:ind w:left="1907" w:hanging="567"/>
      </w:pPr>
      <w:rPr>
        <w:rFonts w:hint="default"/>
        <w:lang w:val="en-US" w:eastAsia="en-US" w:bidi="ar-SA"/>
      </w:rPr>
    </w:lvl>
    <w:lvl w:ilvl="4" w:tplc="EFD66F38">
      <w:numFmt w:val="bullet"/>
      <w:lvlText w:val="•"/>
      <w:lvlJc w:val="left"/>
      <w:pPr>
        <w:ind w:left="2220" w:hanging="567"/>
      </w:pPr>
      <w:rPr>
        <w:rFonts w:hint="default"/>
        <w:lang w:val="en-US" w:eastAsia="en-US" w:bidi="ar-SA"/>
      </w:rPr>
    </w:lvl>
    <w:lvl w:ilvl="5" w:tplc="3AFC27FE">
      <w:numFmt w:val="bullet"/>
      <w:lvlText w:val="•"/>
      <w:lvlJc w:val="left"/>
      <w:pPr>
        <w:ind w:left="2534" w:hanging="567"/>
      </w:pPr>
      <w:rPr>
        <w:rFonts w:hint="default"/>
        <w:lang w:val="en-US" w:eastAsia="en-US" w:bidi="ar-SA"/>
      </w:rPr>
    </w:lvl>
    <w:lvl w:ilvl="6" w:tplc="826254F6">
      <w:numFmt w:val="bullet"/>
      <w:lvlText w:val="•"/>
      <w:lvlJc w:val="left"/>
      <w:pPr>
        <w:ind w:left="2847" w:hanging="567"/>
      </w:pPr>
      <w:rPr>
        <w:rFonts w:hint="default"/>
        <w:lang w:val="en-US" w:eastAsia="en-US" w:bidi="ar-SA"/>
      </w:rPr>
    </w:lvl>
    <w:lvl w:ilvl="7" w:tplc="B7EA06FE">
      <w:numFmt w:val="bullet"/>
      <w:lvlText w:val="•"/>
      <w:lvlJc w:val="left"/>
      <w:pPr>
        <w:ind w:left="3161" w:hanging="567"/>
      </w:pPr>
      <w:rPr>
        <w:rFonts w:hint="default"/>
        <w:lang w:val="en-US" w:eastAsia="en-US" w:bidi="ar-SA"/>
      </w:rPr>
    </w:lvl>
    <w:lvl w:ilvl="8" w:tplc="87EA9ACC">
      <w:numFmt w:val="bullet"/>
      <w:lvlText w:val="•"/>
      <w:lvlJc w:val="left"/>
      <w:pPr>
        <w:ind w:left="3474" w:hanging="567"/>
      </w:pPr>
      <w:rPr>
        <w:rFonts w:hint="default"/>
        <w:lang w:val="en-US" w:eastAsia="en-US" w:bidi="ar-SA"/>
      </w:rPr>
    </w:lvl>
  </w:abstractNum>
  <w:abstractNum w:abstractNumId="35" w15:restartNumberingAfterBreak="0">
    <w:nsid w:val="440D7B1C"/>
    <w:multiLevelType w:val="hybridMultilevel"/>
    <w:tmpl w:val="8234A2E8"/>
    <w:lvl w:ilvl="0" w:tplc="41BA0DEA">
      <w:start w:val="2"/>
      <w:numFmt w:val="lowerLetter"/>
      <w:lvlText w:val="(%1)"/>
      <w:lvlJc w:val="left"/>
      <w:pPr>
        <w:ind w:left="1558" w:hanging="70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258D002">
      <w:numFmt w:val="bullet"/>
      <w:lvlText w:val="•"/>
      <w:lvlJc w:val="left"/>
      <w:pPr>
        <w:ind w:left="2367" w:hanging="706"/>
      </w:pPr>
      <w:rPr>
        <w:rFonts w:hint="default"/>
        <w:lang w:val="en-US" w:eastAsia="en-US" w:bidi="ar-SA"/>
      </w:rPr>
    </w:lvl>
    <w:lvl w:ilvl="2" w:tplc="57D8570C">
      <w:numFmt w:val="bullet"/>
      <w:lvlText w:val="•"/>
      <w:lvlJc w:val="left"/>
      <w:pPr>
        <w:ind w:left="3174" w:hanging="706"/>
      </w:pPr>
      <w:rPr>
        <w:rFonts w:hint="default"/>
        <w:lang w:val="en-US" w:eastAsia="en-US" w:bidi="ar-SA"/>
      </w:rPr>
    </w:lvl>
    <w:lvl w:ilvl="3" w:tplc="E30CE07E">
      <w:numFmt w:val="bullet"/>
      <w:lvlText w:val="•"/>
      <w:lvlJc w:val="left"/>
      <w:pPr>
        <w:ind w:left="3981" w:hanging="706"/>
      </w:pPr>
      <w:rPr>
        <w:rFonts w:hint="default"/>
        <w:lang w:val="en-US" w:eastAsia="en-US" w:bidi="ar-SA"/>
      </w:rPr>
    </w:lvl>
    <w:lvl w:ilvl="4" w:tplc="D63683C2">
      <w:numFmt w:val="bullet"/>
      <w:lvlText w:val="•"/>
      <w:lvlJc w:val="left"/>
      <w:pPr>
        <w:ind w:left="4788" w:hanging="706"/>
      </w:pPr>
      <w:rPr>
        <w:rFonts w:hint="default"/>
        <w:lang w:val="en-US" w:eastAsia="en-US" w:bidi="ar-SA"/>
      </w:rPr>
    </w:lvl>
    <w:lvl w:ilvl="5" w:tplc="076C0742">
      <w:numFmt w:val="bullet"/>
      <w:lvlText w:val="•"/>
      <w:lvlJc w:val="left"/>
      <w:pPr>
        <w:ind w:left="5596" w:hanging="706"/>
      </w:pPr>
      <w:rPr>
        <w:rFonts w:hint="default"/>
        <w:lang w:val="en-US" w:eastAsia="en-US" w:bidi="ar-SA"/>
      </w:rPr>
    </w:lvl>
    <w:lvl w:ilvl="6" w:tplc="CD0CDCC4">
      <w:numFmt w:val="bullet"/>
      <w:lvlText w:val="•"/>
      <w:lvlJc w:val="left"/>
      <w:pPr>
        <w:ind w:left="6403" w:hanging="706"/>
      </w:pPr>
      <w:rPr>
        <w:rFonts w:hint="default"/>
        <w:lang w:val="en-US" w:eastAsia="en-US" w:bidi="ar-SA"/>
      </w:rPr>
    </w:lvl>
    <w:lvl w:ilvl="7" w:tplc="CCA09A9C">
      <w:numFmt w:val="bullet"/>
      <w:lvlText w:val="•"/>
      <w:lvlJc w:val="left"/>
      <w:pPr>
        <w:ind w:left="7210" w:hanging="706"/>
      </w:pPr>
      <w:rPr>
        <w:rFonts w:hint="default"/>
        <w:lang w:val="en-US" w:eastAsia="en-US" w:bidi="ar-SA"/>
      </w:rPr>
    </w:lvl>
    <w:lvl w:ilvl="8" w:tplc="D7B6DE42">
      <w:numFmt w:val="bullet"/>
      <w:lvlText w:val="•"/>
      <w:lvlJc w:val="left"/>
      <w:pPr>
        <w:ind w:left="8017" w:hanging="706"/>
      </w:pPr>
      <w:rPr>
        <w:rFonts w:hint="default"/>
        <w:lang w:val="en-US" w:eastAsia="en-US" w:bidi="ar-SA"/>
      </w:rPr>
    </w:lvl>
  </w:abstractNum>
  <w:abstractNum w:abstractNumId="36" w15:restartNumberingAfterBreak="0">
    <w:nsid w:val="45521894"/>
    <w:multiLevelType w:val="hybridMultilevel"/>
    <w:tmpl w:val="5804EF4E"/>
    <w:lvl w:ilvl="0" w:tplc="372039D0">
      <w:numFmt w:val="bullet"/>
      <w:lvlText w:val="–"/>
      <w:lvlJc w:val="left"/>
      <w:pPr>
        <w:ind w:left="46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75E8622">
      <w:numFmt w:val="bullet"/>
      <w:lvlText w:val="•"/>
      <w:lvlJc w:val="left"/>
      <w:pPr>
        <w:ind w:left="824" w:hanging="360"/>
      </w:pPr>
      <w:rPr>
        <w:rFonts w:hint="default"/>
        <w:lang w:val="en-US" w:eastAsia="en-US" w:bidi="ar-SA"/>
      </w:rPr>
    </w:lvl>
    <w:lvl w:ilvl="2" w:tplc="60B461AE">
      <w:numFmt w:val="bullet"/>
      <w:lvlText w:val="•"/>
      <w:lvlJc w:val="left"/>
      <w:pPr>
        <w:ind w:left="1188" w:hanging="360"/>
      </w:pPr>
      <w:rPr>
        <w:rFonts w:hint="default"/>
        <w:lang w:val="en-US" w:eastAsia="en-US" w:bidi="ar-SA"/>
      </w:rPr>
    </w:lvl>
    <w:lvl w:ilvl="3" w:tplc="B97C4C2A">
      <w:numFmt w:val="bullet"/>
      <w:lvlText w:val="•"/>
      <w:lvlJc w:val="left"/>
      <w:pPr>
        <w:ind w:left="1552" w:hanging="360"/>
      </w:pPr>
      <w:rPr>
        <w:rFonts w:hint="default"/>
        <w:lang w:val="en-US" w:eastAsia="en-US" w:bidi="ar-SA"/>
      </w:rPr>
    </w:lvl>
    <w:lvl w:ilvl="4" w:tplc="7DE67710">
      <w:numFmt w:val="bullet"/>
      <w:lvlText w:val="•"/>
      <w:lvlJc w:val="left"/>
      <w:pPr>
        <w:ind w:left="1916" w:hanging="360"/>
      </w:pPr>
      <w:rPr>
        <w:rFonts w:hint="default"/>
        <w:lang w:val="en-US" w:eastAsia="en-US" w:bidi="ar-SA"/>
      </w:rPr>
    </w:lvl>
    <w:lvl w:ilvl="5" w:tplc="0C3C99F4">
      <w:numFmt w:val="bullet"/>
      <w:lvlText w:val="•"/>
      <w:lvlJc w:val="left"/>
      <w:pPr>
        <w:ind w:left="2281" w:hanging="360"/>
      </w:pPr>
      <w:rPr>
        <w:rFonts w:hint="default"/>
        <w:lang w:val="en-US" w:eastAsia="en-US" w:bidi="ar-SA"/>
      </w:rPr>
    </w:lvl>
    <w:lvl w:ilvl="6" w:tplc="D5FCE16C">
      <w:numFmt w:val="bullet"/>
      <w:lvlText w:val="•"/>
      <w:lvlJc w:val="left"/>
      <w:pPr>
        <w:ind w:left="2645" w:hanging="360"/>
      </w:pPr>
      <w:rPr>
        <w:rFonts w:hint="default"/>
        <w:lang w:val="en-US" w:eastAsia="en-US" w:bidi="ar-SA"/>
      </w:rPr>
    </w:lvl>
    <w:lvl w:ilvl="7" w:tplc="ACFA906A">
      <w:numFmt w:val="bullet"/>
      <w:lvlText w:val="•"/>
      <w:lvlJc w:val="left"/>
      <w:pPr>
        <w:ind w:left="3009" w:hanging="360"/>
      </w:pPr>
      <w:rPr>
        <w:rFonts w:hint="default"/>
        <w:lang w:val="en-US" w:eastAsia="en-US" w:bidi="ar-SA"/>
      </w:rPr>
    </w:lvl>
    <w:lvl w:ilvl="8" w:tplc="CA326F12">
      <w:numFmt w:val="bullet"/>
      <w:lvlText w:val="•"/>
      <w:lvlJc w:val="left"/>
      <w:pPr>
        <w:ind w:left="3373" w:hanging="360"/>
      </w:pPr>
      <w:rPr>
        <w:rFonts w:hint="default"/>
        <w:lang w:val="en-US" w:eastAsia="en-US" w:bidi="ar-SA"/>
      </w:rPr>
    </w:lvl>
  </w:abstractNum>
  <w:abstractNum w:abstractNumId="37" w15:restartNumberingAfterBreak="0">
    <w:nsid w:val="46990D09"/>
    <w:multiLevelType w:val="multilevel"/>
    <w:tmpl w:val="A5DA4C1A"/>
    <w:lvl w:ilvl="0">
      <w:start w:val="7"/>
      <w:numFmt w:val="decimal"/>
      <w:lvlText w:val="%1"/>
      <w:lvlJc w:val="left"/>
      <w:pPr>
        <w:ind w:left="852" w:hanging="711"/>
        <w:jc w:val="left"/>
      </w:pPr>
      <w:rPr>
        <w:rFonts w:hint="default"/>
        <w:lang w:val="en-US" w:eastAsia="en-US" w:bidi="ar-SA"/>
      </w:rPr>
    </w:lvl>
    <w:lvl w:ilvl="1">
      <w:start w:val="15"/>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38" w15:restartNumberingAfterBreak="0">
    <w:nsid w:val="47D5016E"/>
    <w:multiLevelType w:val="hybridMultilevel"/>
    <w:tmpl w:val="2DF0D3BC"/>
    <w:lvl w:ilvl="0" w:tplc="8158897C">
      <w:numFmt w:val="bullet"/>
      <w:lvlText w:val=""/>
      <w:lvlJc w:val="left"/>
      <w:pPr>
        <w:ind w:left="1572" w:hanging="360"/>
      </w:pPr>
      <w:rPr>
        <w:rFonts w:ascii="Symbol" w:eastAsia="Symbol" w:hAnsi="Symbol" w:cs="Symbol" w:hint="default"/>
        <w:b w:val="0"/>
        <w:bCs w:val="0"/>
        <w:i w:val="0"/>
        <w:iCs w:val="0"/>
        <w:spacing w:val="0"/>
        <w:w w:val="100"/>
        <w:sz w:val="24"/>
        <w:szCs w:val="24"/>
        <w:lang w:val="en-US" w:eastAsia="en-US" w:bidi="ar-SA"/>
      </w:rPr>
    </w:lvl>
    <w:lvl w:ilvl="1" w:tplc="03FE95D6">
      <w:numFmt w:val="bullet"/>
      <w:lvlText w:val="•"/>
      <w:lvlJc w:val="left"/>
      <w:pPr>
        <w:ind w:left="2428" w:hanging="360"/>
      </w:pPr>
      <w:rPr>
        <w:rFonts w:hint="default"/>
        <w:lang w:val="en-US" w:eastAsia="en-US" w:bidi="ar-SA"/>
      </w:rPr>
    </w:lvl>
    <w:lvl w:ilvl="2" w:tplc="DE888FC2">
      <w:numFmt w:val="bullet"/>
      <w:lvlText w:val="•"/>
      <w:lvlJc w:val="left"/>
      <w:pPr>
        <w:ind w:left="3277" w:hanging="360"/>
      </w:pPr>
      <w:rPr>
        <w:rFonts w:hint="default"/>
        <w:lang w:val="en-US" w:eastAsia="en-US" w:bidi="ar-SA"/>
      </w:rPr>
    </w:lvl>
    <w:lvl w:ilvl="3" w:tplc="AB80D56E">
      <w:numFmt w:val="bullet"/>
      <w:lvlText w:val="•"/>
      <w:lvlJc w:val="left"/>
      <w:pPr>
        <w:ind w:left="4125" w:hanging="360"/>
      </w:pPr>
      <w:rPr>
        <w:rFonts w:hint="default"/>
        <w:lang w:val="en-US" w:eastAsia="en-US" w:bidi="ar-SA"/>
      </w:rPr>
    </w:lvl>
    <w:lvl w:ilvl="4" w:tplc="591C23DA">
      <w:numFmt w:val="bullet"/>
      <w:lvlText w:val="•"/>
      <w:lvlJc w:val="left"/>
      <w:pPr>
        <w:ind w:left="4974" w:hanging="360"/>
      </w:pPr>
      <w:rPr>
        <w:rFonts w:hint="default"/>
        <w:lang w:val="en-US" w:eastAsia="en-US" w:bidi="ar-SA"/>
      </w:rPr>
    </w:lvl>
    <w:lvl w:ilvl="5" w:tplc="C10C92BA">
      <w:numFmt w:val="bullet"/>
      <w:lvlText w:val="•"/>
      <w:lvlJc w:val="left"/>
      <w:pPr>
        <w:ind w:left="5822" w:hanging="360"/>
      </w:pPr>
      <w:rPr>
        <w:rFonts w:hint="default"/>
        <w:lang w:val="en-US" w:eastAsia="en-US" w:bidi="ar-SA"/>
      </w:rPr>
    </w:lvl>
    <w:lvl w:ilvl="6" w:tplc="91141088">
      <w:numFmt w:val="bullet"/>
      <w:lvlText w:val="•"/>
      <w:lvlJc w:val="left"/>
      <w:pPr>
        <w:ind w:left="6671" w:hanging="360"/>
      </w:pPr>
      <w:rPr>
        <w:rFonts w:hint="default"/>
        <w:lang w:val="en-US" w:eastAsia="en-US" w:bidi="ar-SA"/>
      </w:rPr>
    </w:lvl>
    <w:lvl w:ilvl="7" w:tplc="B63CC99C">
      <w:numFmt w:val="bullet"/>
      <w:lvlText w:val="•"/>
      <w:lvlJc w:val="left"/>
      <w:pPr>
        <w:ind w:left="7519" w:hanging="360"/>
      </w:pPr>
      <w:rPr>
        <w:rFonts w:hint="default"/>
        <w:lang w:val="en-US" w:eastAsia="en-US" w:bidi="ar-SA"/>
      </w:rPr>
    </w:lvl>
    <w:lvl w:ilvl="8" w:tplc="DA4C2452">
      <w:numFmt w:val="bullet"/>
      <w:lvlText w:val="•"/>
      <w:lvlJc w:val="left"/>
      <w:pPr>
        <w:ind w:left="8368" w:hanging="360"/>
      </w:pPr>
      <w:rPr>
        <w:rFonts w:hint="default"/>
        <w:lang w:val="en-US" w:eastAsia="en-US" w:bidi="ar-SA"/>
      </w:rPr>
    </w:lvl>
  </w:abstractNum>
  <w:abstractNum w:abstractNumId="39" w15:restartNumberingAfterBreak="0">
    <w:nsid w:val="49545111"/>
    <w:multiLevelType w:val="hybridMultilevel"/>
    <w:tmpl w:val="5AF49B3A"/>
    <w:lvl w:ilvl="0" w:tplc="965239DA">
      <w:numFmt w:val="bullet"/>
      <w:lvlText w:val=""/>
      <w:lvlJc w:val="left"/>
      <w:pPr>
        <w:ind w:left="1572" w:hanging="361"/>
      </w:pPr>
      <w:rPr>
        <w:rFonts w:ascii="Symbol" w:eastAsia="Symbol" w:hAnsi="Symbol" w:cs="Symbol" w:hint="default"/>
        <w:spacing w:val="0"/>
        <w:w w:val="100"/>
        <w:lang w:val="en-US" w:eastAsia="en-US" w:bidi="ar-SA"/>
      </w:rPr>
    </w:lvl>
    <w:lvl w:ilvl="1" w:tplc="B80417F6">
      <w:numFmt w:val="bullet"/>
      <w:lvlText w:val="•"/>
      <w:lvlJc w:val="left"/>
      <w:pPr>
        <w:ind w:left="2428" w:hanging="361"/>
      </w:pPr>
      <w:rPr>
        <w:rFonts w:hint="default"/>
        <w:lang w:val="en-US" w:eastAsia="en-US" w:bidi="ar-SA"/>
      </w:rPr>
    </w:lvl>
    <w:lvl w:ilvl="2" w:tplc="901A9A64">
      <w:numFmt w:val="bullet"/>
      <w:lvlText w:val="•"/>
      <w:lvlJc w:val="left"/>
      <w:pPr>
        <w:ind w:left="3277" w:hanging="361"/>
      </w:pPr>
      <w:rPr>
        <w:rFonts w:hint="default"/>
        <w:lang w:val="en-US" w:eastAsia="en-US" w:bidi="ar-SA"/>
      </w:rPr>
    </w:lvl>
    <w:lvl w:ilvl="3" w:tplc="563C9C0E">
      <w:numFmt w:val="bullet"/>
      <w:lvlText w:val="•"/>
      <w:lvlJc w:val="left"/>
      <w:pPr>
        <w:ind w:left="4125" w:hanging="361"/>
      </w:pPr>
      <w:rPr>
        <w:rFonts w:hint="default"/>
        <w:lang w:val="en-US" w:eastAsia="en-US" w:bidi="ar-SA"/>
      </w:rPr>
    </w:lvl>
    <w:lvl w:ilvl="4" w:tplc="30744710">
      <w:numFmt w:val="bullet"/>
      <w:lvlText w:val="•"/>
      <w:lvlJc w:val="left"/>
      <w:pPr>
        <w:ind w:left="4974" w:hanging="361"/>
      </w:pPr>
      <w:rPr>
        <w:rFonts w:hint="default"/>
        <w:lang w:val="en-US" w:eastAsia="en-US" w:bidi="ar-SA"/>
      </w:rPr>
    </w:lvl>
    <w:lvl w:ilvl="5" w:tplc="82CE929A">
      <w:numFmt w:val="bullet"/>
      <w:lvlText w:val="•"/>
      <w:lvlJc w:val="left"/>
      <w:pPr>
        <w:ind w:left="5822" w:hanging="361"/>
      </w:pPr>
      <w:rPr>
        <w:rFonts w:hint="default"/>
        <w:lang w:val="en-US" w:eastAsia="en-US" w:bidi="ar-SA"/>
      </w:rPr>
    </w:lvl>
    <w:lvl w:ilvl="6" w:tplc="A3A0CEF4">
      <w:numFmt w:val="bullet"/>
      <w:lvlText w:val="•"/>
      <w:lvlJc w:val="left"/>
      <w:pPr>
        <w:ind w:left="6671" w:hanging="361"/>
      </w:pPr>
      <w:rPr>
        <w:rFonts w:hint="default"/>
        <w:lang w:val="en-US" w:eastAsia="en-US" w:bidi="ar-SA"/>
      </w:rPr>
    </w:lvl>
    <w:lvl w:ilvl="7" w:tplc="2626E478">
      <w:numFmt w:val="bullet"/>
      <w:lvlText w:val="•"/>
      <w:lvlJc w:val="left"/>
      <w:pPr>
        <w:ind w:left="7519" w:hanging="361"/>
      </w:pPr>
      <w:rPr>
        <w:rFonts w:hint="default"/>
        <w:lang w:val="en-US" w:eastAsia="en-US" w:bidi="ar-SA"/>
      </w:rPr>
    </w:lvl>
    <w:lvl w:ilvl="8" w:tplc="53289A04">
      <w:numFmt w:val="bullet"/>
      <w:lvlText w:val="•"/>
      <w:lvlJc w:val="left"/>
      <w:pPr>
        <w:ind w:left="8368" w:hanging="361"/>
      </w:pPr>
      <w:rPr>
        <w:rFonts w:hint="default"/>
        <w:lang w:val="en-US" w:eastAsia="en-US" w:bidi="ar-SA"/>
      </w:rPr>
    </w:lvl>
  </w:abstractNum>
  <w:abstractNum w:abstractNumId="40" w15:restartNumberingAfterBreak="0">
    <w:nsid w:val="4A4E5DAA"/>
    <w:multiLevelType w:val="hybridMultilevel"/>
    <w:tmpl w:val="03AE6D04"/>
    <w:lvl w:ilvl="0" w:tplc="BE905392">
      <w:numFmt w:val="bullet"/>
      <w:lvlText w:val="•"/>
      <w:lvlJc w:val="left"/>
      <w:pPr>
        <w:ind w:left="1418"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5C6E5B36">
      <w:numFmt w:val="bullet"/>
      <w:lvlText w:val="•"/>
      <w:lvlJc w:val="left"/>
      <w:pPr>
        <w:ind w:left="2355" w:hanging="567"/>
      </w:pPr>
      <w:rPr>
        <w:rFonts w:hint="default"/>
        <w:lang w:val="en-US" w:eastAsia="en-US" w:bidi="ar-SA"/>
      </w:rPr>
    </w:lvl>
    <w:lvl w:ilvl="2" w:tplc="872C1F78">
      <w:numFmt w:val="bullet"/>
      <w:lvlText w:val="•"/>
      <w:lvlJc w:val="left"/>
      <w:pPr>
        <w:ind w:left="3290" w:hanging="567"/>
      </w:pPr>
      <w:rPr>
        <w:rFonts w:hint="default"/>
        <w:lang w:val="en-US" w:eastAsia="en-US" w:bidi="ar-SA"/>
      </w:rPr>
    </w:lvl>
    <w:lvl w:ilvl="3" w:tplc="AC001224">
      <w:numFmt w:val="bullet"/>
      <w:lvlText w:val="•"/>
      <w:lvlJc w:val="left"/>
      <w:pPr>
        <w:ind w:left="4226" w:hanging="567"/>
      </w:pPr>
      <w:rPr>
        <w:rFonts w:hint="default"/>
        <w:lang w:val="en-US" w:eastAsia="en-US" w:bidi="ar-SA"/>
      </w:rPr>
    </w:lvl>
    <w:lvl w:ilvl="4" w:tplc="55A05CFC">
      <w:numFmt w:val="bullet"/>
      <w:lvlText w:val="•"/>
      <w:lvlJc w:val="left"/>
      <w:pPr>
        <w:ind w:left="5161" w:hanging="567"/>
      </w:pPr>
      <w:rPr>
        <w:rFonts w:hint="default"/>
        <w:lang w:val="en-US" w:eastAsia="en-US" w:bidi="ar-SA"/>
      </w:rPr>
    </w:lvl>
    <w:lvl w:ilvl="5" w:tplc="C66E0668">
      <w:numFmt w:val="bullet"/>
      <w:lvlText w:val="•"/>
      <w:lvlJc w:val="left"/>
      <w:pPr>
        <w:ind w:left="6097" w:hanging="567"/>
      </w:pPr>
      <w:rPr>
        <w:rFonts w:hint="default"/>
        <w:lang w:val="en-US" w:eastAsia="en-US" w:bidi="ar-SA"/>
      </w:rPr>
    </w:lvl>
    <w:lvl w:ilvl="6" w:tplc="2E18AD10">
      <w:numFmt w:val="bullet"/>
      <w:lvlText w:val="•"/>
      <w:lvlJc w:val="left"/>
      <w:pPr>
        <w:ind w:left="7032" w:hanging="567"/>
      </w:pPr>
      <w:rPr>
        <w:rFonts w:hint="default"/>
        <w:lang w:val="en-US" w:eastAsia="en-US" w:bidi="ar-SA"/>
      </w:rPr>
    </w:lvl>
    <w:lvl w:ilvl="7" w:tplc="F2043906">
      <w:numFmt w:val="bullet"/>
      <w:lvlText w:val="•"/>
      <w:lvlJc w:val="left"/>
      <w:pPr>
        <w:ind w:left="7968" w:hanging="567"/>
      </w:pPr>
      <w:rPr>
        <w:rFonts w:hint="default"/>
        <w:lang w:val="en-US" w:eastAsia="en-US" w:bidi="ar-SA"/>
      </w:rPr>
    </w:lvl>
    <w:lvl w:ilvl="8" w:tplc="F8324AB4">
      <w:numFmt w:val="bullet"/>
      <w:lvlText w:val="•"/>
      <w:lvlJc w:val="left"/>
      <w:pPr>
        <w:ind w:left="8903" w:hanging="567"/>
      </w:pPr>
      <w:rPr>
        <w:rFonts w:hint="default"/>
        <w:lang w:val="en-US" w:eastAsia="en-US" w:bidi="ar-SA"/>
      </w:rPr>
    </w:lvl>
  </w:abstractNum>
  <w:abstractNum w:abstractNumId="41" w15:restartNumberingAfterBreak="0">
    <w:nsid w:val="4A586927"/>
    <w:multiLevelType w:val="hybridMultilevel"/>
    <w:tmpl w:val="AFD8A622"/>
    <w:lvl w:ilvl="0" w:tplc="FB207C36">
      <w:numFmt w:val="bullet"/>
      <w:lvlText w:val=""/>
      <w:lvlJc w:val="left"/>
      <w:pPr>
        <w:ind w:left="1562" w:hanging="711"/>
      </w:pPr>
      <w:rPr>
        <w:rFonts w:ascii="Symbol" w:eastAsia="Symbol" w:hAnsi="Symbol" w:cs="Symbol" w:hint="default"/>
        <w:b w:val="0"/>
        <w:bCs w:val="0"/>
        <w:i w:val="0"/>
        <w:iCs w:val="0"/>
        <w:spacing w:val="0"/>
        <w:w w:val="100"/>
        <w:sz w:val="22"/>
        <w:szCs w:val="22"/>
        <w:lang w:val="en-US" w:eastAsia="en-US" w:bidi="ar-SA"/>
      </w:rPr>
    </w:lvl>
    <w:lvl w:ilvl="1" w:tplc="AA88D47C">
      <w:numFmt w:val="bullet"/>
      <w:lvlText w:val="•"/>
      <w:lvlJc w:val="left"/>
      <w:pPr>
        <w:ind w:left="2339" w:hanging="711"/>
      </w:pPr>
      <w:rPr>
        <w:rFonts w:hint="default"/>
        <w:lang w:val="en-US" w:eastAsia="en-US" w:bidi="ar-SA"/>
      </w:rPr>
    </w:lvl>
    <w:lvl w:ilvl="2" w:tplc="4DCAC0F2">
      <w:numFmt w:val="bullet"/>
      <w:lvlText w:val="•"/>
      <w:lvlJc w:val="left"/>
      <w:pPr>
        <w:ind w:left="3119" w:hanging="711"/>
      </w:pPr>
      <w:rPr>
        <w:rFonts w:hint="default"/>
        <w:lang w:val="en-US" w:eastAsia="en-US" w:bidi="ar-SA"/>
      </w:rPr>
    </w:lvl>
    <w:lvl w:ilvl="3" w:tplc="7438009A">
      <w:numFmt w:val="bullet"/>
      <w:lvlText w:val="•"/>
      <w:lvlJc w:val="left"/>
      <w:pPr>
        <w:ind w:left="3898" w:hanging="711"/>
      </w:pPr>
      <w:rPr>
        <w:rFonts w:hint="default"/>
        <w:lang w:val="en-US" w:eastAsia="en-US" w:bidi="ar-SA"/>
      </w:rPr>
    </w:lvl>
    <w:lvl w:ilvl="4" w:tplc="6D4C69AE">
      <w:numFmt w:val="bullet"/>
      <w:lvlText w:val="•"/>
      <w:lvlJc w:val="left"/>
      <w:pPr>
        <w:ind w:left="4678" w:hanging="711"/>
      </w:pPr>
      <w:rPr>
        <w:rFonts w:hint="default"/>
        <w:lang w:val="en-US" w:eastAsia="en-US" w:bidi="ar-SA"/>
      </w:rPr>
    </w:lvl>
    <w:lvl w:ilvl="5" w:tplc="8FB6CA7A">
      <w:numFmt w:val="bullet"/>
      <w:lvlText w:val="•"/>
      <w:lvlJc w:val="left"/>
      <w:pPr>
        <w:ind w:left="5458" w:hanging="711"/>
      </w:pPr>
      <w:rPr>
        <w:rFonts w:hint="default"/>
        <w:lang w:val="en-US" w:eastAsia="en-US" w:bidi="ar-SA"/>
      </w:rPr>
    </w:lvl>
    <w:lvl w:ilvl="6" w:tplc="4E1E517E">
      <w:numFmt w:val="bullet"/>
      <w:lvlText w:val="•"/>
      <w:lvlJc w:val="left"/>
      <w:pPr>
        <w:ind w:left="6237" w:hanging="711"/>
      </w:pPr>
      <w:rPr>
        <w:rFonts w:hint="default"/>
        <w:lang w:val="en-US" w:eastAsia="en-US" w:bidi="ar-SA"/>
      </w:rPr>
    </w:lvl>
    <w:lvl w:ilvl="7" w:tplc="B1208EE8">
      <w:numFmt w:val="bullet"/>
      <w:lvlText w:val="•"/>
      <w:lvlJc w:val="left"/>
      <w:pPr>
        <w:ind w:left="7017" w:hanging="711"/>
      </w:pPr>
      <w:rPr>
        <w:rFonts w:hint="default"/>
        <w:lang w:val="en-US" w:eastAsia="en-US" w:bidi="ar-SA"/>
      </w:rPr>
    </w:lvl>
    <w:lvl w:ilvl="8" w:tplc="E730B12C">
      <w:numFmt w:val="bullet"/>
      <w:lvlText w:val="•"/>
      <w:lvlJc w:val="left"/>
      <w:pPr>
        <w:ind w:left="7797" w:hanging="711"/>
      </w:pPr>
      <w:rPr>
        <w:rFonts w:hint="default"/>
        <w:lang w:val="en-US" w:eastAsia="en-US" w:bidi="ar-SA"/>
      </w:rPr>
    </w:lvl>
  </w:abstractNum>
  <w:abstractNum w:abstractNumId="42" w15:restartNumberingAfterBreak="0">
    <w:nsid w:val="4EE57E31"/>
    <w:multiLevelType w:val="hybridMultilevel"/>
    <w:tmpl w:val="054A4988"/>
    <w:lvl w:ilvl="0" w:tplc="715AF9D0">
      <w:numFmt w:val="bullet"/>
      <w:lvlText w:val=""/>
      <w:lvlJc w:val="left"/>
      <w:pPr>
        <w:ind w:left="1418" w:hanging="567"/>
      </w:pPr>
      <w:rPr>
        <w:rFonts w:ascii="Symbol" w:eastAsia="Symbol" w:hAnsi="Symbol" w:cs="Symbol" w:hint="default"/>
        <w:b w:val="0"/>
        <w:bCs w:val="0"/>
        <w:i w:val="0"/>
        <w:iCs w:val="0"/>
        <w:spacing w:val="0"/>
        <w:w w:val="100"/>
        <w:sz w:val="24"/>
        <w:szCs w:val="24"/>
        <w:lang w:val="en-US" w:eastAsia="en-US" w:bidi="ar-SA"/>
      </w:rPr>
    </w:lvl>
    <w:lvl w:ilvl="1" w:tplc="46EE9910">
      <w:numFmt w:val="bullet"/>
      <w:lvlText w:val="–"/>
      <w:lvlJc w:val="left"/>
      <w:pPr>
        <w:ind w:left="1985"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2" w:tplc="619647DA">
      <w:numFmt w:val="bullet"/>
      <w:lvlText w:val="•"/>
      <w:lvlJc w:val="left"/>
      <w:pPr>
        <w:ind w:left="2878" w:hanging="567"/>
      </w:pPr>
      <w:rPr>
        <w:rFonts w:hint="default"/>
        <w:lang w:val="en-US" w:eastAsia="en-US" w:bidi="ar-SA"/>
      </w:rPr>
    </w:lvl>
    <w:lvl w:ilvl="3" w:tplc="F982BC12">
      <w:numFmt w:val="bullet"/>
      <w:lvlText w:val="•"/>
      <w:lvlJc w:val="left"/>
      <w:pPr>
        <w:ind w:left="3776" w:hanging="567"/>
      </w:pPr>
      <w:rPr>
        <w:rFonts w:hint="default"/>
        <w:lang w:val="en-US" w:eastAsia="en-US" w:bidi="ar-SA"/>
      </w:rPr>
    </w:lvl>
    <w:lvl w:ilvl="4" w:tplc="9CC843B8">
      <w:numFmt w:val="bullet"/>
      <w:lvlText w:val="•"/>
      <w:lvlJc w:val="left"/>
      <w:pPr>
        <w:ind w:left="4675" w:hanging="567"/>
      </w:pPr>
      <w:rPr>
        <w:rFonts w:hint="default"/>
        <w:lang w:val="en-US" w:eastAsia="en-US" w:bidi="ar-SA"/>
      </w:rPr>
    </w:lvl>
    <w:lvl w:ilvl="5" w:tplc="4516B22E">
      <w:numFmt w:val="bullet"/>
      <w:lvlText w:val="•"/>
      <w:lvlJc w:val="left"/>
      <w:pPr>
        <w:ind w:left="5573" w:hanging="567"/>
      </w:pPr>
      <w:rPr>
        <w:rFonts w:hint="default"/>
        <w:lang w:val="en-US" w:eastAsia="en-US" w:bidi="ar-SA"/>
      </w:rPr>
    </w:lvl>
    <w:lvl w:ilvl="6" w:tplc="13F85836">
      <w:numFmt w:val="bullet"/>
      <w:lvlText w:val="•"/>
      <w:lvlJc w:val="left"/>
      <w:pPr>
        <w:ind w:left="6471" w:hanging="567"/>
      </w:pPr>
      <w:rPr>
        <w:rFonts w:hint="default"/>
        <w:lang w:val="en-US" w:eastAsia="en-US" w:bidi="ar-SA"/>
      </w:rPr>
    </w:lvl>
    <w:lvl w:ilvl="7" w:tplc="7B12E9B6">
      <w:numFmt w:val="bullet"/>
      <w:lvlText w:val="•"/>
      <w:lvlJc w:val="left"/>
      <w:pPr>
        <w:ind w:left="7370" w:hanging="567"/>
      </w:pPr>
      <w:rPr>
        <w:rFonts w:hint="default"/>
        <w:lang w:val="en-US" w:eastAsia="en-US" w:bidi="ar-SA"/>
      </w:rPr>
    </w:lvl>
    <w:lvl w:ilvl="8" w:tplc="69AEBD18">
      <w:numFmt w:val="bullet"/>
      <w:lvlText w:val="•"/>
      <w:lvlJc w:val="left"/>
      <w:pPr>
        <w:ind w:left="8268" w:hanging="567"/>
      </w:pPr>
      <w:rPr>
        <w:rFonts w:hint="default"/>
        <w:lang w:val="en-US" w:eastAsia="en-US" w:bidi="ar-SA"/>
      </w:rPr>
    </w:lvl>
  </w:abstractNum>
  <w:abstractNum w:abstractNumId="43" w15:restartNumberingAfterBreak="0">
    <w:nsid w:val="51F27358"/>
    <w:multiLevelType w:val="hybridMultilevel"/>
    <w:tmpl w:val="9E245FB6"/>
    <w:lvl w:ilvl="0" w:tplc="57E2EE7C">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A088234C">
      <w:numFmt w:val="bullet"/>
      <w:lvlText w:val="•"/>
      <w:lvlJc w:val="left"/>
      <w:pPr>
        <w:ind w:left="1414" w:hanging="428"/>
      </w:pPr>
      <w:rPr>
        <w:rFonts w:hint="default"/>
        <w:lang w:val="en-US" w:eastAsia="en-US" w:bidi="ar-SA"/>
      </w:rPr>
    </w:lvl>
    <w:lvl w:ilvl="2" w:tplc="8190F0C8">
      <w:numFmt w:val="bullet"/>
      <w:lvlText w:val="•"/>
      <w:lvlJc w:val="left"/>
      <w:pPr>
        <w:ind w:left="2289" w:hanging="428"/>
      </w:pPr>
      <w:rPr>
        <w:rFonts w:hint="default"/>
        <w:lang w:val="en-US" w:eastAsia="en-US" w:bidi="ar-SA"/>
      </w:rPr>
    </w:lvl>
    <w:lvl w:ilvl="3" w:tplc="F37A211E">
      <w:numFmt w:val="bullet"/>
      <w:lvlText w:val="•"/>
      <w:lvlJc w:val="left"/>
      <w:pPr>
        <w:ind w:left="3163" w:hanging="428"/>
      </w:pPr>
      <w:rPr>
        <w:rFonts w:hint="default"/>
        <w:lang w:val="en-US" w:eastAsia="en-US" w:bidi="ar-SA"/>
      </w:rPr>
    </w:lvl>
    <w:lvl w:ilvl="4" w:tplc="F55EC744">
      <w:numFmt w:val="bullet"/>
      <w:lvlText w:val="•"/>
      <w:lvlJc w:val="left"/>
      <w:pPr>
        <w:ind w:left="4038" w:hanging="428"/>
      </w:pPr>
      <w:rPr>
        <w:rFonts w:hint="default"/>
        <w:lang w:val="en-US" w:eastAsia="en-US" w:bidi="ar-SA"/>
      </w:rPr>
    </w:lvl>
    <w:lvl w:ilvl="5" w:tplc="2D580164">
      <w:numFmt w:val="bullet"/>
      <w:lvlText w:val="•"/>
      <w:lvlJc w:val="left"/>
      <w:pPr>
        <w:ind w:left="4912" w:hanging="428"/>
      </w:pPr>
      <w:rPr>
        <w:rFonts w:hint="default"/>
        <w:lang w:val="en-US" w:eastAsia="en-US" w:bidi="ar-SA"/>
      </w:rPr>
    </w:lvl>
    <w:lvl w:ilvl="6" w:tplc="B27CBFF0">
      <w:numFmt w:val="bullet"/>
      <w:lvlText w:val="•"/>
      <w:lvlJc w:val="left"/>
      <w:pPr>
        <w:ind w:left="5787" w:hanging="428"/>
      </w:pPr>
      <w:rPr>
        <w:rFonts w:hint="default"/>
        <w:lang w:val="en-US" w:eastAsia="en-US" w:bidi="ar-SA"/>
      </w:rPr>
    </w:lvl>
    <w:lvl w:ilvl="7" w:tplc="0E0E9EBE">
      <w:numFmt w:val="bullet"/>
      <w:lvlText w:val="•"/>
      <w:lvlJc w:val="left"/>
      <w:pPr>
        <w:ind w:left="6661" w:hanging="428"/>
      </w:pPr>
      <w:rPr>
        <w:rFonts w:hint="default"/>
        <w:lang w:val="en-US" w:eastAsia="en-US" w:bidi="ar-SA"/>
      </w:rPr>
    </w:lvl>
    <w:lvl w:ilvl="8" w:tplc="6B1475EE">
      <w:numFmt w:val="bullet"/>
      <w:lvlText w:val="•"/>
      <w:lvlJc w:val="left"/>
      <w:pPr>
        <w:ind w:left="7536" w:hanging="428"/>
      </w:pPr>
      <w:rPr>
        <w:rFonts w:hint="default"/>
        <w:lang w:val="en-US" w:eastAsia="en-US" w:bidi="ar-SA"/>
      </w:rPr>
    </w:lvl>
  </w:abstractNum>
  <w:abstractNum w:abstractNumId="44" w15:restartNumberingAfterBreak="0">
    <w:nsid w:val="527E771A"/>
    <w:multiLevelType w:val="multilevel"/>
    <w:tmpl w:val="D4C4DDBC"/>
    <w:lvl w:ilvl="0">
      <w:start w:val="7"/>
      <w:numFmt w:val="decimal"/>
      <w:lvlText w:val="%1"/>
      <w:lvlJc w:val="left"/>
      <w:pPr>
        <w:ind w:left="852" w:hanging="711"/>
        <w:jc w:val="left"/>
      </w:pPr>
      <w:rPr>
        <w:rFonts w:hint="default"/>
        <w:lang w:val="en-US" w:eastAsia="en-US" w:bidi="ar-SA"/>
      </w:rPr>
    </w:lvl>
    <w:lvl w:ilvl="1">
      <w:start w:val="6"/>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45" w15:restartNumberingAfterBreak="0">
    <w:nsid w:val="536800A1"/>
    <w:multiLevelType w:val="multilevel"/>
    <w:tmpl w:val="AA1C5DA8"/>
    <w:lvl w:ilvl="0">
      <w:start w:val="7"/>
      <w:numFmt w:val="decimal"/>
      <w:lvlText w:val="%1"/>
      <w:lvlJc w:val="left"/>
      <w:pPr>
        <w:ind w:left="852" w:hanging="711"/>
        <w:jc w:val="left"/>
      </w:pPr>
      <w:rPr>
        <w:rFonts w:hint="default"/>
        <w:lang w:val="en-US" w:eastAsia="en-US" w:bidi="ar-SA"/>
      </w:rPr>
    </w:lvl>
    <w:lvl w:ilvl="1">
      <w:start w:val="12"/>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46" w15:restartNumberingAfterBreak="0">
    <w:nsid w:val="53860A03"/>
    <w:multiLevelType w:val="multilevel"/>
    <w:tmpl w:val="AEB8709E"/>
    <w:lvl w:ilvl="0">
      <w:start w:val="7"/>
      <w:numFmt w:val="decimal"/>
      <w:lvlText w:val="%1"/>
      <w:lvlJc w:val="left"/>
      <w:pPr>
        <w:ind w:left="852" w:hanging="711"/>
        <w:jc w:val="left"/>
      </w:pPr>
      <w:rPr>
        <w:rFonts w:hint="default"/>
        <w:lang w:val="en-US" w:eastAsia="en-US" w:bidi="ar-SA"/>
      </w:rPr>
    </w:lvl>
    <w:lvl w:ilvl="1">
      <w:start w:val="13"/>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47" w15:restartNumberingAfterBreak="0">
    <w:nsid w:val="5462068C"/>
    <w:multiLevelType w:val="multilevel"/>
    <w:tmpl w:val="AD6A2B28"/>
    <w:lvl w:ilvl="0">
      <w:start w:val="7"/>
      <w:numFmt w:val="decimal"/>
      <w:lvlText w:val="%1"/>
      <w:lvlJc w:val="left"/>
      <w:pPr>
        <w:ind w:left="852" w:hanging="711"/>
        <w:jc w:val="left"/>
      </w:pPr>
      <w:rPr>
        <w:rFonts w:hint="default"/>
        <w:lang w:val="en-US" w:eastAsia="en-US" w:bidi="ar-SA"/>
      </w:rPr>
    </w:lvl>
    <w:lvl w:ilvl="1">
      <w:start w:val="3"/>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start w:val="1"/>
      <w:numFmt w:val="lowerRoman"/>
      <w:lvlText w:val="(%5)"/>
      <w:lvlJc w:val="left"/>
      <w:pPr>
        <w:ind w:left="2268"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5024" w:hanging="711"/>
      </w:pPr>
      <w:rPr>
        <w:rFonts w:hint="default"/>
        <w:lang w:val="en-US" w:eastAsia="en-US" w:bidi="ar-SA"/>
      </w:rPr>
    </w:lvl>
    <w:lvl w:ilvl="6">
      <w:numFmt w:val="bullet"/>
      <w:lvlText w:val="•"/>
      <w:lvlJc w:val="left"/>
      <w:pPr>
        <w:ind w:left="5946" w:hanging="711"/>
      </w:pPr>
      <w:rPr>
        <w:rFonts w:hint="default"/>
        <w:lang w:val="en-US" w:eastAsia="en-US" w:bidi="ar-SA"/>
      </w:rPr>
    </w:lvl>
    <w:lvl w:ilvl="7">
      <w:numFmt w:val="bullet"/>
      <w:lvlText w:val="•"/>
      <w:lvlJc w:val="left"/>
      <w:pPr>
        <w:ind w:left="6867" w:hanging="711"/>
      </w:pPr>
      <w:rPr>
        <w:rFonts w:hint="default"/>
        <w:lang w:val="en-US" w:eastAsia="en-US" w:bidi="ar-SA"/>
      </w:rPr>
    </w:lvl>
    <w:lvl w:ilvl="8">
      <w:numFmt w:val="bullet"/>
      <w:lvlText w:val="•"/>
      <w:lvlJc w:val="left"/>
      <w:pPr>
        <w:ind w:left="7789" w:hanging="711"/>
      </w:pPr>
      <w:rPr>
        <w:rFonts w:hint="default"/>
        <w:lang w:val="en-US" w:eastAsia="en-US" w:bidi="ar-SA"/>
      </w:rPr>
    </w:lvl>
  </w:abstractNum>
  <w:abstractNum w:abstractNumId="48" w15:restartNumberingAfterBreak="0">
    <w:nsid w:val="55B713C9"/>
    <w:multiLevelType w:val="hybridMultilevel"/>
    <w:tmpl w:val="96DC1FEE"/>
    <w:lvl w:ilvl="0" w:tplc="5848499A">
      <w:numFmt w:val="bullet"/>
      <w:lvlText w:val=""/>
      <w:lvlJc w:val="left"/>
      <w:pPr>
        <w:ind w:left="1562" w:hanging="579"/>
      </w:pPr>
      <w:rPr>
        <w:rFonts w:ascii="Symbol" w:eastAsia="Symbol" w:hAnsi="Symbol" w:cs="Symbol" w:hint="default"/>
        <w:b w:val="0"/>
        <w:bCs w:val="0"/>
        <w:i w:val="0"/>
        <w:iCs w:val="0"/>
        <w:spacing w:val="0"/>
        <w:w w:val="100"/>
        <w:sz w:val="22"/>
        <w:szCs w:val="22"/>
        <w:lang w:val="en-US" w:eastAsia="en-US" w:bidi="ar-SA"/>
      </w:rPr>
    </w:lvl>
    <w:lvl w:ilvl="1" w:tplc="13724688">
      <w:numFmt w:val="bullet"/>
      <w:lvlText w:val="•"/>
      <w:lvlJc w:val="left"/>
      <w:pPr>
        <w:ind w:left="2339" w:hanging="579"/>
      </w:pPr>
      <w:rPr>
        <w:rFonts w:hint="default"/>
        <w:lang w:val="en-US" w:eastAsia="en-US" w:bidi="ar-SA"/>
      </w:rPr>
    </w:lvl>
    <w:lvl w:ilvl="2" w:tplc="4E465466">
      <w:numFmt w:val="bullet"/>
      <w:lvlText w:val="•"/>
      <w:lvlJc w:val="left"/>
      <w:pPr>
        <w:ind w:left="3119" w:hanging="579"/>
      </w:pPr>
      <w:rPr>
        <w:rFonts w:hint="default"/>
        <w:lang w:val="en-US" w:eastAsia="en-US" w:bidi="ar-SA"/>
      </w:rPr>
    </w:lvl>
    <w:lvl w:ilvl="3" w:tplc="33BC3A7A">
      <w:numFmt w:val="bullet"/>
      <w:lvlText w:val="•"/>
      <w:lvlJc w:val="left"/>
      <w:pPr>
        <w:ind w:left="3898" w:hanging="579"/>
      </w:pPr>
      <w:rPr>
        <w:rFonts w:hint="default"/>
        <w:lang w:val="en-US" w:eastAsia="en-US" w:bidi="ar-SA"/>
      </w:rPr>
    </w:lvl>
    <w:lvl w:ilvl="4" w:tplc="D76257F0">
      <w:numFmt w:val="bullet"/>
      <w:lvlText w:val="•"/>
      <w:lvlJc w:val="left"/>
      <w:pPr>
        <w:ind w:left="4678" w:hanging="579"/>
      </w:pPr>
      <w:rPr>
        <w:rFonts w:hint="default"/>
        <w:lang w:val="en-US" w:eastAsia="en-US" w:bidi="ar-SA"/>
      </w:rPr>
    </w:lvl>
    <w:lvl w:ilvl="5" w:tplc="F33E3592">
      <w:numFmt w:val="bullet"/>
      <w:lvlText w:val="•"/>
      <w:lvlJc w:val="left"/>
      <w:pPr>
        <w:ind w:left="5458" w:hanging="579"/>
      </w:pPr>
      <w:rPr>
        <w:rFonts w:hint="default"/>
        <w:lang w:val="en-US" w:eastAsia="en-US" w:bidi="ar-SA"/>
      </w:rPr>
    </w:lvl>
    <w:lvl w:ilvl="6" w:tplc="7450C43E">
      <w:numFmt w:val="bullet"/>
      <w:lvlText w:val="•"/>
      <w:lvlJc w:val="left"/>
      <w:pPr>
        <w:ind w:left="6237" w:hanging="579"/>
      </w:pPr>
      <w:rPr>
        <w:rFonts w:hint="default"/>
        <w:lang w:val="en-US" w:eastAsia="en-US" w:bidi="ar-SA"/>
      </w:rPr>
    </w:lvl>
    <w:lvl w:ilvl="7" w:tplc="38928F98">
      <w:numFmt w:val="bullet"/>
      <w:lvlText w:val="•"/>
      <w:lvlJc w:val="left"/>
      <w:pPr>
        <w:ind w:left="7017" w:hanging="579"/>
      </w:pPr>
      <w:rPr>
        <w:rFonts w:hint="default"/>
        <w:lang w:val="en-US" w:eastAsia="en-US" w:bidi="ar-SA"/>
      </w:rPr>
    </w:lvl>
    <w:lvl w:ilvl="8" w:tplc="2D88098A">
      <w:numFmt w:val="bullet"/>
      <w:lvlText w:val="•"/>
      <w:lvlJc w:val="left"/>
      <w:pPr>
        <w:ind w:left="7797" w:hanging="579"/>
      </w:pPr>
      <w:rPr>
        <w:rFonts w:hint="default"/>
        <w:lang w:val="en-US" w:eastAsia="en-US" w:bidi="ar-SA"/>
      </w:rPr>
    </w:lvl>
  </w:abstractNum>
  <w:abstractNum w:abstractNumId="49" w15:restartNumberingAfterBreak="0">
    <w:nsid w:val="580B5E2B"/>
    <w:multiLevelType w:val="hybridMultilevel"/>
    <w:tmpl w:val="C70459FE"/>
    <w:lvl w:ilvl="0" w:tplc="D826E91E">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E0E8BDE6">
      <w:numFmt w:val="bullet"/>
      <w:lvlText w:val="•"/>
      <w:lvlJc w:val="left"/>
      <w:pPr>
        <w:ind w:left="1410" w:hanging="428"/>
      </w:pPr>
      <w:rPr>
        <w:rFonts w:hint="default"/>
        <w:lang w:val="en-US" w:eastAsia="en-US" w:bidi="ar-SA"/>
      </w:rPr>
    </w:lvl>
    <w:lvl w:ilvl="2" w:tplc="C114C4BA">
      <w:numFmt w:val="bullet"/>
      <w:lvlText w:val="•"/>
      <w:lvlJc w:val="left"/>
      <w:pPr>
        <w:ind w:left="2280" w:hanging="428"/>
      </w:pPr>
      <w:rPr>
        <w:rFonts w:hint="default"/>
        <w:lang w:val="en-US" w:eastAsia="en-US" w:bidi="ar-SA"/>
      </w:rPr>
    </w:lvl>
    <w:lvl w:ilvl="3" w:tplc="98D80CD0">
      <w:numFmt w:val="bullet"/>
      <w:lvlText w:val="•"/>
      <w:lvlJc w:val="left"/>
      <w:pPr>
        <w:ind w:left="3150" w:hanging="428"/>
      </w:pPr>
      <w:rPr>
        <w:rFonts w:hint="default"/>
        <w:lang w:val="en-US" w:eastAsia="en-US" w:bidi="ar-SA"/>
      </w:rPr>
    </w:lvl>
    <w:lvl w:ilvl="4" w:tplc="CB8EA1A0">
      <w:numFmt w:val="bullet"/>
      <w:lvlText w:val="•"/>
      <w:lvlJc w:val="left"/>
      <w:pPr>
        <w:ind w:left="4020" w:hanging="428"/>
      </w:pPr>
      <w:rPr>
        <w:rFonts w:hint="default"/>
        <w:lang w:val="en-US" w:eastAsia="en-US" w:bidi="ar-SA"/>
      </w:rPr>
    </w:lvl>
    <w:lvl w:ilvl="5" w:tplc="2206AFE2">
      <w:numFmt w:val="bullet"/>
      <w:lvlText w:val="•"/>
      <w:lvlJc w:val="left"/>
      <w:pPr>
        <w:ind w:left="4891" w:hanging="428"/>
      </w:pPr>
      <w:rPr>
        <w:rFonts w:hint="default"/>
        <w:lang w:val="en-US" w:eastAsia="en-US" w:bidi="ar-SA"/>
      </w:rPr>
    </w:lvl>
    <w:lvl w:ilvl="6" w:tplc="157225A0">
      <w:numFmt w:val="bullet"/>
      <w:lvlText w:val="•"/>
      <w:lvlJc w:val="left"/>
      <w:pPr>
        <w:ind w:left="5761" w:hanging="428"/>
      </w:pPr>
      <w:rPr>
        <w:rFonts w:hint="default"/>
        <w:lang w:val="en-US" w:eastAsia="en-US" w:bidi="ar-SA"/>
      </w:rPr>
    </w:lvl>
    <w:lvl w:ilvl="7" w:tplc="B8DEAD4A">
      <w:numFmt w:val="bullet"/>
      <w:lvlText w:val="•"/>
      <w:lvlJc w:val="left"/>
      <w:pPr>
        <w:ind w:left="6631" w:hanging="428"/>
      </w:pPr>
      <w:rPr>
        <w:rFonts w:hint="default"/>
        <w:lang w:val="en-US" w:eastAsia="en-US" w:bidi="ar-SA"/>
      </w:rPr>
    </w:lvl>
    <w:lvl w:ilvl="8" w:tplc="6FF47AB8">
      <w:numFmt w:val="bullet"/>
      <w:lvlText w:val="•"/>
      <w:lvlJc w:val="left"/>
      <w:pPr>
        <w:ind w:left="7501" w:hanging="428"/>
      </w:pPr>
      <w:rPr>
        <w:rFonts w:hint="default"/>
        <w:lang w:val="en-US" w:eastAsia="en-US" w:bidi="ar-SA"/>
      </w:rPr>
    </w:lvl>
  </w:abstractNum>
  <w:abstractNum w:abstractNumId="50" w15:restartNumberingAfterBreak="0">
    <w:nsid w:val="5DAA7DA4"/>
    <w:multiLevelType w:val="hybridMultilevel"/>
    <w:tmpl w:val="C38A2F8E"/>
    <w:lvl w:ilvl="0" w:tplc="E57A17D8">
      <w:numFmt w:val="bullet"/>
      <w:lvlText w:val=""/>
      <w:lvlJc w:val="left"/>
      <w:pPr>
        <w:ind w:left="707" w:hanging="567"/>
      </w:pPr>
      <w:rPr>
        <w:rFonts w:ascii="Symbol" w:eastAsia="Symbol" w:hAnsi="Symbol" w:cs="Symbol" w:hint="default"/>
        <w:b w:val="0"/>
        <w:bCs w:val="0"/>
        <w:i w:val="0"/>
        <w:iCs w:val="0"/>
        <w:spacing w:val="0"/>
        <w:w w:val="100"/>
        <w:sz w:val="22"/>
        <w:szCs w:val="22"/>
        <w:lang w:val="en-US" w:eastAsia="en-US" w:bidi="ar-SA"/>
      </w:rPr>
    </w:lvl>
    <w:lvl w:ilvl="1" w:tplc="2254522E">
      <w:numFmt w:val="bullet"/>
      <w:lvlText w:val="•"/>
      <w:lvlJc w:val="left"/>
      <w:pPr>
        <w:ind w:left="1464" w:hanging="567"/>
      </w:pPr>
      <w:rPr>
        <w:rFonts w:hint="default"/>
        <w:lang w:val="en-US" w:eastAsia="en-US" w:bidi="ar-SA"/>
      </w:rPr>
    </w:lvl>
    <w:lvl w:ilvl="2" w:tplc="38881262">
      <w:numFmt w:val="bullet"/>
      <w:lvlText w:val="•"/>
      <w:lvlJc w:val="left"/>
      <w:pPr>
        <w:ind w:left="2229" w:hanging="567"/>
      </w:pPr>
      <w:rPr>
        <w:rFonts w:hint="default"/>
        <w:lang w:val="en-US" w:eastAsia="en-US" w:bidi="ar-SA"/>
      </w:rPr>
    </w:lvl>
    <w:lvl w:ilvl="3" w:tplc="C13495C4">
      <w:numFmt w:val="bullet"/>
      <w:lvlText w:val="•"/>
      <w:lvlJc w:val="left"/>
      <w:pPr>
        <w:ind w:left="2994" w:hanging="567"/>
      </w:pPr>
      <w:rPr>
        <w:rFonts w:hint="default"/>
        <w:lang w:val="en-US" w:eastAsia="en-US" w:bidi="ar-SA"/>
      </w:rPr>
    </w:lvl>
    <w:lvl w:ilvl="4" w:tplc="099052FA">
      <w:numFmt w:val="bullet"/>
      <w:lvlText w:val="•"/>
      <w:lvlJc w:val="left"/>
      <w:pPr>
        <w:ind w:left="3759" w:hanging="567"/>
      </w:pPr>
      <w:rPr>
        <w:rFonts w:hint="default"/>
        <w:lang w:val="en-US" w:eastAsia="en-US" w:bidi="ar-SA"/>
      </w:rPr>
    </w:lvl>
    <w:lvl w:ilvl="5" w:tplc="A99EA3C8">
      <w:numFmt w:val="bullet"/>
      <w:lvlText w:val="•"/>
      <w:lvlJc w:val="left"/>
      <w:pPr>
        <w:ind w:left="4524" w:hanging="567"/>
      </w:pPr>
      <w:rPr>
        <w:rFonts w:hint="default"/>
        <w:lang w:val="en-US" w:eastAsia="en-US" w:bidi="ar-SA"/>
      </w:rPr>
    </w:lvl>
    <w:lvl w:ilvl="6" w:tplc="A51A8232">
      <w:numFmt w:val="bullet"/>
      <w:lvlText w:val="•"/>
      <w:lvlJc w:val="left"/>
      <w:pPr>
        <w:ind w:left="5288" w:hanging="567"/>
      </w:pPr>
      <w:rPr>
        <w:rFonts w:hint="default"/>
        <w:lang w:val="en-US" w:eastAsia="en-US" w:bidi="ar-SA"/>
      </w:rPr>
    </w:lvl>
    <w:lvl w:ilvl="7" w:tplc="1C02D0FE">
      <w:numFmt w:val="bullet"/>
      <w:lvlText w:val="•"/>
      <w:lvlJc w:val="left"/>
      <w:pPr>
        <w:ind w:left="6053" w:hanging="567"/>
      </w:pPr>
      <w:rPr>
        <w:rFonts w:hint="default"/>
        <w:lang w:val="en-US" w:eastAsia="en-US" w:bidi="ar-SA"/>
      </w:rPr>
    </w:lvl>
    <w:lvl w:ilvl="8" w:tplc="1AC8D444">
      <w:numFmt w:val="bullet"/>
      <w:lvlText w:val="•"/>
      <w:lvlJc w:val="left"/>
      <w:pPr>
        <w:ind w:left="6818" w:hanging="567"/>
      </w:pPr>
      <w:rPr>
        <w:rFonts w:hint="default"/>
        <w:lang w:val="en-US" w:eastAsia="en-US" w:bidi="ar-SA"/>
      </w:rPr>
    </w:lvl>
  </w:abstractNum>
  <w:abstractNum w:abstractNumId="51" w15:restartNumberingAfterBreak="0">
    <w:nsid w:val="5DD86D36"/>
    <w:multiLevelType w:val="hybridMultilevel"/>
    <w:tmpl w:val="FDCE8054"/>
    <w:lvl w:ilvl="0" w:tplc="88189010">
      <w:numFmt w:val="bullet"/>
      <w:lvlText w:val="•"/>
      <w:lvlJc w:val="left"/>
      <w:pPr>
        <w:ind w:left="549" w:hanging="423"/>
      </w:pPr>
      <w:rPr>
        <w:rFonts w:ascii="Arial" w:eastAsia="Arial" w:hAnsi="Arial" w:cs="Arial" w:hint="default"/>
        <w:b w:val="0"/>
        <w:bCs w:val="0"/>
        <w:i w:val="0"/>
        <w:iCs w:val="0"/>
        <w:spacing w:val="0"/>
        <w:w w:val="100"/>
        <w:sz w:val="24"/>
        <w:szCs w:val="24"/>
        <w:lang w:val="en-US" w:eastAsia="en-US" w:bidi="ar-SA"/>
      </w:rPr>
    </w:lvl>
    <w:lvl w:ilvl="1" w:tplc="2D580998">
      <w:numFmt w:val="bullet"/>
      <w:lvlText w:val="•"/>
      <w:lvlJc w:val="left"/>
      <w:pPr>
        <w:ind w:left="1391" w:hanging="423"/>
      </w:pPr>
      <w:rPr>
        <w:rFonts w:hint="default"/>
        <w:lang w:val="en-US" w:eastAsia="en-US" w:bidi="ar-SA"/>
      </w:rPr>
    </w:lvl>
    <w:lvl w:ilvl="2" w:tplc="79FC259A">
      <w:numFmt w:val="bullet"/>
      <w:lvlText w:val="•"/>
      <w:lvlJc w:val="left"/>
      <w:pPr>
        <w:ind w:left="2242" w:hanging="423"/>
      </w:pPr>
      <w:rPr>
        <w:rFonts w:hint="default"/>
        <w:lang w:val="en-US" w:eastAsia="en-US" w:bidi="ar-SA"/>
      </w:rPr>
    </w:lvl>
    <w:lvl w:ilvl="3" w:tplc="DA7EC6DE">
      <w:numFmt w:val="bullet"/>
      <w:lvlText w:val="•"/>
      <w:lvlJc w:val="left"/>
      <w:pPr>
        <w:ind w:left="3093" w:hanging="423"/>
      </w:pPr>
      <w:rPr>
        <w:rFonts w:hint="default"/>
        <w:lang w:val="en-US" w:eastAsia="en-US" w:bidi="ar-SA"/>
      </w:rPr>
    </w:lvl>
    <w:lvl w:ilvl="4" w:tplc="C27E0686">
      <w:numFmt w:val="bullet"/>
      <w:lvlText w:val="•"/>
      <w:lvlJc w:val="left"/>
      <w:pPr>
        <w:ind w:left="3944" w:hanging="423"/>
      </w:pPr>
      <w:rPr>
        <w:rFonts w:hint="default"/>
        <w:lang w:val="en-US" w:eastAsia="en-US" w:bidi="ar-SA"/>
      </w:rPr>
    </w:lvl>
    <w:lvl w:ilvl="5" w:tplc="9DA44B52">
      <w:numFmt w:val="bullet"/>
      <w:lvlText w:val="•"/>
      <w:lvlJc w:val="left"/>
      <w:pPr>
        <w:ind w:left="4795" w:hanging="423"/>
      </w:pPr>
      <w:rPr>
        <w:rFonts w:hint="default"/>
        <w:lang w:val="en-US" w:eastAsia="en-US" w:bidi="ar-SA"/>
      </w:rPr>
    </w:lvl>
    <w:lvl w:ilvl="6" w:tplc="DDCED5CE">
      <w:numFmt w:val="bullet"/>
      <w:lvlText w:val="•"/>
      <w:lvlJc w:val="left"/>
      <w:pPr>
        <w:ind w:left="5646" w:hanging="423"/>
      </w:pPr>
      <w:rPr>
        <w:rFonts w:hint="default"/>
        <w:lang w:val="en-US" w:eastAsia="en-US" w:bidi="ar-SA"/>
      </w:rPr>
    </w:lvl>
    <w:lvl w:ilvl="7" w:tplc="D7F6B1CA">
      <w:numFmt w:val="bullet"/>
      <w:lvlText w:val="•"/>
      <w:lvlJc w:val="left"/>
      <w:pPr>
        <w:ind w:left="6497" w:hanging="423"/>
      </w:pPr>
      <w:rPr>
        <w:rFonts w:hint="default"/>
        <w:lang w:val="en-US" w:eastAsia="en-US" w:bidi="ar-SA"/>
      </w:rPr>
    </w:lvl>
    <w:lvl w:ilvl="8" w:tplc="2FBA3E90">
      <w:numFmt w:val="bullet"/>
      <w:lvlText w:val="•"/>
      <w:lvlJc w:val="left"/>
      <w:pPr>
        <w:ind w:left="7348" w:hanging="423"/>
      </w:pPr>
      <w:rPr>
        <w:rFonts w:hint="default"/>
        <w:lang w:val="en-US" w:eastAsia="en-US" w:bidi="ar-SA"/>
      </w:rPr>
    </w:lvl>
  </w:abstractNum>
  <w:abstractNum w:abstractNumId="52" w15:restartNumberingAfterBreak="0">
    <w:nsid w:val="5E2D1ED3"/>
    <w:multiLevelType w:val="multilevel"/>
    <w:tmpl w:val="89922DA0"/>
    <w:lvl w:ilvl="0">
      <w:start w:val="1"/>
      <w:numFmt w:val="decimal"/>
      <w:lvlText w:val="%1."/>
      <w:lvlJc w:val="left"/>
      <w:pPr>
        <w:ind w:left="852" w:hanging="711"/>
        <w:jc w:val="left"/>
      </w:pPr>
      <w:rPr>
        <w:rFonts w:ascii="Times New Roman" w:eastAsia="Times New Roman" w:hAnsi="Times New Roman" w:cs="Times New Roman" w:hint="default"/>
        <w:b/>
        <w:bCs/>
        <w:i w:val="0"/>
        <w:iCs w:val="0"/>
        <w:spacing w:val="0"/>
        <w:w w:val="99"/>
        <w:sz w:val="28"/>
        <w:szCs w:val="28"/>
        <w:lang w:val="en-US" w:eastAsia="en-US" w:bidi="ar-SA"/>
      </w:rPr>
    </w:lvl>
    <w:lvl w:ilvl="1">
      <w:start w:val="1"/>
      <w:numFmt w:val="decimal"/>
      <w:lvlText w:val="%1.%2"/>
      <w:lvlJc w:val="left"/>
      <w:pPr>
        <w:ind w:left="852" w:hanging="711"/>
        <w:jc w:val="left"/>
      </w:pPr>
      <w:rPr>
        <w:rFonts w:ascii="Times New Roman" w:eastAsia="Times New Roman" w:hAnsi="Times New Roman" w:cs="Times New Roman" w:hint="default"/>
        <w:b w:val="0"/>
        <w:bCs w:val="0"/>
        <w:i w:val="0"/>
        <w:iCs w:val="0"/>
        <w:spacing w:val="0"/>
        <w:w w:val="94"/>
        <w:sz w:val="24"/>
        <w:szCs w:val="24"/>
        <w:lang w:val="en-US" w:eastAsia="en-US" w:bidi="ar-SA"/>
      </w:rPr>
    </w:lvl>
    <w:lvl w:ilvl="2">
      <w:start w:val="1"/>
      <w:numFmt w:val="lowerLetter"/>
      <w:lvlText w:val="(%3)"/>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start w:val="1"/>
      <w:numFmt w:val="lowerRoman"/>
      <w:lvlText w:val="(%4)"/>
      <w:lvlJc w:val="left"/>
      <w:pPr>
        <w:ind w:left="2268"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103" w:hanging="711"/>
      </w:pPr>
      <w:rPr>
        <w:rFonts w:hint="default"/>
        <w:lang w:val="en-US" w:eastAsia="en-US" w:bidi="ar-SA"/>
      </w:rPr>
    </w:lvl>
    <w:lvl w:ilvl="5">
      <w:numFmt w:val="bullet"/>
      <w:lvlText w:val="•"/>
      <w:lvlJc w:val="left"/>
      <w:pPr>
        <w:ind w:left="5024" w:hanging="711"/>
      </w:pPr>
      <w:rPr>
        <w:rFonts w:hint="default"/>
        <w:lang w:val="en-US" w:eastAsia="en-US" w:bidi="ar-SA"/>
      </w:rPr>
    </w:lvl>
    <w:lvl w:ilvl="6">
      <w:numFmt w:val="bullet"/>
      <w:lvlText w:val="•"/>
      <w:lvlJc w:val="left"/>
      <w:pPr>
        <w:ind w:left="5946" w:hanging="711"/>
      </w:pPr>
      <w:rPr>
        <w:rFonts w:hint="default"/>
        <w:lang w:val="en-US" w:eastAsia="en-US" w:bidi="ar-SA"/>
      </w:rPr>
    </w:lvl>
    <w:lvl w:ilvl="7">
      <w:numFmt w:val="bullet"/>
      <w:lvlText w:val="•"/>
      <w:lvlJc w:val="left"/>
      <w:pPr>
        <w:ind w:left="6867" w:hanging="711"/>
      </w:pPr>
      <w:rPr>
        <w:rFonts w:hint="default"/>
        <w:lang w:val="en-US" w:eastAsia="en-US" w:bidi="ar-SA"/>
      </w:rPr>
    </w:lvl>
    <w:lvl w:ilvl="8">
      <w:numFmt w:val="bullet"/>
      <w:lvlText w:val="•"/>
      <w:lvlJc w:val="left"/>
      <w:pPr>
        <w:ind w:left="7789" w:hanging="711"/>
      </w:pPr>
      <w:rPr>
        <w:rFonts w:hint="default"/>
        <w:lang w:val="en-US" w:eastAsia="en-US" w:bidi="ar-SA"/>
      </w:rPr>
    </w:lvl>
  </w:abstractNum>
  <w:abstractNum w:abstractNumId="53" w15:restartNumberingAfterBreak="0">
    <w:nsid w:val="5E633963"/>
    <w:multiLevelType w:val="multilevel"/>
    <w:tmpl w:val="A03EE866"/>
    <w:lvl w:ilvl="0">
      <w:start w:val="7"/>
      <w:numFmt w:val="decimal"/>
      <w:lvlText w:val="%1"/>
      <w:lvlJc w:val="left"/>
      <w:pPr>
        <w:ind w:left="852" w:hanging="711"/>
        <w:jc w:val="left"/>
      </w:pPr>
      <w:rPr>
        <w:rFonts w:hint="default"/>
        <w:lang w:val="en-US" w:eastAsia="en-US" w:bidi="ar-SA"/>
      </w:rPr>
    </w:lvl>
    <w:lvl w:ilvl="1">
      <w:start w:val="5"/>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54" w15:restartNumberingAfterBreak="0">
    <w:nsid w:val="64140EA7"/>
    <w:multiLevelType w:val="hybridMultilevel"/>
    <w:tmpl w:val="8AFC64D4"/>
    <w:lvl w:ilvl="0" w:tplc="741A8342">
      <w:numFmt w:val="bullet"/>
      <w:lvlText w:val="•"/>
      <w:lvlJc w:val="left"/>
      <w:pPr>
        <w:ind w:left="549" w:hanging="423"/>
      </w:pPr>
      <w:rPr>
        <w:rFonts w:ascii="Arial" w:eastAsia="Arial" w:hAnsi="Arial" w:cs="Arial" w:hint="default"/>
        <w:b w:val="0"/>
        <w:bCs w:val="0"/>
        <w:i w:val="0"/>
        <w:iCs w:val="0"/>
        <w:spacing w:val="0"/>
        <w:w w:val="100"/>
        <w:sz w:val="24"/>
        <w:szCs w:val="24"/>
        <w:lang w:val="en-US" w:eastAsia="en-US" w:bidi="ar-SA"/>
      </w:rPr>
    </w:lvl>
    <w:lvl w:ilvl="1" w:tplc="18DCFF16">
      <w:numFmt w:val="bullet"/>
      <w:lvlText w:val="•"/>
      <w:lvlJc w:val="left"/>
      <w:pPr>
        <w:ind w:left="1391" w:hanging="423"/>
      </w:pPr>
      <w:rPr>
        <w:rFonts w:hint="default"/>
        <w:lang w:val="en-US" w:eastAsia="en-US" w:bidi="ar-SA"/>
      </w:rPr>
    </w:lvl>
    <w:lvl w:ilvl="2" w:tplc="AF586CE4">
      <w:numFmt w:val="bullet"/>
      <w:lvlText w:val="•"/>
      <w:lvlJc w:val="left"/>
      <w:pPr>
        <w:ind w:left="2242" w:hanging="423"/>
      </w:pPr>
      <w:rPr>
        <w:rFonts w:hint="default"/>
        <w:lang w:val="en-US" w:eastAsia="en-US" w:bidi="ar-SA"/>
      </w:rPr>
    </w:lvl>
    <w:lvl w:ilvl="3" w:tplc="09DA624A">
      <w:numFmt w:val="bullet"/>
      <w:lvlText w:val="•"/>
      <w:lvlJc w:val="left"/>
      <w:pPr>
        <w:ind w:left="3093" w:hanging="423"/>
      </w:pPr>
      <w:rPr>
        <w:rFonts w:hint="default"/>
        <w:lang w:val="en-US" w:eastAsia="en-US" w:bidi="ar-SA"/>
      </w:rPr>
    </w:lvl>
    <w:lvl w:ilvl="4" w:tplc="121070C4">
      <w:numFmt w:val="bullet"/>
      <w:lvlText w:val="•"/>
      <w:lvlJc w:val="left"/>
      <w:pPr>
        <w:ind w:left="3944" w:hanging="423"/>
      </w:pPr>
      <w:rPr>
        <w:rFonts w:hint="default"/>
        <w:lang w:val="en-US" w:eastAsia="en-US" w:bidi="ar-SA"/>
      </w:rPr>
    </w:lvl>
    <w:lvl w:ilvl="5" w:tplc="7862B39A">
      <w:numFmt w:val="bullet"/>
      <w:lvlText w:val="•"/>
      <w:lvlJc w:val="left"/>
      <w:pPr>
        <w:ind w:left="4795" w:hanging="423"/>
      </w:pPr>
      <w:rPr>
        <w:rFonts w:hint="default"/>
        <w:lang w:val="en-US" w:eastAsia="en-US" w:bidi="ar-SA"/>
      </w:rPr>
    </w:lvl>
    <w:lvl w:ilvl="6" w:tplc="C1A8DB42">
      <w:numFmt w:val="bullet"/>
      <w:lvlText w:val="•"/>
      <w:lvlJc w:val="left"/>
      <w:pPr>
        <w:ind w:left="5646" w:hanging="423"/>
      </w:pPr>
      <w:rPr>
        <w:rFonts w:hint="default"/>
        <w:lang w:val="en-US" w:eastAsia="en-US" w:bidi="ar-SA"/>
      </w:rPr>
    </w:lvl>
    <w:lvl w:ilvl="7" w:tplc="17A8ED62">
      <w:numFmt w:val="bullet"/>
      <w:lvlText w:val="•"/>
      <w:lvlJc w:val="left"/>
      <w:pPr>
        <w:ind w:left="6497" w:hanging="423"/>
      </w:pPr>
      <w:rPr>
        <w:rFonts w:hint="default"/>
        <w:lang w:val="en-US" w:eastAsia="en-US" w:bidi="ar-SA"/>
      </w:rPr>
    </w:lvl>
    <w:lvl w:ilvl="8" w:tplc="46A491CE">
      <w:numFmt w:val="bullet"/>
      <w:lvlText w:val="•"/>
      <w:lvlJc w:val="left"/>
      <w:pPr>
        <w:ind w:left="7348" w:hanging="423"/>
      </w:pPr>
      <w:rPr>
        <w:rFonts w:hint="default"/>
        <w:lang w:val="en-US" w:eastAsia="en-US" w:bidi="ar-SA"/>
      </w:rPr>
    </w:lvl>
  </w:abstractNum>
  <w:abstractNum w:abstractNumId="55" w15:restartNumberingAfterBreak="0">
    <w:nsid w:val="64AC7523"/>
    <w:multiLevelType w:val="multilevel"/>
    <w:tmpl w:val="2F7C1E7E"/>
    <w:lvl w:ilvl="0">
      <w:start w:val="8"/>
      <w:numFmt w:val="decimal"/>
      <w:lvlText w:val="%1"/>
      <w:lvlJc w:val="left"/>
      <w:pPr>
        <w:ind w:left="852" w:hanging="711"/>
        <w:jc w:val="left"/>
      </w:pPr>
      <w:rPr>
        <w:rFonts w:hint="default"/>
        <w:lang w:val="en-US" w:eastAsia="en-US" w:bidi="ar-SA"/>
      </w:rPr>
    </w:lvl>
    <w:lvl w:ilvl="1">
      <w:start w:val="4"/>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1558" w:hanging="70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50" w:hanging="706"/>
      </w:pPr>
      <w:rPr>
        <w:rFonts w:hint="default"/>
        <w:lang w:val="en-US" w:eastAsia="en-US" w:bidi="ar-SA"/>
      </w:rPr>
    </w:lvl>
    <w:lvl w:ilvl="5">
      <w:numFmt w:val="bullet"/>
      <w:lvlText w:val="•"/>
      <w:lvlJc w:val="left"/>
      <w:pPr>
        <w:ind w:left="5147" w:hanging="706"/>
      </w:pPr>
      <w:rPr>
        <w:rFonts w:hint="default"/>
        <w:lang w:val="en-US" w:eastAsia="en-US" w:bidi="ar-SA"/>
      </w:rPr>
    </w:lvl>
    <w:lvl w:ilvl="6">
      <w:numFmt w:val="bullet"/>
      <w:lvlText w:val="•"/>
      <w:lvlJc w:val="left"/>
      <w:pPr>
        <w:ind w:left="6044" w:hanging="706"/>
      </w:pPr>
      <w:rPr>
        <w:rFonts w:hint="default"/>
        <w:lang w:val="en-US" w:eastAsia="en-US" w:bidi="ar-SA"/>
      </w:rPr>
    </w:lvl>
    <w:lvl w:ilvl="7">
      <w:numFmt w:val="bullet"/>
      <w:lvlText w:val="•"/>
      <w:lvlJc w:val="left"/>
      <w:pPr>
        <w:ind w:left="6941" w:hanging="706"/>
      </w:pPr>
      <w:rPr>
        <w:rFonts w:hint="default"/>
        <w:lang w:val="en-US" w:eastAsia="en-US" w:bidi="ar-SA"/>
      </w:rPr>
    </w:lvl>
    <w:lvl w:ilvl="8">
      <w:numFmt w:val="bullet"/>
      <w:lvlText w:val="•"/>
      <w:lvlJc w:val="left"/>
      <w:pPr>
        <w:ind w:left="7838" w:hanging="706"/>
      </w:pPr>
      <w:rPr>
        <w:rFonts w:hint="default"/>
        <w:lang w:val="en-US" w:eastAsia="en-US" w:bidi="ar-SA"/>
      </w:rPr>
    </w:lvl>
  </w:abstractNum>
  <w:abstractNum w:abstractNumId="56" w15:restartNumberingAfterBreak="0">
    <w:nsid w:val="6D6932CE"/>
    <w:multiLevelType w:val="hybridMultilevel"/>
    <w:tmpl w:val="76B6BADC"/>
    <w:lvl w:ilvl="0" w:tplc="18F0F2C2">
      <w:numFmt w:val="bullet"/>
      <w:lvlText w:val="•"/>
      <w:lvlJc w:val="left"/>
      <w:pPr>
        <w:ind w:left="530"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7FD6C1D4">
      <w:numFmt w:val="bullet"/>
      <w:lvlText w:val="•"/>
      <w:lvlJc w:val="left"/>
      <w:pPr>
        <w:ind w:left="1391" w:hanging="428"/>
      </w:pPr>
      <w:rPr>
        <w:rFonts w:hint="default"/>
        <w:lang w:val="en-US" w:eastAsia="en-US" w:bidi="ar-SA"/>
      </w:rPr>
    </w:lvl>
    <w:lvl w:ilvl="2" w:tplc="7AFA3154">
      <w:numFmt w:val="bullet"/>
      <w:lvlText w:val="•"/>
      <w:lvlJc w:val="left"/>
      <w:pPr>
        <w:ind w:left="2242" w:hanging="428"/>
      </w:pPr>
      <w:rPr>
        <w:rFonts w:hint="default"/>
        <w:lang w:val="en-US" w:eastAsia="en-US" w:bidi="ar-SA"/>
      </w:rPr>
    </w:lvl>
    <w:lvl w:ilvl="3" w:tplc="DB863A52">
      <w:numFmt w:val="bullet"/>
      <w:lvlText w:val="•"/>
      <w:lvlJc w:val="left"/>
      <w:pPr>
        <w:ind w:left="3093" w:hanging="428"/>
      </w:pPr>
      <w:rPr>
        <w:rFonts w:hint="default"/>
        <w:lang w:val="en-US" w:eastAsia="en-US" w:bidi="ar-SA"/>
      </w:rPr>
    </w:lvl>
    <w:lvl w:ilvl="4" w:tplc="D0C477BC">
      <w:numFmt w:val="bullet"/>
      <w:lvlText w:val="•"/>
      <w:lvlJc w:val="left"/>
      <w:pPr>
        <w:ind w:left="3944" w:hanging="428"/>
      </w:pPr>
      <w:rPr>
        <w:rFonts w:hint="default"/>
        <w:lang w:val="en-US" w:eastAsia="en-US" w:bidi="ar-SA"/>
      </w:rPr>
    </w:lvl>
    <w:lvl w:ilvl="5" w:tplc="0C80D4B2">
      <w:numFmt w:val="bullet"/>
      <w:lvlText w:val="•"/>
      <w:lvlJc w:val="left"/>
      <w:pPr>
        <w:ind w:left="4795" w:hanging="428"/>
      </w:pPr>
      <w:rPr>
        <w:rFonts w:hint="default"/>
        <w:lang w:val="en-US" w:eastAsia="en-US" w:bidi="ar-SA"/>
      </w:rPr>
    </w:lvl>
    <w:lvl w:ilvl="6" w:tplc="35E4C44A">
      <w:numFmt w:val="bullet"/>
      <w:lvlText w:val="•"/>
      <w:lvlJc w:val="left"/>
      <w:pPr>
        <w:ind w:left="5646" w:hanging="428"/>
      </w:pPr>
      <w:rPr>
        <w:rFonts w:hint="default"/>
        <w:lang w:val="en-US" w:eastAsia="en-US" w:bidi="ar-SA"/>
      </w:rPr>
    </w:lvl>
    <w:lvl w:ilvl="7" w:tplc="CA92F81A">
      <w:numFmt w:val="bullet"/>
      <w:lvlText w:val="•"/>
      <w:lvlJc w:val="left"/>
      <w:pPr>
        <w:ind w:left="6497" w:hanging="428"/>
      </w:pPr>
      <w:rPr>
        <w:rFonts w:hint="default"/>
        <w:lang w:val="en-US" w:eastAsia="en-US" w:bidi="ar-SA"/>
      </w:rPr>
    </w:lvl>
    <w:lvl w:ilvl="8" w:tplc="9BA23EC0">
      <w:numFmt w:val="bullet"/>
      <w:lvlText w:val="•"/>
      <w:lvlJc w:val="left"/>
      <w:pPr>
        <w:ind w:left="7348" w:hanging="428"/>
      </w:pPr>
      <w:rPr>
        <w:rFonts w:hint="default"/>
        <w:lang w:val="en-US" w:eastAsia="en-US" w:bidi="ar-SA"/>
      </w:rPr>
    </w:lvl>
  </w:abstractNum>
  <w:abstractNum w:abstractNumId="57" w15:restartNumberingAfterBreak="0">
    <w:nsid w:val="6EC13408"/>
    <w:multiLevelType w:val="multilevel"/>
    <w:tmpl w:val="84ECD7A4"/>
    <w:lvl w:ilvl="0">
      <w:start w:val="9"/>
      <w:numFmt w:val="decimal"/>
      <w:lvlText w:val="%1"/>
      <w:lvlJc w:val="left"/>
      <w:pPr>
        <w:ind w:left="852" w:hanging="711"/>
        <w:jc w:val="left"/>
      </w:pPr>
      <w:rPr>
        <w:rFonts w:hint="default"/>
        <w:lang w:val="en-US" w:eastAsia="en-US" w:bidi="ar-SA"/>
      </w:rPr>
    </w:lvl>
    <w:lvl w:ilvl="1">
      <w:start w:val="2"/>
      <w:numFmt w:val="decimal"/>
      <w:lvlText w:val="%1.%2"/>
      <w:lvlJc w:val="left"/>
      <w:pPr>
        <w:ind w:left="852" w:hanging="711"/>
        <w:jc w:val="left"/>
      </w:pPr>
      <w:rPr>
        <w:rFonts w:hint="default"/>
        <w:lang w:val="en-US" w:eastAsia="en-US" w:bidi="ar-SA"/>
      </w:rPr>
    </w:lvl>
    <w:lvl w:ilvl="2">
      <w:start w:val="1"/>
      <w:numFmt w:val="decimal"/>
      <w:lvlText w:val="%1.%2.%3"/>
      <w:lvlJc w:val="left"/>
      <w:pPr>
        <w:ind w:left="852"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1" w:hanging="711"/>
      </w:pPr>
      <w:rPr>
        <w:rFonts w:hint="default"/>
        <w:lang w:val="en-US" w:eastAsia="en-US" w:bidi="ar-SA"/>
      </w:rPr>
    </w:lvl>
    <w:lvl w:ilvl="4">
      <w:numFmt w:val="bullet"/>
      <w:lvlText w:val="•"/>
      <w:lvlJc w:val="left"/>
      <w:pPr>
        <w:ind w:left="4368" w:hanging="711"/>
      </w:pPr>
      <w:rPr>
        <w:rFonts w:hint="default"/>
        <w:lang w:val="en-US" w:eastAsia="en-US" w:bidi="ar-SA"/>
      </w:rPr>
    </w:lvl>
    <w:lvl w:ilvl="5">
      <w:numFmt w:val="bullet"/>
      <w:lvlText w:val="•"/>
      <w:lvlJc w:val="left"/>
      <w:pPr>
        <w:ind w:left="5246" w:hanging="711"/>
      </w:pPr>
      <w:rPr>
        <w:rFonts w:hint="default"/>
        <w:lang w:val="en-US" w:eastAsia="en-US" w:bidi="ar-SA"/>
      </w:rPr>
    </w:lvl>
    <w:lvl w:ilvl="6">
      <w:numFmt w:val="bullet"/>
      <w:lvlText w:val="•"/>
      <w:lvlJc w:val="left"/>
      <w:pPr>
        <w:ind w:left="6123" w:hanging="711"/>
      </w:pPr>
      <w:rPr>
        <w:rFonts w:hint="default"/>
        <w:lang w:val="en-US" w:eastAsia="en-US" w:bidi="ar-SA"/>
      </w:rPr>
    </w:lvl>
    <w:lvl w:ilvl="7">
      <w:numFmt w:val="bullet"/>
      <w:lvlText w:val="•"/>
      <w:lvlJc w:val="left"/>
      <w:pPr>
        <w:ind w:left="7000" w:hanging="711"/>
      </w:pPr>
      <w:rPr>
        <w:rFonts w:hint="default"/>
        <w:lang w:val="en-US" w:eastAsia="en-US" w:bidi="ar-SA"/>
      </w:rPr>
    </w:lvl>
    <w:lvl w:ilvl="8">
      <w:numFmt w:val="bullet"/>
      <w:lvlText w:val="•"/>
      <w:lvlJc w:val="left"/>
      <w:pPr>
        <w:ind w:left="7877" w:hanging="711"/>
      </w:pPr>
      <w:rPr>
        <w:rFonts w:hint="default"/>
        <w:lang w:val="en-US" w:eastAsia="en-US" w:bidi="ar-SA"/>
      </w:rPr>
    </w:lvl>
  </w:abstractNum>
  <w:abstractNum w:abstractNumId="58" w15:restartNumberingAfterBreak="0">
    <w:nsid w:val="72B32042"/>
    <w:multiLevelType w:val="hybridMultilevel"/>
    <w:tmpl w:val="7C8ED79A"/>
    <w:lvl w:ilvl="0" w:tplc="BD143710">
      <w:start w:val="1"/>
      <w:numFmt w:val="lowerRoman"/>
      <w:lvlText w:val="(%1)"/>
      <w:lvlJc w:val="left"/>
      <w:pPr>
        <w:ind w:left="2128"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B800F2E">
      <w:numFmt w:val="bullet"/>
      <w:lvlText w:val="•"/>
      <w:lvlJc w:val="left"/>
      <w:pPr>
        <w:ind w:left="2843" w:hanging="567"/>
      </w:pPr>
      <w:rPr>
        <w:rFonts w:hint="default"/>
        <w:lang w:val="en-US" w:eastAsia="en-US" w:bidi="ar-SA"/>
      </w:rPr>
    </w:lvl>
    <w:lvl w:ilvl="2" w:tplc="C276CA5E">
      <w:numFmt w:val="bullet"/>
      <w:lvlText w:val="•"/>
      <w:lvlJc w:val="left"/>
      <w:pPr>
        <w:ind w:left="3567" w:hanging="567"/>
      </w:pPr>
      <w:rPr>
        <w:rFonts w:hint="default"/>
        <w:lang w:val="en-US" w:eastAsia="en-US" w:bidi="ar-SA"/>
      </w:rPr>
    </w:lvl>
    <w:lvl w:ilvl="3" w:tplc="1E98F2E4">
      <w:numFmt w:val="bullet"/>
      <w:lvlText w:val="•"/>
      <w:lvlJc w:val="left"/>
      <w:pPr>
        <w:ind w:left="4290" w:hanging="567"/>
      </w:pPr>
      <w:rPr>
        <w:rFonts w:hint="default"/>
        <w:lang w:val="en-US" w:eastAsia="en-US" w:bidi="ar-SA"/>
      </w:rPr>
    </w:lvl>
    <w:lvl w:ilvl="4" w:tplc="93CC8A7E">
      <w:numFmt w:val="bullet"/>
      <w:lvlText w:val="•"/>
      <w:lvlJc w:val="left"/>
      <w:pPr>
        <w:ind w:left="5014" w:hanging="567"/>
      </w:pPr>
      <w:rPr>
        <w:rFonts w:hint="default"/>
        <w:lang w:val="en-US" w:eastAsia="en-US" w:bidi="ar-SA"/>
      </w:rPr>
    </w:lvl>
    <w:lvl w:ilvl="5" w:tplc="A93618AC">
      <w:numFmt w:val="bullet"/>
      <w:lvlText w:val="•"/>
      <w:lvlJc w:val="left"/>
      <w:pPr>
        <w:ind w:left="5738" w:hanging="567"/>
      </w:pPr>
      <w:rPr>
        <w:rFonts w:hint="default"/>
        <w:lang w:val="en-US" w:eastAsia="en-US" w:bidi="ar-SA"/>
      </w:rPr>
    </w:lvl>
    <w:lvl w:ilvl="6" w:tplc="DDA20EE0">
      <w:numFmt w:val="bullet"/>
      <w:lvlText w:val="•"/>
      <w:lvlJc w:val="left"/>
      <w:pPr>
        <w:ind w:left="6461" w:hanging="567"/>
      </w:pPr>
      <w:rPr>
        <w:rFonts w:hint="default"/>
        <w:lang w:val="en-US" w:eastAsia="en-US" w:bidi="ar-SA"/>
      </w:rPr>
    </w:lvl>
    <w:lvl w:ilvl="7" w:tplc="14901C80">
      <w:numFmt w:val="bullet"/>
      <w:lvlText w:val="•"/>
      <w:lvlJc w:val="left"/>
      <w:pPr>
        <w:ind w:left="7185" w:hanging="567"/>
      </w:pPr>
      <w:rPr>
        <w:rFonts w:hint="default"/>
        <w:lang w:val="en-US" w:eastAsia="en-US" w:bidi="ar-SA"/>
      </w:rPr>
    </w:lvl>
    <w:lvl w:ilvl="8" w:tplc="E160B220">
      <w:numFmt w:val="bullet"/>
      <w:lvlText w:val="•"/>
      <w:lvlJc w:val="left"/>
      <w:pPr>
        <w:ind w:left="7909" w:hanging="567"/>
      </w:pPr>
      <w:rPr>
        <w:rFonts w:hint="default"/>
        <w:lang w:val="en-US" w:eastAsia="en-US" w:bidi="ar-SA"/>
      </w:rPr>
    </w:lvl>
  </w:abstractNum>
  <w:abstractNum w:abstractNumId="59" w15:restartNumberingAfterBreak="0">
    <w:nsid w:val="75285A1D"/>
    <w:multiLevelType w:val="hybridMultilevel"/>
    <w:tmpl w:val="A81A919C"/>
    <w:lvl w:ilvl="0" w:tplc="B0E83418">
      <w:start w:val="1"/>
      <w:numFmt w:val="lowerRoman"/>
      <w:lvlText w:val="(%1)"/>
      <w:lvlJc w:val="left"/>
      <w:pPr>
        <w:ind w:left="2128"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7FE174C">
      <w:numFmt w:val="bullet"/>
      <w:lvlText w:val="•"/>
      <w:lvlJc w:val="left"/>
      <w:pPr>
        <w:ind w:left="2843" w:hanging="567"/>
      </w:pPr>
      <w:rPr>
        <w:rFonts w:hint="default"/>
        <w:lang w:val="en-US" w:eastAsia="en-US" w:bidi="ar-SA"/>
      </w:rPr>
    </w:lvl>
    <w:lvl w:ilvl="2" w:tplc="26CCC430">
      <w:numFmt w:val="bullet"/>
      <w:lvlText w:val="•"/>
      <w:lvlJc w:val="left"/>
      <w:pPr>
        <w:ind w:left="3567" w:hanging="567"/>
      </w:pPr>
      <w:rPr>
        <w:rFonts w:hint="default"/>
        <w:lang w:val="en-US" w:eastAsia="en-US" w:bidi="ar-SA"/>
      </w:rPr>
    </w:lvl>
    <w:lvl w:ilvl="3" w:tplc="0C8230EE">
      <w:numFmt w:val="bullet"/>
      <w:lvlText w:val="•"/>
      <w:lvlJc w:val="left"/>
      <w:pPr>
        <w:ind w:left="4290" w:hanging="567"/>
      </w:pPr>
      <w:rPr>
        <w:rFonts w:hint="default"/>
        <w:lang w:val="en-US" w:eastAsia="en-US" w:bidi="ar-SA"/>
      </w:rPr>
    </w:lvl>
    <w:lvl w:ilvl="4" w:tplc="971CA63E">
      <w:numFmt w:val="bullet"/>
      <w:lvlText w:val="•"/>
      <w:lvlJc w:val="left"/>
      <w:pPr>
        <w:ind w:left="5014" w:hanging="567"/>
      </w:pPr>
      <w:rPr>
        <w:rFonts w:hint="default"/>
        <w:lang w:val="en-US" w:eastAsia="en-US" w:bidi="ar-SA"/>
      </w:rPr>
    </w:lvl>
    <w:lvl w:ilvl="5" w:tplc="39EEC898">
      <w:numFmt w:val="bullet"/>
      <w:lvlText w:val="•"/>
      <w:lvlJc w:val="left"/>
      <w:pPr>
        <w:ind w:left="5738" w:hanging="567"/>
      </w:pPr>
      <w:rPr>
        <w:rFonts w:hint="default"/>
        <w:lang w:val="en-US" w:eastAsia="en-US" w:bidi="ar-SA"/>
      </w:rPr>
    </w:lvl>
    <w:lvl w:ilvl="6" w:tplc="123244F4">
      <w:numFmt w:val="bullet"/>
      <w:lvlText w:val="•"/>
      <w:lvlJc w:val="left"/>
      <w:pPr>
        <w:ind w:left="6461" w:hanging="567"/>
      </w:pPr>
      <w:rPr>
        <w:rFonts w:hint="default"/>
        <w:lang w:val="en-US" w:eastAsia="en-US" w:bidi="ar-SA"/>
      </w:rPr>
    </w:lvl>
    <w:lvl w:ilvl="7" w:tplc="D9FE5FE4">
      <w:numFmt w:val="bullet"/>
      <w:lvlText w:val="•"/>
      <w:lvlJc w:val="left"/>
      <w:pPr>
        <w:ind w:left="7185" w:hanging="567"/>
      </w:pPr>
      <w:rPr>
        <w:rFonts w:hint="default"/>
        <w:lang w:val="en-US" w:eastAsia="en-US" w:bidi="ar-SA"/>
      </w:rPr>
    </w:lvl>
    <w:lvl w:ilvl="8" w:tplc="1C70769A">
      <w:numFmt w:val="bullet"/>
      <w:lvlText w:val="•"/>
      <w:lvlJc w:val="left"/>
      <w:pPr>
        <w:ind w:left="7909" w:hanging="567"/>
      </w:pPr>
      <w:rPr>
        <w:rFonts w:hint="default"/>
        <w:lang w:val="en-US" w:eastAsia="en-US" w:bidi="ar-SA"/>
      </w:rPr>
    </w:lvl>
  </w:abstractNum>
  <w:abstractNum w:abstractNumId="60" w15:restartNumberingAfterBreak="0">
    <w:nsid w:val="784A0F30"/>
    <w:multiLevelType w:val="hybridMultilevel"/>
    <w:tmpl w:val="C36C77F4"/>
    <w:lvl w:ilvl="0" w:tplc="412A5732">
      <w:start w:val="1"/>
      <w:numFmt w:val="decimal"/>
      <w:lvlText w:val="%1."/>
      <w:lvlJc w:val="left"/>
      <w:pPr>
        <w:ind w:left="851" w:hanging="7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21E4C1A">
      <w:start w:val="1"/>
      <w:numFmt w:val="lowerLetter"/>
      <w:lvlText w:val="(%2)"/>
      <w:lvlJc w:val="left"/>
      <w:pPr>
        <w:ind w:left="1562" w:hanging="71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8C498E4">
      <w:start w:val="1"/>
      <w:numFmt w:val="lowerRoman"/>
      <w:lvlText w:val="(%3)"/>
      <w:lvlJc w:val="left"/>
      <w:pPr>
        <w:ind w:left="2128" w:hanging="567"/>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D5944C48">
      <w:numFmt w:val="bullet"/>
      <w:lvlText w:val="•"/>
      <w:lvlJc w:val="left"/>
      <w:pPr>
        <w:ind w:left="3024" w:hanging="567"/>
      </w:pPr>
      <w:rPr>
        <w:rFonts w:hint="default"/>
        <w:lang w:val="en-US" w:eastAsia="en-US" w:bidi="ar-SA"/>
      </w:rPr>
    </w:lvl>
    <w:lvl w:ilvl="4" w:tplc="CF44064A">
      <w:numFmt w:val="bullet"/>
      <w:lvlText w:val="•"/>
      <w:lvlJc w:val="left"/>
      <w:pPr>
        <w:ind w:left="3929" w:hanging="567"/>
      </w:pPr>
      <w:rPr>
        <w:rFonts w:hint="default"/>
        <w:lang w:val="en-US" w:eastAsia="en-US" w:bidi="ar-SA"/>
      </w:rPr>
    </w:lvl>
    <w:lvl w:ilvl="5" w:tplc="ACC4804E">
      <w:numFmt w:val="bullet"/>
      <w:lvlText w:val="•"/>
      <w:lvlJc w:val="left"/>
      <w:pPr>
        <w:ind w:left="4833" w:hanging="567"/>
      </w:pPr>
      <w:rPr>
        <w:rFonts w:hint="default"/>
        <w:lang w:val="en-US" w:eastAsia="en-US" w:bidi="ar-SA"/>
      </w:rPr>
    </w:lvl>
    <w:lvl w:ilvl="6" w:tplc="CBFAD3A4">
      <w:numFmt w:val="bullet"/>
      <w:lvlText w:val="•"/>
      <w:lvlJc w:val="left"/>
      <w:pPr>
        <w:ind w:left="5738" w:hanging="567"/>
      </w:pPr>
      <w:rPr>
        <w:rFonts w:hint="default"/>
        <w:lang w:val="en-US" w:eastAsia="en-US" w:bidi="ar-SA"/>
      </w:rPr>
    </w:lvl>
    <w:lvl w:ilvl="7" w:tplc="C86679AE">
      <w:numFmt w:val="bullet"/>
      <w:lvlText w:val="•"/>
      <w:lvlJc w:val="left"/>
      <w:pPr>
        <w:ind w:left="6642" w:hanging="567"/>
      </w:pPr>
      <w:rPr>
        <w:rFonts w:hint="default"/>
        <w:lang w:val="en-US" w:eastAsia="en-US" w:bidi="ar-SA"/>
      </w:rPr>
    </w:lvl>
    <w:lvl w:ilvl="8" w:tplc="70A29016">
      <w:numFmt w:val="bullet"/>
      <w:lvlText w:val="•"/>
      <w:lvlJc w:val="left"/>
      <w:pPr>
        <w:ind w:left="7547" w:hanging="567"/>
      </w:pPr>
      <w:rPr>
        <w:rFonts w:hint="default"/>
        <w:lang w:val="en-US" w:eastAsia="en-US" w:bidi="ar-SA"/>
      </w:rPr>
    </w:lvl>
  </w:abstractNum>
  <w:abstractNum w:abstractNumId="61" w15:restartNumberingAfterBreak="0">
    <w:nsid w:val="7A9D2F74"/>
    <w:multiLevelType w:val="hybridMultilevel"/>
    <w:tmpl w:val="7FECF336"/>
    <w:lvl w:ilvl="0" w:tplc="0C3CBAA8">
      <w:numFmt w:val="bullet"/>
      <w:lvlText w:val="•"/>
      <w:lvlJc w:val="left"/>
      <w:pPr>
        <w:ind w:left="535"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71C896C6">
      <w:numFmt w:val="bullet"/>
      <w:lvlText w:val="•"/>
      <w:lvlJc w:val="left"/>
      <w:pPr>
        <w:ind w:left="1410" w:hanging="428"/>
      </w:pPr>
      <w:rPr>
        <w:rFonts w:hint="default"/>
        <w:lang w:val="en-US" w:eastAsia="en-US" w:bidi="ar-SA"/>
      </w:rPr>
    </w:lvl>
    <w:lvl w:ilvl="2" w:tplc="9496C7D6">
      <w:numFmt w:val="bullet"/>
      <w:lvlText w:val="•"/>
      <w:lvlJc w:val="left"/>
      <w:pPr>
        <w:ind w:left="2280" w:hanging="428"/>
      </w:pPr>
      <w:rPr>
        <w:rFonts w:hint="default"/>
        <w:lang w:val="en-US" w:eastAsia="en-US" w:bidi="ar-SA"/>
      </w:rPr>
    </w:lvl>
    <w:lvl w:ilvl="3" w:tplc="E6D2AEF8">
      <w:numFmt w:val="bullet"/>
      <w:lvlText w:val="•"/>
      <w:lvlJc w:val="left"/>
      <w:pPr>
        <w:ind w:left="3150" w:hanging="428"/>
      </w:pPr>
      <w:rPr>
        <w:rFonts w:hint="default"/>
        <w:lang w:val="en-US" w:eastAsia="en-US" w:bidi="ar-SA"/>
      </w:rPr>
    </w:lvl>
    <w:lvl w:ilvl="4" w:tplc="F13AC9F0">
      <w:numFmt w:val="bullet"/>
      <w:lvlText w:val="•"/>
      <w:lvlJc w:val="left"/>
      <w:pPr>
        <w:ind w:left="4020" w:hanging="428"/>
      </w:pPr>
      <w:rPr>
        <w:rFonts w:hint="default"/>
        <w:lang w:val="en-US" w:eastAsia="en-US" w:bidi="ar-SA"/>
      </w:rPr>
    </w:lvl>
    <w:lvl w:ilvl="5" w:tplc="764256A6">
      <w:numFmt w:val="bullet"/>
      <w:lvlText w:val="•"/>
      <w:lvlJc w:val="left"/>
      <w:pPr>
        <w:ind w:left="4891" w:hanging="428"/>
      </w:pPr>
      <w:rPr>
        <w:rFonts w:hint="default"/>
        <w:lang w:val="en-US" w:eastAsia="en-US" w:bidi="ar-SA"/>
      </w:rPr>
    </w:lvl>
    <w:lvl w:ilvl="6" w:tplc="BA2468B4">
      <w:numFmt w:val="bullet"/>
      <w:lvlText w:val="•"/>
      <w:lvlJc w:val="left"/>
      <w:pPr>
        <w:ind w:left="5761" w:hanging="428"/>
      </w:pPr>
      <w:rPr>
        <w:rFonts w:hint="default"/>
        <w:lang w:val="en-US" w:eastAsia="en-US" w:bidi="ar-SA"/>
      </w:rPr>
    </w:lvl>
    <w:lvl w:ilvl="7" w:tplc="4CDC006C">
      <w:numFmt w:val="bullet"/>
      <w:lvlText w:val="•"/>
      <w:lvlJc w:val="left"/>
      <w:pPr>
        <w:ind w:left="6631" w:hanging="428"/>
      </w:pPr>
      <w:rPr>
        <w:rFonts w:hint="default"/>
        <w:lang w:val="en-US" w:eastAsia="en-US" w:bidi="ar-SA"/>
      </w:rPr>
    </w:lvl>
    <w:lvl w:ilvl="8" w:tplc="AD5059E6">
      <w:numFmt w:val="bullet"/>
      <w:lvlText w:val="•"/>
      <w:lvlJc w:val="left"/>
      <w:pPr>
        <w:ind w:left="7501" w:hanging="428"/>
      </w:pPr>
      <w:rPr>
        <w:rFonts w:hint="default"/>
        <w:lang w:val="en-US" w:eastAsia="en-US" w:bidi="ar-SA"/>
      </w:rPr>
    </w:lvl>
  </w:abstractNum>
  <w:abstractNum w:abstractNumId="62" w15:restartNumberingAfterBreak="0">
    <w:nsid w:val="7AB13C66"/>
    <w:multiLevelType w:val="multilevel"/>
    <w:tmpl w:val="B996318E"/>
    <w:lvl w:ilvl="0">
      <w:start w:val="7"/>
      <w:numFmt w:val="decimal"/>
      <w:lvlText w:val="%1"/>
      <w:lvlJc w:val="left"/>
      <w:pPr>
        <w:ind w:left="1558" w:hanging="711"/>
        <w:jc w:val="left"/>
      </w:pPr>
      <w:rPr>
        <w:rFonts w:hint="default"/>
        <w:lang w:val="en-US" w:eastAsia="en-US" w:bidi="ar-SA"/>
      </w:rPr>
    </w:lvl>
    <w:lvl w:ilvl="1">
      <w:start w:val="7"/>
      <w:numFmt w:val="decimal"/>
      <w:lvlText w:val="%1.%2"/>
      <w:lvlJc w:val="left"/>
      <w:pPr>
        <w:ind w:left="1558" w:hanging="711"/>
        <w:jc w:val="left"/>
      </w:pPr>
      <w:rPr>
        <w:rFonts w:hint="default"/>
        <w:lang w:val="en-US" w:eastAsia="en-US" w:bidi="ar-SA"/>
      </w:rPr>
    </w:lvl>
    <w:lvl w:ilvl="2">
      <w:start w:val="1"/>
      <w:numFmt w:val="decimal"/>
      <w:lvlText w:val="%1.%2.%3"/>
      <w:lvlJc w:val="left"/>
      <w:pPr>
        <w:ind w:left="1558"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Roman"/>
      <w:lvlText w:val="(%4)"/>
      <w:lvlJc w:val="left"/>
      <w:pPr>
        <w:ind w:left="2268" w:hanging="71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717" w:hanging="711"/>
      </w:pPr>
      <w:rPr>
        <w:rFonts w:hint="default"/>
        <w:lang w:val="en-US" w:eastAsia="en-US" w:bidi="ar-SA"/>
      </w:rPr>
    </w:lvl>
    <w:lvl w:ilvl="5">
      <w:numFmt w:val="bullet"/>
      <w:lvlText w:val="•"/>
      <w:lvlJc w:val="left"/>
      <w:pPr>
        <w:ind w:left="5536" w:hanging="711"/>
      </w:pPr>
      <w:rPr>
        <w:rFonts w:hint="default"/>
        <w:lang w:val="en-US" w:eastAsia="en-US" w:bidi="ar-SA"/>
      </w:rPr>
    </w:lvl>
    <w:lvl w:ilvl="6">
      <w:numFmt w:val="bullet"/>
      <w:lvlText w:val="•"/>
      <w:lvlJc w:val="left"/>
      <w:pPr>
        <w:ind w:left="6355" w:hanging="711"/>
      </w:pPr>
      <w:rPr>
        <w:rFonts w:hint="default"/>
        <w:lang w:val="en-US" w:eastAsia="en-US" w:bidi="ar-SA"/>
      </w:rPr>
    </w:lvl>
    <w:lvl w:ilvl="7">
      <w:numFmt w:val="bullet"/>
      <w:lvlText w:val="•"/>
      <w:lvlJc w:val="left"/>
      <w:pPr>
        <w:ind w:left="7174" w:hanging="711"/>
      </w:pPr>
      <w:rPr>
        <w:rFonts w:hint="default"/>
        <w:lang w:val="en-US" w:eastAsia="en-US" w:bidi="ar-SA"/>
      </w:rPr>
    </w:lvl>
    <w:lvl w:ilvl="8">
      <w:numFmt w:val="bullet"/>
      <w:lvlText w:val="•"/>
      <w:lvlJc w:val="left"/>
      <w:pPr>
        <w:ind w:left="7993" w:hanging="711"/>
      </w:pPr>
      <w:rPr>
        <w:rFonts w:hint="default"/>
        <w:lang w:val="en-US" w:eastAsia="en-US" w:bidi="ar-SA"/>
      </w:rPr>
    </w:lvl>
  </w:abstractNum>
  <w:num w:numId="1" w16cid:durableId="1632051876">
    <w:abstractNumId w:val="29"/>
  </w:num>
  <w:num w:numId="2" w16cid:durableId="802769812">
    <w:abstractNumId w:val="28"/>
  </w:num>
  <w:num w:numId="3" w16cid:durableId="1042756023">
    <w:abstractNumId w:val="61"/>
  </w:num>
  <w:num w:numId="4" w16cid:durableId="1512835741">
    <w:abstractNumId w:val="9"/>
  </w:num>
  <w:num w:numId="5" w16cid:durableId="1530148386">
    <w:abstractNumId w:val="11"/>
  </w:num>
  <w:num w:numId="6" w16cid:durableId="1498770718">
    <w:abstractNumId w:val="39"/>
  </w:num>
  <w:num w:numId="7" w16cid:durableId="1475831310">
    <w:abstractNumId w:val="38"/>
  </w:num>
  <w:num w:numId="8" w16cid:durableId="145587063">
    <w:abstractNumId w:val="42"/>
  </w:num>
  <w:num w:numId="9" w16cid:durableId="882061671">
    <w:abstractNumId w:val="51"/>
  </w:num>
  <w:num w:numId="10" w16cid:durableId="2005352056">
    <w:abstractNumId w:val="60"/>
  </w:num>
  <w:num w:numId="11" w16cid:durableId="1786733325">
    <w:abstractNumId w:val="59"/>
  </w:num>
  <w:num w:numId="12" w16cid:durableId="2146777132">
    <w:abstractNumId w:val="21"/>
  </w:num>
  <w:num w:numId="13" w16cid:durableId="1717967238">
    <w:abstractNumId w:val="41"/>
  </w:num>
  <w:num w:numId="14" w16cid:durableId="1349676383">
    <w:abstractNumId w:val="27"/>
  </w:num>
  <w:num w:numId="15" w16cid:durableId="899023610">
    <w:abstractNumId w:val="3"/>
  </w:num>
  <w:num w:numId="16" w16cid:durableId="202405582">
    <w:abstractNumId w:val="26"/>
  </w:num>
  <w:num w:numId="17" w16cid:durableId="750195370">
    <w:abstractNumId w:val="33"/>
  </w:num>
  <w:num w:numId="18" w16cid:durableId="1115751165">
    <w:abstractNumId w:val="48"/>
  </w:num>
  <w:num w:numId="19" w16cid:durableId="192233779">
    <w:abstractNumId w:val="32"/>
  </w:num>
  <w:num w:numId="20" w16cid:durableId="1126040978">
    <w:abstractNumId w:val="58"/>
  </w:num>
  <w:num w:numId="21" w16cid:durableId="1600210540">
    <w:abstractNumId w:val="13"/>
  </w:num>
  <w:num w:numId="22" w16cid:durableId="1621641668">
    <w:abstractNumId w:val="25"/>
  </w:num>
  <w:num w:numId="23" w16cid:durableId="77217447">
    <w:abstractNumId w:val="7"/>
  </w:num>
  <w:num w:numId="24" w16cid:durableId="841317560">
    <w:abstractNumId w:val="50"/>
  </w:num>
  <w:num w:numId="25" w16cid:durableId="2117603053">
    <w:abstractNumId w:val="34"/>
  </w:num>
  <w:num w:numId="26" w16cid:durableId="2097556976">
    <w:abstractNumId w:val="0"/>
  </w:num>
  <w:num w:numId="27" w16cid:durableId="2082368929">
    <w:abstractNumId w:val="36"/>
  </w:num>
  <w:num w:numId="28" w16cid:durableId="1942641734">
    <w:abstractNumId w:val="17"/>
  </w:num>
  <w:num w:numId="29" w16cid:durableId="1631546768">
    <w:abstractNumId w:val="14"/>
  </w:num>
  <w:num w:numId="30" w16cid:durableId="1848398309">
    <w:abstractNumId w:val="6"/>
  </w:num>
  <w:num w:numId="31" w16cid:durableId="1841118615">
    <w:abstractNumId w:val="31"/>
  </w:num>
  <w:num w:numId="32" w16cid:durableId="540243508">
    <w:abstractNumId w:val="1"/>
  </w:num>
  <w:num w:numId="33" w16cid:durableId="1533571676">
    <w:abstractNumId w:val="15"/>
  </w:num>
  <w:num w:numId="34" w16cid:durableId="1209953513">
    <w:abstractNumId w:val="57"/>
  </w:num>
  <w:num w:numId="35" w16cid:durableId="2023698620">
    <w:abstractNumId w:val="55"/>
  </w:num>
  <w:num w:numId="36" w16cid:durableId="1588534347">
    <w:abstractNumId w:val="2"/>
  </w:num>
  <w:num w:numId="37" w16cid:durableId="1911848678">
    <w:abstractNumId w:val="37"/>
  </w:num>
  <w:num w:numId="38" w16cid:durableId="1122649282">
    <w:abstractNumId w:val="30"/>
  </w:num>
  <w:num w:numId="39" w16cid:durableId="909272736">
    <w:abstractNumId w:val="46"/>
  </w:num>
  <w:num w:numId="40" w16cid:durableId="565528013">
    <w:abstractNumId w:val="45"/>
  </w:num>
  <w:num w:numId="41" w16cid:durableId="1501509890">
    <w:abstractNumId w:val="20"/>
  </w:num>
  <w:num w:numId="42" w16cid:durableId="694886835">
    <w:abstractNumId w:val="5"/>
  </w:num>
  <w:num w:numId="43" w16cid:durableId="1755777308">
    <w:abstractNumId w:val="23"/>
  </w:num>
  <w:num w:numId="44" w16cid:durableId="875001239">
    <w:abstractNumId w:val="35"/>
  </w:num>
  <w:num w:numId="45" w16cid:durableId="1451123022">
    <w:abstractNumId w:val="62"/>
  </w:num>
  <w:num w:numId="46" w16cid:durableId="70740242">
    <w:abstractNumId w:val="44"/>
  </w:num>
  <w:num w:numId="47" w16cid:durableId="1152713796">
    <w:abstractNumId w:val="53"/>
  </w:num>
  <w:num w:numId="48" w16cid:durableId="1971128852">
    <w:abstractNumId w:val="8"/>
  </w:num>
  <w:num w:numId="49" w16cid:durableId="1458445793">
    <w:abstractNumId w:val="47"/>
  </w:num>
  <w:num w:numId="50" w16cid:durableId="1439329441">
    <w:abstractNumId w:val="18"/>
  </w:num>
  <w:num w:numId="51" w16cid:durableId="825056011">
    <w:abstractNumId w:val="16"/>
  </w:num>
  <w:num w:numId="52" w16cid:durableId="282613253">
    <w:abstractNumId w:val="19"/>
  </w:num>
  <w:num w:numId="53" w16cid:durableId="2110923884">
    <w:abstractNumId w:val="4"/>
  </w:num>
  <w:num w:numId="54" w16cid:durableId="231964612">
    <w:abstractNumId w:val="52"/>
  </w:num>
  <w:num w:numId="55" w16cid:durableId="1757509491">
    <w:abstractNumId w:val="12"/>
  </w:num>
  <w:num w:numId="56" w16cid:durableId="1458375216">
    <w:abstractNumId w:val="49"/>
  </w:num>
  <w:num w:numId="57" w16cid:durableId="1987852481">
    <w:abstractNumId w:val="43"/>
  </w:num>
  <w:num w:numId="58" w16cid:durableId="611910090">
    <w:abstractNumId w:val="22"/>
  </w:num>
  <w:num w:numId="59" w16cid:durableId="60907403">
    <w:abstractNumId w:val="40"/>
  </w:num>
  <w:num w:numId="60" w16cid:durableId="561016904">
    <w:abstractNumId w:val="24"/>
  </w:num>
  <w:num w:numId="61" w16cid:durableId="1677616561">
    <w:abstractNumId w:val="10"/>
  </w:num>
  <w:num w:numId="62" w16cid:durableId="1566068226">
    <w:abstractNumId w:val="56"/>
  </w:num>
  <w:num w:numId="63" w16cid:durableId="79490548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A02"/>
    <w:rsid w:val="000128FD"/>
    <w:rsid w:val="000B334F"/>
    <w:rsid w:val="00140C2C"/>
    <w:rsid w:val="00960F31"/>
    <w:rsid w:val="00AA4A02"/>
    <w:rsid w:val="00B960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0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3"/>
      <w:outlineLvl w:val="0"/>
    </w:pPr>
    <w:rPr>
      <w:b/>
      <w:bCs/>
      <w:i/>
      <w:iCs/>
      <w:sz w:val="50"/>
      <w:szCs w:val="50"/>
    </w:rPr>
  </w:style>
  <w:style w:type="paragraph" w:styleId="Heading2">
    <w:name w:val="heading 2"/>
    <w:basedOn w:val="Normal"/>
    <w:uiPriority w:val="9"/>
    <w:unhideWhenUsed/>
    <w:qFormat/>
    <w:pPr>
      <w:jc w:val="right"/>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179"/>
      <w:ind w:left="143" w:hanging="1788"/>
      <w:outlineLvl w:val="2"/>
    </w:pPr>
    <w:rPr>
      <w:b/>
      <w:bCs/>
      <w:sz w:val="34"/>
      <w:szCs w:val="34"/>
    </w:rPr>
  </w:style>
  <w:style w:type="paragraph" w:styleId="Heading4">
    <w:name w:val="heading 4"/>
    <w:basedOn w:val="Normal"/>
    <w:uiPriority w:val="9"/>
    <w:unhideWhenUsed/>
    <w:qFormat/>
    <w:pPr>
      <w:spacing w:before="161"/>
      <w:ind w:left="851" w:hanging="708"/>
      <w:outlineLvl w:val="3"/>
    </w:pPr>
    <w:rPr>
      <w:b/>
      <w:bCs/>
      <w:sz w:val="30"/>
      <w:szCs w:val="30"/>
    </w:rPr>
  </w:style>
  <w:style w:type="paragraph" w:styleId="Heading5">
    <w:name w:val="heading 5"/>
    <w:basedOn w:val="Normal"/>
    <w:uiPriority w:val="9"/>
    <w:unhideWhenUsed/>
    <w:qFormat/>
    <w:pPr>
      <w:spacing w:before="21"/>
      <w:ind w:left="108"/>
      <w:outlineLvl w:val="4"/>
    </w:pPr>
    <w:rPr>
      <w:rFonts w:ascii="Calibri" w:eastAsia="Calibri" w:hAnsi="Calibri" w:cs="Calibri"/>
      <w:b/>
      <w:bCs/>
      <w:sz w:val="28"/>
      <w:szCs w:val="28"/>
    </w:rPr>
  </w:style>
  <w:style w:type="paragraph" w:styleId="Heading6">
    <w:name w:val="heading 6"/>
    <w:basedOn w:val="Normal"/>
    <w:uiPriority w:val="9"/>
    <w:unhideWhenUsed/>
    <w:qFormat/>
    <w:pPr>
      <w:ind w:left="852" w:hanging="711"/>
      <w:outlineLvl w:val="5"/>
    </w:pPr>
    <w:rPr>
      <w:b/>
      <w:bCs/>
      <w:sz w:val="28"/>
      <w:szCs w:val="28"/>
    </w:rPr>
  </w:style>
  <w:style w:type="paragraph" w:styleId="Heading7">
    <w:name w:val="heading 7"/>
    <w:basedOn w:val="Normal"/>
    <w:uiPriority w:val="1"/>
    <w:qFormat/>
    <w:pPr>
      <w:spacing w:before="168"/>
      <w:ind w:left="143"/>
      <w:outlineLvl w:val="6"/>
    </w:pPr>
    <w:rPr>
      <w:b/>
      <w:bCs/>
      <w:sz w:val="26"/>
      <w:szCs w:val="26"/>
    </w:rPr>
  </w:style>
  <w:style w:type="paragraph" w:styleId="Heading8">
    <w:name w:val="heading 8"/>
    <w:basedOn w:val="Normal"/>
    <w:uiPriority w:val="1"/>
    <w:qFormat/>
    <w:pPr>
      <w:spacing w:before="240"/>
      <w:ind w:left="852"/>
      <w:outlineLvl w:val="7"/>
    </w:pPr>
    <w:rPr>
      <w:rFonts w:ascii="Calibri" w:eastAsia="Calibri" w:hAnsi="Calibri" w:cs="Calibri"/>
      <w:b/>
      <w:bCs/>
      <w:sz w:val="24"/>
      <w:szCs w:val="24"/>
    </w:rPr>
  </w:style>
  <w:style w:type="paragraph" w:styleId="Heading9">
    <w:name w:val="heading 9"/>
    <w:basedOn w:val="Normal"/>
    <w:uiPriority w:val="1"/>
    <w:qFormat/>
    <w:pPr>
      <w:spacing w:before="234"/>
      <w:ind w:left="852"/>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851" w:hanging="720"/>
    </w:pPr>
    <w:rPr>
      <w:b/>
      <w:bCs/>
    </w:rPr>
  </w:style>
  <w:style w:type="paragraph" w:styleId="TOC2">
    <w:name w:val="toc 2"/>
    <w:basedOn w:val="Normal"/>
    <w:uiPriority w:val="1"/>
    <w:qFormat/>
    <w:pPr>
      <w:spacing w:before="112"/>
      <w:ind w:left="143"/>
    </w:pPr>
    <w:rPr>
      <w:b/>
      <w:bCs/>
    </w:rPr>
  </w:style>
  <w:style w:type="paragraph" w:styleId="TOC3">
    <w:name w:val="toc 3"/>
    <w:basedOn w:val="Normal"/>
    <w:uiPriority w:val="1"/>
    <w:qFormat/>
    <w:pPr>
      <w:spacing w:before="119"/>
      <w:ind w:left="851"/>
    </w:pPr>
  </w:style>
  <w:style w:type="paragraph" w:styleId="BodyText">
    <w:name w:val="Body Text"/>
    <w:basedOn w:val="Normal"/>
    <w:uiPriority w:val="1"/>
    <w:qFormat/>
  </w:style>
  <w:style w:type="paragraph" w:styleId="Title">
    <w:name w:val="Title"/>
    <w:basedOn w:val="Normal"/>
    <w:uiPriority w:val="10"/>
    <w:qFormat/>
    <w:pPr>
      <w:ind w:left="851" w:right="4600"/>
    </w:pPr>
    <w:rPr>
      <w:rFonts w:ascii="Calibri Light" w:eastAsia="Calibri Light" w:hAnsi="Calibri Light" w:cs="Calibri Light"/>
      <w:sz w:val="72"/>
      <w:szCs w:val="72"/>
    </w:rPr>
  </w:style>
  <w:style w:type="paragraph" w:styleId="ListParagraph">
    <w:name w:val="List Paragraph"/>
    <w:basedOn w:val="Normal"/>
    <w:uiPriority w:val="1"/>
    <w:qFormat/>
    <w:pPr>
      <w:spacing w:before="201"/>
      <w:ind w:left="851" w:hanging="71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B334F"/>
    <w:pPr>
      <w:tabs>
        <w:tab w:val="center" w:pos="4513"/>
        <w:tab w:val="right" w:pos="9026"/>
      </w:tabs>
    </w:pPr>
  </w:style>
  <w:style w:type="character" w:customStyle="1" w:styleId="HeaderChar">
    <w:name w:val="Header Char"/>
    <w:basedOn w:val="DefaultParagraphFont"/>
    <w:link w:val="Header"/>
    <w:uiPriority w:val="99"/>
    <w:rsid w:val="000B334F"/>
    <w:rPr>
      <w:rFonts w:ascii="Times New Roman" w:eastAsia="Times New Roman" w:hAnsi="Times New Roman" w:cs="Times New Roman"/>
    </w:rPr>
  </w:style>
  <w:style w:type="paragraph" w:styleId="Footer">
    <w:name w:val="footer"/>
    <w:basedOn w:val="Normal"/>
    <w:link w:val="FooterChar"/>
    <w:uiPriority w:val="99"/>
    <w:unhideWhenUsed/>
    <w:rsid w:val="000B334F"/>
    <w:pPr>
      <w:tabs>
        <w:tab w:val="center" w:pos="4513"/>
        <w:tab w:val="right" w:pos="9026"/>
      </w:tabs>
    </w:pPr>
  </w:style>
  <w:style w:type="character" w:customStyle="1" w:styleId="FooterChar">
    <w:name w:val="Footer Char"/>
    <w:basedOn w:val="DefaultParagraphFont"/>
    <w:link w:val="Footer"/>
    <w:uiPriority w:val="99"/>
    <w:rsid w:val="000B334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auasb.gov.au/media/j0chdtth/asa_101_09-21.pdf" TargetMode="External"/><Relationship Id="rId21" Type="http://schemas.openxmlformats.org/officeDocument/2006/relationships/footer" Target="footer7.xml"/><Relationship Id="rId63" Type="http://schemas.openxmlformats.org/officeDocument/2006/relationships/hyperlink" Target="https://www.auasb.gov.au/media/xlzhpsww/forewordtoauasbpronouncements_09-21.pdf" TargetMode="External"/><Relationship Id="rId159" Type="http://schemas.openxmlformats.org/officeDocument/2006/relationships/image" Target="media/image49.png"/><Relationship Id="rId170" Type="http://schemas.openxmlformats.org/officeDocument/2006/relationships/image" Target="media/image60.png"/><Relationship Id="rId226" Type="http://schemas.openxmlformats.org/officeDocument/2006/relationships/hyperlink" Target="https://www.iosco.org/news/pdf/IOSCONEWS789.pdf" TargetMode="External"/><Relationship Id="rId268" Type="http://schemas.openxmlformats.org/officeDocument/2006/relationships/footer" Target="footer32.xml"/><Relationship Id="rId11" Type="http://schemas.openxmlformats.org/officeDocument/2006/relationships/footer" Target="footer2.xml"/><Relationship Id="rId32" Type="http://schemas.openxmlformats.org/officeDocument/2006/relationships/hyperlink" Target="https://www.aasb.gov.au/admin/file/content102/c3/AASB_FP_StdSetting_Fwk_final.pdf" TargetMode="External"/><Relationship Id="rId53" Type="http://schemas.openxmlformats.org/officeDocument/2006/relationships/hyperlink" Target="https://www.auasb.gov.au/admin/file/content102/c3/AUASBEISSStrategy.pdf" TargetMode="External"/><Relationship Id="rId74" Type="http://schemas.openxmlformats.org/officeDocument/2006/relationships/hyperlink" Target="https://www.auasb.gov.au/media/xlzhpsww/forewordtoauasbpronouncements_09-21.pdf" TargetMode="External"/><Relationship Id="rId128" Type="http://schemas.openxmlformats.org/officeDocument/2006/relationships/image" Target="media/image18.png"/><Relationship Id="rId149" Type="http://schemas.openxmlformats.org/officeDocument/2006/relationships/image" Target="media/image39.png"/><Relationship Id="rId5" Type="http://schemas.openxmlformats.org/officeDocument/2006/relationships/footnotes" Target="footnotes.xml"/><Relationship Id="rId95" Type="http://schemas.openxmlformats.org/officeDocument/2006/relationships/hyperlink" Target="https://www.auasb.gov.au/admin/file/content102/c3/AUASBEISSStrategy.pdf" TargetMode="External"/><Relationship Id="rId160" Type="http://schemas.openxmlformats.org/officeDocument/2006/relationships/image" Target="media/image50.png"/><Relationship Id="rId181" Type="http://schemas.openxmlformats.org/officeDocument/2006/relationships/image" Target="media/image71.png"/><Relationship Id="rId216" Type="http://schemas.openxmlformats.org/officeDocument/2006/relationships/hyperlink" Target="https://www.ifrs.org/news-and-events/news/2026/05/issb-agrees-proposed-way-forward-nature-related-disclosures/" TargetMode="External"/><Relationship Id="rId237" Type="http://schemas.openxmlformats.org/officeDocument/2006/relationships/hyperlink" Target="https://www.ifac.org/news-events/2026-03/ifac-revises-statements-membership-obligations-strengthen-global-accountancy-profession" TargetMode="External"/><Relationship Id="rId258" Type="http://schemas.openxmlformats.org/officeDocument/2006/relationships/hyperlink" Target="https://www.efrag.org/en/news-and-calendar/news/efrag-launches-a-call-for-expression-of-interest-on-voluntary-sustainability-reporting-by-nonsme" TargetMode="External"/><Relationship Id="rId22" Type="http://schemas.openxmlformats.org/officeDocument/2006/relationships/header" Target="header8.xml"/><Relationship Id="rId43" Type="http://schemas.openxmlformats.org/officeDocument/2006/relationships/image" Target="media/image8.jpeg"/><Relationship Id="rId64" Type="http://schemas.openxmlformats.org/officeDocument/2006/relationships/hyperlink" Target="https://www.auasb.gov.au/media/xlzhpsww/forewordtoauasbpronouncements_09-21.pdf" TargetMode="External"/><Relationship Id="rId118" Type="http://schemas.openxmlformats.org/officeDocument/2006/relationships/hyperlink" Target="https://www.auasb.gov.au/about-auasb/corporate-plan-strategy/" TargetMode="External"/><Relationship Id="rId139" Type="http://schemas.openxmlformats.org/officeDocument/2006/relationships/image" Target="media/image29.png"/><Relationship Id="rId85" Type="http://schemas.openxmlformats.org/officeDocument/2006/relationships/hyperlink" Target="https://www.auasb.gov.au/admin/file/content102/c3/AUASBInternationalStrategy-April2019.pdf" TargetMode="External"/><Relationship Id="rId150" Type="http://schemas.openxmlformats.org/officeDocument/2006/relationships/image" Target="media/image40.png"/><Relationship Id="rId171" Type="http://schemas.openxmlformats.org/officeDocument/2006/relationships/image" Target="media/image61.png"/><Relationship Id="rId192" Type="http://schemas.openxmlformats.org/officeDocument/2006/relationships/image" Target="media/image2.jpeg"/><Relationship Id="rId206" Type="http://schemas.openxmlformats.org/officeDocument/2006/relationships/hyperlink" Target="https://www.legislation.gov.au/F2026L00362/asmade/text" TargetMode="External"/><Relationship Id="rId227" Type="http://schemas.openxmlformats.org/officeDocument/2006/relationships/hyperlink" Target="https://www.ifrs.org/news-and-events/news/2026/03/issb-seeks-feedback-proposed-amends-sasb-standards/" TargetMode="External"/><Relationship Id="rId248" Type="http://schemas.openxmlformats.org/officeDocument/2006/relationships/hyperlink" Target="https://www.thecaq.org/comment-letter-regulation-s-k-s-x" TargetMode="External"/><Relationship Id="rId269" Type="http://schemas.openxmlformats.org/officeDocument/2006/relationships/header" Target="header33.xml"/><Relationship Id="rId12" Type="http://schemas.openxmlformats.org/officeDocument/2006/relationships/header" Target="header3.xml"/><Relationship Id="rId33" Type="http://schemas.openxmlformats.org/officeDocument/2006/relationships/hyperlink" Target="https://www.aasb.gov.au/admin/file/content102/c3/AASB_NFP_StdSetting_Fwk_final.pdf" TargetMode="External"/><Relationship Id="rId108" Type="http://schemas.openxmlformats.org/officeDocument/2006/relationships/hyperlink" Target="https://www.auasb.gov.au/admin/file/content102/c3/AUASBInternationalStrategy-April2019.pdf" TargetMode="External"/><Relationship Id="rId129" Type="http://schemas.openxmlformats.org/officeDocument/2006/relationships/image" Target="media/image19.png"/><Relationship Id="rId54" Type="http://schemas.openxmlformats.org/officeDocument/2006/relationships/hyperlink" Target="https://www.auasb.gov.au/admin/file/content102/c3/AASB-AUASB_Board_Charter_10-19.pdf" TargetMode="External"/><Relationship Id="rId75" Type="http://schemas.openxmlformats.org/officeDocument/2006/relationships/hyperlink" Target="https://www.auasb.gov.au/media/xlzhpsww/forewordtoauasbpronouncements_09-21.pdf" TargetMode="External"/><Relationship Id="rId96" Type="http://schemas.openxmlformats.org/officeDocument/2006/relationships/hyperlink" Target="https://www.auasb.gov.au/" TargetMode="External"/><Relationship Id="rId140" Type="http://schemas.openxmlformats.org/officeDocument/2006/relationships/image" Target="media/image30.png"/><Relationship Id="rId161" Type="http://schemas.openxmlformats.org/officeDocument/2006/relationships/image" Target="media/image51.png"/><Relationship Id="rId182" Type="http://schemas.openxmlformats.org/officeDocument/2006/relationships/image" Target="media/image72.jpeg"/><Relationship Id="rId217" Type="http://schemas.openxmlformats.org/officeDocument/2006/relationships/header" Target="header25.xml"/><Relationship Id="rId6" Type="http://schemas.openxmlformats.org/officeDocument/2006/relationships/endnotes" Target="endnotes.xml"/><Relationship Id="rId238" Type="http://schemas.openxmlformats.org/officeDocument/2006/relationships/hyperlink" Target="https://www.ifrs.org/news-and-events/news/2026/03/ifrs-foundation-appoints-rudolf-bless-trustee-vice-chair/" TargetMode="External"/><Relationship Id="rId259" Type="http://schemas.openxmlformats.org/officeDocument/2006/relationships/header" Target="header29.xml"/><Relationship Id="rId23" Type="http://schemas.openxmlformats.org/officeDocument/2006/relationships/footer" Target="footer8.xml"/><Relationship Id="rId119" Type="http://schemas.openxmlformats.org/officeDocument/2006/relationships/image" Target="media/image9.png"/><Relationship Id="rId270" Type="http://schemas.openxmlformats.org/officeDocument/2006/relationships/footer" Target="footer33.xml"/><Relationship Id="rId44" Type="http://schemas.openxmlformats.org/officeDocument/2006/relationships/header" Target="header12.xml"/><Relationship Id="rId65" Type="http://schemas.openxmlformats.org/officeDocument/2006/relationships/hyperlink" Target="https://www.auasb.gov.au/media/j0chdtth/asa_101_09-21.pdf" TargetMode="External"/><Relationship Id="rId86" Type="http://schemas.openxmlformats.org/officeDocument/2006/relationships/hyperlink" Target="https://www.auasb.gov.au/admin/file/content102/c3/AUASBInternationalStrategy-April2019.pdf" TargetMode="External"/><Relationship Id="rId130" Type="http://schemas.openxmlformats.org/officeDocument/2006/relationships/image" Target="media/image20.png"/><Relationship Id="rId151" Type="http://schemas.openxmlformats.org/officeDocument/2006/relationships/image" Target="media/image41.png"/><Relationship Id="rId172" Type="http://schemas.openxmlformats.org/officeDocument/2006/relationships/image" Target="media/image62.png"/><Relationship Id="rId193" Type="http://schemas.openxmlformats.org/officeDocument/2006/relationships/header" Target="header22.xml"/><Relationship Id="rId207" Type="http://schemas.openxmlformats.org/officeDocument/2006/relationships/hyperlink" Target="https://www.legislation.gov.au/F2026L00360/asmade/text" TargetMode="External"/><Relationship Id="rId228" Type="http://schemas.openxmlformats.org/officeDocument/2006/relationships/hyperlink" Target="https://www.ifrs.org/news-and-events/news/2026/03/issb-seeks-feedback-proposed-amends-sasb-standards/" TargetMode="External"/><Relationship Id="rId249" Type="http://schemas.openxmlformats.org/officeDocument/2006/relationships/header" Target="header28.xml"/><Relationship Id="rId13" Type="http://schemas.openxmlformats.org/officeDocument/2006/relationships/footer" Target="footer3.xml"/><Relationship Id="rId109" Type="http://schemas.openxmlformats.org/officeDocument/2006/relationships/hyperlink" Target="https://www.auasb.gov.au/admin/file/content102/c3/AUASBInternationalStrategy-April2019.pdf" TargetMode="External"/><Relationship Id="rId260" Type="http://schemas.openxmlformats.org/officeDocument/2006/relationships/footer" Target="footer29.xml"/><Relationship Id="rId34" Type="http://schemas.openxmlformats.org/officeDocument/2006/relationships/image" Target="media/image6.png"/><Relationship Id="rId55" Type="http://schemas.openxmlformats.org/officeDocument/2006/relationships/hyperlink" Target="https://www.auasb.gov.au/media/xlzhpsww/forewordtoauasbpronouncements_09-21.pdf" TargetMode="External"/><Relationship Id="rId76" Type="http://schemas.openxmlformats.org/officeDocument/2006/relationships/hyperlink" Target="https://www.auasb.gov.au/media/xlzhpsww/forewordtoauasbpronouncements_09-21.pdf" TargetMode="External"/><Relationship Id="rId97" Type="http://schemas.openxmlformats.org/officeDocument/2006/relationships/hyperlink" Target="https://www.auasb.gov.au/" TargetMode="External"/><Relationship Id="rId120" Type="http://schemas.openxmlformats.org/officeDocument/2006/relationships/image" Target="media/image10.png"/><Relationship Id="rId141" Type="http://schemas.openxmlformats.org/officeDocument/2006/relationships/image" Target="media/image31.png"/><Relationship Id="rId7" Type="http://schemas.openxmlformats.org/officeDocument/2006/relationships/image" Target="media/image1.jpeg"/><Relationship Id="rId162" Type="http://schemas.openxmlformats.org/officeDocument/2006/relationships/image" Target="media/image52.png"/><Relationship Id="rId183" Type="http://schemas.openxmlformats.org/officeDocument/2006/relationships/header" Target="header19.xml"/><Relationship Id="rId218" Type="http://schemas.openxmlformats.org/officeDocument/2006/relationships/footer" Target="footer25.xml"/><Relationship Id="rId239" Type="http://schemas.openxmlformats.org/officeDocument/2006/relationships/hyperlink" Target="https://www.ifrs.org/news-and-events/news/2026/03/ifrs-foundation-publishes-2025-annual-report-fit-for-the-future/" TargetMode="External"/><Relationship Id="rId250" Type="http://schemas.openxmlformats.org/officeDocument/2006/relationships/footer" Target="footer28.xml"/><Relationship Id="rId271" Type="http://schemas.openxmlformats.org/officeDocument/2006/relationships/fontTable" Target="fontTable.xml"/><Relationship Id="rId24" Type="http://schemas.openxmlformats.org/officeDocument/2006/relationships/image" Target="media/image4.jpeg"/><Relationship Id="rId45" Type="http://schemas.openxmlformats.org/officeDocument/2006/relationships/footer" Target="footer12.xml"/><Relationship Id="rId66" Type="http://schemas.openxmlformats.org/officeDocument/2006/relationships/hyperlink" Target="https://www.auasb.gov.au/media/j0chdtth/asa_101_09-21.pdf" TargetMode="External"/><Relationship Id="rId87" Type="http://schemas.openxmlformats.org/officeDocument/2006/relationships/hyperlink" Target="https://www.auasb.gov.au/admin/file/content102/c3/AUASBInternationalStrategy-April2019.pdf" TargetMode="External"/><Relationship Id="rId110" Type="http://schemas.openxmlformats.org/officeDocument/2006/relationships/hyperlink" Target="https://www.auasb.gov.au/admin/file/content102/c3/AUASBEISSStrategy.pdf" TargetMode="External"/><Relationship Id="rId131" Type="http://schemas.openxmlformats.org/officeDocument/2006/relationships/image" Target="media/image21.png"/><Relationship Id="rId152" Type="http://schemas.openxmlformats.org/officeDocument/2006/relationships/image" Target="media/image42.png"/><Relationship Id="rId173" Type="http://schemas.openxmlformats.org/officeDocument/2006/relationships/image" Target="media/image63.png"/><Relationship Id="rId194" Type="http://schemas.openxmlformats.org/officeDocument/2006/relationships/footer" Target="footer22.xml"/><Relationship Id="rId208" Type="http://schemas.openxmlformats.org/officeDocument/2006/relationships/header" Target="header23.xml"/><Relationship Id="rId229" Type="http://schemas.openxmlformats.org/officeDocument/2006/relationships/hyperlink" Target="https://pcaobus.org/news-events/news-releases/news-release-detail/pcaob-requests-public-comment-on-strategic-priorities" TargetMode="External"/><Relationship Id="rId240" Type="http://schemas.openxmlformats.org/officeDocument/2006/relationships/hyperlink" Target="https://www.ifrs.org/news-and-events/news/2026/03/ifrs-foundation-publishes-2025-annual-report-fit-for-the-future/" TargetMode="External"/><Relationship Id="rId261" Type="http://schemas.openxmlformats.org/officeDocument/2006/relationships/image" Target="media/image75.jpeg"/><Relationship Id="rId14" Type="http://schemas.openxmlformats.org/officeDocument/2006/relationships/header" Target="header4.xml"/><Relationship Id="rId35" Type="http://schemas.openxmlformats.org/officeDocument/2006/relationships/image" Target="media/image7.jpeg"/><Relationship Id="rId56" Type="http://schemas.openxmlformats.org/officeDocument/2006/relationships/hyperlink" Target="https://www.auasb.gov.au/media/j0chdtth/asa_101_09-21.pdf" TargetMode="External"/><Relationship Id="rId77" Type="http://schemas.openxmlformats.org/officeDocument/2006/relationships/hyperlink" Target="https://www.auasb.gov.au/media/j0chdtth/asa_101_09-21.pdf" TargetMode="External"/><Relationship Id="rId100" Type="http://schemas.openxmlformats.org/officeDocument/2006/relationships/header" Target="header15.xml"/><Relationship Id="rId8" Type="http://schemas.openxmlformats.org/officeDocument/2006/relationships/header" Target="header1.xml"/><Relationship Id="rId98" Type="http://schemas.openxmlformats.org/officeDocument/2006/relationships/hyperlink" Target="https://www.auasb.gov.au/admin/file/content102/c3/AUASBEISSStrategy.pdf" TargetMode="External"/><Relationship Id="rId121" Type="http://schemas.openxmlformats.org/officeDocument/2006/relationships/image" Target="media/image11.png"/><Relationship Id="rId142" Type="http://schemas.openxmlformats.org/officeDocument/2006/relationships/image" Target="media/image32.png"/><Relationship Id="rId163" Type="http://schemas.openxmlformats.org/officeDocument/2006/relationships/image" Target="media/image53.png"/><Relationship Id="rId184" Type="http://schemas.openxmlformats.org/officeDocument/2006/relationships/footer" Target="footer19.xml"/><Relationship Id="rId219" Type="http://schemas.openxmlformats.org/officeDocument/2006/relationships/hyperlink" Target="https://www.ifrs.org/news-and-events/news/2026/05/iasb-proposes-extending-consolidation-exception-eligible-smes/" TargetMode="External"/><Relationship Id="rId230" Type="http://schemas.openxmlformats.org/officeDocument/2006/relationships/hyperlink" Target="https://pcaobus.org/news-events/news-releases/news-release-detail/pcaob-requests-public-comment-on-strategic-priorities" TargetMode="External"/><Relationship Id="rId251" Type="http://schemas.openxmlformats.org/officeDocument/2006/relationships/hyperlink" Target="https://www.frascanada.ca/en/ifrsstandards/documents/acsb-ed-amendments-to-the-fair-value-option" TargetMode="External"/><Relationship Id="rId25" Type="http://schemas.openxmlformats.org/officeDocument/2006/relationships/header" Target="header9.xml"/><Relationship Id="rId46" Type="http://schemas.openxmlformats.org/officeDocument/2006/relationships/hyperlink" Target="http://www.auasb.gov.au/" TargetMode="External"/><Relationship Id="rId67" Type="http://schemas.openxmlformats.org/officeDocument/2006/relationships/hyperlink" Target="https://www.auasb.gov.au/media/j0chdtth/asa_101_09-21.pdf" TargetMode="External"/><Relationship Id="rId272" Type="http://schemas.openxmlformats.org/officeDocument/2006/relationships/theme" Target="theme/theme1.xml"/><Relationship Id="rId88" Type="http://schemas.openxmlformats.org/officeDocument/2006/relationships/hyperlink" Target="https://www.auasb.gov.au/about-auasb/convergence-and-harmonisation-policy/" TargetMode="External"/><Relationship Id="rId111" Type="http://schemas.openxmlformats.org/officeDocument/2006/relationships/hyperlink" Target="https://www.auasb.gov.au/admin/file/content102/c3/AUASBEISSStrategy.pdf" TargetMode="External"/><Relationship Id="rId132" Type="http://schemas.openxmlformats.org/officeDocument/2006/relationships/image" Target="media/image22.png"/><Relationship Id="rId153" Type="http://schemas.openxmlformats.org/officeDocument/2006/relationships/image" Target="media/image43.png"/><Relationship Id="rId174" Type="http://schemas.openxmlformats.org/officeDocument/2006/relationships/image" Target="media/image64.png"/><Relationship Id="rId195" Type="http://schemas.openxmlformats.org/officeDocument/2006/relationships/hyperlink" Target="https://www.asic.gov.au/about-asic/news-centre/find-a-media-release/2026-releases/26-098mr-asic-sets-financial-reporting-audit-and-sustainability-focus-areas-for-fy-2026-27/" TargetMode="External"/><Relationship Id="rId209" Type="http://schemas.openxmlformats.org/officeDocument/2006/relationships/footer" Target="footer23.xml"/><Relationship Id="rId220" Type="http://schemas.openxmlformats.org/officeDocument/2006/relationships/hyperlink" Target="https://www.ifrs.org/news-and-events/news/2026/05/iasb-proposes-extending-consolidation-exception-eligible-smes/" TargetMode="External"/><Relationship Id="rId241" Type="http://schemas.openxmlformats.org/officeDocument/2006/relationships/hyperlink" Target="https://ipiob.org/new-q4-2025-oversight-publications-available/" TargetMode="External"/><Relationship Id="rId15" Type="http://schemas.openxmlformats.org/officeDocument/2006/relationships/footer" Target="footer4.xml"/><Relationship Id="rId36" Type="http://schemas.openxmlformats.org/officeDocument/2006/relationships/hyperlink" Target="http://www.aasb.gov.au/Work-In-Progress/AASB-Work-Program.aspx" TargetMode="External"/><Relationship Id="rId57" Type="http://schemas.openxmlformats.org/officeDocument/2006/relationships/hyperlink" Target="https://www.auasb.gov.au/board-centre/board-charter/" TargetMode="External"/><Relationship Id="rId262" Type="http://schemas.openxmlformats.org/officeDocument/2006/relationships/header" Target="header30.xml"/><Relationship Id="rId78" Type="http://schemas.openxmlformats.org/officeDocument/2006/relationships/hyperlink" Target="https://www.auasb.gov.au/admin/file/content102/c3/AUASBInternationalStrategy-April2019.pdf" TargetMode="External"/><Relationship Id="rId99" Type="http://schemas.openxmlformats.org/officeDocument/2006/relationships/hyperlink" Target="https://www.auasb.gov.au/admin/file/content102/c3/AUASBEISSStrategy.pdf" TargetMode="External"/><Relationship Id="rId101" Type="http://schemas.openxmlformats.org/officeDocument/2006/relationships/footer" Target="footer15.xml"/><Relationship Id="rId122" Type="http://schemas.openxmlformats.org/officeDocument/2006/relationships/image" Target="media/image12.png"/><Relationship Id="rId143" Type="http://schemas.openxmlformats.org/officeDocument/2006/relationships/image" Target="media/image33.png"/><Relationship Id="rId164" Type="http://schemas.openxmlformats.org/officeDocument/2006/relationships/image" Target="media/image54.png"/><Relationship Id="rId185" Type="http://schemas.openxmlformats.org/officeDocument/2006/relationships/image" Target="media/image73.jpeg"/><Relationship Id="rId9" Type="http://schemas.openxmlformats.org/officeDocument/2006/relationships/footer" Target="footer1.xml"/><Relationship Id="rId210" Type="http://schemas.openxmlformats.org/officeDocument/2006/relationships/hyperlink" Target="https://group100.com.au/challengers-alex-bell-takes-helm-of-australias-elite-finance-leaders" TargetMode="External"/><Relationship Id="rId26" Type="http://schemas.openxmlformats.org/officeDocument/2006/relationships/footer" Target="footer9.xml"/><Relationship Id="rId231" Type="http://schemas.openxmlformats.org/officeDocument/2006/relationships/hyperlink" Target="https://www.iaasb.org/news-events/2026-03/joint-statement-iaasb-and-iesba-chairs-welcoming-emily-fitts-chair-monitoring-group" TargetMode="External"/><Relationship Id="rId252" Type="http://schemas.openxmlformats.org/officeDocument/2006/relationships/hyperlink" Target="https://www.frascanada.ca/en/ifrsstandards/documents/acsb-ed-amendments-to-the-fair-value-option" TargetMode="External"/><Relationship Id="rId47" Type="http://schemas.openxmlformats.org/officeDocument/2006/relationships/hyperlink" Target="mailto:enquiries@auasb.gov.au" TargetMode="External"/><Relationship Id="rId68" Type="http://schemas.openxmlformats.org/officeDocument/2006/relationships/hyperlink" Target="https://www.auasb.gov.au/media/xlzhpsww/forewordtoauasbpronouncements_09-21.pdf" TargetMode="External"/><Relationship Id="rId89" Type="http://schemas.openxmlformats.org/officeDocument/2006/relationships/hyperlink" Target="https://www.auasb.gov.au/about-auasb/convergence-and-harmonisation-policy/" TargetMode="External"/><Relationship Id="rId112" Type="http://schemas.openxmlformats.org/officeDocument/2006/relationships/hyperlink" Target="https://www.auasb.gov.au/admin/file/content102/c3/AUASBEISSStrategy.pdf" TargetMode="External"/><Relationship Id="rId133" Type="http://schemas.openxmlformats.org/officeDocument/2006/relationships/image" Target="media/image23.png"/><Relationship Id="rId154" Type="http://schemas.openxmlformats.org/officeDocument/2006/relationships/image" Target="media/image44.png"/><Relationship Id="rId175" Type="http://schemas.openxmlformats.org/officeDocument/2006/relationships/image" Target="media/image65.png"/><Relationship Id="rId196" Type="http://schemas.openxmlformats.org/officeDocument/2006/relationships/hyperlink" Target="https://www.asic.gov.au/about-asic/news-centre/news-items/asic-issues-early-observations-on-sustainability-reporting-ahead-of-30-june-2026/" TargetMode="External"/><Relationship Id="rId200" Type="http://schemas.openxmlformats.org/officeDocument/2006/relationships/hyperlink" Target="https://www.asic.gov.au/about-asic/news-centre/news-items/asic-launches-e-learning-educational-modules-on-sustainability-reporting/" TargetMode="External"/><Relationship Id="rId16" Type="http://schemas.openxmlformats.org/officeDocument/2006/relationships/header" Target="header5.xml"/><Relationship Id="rId221" Type="http://schemas.openxmlformats.org/officeDocument/2006/relationships/header" Target="header26.xml"/><Relationship Id="rId242" Type="http://schemas.openxmlformats.org/officeDocument/2006/relationships/hyperlink" Target="https://www.fma.govt.nz/assets/Reports/Financial-statements-monitoring-insights-2022-2025.pdf" TargetMode="External"/><Relationship Id="rId263" Type="http://schemas.openxmlformats.org/officeDocument/2006/relationships/footer" Target="footer30.xml"/><Relationship Id="rId37" Type="http://schemas.openxmlformats.org/officeDocument/2006/relationships/hyperlink" Target="https://www.aasb.gov.au/admin/file/content102/c3/AASB_EISSF_1572309994149.pdf" TargetMode="External"/><Relationship Id="rId58" Type="http://schemas.openxmlformats.org/officeDocument/2006/relationships/hyperlink" Target="https://apesb.org.au/wp-content/uploads/2020/09/APES_110_Restructured_Code_Nov_2018.pdf" TargetMode="External"/><Relationship Id="rId79" Type="http://schemas.openxmlformats.org/officeDocument/2006/relationships/hyperlink" Target="https://www.auasb.gov.au/media/piudnhfc/aus_nz_protocol_oct2019.pdf" TargetMode="External"/><Relationship Id="rId102" Type="http://schemas.openxmlformats.org/officeDocument/2006/relationships/hyperlink" Target="https://www.auasb.gov.au/admin/file/content102/c3/AUASBInternationalStrategy-April2019.pdf" TargetMode="External"/><Relationship Id="rId123" Type="http://schemas.openxmlformats.org/officeDocument/2006/relationships/image" Target="media/image13.png"/><Relationship Id="rId144" Type="http://schemas.openxmlformats.org/officeDocument/2006/relationships/image" Target="media/image34.png"/><Relationship Id="rId90" Type="http://schemas.openxmlformats.org/officeDocument/2006/relationships/hyperlink" Target="https://www.auasb.gov.au/about-auasb/convergence-and-harmonisation-policy/" TargetMode="External"/><Relationship Id="rId165" Type="http://schemas.openxmlformats.org/officeDocument/2006/relationships/image" Target="media/image55.png"/><Relationship Id="rId186" Type="http://schemas.openxmlformats.org/officeDocument/2006/relationships/image" Target="media/image74.png"/><Relationship Id="rId211" Type="http://schemas.openxmlformats.org/officeDocument/2006/relationships/hyperlink" Target="https://www.ifrs.org/news-and-events/news/2026/04/ifrs-foundation-publishes-revised-standard-setting-handbook/" TargetMode="External"/><Relationship Id="rId232" Type="http://schemas.openxmlformats.org/officeDocument/2006/relationships/hyperlink" Target="https://www.iaasb.org/news-events/2026-03/joint-statement-iaasb-and-iesba-chairs-welcoming-emily-fitts-chair-monitoring-group" TargetMode="External"/><Relationship Id="rId253" Type="http://schemas.openxmlformats.org/officeDocument/2006/relationships/hyperlink" Target="https://www.frascanada.ca/en/sustainability/documents/amendments-csds2-ghg-emissions" TargetMode="External"/><Relationship Id="rId27" Type="http://schemas.openxmlformats.org/officeDocument/2006/relationships/header" Target="header10.xml"/><Relationship Id="rId48" Type="http://schemas.openxmlformats.org/officeDocument/2006/relationships/header" Target="header13.xml"/><Relationship Id="rId69" Type="http://schemas.openxmlformats.org/officeDocument/2006/relationships/hyperlink" Target="https://www.auasb.gov.au/media/xlzhpsww/forewordtoauasbpronouncements_09-21.pdf" TargetMode="External"/><Relationship Id="rId113" Type="http://schemas.openxmlformats.org/officeDocument/2006/relationships/header" Target="header17.xml"/><Relationship Id="rId134" Type="http://schemas.openxmlformats.org/officeDocument/2006/relationships/image" Target="media/image24.png"/><Relationship Id="rId80" Type="http://schemas.openxmlformats.org/officeDocument/2006/relationships/hyperlink" Target="https://www.auasb.gov.au/media/piudnhfc/aus_nz_protocol_oct2019.pdf" TargetMode="External"/><Relationship Id="rId155" Type="http://schemas.openxmlformats.org/officeDocument/2006/relationships/image" Target="media/image45.png"/><Relationship Id="rId176" Type="http://schemas.openxmlformats.org/officeDocument/2006/relationships/image" Target="media/image66.png"/><Relationship Id="rId197" Type="http://schemas.openxmlformats.org/officeDocument/2006/relationships/hyperlink" Target="https://www.asic.gov.au/about-asic/news-centre/news-items/asic-updates-guidance-on-financial-reporting-and-audit-relief/" TargetMode="External"/><Relationship Id="rId201" Type="http://schemas.openxmlformats.org/officeDocument/2006/relationships/hyperlink" Target="https://www.asic.gov.au/regulatory-resources/sustainability-reporting/educational-modules/" TargetMode="External"/><Relationship Id="rId222" Type="http://schemas.openxmlformats.org/officeDocument/2006/relationships/footer" Target="footer26.xml"/><Relationship Id="rId243" Type="http://schemas.openxmlformats.org/officeDocument/2006/relationships/hyperlink" Target="https://www.frc.org.uk/news-and-events/news/2026/03/frc-sets-out-year-of-delivery-in-plan-and-budget-for-2627/" TargetMode="External"/><Relationship Id="rId264" Type="http://schemas.openxmlformats.org/officeDocument/2006/relationships/header" Target="header31.xml"/><Relationship Id="rId17" Type="http://schemas.openxmlformats.org/officeDocument/2006/relationships/footer" Target="footer5.xml"/><Relationship Id="rId38" Type="http://schemas.openxmlformats.org/officeDocument/2006/relationships/hyperlink" Target="http://cuttingredtape.gov.au/handbook/australian-government-guide-regulation" TargetMode="External"/><Relationship Id="rId59" Type="http://schemas.openxmlformats.org/officeDocument/2006/relationships/hyperlink" Target="https://www.auasb.gov.au/board-centre/board-charter/" TargetMode="External"/><Relationship Id="rId103" Type="http://schemas.openxmlformats.org/officeDocument/2006/relationships/hyperlink" Target="https://www.auasb.gov.au/admin/file/content102/c3/AUASBInternationalStrategy-April2019.pdf" TargetMode="External"/><Relationship Id="rId124" Type="http://schemas.openxmlformats.org/officeDocument/2006/relationships/image" Target="media/image14.png"/><Relationship Id="rId70" Type="http://schemas.openxmlformats.org/officeDocument/2006/relationships/hyperlink" Target="https://www.auasb.gov.au/admin/file/content102/c3/Framework_AssuranceEngagements_May20_FINAL.pdf" TargetMode="External"/><Relationship Id="rId91" Type="http://schemas.openxmlformats.org/officeDocument/2006/relationships/hyperlink" Target="https://www.auasb.gov.au/about-auasb/convergence-and-harmonisation-policy/" TargetMode="External"/><Relationship Id="rId145" Type="http://schemas.openxmlformats.org/officeDocument/2006/relationships/image" Target="media/image35.png"/><Relationship Id="rId166" Type="http://schemas.openxmlformats.org/officeDocument/2006/relationships/image" Target="media/image56.png"/><Relationship Id="rId187" Type="http://schemas.openxmlformats.org/officeDocument/2006/relationships/header" Target="header20.xml"/><Relationship Id="rId1" Type="http://schemas.openxmlformats.org/officeDocument/2006/relationships/numbering" Target="numbering.xml"/><Relationship Id="rId212" Type="http://schemas.openxmlformats.org/officeDocument/2006/relationships/hyperlink" Target="https://www.ifrs.org/news-and-events/news/2026/05/call-for-new-members-ifrs-advisory-council/" TargetMode="External"/><Relationship Id="rId233" Type="http://schemas.openxmlformats.org/officeDocument/2006/relationships/hyperlink" Target="https://www.fsb.org/2026/03/fsb-publishes-2025-annual-report/" TargetMode="External"/><Relationship Id="rId254" Type="http://schemas.openxmlformats.org/officeDocument/2006/relationships/hyperlink" Target="https://www.frascanada.ca/en/sustainability/documents/amendments-csds2-ghg-emissions" TargetMode="External"/><Relationship Id="rId28" Type="http://schemas.openxmlformats.org/officeDocument/2006/relationships/footer" Target="footer10.xml"/><Relationship Id="rId49" Type="http://schemas.openxmlformats.org/officeDocument/2006/relationships/footer" Target="footer13.xml"/><Relationship Id="rId114" Type="http://schemas.openxmlformats.org/officeDocument/2006/relationships/footer" Target="footer17.xml"/><Relationship Id="rId60" Type="http://schemas.openxmlformats.org/officeDocument/2006/relationships/hyperlink" Target="https://www.auasb.gov.au/admin/file/content102/c3/AUASBEISSStrategy.pdf" TargetMode="External"/><Relationship Id="rId81" Type="http://schemas.openxmlformats.org/officeDocument/2006/relationships/hyperlink" Target="https://www.auasb.gov.au/media/piudnhfc/aus_nz_protocol_oct2019.pdf" TargetMode="External"/><Relationship Id="rId135" Type="http://schemas.openxmlformats.org/officeDocument/2006/relationships/image" Target="media/image25.png"/><Relationship Id="rId156" Type="http://schemas.openxmlformats.org/officeDocument/2006/relationships/image" Target="media/image46.png"/><Relationship Id="rId177" Type="http://schemas.openxmlformats.org/officeDocument/2006/relationships/image" Target="media/image67.png"/><Relationship Id="rId198" Type="http://schemas.openxmlformats.org/officeDocument/2006/relationships/hyperlink" Target="https://www.asic.gov.au/regulatory-resources/find-a-document/regulatory-guides/rg-43-financial-reporting-and-audit-relief/" TargetMode="External"/><Relationship Id="rId202" Type="http://schemas.openxmlformats.org/officeDocument/2006/relationships/hyperlink" Target="https://www.asic.gov.au/about-asic/news-centre/news-items/asic-updates-financial-reporting-relief-instruments/" TargetMode="External"/><Relationship Id="rId223" Type="http://schemas.openxmlformats.org/officeDocument/2006/relationships/hyperlink" Target="https://www.ifac.org/global-regulatory-report" TargetMode="External"/><Relationship Id="rId244" Type="http://schemas.openxmlformats.org/officeDocument/2006/relationships/hyperlink" Target="https://www.frc.org.uk/news-and-events/news/2026/03/frc-introduces-evolved-approach-to-audit-supervision/" TargetMode="External"/><Relationship Id="rId18" Type="http://schemas.openxmlformats.org/officeDocument/2006/relationships/header" Target="header6.xml"/><Relationship Id="rId39" Type="http://schemas.openxmlformats.org/officeDocument/2006/relationships/hyperlink" Target="http://www.dpmc.gov.au/deregulation/obpr/reporting-publications/publications/guidance/docs/005_Regulatory_Burden_Measurement_Framework.pdf" TargetMode="External"/><Relationship Id="rId265" Type="http://schemas.openxmlformats.org/officeDocument/2006/relationships/footer" Target="footer31.xml"/><Relationship Id="rId50" Type="http://schemas.openxmlformats.org/officeDocument/2006/relationships/header" Target="header14.xml"/><Relationship Id="rId104" Type="http://schemas.openxmlformats.org/officeDocument/2006/relationships/hyperlink" Target="https://www.iaasb.org/system/files/uploads/IAASB/International-Auditing-and-Assurance-Standards-Board-Fact-Sheet.pdf" TargetMode="External"/><Relationship Id="rId125" Type="http://schemas.openxmlformats.org/officeDocument/2006/relationships/image" Target="media/image15.png"/><Relationship Id="rId146" Type="http://schemas.openxmlformats.org/officeDocument/2006/relationships/image" Target="media/image36.png"/><Relationship Id="rId167" Type="http://schemas.openxmlformats.org/officeDocument/2006/relationships/image" Target="media/image57.png"/><Relationship Id="rId188" Type="http://schemas.openxmlformats.org/officeDocument/2006/relationships/footer" Target="footer20.xml"/><Relationship Id="rId71" Type="http://schemas.openxmlformats.org/officeDocument/2006/relationships/hyperlink" Target="https://www.auasb.gov.au/admin/file/content102/c3/Framework_AssuranceEngagements_May20_FINAL.pdf" TargetMode="External"/><Relationship Id="rId92" Type="http://schemas.openxmlformats.org/officeDocument/2006/relationships/hyperlink" Target="https://www.auasb.gov.au/about-auasb/convergence-and-harmonisation-policy/" TargetMode="External"/><Relationship Id="rId213" Type="http://schemas.openxmlformats.org/officeDocument/2006/relationships/hyperlink" Target="https://www.ifrs.org/news-and-events/news/2026/05/emmanuel-faber-2026-beijing-international-sustainability-conference/" TargetMode="External"/><Relationship Id="rId234" Type="http://schemas.openxmlformats.org/officeDocument/2006/relationships/hyperlink" Target="https://www.ifac.org/news-events/2026-03/private-equity-investment-accountancy-ifac-releases-research-and-online-resource" TargetMode="Externa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yperlink" Target="https://www.frascanada.ca/en/sustainability/resources/sasb-resource-page" TargetMode="External"/><Relationship Id="rId40" Type="http://schemas.openxmlformats.org/officeDocument/2006/relationships/hyperlink" Target="https://www.pmc.gov.au/sites/default/files/publications/regulatory-burden-measurement-framework.pdf" TargetMode="External"/><Relationship Id="rId115" Type="http://schemas.openxmlformats.org/officeDocument/2006/relationships/header" Target="header18.xml"/><Relationship Id="rId136" Type="http://schemas.openxmlformats.org/officeDocument/2006/relationships/image" Target="media/image26.png"/><Relationship Id="rId157" Type="http://schemas.openxmlformats.org/officeDocument/2006/relationships/image" Target="media/image47.png"/><Relationship Id="rId178" Type="http://schemas.openxmlformats.org/officeDocument/2006/relationships/image" Target="media/image68.png"/><Relationship Id="rId61" Type="http://schemas.openxmlformats.org/officeDocument/2006/relationships/hyperlink" Target="https://www.auasb.gov.au/admin/file/content102/c3/AUASBInternationalStrategy-April2019.pdf" TargetMode="External"/><Relationship Id="rId82" Type="http://schemas.openxmlformats.org/officeDocument/2006/relationships/hyperlink" Target="https://www.auasb.gov.au/about-auasb/convergence-and-harmonisation-policy/" TargetMode="External"/><Relationship Id="rId199" Type="http://schemas.openxmlformats.org/officeDocument/2006/relationships/hyperlink" Target="https://www.asic.gov.au/about-asic/news-centre/news-items/asic-and-aasb-team-up-to-help-smaller-companies-get-ready-for-sustainability-reporting/" TargetMode="External"/><Relationship Id="rId203" Type="http://schemas.openxmlformats.org/officeDocument/2006/relationships/hyperlink" Target="https://www.legislation.gov.au/F2026L00352/latest/text" TargetMode="External"/><Relationship Id="rId19" Type="http://schemas.openxmlformats.org/officeDocument/2006/relationships/footer" Target="footer6.xml"/><Relationship Id="rId224" Type="http://schemas.openxmlformats.org/officeDocument/2006/relationships/hyperlink" Target="https://www.globalreporting.org/news/news-center/clearing-the-air-on-pollution-reporting/" TargetMode="External"/><Relationship Id="rId245" Type="http://schemas.openxmlformats.org/officeDocument/2006/relationships/hyperlink" Target="https://www.frc.org.uk/news-and-events/news/2026/03/frc-introduces-evolved-approach-to-audit-supervision/" TargetMode="External"/><Relationship Id="rId266" Type="http://schemas.openxmlformats.org/officeDocument/2006/relationships/image" Target="media/image76.jpeg"/><Relationship Id="rId30" Type="http://schemas.openxmlformats.org/officeDocument/2006/relationships/footer" Target="footer11.xml"/><Relationship Id="rId105" Type="http://schemas.openxmlformats.org/officeDocument/2006/relationships/header" Target="header16.xml"/><Relationship Id="rId126" Type="http://schemas.openxmlformats.org/officeDocument/2006/relationships/image" Target="media/image16.png"/><Relationship Id="rId147" Type="http://schemas.openxmlformats.org/officeDocument/2006/relationships/image" Target="media/image37.png"/><Relationship Id="rId168" Type="http://schemas.openxmlformats.org/officeDocument/2006/relationships/image" Target="media/image58.png"/><Relationship Id="rId51" Type="http://schemas.openxmlformats.org/officeDocument/2006/relationships/footer" Target="footer14.xml"/><Relationship Id="rId72" Type="http://schemas.openxmlformats.org/officeDocument/2006/relationships/hyperlink" Target="https://www.auasb.gov.au/admin/file/content102/c3/AUASB_Glossary_2018-CLEAN.pdf" TargetMode="External"/><Relationship Id="rId93" Type="http://schemas.openxmlformats.org/officeDocument/2006/relationships/hyperlink" Target="https://www.auasb.gov.au/about-auasb/convergence-and-harmonisation-policy/" TargetMode="External"/><Relationship Id="rId189" Type="http://schemas.openxmlformats.org/officeDocument/2006/relationships/hyperlink" Target="https://www.auasb.gov.au/admin/file/content102/c3/AASB-AUASB_Board_Charter_10-19.pdf" TargetMode="External"/><Relationship Id="rId3" Type="http://schemas.openxmlformats.org/officeDocument/2006/relationships/settings" Target="settings.xml"/><Relationship Id="rId214" Type="http://schemas.openxmlformats.org/officeDocument/2006/relationships/header" Target="header24.xml"/><Relationship Id="rId235" Type="http://schemas.openxmlformats.org/officeDocument/2006/relationships/header" Target="header27.xml"/><Relationship Id="rId256" Type="http://schemas.openxmlformats.org/officeDocument/2006/relationships/hyperlink" Target="https://www.frascanada.ca/en/sustainability/resources/sasb-resource-page" TargetMode="External"/><Relationship Id="rId116" Type="http://schemas.openxmlformats.org/officeDocument/2006/relationships/footer" Target="footer18.xml"/><Relationship Id="rId137" Type="http://schemas.openxmlformats.org/officeDocument/2006/relationships/image" Target="media/image27.png"/><Relationship Id="rId158" Type="http://schemas.openxmlformats.org/officeDocument/2006/relationships/image" Target="media/image48.png"/><Relationship Id="rId20" Type="http://schemas.openxmlformats.org/officeDocument/2006/relationships/header" Target="header7.xml"/><Relationship Id="rId41" Type="http://schemas.openxmlformats.org/officeDocument/2006/relationships/hyperlink" Target="http://www.aasb.gov.au/Pronouncements/Board-agenda-decisions.aspx" TargetMode="External"/><Relationship Id="rId62" Type="http://schemas.openxmlformats.org/officeDocument/2006/relationships/hyperlink" Target="https://www.auasb.gov.au/about-auasb/convergence-and-harmonisation-policy/" TargetMode="External"/><Relationship Id="rId83" Type="http://schemas.openxmlformats.org/officeDocument/2006/relationships/hyperlink" Target="https://www.auasb.gov.au/about-auasb/convergence-and-harmonisation-policy/" TargetMode="External"/><Relationship Id="rId179" Type="http://schemas.openxmlformats.org/officeDocument/2006/relationships/image" Target="media/image69.png"/><Relationship Id="rId190" Type="http://schemas.openxmlformats.org/officeDocument/2006/relationships/header" Target="header21.xml"/><Relationship Id="rId204" Type="http://schemas.openxmlformats.org/officeDocument/2006/relationships/hyperlink" Target="https://www.legislation.gov.au/F2026L00352/latest/text" TargetMode="External"/><Relationship Id="rId225" Type="http://schemas.openxmlformats.org/officeDocument/2006/relationships/hyperlink" Target="https://www.iosco.org/news/pdf/IOSCONEWS784.pdf" TargetMode="External"/><Relationship Id="rId246" Type="http://schemas.openxmlformats.org/officeDocument/2006/relationships/hyperlink" Target="https://www.frc.org.uk/news-and-events/news/2026/03/frc-strengthens-oversight-of-pie-audit-firm-restructuring/" TargetMode="External"/><Relationship Id="rId267" Type="http://schemas.openxmlformats.org/officeDocument/2006/relationships/header" Target="header32.xml"/><Relationship Id="rId106" Type="http://schemas.openxmlformats.org/officeDocument/2006/relationships/footer" Target="footer16.xml"/><Relationship Id="rId12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hyperlink" Target="https://www.aasb.gov.au/admin/file/content102/c3/AASB-AUASB_Strategy_2017-2021.pdf" TargetMode="External"/><Relationship Id="rId52" Type="http://schemas.openxmlformats.org/officeDocument/2006/relationships/hyperlink" Target="https://www.auasb.gov.au/about-auasb/corporate-plan-strategy/" TargetMode="External"/><Relationship Id="rId73" Type="http://schemas.openxmlformats.org/officeDocument/2006/relationships/hyperlink" Target="https://www.auasb.gov.au/media/j0chdtth/asa_101_09-21.pdf" TargetMode="External"/><Relationship Id="rId94" Type="http://schemas.openxmlformats.org/officeDocument/2006/relationships/hyperlink" Target="https://www.auasb.gov.au/about-auasb/convergence-and-harmonisation-policy/" TargetMode="External"/><Relationship Id="rId148" Type="http://schemas.openxmlformats.org/officeDocument/2006/relationships/image" Target="media/image38.png"/><Relationship Id="rId169" Type="http://schemas.openxmlformats.org/officeDocument/2006/relationships/image" Target="media/image59.png"/><Relationship Id="rId4" Type="http://schemas.openxmlformats.org/officeDocument/2006/relationships/webSettings" Target="webSettings.xml"/><Relationship Id="rId180" Type="http://schemas.openxmlformats.org/officeDocument/2006/relationships/image" Target="media/image70.png"/><Relationship Id="rId215" Type="http://schemas.openxmlformats.org/officeDocument/2006/relationships/footer" Target="footer24.xml"/><Relationship Id="rId236" Type="http://schemas.openxmlformats.org/officeDocument/2006/relationships/footer" Target="footer27.xml"/><Relationship Id="rId257" Type="http://schemas.openxmlformats.org/officeDocument/2006/relationships/hyperlink" Target="https://www.efrag.org/en/news-and-calendar/news/efrag-launches-a-call-for-expression-of-interest-on-voluntary-sustainability-reporting-by-nonsme" TargetMode="External"/><Relationship Id="rId42" Type="http://schemas.openxmlformats.org/officeDocument/2006/relationships/hyperlink" Target="https://www.aasb.gov.au/admin/file/content102/c3/AASBEducationStrategy.pdf" TargetMode="External"/><Relationship Id="rId84" Type="http://schemas.openxmlformats.org/officeDocument/2006/relationships/hyperlink" Target="https://www.auasb.gov.au/admin/file/content102/c3/AUASBInternationalStrategy-April2019.pdf" TargetMode="External"/><Relationship Id="rId138" Type="http://schemas.openxmlformats.org/officeDocument/2006/relationships/image" Target="media/image28.png"/><Relationship Id="rId191" Type="http://schemas.openxmlformats.org/officeDocument/2006/relationships/footer" Target="footer21.xml"/><Relationship Id="rId205" Type="http://schemas.openxmlformats.org/officeDocument/2006/relationships/hyperlink" Target="https://www.legislation.gov.au/F2026L00362/asmade/text" TargetMode="External"/><Relationship Id="rId247" Type="http://schemas.openxmlformats.org/officeDocument/2006/relationships/hyperlink" Target="https://www.frc.org.uk/news-and-events/news/2026/04/roundtable-share-your-views-on-the-isa-for-less-complex-entities/" TargetMode="External"/><Relationship Id="rId107" Type="http://schemas.openxmlformats.org/officeDocument/2006/relationships/hyperlink" Target="https://www.auasb.gov.au/admin/file/content102/c3/AUASBInternationalStrategy-April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36641</Words>
  <Characters>209954</Characters>
  <Application>Microsoft Office Word</Application>
  <DocSecurity>0</DocSecurity>
  <Lines>4771</Lines>
  <Paragraphs>2054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118th FRC meeting – 5 June 2026 – Public papers</dc:title>
  <dc:creator>Australian Government</dc:creator>
  <cp:lastModifiedBy/>
  <cp:revision>1</cp:revision>
  <dcterms:created xsi:type="dcterms:W3CDTF">2026-06-02T23:51:00Z</dcterms:created>
  <dcterms:modified xsi:type="dcterms:W3CDTF">2026-06-02T23:52:00Z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2026-06-02T23:52:13Z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2d7623dd-a46e-457f-a5b0-ea9fe6a836fc</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