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B848" w14:textId="372D539B" w:rsidR="004B45A9" w:rsidRPr="001E6ADE" w:rsidRDefault="00023927" w:rsidP="00B80973">
      <w:pPr>
        <w:pStyle w:val="Title"/>
        <w:rPr>
          <w:rFonts w:asciiTheme="minorHAnsi" w:hAnsiTheme="minorHAnsi" w:cs="Calibri"/>
        </w:rPr>
      </w:pPr>
      <w:r w:rsidRPr="001E6ADE">
        <w:rPr>
          <w:rFonts w:asciiTheme="minorHAnsi" w:hAnsiTheme="minorHAnsi" w:cs="Calibri"/>
        </w:rPr>
        <w:t xml:space="preserve">Public </w:t>
      </w:r>
      <w:r w:rsidR="00D2573D" w:rsidRPr="001E6ADE">
        <w:rPr>
          <w:rFonts w:asciiTheme="minorHAnsi" w:hAnsiTheme="minorHAnsi" w:cs="Calibri"/>
        </w:rPr>
        <w:t>Minutes – 11</w:t>
      </w:r>
      <w:r w:rsidR="00450191" w:rsidRPr="001E6ADE">
        <w:rPr>
          <w:rFonts w:asciiTheme="minorHAnsi" w:hAnsiTheme="minorHAnsi" w:cs="Calibri"/>
        </w:rPr>
        <w:t>7</w:t>
      </w:r>
      <w:r w:rsidR="00D2573D" w:rsidRPr="001E6ADE">
        <w:rPr>
          <w:rFonts w:asciiTheme="minorHAnsi" w:hAnsiTheme="minorHAnsi" w:cs="Calibri"/>
        </w:rPr>
        <w:t>TH FRC MEETING</w:t>
      </w:r>
    </w:p>
    <w:p w14:paraId="00A78927" w14:textId="50F9771A" w:rsidR="00D2573D" w:rsidRPr="001E6ADE" w:rsidRDefault="00FF492F" w:rsidP="00B80973">
      <w:pPr>
        <w:pStyle w:val="NoSpacing"/>
        <w:rPr>
          <w:rFonts w:cs="Calibri"/>
        </w:rPr>
      </w:pPr>
      <w:r w:rsidRPr="001E6ADE">
        <w:rPr>
          <w:rFonts w:cs="Calibri"/>
        </w:rPr>
        <w:t>26 March 2026</w:t>
      </w:r>
      <w:r w:rsidR="00A72DE8" w:rsidRPr="001E6ADE">
        <w:rPr>
          <w:rFonts w:cs="Calibri"/>
        </w:rPr>
        <w:t xml:space="preserve">, </w:t>
      </w:r>
      <w:r w:rsidR="002A38DE" w:rsidRPr="001E6ADE">
        <w:rPr>
          <w:rFonts w:cs="Calibri"/>
        </w:rPr>
        <w:t>ASIC Office Level 5, 100 Market St, Sydney NSW 2000</w:t>
      </w:r>
    </w:p>
    <w:p w14:paraId="7DBD87E2" w14:textId="77777777" w:rsidR="003C09FE" w:rsidRPr="001E6ADE" w:rsidRDefault="003C09FE" w:rsidP="00B80973">
      <w:pPr>
        <w:pStyle w:val="NoSpacing"/>
        <w:rPr>
          <w:rFonts w:cs="Calibri"/>
        </w:rPr>
      </w:pPr>
    </w:p>
    <w:sdt>
      <w:sdtPr>
        <w:rPr>
          <w:rFonts w:asciiTheme="minorHAnsi" w:eastAsiaTheme="minorEastAsia" w:hAnsiTheme="minorHAnsi" w:cs="Calibri"/>
          <w:color w:val="auto"/>
          <w:kern w:val="2"/>
          <w:sz w:val="28"/>
          <w:szCs w:val="28"/>
          <w:lang w:val="en-GB"/>
          <w14:ligatures w14:val="standardContextual"/>
        </w:rPr>
        <w:id w:val="-712271958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14:paraId="555ACE37" w14:textId="0E04D758" w:rsidR="002B20AC" w:rsidRPr="001E6ADE" w:rsidRDefault="002B20AC" w:rsidP="00B80973">
          <w:pPr>
            <w:pStyle w:val="TOCHeading"/>
            <w:spacing w:before="0" w:line="240" w:lineRule="auto"/>
            <w:rPr>
              <w:rFonts w:asciiTheme="minorHAnsi" w:hAnsiTheme="minorHAnsi" w:cs="Calibri"/>
              <w:sz w:val="28"/>
              <w:szCs w:val="28"/>
            </w:rPr>
          </w:pPr>
          <w:r w:rsidRPr="001E6ADE">
            <w:rPr>
              <w:rFonts w:asciiTheme="minorHAnsi" w:hAnsiTheme="minorHAnsi" w:cs="Calibri"/>
              <w:sz w:val="28"/>
              <w:szCs w:val="28"/>
            </w:rPr>
            <w:t>Contents</w:t>
          </w:r>
        </w:p>
        <w:p w14:paraId="28B6B5A6" w14:textId="1E537936" w:rsidR="001D344B" w:rsidRPr="001E6ADE" w:rsidRDefault="002B20AC" w:rsidP="00B80973">
          <w:pPr>
            <w:pStyle w:val="TOC1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r w:rsidRPr="001E6ADE">
            <w:rPr>
              <w:rFonts w:cs="Calibri"/>
              <w:sz w:val="22"/>
              <w:szCs w:val="22"/>
            </w:rPr>
            <w:fldChar w:fldCharType="begin"/>
          </w:r>
          <w:r w:rsidRPr="001E6ADE">
            <w:rPr>
              <w:rFonts w:cs="Calibri"/>
              <w:sz w:val="22"/>
              <w:szCs w:val="22"/>
            </w:rPr>
            <w:instrText xml:space="preserve"> TOC \o "1-3" \h \z \u </w:instrText>
          </w:r>
          <w:r w:rsidRPr="001E6ADE">
            <w:rPr>
              <w:rFonts w:cs="Calibri"/>
              <w:sz w:val="22"/>
              <w:szCs w:val="22"/>
            </w:rPr>
            <w:fldChar w:fldCharType="separate"/>
          </w:r>
          <w:hyperlink w:anchor="_Toc226452415" w:history="1">
            <w:r w:rsidR="001D344B" w:rsidRPr="001E6ADE">
              <w:rPr>
                <w:rStyle w:val="Hyperlink"/>
                <w:rFonts w:cs="Calibri"/>
                <w:noProof/>
              </w:rPr>
              <w:t>Attendees and apologies</w:t>
            </w:r>
            <w:r w:rsidR="001D344B" w:rsidRPr="001E6ADE">
              <w:rPr>
                <w:noProof/>
                <w:webHidden/>
              </w:rPr>
              <w:tab/>
            </w:r>
            <w:r w:rsidR="001D344B" w:rsidRPr="001E6ADE">
              <w:rPr>
                <w:noProof/>
                <w:webHidden/>
              </w:rPr>
              <w:fldChar w:fldCharType="begin"/>
            </w:r>
            <w:r w:rsidR="001D344B" w:rsidRPr="001E6ADE">
              <w:rPr>
                <w:noProof/>
                <w:webHidden/>
              </w:rPr>
              <w:instrText xml:space="preserve"> PAGEREF _Toc226452415 \h </w:instrText>
            </w:r>
            <w:r w:rsidR="001D344B" w:rsidRPr="001E6ADE">
              <w:rPr>
                <w:noProof/>
                <w:webHidden/>
              </w:rPr>
            </w:r>
            <w:r w:rsidR="001D344B" w:rsidRPr="001E6ADE">
              <w:rPr>
                <w:noProof/>
                <w:webHidden/>
              </w:rPr>
              <w:fldChar w:fldCharType="separate"/>
            </w:r>
            <w:r w:rsidR="001D344B" w:rsidRPr="001E6ADE">
              <w:rPr>
                <w:noProof/>
                <w:webHidden/>
              </w:rPr>
              <w:t>2</w:t>
            </w:r>
            <w:r w:rsidR="001D344B" w:rsidRPr="001E6ADE">
              <w:rPr>
                <w:noProof/>
                <w:webHidden/>
              </w:rPr>
              <w:fldChar w:fldCharType="end"/>
            </w:r>
          </w:hyperlink>
        </w:p>
        <w:p w14:paraId="04636040" w14:textId="3F45E2E4" w:rsidR="001D344B" w:rsidRPr="001E6ADE" w:rsidRDefault="001D344B" w:rsidP="00B80973">
          <w:pPr>
            <w:pStyle w:val="TOC1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16" w:history="1">
            <w:r w:rsidRPr="001E6ADE">
              <w:rPr>
                <w:rStyle w:val="Hyperlink"/>
                <w:rFonts w:cs="Calibri"/>
                <w:noProof/>
              </w:rPr>
              <w:t>PUBLIC SESSION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_Toc226452416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3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73701A8A" w14:textId="5826E7D4" w:rsidR="001D344B" w:rsidRPr="001E6ADE" w:rsidRDefault="001D344B" w:rsidP="00B80973">
          <w:pPr>
            <w:pStyle w:val="TOC2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17" w:history="1">
            <w:r w:rsidRPr="001E6ADE">
              <w:rPr>
                <w:rStyle w:val="Hyperlink"/>
                <w:rFonts w:cs="Calibri"/>
                <w:noProof/>
              </w:rPr>
              <w:t>1. Introduction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_Toc226452417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3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2EB70F2E" w14:textId="63B95389" w:rsidR="001D344B" w:rsidRPr="001E6ADE" w:rsidRDefault="001D344B" w:rsidP="00B80973">
          <w:pPr>
            <w:pStyle w:val="TOC3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18" w:history="1">
            <w:r w:rsidRPr="001E6ADE">
              <w:rPr>
                <w:rStyle w:val="Hyperlink"/>
                <w:rFonts w:cs="Calibri"/>
                <w:noProof/>
              </w:rPr>
              <w:t>1B. Attendees and apologies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_Toc226452418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3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3FCE12AE" w14:textId="7B0E2551" w:rsidR="001D344B" w:rsidRPr="001E6ADE" w:rsidRDefault="001D344B" w:rsidP="00B80973">
          <w:pPr>
            <w:pStyle w:val="TOC3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19" w:history="1">
            <w:r w:rsidRPr="001E6ADE">
              <w:rPr>
                <w:rStyle w:val="Hyperlink"/>
                <w:rFonts w:cs="Calibri"/>
                <w:noProof/>
              </w:rPr>
              <w:t>1C. Declarations of interest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_Toc226452419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3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5FAF752D" w14:textId="589439DB" w:rsidR="001D344B" w:rsidRPr="001E6ADE" w:rsidRDefault="001D344B" w:rsidP="00B80973">
          <w:pPr>
            <w:pStyle w:val="TOC2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20" w:history="1">
            <w:r w:rsidRPr="001E6ADE">
              <w:rPr>
                <w:rStyle w:val="Hyperlink"/>
                <w:rFonts w:cs="Calibri"/>
                <w:noProof/>
              </w:rPr>
              <w:t>2. Environmental scan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_Toc226452420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3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692F22A0" w14:textId="44908EF5" w:rsidR="001D344B" w:rsidRPr="001E6ADE" w:rsidRDefault="001D344B" w:rsidP="00B80973">
          <w:pPr>
            <w:pStyle w:val="TOC3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21" w:history="1">
            <w:r w:rsidRPr="001E6ADE">
              <w:rPr>
                <w:rStyle w:val="Hyperlink"/>
                <w:rFonts w:cs="Calibri"/>
                <w:noProof/>
              </w:rPr>
              <w:t>2A. Member reflections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_Toc226452421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3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505047D0" w14:textId="591D500B" w:rsidR="001D344B" w:rsidRPr="001E6ADE" w:rsidRDefault="001D344B" w:rsidP="00B80973">
          <w:pPr>
            <w:pStyle w:val="TOC2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22" w:history="1">
            <w:r w:rsidRPr="001E6ADE">
              <w:rPr>
                <w:rStyle w:val="Hyperlink"/>
                <w:rFonts w:cs="Calibri"/>
                <w:noProof/>
              </w:rPr>
              <w:t>3. Monitoring and influencing international developments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_Toc226452422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4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32DFE1C9" w14:textId="63FCC3CA" w:rsidR="001D344B" w:rsidRPr="001E6ADE" w:rsidRDefault="001D344B" w:rsidP="00B80973">
          <w:pPr>
            <w:pStyle w:val="TOC3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23" w:history="1">
            <w:r w:rsidRPr="001E6ADE">
              <w:rPr>
                <w:rStyle w:val="Hyperlink"/>
                <w:rFonts w:cs="Calibri"/>
                <w:noProof/>
              </w:rPr>
              <w:t>3A. XRB update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_Toc226452423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4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51E5B316" w14:textId="7DC257FA" w:rsidR="001D344B" w:rsidRPr="001E6ADE" w:rsidRDefault="001D344B" w:rsidP="00B80973">
          <w:pPr>
            <w:pStyle w:val="TOC3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24" w:history="1">
            <w:r w:rsidRPr="001E6ADE">
              <w:rPr>
                <w:rStyle w:val="Hyperlink"/>
                <w:rFonts w:cs="Calibri"/>
                <w:noProof/>
              </w:rPr>
              <w:t>3B. International and regulatory developments (including update from ASIC)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_Toc226452424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4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74142F60" w14:textId="177FE8BA" w:rsidR="001D344B" w:rsidRPr="001E6ADE" w:rsidRDefault="001D344B" w:rsidP="00B80973">
          <w:pPr>
            <w:pStyle w:val="TOC2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25" w:history="1">
            <w:r w:rsidRPr="001E6ADE">
              <w:rPr>
                <w:rStyle w:val="Hyperlink"/>
                <w:rFonts w:cs="Calibri"/>
                <w:noProof/>
              </w:rPr>
              <w:t>4. Update on integrity in the accounting and audit profession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_Toc226452425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5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456A74A7" w14:textId="7A9AB2C6" w:rsidR="001D344B" w:rsidRPr="001E6ADE" w:rsidRDefault="001D344B" w:rsidP="00B80973">
          <w:pPr>
            <w:pStyle w:val="TOC2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26" w:history="1">
            <w:r w:rsidRPr="001E6ADE">
              <w:rPr>
                <w:rStyle w:val="Hyperlink"/>
                <w:rFonts w:cs="Calibri"/>
                <w:noProof/>
              </w:rPr>
              <w:t>5. Oversight of Australian Standards (Accounting and Auditing)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_Toc226452426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5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200A1166" w14:textId="17057C00" w:rsidR="001D344B" w:rsidRPr="001E6ADE" w:rsidRDefault="001D344B" w:rsidP="00B80973">
          <w:pPr>
            <w:pStyle w:val="TOC3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27" w:history="1">
            <w:r w:rsidRPr="001E6ADE">
              <w:rPr>
                <w:rStyle w:val="Hyperlink"/>
                <w:rFonts w:cs="Calibri"/>
                <w:noProof/>
              </w:rPr>
              <w:t>5A. AASB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_Toc226452427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5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3D4A2AA8" w14:textId="75259D1E" w:rsidR="001D344B" w:rsidRPr="001E6ADE" w:rsidRDefault="001D344B" w:rsidP="00B80973">
          <w:pPr>
            <w:pStyle w:val="TOC3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28" w:history="1">
            <w:r w:rsidRPr="001E6ADE">
              <w:rPr>
                <w:rStyle w:val="Hyperlink"/>
                <w:rFonts w:cs="Calibri"/>
                <w:noProof/>
              </w:rPr>
              <w:t>5B. AUASB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_Toc226452428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5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61533623" w14:textId="6C43F8C7" w:rsidR="001D344B" w:rsidRPr="001E6ADE" w:rsidRDefault="001D344B" w:rsidP="00B80973">
          <w:pPr>
            <w:pStyle w:val="TOC2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29" w:history="1">
            <w:r w:rsidRPr="001E6ADE">
              <w:rPr>
                <w:rStyle w:val="Hyperlink"/>
                <w:rFonts w:cs="Calibri"/>
                <w:noProof/>
              </w:rPr>
              <w:t>6. Public Sector Advisory Group update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_Toc226452429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6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5050C504" w14:textId="0ABA8E32" w:rsidR="001D344B" w:rsidRPr="001E6ADE" w:rsidRDefault="001D344B" w:rsidP="00B80973">
          <w:pPr>
            <w:pStyle w:val="TOC2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30" w:history="1">
            <w:r w:rsidRPr="001E6ADE">
              <w:rPr>
                <w:rStyle w:val="Hyperlink"/>
                <w:rFonts w:cs="Calibri"/>
                <w:noProof/>
              </w:rPr>
              <w:t>7. Auditor Review Working Group update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_Toc226452430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6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45A2FE4C" w14:textId="0CEDAF46" w:rsidR="001D344B" w:rsidRPr="001E6ADE" w:rsidRDefault="001D344B" w:rsidP="00B80973">
          <w:pPr>
            <w:pStyle w:val="TOC2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31" w:history="1">
            <w:r w:rsidRPr="001E6ADE">
              <w:rPr>
                <w:rStyle w:val="Hyperlink"/>
                <w:rFonts w:cs="Calibri"/>
                <w:noProof/>
              </w:rPr>
              <w:t>8. Other business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_Toc226452431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6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19028D44" w14:textId="18FA2583" w:rsidR="001D344B" w:rsidRPr="001E6ADE" w:rsidRDefault="001D344B" w:rsidP="00B80973">
          <w:pPr>
            <w:pStyle w:val="TOC3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32" w:history="1">
            <w:r w:rsidRPr="001E6ADE">
              <w:rPr>
                <w:rStyle w:val="Hyperlink"/>
                <w:rFonts w:cs="Calibri"/>
                <w:noProof/>
              </w:rPr>
              <w:t>8A. International funding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_Toc226452432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6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11F23383" w14:textId="286EDCFA" w:rsidR="001D344B" w:rsidRPr="001E6ADE" w:rsidRDefault="001D344B" w:rsidP="00B80973">
          <w:pPr>
            <w:pStyle w:val="TOC3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33" w:history="1">
            <w:r w:rsidRPr="001E6ADE">
              <w:rPr>
                <w:rStyle w:val="Hyperlink"/>
                <w:rFonts w:cs="Calibri"/>
                <w:noProof/>
              </w:rPr>
              <w:t>8B. Correspondence received and sent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_Toc226452433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6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13AED8D9" w14:textId="2DAA6940" w:rsidR="001D344B" w:rsidRPr="001E6ADE" w:rsidRDefault="001D344B" w:rsidP="00B80973">
          <w:pPr>
            <w:pStyle w:val="TOC3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34" w:history="1">
            <w:r w:rsidRPr="001E6ADE">
              <w:rPr>
                <w:rStyle w:val="Hyperlink"/>
                <w:rFonts w:cs="Calibri"/>
                <w:noProof/>
              </w:rPr>
              <w:t>8C. Key action items summary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_Toc226452434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6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35C1AF69" w14:textId="48BEDCFC" w:rsidR="001D344B" w:rsidRPr="001E6ADE" w:rsidRDefault="001D344B" w:rsidP="00B80973">
          <w:pPr>
            <w:pStyle w:val="TOC2"/>
            <w:tabs>
              <w:tab w:val="right" w:leader="dot" w:pos="9016"/>
            </w:tabs>
            <w:spacing w:line="240" w:lineRule="auto"/>
            <w:rPr>
              <w:rFonts w:eastAsiaTheme="minorEastAsia"/>
              <w:noProof/>
              <w:lang w:val="en-AU" w:eastAsia="en-AU"/>
            </w:rPr>
          </w:pPr>
          <w:hyperlink w:anchor="_Toc226452435" w:history="1">
            <w:r w:rsidRPr="001E6ADE">
              <w:rPr>
                <w:rStyle w:val="Hyperlink"/>
                <w:rFonts w:cs="Calibri"/>
                <w:noProof/>
              </w:rPr>
              <w:t>Meeting close</w:t>
            </w:r>
            <w:r w:rsidRPr="001E6ADE">
              <w:rPr>
                <w:noProof/>
                <w:webHidden/>
              </w:rPr>
              <w:tab/>
            </w:r>
            <w:r w:rsidRPr="001E6ADE">
              <w:rPr>
                <w:noProof/>
                <w:webHidden/>
              </w:rPr>
              <w:fldChar w:fldCharType="begin"/>
            </w:r>
            <w:r w:rsidRPr="001E6ADE">
              <w:rPr>
                <w:noProof/>
                <w:webHidden/>
              </w:rPr>
              <w:instrText xml:space="preserve"> PAGEREF _Toc226452435 \h </w:instrText>
            </w:r>
            <w:r w:rsidRPr="001E6ADE">
              <w:rPr>
                <w:noProof/>
                <w:webHidden/>
              </w:rPr>
            </w:r>
            <w:r w:rsidRPr="001E6ADE">
              <w:rPr>
                <w:noProof/>
                <w:webHidden/>
              </w:rPr>
              <w:fldChar w:fldCharType="separate"/>
            </w:r>
            <w:r w:rsidRPr="001E6ADE">
              <w:rPr>
                <w:noProof/>
                <w:webHidden/>
              </w:rPr>
              <w:t>6</w:t>
            </w:r>
            <w:r w:rsidRPr="001E6ADE">
              <w:rPr>
                <w:noProof/>
                <w:webHidden/>
              </w:rPr>
              <w:fldChar w:fldCharType="end"/>
            </w:r>
          </w:hyperlink>
        </w:p>
        <w:p w14:paraId="171678CB" w14:textId="627319EC" w:rsidR="007669BB" w:rsidRPr="001E6ADE" w:rsidRDefault="002B20AC" w:rsidP="00B80973">
          <w:pPr>
            <w:spacing w:line="240" w:lineRule="auto"/>
            <w:rPr>
              <w:rFonts w:cs="Calibri"/>
            </w:rPr>
          </w:pPr>
          <w:r w:rsidRPr="001E6ADE">
            <w:rPr>
              <w:rFonts w:cs="Calibri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219F4C0A" w14:textId="77777777" w:rsidR="00023927" w:rsidRPr="001E6ADE" w:rsidRDefault="00023927" w:rsidP="00B80973">
      <w:pPr>
        <w:spacing w:line="240" w:lineRule="auto"/>
        <w:rPr>
          <w:rFonts w:eastAsiaTheme="majorEastAsia" w:cs="Calibri"/>
          <w:color w:val="0F4761" w:themeColor="accent1" w:themeShade="BF"/>
          <w:sz w:val="40"/>
          <w:szCs w:val="40"/>
        </w:rPr>
      </w:pPr>
      <w:r w:rsidRPr="001E6ADE">
        <w:rPr>
          <w:rFonts w:cs="Calibri"/>
        </w:rPr>
        <w:br w:type="page"/>
      </w:r>
    </w:p>
    <w:p w14:paraId="09926740" w14:textId="5C7C24DE" w:rsidR="00C57402" w:rsidRPr="001E6ADE" w:rsidRDefault="00DD3654" w:rsidP="00B80973">
      <w:pPr>
        <w:pStyle w:val="Heading1"/>
        <w:spacing w:line="240" w:lineRule="auto"/>
        <w:jc w:val="center"/>
        <w:rPr>
          <w:rFonts w:asciiTheme="minorHAnsi" w:hAnsiTheme="minorHAnsi" w:cs="Calibri"/>
        </w:rPr>
      </w:pPr>
      <w:bookmarkStart w:id="0" w:name="_Toc226452415"/>
      <w:r w:rsidRPr="001E6ADE">
        <w:rPr>
          <w:rFonts w:asciiTheme="minorHAnsi" w:hAnsiTheme="minorHAnsi" w:cs="Calibri"/>
        </w:rPr>
        <w:lastRenderedPageBreak/>
        <w:t>Attendees and apologies</w:t>
      </w:r>
      <w:bookmarkEnd w:id="0"/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5C4394" w:rsidRPr="001E6ADE" w14:paraId="220C43A6" w14:textId="77777777" w:rsidTr="001C5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14:paraId="1D62AC19" w14:textId="77777777" w:rsidR="005C4394" w:rsidRPr="001E6ADE" w:rsidRDefault="005C4394" w:rsidP="00B80973">
            <w:pPr>
              <w:rPr>
                <w:rFonts w:eastAsia="Calibri" w:cs="Times New Roman"/>
                <w:b w:val="0"/>
                <w:sz w:val="22"/>
              </w:rPr>
            </w:pPr>
            <w:r w:rsidRPr="001E6ADE">
              <w:rPr>
                <w:rFonts w:eastAsia="Calibri" w:cs="Times New Roman"/>
                <w:sz w:val="22"/>
              </w:rPr>
              <w:t>Participants – FRC members</w:t>
            </w:r>
          </w:p>
        </w:tc>
        <w:tc>
          <w:tcPr>
            <w:tcW w:w="4533" w:type="dxa"/>
          </w:tcPr>
          <w:p w14:paraId="6D70F8F8" w14:textId="77777777" w:rsidR="005C4394" w:rsidRPr="001E6ADE" w:rsidRDefault="005C4394" w:rsidP="00B809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sz w:val="22"/>
              </w:rPr>
            </w:pPr>
            <w:r w:rsidRPr="001E6ADE">
              <w:rPr>
                <w:rFonts w:eastAsia="Calibri" w:cs="Times New Roman"/>
                <w:sz w:val="22"/>
              </w:rPr>
              <w:t>Organisation</w:t>
            </w:r>
          </w:p>
        </w:tc>
      </w:tr>
      <w:tr w:rsidR="005C4394" w:rsidRPr="001E6ADE" w14:paraId="727DF49F" w14:textId="77777777" w:rsidTr="001C5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14:paraId="4B8BED07" w14:textId="77777777" w:rsidR="005C4394" w:rsidRPr="001E6ADE" w:rsidRDefault="005C4394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 xml:space="preserve">Andrew Mills </w:t>
            </w:r>
          </w:p>
        </w:tc>
        <w:tc>
          <w:tcPr>
            <w:tcW w:w="4533" w:type="dxa"/>
          </w:tcPr>
          <w:p w14:paraId="52110873" w14:textId="77777777" w:rsidR="005C4394" w:rsidRPr="001E6ADE" w:rsidRDefault="005C4394" w:rsidP="00B8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Chair</w:t>
            </w:r>
          </w:p>
        </w:tc>
      </w:tr>
      <w:tr w:rsidR="005C4394" w:rsidRPr="001E6ADE" w14:paraId="6640C718" w14:textId="77777777" w:rsidTr="001C56C2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14:paraId="651E7796" w14:textId="77777777" w:rsidR="005C4394" w:rsidRPr="001E6ADE" w:rsidRDefault="005C4394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Keith Kendall</w:t>
            </w:r>
          </w:p>
        </w:tc>
        <w:tc>
          <w:tcPr>
            <w:tcW w:w="4533" w:type="dxa"/>
          </w:tcPr>
          <w:p w14:paraId="5CDEB133" w14:textId="77777777" w:rsidR="005C4394" w:rsidRPr="001E6ADE" w:rsidRDefault="005C4394" w:rsidP="00B8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AASB Chair</w:t>
            </w:r>
          </w:p>
        </w:tc>
      </w:tr>
      <w:tr w:rsidR="005C4394" w:rsidRPr="001E6ADE" w14:paraId="3ECEC8E1" w14:textId="77777777" w:rsidTr="001C5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14:paraId="5E22CE31" w14:textId="77777777" w:rsidR="005C4394" w:rsidRPr="001E6ADE" w:rsidRDefault="005C4394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Doug Niven</w:t>
            </w:r>
          </w:p>
        </w:tc>
        <w:tc>
          <w:tcPr>
            <w:tcW w:w="4533" w:type="dxa"/>
          </w:tcPr>
          <w:p w14:paraId="784D0BE8" w14:textId="77777777" w:rsidR="005C4394" w:rsidRPr="001E6ADE" w:rsidRDefault="005C4394" w:rsidP="00B8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AUASB Chair</w:t>
            </w:r>
          </w:p>
        </w:tc>
      </w:tr>
      <w:tr w:rsidR="005C4394" w:rsidRPr="001E6ADE" w14:paraId="63E0E583" w14:textId="77777777" w:rsidTr="001C56C2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14:paraId="1DFD347C" w14:textId="77777777" w:rsidR="005C4394" w:rsidRPr="001E6ADE" w:rsidRDefault="005C4394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sz w:val="22"/>
              </w:rPr>
              <w:t>Rachel Grimes</w:t>
            </w:r>
          </w:p>
        </w:tc>
        <w:tc>
          <w:tcPr>
            <w:tcW w:w="4533" w:type="dxa"/>
          </w:tcPr>
          <w:p w14:paraId="15D33D3C" w14:textId="77777777" w:rsidR="005C4394" w:rsidRPr="001E6ADE" w:rsidRDefault="005C4394" w:rsidP="00B8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</w:rPr>
            </w:pPr>
          </w:p>
        </w:tc>
      </w:tr>
      <w:tr w:rsidR="005C4394" w:rsidRPr="001E6ADE" w14:paraId="12812D63" w14:textId="77777777" w:rsidTr="001C5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14:paraId="45D1ADB4" w14:textId="4F51DE11" w:rsidR="005C4394" w:rsidRPr="001E6ADE" w:rsidRDefault="005C4394" w:rsidP="00B80973">
            <w:pPr>
              <w:rPr>
                <w:rFonts w:eastAsia="Calibri" w:cs="Times New Roman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Pru Bennett</w:t>
            </w:r>
            <w:r w:rsidR="008300CE" w:rsidRPr="001E6AD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="008300CE" w:rsidRPr="00BD7DD2">
              <w:rPr>
                <w:rFonts w:eastAsia="Calibri" w:cs="Times New Roman"/>
                <w:b w:val="0"/>
                <w:bCs w:val="0"/>
                <w:color w:val="000000"/>
                <w:sz w:val="22"/>
              </w:rPr>
              <w:t>(online)</w:t>
            </w:r>
          </w:p>
        </w:tc>
        <w:tc>
          <w:tcPr>
            <w:tcW w:w="4533" w:type="dxa"/>
          </w:tcPr>
          <w:p w14:paraId="1801A770" w14:textId="77777777" w:rsidR="005C4394" w:rsidRPr="001E6ADE" w:rsidRDefault="005C4394" w:rsidP="00B8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2"/>
              </w:rPr>
            </w:pPr>
          </w:p>
        </w:tc>
      </w:tr>
      <w:tr w:rsidR="005C4394" w:rsidRPr="001E6ADE" w14:paraId="6AA7D040" w14:textId="77777777" w:rsidTr="001C56C2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14:paraId="00B6DD33" w14:textId="77777777" w:rsidR="005C4394" w:rsidRPr="001E6ADE" w:rsidRDefault="005C4394" w:rsidP="00B80973">
            <w:pPr>
              <w:rPr>
                <w:rFonts w:eastAsia="Calibri" w:cs="Times New Roman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 xml:space="preserve">Alison White </w:t>
            </w:r>
          </w:p>
        </w:tc>
        <w:tc>
          <w:tcPr>
            <w:tcW w:w="4533" w:type="dxa"/>
          </w:tcPr>
          <w:p w14:paraId="0250A3C8" w14:textId="77777777" w:rsidR="005C4394" w:rsidRPr="001E6ADE" w:rsidRDefault="005C4394" w:rsidP="00B8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</w:rPr>
            </w:pPr>
          </w:p>
        </w:tc>
      </w:tr>
      <w:tr w:rsidR="005C4394" w:rsidRPr="001E6ADE" w14:paraId="3E95BE06" w14:textId="77777777" w:rsidTr="001C5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14:paraId="42ED0D1D" w14:textId="77777777" w:rsidR="005C4394" w:rsidRPr="001E6ADE" w:rsidRDefault="005C4394" w:rsidP="00B80973">
            <w:pPr>
              <w:rPr>
                <w:rFonts w:eastAsia="Calibri" w:cs="Times New Roman"/>
                <w:bCs w:val="0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Emma Herd</w:t>
            </w:r>
          </w:p>
        </w:tc>
        <w:tc>
          <w:tcPr>
            <w:tcW w:w="4533" w:type="dxa"/>
          </w:tcPr>
          <w:p w14:paraId="1B1CE54F" w14:textId="77777777" w:rsidR="005C4394" w:rsidRPr="001E6ADE" w:rsidRDefault="005C4394" w:rsidP="00B8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5C4394" w:rsidRPr="001E6ADE" w14:paraId="68BFF32F" w14:textId="77777777" w:rsidTr="001C56C2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14:paraId="11A7BA1C" w14:textId="6B3AFE8C" w:rsidR="005C4394" w:rsidRPr="001E6ADE" w:rsidRDefault="005C4394" w:rsidP="00B80973">
            <w:pPr>
              <w:rPr>
                <w:rFonts w:eastAsia="Calibri" w:cs="Times New Roman"/>
                <w:bCs w:val="0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Amy Fox</w:t>
            </w:r>
            <w:r w:rsidR="00561C9A" w:rsidRPr="001E6AD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="00561C9A" w:rsidRPr="00BD7DD2">
              <w:rPr>
                <w:rFonts w:eastAsia="Calibri" w:cs="Times New Roman"/>
                <w:b w:val="0"/>
                <w:bCs w:val="0"/>
                <w:color w:val="000000"/>
                <w:sz w:val="22"/>
              </w:rPr>
              <w:t>(online)</w:t>
            </w:r>
          </w:p>
        </w:tc>
        <w:tc>
          <w:tcPr>
            <w:tcW w:w="4533" w:type="dxa"/>
          </w:tcPr>
          <w:p w14:paraId="6A9B740C" w14:textId="77777777" w:rsidR="005C4394" w:rsidRPr="001E6ADE" w:rsidRDefault="005C4394" w:rsidP="00B8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</w:tbl>
    <w:p w14:paraId="26E13176" w14:textId="77777777" w:rsidR="005C4394" w:rsidRPr="001E6ADE" w:rsidRDefault="005C4394" w:rsidP="00B80973">
      <w:pPr>
        <w:spacing w:after="0" w:line="240" w:lineRule="auto"/>
        <w:rPr>
          <w:rFonts w:eastAsia="Calibri" w:cs="Times New Roman"/>
          <w:color w:val="000000"/>
          <w:sz w:val="20"/>
          <w:szCs w:val="18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5C4394" w:rsidRPr="001E6ADE" w14:paraId="20CF162D" w14:textId="77777777" w:rsidTr="00645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2833381C" w14:textId="77777777" w:rsidR="005C4394" w:rsidRPr="001E6ADE" w:rsidRDefault="005C4394" w:rsidP="00B80973">
            <w:pPr>
              <w:rPr>
                <w:rFonts w:eastAsia="Calibri" w:cs="Times New Roman"/>
                <w:b w:val="0"/>
                <w:sz w:val="22"/>
              </w:rPr>
            </w:pPr>
            <w:r w:rsidRPr="001E6ADE">
              <w:rPr>
                <w:rFonts w:eastAsia="Calibri" w:cs="Times New Roman"/>
                <w:sz w:val="22"/>
              </w:rPr>
              <w:t>Guests</w:t>
            </w:r>
          </w:p>
        </w:tc>
        <w:tc>
          <w:tcPr>
            <w:tcW w:w="4507" w:type="dxa"/>
          </w:tcPr>
          <w:p w14:paraId="4FFC6582" w14:textId="77777777" w:rsidR="005C4394" w:rsidRPr="001E6ADE" w:rsidRDefault="005C4394" w:rsidP="00B809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sz w:val="22"/>
              </w:rPr>
            </w:pPr>
            <w:r w:rsidRPr="001E6ADE">
              <w:rPr>
                <w:rFonts w:eastAsia="Calibri" w:cs="Times New Roman"/>
                <w:sz w:val="22"/>
              </w:rPr>
              <w:t>Organisation</w:t>
            </w:r>
          </w:p>
        </w:tc>
      </w:tr>
      <w:tr w:rsidR="005C4394" w:rsidRPr="001E6ADE" w14:paraId="480FFD87" w14:textId="77777777" w:rsidTr="0064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4392900B" w14:textId="77777777" w:rsidR="005C4394" w:rsidRPr="001E6ADE" w:rsidRDefault="005C4394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 xml:space="preserve">John Kensington </w:t>
            </w:r>
            <w:r w:rsidRPr="00BD7DD2">
              <w:rPr>
                <w:rFonts w:eastAsia="Calibri" w:cs="Times New Roman"/>
                <w:b w:val="0"/>
                <w:bCs w:val="0"/>
                <w:color w:val="000000"/>
                <w:sz w:val="22"/>
              </w:rPr>
              <w:t>(online)</w:t>
            </w:r>
          </w:p>
        </w:tc>
        <w:tc>
          <w:tcPr>
            <w:tcW w:w="4507" w:type="dxa"/>
          </w:tcPr>
          <w:p w14:paraId="68ACCBB6" w14:textId="77777777" w:rsidR="005C4394" w:rsidRPr="001E6ADE" w:rsidRDefault="005C4394" w:rsidP="00B8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XRB</w:t>
            </w:r>
          </w:p>
        </w:tc>
      </w:tr>
      <w:tr w:rsidR="005C4394" w:rsidRPr="001E6ADE" w14:paraId="263AD11E" w14:textId="77777777" w:rsidTr="006451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287DF9EA" w14:textId="77777777" w:rsidR="005C4394" w:rsidRPr="001E6ADE" w:rsidRDefault="005C4394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Wendy Venter</w:t>
            </w:r>
          </w:p>
        </w:tc>
        <w:tc>
          <w:tcPr>
            <w:tcW w:w="4507" w:type="dxa"/>
          </w:tcPr>
          <w:p w14:paraId="03E93FA2" w14:textId="77777777" w:rsidR="005C4394" w:rsidRPr="001E6ADE" w:rsidRDefault="005C4394" w:rsidP="00B8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XRB</w:t>
            </w:r>
          </w:p>
        </w:tc>
      </w:tr>
      <w:tr w:rsidR="005C4394" w:rsidRPr="001E6ADE" w14:paraId="49D48C46" w14:textId="77777777" w:rsidTr="0064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0186AB22" w14:textId="77777777" w:rsidR="005C4394" w:rsidRPr="001E6ADE" w:rsidRDefault="005C4394" w:rsidP="00B80973">
            <w:pPr>
              <w:rPr>
                <w:rFonts w:eastAsia="Calibri" w:cs="Times New Roman"/>
                <w:sz w:val="22"/>
              </w:rPr>
            </w:pPr>
            <w:r w:rsidRPr="001E6ADE">
              <w:rPr>
                <w:rFonts w:eastAsia="Calibri" w:cs="Times New Roman"/>
                <w:sz w:val="22"/>
              </w:rPr>
              <w:t xml:space="preserve">Luci Tucker </w:t>
            </w:r>
            <w:r w:rsidRPr="00BD7DD2">
              <w:rPr>
                <w:rFonts w:eastAsia="Calibri" w:cs="Times New Roman"/>
                <w:b w:val="0"/>
                <w:bCs w:val="0"/>
                <w:sz w:val="22"/>
              </w:rPr>
              <w:t>(online)</w:t>
            </w:r>
          </w:p>
        </w:tc>
        <w:tc>
          <w:tcPr>
            <w:tcW w:w="4507" w:type="dxa"/>
          </w:tcPr>
          <w:p w14:paraId="265FF206" w14:textId="77777777" w:rsidR="005C4394" w:rsidRPr="001E6ADE" w:rsidRDefault="005C4394" w:rsidP="00B8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2"/>
              </w:rPr>
            </w:pPr>
            <w:r w:rsidRPr="001E6ADE">
              <w:rPr>
                <w:rFonts w:eastAsia="Calibri" w:cs="Times New Roman"/>
                <w:sz w:val="22"/>
              </w:rPr>
              <w:t>ASIC</w:t>
            </w:r>
          </w:p>
        </w:tc>
      </w:tr>
      <w:tr w:rsidR="006451FC" w:rsidRPr="001E6ADE" w14:paraId="1F3D6C7C" w14:textId="77777777" w:rsidTr="006451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6F39C7EC" w14:textId="529273CA" w:rsidR="006451FC" w:rsidRPr="001E6ADE" w:rsidRDefault="006451FC" w:rsidP="00B80973">
            <w:pPr>
              <w:rPr>
                <w:rFonts w:eastAsia="Calibri" w:cs="Times New Roman"/>
                <w:sz w:val="22"/>
              </w:rPr>
            </w:pPr>
            <w:r w:rsidRPr="001E6ADE">
              <w:rPr>
                <w:rFonts w:eastAsia="Calibri" w:cs="Times New Roman"/>
                <w:sz w:val="22"/>
              </w:rPr>
              <w:t>Binh La</w:t>
            </w:r>
          </w:p>
        </w:tc>
        <w:tc>
          <w:tcPr>
            <w:tcW w:w="4507" w:type="dxa"/>
          </w:tcPr>
          <w:p w14:paraId="16B7AB90" w14:textId="6C4EDF0B" w:rsidR="006451FC" w:rsidRPr="001E6ADE" w:rsidRDefault="006451FC" w:rsidP="00B8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</w:rPr>
            </w:pPr>
            <w:r w:rsidRPr="001E6ADE">
              <w:rPr>
                <w:rFonts w:eastAsia="Calibri" w:cs="Times New Roman"/>
                <w:sz w:val="22"/>
              </w:rPr>
              <w:t>ASIC</w:t>
            </w:r>
          </w:p>
        </w:tc>
      </w:tr>
      <w:tr w:rsidR="006451FC" w:rsidRPr="001E6ADE" w14:paraId="6DD6BB74" w14:textId="77777777" w:rsidTr="0064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43F14E97" w14:textId="39C0B38E" w:rsidR="006451FC" w:rsidRPr="001E6ADE" w:rsidRDefault="006451FC" w:rsidP="00B80973">
            <w:pPr>
              <w:rPr>
                <w:rFonts w:eastAsia="Calibri" w:cs="Times New Roman"/>
                <w:sz w:val="22"/>
              </w:rPr>
            </w:pPr>
            <w:r w:rsidRPr="001E6ADE">
              <w:rPr>
                <w:rFonts w:eastAsia="Calibri" w:cs="Times New Roman"/>
                <w:sz w:val="22"/>
              </w:rPr>
              <w:t>Sue Rowan</w:t>
            </w:r>
          </w:p>
        </w:tc>
        <w:tc>
          <w:tcPr>
            <w:tcW w:w="4507" w:type="dxa"/>
          </w:tcPr>
          <w:p w14:paraId="1B60DBA3" w14:textId="6A03405D" w:rsidR="006451FC" w:rsidRPr="001E6ADE" w:rsidRDefault="006451FC" w:rsidP="00B8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2"/>
              </w:rPr>
            </w:pPr>
            <w:r w:rsidRPr="001E6ADE">
              <w:rPr>
                <w:rFonts w:eastAsia="Calibri" w:cs="Times New Roman"/>
                <w:sz w:val="22"/>
              </w:rPr>
              <w:t>ASIC</w:t>
            </w:r>
          </w:p>
        </w:tc>
      </w:tr>
      <w:tr w:rsidR="005C4394" w:rsidRPr="001E6ADE" w14:paraId="4C29035A" w14:textId="77777777" w:rsidTr="006451FC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7A163254" w14:textId="77777777" w:rsidR="005C4394" w:rsidRPr="001E6ADE" w:rsidRDefault="005C4394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Justin Williams</w:t>
            </w:r>
          </w:p>
        </w:tc>
        <w:tc>
          <w:tcPr>
            <w:tcW w:w="4507" w:type="dxa"/>
          </w:tcPr>
          <w:p w14:paraId="4095C164" w14:textId="77777777" w:rsidR="005C4394" w:rsidRPr="001E6ADE" w:rsidRDefault="005C4394" w:rsidP="00B8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AASB/AUASB</w:t>
            </w:r>
          </w:p>
        </w:tc>
      </w:tr>
      <w:tr w:rsidR="005C4394" w:rsidRPr="001E6ADE" w14:paraId="09C83F3E" w14:textId="77777777" w:rsidTr="0064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5C726E5B" w14:textId="77777777" w:rsidR="005C4394" w:rsidRPr="001E6ADE" w:rsidRDefault="005C4394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Charis Halliday</w:t>
            </w:r>
          </w:p>
        </w:tc>
        <w:tc>
          <w:tcPr>
            <w:tcW w:w="4507" w:type="dxa"/>
          </w:tcPr>
          <w:p w14:paraId="2D009105" w14:textId="77777777" w:rsidR="005C4394" w:rsidRPr="001E6ADE" w:rsidRDefault="005C4394" w:rsidP="00B8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AASB</w:t>
            </w:r>
          </w:p>
        </w:tc>
      </w:tr>
      <w:tr w:rsidR="005C4394" w:rsidRPr="001E6ADE" w14:paraId="543ED8CE" w14:textId="77777777" w:rsidTr="006451FC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622ED981" w14:textId="77777777" w:rsidR="005C4394" w:rsidRPr="001E6ADE" w:rsidRDefault="005C4394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Anne Waters</w:t>
            </w:r>
          </w:p>
        </w:tc>
        <w:tc>
          <w:tcPr>
            <w:tcW w:w="4507" w:type="dxa"/>
          </w:tcPr>
          <w:p w14:paraId="3A5B1B9B" w14:textId="77777777" w:rsidR="005C4394" w:rsidRPr="001E6ADE" w:rsidRDefault="005C4394" w:rsidP="00B8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AUASB</w:t>
            </w:r>
          </w:p>
        </w:tc>
      </w:tr>
      <w:tr w:rsidR="005C4394" w:rsidRPr="001E6ADE" w14:paraId="560C1F5C" w14:textId="77777777" w:rsidTr="0064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0A104C54" w14:textId="77777777" w:rsidR="005C4394" w:rsidRPr="001E6ADE" w:rsidRDefault="005C4394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Rene Herman</w:t>
            </w:r>
          </w:p>
        </w:tc>
        <w:tc>
          <w:tcPr>
            <w:tcW w:w="4507" w:type="dxa"/>
          </w:tcPr>
          <w:p w14:paraId="2E4CDECD" w14:textId="77777777" w:rsidR="005C4394" w:rsidRPr="001E6ADE" w:rsidRDefault="005C4394" w:rsidP="00B8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AUASB</w:t>
            </w:r>
          </w:p>
        </w:tc>
      </w:tr>
      <w:tr w:rsidR="005C4394" w:rsidRPr="001E6ADE" w14:paraId="701481A4" w14:textId="77777777" w:rsidTr="006451FC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2A1BF1CD" w14:textId="77777777" w:rsidR="005C4394" w:rsidRPr="001E6ADE" w:rsidRDefault="005C4394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Vanessa Chapman</w:t>
            </w:r>
          </w:p>
        </w:tc>
        <w:tc>
          <w:tcPr>
            <w:tcW w:w="4507" w:type="dxa"/>
          </w:tcPr>
          <w:p w14:paraId="0D181619" w14:textId="77777777" w:rsidR="005C4394" w:rsidRPr="001E6ADE" w:rsidRDefault="005C4394" w:rsidP="00B8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CA ANZ</w:t>
            </w:r>
          </w:p>
        </w:tc>
      </w:tr>
      <w:tr w:rsidR="005C4394" w:rsidRPr="001E6ADE" w14:paraId="685D545D" w14:textId="77777777" w:rsidTr="0064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5DBE5222" w14:textId="77777777" w:rsidR="005C4394" w:rsidRPr="001E6ADE" w:rsidRDefault="005C4394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Damian Ogden</w:t>
            </w:r>
          </w:p>
        </w:tc>
        <w:tc>
          <w:tcPr>
            <w:tcW w:w="4507" w:type="dxa"/>
          </w:tcPr>
          <w:p w14:paraId="6961CF5F" w14:textId="77777777" w:rsidR="005C4394" w:rsidRPr="001E6ADE" w:rsidRDefault="005C4394" w:rsidP="00B8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CA ANZ</w:t>
            </w:r>
          </w:p>
        </w:tc>
      </w:tr>
      <w:tr w:rsidR="005C4394" w:rsidRPr="001E6ADE" w14:paraId="534E082A" w14:textId="77777777" w:rsidTr="006451FC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5F7A605B" w14:textId="77777777" w:rsidR="005C4394" w:rsidRPr="001E6ADE" w:rsidRDefault="005C4394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Amir Ghandar</w:t>
            </w:r>
          </w:p>
        </w:tc>
        <w:tc>
          <w:tcPr>
            <w:tcW w:w="4507" w:type="dxa"/>
          </w:tcPr>
          <w:p w14:paraId="74CF6476" w14:textId="77777777" w:rsidR="005C4394" w:rsidRPr="001E6ADE" w:rsidRDefault="005C4394" w:rsidP="00B8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CA ANZ</w:t>
            </w:r>
          </w:p>
        </w:tc>
      </w:tr>
      <w:tr w:rsidR="005C4394" w:rsidRPr="001E6ADE" w14:paraId="177B12C8" w14:textId="77777777" w:rsidTr="0064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739C127D" w14:textId="77777777" w:rsidR="005C4394" w:rsidRPr="001E6ADE" w:rsidRDefault="005C4394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Kristen Wydell</w:t>
            </w:r>
          </w:p>
        </w:tc>
        <w:tc>
          <w:tcPr>
            <w:tcW w:w="4507" w:type="dxa"/>
          </w:tcPr>
          <w:p w14:paraId="457E4071" w14:textId="77777777" w:rsidR="005C4394" w:rsidRPr="001E6ADE" w:rsidRDefault="005C4394" w:rsidP="00B8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CA ANZ</w:t>
            </w:r>
          </w:p>
        </w:tc>
      </w:tr>
      <w:tr w:rsidR="00545DE1" w:rsidRPr="001E6ADE" w14:paraId="0DECA035" w14:textId="77777777" w:rsidTr="006451FC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48F2B82B" w14:textId="7E454B4C" w:rsidR="00545DE1" w:rsidRPr="001E6ADE" w:rsidRDefault="00545DE1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Mogendhri Mueller</w:t>
            </w:r>
            <w:r w:rsidR="00AC2DA2" w:rsidRPr="001E6AD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="00AC2DA2" w:rsidRPr="0019713F">
              <w:rPr>
                <w:rFonts w:eastAsia="Calibri" w:cs="Times New Roman"/>
                <w:b w:val="0"/>
                <w:bCs w:val="0"/>
                <w:color w:val="000000"/>
                <w:sz w:val="22"/>
              </w:rPr>
              <w:t>(online)</w:t>
            </w:r>
          </w:p>
        </w:tc>
        <w:tc>
          <w:tcPr>
            <w:tcW w:w="4507" w:type="dxa"/>
          </w:tcPr>
          <w:p w14:paraId="22901E71" w14:textId="07550BAD" w:rsidR="00545DE1" w:rsidRPr="001E6ADE" w:rsidRDefault="00545DE1" w:rsidP="00B8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Finance</w:t>
            </w:r>
          </w:p>
        </w:tc>
      </w:tr>
      <w:tr w:rsidR="00776702" w:rsidRPr="001E6ADE" w14:paraId="3061D829" w14:textId="77777777" w:rsidTr="0064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118B7BC2" w14:textId="4345115B" w:rsidR="00776702" w:rsidRPr="001E6ADE" w:rsidRDefault="00776702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Kim Demarte</w:t>
            </w:r>
          </w:p>
        </w:tc>
        <w:tc>
          <w:tcPr>
            <w:tcW w:w="4507" w:type="dxa"/>
          </w:tcPr>
          <w:p w14:paraId="2F176A9D" w14:textId="7C1BB7E3" w:rsidR="00776702" w:rsidRPr="001E6ADE" w:rsidRDefault="00776702" w:rsidP="00B8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Treasury</w:t>
            </w:r>
          </w:p>
        </w:tc>
      </w:tr>
      <w:tr w:rsidR="005C4394" w:rsidRPr="001E6ADE" w14:paraId="21CBE2D2" w14:textId="77777777" w:rsidTr="006451FC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678C536D" w14:textId="36E8DD96" w:rsidR="005C4394" w:rsidRPr="001E6ADE" w:rsidRDefault="00A201FE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Athanasios Kallos</w:t>
            </w:r>
          </w:p>
        </w:tc>
        <w:tc>
          <w:tcPr>
            <w:tcW w:w="4507" w:type="dxa"/>
          </w:tcPr>
          <w:p w14:paraId="0D697576" w14:textId="77777777" w:rsidR="005C4394" w:rsidRPr="001E6ADE" w:rsidRDefault="005C4394" w:rsidP="00B8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Treasury</w:t>
            </w:r>
          </w:p>
        </w:tc>
      </w:tr>
    </w:tbl>
    <w:p w14:paraId="25C9598C" w14:textId="77777777" w:rsidR="005C4394" w:rsidRPr="001E6ADE" w:rsidRDefault="005C4394" w:rsidP="00B80973">
      <w:pPr>
        <w:spacing w:after="0" w:line="240" w:lineRule="auto"/>
        <w:rPr>
          <w:sz w:val="12"/>
          <w:szCs w:val="1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5C4394" w:rsidRPr="001E6ADE" w14:paraId="45163921" w14:textId="77777777" w:rsidTr="001C5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14:paraId="387D1FBC" w14:textId="77777777" w:rsidR="005C4394" w:rsidRPr="001E6ADE" w:rsidRDefault="005C4394" w:rsidP="00B80973">
            <w:pPr>
              <w:rPr>
                <w:rFonts w:eastAsia="Calibri" w:cs="Times New Roman"/>
                <w:b w:val="0"/>
                <w:sz w:val="22"/>
              </w:rPr>
            </w:pPr>
            <w:r w:rsidRPr="001E6ADE">
              <w:rPr>
                <w:rFonts w:eastAsia="Calibri" w:cs="Times New Roman"/>
                <w:sz w:val="22"/>
              </w:rPr>
              <w:t>Observers</w:t>
            </w:r>
          </w:p>
        </w:tc>
        <w:tc>
          <w:tcPr>
            <w:tcW w:w="4533" w:type="dxa"/>
          </w:tcPr>
          <w:p w14:paraId="68DB6DF5" w14:textId="3B68B556" w:rsidR="005C4394" w:rsidRPr="001E6ADE" w:rsidRDefault="005C4394" w:rsidP="00B809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sz w:val="22"/>
              </w:rPr>
            </w:pPr>
            <w:r w:rsidRPr="001E6ADE">
              <w:rPr>
                <w:rFonts w:eastAsia="Calibri" w:cs="Times New Roman"/>
                <w:sz w:val="22"/>
              </w:rPr>
              <w:t>Organisation</w:t>
            </w:r>
          </w:p>
        </w:tc>
      </w:tr>
      <w:tr w:rsidR="005C4394" w:rsidRPr="001E6ADE" w14:paraId="3E24B62F" w14:textId="77777777" w:rsidTr="001C5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14:paraId="009A7AC3" w14:textId="77777777" w:rsidR="005C4394" w:rsidRPr="001E6ADE" w:rsidRDefault="005C4394" w:rsidP="00B80973">
            <w:pPr>
              <w:rPr>
                <w:rFonts w:eastAsia="Calibri" w:cs="Times New Roman"/>
                <w:bCs w:val="0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Michael Latchford</w:t>
            </w:r>
          </w:p>
        </w:tc>
        <w:tc>
          <w:tcPr>
            <w:tcW w:w="4533" w:type="dxa"/>
          </w:tcPr>
          <w:p w14:paraId="4164412A" w14:textId="77777777" w:rsidR="005C4394" w:rsidRPr="001E6ADE" w:rsidRDefault="005C4394" w:rsidP="00B8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FRC Secretariat</w:t>
            </w:r>
          </w:p>
        </w:tc>
      </w:tr>
      <w:tr w:rsidR="005C4394" w:rsidRPr="001E6ADE" w14:paraId="46D3071F" w14:textId="77777777" w:rsidTr="001C56C2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</w:tcPr>
          <w:p w14:paraId="216E0AC8" w14:textId="0A59F19B" w:rsidR="005C4394" w:rsidRPr="001E6ADE" w:rsidRDefault="005C4394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Zahia Aicken</w:t>
            </w:r>
            <w:r w:rsidR="00E8624A" w:rsidRPr="001E6AD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="00E8624A" w:rsidRPr="00BD7DD2">
              <w:rPr>
                <w:rFonts w:eastAsia="Calibri" w:cs="Times New Roman"/>
                <w:b w:val="0"/>
                <w:bCs w:val="0"/>
                <w:color w:val="000000"/>
                <w:sz w:val="22"/>
              </w:rPr>
              <w:t>(online)</w:t>
            </w:r>
          </w:p>
        </w:tc>
        <w:tc>
          <w:tcPr>
            <w:tcW w:w="4533" w:type="dxa"/>
          </w:tcPr>
          <w:p w14:paraId="15A06F1A" w14:textId="77777777" w:rsidR="005C4394" w:rsidRPr="001E6ADE" w:rsidRDefault="005C4394" w:rsidP="00B8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>FRC Secretariat</w:t>
            </w:r>
          </w:p>
        </w:tc>
      </w:tr>
    </w:tbl>
    <w:p w14:paraId="28C4FF76" w14:textId="77777777" w:rsidR="005C4394" w:rsidRPr="001E6ADE" w:rsidRDefault="005C4394" w:rsidP="00B80973">
      <w:pPr>
        <w:spacing w:after="0" w:line="240" w:lineRule="auto"/>
        <w:rPr>
          <w:sz w:val="12"/>
          <w:szCs w:val="1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5C4394" w:rsidRPr="001E6ADE" w14:paraId="49044151" w14:textId="77777777" w:rsidTr="00032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28892B7C" w14:textId="77777777" w:rsidR="005C4394" w:rsidRPr="001E6ADE" w:rsidRDefault="005C4394" w:rsidP="00B80973">
            <w:pPr>
              <w:rPr>
                <w:rFonts w:eastAsia="Calibri" w:cs="Times New Roman"/>
                <w:b w:val="0"/>
                <w:sz w:val="22"/>
              </w:rPr>
            </w:pPr>
            <w:r w:rsidRPr="001E6ADE">
              <w:rPr>
                <w:rFonts w:eastAsia="Calibri" w:cs="Times New Roman"/>
                <w:sz w:val="22"/>
              </w:rPr>
              <w:t>Apologies</w:t>
            </w:r>
          </w:p>
        </w:tc>
        <w:tc>
          <w:tcPr>
            <w:tcW w:w="4509" w:type="dxa"/>
          </w:tcPr>
          <w:p w14:paraId="3155F0D1" w14:textId="77777777" w:rsidR="005C4394" w:rsidRPr="001E6ADE" w:rsidRDefault="005C4394" w:rsidP="00B809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sz w:val="22"/>
              </w:rPr>
            </w:pPr>
            <w:r w:rsidRPr="001E6ADE">
              <w:rPr>
                <w:rFonts w:eastAsia="Calibri" w:cs="Times New Roman"/>
                <w:sz w:val="22"/>
              </w:rPr>
              <w:t>Organisation</w:t>
            </w:r>
          </w:p>
        </w:tc>
      </w:tr>
      <w:tr w:rsidR="005C4394" w:rsidRPr="001E6ADE" w14:paraId="71458ED9" w14:textId="77777777" w:rsidTr="00032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434A8D87" w14:textId="31C7A968" w:rsidR="005C4394" w:rsidRPr="001E6ADE" w:rsidRDefault="0003261B" w:rsidP="00B80973">
            <w:pPr>
              <w:rPr>
                <w:rFonts w:eastAsia="Calibri" w:cs="Times New Roman"/>
                <w:color w:val="000000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 xml:space="preserve">Claire LaBouchardiere </w:t>
            </w:r>
          </w:p>
        </w:tc>
        <w:tc>
          <w:tcPr>
            <w:tcW w:w="4509" w:type="dxa"/>
          </w:tcPr>
          <w:p w14:paraId="1E244A5D" w14:textId="6D3040B0" w:rsidR="005C4394" w:rsidRPr="001E6ADE" w:rsidRDefault="0003261B" w:rsidP="00B8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2"/>
              </w:rPr>
            </w:pPr>
            <w:r w:rsidRPr="001E6ADE">
              <w:rPr>
                <w:rFonts w:eastAsia="Calibri" w:cs="Times New Roman"/>
                <w:color w:val="000000"/>
                <w:sz w:val="22"/>
              </w:rPr>
              <w:t xml:space="preserve">ASIC </w:t>
            </w:r>
          </w:p>
        </w:tc>
      </w:tr>
    </w:tbl>
    <w:p w14:paraId="1C22EFC8" w14:textId="77777777" w:rsidR="00601311" w:rsidRPr="001E6ADE" w:rsidRDefault="00601311" w:rsidP="00B80973">
      <w:pPr>
        <w:pStyle w:val="Heading1"/>
        <w:spacing w:line="240" w:lineRule="auto"/>
        <w:jc w:val="center"/>
        <w:rPr>
          <w:rFonts w:asciiTheme="minorHAnsi" w:hAnsiTheme="minorHAnsi" w:cs="Calibri"/>
        </w:rPr>
      </w:pPr>
    </w:p>
    <w:p w14:paraId="06B81674" w14:textId="77777777" w:rsidR="00601311" w:rsidRPr="001E6ADE" w:rsidRDefault="00601311" w:rsidP="00B80973">
      <w:pPr>
        <w:spacing w:line="240" w:lineRule="auto"/>
        <w:rPr>
          <w:rFonts w:eastAsiaTheme="majorEastAsia" w:cs="Calibri"/>
          <w:color w:val="0F4761" w:themeColor="accent1" w:themeShade="BF"/>
          <w:sz w:val="40"/>
          <w:szCs w:val="40"/>
        </w:rPr>
      </w:pPr>
      <w:r w:rsidRPr="001E6ADE">
        <w:rPr>
          <w:rFonts w:cs="Calibri"/>
        </w:rPr>
        <w:br w:type="page"/>
      </w:r>
    </w:p>
    <w:p w14:paraId="02FC06DF" w14:textId="03559EC1" w:rsidR="001808CD" w:rsidRPr="001E6ADE" w:rsidRDefault="001808CD" w:rsidP="00B80973">
      <w:pPr>
        <w:pStyle w:val="Heading1"/>
        <w:spacing w:line="240" w:lineRule="auto"/>
        <w:jc w:val="center"/>
        <w:rPr>
          <w:rFonts w:asciiTheme="minorHAnsi" w:hAnsiTheme="minorHAnsi" w:cs="Calibri"/>
        </w:rPr>
      </w:pPr>
      <w:bookmarkStart w:id="1" w:name="_Toc226452416"/>
      <w:r w:rsidRPr="001E6ADE">
        <w:rPr>
          <w:rFonts w:asciiTheme="minorHAnsi" w:hAnsiTheme="minorHAnsi" w:cs="Calibri"/>
        </w:rPr>
        <w:lastRenderedPageBreak/>
        <w:t>PUBLIC SESSION</w:t>
      </w:r>
      <w:bookmarkEnd w:id="1"/>
    </w:p>
    <w:p w14:paraId="61E9304C" w14:textId="447EEEF8" w:rsidR="00F54CDE" w:rsidRPr="001E6ADE" w:rsidRDefault="00F54CDE" w:rsidP="00B80973">
      <w:pPr>
        <w:spacing w:line="240" w:lineRule="auto"/>
        <w:rPr>
          <w:rFonts w:cs="Calibri"/>
        </w:rPr>
      </w:pPr>
      <w:r w:rsidRPr="001E6ADE">
        <w:rPr>
          <w:rFonts w:cs="Calibri"/>
        </w:rPr>
        <w:t>The session commenced at 1:03 pm.</w:t>
      </w:r>
    </w:p>
    <w:p w14:paraId="6EC478C3" w14:textId="2EC092B0" w:rsidR="004B1BAD" w:rsidRPr="001E6ADE" w:rsidRDefault="005527A0" w:rsidP="00B80973">
      <w:pPr>
        <w:pStyle w:val="Heading2"/>
        <w:spacing w:line="240" w:lineRule="auto"/>
        <w:rPr>
          <w:rFonts w:asciiTheme="minorHAnsi" w:hAnsiTheme="minorHAnsi" w:cs="Calibri"/>
        </w:rPr>
      </w:pPr>
      <w:bookmarkStart w:id="2" w:name="_Toc226452417"/>
      <w:r w:rsidRPr="001E6ADE">
        <w:rPr>
          <w:rFonts w:asciiTheme="minorHAnsi" w:hAnsiTheme="minorHAnsi" w:cs="Calibri"/>
        </w:rPr>
        <w:t xml:space="preserve">1. </w:t>
      </w:r>
      <w:r w:rsidR="004B1BAD" w:rsidRPr="001E6ADE">
        <w:rPr>
          <w:rFonts w:asciiTheme="minorHAnsi" w:hAnsiTheme="minorHAnsi" w:cs="Calibri"/>
        </w:rPr>
        <w:t>Introduction</w:t>
      </w:r>
      <w:bookmarkEnd w:id="2"/>
    </w:p>
    <w:p w14:paraId="03E97434" w14:textId="56B70BA2" w:rsidR="00FE68AC" w:rsidRPr="001E6ADE" w:rsidRDefault="00351394" w:rsidP="00B80973">
      <w:pPr>
        <w:pStyle w:val="Heading3"/>
        <w:spacing w:line="240" w:lineRule="auto"/>
        <w:rPr>
          <w:rFonts w:cs="Calibri"/>
        </w:rPr>
      </w:pPr>
      <w:bookmarkStart w:id="3" w:name="_Toc226452418"/>
      <w:r w:rsidRPr="001E6ADE">
        <w:rPr>
          <w:rFonts w:cs="Calibri"/>
        </w:rPr>
        <w:t>1B. Attendees and apologies</w:t>
      </w:r>
      <w:bookmarkEnd w:id="3"/>
    </w:p>
    <w:p w14:paraId="3C21DCFC" w14:textId="4A1CF61F" w:rsidR="00410F1F" w:rsidRPr="001E6ADE" w:rsidRDefault="00B54577" w:rsidP="00B80973">
      <w:pPr>
        <w:spacing w:after="0" w:line="240" w:lineRule="auto"/>
        <w:rPr>
          <w:rFonts w:cs="Calibri"/>
        </w:rPr>
      </w:pPr>
      <w:r w:rsidRPr="001E6ADE">
        <w:rPr>
          <w:rFonts w:cs="Calibri"/>
        </w:rPr>
        <w:t xml:space="preserve">The Chair welcomed attendees. </w:t>
      </w:r>
      <w:r w:rsidR="00410F1F" w:rsidRPr="00410F1F">
        <w:rPr>
          <w:rFonts w:cs="Calibri"/>
        </w:rPr>
        <w:t>Claire LaBouchardiere is an apology.</w:t>
      </w:r>
    </w:p>
    <w:p w14:paraId="74F142B3" w14:textId="378F77FE" w:rsidR="00351394" w:rsidRPr="001E6ADE" w:rsidRDefault="00351394" w:rsidP="00B80973">
      <w:pPr>
        <w:pStyle w:val="Heading3"/>
        <w:spacing w:line="240" w:lineRule="auto"/>
        <w:rPr>
          <w:rFonts w:cs="Calibri"/>
        </w:rPr>
      </w:pPr>
      <w:bookmarkStart w:id="4" w:name="_Toc226452419"/>
      <w:r w:rsidRPr="001E6ADE">
        <w:rPr>
          <w:rFonts w:cs="Calibri"/>
        </w:rPr>
        <w:t xml:space="preserve">1C. </w:t>
      </w:r>
      <w:r w:rsidR="002356CB" w:rsidRPr="001E6ADE">
        <w:rPr>
          <w:rFonts w:cs="Calibri"/>
        </w:rPr>
        <w:t>Declarations of interest</w:t>
      </w:r>
      <w:bookmarkEnd w:id="4"/>
    </w:p>
    <w:p w14:paraId="50BD0B2A" w14:textId="0893BBC6" w:rsidR="00184335" w:rsidRPr="001E6ADE" w:rsidRDefault="00B54577" w:rsidP="00B80973">
      <w:pPr>
        <w:spacing w:after="0" w:line="240" w:lineRule="auto"/>
        <w:rPr>
          <w:rFonts w:cs="Calibri"/>
          <w:color w:val="7030A0"/>
        </w:rPr>
      </w:pPr>
      <w:r w:rsidRPr="001E6ADE">
        <w:rPr>
          <w:rFonts w:cs="Calibri"/>
        </w:rPr>
        <w:t>P</w:t>
      </w:r>
      <w:r w:rsidR="00D34C25" w:rsidRPr="001E6ADE">
        <w:rPr>
          <w:rFonts w:cs="Calibri"/>
        </w:rPr>
        <w:t>ru Bennett noted she</w:t>
      </w:r>
      <w:r w:rsidR="000B3C97" w:rsidRPr="001E6ADE">
        <w:rPr>
          <w:rFonts w:cs="Calibri"/>
        </w:rPr>
        <w:t xml:space="preserve"> is now member of </w:t>
      </w:r>
      <w:r w:rsidR="00D34C25" w:rsidRPr="001E6ADE">
        <w:rPr>
          <w:rFonts w:cs="Calibri"/>
        </w:rPr>
        <w:t xml:space="preserve">the </w:t>
      </w:r>
      <w:r w:rsidR="000B3C97" w:rsidRPr="001E6ADE">
        <w:rPr>
          <w:rFonts w:cs="Calibri"/>
        </w:rPr>
        <w:t>ASX Corporate Governance Advisory Council</w:t>
      </w:r>
      <w:r w:rsidR="00D34C25" w:rsidRPr="001E6ADE">
        <w:rPr>
          <w:rFonts w:cs="Calibri"/>
        </w:rPr>
        <w:t>, which is reflected</w:t>
      </w:r>
      <w:r w:rsidR="000B3C97" w:rsidRPr="001E6ADE">
        <w:rPr>
          <w:rFonts w:cs="Calibri"/>
        </w:rPr>
        <w:t xml:space="preserve"> in the </w:t>
      </w:r>
      <w:r w:rsidR="00D34C25" w:rsidRPr="001E6ADE">
        <w:rPr>
          <w:rFonts w:cs="Calibri"/>
        </w:rPr>
        <w:t xml:space="preserve">paper. </w:t>
      </w:r>
    </w:p>
    <w:p w14:paraId="309766D8" w14:textId="2ABE9E20" w:rsidR="008E3C63" w:rsidRPr="001E6ADE" w:rsidRDefault="002356CB" w:rsidP="00B80973">
      <w:pPr>
        <w:pStyle w:val="Heading2"/>
        <w:spacing w:line="240" w:lineRule="auto"/>
        <w:rPr>
          <w:rFonts w:asciiTheme="minorHAnsi" w:hAnsiTheme="minorHAnsi" w:cs="Calibri"/>
        </w:rPr>
      </w:pPr>
      <w:bookmarkStart w:id="5" w:name="_Toc226452420"/>
      <w:r w:rsidRPr="001E6ADE">
        <w:rPr>
          <w:rFonts w:asciiTheme="minorHAnsi" w:hAnsiTheme="minorHAnsi" w:cs="Calibri"/>
        </w:rPr>
        <w:t xml:space="preserve">2. </w:t>
      </w:r>
      <w:r w:rsidR="008E3C63" w:rsidRPr="001E6ADE">
        <w:rPr>
          <w:rFonts w:asciiTheme="minorHAnsi" w:hAnsiTheme="minorHAnsi" w:cs="Calibri"/>
        </w:rPr>
        <w:t>Environmental scan</w:t>
      </w:r>
      <w:bookmarkEnd w:id="5"/>
    </w:p>
    <w:p w14:paraId="7E2322A3" w14:textId="222E1C09" w:rsidR="00C57402" w:rsidRPr="001E6ADE" w:rsidRDefault="00B836BD" w:rsidP="00B80973">
      <w:pPr>
        <w:pStyle w:val="Heading3"/>
        <w:spacing w:line="240" w:lineRule="auto"/>
        <w:rPr>
          <w:rFonts w:cs="Calibri"/>
        </w:rPr>
      </w:pPr>
      <w:bookmarkStart w:id="6" w:name="_Toc226452421"/>
      <w:r w:rsidRPr="001E6ADE">
        <w:rPr>
          <w:rFonts w:cs="Calibri"/>
        </w:rPr>
        <w:t xml:space="preserve">2A. </w:t>
      </w:r>
      <w:r w:rsidR="00C57402" w:rsidRPr="001E6ADE">
        <w:rPr>
          <w:rFonts w:cs="Calibri"/>
        </w:rPr>
        <w:t>Member reflections</w:t>
      </w:r>
      <w:bookmarkEnd w:id="6"/>
      <w:r w:rsidR="00C57402" w:rsidRPr="001E6ADE">
        <w:rPr>
          <w:rFonts w:cs="Calibri"/>
        </w:rPr>
        <w:tab/>
      </w:r>
    </w:p>
    <w:p w14:paraId="57A0CCB3" w14:textId="04756AD0" w:rsidR="00A600CE" w:rsidRPr="001E6ADE" w:rsidRDefault="00122473" w:rsidP="00B80973">
      <w:pPr>
        <w:spacing w:after="0" w:line="240" w:lineRule="auto"/>
        <w:rPr>
          <w:rFonts w:cs="Calibri"/>
        </w:rPr>
      </w:pPr>
      <w:r w:rsidRPr="001E6ADE">
        <w:rPr>
          <w:rFonts w:cs="Calibri"/>
        </w:rPr>
        <w:t xml:space="preserve">Members </w:t>
      </w:r>
      <w:r w:rsidR="005B11D1" w:rsidRPr="001E6ADE">
        <w:rPr>
          <w:rFonts w:cs="Calibri"/>
        </w:rPr>
        <w:t>made the following reflections</w:t>
      </w:r>
      <w:r w:rsidRPr="001E6ADE">
        <w:rPr>
          <w:rFonts w:cs="Calibri"/>
        </w:rPr>
        <w:t xml:space="preserve"> on climate-related financial disclosure</w:t>
      </w:r>
      <w:r w:rsidR="00B93F6C" w:rsidRPr="001E6ADE">
        <w:rPr>
          <w:rFonts w:cs="Calibri"/>
        </w:rPr>
        <w:t>:</w:t>
      </w:r>
    </w:p>
    <w:p w14:paraId="30BF122F" w14:textId="77777777" w:rsidR="00B93F6C" w:rsidRPr="001E6ADE" w:rsidRDefault="00B93F6C" w:rsidP="00B80973">
      <w:pPr>
        <w:spacing w:after="0" w:line="240" w:lineRule="auto"/>
        <w:rPr>
          <w:rFonts w:cs="Calibri"/>
        </w:rPr>
      </w:pPr>
    </w:p>
    <w:p w14:paraId="432E66EF" w14:textId="6DB7863C" w:rsidR="00B93F6C" w:rsidRPr="001E6ADE" w:rsidRDefault="001E6ADE" w:rsidP="00B80973">
      <w:pPr>
        <w:spacing w:after="0" w:line="240" w:lineRule="auto"/>
        <w:rPr>
          <w:rFonts w:cs="Calibri"/>
        </w:rPr>
      </w:pPr>
      <w:r>
        <w:rPr>
          <w:rFonts w:cs="Calibri"/>
        </w:rPr>
        <w:t>Bigger</w:t>
      </w:r>
      <w:r w:rsidRPr="001E6ADE">
        <w:rPr>
          <w:rFonts w:cs="Calibri"/>
        </w:rPr>
        <w:t xml:space="preserve"> </w:t>
      </w:r>
      <w:r w:rsidR="00B93F6C" w:rsidRPr="001E6ADE">
        <w:rPr>
          <w:rFonts w:cs="Calibri"/>
        </w:rPr>
        <w:t xml:space="preserve">picture </w:t>
      </w:r>
      <w:r w:rsidR="004D52FA" w:rsidRPr="001E6ADE">
        <w:rPr>
          <w:rFonts w:cs="Calibri"/>
        </w:rPr>
        <w:t>observations</w:t>
      </w:r>
    </w:p>
    <w:p w14:paraId="57E94C27" w14:textId="42B25DD7" w:rsidR="003C2523" w:rsidRPr="001E6ADE" w:rsidRDefault="00B93F6C" w:rsidP="00B80973">
      <w:pPr>
        <w:pStyle w:val="Bullet"/>
        <w:spacing w:line="240" w:lineRule="auto"/>
      </w:pPr>
      <w:r w:rsidRPr="001E6ADE">
        <w:t>The</w:t>
      </w:r>
      <w:r w:rsidR="005B11D1" w:rsidRPr="001E6ADE">
        <w:t xml:space="preserve"> first group of disclosers were inbound subsidiaries, with a few </w:t>
      </w:r>
      <w:r w:rsidR="003C2523" w:rsidRPr="001E6ADE">
        <w:t xml:space="preserve">with US headquarters. </w:t>
      </w:r>
      <w:r w:rsidR="00C430AC" w:rsidRPr="001E6ADE">
        <w:t xml:space="preserve">Some </w:t>
      </w:r>
      <w:r w:rsidR="004D52FA" w:rsidRPr="001E6ADE">
        <w:t xml:space="preserve">reporters observed </w:t>
      </w:r>
      <w:r w:rsidR="00C430AC" w:rsidRPr="001E6ADE">
        <w:t>differences in Australian reporting</w:t>
      </w:r>
      <w:r w:rsidR="004D52FA" w:rsidRPr="001E6ADE">
        <w:t xml:space="preserve"> and believed </w:t>
      </w:r>
      <w:r w:rsidR="00611551" w:rsidRPr="001E6ADE">
        <w:t>Aus</w:t>
      </w:r>
      <w:r w:rsidR="006A2A42" w:rsidRPr="001E6ADE">
        <w:t>tralian standards</w:t>
      </w:r>
      <w:r w:rsidR="003C2523" w:rsidRPr="001E6ADE">
        <w:t xml:space="preserve"> </w:t>
      </w:r>
      <w:r w:rsidR="004D52FA" w:rsidRPr="001E6ADE">
        <w:t xml:space="preserve">were </w:t>
      </w:r>
      <w:r w:rsidR="006A2A42" w:rsidRPr="001E6ADE">
        <w:t>more prescriptive</w:t>
      </w:r>
      <w:r w:rsidR="003C2523" w:rsidRPr="001E6ADE">
        <w:t xml:space="preserve">. </w:t>
      </w:r>
    </w:p>
    <w:p w14:paraId="23343CB6" w14:textId="0E691300" w:rsidR="00B93F6C" w:rsidRPr="001E6ADE" w:rsidRDefault="00B93F6C" w:rsidP="00B80973">
      <w:pPr>
        <w:pStyle w:val="Bullet"/>
        <w:spacing w:line="240" w:lineRule="auto"/>
      </w:pPr>
      <w:r w:rsidRPr="001E6ADE">
        <w:t>The boundaries of what constitutes a l</w:t>
      </w:r>
      <w:r w:rsidR="00C72C50" w:rsidRPr="001E6ADE">
        <w:t xml:space="preserve">egal entity is not straightforward. </w:t>
      </w:r>
    </w:p>
    <w:p w14:paraId="76234406" w14:textId="39229843" w:rsidR="00C72C50" w:rsidRPr="001E6ADE" w:rsidRDefault="00C72C50" w:rsidP="00B80973">
      <w:pPr>
        <w:pStyle w:val="Bullet"/>
        <w:spacing w:line="240" w:lineRule="auto"/>
      </w:pPr>
      <w:r w:rsidRPr="001E6ADE">
        <w:t xml:space="preserve">Reconciliation </w:t>
      </w:r>
      <w:r w:rsidR="003558E2" w:rsidRPr="001E6ADE">
        <w:t xml:space="preserve">needs to occur </w:t>
      </w:r>
      <w:r w:rsidRPr="001E6ADE">
        <w:t>between voluntary and mandatory</w:t>
      </w:r>
      <w:r w:rsidR="0067368F" w:rsidRPr="001E6ADE">
        <w:t xml:space="preserve"> reporting</w:t>
      </w:r>
      <w:r w:rsidR="00B93F6C" w:rsidRPr="001E6ADE">
        <w:t>.</w:t>
      </w:r>
    </w:p>
    <w:p w14:paraId="7ED7DFEA" w14:textId="77777777" w:rsidR="002153A5" w:rsidRPr="001E6ADE" w:rsidRDefault="002153A5" w:rsidP="00B80973">
      <w:pPr>
        <w:spacing w:after="0" w:line="240" w:lineRule="auto"/>
        <w:rPr>
          <w:rFonts w:cs="Calibri"/>
        </w:rPr>
      </w:pPr>
      <w:r w:rsidRPr="001E6ADE">
        <w:rPr>
          <w:rFonts w:cs="Calibri"/>
        </w:rPr>
        <w:t xml:space="preserve">Materiality </w:t>
      </w:r>
    </w:p>
    <w:p w14:paraId="3E0D607E" w14:textId="77777777" w:rsidR="002119E8" w:rsidRPr="001E6ADE" w:rsidRDefault="002153A5" w:rsidP="00B80973">
      <w:pPr>
        <w:pStyle w:val="Bullet"/>
        <w:spacing w:line="240" w:lineRule="auto"/>
      </w:pPr>
      <w:r w:rsidRPr="001E6ADE">
        <w:t xml:space="preserve">The more succinct the disclosure, the more value it provides for users. </w:t>
      </w:r>
    </w:p>
    <w:p w14:paraId="7443C39B" w14:textId="18E6C42E" w:rsidR="002153A5" w:rsidRPr="001E6ADE" w:rsidRDefault="002119E8" w:rsidP="00B80973">
      <w:pPr>
        <w:pStyle w:val="Bullet"/>
        <w:spacing w:line="240" w:lineRule="auto"/>
      </w:pPr>
      <w:r w:rsidRPr="001E6ADE">
        <w:t xml:space="preserve">Material risks should be contained in the </w:t>
      </w:r>
      <w:r w:rsidR="001331B0">
        <w:t>O</w:t>
      </w:r>
      <w:r w:rsidRPr="001E6ADE">
        <w:t xml:space="preserve">FR. </w:t>
      </w:r>
    </w:p>
    <w:p w14:paraId="0C60D972" w14:textId="7651CC2C" w:rsidR="0006594B" w:rsidRPr="001E6ADE" w:rsidRDefault="0006594B" w:rsidP="00B80973">
      <w:pPr>
        <w:pStyle w:val="Bullet"/>
        <w:spacing w:line="240" w:lineRule="auto"/>
      </w:pPr>
      <w:r w:rsidRPr="001E6ADE">
        <w:t xml:space="preserve">Preparers need to be clear about when they are applying materiality and through which lens. </w:t>
      </w:r>
    </w:p>
    <w:p w14:paraId="31B3ACFD" w14:textId="0B3B924E" w:rsidR="00390D5C" w:rsidRPr="001E6ADE" w:rsidRDefault="001A6DEF" w:rsidP="00B80973">
      <w:pPr>
        <w:spacing w:after="0" w:line="240" w:lineRule="auto"/>
        <w:rPr>
          <w:rFonts w:cs="Calibri"/>
        </w:rPr>
      </w:pPr>
      <w:r w:rsidRPr="001E6ADE">
        <w:rPr>
          <w:rFonts w:cs="Calibri"/>
        </w:rPr>
        <w:t>Length of reports</w:t>
      </w:r>
      <w:r w:rsidR="002119E8" w:rsidRPr="001E6ADE">
        <w:rPr>
          <w:rFonts w:cs="Calibri"/>
        </w:rPr>
        <w:t xml:space="preserve"> and connection with financial statements</w:t>
      </w:r>
    </w:p>
    <w:p w14:paraId="5E68EB7B" w14:textId="478231E7" w:rsidR="00390D5C" w:rsidRPr="001E6ADE" w:rsidRDefault="005E039D" w:rsidP="00B80973">
      <w:pPr>
        <w:pStyle w:val="Bullet"/>
        <w:spacing w:line="240" w:lineRule="auto"/>
      </w:pPr>
      <w:r w:rsidRPr="001E6ADE">
        <w:t xml:space="preserve">It is likely reports may be blown out </w:t>
      </w:r>
      <w:r w:rsidR="00836A95" w:rsidRPr="001E6ADE">
        <w:t xml:space="preserve">in </w:t>
      </w:r>
      <w:r w:rsidRPr="001E6ADE">
        <w:t xml:space="preserve">the initial years. </w:t>
      </w:r>
    </w:p>
    <w:p w14:paraId="4BBF9C71" w14:textId="2C76EA8F" w:rsidR="002119E8" w:rsidRPr="001E6ADE" w:rsidRDefault="00E22388" w:rsidP="00B80973">
      <w:pPr>
        <w:pStyle w:val="Bullet"/>
        <w:spacing w:line="240" w:lineRule="auto"/>
      </w:pPr>
      <w:r w:rsidRPr="001E6ADE">
        <w:t xml:space="preserve">Auditors and assurers </w:t>
      </w:r>
      <w:r w:rsidR="002119E8" w:rsidRPr="001E6ADE">
        <w:t>check for misleading or incomplete info</w:t>
      </w:r>
      <w:r w:rsidRPr="001E6ADE">
        <w:t>rmation when reviewing a financial statement</w:t>
      </w:r>
      <w:r w:rsidR="002119E8" w:rsidRPr="001E6ADE">
        <w:t xml:space="preserve">. When </w:t>
      </w:r>
      <w:r w:rsidRPr="001E6ADE">
        <w:t xml:space="preserve">undertaking assurance, </w:t>
      </w:r>
      <w:r w:rsidR="002119E8" w:rsidRPr="001E6ADE">
        <w:t xml:space="preserve">they still need to read the rest of the report for </w:t>
      </w:r>
      <w:r w:rsidRPr="001E6ADE">
        <w:t>misleading or incomplete information.</w:t>
      </w:r>
    </w:p>
    <w:p w14:paraId="02F9EF79" w14:textId="60BBC480" w:rsidR="00864040" w:rsidRPr="001E6ADE" w:rsidRDefault="00864040" w:rsidP="00B80973">
      <w:pPr>
        <w:spacing w:after="0" w:line="240" w:lineRule="auto"/>
        <w:rPr>
          <w:rFonts w:cs="Calibri"/>
        </w:rPr>
      </w:pPr>
      <w:r w:rsidRPr="001E6ADE">
        <w:rPr>
          <w:rFonts w:cs="Calibri"/>
        </w:rPr>
        <w:t>Greenwashing</w:t>
      </w:r>
    </w:p>
    <w:p w14:paraId="0A4F1644" w14:textId="58274747" w:rsidR="00864040" w:rsidRPr="001E6ADE" w:rsidRDefault="000A022B" w:rsidP="00B80973">
      <w:pPr>
        <w:pStyle w:val="Bullet"/>
        <w:spacing w:line="240" w:lineRule="auto"/>
      </w:pPr>
      <w:r w:rsidRPr="001E6ADE">
        <w:t xml:space="preserve">Some preparers </w:t>
      </w:r>
      <w:r w:rsidR="0020689E" w:rsidRPr="001E6ADE">
        <w:t>have expressed caution</w:t>
      </w:r>
      <w:r w:rsidR="0006594B" w:rsidRPr="001E6ADE">
        <w:t xml:space="preserve"> about compliance, as the tightening of standards has driven a healthy review of commitments (and supporting evidence) in the public domain.</w:t>
      </w:r>
    </w:p>
    <w:p w14:paraId="0C18CD7D" w14:textId="06529892" w:rsidR="00B93F6C" w:rsidRPr="001E6ADE" w:rsidRDefault="00B93F6C" w:rsidP="00B80973">
      <w:pPr>
        <w:spacing w:after="0" w:line="240" w:lineRule="auto"/>
        <w:rPr>
          <w:rFonts w:cs="Calibri"/>
        </w:rPr>
      </w:pPr>
      <w:r w:rsidRPr="001E6ADE">
        <w:rPr>
          <w:rFonts w:cs="Calibri"/>
        </w:rPr>
        <w:t xml:space="preserve">International </w:t>
      </w:r>
      <w:r w:rsidR="00DD588F" w:rsidRPr="001E6ADE">
        <w:rPr>
          <w:rFonts w:cs="Calibri"/>
        </w:rPr>
        <w:t xml:space="preserve">perspective </w:t>
      </w:r>
    </w:p>
    <w:p w14:paraId="6F9C3946" w14:textId="77777777" w:rsidR="00D279BD" w:rsidRPr="001E6ADE" w:rsidRDefault="00892473" w:rsidP="00B80973">
      <w:pPr>
        <w:pStyle w:val="Bullet"/>
        <w:spacing w:line="240" w:lineRule="auto"/>
      </w:pPr>
      <w:r w:rsidRPr="001E6ADE">
        <w:t xml:space="preserve">Pacific nations have made commitments </w:t>
      </w:r>
      <w:r w:rsidR="00DD588F" w:rsidRPr="001E6ADE">
        <w:t xml:space="preserve">to introduce </w:t>
      </w:r>
      <w:proofErr w:type="gramStart"/>
      <w:r w:rsidRPr="001E6ADE">
        <w:t>ISSB</w:t>
      </w:r>
      <w:proofErr w:type="gramEnd"/>
      <w:r w:rsidRPr="001E6ADE">
        <w:t xml:space="preserve"> </w:t>
      </w:r>
      <w:r w:rsidR="00DD588F" w:rsidRPr="001E6ADE">
        <w:t xml:space="preserve">and </w:t>
      </w:r>
      <w:r w:rsidRPr="001E6ADE">
        <w:t xml:space="preserve">companies </w:t>
      </w:r>
      <w:r w:rsidR="00DD588F" w:rsidRPr="001E6ADE">
        <w:t xml:space="preserve">are </w:t>
      </w:r>
      <w:r w:rsidRPr="001E6ADE">
        <w:t>thinking about how they’ll respond</w:t>
      </w:r>
      <w:r w:rsidR="00DD588F" w:rsidRPr="001E6ADE">
        <w:t>.</w:t>
      </w:r>
    </w:p>
    <w:p w14:paraId="41787380" w14:textId="28ED1DC8" w:rsidR="00C4578E" w:rsidRPr="001E6ADE" w:rsidRDefault="00F4074B" w:rsidP="00B80973">
      <w:pPr>
        <w:pStyle w:val="Bullet"/>
        <w:spacing w:line="240" w:lineRule="auto"/>
      </w:pPr>
      <w:r w:rsidRPr="001E6ADE">
        <w:t>Energy issues will affect supply chain resilience</w:t>
      </w:r>
      <w:r w:rsidR="00D279BD" w:rsidRPr="001E6ADE">
        <w:t>.</w:t>
      </w:r>
    </w:p>
    <w:p w14:paraId="215002A9" w14:textId="0A9807A7" w:rsidR="00D81CC0" w:rsidRPr="001E6ADE" w:rsidRDefault="00B836BD" w:rsidP="00B80973">
      <w:pPr>
        <w:pStyle w:val="Heading2"/>
        <w:spacing w:line="240" w:lineRule="auto"/>
        <w:rPr>
          <w:rFonts w:asciiTheme="minorHAnsi" w:hAnsiTheme="minorHAnsi" w:cs="Calibri"/>
        </w:rPr>
      </w:pPr>
      <w:bookmarkStart w:id="7" w:name="_Toc226452422"/>
      <w:r w:rsidRPr="001E6ADE">
        <w:rPr>
          <w:rFonts w:asciiTheme="minorHAnsi" w:hAnsiTheme="minorHAnsi" w:cs="Calibri"/>
        </w:rPr>
        <w:lastRenderedPageBreak/>
        <w:t xml:space="preserve">3. </w:t>
      </w:r>
      <w:r w:rsidR="00F21507" w:rsidRPr="001E6ADE">
        <w:rPr>
          <w:rFonts w:asciiTheme="minorHAnsi" w:hAnsiTheme="minorHAnsi" w:cs="Calibri"/>
        </w:rPr>
        <w:t>Monitoring and influencing international developments</w:t>
      </w:r>
      <w:bookmarkEnd w:id="7"/>
    </w:p>
    <w:p w14:paraId="1CFBEAA5" w14:textId="1314F0A9" w:rsidR="00F21507" w:rsidRPr="001E6ADE" w:rsidRDefault="008300CE" w:rsidP="00B80973">
      <w:pPr>
        <w:pStyle w:val="Heading3"/>
        <w:spacing w:line="240" w:lineRule="auto"/>
        <w:rPr>
          <w:rFonts w:cs="Calibri"/>
        </w:rPr>
      </w:pPr>
      <w:bookmarkStart w:id="8" w:name="_Toc226452423"/>
      <w:r w:rsidRPr="001E6ADE">
        <w:rPr>
          <w:rFonts w:cs="Calibri"/>
        </w:rPr>
        <w:t xml:space="preserve">3A. </w:t>
      </w:r>
      <w:r w:rsidR="00F21507" w:rsidRPr="001E6ADE">
        <w:rPr>
          <w:rFonts w:cs="Calibri"/>
        </w:rPr>
        <w:t>XRB update</w:t>
      </w:r>
      <w:bookmarkEnd w:id="8"/>
      <w:r w:rsidR="00F21507" w:rsidRPr="001E6ADE">
        <w:rPr>
          <w:rFonts w:cs="Calibri"/>
        </w:rPr>
        <w:tab/>
      </w:r>
    </w:p>
    <w:p w14:paraId="2E3E540C" w14:textId="7AA10A5F" w:rsidR="00565382" w:rsidRPr="001E6ADE" w:rsidRDefault="00565382" w:rsidP="00B80973">
      <w:pPr>
        <w:spacing w:after="0" w:line="240" w:lineRule="auto"/>
        <w:rPr>
          <w:rFonts w:cs="Calibri"/>
        </w:rPr>
      </w:pPr>
      <w:r w:rsidRPr="001E6ADE">
        <w:rPr>
          <w:rFonts w:cs="Calibri"/>
        </w:rPr>
        <w:t>Priorities</w:t>
      </w:r>
    </w:p>
    <w:p w14:paraId="496E0F09" w14:textId="3DA7745A" w:rsidR="00565382" w:rsidRPr="001E6ADE" w:rsidRDefault="00696B6E" w:rsidP="00B80973">
      <w:pPr>
        <w:pStyle w:val="Bullet"/>
        <w:spacing w:line="240" w:lineRule="auto"/>
      </w:pPr>
      <w:r w:rsidRPr="001E6ADE">
        <w:t>The</w:t>
      </w:r>
      <w:r w:rsidR="00C457C1">
        <w:t xml:space="preserve"> NZ</w:t>
      </w:r>
      <w:r w:rsidRPr="001E6ADE">
        <w:t xml:space="preserve"> Sustainability Board is </w:t>
      </w:r>
      <w:r w:rsidR="00C02A0D" w:rsidRPr="001E6ADE">
        <w:t xml:space="preserve">developing </w:t>
      </w:r>
      <w:r w:rsidR="00565382" w:rsidRPr="001E6ADE">
        <w:t xml:space="preserve">a </w:t>
      </w:r>
      <w:r w:rsidR="00C02A0D" w:rsidRPr="001E6ADE">
        <w:t>climate reporting roadmap</w:t>
      </w:r>
      <w:r w:rsidR="00565382" w:rsidRPr="001E6ADE">
        <w:t>.</w:t>
      </w:r>
      <w:r w:rsidR="00C02A0D" w:rsidRPr="001E6ADE">
        <w:t xml:space="preserve"> </w:t>
      </w:r>
      <w:r w:rsidR="006951C8" w:rsidRPr="001E6ADE">
        <w:t xml:space="preserve">As NZ’s standards are temporary, eventual transition to a globally aligned standard is needed.  </w:t>
      </w:r>
    </w:p>
    <w:p w14:paraId="109AA194" w14:textId="53A19510" w:rsidR="006951C8" w:rsidRPr="001E6ADE" w:rsidRDefault="00AF1AE3" w:rsidP="00B80973">
      <w:pPr>
        <w:pStyle w:val="Bullet"/>
        <w:spacing w:line="240" w:lineRule="auto"/>
      </w:pPr>
      <w:r w:rsidRPr="001E6ADE">
        <w:t xml:space="preserve">However, some stakeholders </w:t>
      </w:r>
      <w:r w:rsidR="00E76EA0" w:rsidRPr="001E6ADE">
        <w:t>are opposed to transitioning prior to the post-implementation review</w:t>
      </w:r>
      <w:r w:rsidR="007A5FD3" w:rsidRPr="001E6ADE">
        <w:t xml:space="preserve"> of climate reporting</w:t>
      </w:r>
      <w:r w:rsidR="00E76EA0" w:rsidRPr="001E6ADE">
        <w:t xml:space="preserve"> in a few years’ time. </w:t>
      </w:r>
    </w:p>
    <w:p w14:paraId="77DCC8CA" w14:textId="5C38C2A0" w:rsidR="00E76EA0" w:rsidRPr="001E6ADE" w:rsidRDefault="00E76EA0" w:rsidP="00B80973">
      <w:pPr>
        <w:pStyle w:val="Bullet"/>
        <w:spacing w:line="240" w:lineRule="auto"/>
      </w:pPr>
      <w:r w:rsidRPr="001E6ADE">
        <w:t xml:space="preserve">Adopting international standards will require </w:t>
      </w:r>
      <w:r w:rsidR="00E41289" w:rsidRPr="001E6ADE">
        <w:t xml:space="preserve">change to align domestically. </w:t>
      </w:r>
    </w:p>
    <w:p w14:paraId="549A8F64" w14:textId="4802B8E1" w:rsidR="00F21507" w:rsidRPr="001E6ADE" w:rsidRDefault="00111CBE" w:rsidP="00B80973">
      <w:pPr>
        <w:pStyle w:val="Bullet"/>
        <w:spacing w:line="240" w:lineRule="auto"/>
      </w:pPr>
      <w:r w:rsidRPr="001E6ADE">
        <w:t xml:space="preserve">The </w:t>
      </w:r>
      <w:r w:rsidR="00C457C1">
        <w:t xml:space="preserve">NZ </w:t>
      </w:r>
      <w:r w:rsidRPr="001E6ADE">
        <w:t xml:space="preserve">Accounting Standards Board is reviewing standards to assess if </w:t>
      </w:r>
      <w:r w:rsidR="00213F07" w:rsidRPr="001E6ADE">
        <w:t xml:space="preserve">splits and tiers are appropriate. </w:t>
      </w:r>
    </w:p>
    <w:p w14:paraId="75EA99AC" w14:textId="0DD69C12" w:rsidR="00326631" w:rsidRPr="001E6ADE" w:rsidRDefault="00326631" w:rsidP="00B80973">
      <w:pPr>
        <w:spacing w:after="0" w:line="240" w:lineRule="auto"/>
        <w:rPr>
          <w:rFonts w:cs="Calibri"/>
        </w:rPr>
      </w:pPr>
      <w:r w:rsidRPr="001E6ADE">
        <w:rPr>
          <w:rFonts w:cs="Calibri"/>
        </w:rPr>
        <w:t>Collaboration</w:t>
      </w:r>
    </w:p>
    <w:p w14:paraId="63B82013" w14:textId="248F277B" w:rsidR="001D4CBB" w:rsidRPr="001E6ADE" w:rsidRDefault="00034509" w:rsidP="00B80973">
      <w:pPr>
        <w:pStyle w:val="Bullet"/>
        <w:spacing w:line="240" w:lineRule="auto"/>
      </w:pPr>
      <w:r w:rsidRPr="001E6ADE">
        <w:t xml:space="preserve">As part of ongoing collaboration with Australia, </w:t>
      </w:r>
      <w:r w:rsidR="00326631" w:rsidRPr="001E6ADE">
        <w:t xml:space="preserve">Wendy Venter met with Justin Williams to discuss NZ hosting </w:t>
      </w:r>
      <w:r w:rsidR="001D4CBB" w:rsidRPr="001E6ADE">
        <w:t xml:space="preserve">the Asian-Oceanian Standard-Setters Group </w:t>
      </w:r>
      <w:r w:rsidR="00642550" w:rsidRPr="001E6ADE">
        <w:t xml:space="preserve">(AOSSG) </w:t>
      </w:r>
      <w:r w:rsidR="00326631" w:rsidRPr="001E6ADE">
        <w:t xml:space="preserve">conference and other matters. </w:t>
      </w:r>
    </w:p>
    <w:p w14:paraId="18F23CD4" w14:textId="55F167DB" w:rsidR="00E761A8" w:rsidRPr="00991648" w:rsidRDefault="00326631" w:rsidP="000D2068">
      <w:pPr>
        <w:pStyle w:val="Bullet"/>
        <w:spacing w:line="240" w:lineRule="auto"/>
        <w:rPr>
          <w:rFonts w:cs="Calibri"/>
        </w:rPr>
      </w:pPr>
      <w:r w:rsidRPr="001E6ADE">
        <w:t>International collab</w:t>
      </w:r>
      <w:r w:rsidR="001D4CBB" w:rsidRPr="001E6ADE">
        <w:t xml:space="preserve">oration is </w:t>
      </w:r>
      <w:r w:rsidRPr="001E6ADE">
        <w:t xml:space="preserve">being planned with </w:t>
      </w:r>
      <w:r w:rsidR="004E4DC7" w:rsidRPr="001E6ADE">
        <w:t xml:space="preserve">the </w:t>
      </w:r>
      <w:r w:rsidR="00034509" w:rsidRPr="001E6ADE">
        <w:t xml:space="preserve">international </w:t>
      </w:r>
      <w:r w:rsidRPr="001E6ADE">
        <w:t>public sector accounting chair and international accounting</w:t>
      </w:r>
      <w:r w:rsidR="00034509" w:rsidRPr="001E6ADE">
        <w:t xml:space="preserve"> chair</w:t>
      </w:r>
      <w:r w:rsidRPr="001E6ADE">
        <w:t>.</w:t>
      </w:r>
    </w:p>
    <w:p w14:paraId="54201B1A" w14:textId="6B7632D1" w:rsidR="00E761A8" w:rsidRPr="001E6ADE" w:rsidRDefault="008300CE" w:rsidP="00B80973">
      <w:pPr>
        <w:pStyle w:val="Heading3"/>
        <w:spacing w:line="240" w:lineRule="auto"/>
        <w:rPr>
          <w:rFonts w:cs="Calibri"/>
        </w:rPr>
      </w:pPr>
      <w:bookmarkStart w:id="9" w:name="_Toc226452424"/>
      <w:r w:rsidRPr="001E6ADE">
        <w:rPr>
          <w:rFonts w:cs="Calibri"/>
        </w:rPr>
        <w:t xml:space="preserve">3B. </w:t>
      </w:r>
      <w:r w:rsidR="005527A0" w:rsidRPr="001E6ADE">
        <w:rPr>
          <w:rFonts w:cs="Calibri"/>
        </w:rPr>
        <w:t>International and regulatory developments (including update from ASIC)</w:t>
      </w:r>
      <w:bookmarkEnd w:id="9"/>
      <w:r w:rsidR="00E761A8" w:rsidRPr="001E6ADE">
        <w:rPr>
          <w:rFonts w:cs="Calibri"/>
        </w:rPr>
        <w:tab/>
      </w:r>
    </w:p>
    <w:p w14:paraId="5884FA7D" w14:textId="7418F6A5" w:rsidR="008141F1" w:rsidRPr="001E6ADE" w:rsidRDefault="00410F1F" w:rsidP="00B80973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ASIC update </w:t>
      </w:r>
    </w:p>
    <w:p w14:paraId="23D16ADD" w14:textId="32E77D2C" w:rsidR="00416A52" w:rsidRPr="001E6ADE" w:rsidRDefault="008141F1" w:rsidP="00B80973">
      <w:pPr>
        <w:pStyle w:val="Bullet"/>
        <w:spacing w:line="240" w:lineRule="auto"/>
      </w:pPr>
      <w:r w:rsidRPr="001E6ADE">
        <w:t>High</w:t>
      </w:r>
      <w:r w:rsidR="00B47952" w:rsidRPr="001E6ADE">
        <w:t xml:space="preserve"> quality </w:t>
      </w:r>
      <w:r w:rsidRPr="001E6ADE">
        <w:t xml:space="preserve">audit </w:t>
      </w:r>
      <w:r w:rsidR="00B47952" w:rsidRPr="001E6ADE">
        <w:t xml:space="preserve">is </w:t>
      </w:r>
      <w:r w:rsidRPr="001E6ADE">
        <w:t xml:space="preserve">a </w:t>
      </w:r>
      <w:r w:rsidR="00B47952" w:rsidRPr="001E6ADE">
        <w:t>strategic priority</w:t>
      </w:r>
      <w:r w:rsidR="00416A52" w:rsidRPr="001E6ADE">
        <w:t xml:space="preserve">, along with auditor </w:t>
      </w:r>
      <w:r w:rsidR="00B47952" w:rsidRPr="001E6ADE">
        <w:t xml:space="preserve">and financial reporting </w:t>
      </w:r>
      <w:r w:rsidR="00416A52" w:rsidRPr="001E6ADE">
        <w:t>misconduct</w:t>
      </w:r>
      <w:r w:rsidR="00607956" w:rsidRPr="001E6ADE">
        <w:t xml:space="preserve">. </w:t>
      </w:r>
    </w:p>
    <w:p w14:paraId="2D6B230A" w14:textId="336E0CFD" w:rsidR="00B47952" w:rsidRPr="001E6ADE" w:rsidRDefault="002B5569" w:rsidP="00B80973">
      <w:pPr>
        <w:pStyle w:val="Bullet"/>
        <w:spacing w:line="240" w:lineRule="auto"/>
      </w:pPr>
      <w:r w:rsidRPr="001E6ADE">
        <w:t>ASIC published</w:t>
      </w:r>
      <w:r w:rsidR="00607956" w:rsidRPr="001E6ADE">
        <w:t xml:space="preserve"> </w:t>
      </w:r>
      <w:r w:rsidR="00C14811" w:rsidRPr="001E6ADE">
        <w:t xml:space="preserve">the </w:t>
      </w:r>
      <w:r w:rsidR="0036020A" w:rsidRPr="001E6ADE">
        <w:t xml:space="preserve">2025 </w:t>
      </w:r>
      <w:r w:rsidR="00B826E4">
        <w:t xml:space="preserve">report </w:t>
      </w:r>
      <w:r w:rsidR="00737CF6" w:rsidRPr="001E6ADE">
        <w:t>‘</w:t>
      </w:r>
      <w:r w:rsidR="00A21490" w:rsidRPr="001E6ADE">
        <w:t>A</w:t>
      </w:r>
      <w:r w:rsidR="00607956" w:rsidRPr="001E6ADE">
        <w:t xml:space="preserve">ccounting for </w:t>
      </w:r>
      <w:r w:rsidR="00737CF6" w:rsidRPr="001E6ADE">
        <w:t>your super’</w:t>
      </w:r>
      <w:r w:rsidR="00C14811" w:rsidRPr="001E6ADE">
        <w:t xml:space="preserve"> </w:t>
      </w:r>
      <w:r w:rsidR="003901D3" w:rsidRPr="001E6ADE">
        <w:t>review</w:t>
      </w:r>
      <w:r w:rsidR="00607956" w:rsidRPr="001E6ADE">
        <w:t xml:space="preserve"> into </w:t>
      </w:r>
      <w:r w:rsidR="00C14811" w:rsidRPr="001E6ADE">
        <w:t xml:space="preserve">the </w:t>
      </w:r>
      <w:r w:rsidR="00607956" w:rsidRPr="001E6ADE">
        <w:t>audit of super</w:t>
      </w:r>
      <w:r w:rsidR="00C14811" w:rsidRPr="001E6ADE">
        <w:t>annuation.</w:t>
      </w:r>
      <w:r w:rsidR="00607956" w:rsidRPr="001E6ADE">
        <w:t xml:space="preserve"> </w:t>
      </w:r>
      <w:r w:rsidRPr="001E6ADE">
        <w:t>Key findings concerned i</w:t>
      </w:r>
      <w:r w:rsidR="00607956" w:rsidRPr="001E6ADE">
        <w:t xml:space="preserve">nvestment evaluations. </w:t>
      </w:r>
    </w:p>
    <w:p w14:paraId="4ED468D0" w14:textId="7859DBA1" w:rsidR="003E61D8" w:rsidRPr="001E6ADE" w:rsidRDefault="00A530C7" w:rsidP="00B80973">
      <w:pPr>
        <w:pStyle w:val="Bullet"/>
        <w:spacing w:line="240" w:lineRule="auto"/>
      </w:pPr>
      <w:r w:rsidRPr="001E6ADE">
        <w:t xml:space="preserve">ASIC also published </w:t>
      </w:r>
      <w:r w:rsidR="00410F1F">
        <w:t>a</w:t>
      </w:r>
      <w:r w:rsidR="00410F1F" w:rsidRPr="001E6ADE">
        <w:t xml:space="preserve"> </w:t>
      </w:r>
      <w:r w:rsidR="0036020A" w:rsidRPr="001E6ADE">
        <w:t>2025</w:t>
      </w:r>
      <w:r w:rsidR="00410F1F">
        <w:t xml:space="preserve"> report on </w:t>
      </w:r>
      <w:r w:rsidR="00902E19" w:rsidRPr="001E6ADE">
        <w:t>Auditors’ compliance with independence and conflict of interest obligations</w:t>
      </w:r>
      <w:r w:rsidR="00FB7E16">
        <w:t>.</w:t>
      </w:r>
      <w:r w:rsidR="0036020A" w:rsidRPr="001E6ADE">
        <w:t xml:space="preserve"> K</w:t>
      </w:r>
      <w:r w:rsidR="00607956" w:rsidRPr="001E6ADE">
        <w:t xml:space="preserve">ey findings: likely breaches </w:t>
      </w:r>
      <w:r w:rsidR="004C6350" w:rsidRPr="001E6ADE">
        <w:t xml:space="preserve">were </w:t>
      </w:r>
      <w:r w:rsidR="00991648" w:rsidRPr="001E6ADE">
        <w:t>prescriptive;</w:t>
      </w:r>
      <w:r w:rsidR="00607956" w:rsidRPr="001E6ADE">
        <w:t xml:space="preserve"> </w:t>
      </w:r>
      <w:r w:rsidR="004C6350" w:rsidRPr="001E6ADE">
        <w:t xml:space="preserve">auditors took a </w:t>
      </w:r>
      <w:r w:rsidR="00607956" w:rsidRPr="001E6ADE">
        <w:t xml:space="preserve">narrow approach to general independence requirements and </w:t>
      </w:r>
      <w:r w:rsidR="004C6350" w:rsidRPr="001E6ADE">
        <w:t>there were failures</w:t>
      </w:r>
      <w:r w:rsidR="00607956" w:rsidRPr="001E6ADE">
        <w:t xml:space="preserve"> to report to </w:t>
      </w:r>
      <w:r w:rsidR="004C6350" w:rsidRPr="001E6ADE">
        <w:t>ASIC</w:t>
      </w:r>
      <w:r w:rsidR="00607956" w:rsidRPr="001E6ADE">
        <w:t xml:space="preserve">. </w:t>
      </w:r>
    </w:p>
    <w:p w14:paraId="769E0912" w14:textId="77F9DC5F" w:rsidR="006F7293" w:rsidRPr="001E6ADE" w:rsidRDefault="006F7293" w:rsidP="00B80973">
      <w:pPr>
        <w:pStyle w:val="Bullet"/>
        <w:spacing w:line="240" w:lineRule="auto"/>
      </w:pPr>
      <w:r w:rsidRPr="001E6ADE">
        <w:t>ASIC’s a</w:t>
      </w:r>
      <w:r w:rsidR="0047672C" w:rsidRPr="001E6ADE">
        <w:t xml:space="preserve">nnual regulatory </w:t>
      </w:r>
      <w:r w:rsidR="00575AA9" w:rsidRPr="001E6ADE">
        <w:t>oversight</w:t>
      </w:r>
      <w:r w:rsidR="0047672C" w:rsidRPr="001E6ADE">
        <w:t xml:space="preserve"> of financial reporting and audit </w:t>
      </w:r>
      <w:r w:rsidRPr="001E6ADE">
        <w:t xml:space="preserve">last year </w:t>
      </w:r>
      <w:r w:rsidR="0047672C" w:rsidRPr="001E6ADE">
        <w:t>include</w:t>
      </w:r>
      <w:r w:rsidRPr="001E6ADE">
        <w:t xml:space="preserve">d </w:t>
      </w:r>
      <w:r w:rsidR="0047672C" w:rsidRPr="001E6ADE">
        <w:t xml:space="preserve">outcomes of audit surveillance and other matters </w:t>
      </w:r>
      <w:r w:rsidRPr="001E6ADE">
        <w:t xml:space="preserve">regarding </w:t>
      </w:r>
      <w:r w:rsidR="0047672C" w:rsidRPr="001E6ADE">
        <w:t xml:space="preserve">financial reporting </w:t>
      </w:r>
      <w:r w:rsidRPr="001E6ADE">
        <w:t xml:space="preserve">and </w:t>
      </w:r>
      <w:r w:rsidR="0047672C" w:rsidRPr="001E6ADE">
        <w:t xml:space="preserve">audit. </w:t>
      </w:r>
    </w:p>
    <w:p w14:paraId="07AA811F" w14:textId="303F10BC" w:rsidR="00E24C3F" w:rsidRPr="001E6ADE" w:rsidRDefault="00366B12" w:rsidP="00B80973">
      <w:pPr>
        <w:pStyle w:val="Bullet"/>
        <w:spacing w:line="240" w:lineRule="auto"/>
      </w:pPr>
      <w:r w:rsidRPr="001E6ADE">
        <w:t xml:space="preserve">Audit surveillance program </w:t>
      </w:r>
      <w:r w:rsidR="006F7293" w:rsidRPr="001E6ADE">
        <w:t>is</w:t>
      </w:r>
      <w:r w:rsidRPr="001E6ADE">
        <w:t xml:space="preserve"> under way</w:t>
      </w:r>
      <w:r w:rsidR="006F7293" w:rsidRPr="001E6ADE">
        <w:t>.</w:t>
      </w:r>
      <w:r w:rsidR="00F41133" w:rsidRPr="001E6ADE">
        <w:t xml:space="preserve"> </w:t>
      </w:r>
      <w:r w:rsidR="00B828B0" w:rsidRPr="001E6ADE">
        <w:t xml:space="preserve">ASIC is </w:t>
      </w:r>
      <w:r w:rsidRPr="001E6ADE">
        <w:t>reviewing first climate report</w:t>
      </w:r>
      <w:r w:rsidR="003C1927" w:rsidRPr="001E6ADE">
        <w:t>s and</w:t>
      </w:r>
      <w:r w:rsidRPr="001E6ADE">
        <w:t xml:space="preserve"> taking </w:t>
      </w:r>
      <w:r w:rsidR="003C1927" w:rsidRPr="001E6ADE">
        <w:t xml:space="preserve">a </w:t>
      </w:r>
      <w:r w:rsidRPr="001E6ADE">
        <w:t>pragmatic approach to supervision and enforcement</w:t>
      </w:r>
      <w:r w:rsidR="00E116CB" w:rsidRPr="001E6ADE">
        <w:t>, with a</w:t>
      </w:r>
      <w:r w:rsidRPr="001E6ADE">
        <w:t xml:space="preserve"> </w:t>
      </w:r>
      <w:r w:rsidR="00E116CB" w:rsidRPr="001E6ADE">
        <w:t>f</w:t>
      </w:r>
      <w:r w:rsidRPr="001E6ADE">
        <w:t xml:space="preserve">ocus on </w:t>
      </w:r>
      <w:r w:rsidR="00E116CB" w:rsidRPr="001E6ADE">
        <w:t>providing support through guidance and capacity building.</w:t>
      </w:r>
      <w:r w:rsidRPr="001E6ADE">
        <w:t xml:space="preserve"> </w:t>
      </w:r>
      <w:r w:rsidR="00E116CB" w:rsidRPr="001E6ADE">
        <w:t>F</w:t>
      </w:r>
      <w:r w:rsidR="00E24C3F" w:rsidRPr="001E6ADE">
        <w:t>indings will be published around September/October, including from</w:t>
      </w:r>
      <w:r w:rsidR="00D63803" w:rsidRPr="001E6ADE">
        <w:t xml:space="preserve"> the</w:t>
      </w:r>
      <w:r w:rsidR="00E24C3F" w:rsidRPr="001E6ADE">
        <w:t xml:space="preserve"> sustainability review</w:t>
      </w:r>
      <w:r w:rsidR="00D63803" w:rsidRPr="001E6ADE">
        <w:t>.</w:t>
      </w:r>
    </w:p>
    <w:p w14:paraId="49346222" w14:textId="77777777" w:rsidR="00594ED6" w:rsidRPr="001E6ADE" w:rsidRDefault="00594ED6" w:rsidP="00B80973">
      <w:pPr>
        <w:spacing w:after="0" w:line="240" w:lineRule="auto"/>
        <w:rPr>
          <w:rFonts w:cs="Calibri"/>
        </w:rPr>
      </w:pPr>
    </w:p>
    <w:p w14:paraId="3FC3E70A" w14:textId="5F5A50C0" w:rsidR="003A502E" w:rsidRPr="001E6ADE" w:rsidRDefault="00B826E4" w:rsidP="00B80973">
      <w:pPr>
        <w:spacing w:after="0" w:line="240" w:lineRule="auto"/>
        <w:rPr>
          <w:rFonts w:cs="Calibri"/>
        </w:rPr>
      </w:pPr>
      <w:r>
        <w:rPr>
          <w:rFonts w:cs="Calibri"/>
        </w:rPr>
        <w:t>Other updates</w:t>
      </w:r>
    </w:p>
    <w:p w14:paraId="32EEC49F" w14:textId="6F26DF9F" w:rsidR="00FF35A3" w:rsidRPr="001E6ADE" w:rsidRDefault="00442799" w:rsidP="00B80973">
      <w:pPr>
        <w:pStyle w:val="Bullet"/>
        <w:spacing w:line="240" w:lineRule="auto"/>
      </w:pPr>
      <w:r w:rsidRPr="001E6ADE">
        <w:t xml:space="preserve">Next </w:t>
      </w:r>
      <w:r w:rsidR="00B176A0" w:rsidRPr="001E6ADE">
        <w:t xml:space="preserve">IFRS </w:t>
      </w:r>
      <w:r w:rsidRPr="001E6ADE">
        <w:t xml:space="preserve">meeting </w:t>
      </w:r>
      <w:r w:rsidR="00B176A0" w:rsidRPr="001E6ADE">
        <w:t xml:space="preserve">is </w:t>
      </w:r>
      <w:r w:rsidRPr="001E6ADE">
        <w:t xml:space="preserve">in </w:t>
      </w:r>
      <w:r w:rsidR="002D718F" w:rsidRPr="001E6ADE">
        <w:t>M</w:t>
      </w:r>
      <w:r w:rsidRPr="001E6ADE">
        <w:t>ay in Frankfur</w:t>
      </w:r>
      <w:r w:rsidR="002D718F" w:rsidRPr="001E6ADE">
        <w:t>t,</w:t>
      </w:r>
      <w:r w:rsidRPr="001E6ADE">
        <w:t xml:space="preserve"> </w:t>
      </w:r>
      <w:r w:rsidR="00B176A0" w:rsidRPr="001E6ADE">
        <w:t>online</w:t>
      </w:r>
      <w:r w:rsidRPr="001E6ADE">
        <w:t xml:space="preserve">. </w:t>
      </w:r>
      <w:r w:rsidR="00273D49" w:rsidRPr="001E6ADE">
        <w:t>AOSSG has accepted</w:t>
      </w:r>
      <w:r w:rsidR="00FF35A3" w:rsidRPr="001E6ADE">
        <w:t xml:space="preserve"> invitation</w:t>
      </w:r>
      <w:r w:rsidR="002B5712">
        <w:t xml:space="preserve"> to attend</w:t>
      </w:r>
      <w:r w:rsidR="00FF35A3" w:rsidRPr="001E6ADE">
        <w:t>.</w:t>
      </w:r>
    </w:p>
    <w:p w14:paraId="08724F08" w14:textId="4CBB602D" w:rsidR="00D03514" w:rsidRPr="001E6ADE" w:rsidRDefault="00D938C5" w:rsidP="00B80973">
      <w:pPr>
        <w:pStyle w:val="Bullet"/>
        <w:spacing w:line="240" w:lineRule="auto"/>
      </w:pPr>
      <w:r w:rsidRPr="001E6ADE">
        <w:lastRenderedPageBreak/>
        <w:t>The Honourable Peter Garling RFD, SC, was announced as new APESB Chair.</w:t>
      </w:r>
    </w:p>
    <w:p w14:paraId="590543DC" w14:textId="31C13FB6" w:rsidR="00B836BD" w:rsidRPr="001E6ADE" w:rsidRDefault="00B836BD" w:rsidP="00B80973">
      <w:pPr>
        <w:pStyle w:val="Heading2"/>
        <w:spacing w:line="240" w:lineRule="auto"/>
        <w:rPr>
          <w:rFonts w:asciiTheme="minorHAnsi" w:hAnsiTheme="minorHAnsi" w:cs="Calibri"/>
        </w:rPr>
      </w:pPr>
      <w:bookmarkStart w:id="10" w:name="_Toc226452425"/>
      <w:r w:rsidRPr="001E6ADE">
        <w:rPr>
          <w:rFonts w:asciiTheme="minorHAnsi" w:hAnsiTheme="minorHAnsi" w:cs="Calibri"/>
        </w:rPr>
        <w:t>4.</w:t>
      </w:r>
      <w:r w:rsidR="00DE56BD" w:rsidRPr="001E6ADE">
        <w:rPr>
          <w:rFonts w:asciiTheme="minorHAnsi" w:hAnsiTheme="minorHAnsi" w:cs="Calibri"/>
        </w:rPr>
        <w:t xml:space="preserve"> Update on integrity in the accounting and audit profession</w:t>
      </w:r>
      <w:bookmarkEnd w:id="10"/>
    </w:p>
    <w:p w14:paraId="1B951D3E" w14:textId="7466CD45" w:rsidR="00443627" w:rsidRPr="001E6ADE" w:rsidRDefault="00C82B11" w:rsidP="00B80973">
      <w:pPr>
        <w:pStyle w:val="Bullet"/>
        <w:spacing w:line="240" w:lineRule="auto"/>
      </w:pPr>
      <w:r w:rsidRPr="001E6ADE">
        <w:t xml:space="preserve">CA ANZ </w:t>
      </w:r>
      <w:r w:rsidR="00665F17" w:rsidRPr="001E6ADE">
        <w:t xml:space="preserve">provided </w:t>
      </w:r>
      <w:r w:rsidR="00191DB3" w:rsidRPr="001E6ADE">
        <w:t>a presentation on their Monitoring and Conduct Program for FY25, which included an overview of their strategic plan</w:t>
      </w:r>
      <w:r w:rsidR="00F90A64" w:rsidRPr="001E6ADE">
        <w:t>, with standards and ethics being a key focus area</w:t>
      </w:r>
      <w:r w:rsidR="003D665E" w:rsidRPr="001E6ADE">
        <w:t>.</w:t>
      </w:r>
    </w:p>
    <w:p w14:paraId="727E4EA0" w14:textId="71994749" w:rsidR="00B836BD" w:rsidRPr="001E6ADE" w:rsidRDefault="00DE56BD" w:rsidP="00B80973">
      <w:pPr>
        <w:pStyle w:val="Heading2"/>
        <w:spacing w:line="240" w:lineRule="auto"/>
        <w:rPr>
          <w:rFonts w:asciiTheme="minorHAnsi" w:hAnsiTheme="minorHAnsi" w:cs="Calibri"/>
        </w:rPr>
      </w:pPr>
      <w:bookmarkStart w:id="11" w:name="_Toc226452426"/>
      <w:r w:rsidRPr="001E6ADE">
        <w:rPr>
          <w:rFonts w:asciiTheme="minorHAnsi" w:hAnsiTheme="minorHAnsi" w:cs="Calibri"/>
        </w:rPr>
        <w:t xml:space="preserve">5. </w:t>
      </w:r>
      <w:r w:rsidR="008300CE" w:rsidRPr="001E6ADE">
        <w:rPr>
          <w:rFonts w:asciiTheme="minorHAnsi" w:hAnsiTheme="minorHAnsi" w:cs="Calibri"/>
        </w:rPr>
        <w:t>Oversight of Australian Standards (Accounting and Auditing)</w:t>
      </w:r>
      <w:bookmarkEnd w:id="11"/>
    </w:p>
    <w:p w14:paraId="1C2BF669" w14:textId="59C83067" w:rsidR="008300CE" w:rsidRPr="001E6ADE" w:rsidRDefault="008300CE" w:rsidP="00B80973">
      <w:pPr>
        <w:pStyle w:val="Heading3"/>
        <w:spacing w:line="240" w:lineRule="auto"/>
        <w:rPr>
          <w:rFonts w:cs="Calibri"/>
        </w:rPr>
      </w:pPr>
      <w:bookmarkStart w:id="12" w:name="_Toc226452427"/>
      <w:r w:rsidRPr="001E6ADE">
        <w:rPr>
          <w:rFonts w:cs="Calibri"/>
        </w:rPr>
        <w:t xml:space="preserve">5A. </w:t>
      </w:r>
      <w:r w:rsidR="00903AE5" w:rsidRPr="001E6ADE">
        <w:rPr>
          <w:rFonts w:cs="Calibri"/>
        </w:rPr>
        <w:t>AASB</w:t>
      </w:r>
      <w:bookmarkEnd w:id="12"/>
    </w:p>
    <w:p w14:paraId="54D60211" w14:textId="09FCD33D" w:rsidR="00303A5E" w:rsidRPr="001E6ADE" w:rsidRDefault="00303A5E" w:rsidP="00B80973">
      <w:pPr>
        <w:pStyle w:val="Bullet"/>
        <w:spacing w:line="240" w:lineRule="auto"/>
      </w:pPr>
      <w:r w:rsidRPr="001E6ADE">
        <w:t xml:space="preserve">IFRS announced that the AASB was accepted as a member of SSAF.  </w:t>
      </w:r>
    </w:p>
    <w:p w14:paraId="36B284A4" w14:textId="2257B56C" w:rsidR="00A81CBB" w:rsidRPr="001E6ADE" w:rsidRDefault="00AA7ECB" w:rsidP="00B80973">
      <w:pPr>
        <w:pStyle w:val="Bullet"/>
        <w:spacing w:line="240" w:lineRule="auto"/>
      </w:pPr>
      <w:r w:rsidRPr="001E6ADE">
        <w:t xml:space="preserve">Australia </w:t>
      </w:r>
      <w:r w:rsidR="00303A5E" w:rsidRPr="001E6ADE">
        <w:t xml:space="preserve">has been the </w:t>
      </w:r>
      <w:r w:rsidR="00B74519" w:rsidRPr="001E6ADE">
        <w:t>co-chair</w:t>
      </w:r>
      <w:r w:rsidRPr="001E6ADE">
        <w:t xml:space="preserve"> of IFA</w:t>
      </w:r>
      <w:r w:rsidR="00B826E4">
        <w:t>S</w:t>
      </w:r>
      <w:r w:rsidRPr="001E6ADE">
        <w:t>S since last year</w:t>
      </w:r>
      <w:r w:rsidR="00303A5E" w:rsidRPr="001E6ADE">
        <w:t xml:space="preserve"> and </w:t>
      </w:r>
      <w:r w:rsidR="00D10ABA" w:rsidRPr="001E6ADE">
        <w:t xml:space="preserve">the </w:t>
      </w:r>
      <w:r w:rsidRPr="001E6ADE">
        <w:t xml:space="preserve">AASB </w:t>
      </w:r>
      <w:r w:rsidR="00D10ABA" w:rsidRPr="001E6ADE">
        <w:t xml:space="preserve">is </w:t>
      </w:r>
      <w:r w:rsidRPr="001E6ADE">
        <w:t xml:space="preserve">hosting </w:t>
      </w:r>
      <w:r w:rsidR="00D10ABA" w:rsidRPr="001E6ADE">
        <w:t xml:space="preserve">the </w:t>
      </w:r>
      <w:r w:rsidRPr="001E6ADE">
        <w:t>next international meeting in Melbourne</w:t>
      </w:r>
      <w:r w:rsidR="00303A5E" w:rsidRPr="001E6ADE">
        <w:t>.</w:t>
      </w:r>
    </w:p>
    <w:p w14:paraId="3D4B08FA" w14:textId="4FB729B4" w:rsidR="00C252EF" w:rsidRPr="001E6ADE" w:rsidRDefault="00C252EF" w:rsidP="00B80973">
      <w:pPr>
        <w:spacing w:after="0" w:line="240" w:lineRule="auto"/>
        <w:rPr>
          <w:rFonts w:cs="Calibri"/>
        </w:rPr>
      </w:pPr>
      <w:r w:rsidRPr="001E6ADE">
        <w:rPr>
          <w:rFonts w:cs="Calibri"/>
        </w:rPr>
        <w:t>International engagement</w:t>
      </w:r>
    </w:p>
    <w:p w14:paraId="5365FEF8" w14:textId="0CA8F880" w:rsidR="00B74519" w:rsidRPr="001E6ADE" w:rsidRDefault="0080383E" w:rsidP="00B80973">
      <w:pPr>
        <w:pStyle w:val="Bullet"/>
        <w:spacing w:line="240" w:lineRule="auto"/>
      </w:pPr>
      <w:r w:rsidRPr="001E6ADE">
        <w:t xml:space="preserve">There has been engagement with </w:t>
      </w:r>
      <w:r w:rsidR="00C252EF" w:rsidRPr="001E6ADE">
        <w:t>P</w:t>
      </w:r>
      <w:r w:rsidRPr="001E6ADE">
        <w:t>acific jurisdictions</w:t>
      </w:r>
      <w:r w:rsidR="005D6172" w:rsidRPr="001E6ADE">
        <w:t xml:space="preserve">. </w:t>
      </w:r>
      <w:r w:rsidR="00C252EF" w:rsidRPr="001E6ADE">
        <w:t>Fiji made</w:t>
      </w:r>
      <w:r w:rsidR="005D6172" w:rsidRPr="001E6ADE">
        <w:t xml:space="preserve"> their first attendance at IFAS,</w:t>
      </w:r>
      <w:r w:rsidR="00B74519" w:rsidRPr="001E6ADE">
        <w:t xml:space="preserve"> which is the</w:t>
      </w:r>
      <w:r w:rsidR="005D6172" w:rsidRPr="001E6ADE">
        <w:t xml:space="preserve"> last step to be integrated into</w:t>
      </w:r>
      <w:r w:rsidR="007D5EDE" w:rsidRPr="001E6ADE">
        <w:t xml:space="preserve"> the</w:t>
      </w:r>
      <w:r w:rsidR="005D6172" w:rsidRPr="001E6ADE">
        <w:t xml:space="preserve"> international community</w:t>
      </w:r>
      <w:r w:rsidR="00832895" w:rsidRPr="001E6ADE">
        <w:t xml:space="preserve">. </w:t>
      </w:r>
    </w:p>
    <w:p w14:paraId="22E0EEA9" w14:textId="7E72AD67" w:rsidR="0080383E" w:rsidRPr="001E6ADE" w:rsidRDefault="00B74519" w:rsidP="00B80973">
      <w:pPr>
        <w:pStyle w:val="Bullet"/>
        <w:spacing w:line="240" w:lineRule="auto"/>
      </w:pPr>
      <w:r w:rsidRPr="001E6ADE">
        <w:t>Solomon Islands</w:t>
      </w:r>
      <w:r w:rsidR="00832895" w:rsidRPr="001E6ADE">
        <w:t xml:space="preserve"> also registered for </w:t>
      </w:r>
      <w:r w:rsidR="007D5EDE" w:rsidRPr="001E6ADE">
        <w:t xml:space="preserve">the </w:t>
      </w:r>
      <w:r w:rsidR="00832895" w:rsidRPr="001E6ADE">
        <w:t xml:space="preserve">conference. </w:t>
      </w:r>
      <w:r w:rsidR="007D5EDE" w:rsidRPr="001E6ADE">
        <w:t xml:space="preserve">AASB </w:t>
      </w:r>
      <w:r w:rsidRPr="001E6ADE">
        <w:t>have received</w:t>
      </w:r>
      <w:r w:rsidR="00832895" w:rsidRPr="001E6ADE">
        <w:t xml:space="preserve"> verbal commitments to attend from P</w:t>
      </w:r>
      <w:r w:rsidRPr="001E6ADE">
        <w:t>apua New Guinea</w:t>
      </w:r>
      <w:r w:rsidR="00832895" w:rsidRPr="001E6ADE">
        <w:t xml:space="preserve">, Tonga and Samoa. </w:t>
      </w:r>
    </w:p>
    <w:p w14:paraId="1FF1E424" w14:textId="1073537D" w:rsidR="00D96670" w:rsidRPr="001E6ADE" w:rsidRDefault="00D96670" w:rsidP="00B80973">
      <w:pPr>
        <w:pStyle w:val="Bullet"/>
        <w:spacing w:line="240" w:lineRule="auto"/>
      </w:pPr>
      <w:r w:rsidRPr="001E6ADE">
        <w:t xml:space="preserve">One of </w:t>
      </w:r>
      <w:r w:rsidR="007D5EDE" w:rsidRPr="001E6ADE">
        <w:t xml:space="preserve">AASB’s </w:t>
      </w:r>
      <w:r w:rsidRPr="001E6ADE">
        <w:t xml:space="preserve">engagement goals is to address gaps in the </w:t>
      </w:r>
      <w:r w:rsidR="009633D8" w:rsidRPr="001E6ADE">
        <w:t xml:space="preserve">Pacific with IFRS use. </w:t>
      </w:r>
    </w:p>
    <w:p w14:paraId="062C0FDC" w14:textId="41F41A56" w:rsidR="007F7B4A" w:rsidRPr="001E6ADE" w:rsidRDefault="00B74519" w:rsidP="00B80973">
      <w:pPr>
        <w:spacing w:after="0" w:line="240" w:lineRule="auto"/>
        <w:rPr>
          <w:rFonts w:cs="Calibri"/>
        </w:rPr>
      </w:pPr>
      <w:r w:rsidRPr="001E6ADE">
        <w:rPr>
          <w:rFonts w:cs="Calibri"/>
        </w:rPr>
        <w:t>Sustainability</w:t>
      </w:r>
    </w:p>
    <w:p w14:paraId="4A00E326" w14:textId="33569AAF" w:rsidR="002E1CC2" w:rsidRPr="001E6ADE" w:rsidRDefault="007D5EDE" w:rsidP="00B80973">
      <w:pPr>
        <w:pStyle w:val="Bullet"/>
        <w:spacing w:line="240" w:lineRule="auto"/>
      </w:pPr>
      <w:r w:rsidRPr="001E6ADE">
        <w:t xml:space="preserve">AASB </w:t>
      </w:r>
      <w:r w:rsidR="000379BC" w:rsidRPr="001E6ADE">
        <w:t xml:space="preserve">have </w:t>
      </w:r>
      <w:r w:rsidR="002E1CC2" w:rsidRPr="001E6ADE">
        <w:t>been going around the country hosting workshops</w:t>
      </w:r>
      <w:r w:rsidR="001419EE" w:rsidRPr="001E6ADE">
        <w:t>.</w:t>
      </w:r>
    </w:p>
    <w:p w14:paraId="750F4400" w14:textId="7D329786" w:rsidR="004C2ACF" w:rsidRPr="001E6ADE" w:rsidRDefault="009633D8" w:rsidP="00B80973">
      <w:pPr>
        <w:spacing w:after="0" w:line="240" w:lineRule="auto"/>
        <w:rPr>
          <w:rFonts w:cs="Calibri"/>
        </w:rPr>
      </w:pPr>
      <w:r w:rsidRPr="001E6ADE">
        <w:rPr>
          <w:rFonts w:cs="Calibri"/>
        </w:rPr>
        <w:t>Consultation</w:t>
      </w:r>
    </w:p>
    <w:p w14:paraId="62401611" w14:textId="2F068E4D" w:rsidR="006931EB" w:rsidRPr="001E6ADE" w:rsidRDefault="000E2E6D" w:rsidP="00B80973">
      <w:pPr>
        <w:pStyle w:val="Bullet"/>
        <w:spacing w:line="240" w:lineRule="auto"/>
      </w:pPr>
      <w:r w:rsidRPr="001E6ADE">
        <w:t>The AASB 2027</w:t>
      </w:r>
      <w:r w:rsidRPr="001E6ADE">
        <w:rPr>
          <w:rFonts w:ascii="Arial" w:hAnsi="Arial" w:cs="Arial"/>
        </w:rPr>
        <w:t>‒</w:t>
      </w:r>
      <w:r w:rsidRPr="001E6ADE">
        <w:t xml:space="preserve">2031 Agenda Consultation </w:t>
      </w:r>
      <w:r w:rsidR="004C2ACF" w:rsidRPr="001E6ADE">
        <w:t>finished this week</w:t>
      </w:r>
      <w:r w:rsidRPr="001E6ADE">
        <w:t>.</w:t>
      </w:r>
    </w:p>
    <w:p w14:paraId="4D06A628" w14:textId="14805CA5" w:rsidR="008300CE" w:rsidRPr="001E6ADE" w:rsidRDefault="00903AE5" w:rsidP="00B80973">
      <w:pPr>
        <w:pStyle w:val="Heading3"/>
        <w:spacing w:line="240" w:lineRule="auto"/>
        <w:rPr>
          <w:rFonts w:cs="Calibri"/>
        </w:rPr>
      </w:pPr>
      <w:bookmarkStart w:id="13" w:name="_Toc226452428"/>
      <w:r w:rsidRPr="001E6ADE">
        <w:rPr>
          <w:rFonts w:cs="Calibri"/>
        </w:rPr>
        <w:t>5</w:t>
      </w:r>
      <w:r w:rsidR="008300CE" w:rsidRPr="001E6ADE">
        <w:rPr>
          <w:rFonts w:cs="Calibri"/>
        </w:rPr>
        <w:t xml:space="preserve">B. </w:t>
      </w:r>
      <w:r w:rsidRPr="001E6ADE">
        <w:rPr>
          <w:rFonts w:cs="Calibri"/>
        </w:rPr>
        <w:t>AUASB</w:t>
      </w:r>
      <w:bookmarkEnd w:id="13"/>
    </w:p>
    <w:p w14:paraId="5F82A564" w14:textId="77522802" w:rsidR="005A0410" w:rsidRPr="001E6ADE" w:rsidRDefault="005A0410" w:rsidP="00B80973">
      <w:pPr>
        <w:pStyle w:val="Bullet"/>
        <w:spacing w:line="240" w:lineRule="auto"/>
      </w:pPr>
      <w:r w:rsidRPr="001E6ADE">
        <w:t>The</w:t>
      </w:r>
      <w:r w:rsidR="005D07FD" w:rsidRPr="001E6ADE">
        <w:t xml:space="preserve"> </w:t>
      </w:r>
      <w:r w:rsidR="000127FC" w:rsidRPr="001E6ADE">
        <w:t xml:space="preserve">majority of </w:t>
      </w:r>
      <w:r w:rsidR="00991648">
        <w:t xml:space="preserve">current </w:t>
      </w:r>
      <w:r w:rsidR="000127FC" w:rsidRPr="001E6ADE">
        <w:t xml:space="preserve">work </w:t>
      </w:r>
      <w:r w:rsidR="00480F80">
        <w:t>concerns</w:t>
      </w:r>
      <w:r w:rsidR="00EA40C6" w:rsidRPr="001E6ADE">
        <w:t xml:space="preserve"> </w:t>
      </w:r>
      <w:r w:rsidR="000127FC" w:rsidRPr="001E6ADE">
        <w:t xml:space="preserve">sustainability </w:t>
      </w:r>
      <w:r w:rsidR="00480F80">
        <w:t>assurance implementation</w:t>
      </w:r>
      <w:r w:rsidR="000127FC" w:rsidRPr="001E6ADE">
        <w:t xml:space="preserve">. </w:t>
      </w:r>
    </w:p>
    <w:p w14:paraId="6EC39439" w14:textId="7412FE79" w:rsidR="00900A56" w:rsidRPr="001E6ADE" w:rsidRDefault="00D931A5" w:rsidP="00B80973">
      <w:pPr>
        <w:pStyle w:val="Bullet"/>
        <w:spacing w:line="240" w:lineRule="auto"/>
      </w:pPr>
      <w:r w:rsidRPr="001E6ADE">
        <w:t xml:space="preserve">AUASB </w:t>
      </w:r>
      <w:r w:rsidR="00FA6BB3" w:rsidRPr="001E6ADE">
        <w:t xml:space="preserve">are </w:t>
      </w:r>
      <w:r w:rsidR="004F615B" w:rsidRPr="001E6ADE">
        <w:t>consider</w:t>
      </w:r>
      <w:r w:rsidR="00FA6BB3" w:rsidRPr="001E6ADE">
        <w:t xml:space="preserve">ing </w:t>
      </w:r>
      <w:r w:rsidR="004F615B" w:rsidRPr="001E6ADE">
        <w:t xml:space="preserve">how to influence </w:t>
      </w:r>
      <w:r w:rsidR="00991648">
        <w:t xml:space="preserve">international standards setting </w:t>
      </w:r>
      <w:r w:rsidR="004F615B" w:rsidRPr="001E6ADE">
        <w:t>from workplan to</w:t>
      </w:r>
      <w:r w:rsidR="00991648">
        <w:t xml:space="preserve"> standards</w:t>
      </w:r>
      <w:r w:rsidR="00FF078E" w:rsidRPr="001E6ADE">
        <w:t xml:space="preserve">. </w:t>
      </w:r>
    </w:p>
    <w:p w14:paraId="7B1E1B34" w14:textId="0340DE9D" w:rsidR="008300CE" w:rsidRPr="00991648" w:rsidRDefault="00991648" w:rsidP="000D2068">
      <w:pPr>
        <w:pStyle w:val="Bullet"/>
        <w:spacing w:line="240" w:lineRule="auto"/>
        <w:rPr>
          <w:rFonts w:cs="Calibri"/>
        </w:rPr>
      </w:pPr>
      <w:r>
        <w:t>The AUASB</w:t>
      </w:r>
      <w:r w:rsidR="000D2068">
        <w:t xml:space="preserve"> has found c</w:t>
      </w:r>
      <w:r>
        <w:t>ollaboration</w:t>
      </w:r>
      <w:r w:rsidR="00FF078E" w:rsidRPr="001E6ADE">
        <w:t xml:space="preserve"> </w:t>
      </w:r>
      <w:r w:rsidR="000D2068">
        <w:t>other jurisdictional</w:t>
      </w:r>
      <w:r w:rsidR="00FF078E" w:rsidRPr="001E6ADE">
        <w:t xml:space="preserve"> standard setters </w:t>
      </w:r>
      <w:r>
        <w:t>has</w:t>
      </w:r>
      <w:r w:rsidRPr="001E6ADE">
        <w:t xml:space="preserve"> </w:t>
      </w:r>
      <w:r w:rsidR="00FF078E" w:rsidRPr="001E6ADE">
        <w:t>improved greatly</w:t>
      </w:r>
      <w:r w:rsidR="00900A56" w:rsidRPr="001E6ADE">
        <w:t>.</w:t>
      </w:r>
    </w:p>
    <w:p w14:paraId="0CECFC90" w14:textId="597773C6" w:rsidR="00903AE5" w:rsidRPr="001E6ADE" w:rsidRDefault="00903AE5" w:rsidP="00B80973">
      <w:pPr>
        <w:pStyle w:val="Heading2"/>
        <w:spacing w:line="240" w:lineRule="auto"/>
        <w:rPr>
          <w:rFonts w:asciiTheme="minorHAnsi" w:hAnsiTheme="minorHAnsi" w:cs="Calibri"/>
        </w:rPr>
      </w:pPr>
      <w:bookmarkStart w:id="14" w:name="_Toc226452429"/>
      <w:r w:rsidRPr="001E6ADE">
        <w:rPr>
          <w:rFonts w:asciiTheme="minorHAnsi" w:hAnsiTheme="minorHAnsi" w:cs="Calibri"/>
        </w:rPr>
        <w:t xml:space="preserve">6. </w:t>
      </w:r>
      <w:r w:rsidR="00A93B11" w:rsidRPr="001E6ADE">
        <w:rPr>
          <w:rFonts w:asciiTheme="minorHAnsi" w:hAnsiTheme="minorHAnsi" w:cs="Calibri"/>
        </w:rPr>
        <w:t>Public Sector Advisory Group update</w:t>
      </w:r>
      <w:bookmarkEnd w:id="14"/>
    </w:p>
    <w:p w14:paraId="4CD89DAC" w14:textId="644B4E16" w:rsidR="00661AAC" w:rsidRPr="001E6ADE" w:rsidRDefault="009F5CBE" w:rsidP="00B80973">
      <w:pPr>
        <w:pStyle w:val="Bullet"/>
        <w:spacing w:line="240" w:lineRule="auto"/>
      </w:pPr>
      <w:r w:rsidRPr="001E6ADE">
        <w:t>PSAG Chair noted that a</w:t>
      </w:r>
      <w:r w:rsidR="0000616B" w:rsidRPr="001E6ADE">
        <w:t xml:space="preserve">t </w:t>
      </w:r>
      <w:r w:rsidRPr="001E6ADE">
        <w:t xml:space="preserve">the </w:t>
      </w:r>
      <w:r w:rsidR="008622FF">
        <w:t>Commonwealth</w:t>
      </w:r>
      <w:r w:rsidR="008622FF" w:rsidRPr="001E6ADE">
        <w:t xml:space="preserve"> </w:t>
      </w:r>
      <w:r w:rsidR="0000616B" w:rsidRPr="001E6ADE">
        <w:t>level</w:t>
      </w:r>
      <w:r w:rsidR="004A107D" w:rsidRPr="001E6ADE">
        <w:t xml:space="preserve">, </w:t>
      </w:r>
      <w:r w:rsidR="00B03273" w:rsidRPr="001E6ADE">
        <w:t>the Government</w:t>
      </w:r>
      <w:r w:rsidR="004A107D" w:rsidRPr="001E6ADE">
        <w:t xml:space="preserve"> </w:t>
      </w:r>
      <w:r w:rsidR="0000616B" w:rsidRPr="001E6ADE">
        <w:t>work</w:t>
      </w:r>
      <w:r w:rsidR="00B03273" w:rsidRPr="001E6ADE">
        <w:t>s</w:t>
      </w:r>
      <w:r w:rsidR="0000616B" w:rsidRPr="001E6ADE">
        <w:t xml:space="preserve"> on capacity building with </w:t>
      </w:r>
      <w:r w:rsidR="00B03273" w:rsidRPr="001E6ADE">
        <w:t>P</w:t>
      </w:r>
      <w:r w:rsidR="0000616B" w:rsidRPr="001E6ADE">
        <w:t>acific neighbours on basic accounting and financial management practices</w:t>
      </w:r>
      <w:r w:rsidR="004A107D" w:rsidRPr="001E6ADE">
        <w:t>.</w:t>
      </w:r>
    </w:p>
    <w:p w14:paraId="12F4AD45" w14:textId="4C53F8F4" w:rsidR="00BA3AB8" w:rsidRPr="001E6ADE" w:rsidRDefault="0000616B" w:rsidP="00B80973">
      <w:pPr>
        <w:pStyle w:val="Bullet"/>
        <w:spacing w:line="240" w:lineRule="auto"/>
      </w:pPr>
      <w:r w:rsidRPr="001E6ADE">
        <w:t xml:space="preserve">PSAG met on 16 March </w:t>
      </w:r>
      <w:r w:rsidR="00BA3AB8" w:rsidRPr="001E6ADE">
        <w:t xml:space="preserve">2026 and noted the </w:t>
      </w:r>
      <w:r w:rsidR="00A24333" w:rsidRPr="001E6ADE">
        <w:t xml:space="preserve">geopolitical environment and impacts on fiscal strategy are at </w:t>
      </w:r>
      <w:r w:rsidR="00BA3AB8" w:rsidRPr="001E6ADE">
        <w:t xml:space="preserve">the </w:t>
      </w:r>
      <w:r w:rsidR="00A24333" w:rsidRPr="001E6ADE">
        <w:t xml:space="preserve">forefront of </w:t>
      </w:r>
      <w:r w:rsidR="00BA3AB8" w:rsidRPr="001E6ADE">
        <w:t xml:space="preserve">the </w:t>
      </w:r>
      <w:r w:rsidR="00A24333" w:rsidRPr="001E6ADE">
        <w:t xml:space="preserve">public sector across </w:t>
      </w:r>
      <w:r w:rsidR="00BA3AB8" w:rsidRPr="001E6ADE">
        <w:t xml:space="preserve">the </w:t>
      </w:r>
      <w:r w:rsidR="00991648">
        <w:t>Commonwealth</w:t>
      </w:r>
      <w:r w:rsidR="00991648" w:rsidRPr="001E6ADE">
        <w:t xml:space="preserve"> </w:t>
      </w:r>
      <w:r w:rsidR="00A24333" w:rsidRPr="001E6ADE">
        <w:t xml:space="preserve">and </w:t>
      </w:r>
      <w:r w:rsidR="00991648">
        <w:t>S</w:t>
      </w:r>
      <w:r w:rsidR="00A24333" w:rsidRPr="001E6ADE">
        <w:t xml:space="preserve">tates. </w:t>
      </w:r>
    </w:p>
    <w:p w14:paraId="68A77BCD" w14:textId="1A7BCA8E" w:rsidR="00DB03FD" w:rsidRPr="001E6ADE" w:rsidRDefault="00DB03FD" w:rsidP="00B80973">
      <w:pPr>
        <w:pStyle w:val="Dash"/>
        <w:spacing w:line="240" w:lineRule="auto"/>
      </w:pPr>
      <w:r w:rsidRPr="001E6ADE">
        <w:t xml:space="preserve">There was a </w:t>
      </w:r>
      <w:r w:rsidR="009D4AF9" w:rsidRPr="001E6ADE">
        <w:t>high-level</w:t>
      </w:r>
      <w:r w:rsidR="00A24333" w:rsidRPr="001E6ADE">
        <w:t xml:space="preserve"> discussion on transition to </w:t>
      </w:r>
      <w:r w:rsidR="008E3105" w:rsidRPr="001E6ADE">
        <w:t>External Reporting Australia</w:t>
      </w:r>
      <w:r w:rsidR="00D931A5" w:rsidRPr="001E6ADE">
        <w:t xml:space="preserve"> (ERA)</w:t>
      </w:r>
      <w:r w:rsidR="009569E8" w:rsidRPr="001E6ADE">
        <w:t>, including</w:t>
      </w:r>
      <w:r w:rsidR="00A24333" w:rsidRPr="001E6ADE">
        <w:t xml:space="preserve"> HOTARAC</w:t>
      </w:r>
      <w:r w:rsidR="00B0591D" w:rsidRPr="001E6ADE">
        <w:t xml:space="preserve"> funding</w:t>
      </w:r>
      <w:r w:rsidR="00A24333" w:rsidRPr="001E6ADE">
        <w:t xml:space="preserve">. </w:t>
      </w:r>
      <w:r w:rsidR="007D2AF9" w:rsidRPr="001E6ADE">
        <w:t xml:space="preserve">The </w:t>
      </w:r>
      <w:r w:rsidR="006A0543">
        <w:t>Commonwealth</w:t>
      </w:r>
      <w:r w:rsidR="006A0543" w:rsidRPr="001E6ADE">
        <w:t xml:space="preserve"> </w:t>
      </w:r>
      <w:r w:rsidR="00A16619" w:rsidRPr="001E6ADE">
        <w:t xml:space="preserve">doesn’t </w:t>
      </w:r>
      <w:r w:rsidR="00A16619" w:rsidRPr="001E6ADE">
        <w:lastRenderedPageBreak/>
        <w:t xml:space="preserve">participate or contribute to HOTARAC funding decisions, but </w:t>
      </w:r>
      <w:r w:rsidR="007D2AF9" w:rsidRPr="001E6ADE">
        <w:t xml:space="preserve">we </w:t>
      </w:r>
      <w:r w:rsidR="00A16619" w:rsidRPr="001E6ADE">
        <w:t>have been working with Justin and Treasury on</w:t>
      </w:r>
      <w:r w:rsidR="007D2AF9" w:rsidRPr="001E6ADE">
        <w:t xml:space="preserve"> a</w:t>
      </w:r>
      <w:r w:rsidR="00A16619" w:rsidRPr="001E6ADE">
        <w:t xml:space="preserve"> way forward. </w:t>
      </w:r>
    </w:p>
    <w:p w14:paraId="70507549" w14:textId="036B0522" w:rsidR="008837B3" w:rsidRPr="001E6ADE" w:rsidRDefault="007B3050" w:rsidP="00B80973">
      <w:pPr>
        <w:pStyle w:val="Dash"/>
        <w:spacing w:line="240" w:lineRule="auto"/>
      </w:pPr>
      <w:r w:rsidRPr="007B3050">
        <w:t xml:space="preserve">Australasian Council of Auditors-General </w:t>
      </w:r>
      <w:r w:rsidR="00A16619" w:rsidRPr="001E6ADE">
        <w:t>published report on their review of public sector audit quality</w:t>
      </w:r>
      <w:r w:rsidR="00124DA7" w:rsidRPr="001E6ADE">
        <w:t xml:space="preserve">. </w:t>
      </w:r>
    </w:p>
    <w:p w14:paraId="4D1C04D5" w14:textId="2F96FA21" w:rsidR="0000616B" w:rsidRPr="001E6ADE" w:rsidRDefault="00F020D7" w:rsidP="00B80973">
      <w:pPr>
        <w:pStyle w:val="Dash"/>
        <w:spacing w:line="240" w:lineRule="auto"/>
      </w:pPr>
      <w:r w:rsidRPr="001E6ADE">
        <w:t xml:space="preserve">At the </w:t>
      </w:r>
      <w:r w:rsidR="00C33BA7">
        <w:t>Commonwealth</w:t>
      </w:r>
      <w:r w:rsidR="00C33BA7" w:rsidRPr="001E6ADE">
        <w:t xml:space="preserve"> </w:t>
      </w:r>
      <w:r w:rsidR="00124DA7" w:rsidRPr="001E6ADE">
        <w:t>level</w:t>
      </w:r>
      <w:r w:rsidRPr="001E6ADE">
        <w:t>, a</w:t>
      </w:r>
      <w:r w:rsidR="00124DA7" w:rsidRPr="001E6ADE">
        <w:t xml:space="preserve"> review </w:t>
      </w:r>
      <w:r w:rsidRPr="001E6ADE">
        <w:t xml:space="preserve">is being undertaken </w:t>
      </w:r>
      <w:r w:rsidR="00124DA7" w:rsidRPr="001E6ADE">
        <w:t>of financial reporting requirements to address scope creep –</w:t>
      </w:r>
      <w:r w:rsidR="00B44684" w:rsidRPr="001E6ADE">
        <w:t xml:space="preserve">some financial reports are hundreds of pages long. </w:t>
      </w:r>
    </w:p>
    <w:p w14:paraId="35E09DCA" w14:textId="44BEBC8C" w:rsidR="00A93B11" w:rsidRPr="001E6ADE" w:rsidRDefault="00882B26" w:rsidP="00B80973">
      <w:pPr>
        <w:pStyle w:val="Heading2"/>
        <w:spacing w:line="240" w:lineRule="auto"/>
        <w:rPr>
          <w:rFonts w:asciiTheme="minorHAnsi" w:hAnsiTheme="minorHAnsi" w:cs="Calibri"/>
        </w:rPr>
      </w:pPr>
      <w:bookmarkStart w:id="15" w:name="_Toc226452430"/>
      <w:r w:rsidRPr="001E6ADE">
        <w:rPr>
          <w:rFonts w:asciiTheme="minorHAnsi" w:hAnsiTheme="minorHAnsi" w:cs="Calibri"/>
        </w:rPr>
        <w:t>7</w:t>
      </w:r>
      <w:r w:rsidR="00A93B11" w:rsidRPr="001E6ADE">
        <w:rPr>
          <w:rFonts w:asciiTheme="minorHAnsi" w:hAnsiTheme="minorHAnsi" w:cs="Calibri"/>
        </w:rPr>
        <w:t xml:space="preserve">. </w:t>
      </w:r>
      <w:r w:rsidRPr="001E6ADE">
        <w:rPr>
          <w:rFonts w:asciiTheme="minorHAnsi" w:hAnsiTheme="minorHAnsi" w:cs="Calibri"/>
        </w:rPr>
        <w:t>Auditor Review Working Group update</w:t>
      </w:r>
      <w:bookmarkEnd w:id="15"/>
    </w:p>
    <w:p w14:paraId="3340B564" w14:textId="316610E7" w:rsidR="005F48FC" w:rsidRPr="001E6ADE" w:rsidRDefault="001209E4" w:rsidP="00B80973">
      <w:pPr>
        <w:pStyle w:val="Bullet"/>
        <w:spacing w:line="240" w:lineRule="auto"/>
      </w:pPr>
      <w:r w:rsidRPr="001E6ADE">
        <w:t xml:space="preserve">The Chair </w:t>
      </w:r>
      <w:r w:rsidR="00F17CF0" w:rsidRPr="001E6ADE">
        <w:t xml:space="preserve">noted </w:t>
      </w:r>
      <w:r w:rsidRPr="001E6ADE">
        <w:t xml:space="preserve">the </w:t>
      </w:r>
      <w:r w:rsidR="00F17CF0" w:rsidRPr="001E6ADE">
        <w:t xml:space="preserve">agenda </w:t>
      </w:r>
      <w:r w:rsidRPr="001E6ADE">
        <w:t>paper</w:t>
      </w:r>
      <w:r w:rsidR="00F17CF0" w:rsidRPr="001E6ADE">
        <w:t xml:space="preserve">, stating that the working group will be placed on </w:t>
      </w:r>
      <w:r w:rsidR="00445838">
        <w:t>hold</w:t>
      </w:r>
      <w:r w:rsidR="00F17CF0" w:rsidRPr="001E6ADE">
        <w:t xml:space="preserve">. The Chair noted that </w:t>
      </w:r>
      <w:r w:rsidR="00D85718" w:rsidRPr="001E6ADE">
        <w:t xml:space="preserve">legislation before Parliament would not transfer the FRC’s function for audit quality to ERA. </w:t>
      </w:r>
    </w:p>
    <w:p w14:paraId="415F46A6" w14:textId="1EE019F6" w:rsidR="00882B26" w:rsidRDefault="00882B26" w:rsidP="00B80973">
      <w:pPr>
        <w:pStyle w:val="Heading2"/>
        <w:spacing w:line="240" w:lineRule="auto"/>
        <w:rPr>
          <w:rFonts w:asciiTheme="minorHAnsi" w:hAnsiTheme="minorHAnsi" w:cs="Calibri"/>
        </w:rPr>
      </w:pPr>
      <w:bookmarkStart w:id="16" w:name="_Toc226452431"/>
      <w:r w:rsidRPr="001E6ADE">
        <w:rPr>
          <w:rFonts w:asciiTheme="minorHAnsi" w:hAnsiTheme="minorHAnsi" w:cs="Calibri"/>
        </w:rPr>
        <w:t>8. Other business</w:t>
      </w:r>
      <w:bookmarkEnd w:id="16"/>
    </w:p>
    <w:p w14:paraId="52527231" w14:textId="3FF3ABE6" w:rsidR="00362945" w:rsidRPr="00362945" w:rsidRDefault="00362945" w:rsidP="003F43D6">
      <w:r w:rsidRPr="001E6ADE">
        <w:t>Amy Fox was an apology for this session.</w:t>
      </w:r>
    </w:p>
    <w:p w14:paraId="442B76FD" w14:textId="62443DF8" w:rsidR="00882B26" w:rsidRPr="001E6ADE" w:rsidRDefault="00882B26" w:rsidP="00B80973">
      <w:pPr>
        <w:pStyle w:val="Heading3"/>
        <w:spacing w:line="240" w:lineRule="auto"/>
        <w:rPr>
          <w:rFonts w:cs="Calibri"/>
        </w:rPr>
      </w:pPr>
      <w:bookmarkStart w:id="17" w:name="_Toc226452432"/>
      <w:r w:rsidRPr="001E6ADE">
        <w:rPr>
          <w:rFonts w:cs="Calibri"/>
        </w:rPr>
        <w:t>8A. International funding</w:t>
      </w:r>
      <w:bookmarkEnd w:id="17"/>
    </w:p>
    <w:p w14:paraId="09D6A237" w14:textId="62BB3414" w:rsidR="00CA6AFD" w:rsidRPr="001E6ADE" w:rsidRDefault="00FE6E4F" w:rsidP="00B80973">
      <w:pPr>
        <w:pStyle w:val="Bullet"/>
        <w:spacing w:line="240" w:lineRule="auto"/>
      </w:pPr>
      <w:r w:rsidRPr="001E6ADE">
        <w:t xml:space="preserve">Members voted in favour of </w:t>
      </w:r>
      <w:r w:rsidR="006C09A3" w:rsidRPr="001E6ADE">
        <w:t xml:space="preserve">recommending to the Treasury an extension of </w:t>
      </w:r>
      <w:r w:rsidR="00D23083" w:rsidRPr="001E6ADE">
        <w:t xml:space="preserve">the option to extend an </w:t>
      </w:r>
      <w:r w:rsidR="00A91EB3" w:rsidRPr="001E6ADE">
        <w:t xml:space="preserve">annual $1m </w:t>
      </w:r>
      <w:r w:rsidRPr="001E6ADE">
        <w:t xml:space="preserve">funding to </w:t>
      </w:r>
      <w:r w:rsidR="00A91EB3" w:rsidRPr="001E6ADE">
        <w:t xml:space="preserve">the IFRS Foundation </w:t>
      </w:r>
      <w:r w:rsidR="00D23083" w:rsidRPr="001E6ADE">
        <w:t xml:space="preserve">for </w:t>
      </w:r>
      <w:r w:rsidRPr="001E6ADE">
        <w:t>2026-2027</w:t>
      </w:r>
      <w:r w:rsidR="00A91EB3" w:rsidRPr="001E6ADE">
        <w:t>.</w:t>
      </w:r>
      <w:r w:rsidR="00D85718" w:rsidRPr="001E6ADE">
        <w:t xml:space="preserve"> </w:t>
      </w:r>
    </w:p>
    <w:p w14:paraId="1D5781CD" w14:textId="289C723F" w:rsidR="00882B26" w:rsidRPr="001E6ADE" w:rsidRDefault="00882B26" w:rsidP="00B80973">
      <w:pPr>
        <w:pStyle w:val="Heading3"/>
        <w:spacing w:line="240" w:lineRule="auto"/>
        <w:rPr>
          <w:rFonts w:cs="Calibri"/>
        </w:rPr>
      </w:pPr>
      <w:bookmarkStart w:id="18" w:name="_Toc226452433"/>
      <w:r w:rsidRPr="001E6ADE">
        <w:rPr>
          <w:rFonts w:cs="Calibri"/>
        </w:rPr>
        <w:t xml:space="preserve">8B. </w:t>
      </w:r>
      <w:r w:rsidR="000D017C" w:rsidRPr="001E6ADE">
        <w:rPr>
          <w:rFonts w:cs="Calibri"/>
        </w:rPr>
        <w:t>Correspondence received and sent</w:t>
      </w:r>
      <w:bookmarkEnd w:id="18"/>
    </w:p>
    <w:p w14:paraId="37AFC230" w14:textId="68E13E59" w:rsidR="00734BAC" w:rsidRPr="001E6ADE" w:rsidRDefault="006E46D3" w:rsidP="00B80973">
      <w:pPr>
        <w:pStyle w:val="Bullet"/>
        <w:spacing w:line="240" w:lineRule="auto"/>
      </w:pPr>
      <w:r w:rsidRPr="001E6ADE">
        <w:t>The Chair</w:t>
      </w:r>
      <w:r w:rsidR="001A7D43" w:rsidRPr="001E6ADE">
        <w:t xml:space="preserve"> noted correspondence sent to IFRS concerning</w:t>
      </w:r>
      <w:r w:rsidRPr="001E6ADE">
        <w:t xml:space="preserve"> </w:t>
      </w:r>
      <w:r w:rsidR="00BB77C5" w:rsidRPr="001E6ADE">
        <w:t xml:space="preserve">the </w:t>
      </w:r>
      <w:r w:rsidR="00734BAC" w:rsidRPr="001E6ADE">
        <w:t xml:space="preserve">Sustainability </w:t>
      </w:r>
      <w:r w:rsidR="00BB77C5" w:rsidRPr="001E6ADE">
        <w:t>Standards Advisory Forum and the r</w:t>
      </w:r>
      <w:r w:rsidR="00734BAC" w:rsidRPr="001E6ADE">
        <w:t xml:space="preserve">esponse received from </w:t>
      </w:r>
      <w:r w:rsidR="002A263D" w:rsidRPr="001E6ADE">
        <w:t xml:space="preserve">the Assistant Treasurer regarding </w:t>
      </w:r>
      <w:r w:rsidR="0054030F" w:rsidRPr="001E6ADE">
        <w:t>mandatory digital financial reporting</w:t>
      </w:r>
      <w:r w:rsidR="002A263D" w:rsidRPr="001E6ADE">
        <w:t>.</w:t>
      </w:r>
    </w:p>
    <w:p w14:paraId="55D59711" w14:textId="59FA2D67" w:rsidR="000D017C" w:rsidRPr="001E6ADE" w:rsidRDefault="000D017C" w:rsidP="00B80973">
      <w:pPr>
        <w:pStyle w:val="Heading3"/>
        <w:spacing w:line="240" w:lineRule="auto"/>
        <w:rPr>
          <w:rFonts w:cs="Calibri"/>
        </w:rPr>
      </w:pPr>
      <w:bookmarkStart w:id="19" w:name="_Toc226452434"/>
      <w:r w:rsidRPr="001E6ADE">
        <w:rPr>
          <w:rFonts w:cs="Calibri"/>
        </w:rPr>
        <w:t>8</w:t>
      </w:r>
      <w:r w:rsidR="00BD359C" w:rsidRPr="001E6ADE">
        <w:rPr>
          <w:rFonts w:cs="Calibri"/>
        </w:rPr>
        <w:t>C</w:t>
      </w:r>
      <w:r w:rsidRPr="001E6ADE">
        <w:rPr>
          <w:rFonts w:cs="Calibri"/>
        </w:rPr>
        <w:t xml:space="preserve">. </w:t>
      </w:r>
      <w:r w:rsidR="00BD359C" w:rsidRPr="001E6ADE">
        <w:rPr>
          <w:rFonts w:cs="Calibri"/>
        </w:rPr>
        <w:t>Key action items summary</w:t>
      </w:r>
      <w:bookmarkEnd w:id="19"/>
    </w:p>
    <w:p w14:paraId="3AE30C28" w14:textId="40ACA432" w:rsidR="00085F36" w:rsidRPr="001E6ADE" w:rsidRDefault="008F0C86" w:rsidP="00B80973">
      <w:pPr>
        <w:pStyle w:val="Bullet"/>
        <w:spacing w:line="240" w:lineRule="auto"/>
      </w:pPr>
      <w:r w:rsidRPr="001E6ADE">
        <w:t xml:space="preserve">At </w:t>
      </w:r>
      <w:r w:rsidR="009A3AE2" w:rsidRPr="001E6ADE">
        <w:t xml:space="preserve">the </w:t>
      </w:r>
      <w:r w:rsidRPr="001E6ADE">
        <w:t>last quarterly meeting</w:t>
      </w:r>
      <w:r w:rsidR="009A3AE2" w:rsidRPr="001E6ADE">
        <w:t>,</w:t>
      </w:r>
      <w:r w:rsidRPr="001E6ADE">
        <w:t xml:space="preserve"> there was </w:t>
      </w:r>
      <w:r w:rsidR="007D4220" w:rsidRPr="001E6ADE">
        <w:t>discussion</w:t>
      </w:r>
      <w:r w:rsidRPr="001E6ADE">
        <w:t xml:space="preserve"> re</w:t>
      </w:r>
      <w:r w:rsidR="007D4220" w:rsidRPr="001E6ADE">
        <w:t>garding</w:t>
      </w:r>
      <w:r w:rsidRPr="001E6ADE">
        <w:t xml:space="preserve"> </w:t>
      </w:r>
      <w:r w:rsidR="009A3AE2" w:rsidRPr="001E6ADE">
        <w:t>Registrable Superannuation Entity (</w:t>
      </w:r>
      <w:r w:rsidRPr="001E6ADE">
        <w:t>RSE</w:t>
      </w:r>
      <w:r w:rsidR="009A3AE2" w:rsidRPr="001E6ADE">
        <w:t>)</w:t>
      </w:r>
      <w:r w:rsidRPr="001E6ADE">
        <w:t xml:space="preserve"> disclosures – </w:t>
      </w:r>
      <w:r w:rsidR="00E33CB8" w:rsidRPr="001E6ADE">
        <w:t xml:space="preserve">this action item is </w:t>
      </w:r>
      <w:r w:rsidRPr="001E6ADE">
        <w:t xml:space="preserve">yet to be </w:t>
      </w:r>
      <w:r w:rsidR="00362945">
        <w:t>actioned</w:t>
      </w:r>
      <w:r w:rsidRPr="001E6ADE">
        <w:t xml:space="preserve">. </w:t>
      </w:r>
    </w:p>
    <w:p w14:paraId="7E115159" w14:textId="15F0330C" w:rsidR="000D017C" w:rsidRPr="001E6ADE" w:rsidRDefault="00E33CB8" w:rsidP="00B80973">
      <w:pPr>
        <w:pStyle w:val="Bullet"/>
        <w:spacing w:line="240" w:lineRule="auto"/>
      </w:pPr>
      <w:r w:rsidRPr="001E6ADE">
        <w:t>Further details regarding s</w:t>
      </w:r>
      <w:r w:rsidR="008F0C86" w:rsidRPr="001E6ADE">
        <w:t xml:space="preserve">takeholder </w:t>
      </w:r>
      <w:r w:rsidRPr="001E6ADE">
        <w:t>engagement</w:t>
      </w:r>
      <w:r w:rsidR="008F0C86" w:rsidRPr="001E6ADE">
        <w:t xml:space="preserve"> will be provided to members as necessary. </w:t>
      </w:r>
    </w:p>
    <w:p w14:paraId="2926586E" w14:textId="480801F7" w:rsidR="00BD359C" w:rsidRPr="001E6ADE" w:rsidRDefault="009A3AE2" w:rsidP="00B80973">
      <w:pPr>
        <w:pStyle w:val="Heading2"/>
        <w:spacing w:line="240" w:lineRule="auto"/>
        <w:rPr>
          <w:rFonts w:asciiTheme="minorHAnsi" w:hAnsiTheme="minorHAnsi" w:cs="Calibri"/>
        </w:rPr>
      </w:pPr>
      <w:bookmarkStart w:id="20" w:name="_Toc226452435"/>
      <w:r w:rsidRPr="001E6ADE">
        <w:rPr>
          <w:rFonts w:asciiTheme="minorHAnsi" w:hAnsiTheme="minorHAnsi" w:cs="Calibri"/>
        </w:rPr>
        <w:t>Meeting close</w:t>
      </w:r>
      <w:bookmarkEnd w:id="20"/>
    </w:p>
    <w:p w14:paraId="354A74A5" w14:textId="336311BF" w:rsidR="00FF492F" w:rsidRPr="001E6ADE" w:rsidRDefault="00FF492F" w:rsidP="00B80973">
      <w:pPr>
        <w:spacing w:line="240" w:lineRule="auto"/>
        <w:rPr>
          <w:rFonts w:cs="Calibri"/>
        </w:rPr>
      </w:pPr>
      <w:r w:rsidRPr="001E6ADE">
        <w:rPr>
          <w:rFonts w:cs="Calibri"/>
        </w:rPr>
        <w:t xml:space="preserve">The </w:t>
      </w:r>
      <w:r w:rsidR="000745A9" w:rsidRPr="001E6ADE">
        <w:rPr>
          <w:rFonts w:cs="Calibri"/>
        </w:rPr>
        <w:t>session</w:t>
      </w:r>
      <w:r w:rsidRPr="001E6ADE">
        <w:rPr>
          <w:rFonts w:cs="Calibri"/>
        </w:rPr>
        <w:t xml:space="preserve"> closed at </w:t>
      </w:r>
      <w:r w:rsidR="007B7E5D" w:rsidRPr="001E6ADE">
        <w:rPr>
          <w:rFonts w:cs="Calibri"/>
        </w:rPr>
        <w:t>4:12 pm</w:t>
      </w:r>
      <w:r w:rsidRPr="001E6ADE">
        <w:rPr>
          <w:rFonts w:cs="Calibri"/>
        </w:rPr>
        <w:t xml:space="preserve">. </w:t>
      </w:r>
    </w:p>
    <w:sectPr w:rsidR="00FF492F" w:rsidRPr="001E6A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7E69" w14:textId="77777777" w:rsidR="00A3028D" w:rsidRDefault="00A3028D" w:rsidP="00AC551D">
      <w:pPr>
        <w:spacing w:after="0" w:line="240" w:lineRule="auto"/>
      </w:pPr>
      <w:r>
        <w:separator/>
      </w:r>
    </w:p>
  </w:endnote>
  <w:endnote w:type="continuationSeparator" w:id="0">
    <w:p w14:paraId="6B50A787" w14:textId="77777777" w:rsidR="00A3028D" w:rsidRDefault="00A3028D" w:rsidP="00AC551D">
      <w:pPr>
        <w:spacing w:after="0" w:line="240" w:lineRule="auto"/>
      </w:pPr>
      <w:r>
        <w:continuationSeparator/>
      </w:r>
    </w:p>
  </w:endnote>
  <w:endnote w:type="continuationNotice" w:id="1">
    <w:p w14:paraId="481098AC" w14:textId="77777777" w:rsidR="00A3028D" w:rsidRDefault="00A302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62DA" w14:textId="37F7AE41" w:rsidR="00AC551D" w:rsidRDefault="00B712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3E4CC41" wp14:editId="4CBA38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26592292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DE2B4" w14:textId="2BFEDBB3" w:rsidR="00B712C9" w:rsidRPr="00B712C9" w:rsidRDefault="00B712C9" w:rsidP="00B712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12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4CC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+zDgIAABwEAAAOAAAAZHJzL2Uyb0RvYy54bWysU8Fu2zAMvQ/YPwi6L7aDue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mJefbsq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mqA/sw4CAAAc&#10;BAAADgAAAAAAAAAAAAAAAAAuAgAAZHJzL2Uyb0RvYy54bWxQSwECLQAUAAYACAAAACEAiUPfmdsA&#10;AAADAQAADwAAAAAAAAAAAAAAAABoBAAAZHJzL2Rvd25yZXYueG1sUEsFBgAAAAAEAAQA8wAAAHAF&#10;AAAAAA==&#10;" filled="f" stroked="f">
              <v:textbox style="mso-fit-shape-to-text:t" inset="0,0,0,15pt">
                <w:txbxContent>
                  <w:p w14:paraId="294DE2B4" w14:textId="2BFEDBB3" w:rsidR="00B712C9" w:rsidRPr="00B712C9" w:rsidRDefault="00B712C9" w:rsidP="00B712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12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9414" w14:textId="5A27CC1D" w:rsidR="003C09FE" w:rsidRDefault="00B712C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3CE4E4D" wp14:editId="3EA84450">
              <wp:simplePos x="914400" y="98679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33622577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68C5C" w14:textId="6C437345" w:rsidR="00B712C9" w:rsidRPr="00B712C9" w:rsidRDefault="00B712C9" w:rsidP="00B712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12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E4E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1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2O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U15+vi4jSna5bJ0P3wRoEo2aOtxKIosd&#10;1j6MqVNKrGVg1SmVNqPMbw7EjJ7s0mG0wrAdSNfU9O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" filled="f" stroked="f">
              <v:textbox style="mso-fit-shape-to-text:t" inset="0,0,0,15pt">
                <w:txbxContent>
                  <w:p w14:paraId="4E068C5C" w14:textId="6C437345" w:rsidR="00B712C9" w:rsidRPr="00B712C9" w:rsidRDefault="00B712C9" w:rsidP="00B712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12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064262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C09FE">
          <w:fldChar w:fldCharType="begin"/>
        </w:r>
        <w:r w:rsidR="003C09FE">
          <w:instrText xml:space="preserve"> PAGE   \* MERGEFORMAT </w:instrText>
        </w:r>
        <w:r w:rsidR="003C09FE">
          <w:fldChar w:fldCharType="separate"/>
        </w:r>
        <w:r w:rsidR="003C09FE">
          <w:rPr>
            <w:noProof/>
          </w:rPr>
          <w:t>2</w:t>
        </w:r>
        <w:r w:rsidR="003C09FE">
          <w:rPr>
            <w:noProof/>
          </w:rPr>
          <w:fldChar w:fldCharType="end"/>
        </w:r>
      </w:sdtContent>
    </w:sdt>
  </w:p>
  <w:p w14:paraId="7B646695" w14:textId="69DABC9C" w:rsidR="00AC551D" w:rsidRDefault="00AC5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3976" w14:textId="4C6FD5BA" w:rsidR="00AC551D" w:rsidRDefault="00B712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967202D" wp14:editId="1D80E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97351008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CA7F9" w14:textId="7054C722" w:rsidR="00B712C9" w:rsidRPr="00B712C9" w:rsidRDefault="00B712C9" w:rsidP="00B712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12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720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1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IDDgIAABwEAAAOAAAAZHJzL2Uyb0RvYy54bWysU8Fu2zAMvQ/YPwi6L7aLue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OS+/XJc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mZwiAw4CAAAc&#10;BAAADgAAAAAAAAAAAAAAAAAuAgAAZHJzL2Uyb0RvYy54bWxQSwECLQAUAAYACAAAACEAiUPfmdsA&#10;AAADAQAADwAAAAAAAAAAAAAAAABoBAAAZHJzL2Rvd25yZXYueG1sUEsFBgAAAAAEAAQA8wAAAHAF&#10;AAAAAA==&#10;" filled="f" stroked="f">
              <v:textbox style="mso-fit-shape-to-text:t" inset="0,0,0,15pt">
                <w:txbxContent>
                  <w:p w14:paraId="32CCA7F9" w14:textId="7054C722" w:rsidR="00B712C9" w:rsidRPr="00B712C9" w:rsidRDefault="00B712C9" w:rsidP="00B712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12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B2A0" w14:textId="77777777" w:rsidR="00A3028D" w:rsidRDefault="00A3028D" w:rsidP="00AC551D">
      <w:pPr>
        <w:spacing w:after="0" w:line="240" w:lineRule="auto"/>
      </w:pPr>
      <w:r>
        <w:separator/>
      </w:r>
    </w:p>
  </w:footnote>
  <w:footnote w:type="continuationSeparator" w:id="0">
    <w:p w14:paraId="4FD25C89" w14:textId="77777777" w:rsidR="00A3028D" w:rsidRDefault="00A3028D" w:rsidP="00AC551D">
      <w:pPr>
        <w:spacing w:after="0" w:line="240" w:lineRule="auto"/>
      </w:pPr>
      <w:r>
        <w:continuationSeparator/>
      </w:r>
    </w:p>
  </w:footnote>
  <w:footnote w:type="continuationNotice" w:id="1">
    <w:p w14:paraId="07CC5657" w14:textId="77777777" w:rsidR="00A3028D" w:rsidRDefault="00A302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96C5" w14:textId="44173ED4" w:rsidR="00AC551D" w:rsidRDefault="00B712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D22EF8" wp14:editId="622E2F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877763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00310" w14:textId="5AD25740" w:rsidR="00B712C9" w:rsidRPr="00B712C9" w:rsidRDefault="00B712C9" w:rsidP="00B712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12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22E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27900310" w14:textId="5AD25740" w:rsidR="00B712C9" w:rsidRPr="00B712C9" w:rsidRDefault="00B712C9" w:rsidP="00B712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12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85CE" w14:textId="547C8F79" w:rsidR="00AC551D" w:rsidRDefault="00323414">
    <w:pPr>
      <w:pStyle w:val="Head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6E4A8A54" wp14:editId="27B3F3B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17790" cy="929640"/>
          <wp:effectExtent l="0" t="0" r="0" b="3810"/>
          <wp:wrapNone/>
          <wp:docPr id="5" name="Picture 1" descr="A blue surface with a square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blue surface with a square pattern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790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="00B712C9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3703A51" wp14:editId="0D24F945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212076846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01614" w14:textId="043BD6CF" w:rsidR="00B712C9" w:rsidRPr="00B712C9" w:rsidRDefault="00B712C9" w:rsidP="00B712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12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03A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lBDAIAABwEAAAOAAAAZHJzL2Uyb0RvYy54bWysU8Fu2zAMvQ/YPwi6L7aLuW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OS+/XJc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" filled="f" stroked="f">
              <v:textbox style="mso-fit-shape-to-text:t" inset="0,15pt,0,0">
                <w:txbxContent>
                  <w:p w14:paraId="5F601614" w14:textId="043BD6CF" w:rsidR="00B712C9" w:rsidRPr="00B712C9" w:rsidRDefault="00B712C9" w:rsidP="00B712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12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BAFF" w14:textId="2E321973" w:rsidR="00AC551D" w:rsidRDefault="00B712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072DD6" wp14:editId="79214C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66963170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1723A" w14:textId="24A7F968" w:rsidR="00B712C9" w:rsidRPr="00B712C9" w:rsidRDefault="00B712C9" w:rsidP="00B712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12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72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GKDQIAABwEAAAOAAAAZHJzL2Uyb0RvYy54bWysU8Fu2zAMvQ/YPwi6L7aLue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nJdfrs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" filled="f" stroked="f">
              <v:textbox style="mso-fit-shape-to-text:t" inset="0,15pt,0,0">
                <w:txbxContent>
                  <w:p w14:paraId="38A1723A" w14:textId="24A7F968" w:rsidR="00B712C9" w:rsidRPr="00B712C9" w:rsidRDefault="00B712C9" w:rsidP="00B712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12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7A10"/>
    <w:multiLevelType w:val="multilevel"/>
    <w:tmpl w:val="0C090027"/>
    <w:lvl w:ilvl="0">
      <w:start w:val="1"/>
      <w:numFmt w:val="upperRoman"/>
      <w:lvlText w:val="%1."/>
      <w:lvlJc w:val="left"/>
      <w:pPr>
        <w:ind w:left="207" w:firstLine="0"/>
      </w:pPr>
    </w:lvl>
    <w:lvl w:ilvl="1">
      <w:start w:val="1"/>
      <w:numFmt w:val="upperLetter"/>
      <w:lvlText w:val="%2."/>
      <w:lvlJc w:val="left"/>
      <w:pPr>
        <w:ind w:left="927" w:firstLine="0"/>
      </w:pPr>
    </w:lvl>
    <w:lvl w:ilvl="2">
      <w:start w:val="1"/>
      <w:numFmt w:val="decimal"/>
      <w:lvlText w:val="%3."/>
      <w:lvlJc w:val="left"/>
      <w:pPr>
        <w:ind w:left="1647" w:firstLine="0"/>
      </w:pPr>
    </w:lvl>
    <w:lvl w:ilvl="3">
      <w:start w:val="1"/>
      <w:numFmt w:val="lowerLetter"/>
      <w:lvlText w:val="%4)"/>
      <w:lvlJc w:val="left"/>
      <w:pPr>
        <w:ind w:left="2367" w:firstLine="0"/>
      </w:pPr>
    </w:lvl>
    <w:lvl w:ilvl="4">
      <w:start w:val="1"/>
      <w:numFmt w:val="decimal"/>
      <w:lvlText w:val="(%5)"/>
      <w:lvlJc w:val="left"/>
      <w:pPr>
        <w:ind w:left="3087" w:firstLine="0"/>
      </w:pPr>
    </w:lvl>
    <w:lvl w:ilvl="5">
      <w:start w:val="1"/>
      <w:numFmt w:val="lowerLetter"/>
      <w:lvlText w:val="(%6)"/>
      <w:lvlJc w:val="left"/>
      <w:pPr>
        <w:ind w:left="3807" w:firstLine="0"/>
      </w:pPr>
    </w:lvl>
    <w:lvl w:ilvl="6">
      <w:start w:val="1"/>
      <w:numFmt w:val="lowerRoman"/>
      <w:lvlText w:val="(%7)"/>
      <w:lvlJc w:val="left"/>
      <w:pPr>
        <w:ind w:left="4527" w:firstLine="0"/>
      </w:pPr>
    </w:lvl>
    <w:lvl w:ilvl="7">
      <w:start w:val="1"/>
      <w:numFmt w:val="lowerLetter"/>
      <w:lvlText w:val="(%8)"/>
      <w:lvlJc w:val="left"/>
      <w:pPr>
        <w:ind w:left="5247" w:firstLine="0"/>
      </w:pPr>
    </w:lvl>
    <w:lvl w:ilvl="8">
      <w:start w:val="1"/>
      <w:numFmt w:val="lowerRoman"/>
      <w:lvlText w:val="(%9)"/>
      <w:lvlJc w:val="left"/>
      <w:pPr>
        <w:ind w:left="5967" w:firstLine="0"/>
      </w:pPr>
    </w:lvl>
  </w:abstractNum>
  <w:abstractNum w:abstractNumId="1" w15:restartNumberingAfterBreak="0">
    <w:nsid w:val="0EC26492"/>
    <w:multiLevelType w:val="multilevel"/>
    <w:tmpl w:val="E284724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14A95360"/>
    <w:multiLevelType w:val="hybridMultilevel"/>
    <w:tmpl w:val="670C9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6231B"/>
    <w:multiLevelType w:val="multilevel"/>
    <w:tmpl w:val="0CE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80322"/>
    <w:multiLevelType w:val="hybridMultilevel"/>
    <w:tmpl w:val="9C342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422B7"/>
    <w:multiLevelType w:val="multilevel"/>
    <w:tmpl w:val="73A296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150712"/>
    <w:multiLevelType w:val="multilevel"/>
    <w:tmpl w:val="0C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28A209B4"/>
    <w:multiLevelType w:val="hybridMultilevel"/>
    <w:tmpl w:val="DDC6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33EE2"/>
    <w:multiLevelType w:val="multilevel"/>
    <w:tmpl w:val="38800BCC"/>
    <w:lvl w:ilvl="0">
      <w:start w:val="1"/>
      <w:numFmt w:val="decimal"/>
      <w:lvlText w:val="%1."/>
      <w:lvlJc w:val="left"/>
      <w:pPr>
        <w:ind w:left="0" w:firstLine="0"/>
      </w:pPr>
      <w:rPr>
        <w:b/>
        <w:sz w:val="22"/>
        <w:szCs w:val="20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2F7D0050"/>
    <w:multiLevelType w:val="hybridMultilevel"/>
    <w:tmpl w:val="A6268784"/>
    <w:lvl w:ilvl="0" w:tplc="A7FA8B96">
      <w:start w:val="197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51D48"/>
    <w:multiLevelType w:val="hybridMultilevel"/>
    <w:tmpl w:val="25162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042F6"/>
    <w:multiLevelType w:val="hybridMultilevel"/>
    <w:tmpl w:val="3E4C6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2047D"/>
    <w:multiLevelType w:val="hybridMultilevel"/>
    <w:tmpl w:val="0EB6D5B8"/>
    <w:lvl w:ilvl="0" w:tplc="CB6C78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35080"/>
    <w:multiLevelType w:val="hybridMultilevel"/>
    <w:tmpl w:val="91389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E1B"/>
    <w:multiLevelType w:val="hybridMultilevel"/>
    <w:tmpl w:val="02247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25E44"/>
    <w:multiLevelType w:val="hybridMultilevel"/>
    <w:tmpl w:val="A6DAA73A"/>
    <w:lvl w:ilvl="0" w:tplc="1CA2CC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45D8C"/>
    <w:multiLevelType w:val="hybridMultilevel"/>
    <w:tmpl w:val="9E06C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237A9"/>
    <w:multiLevelType w:val="multilevel"/>
    <w:tmpl w:val="F80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91644C"/>
    <w:multiLevelType w:val="multilevel"/>
    <w:tmpl w:val="1A34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547F42"/>
    <w:multiLevelType w:val="multilevel"/>
    <w:tmpl w:val="73A29606"/>
    <w:lvl w:ilvl="0">
      <w:start w:val="1"/>
      <w:numFmt w:val="upperLetter"/>
      <w:lvlText w:val="%1."/>
      <w:lvlJc w:val="left"/>
      <w:pPr>
        <w:tabs>
          <w:tab w:val="num" w:pos="1287"/>
        </w:tabs>
        <w:ind w:left="1287" w:hanging="567"/>
      </w:pPr>
      <w:rPr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1854"/>
        </w:tabs>
        <w:ind w:left="1854" w:hanging="567"/>
      </w:pPr>
    </w:lvl>
    <w:lvl w:ilvl="2">
      <w:start w:val="1"/>
      <w:numFmt w:val="decimal"/>
      <w:lvlText w:val="%1.%2.%3."/>
      <w:lvlJc w:val="left"/>
      <w:pPr>
        <w:tabs>
          <w:tab w:val="num" w:pos="2421"/>
        </w:tabs>
        <w:ind w:left="2421" w:hanging="567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 w15:restartNumberingAfterBreak="0">
    <w:nsid w:val="7E6823DC"/>
    <w:multiLevelType w:val="multilevel"/>
    <w:tmpl w:val="72A6E6EA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4910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2167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2362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512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3179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8400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0633737">
    <w:abstractNumId w:val="15"/>
  </w:num>
  <w:num w:numId="8" w16cid:durableId="2108503125">
    <w:abstractNumId w:val="9"/>
  </w:num>
  <w:num w:numId="9" w16cid:durableId="331833327">
    <w:abstractNumId w:val="20"/>
  </w:num>
  <w:num w:numId="10" w16cid:durableId="391076995">
    <w:abstractNumId w:val="12"/>
  </w:num>
  <w:num w:numId="11" w16cid:durableId="256400645">
    <w:abstractNumId w:val="20"/>
  </w:num>
  <w:num w:numId="12" w16cid:durableId="983705051">
    <w:abstractNumId w:val="20"/>
  </w:num>
  <w:num w:numId="13" w16cid:durableId="912621531">
    <w:abstractNumId w:val="20"/>
  </w:num>
  <w:num w:numId="14" w16cid:durableId="1651405348">
    <w:abstractNumId w:val="20"/>
  </w:num>
  <w:num w:numId="15" w16cid:durableId="1145394800">
    <w:abstractNumId w:val="20"/>
  </w:num>
  <w:num w:numId="16" w16cid:durableId="907688669">
    <w:abstractNumId w:val="17"/>
  </w:num>
  <w:num w:numId="17" w16cid:durableId="1973051247">
    <w:abstractNumId w:val="20"/>
  </w:num>
  <w:num w:numId="18" w16cid:durableId="1444766276">
    <w:abstractNumId w:val="20"/>
  </w:num>
  <w:num w:numId="19" w16cid:durableId="1907718389">
    <w:abstractNumId w:val="20"/>
  </w:num>
  <w:num w:numId="20" w16cid:durableId="1863588167">
    <w:abstractNumId w:val="20"/>
  </w:num>
  <w:num w:numId="21" w16cid:durableId="954337361">
    <w:abstractNumId w:val="20"/>
  </w:num>
  <w:num w:numId="22" w16cid:durableId="1540626748">
    <w:abstractNumId w:val="20"/>
  </w:num>
  <w:num w:numId="23" w16cid:durableId="411896592">
    <w:abstractNumId w:val="18"/>
  </w:num>
  <w:num w:numId="24" w16cid:durableId="251940886">
    <w:abstractNumId w:val="3"/>
  </w:num>
  <w:num w:numId="25" w16cid:durableId="1474103691">
    <w:abstractNumId w:val="13"/>
  </w:num>
  <w:num w:numId="26" w16cid:durableId="1357122948">
    <w:abstractNumId w:val="10"/>
  </w:num>
  <w:num w:numId="27" w16cid:durableId="1823540748">
    <w:abstractNumId w:val="7"/>
  </w:num>
  <w:num w:numId="28" w16cid:durableId="884946348">
    <w:abstractNumId w:val="11"/>
  </w:num>
  <w:num w:numId="29" w16cid:durableId="1120490413">
    <w:abstractNumId w:val="16"/>
  </w:num>
  <w:num w:numId="30" w16cid:durableId="1602372292">
    <w:abstractNumId w:val="2"/>
  </w:num>
  <w:num w:numId="31" w16cid:durableId="1022511073">
    <w:abstractNumId w:val="14"/>
  </w:num>
  <w:num w:numId="32" w16cid:durableId="34890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02"/>
    <w:rsid w:val="000009EC"/>
    <w:rsid w:val="00002C7A"/>
    <w:rsid w:val="00003D40"/>
    <w:rsid w:val="0000451C"/>
    <w:rsid w:val="00005E62"/>
    <w:rsid w:val="0000616B"/>
    <w:rsid w:val="00006D38"/>
    <w:rsid w:val="000070C1"/>
    <w:rsid w:val="00007BE5"/>
    <w:rsid w:val="0001064D"/>
    <w:rsid w:val="000111E4"/>
    <w:rsid w:val="00011B04"/>
    <w:rsid w:val="000121BD"/>
    <w:rsid w:val="000127FC"/>
    <w:rsid w:val="00012A14"/>
    <w:rsid w:val="0001347A"/>
    <w:rsid w:val="00014667"/>
    <w:rsid w:val="00014F98"/>
    <w:rsid w:val="00017786"/>
    <w:rsid w:val="000177B8"/>
    <w:rsid w:val="00017A9C"/>
    <w:rsid w:val="00017F05"/>
    <w:rsid w:val="0002016F"/>
    <w:rsid w:val="00020A0F"/>
    <w:rsid w:val="00022531"/>
    <w:rsid w:val="00022F48"/>
    <w:rsid w:val="0002374A"/>
    <w:rsid w:val="00023927"/>
    <w:rsid w:val="00024175"/>
    <w:rsid w:val="000261DF"/>
    <w:rsid w:val="00026F6C"/>
    <w:rsid w:val="000271ED"/>
    <w:rsid w:val="000323A2"/>
    <w:rsid w:val="0003261B"/>
    <w:rsid w:val="000338E0"/>
    <w:rsid w:val="00033976"/>
    <w:rsid w:val="00034509"/>
    <w:rsid w:val="00037039"/>
    <w:rsid w:val="000379BC"/>
    <w:rsid w:val="00040D12"/>
    <w:rsid w:val="00044963"/>
    <w:rsid w:val="00051455"/>
    <w:rsid w:val="0005249D"/>
    <w:rsid w:val="00052A23"/>
    <w:rsid w:val="00054906"/>
    <w:rsid w:val="00054FFA"/>
    <w:rsid w:val="00055DC2"/>
    <w:rsid w:val="000579B8"/>
    <w:rsid w:val="00057B7B"/>
    <w:rsid w:val="0006455F"/>
    <w:rsid w:val="0006594B"/>
    <w:rsid w:val="000664A9"/>
    <w:rsid w:val="00066B7E"/>
    <w:rsid w:val="00070BE4"/>
    <w:rsid w:val="000721F6"/>
    <w:rsid w:val="0007245F"/>
    <w:rsid w:val="00072FBE"/>
    <w:rsid w:val="000745A9"/>
    <w:rsid w:val="00074A70"/>
    <w:rsid w:val="0007554F"/>
    <w:rsid w:val="000766EA"/>
    <w:rsid w:val="00080E64"/>
    <w:rsid w:val="000848E4"/>
    <w:rsid w:val="000850B5"/>
    <w:rsid w:val="00085F36"/>
    <w:rsid w:val="0008686C"/>
    <w:rsid w:val="000909FC"/>
    <w:rsid w:val="00090C2F"/>
    <w:rsid w:val="00093130"/>
    <w:rsid w:val="000A022B"/>
    <w:rsid w:val="000A027E"/>
    <w:rsid w:val="000A20F3"/>
    <w:rsid w:val="000A21EA"/>
    <w:rsid w:val="000A2425"/>
    <w:rsid w:val="000A2D94"/>
    <w:rsid w:val="000A5BB8"/>
    <w:rsid w:val="000A74C7"/>
    <w:rsid w:val="000A7BB5"/>
    <w:rsid w:val="000A7D1E"/>
    <w:rsid w:val="000B1056"/>
    <w:rsid w:val="000B1E75"/>
    <w:rsid w:val="000B242E"/>
    <w:rsid w:val="000B26B9"/>
    <w:rsid w:val="000B31EE"/>
    <w:rsid w:val="000B3C97"/>
    <w:rsid w:val="000B4A34"/>
    <w:rsid w:val="000C151A"/>
    <w:rsid w:val="000C20EE"/>
    <w:rsid w:val="000C2F1E"/>
    <w:rsid w:val="000C3C5F"/>
    <w:rsid w:val="000C50DC"/>
    <w:rsid w:val="000C5D60"/>
    <w:rsid w:val="000C72AF"/>
    <w:rsid w:val="000C740F"/>
    <w:rsid w:val="000C75EF"/>
    <w:rsid w:val="000C7AEF"/>
    <w:rsid w:val="000D017C"/>
    <w:rsid w:val="000D03DD"/>
    <w:rsid w:val="000D08A0"/>
    <w:rsid w:val="000D093B"/>
    <w:rsid w:val="000D1046"/>
    <w:rsid w:val="000D1112"/>
    <w:rsid w:val="000D2068"/>
    <w:rsid w:val="000D2834"/>
    <w:rsid w:val="000D3504"/>
    <w:rsid w:val="000D39D4"/>
    <w:rsid w:val="000D6552"/>
    <w:rsid w:val="000E0DDD"/>
    <w:rsid w:val="000E1392"/>
    <w:rsid w:val="000E2E6D"/>
    <w:rsid w:val="000E54E0"/>
    <w:rsid w:val="000E63A8"/>
    <w:rsid w:val="000E6577"/>
    <w:rsid w:val="000E672D"/>
    <w:rsid w:val="000F10CC"/>
    <w:rsid w:val="000F128C"/>
    <w:rsid w:val="000F1457"/>
    <w:rsid w:val="000F299D"/>
    <w:rsid w:val="000F319C"/>
    <w:rsid w:val="000F3AE6"/>
    <w:rsid w:val="000F5191"/>
    <w:rsid w:val="000F602D"/>
    <w:rsid w:val="000F6563"/>
    <w:rsid w:val="0010039C"/>
    <w:rsid w:val="0010189E"/>
    <w:rsid w:val="001037C2"/>
    <w:rsid w:val="001038F2"/>
    <w:rsid w:val="00103F30"/>
    <w:rsid w:val="00103F70"/>
    <w:rsid w:val="00104A96"/>
    <w:rsid w:val="00104FAB"/>
    <w:rsid w:val="00107121"/>
    <w:rsid w:val="001073D2"/>
    <w:rsid w:val="00110138"/>
    <w:rsid w:val="00110D62"/>
    <w:rsid w:val="00111863"/>
    <w:rsid w:val="001119A1"/>
    <w:rsid w:val="00111CBE"/>
    <w:rsid w:val="001125D2"/>
    <w:rsid w:val="0011313E"/>
    <w:rsid w:val="00114753"/>
    <w:rsid w:val="001154FC"/>
    <w:rsid w:val="001209E4"/>
    <w:rsid w:val="00122473"/>
    <w:rsid w:val="00124DA7"/>
    <w:rsid w:val="00127906"/>
    <w:rsid w:val="00127F42"/>
    <w:rsid w:val="00130168"/>
    <w:rsid w:val="00130B2E"/>
    <w:rsid w:val="00132597"/>
    <w:rsid w:val="001331B0"/>
    <w:rsid w:val="00133772"/>
    <w:rsid w:val="00136873"/>
    <w:rsid w:val="00136A01"/>
    <w:rsid w:val="001419EE"/>
    <w:rsid w:val="00142695"/>
    <w:rsid w:val="001434A1"/>
    <w:rsid w:val="00143D5A"/>
    <w:rsid w:val="001446FA"/>
    <w:rsid w:val="00145360"/>
    <w:rsid w:val="00145ED5"/>
    <w:rsid w:val="00146185"/>
    <w:rsid w:val="00146EE1"/>
    <w:rsid w:val="00150A0F"/>
    <w:rsid w:val="00150B06"/>
    <w:rsid w:val="001532C7"/>
    <w:rsid w:val="00154345"/>
    <w:rsid w:val="00154351"/>
    <w:rsid w:val="00155F1A"/>
    <w:rsid w:val="00156C0F"/>
    <w:rsid w:val="001639F1"/>
    <w:rsid w:val="00166286"/>
    <w:rsid w:val="00167006"/>
    <w:rsid w:val="001672D7"/>
    <w:rsid w:val="00170BDF"/>
    <w:rsid w:val="00173B76"/>
    <w:rsid w:val="00175E49"/>
    <w:rsid w:val="001777EB"/>
    <w:rsid w:val="0017797D"/>
    <w:rsid w:val="001803FE"/>
    <w:rsid w:val="001808C0"/>
    <w:rsid w:val="001808CD"/>
    <w:rsid w:val="00181EDB"/>
    <w:rsid w:val="00182806"/>
    <w:rsid w:val="00182EC3"/>
    <w:rsid w:val="0018427A"/>
    <w:rsid w:val="00184335"/>
    <w:rsid w:val="001845DC"/>
    <w:rsid w:val="0018541E"/>
    <w:rsid w:val="00185620"/>
    <w:rsid w:val="00185E2A"/>
    <w:rsid w:val="001866D5"/>
    <w:rsid w:val="0019065B"/>
    <w:rsid w:val="00191DB3"/>
    <w:rsid w:val="00193C27"/>
    <w:rsid w:val="001944D3"/>
    <w:rsid w:val="00196265"/>
    <w:rsid w:val="00197125"/>
    <w:rsid w:val="0019713F"/>
    <w:rsid w:val="00197315"/>
    <w:rsid w:val="001975DA"/>
    <w:rsid w:val="00197F2F"/>
    <w:rsid w:val="001A0213"/>
    <w:rsid w:val="001A031C"/>
    <w:rsid w:val="001A313A"/>
    <w:rsid w:val="001A6DEF"/>
    <w:rsid w:val="001A6FB8"/>
    <w:rsid w:val="001A74D2"/>
    <w:rsid w:val="001A74E1"/>
    <w:rsid w:val="001A79F9"/>
    <w:rsid w:val="001A7D43"/>
    <w:rsid w:val="001B2BF1"/>
    <w:rsid w:val="001B4CE1"/>
    <w:rsid w:val="001B536E"/>
    <w:rsid w:val="001B71AF"/>
    <w:rsid w:val="001B76DC"/>
    <w:rsid w:val="001B7DA6"/>
    <w:rsid w:val="001C3C79"/>
    <w:rsid w:val="001C4CEF"/>
    <w:rsid w:val="001C5056"/>
    <w:rsid w:val="001C56C2"/>
    <w:rsid w:val="001D0F87"/>
    <w:rsid w:val="001D13FD"/>
    <w:rsid w:val="001D30E8"/>
    <w:rsid w:val="001D344B"/>
    <w:rsid w:val="001D358C"/>
    <w:rsid w:val="001D4CBB"/>
    <w:rsid w:val="001D5344"/>
    <w:rsid w:val="001D689D"/>
    <w:rsid w:val="001E27E6"/>
    <w:rsid w:val="001E286B"/>
    <w:rsid w:val="001E33BA"/>
    <w:rsid w:val="001E4A0F"/>
    <w:rsid w:val="001E6A3C"/>
    <w:rsid w:val="001E6ADE"/>
    <w:rsid w:val="001F3C25"/>
    <w:rsid w:val="001F4333"/>
    <w:rsid w:val="001F5DC2"/>
    <w:rsid w:val="001F6B10"/>
    <w:rsid w:val="0020070F"/>
    <w:rsid w:val="00200AA2"/>
    <w:rsid w:val="00201C4B"/>
    <w:rsid w:val="00202755"/>
    <w:rsid w:val="00206458"/>
    <w:rsid w:val="0020689E"/>
    <w:rsid w:val="002068DB"/>
    <w:rsid w:val="0020788B"/>
    <w:rsid w:val="00207AF9"/>
    <w:rsid w:val="00210441"/>
    <w:rsid w:val="0021048B"/>
    <w:rsid w:val="002119E8"/>
    <w:rsid w:val="00213F07"/>
    <w:rsid w:val="00214385"/>
    <w:rsid w:val="00215006"/>
    <w:rsid w:val="002153A5"/>
    <w:rsid w:val="002153AA"/>
    <w:rsid w:val="00216F84"/>
    <w:rsid w:val="00217CA7"/>
    <w:rsid w:val="00220F8D"/>
    <w:rsid w:val="002229DC"/>
    <w:rsid w:val="00223473"/>
    <w:rsid w:val="0022441C"/>
    <w:rsid w:val="00224999"/>
    <w:rsid w:val="00224FB6"/>
    <w:rsid w:val="00225177"/>
    <w:rsid w:val="002254AC"/>
    <w:rsid w:val="002266AB"/>
    <w:rsid w:val="00233715"/>
    <w:rsid w:val="002341B4"/>
    <w:rsid w:val="002356CB"/>
    <w:rsid w:val="002357A1"/>
    <w:rsid w:val="00237B77"/>
    <w:rsid w:val="0024053A"/>
    <w:rsid w:val="00240987"/>
    <w:rsid w:val="00244C09"/>
    <w:rsid w:val="00246061"/>
    <w:rsid w:val="002461F8"/>
    <w:rsid w:val="0024660F"/>
    <w:rsid w:val="00246F7D"/>
    <w:rsid w:val="00247720"/>
    <w:rsid w:val="00250F6F"/>
    <w:rsid w:val="00250FFE"/>
    <w:rsid w:val="00254D6F"/>
    <w:rsid w:val="0025507D"/>
    <w:rsid w:val="0025572A"/>
    <w:rsid w:val="002578D8"/>
    <w:rsid w:val="002603EA"/>
    <w:rsid w:val="00261E73"/>
    <w:rsid w:val="002639A5"/>
    <w:rsid w:val="00266326"/>
    <w:rsid w:val="002722FF"/>
    <w:rsid w:val="00272E7E"/>
    <w:rsid w:val="00272F5E"/>
    <w:rsid w:val="002731A8"/>
    <w:rsid w:val="0027346D"/>
    <w:rsid w:val="002734ED"/>
    <w:rsid w:val="00273D49"/>
    <w:rsid w:val="00274362"/>
    <w:rsid w:val="002756A4"/>
    <w:rsid w:val="00276DB1"/>
    <w:rsid w:val="00281D7E"/>
    <w:rsid w:val="00282D11"/>
    <w:rsid w:val="00284592"/>
    <w:rsid w:val="00284A99"/>
    <w:rsid w:val="00290ABD"/>
    <w:rsid w:val="00291955"/>
    <w:rsid w:val="0029219E"/>
    <w:rsid w:val="002924A1"/>
    <w:rsid w:val="0029251F"/>
    <w:rsid w:val="00292867"/>
    <w:rsid w:val="00293BFB"/>
    <w:rsid w:val="00294B9D"/>
    <w:rsid w:val="00295C51"/>
    <w:rsid w:val="00295F7E"/>
    <w:rsid w:val="00297059"/>
    <w:rsid w:val="002975D9"/>
    <w:rsid w:val="002A1B30"/>
    <w:rsid w:val="002A263D"/>
    <w:rsid w:val="002A319C"/>
    <w:rsid w:val="002A38DE"/>
    <w:rsid w:val="002A4AC6"/>
    <w:rsid w:val="002A5C4F"/>
    <w:rsid w:val="002A660F"/>
    <w:rsid w:val="002A76D0"/>
    <w:rsid w:val="002B00D3"/>
    <w:rsid w:val="002B1B16"/>
    <w:rsid w:val="002B1F22"/>
    <w:rsid w:val="002B20AC"/>
    <w:rsid w:val="002B5569"/>
    <w:rsid w:val="002B5712"/>
    <w:rsid w:val="002B5F07"/>
    <w:rsid w:val="002B7099"/>
    <w:rsid w:val="002C0223"/>
    <w:rsid w:val="002C18AD"/>
    <w:rsid w:val="002C2133"/>
    <w:rsid w:val="002C27DE"/>
    <w:rsid w:val="002C486C"/>
    <w:rsid w:val="002C6A5F"/>
    <w:rsid w:val="002D09BF"/>
    <w:rsid w:val="002D5A6D"/>
    <w:rsid w:val="002D718F"/>
    <w:rsid w:val="002E0946"/>
    <w:rsid w:val="002E113C"/>
    <w:rsid w:val="002E113E"/>
    <w:rsid w:val="002E1A44"/>
    <w:rsid w:val="002E1CC2"/>
    <w:rsid w:val="002E2097"/>
    <w:rsid w:val="002E387D"/>
    <w:rsid w:val="002E532B"/>
    <w:rsid w:val="002E5514"/>
    <w:rsid w:val="002E566D"/>
    <w:rsid w:val="002E6365"/>
    <w:rsid w:val="002F12C5"/>
    <w:rsid w:val="002F6FBC"/>
    <w:rsid w:val="00302258"/>
    <w:rsid w:val="00303A5E"/>
    <w:rsid w:val="00305044"/>
    <w:rsid w:val="003051B9"/>
    <w:rsid w:val="0030618E"/>
    <w:rsid w:val="00306A6C"/>
    <w:rsid w:val="00306F56"/>
    <w:rsid w:val="003100DD"/>
    <w:rsid w:val="00311097"/>
    <w:rsid w:val="00313115"/>
    <w:rsid w:val="00313F6F"/>
    <w:rsid w:val="0031431E"/>
    <w:rsid w:val="00314490"/>
    <w:rsid w:val="003162DD"/>
    <w:rsid w:val="00316461"/>
    <w:rsid w:val="0031744D"/>
    <w:rsid w:val="00317485"/>
    <w:rsid w:val="003211C0"/>
    <w:rsid w:val="00321B79"/>
    <w:rsid w:val="00321E43"/>
    <w:rsid w:val="003225C4"/>
    <w:rsid w:val="00323414"/>
    <w:rsid w:val="0032538C"/>
    <w:rsid w:val="00325AEB"/>
    <w:rsid w:val="00326631"/>
    <w:rsid w:val="00330566"/>
    <w:rsid w:val="00333B9D"/>
    <w:rsid w:val="00334C85"/>
    <w:rsid w:val="00335431"/>
    <w:rsid w:val="00336EF4"/>
    <w:rsid w:val="00337506"/>
    <w:rsid w:val="00337F57"/>
    <w:rsid w:val="00340723"/>
    <w:rsid w:val="0034081C"/>
    <w:rsid w:val="003415B2"/>
    <w:rsid w:val="003445D5"/>
    <w:rsid w:val="00344747"/>
    <w:rsid w:val="00346836"/>
    <w:rsid w:val="00346D2C"/>
    <w:rsid w:val="00346D42"/>
    <w:rsid w:val="00350562"/>
    <w:rsid w:val="00350707"/>
    <w:rsid w:val="00350ED7"/>
    <w:rsid w:val="003511FB"/>
    <w:rsid w:val="00351394"/>
    <w:rsid w:val="0035180C"/>
    <w:rsid w:val="00351F9E"/>
    <w:rsid w:val="00352419"/>
    <w:rsid w:val="0035534E"/>
    <w:rsid w:val="003558E2"/>
    <w:rsid w:val="00356870"/>
    <w:rsid w:val="00356B0D"/>
    <w:rsid w:val="0036020A"/>
    <w:rsid w:val="003623ED"/>
    <w:rsid w:val="00362945"/>
    <w:rsid w:val="0036407C"/>
    <w:rsid w:val="00364BB9"/>
    <w:rsid w:val="0036512A"/>
    <w:rsid w:val="003651F9"/>
    <w:rsid w:val="0036626A"/>
    <w:rsid w:val="00366B12"/>
    <w:rsid w:val="00374C00"/>
    <w:rsid w:val="00374CA0"/>
    <w:rsid w:val="00376213"/>
    <w:rsid w:val="003762EC"/>
    <w:rsid w:val="00377CFF"/>
    <w:rsid w:val="00377DD2"/>
    <w:rsid w:val="00381F0B"/>
    <w:rsid w:val="00382F6F"/>
    <w:rsid w:val="0038417E"/>
    <w:rsid w:val="003858AF"/>
    <w:rsid w:val="00386A1D"/>
    <w:rsid w:val="00387B35"/>
    <w:rsid w:val="003901D3"/>
    <w:rsid w:val="00390CE3"/>
    <w:rsid w:val="00390D5C"/>
    <w:rsid w:val="003919C2"/>
    <w:rsid w:val="00391F84"/>
    <w:rsid w:val="00393516"/>
    <w:rsid w:val="00393C82"/>
    <w:rsid w:val="00393E21"/>
    <w:rsid w:val="00395A58"/>
    <w:rsid w:val="00395FD9"/>
    <w:rsid w:val="0039621A"/>
    <w:rsid w:val="003A117F"/>
    <w:rsid w:val="003A418F"/>
    <w:rsid w:val="003A502E"/>
    <w:rsid w:val="003A6301"/>
    <w:rsid w:val="003B1ED6"/>
    <w:rsid w:val="003B2058"/>
    <w:rsid w:val="003B38A6"/>
    <w:rsid w:val="003B38F4"/>
    <w:rsid w:val="003B3906"/>
    <w:rsid w:val="003B5617"/>
    <w:rsid w:val="003B6526"/>
    <w:rsid w:val="003B7B17"/>
    <w:rsid w:val="003C0372"/>
    <w:rsid w:val="003C064D"/>
    <w:rsid w:val="003C09FE"/>
    <w:rsid w:val="003C1252"/>
    <w:rsid w:val="003C1927"/>
    <w:rsid w:val="003C2523"/>
    <w:rsid w:val="003C3519"/>
    <w:rsid w:val="003C3857"/>
    <w:rsid w:val="003C4A00"/>
    <w:rsid w:val="003C5A0B"/>
    <w:rsid w:val="003C5D49"/>
    <w:rsid w:val="003C7848"/>
    <w:rsid w:val="003D0396"/>
    <w:rsid w:val="003D059D"/>
    <w:rsid w:val="003D097E"/>
    <w:rsid w:val="003D16CB"/>
    <w:rsid w:val="003D34BF"/>
    <w:rsid w:val="003D428B"/>
    <w:rsid w:val="003D665E"/>
    <w:rsid w:val="003D737C"/>
    <w:rsid w:val="003E1AD8"/>
    <w:rsid w:val="003E2CC8"/>
    <w:rsid w:val="003E4084"/>
    <w:rsid w:val="003E5666"/>
    <w:rsid w:val="003E61D8"/>
    <w:rsid w:val="003E6D54"/>
    <w:rsid w:val="003E752B"/>
    <w:rsid w:val="003F0880"/>
    <w:rsid w:val="003F43D6"/>
    <w:rsid w:val="003F56B1"/>
    <w:rsid w:val="003F5B81"/>
    <w:rsid w:val="003F6170"/>
    <w:rsid w:val="00407125"/>
    <w:rsid w:val="004074B1"/>
    <w:rsid w:val="00410F1F"/>
    <w:rsid w:val="00411F16"/>
    <w:rsid w:val="00413C97"/>
    <w:rsid w:val="004146F3"/>
    <w:rsid w:val="00416A52"/>
    <w:rsid w:val="0042076B"/>
    <w:rsid w:val="0042151F"/>
    <w:rsid w:val="00421728"/>
    <w:rsid w:val="00422874"/>
    <w:rsid w:val="00422E99"/>
    <w:rsid w:val="004243D1"/>
    <w:rsid w:val="00424775"/>
    <w:rsid w:val="00425FCD"/>
    <w:rsid w:val="00427157"/>
    <w:rsid w:val="0042736E"/>
    <w:rsid w:val="0043242C"/>
    <w:rsid w:val="00432FF8"/>
    <w:rsid w:val="004378A4"/>
    <w:rsid w:val="00437F4A"/>
    <w:rsid w:val="00441D51"/>
    <w:rsid w:val="00441F23"/>
    <w:rsid w:val="00442799"/>
    <w:rsid w:val="00442D8D"/>
    <w:rsid w:val="00443627"/>
    <w:rsid w:val="00443F4D"/>
    <w:rsid w:val="0044449C"/>
    <w:rsid w:val="00444A44"/>
    <w:rsid w:val="00445838"/>
    <w:rsid w:val="004467EB"/>
    <w:rsid w:val="00450191"/>
    <w:rsid w:val="00450809"/>
    <w:rsid w:val="00450A3D"/>
    <w:rsid w:val="00453E67"/>
    <w:rsid w:val="00454A9A"/>
    <w:rsid w:val="00454D59"/>
    <w:rsid w:val="004566A3"/>
    <w:rsid w:val="00457852"/>
    <w:rsid w:val="00461710"/>
    <w:rsid w:val="00461AFF"/>
    <w:rsid w:val="004627AB"/>
    <w:rsid w:val="00466A93"/>
    <w:rsid w:val="00466C82"/>
    <w:rsid w:val="004677E6"/>
    <w:rsid w:val="004702DE"/>
    <w:rsid w:val="00470397"/>
    <w:rsid w:val="00470822"/>
    <w:rsid w:val="004713C1"/>
    <w:rsid w:val="0047365E"/>
    <w:rsid w:val="004743DC"/>
    <w:rsid w:val="004759C7"/>
    <w:rsid w:val="00475D9F"/>
    <w:rsid w:val="0047672C"/>
    <w:rsid w:val="00480C42"/>
    <w:rsid w:val="00480F80"/>
    <w:rsid w:val="004814FB"/>
    <w:rsid w:val="00485302"/>
    <w:rsid w:val="0048733D"/>
    <w:rsid w:val="004877DF"/>
    <w:rsid w:val="00491807"/>
    <w:rsid w:val="004924AC"/>
    <w:rsid w:val="004937CE"/>
    <w:rsid w:val="004938EB"/>
    <w:rsid w:val="00493C11"/>
    <w:rsid w:val="00494BB9"/>
    <w:rsid w:val="00494EB8"/>
    <w:rsid w:val="004953B8"/>
    <w:rsid w:val="00496666"/>
    <w:rsid w:val="004967B1"/>
    <w:rsid w:val="004A107D"/>
    <w:rsid w:val="004A12F0"/>
    <w:rsid w:val="004A2351"/>
    <w:rsid w:val="004A2FBC"/>
    <w:rsid w:val="004A32CD"/>
    <w:rsid w:val="004A3EC3"/>
    <w:rsid w:val="004A4129"/>
    <w:rsid w:val="004A5D8D"/>
    <w:rsid w:val="004A60BF"/>
    <w:rsid w:val="004B1BAD"/>
    <w:rsid w:val="004B247E"/>
    <w:rsid w:val="004B2EFA"/>
    <w:rsid w:val="004B40BA"/>
    <w:rsid w:val="004B45A9"/>
    <w:rsid w:val="004B5BE1"/>
    <w:rsid w:val="004B69DD"/>
    <w:rsid w:val="004B7251"/>
    <w:rsid w:val="004C06A9"/>
    <w:rsid w:val="004C17D6"/>
    <w:rsid w:val="004C205F"/>
    <w:rsid w:val="004C2ACF"/>
    <w:rsid w:val="004C3159"/>
    <w:rsid w:val="004C410A"/>
    <w:rsid w:val="004C6350"/>
    <w:rsid w:val="004D0390"/>
    <w:rsid w:val="004D1062"/>
    <w:rsid w:val="004D31F6"/>
    <w:rsid w:val="004D52FA"/>
    <w:rsid w:val="004D769F"/>
    <w:rsid w:val="004D7703"/>
    <w:rsid w:val="004E01BC"/>
    <w:rsid w:val="004E1638"/>
    <w:rsid w:val="004E30A7"/>
    <w:rsid w:val="004E4BD7"/>
    <w:rsid w:val="004E4DC7"/>
    <w:rsid w:val="004E65E0"/>
    <w:rsid w:val="004E701E"/>
    <w:rsid w:val="004F074A"/>
    <w:rsid w:val="004F34AD"/>
    <w:rsid w:val="004F4CAD"/>
    <w:rsid w:val="004F5AED"/>
    <w:rsid w:val="004F615B"/>
    <w:rsid w:val="004F66A5"/>
    <w:rsid w:val="004F71A5"/>
    <w:rsid w:val="005002AF"/>
    <w:rsid w:val="0050688E"/>
    <w:rsid w:val="00510CEB"/>
    <w:rsid w:val="00510E9F"/>
    <w:rsid w:val="00511BE5"/>
    <w:rsid w:val="00511CCA"/>
    <w:rsid w:val="00512C64"/>
    <w:rsid w:val="0051331B"/>
    <w:rsid w:val="005167A6"/>
    <w:rsid w:val="00516A5A"/>
    <w:rsid w:val="00520711"/>
    <w:rsid w:val="005216CA"/>
    <w:rsid w:val="00522B8F"/>
    <w:rsid w:val="00523EB5"/>
    <w:rsid w:val="00524394"/>
    <w:rsid w:val="00524FBF"/>
    <w:rsid w:val="0052678C"/>
    <w:rsid w:val="005273F6"/>
    <w:rsid w:val="00527435"/>
    <w:rsid w:val="00527F5C"/>
    <w:rsid w:val="005322F3"/>
    <w:rsid w:val="00533CD1"/>
    <w:rsid w:val="005365B0"/>
    <w:rsid w:val="0054030F"/>
    <w:rsid w:val="0054122C"/>
    <w:rsid w:val="00541511"/>
    <w:rsid w:val="0054191B"/>
    <w:rsid w:val="005440B9"/>
    <w:rsid w:val="00544405"/>
    <w:rsid w:val="00545DE1"/>
    <w:rsid w:val="0054605E"/>
    <w:rsid w:val="0055095B"/>
    <w:rsid w:val="00551F51"/>
    <w:rsid w:val="005527A0"/>
    <w:rsid w:val="0055322A"/>
    <w:rsid w:val="00553487"/>
    <w:rsid w:val="0055420E"/>
    <w:rsid w:val="005571DE"/>
    <w:rsid w:val="005600E3"/>
    <w:rsid w:val="005609B9"/>
    <w:rsid w:val="00561C9A"/>
    <w:rsid w:val="00562938"/>
    <w:rsid w:val="00562DB2"/>
    <w:rsid w:val="00563111"/>
    <w:rsid w:val="00565382"/>
    <w:rsid w:val="00565521"/>
    <w:rsid w:val="005670A3"/>
    <w:rsid w:val="005672E5"/>
    <w:rsid w:val="00567457"/>
    <w:rsid w:val="00567C40"/>
    <w:rsid w:val="005720DA"/>
    <w:rsid w:val="00573901"/>
    <w:rsid w:val="00574A07"/>
    <w:rsid w:val="00575AA9"/>
    <w:rsid w:val="0057707A"/>
    <w:rsid w:val="00580BED"/>
    <w:rsid w:val="00581CEB"/>
    <w:rsid w:val="00581CFD"/>
    <w:rsid w:val="0058216B"/>
    <w:rsid w:val="00583B35"/>
    <w:rsid w:val="00586290"/>
    <w:rsid w:val="00590155"/>
    <w:rsid w:val="0059037B"/>
    <w:rsid w:val="00593124"/>
    <w:rsid w:val="0059369B"/>
    <w:rsid w:val="00593977"/>
    <w:rsid w:val="005940E6"/>
    <w:rsid w:val="00594ED6"/>
    <w:rsid w:val="005961A1"/>
    <w:rsid w:val="00596EC7"/>
    <w:rsid w:val="005970B3"/>
    <w:rsid w:val="00597476"/>
    <w:rsid w:val="005A0410"/>
    <w:rsid w:val="005A1762"/>
    <w:rsid w:val="005A23F9"/>
    <w:rsid w:val="005A53CE"/>
    <w:rsid w:val="005A68F9"/>
    <w:rsid w:val="005B071E"/>
    <w:rsid w:val="005B0CD0"/>
    <w:rsid w:val="005B1074"/>
    <w:rsid w:val="005B11D1"/>
    <w:rsid w:val="005B17C1"/>
    <w:rsid w:val="005B2B02"/>
    <w:rsid w:val="005B3547"/>
    <w:rsid w:val="005B4791"/>
    <w:rsid w:val="005C3871"/>
    <w:rsid w:val="005C3D8E"/>
    <w:rsid w:val="005C4394"/>
    <w:rsid w:val="005D07FD"/>
    <w:rsid w:val="005D0B6D"/>
    <w:rsid w:val="005D335F"/>
    <w:rsid w:val="005D41CD"/>
    <w:rsid w:val="005D57C8"/>
    <w:rsid w:val="005D6172"/>
    <w:rsid w:val="005D6949"/>
    <w:rsid w:val="005D6F26"/>
    <w:rsid w:val="005E039D"/>
    <w:rsid w:val="005E28C4"/>
    <w:rsid w:val="005E44A9"/>
    <w:rsid w:val="005E45B2"/>
    <w:rsid w:val="005E4783"/>
    <w:rsid w:val="005E4D94"/>
    <w:rsid w:val="005E5406"/>
    <w:rsid w:val="005E5C3C"/>
    <w:rsid w:val="005E607B"/>
    <w:rsid w:val="005E62FA"/>
    <w:rsid w:val="005E6689"/>
    <w:rsid w:val="005E6BAE"/>
    <w:rsid w:val="005E7B44"/>
    <w:rsid w:val="005F2EA2"/>
    <w:rsid w:val="005F3C12"/>
    <w:rsid w:val="005F48FC"/>
    <w:rsid w:val="005F5CFC"/>
    <w:rsid w:val="006012A8"/>
    <w:rsid w:val="00601311"/>
    <w:rsid w:val="00601CA2"/>
    <w:rsid w:val="00602EAB"/>
    <w:rsid w:val="00603019"/>
    <w:rsid w:val="00603B5A"/>
    <w:rsid w:val="006059C7"/>
    <w:rsid w:val="00606074"/>
    <w:rsid w:val="006062E3"/>
    <w:rsid w:val="006064E2"/>
    <w:rsid w:val="006065CD"/>
    <w:rsid w:val="00606BED"/>
    <w:rsid w:val="00607956"/>
    <w:rsid w:val="00610205"/>
    <w:rsid w:val="00611551"/>
    <w:rsid w:val="00611BB6"/>
    <w:rsid w:val="006123E2"/>
    <w:rsid w:val="006135E0"/>
    <w:rsid w:val="00617724"/>
    <w:rsid w:val="006220C0"/>
    <w:rsid w:val="00622A9C"/>
    <w:rsid w:val="00623E6E"/>
    <w:rsid w:val="006276C7"/>
    <w:rsid w:val="006324E2"/>
    <w:rsid w:val="0063258F"/>
    <w:rsid w:val="00632DD8"/>
    <w:rsid w:val="0063698F"/>
    <w:rsid w:val="00637434"/>
    <w:rsid w:val="00642196"/>
    <w:rsid w:val="00642550"/>
    <w:rsid w:val="00643227"/>
    <w:rsid w:val="006451FC"/>
    <w:rsid w:val="00645277"/>
    <w:rsid w:val="0064545B"/>
    <w:rsid w:val="00646EEA"/>
    <w:rsid w:val="00647285"/>
    <w:rsid w:val="00655741"/>
    <w:rsid w:val="00655AEC"/>
    <w:rsid w:val="0065711A"/>
    <w:rsid w:val="00657C52"/>
    <w:rsid w:val="006604CA"/>
    <w:rsid w:val="006612D7"/>
    <w:rsid w:val="00661AAC"/>
    <w:rsid w:val="00663183"/>
    <w:rsid w:val="00665AB2"/>
    <w:rsid w:val="00665F17"/>
    <w:rsid w:val="0066634A"/>
    <w:rsid w:val="00670E80"/>
    <w:rsid w:val="0067368F"/>
    <w:rsid w:val="00675E21"/>
    <w:rsid w:val="00677695"/>
    <w:rsid w:val="006800CB"/>
    <w:rsid w:val="00682D6C"/>
    <w:rsid w:val="006833C9"/>
    <w:rsid w:val="00683991"/>
    <w:rsid w:val="00684382"/>
    <w:rsid w:val="0068462C"/>
    <w:rsid w:val="00685CB3"/>
    <w:rsid w:val="006860CE"/>
    <w:rsid w:val="006916C1"/>
    <w:rsid w:val="00691C5F"/>
    <w:rsid w:val="00691ED5"/>
    <w:rsid w:val="006930F0"/>
    <w:rsid w:val="006931EB"/>
    <w:rsid w:val="006951C8"/>
    <w:rsid w:val="00695970"/>
    <w:rsid w:val="00696B6E"/>
    <w:rsid w:val="006978C2"/>
    <w:rsid w:val="006A028C"/>
    <w:rsid w:val="006A0543"/>
    <w:rsid w:val="006A18D9"/>
    <w:rsid w:val="006A2A42"/>
    <w:rsid w:val="006A3935"/>
    <w:rsid w:val="006A43F7"/>
    <w:rsid w:val="006A4B53"/>
    <w:rsid w:val="006A5CC3"/>
    <w:rsid w:val="006B209A"/>
    <w:rsid w:val="006B2777"/>
    <w:rsid w:val="006B29D6"/>
    <w:rsid w:val="006B3B58"/>
    <w:rsid w:val="006B5ADB"/>
    <w:rsid w:val="006C09A3"/>
    <w:rsid w:val="006C1B61"/>
    <w:rsid w:val="006C2620"/>
    <w:rsid w:val="006C31B3"/>
    <w:rsid w:val="006D151F"/>
    <w:rsid w:val="006D2060"/>
    <w:rsid w:val="006D215E"/>
    <w:rsid w:val="006D218E"/>
    <w:rsid w:val="006D2A07"/>
    <w:rsid w:val="006D5211"/>
    <w:rsid w:val="006E030F"/>
    <w:rsid w:val="006E1EE3"/>
    <w:rsid w:val="006E27A4"/>
    <w:rsid w:val="006E46D3"/>
    <w:rsid w:val="006F0E52"/>
    <w:rsid w:val="006F1487"/>
    <w:rsid w:val="006F4687"/>
    <w:rsid w:val="006F524A"/>
    <w:rsid w:val="006F5772"/>
    <w:rsid w:val="006F6608"/>
    <w:rsid w:val="006F6631"/>
    <w:rsid w:val="006F7150"/>
    <w:rsid w:val="006F7293"/>
    <w:rsid w:val="006F77E0"/>
    <w:rsid w:val="006F7C42"/>
    <w:rsid w:val="00702848"/>
    <w:rsid w:val="00702928"/>
    <w:rsid w:val="00704006"/>
    <w:rsid w:val="00704A91"/>
    <w:rsid w:val="00704EAF"/>
    <w:rsid w:val="007053CE"/>
    <w:rsid w:val="007057FF"/>
    <w:rsid w:val="00710E98"/>
    <w:rsid w:val="00710EAB"/>
    <w:rsid w:val="00711AA1"/>
    <w:rsid w:val="007120DA"/>
    <w:rsid w:val="00712496"/>
    <w:rsid w:val="00713D6D"/>
    <w:rsid w:val="00713ED4"/>
    <w:rsid w:val="00714F79"/>
    <w:rsid w:val="00715026"/>
    <w:rsid w:val="007211D2"/>
    <w:rsid w:val="00721CC2"/>
    <w:rsid w:val="00723855"/>
    <w:rsid w:val="00725D32"/>
    <w:rsid w:val="00726F4E"/>
    <w:rsid w:val="00727946"/>
    <w:rsid w:val="007303FE"/>
    <w:rsid w:val="007304D5"/>
    <w:rsid w:val="007315D6"/>
    <w:rsid w:val="00732EBF"/>
    <w:rsid w:val="00733A50"/>
    <w:rsid w:val="00734BAC"/>
    <w:rsid w:val="00734E64"/>
    <w:rsid w:val="00734ED7"/>
    <w:rsid w:val="00736503"/>
    <w:rsid w:val="0073691A"/>
    <w:rsid w:val="00737CF6"/>
    <w:rsid w:val="00737D52"/>
    <w:rsid w:val="00741AD2"/>
    <w:rsid w:val="00742210"/>
    <w:rsid w:val="007427D2"/>
    <w:rsid w:val="00744817"/>
    <w:rsid w:val="00745A9B"/>
    <w:rsid w:val="00746159"/>
    <w:rsid w:val="00746FAD"/>
    <w:rsid w:val="007473C2"/>
    <w:rsid w:val="00752289"/>
    <w:rsid w:val="007544D0"/>
    <w:rsid w:val="007545E6"/>
    <w:rsid w:val="007546EA"/>
    <w:rsid w:val="0075495B"/>
    <w:rsid w:val="00760973"/>
    <w:rsid w:val="00761449"/>
    <w:rsid w:val="0076164D"/>
    <w:rsid w:val="007631DF"/>
    <w:rsid w:val="007669BB"/>
    <w:rsid w:val="00766B7B"/>
    <w:rsid w:val="00771BD1"/>
    <w:rsid w:val="00771F4A"/>
    <w:rsid w:val="00772BB5"/>
    <w:rsid w:val="007741B4"/>
    <w:rsid w:val="00775453"/>
    <w:rsid w:val="00776702"/>
    <w:rsid w:val="00776DA2"/>
    <w:rsid w:val="00777B47"/>
    <w:rsid w:val="007801F0"/>
    <w:rsid w:val="007825D3"/>
    <w:rsid w:val="00782C86"/>
    <w:rsid w:val="00783A40"/>
    <w:rsid w:val="00784137"/>
    <w:rsid w:val="00784ADD"/>
    <w:rsid w:val="0078532E"/>
    <w:rsid w:val="00785A08"/>
    <w:rsid w:val="00785BB4"/>
    <w:rsid w:val="007860F6"/>
    <w:rsid w:val="007927A7"/>
    <w:rsid w:val="00794ACE"/>
    <w:rsid w:val="007A0AB0"/>
    <w:rsid w:val="007A0F68"/>
    <w:rsid w:val="007A312B"/>
    <w:rsid w:val="007A570D"/>
    <w:rsid w:val="007A5FD3"/>
    <w:rsid w:val="007A7492"/>
    <w:rsid w:val="007B242E"/>
    <w:rsid w:val="007B2C0B"/>
    <w:rsid w:val="007B3050"/>
    <w:rsid w:val="007B4A11"/>
    <w:rsid w:val="007B56F2"/>
    <w:rsid w:val="007B6E28"/>
    <w:rsid w:val="007B7E5D"/>
    <w:rsid w:val="007C0784"/>
    <w:rsid w:val="007C15FA"/>
    <w:rsid w:val="007C2BE3"/>
    <w:rsid w:val="007C3C36"/>
    <w:rsid w:val="007C42D5"/>
    <w:rsid w:val="007C45E3"/>
    <w:rsid w:val="007C5366"/>
    <w:rsid w:val="007C55BA"/>
    <w:rsid w:val="007C5E0E"/>
    <w:rsid w:val="007C699D"/>
    <w:rsid w:val="007C7C1F"/>
    <w:rsid w:val="007D0D54"/>
    <w:rsid w:val="007D182B"/>
    <w:rsid w:val="007D2873"/>
    <w:rsid w:val="007D2AF9"/>
    <w:rsid w:val="007D4220"/>
    <w:rsid w:val="007D5EDE"/>
    <w:rsid w:val="007D6CC8"/>
    <w:rsid w:val="007D7094"/>
    <w:rsid w:val="007D7121"/>
    <w:rsid w:val="007D7556"/>
    <w:rsid w:val="007E1FA9"/>
    <w:rsid w:val="007E2BF4"/>
    <w:rsid w:val="007E3210"/>
    <w:rsid w:val="007E4FB6"/>
    <w:rsid w:val="007E5258"/>
    <w:rsid w:val="007E6E1F"/>
    <w:rsid w:val="007F1763"/>
    <w:rsid w:val="007F2DDB"/>
    <w:rsid w:val="007F4B9E"/>
    <w:rsid w:val="007F503C"/>
    <w:rsid w:val="007F550A"/>
    <w:rsid w:val="007F61CD"/>
    <w:rsid w:val="007F7B4A"/>
    <w:rsid w:val="00800A10"/>
    <w:rsid w:val="00800A7D"/>
    <w:rsid w:val="00802DB2"/>
    <w:rsid w:val="0080383E"/>
    <w:rsid w:val="00803CCB"/>
    <w:rsid w:val="00807C18"/>
    <w:rsid w:val="0081054A"/>
    <w:rsid w:val="00812B89"/>
    <w:rsid w:val="00814136"/>
    <w:rsid w:val="008141F1"/>
    <w:rsid w:val="0081557E"/>
    <w:rsid w:val="0081625C"/>
    <w:rsid w:val="00816F06"/>
    <w:rsid w:val="008205D2"/>
    <w:rsid w:val="00822E46"/>
    <w:rsid w:val="0082311A"/>
    <w:rsid w:val="0082452C"/>
    <w:rsid w:val="008259CB"/>
    <w:rsid w:val="0082749A"/>
    <w:rsid w:val="008300CE"/>
    <w:rsid w:val="00832895"/>
    <w:rsid w:val="00832C71"/>
    <w:rsid w:val="008341E0"/>
    <w:rsid w:val="00835847"/>
    <w:rsid w:val="00836A95"/>
    <w:rsid w:val="00837C3F"/>
    <w:rsid w:val="00840E7E"/>
    <w:rsid w:val="00842574"/>
    <w:rsid w:val="00842AA2"/>
    <w:rsid w:val="00844BDD"/>
    <w:rsid w:val="008452FA"/>
    <w:rsid w:val="0084641F"/>
    <w:rsid w:val="00846FC5"/>
    <w:rsid w:val="00847C50"/>
    <w:rsid w:val="00850C7A"/>
    <w:rsid w:val="00851F22"/>
    <w:rsid w:val="00854ED0"/>
    <w:rsid w:val="00854EFD"/>
    <w:rsid w:val="0085528E"/>
    <w:rsid w:val="00855EB9"/>
    <w:rsid w:val="00857623"/>
    <w:rsid w:val="008577BC"/>
    <w:rsid w:val="00857F0A"/>
    <w:rsid w:val="008622FF"/>
    <w:rsid w:val="00862988"/>
    <w:rsid w:val="00863426"/>
    <w:rsid w:val="00864040"/>
    <w:rsid w:val="00870B8E"/>
    <w:rsid w:val="008715BD"/>
    <w:rsid w:val="00872303"/>
    <w:rsid w:val="00873445"/>
    <w:rsid w:val="008738A6"/>
    <w:rsid w:val="008745F6"/>
    <w:rsid w:val="00874F4C"/>
    <w:rsid w:val="008768B5"/>
    <w:rsid w:val="00877B3D"/>
    <w:rsid w:val="00880909"/>
    <w:rsid w:val="00880EBC"/>
    <w:rsid w:val="00881511"/>
    <w:rsid w:val="00882B26"/>
    <w:rsid w:val="00882CF6"/>
    <w:rsid w:val="008831D3"/>
    <w:rsid w:val="008837B3"/>
    <w:rsid w:val="008842E2"/>
    <w:rsid w:val="00884674"/>
    <w:rsid w:val="008852BF"/>
    <w:rsid w:val="00890547"/>
    <w:rsid w:val="00890A9F"/>
    <w:rsid w:val="00890C91"/>
    <w:rsid w:val="00891B3F"/>
    <w:rsid w:val="00892473"/>
    <w:rsid w:val="00892A10"/>
    <w:rsid w:val="0089351F"/>
    <w:rsid w:val="00893A0F"/>
    <w:rsid w:val="00895083"/>
    <w:rsid w:val="00895A7D"/>
    <w:rsid w:val="0089622C"/>
    <w:rsid w:val="008978FE"/>
    <w:rsid w:val="008A0019"/>
    <w:rsid w:val="008A1D6E"/>
    <w:rsid w:val="008A581E"/>
    <w:rsid w:val="008A5D16"/>
    <w:rsid w:val="008A6FE8"/>
    <w:rsid w:val="008B1118"/>
    <w:rsid w:val="008B1179"/>
    <w:rsid w:val="008B16E6"/>
    <w:rsid w:val="008B1B22"/>
    <w:rsid w:val="008B2DF4"/>
    <w:rsid w:val="008B3FB4"/>
    <w:rsid w:val="008B4A00"/>
    <w:rsid w:val="008B545D"/>
    <w:rsid w:val="008B60D1"/>
    <w:rsid w:val="008C0DFA"/>
    <w:rsid w:val="008C0E86"/>
    <w:rsid w:val="008C26DB"/>
    <w:rsid w:val="008C34C0"/>
    <w:rsid w:val="008D0D17"/>
    <w:rsid w:val="008D1D80"/>
    <w:rsid w:val="008D23EC"/>
    <w:rsid w:val="008D29EE"/>
    <w:rsid w:val="008D473F"/>
    <w:rsid w:val="008D4841"/>
    <w:rsid w:val="008D5F07"/>
    <w:rsid w:val="008D6458"/>
    <w:rsid w:val="008D6B14"/>
    <w:rsid w:val="008E004D"/>
    <w:rsid w:val="008E05F2"/>
    <w:rsid w:val="008E072D"/>
    <w:rsid w:val="008E1B71"/>
    <w:rsid w:val="008E2718"/>
    <w:rsid w:val="008E2DBB"/>
    <w:rsid w:val="008E3105"/>
    <w:rsid w:val="008E3C63"/>
    <w:rsid w:val="008E3DE1"/>
    <w:rsid w:val="008E53AD"/>
    <w:rsid w:val="008E63CA"/>
    <w:rsid w:val="008E64DD"/>
    <w:rsid w:val="008F02A6"/>
    <w:rsid w:val="008F06C6"/>
    <w:rsid w:val="008F0C86"/>
    <w:rsid w:val="008F2E59"/>
    <w:rsid w:val="008F31B7"/>
    <w:rsid w:val="008F3358"/>
    <w:rsid w:val="008F5549"/>
    <w:rsid w:val="008F7AD6"/>
    <w:rsid w:val="00900097"/>
    <w:rsid w:val="00900A56"/>
    <w:rsid w:val="00902A53"/>
    <w:rsid w:val="00902E19"/>
    <w:rsid w:val="009031E2"/>
    <w:rsid w:val="00903AE5"/>
    <w:rsid w:val="009041FA"/>
    <w:rsid w:val="00904646"/>
    <w:rsid w:val="0090482D"/>
    <w:rsid w:val="00904C7D"/>
    <w:rsid w:val="00906767"/>
    <w:rsid w:val="00906A8B"/>
    <w:rsid w:val="00906B5B"/>
    <w:rsid w:val="009107D7"/>
    <w:rsid w:val="009133BD"/>
    <w:rsid w:val="00914C91"/>
    <w:rsid w:val="00914DDE"/>
    <w:rsid w:val="0091776F"/>
    <w:rsid w:val="00920DCC"/>
    <w:rsid w:val="00922D11"/>
    <w:rsid w:val="00922D5B"/>
    <w:rsid w:val="009231E4"/>
    <w:rsid w:val="00923211"/>
    <w:rsid w:val="009233BB"/>
    <w:rsid w:val="00925060"/>
    <w:rsid w:val="0092585F"/>
    <w:rsid w:val="009259FC"/>
    <w:rsid w:val="00925A22"/>
    <w:rsid w:val="00925FA1"/>
    <w:rsid w:val="0092751B"/>
    <w:rsid w:val="00927E66"/>
    <w:rsid w:val="00930BEC"/>
    <w:rsid w:val="0093110D"/>
    <w:rsid w:val="00931112"/>
    <w:rsid w:val="0093230D"/>
    <w:rsid w:val="009402E5"/>
    <w:rsid w:val="0094347E"/>
    <w:rsid w:val="00943568"/>
    <w:rsid w:val="009440B4"/>
    <w:rsid w:val="00944911"/>
    <w:rsid w:val="00945095"/>
    <w:rsid w:val="0094610E"/>
    <w:rsid w:val="0094696E"/>
    <w:rsid w:val="009472E8"/>
    <w:rsid w:val="009500FF"/>
    <w:rsid w:val="00950728"/>
    <w:rsid w:val="009515FD"/>
    <w:rsid w:val="00953D3F"/>
    <w:rsid w:val="0095529A"/>
    <w:rsid w:val="0095591A"/>
    <w:rsid w:val="00955E66"/>
    <w:rsid w:val="0095648F"/>
    <w:rsid w:val="009569E8"/>
    <w:rsid w:val="00957019"/>
    <w:rsid w:val="009601C4"/>
    <w:rsid w:val="009602FE"/>
    <w:rsid w:val="009603F7"/>
    <w:rsid w:val="00960832"/>
    <w:rsid w:val="00962879"/>
    <w:rsid w:val="00962889"/>
    <w:rsid w:val="009633D8"/>
    <w:rsid w:val="00964BB5"/>
    <w:rsid w:val="009650EC"/>
    <w:rsid w:val="0096510A"/>
    <w:rsid w:val="00967E9B"/>
    <w:rsid w:val="00971CA5"/>
    <w:rsid w:val="00971E3F"/>
    <w:rsid w:val="00972A0A"/>
    <w:rsid w:val="00972C95"/>
    <w:rsid w:val="00974040"/>
    <w:rsid w:val="0097497D"/>
    <w:rsid w:val="009764C8"/>
    <w:rsid w:val="009771FC"/>
    <w:rsid w:val="009772E0"/>
    <w:rsid w:val="00977C6A"/>
    <w:rsid w:val="00977F2B"/>
    <w:rsid w:val="00981446"/>
    <w:rsid w:val="009836CD"/>
    <w:rsid w:val="0098458B"/>
    <w:rsid w:val="009845FF"/>
    <w:rsid w:val="009860E7"/>
    <w:rsid w:val="009871B6"/>
    <w:rsid w:val="009877EC"/>
    <w:rsid w:val="00990C25"/>
    <w:rsid w:val="00991648"/>
    <w:rsid w:val="00991E82"/>
    <w:rsid w:val="009937E2"/>
    <w:rsid w:val="00993B1C"/>
    <w:rsid w:val="00993BBA"/>
    <w:rsid w:val="009945EE"/>
    <w:rsid w:val="00994688"/>
    <w:rsid w:val="009957E8"/>
    <w:rsid w:val="00997BB0"/>
    <w:rsid w:val="00997E07"/>
    <w:rsid w:val="009A0251"/>
    <w:rsid w:val="009A0B3A"/>
    <w:rsid w:val="009A0EA8"/>
    <w:rsid w:val="009A270B"/>
    <w:rsid w:val="009A3AE2"/>
    <w:rsid w:val="009A4FBC"/>
    <w:rsid w:val="009A5E0E"/>
    <w:rsid w:val="009A694E"/>
    <w:rsid w:val="009B3318"/>
    <w:rsid w:val="009B39B1"/>
    <w:rsid w:val="009B3C56"/>
    <w:rsid w:val="009B5212"/>
    <w:rsid w:val="009C1C2B"/>
    <w:rsid w:val="009C1E8F"/>
    <w:rsid w:val="009C2502"/>
    <w:rsid w:val="009C2C46"/>
    <w:rsid w:val="009C38A6"/>
    <w:rsid w:val="009C53D4"/>
    <w:rsid w:val="009D06D7"/>
    <w:rsid w:val="009D0B04"/>
    <w:rsid w:val="009D0FC5"/>
    <w:rsid w:val="009D133E"/>
    <w:rsid w:val="009D1BC9"/>
    <w:rsid w:val="009D1F6C"/>
    <w:rsid w:val="009D4AF9"/>
    <w:rsid w:val="009D5892"/>
    <w:rsid w:val="009D6740"/>
    <w:rsid w:val="009D6B45"/>
    <w:rsid w:val="009E190D"/>
    <w:rsid w:val="009E38EA"/>
    <w:rsid w:val="009E3CF1"/>
    <w:rsid w:val="009E4724"/>
    <w:rsid w:val="009F0175"/>
    <w:rsid w:val="009F0603"/>
    <w:rsid w:val="009F3C23"/>
    <w:rsid w:val="009F5A8A"/>
    <w:rsid w:val="009F5CBE"/>
    <w:rsid w:val="009F65A1"/>
    <w:rsid w:val="009F6D31"/>
    <w:rsid w:val="009F6D3D"/>
    <w:rsid w:val="009F74A2"/>
    <w:rsid w:val="00A02A59"/>
    <w:rsid w:val="00A04552"/>
    <w:rsid w:val="00A04772"/>
    <w:rsid w:val="00A04E8E"/>
    <w:rsid w:val="00A06254"/>
    <w:rsid w:val="00A0631D"/>
    <w:rsid w:val="00A06463"/>
    <w:rsid w:val="00A1253A"/>
    <w:rsid w:val="00A12D5D"/>
    <w:rsid w:val="00A14131"/>
    <w:rsid w:val="00A146BC"/>
    <w:rsid w:val="00A14D85"/>
    <w:rsid w:val="00A15519"/>
    <w:rsid w:val="00A1566F"/>
    <w:rsid w:val="00A16619"/>
    <w:rsid w:val="00A174E5"/>
    <w:rsid w:val="00A201FE"/>
    <w:rsid w:val="00A21490"/>
    <w:rsid w:val="00A22D14"/>
    <w:rsid w:val="00A233DC"/>
    <w:rsid w:val="00A236D6"/>
    <w:rsid w:val="00A23B04"/>
    <w:rsid w:val="00A24333"/>
    <w:rsid w:val="00A25FA4"/>
    <w:rsid w:val="00A2688D"/>
    <w:rsid w:val="00A26D83"/>
    <w:rsid w:val="00A27A87"/>
    <w:rsid w:val="00A3028D"/>
    <w:rsid w:val="00A31C77"/>
    <w:rsid w:val="00A325D2"/>
    <w:rsid w:val="00A37199"/>
    <w:rsid w:val="00A37E48"/>
    <w:rsid w:val="00A37E56"/>
    <w:rsid w:val="00A42BAE"/>
    <w:rsid w:val="00A44646"/>
    <w:rsid w:val="00A464FA"/>
    <w:rsid w:val="00A46768"/>
    <w:rsid w:val="00A472AA"/>
    <w:rsid w:val="00A473E5"/>
    <w:rsid w:val="00A530C7"/>
    <w:rsid w:val="00A5522B"/>
    <w:rsid w:val="00A559E0"/>
    <w:rsid w:val="00A56980"/>
    <w:rsid w:val="00A600CE"/>
    <w:rsid w:val="00A61190"/>
    <w:rsid w:val="00A623DE"/>
    <w:rsid w:val="00A624DD"/>
    <w:rsid w:val="00A628F3"/>
    <w:rsid w:val="00A6357B"/>
    <w:rsid w:val="00A636BF"/>
    <w:rsid w:val="00A66ADD"/>
    <w:rsid w:val="00A70322"/>
    <w:rsid w:val="00A708F7"/>
    <w:rsid w:val="00A72DE8"/>
    <w:rsid w:val="00A733E6"/>
    <w:rsid w:val="00A734CB"/>
    <w:rsid w:val="00A73521"/>
    <w:rsid w:val="00A738CB"/>
    <w:rsid w:val="00A73D99"/>
    <w:rsid w:val="00A74814"/>
    <w:rsid w:val="00A819BF"/>
    <w:rsid w:val="00A81CBB"/>
    <w:rsid w:val="00A8205D"/>
    <w:rsid w:val="00A82DCD"/>
    <w:rsid w:val="00A82DF0"/>
    <w:rsid w:val="00A853E8"/>
    <w:rsid w:val="00A85D1A"/>
    <w:rsid w:val="00A85DCC"/>
    <w:rsid w:val="00A86416"/>
    <w:rsid w:val="00A90161"/>
    <w:rsid w:val="00A902BC"/>
    <w:rsid w:val="00A9167D"/>
    <w:rsid w:val="00A91EB3"/>
    <w:rsid w:val="00A92015"/>
    <w:rsid w:val="00A92A35"/>
    <w:rsid w:val="00A93B11"/>
    <w:rsid w:val="00A95355"/>
    <w:rsid w:val="00A97F3E"/>
    <w:rsid w:val="00A97F8F"/>
    <w:rsid w:val="00AA3A51"/>
    <w:rsid w:val="00AA574E"/>
    <w:rsid w:val="00AA7657"/>
    <w:rsid w:val="00AA7ECB"/>
    <w:rsid w:val="00AB24AC"/>
    <w:rsid w:val="00AB26E4"/>
    <w:rsid w:val="00AB294E"/>
    <w:rsid w:val="00AB4BBB"/>
    <w:rsid w:val="00AB5D5B"/>
    <w:rsid w:val="00AB5E9F"/>
    <w:rsid w:val="00AB6384"/>
    <w:rsid w:val="00AB671D"/>
    <w:rsid w:val="00AB6B37"/>
    <w:rsid w:val="00AB7E86"/>
    <w:rsid w:val="00AC02FE"/>
    <w:rsid w:val="00AC16E4"/>
    <w:rsid w:val="00AC1AE7"/>
    <w:rsid w:val="00AC20AF"/>
    <w:rsid w:val="00AC2CA9"/>
    <w:rsid w:val="00AC2DA2"/>
    <w:rsid w:val="00AC383B"/>
    <w:rsid w:val="00AC43C6"/>
    <w:rsid w:val="00AC4623"/>
    <w:rsid w:val="00AC551D"/>
    <w:rsid w:val="00AD0C98"/>
    <w:rsid w:val="00AD24B8"/>
    <w:rsid w:val="00AD2B79"/>
    <w:rsid w:val="00AD3030"/>
    <w:rsid w:val="00AD3B26"/>
    <w:rsid w:val="00AD42EF"/>
    <w:rsid w:val="00AD6851"/>
    <w:rsid w:val="00AD7564"/>
    <w:rsid w:val="00AD771D"/>
    <w:rsid w:val="00AD7BF8"/>
    <w:rsid w:val="00AE23FE"/>
    <w:rsid w:val="00AE2C48"/>
    <w:rsid w:val="00AE5BFD"/>
    <w:rsid w:val="00AF09CC"/>
    <w:rsid w:val="00AF1AE3"/>
    <w:rsid w:val="00AF1AEA"/>
    <w:rsid w:val="00AF2922"/>
    <w:rsid w:val="00AF4372"/>
    <w:rsid w:val="00AF5846"/>
    <w:rsid w:val="00AF7215"/>
    <w:rsid w:val="00AF7F49"/>
    <w:rsid w:val="00B00D28"/>
    <w:rsid w:val="00B01578"/>
    <w:rsid w:val="00B022B0"/>
    <w:rsid w:val="00B0281A"/>
    <w:rsid w:val="00B03273"/>
    <w:rsid w:val="00B03B1A"/>
    <w:rsid w:val="00B04189"/>
    <w:rsid w:val="00B0591D"/>
    <w:rsid w:val="00B05A42"/>
    <w:rsid w:val="00B06F12"/>
    <w:rsid w:val="00B10B21"/>
    <w:rsid w:val="00B10BF8"/>
    <w:rsid w:val="00B10D23"/>
    <w:rsid w:val="00B11483"/>
    <w:rsid w:val="00B11DB5"/>
    <w:rsid w:val="00B124DE"/>
    <w:rsid w:val="00B1680C"/>
    <w:rsid w:val="00B173D1"/>
    <w:rsid w:val="00B176A0"/>
    <w:rsid w:val="00B2157B"/>
    <w:rsid w:val="00B215FA"/>
    <w:rsid w:val="00B2289F"/>
    <w:rsid w:val="00B25660"/>
    <w:rsid w:val="00B259FC"/>
    <w:rsid w:val="00B25AD2"/>
    <w:rsid w:val="00B26E3C"/>
    <w:rsid w:val="00B27CFB"/>
    <w:rsid w:val="00B30997"/>
    <w:rsid w:val="00B31C0B"/>
    <w:rsid w:val="00B3293C"/>
    <w:rsid w:val="00B32C94"/>
    <w:rsid w:val="00B34965"/>
    <w:rsid w:val="00B354F4"/>
    <w:rsid w:val="00B36152"/>
    <w:rsid w:val="00B371CB"/>
    <w:rsid w:val="00B40979"/>
    <w:rsid w:val="00B41298"/>
    <w:rsid w:val="00B4131E"/>
    <w:rsid w:val="00B44684"/>
    <w:rsid w:val="00B4558B"/>
    <w:rsid w:val="00B4580C"/>
    <w:rsid w:val="00B45FA9"/>
    <w:rsid w:val="00B46ED3"/>
    <w:rsid w:val="00B470CF"/>
    <w:rsid w:val="00B47952"/>
    <w:rsid w:val="00B47A0E"/>
    <w:rsid w:val="00B50134"/>
    <w:rsid w:val="00B507FF"/>
    <w:rsid w:val="00B50CA3"/>
    <w:rsid w:val="00B522E3"/>
    <w:rsid w:val="00B52871"/>
    <w:rsid w:val="00B53C68"/>
    <w:rsid w:val="00B54577"/>
    <w:rsid w:val="00B568DF"/>
    <w:rsid w:val="00B60595"/>
    <w:rsid w:val="00B63928"/>
    <w:rsid w:val="00B63C08"/>
    <w:rsid w:val="00B64823"/>
    <w:rsid w:val="00B712C9"/>
    <w:rsid w:val="00B729B3"/>
    <w:rsid w:val="00B737FA"/>
    <w:rsid w:val="00B73CA4"/>
    <w:rsid w:val="00B74519"/>
    <w:rsid w:val="00B76284"/>
    <w:rsid w:val="00B769D6"/>
    <w:rsid w:val="00B77965"/>
    <w:rsid w:val="00B80973"/>
    <w:rsid w:val="00B818DD"/>
    <w:rsid w:val="00B81EE8"/>
    <w:rsid w:val="00B826E4"/>
    <w:rsid w:val="00B828B0"/>
    <w:rsid w:val="00B829AB"/>
    <w:rsid w:val="00B83230"/>
    <w:rsid w:val="00B836BD"/>
    <w:rsid w:val="00B843CB"/>
    <w:rsid w:val="00B84593"/>
    <w:rsid w:val="00B84CCA"/>
    <w:rsid w:val="00B85A7D"/>
    <w:rsid w:val="00B85BE1"/>
    <w:rsid w:val="00B874A8"/>
    <w:rsid w:val="00B87B37"/>
    <w:rsid w:val="00B87CBD"/>
    <w:rsid w:val="00B9082F"/>
    <w:rsid w:val="00B9090C"/>
    <w:rsid w:val="00B9137E"/>
    <w:rsid w:val="00B93F6C"/>
    <w:rsid w:val="00B9424A"/>
    <w:rsid w:val="00B9447E"/>
    <w:rsid w:val="00B94F6C"/>
    <w:rsid w:val="00B959A8"/>
    <w:rsid w:val="00B9609C"/>
    <w:rsid w:val="00B96697"/>
    <w:rsid w:val="00B96D75"/>
    <w:rsid w:val="00B9779F"/>
    <w:rsid w:val="00BA007C"/>
    <w:rsid w:val="00BA1E8B"/>
    <w:rsid w:val="00BA3AB8"/>
    <w:rsid w:val="00BA3B5F"/>
    <w:rsid w:val="00BA495C"/>
    <w:rsid w:val="00BA4FC1"/>
    <w:rsid w:val="00BA52A3"/>
    <w:rsid w:val="00BA580C"/>
    <w:rsid w:val="00BA6D0A"/>
    <w:rsid w:val="00BA729D"/>
    <w:rsid w:val="00BA793B"/>
    <w:rsid w:val="00BB01DA"/>
    <w:rsid w:val="00BB167A"/>
    <w:rsid w:val="00BB2206"/>
    <w:rsid w:val="00BB4060"/>
    <w:rsid w:val="00BB4FB5"/>
    <w:rsid w:val="00BB5E82"/>
    <w:rsid w:val="00BB77C5"/>
    <w:rsid w:val="00BC02BA"/>
    <w:rsid w:val="00BC0D98"/>
    <w:rsid w:val="00BC17EF"/>
    <w:rsid w:val="00BC1888"/>
    <w:rsid w:val="00BC2AA9"/>
    <w:rsid w:val="00BC6BBB"/>
    <w:rsid w:val="00BC6BBC"/>
    <w:rsid w:val="00BC7F62"/>
    <w:rsid w:val="00BD20C2"/>
    <w:rsid w:val="00BD26E4"/>
    <w:rsid w:val="00BD359C"/>
    <w:rsid w:val="00BD43B7"/>
    <w:rsid w:val="00BD4E38"/>
    <w:rsid w:val="00BD4EAC"/>
    <w:rsid w:val="00BD4EDE"/>
    <w:rsid w:val="00BD57CF"/>
    <w:rsid w:val="00BD5B35"/>
    <w:rsid w:val="00BD6BBF"/>
    <w:rsid w:val="00BD7DD2"/>
    <w:rsid w:val="00BD7EDB"/>
    <w:rsid w:val="00BE0875"/>
    <w:rsid w:val="00BE0CF8"/>
    <w:rsid w:val="00BE1593"/>
    <w:rsid w:val="00BE4008"/>
    <w:rsid w:val="00BE4A99"/>
    <w:rsid w:val="00BE5189"/>
    <w:rsid w:val="00BE5867"/>
    <w:rsid w:val="00BF007D"/>
    <w:rsid w:val="00BF0AB4"/>
    <w:rsid w:val="00BF1B3D"/>
    <w:rsid w:val="00BF1D85"/>
    <w:rsid w:val="00BF2086"/>
    <w:rsid w:val="00BF218E"/>
    <w:rsid w:val="00BF412D"/>
    <w:rsid w:val="00BF48D5"/>
    <w:rsid w:val="00BF53EB"/>
    <w:rsid w:val="00BF62B9"/>
    <w:rsid w:val="00C00BC4"/>
    <w:rsid w:val="00C01000"/>
    <w:rsid w:val="00C02A0D"/>
    <w:rsid w:val="00C03360"/>
    <w:rsid w:val="00C0606A"/>
    <w:rsid w:val="00C06C54"/>
    <w:rsid w:val="00C076A6"/>
    <w:rsid w:val="00C07B41"/>
    <w:rsid w:val="00C10B0C"/>
    <w:rsid w:val="00C12CFD"/>
    <w:rsid w:val="00C14314"/>
    <w:rsid w:val="00C14811"/>
    <w:rsid w:val="00C15006"/>
    <w:rsid w:val="00C16364"/>
    <w:rsid w:val="00C168BA"/>
    <w:rsid w:val="00C16AAB"/>
    <w:rsid w:val="00C20AA2"/>
    <w:rsid w:val="00C210A2"/>
    <w:rsid w:val="00C22895"/>
    <w:rsid w:val="00C229DE"/>
    <w:rsid w:val="00C252EF"/>
    <w:rsid w:val="00C2657A"/>
    <w:rsid w:val="00C27D04"/>
    <w:rsid w:val="00C32028"/>
    <w:rsid w:val="00C327EF"/>
    <w:rsid w:val="00C33BA7"/>
    <w:rsid w:val="00C340C0"/>
    <w:rsid w:val="00C37DCA"/>
    <w:rsid w:val="00C408C7"/>
    <w:rsid w:val="00C40A20"/>
    <w:rsid w:val="00C424BD"/>
    <w:rsid w:val="00C430AC"/>
    <w:rsid w:val="00C4404A"/>
    <w:rsid w:val="00C4578E"/>
    <w:rsid w:val="00C457C1"/>
    <w:rsid w:val="00C45CE1"/>
    <w:rsid w:val="00C477AC"/>
    <w:rsid w:val="00C51128"/>
    <w:rsid w:val="00C51F71"/>
    <w:rsid w:val="00C52CB9"/>
    <w:rsid w:val="00C53A64"/>
    <w:rsid w:val="00C548A9"/>
    <w:rsid w:val="00C57402"/>
    <w:rsid w:val="00C57B8C"/>
    <w:rsid w:val="00C57F96"/>
    <w:rsid w:val="00C616DB"/>
    <w:rsid w:val="00C61CF0"/>
    <w:rsid w:val="00C62366"/>
    <w:rsid w:val="00C65523"/>
    <w:rsid w:val="00C65643"/>
    <w:rsid w:val="00C65AA8"/>
    <w:rsid w:val="00C66BC5"/>
    <w:rsid w:val="00C67829"/>
    <w:rsid w:val="00C709C7"/>
    <w:rsid w:val="00C71088"/>
    <w:rsid w:val="00C71742"/>
    <w:rsid w:val="00C71D20"/>
    <w:rsid w:val="00C71D51"/>
    <w:rsid w:val="00C72319"/>
    <w:rsid w:val="00C72C50"/>
    <w:rsid w:val="00C73FF2"/>
    <w:rsid w:val="00C74ABB"/>
    <w:rsid w:val="00C75976"/>
    <w:rsid w:val="00C762EC"/>
    <w:rsid w:val="00C777E1"/>
    <w:rsid w:val="00C800F2"/>
    <w:rsid w:val="00C802C8"/>
    <w:rsid w:val="00C82B11"/>
    <w:rsid w:val="00C83394"/>
    <w:rsid w:val="00C878A2"/>
    <w:rsid w:val="00C87F78"/>
    <w:rsid w:val="00C90596"/>
    <w:rsid w:val="00C9123A"/>
    <w:rsid w:val="00C91C03"/>
    <w:rsid w:val="00C92C24"/>
    <w:rsid w:val="00C95965"/>
    <w:rsid w:val="00C967D2"/>
    <w:rsid w:val="00C96837"/>
    <w:rsid w:val="00C96CF8"/>
    <w:rsid w:val="00CA245E"/>
    <w:rsid w:val="00CA3BBB"/>
    <w:rsid w:val="00CA5D4D"/>
    <w:rsid w:val="00CA6AFD"/>
    <w:rsid w:val="00CA6FD1"/>
    <w:rsid w:val="00CB0021"/>
    <w:rsid w:val="00CB07EB"/>
    <w:rsid w:val="00CB0A84"/>
    <w:rsid w:val="00CB1AF4"/>
    <w:rsid w:val="00CB4C9F"/>
    <w:rsid w:val="00CC1B8A"/>
    <w:rsid w:val="00CC1C78"/>
    <w:rsid w:val="00CC4068"/>
    <w:rsid w:val="00CC4569"/>
    <w:rsid w:val="00CC45F3"/>
    <w:rsid w:val="00CC4BEB"/>
    <w:rsid w:val="00CC59BC"/>
    <w:rsid w:val="00CC5A88"/>
    <w:rsid w:val="00CC6260"/>
    <w:rsid w:val="00CC797B"/>
    <w:rsid w:val="00CD02E0"/>
    <w:rsid w:val="00CD2B17"/>
    <w:rsid w:val="00CD30E1"/>
    <w:rsid w:val="00CD3A17"/>
    <w:rsid w:val="00CD401F"/>
    <w:rsid w:val="00CD4134"/>
    <w:rsid w:val="00CD44DE"/>
    <w:rsid w:val="00CD508D"/>
    <w:rsid w:val="00CD512D"/>
    <w:rsid w:val="00CD5227"/>
    <w:rsid w:val="00CD5892"/>
    <w:rsid w:val="00CD7C8B"/>
    <w:rsid w:val="00CE03CE"/>
    <w:rsid w:val="00CE1A6E"/>
    <w:rsid w:val="00CE21EA"/>
    <w:rsid w:val="00CE463F"/>
    <w:rsid w:val="00CE61BA"/>
    <w:rsid w:val="00CF016D"/>
    <w:rsid w:val="00CF21E3"/>
    <w:rsid w:val="00CF568E"/>
    <w:rsid w:val="00CF729C"/>
    <w:rsid w:val="00CF73B8"/>
    <w:rsid w:val="00CF774B"/>
    <w:rsid w:val="00D01CF0"/>
    <w:rsid w:val="00D020EE"/>
    <w:rsid w:val="00D03514"/>
    <w:rsid w:val="00D041E8"/>
    <w:rsid w:val="00D042DF"/>
    <w:rsid w:val="00D07827"/>
    <w:rsid w:val="00D07E87"/>
    <w:rsid w:val="00D10ABA"/>
    <w:rsid w:val="00D10B27"/>
    <w:rsid w:val="00D12634"/>
    <w:rsid w:val="00D13528"/>
    <w:rsid w:val="00D13B2F"/>
    <w:rsid w:val="00D16300"/>
    <w:rsid w:val="00D16DF8"/>
    <w:rsid w:val="00D20B4F"/>
    <w:rsid w:val="00D2294A"/>
    <w:rsid w:val="00D23083"/>
    <w:rsid w:val="00D2573D"/>
    <w:rsid w:val="00D26DF0"/>
    <w:rsid w:val="00D27662"/>
    <w:rsid w:val="00D279BD"/>
    <w:rsid w:val="00D279DB"/>
    <w:rsid w:val="00D3004A"/>
    <w:rsid w:val="00D3079A"/>
    <w:rsid w:val="00D30D25"/>
    <w:rsid w:val="00D31380"/>
    <w:rsid w:val="00D31B01"/>
    <w:rsid w:val="00D31D16"/>
    <w:rsid w:val="00D31DF7"/>
    <w:rsid w:val="00D32CC3"/>
    <w:rsid w:val="00D34C25"/>
    <w:rsid w:val="00D35B21"/>
    <w:rsid w:val="00D36831"/>
    <w:rsid w:val="00D36A1E"/>
    <w:rsid w:val="00D406C8"/>
    <w:rsid w:val="00D40BA0"/>
    <w:rsid w:val="00D41EB6"/>
    <w:rsid w:val="00D442D7"/>
    <w:rsid w:val="00D456A8"/>
    <w:rsid w:val="00D4616C"/>
    <w:rsid w:val="00D46CD5"/>
    <w:rsid w:val="00D47386"/>
    <w:rsid w:val="00D47A18"/>
    <w:rsid w:val="00D50005"/>
    <w:rsid w:val="00D514F6"/>
    <w:rsid w:val="00D52A3A"/>
    <w:rsid w:val="00D53BC4"/>
    <w:rsid w:val="00D54D86"/>
    <w:rsid w:val="00D55A16"/>
    <w:rsid w:val="00D562AB"/>
    <w:rsid w:val="00D565AF"/>
    <w:rsid w:val="00D576EA"/>
    <w:rsid w:val="00D602CF"/>
    <w:rsid w:val="00D60CBE"/>
    <w:rsid w:val="00D615C9"/>
    <w:rsid w:val="00D61C01"/>
    <w:rsid w:val="00D62CF8"/>
    <w:rsid w:val="00D62F7B"/>
    <w:rsid w:val="00D630AC"/>
    <w:rsid w:val="00D631F2"/>
    <w:rsid w:val="00D63803"/>
    <w:rsid w:val="00D70224"/>
    <w:rsid w:val="00D706DC"/>
    <w:rsid w:val="00D710F9"/>
    <w:rsid w:val="00D72F44"/>
    <w:rsid w:val="00D746A7"/>
    <w:rsid w:val="00D7531F"/>
    <w:rsid w:val="00D7656B"/>
    <w:rsid w:val="00D767D0"/>
    <w:rsid w:val="00D81CC0"/>
    <w:rsid w:val="00D81FB4"/>
    <w:rsid w:val="00D83CE2"/>
    <w:rsid w:val="00D852EF"/>
    <w:rsid w:val="00D85718"/>
    <w:rsid w:val="00D92020"/>
    <w:rsid w:val="00D923F2"/>
    <w:rsid w:val="00D92C58"/>
    <w:rsid w:val="00D931A5"/>
    <w:rsid w:val="00D938C5"/>
    <w:rsid w:val="00D939C0"/>
    <w:rsid w:val="00D9438E"/>
    <w:rsid w:val="00D944F5"/>
    <w:rsid w:val="00D96670"/>
    <w:rsid w:val="00D97358"/>
    <w:rsid w:val="00DA1FD6"/>
    <w:rsid w:val="00DA2002"/>
    <w:rsid w:val="00DA2D4A"/>
    <w:rsid w:val="00DA318C"/>
    <w:rsid w:val="00DA42D3"/>
    <w:rsid w:val="00DA7645"/>
    <w:rsid w:val="00DB03FD"/>
    <w:rsid w:val="00DB1489"/>
    <w:rsid w:val="00DB220E"/>
    <w:rsid w:val="00DB3744"/>
    <w:rsid w:val="00DB43E1"/>
    <w:rsid w:val="00DB4B50"/>
    <w:rsid w:val="00DB4C7C"/>
    <w:rsid w:val="00DB4D86"/>
    <w:rsid w:val="00DB574F"/>
    <w:rsid w:val="00DB5E80"/>
    <w:rsid w:val="00DC2AF7"/>
    <w:rsid w:val="00DC2E66"/>
    <w:rsid w:val="00DC53E6"/>
    <w:rsid w:val="00DC541C"/>
    <w:rsid w:val="00DC567F"/>
    <w:rsid w:val="00DC7C97"/>
    <w:rsid w:val="00DD0DBD"/>
    <w:rsid w:val="00DD18A1"/>
    <w:rsid w:val="00DD3654"/>
    <w:rsid w:val="00DD588F"/>
    <w:rsid w:val="00DD5A53"/>
    <w:rsid w:val="00DD65A6"/>
    <w:rsid w:val="00DD77F9"/>
    <w:rsid w:val="00DD7F99"/>
    <w:rsid w:val="00DE0115"/>
    <w:rsid w:val="00DE06D1"/>
    <w:rsid w:val="00DE0BFF"/>
    <w:rsid w:val="00DE1D4F"/>
    <w:rsid w:val="00DE2BA2"/>
    <w:rsid w:val="00DE2F0E"/>
    <w:rsid w:val="00DE3BAF"/>
    <w:rsid w:val="00DE43DD"/>
    <w:rsid w:val="00DE56BD"/>
    <w:rsid w:val="00DE6C8C"/>
    <w:rsid w:val="00DE79E3"/>
    <w:rsid w:val="00DF0A66"/>
    <w:rsid w:val="00DF4B40"/>
    <w:rsid w:val="00DF5BAC"/>
    <w:rsid w:val="00DF670D"/>
    <w:rsid w:val="00DF76ED"/>
    <w:rsid w:val="00E00966"/>
    <w:rsid w:val="00E01BB4"/>
    <w:rsid w:val="00E02BE3"/>
    <w:rsid w:val="00E02CB7"/>
    <w:rsid w:val="00E0383C"/>
    <w:rsid w:val="00E042B7"/>
    <w:rsid w:val="00E0466A"/>
    <w:rsid w:val="00E0566A"/>
    <w:rsid w:val="00E0612D"/>
    <w:rsid w:val="00E103FC"/>
    <w:rsid w:val="00E116CB"/>
    <w:rsid w:val="00E12AC8"/>
    <w:rsid w:val="00E1307D"/>
    <w:rsid w:val="00E131F1"/>
    <w:rsid w:val="00E141B0"/>
    <w:rsid w:val="00E16380"/>
    <w:rsid w:val="00E16550"/>
    <w:rsid w:val="00E16B28"/>
    <w:rsid w:val="00E16C45"/>
    <w:rsid w:val="00E20F7D"/>
    <w:rsid w:val="00E21276"/>
    <w:rsid w:val="00E22388"/>
    <w:rsid w:val="00E223D8"/>
    <w:rsid w:val="00E223DA"/>
    <w:rsid w:val="00E22706"/>
    <w:rsid w:val="00E228CC"/>
    <w:rsid w:val="00E245B4"/>
    <w:rsid w:val="00E24C3F"/>
    <w:rsid w:val="00E24E12"/>
    <w:rsid w:val="00E258AA"/>
    <w:rsid w:val="00E25DDA"/>
    <w:rsid w:val="00E2736B"/>
    <w:rsid w:val="00E319C6"/>
    <w:rsid w:val="00E324A9"/>
    <w:rsid w:val="00E324F5"/>
    <w:rsid w:val="00E3259D"/>
    <w:rsid w:val="00E32DF6"/>
    <w:rsid w:val="00E32FE1"/>
    <w:rsid w:val="00E335D7"/>
    <w:rsid w:val="00E33CB8"/>
    <w:rsid w:val="00E343A1"/>
    <w:rsid w:val="00E36868"/>
    <w:rsid w:val="00E40B41"/>
    <w:rsid w:val="00E4108F"/>
    <w:rsid w:val="00E41289"/>
    <w:rsid w:val="00E42EB0"/>
    <w:rsid w:val="00E437B2"/>
    <w:rsid w:val="00E44550"/>
    <w:rsid w:val="00E445F5"/>
    <w:rsid w:val="00E45069"/>
    <w:rsid w:val="00E461A6"/>
    <w:rsid w:val="00E471D5"/>
    <w:rsid w:val="00E47B81"/>
    <w:rsid w:val="00E50CE9"/>
    <w:rsid w:val="00E51F00"/>
    <w:rsid w:val="00E530FB"/>
    <w:rsid w:val="00E532FC"/>
    <w:rsid w:val="00E54512"/>
    <w:rsid w:val="00E54AFB"/>
    <w:rsid w:val="00E54BFF"/>
    <w:rsid w:val="00E55464"/>
    <w:rsid w:val="00E5585E"/>
    <w:rsid w:val="00E5624C"/>
    <w:rsid w:val="00E56C12"/>
    <w:rsid w:val="00E62081"/>
    <w:rsid w:val="00E62E48"/>
    <w:rsid w:val="00E630CB"/>
    <w:rsid w:val="00E638AA"/>
    <w:rsid w:val="00E64170"/>
    <w:rsid w:val="00E64FA1"/>
    <w:rsid w:val="00E672B7"/>
    <w:rsid w:val="00E70205"/>
    <w:rsid w:val="00E704F4"/>
    <w:rsid w:val="00E70D7F"/>
    <w:rsid w:val="00E72371"/>
    <w:rsid w:val="00E724CB"/>
    <w:rsid w:val="00E72FA7"/>
    <w:rsid w:val="00E74DE6"/>
    <w:rsid w:val="00E74F2D"/>
    <w:rsid w:val="00E7522A"/>
    <w:rsid w:val="00E761A8"/>
    <w:rsid w:val="00E76EA0"/>
    <w:rsid w:val="00E7781F"/>
    <w:rsid w:val="00E80E92"/>
    <w:rsid w:val="00E82882"/>
    <w:rsid w:val="00E84392"/>
    <w:rsid w:val="00E85262"/>
    <w:rsid w:val="00E8624A"/>
    <w:rsid w:val="00E8662D"/>
    <w:rsid w:val="00E90097"/>
    <w:rsid w:val="00E90912"/>
    <w:rsid w:val="00E90CA5"/>
    <w:rsid w:val="00E94582"/>
    <w:rsid w:val="00E9492A"/>
    <w:rsid w:val="00E97FDA"/>
    <w:rsid w:val="00EA167E"/>
    <w:rsid w:val="00EA2702"/>
    <w:rsid w:val="00EA40C6"/>
    <w:rsid w:val="00EA5412"/>
    <w:rsid w:val="00EA546D"/>
    <w:rsid w:val="00EA7361"/>
    <w:rsid w:val="00EA77D4"/>
    <w:rsid w:val="00EA79C8"/>
    <w:rsid w:val="00EA7F7B"/>
    <w:rsid w:val="00EB0134"/>
    <w:rsid w:val="00EB078B"/>
    <w:rsid w:val="00EB196E"/>
    <w:rsid w:val="00EB2AB3"/>
    <w:rsid w:val="00EB349C"/>
    <w:rsid w:val="00EB405B"/>
    <w:rsid w:val="00EB4D96"/>
    <w:rsid w:val="00EB5A98"/>
    <w:rsid w:val="00EB6529"/>
    <w:rsid w:val="00EC09CC"/>
    <w:rsid w:val="00EC240D"/>
    <w:rsid w:val="00EC2915"/>
    <w:rsid w:val="00EC3794"/>
    <w:rsid w:val="00EC44F4"/>
    <w:rsid w:val="00EC53DE"/>
    <w:rsid w:val="00EC5787"/>
    <w:rsid w:val="00EC72BB"/>
    <w:rsid w:val="00EC749B"/>
    <w:rsid w:val="00ED0706"/>
    <w:rsid w:val="00ED0C69"/>
    <w:rsid w:val="00ED1522"/>
    <w:rsid w:val="00ED1A73"/>
    <w:rsid w:val="00ED4491"/>
    <w:rsid w:val="00ED5A8E"/>
    <w:rsid w:val="00ED64A4"/>
    <w:rsid w:val="00ED6501"/>
    <w:rsid w:val="00ED6ACC"/>
    <w:rsid w:val="00ED72CD"/>
    <w:rsid w:val="00ED73F3"/>
    <w:rsid w:val="00EE192F"/>
    <w:rsid w:val="00EE47D0"/>
    <w:rsid w:val="00EE4A1A"/>
    <w:rsid w:val="00EE4C1E"/>
    <w:rsid w:val="00EE5CF8"/>
    <w:rsid w:val="00EE6028"/>
    <w:rsid w:val="00EE65E0"/>
    <w:rsid w:val="00EE69DC"/>
    <w:rsid w:val="00EE6DCB"/>
    <w:rsid w:val="00EF0C93"/>
    <w:rsid w:val="00EF1075"/>
    <w:rsid w:val="00EF216F"/>
    <w:rsid w:val="00EF3C17"/>
    <w:rsid w:val="00EF5692"/>
    <w:rsid w:val="00EF7010"/>
    <w:rsid w:val="00F02068"/>
    <w:rsid w:val="00F020D7"/>
    <w:rsid w:val="00F037A6"/>
    <w:rsid w:val="00F03BEF"/>
    <w:rsid w:val="00F04B86"/>
    <w:rsid w:val="00F0739D"/>
    <w:rsid w:val="00F07526"/>
    <w:rsid w:val="00F07D51"/>
    <w:rsid w:val="00F1082A"/>
    <w:rsid w:val="00F1140D"/>
    <w:rsid w:val="00F1248B"/>
    <w:rsid w:val="00F152FD"/>
    <w:rsid w:val="00F15752"/>
    <w:rsid w:val="00F15AB8"/>
    <w:rsid w:val="00F162CF"/>
    <w:rsid w:val="00F17CF0"/>
    <w:rsid w:val="00F17FE7"/>
    <w:rsid w:val="00F21507"/>
    <w:rsid w:val="00F2153B"/>
    <w:rsid w:val="00F22A2F"/>
    <w:rsid w:val="00F32824"/>
    <w:rsid w:val="00F3282E"/>
    <w:rsid w:val="00F341A1"/>
    <w:rsid w:val="00F35209"/>
    <w:rsid w:val="00F36568"/>
    <w:rsid w:val="00F36DBA"/>
    <w:rsid w:val="00F4074B"/>
    <w:rsid w:val="00F40C45"/>
    <w:rsid w:val="00F4100A"/>
    <w:rsid w:val="00F41133"/>
    <w:rsid w:val="00F4136C"/>
    <w:rsid w:val="00F44169"/>
    <w:rsid w:val="00F45550"/>
    <w:rsid w:val="00F46295"/>
    <w:rsid w:val="00F46429"/>
    <w:rsid w:val="00F4790F"/>
    <w:rsid w:val="00F50644"/>
    <w:rsid w:val="00F50BFB"/>
    <w:rsid w:val="00F51222"/>
    <w:rsid w:val="00F518FF"/>
    <w:rsid w:val="00F520BE"/>
    <w:rsid w:val="00F52C89"/>
    <w:rsid w:val="00F53432"/>
    <w:rsid w:val="00F54CDE"/>
    <w:rsid w:val="00F566AF"/>
    <w:rsid w:val="00F56AD5"/>
    <w:rsid w:val="00F56EB7"/>
    <w:rsid w:val="00F61151"/>
    <w:rsid w:val="00F619C5"/>
    <w:rsid w:val="00F64399"/>
    <w:rsid w:val="00F65F89"/>
    <w:rsid w:val="00F67578"/>
    <w:rsid w:val="00F70400"/>
    <w:rsid w:val="00F72B13"/>
    <w:rsid w:val="00F72B72"/>
    <w:rsid w:val="00F737E6"/>
    <w:rsid w:val="00F77F9A"/>
    <w:rsid w:val="00F8021A"/>
    <w:rsid w:val="00F802F4"/>
    <w:rsid w:val="00F804BD"/>
    <w:rsid w:val="00F81E05"/>
    <w:rsid w:val="00F8682F"/>
    <w:rsid w:val="00F87613"/>
    <w:rsid w:val="00F87E4E"/>
    <w:rsid w:val="00F900E0"/>
    <w:rsid w:val="00F90A64"/>
    <w:rsid w:val="00F9193D"/>
    <w:rsid w:val="00F91A50"/>
    <w:rsid w:val="00F93270"/>
    <w:rsid w:val="00F942D8"/>
    <w:rsid w:val="00F9558B"/>
    <w:rsid w:val="00F969B7"/>
    <w:rsid w:val="00F96CB6"/>
    <w:rsid w:val="00F97E23"/>
    <w:rsid w:val="00FA0CE1"/>
    <w:rsid w:val="00FA173C"/>
    <w:rsid w:val="00FA3833"/>
    <w:rsid w:val="00FA568C"/>
    <w:rsid w:val="00FA6AB5"/>
    <w:rsid w:val="00FA6BB3"/>
    <w:rsid w:val="00FB0361"/>
    <w:rsid w:val="00FB0EFE"/>
    <w:rsid w:val="00FB157B"/>
    <w:rsid w:val="00FB30D0"/>
    <w:rsid w:val="00FB3379"/>
    <w:rsid w:val="00FB48DE"/>
    <w:rsid w:val="00FB50DC"/>
    <w:rsid w:val="00FB5420"/>
    <w:rsid w:val="00FB6B8F"/>
    <w:rsid w:val="00FB7E16"/>
    <w:rsid w:val="00FB7FDB"/>
    <w:rsid w:val="00FC2045"/>
    <w:rsid w:val="00FC58AA"/>
    <w:rsid w:val="00FC7088"/>
    <w:rsid w:val="00FD1358"/>
    <w:rsid w:val="00FD2044"/>
    <w:rsid w:val="00FD29F5"/>
    <w:rsid w:val="00FD2DC7"/>
    <w:rsid w:val="00FD37A9"/>
    <w:rsid w:val="00FD3B5F"/>
    <w:rsid w:val="00FD438A"/>
    <w:rsid w:val="00FD5ABD"/>
    <w:rsid w:val="00FD63C9"/>
    <w:rsid w:val="00FD6811"/>
    <w:rsid w:val="00FD6FFB"/>
    <w:rsid w:val="00FE0E34"/>
    <w:rsid w:val="00FE36B5"/>
    <w:rsid w:val="00FE3BFA"/>
    <w:rsid w:val="00FE44D7"/>
    <w:rsid w:val="00FE4D06"/>
    <w:rsid w:val="00FE4DF7"/>
    <w:rsid w:val="00FE68AC"/>
    <w:rsid w:val="00FE6B70"/>
    <w:rsid w:val="00FE6E4F"/>
    <w:rsid w:val="00FE7190"/>
    <w:rsid w:val="00FE7587"/>
    <w:rsid w:val="00FF0481"/>
    <w:rsid w:val="00FF078E"/>
    <w:rsid w:val="00FF1769"/>
    <w:rsid w:val="00FF35A3"/>
    <w:rsid w:val="00FF492F"/>
    <w:rsid w:val="00FF6AC3"/>
    <w:rsid w:val="00FF6B9F"/>
    <w:rsid w:val="00FF6CB6"/>
    <w:rsid w:val="00FF7353"/>
    <w:rsid w:val="1C79AC28"/>
    <w:rsid w:val="2899F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BD9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B2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7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40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5740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5740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5740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40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40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40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40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40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57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40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40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57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40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57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40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574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5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51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5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51D"/>
    <w:rPr>
      <w:lang w:val="en-GB"/>
    </w:rPr>
  </w:style>
  <w:style w:type="paragraph" w:customStyle="1" w:styleId="Bullet">
    <w:name w:val="Bullet"/>
    <w:basedOn w:val="Normal"/>
    <w:link w:val="BulletChar"/>
    <w:rsid w:val="000F6563"/>
    <w:pPr>
      <w:numPr>
        <w:numId w:val="9"/>
      </w:numPr>
    </w:pPr>
  </w:style>
  <w:style w:type="character" w:customStyle="1" w:styleId="BulletChar">
    <w:name w:val="Bullet Char"/>
    <w:basedOn w:val="DefaultParagraphFont"/>
    <w:link w:val="Bullet"/>
    <w:rsid w:val="000F6563"/>
    <w:rPr>
      <w:lang w:val="en-GB"/>
    </w:rPr>
  </w:style>
  <w:style w:type="paragraph" w:customStyle="1" w:styleId="Dash">
    <w:name w:val="Dash"/>
    <w:basedOn w:val="Normal"/>
    <w:link w:val="DashChar"/>
    <w:rsid w:val="000F6563"/>
    <w:pPr>
      <w:numPr>
        <w:ilvl w:val="1"/>
        <w:numId w:val="9"/>
      </w:numPr>
    </w:pPr>
  </w:style>
  <w:style w:type="character" w:customStyle="1" w:styleId="DashChar">
    <w:name w:val="Dash Char"/>
    <w:basedOn w:val="DefaultParagraphFont"/>
    <w:link w:val="Dash"/>
    <w:rsid w:val="000F6563"/>
    <w:rPr>
      <w:lang w:val="en-GB"/>
    </w:rPr>
  </w:style>
  <w:style w:type="paragraph" w:customStyle="1" w:styleId="DoubleDot">
    <w:name w:val="Double Dot"/>
    <w:basedOn w:val="Normal"/>
    <w:link w:val="DoubleDotChar"/>
    <w:rsid w:val="000F6563"/>
    <w:pPr>
      <w:numPr>
        <w:ilvl w:val="2"/>
        <w:numId w:val="9"/>
      </w:numPr>
    </w:pPr>
  </w:style>
  <w:style w:type="character" w:customStyle="1" w:styleId="DoubleDotChar">
    <w:name w:val="Double Dot Char"/>
    <w:basedOn w:val="DefaultParagraphFont"/>
    <w:link w:val="DoubleDot"/>
    <w:rsid w:val="000F656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C0E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E8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3B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3B5A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3B5A"/>
    <w:rPr>
      <w:vertAlign w:val="superscript"/>
    </w:rPr>
  </w:style>
  <w:style w:type="paragraph" w:styleId="NoSpacing">
    <w:name w:val="No Spacing"/>
    <w:uiPriority w:val="1"/>
    <w:qFormat/>
    <w:rsid w:val="003D059D"/>
    <w:pPr>
      <w:spacing w:after="0" w:line="240" w:lineRule="auto"/>
    </w:pPr>
    <w:rPr>
      <w:lang w:val="en-GB"/>
    </w:rPr>
  </w:style>
  <w:style w:type="table" w:styleId="GridTable4-Accent1">
    <w:name w:val="Grid Table 4 Accent 1"/>
    <w:basedOn w:val="TableNormal"/>
    <w:uiPriority w:val="49"/>
    <w:rsid w:val="002D09B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">
    <w:name w:val="Grid Table 4"/>
    <w:basedOn w:val="TableNormal"/>
    <w:uiPriority w:val="49"/>
    <w:rsid w:val="00B173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BE0C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6930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B20AC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B20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B20A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B20AC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ED650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B522E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C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78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784"/>
    <w:rPr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5C439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26 March 2026</dc:title>
  <dc:subject/>
  <dc:creator>Financial Reporting Council</dc:creator>
  <cp:keywords/>
  <dc:description/>
  <cp:lastModifiedBy/>
  <cp:revision>1</cp:revision>
  <dcterms:created xsi:type="dcterms:W3CDTF">2026-06-23T02:30:00Z</dcterms:created>
  <dcterms:modified xsi:type="dcterms:W3CDTF">2026-06-23T02:31:00Z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2026-06-23T02:31:07Z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1b62640d-64e7-4531-bc8a-3d8d3154536b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