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DA9E" w14:textId="77777777" w:rsidR="001E3FCF" w:rsidRPr="008348B0" w:rsidRDefault="001E3FCF" w:rsidP="001E3FCF">
      <w:pPr>
        <w:ind w:left="0"/>
      </w:pPr>
      <w:r w:rsidRPr="0082784A"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2EFEF48F" wp14:editId="2C5F397F">
            <wp:simplePos x="0" y="0"/>
            <wp:positionH relativeFrom="column">
              <wp:posOffset>-177165</wp:posOffset>
            </wp:positionH>
            <wp:positionV relativeFrom="paragraph">
              <wp:posOffset>182245</wp:posOffset>
            </wp:positionV>
            <wp:extent cx="6587490" cy="998220"/>
            <wp:effectExtent l="0" t="0" r="3810" b="0"/>
            <wp:wrapTight wrapText="bothSides">
              <wp:wrapPolygon edited="0">
                <wp:start x="0" y="0"/>
                <wp:lineTo x="0" y="21023"/>
                <wp:lineTo x="21550" y="21023"/>
                <wp:lineTo x="21550" y="0"/>
                <wp:lineTo x="0" y="0"/>
              </wp:wrapPolygon>
            </wp:wrapTight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749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7"/>
        <w:gridCol w:w="8823"/>
      </w:tblGrid>
      <w:tr w:rsidR="001E3FCF" w:rsidRPr="002C6F3C" w14:paraId="56BC532E" w14:textId="77777777" w:rsidTr="00107FF2">
        <w:trPr>
          <w:trHeight w:val="49"/>
          <w:jc w:val="center"/>
        </w:trPr>
        <w:tc>
          <w:tcPr>
            <w:tcW w:w="9980" w:type="dxa"/>
            <w:gridSpan w:val="2"/>
            <w:tcMar>
              <w:top w:w="57" w:type="dxa"/>
              <w:left w:w="28" w:type="dxa"/>
              <w:bottom w:w="113" w:type="dxa"/>
              <w:right w:w="28" w:type="dxa"/>
            </w:tcMar>
          </w:tcPr>
          <w:p w14:paraId="5E46A1DC" w14:textId="58BED4C1" w:rsidR="001E3FCF" w:rsidRPr="00A24DA5" w:rsidRDefault="001E3FCF">
            <w:pPr>
              <w:pStyle w:val="Caption"/>
              <w:rPr>
                <w:color w:val="113F7D"/>
                <w14:textFill>
                  <w14:solidFill>
                    <w14:srgbClr w14:val="113F7D">
                      <w14:lumMod w14:val="50000"/>
                    </w14:srgbClr>
                  </w14:solidFill>
                </w14:textFill>
              </w:rPr>
            </w:pPr>
            <w:r w:rsidRPr="005F6AC6">
              <w:rPr>
                <w:color w:val="595959" w:themeColor="text1" w:themeTint="A6"/>
              </w:rPr>
              <w:t xml:space="preserve"> </w:t>
            </w:r>
            <w:r w:rsidR="00930A4F" w:rsidRPr="005F6AC6">
              <w:rPr>
                <w:color w:val="595959" w:themeColor="text1" w:themeTint="A6"/>
              </w:rPr>
              <w:t>December 2025</w:t>
            </w:r>
            <w:r w:rsidRPr="005F6AC6">
              <w:rPr>
                <w:color w:val="595959" w:themeColor="text1" w:themeTint="A6"/>
              </w:rPr>
              <w:t xml:space="preserve"> – </w:t>
            </w:r>
            <w:r w:rsidR="00930A4F" w:rsidRPr="005F6AC6">
              <w:rPr>
                <w:color w:val="595959" w:themeColor="text1" w:themeTint="A6"/>
              </w:rPr>
              <w:t>12</w:t>
            </w:r>
            <w:r w:rsidRPr="005F6AC6">
              <w:rPr>
                <w:color w:val="595959" w:themeColor="text1" w:themeTint="A6"/>
              </w:rPr>
              <w:t>/</w:t>
            </w:r>
            <w:r w:rsidR="004F75CC" w:rsidRPr="005F6AC6">
              <w:rPr>
                <w:color w:val="595959" w:themeColor="text1" w:themeTint="A6"/>
              </w:rPr>
              <w:t>202</w:t>
            </w:r>
            <w:r w:rsidR="00FC6C58" w:rsidRPr="005F6AC6">
              <w:rPr>
                <w:color w:val="595959" w:themeColor="text1" w:themeTint="A6"/>
              </w:rPr>
              <w:t>5</w:t>
            </w:r>
          </w:p>
        </w:tc>
      </w:tr>
      <w:tr w:rsidR="001E3FCF" w:rsidRPr="002C6F3C" w14:paraId="728BC287" w14:textId="77777777" w:rsidTr="00107FF2">
        <w:trPr>
          <w:trHeight w:val="49"/>
          <w:jc w:val="center"/>
        </w:trPr>
        <w:tc>
          <w:tcPr>
            <w:tcW w:w="9980" w:type="dxa"/>
            <w:gridSpan w:val="2"/>
            <w:tcMar>
              <w:top w:w="57" w:type="dxa"/>
              <w:left w:w="28" w:type="dxa"/>
              <w:bottom w:w="113" w:type="dxa"/>
              <w:right w:w="28" w:type="dxa"/>
            </w:tcMar>
          </w:tcPr>
          <w:p w14:paraId="11CFF8E2" w14:textId="77777777" w:rsidR="001E3FCF" w:rsidRPr="00A24DA5" w:rsidRDefault="001E3FCF">
            <w:pPr>
              <w:pStyle w:val="Heading1"/>
              <w:spacing w:before="0"/>
            </w:pPr>
            <w:r w:rsidRPr="00A24DA5">
              <w:t>Financial Reporting Council Communiqué</w:t>
            </w:r>
          </w:p>
        </w:tc>
      </w:tr>
      <w:tr w:rsidR="001E3FCF" w:rsidRPr="002C6F3C" w14:paraId="3CB2B3BE" w14:textId="77777777" w:rsidTr="00107FF2">
        <w:trPr>
          <w:trHeight w:val="40"/>
          <w:jc w:val="center"/>
        </w:trPr>
        <w:tc>
          <w:tcPr>
            <w:tcW w:w="9980" w:type="dxa"/>
            <w:gridSpan w:val="2"/>
            <w:tcMar>
              <w:top w:w="57" w:type="dxa"/>
              <w:left w:w="28" w:type="dxa"/>
              <w:bottom w:w="113" w:type="dxa"/>
              <w:right w:w="28" w:type="dxa"/>
            </w:tcMar>
          </w:tcPr>
          <w:p w14:paraId="76B2995E" w14:textId="0474A194" w:rsidR="001E3FCF" w:rsidRPr="00FD60AF" w:rsidRDefault="001E3FCF">
            <w:pPr>
              <w:autoSpaceDE w:val="0"/>
              <w:autoSpaceDN w:val="0"/>
              <w:adjustRightInd w:val="0"/>
              <w:spacing w:before="0" w:after="0"/>
              <w:rPr>
                <w:rFonts w:eastAsia="Times New Roman" w:cs="Arial"/>
                <w:color w:val="auto"/>
                <w:szCs w:val="18"/>
                <w:lang w:eastAsia="en-AU"/>
              </w:rPr>
            </w:pPr>
            <w:r w:rsidRPr="00FD60AF">
              <w:rPr>
                <w:rFonts w:eastAsia="Times New Roman" w:cs="Arial"/>
                <w:color w:val="auto"/>
                <w:szCs w:val="18"/>
                <w:lang w:eastAsia="en-AU"/>
              </w:rPr>
              <w:t>The Financial Reporting Co</w:t>
            </w:r>
            <w:r>
              <w:rPr>
                <w:rFonts w:eastAsia="Times New Roman" w:cs="Arial"/>
                <w:color w:val="auto"/>
                <w:szCs w:val="18"/>
                <w:lang w:eastAsia="en-AU"/>
              </w:rPr>
              <w:t xml:space="preserve">uncil (FRC) met on </w:t>
            </w:r>
            <w:r w:rsidR="00155F89">
              <w:rPr>
                <w:rFonts w:eastAsia="Times New Roman" w:cs="Arial"/>
                <w:color w:val="auto"/>
                <w:szCs w:val="18"/>
                <w:lang w:eastAsia="en-AU"/>
              </w:rPr>
              <w:t xml:space="preserve">10 </w:t>
            </w:r>
            <w:r w:rsidR="006262E4">
              <w:rPr>
                <w:rFonts w:eastAsia="Times New Roman" w:cs="Arial"/>
                <w:color w:val="auto"/>
                <w:szCs w:val="18"/>
                <w:lang w:eastAsia="en-AU"/>
              </w:rPr>
              <w:t>December</w:t>
            </w:r>
            <w:r w:rsidR="00155F89">
              <w:rPr>
                <w:rFonts w:eastAsia="Times New Roman" w:cs="Arial"/>
                <w:color w:val="auto"/>
                <w:szCs w:val="18"/>
                <w:lang w:eastAsia="en-AU"/>
              </w:rPr>
              <w:t xml:space="preserve"> 2025</w:t>
            </w:r>
            <w:r w:rsidR="00953E02">
              <w:rPr>
                <w:rFonts w:eastAsia="Times New Roman" w:cs="Arial"/>
                <w:color w:val="auto"/>
                <w:szCs w:val="18"/>
                <w:lang w:eastAsia="en-AU"/>
              </w:rPr>
              <w:t>.</w:t>
            </w:r>
            <w:r w:rsidRPr="00FD60AF">
              <w:rPr>
                <w:rFonts w:eastAsia="Times New Roman" w:cs="Arial"/>
                <w:color w:val="auto"/>
                <w:szCs w:val="18"/>
                <w:lang w:eastAsia="en-AU"/>
              </w:rPr>
              <w:t xml:space="preserve"> </w:t>
            </w:r>
            <w:r w:rsidR="00953E02">
              <w:rPr>
                <w:rFonts w:eastAsia="Times New Roman" w:cs="Arial"/>
                <w:color w:val="auto"/>
                <w:szCs w:val="18"/>
                <w:lang w:eastAsia="en-AU"/>
              </w:rPr>
              <w:t>T</w:t>
            </w:r>
            <w:r w:rsidRPr="00FD60AF">
              <w:rPr>
                <w:rFonts w:eastAsia="Times New Roman" w:cs="Arial"/>
                <w:color w:val="auto"/>
                <w:szCs w:val="18"/>
                <w:lang w:eastAsia="en-AU"/>
              </w:rPr>
              <w:t xml:space="preserve">he key matters considered </w:t>
            </w:r>
            <w:r>
              <w:rPr>
                <w:rFonts w:eastAsia="Times New Roman" w:cs="Arial"/>
                <w:color w:val="auto"/>
                <w:szCs w:val="18"/>
                <w:lang w:eastAsia="en-AU"/>
              </w:rPr>
              <w:t>and decided are</w:t>
            </w:r>
            <w:r w:rsidRPr="00FD60AF">
              <w:rPr>
                <w:rFonts w:eastAsia="Times New Roman" w:cs="Arial"/>
                <w:color w:val="auto"/>
                <w:szCs w:val="18"/>
                <w:lang w:eastAsia="en-AU"/>
              </w:rPr>
              <w:t xml:space="preserve"> outline</w:t>
            </w:r>
            <w:r>
              <w:rPr>
                <w:rFonts w:eastAsia="Times New Roman" w:cs="Arial"/>
                <w:color w:val="auto"/>
                <w:szCs w:val="18"/>
                <w:lang w:eastAsia="en-AU"/>
              </w:rPr>
              <w:t>d below</w:t>
            </w:r>
            <w:r w:rsidRPr="00FD60AF">
              <w:rPr>
                <w:rFonts w:eastAsia="Times New Roman" w:cs="Arial"/>
                <w:color w:val="auto"/>
                <w:szCs w:val="18"/>
                <w:lang w:eastAsia="en-AU"/>
              </w:rPr>
              <w:t>:</w:t>
            </w:r>
          </w:p>
        </w:tc>
      </w:tr>
      <w:tr w:rsidR="001E3FCF" w:rsidRPr="002C6F3C" w14:paraId="586EC719" w14:textId="77777777" w:rsidTr="00D920A8">
        <w:trPr>
          <w:trHeight w:val="1326"/>
          <w:jc w:val="center"/>
        </w:trPr>
        <w:tc>
          <w:tcPr>
            <w:tcW w:w="704" w:type="dxa"/>
            <w:tcMar>
              <w:top w:w="57" w:type="dxa"/>
              <w:left w:w="28" w:type="dxa"/>
              <w:bottom w:w="113" w:type="dxa"/>
              <w:right w:w="28" w:type="dxa"/>
            </w:tcMar>
            <w:vAlign w:val="center"/>
          </w:tcPr>
          <w:p w14:paraId="2EA65EF5" w14:textId="5C78199C" w:rsidR="001E3FCF" w:rsidRDefault="001E3FCF">
            <w:pPr>
              <w:pStyle w:val="Heading3"/>
              <w:spacing w:before="0" w:after="0"/>
              <w:ind w:left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Environmental Scan</w:t>
            </w:r>
            <w:r w:rsidR="003863D1">
              <w:rPr>
                <w:rFonts w:asciiTheme="minorHAnsi" w:hAnsiTheme="minorHAnsi" w:cs="Arial"/>
                <w:bCs/>
              </w:rPr>
              <w:t xml:space="preserve"> </w:t>
            </w:r>
          </w:p>
        </w:tc>
        <w:tc>
          <w:tcPr>
            <w:tcW w:w="9276" w:type="dxa"/>
            <w:tcMar>
              <w:top w:w="57" w:type="dxa"/>
              <w:left w:w="28" w:type="dxa"/>
              <w:bottom w:w="113" w:type="dxa"/>
              <w:right w:w="28" w:type="dxa"/>
            </w:tcMar>
            <w:vAlign w:val="center"/>
          </w:tcPr>
          <w:p w14:paraId="688D7AEF" w14:textId="7AB6A5F7" w:rsidR="003E2D63" w:rsidRDefault="00F74F73" w:rsidP="00BB608B">
            <w:pPr>
              <w:pStyle w:val="Bullet"/>
            </w:pPr>
            <w:r>
              <w:t xml:space="preserve">The Chair </w:t>
            </w:r>
            <w:r w:rsidR="00FF429E">
              <w:t xml:space="preserve">referred to </w:t>
            </w:r>
            <w:r>
              <w:t xml:space="preserve">the </w:t>
            </w:r>
            <w:r w:rsidR="00B80394">
              <w:t>Australian Government’s focus on regulatory reform</w:t>
            </w:r>
            <w:r w:rsidR="003F6F5D">
              <w:t>, not</w:t>
            </w:r>
            <w:r w:rsidR="00FF429E">
              <w:t>ing</w:t>
            </w:r>
            <w:r w:rsidR="003F6F5D">
              <w:t xml:space="preserve"> that </w:t>
            </w:r>
            <w:r w:rsidR="00B80394">
              <w:t xml:space="preserve">an </w:t>
            </w:r>
            <w:r>
              <w:t xml:space="preserve">increase </w:t>
            </w:r>
            <w:r w:rsidR="00D148E5">
              <w:t>in</w:t>
            </w:r>
            <w:r>
              <w:t xml:space="preserve"> digital financial reporting could </w:t>
            </w:r>
            <w:r w:rsidR="00F231A6">
              <w:t xml:space="preserve">streamline </w:t>
            </w:r>
            <w:r>
              <w:t xml:space="preserve">data collection and sharing. </w:t>
            </w:r>
          </w:p>
          <w:p w14:paraId="464DAAE3" w14:textId="75FF4E2B" w:rsidR="003E2D63" w:rsidRDefault="00D148E5" w:rsidP="002A733E">
            <w:pPr>
              <w:pStyle w:val="Bullet"/>
            </w:pPr>
            <w:r>
              <w:t xml:space="preserve">Members discussed sustainability and climate-related financial disclosures. </w:t>
            </w:r>
            <w:r w:rsidR="00CF548E">
              <w:t>This included</w:t>
            </w:r>
            <w:r w:rsidR="00885ED6">
              <w:t xml:space="preserve"> </w:t>
            </w:r>
            <w:r w:rsidR="007D26DB" w:rsidRPr="007D26DB">
              <w:t xml:space="preserve">the </w:t>
            </w:r>
            <w:r w:rsidR="00CF548E">
              <w:t xml:space="preserve">importance of </w:t>
            </w:r>
            <w:proofErr w:type="spellStart"/>
            <w:r w:rsidR="007D26DB" w:rsidRPr="007D26DB">
              <w:t>finalising</w:t>
            </w:r>
            <w:proofErr w:type="spellEnd"/>
            <w:r w:rsidR="007D26DB" w:rsidRPr="007D26DB">
              <w:t xml:space="preserve"> S1</w:t>
            </w:r>
            <w:r w:rsidR="00146EAB">
              <w:t>-</w:t>
            </w:r>
            <w:r w:rsidR="007D26DB" w:rsidRPr="007D26DB">
              <w:t>related issues</w:t>
            </w:r>
            <w:r w:rsidR="007D26DB">
              <w:t>,</w:t>
            </w:r>
            <w:r w:rsidR="00CF548E">
              <w:t xml:space="preserve"> before</w:t>
            </w:r>
            <w:r w:rsidR="007D26DB" w:rsidRPr="007D26DB">
              <w:t xml:space="preserve"> moving </w:t>
            </w:r>
            <w:r w:rsidR="00CF548E">
              <w:t>towards additional</w:t>
            </w:r>
            <w:r w:rsidR="007D26DB" w:rsidRPr="007D26DB">
              <w:t xml:space="preserve"> nature-related financial disclosure</w:t>
            </w:r>
            <w:r w:rsidR="00861833">
              <w:t xml:space="preserve">, and </w:t>
            </w:r>
            <w:r w:rsidR="00E427DF">
              <w:t>market uncertainty regarding the definition of materiality</w:t>
            </w:r>
            <w:r w:rsidR="00E2773B">
              <w:t>.</w:t>
            </w:r>
          </w:p>
          <w:p w14:paraId="4A6D269A" w14:textId="4C7DDD03" w:rsidR="002A733E" w:rsidRPr="000040B1" w:rsidRDefault="000D64FB" w:rsidP="00B46016">
            <w:pPr>
              <w:pStyle w:val="Bullet"/>
            </w:pPr>
            <w:r>
              <w:t xml:space="preserve">The Chair of the Forum of Firms, Fiona Campbell, </w:t>
            </w:r>
            <w:r w:rsidR="00B46016" w:rsidRPr="00B46016">
              <w:t xml:space="preserve">outlined </w:t>
            </w:r>
            <w:r w:rsidR="00146EAB">
              <w:t>four</w:t>
            </w:r>
            <w:r w:rsidR="00B46016" w:rsidRPr="00B46016">
              <w:t xml:space="preserve"> key areas impacting international standard setting: quality of standards, collaboration issues, funding challenges, </w:t>
            </w:r>
            <w:r w:rsidR="00C67F98">
              <w:t xml:space="preserve">and </w:t>
            </w:r>
            <w:r w:rsidR="00B46016" w:rsidRPr="00B46016">
              <w:t>talent shortages.</w:t>
            </w:r>
          </w:p>
        </w:tc>
      </w:tr>
      <w:tr w:rsidR="001E3FCF" w:rsidRPr="002C6F3C" w14:paraId="5D4AB3B3" w14:textId="77777777" w:rsidTr="00D920A8">
        <w:trPr>
          <w:trHeight w:val="2226"/>
          <w:jc w:val="center"/>
        </w:trPr>
        <w:tc>
          <w:tcPr>
            <w:tcW w:w="704" w:type="dxa"/>
            <w:tcMar>
              <w:top w:w="57" w:type="dxa"/>
              <w:left w:w="28" w:type="dxa"/>
              <w:bottom w:w="113" w:type="dxa"/>
              <w:right w:w="28" w:type="dxa"/>
            </w:tcMar>
            <w:vAlign w:val="center"/>
          </w:tcPr>
          <w:p w14:paraId="2CD8EC2A" w14:textId="5F9F6DA2" w:rsidR="001E3FCF" w:rsidRPr="00BB670E" w:rsidRDefault="001E3FCF" w:rsidP="00291FEE">
            <w:pPr>
              <w:pStyle w:val="Heading3"/>
              <w:spacing w:before="0" w:after="0"/>
              <w:ind w:hanging="170"/>
              <w:rPr>
                <w:rFonts w:asciiTheme="minorHAnsi" w:hAnsiTheme="minorHAnsi" w:cs="Arial"/>
                <w:bCs/>
              </w:rPr>
            </w:pPr>
            <w:r w:rsidRPr="00BB670E">
              <w:rPr>
                <w:rFonts w:asciiTheme="minorHAnsi" w:hAnsiTheme="minorHAnsi" w:cs="Arial"/>
                <w:bCs/>
              </w:rPr>
              <w:t>AASB</w:t>
            </w:r>
          </w:p>
        </w:tc>
        <w:tc>
          <w:tcPr>
            <w:tcW w:w="9276" w:type="dxa"/>
            <w:tcMar>
              <w:top w:w="57" w:type="dxa"/>
              <w:left w:w="28" w:type="dxa"/>
              <w:bottom w:w="113" w:type="dxa"/>
              <w:right w:w="28" w:type="dxa"/>
            </w:tcMar>
            <w:vAlign w:val="center"/>
          </w:tcPr>
          <w:p w14:paraId="1069BEC0" w14:textId="343363CC" w:rsidR="00291FEE" w:rsidRDefault="00B97F17" w:rsidP="00291FEE">
            <w:pPr>
              <w:pStyle w:val="Bullet"/>
            </w:pPr>
            <w:r>
              <w:t xml:space="preserve">The </w:t>
            </w:r>
            <w:r w:rsidR="00C45EED">
              <w:t xml:space="preserve">AASB </w:t>
            </w:r>
            <w:r w:rsidR="001200C3">
              <w:t>gave</w:t>
            </w:r>
            <w:r w:rsidR="00C45EED">
              <w:t xml:space="preserve"> a presentation to the L</w:t>
            </w:r>
            <w:r w:rsidR="00B80394">
              <w:t>o</w:t>
            </w:r>
            <w:r w:rsidR="00BC52F6">
              <w:t xml:space="preserve">cal </w:t>
            </w:r>
            <w:r w:rsidR="00C45EED">
              <w:t>G</w:t>
            </w:r>
            <w:r w:rsidR="00BC52F6">
              <w:t xml:space="preserve">overnment </w:t>
            </w:r>
            <w:r w:rsidR="00C45EED">
              <w:t>M</w:t>
            </w:r>
            <w:r w:rsidR="00BC52F6">
              <w:t xml:space="preserve">inisters </w:t>
            </w:r>
            <w:r w:rsidR="00C45EED">
              <w:t>F</w:t>
            </w:r>
            <w:r w:rsidR="00BC52F6">
              <w:t>orum</w:t>
            </w:r>
            <w:r w:rsidR="00C45EED">
              <w:t xml:space="preserve"> on depreciation issues (see </w:t>
            </w:r>
            <w:hyperlink r:id="rId9" w:history="1">
              <w:r w:rsidR="00C45EED" w:rsidRPr="00BB608B">
                <w:rPr>
                  <w:rStyle w:val="Hyperlink"/>
                </w:rPr>
                <w:t>LGMF website</w:t>
              </w:r>
            </w:hyperlink>
            <w:r w:rsidR="00C45EED">
              <w:t xml:space="preserve"> for communique).</w:t>
            </w:r>
            <w:r w:rsidR="00291FEE">
              <w:t xml:space="preserve"> </w:t>
            </w:r>
            <w:r>
              <w:t xml:space="preserve">The </w:t>
            </w:r>
            <w:r w:rsidR="00291FEE">
              <w:t xml:space="preserve">AASB has published </w:t>
            </w:r>
            <w:hyperlink r:id="rId10" w:history="1">
              <w:r w:rsidR="00291FEE" w:rsidRPr="003F6F5D">
                <w:rPr>
                  <w:rStyle w:val="Hyperlink"/>
                </w:rPr>
                <w:t>FAQs</w:t>
              </w:r>
            </w:hyperlink>
            <w:r w:rsidR="00291FEE">
              <w:t xml:space="preserve"> on Local Governments and Accounting Depreciation to increase awareness. </w:t>
            </w:r>
          </w:p>
          <w:p w14:paraId="5B39F9C5" w14:textId="2EF67DA5" w:rsidR="00291FEE" w:rsidRDefault="00291FEE" w:rsidP="00291FEE">
            <w:pPr>
              <w:pStyle w:val="Bullet"/>
            </w:pPr>
            <w:r>
              <w:t xml:space="preserve">Recent </w:t>
            </w:r>
            <w:r w:rsidR="00B40B74">
              <w:t xml:space="preserve">ASAF </w:t>
            </w:r>
            <w:r>
              <w:t xml:space="preserve">meetings included discussion on intangibles, impairment exemptions, and broader consideration </w:t>
            </w:r>
            <w:r w:rsidR="00146EAB">
              <w:t>of</w:t>
            </w:r>
            <w:r>
              <w:t xml:space="preserve"> whether existing standards remain fit for purpose in addressing emerging and evolving issues. </w:t>
            </w:r>
          </w:p>
          <w:p w14:paraId="5A2FE63D" w14:textId="12207CAC" w:rsidR="00291FEE" w:rsidRDefault="00291FEE" w:rsidP="00291FEE">
            <w:pPr>
              <w:pStyle w:val="Bullet"/>
            </w:pPr>
            <w:r>
              <w:t xml:space="preserve">A common theme regarding intangibles concerned the </w:t>
            </w:r>
            <w:r w:rsidR="001B28CF">
              <w:t xml:space="preserve">request </w:t>
            </w:r>
            <w:r>
              <w:t xml:space="preserve">for specific standards to address developing areas such as crypto, software as a service, and AI technologies. </w:t>
            </w:r>
          </w:p>
          <w:p w14:paraId="67164B11" w14:textId="24869112" w:rsidR="00DB02C6" w:rsidRPr="00BB670E" w:rsidRDefault="00291FEE" w:rsidP="00705CE3">
            <w:pPr>
              <w:pStyle w:val="Bullet"/>
            </w:pPr>
            <w:r>
              <w:t>AASB Chair noted IFRS 16 post-implementation review feedback</w:t>
            </w:r>
            <w:r w:rsidR="00A32EE4">
              <w:t>,</w:t>
            </w:r>
            <w:r>
              <w:t xml:space="preserve"> indicating mixed views on disclosure clarity and usefulness.</w:t>
            </w:r>
          </w:p>
        </w:tc>
      </w:tr>
      <w:tr w:rsidR="002B2957" w:rsidRPr="002C6F3C" w14:paraId="441B6E90" w14:textId="77777777" w:rsidTr="00D920A8">
        <w:trPr>
          <w:trHeight w:val="2226"/>
          <w:jc w:val="center"/>
        </w:trPr>
        <w:tc>
          <w:tcPr>
            <w:tcW w:w="704" w:type="dxa"/>
            <w:tcMar>
              <w:top w:w="57" w:type="dxa"/>
              <w:left w:w="28" w:type="dxa"/>
              <w:bottom w:w="113" w:type="dxa"/>
              <w:right w:w="28" w:type="dxa"/>
            </w:tcMar>
            <w:vAlign w:val="center"/>
          </w:tcPr>
          <w:p w14:paraId="3A522E60" w14:textId="2F1EB1A8" w:rsidR="002B2957" w:rsidRPr="00BB670E" w:rsidRDefault="0007363A" w:rsidP="00D920A8">
            <w:pPr>
              <w:pStyle w:val="Heading3"/>
              <w:spacing w:before="0" w:after="0"/>
              <w:ind w:hanging="17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AUASB</w:t>
            </w:r>
          </w:p>
        </w:tc>
        <w:tc>
          <w:tcPr>
            <w:tcW w:w="9276" w:type="dxa"/>
            <w:tcMar>
              <w:top w:w="57" w:type="dxa"/>
              <w:left w:w="28" w:type="dxa"/>
              <w:bottom w:w="113" w:type="dxa"/>
              <w:right w:w="28" w:type="dxa"/>
            </w:tcMar>
            <w:vAlign w:val="center"/>
          </w:tcPr>
          <w:p w14:paraId="6AB07EC9" w14:textId="77777777" w:rsidR="0007363A" w:rsidRPr="00F74343" w:rsidRDefault="0007363A" w:rsidP="000931F2">
            <w:pPr>
              <w:pStyle w:val="Bullet"/>
              <w:numPr>
                <w:ilvl w:val="0"/>
                <w:numId w:val="0"/>
              </w:numPr>
              <w:ind w:left="360" w:hanging="360"/>
              <w:rPr>
                <w:lang w:val="en-GB"/>
              </w:rPr>
            </w:pPr>
            <w:r w:rsidRPr="00F74343">
              <w:rPr>
                <w:lang w:val="en-GB"/>
              </w:rPr>
              <w:t>Sustainability auditing and assuranc</w:t>
            </w:r>
            <w:r>
              <w:rPr>
                <w:lang w:val="en-GB"/>
              </w:rPr>
              <w:t>e</w:t>
            </w:r>
            <w:r w:rsidRPr="00F74343">
              <w:rPr>
                <w:lang w:val="en-GB"/>
              </w:rPr>
              <w:tab/>
            </w:r>
          </w:p>
          <w:p w14:paraId="0FFCD14B" w14:textId="77777777" w:rsidR="0007363A" w:rsidRPr="00753C94" w:rsidRDefault="0007363A" w:rsidP="0007363A">
            <w:pPr>
              <w:pStyle w:val="Bullet"/>
              <w:rPr>
                <w:lang w:val="en-GB"/>
              </w:rPr>
            </w:pPr>
            <w:r w:rsidRPr="00792469">
              <w:rPr>
                <w:lang w:val="en-GB"/>
              </w:rPr>
              <w:t>A</w:t>
            </w:r>
            <w:r w:rsidRPr="00753C94">
              <w:rPr>
                <w:lang w:val="en-GB"/>
              </w:rPr>
              <w:t xml:space="preserve">mendments </w:t>
            </w:r>
            <w:r w:rsidRPr="00792469">
              <w:rPr>
                <w:lang w:val="en-GB"/>
              </w:rPr>
              <w:t xml:space="preserve">are proposed </w:t>
            </w:r>
            <w:r w:rsidRPr="00753C94">
              <w:rPr>
                <w:lang w:val="en-GB"/>
              </w:rPr>
              <w:t>to the phasing model for assurance of information in Corporations Act sustainability reports which</w:t>
            </w:r>
            <w:r w:rsidRPr="00792469">
              <w:rPr>
                <w:lang w:val="en-GB"/>
              </w:rPr>
              <w:t xml:space="preserve"> </w:t>
            </w:r>
            <w:r w:rsidRPr="00753C94">
              <w:rPr>
                <w:lang w:val="en-GB"/>
              </w:rPr>
              <w:t>clarify the directors’ declaration in the sustainability report</w:t>
            </w:r>
            <w:r>
              <w:rPr>
                <w:lang w:val="en-GB"/>
              </w:rPr>
              <w:t xml:space="preserve"> and </w:t>
            </w:r>
            <w:r w:rsidRPr="00753C94">
              <w:rPr>
                <w:lang w:val="en-GB"/>
              </w:rPr>
              <w:t>appl</w:t>
            </w:r>
            <w:r>
              <w:rPr>
                <w:lang w:val="en-GB"/>
              </w:rPr>
              <w:t>ies</w:t>
            </w:r>
            <w:r w:rsidRPr="00753C94">
              <w:rPr>
                <w:lang w:val="en-GB"/>
              </w:rPr>
              <w:t xml:space="preserve"> the phasing model to an entity that voluntarily prepares a sustainability report under the Corporations Act</w:t>
            </w:r>
            <w:r>
              <w:rPr>
                <w:lang w:val="en-GB"/>
              </w:rPr>
              <w:t>.</w:t>
            </w:r>
          </w:p>
          <w:p w14:paraId="70F5EFC7" w14:textId="035B9EB1" w:rsidR="0007363A" w:rsidRPr="00753C94" w:rsidRDefault="00BF42B7" w:rsidP="0007363A">
            <w:pPr>
              <w:pStyle w:val="Bullet"/>
              <w:rPr>
                <w:lang w:val="en-GB"/>
              </w:rPr>
            </w:pPr>
            <w:r w:rsidRPr="00033F56">
              <w:rPr>
                <w:lang w:val="en-GB"/>
              </w:rPr>
              <w:t xml:space="preserve">The AUASB will </w:t>
            </w:r>
            <w:r w:rsidR="00834AD3" w:rsidRPr="00033F56">
              <w:rPr>
                <w:lang w:val="en-GB"/>
              </w:rPr>
              <w:t>publish</w:t>
            </w:r>
            <w:r w:rsidR="0007363A" w:rsidRPr="00753C94">
              <w:rPr>
                <w:lang w:val="en-GB"/>
              </w:rPr>
              <w:t xml:space="preserve"> illustrative </w:t>
            </w:r>
            <w:r w:rsidR="00033F56">
              <w:rPr>
                <w:lang w:val="en-GB"/>
              </w:rPr>
              <w:t>C</w:t>
            </w:r>
            <w:r w:rsidR="00033F56" w:rsidRPr="00033F56">
              <w:rPr>
                <w:lang w:val="en-GB"/>
              </w:rPr>
              <w:t xml:space="preserve">orporations </w:t>
            </w:r>
            <w:r w:rsidR="00033F56">
              <w:rPr>
                <w:lang w:val="en-GB"/>
              </w:rPr>
              <w:t>A</w:t>
            </w:r>
            <w:r w:rsidR="00033F56" w:rsidRPr="00033F56">
              <w:rPr>
                <w:lang w:val="en-GB"/>
              </w:rPr>
              <w:t>ct sustainability assurance</w:t>
            </w:r>
            <w:r w:rsidR="0007363A" w:rsidRPr="00753C94">
              <w:rPr>
                <w:lang w:val="en-GB"/>
              </w:rPr>
              <w:t xml:space="preserve"> reports and will continue developing guidance and materials to assist practitioners in implementing ASSA 5000, particularly under the local climate reporting regime. </w:t>
            </w:r>
          </w:p>
          <w:p w14:paraId="25FC94B7" w14:textId="77777777" w:rsidR="0007363A" w:rsidRPr="00753C94" w:rsidRDefault="0007363A" w:rsidP="000931F2">
            <w:pPr>
              <w:pStyle w:val="Bullet"/>
              <w:numPr>
                <w:ilvl w:val="0"/>
                <w:numId w:val="0"/>
              </w:numPr>
              <w:rPr>
                <w:lang w:val="en-GB"/>
              </w:rPr>
            </w:pPr>
            <w:r w:rsidRPr="00753C94">
              <w:rPr>
                <w:lang w:val="en-GB"/>
              </w:rPr>
              <w:t>Financial auditing and assurance update</w:t>
            </w:r>
          </w:p>
          <w:p w14:paraId="65E1E7DA" w14:textId="4B41FFA3" w:rsidR="0007363A" w:rsidRDefault="009C4FAB" w:rsidP="000931F2">
            <w:pPr>
              <w:pStyle w:val="Bullet"/>
              <w:numPr>
                <w:ilvl w:val="0"/>
                <w:numId w:val="0"/>
              </w:numPr>
              <w:ind w:left="360" w:hanging="360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07363A" w:rsidRPr="00753C94">
              <w:rPr>
                <w:lang w:val="en-GB"/>
              </w:rPr>
              <w:t>AUASB report</w:t>
            </w:r>
            <w:r w:rsidR="0007363A" w:rsidRPr="00A8484C">
              <w:rPr>
                <w:lang w:val="en-GB"/>
              </w:rPr>
              <w:t xml:space="preserve"> notes</w:t>
            </w:r>
            <w:r w:rsidR="0007363A">
              <w:rPr>
                <w:lang w:val="en-GB"/>
              </w:rPr>
              <w:t xml:space="preserve">: </w:t>
            </w:r>
          </w:p>
          <w:p w14:paraId="5C94EB8D" w14:textId="7CCAB923" w:rsidR="0007363A" w:rsidRPr="00753C94" w:rsidRDefault="0007363A" w:rsidP="0007363A">
            <w:pPr>
              <w:pStyle w:val="Bullet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A8484C">
              <w:rPr>
                <w:lang w:val="en-GB"/>
              </w:rPr>
              <w:t xml:space="preserve">he </w:t>
            </w:r>
            <w:r w:rsidRPr="00753C94">
              <w:rPr>
                <w:lang w:val="en-GB"/>
              </w:rPr>
              <w:t>continuing importance of financial report</w:t>
            </w:r>
            <w:r>
              <w:rPr>
                <w:lang w:val="en-GB"/>
              </w:rPr>
              <w:t>ing</w:t>
            </w:r>
            <w:r w:rsidRPr="00753C94">
              <w:rPr>
                <w:lang w:val="en-GB"/>
              </w:rPr>
              <w:t xml:space="preserve"> assurance standards and the AUASB input into international projects underway in this area</w:t>
            </w:r>
            <w:r>
              <w:rPr>
                <w:lang w:val="en-GB"/>
              </w:rPr>
              <w:t>.</w:t>
            </w:r>
          </w:p>
          <w:p w14:paraId="581D61EE" w14:textId="5A6F8657" w:rsidR="0007363A" w:rsidRPr="00753C94" w:rsidRDefault="0007363A" w:rsidP="0007363A">
            <w:pPr>
              <w:pStyle w:val="Bullet"/>
              <w:rPr>
                <w:lang w:val="en-GB"/>
              </w:rPr>
            </w:pPr>
            <w:r w:rsidRPr="00753C94">
              <w:rPr>
                <w:lang w:val="en-GB"/>
              </w:rPr>
              <w:t xml:space="preserve">IAASB's Technology Quality Management Roundtable in November </w:t>
            </w:r>
            <w:r w:rsidR="00986875">
              <w:rPr>
                <w:lang w:val="en-GB"/>
              </w:rPr>
              <w:t>(</w:t>
            </w:r>
            <w:r>
              <w:rPr>
                <w:lang w:val="en-GB"/>
              </w:rPr>
              <w:t>co-hosted by the AUASB</w:t>
            </w:r>
            <w:r w:rsidR="00986875">
              <w:rPr>
                <w:lang w:val="en-GB"/>
              </w:rPr>
              <w:t>)</w:t>
            </w:r>
            <w:r>
              <w:rPr>
                <w:lang w:val="en-GB"/>
              </w:rPr>
              <w:t xml:space="preserve"> and</w:t>
            </w:r>
            <w:r w:rsidRPr="00753C94">
              <w:rPr>
                <w:lang w:val="en-GB"/>
              </w:rPr>
              <w:t xml:space="preserve"> attended by representatives from the largest six firms, smaller firms, regulators, APESB, preparers, academics and others.</w:t>
            </w:r>
          </w:p>
          <w:p w14:paraId="7DC9DC75" w14:textId="1876158D" w:rsidR="002B2957" w:rsidRPr="0007363A" w:rsidRDefault="002A433C" w:rsidP="0007363A">
            <w:pPr>
              <w:pStyle w:val="Bullet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986875" w:rsidRPr="00753C94">
              <w:rPr>
                <w:lang w:val="en-GB"/>
              </w:rPr>
              <w:t xml:space="preserve">5-6 December 2025 </w:t>
            </w:r>
            <w:r w:rsidR="0007363A" w:rsidRPr="00753C94">
              <w:rPr>
                <w:lang w:val="en-GB"/>
              </w:rPr>
              <w:t>ANCAAR</w:t>
            </w:r>
            <w:r w:rsidR="0007363A">
              <w:rPr>
                <w:lang w:val="en-GB"/>
              </w:rPr>
              <w:t xml:space="preserve"> meeting was attended by the </w:t>
            </w:r>
            <w:r w:rsidR="0007363A" w:rsidRPr="00753C94">
              <w:rPr>
                <w:lang w:val="en-GB"/>
              </w:rPr>
              <w:t>AUASB Chair.</w:t>
            </w:r>
          </w:p>
        </w:tc>
      </w:tr>
      <w:tr w:rsidR="001E3FCF" w:rsidRPr="002C6F3C" w14:paraId="152783EA" w14:textId="77777777" w:rsidTr="00D920A8">
        <w:trPr>
          <w:trHeight w:val="761"/>
          <w:jc w:val="center"/>
        </w:trPr>
        <w:tc>
          <w:tcPr>
            <w:tcW w:w="704" w:type="dxa"/>
            <w:tcMar>
              <w:top w:w="57" w:type="dxa"/>
              <w:left w:w="28" w:type="dxa"/>
              <w:bottom w:w="113" w:type="dxa"/>
              <w:right w:w="28" w:type="dxa"/>
            </w:tcMar>
            <w:vAlign w:val="center"/>
          </w:tcPr>
          <w:p w14:paraId="15DCC2C8" w14:textId="77777777" w:rsidR="001E3FCF" w:rsidRPr="00BB670E" w:rsidRDefault="001E3FCF" w:rsidP="00D920A8">
            <w:pPr>
              <w:pStyle w:val="Heading3"/>
              <w:spacing w:before="0"/>
              <w:ind w:hanging="17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XRB</w:t>
            </w:r>
          </w:p>
        </w:tc>
        <w:tc>
          <w:tcPr>
            <w:tcW w:w="9276" w:type="dxa"/>
            <w:tcMar>
              <w:top w:w="57" w:type="dxa"/>
              <w:left w:w="28" w:type="dxa"/>
              <w:bottom w:w="113" w:type="dxa"/>
              <w:right w:w="28" w:type="dxa"/>
            </w:tcMar>
            <w:vAlign w:val="center"/>
          </w:tcPr>
          <w:p w14:paraId="29021A59" w14:textId="78E1C2B9" w:rsidR="00780151" w:rsidRDefault="00780151" w:rsidP="00780151">
            <w:pPr>
              <w:pStyle w:val="Bullet"/>
            </w:pPr>
            <w:r>
              <w:t xml:space="preserve">Simone Robbers and Aaron </w:t>
            </w:r>
            <w:proofErr w:type="spellStart"/>
            <w:r>
              <w:t>Hockly</w:t>
            </w:r>
            <w:proofErr w:type="spellEnd"/>
            <w:r>
              <w:t xml:space="preserve"> have joined the XRB. Fergus Welsh left the XRB</w:t>
            </w:r>
            <w:r w:rsidR="003E4438">
              <w:t>.</w:t>
            </w:r>
          </w:p>
          <w:p w14:paraId="7CC8C111" w14:textId="40159B2C" w:rsidR="00780151" w:rsidRDefault="00780151" w:rsidP="00780151">
            <w:pPr>
              <w:pStyle w:val="Bullet"/>
            </w:pPr>
            <w:r>
              <w:t xml:space="preserve">The New Zealand government has proposed changes to </w:t>
            </w:r>
            <w:r w:rsidR="004940B6">
              <w:t xml:space="preserve">remove </w:t>
            </w:r>
            <w:r>
              <w:t xml:space="preserve">most NZX-listed companies from the </w:t>
            </w:r>
            <w:r w:rsidR="004940B6">
              <w:t xml:space="preserve">mandatory climate reporting </w:t>
            </w:r>
            <w:r>
              <w:t xml:space="preserve">regime, though voluntary reporting remains an option for those under the threshold. </w:t>
            </w:r>
          </w:p>
          <w:p w14:paraId="3CA3A33C" w14:textId="1725F5AD" w:rsidR="00780151" w:rsidRDefault="00780151" w:rsidP="00780151">
            <w:pPr>
              <w:pStyle w:val="Bullet"/>
            </w:pPr>
            <w:r>
              <w:t xml:space="preserve">Other changes concern director liability and removing </w:t>
            </w:r>
            <w:r w:rsidR="00955C8E">
              <w:t xml:space="preserve">managed investment schemes </w:t>
            </w:r>
            <w:r>
              <w:t xml:space="preserve">from </w:t>
            </w:r>
            <w:r w:rsidR="00955C8E">
              <w:t xml:space="preserve">the </w:t>
            </w:r>
            <w:r>
              <w:t>regime</w:t>
            </w:r>
            <w:r w:rsidR="00955C8E">
              <w:t xml:space="preserve"> entirely</w:t>
            </w:r>
            <w:r>
              <w:t>.</w:t>
            </w:r>
            <w:r w:rsidR="000B34B4">
              <w:t xml:space="preserve"> </w:t>
            </w:r>
          </w:p>
          <w:p w14:paraId="27A8E35F" w14:textId="67A03F0F" w:rsidR="00834FA6" w:rsidRPr="00AF38DE" w:rsidRDefault="002A433C" w:rsidP="00780151">
            <w:pPr>
              <w:pStyle w:val="Bullet"/>
            </w:pPr>
            <w:r>
              <w:t xml:space="preserve">The </w:t>
            </w:r>
            <w:r w:rsidR="00780151">
              <w:t>Financial Markets Authority has granted "no action" relief for affected entities in anticipation of the</w:t>
            </w:r>
            <w:r w:rsidR="00FF429E">
              <w:t>se</w:t>
            </w:r>
            <w:r w:rsidR="00780151">
              <w:t xml:space="preserve"> changes.</w:t>
            </w:r>
          </w:p>
        </w:tc>
      </w:tr>
      <w:tr w:rsidR="001E3FCF" w:rsidRPr="002C6F3C" w14:paraId="499EFB1D" w14:textId="77777777" w:rsidTr="00D920A8">
        <w:trPr>
          <w:trHeight w:val="985"/>
          <w:jc w:val="center"/>
        </w:trPr>
        <w:tc>
          <w:tcPr>
            <w:tcW w:w="704" w:type="dxa"/>
            <w:tcMar>
              <w:top w:w="57" w:type="dxa"/>
              <w:left w:w="28" w:type="dxa"/>
              <w:bottom w:w="113" w:type="dxa"/>
              <w:right w:w="28" w:type="dxa"/>
            </w:tcMar>
            <w:vAlign w:val="center"/>
          </w:tcPr>
          <w:p w14:paraId="27FC57AA" w14:textId="4339099C" w:rsidR="001E3FCF" w:rsidRPr="00BB670E" w:rsidRDefault="00FA5949" w:rsidP="00D920A8">
            <w:pPr>
              <w:pStyle w:val="Heading3"/>
              <w:spacing w:before="0" w:after="0"/>
              <w:ind w:left="0"/>
              <w:rPr>
                <w:rFonts w:asciiTheme="minorHAnsi" w:hAnsiTheme="minorHAnsi" w:cs="Arial"/>
                <w:bCs/>
              </w:rPr>
            </w:pPr>
            <w:r w:rsidRPr="00FA5949">
              <w:rPr>
                <w:rFonts w:asciiTheme="minorHAnsi" w:hAnsiTheme="minorHAnsi" w:cs="Arial"/>
                <w:bCs/>
              </w:rPr>
              <w:t>Auditor Review</w:t>
            </w:r>
            <w:r w:rsidR="00D920A8">
              <w:rPr>
                <w:rFonts w:asciiTheme="minorHAnsi" w:hAnsiTheme="minorHAnsi" w:cs="Arial"/>
                <w:bCs/>
              </w:rPr>
              <w:t xml:space="preserve"> </w:t>
            </w:r>
            <w:r w:rsidRPr="00FA5949">
              <w:rPr>
                <w:rFonts w:asciiTheme="minorHAnsi" w:hAnsiTheme="minorHAnsi" w:cs="Arial"/>
                <w:bCs/>
              </w:rPr>
              <w:t>Working Group report</w:t>
            </w:r>
          </w:p>
        </w:tc>
        <w:tc>
          <w:tcPr>
            <w:tcW w:w="9276" w:type="dxa"/>
            <w:tcMar>
              <w:top w:w="57" w:type="dxa"/>
              <w:left w:w="28" w:type="dxa"/>
              <w:bottom w:w="113" w:type="dxa"/>
              <w:right w:w="28" w:type="dxa"/>
            </w:tcMar>
            <w:vAlign w:val="center"/>
          </w:tcPr>
          <w:p w14:paraId="64948A12" w14:textId="4A7169D1" w:rsidR="007C69E5" w:rsidRDefault="00AA4821" w:rsidP="00091CD8">
            <w:pPr>
              <w:pStyle w:val="Bullet"/>
            </w:pPr>
            <w:r>
              <w:t xml:space="preserve">Public sector </w:t>
            </w:r>
            <w:r w:rsidR="007C69E5" w:rsidRPr="007C69E5">
              <w:t xml:space="preserve">representatives met </w:t>
            </w:r>
            <w:r>
              <w:t xml:space="preserve">in October 2025 </w:t>
            </w:r>
            <w:r w:rsidR="007C69E5" w:rsidRPr="007C69E5">
              <w:t xml:space="preserve">to discuss auditor requirements across jurisdictions and </w:t>
            </w:r>
            <w:r>
              <w:t xml:space="preserve">the application of </w:t>
            </w:r>
            <w:r w:rsidR="0041330B">
              <w:t xml:space="preserve">the </w:t>
            </w:r>
            <w:r>
              <w:t>RCA</w:t>
            </w:r>
            <w:r w:rsidR="0041330B">
              <w:t xml:space="preserve"> concept</w:t>
            </w:r>
            <w:r w:rsidR="007C69E5" w:rsidRPr="007C69E5">
              <w:t xml:space="preserve">. Members agreed </w:t>
            </w:r>
            <w:r w:rsidR="008345F5">
              <w:t xml:space="preserve">that </w:t>
            </w:r>
            <w:r w:rsidR="007C69E5" w:rsidRPr="007C69E5">
              <w:t xml:space="preserve">a shared understanding is needed of what makes a competent </w:t>
            </w:r>
            <w:r w:rsidR="0041330B">
              <w:t>auditor</w:t>
            </w:r>
            <w:r w:rsidR="007C69E5" w:rsidRPr="007C69E5">
              <w:t xml:space="preserve">, particularly for </w:t>
            </w:r>
            <w:r w:rsidR="0041330B">
              <w:t>non-RCA auditors</w:t>
            </w:r>
            <w:r w:rsidR="007C69E5" w:rsidRPr="007C69E5">
              <w:t>.</w:t>
            </w:r>
          </w:p>
          <w:p w14:paraId="5493EAAE" w14:textId="23653ACD" w:rsidR="00B1449D" w:rsidRPr="00CE1F48" w:rsidRDefault="00CA3B71" w:rsidP="00091CD8">
            <w:pPr>
              <w:pStyle w:val="Bullet"/>
            </w:pPr>
            <w:r>
              <w:t xml:space="preserve">The Working Group reconvened on 6 November 2025 and welcomed new members. The Working Group agreed that a comparison table of auditor requirements across bodies would support the next phase of work. </w:t>
            </w:r>
          </w:p>
        </w:tc>
      </w:tr>
      <w:tr w:rsidR="00B47CCC" w:rsidRPr="002C6F3C" w14:paraId="46ADAE3A" w14:textId="77777777" w:rsidTr="00107FF2">
        <w:trPr>
          <w:trHeight w:val="49"/>
          <w:jc w:val="center"/>
        </w:trPr>
        <w:tc>
          <w:tcPr>
            <w:tcW w:w="9980" w:type="dxa"/>
            <w:gridSpan w:val="2"/>
            <w:tcMar>
              <w:top w:w="57" w:type="dxa"/>
              <w:left w:w="28" w:type="dxa"/>
              <w:bottom w:w="113" w:type="dxa"/>
              <w:right w:w="28" w:type="dxa"/>
            </w:tcMar>
          </w:tcPr>
          <w:p w14:paraId="6FCDD693" w14:textId="708E8EEE" w:rsidR="00B47CCC" w:rsidRPr="002C6F3C" w:rsidRDefault="00B47CCC" w:rsidP="00B47CCC">
            <w:pPr>
              <w:pStyle w:val="Heading2"/>
              <w:spacing w:before="0"/>
              <w:ind w:left="0"/>
              <w:jc w:val="center"/>
            </w:pPr>
            <w:r w:rsidRPr="2F24DBE4">
              <w:rPr>
                <w:sz w:val="20"/>
                <w:szCs w:val="20"/>
              </w:rPr>
              <w:t xml:space="preserve">The next FRC meeting is scheduled to be held in </w:t>
            </w:r>
            <w:r w:rsidR="00FA5949">
              <w:rPr>
                <w:sz w:val="20"/>
                <w:szCs w:val="20"/>
              </w:rPr>
              <w:t>Sydney</w:t>
            </w:r>
            <w:r>
              <w:rPr>
                <w:sz w:val="20"/>
                <w:szCs w:val="20"/>
              </w:rPr>
              <w:t xml:space="preserve"> on </w:t>
            </w:r>
            <w:r w:rsidR="00D7541C">
              <w:rPr>
                <w:sz w:val="20"/>
                <w:szCs w:val="20"/>
              </w:rPr>
              <w:t>26</w:t>
            </w:r>
            <w:r w:rsidR="00FA5949">
              <w:rPr>
                <w:sz w:val="20"/>
                <w:szCs w:val="20"/>
              </w:rPr>
              <w:t xml:space="preserve"> </w:t>
            </w:r>
            <w:r w:rsidR="00D7541C">
              <w:rPr>
                <w:sz w:val="20"/>
                <w:szCs w:val="20"/>
              </w:rPr>
              <w:t>March 2026</w:t>
            </w:r>
          </w:p>
        </w:tc>
      </w:tr>
    </w:tbl>
    <w:p w14:paraId="32A4DD4C" w14:textId="2FBE1A28" w:rsidR="00733D66" w:rsidRPr="00DD7ECF" w:rsidRDefault="00733D66" w:rsidP="00BE6B2B">
      <w:pPr>
        <w:ind w:left="0"/>
      </w:pPr>
    </w:p>
    <w:sectPr w:rsidR="00733D66" w:rsidRPr="00DD7ECF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7577" w:code="9"/>
      <w:pgMar w:top="23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3CA4D" w14:textId="77777777" w:rsidR="0064679F" w:rsidRDefault="0064679F">
      <w:pPr>
        <w:spacing w:before="0" w:after="0"/>
      </w:pPr>
      <w:r>
        <w:separator/>
      </w:r>
    </w:p>
  </w:endnote>
  <w:endnote w:type="continuationSeparator" w:id="0">
    <w:p w14:paraId="7B12CF78" w14:textId="77777777" w:rsidR="0064679F" w:rsidRDefault="0064679F">
      <w:pPr>
        <w:spacing w:before="0" w:after="0"/>
      </w:pPr>
      <w:r>
        <w:continuationSeparator/>
      </w:r>
    </w:p>
  </w:endnote>
  <w:endnote w:type="continuationNotice" w:id="1">
    <w:p w14:paraId="01F5F480" w14:textId="77777777" w:rsidR="0064679F" w:rsidRDefault="0064679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49B3" w14:textId="7E6F5E8D" w:rsidR="00F7565B" w:rsidRDefault="004F75CC">
    <w:r>
      <w:fldChar w:fldCharType="begin"/>
    </w:r>
    <w:r>
      <w:instrText>DOCPROPERTY DLMSecurityClassification \* MERGEFORMAT</w:instrText>
    </w:r>
    <w:r>
      <w:fldChar w:fldCharType="separate"/>
    </w:r>
    <w:r w:rsidR="001157D8">
      <w:rPr>
        <w:b/>
        <w:bCs/>
        <w:lang w:val="en-US"/>
      </w:rPr>
      <w:t>Error! Unknown document property name.</w:t>
    </w:r>
    <w:r>
      <w:fldChar w:fldCharType="end"/>
    </w:r>
  </w:p>
  <w:p w14:paraId="4BA831DE" w14:textId="104E9F8D" w:rsidR="00F7565B" w:rsidRDefault="004F75CC">
    <w:r>
      <w:fldChar w:fldCharType="begin"/>
    </w:r>
    <w:r>
      <w:instrText>DOCPROPERTY SecurityClassification \* MERGEFORMAT</w:instrText>
    </w:r>
    <w:r>
      <w:fldChar w:fldCharType="separate"/>
    </w:r>
    <w:r w:rsidR="001157D8">
      <w:rPr>
        <w:b/>
        <w:bCs/>
        <w:lang w:val="en-US"/>
      </w:rPr>
      <w:t>Error! Unknown document property name.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69A2D" w14:textId="77777777" w:rsidR="00F7565B" w:rsidRPr="00A24DA5" w:rsidRDefault="00DD7ECF">
    <w:pPr>
      <w:pStyle w:val="Footer"/>
      <w:tabs>
        <w:tab w:val="left" w:pos="3709"/>
      </w:tabs>
      <w:ind w:left="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C69D" w14:textId="2F7F3AB0" w:rsidR="00F7565B" w:rsidRDefault="004F75CC">
    <w:r>
      <w:fldChar w:fldCharType="begin"/>
    </w:r>
    <w:r>
      <w:instrText>DOCPROPERTY DLMSecurityClassification \* MERGEFORMAT</w:instrText>
    </w:r>
    <w:r>
      <w:fldChar w:fldCharType="separate"/>
    </w:r>
    <w:r w:rsidR="001157D8">
      <w:rPr>
        <w:b/>
        <w:bCs/>
        <w:lang w:val="en-US"/>
      </w:rPr>
      <w:t>Error! Unknown document property name.</w:t>
    </w:r>
    <w:r>
      <w:fldChar w:fldCharType="end"/>
    </w:r>
  </w:p>
  <w:p w14:paraId="2513710B" w14:textId="778E82BE" w:rsidR="00F7565B" w:rsidRDefault="004F75CC">
    <w:r>
      <w:fldChar w:fldCharType="begin"/>
    </w:r>
    <w:r>
      <w:instrText>DOCPROPERTY SecurityClassification \* MERGEFORMAT</w:instrText>
    </w:r>
    <w:r>
      <w:fldChar w:fldCharType="separate"/>
    </w:r>
    <w:r w:rsidR="001157D8">
      <w:rPr>
        <w:b/>
        <w:bCs/>
        <w:lang w:val="en-US"/>
      </w:rPr>
      <w:t>Error! Unknown document property name.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F3554" w14:textId="77777777" w:rsidR="0064679F" w:rsidRDefault="0064679F">
      <w:pPr>
        <w:spacing w:before="0" w:after="0"/>
      </w:pPr>
      <w:r>
        <w:separator/>
      </w:r>
    </w:p>
  </w:footnote>
  <w:footnote w:type="continuationSeparator" w:id="0">
    <w:p w14:paraId="637BEB0E" w14:textId="77777777" w:rsidR="0064679F" w:rsidRDefault="0064679F">
      <w:pPr>
        <w:spacing w:before="0" w:after="0"/>
      </w:pPr>
      <w:r>
        <w:continuationSeparator/>
      </w:r>
    </w:p>
  </w:footnote>
  <w:footnote w:type="continuationNotice" w:id="1">
    <w:p w14:paraId="1A7C2769" w14:textId="77777777" w:rsidR="0064679F" w:rsidRDefault="0064679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69448" w14:textId="504EFDC0" w:rsidR="00F7565B" w:rsidRDefault="004F75CC">
    <w:r>
      <w:fldChar w:fldCharType="begin"/>
    </w:r>
    <w:r>
      <w:instrText>DOCPROPERTY SecurityClassification \* MERGEFORMAT</w:instrText>
    </w:r>
    <w:r>
      <w:fldChar w:fldCharType="separate"/>
    </w:r>
    <w:r w:rsidR="001157D8">
      <w:rPr>
        <w:b/>
        <w:bCs/>
        <w:lang w:val="en-US"/>
      </w:rPr>
      <w:t>Error! Unknown document property name.</w:t>
    </w:r>
    <w:r>
      <w:fldChar w:fldCharType="end"/>
    </w:r>
  </w:p>
  <w:p w14:paraId="0BC36A52" w14:textId="6A38EA7B" w:rsidR="00F7565B" w:rsidRDefault="004F75CC">
    <w:r>
      <w:fldChar w:fldCharType="begin"/>
    </w:r>
    <w:r>
      <w:instrText>DOCPROPERTY DLMSecurityClassification \* MERGEFORMAT</w:instrText>
    </w:r>
    <w:r>
      <w:fldChar w:fldCharType="separate"/>
    </w:r>
    <w:r w:rsidR="001157D8">
      <w:rPr>
        <w:b/>
        <w:bCs/>
        <w:lang w:val="en-US"/>
      </w:rPr>
      <w:t>Error! Unknown document property name.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56F2" w14:textId="2C3C2C7C" w:rsidR="00F7565B" w:rsidRDefault="004F75CC">
    <w:r>
      <w:fldChar w:fldCharType="begin"/>
    </w:r>
    <w:r>
      <w:instrText>DOCPROPERTY SecurityClassification \* MERGEFORMAT</w:instrText>
    </w:r>
    <w:r>
      <w:fldChar w:fldCharType="separate"/>
    </w:r>
    <w:r w:rsidR="001157D8">
      <w:rPr>
        <w:b/>
        <w:bCs/>
        <w:lang w:val="en-US"/>
      </w:rPr>
      <w:t>Error! Unknown document property name.</w:t>
    </w:r>
    <w:r>
      <w:fldChar w:fldCharType="end"/>
    </w:r>
  </w:p>
  <w:p w14:paraId="2F952788" w14:textId="22A16642" w:rsidR="00F7565B" w:rsidRDefault="004F75CC">
    <w:r>
      <w:fldChar w:fldCharType="begin"/>
    </w:r>
    <w:r>
      <w:instrText>DOCPROPERTY DLMSecurityClassification \* MERGEFORMAT</w:instrText>
    </w:r>
    <w:r>
      <w:fldChar w:fldCharType="separate"/>
    </w:r>
    <w:r w:rsidR="001157D8">
      <w:rPr>
        <w:b/>
        <w:bCs/>
        <w:lang w:val="en-US"/>
      </w:rPr>
      <w:t>Error! Unknown document property name.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7E57"/>
    <w:multiLevelType w:val="hybridMultilevel"/>
    <w:tmpl w:val="EB104D94"/>
    <w:lvl w:ilvl="0" w:tplc="88E8AE6C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BDA0DE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2" w:tplc="44528A3C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9C76003A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F43C3B38">
      <w:start w:val="1"/>
      <w:numFmt w:val="bullet"/>
      <w:lvlText w:val="o"/>
      <w:lvlJc w:val="left"/>
      <w:pPr>
        <w:ind w:left="3731" w:hanging="360"/>
      </w:pPr>
      <w:rPr>
        <w:rFonts w:ascii="Courier New" w:hAnsi="Courier New" w:hint="default"/>
      </w:rPr>
    </w:lvl>
    <w:lvl w:ilvl="5" w:tplc="30E8A9E4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D6A0C34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A4EA33B8">
      <w:start w:val="1"/>
      <w:numFmt w:val="bullet"/>
      <w:lvlText w:val="o"/>
      <w:lvlJc w:val="left"/>
      <w:pPr>
        <w:ind w:left="5891" w:hanging="360"/>
      </w:pPr>
      <w:rPr>
        <w:rFonts w:ascii="Courier New" w:hAnsi="Courier New" w:hint="default"/>
      </w:rPr>
    </w:lvl>
    <w:lvl w:ilvl="8" w:tplc="6B4EF608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491C6C3"/>
    <w:multiLevelType w:val="hybridMultilevel"/>
    <w:tmpl w:val="FE5A64A4"/>
    <w:lvl w:ilvl="0" w:tplc="6C321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2A10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1267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0F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AC1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46D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040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CAA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BEA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468B9"/>
    <w:multiLevelType w:val="hybridMultilevel"/>
    <w:tmpl w:val="A35C8636"/>
    <w:lvl w:ilvl="0" w:tplc="30162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ACC9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FA20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6B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8A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7A5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2E4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EB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C28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86837"/>
    <w:multiLevelType w:val="hybridMultilevel"/>
    <w:tmpl w:val="B5261F9A"/>
    <w:lvl w:ilvl="0" w:tplc="470AA3AE">
      <w:start w:val="19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1E1F07"/>
    <w:multiLevelType w:val="multilevel"/>
    <w:tmpl w:val="CDE4512A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C021C3"/>
    <w:multiLevelType w:val="hybridMultilevel"/>
    <w:tmpl w:val="D8A00B9A"/>
    <w:lvl w:ilvl="0" w:tplc="7618F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859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886FB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C5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3C2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E7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C9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67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8C2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9719C"/>
    <w:multiLevelType w:val="multilevel"/>
    <w:tmpl w:val="7538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02568"/>
    <w:multiLevelType w:val="hybridMultilevel"/>
    <w:tmpl w:val="4D30B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73E2E"/>
    <w:multiLevelType w:val="hybridMultilevel"/>
    <w:tmpl w:val="A3BA8DF8"/>
    <w:lvl w:ilvl="0" w:tplc="32E626CC">
      <w:start w:val="7"/>
      <w:numFmt w:val="bullet"/>
      <w:lvlText w:val="-"/>
      <w:lvlJc w:val="left"/>
      <w:pPr>
        <w:ind w:left="121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 w15:restartNumberingAfterBreak="0">
    <w:nsid w:val="3A976014"/>
    <w:multiLevelType w:val="hybridMultilevel"/>
    <w:tmpl w:val="697424E8"/>
    <w:lvl w:ilvl="0" w:tplc="6DB66DC4">
      <w:start w:val="19"/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F027D99"/>
    <w:multiLevelType w:val="multilevel"/>
    <w:tmpl w:val="7774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235309"/>
    <w:multiLevelType w:val="hybridMultilevel"/>
    <w:tmpl w:val="7F6A7B64"/>
    <w:lvl w:ilvl="0" w:tplc="0C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 w15:restartNumberingAfterBreak="0">
    <w:nsid w:val="552E1E73"/>
    <w:multiLevelType w:val="hybridMultilevel"/>
    <w:tmpl w:val="5D48F54E"/>
    <w:lvl w:ilvl="0" w:tplc="480089C8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66271"/>
    <w:multiLevelType w:val="hybridMultilevel"/>
    <w:tmpl w:val="9D94B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775CE"/>
    <w:multiLevelType w:val="hybridMultilevel"/>
    <w:tmpl w:val="F8568030"/>
    <w:lvl w:ilvl="0" w:tplc="83167098">
      <w:start w:val="10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375158E"/>
    <w:multiLevelType w:val="hybridMultilevel"/>
    <w:tmpl w:val="CD3855E0"/>
    <w:lvl w:ilvl="0" w:tplc="D8745FA4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920B246">
      <w:start w:val="1"/>
      <w:numFmt w:val="bullet"/>
      <w:lvlText w:val="­"/>
      <w:lvlJc w:val="left"/>
      <w:pPr>
        <w:ind w:left="778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5F3617"/>
    <w:multiLevelType w:val="hybridMultilevel"/>
    <w:tmpl w:val="7EA2B3A6"/>
    <w:lvl w:ilvl="0" w:tplc="470AA3AE">
      <w:start w:val="19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C65F54"/>
    <w:multiLevelType w:val="hybridMultilevel"/>
    <w:tmpl w:val="B4E061EA"/>
    <w:lvl w:ilvl="0" w:tplc="566E3100">
      <w:start w:val="2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A6175"/>
    <w:multiLevelType w:val="hybridMultilevel"/>
    <w:tmpl w:val="67BE4C92"/>
    <w:lvl w:ilvl="0" w:tplc="36C800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385665">
    <w:abstractNumId w:val="0"/>
  </w:num>
  <w:num w:numId="2" w16cid:durableId="2008167136">
    <w:abstractNumId w:val="5"/>
  </w:num>
  <w:num w:numId="3" w16cid:durableId="163594460">
    <w:abstractNumId w:val="1"/>
  </w:num>
  <w:num w:numId="4" w16cid:durableId="698091557">
    <w:abstractNumId w:val="2"/>
  </w:num>
  <w:num w:numId="5" w16cid:durableId="1324816414">
    <w:abstractNumId w:val="15"/>
  </w:num>
  <w:num w:numId="6" w16cid:durableId="1064179862">
    <w:abstractNumId w:val="4"/>
  </w:num>
  <w:num w:numId="7" w16cid:durableId="1915894715">
    <w:abstractNumId w:val="18"/>
  </w:num>
  <w:num w:numId="8" w16cid:durableId="548687983">
    <w:abstractNumId w:val="17"/>
  </w:num>
  <w:num w:numId="9" w16cid:durableId="1201362770">
    <w:abstractNumId w:val="15"/>
  </w:num>
  <w:num w:numId="10" w16cid:durableId="355496962">
    <w:abstractNumId w:val="15"/>
  </w:num>
  <w:num w:numId="11" w16cid:durableId="1212421872">
    <w:abstractNumId w:val="3"/>
  </w:num>
  <w:num w:numId="12" w16cid:durableId="1000044119">
    <w:abstractNumId w:val="9"/>
  </w:num>
  <w:num w:numId="13" w16cid:durableId="113525318">
    <w:abstractNumId w:val="14"/>
  </w:num>
  <w:num w:numId="14" w16cid:durableId="438567598">
    <w:abstractNumId w:val="16"/>
  </w:num>
  <w:num w:numId="15" w16cid:durableId="1130125278">
    <w:abstractNumId w:val="7"/>
  </w:num>
  <w:num w:numId="16" w16cid:durableId="1217819047">
    <w:abstractNumId w:val="13"/>
  </w:num>
  <w:num w:numId="17" w16cid:durableId="125511312">
    <w:abstractNumId w:val="8"/>
  </w:num>
  <w:num w:numId="18" w16cid:durableId="1616910543">
    <w:abstractNumId w:val="6"/>
  </w:num>
  <w:num w:numId="19" w16cid:durableId="1282414836">
    <w:abstractNumId w:val="15"/>
  </w:num>
  <w:num w:numId="20" w16cid:durableId="1735617435">
    <w:abstractNumId w:val="15"/>
  </w:num>
  <w:num w:numId="21" w16cid:durableId="624701775">
    <w:abstractNumId w:val="10"/>
  </w:num>
  <w:num w:numId="22" w16cid:durableId="943271952">
    <w:abstractNumId w:val="12"/>
  </w:num>
  <w:num w:numId="23" w16cid:durableId="5174265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CB"/>
    <w:rsid w:val="000006A2"/>
    <w:rsid w:val="000040B1"/>
    <w:rsid w:val="00004B5C"/>
    <w:rsid w:val="00007A85"/>
    <w:rsid w:val="00007F1E"/>
    <w:rsid w:val="00012B98"/>
    <w:rsid w:val="00033F56"/>
    <w:rsid w:val="00037FF5"/>
    <w:rsid w:val="00045637"/>
    <w:rsid w:val="00052879"/>
    <w:rsid w:val="00060CDF"/>
    <w:rsid w:val="00062AC3"/>
    <w:rsid w:val="00067E49"/>
    <w:rsid w:val="00071444"/>
    <w:rsid w:val="0007363A"/>
    <w:rsid w:val="000912F1"/>
    <w:rsid w:val="00091A32"/>
    <w:rsid w:val="00091CD8"/>
    <w:rsid w:val="000931F2"/>
    <w:rsid w:val="0009382A"/>
    <w:rsid w:val="00096D56"/>
    <w:rsid w:val="000A77EB"/>
    <w:rsid w:val="000B34B4"/>
    <w:rsid w:val="000B36A6"/>
    <w:rsid w:val="000B66E2"/>
    <w:rsid w:val="000C0130"/>
    <w:rsid w:val="000C03DD"/>
    <w:rsid w:val="000C6DFF"/>
    <w:rsid w:val="000D010D"/>
    <w:rsid w:val="000D1003"/>
    <w:rsid w:val="000D4410"/>
    <w:rsid w:val="000D64FB"/>
    <w:rsid w:val="000E1DF5"/>
    <w:rsid w:val="000E34A1"/>
    <w:rsid w:val="000F1BD8"/>
    <w:rsid w:val="000F2728"/>
    <w:rsid w:val="000F41FC"/>
    <w:rsid w:val="000F557D"/>
    <w:rsid w:val="000F5DF6"/>
    <w:rsid w:val="000F6835"/>
    <w:rsid w:val="000F7B3D"/>
    <w:rsid w:val="00105AE1"/>
    <w:rsid w:val="00106A3D"/>
    <w:rsid w:val="00107FF2"/>
    <w:rsid w:val="00112B59"/>
    <w:rsid w:val="001157D8"/>
    <w:rsid w:val="00117840"/>
    <w:rsid w:val="001179AC"/>
    <w:rsid w:val="001200C3"/>
    <w:rsid w:val="001306BF"/>
    <w:rsid w:val="00133FEA"/>
    <w:rsid w:val="00134744"/>
    <w:rsid w:val="00134B74"/>
    <w:rsid w:val="00134FB1"/>
    <w:rsid w:val="00145EB5"/>
    <w:rsid w:val="00145F22"/>
    <w:rsid w:val="00146EAB"/>
    <w:rsid w:val="00151DE5"/>
    <w:rsid w:val="00151E66"/>
    <w:rsid w:val="001531E8"/>
    <w:rsid w:val="00155CFD"/>
    <w:rsid w:val="00155F89"/>
    <w:rsid w:val="00161BA4"/>
    <w:rsid w:val="00161BFD"/>
    <w:rsid w:val="00164399"/>
    <w:rsid w:val="001751A8"/>
    <w:rsid w:val="00181C19"/>
    <w:rsid w:val="00185459"/>
    <w:rsid w:val="00187D27"/>
    <w:rsid w:val="0019371A"/>
    <w:rsid w:val="00194142"/>
    <w:rsid w:val="00196EF9"/>
    <w:rsid w:val="00197340"/>
    <w:rsid w:val="001B28CF"/>
    <w:rsid w:val="001B759D"/>
    <w:rsid w:val="001C1D94"/>
    <w:rsid w:val="001D0130"/>
    <w:rsid w:val="001D1594"/>
    <w:rsid w:val="001D382A"/>
    <w:rsid w:val="001D4693"/>
    <w:rsid w:val="001E3FCF"/>
    <w:rsid w:val="001E4A21"/>
    <w:rsid w:val="001E532E"/>
    <w:rsid w:val="001E5E38"/>
    <w:rsid w:val="001F211F"/>
    <w:rsid w:val="00202EB2"/>
    <w:rsid w:val="00203A4F"/>
    <w:rsid w:val="00204FA1"/>
    <w:rsid w:val="00211CB4"/>
    <w:rsid w:val="00212C6A"/>
    <w:rsid w:val="00217669"/>
    <w:rsid w:val="00220336"/>
    <w:rsid w:val="00226FF5"/>
    <w:rsid w:val="00233F0E"/>
    <w:rsid w:val="002362E2"/>
    <w:rsid w:val="002364B1"/>
    <w:rsid w:val="0023716D"/>
    <w:rsid w:val="0023745C"/>
    <w:rsid w:val="00240805"/>
    <w:rsid w:val="00244D02"/>
    <w:rsid w:val="00245362"/>
    <w:rsid w:val="00252488"/>
    <w:rsid w:val="0025432C"/>
    <w:rsid w:val="00257DBE"/>
    <w:rsid w:val="002601E8"/>
    <w:rsid w:val="00260842"/>
    <w:rsid w:val="0026346D"/>
    <w:rsid w:val="00264F47"/>
    <w:rsid w:val="002650CE"/>
    <w:rsid w:val="00266A4E"/>
    <w:rsid w:val="0027752C"/>
    <w:rsid w:val="002863A0"/>
    <w:rsid w:val="00291FEE"/>
    <w:rsid w:val="002A433C"/>
    <w:rsid w:val="002A47A9"/>
    <w:rsid w:val="002A52A5"/>
    <w:rsid w:val="002A52B2"/>
    <w:rsid w:val="002A733E"/>
    <w:rsid w:val="002B2957"/>
    <w:rsid w:val="002B4547"/>
    <w:rsid w:val="002B7DCB"/>
    <w:rsid w:val="002D39EB"/>
    <w:rsid w:val="002D478F"/>
    <w:rsid w:val="002D75DB"/>
    <w:rsid w:val="002D774C"/>
    <w:rsid w:val="002E11BA"/>
    <w:rsid w:val="002E3794"/>
    <w:rsid w:val="002E3DCB"/>
    <w:rsid w:val="002E6AB5"/>
    <w:rsid w:val="002E74D5"/>
    <w:rsid w:val="002F5D32"/>
    <w:rsid w:val="00303B33"/>
    <w:rsid w:val="003049BD"/>
    <w:rsid w:val="0031381C"/>
    <w:rsid w:val="00315739"/>
    <w:rsid w:val="003162C0"/>
    <w:rsid w:val="00316ACE"/>
    <w:rsid w:val="00317908"/>
    <w:rsid w:val="00325D33"/>
    <w:rsid w:val="003279C3"/>
    <w:rsid w:val="00333FD5"/>
    <w:rsid w:val="003513C8"/>
    <w:rsid w:val="0035252B"/>
    <w:rsid w:val="00352E31"/>
    <w:rsid w:val="0035394D"/>
    <w:rsid w:val="0035705E"/>
    <w:rsid w:val="00357CAF"/>
    <w:rsid w:val="00364486"/>
    <w:rsid w:val="003676A6"/>
    <w:rsid w:val="00380775"/>
    <w:rsid w:val="00382270"/>
    <w:rsid w:val="0038539C"/>
    <w:rsid w:val="00385BAF"/>
    <w:rsid w:val="003863D1"/>
    <w:rsid w:val="00387165"/>
    <w:rsid w:val="00390975"/>
    <w:rsid w:val="00397D21"/>
    <w:rsid w:val="003A2877"/>
    <w:rsid w:val="003A421E"/>
    <w:rsid w:val="003A50DD"/>
    <w:rsid w:val="003A65B4"/>
    <w:rsid w:val="003B14ED"/>
    <w:rsid w:val="003B1C02"/>
    <w:rsid w:val="003B24C2"/>
    <w:rsid w:val="003B6A24"/>
    <w:rsid w:val="003B7ECC"/>
    <w:rsid w:val="003C0B9C"/>
    <w:rsid w:val="003C5EDA"/>
    <w:rsid w:val="003C6F43"/>
    <w:rsid w:val="003D0303"/>
    <w:rsid w:val="003D6216"/>
    <w:rsid w:val="003D6BE0"/>
    <w:rsid w:val="003E2D63"/>
    <w:rsid w:val="003E4438"/>
    <w:rsid w:val="003F3611"/>
    <w:rsid w:val="003F6DF5"/>
    <w:rsid w:val="003F6F5D"/>
    <w:rsid w:val="0040108D"/>
    <w:rsid w:val="0041330B"/>
    <w:rsid w:val="00421FFC"/>
    <w:rsid w:val="00422DCA"/>
    <w:rsid w:val="0042650A"/>
    <w:rsid w:val="00436916"/>
    <w:rsid w:val="0043751C"/>
    <w:rsid w:val="00440689"/>
    <w:rsid w:val="004420F2"/>
    <w:rsid w:val="004434AE"/>
    <w:rsid w:val="004519C0"/>
    <w:rsid w:val="004539A9"/>
    <w:rsid w:val="0045684A"/>
    <w:rsid w:val="0045745D"/>
    <w:rsid w:val="00462CCA"/>
    <w:rsid w:val="00462DAC"/>
    <w:rsid w:val="00475A5C"/>
    <w:rsid w:val="00477A8D"/>
    <w:rsid w:val="00483453"/>
    <w:rsid w:val="00483CA9"/>
    <w:rsid w:val="004844F6"/>
    <w:rsid w:val="00490923"/>
    <w:rsid w:val="00492388"/>
    <w:rsid w:val="004940B6"/>
    <w:rsid w:val="004942F7"/>
    <w:rsid w:val="00494F0E"/>
    <w:rsid w:val="00496831"/>
    <w:rsid w:val="00497A7A"/>
    <w:rsid w:val="004A156A"/>
    <w:rsid w:val="004A2105"/>
    <w:rsid w:val="004A63EF"/>
    <w:rsid w:val="004A7A86"/>
    <w:rsid w:val="004B0B98"/>
    <w:rsid w:val="004B2D9C"/>
    <w:rsid w:val="004B61E6"/>
    <w:rsid w:val="004B66B2"/>
    <w:rsid w:val="004C197A"/>
    <w:rsid w:val="004C4E9D"/>
    <w:rsid w:val="004D1D58"/>
    <w:rsid w:val="004E1744"/>
    <w:rsid w:val="004F0D1F"/>
    <w:rsid w:val="004F2FCA"/>
    <w:rsid w:val="004F75CC"/>
    <w:rsid w:val="0050319B"/>
    <w:rsid w:val="00506F93"/>
    <w:rsid w:val="00511234"/>
    <w:rsid w:val="00511C63"/>
    <w:rsid w:val="00520978"/>
    <w:rsid w:val="00523FBF"/>
    <w:rsid w:val="00526EB5"/>
    <w:rsid w:val="0053302E"/>
    <w:rsid w:val="00533E2C"/>
    <w:rsid w:val="005352A6"/>
    <w:rsid w:val="00535444"/>
    <w:rsid w:val="00542331"/>
    <w:rsid w:val="005476C3"/>
    <w:rsid w:val="005507AF"/>
    <w:rsid w:val="00561982"/>
    <w:rsid w:val="00562938"/>
    <w:rsid w:val="005629A3"/>
    <w:rsid w:val="00564500"/>
    <w:rsid w:val="0058051A"/>
    <w:rsid w:val="00585C45"/>
    <w:rsid w:val="00593A30"/>
    <w:rsid w:val="00596955"/>
    <w:rsid w:val="00597AA6"/>
    <w:rsid w:val="005A70C5"/>
    <w:rsid w:val="005B092F"/>
    <w:rsid w:val="005B0BCB"/>
    <w:rsid w:val="005B0EE3"/>
    <w:rsid w:val="005B111E"/>
    <w:rsid w:val="005B33C2"/>
    <w:rsid w:val="005B7D77"/>
    <w:rsid w:val="005C1363"/>
    <w:rsid w:val="005D5435"/>
    <w:rsid w:val="005D6C61"/>
    <w:rsid w:val="005D78BC"/>
    <w:rsid w:val="005F22C5"/>
    <w:rsid w:val="005F6AC6"/>
    <w:rsid w:val="00603D3F"/>
    <w:rsid w:val="00604C25"/>
    <w:rsid w:val="00610A68"/>
    <w:rsid w:val="00612734"/>
    <w:rsid w:val="006157CB"/>
    <w:rsid w:val="00620936"/>
    <w:rsid w:val="00620FB0"/>
    <w:rsid w:val="00624612"/>
    <w:rsid w:val="006262E4"/>
    <w:rsid w:val="006368BA"/>
    <w:rsid w:val="00641213"/>
    <w:rsid w:val="0064148B"/>
    <w:rsid w:val="006415C1"/>
    <w:rsid w:val="0064491B"/>
    <w:rsid w:val="0064679F"/>
    <w:rsid w:val="006546FC"/>
    <w:rsid w:val="006572C3"/>
    <w:rsid w:val="00657EC7"/>
    <w:rsid w:val="006677FF"/>
    <w:rsid w:val="00675CB9"/>
    <w:rsid w:val="00680205"/>
    <w:rsid w:val="006818E0"/>
    <w:rsid w:val="0068487C"/>
    <w:rsid w:val="0068752E"/>
    <w:rsid w:val="00687BB2"/>
    <w:rsid w:val="006925B9"/>
    <w:rsid w:val="0069680D"/>
    <w:rsid w:val="006A2E3D"/>
    <w:rsid w:val="006A4BC0"/>
    <w:rsid w:val="006A66CB"/>
    <w:rsid w:val="006B2A00"/>
    <w:rsid w:val="006B3EE6"/>
    <w:rsid w:val="006B420E"/>
    <w:rsid w:val="006B5BDA"/>
    <w:rsid w:val="006C359B"/>
    <w:rsid w:val="006C5716"/>
    <w:rsid w:val="006C7171"/>
    <w:rsid w:val="006D043E"/>
    <w:rsid w:val="006E583D"/>
    <w:rsid w:val="006E6AC6"/>
    <w:rsid w:val="006F098A"/>
    <w:rsid w:val="006F45D7"/>
    <w:rsid w:val="00702140"/>
    <w:rsid w:val="00705678"/>
    <w:rsid w:val="00705A00"/>
    <w:rsid w:val="00705CE3"/>
    <w:rsid w:val="00710650"/>
    <w:rsid w:val="00713B86"/>
    <w:rsid w:val="0071619C"/>
    <w:rsid w:val="007163AC"/>
    <w:rsid w:val="0072513A"/>
    <w:rsid w:val="00730500"/>
    <w:rsid w:val="00730B96"/>
    <w:rsid w:val="00733D66"/>
    <w:rsid w:val="00734438"/>
    <w:rsid w:val="00734D63"/>
    <w:rsid w:val="00740827"/>
    <w:rsid w:val="00740F0E"/>
    <w:rsid w:val="00741966"/>
    <w:rsid w:val="007434DA"/>
    <w:rsid w:val="00744D11"/>
    <w:rsid w:val="007467AB"/>
    <w:rsid w:val="0074795A"/>
    <w:rsid w:val="00747B32"/>
    <w:rsid w:val="0075153F"/>
    <w:rsid w:val="00751AA2"/>
    <w:rsid w:val="00753C94"/>
    <w:rsid w:val="007548FA"/>
    <w:rsid w:val="00775902"/>
    <w:rsid w:val="00780151"/>
    <w:rsid w:val="007802ED"/>
    <w:rsid w:val="00780430"/>
    <w:rsid w:val="00784757"/>
    <w:rsid w:val="007850E8"/>
    <w:rsid w:val="007877EC"/>
    <w:rsid w:val="00791315"/>
    <w:rsid w:val="00792469"/>
    <w:rsid w:val="007932A0"/>
    <w:rsid w:val="00794420"/>
    <w:rsid w:val="00795E7C"/>
    <w:rsid w:val="007970F5"/>
    <w:rsid w:val="007A0F96"/>
    <w:rsid w:val="007A38C6"/>
    <w:rsid w:val="007A3AC8"/>
    <w:rsid w:val="007B27E3"/>
    <w:rsid w:val="007B3243"/>
    <w:rsid w:val="007B4D19"/>
    <w:rsid w:val="007B56D2"/>
    <w:rsid w:val="007B7BBA"/>
    <w:rsid w:val="007B7CA2"/>
    <w:rsid w:val="007C02F7"/>
    <w:rsid w:val="007C1F28"/>
    <w:rsid w:val="007C243E"/>
    <w:rsid w:val="007C3398"/>
    <w:rsid w:val="007C5618"/>
    <w:rsid w:val="007C69E5"/>
    <w:rsid w:val="007D0BC6"/>
    <w:rsid w:val="007D26DB"/>
    <w:rsid w:val="007D5CE5"/>
    <w:rsid w:val="007E1E7B"/>
    <w:rsid w:val="007F247B"/>
    <w:rsid w:val="007F2859"/>
    <w:rsid w:val="00800137"/>
    <w:rsid w:val="00813093"/>
    <w:rsid w:val="0081445F"/>
    <w:rsid w:val="00817B4A"/>
    <w:rsid w:val="00821BB9"/>
    <w:rsid w:val="008345F5"/>
    <w:rsid w:val="00834AD3"/>
    <w:rsid w:val="00834B21"/>
    <w:rsid w:val="00834FA6"/>
    <w:rsid w:val="00835126"/>
    <w:rsid w:val="008452EF"/>
    <w:rsid w:val="008571B3"/>
    <w:rsid w:val="00857201"/>
    <w:rsid w:val="00857C8D"/>
    <w:rsid w:val="00861833"/>
    <w:rsid w:val="00871DCF"/>
    <w:rsid w:val="00873D83"/>
    <w:rsid w:val="00885A7F"/>
    <w:rsid w:val="00885ED6"/>
    <w:rsid w:val="00896433"/>
    <w:rsid w:val="00896C79"/>
    <w:rsid w:val="008A0FF1"/>
    <w:rsid w:val="008B0133"/>
    <w:rsid w:val="008B2007"/>
    <w:rsid w:val="008C1593"/>
    <w:rsid w:val="008C49EA"/>
    <w:rsid w:val="008C7005"/>
    <w:rsid w:val="008D0889"/>
    <w:rsid w:val="008D2FE1"/>
    <w:rsid w:val="008D4B90"/>
    <w:rsid w:val="008E1C69"/>
    <w:rsid w:val="008E226C"/>
    <w:rsid w:val="008E2B27"/>
    <w:rsid w:val="008E48F1"/>
    <w:rsid w:val="008E4B25"/>
    <w:rsid w:val="008E6645"/>
    <w:rsid w:val="008F01AE"/>
    <w:rsid w:val="008F3904"/>
    <w:rsid w:val="009036EB"/>
    <w:rsid w:val="00905CC7"/>
    <w:rsid w:val="00911659"/>
    <w:rsid w:val="0091425A"/>
    <w:rsid w:val="0091484A"/>
    <w:rsid w:val="00915A3C"/>
    <w:rsid w:val="0091687A"/>
    <w:rsid w:val="00922624"/>
    <w:rsid w:val="009246AB"/>
    <w:rsid w:val="00926FEC"/>
    <w:rsid w:val="009309AC"/>
    <w:rsid w:val="00930A4F"/>
    <w:rsid w:val="0093480F"/>
    <w:rsid w:val="00936048"/>
    <w:rsid w:val="00942699"/>
    <w:rsid w:val="00951976"/>
    <w:rsid w:val="00953E02"/>
    <w:rsid w:val="009544D3"/>
    <w:rsid w:val="00954F62"/>
    <w:rsid w:val="00955C8E"/>
    <w:rsid w:val="00956D6E"/>
    <w:rsid w:val="00956F92"/>
    <w:rsid w:val="00957536"/>
    <w:rsid w:val="009623AB"/>
    <w:rsid w:val="00967D46"/>
    <w:rsid w:val="00971CB2"/>
    <w:rsid w:val="00977575"/>
    <w:rsid w:val="009823C7"/>
    <w:rsid w:val="0098344D"/>
    <w:rsid w:val="00986875"/>
    <w:rsid w:val="009870D5"/>
    <w:rsid w:val="009922EC"/>
    <w:rsid w:val="00997322"/>
    <w:rsid w:val="009A18F0"/>
    <w:rsid w:val="009A2F11"/>
    <w:rsid w:val="009A34B7"/>
    <w:rsid w:val="009A3C5A"/>
    <w:rsid w:val="009A555C"/>
    <w:rsid w:val="009A5B1C"/>
    <w:rsid w:val="009B05D7"/>
    <w:rsid w:val="009B21F5"/>
    <w:rsid w:val="009B2345"/>
    <w:rsid w:val="009B5D26"/>
    <w:rsid w:val="009B6002"/>
    <w:rsid w:val="009B65B0"/>
    <w:rsid w:val="009B6DED"/>
    <w:rsid w:val="009C3BA4"/>
    <w:rsid w:val="009C4FAB"/>
    <w:rsid w:val="009C7467"/>
    <w:rsid w:val="009D6331"/>
    <w:rsid w:val="009D73B8"/>
    <w:rsid w:val="009D77E3"/>
    <w:rsid w:val="009D7F6F"/>
    <w:rsid w:val="009E4E8B"/>
    <w:rsid w:val="009E7530"/>
    <w:rsid w:val="009E7F31"/>
    <w:rsid w:val="009F04DE"/>
    <w:rsid w:val="00A013B2"/>
    <w:rsid w:val="00A1068D"/>
    <w:rsid w:val="00A11116"/>
    <w:rsid w:val="00A12ECF"/>
    <w:rsid w:val="00A12EE5"/>
    <w:rsid w:val="00A13247"/>
    <w:rsid w:val="00A161A4"/>
    <w:rsid w:val="00A17867"/>
    <w:rsid w:val="00A230BD"/>
    <w:rsid w:val="00A31DE9"/>
    <w:rsid w:val="00A32EE4"/>
    <w:rsid w:val="00A36016"/>
    <w:rsid w:val="00A407B9"/>
    <w:rsid w:val="00A4505D"/>
    <w:rsid w:val="00A46105"/>
    <w:rsid w:val="00A46833"/>
    <w:rsid w:val="00A46CBE"/>
    <w:rsid w:val="00A56A44"/>
    <w:rsid w:val="00A6103F"/>
    <w:rsid w:val="00A62841"/>
    <w:rsid w:val="00A6574F"/>
    <w:rsid w:val="00A65E06"/>
    <w:rsid w:val="00A67996"/>
    <w:rsid w:val="00A71345"/>
    <w:rsid w:val="00A7216A"/>
    <w:rsid w:val="00A736B3"/>
    <w:rsid w:val="00A73D1F"/>
    <w:rsid w:val="00A755F0"/>
    <w:rsid w:val="00A77857"/>
    <w:rsid w:val="00A8082A"/>
    <w:rsid w:val="00A808E6"/>
    <w:rsid w:val="00A81942"/>
    <w:rsid w:val="00A83DEE"/>
    <w:rsid w:val="00A8484C"/>
    <w:rsid w:val="00A85EE6"/>
    <w:rsid w:val="00A869D3"/>
    <w:rsid w:val="00A91322"/>
    <w:rsid w:val="00A915D0"/>
    <w:rsid w:val="00A91D65"/>
    <w:rsid w:val="00A97196"/>
    <w:rsid w:val="00AA4821"/>
    <w:rsid w:val="00AC2C0F"/>
    <w:rsid w:val="00AC48C3"/>
    <w:rsid w:val="00AC4A18"/>
    <w:rsid w:val="00AC5945"/>
    <w:rsid w:val="00AD2A74"/>
    <w:rsid w:val="00AD4EF4"/>
    <w:rsid w:val="00AD7A39"/>
    <w:rsid w:val="00AF0130"/>
    <w:rsid w:val="00AF38DE"/>
    <w:rsid w:val="00AF3FB9"/>
    <w:rsid w:val="00AF3FE4"/>
    <w:rsid w:val="00AF459C"/>
    <w:rsid w:val="00B026D7"/>
    <w:rsid w:val="00B11B36"/>
    <w:rsid w:val="00B12D1F"/>
    <w:rsid w:val="00B1449D"/>
    <w:rsid w:val="00B20C38"/>
    <w:rsid w:val="00B259C3"/>
    <w:rsid w:val="00B40B74"/>
    <w:rsid w:val="00B41E6F"/>
    <w:rsid w:val="00B44F8D"/>
    <w:rsid w:val="00B45FBA"/>
    <w:rsid w:val="00B46016"/>
    <w:rsid w:val="00B47200"/>
    <w:rsid w:val="00B47CCC"/>
    <w:rsid w:val="00B549DE"/>
    <w:rsid w:val="00B5511F"/>
    <w:rsid w:val="00B60153"/>
    <w:rsid w:val="00B6018B"/>
    <w:rsid w:val="00B6242A"/>
    <w:rsid w:val="00B63363"/>
    <w:rsid w:val="00B65885"/>
    <w:rsid w:val="00B673E8"/>
    <w:rsid w:val="00B67899"/>
    <w:rsid w:val="00B75033"/>
    <w:rsid w:val="00B80394"/>
    <w:rsid w:val="00B829BA"/>
    <w:rsid w:val="00B869BF"/>
    <w:rsid w:val="00B874E0"/>
    <w:rsid w:val="00B94683"/>
    <w:rsid w:val="00B97F17"/>
    <w:rsid w:val="00BA0652"/>
    <w:rsid w:val="00BA214C"/>
    <w:rsid w:val="00BA2E3B"/>
    <w:rsid w:val="00BA5A75"/>
    <w:rsid w:val="00BA7186"/>
    <w:rsid w:val="00BB1443"/>
    <w:rsid w:val="00BB5E74"/>
    <w:rsid w:val="00BB608B"/>
    <w:rsid w:val="00BC52F6"/>
    <w:rsid w:val="00BD2D59"/>
    <w:rsid w:val="00BD46EE"/>
    <w:rsid w:val="00BD4FE3"/>
    <w:rsid w:val="00BE52F3"/>
    <w:rsid w:val="00BE5F31"/>
    <w:rsid w:val="00BE6B2B"/>
    <w:rsid w:val="00BF0621"/>
    <w:rsid w:val="00BF42B7"/>
    <w:rsid w:val="00BF50DF"/>
    <w:rsid w:val="00BF6CB8"/>
    <w:rsid w:val="00C029A1"/>
    <w:rsid w:val="00C05E51"/>
    <w:rsid w:val="00C06AF1"/>
    <w:rsid w:val="00C12FE3"/>
    <w:rsid w:val="00C20CD6"/>
    <w:rsid w:val="00C251FE"/>
    <w:rsid w:val="00C3129A"/>
    <w:rsid w:val="00C31BA8"/>
    <w:rsid w:val="00C40BF7"/>
    <w:rsid w:val="00C41249"/>
    <w:rsid w:val="00C45EED"/>
    <w:rsid w:val="00C46D36"/>
    <w:rsid w:val="00C504A8"/>
    <w:rsid w:val="00C5242A"/>
    <w:rsid w:val="00C534AB"/>
    <w:rsid w:val="00C546F2"/>
    <w:rsid w:val="00C62DC1"/>
    <w:rsid w:val="00C6799E"/>
    <w:rsid w:val="00C67F98"/>
    <w:rsid w:val="00C72F4D"/>
    <w:rsid w:val="00C93893"/>
    <w:rsid w:val="00C93C4A"/>
    <w:rsid w:val="00CA3B71"/>
    <w:rsid w:val="00CB2D4A"/>
    <w:rsid w:val="00CB34B4"/>
    <w:rsid w:val="00CC06EC"/>
    <w:rsid w:val="00CC2938"/>
    <w:rsid w:val="00CC631E"/>
    <w:rsid w:val="00CC6BA8"/>
    <w:rsid w:val="00CD53A5"/>
    <w:rsid w:val="00CE1A6C"/>
    <w:rsid w:val="00CE1B1E"/>
    <w:rsid w:val="00CE1F48"/>
    <w:rsid w:val="00CE262B"/>
    <w:rsid w:val="00CE3D4D"/>
    <w:rsid w:val="00CE4866"/>
    <w:rsid w:val="00CF1917"/>
    <w:rsid w:val="00CF548E"/>
    <w:rsid w:val="00D00385"/>
    <w:rsid w:val="00D02634"/>
    <w:rsid w:val="00D03063"/>
    <w:rsid w:val="00D034AD"/>
    <w:rsid w:val="00D038CC"/>
    <w:rsid w:val="00D07D44"/>
    <w:rsid w:val="00D148E5"/>
    <w:rsid w:val="00D14A76"/>
    <w:rsid w:val="00D24065"/>
    <w:rsid w:val="00D2561A"/>
    <w:rsid w:val="00D30AE1"/>
    <w:rsid w:val="00D31C6E"/>
    <w:rsid w:val="00D31F52"/>
    <w:rsid w:val="00D3513B"/>
    <w:rsid w:val="00D43E28"/>
    <w:rsid w:val="00D453A8"/>
    <w:rsid w:val="00D4678C"/>
    <w:rsid w:val="00D47FFE"/>
    <w:rsid w:val="00D54156"/>
    <w:rsid w:val="00D61903"/>
    <w:rsid w:val="00D62A25"/>
    <w:rsid w:val="00D65420"/>
    <w:rsid w:val="00D66C4C"/>
    <w:rsid w:val="00D7541C"/>
    <w:rsid w:val="00D8616B"/>
    <w:rsid w:val="00D87D8C"/>
    <w:rsid w:val="00D90F94"/>
    <w:rsid w:val="00D91EEC"/>
    <w:rsid w:val="00D91F09"/>
    <w:rsid w:val="00D920A8"/>
    <w:rsid w:val="00DA19FD"/>
    <w:rsid w:val="00DA55C4"/>
    <w:rsid w:val="00DB02C6"/>
    <w:rsid w:val="00DB4044"/>
    <w:rsid w:val="00DB620F"/>
    <w:rsid w:val="00DD0B72"/>
    <w:rsid w:val="00DD402C"/>
    <w:rsid w:val="00DD5769"/>
    <w:rsid w:val="00DD7ECF"/>
    <w:rsid w:val="00DE460D"/>
    <w:rsid w:val="00DF4668"/>
    <w:rsid w:val="00DF6F8F"/>
    <w:rsid w:val="00E052DE"/>
    <w:rsid w:val="00E114D9"/>
    <w:rsid w:val="00E1168C"/>
    <w:rsid w:val="00E14F2D"/>
    <w:rsid w:val="00E17DFB"/>
    <w:rsid w:val="00E21283"/>
    <w:rsid w:val="00E22910"/>
    <w:rsid w:val="00E2773B"/>
    <w:rsid w:val="00E3322C"/>
    <w:rsid w:val="00E3502F"/>
    <w:rsid w:val="00E40D5A"/>
    <w:rsid w:val="00E427DF"/>
    <w:rsid w:val="00E45262"/>
    <w:rsid w:val="00E56A6D"/>
    <w:rsid w:val="00E6207A"/>
    <w:rsid w:val="00E6268A"/>
    <w:rsid w:val="00E628F3"/>
    <w:rsid w:val="00E8516F"/>
    <w:rsid w:val="00E94D74"/>
    <w:rsid w:val="00E973F1"/>
    <w:rsid w:val="00EA3880"/>
    <w:rsid w:val="00EA41AE"/>
    <w:rsid w:val="00EA5263"/>
    <w:rsid w:val="00EA633A"/>
    <w:rsid w:val="00EA6A3E"/>
    <w:rsid w:val="00EB2498"/>
    <w:rsid w:val="00EB443F"/>
    <w:rsid w:val="00EC3E41"/>
    <w:rsid w:val="00EC67E8"/>
    <w:rsid w:val="00EC6D88"/>
    <w:rsid w:val="00ED1787"/>
    <w:rsid w:val="00EE0277"/>
    <w:rsid w:val="00EE273A"/>
    <w:rsid w:val="00EF1BB6"/>
    <w:rsid w:val="00EF4BD6"/>
    <w:rsid w:val="00EF700A"/>
    <w:rsid w:val="00EF72FD"/>
    <w:rsid w:val="00F06749"/>
    <w:rsid w:val="00F06CA1"/>
    <w:rsid w:val="00F07958"/>
    <w:rsid w:val="00F231A6"/>
    <w:rsid w:val="00F237DC"/>
    <w:rsid w:val="00F23AF4"/>
    <w:rsid w:val="00F23E02"/>
    <w:rsid w:val="00F24663"/>
    <w:rsid w:val="00F26D43"/>
    <w:rsid w:val="00F37680"/>
    <w:rsid w:val="00F444BA"/>
    <w:rsid w:val="00F476DB"/>
    <w:rsid w:val="00F57710"/>
    <w:rsid w:val="00F63419"/>
    <w:rsid w:val="00F65DAB"/>
    <w:rsid w:val="00F72267"/>
    <w:rsid w:val="00F7270E"/>
    <w:rsid w:val="00F74343"/>
    <w:rsid w:val="00F7436D"/>
    <w:rsid w:val="00F74F73"/>
    <w:rsid w:val="00F7565B"/>
    <w:rsid w:val="00F84E1A"/>
    <w:rsid w:val="00F87A90"/>
    <w:rsid w:val="00F91F06"/>
    <w:rsid w:val="00F936C7"/>
    <w:rsid w:val="00FA157B"/>
    <w:rsid w:val="00FA5949"/>
    <w:rsid w:val="00FA7501"/>
    <w:rsid w:val="00FA7BC4"/>
    <w:rsid w:val="00FB2924"/>
    <w:rsid w:val="00FB5299"/>
    <w:rsid w:val="00FB6D47"/>
    <w:rsid w:val="00FC5192"/>
    <w:rsid w:val="00FC6C58"/>
    <w:rsid w:val="00FE5D67"/>
    <w:rsid w:val="00FF429E"/>
    <w:rsid w:val="00FF4E68"/>
    <w:rsid w:val="00FF638E"/>
    <w:rsid w:val="00FF7FC3"/>
    <w:rsid w:val="06EAFDD5"/>
    <w:rsid w:val="09F2C4FC"/>
    <w:rsid w:val="15187D70"/>
    <w:rsid w:val="16191FA2"/>
    <w:rsid w:val="170E0658"/>
    <w:rsid w:val="1E90BEF1"/>
    <w:rsid w:val="1FD7F123"/>
    <w:rsid w:val="206E7D4A"/>
    <w:rsid w:val="25E774FA"/>
    <w:rsid w:val="28C7E809"/>
    <w:rsid w:val="2F24DBE4"/>
    <w:rsid w:val="34BA8574"/>
    <w:rsid w:val="3ED746B6"/>
    <w:rsid w:val="45B835E6"/>
    <w:rsid w:val="47E4E768"/>
    <w:rsid w:val="491484D4"/>
    <w:rsid w:val="5131CEAA"/>
    <w:rsid w:val="5D271A37"/>
    <w:rsid w:val="601404AD"/>
    <w:rsid w:val="61A4B7F3"/>
    <w:rsid w:val="723F3C99"/>
    <w:rsid w:val="73866ECB"/>
    <w:rsid w:val="7BDBB192"/>
    <w:rsid w:val="7E81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10E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CF"/>
    <w:pPr>
      <w:spacing w:before="60" w:after="60" w:line="240" w:lineRule="auto"/>
      <w:ind w:left="170"/>
    </w:pPr>
    <w:rPr>
      <w:rFonts w:ascii="Calibri" w:eastAsia="Calibri" w:hAnsi="Calibri" w:cs="Times New Roman"/>
      <w:color w:val="000000"/>
      <w:sz w:val="18"/>
      <w:lang w:val="en-AU"/>
    </w:rPr>
  </w:style>
  <w:style w:type="paragraph" w:styleId="Heading1">
    <w:name w:val="heading 1"/>
    <w:basedOn w:val="Normal"/>
    <w:next w:val="Normal"/>
    <w:link w:val="Heading1Char"/>
    <w:qFormat/>
    <w:rsid w:val="00DD7ECF"/>
    <w:pPr>
      <w:spacing w:after="0"/>
      <w:jc w:val="center"/>
      <w:outlineLvl w:val="0"/>
    </w:pPr>
    <w:rPr>
      <w:b/>
      <w:color w:val="113F7D"/>
      <w:sz w:val="44"/>
      <w:szCs w:val="44"/>
    </w:rPr>
  </w:style>
  <w:style w:type="paragraph" w:styleId="Heading2">
    <w:name w:val="heading 2"/>
    <w:basedOn w:val="Normal"/>
    <w:next w:val="Normal"/>
    <w:link w:val="Heading2Char"/>
    <w:qFormat/>
    <w:rsid w:val="00DD7ECF"/>
    <w:pPr>
      <w:spacing w:after="0"/>
      <w:outlineLvl w:val="1"/>
    </w:pPr>
    <w:rPr>
      <w:b/>
      <w:color w:val="113F7D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D7ECF"/>
    <w:pP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3C94"/>
    <w:pPr>
      <w:keepNext/>
      <w:keepLines/>
      <w:spacing w:before="80" w:after="40" w:line="278" w:lineRule="auto"/>
      <w:ind w:left="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7ECF"/>
    <w:rPr>
      <w:rFonts w:ascii="Calibri" w:eastAsia="Calibri" w:hAnsi="Calibri" w:cs="Times New Roman"/>
      <w:b/>
      <w:color w:val="113F7D"/>
      <w:sz w:val="44"/>
      <w:szCs w:val="44"/>
      <w:lang w:val="en-AU"/>
    </w:rPr>
  </w:style>
  <w:style w:type="character" w:customStyle="1" w:styleId="Heading2Char">
    <w:name w:val="Heading 2 Char"/>
    <w:basedOn w:val="DefaultParagraphFont"/>
    <w:link w:val="Heading2"/>
    <w:rsid w:val="00DD7ECF"/>
    <w:rPr>
      <w:rFonts w:ascii="Calibri" w:eastAsia="Calibri" w:hAnsi="Calibri" w:cs="Times New Roman"/>
      <w:b/>
      <w:color w:val="113F7D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DD7ECF"/>
    <w:rPr>
      <w:rFonts w:ascii="Calibri" w:eastAsia="Calibri" w:hAnsi="Calibri" w:cs="Times New Roman"/>
      <w:b/>
      <w:color w:val="000000"/>
      <w:sz w:val="18"/>
      <w:lang w:val="en-AU"/>
    </w:rPr>
  </w:style>
  <w:style w:type="paragraph" w:styleId="Caption">
    <w:name w:val="caption"/>
    <w:basedOn w:val="Normal"/>
    <w:next w:val="Normal"/>
    <w:qFormat/>
    <w:rsid w:val="00DD7ECF"/>
    <w:pPr>
      <w:spacing w:before="0" w:after="0"/>
      <w:jc w:val="right"/>
    </w:pPr>
    <w:rPr>
      <w:color w:val="808080" w:themeColor="background1" w:themeShade="80"/>
      <w:sz w:val="16"/>
      <w:szCs w:val="16"/>
    </w:rPr>
  </w:style>
  <w:style w:type="paragraph" w:customStyle="1" w:styleId="Bullet">
    <w:name w:val="Bullet"/>
    <w:basedOn w:val="Normal"/>
    <w:link w:val="BulletChar"/>
    <w:qFormat/>
    <w:rsid w:val="00DD7ECF"/>
    <w:pPr>
      <w:numPr>
        <w:numId w:val="5"/>
      </w:numPr>
      <w:autoSpaceDE w:val="0"/>
      <w:autoSpaceDN w:val="0"/>
      <w:adjustRightInd w:val="0"/>
      <w:spacing w:before="0"/>
      <w:textAlignment w:val="center"/>
    </w:pPr>
    <w:rPr>
      <w:rFonts w:eastAsia="Times New Roman" w:cs="Calibri"/>
      <w:szCs w:val="24"/>
      <w:lang w:val="en-US" w:eastAsia="en-AU"/>
    </w:rPr>
  </w:style>
  <w:style w:type="paragraph" w:styleId="Footer">
    <w:name w:val="footer"/>
    <w:basedOn w:val="Normal"/>
    <w:link w:val="FooterChar"/>
    <w:rsid w:val="00DD7ECF"/>
  </w:style>
  <w:style w:type="character" w:customStyle="1" w:styleId="FooterChar">
    <w:name w:val="Footer Char"/>
    <w:basedOn w:val="DefaultParagraphFont"/>
    <w:link w:val="Footer"/>
    <w:rsid w:val="00DD7ECF"/>
    <w:rPr>
      <w:rFonts w:ascii="Calibri" w:eastAsia="Calibri" w:hAnsi="Calibri" w:cs="Times New Roman"/>
      <w:color w:val="000000"/>
      <w:sz w:val="18"/>
      <w:lang w:val="en-AU"/>
    </w:rPr>
  </w:style>
  <w:style w:type="character" w:styleId="Hyperlink">
    <w:name w:val="Hyperlink"/>
    <w:basedOn w:val="DefaultParagraphFont"/>
    <w:rsid w:val="00DD7ECF"/>
    <w:rPr>
      <w:b w:val="0"/>
      <w:color w:val="113F7D"/>
      <w:u w:val="single"/>
    </w:rPr>
  </w:style>
  <w:style w:type="character" w:customStyle="1" w:styleId="BulletChar">
    <w:name w:val="Bullet Char"/>
    <w:basedOn w:val="DefaultParagraphFont"/>
    <w:link w:val="Bullet"/>
    <w:rsid w:val="00DD7ECF"/>
    <w:rPr>
      <w:rFonts w:ascii="Calibri" w:eastAsia="Times New Roman" w:hAnsi="Calibri" w:cs="Calibri"/>
      <w:color w:val="000000"/>
      <w:sz w:val="18"/>
      <w:szCs w:val="24"/>
      <w:lang w:eastAsia="en-AU"/>
    </w:rPr>
  </w:style>
  <w:style w:type="paragraph" w:styleId="Revision">
    <w:name w:val="Revision"/>
    <w:hidden/>
    <w:uiPriority w:val="99"/>
    <w:semiHidden/>
    <w:rsid w:val="001E4A21"/>
    <w:pPr>
      <w:spacing w:after="0" w:line="240" w:lineRule="auto"/>
    </w:pPr>
    <w:rPr>
      <w:rFonts w:ascii="Calibri" w:eastAsia="Calibri" w:hAnsi="Calibri" w:cs="Times New Roman"/>
      <w:color w:val="000000"/>
      <w:sz w:val="18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C1F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1F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1F28"/>
    <w:rPr>
      <w:rFonts w:ascii="Calibri" w:eastAsia="Calibri" w:hAnsi="Calibri" w:cs="Times New Roman"/>
      <w:color w:val="000000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F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F28"/>
    <w:rPr>
      <w:rFonts w:ascii="Calibri" w:eastAsia="Calibri" w:hAnsi="Calibri" w:cs="Times New Roman"/>
      <w:b/>
      <w:bCs/>
      <w:color w:val="000000"/>
      <w:sz w:val="20"/>
      <w:szCs w:val="20"/>
      <w:lang w:val="en-AU"/>
    </w:rPr>
  </w:style>
  <w:style w:type="paragraph" w:customStyle="1" w:styleId="Dash">
    <w:name w:val="Dash"/>
    <w:basedOn w:val="Normal"/>
    <w:rsid w:val="00A4505D"/>
    <w:pPr>
      <w:tabs>
        <w:tab w:val="num" w:pos="1134"/>
      </w:tabs>
      <w:spacing w:before="0" w:after="240"/>
      <w:ind w:left="1134" w:hanging="567"/>
    </w:pPr>
    <w:rPr>
      <w:rFonts w:asciiTheme="minorHAnsi" w:eastAsiaTheme="minorHAnsi" w:hAnsiTheme="minorHAnsi" w:cstheme="minorBidi"/>
      <w:color w:val="auto"/>
      <w:sz w:val="22"/>
      <w:szCs w:val="24"/>
    </w:rPr>
  </w:style>
  <w:style w:type="paragraph" w:customStyle="1" w:styleId="DoubleDot">
    <w:name w:val="Double Dot"/>
    <w:basedOn w:val="Normal"/>
    <w:rsid w:val="00A4505D"/>
    <w:pPr>
      <w:tabs>
        <w:tab w:val="num" w:pos="1701"/>
      </w:tabs>
      <w:spacing w:before="0" w:after="240"/>
      <w:ind w:left="1701" w:hanging="567"/>
    </w:pPr>
    <w:rPr>
      <w:rFonts w:asciiTheme="minorHAnsi" w:eastAsiaTheme="minorHAnsi" w:hAnsiTheme="minorHAnsi" w:cstheme="minorBidi"/>
      <w:color w:val="auto"/>
      <w:sz w:val="22"/>
      <w:szCs w:val="24"/>
    </w:rPr>
  </w:style>
  <w:style w:type="paragraph" w:styleId="ListParagraph">
    <w:name w:val="List Paragraph"/>
    <w:basedOn w:val="Normal"/>
    <w:uiPriority w:val="34"/>
    <w:qFormat/>
    <w:rsid w:val="00161BFD"/>
    <w:pPr>
      <w:ind w:left="720"/>
      <w:contextualSpacing/>
    </w:pPr>
  </w:style>
  <w:style w:type="character" w:customStyle="1" w:styleId="normaltextrun">
    <w:name w:val="normaltextrun"/>
    <w:basedOn w:val="DefaultParagraphFont"/>
    <w:rsid w:val="0050319B"/>
  </w:style>
  <w:style w:type="character" w:customStyle="1" w:styleId="eop">
    <w:name w:val="eop"/>
    <w:basedOn w:val="DefaultParagraphFont"/>
    <w:rsid w:val="0050319B"/>
  </w:style>
  <w:style w:type="paragraph" w:styleId="Header">
    <w:name w:val="header"/>
    <w:basedOn w:val="Normal"/>
    <w:link w:val="HeaderChar"/>
    <w:uiPriority w:val="99"/>
    <w:unhideWhenUsed/>
    <w:rsid w:val="00A91D65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91D65"/>
    <w:rPr>
      <w:rFonts w:ascii="Calibri" w:eastAsia="Calibri" w:hAnsi="Calibri" w:cs="Times New Roman"/>
      <w:color w:val="000000"/>
      <w:sz w:val="18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753C94"/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n-GB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3C94"/>
    <w:pPr>
      <w:spacing w:before="0" w:after="0"/>
      <w:ind w:left="0"/>
    </w:pPr>
    <w:rPr>
      <w:rFonts w:asciiTheme="minorHAnsi" w:eastAsiaTheme="minorHAnsi" w:hAnsiTheme="minorHAnsi" w:cstheme="minorBidi"/>
      <w:color w:val="auto"/>
      <w:kern w:val="2"/>
      <w:sz w:val="20"/>
      <w:szCs w:val="20"/>
      <w:lang w:val="en-GB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3C94"/>
    <w:rPr>
      <w:kern w:val="2"/>
      <w:sz w:val="20"/>
      <w:szCs w:val="20"/>
      <w:lang w:val="en-GB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753C9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B6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8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54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1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82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6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aasb.gov.au/news/aasb-staff-faqs-depreciation-and-financial-sustainabili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frastructure.gov.au/territories-regions/local-government/local-government-ministers-foru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FCA66-289A-4DA6-A6DD-94E61E170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Communiqué – 10 December 2025</vt:lpstr>
    </vt:vector>
  </TitlesOfParts>
  <Company/>
  <LinksUpToDate>false</LinksUpToDate>
  <CharactersWithSpaces>3990</CharactersWithSpaces>
  <SharedDoc>false</SharedDoc>
  <HLinks>
    <vt:vector size="12" baseType="variant">
      <vt:variant>
        <vt:i4>7536690</vt:i4>
      </vt:variant>
      <vt:variant>
        <vt:i4>3</vt:i4>
      </vt:variant>
      <vt:variant>
        <vt:i4>0</vt:i4>
      </vt:variant>
      <vt:variant>
        <vt:i4>5</vt:i4>
      </vt:variant>
      <vt:variant>
        <vt:lpwstr>https://aasb.gov.au/news/aasb-staff-faqs-depreciation-and-financial-sustainability/</vt:lpwstr>
      </vt:variant>
      <vt:variant>
        <vt:lpwstr/>
      </vt:variant>
      <vt:variant>
        <vt:i4>2359336</vt:i4>
      </vt:variant>
      <vt:variant>
        <vt:i4>0</vt:i4>
      </vt:variant>
      <vt:variant>
        <vt:i4>0</vt:i4>
      </vt:variant>
      <vt:variant>
        <vt:i4>5</vt:i4>
      </vt:variant>
      <vt:variant>
        <vt:lpwstr>https://www.infrastructure.gov.au/territories-regions/local-government/local-government-ministers-forum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Communiqué – 10 December 2025</dc:title>
  <dc:subject/>
  <dc:creator>Financial Reporting Council</dc:creator>
  <cp:keywords/>
  <dc:description/>
  <cp:lastModifiedBy/>
  <cp:revision>1</cp:revision>
  <dcterms:created xsi:type="dcterms:W3CDTF">2026-03-17T00:26:00Z</dcterms:created>
  <dcterms:modified xsi:type="dcterms:W3CDTF">2026-03-17T00:27:00Z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2026-03-17T00:27:27Z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94915393-8159-4048-9181-c376f2ee40d7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