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9911087" w:displacedByCustomXml="next"/>
    <w:sdt>
      <w:sdtPr>
        <w:id w:val="389166347"/>
        <w:docPartObj>
          <w:docPartGallery w:val="Cover Pages"/>
          <w:docPartUnique/>
        </w:docPartObj>
      </w:sdtPr>
      <w:sdtEndPr>
        <w:rPr>
          <w:rFonts w:asciiTheme="minorHAnsi" w:hAnsiTheme="minorHAnsi"/>
          <w:lang w:val="en-GB"/>
        </w:rPr>
      </w:sdtEndPr>
      <w:sdtContent>
        <w:p w14:paraId="69F96A57" w14:textId="731007CC" w:rsidR="00B5341C" w:rsidRPr="006D0240" w:rsidRDefault="00B5341C" w:rsidP="006469CC">
          <w:pPr>
            <w:pStyle w:val="ListParagraph"/>
          </w:pPr>
          <w:r>
            <w:rPr>
              <w:noProof/>
            </w:rPr>
            <w:drawing>
              <wp:anchor distT="0" distB="0" distL="114300" distR="114300" simplePos="0" relativeHeight="251659264" behindDoc="1" locked="0" layoutInCell="1" allowOverlap="1" wp14:anchorId="257C3E6F" wp14:editId="2759342F">
                <wp:simplePos x="0" y="0"/>
                <wp:positionH relativeFrom="margin">
                  <wp:posOffset>-889686</wp:posOffset>
                </wp:positionH>
                <wp:positionV relativeFrom="page">
                  <wp:posOffset>-16476</wp:posOffset>
                </wp:positionV>
                <wp:extent cx="7540159" cy="10710000"/>
                <wp:effectExtent l="0" t="0" r="3810" b="0"/>
                <wp:wrapNone/>
                <wp:docPr id="575836895" name="Picture 5758368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836895" name="Picture 575836895">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40159" cy="1071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716F56" w14:textId="51D92308" w:rsidR="00B5341C" w:rsidRPr="006D0240" w:rsidRDefault="00B5341C" w:rsidP="00301755">
          <w:pPr>
            <w:pStyle w:val="Header"/>
            <w:spacing w:after="1200"/>
          </w:pPr>
        </w:p>
        <w:p w14:paraId="3AC90704" w14:textId="5390C9DF" w:rsidR="00B5341C" w:rsidRPr="00E47CBB" w:rsidRDefault="00E47CBB" w:rsidP="00E47CBB">
          <w:pPr>
            <w:pStyle w:val="Title"/>
            <w:tabs>
              <w:tab w:val="left" w:pos="6379"/>
            </w:tabs>
            <w:spacing w:after="120" w:line="720" w:lineRule="exact"/>
            <w:ind w:right="2154"/>
            <w:rPr>
              <w:b w:val="0"/>
              <w:bCs/>
              <w:lang w:val="en-GB"/>
            </w:rPr>
          </w:pPr>
          <w:r w:rsidRPr="00E47CBB">
            <w:rPr>
              <w:b w:val="0"/>
              <w:bCs/>
              <w:lang w:val="en-GB"/>
            </w:rPr>
            <w:t xml:space="preserve">Financial </w:t>
          </w:r>
          <w:r w:rsidRPr="00E47CBB">
            <w:rPr>
              <w:b w:val="0"/>
              <w:bCs/>
              <w:lang w:val="en-GB"/>
            </w:rPr>
            <w:br/>
            <w:t xml:space="preserve">Reporting </w:t>
          </w:r>
          <w:r w:rsidRPr="00E47CBB">
            <w:rPr>
              <w:b w:val="0"/>
              <w:bCs/>
              <w:lang w:val="en-GB"/>
            </w:rPr>
            <w:br/>
            <w:t xml:space="preserve">Council </w:t>
          </w:r>
        </w:p>
        <w:p w14:paraId="24EEF10C" w14:textId="77777777" w:rsidR="00E47CBB" w:rsidRPr="00E47CBB" w:rsidRDefault="00E47CBB" w:rsidP="00E47CBB">
          <w:pPr>
            <w:pStyle w:val="Title"/>
            <w:tabs>
              <w:tab w:val="left" w:pos="6379"/>
            </w:tabs>
            <w:spacing w:after="0" w:line="720" w:lineRule="exact"/>
            <w:ind w:right="2154"/>
            <w:rPr>
              <w:b w:val="0"/>
              <w:bCs/>
              <w:iCs/>
              <w:color w:val="EEEEEE"/>
              <w:sz w:val="48"/>
              <w:szCs w:val="48"/>
              <w:lang w:val="en-GB"/>
            </w:rPr>
          </w:pPr>
          <w:r w:rsidRPr="00E47CBB">
            <w:rPr>
              <w:b w:val="0"/>
              <w:bCs/>
              <w:iCs/>
              <w:color w:val="EEEEEE"/>
              <w:sz w:val="48"/>
              <w:szCs w:val="48"/>
              <w:lang w:val="en-GB"/>
            </w:rPr>
            <w:t xml:space="preserve">Annual Report </w:t>
          </w:r>
        </w:p>
        <w:p w14:paraId="37F4A198" w14:textId="47B63E62" w:rsidR="00B5341C" w:rsidRPr="00E47CBB" w:rsidRDefault="00E47CBB" w:rsidP="00E47CBB">
          <w:pPr>
            <w:pStyle w:val="Title"/>
            <w:tabs>
              <w:tab w:val="left" w:pos="6379"/>
            </w:tabs>
            <w:spacing w:after="0" w:line="600" w:lineRule="exact"/>
            <w:ind w:right="2155"/>
            <w:rPr>
              <w:bCs/>
              <w:iCs/>
              <w:color w:val="EEEEEE"/>
              <w:sz w:val="48"/>
              <w:szCs w:val="48"/>
              <w:lang w:val="en-GB"/>
            </w:rPr>
          </w:pPr>
          <w:r w:rsidRPr="00E47CBB">
            <w:rPr>
              <w:bCs/>
              <w:iCs/>
              <w:color w:val="EEEEEE"/>
              <w:sz w:val="48"/>
              <w:szCs w:val="48"/>
              <w:lang w:val="en-GB"/>
            </w:rPr>
            <w:t>2024–25</w:t>
          </w:r>
        </w:p>
        <w:p w14:paraId="4F903EFC" w14:textId="77777777" w:rsidR="00B96BA4" w:rsidRDefault="00B96BA4">
          <w:pPr>
            <w:spacing w:before="0" w:after="0"/>
            <w:rPr>
              <w:rFonts w:asciiTheme="minorHAnsi" w:hAnsiTheme="minorHAnsi"/>
              <w:lang w:val="en-GB"/>
            </w:rPr>
            <w:sectPr w:rsidR="00B96BA4" w:rsidSect="005E5EE1">
              <w:footerReference w:type="even" r:id="rId9"/>
              <w:footerReference w:type="first" r:id="rId10"/>
              <w:type w:val="continuous"/>
              <w:pgSz w:w="11906" w:h="16838" w:code="9"/>
              <w:pgMar w:top="1843" w:right="1418" w:bottom="1418" w:left="1418" w:header="0" w:footer="794" w:gutter="0"/>
              <w:cols w:space="351"/>
              <w:docGrid w:linePitch="326"/>
            </w:sectPr>
          </w:pPr>
        </w:p>
        <w:p w14:paraId="21C8F90A" w14:textId="10898D10" w:rsidR="00B96BA4" w:rsidRDefault="00B96BA4" w:rsidP="00B96BA4">
          <w:pPr>
            <w:spacing w:before="0" w:after="160" w:line="259" w:lineRule="auto"/>
          </w:pPr>
          <w:r w:rsidRPr="00661BF0">
            <w:lastRenderedPageBreak/>
            <w:t xml:space="preserve">© Commonwealth of Australia </w:t>
          </w:r>
          <w:r w:rsidRPr="00AE59BD">
            <w:t>20</w:t>
          </w:r>
          <w:r>
            <w:t>25</w:t>
          </w:r>
        </w:p>
        <w:p w14:paraId="3606C256" w14:textId="77777777" w:rsidR="00B96BA4" w:rsidRDefault="00B96BA4" w:rsidP="00B96BA4">
          <w:pPr>
            <w:tabs>
              <w:tab w:val="left" w:pos="1650"/>
            </w:tabs>
            <w:spacing w:before="240"/>
          </w:pPr>
          <w:r w:rsidRPr="00AE59BD">
            <w:t>ISSN: 2204-0935 (print), 2204-0943 (online)</w:t>
          </w:r>
        </w:p>
        <w:p w14:paraId="3C5A1E95" w14:textId="77777777" w:rsidR="00B96BA4" w:rsidRPr="00086F82" w:rsidRDefault="00B96BA4" w:rsidP="00B96BA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1" w:history="1">
            <w:r>
              <w:rPr>
                <w:rStyle w:val="Hyperlink"/>
              </w:rPr>
              <w:t>Creative Commons Attribution 4.0 International</w:t>
            </w:r>
          </w:hyperlink>
          <w:r w:rsidRPr="00476F09">
            <w:rPr>
              <w:rFonts w:cstheme="minorHAnsi"/>
              <w:sz w:val="24"/>
              <w:szCs w:val="24"/>
            </w:rPr>
            <w:t xml:space="preserve"> </w:t>
          </w:r>
          <w:r w:rsidRPr="002F1BC2">
            <w:t>licence, with the exception of the Commonwealth Coat of Arms, the Treasury logo</w:t>
          </w:r>
          <w:r>
            <w:t xml:space="preserve">, photographs, images, </w:t>
          </w:r>
          <w:r w:rsidRPr="004F5ACF">
            <w:t>third party materials, materials protected by a trademark,</w:t>
          </w:r>
          <w:r>
            <w:t xml:space="preserve"> signatures </w:t>
          </w:r>
          <w:r w:rsidRPr="002F1BC2">
            <w:t>and where otherwise stated</w:t>
          </w:r>
          <w:r>
            <w:t xml:space="preserve">. </w:t>
          </w:r>
          <w:r w:rsidRPr="002F1BC2">
            <w:t>The full licence terms are available from</w:t>
          </w:r>
          <w:r w:rsidRPr="00476F09">
            <w:rPr>
              <w:rFonts w:cstheme="minorHAnsi"/>
              <w:sz w:val="24"/>
              <w:szCs w:val="24"/>
            </w:rPr>
            <w:t xml:space="preserve"> </w:t>
          </w:r>
          <w:hyperlink r:id="rId12" w:history="1">
            <w:r>
              <w:rPr>
                <w:rStyle w:val="Hyperlink"/>
              </w:rPr>
              <w:t>creativecommons.org/licenses/by/4.0/</w:t>
            </w:r>
            <w:proofErr w:type="spellStart"/>
            <w:r>
              <w:rPr>
                <w:rStyle w:val="Hyperlink"/>
              </w:rPr>
              <w:t>legalcode</w:t>
            </w:r>
            <w:proofErr w:type="spellEnd"/>
          </w:hyperlink>
          <w:r w:rsidRPr="00444CDB">
            <w:t>.</w:t>
          </w:r>
          <w:r w:rsidRPr="00D06A21">
            <w:rPr>
              <w:sz w:val="24"/>
              <w:szCs w:val="24"/>
            </w:rPr>
            <w:t xml:space="preserve"> </w:t>
          </w:r>
        </w:p>
        <w:p w14:paraId="6853FC97" w14:textId="77777777" w:rsidR="00B96BA4" w:rsidRDefault="00B96BA4" w:rsidP="00B96BA4">
          <w:pPr>
            <w:pStyle w:val="ChartGraphic"/>
            <w:jc w:val="left"/>
          </w:pPr>
          <w:r w:rsidRPr="00E56DFB">
            <w:rPr>
              <w:noProof/>
            </w:rPr>
            <w:drawing>
              <wp:inline distT="0" distB="0" distL="0" distR="0" wp14:anchorId="5D57C1A2" wp14:editId="0AAC57FE">
                <wp:extent cx="809625" cy="285750"/>
                <wp:effectExtent l="0" t="0" r="9525" b="0"/>
                <wp:docPr id="387628755" name="Picture 1" descr="P9#yIS1"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628755" name="Picture 1" descr="P9#yIS1" title="Creative Commons ic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790E0B1D" w14:textId="77777777" w:rsidR="00B96BA4" w:rsidRPr="006627B4" w:rsidRDefault="00B96BA4" w:rsidP="00B96BA4">
          <w:pPr>
            <w:tabs>
              <w:tab w:val="left" w:pos="1650"/>
            </w:tabs>
            <w:spacing w:before="240"/>
          </w:pPr>
          <w:r w:rsidRPr="006627B4">
            <w:t>Use of Treasury material under a</w:t>
          </w:r>
          <w:r w:rsidRPr="00476F09">
            <w:rPr>
              <w:rFonts w:cstheme="minorHAnsi"/>
              <w:sz w:val="24"/>
              <w:szCs w:val="24"/>
            </w:rPr>
            <w:t xml:space="preserve"> </w:t>
          </w:r>
          <w:hyperlink r:id="rId14" w:history="1">
            <w:r>
              <w:rPr>
                <w:rStyle w:val="Hyperlink"/>
              </w:rPr>
              <w:t>Creative Commons Attribution 4.0 International</w:t>
            </w:r>
          </w:hyperlink>
          <w:r>
            <w:t xml:space="preserve"> l</w:t>
          </w:r>
          <w:r w:rsidRPr="006627B4">
            <w:t>icence requires you to attribute the work (but not in any way that suggests that the Treasury endorse</w:t>
          </w:r>
          <w:r>
            <w:t>s you or your use of the work).</w:t>
          </w:r>
        </w:p>
        <w:p w14:paraId="2ACD44B5" w14:textId="77777777" w:rsidR="00B96BA4" w:rsidRPr="00444CDB" w:rsidRDefault="00B96BA4" w:rsidP="00B96BA4">
          <w:pPr>
            <w:spacing w:before="240"/>
            <w:rPr>
              <w:rStyle w:val="Strong"/>
            </w:rPr>
          </w:pPr>
          <w:r w:rsidRPr="00444CDB">
            <w:rPr>
              <w:rStyle w:val="Strong"/>
            </w:rPr>
            <w:t>Treasury material used ‘as supplied’</w:t>
          </w:r>
        </w:p>
        <w:p w14:paraId="1FD1A042" w14:textId="77777777" w:rsidR="00B96BA4" w:rsidRPr="00476F09" w:rsidRDefault="00B96BA4" w:rsidP="00B96BA4">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w:t>
          </w:r>
          <w:r>
            <w:rPr>
              <w:rFonts w:cs="Calibri Light"/>
            </w:rPr>
            <w:t>–</w:t>
          </w:r>
          <w:r>
            <w:t xml:space="preserve"> then Treasury prefers t</w:t>
          </w:r>
          <w:r w:rsidRPr="00476F09">
            <w:t xml:space="preserve">he following attribution: </w:t>
          </w:r>
        </w:p>
        <w:p w14:paraId="47FDC8E9" w14:textId="77777777" w:rsidR="00B96BA4" w:rsidRPr="00A13A11" w:rsidRDefault="00B96BA4" w:rsidP="00B96BA4">
          <w:pPr>
            <w:ind w:firstLine="720"/>
          </w:pPr>
          <w:r w:rsidRPr="00E17231">
            <w:rPr>
              <w:iCs/>
            </w:rPr>
            <w:t>Source:</w:t>
          </w:r>
          <w:r w:rsidRPr="002F1BC2">
            <w:rPr>
              <w:i/>
            </w:rPr>
            <w:t xml:space="preserve"> </w:t>
          </w:r>
          <w:r w:rsidRPr="00AC2B70">
            <w:rPr>
              <w:rStyle w:val="Emphasis"/>
            </w:rPr>
            <w:t>The Commonwealth of Australia.</w:t>
          </w:r>
        </w:p>
        <w:p w14:paraId="6E1170AD" w14:textId="77777777" w:rsidR="00B96BA4" w:rsidRPr="00444CDB" w:rsidRDefault="00B96BA4" w:rsidP="00B96BA4">
          <w:pPr>
            <w:spacing w:before="240"/>
            <w:rPr>
              <w:rStyle w:val="Strong"/>
            </w:rPr>
          </w:pPr>
          <w:r w:rsidRPr="00444CDB">
            <w:rPr>
              <w:rStyle w:val="Strong"/>
            </w:rPr>
            <w:t>Derivative material</w:t>
          </w:r>
        </w:p>
        <w:p w14:paraId="2E1C9B7A" w14:textId="77777777" w:rsidR="00B96BA4" w:rsidRPr="006627B4" w:rsidRDefault="00B96BA4" w:rsidP="00B96BA4">
          <w:r w:rsidRPr="006627B4">
            <w:t xml:space="preserve">If you have modified or transformed Treasury material, or derived new material from those of the Treasury in any way, then Treasury prefers the following attribution: </w:t>
          </w:r>
        </w:p>
        <w:p w14:paraId="1A857043" w14:textId="77777777" w:rsidR="00B96BA4" w:rsidRPr="00AC2B70" w:rsidRDefault="00B96BA4" w:rsidP="00B96BA4">
          <w:pPr>
            <w:ind w:firstLine="720"/>
            <w:rPr>
              <w:rStyle w:val="Emphasis"/>
            </w:rPr>
          </w:pPr>
          <w:r w:rsidRPr="00AC2B70">
            <w:rPr>
              <w:rStyle w:val="Emphasis"/>
            </w:rPr>
            <w:t>Based on Commonwealth of Australia</w:t>
          </w:r>
          <w:r w:rsidRPr="00AC2B70" w:rsidDel="002A3368">
            <w:rPr>
              <w:rStyle w:val="Emphasis"/>
            </w:rPr>
            <w:t xml:space="preserve"> </w:t>
          </w:r>
          <w:r w:rsidRPr="00AC2B70">
            <w:rPr>
              <w:rStyle w:val="Emphasis"/>
            </w:rPr>
            <w:t>data</w:t>
          </w:r>
          <w:r w:rsidRPr="00E17231">
            <w:rPr>
              <w:rStyle w:val="Emphasis"/>
            </w:rPr>
            <w:t>.</w:t>
          </w:r>
        </w:p>
        <w:p w14:paraId="0C30851F" w14:textId="77777777" w:rsidR="00B96BA4" w:rsidRPr="00444CDB" w:rsidRDefault="00B96BA4" w:rsidP="00B96BA4">
          <w:pPr>
            <w:spacing w:before="240"/>
            <w:rPr>
              <w:rStyle w:val="Strong"/>
            </w:rPr>
          </w:pPr>
          <w:r w:rsidRPr="00444CDB">
            <w:rPr>
              <w:rStyle w:val="Strong"/>
            </w:rPr>
            <w:t>Use of the Coat of Arms</w:t>
          </w:r>
        </w:p>
        <w:p w14:paraId="3C6FB461" w14:textId="77777777" w:rsidR="00B96BA4" w:rsidRPr="005C503A" w:rsidRDefault="00B96BA4" w:rsidP="00B96BA4">
          <w:pPr>
            <w:spacing w:before="240"/>
          </w:pPr>
          <w:r w:rsidRPr="005C503A">
            <w:t xml:space="preserve">The terms under which the Coat of Arms can be used are set out on the Department of the Prime Minister and Cabinet website (see </w:t>
          </w:r>
          <w:hyperlink r:id="rId15" w:history="1">
            <w:r>
              <w:rPr>
                <w:rStyle w:val="Hyperlink"/>
              </w:rPr>
              <w:t>www.pmc.gov.au/government/commonwealth-coat-arms</w:t>
            </w:r>
          </w:hyperlink>
          <w:r w:rsidRPr="005C503A">
            <w:t>).</w:t>
          </w:r>
        </w:p>
        <w:p w14:paraId="2467B6F8" w14:textId="77777777" w:rsidR="00B96BA4" w:rsidRPr="00444CDB" w:rsidRDefault="00B96BA4" w:rsidP="00B96BA4">
          <w:pPr>
            <w:spacing w:before="240"/>
            <w:rPr>
              <w:rStyle w:val="Strong"/>
            </w:rPr>
          </w:pPr>
          <w:r w:rsidRPr="00444CDB">
            <w:rPr>
              <w:rStyle w:val="Strong"/>
            </w:rPr>
            <w:t>Other uses</w:t>
          </w:r>
        </w:p>
        <w:p w14:paraId="39E317BE" w14:textId="77777777" w:rsidR="00B96BA4" w:rsidRPr="006627B4" w:rsidRDefault="00B96BA4" w:rsidP="00B96BA4">
          <w:r>
            <w:t>E</w:t>
          </w:r>
          <w:r w:rsidRPr="006627B4">
            <w:t>nquiries regarding this licence and any other use of this document are welcome at:</w:t>
          </w:r>
        </w:p>
        <w:p w14:paraId="5812B115" w14:textId="5C42DAE6" w:rsidR="00B96BA4" w:rsidRDefault="00B96BA4" w:rsidP="00B96BA4">
          <w:pPr>
            <w:ind w:left="720"/>
            <w:rPr>
              <w:rStyle w:val="Hyperlink"/>
            </w:rPr>
          </w:pPr>
          <w:r w:rsidRPr="006627B4">
            <w:t>Manager</w:t>
          </w:r>
          <w:r>
            <w:br/>
            <w:t>Media Unit</w:t>
          </w:r>
          <w:r>
            <w:br/>
          </w:r>
          <w:r w:rsidRPr="006627B4">
            <w:t>The Treasury</w:t>
          </w:r>
          <w:r>
            <w:br/>
          </w:r>
          <w:r w:rsidRPr="006627B4">
            <w:t xml:space="preserve">Langton Crescent </w:t>
          </w:r>
          <w:r>
            <w:br/>
          </w:r>
          <w:r w:rsidR="006A545E" w:rsidRPr="006627B4">
            <w:t xml:space="preserve">Parkes </w:t>
          </w:r>
          <w:r w:rsidR="006A545E">
            <w:t>ACT</w:t>
          </w:r>
          <w:r w:rsidRPr="006627B4">
            <w:t xml:space="preserve"> </w:t>
          </w:r>
          <w:r>
            <w:t xml:space="preserve"> </w:t>
          </w:r>
          <w:r w:rsidRPr="006627B4">
            <w:t>2600</w:t>
          </w:r>
          <w:r>
            <w:br/>
          </w:r>
          <w:r w:rsidRPr="006627B4">
            <w:t xml:space="preserve">Email: </w:t>
          </w:r>
          <w:hyperlink r:id="rId16" w:history="1">
            <w:r>
              <w:rPr>
                <w:rStyle w:val="Hyperlink"/>
              </w:rPr>
              <w:t>media@treasury.gov.au</w:t>
            </w:r>
          </w:hyperlink>
        </w:p>
        <w:p w14:paraId="60206365" w14:textId="77777777" w:rsidR="00B96BA4" w:rsidRPr="003F1597" w:rsidRDefault="00B96BA4" w:rsidP="00B96BA4">
          <w:pPr>
            <w:rPr>
              <w:rStyle w:val="Emphasis"/>
            </w:rPr>
          </w:pPr>
          <w:r w:rsidRPr="003F1597">
            <w:rPr>
              <w:rStyle w:val="Emphasi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p>
        <w:p w14:paraId="4921F779" w14:textId="639581BA" w:rsidR="00B5341C" w:rsidRDefault="00B5341C">
          <w:pPr>
            <w:spacing w:before="0" w:after="0"/>
            <w:rPr>
              <w:rFonts w:asciiTheme="minorHAnsi" w:hAnsiTheme="minorHAnsi"/>
              <w:lang w:val="en-GB"/>
            </w:rPr>
          </w:pPr>
          <w:r>
            <w:rPr>
              <w:rFonts w:asciiTheme="minorHAnsi" w:hAnsiTheme="minorHAnsi"/>
              <w:lang w:val="en-GB"/>
            </w:rPr>
            <w:br w:type="page"/>
          </w:r>
        </w:p>
      </w:sdtContent>
    </w:sdt>
    <w:p w14:paraId="5C209B79" w14:textId="29FD9C02" w:rsidR="006035A4" w:rsidRPr="00BF010E" w:rsidRDefault="00D3723B" w:rsidP="002B3D32">
      <w:pPr>
        <w:pStyle w:val="SingleParagraph"/>
        <w:rPr>
          <w:rFonts w:asciiTheme="minorHAnsi" w:hAnsiTheme="minorHAnsi"/>
          <w:lang w:val="en-GB"/>
        </w:rPr>
      </w:pPr>
      <w:r w:rsidRPr="00F04BEA">
        <w:rPr>
          <w:noProof/>
          <w:color w:val="FF0000"/>
        </w:rPr>
        <w:lastRenderedPageBreak/>
        <w:drawing>
          <wp:inline distT="0" distB="0" distL="0" distR="0" wp14:anchorId="0156AF5A" wp14:editId="7591D321">
            <wp:extent cx="2160000" cy="482234"/>
            <wp:effectExtent l="0" t="0" r="0" b="0"/>
            <wp:docPr id="1464457979" name="Picture 1464457979" descr="Financial Reporting Counci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457979" name="Picture 1464457979" descr="Financial Reporting Council">
                      <a:extLst>
                        <a:ext uri="{C183D7F6-B498-43B3-948B-1728B52AA6E4}">
                          <adec:decorative xmlns:adec="http://schemas.microsoft.com/office/drawing/2017/decorative" val="0"/>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60000" cy="482234"/>
                    </a:xfrm>
                    <a:prstGeom prst="rect">
                      <a:avLst/>
                    </a:prstGeom>
                    <a:noFill/>
                    <a:ln>
                      <a:noFill/>
                    </a:ln>
                  </pic:spPr>
                </pic:pic>
              </a:graphicData>
            </a:graphic>
          </wp:inline>
        </w:drawing>
      </w:r>
    </w:p>
    <w:p w14:paraId="0B910852" w14:textId="77777777" w:rsidR="0036268A" w:rsidRPr="003059E5" w:rsidRDefault="0036268A" w:rsidP="00DF3392">
      <w:pPr>
        <w:spacing w:before="0" w:after="0"/>
        <w:jc w:val="right"/>
        <w:rPr>
          <w:lang w:val="en-GB"/>
        </w:rPr>
      </w:pPr>
      <w:r w:rsidRPr="003059E5">
        <w:rPr>
          <w:lang w:val="en-GB"/>
        </w:rPr>
        <w:t xml:space="preserve">Chair: Mr Andrew Mills </w:t>
      </w:r>
    </w:p>
    <w:p w14:paraId="55F8DDFF" w14:textId="77777777" w:rsidR="0036268A" w:rsidRPr="003059E5" w:rsidRDefault="0036268A" w:rsidP="00DF3392">
      <w:pPr>
        <w:spacing w:before="0" w:after="0"/>
        <w:jc w:val="right"/>
        <w:rPr>
          <w:lang w:val="en-GB"/>
        </w:rPr>
      </w:pPr>
      <w:r w:rsidRPr="003059E5">
        <w:rPr>
          <w:lang w:val="en-GB"/>
        </w:rPr>
        <w:t>Secretariat: c/ The Treasury</w:t>
      </w:r>
    </w:p>
    <w:p w14:paraId="47695FEB" w14:textId="77777777" w:rsidR="0036268A" w:rsidRPr="003059E5" w:rsidRDefault="0036268A" w:rsidP="00DF3392">
      <w:pPr>
        <w:spacing w:before="0" w:after="0"/>
        <w:jc w:val="right"/>
        <w:rPr>
          <w:lang w:val="en-GB"/>
        </w:rPr>
      </w:pPr>
      <w:r w:rsidRPr="003059E5">
        <w:rPr>
          <w:lang w:val="en-GB"/>
        </w:rPr>
        <w:t>Langton Crescent</w:t>
      </w:r>
    </w:p>
    <w:p w14:paraId="3091A3DF" w14:textId="77777777" w:rsidR="0036268A" w:rsidRPr="003059E5" w:rsidRDefault="0036268A" w:rsidP="00DF3392">
      <w:pPr>
        <w:spacing w:before="0" w:after="0"/>
        <w:jc w:val="right"/>
        <w:rPr>
          <w:lang w:val="en-GB"/>
        </w:rPr>
      </w:pPr>
      <w:r w:rsidRPr="003059E5">
        <w:rPr>
          <w:lang w:val="en-GB"/>
        </w:rPr>
        <w:t xml:space="preserve">Canberra ACT 2600 </w:t>
      </w:r>
    </w:p>
    <w:p w14:paraId="1149C397" w14:textId="4C194255" w:rsidR="0036268A" w:rsidRPr="003059E5" w:rsidRDefault="00D00DFF" w:rsidP="00DF3392">
      <w:pPr>
        <w:spacing w:before="0" w:after="0"/>
        <w:jc w:val="right"/>
        <w:rPr>
          <w:lang w:val="en-GB"/>
        </w:rPr>
      </w:pPr>
      <w:r w:rsidRPr="003059E5">
        <w:rPr>
          <w:lang w:val="en-GB"/>
        </w:rPr>
        <w:t>secretariat@frc</w:t>
      </w:r>
      <w:r w:rsidR="0036268A" w:rsidRPr="003059E5">
        <w:rPr>
          <w:lang w:val="en-GB"/>
        </w:rPr>
        <w:t>.gov.au</w:t>
      </w:r>
    </w:p>
    <w:p w14:paraId="5B7C1D7B" w14:textId="77777777" w:rsidR="0036268A" w:rsidRPr="003059E5" w:rsidRDefault="0036268A" w:rsidP="001964B9">
      <w:pPr>
        <w:tabs>
          <w:tab w:val="left" w:pos="3318"/>
        </w:tabs>
        <w:rPr>
          <w:rFonts w:ascii="Source Sans Pro Light" w:hAnsi="Source Sans Pro Light"/>
          <w:sz w:val="21"/>
          <w:szCs w:val="21"/>
          <w:highlight w:val="yellow"/>
          <w:lang w:val="en-GB"/>
        </w:rPr>
      </w:pPr>
    </w:p>
    <w:p w14:paraId="3798FB42" w14:textId="3B0F1999" w:rsidR="006035A4" w:rsidRPr="003059E5" w:rsidRDefault="00EE0880" w:rsidP="00DF3392">
      <w:pPr>
        <w:spacing w:before="0" w:after="0"/>
        <w:rPr>
          <w:lang w:val="en-GB"/>
        </w:rPr>
      </w:pPr>
      <w:r w:rsidRPr="003059E5">
        <w:rPr>
          <w:lang w:val="en-GB"/>
        </w:rPr>
        <w:t>16 September 2025</w:t>
      </w:r>
    </w:p>
    <w:p w14:paraId="550827AF" w14:textId="5B347905" w:rsidR="002B3D32" w:rsidRPr="003059E5" w:rsidRDefault="002B3D32" w:rsidP="00DF3392">
      <w:pPr>
        <w:spacing w:before="0" w:after="0"/>
        <w:rPr>
          <w:lang w:val="en-GB"/>
        </w:rPr>
      </w:pPr>
      <w:r w:rsidRPr="003059E5">
        <w:rPr>
          <w:lang w:val="en-GB"/>
        </w:rPr>
        <w:t xml:space="preserve">The Hon </w:t>
      </w:r>
      <w:r w:rsidR="000210DA" w:rsidRPr="003059E5">
        <w:rPr>
          <w:lang w:val="en-GB"/>
        </w:rPr>
        <w:t>Daniel Mulino</w:t>
      </w:r>
      <w:r w:rsidR="00C67571" w:rsidRPr="003059E5">
        <w:rPr>
          <w:lang w:val="en-GB"/>
        </w:rPr>
        <w:t xml:space="preserve"> MP </w:t>
      </w:r>
    </w:p>
    <w:p w14:paraId="34E7563E" w14:textId="30A7619E" w:rsidR="002B3D32" w:rsidRPr="003059E5" w:rsidRDefault="00C67571" w:rsidP="00DF3392">
      <w:pPr>
        <w:spacing w:before="0" w:after="0"/>
        <w:rPr>
          <w:lang w:val="en-GB"/>
        </w:rPr>
      </w:pPr>
      <w:r w:rsidRPr="003059E5">
        <w:rPr>
          <w:lang w:val="en-GB"/>
        </w:rPr>
        <w:t xml:space="preserve">Assistant </w:t>
      </w:r>
      <w:r w:rsidR="002B3D32" w:rsidRPr="003059E5">
        <w:rPr>
          <w:lang w:val="en-GB"/>
        </w:rPr>
        <w:t xml:space="preserve">Treasurer </w:t>
      </w:r>
    </w:p>
    <w:p w14:paraId="29E4510E" w14:textId="77777777" w:rsidR="002B3D32" w:rsidRPr="003059E5" w:rsidRDefault="002B3D32" w:rsidP="00DF3392">
      <w:pPr>
        <w:spacing w:before="0" w:after="0"/>
        <w:rPr>
          <w:lang w:val="en-GB"/>
        </w:rPr>
      </w:pPr>
      <w:r w:rsidRPr="003059E5">
        <w:rPr>
          <w:lang w:val="en-GB"/>
        </w:rPr>
        <w:t>Parliament House</w:t>
      </w:r>
    </w:p>
    <w:p w14:paraId="37065955" w14:textId="77777777" w:rsidR="002B3D32" w:rsidRPr="003059E5" w:rsidRDefault="002B3D32" w:rsidP="00DF3392">
      <w:pPr>
        <w:spacing w:before="0" w:after="0"/>
        <w:rPr>
          <w:lang w:val="en-GB"/>
        </w:rPr>
      </w:pPr>
      <w:r w:rsidRPr="003059E5">
        <w:rPr>
          <w:lang w:val="en-GB"/>
        </w:rPr>
        <w:t>CANBERRA ACT 2600</w:t>
      </w:r>
    </w:p>
    <w:p w14:paraId="4A7B0799" w14:textId="77777777" w:rsidR="00696F2E" w:rsidRPr="003059E5" w:rsidRDefault="00696F2E" w:rsidP="00DF3392"/>
    <w:p w14:paraId="27B654D0" w14:textId="4DEAF9B9" w:rsidR="00696F2E" w:rsidRPr="003059E5" w:rsidRDefault="00C67571" w:rsidP="00DF3392">
      <w:r w:rsidRPr="003059E5">
        <w:t>Dear Minister</w:t>
      </w:r>
    </w:p>
    <w:p w14:paraId="2BEA8771" w14:textId="3F5F6A3F" w:rsidR="00F06760" w:rsidRPr="003059E5" w:rsidRDefault="00C67571" w:rsidP="00DF3392">
      <w:r w:rsidRPr="003059E5">
        <w:t>I</w:t>
      </w:r>
      <w:r w:rsidR="00B53EE2" w:rsidRPr="003059E5">
        <w:t xml:space="preserve"> present the Financial Reporting Council (FRC) </w:t>
      </w:r>
      <w:r w:rsidRPr="003059E5">
        <w:t>annual report for the year ended 30 June 202</w:t>
      </w:r>
      <w:r w:rsidR="008E5075" w:rsidRPr="003059E5">
        <w:t>5</w:t>
      </w:r>
      <w:r w:rsidRPr="003059E5">
        <w:t>.</w:t>
      </w:r>
      <w:r w:rsidR="00E76A21" w:rsidRPr="003059E5">
        <w:t xml:space="preserve"> </w:t>
      </w:r>
    </w:p>
    <w:p w14:paraId="0E71C2AB" w14:textId="4A7BC070" w:rsidR="00F06760" w:rsidRPr="003059E5" w:rsidRDefault="00F06760" w:rsidP="00DF3392">
      <w:r w:rsidRPr="003059E5">
        <w:t>This year has been a period of significant progress in Australia’s financial reporting landscape, particularly in advancing sustainability reporting and assurance frameworks. The FRC acknowledges the strong efforts made by the Australian standard-setting boards in developing high-quality sustainability and assurance standards. The FRC recognise</w:t>
      </w:r>
      <w:r w:rsidR="00576E00" w:rsidRPr="003059E5">
        <w:t>s</w:t>
      </w:r>
      <w:r w:rsidRPr="003059E5">
        <w:t xml:space="preserve"> the importance of these standards in benefiting investors and the broader public through greater transparency and utility of sustainability disclosures. </w:t>
      </w:r>
    </w:p>
    <w:p w14:paraId="76A4EBD4" w14:textId="43980D14" w:rsidR="005246CE" w:rsidRPr="003059E5" w:rsidRDefault="00F06760" w:rsidP="00DF3392">
      <w:r w:rsidRPr="003059E5">
        <w:t xml:space="preserve">The FRC continued to maintain strong engagement with stakeholders to remain responsive to emerging issues across the financial </w:t>
      </w:r>
      <w:r w:rsidR="00EB0B5F" w:rsidRPr="003059E5">
        <w:t xml:space="preserve">and sustainability </w:t>
      </w:r>
      <w:r w:rsidRPr="003059E5">
        <w:t>reporting ecosystem</w:t>
      </w:r>
      <w:r w:rsidR="008F0CFF" w:rsidRPr="003059E5">
        <w:t xml:space="preserve">. This </w:t>
      </w:r>
      <w:r w:rsidRPr="003059E5">
        <w:t>includ</w:t>
      </w:r>
      <w:r w:rsidR="008F0CFF" w:rsidRPr="003059E5">
        <w:t>ed</w:t>
      </w:r>
      <w:r w:rsidRPr="003059E5">
        <w:t xml:space="preserve"> the impacts of parliamentary inquiries and developments in major accounting firms. The FRC also facilitated targeted stakeholder roundtables, ensuring that the voices of the accounting and auditing professions were considered in discussions around sustainability reporting and assurance. </w:t>
      </w:r>
    </w:p>
    <w:p w14:paraId="69FDB93A" w14:textId="15714DB5" w:rsidR="003908F4" w:rsidRPr="00D3723B" w:rsidRDefault="00C67571" w:rsidP="00DF3392">
      <w:r w:rsidRPr="003059E5">
        <w:rPr>
          <w:lang w:val="en-GB"/>
        </w:rPr>
        <w:t>Th</w:t>
      </w:r>
      <w:r w:rsidR="00761874" w:rsidRPr="003059E5">
        <w:rPr>
          <w:lang w:val="en-GB"/>
        </w:rPr>
        <w:t>is</w:t>
      </w:r>
      <w:r w:rsidRPr="003059E5">
        <w:rPr>
          <w:lang w:val="en-GB"/>
        </w:rPr>
        <w:t xml:space="preserve"> report has been prepared in accordance with section 235B of the</w:t>
      </w:r>
      <w:r w:rsidR="002450A4" w:rsidRPr="003059E5">
        <w:rPr>
          <w:lang w:val="en-GB"/>
        </w:rPr>
        <w:t xml:space="preserve"> </w:t>
      </w:r>
      <w:r w:rsidR="002450A4" w:rsidRPr="00DF3392">
        <w:rPr>
          <w:i/>
          <w:iCs/>
        </w:rPr>
        <w:t>Australian Securities and Investments Commission Act 2001</w:t>
      </w:r>
      <w:r w:rsidR="008A329E" w:rsidRPr="00DF3392">
        <w:rPr>
          <w:rStyle w:val="Emphasis"/>
        </w:rPr>
        <w:t xml:space="preserve"> </w:t>
      </w:r>
      <w:r w:rsidR="008A329E" w:rsidRPr="003059E5">
        <w:rPr>
          <w:lang w:val="en-GB"/>
        </w:rPr>
        <w:t>(ASIC Act)</w:t>
      </w:r>
      <w:r w:rsidR="00874843" w:rsidRPr="003059E5">
        <w:rPr>
          <w:lang w:val="en-GB"/>
        </w:rPr>
        <w:t>,</w:t>
      </w:r>
      <w:r w:rsidR="00812D93" w:rsidRPr="003059E5">
        <w:rPr>
          <w:lang w:val="en-GB"/>
        </w:rPr>
        <w:t xml:space="preserve"> </w:t>
      </w:r>
      <w:r w:rsidR="001E7A11" w:rsidRPr="003059E5">
        <w:rPr>
          <w:lang w:val="en-GB"/>
        </w:rPr>
        <w:t>which requires the report to be tabled in each House of Parliament as soon as practicable.</w:t>
      </w:r>
      <w:r w:rsidR="00290EF3" w:rsidRPr="003059E5">
        <w:rPr>
          <w:lang w:val="en-GB"/>
        </w:rPr>
        <w:t xml:space="preserve"> </w:t>
      </w:r>
    </w:p>
    <w:p w14:paraId="72D10BB5" w14:textId="36BEDA04" w:rsidR="00C67571" w:rsidRPr="00D3723B" w:rsidRDefault="00C67571" w:rsidP="00DF3392">
      <w:pPr>
        <w:rPr>
          <w:lang w:val="en-GB"/>
        </w:rPr>
      </w:pPr>
      <w:r w:rsidRPr="003059E5">
        <w:rPr>
          <w:lang w:val="en-GB"/>
        </w:rPr>
        <w:t>Yours sincerely</w:t>
      </w:r>
    </w:p>
    <w:p w14:paraId="58BB155D" w14:textId="780B9214" w:rsidR="00C67571" w:rsidRPr="003059E5" w:rsidRDefault="00D3723B" w:rsidP="00C67571">
      <w:pPr>
        <w:spacing w:before="240"/>
        <w:rPr>
          <w:rFonts w:ascii="Source Sans Pro Light" w:hAnsi="Source Sans Pro Light"/>
          <w:sz w:val="21"/>
          <w:szCs w:val="21"/>
          <w:lang w:val="en-GB"/>
        </w:rPr>
      </w:pPr>
      <w:r>
        <w:rPr>
          <w:rFonts w:ascii="Source Sans Pro Light" w:hAnsi="Source Sans Pro Light"/>
          <w:noProof/>
          <w:sz w:val="21"/>
          <w:szCs w:val="21"/>
          <w:lang w:val="en-GB"/>
        </w:rPr>
        <w:drawing>
          <wp:inline distT="0" distB="0" distL="0" distR="0" wp14:anchorId="6EEFF60F" wp14:editId="2A249AFA">
            <wp:extent cx="1456947" cy="292609"/>
            <wp:effectExtent l="0" t="0" r="0" b="0"/>
            <wp:docPr id="535423396" name="Picture 1" descr="Andrew Mill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423396" name="Picture 1" descr="Andrew Mills' signatur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56947" cy="292609"/>
                    </a:xfrm>
                    <a:prstGeom prst="rect">
                      <a:avLst/>
                    </a:prstGeom>
                  </pic:spPr>
                </pic:pic>
              </a:graphicData>
            </a:graphic>
          </wp:inline>
        </w:drawing>
      </w:r>
    </w:p>
    <w:p w14:paraId="1AFE2275" w14:textId="77B78EFF" w:rsidR="002B3D32" w:rsidRPr="003059E5" w:rsidRDefault="00C67571" w:rsidP="00DF3392">
      <w:pPr>
        <w:rPr>
          <w:lang w:val="en-GB"/>
        </w:rPr>
      </w:pPr>
      <w:r w:rsidRPr="003059E5">
        <w:rPr>
          <w:lang w:val="en-GB"/>
        </w:rPr>
        <w:t>Andrew Mills</w:t>
      </w:r>
    </w:p>
    <w:p w14:paraId="57F5CF3C" w14:textId="22DAB1BD" w:rsidR="006035A4" w:rsidRPr="003059E5" w:rsidRDefault="006035A4" w:rsidP="00DF3392">
      <w:pPr>
        <w:rPr>
          <w:lang w:val="en-GB"/>
        </w:rPr>
      </w:pPr>
      <w:r w:rsidRPr="003059E5">
        <w:rPr>
          <w:lang w:val="en-GB"/>
        </w:rPr>
        <w:t xml:space="preserve">Chair </w:t>
      </w:r>
    </w:p>
    <w:p w14:paraId="3AE16618" w14:textId="7CD037D4" w:rsidR="006035A4" w:rsidRPr="00BF010E" w:rsidRDefault="006035A4" w:rsidP="006035A4">
      <w:pPr>
        <w:rPr>
          <w:rFonts w:asciiTheme="minorHAnsi" w:hAnsiTheme="minorHAnsi"/>
          <w:szCs w:val="22"/>
          <w:lang w:val="en-GB"/>
        </w:rPr>
      </w:pPr>
      <w:r w:rsidRPr="00BF010E">
        <w:rPr>
          <w:rFonts w:asciiTheme="minorHAnsi" w:hAnsiTheme="minorHAnsi"/>
          <w:szCs w:val="22"/>
          <w:lang w:val="en-GB"/>
        </w:rPr>
        <w:br w:type="page"/>
      </w:r>
    </w:p>
    <w:sdt>
      <w:sdtPr>
        <w:rPr>
          <w:rFonts w:ascii="Calibri Light" w:eastAsia="Times New Roman" w:hAnsi="Calibri Light" w:cs="Times New Roman"/>
          <w:b w:val="0"/>
          <w:color w:val="auto"/>
          <w:kern w:val="0"/>
          <w:sz w:val="22"/>
          <w:szCs w:val="20"/>
        </w:rPr>
        <w:id w:val="-736634675"/>
        <w:docPartObj>
          <w:docPartGallery w:val="Table of Contents"/>
          <w:docPartUnique/>
        </w:docPartObj>
      </w:sdtPr>
      <w:sdtEndPr>
        <w:rPr>
          <w:bCs/>
          <w:noProof/>
        </w:rPr>
      </w:sdtEndPr>
      <w:sdtContent>
        <w:p w14:paraId="191F4E6E" w14:textId="3106B9A1" w:rsidR="00CB7C46" w:rsidRPr="00CB7C46" w:rsidRDefault="00CB7C46">
          <w:pPr>
            <w:pStyle w:val="TOCHeading"/>
          </w:pPr>
          <w:r w:rsidRPr="00CB7C46">
            <w:t>Contents</w:t>
          </w:r>
        </w:p>
        <w:p w14:paraId="54368846" w14:textId="3B5D77F4" w:rsidR="001E4CCB" w:rsidRDefault="00CB7C46">
          <w:pPr>
            <w:pStyle w:val="TOC1"/>
            <w:rPr>
              <w:rFonts w:asciiTheme="minorHAnsi" w:eastAsiaTheme="minorEastAsia" w:hAnsiTheme="minorHAnsi" w:cstheme="minorBidi"/>
              <w:b w:val="0"/>
              <w:color w:val="auto"/>
              <w:kern w:val="2"/>
              <w:sz w:val="24"/>
              <w:szCs w:val="24"/>
              <w14:ligatures w14:val="standardContextual"/>
            </w:rPr>
          </w:pPr>
          <w:r>
            <w:rPr>
              <w:b w:val="0"/>
            </w:rPr>
            <w:fldChar w:fldCharType="begin"/>
          </w:r>
          <w:r>
            <w:rPr>
              <w:b w:val="0"/>
            </w:rPr>
            <w:instrText xml:space="preserve"> TOC \o "1-2" \h \z \u </w:instrText>
          </w:r>
          <w:r>
            <w:rPr>
              <w:b w:val="0"/>
            </w:rPr>
            <w:fldChar w:fldCharType="separate"/>
          </w:r>
          <w:hyperlink w:anchor="_Toc211627782" w:history="1">
            <w:r w:rsidR="001E4CCB" w:rsidRPr="002E4524">
              <w:rPr>
                <w:rStyle w:val="Hyperlink"/>
              </w:rPr>
              <w:t>Our past year</w:t>
            </w:r>
            <w:r w:rsidR="001E4CCB">
              <w:rPr>
                <w:webHidden/>
              </w:rPr>
              <w:tab/>
            </w:r>
            <w:r w:rsidR="001E4CCB">
              <w:rPr>
                <w:webHidden/>
              </w:rPr>
              <w:fldChar w:fldCharType="begin"/>
            </w:r>
            <w:r w:rsidR="001E4CCB">
              <w:rPr>
                <w:webHidden/>
              </w:rPr>
              <w:instrText xml:space="preserve"> PAGEREF _Toc211627782 \h </w:instrText>
            </w:r>
            <w:r w:rsidR="001E4CCB">
              <w:rPr>
                <w:webHidden/>
              </w:rPr>
            </w:r>
            <w:r w:rsidR="001E4CCB">
              <w:rPr>
                <w:webHidden/>
              </w:rPr>
              <w:fldChar w:fldCharType="separate"/>
            </w:r>
            <w:r w:rsidR="007422F3">
              <w:rPr>
                <w:webHidden/>
              </w:rPr>
              <w:t>1</w:t>
            </w:r>
            <w:r w:rsidR="001E4CCB">
              <w:rPr>
                <w:webHidden/>
              </w:rPr>
              <w:fldChar w:fldCharType="end"/>
            </w:r>
          </w:hyperlink>
        </w:p>
        <w:p w14:paraId="4B16C796" w14:textId="35D17C4B" w:rsidR="001E4CCB" w:rsidRDefault="001E4CCB">
          <w:pPr>
            <w:pStyle w:val="TOC1"/>
            <w:rPr>
              <w:rFonts w:asciiTheme="minorHAnsi" w:eastAsiaTheme="minorEastAsia" w:hAnsiTheme="minorHAnsi" w:cstheme="minorBidi"/>
              <w:b w:val="0"/>
              <w:color w:val="auto"/>
              <w:kern w:val="2"/>
              <w:sz w:val="24"/>
              <w:szCs w:val="24"/>
              <w14:ligatures w14:val="standardContextual"/>
            </w:rPr>
          </w:pPr>
          <w:hyperlink w:anchor="_Toc211627783" w:history="1">
            <w:r w:rsidRPr="002E4524">
              <w:rPr>
                <w:rStyle w:val="Hyperlink"/>
              </w:rPr>
              <w:t>Snapshot of key and ongoing initiatives</w:t>
            </w:r>
            <w:r>
              <w:rPr>
                <w:webHidden/>
              </w:rPr>
              <w:tab/>
            </w:r>
            <w:r>
              <w:rPr>
                <w:webHidden/>
              </w:rPr>
              <w:fldChar w:fldCharType="begin"/>
            </w:r>
            <w:r>
              <w:rPr>
                <w:webHidden/>
              </w:rPr>
              <w:instrText xml:space="preserve"> PAGEREF _Toc211627783 \h </w:instrText>
            </w:r>
            <w:r>
              <w:rPr>
                <w:webHidden/>
              </w:rPr>
            </w:r>
            <w:r>
              <w:rPr>
                <w:webHidden/>
              </w:rPr>
              <w:fldChar w:fldCharType="separate"/>
            </w:r>
            <w:r w:rsidR="007422F3">
              <w:rPr>
                <w:webHidden/>
              </w:rPr>
              <w:t>2</w:t>
            </w:r>
            <w:r>
              <w:rPr>
                <w:webHidden/>
              </w:rPr>
              <w:fldChar w:fldCharType="end"/>
            </w:r>
          </w:hyperlink>
        </w:p>
        <w:p w14:paraId="43F39D62" w14:textId="5F6479CB" w:rsidR="001E4CCB" w:rsidRDefault="001E4CCB">
          <w:pPr>
            <w:pStyle w:val="TOC2"/>
            <w:rPr>
              <w:rFonts w:asciiTheme="minorHAnsi" w:eastAsiaTheme="minorEastAsia" w:hAnsiTheme="minorHAnsi" w:cstheme="minorBidi"/>
              <w:color w:val="auto"/>
              <w:kern w:val="2"/>
              <w:sz w:val="24"/>
              <w:szCs w:val="24"/>
              <w14:ligatures w14:val="standardContextual"/>
            </w:rPr>
          </w:pPr>
          <w:hyperlink w:anchor="_Toc211627784" w:history="1">
            <w:r w:rsidRPr="002E4524">
              <w:rPr>
                <w:rStyle w:val="Hyperlink"/>
              </w:rPr>
              <w:t>Climate and sustainability-related standards</w:t>
            </w:r>
            <w:r>
              <w:rPr>
                <w:webHidden/>
              </w:rPr>
              <w:tab/>
            </w:r>
            <w:r>
              <w:rPr>
                <w:webHidden/>
              </w:rPr>
              <w:fldChar w:fldCharType="begin"/>
            </w:r>
            <w:r>
              <w:rPr>
                <w:webHidden/>
              </w:rPr>
              <w:instrText xml:space="preserve"> PAGEREF _Toc211627784 \h </w:instrText>
            </w:r>
            <w:r>
              <w:rPr>
                <w:webHidden/>
              </w:rPr>
            </w:r>
            <w:r>
              <w:rPr>
                <w:webHidden/>
              </w:rPr>
              <w:fldChar w:fldCharType="separate"/>
            </w:r>
            <w:r w:rsidR="007422F3">
              <w:rPr>
                <w:webHidden/>
              </w:rPr>
              <w:t>2</w:t>
            </w:r>
            <w:r>
              <w:rPr>
                <w:webHidden/>
              </w:rPr>
              <w:fldChar w:fldCharType="end"/>
            </w:r>
          </w:hyperlink>
        </w:p>
        <w:p w14:paraId="73E994E9" w14:textId="5C346DBF" w:rsidR="001E4CCB" w:rsidRDefault="001E4CCB">
          <w:pPr>
            <w:pStyle w:val="TOC2"/>
            <w:rPr>
              <w:rFonts w:asciiTheme="minorHAnsi" w:eastAsiaTheme="minorEastAsia" w:hAnsiTheme="minorHAnsi" w:cstheme="minorBidi"/>
              <w:color w:val="auto"/>
              <w:kern w:val="2"/>
              <w:sz w:val="24"/>
              <w:szCs w:val="24"/>
              <w14:ligatures w14:val="standardContextual"/>
            </w:rPr>
          </w:pPr>
          <w:hyperlink w:anchor="_Toc211627785" w:history="1">
            <w:r w:rsidRPr="002E4524">
              <w:rPr>
                <w:rStyle w:val="Hyperlink"/>
              </w:rPr>
              <w:t>Audit Quality Management</w:t>
            </w:r>
            <w:r>
              <w:rPr>
                <w:webHidden/>
              </w:rPr>
              <w:tab/>
            </w:r>
            <w:r>
              <w:rPr>
                <w:webHidden/>
              </w:rPr>
              <w:fldChar w:fldCharType="begin"/>
            </w:r>
            <w:r>
              <w:rPr>
                <w:webHidden/>
              </w:rPr>
              <w:instrText xml:space="preserve"> PAGEREF _Toc211627785 \h </w:instrText>
            </w:r>
            <w:r>
              <w:rPr>
                <w:webHidden/>
              </w:rPr>
            </w:r>
            <w:r>
              <w:rPr>
                <w:webHidden/>
              </w:rPr>
              <w:fldChar w:fldCharType="separate"/>
            </w:r>
            <w:r w:rsidR="007422F3">
              <w:rPr>
                <w:webHidden/>
              </w:rPr>
              <w:t>2</w:t>
            </w:r>
            <w:r>
              <w:rPr>
                <w:webHidden/>
              </w:rPr>
              <w:fldChar w:fldCharType="end"/>
            </w:r>
          </w:hyperlink>
        </w:p>
        <w:p w14:paraId="6302A674" w14:textId="77E5E78F" w:rsidR="001E4CCB" w:rsidRDefault="001E4CCB">
          <w:pPr>
            <w:pStyle w:val="TOC2"/>
            <w:rPr>
              <w:rFonts w:asciiTheme="minorHAnsi" w:eastAsiaTheme="minorEastAsia" w:hAnsiTheme="minorHAnsi" w:cstheme="minorBidi"/>
              <w:color w:val="auto"/>
              <w:kern w:val="2"/>
              <w:sz w:val="24"/>
              <w:szCs w:val="24"/>
              <w14:ligatures w14:val="standardContextual"/>
            </w:rPr>
          </w:pPr>
          <w:hyperlink w:anchor="_Toc211627786" w:history="1">
            <w:r w:rsidRPr="002E4524">
              <w:rPr>
                <w:rStyle w:val="Hyperlink"/>
              </w:rPr>
              <w:t>International Financial Reporting Standards</w:t>
            </w:r>
            <w:r>
              <w:rPr>
                <w:webHidden/>
              </w:rPr>
              <w:tab/>
            </w:r>
            <w:r>
              <w:rPr>
                <w:webHidden/>
              </w:rPr>
              <w:fldChar w:fldCharType="begin"/>
            </w:r>
            <w:r>
              <w:rPr>
                <w:webHidden/>
              </w:rPr>
              <w:instrText xml:space="preserve"> PAGEREF _Toc211627786 \h </w:instrText>
            </w:r>
            <w:r>
              <w:rPr>
                <w:webHidden/>
              </w:rPr>
            </w:r>
            <w:r>
              <w:rPr>
                <w:webHidden/>
              </w:rPr>
              <w:fldChar w:fldCharType="separate"/>
            </w:r>
            <w:r w:rsidR="007422F3">
              <w:rPr>
                <w:webHidden/>
              </w:rPr>
              <w:t>2</w:t>
            </w:r>
            <w:r>
              <w:rPr>
                <w:webHidden/>
              </w:rPr>
              <w:fldChar w:fldCharType="end"/>
            </w:r>
          </w:hyperlink>
        </w:p>
        <w:p w14:paraId="77B89B0F" w14:textId="18527691" w:rsidR="001E4CCB" w:rsidRDefault="001E4CCB">
          <w:pPr>
            <w:pStyle w:val="TOC2"/>
            <w:rPr>
              <w:rFonts w:asciiTheme="minorHAnsi" w:eastAsiaTheme="minorEastAsia" w:hAnsiTheme="minorHAnsi" w:cstheme="minorBidi"/>
              <w:color w:val="auto"/>
              <w:kern w:val="2"/>
              <w:sz w:val="24"/>
              <w:szCs w:val="24"/>
              <w14:ligatures w14:val="standardContextual"/>
            </w:rPr>
          </w:pPr>
          <w:hyperlink w:anchor="_Toc211627787" w:history="1">
            <w:r w:rsidRPr="002E4524">
              <w:rPr>
                <w:rStyle w:val="Hyperlink"/>
              </w:rPr>
              <w:t>Public sector reporting developments</w:t>
            </w:r>
            <w:r>
              <w:rPr>
                <w:webHidden/>
              </w:rPr>
              <w:tab/>
            </w:r>
            <w:r>
              <w:rPr>
                <w:webHidden/>
              </w:rPr>
              <w:fldChar w:fldCharType="begin"/>
            </w:r>
            <w:r>
              <w:rPr>
                <w:webHidden/>
              </w:rPr>
              <w:instrText xml:space="preserve"> PAGEREF _Toc211627787 \h </w:instrText>
            </w:r>
            <w:r>
              <w:rPr>
                <w:webHidden/>
              </w:rPr>
            </w:r>
            <w:r>
              <w:rPr>
                <w:webHidden/>
              </w:rPr>
              <w:fldChar w:fldCharType="separate"/>
            </w:r>
            <w:r w:rsidR="007422F3">
              <w:rPr>
                <w:webHidden/>
              </w:rPr>
              <w:t>3</w:t>
            </w:r>
            <w:r>
              <w:rPr>
                <w:webHidden/>
              </w:rPr>
              <w:fldChar w:fldCharType="end"/>
            </w:r>
          </w:hyperlink>
        </w:p>
        <w:p w14:paraId="00219660" w14:textId="3B56C160" w:rsidR="001E4CCB" w:rsidRDefault="001E4CCB">
          <w:pPr>
            <w:pStyle w:val="TOC2"/>
            <w:rPr>
              <w:rFonts w:asciiTheme="minorHAnsi" w:eastAsiaTheme="minorEastAsia" w:hAnsiTheme="minorHAnsi" w:cstheme="minorBidi"/>
              <w:color w:val="auto"/>
              <w:kern w:val="2"/>
              <w:sz w:val="24"/>
              <w:szCs w:val="24"/>
              <w14:ligatures w14:val="standardContextual"/>
            </w:rPr>
          </w:pPr>
          <w:hyperlink w:anchor="_Toc211627788" w:history="1">
            <w:r w:rsidRPr="002E4524">
              <w:rPr>
                <w:rStyle w:val="Hyperlink"/>
              </w:rPr>
              <w:t>Other international developments</w:t>
            </w:r>
            <w:r>
              <w:rPr>
                <w:webHidden/>
              </w:rPr>
              <w:tab/>
            </w:r>
            <w:r>
              <w:rPr>
                <w:webHidden/>
              </w:rPr>
              <w:fldChar w:fldCharType="begin"/>
            </w:r>
            <w:r>
              <w:rPr>
                <w:webHidden/>
              </w:rPr>
              <w:instrText xml:space="preserve"> PAGEREF _Toc211627788 \h </w:instrText>
            </w:r>
            <w:r>
              <w:rPr>
                <w:webHidden/>
              </w:rPr>
            </w:r>
            <w:r>
              <w:rPr>
                <w:webHidden/>
              </w:rPr>
              <w:fldChar w:fldCharType="separate"/>
            </w:r>
            <w:r w:rsidR="007422F3">
              <w:rPr>
                <w:webHidden/>
              </w:rPr>
              <w:t>4</w:t>
            </w:r>
            <w:r>
              <w:rPr>
                <w:webHidden/>
              </w:rPr>
              <w:fldChar w:fldCharType="end"/>
            </w:r>
          </w:hyperlink>
        </w:p>
        <w:p w14:paraId="2392812C" w14:textId="62FBD638" w:rsidR="001E4CCB" w:rsidRDefault="001E4CCB">
          <w:pPr>
            <w:pStyle w:val="TOC2"/>
            <w:rPr>
              <w:rFonts w:asciiTheme="minorHAnsi" w:eastAsiaTheme="minorEastAsia" w:hAnsiTheme="minorHAnsi" w:cstheme="minorBidi"/>
              <w:color w:val="auto"/>
              <w:kern w:val="2"/>
              <w:sz w:val="24"/>
              <w:szCs w:val="24"/>
              <w14:ligatures w14:val="standardContextual"/>
            </w:rPr>
          </w:pPr>
          <w:hyperlink w:anchor="_Toc211627789" w:history="1">
            <w:r w:rsidRPr="002E4524">
              <w:rPr>
                <w:rStyle w:val="Hyperlink"/>
              </w:rPr>
              <w:t>Stakeholder engagement</w:t>
            </w:r>
            <w:r>
              <w:rPr>
                <w:webHidden/>
              </w:rPr>
              <w:tab/>
            </w:r>
            <w:r>
              <w:rPr>
                <w:webHidden/>
              </w:rPr>
              <w:fldChar w:fldCharType="begin"/>
            </w:r>
            <w:r>
              <w:rPr>
                <w:webHidden/>
              </w:rPr>
              <w:instrText xml:space="preserve"> PAGEREF _Toc211627789 \h </w:instrText>
            </w:r>
            <w:r>
              <w:rPr>
                <w:webHidden/>
              </w:rPr>
            </w:r>
            <w:r>
              <w:rPr>
                <w:webHidden/>
              </w:rPr>
              <w:fldChar w:fldCharType="separate"/>
            </w:r>
            <w:r w:rsidR="007422F3">
              <w:rPr>
                <w:webHidden/>
              </w:rPr>
              <w:t>4</w:t>
            </w:r>
            <w:r>
              <w:rPr>
                <w:webHidden/>
              </w:rPr>
              <w:fldChar w:fldCharType="end"/>
            </w:r>
          </w:hyperlink>
        </w:p>
        <w:p w14:paraId="4672337A" w14:textId="5E8F70C6" w:rsidR="001E4CCB" w:rsidRDefault="001E4CCB">
          <w:pPr>
            <w:pStyle w:val="TOC2"/>
            <w:rPr>
              <w:rFonts w:asciiTheme="minorHAnsi" w:eastAsiaTheme="minorEastAsia" w:hAnsiTheme="minorHAnsi" w:cstheme="minorBidi"/>
              <w:color w:val="auto"/>
              <w:kern w:val="2"/>
              <w:sz w:val="24"/>
              <w:szCs w:val="24"/>
              <w14:ligatures w14:val="standardContextual"/>
            </w:rPr>
          </w:pPr>
          <w:hyperlink w:anchor="_Toc211627790" w:history="1">
            <w:r w:rsidRPr="002E4524">
              <w:rPr>
                <w:rStyle w:val="Hyperlink"/>
              </w:rPr>
              <w:t>FRC stakeholders</w:t>
            </w:r>
            <w:r>
              <w:rPr>
                <w:webHidden/>
              </w:rPr>
              <w:tab/>
            </w:r>
            <w:r>
              <w:rPr>
                <w:webHidden/>
              </w:rPr>
              <w:fldChar w:fldCharType="begin"/>
            </w:r>
            <w:r>
              <w:rPr>
                <w:webHidden/>
              </w:rPr>
              <w:instrText xml:space="preserve"> PAGEREF _Toc211627790 \h </w:instrText>
            </w:r>
            <w:r>
              <w:rPr>
                <w:webHidden/>
              </w:rPr>
            </w:r>
            <w:r>
              <w:rPr>
                <w:webHidden/>
              </w:rPr>
              <w:fldChar w:fldCharType="separate"/>
            </w:r>
            <w:r w:rsidR="007422F3">
              <w:rPr>
                <w:webHidden/>
              </w:rPr>
              <w:t>4</w:t>
            </w:r>
            <w:r>
              <w:rPr>
                <w:webHidden/>
              </w:rPr>
              <w:fldChar w:fldCharType="end"/>
            </w:r>
          </w:hyperlink>
        </w:p>
        <w:p w14:paraId="262DA3EB" w14:textId="2AE321F7" w:rsidR="001E4CCB" w:rsidRDefault="001E4CCB">
          <w:pPr>
            <w:pStyle w:val="TOC1"/>
            <w:rPr>
              <w:rFonts w:asciiTheme="minorHAnsi" w:eastAsiaTheme="minorEastAsia" w:hAnsiTheme="minorHAnsi" w:cstheme="minorBidi"/>
              <w:b w:val="0"/>
              <w:color w:val="auto"/>
              <w:kern w:val="2"/>
              <w:sz w:val="24"/>
              <w:szCs w:val="24"/>
              <w14:ligatures w14:val="standardContextual"/>
            </w:rPr>
          </w:pPr>
          <w:hyperlink w:anchor="_Toc211627791" w:history="1">
            <w:r w:rsidRPr="002E4524">
              <w:rPr>
                <w:rStyle w:val="Hyperlink"/>
              </w:rPr>
              <w:t>FRC objectives and functions</w:t>
            </w:r>
            <w:r>
              <w:rPr>
                <w:webHidden/>
              </w:rPr>
              <w:tab/>
            </w:r>
            <w:r>
              <w:rPr>
                <w:webHidden/>
              </w:rPr>
              <w:fldChar w:fldCharType="begin"/>
            </w:r>
            <w:r>
              <w:rPr>
                <w:webHidden/>
              </w:rPr>
              <w:instrText xml:space="preserve"> PAGEREF _Toc211627791 \h </w:instrText>
            </w:r>
            <w:r>
              <w:rPr>
                <w:webHidden/>
              </w:rPr>
            </w:r>
            <w:r>
              <w:rPr>
                <w:webHidden/>
              </w:rPr>
              <w:fldChar w:fldCharType="separate"/>
            </w:r>
            <w:r w:rsidR="007422F3">
              <w:rPr>
                <w:webHidden/>
              </w:rPr>
              <w:t>6</w:t>
            </w:r>
            <w:r>
              <w:rPr>
                <w:webHidden/>
              </w:rPr>
              <w:fldChar w:fldCharType="end"/>
            </w:r>
          </w:hyperlink>
        </w:p>
        <w:p w14:paraId="3FF6249F" w14:textId="650C1AE7" w:rsidR="001E4CCB" w:rsidRDefault="001E4CCB">
          <w:pPr>
            <w:pStyle w:val="TOC2"/>
            <w:rPr>
              <w:rFonts w:asciiTheme="minorHAnsi" w:eastAsiaTheme="minorEastAsia" w:hAnsiTheme="minorHAnsi" w:cstheme="minorBidi"/>
              <w:color w:val="auto"/>
              <w:kern w:val="2"/>
              <w:sz w:val="24"/>
              <w:szCs w:val="24"/>
              <w14:ligatures w14:val="standardContextual"/>
            </w:rPr>
          </w:pPr>
          <w:hyperlink w:anchor="_Toc211627792" w:history="1">
            <w:r w:rsidRPr="002E4524">
              <w:rPr>
                <w:rStyle w:val="Hyperlink"/>
              </w:rPr>
              <w:t>The financial reporting system</w:t>
            </w:r>
            <w:r>
              <w:rPr>
                <w:webHidden/>
              </w:rPr>
              <w:tab/>
            </w:r>
            <w:r>
              <w:rPr>
                <w:webHidden/>
              </w:rPr>
              <w:fldChar w:fldCharType="begin"/>
            </w:r>
            <w:r>
              <w:rPr>
                <w:webHidden/>
              </w:rPr>
              <w:instrText xml:space="preserve"> PAGEREF _Toc211627792 \h </w:instrText>
            </w:r>
            <w:r>
              <w:rPr>
                <w:webHidden/>
              </w:rPr>
            </w:r>
            <w:r>
              <w:rPr>
                <w:webHidden/>
              </w:rPr>
              <w:fldChar w:fldCharType="separate"/>
            </w:r>
            <w:r w:rsidR="007422F3">
              <w:rPr>
                <w:webHidden/>
              </w:rPr>
              <w:t>6</w:t>
            </w:r>
            <w:r>
              <w:rPr>
                <w:webHidden/>
              </w:rPr>
              <w:fldChar w:fldCharType="end"/>
            </w:r>
          </w:hyperlink>
        </w:p>
        <w:p w14:paraId="60E7AEB8" w14:textId="271678C3" w:rsidR="001E4CCB" w:rsidRDefault="001E4CCB">
          <w:pPr>
            <w:pStyle w:val="TOC2"/>
            <w:rPr>
              <w:rFonts w:asciiTheme="minorHAnsi" w:eastAsiaTheme="minorEastAsia" w:hAnsiTheme="minorHAnsi" w:cstheme="minorBidi"/>
              <w:color w:val="auto"/>
              <w:kern w:val="2"/>
              <w:sz w:val="24"/>
              <w:szCs w:val="24"/>
              <w14:ligatures w14:val="standardContextual"/>
            </w:rPr>
          </w:pPr>
          <w:hyperlink w:anchor="_Toc211627793" w:history="1">
            <w:r w:rsidRPr="002E4524">
              <w:rPr>
                <w:rStyle w:val="Hyperlink"/>
              </w:rPr>
              <w:t>Functions of the FRC</w:t>
            </w:r>
            <w:r>
              <w:rPr>
                <w:webHidden/>
              </w:rPr>
              <w:tab/>
            </w:r>
            <w:r>
              <w:rPr>
                <w:webHidden/>
              </w:rPr>
              <w:fldChar w:fldCharType="begin"/>
            </w:r>
            <w:r>
              <w:rPr>
                <w:webHidden/>
              </w:rPr>
              <w:instrText xml:space="preserve"> PAGEREF _Toc211627793 \h </w:instrText>
            </w:r>
            <w:r>
              <w:rPr>
                <w:webHidden/>
              </w:rPr>
            </w:r>
            <w:r>
              <w:rPr>
                <w:webHidden/>
              </w:rPr>
              <w:fldChar w:fldCharType="separate"/>
            </w:r>
            <w:r w:rsidR="007422F3">
              <w:rPr>
                <w:webHidden/>
              </w:rPr>
              <w:t>6</w:t>
            </w:r>
            <w:r>
              <w:rPr>
                <w:webHidden/>
              </w:rPr>
              <w:fldChar w:fldCharType="end"/>
            </w:r>
          </w:hyperlink>
        </w:p>
        <w:p w14:paraId="3326A335" w14:textId="605EBCD5" w:rsidR="001E4CCB" w:rsidRDefault="001E4CCB">
          <w:pPr>
            <w:pStyle w:val="TOC1"/>
            <w:rPr>
              <w:rFonts w:asciiTheme="minorHAnsi" w:eastAsiaTheme="minorEastAsia" w:hAnsiTheme="minorHAnsi" w:cstheme="minorBidi"/>
              <w:b w:val="0"/>
              <w:color w:val="auto"/>
              <w:kern w:val="2"/>
              <w:sz w:val="24"/>
              <w:szCs w:val="24"/>
              <w14:ligatures w14:val="standardContextual"/>
            </w:rPr>
          </w:pPr>
          <w:hyperlink w:anchor="_Toc211627794" w:history="1">
            <w:r w:rsidRPr="002E4524">
              <w:rPr>
                <w:rStyle w:val="Hyperlink"/>
              </w:rPr>
              <w:t>Oversight of Australian standard setting</w:t>
            </w:r>
            <w:r>
              <w:rPr>
                <w:webHidden/>
              </w:rPr>
              <w:tab/>
            </w:r>
            <w:r>
              <w:rPr>
                <w:webHidden/>
              </w:rPr>
              <w:fldChar w:fldCharType="begin"/>
            </w:r>
            <w:r>
              <w:rPr>
                <w:webHidden/>
              </w:rPr>
              <w:instrText xml:space="preserve"> PAGEREF _Toc211627794 \h </w:instrText>
            </w:r>
            <w:r>
              <w:rPr>
                <w:webHidden/>
              </w:rPr>
            </w:r>
            <w:r>
              <w:rPr>
                <w:webHidden/>
              </w:rPr>
              <w:fldChar w:fldCharType="separate"/>
            </w:r>
            <w:r w:rsidR="007422F3">
              <w:rPr>
                <w:webHidden/>
              </w:rPr>
              <w:t>9</w:t>
            </w:r>
            <w:r>
              <w:rPr>
                <w:webHidden/>
              </w:rPr>
              <w:fldChar w:fldCharType="end"/>
            </w:r>
          </w:hyperlink>
        </w:p>
        <w:p w14:paraId="6C500457" w14:textId="2719AE1F" w:rsidR="001E4CCB" w:rsidRDefault="001E4CCB">
          <w:pPr>
            <w:pStyle w:val="TOC2"/>
            <w:rPr>
              <w:rFonts w:asciiTheme="minorHAnsi" w:eastAsiaTheme="minorEastAsia" w:hAnsiTheme="minorHAnsi" w:cstheme="minorBidi"/>
              <w:color w:val="auto"/>
              <w:kern w:val="2"/>
              <w:sz w:val="24"/>
              <w:szCs w:val="24"/>
              <w14:ligatures w14:val="standardContextual"/>
            </w:rPr>
          </w:pPr>
          <w:hyperlink w:anchor="_Toc211627795" w:history="1">
            <w:r w:rsidRPr="002E4524">
              <w:rPr>
                <w:rStyle w:val="Hyperlink"/>
              </w:rPr>
              <w:t>Giving advice or feedback to the AASB, AUASB and their offices</w:t>
            </w:r>
            <w:r>
              <w:rPr>
                <w:webHidden/>
              </w:rPr>
              <w:tab/>
            </w:r>
            <w:r>
              <w:rPr>
                <w:webHidden/>
              </w:rPr>
              <w:fldChar w:fldCharType="begin"/>
            </w:r>
            <w:r>
              <w:rPr>
                <w:webHidden/>
              </w:rPr>
              <w:instrText xml:space="preserve"> PAGEREF _Toc211627795 \h </w:instrText>
            </w:r>
            <w:r>
              <w:rPr>
                <w:webHidden/>
              </w:rPr>
            </w:r>
            <w:r>
              <w:rPr>
                <w:webHidden/>
              </w:rPr>
              <w:fldChar w:fldCharType="separate"/>
            </w:r>
            <w:r w:rsidR="007422F3">
              <w:rPr>
                <w:webHidden/>
              </w:rPr>
              <w:t>9</w:t>
            </w:r>
            <w:r>
              <w:rPr>
                <w:webHidden/>
              </w:rPr>
              <w:fldChar w:fldCharType="end"/>
            </w:r>
          </w:hyperlink>
        </w:p>
        <w:p w14:paraId="54C36083" w14:textId="34705856" w:rsidR="001E4CCB" w:rsidRDefault="001E4CCB">
          <w:pPr>
            <w:pStyle w:val="TOC2"/>
            <w:rPr>
              <w:rFonts w:asciiTheme="minorHAnsi" w:eastAsiaTheme="minorEastAsia" w:hAnsiTheme="minorHAnsi" w:cstheme="minorBidi"/>
              <w:color w:val="auto"/>
              <w:kern w:val="2"/>
              <w:sz w:val="24"/>
              <w:szCs w:val="24"/>
              <w14:ligatures w14:val="standardContextual"/>
            </w:rPr>
          </w:pPr>
          <w:hyperlink w:anchor="_Toc211627796" w:history="1">
            <w:r w:rsidRPr="002E4524">
              <w:rPr>
                <w:rStyle w:val="Hyperlink"/>
              </w:rPr>
              <w:t>AASB</w:t>
            </w:r>
            <w:r>
              <w:rPr>
                <w:webHidden/>
              </w:rPr>
              <w:tab/>
            </w:r>
            <w:r>
              <w:rPr>
                <w:webHidden/>
              </w:rPr>
              <w:fldChar w:fldCharType="begin"/>
            </w:r>
            <w:r>
              <w:rPr>
                <w:webHidden/>
              </w:rPr>
              <w:instrText xml:space="preserve"> PAGEREF _Toc211627796 \h </w:instrText>
            </w:r>
            <w:r>
              <w:rPr>
                <w:webHidden/>
              </w:rPr>
            </w:r>
            <w:r>
              <w:rPr>
                <w:webHidden/>
              </w:rPr>
              <w:fldChar w:fldCharType="separate"/>
            </w:r>
            <w:r w:rsidR="007422F3">
              <w:rPr>
                <w:webHidden/>
              </w:rPr>
              <w:t>9</w:t>
            </w:r>
            <w:r>
              <w:rPr>
                <w:webHidden/>
              </w:rPr>
              <w:fldChar w:fldCharType="end"/>
            </w:r>
          </w:hyperlink>
        </w:p>
        <w:p w14:paraId="665A526F" w14:textId="6B37AEA1" w:rsidR="001E4CCB" w:rsidRDefault="001E4CCB">
          <w:pPr>
            <w:pStyle w:val="TOC2"/>
            <w:rPr>
              <w:rFonts w:asciiTheme="minorHAnsi" w:eastAsiaTheme="minorEastAsia" w:hAnsiTheme="minorHAnsi" w:cstheme="minorBidi"/>
              <w:color w:val="auto"/>
              <w:kern w:val="2"/>
              <w:sz w:val="24"/>
              <w:szCs w:val="24"/>
              <w14:ligatures w14:val="standardContextual"/>
            </w:rPr>
          </w:pPr>
          <w:hyperlink w:anchor="_Toc211627797" w:history="1">
            <w:r w:rsidRPr="002E4524">
              <w:rPr>
                <w:rStyle w:val="Hyperlink"/>
              </w:rPr>
              <w:t>AUASB</w:t>
            </w:r>
            <w:r>
              <w:rPr>
                <w:webHidden/>
              </w:rPr>
              <w:tab/>
            </w:r>
            <w:r>
              <w:rPr>
                <w:webHidden/>
              </w:rPr>
              <w:fldChar w:fldCharType="begin"/>
            </w:r>
            <w:r>
              <w:rPr>
                <w:webHidden/>
              </w:rPr>
              <w:instrText xml:space="preserve"> PAGEREF _Toc211627797 \h </w:instrText>
            </w:r>
            <w:r>
              <w:rPr>
                <w:webHidden/>
              </w:rPr>
            </w:r>
            <w:r>
              <w:rPr>
                <w:webHidden/>
              </w:rPr>
              <w:fldChar w:fldCharType="separate"/>
            </w:r>
            <w:r w:rsidR="007422F3">
              <w:rPr>
                <w:webHidden/>
              </w:rPr>
              <w:t>11</w:t>
            </w:r>
            <w:r>
              <w:rPr>
                <w:webHidden/>
              </w:rPr>
              <w:fldChar w:fldCharType="end"/>
            </w:r>
          </w:hyperlink>
        </w:p>
        <w:p w14:paraId="32196C27" w14:textId="0F915468" w:rsidR="001E4CCB" w:rsidRDefault="001E4CCB">
          <w:pPr>
            <w:pStyle w:val="TOC2"/>
            <w:rPr>
              <w:rFonts w:asciiTheme="minorHAnsi" w:eastAsiaTheme="minorEastAsia" w:hAnsiTheme="minorHAnsi" w:cstheme="minorBidi"/>
              <w:color w:val="auto"/>
              <w:kern w:val="2"/>
              <w:sz w:val="24"/>
              <w:szCs w:val="24"/>
              <w14:ligatures w14:val="standardContextual"/>
            </w:rPr>
          </w:pPr>
          <w:hyperlink w:anchor="_Toc211627798" w:history="1">
            <w:r w:rsidRPr="002E4524">
              <w:rPr>
                <w:rStyle w:val="Hyperlink"/>
              </w:rPr>
              <w:t>Determining the strategic direction of the AASB and AUASB</w:t>
            </w:r>
            <w:r>
              <w:rPr>
                <w:webHidden/>
              </w:rPr>
              <w:tab/>
            </w:r>
            <w:r>
              <w:rPr>
                <w:webHidden/>
              </w:rPr>
              <w:fldChar w:fldCharType="begin"/>
            </w:r>
            <w:r>
              <w:rPr>
                <w:webHidden/>
              </w:rPr>
              <w:instrText xml:space="preserve"> PAGEREF _Toc211627798 \h </w:instrText>
            </w:r>
            <w:r>
              <w:rPr>
                <w:webHidden/>
              </w:rPr>
            </w:r>
            <w:r>
              <w:rPr>
                <w:webHidden/>
              </w:rPr>
              <w:fldChar w:fldCharType="separate"/>
            </w:r>
            <w:r w:rsidR="007422F3">
              <w:rPr>
                <w:webHidden/>
              </w:rPr>
              <w:t>12</w:t>
            </w:r>
            <w:r>
              <w:rPr>
                <w:webHidden/>
              </w:rPr>
              <w:fldChar w:fldCharType="end"/>
            </w:r>
          </w:hyperlink>
        </w:p>
        <w:p w14:paraId="1456E95D" w14:textId="5D4C8914" w:rsidR="001E4CCB" w:rsidRDefault="001E4CCB">
          <w:pPr>
            <w:pStyle w:val="TOC2"/>
            <w:rPr>
              <w:rFonts w:asciiTheme="minorHAnsi" w:eastAsiaTheme="minorEastAsia" w:hAnsiTheme="minorHAnsi" w:cstheme="minorBidi"/>
              <w:color w:val="auto"/>
              <w:kern w:val="2"/>
              <w:sz w:val="24"/>
              <w:szCs w:val="24"/>
              <w14:ligatures w14:val="standardContextual"/>
            </w:rPr>
          </w:pPr>
          <w:hyperlink w:anchor="_Toc211627799" w:history="1">
            <w:r w:rsidRPr="002E4524">
              <w:rPr>
                <w:rStyle w:val="Hyperlink"/>
              </w:rPr>
              <w:t>Monitoring international developments</w:t>
            </w:r>
            <w:r>
              <w:rPr>
                <w:webHidden/>
              </w:rPr>
              <w:tab/>
            </w:r>
            <w:r>
              <w:rPr>
                <w:webHidden/>
              </w:rPr>
              <w:fldChar w:fldCharType="begin"/>
            </w:r>
            <w:r>
              <w:rPr>
                <w:webHidden/>
              </w:rPr>
              <w:instrText xml:space="preserve"> PAGEREF _Toc211627799 \h </w:instrText>
            </w:r>
            <w:r>
              <w:rPr>
                <w:webHidden/>
              </w:rPr>
            </w:r>
            <w:r>
              <w:rPr>
                <w:webHidden/>
              </w:rPr>
              <w:fldChar w:fldCharType="separate"/>
            </w:r>
            <w:r w:rsidR="007422F3">
              <w:rPr>
                <w:webHidden/>
              </w:rPr>
              <w:t>13</w:t>
            </w:r>
            <w:r>
              <w:rPr>
                <w:webHidden/>
              </w:rPr>
              <w:fldChar w:fldCharType="end"/>
            </w:r>
          </w:hyperlink>
        </w:p>
        <w:p w14:paraId="65435C6A" w14:textId="122E4272" w:rsidR="001E4CCB" w:rsidRDefault="001E4CCB">
          <w:pPr>
            <w:pStyle w:val="TOC2"/>
            <w:rPr>
              <w:rFonts w:asciiTheme="minorHAnsi" w:eastAsiaTheme="minorEastAsia" w:hAnsiTheme="minorHAnsi" w:cstheme="minorBidi"/>
              <w:color w:val="auto"/>
              <w:kern w:val="2"/>
              <w:sz w:val="24"/>
              <w:szCs w:val="24"/>
              <w14:ligatures w14:val="standardContextual"/>
            </w:rPr>
          </w:pPr>
          <w:hyperlink w:anchor="_Toc211627800" w:history="1">
            <w:r w:rsidRPr="002E4524">
              <w:rPr>
                <w:rStyle w:val="Hyperlink"/>
              </w:rPr>
              <w:t>Monitoring the operation of accounting and auditing standards</w:t>
            </w:r>
            <w:r>
              <w:rPr>
                <w:webHidden/>
              </w:rPr>
              <w:tab/>
            </w:r>
            <w:r>
              <w:rPr>
                <w:webHidden/>
              </w:rPr>
              <w:fldChar w:fldCharType="begin"/>
            </w:r>
            <w:r>
              <w:rPr>
                <w:webHidden/>
              </w:rPr>
              <w:instrText xml:space="preserve"> PAGEREF _Toc211627800 \h </w:instrText>
            </w:r>
            <w:r>
              <w:rPr>
                <w:webHidden/>
              </w:rPr>
            </w:r>
            <w:r>
              <w:rPr>
                <w:webHidden/>
              </w:rPr>
              <w:fldChar w:fldCharType="separate"/>
            </w:r>
            <w:r w:rsidR="007422F3">
              <w:rPr>
                <w:webHidden/>
              </w:rPr>
              <w:t>18</w:t>
            </w:r>
            <w:r>
              <w:rPr>
                <w:webHidden/>
              </w:rPr>
              <w:fldChar w:fldCharType="end"/>
            </w:r>
          </w:hyperlink>
        </w:p>
        <w:p w14:paraId="643D4139" w14:textId="41457CAC" w:rsidR="001E4CCB" w:rsidRDefault="001E4CCB">
          <w:pPr>
            <w:pStyle w:val="TOC1"/>
            <w:rPr>
              <w:rFonts w:asciiTheme="minorHAnsi" w:eastAsiaTheme="minorEastAsia" w:hAnsiTheme="minorHAnsi" w:cstheme="minorBidi"/>
              <w:b w:val="0"/>
              <w:color w:val="auto"/>
              <w:kern w:val="2"/>
              <w:sz w:val="24"/>
              <w:szCs w:val="24"/>
              <w14:ligatures w14:val="standardContextual"/>
            </w:rPr>
          </w:pPr>
          <w:hyperlink w:anchor="_Toc211627801" w:history="1">
            <w:r w:rsidRPr="002E4524">
              <w:rPr>
                <w:rStyle w:val="Hyperlink"/>
              </w:rPr>
              <w:t>Audit quality</w:t>
            </w:r>
            <w:r>
              <w:rPr>
                <w:webHidden/>
              </w:rPr>
              <w:tab/>
            </w:r>
            <w:r>
              <w:rPr>
                <w:webHidden/>
              </w:rPr>
              <w:fldChar w:fldCharType="begin"/>
            </w:r>
            <w:r>
              <w:rPr>
                <w:webHidden/>
              </w:rPr>
              <w:instrText xml:space="preserve"> PAGEREF _Toc211627801 \h </w:instrText>
            </w:r>
            <w:r>
              <w:rPr>
                <w:webHidden/>
              </w:rPr>
            </w:r>
            <w:r>
              <w:rPr>
                <w:webHidden/>
              </w:rPr>
              <w:fldChar w:fldCharType="separate"/>
            </w:r>
            <w:r w:rsidR="007422F3">
              <w:rPr>
                <w:webHidden/>
              </w:rPr>
              <w:t>19</w:t>
            </w:r>
            <w:r>
              <w:rPr>
                <w:webHidden/>
              </w:rPr>
              <w:fldChar w:fldCharType="end"/>
            </w:r>
          </w:hyperlink>
        </w:p>
        <w:p w14:paraId="1CFC0512" w14:textId="491CF12F" w:rsidR="001E4CCB" w:rsidRDefault="001E4CCB">
          <w:pPr>
            <w:pStyle w:val="TOC2"/>
            <w:rPr>
              <w:rFonts w:asciiTheme="minorHAnsi" w:eastAsiaTheme="minorEastAsia" w:hAnsiTheme="minorHAnsi" w:cstheme="minorBidi"/>
              <w:color w:val="auto"/>
              <w:kern w:val="2"/>
              <w:sz w:val="24"/>
              <w:szCs w:val="24"/>
              <w14:ligatures w14:val="standardContextual"/>
            </w:rPr>
          </w:pPr>
          <w:hyperlink w:anchor="_Toc211627802" w:history="1">
            <w:r w:rsidRPr="002E4524">
              <w:rPr>
                <w:rStyle w:val="Hyperlink"/>
              </w:rPr>
              <w:t>FRC’s role on audit quality</w:t>
            </w:r>
            <w:r>
              <w:rPr>
                <w:webHidden/>
              </w:rPr>
              <w:tab/>
            </w:r>
            <w:r>
              <w:rPr>
                <w:webHidden/>
              </w:rPr>
              <w:fldChar w:fldCharType="begin"/>
            </w:r>
            <w:r>
              <w:rPr>
                <w:webHidden/>
              </w:rPr>
              <w:instrText xml:space="preserve"> PAGEREF _Toc211627802 \h </w:instrText>
            </w:r>
            <w:r>
              <w:rPr>
                <w:webHidden/>
              </w:rPr>
            </w:r>
            <w:r>
              <w:rPr>
                <w:webHidden/>
              </w:rPr>
              <w:fldChar w:fldCharType="separate"/>
            </w:r>
            <w:r w:rsidR="007422F3">
              <w:rPr>
                <w:webHidden/>
              </w:rPr>
              <w:t>19</w:t>
            </w:r>
            <w:r>
              <w:rPr>
                <w:webHidden/>
              </w:rPr>
              <w:fldChar w:fldCharType="end"/>
            </w:r>
          </w:hyperlink>
        </w:p>
        <w:p w14:paraId="0B5B4375" w14:textId="69BB3370" w:rsidR="001E4CCB" w:rsidRDefault="001E4CCB">
          <w:pPr>
            <w:pStyle w:val="TOC2"/>
            <w:rPr>
              <w:rFonts w:asciiTheme="minorHAnsi" w:eastAsiaTheme="minorEastAsia" w:hAnsiTheme="minorHAnsi" w:cstheme="minorBidi"/>
              <w:color w:val="auto"/>
              <w:kern w:val="2"/>
              <w:sz w:val="24"/>
              <w:szCs w:val="24"/>
              <w14:ligatures w14:val="standardContextual"/>
            </w:rPr>
          </w:pPr>
          <w:hyperlink w:anchor="_Toc211627803" w:history="1">
            <w:r w:rsidRPr="002E4524">
              <w:rPr>
                <w:rStyle w:val="Hyperlink"/>
              </w:rPr>
              <w:t>ASIC initiatives to support and review audit quality</w:t>
            </w:r>
            <w:r>
              <w:rPr>
                <w:webHidden/>
              </w:rPr>
              <w:tab/>
            </w:r>
            <w:r>
              <w:rPr>
                <w:webHidden/>
              </w:rPr>
              <w:fldChar w:fldCharType="begin"/>
            </w:r>
            <w:r>
              <w:rPr>
                <w:webHidden/>
              </w:rPr>
              <w:instrText xml:space="preserve"> PAGEREF _Toc211627803 \h </w:instrText>
            </w:r>
            <w:r>
              <w:rPr>
                <w:webHidden/>
              </w:rPr>
            </w:r>
            <w:r>
              <w:rPr>
                <w:webHidden/>
              </w:rPr>
              <w:fldChar w:fldCharType="separate"/>
            </w:r>
            <w:r w:rsidR="007422F3">
              <w:rPr>
                <w:webHidden/>
              </w:rPr>
              <w:t>19</w:t>
            </w:r>
            <w:r>
              <w:rPr>
                <w:webHidden/>
              </w:rPr>
              <w:fldChar w:fldCharType="end"/>
            </w:r>
          </w:hyperlink>
        </w:p>
        <w:p w14:paraId="473790A8" w14:textId="64F82BCA" w:rsidR="001E4CCB" w:rsidRDefault="001E4CCB">
          <w:pPr>
            <w:pStyle w:val="TOC2"/>
            <w:rPr>
              <w:rFonts w:asciiTheme="minorHAnsi" w:eastAsiaTheme="minorEastAsia" w:hAnsiTheme="minorHAnsi" w:cstheme="minorBidi"/>
              <w:color w:val="auto"/>
              <w:kern w:val="2"/>
              <w:sz w:val="24"/>
              <w:szCs w:val="24"/>
              <w14:ligatures w14:val="standardContextual"/>
            </w:rPr>
          </w:pPr>
          <w:hyperlink w:anchor="_Toc211627804" w:history="1">
            <w:r w:rsidRPr="002E4524">
              <w:rPr>
                <w:rStyle w:val="Hyperlink"/>
              </w:rPr>
              <w:t>ASIC financial reporting and audit surveillance program</w:t>
            </w:r>
            <w:r>
              <w:rPr>
                <w:webHidden/>
              </w:rPr>
              <w:tab/>
            </w:r>
            <w:r>
              <w:rPr>
                <w:webHidden/>
              </w:rPr>
              <w:fldChar w:fldCharType="begin"/>
            </w:r>
            <w:r>
              <w:rPr>
                <w:webHidden/>
              </w:rPr>
              <w:instrText xml:space="preserve"> PAGEREF _Toc211627804 \h </w:instrText>
            </w:r>
            <w:r>
              <w:rPr>
                <w:webHidden/>
              </w:rPr>
            </w:r>
            <w:r>
              <w:rPr>
                <w:webHidden/>
              </w:rPr>
              <w:fldChar w:fldCharType="separate"/>
            </w:r>
            <w:r w:rsidR="007422F3">
              <w:rPr>
                <w:webHidden/>
              </w:rPr>
              <w:t>19</w:t>
            </w:r>
            <w:r>
              <w:rPr>
                <w:webHidden/>
              </w:rPr>
              <w:fldChar w:fldCharType="end"/>
            </w:r>
          </w:hyperlink>
        </w:p>
        <w:p w14:paraId="39B55CDE" w14:textId="6C08572C" w:rsidR="001E4CCB" w:rsidRDefault="001E4CCB">
          <w:pPr>
            <w:pStyle w:val="TOC2"/>
            <w:rPr>
              <w:rFonts w:asciiTheme="minorHAnsi" w:eastAsiaTheme="minorEastAsia" w:hAnsiTheme="minorHAnsi" w:cstheme="minorBidi"/>
              <w:color w:val="auto"/>
              <w:kern w:val="2"/>
              <w:sz w:val="24"/>
              <w:szCs w:val="24"/>
              <w14:ligatures w14:val="standardContextual"/>
            </w:rPr>
          </w:pPr>
          <w:hyperlink w:anchor="_Toc211627805" w:history="1">
            <w:r w:rsidRPr="002E4524">
              <w:rPr>
                <w:rStyle w:val="Hyperlink"/>
              </w:rPr>
              <w:t>ASIC surveillance on auditor independence and conflicts of interest</w:t>
            </w:r>
            <w:r>
              <w:rPr>
                <w:webHidden/>
              </w:rPr>
              <w:tab/>
            </w:r>
            <w:r>
              <w:rPr>
                <w:webHidden/>
              </w:rPr>
              <w:fldChar w:fldCharType="begin"/>
            </w:r>
            <w:r>
              <w:rPr>
                <w:webHidden/>
              </w:rPr>
              <w:instrText xml:space="preserve"> PAGEREF _Toc211627805 \h </w:instrText>
            </w:r>
            <w:r>
              <w:rPr>
                <w:webHidden/>
              </w:rPr>
            </w:r>
            <w:r>
              <w:rPr>
                <w:webHidden/>
              </w:rPr>
              <w:fldChar w:fldCharType="separate"/>
            </w:r>
            <w:r w:rsidR="007422F3">
              <w:rPr>
                <w:webHidden/>
              </w:rPr>
              <w:t>20</w:t>
            </w:r>
            <w:r>
              <w:rPr>
                <w:webHidden/>
              </w:rPr>
              <w:fldChar w:fldCharType="end"/>
            </w:r>
          </w:hyperlink>
        </w:p>
        <w:p w14:paraId="7DB87056" w14:textId="37E22E03" w:rsidR="001E4CCB" w:rsidRDefault="001E4CCB">
          <w:pPr>
            <w:pStyle w:val="TOC2"/>
            <w:rPr>
              <w:rFonts w:asciiTheme="minorHAnsi" w:eastAsiaTheme="minorEastAsia" w:hAnsiTheme="minorHAnsi" w:cstheme="minorBidi"/>
              <w:color w:val="auto"/>
              <w:kern w:val="2"/>
              <w:sz w:val="24"/>
              <w:szCs w:val="24"/>
              <w14:ligatures w14:val="standardContextual"/>
            </w:rPr>
          </w:pPr>
          <w:hyperlink w:anchor="_Toc211627806" w:history="1">
            <w:r w:rsidRPr="002E4524">
              <w:rPr>
                <w:rStyle w:val="Hyperlink"/>
              </w:rPr>
              <w:t>ASIC auditor enforcement activities</w:t>
            </w:r>
            <w:r>
              <w:rPr>
                <w:webHidden/>
              </w:rPr>
              <w:tab/>
            </w:r>
            <w:r>
              <w:rPr>
                <w:webHidden/>
              </w:rPr>
              <w:fldChar w:fldCharType="begin"/>
            </w:r>
            <w:r>
              <w:rPr>
                <w:webHidden/>
              </w:rPr>
              <w:instrText xml:space="preserve"> PAGEREF _Toc211627806 \h </w:instrText>
            </w:r>
            <w:r>
              <w:rPr>
                <w:webHidden/>
              </w:rPr>
            </w:r>
            <w:r>
              <w:rPr>
                <w:webHidden/>
              </w:rPr>
              <w:fldChar w:fldCharType="separate"/>
            </w:r>
            <w:r w:rsidR="007422F3">
              <w:rPr>
                <w:webHidden/>
              </w:rPr>
              <w:t>21</w:t>
            </w:r>
            <w:r>
              <w:rPr>
                <w:webHidden/>
              </w:rPr>
              <w:fldChar w:fldCharType="end"/>
            </w:r>
          </w:hyperlink>
        </w:p>
        <w:p w14:paraId="27BA7C38" w14:textId="22F96A40" w:rsidR="001E4CCB" w:rsidRDefault="001E4CCB">
          <w:pPr>
            <w:pStyle w:val="TOC2"/>
            <w:rPr>
              <w:rFonts w:asciiTheme="minorHAnsi" w:eastAsiaTheme="minorEastAsia" w:hAnsiTheme="minorHAnsi" w:cstheme="minorBidi"/>
              <w:color w:val="auto"/>
              <w:kern w:val="2"/>
              <w:sz w:val="24"/>
              <w:szCs w:val="24"/>
              <w14:ligatures w14:val="standardContextual"/>
            </w:rPr>
          </w:pPr>
          <w:hyperlink w:anchor="_Toc211627807" w:history="1">
            <w:r w:rsidRPr="002E4524">
              <w:rPr>
                <w:rStyle w:val="Hyperlink"/>
              </w:rPr>
              <w:t>ASIC stakeholder engagement</w:t>
            </w:r>
            <w:r>
              <w:rPr>
                <w:webHidden/>
              </w:rPr>
              <w:tab/>
            </w:r>
            <w:r>
              <w:rPr>
                <w:webHidden/>
              </w:rPr>
              <w:fldChar w:fldCharType="begin"/>
            </w:r>
            <w:r>
              <w:rPr>
                <w:webHidden/>
              </w:rPr>
              <w:instrText xml:space="preserve"> PAGEREF _Toc211627807 \h </w:instrText>
            </w:r>
            <w:r>
              <w:rPr>
                <w:webHidden/>
              </w:rPr>
            </w:r>
            <w:r>
              <w:rPr>
                <w:webHidden/>
              </w:rPr>
              <w:fldChar w:fldCharType="separate"/>
            </w:r>
            <w:r w:rsidR="007422F3">
              <w:rPr>
                <w:webHidden/>
              </w:rPr>
              <w:t>21</w:t>
            </w:r>
            <w:r>
              <w:rPr>
                <w:webHidden/>
              </w:rPr>
              <w:fldChar w:fldCharType="end"/>
            </w:r>
          </w:hyperlink>
        </w:p>
        <w:p w14:paraId="383C3641" w14:textId="2E88F98A" w:rsidR="001E4CCB" w:rsidRDefault="001E4CCB">
          <w:pPr>
            <w:pStyle w:val="TOC2"/>
            <w:rPr>
              <w:rFonts w:asciiTheme="minorHAnsi" w:eastAsiaTheme="minorEastAsia" w:hAnsiTheme="minorHAnsi" w:cstheme="minorBidi"/>
              <w:color w:val="auto"/>
              <w:kern w:val="2"/>
              <w:sz w:val="24"/>
              <w:szCs w:val="24"/>
              <w14:ligatures w14:val="standardContextual"/>
            </w:rPr>
          </w:pPr>
          <w:hyperlink w:anchor="_Toc211627808" w:history="1">
            <w:r w:rsidRPr="002E4524">
              <w:rPr>
                <w:rStyle w:val="Hyperlink"/>
              </w:rPr>
              <w:t>Professional accounting bodies</w:t>
            </w:r>
            <w:r>
              <w:rPr>
                <w:webHidden/>
              </w:rPr>
              <w:tab/>
            </w:r>
            <w:r>
              <w:rPr>
                <w:webHidden/>
              </w:rPr>
              <w:fldChar w:fldCharType="begin"/>
            </w:r>
            <w:r>
              <w:rPr>
                <w:webHidden/>
              </w:rPr>
              <w:instrText xml:space="preserve"> PAGEREF _Toc211627808 \h </w:instrText>
            </w:r>
            <w:r>
              <w:rPr>
                <w:webHidden/>
              </w:rPr>
            </w:r>
            <w:r>
              <w:rPr>
                <w:webHidden/>
              </w:rPr>
              <w:fldChar w:fldCharType="separate"/>
            </w:r>
            <w:r w:rsidR="007422F3">
              <w:rPr>
                <w:webHidden/>
              </w:rPr>
              <w:t>21</w:t>
            </w:r>
            <w:r>
              <w:rPr>
                <w:webHidden/>
              </w:rPr>
              <w:fldChar w:fldCharType="end"/>
            </w:r>
          </w:hyperlink>
        </w:p>
        <w:p w14:paraId="78FA2125" w14:textId="45B63880" w:rsidR="001E4CCB" w:rsidRDefault="001E4CCB">
          <w:pPr>
            <w:pStyle w:val="TOC2"/>
            <w:rPr>
              <w:rFonts w:asciiTheme="minorHAnsi" w:eastAsiaTheme="minorEastAsia" w:hAnsiTheme="minorHAnsi" w:cstheme="minorBidi"/>
              <w:color w:val="auto"/>
              <w:kern w:val="2"/>
              <w:sz w:val="24"/>
              <w:szCs w:val="24"/>
              <w14:ligatures w14:val="standardContextual"/>
            </w:rPr>
          </w:pPr>
          <w:hyperlink w:anchor="_Toc211627809" w:history="1">
            <w:r w:rsidRPr="002E4524">
              <w:rPr>
                <w:rStyle w:val="Hyperlink"/>
              </w:rPr>
              <w:t>CA ANZ</w:t>
            </w:r>
            <w:r>
              <w:rPr>
                <w:webHidden/>
              </w:rPr>
              <w:tab/>
            </w:r>
            <w:r>
              <w:rPr>
                <w:webHidden/>
              </w:rPr>
              <w:fldChar w:fldCharType="begin"/>
            </w:r>
            <w:r>
              <w:rPr>
                <w:webHidden/>
              </w:rPr>
              <w:instrText xml:space="preserve"> PAGEREF _Toc211627809 \h </w:instrText>
            </w:r>
            <w:r>
              <w:rPr>
                <w:webHidden/>
              </w:rPr>
            </w:r>
            <w:r>
              <w:rPr>
                <w:webHidden/>
              </w:rPr>
              <w:fldChar w:fldCharType="separate"/>
            </w:r>
            <w:r w:rsidR="007422F3">
              <w:rPr>
                <w:webHidden/>
              </w:rPr>
              <w:t>21</w:t>
            </w:r>
            <w:r>
              <w:rPr>
                <w:webHidden/>
              </w:rPr>
              <w:fldChar w:fldCharType="end"/>
            </w:r>
          </w:hyperlink>
        </w:p>
        <w:p w14:paraId="2ED677DC" w14:textId="68123A92" w:rsidR="001E4CCB" w:rsidRDefault="001E4CCB">
          <w:pPr>
            <w:pStyle w:val="TOC2"/>
            <w:rPr>
              <w:rFonts w:asciiTheme="minorHAnsi" w:eastAsiaTheme="minorEastAsia" w:hAnsiTheme="minorHAnsi" w:cstheme="minorBidi"/>
              <w:color w:val="auto"/>
              <w:kern w:val="2"/>
              <w:sz w:val="24"/>
              <w:szCs w:val="24"/>
              <w14:ligatures w14:val="standardContextual"/>
            </w:rPr>
          </w:pPr>
          <w:hyperlink w:anchor="_Toc211627810" w:history="1">
            <w:r w:rsidRPr="002E4524">
              <w:rPr>
                <w:rStyle w:val="Hyperlink"/>
              </w:rPr>
              <w:t>CPA</w:t>
            </w:r>
            <w:r>
              <w:rPr>
                <w:webHidden/>
              </w:rPr>
              <w:tab/>
            </w:r>
            <w:r>
              <w:rPr>
                <w:webHidden/>
              </w:rPr>
              <w:fldChar w:fldCharType="begin"/>
            </w:r>
            <w:r>
              <w:rPr>
                <w:webHidden/>
              </w:rPr>
              <w:instrText xml:space="preserve"> PAGEREF _Toc211627810 \h </w:instrText>
            </w:r>
            <w:r>
              <w:rPr>
                <w:webHidden/>
              </w:rPr>
            </w:r>
            <w:r>
              <w:rPr>
                <w:webHidden/>
              </w:rPr>
              <w:fldChar w:fldCharType="separate"/>
            </w:r>
            <w:r w:rsidR="007422F3">
              <w:rPr>
                <w:webHidden/>
              </w:rPr>
              <w:t>23</w:t>
            </w:r>
            <w:r>
              <w:rPr>
                <w:webHidden/>
              </w:rPr>
              <w:fldChar w:fldCharType="end"/>
            </w:r>
          </w:hyperlink>
        </w:p>
        <w:p w14:paraId="74C110A7" w14:textId="3F147D8B" w:rsidR="001E4CCB" w:rsidRDefault="001E4CCB">
          <w:pPr>
            <w:pStyle w:val="TOC2"/>
            <w:rPr>
              <w:rFonts w:asciiTheme="minorHAnsi" w:eastAsiaTheme="minorEastAsia" w:hAnsiTheme="minorHAnsi" w:cstheme="minorBidi"/>
              <w:color w:val="auto"/>
              <w:kern w:val="2"/>
              <w:sz w:val="24"/>
              <w:szCs w:val="24"/>
              <w14:ligatures w14:val="standardContextual"/>
            </w:rPr>
          </w:pPr>
          <w:hyperlink w:anchor="_Toc211627811" w:history="1">
            <w:r w:rsidRPr="002E4524">
              <w:rPr>
                <w:rStyle w:val="Hyperlink"/>
              </w:rPr>
              <w:t>IPA</w:t>
            </w:r>
            <w:r>
              <w:rPr>
                <w:webHidden/>
              </w:rPr>
              <w:tab/>
            </w:r>
            <w:r>
              <w:rPr>
                <w:webHidden/>
              </w:rPr>
              <w:fldChar w:fldCharType="begin"/>
            </w:r>
            <w:r>
              <w:rPr>
                <w:webHidden/>
              </w:rPr>
              <w:instrText xml:space="preserve"> PAGEREF _Toc211627811 \h </w:instrText>
            </w:r>
            <w:r>
              <w:rPr>
                <w:webHidden/>
              </w:rPr>
            </w:r>
            <w:r>
              <w:rPr>
                <w:webHidden/>
              </w:rPr>
              <w:fldChar w:fldCharType="separate"/>
            </w:r>
            <w:r w:rsidR="007422F3">
              <w:rPr>
                <w:webHidden/>
              </w:rPr>
              <w:t>23</w:t>
            </w:r>
            <w:r>
              <w:rPr>
                <w:webHidden/>
              </w:rPr>
              <w:fldChar w:fldCharType="end"/>
            </w:r>
          </w:hyperlink>
        </w:p>
        <w:p w14:paraId="2DA8DFCA" w14:textId="3BAB2794" w:rsidR="001E4CCB" w:rsidRDefault="001E4CCB">
          <w:pPr>
            <w:pStyle w:val="TOC1"/>
            <w:rPr>
              <w:rFonts w:asciiTheme="minorHAnsi" w:eastAsiaTheme="minorEastAsia" w:hAnsiTheme="minorHAnsi" w:cstheme="minorBidi"/>
              <w:b w:val="0"/>
              <w:color w:val="auto"/>
              <w:kern w:val="2"/>
              <w:sz w:val="24"/>
              <w:szCs w:val="24"/>
              <w14:ligatures w14:val="standardContextual"/>
            </w:rPr>
          </w:pPr>
          <w:hyperlink w:anchor="_Toc211627812" w:history="1">
            <w:r w:rsidRPr="002E4524">
              <w:rPr>
                <w:rStyle w:val="Hyperlink"/>
              </w:rPr>
              <w:t>FRC Nominations Committee</w:t>
            </w:r>
            <w:r>
              <w:rPr>
                <w:webHidden/>
              </w:rPr>
              <w:tab/>
            </w:r>
            <w:r>
              <w:rPr>
                <w:webHidden/>
              </w:rPr>
              <w:fldChar w:fldCharType="begin"/>
            </w:r>
            <w:r>
              <w:rPr>
                <w:webHidden/>
              </w:rPr>
              <w:instrText xml:space="preserve"> PAGEREF _Toc211627812 \h </w:instrText>
            </w:r>
            <w:r>
              <w:rPr>
                <w:webHidden/>
              </w:rPr>
            </w:r>
            <w:r>
              <w:rPr>
                <w:webHidden/>
              </w:rPr>
              <w:fldChar w:fldCharType="separate"/>
            </w:r>
            <w:r w:rsidR="007422F3">
              <w:rPr>
                <w:webHidden/>
              </w:rPr>
              <w:t>27</w:t>
            </w:r>
            <w:r>
              <w:rPr>
                <w:webHidden/>
              </w:rPr>
              <w:fldChar w:fldCharType="end"/>
            </w:r>
          </w:hyperlink>
        </w:p>
        <w:p w14:paraId="429E0B72" w14:textId="620EF2C4" w:rsidR="001E4CCB" w:rsidRDefault="001E4CCB">
          <w:pPr>
            <w:pStyle w:val="TOC2"/>
            <w:rPr>
              <w:rFonts w:asciiTheme="minorHAnsi" w:eastAsiaTheme="minorEastAsia" w:hAnsiTheme="minorHAnsi" w:cstheme="minorBidi"/>
              <w:color w:val="auto"/>
              <w:kern w:val="2"/>
              <w:sz w:val="24"/>
              <w:szCs w:val="24"/>
              <w14:ligatures w14:val="standardContextual"/>
            </w:rPr>
          </w:pPr>
          <w:hyperlink w:anchor="_Toc211627813" w:history="1">
            <w:r w:rsidRPr="002E4524">
              <w:rPr>
                <w:rStyle w:val="Hyperlink"/>
              </w:rPr>
              <w:t>FRC Nominations Committee members</w:t>
            </w:r>
            <w:r>
              <w:rPr>
                <w:webHidden/>
              </w:rPr>
              <w:tab/>
            </w:r>
            <w:r>
              <w:rPr>
                <w:webHidden/>
              </w:rPr>
              <w:fldChar w:fldCharType="begin"/>
            </w:r>
            <w:r>
              <w:rPr>
                <w:webHidden/>
              </w:rPr>
              <w:instrText xml:space="preserve"> PAGEREF _Toc211627813 \h </w:instrText>
            </w:r>
            <w:r>
              <w:rPr>
                <w:webHidden/>
              </w:rPr>
            </w:r>
            <w:r>
              <w:rPr>
                <w:webHidden/>
              </w:rPr>
              <w:fldChar w:fldCharType="separate"/>
            </w:r>
            <w:r w:rsidR="007422F3">
              <w:rPr>
                <w:webHidden/>
              </w:rPr>
              <w:t>27</w:t>
            </w:r>
            <w:r>
              <w:rPr>
                <w:webHidden/>
              </w:rPr>
              <w:fldChar w:fldCharType="end"/>
            </w:r>
          </w:hyperlink>
        </w:p>
        <w:p w14:paraId="4429DDB2" w14:textId="4B215B71" w:rsidR="001E4CCB" w:rsidRDefault="001E4CCB">
          <w:pPr>
            <w:pStyle w:val="TOC2"/>
            <w:rPr>
              <w:rFonts w:asciiTheme="minorHAnsi" w:eastAsiaTheme="minorEastAsia" w:hAnsiTheme="minorHAnsi" w:cstheme="minorBidi"/>
              <w:color w:val="auto"/>
              <w:kern w:val="2"/>
              <w:sz w:val="24"/>
              <w:szCs w:val="24"/>
              <w14:ligatures w14:val="standardContextual"/>
            </w:rPr>
          </w:pPr>
          <w:hyperlink w:anchor="_Toc211627814" w:history="1">
            <w:r w:rsidRPr="002E4524">
              <w:rPr>
                <w:rStyle w:val="Hyperlink"/>
              </w:rPr>
              <w:t>Operations of the FRC Nominations Committee</w:t>
            </w:r>
            <w:r>
              <w:rPr>
                <w:webHidden/>
              </w:rPr>
              <w:tab/>
            </w:r>
            <w:r>
              <w:rPr>
                <w:webHidden/>
              </w:rPr>
              <w:fldChar w:fldCharType="begin"/>
            </w:r>
            <w:r>
              <w:rPr>
                <w:webHidden/>
              </w:rPr>
              <w:instrText xml:space="preserve"> PAGEREF _Toc211627814 \h </w:instrText>
            </w:r>
            <w:r>
              <w:rPr>
                <w:webHidden/>
              </w:rPr>
            </w:r>
            <w:r>
              <w:rPr>
                <w:webHidden/>
              </w:rPr>
              <w:fldChar w:fldCharType="separate"/>
            </w:r>
            <w:r w:rsidR="007422F3">
              <w:rPr>
                <w:webHidden/>
              </w:rPr>
              <w:t>27</w:t>
            </w:r>
            <w:r>
              <w:rPr>
                <w:webHidden/>
              </w:rPr>
              <w:fldChar w:fldCharType="end"/>
            </w:r>
          </w:hyperlink>
        </w:p>
        <w:p w14:paraId="152AC1DE" w14:textId="05CC7AC3" w:rsidR="001E4CCB" w:rsidRDefault="001E4CCB">
          <w:pPr>
            <w:pStyle w:val="TOC2"/>
            <w:rPr>
              <w:rFonts w:asciiTheme="minorHAnsi" w:eastAsiaTheme="minorEastAsia" w:hAnsiTheme="minorHAnsi" w:cstheme="minorBidi"/>
              <w:color w:val="auto"/>
              <w:kern w:val="2"/>
              <w:sz w:val="24"/>
              <w:szCs w:val="24"/>
              <w14:ligatures w14:val="standardContextual"/>
            </w:rPr>
          </w:pPr>
          <w:hyperlink w:anchor="_Toc211627815" w:history="1">
            <w:r w:rsidRPr="002E4524">
              <w:rPr>
                <w:rStyle w:val="Hyperlink"/>
              </w:rPr>
              <w:t>Appointment of members to the AASB and AUASB</w:t>
            </w:r>
            <w:r>
              <w:rPr>
                <w:webHidden/>
              </w:rPr>
              <w:tab/>
            </w:r>
            <w:r>
              <w:rPr>
                <w:webHidden/>
              </w:rPr>
              <w:fldChar w:fldCharType="begin"/>
            </w:r>
            <w:r>
              <w:rPr>
                <w:webHidden/>
              </w:rPr>
              <w:instrText xml:space="preserve"> PAGEREF _Toc211627815 \h </w:instrText>
            </w:r>
            <w:r>
              <w:rPr>
                <w:webHidden/>
              </w:rPr>
            </w:r>
            <w:r>
              <w:rPr>
                <w:webHidden/>
              </w:rPr>
              <w:fldChar w:fldCharType="separate"/>
            </w:r>
            <w:r w:rsidR="007422F3">
              <w:rPr>
                <w:webHidden/>
              </w:rPr>
              <w:t>27</w:t>
            </w:r>
            <w:r>
              <w:rPr>
                <w:webHidden/>
              </w:rPr>
              <w:fldChar w:fldCharType="end"/>
            </w:r>
          </w:hyperlink>
        </w:p>
        <w:p w14:paraId="245C3113" w14:textId="6675EA2F" w:rsidR="001E4CCB" w:rsidRDefault="001E4CCB">
          <w:pPr>
            <w:pStyle w:val="TOC2"/>
            <w:rPr>
              <w:rFonts w:asciiTheme="minorHAnsi" w:eastAsiaTheme="minorEastAsia" w:hAnsiTheme="minorHAnsi" w:cstheme="minorBidi"/>
              <w:color w:val="auto"/>
              <w:kern w:val="2"/>
              <w:sz w:val="24"/>
              <w:szCs w:val="24"/>
              <w14:ligatures w14:val="standardContextual"/>
            </w:rPr>
          </w:pPr>
          <w:hyperlink w:anchor="_Toc211627816" w:history="1">
            <w:r w:rsidRPr="002E4524">
              <w:rPr>
                <w:rStyle w:val="Hyperlink"/>
              </w:rPr>
              <w:t>Attendance at FRC Nominations Committee meetings</w:t>
            </w:r>
            <w:r>
              <w:rPr>
                <w:webHidden/>
              </w:rPr>
              <w:tab/>
            </w:r>
            <w:r>
              <w:rPr>
                <w:webHidden/>
              </w:rPr>
              <w:fldChar w:fldCharType="begin"/>
            </w:r>
            <w:r>
              <w:rPr>
                <w:webHidden/>
              </w:rPr>
              <w:instrText xml:space="preserve"> PAGEREF _Toc211627816 \h </w:instrText>
            </w:r>
            <w:r>
              <w:rPr>
                <w:webHidden/>
              </w:rPr>
            </w:r>
            <w:r>
              <w:rPr>
                <w:webHidden/>
              </w:rPr>
              <w:fldChar w:fldCharType="separate"/>
            </w:r>
            <w:r w:rsidR="007422F3">
              <w:rPr>
                <w:webHidden/>
              </w:rPr>
              <w:t>28</w:t>
            </w:r>
            <w:r>
              <w:rPr>
                <w:webHidden/>
              </w:rPr>
              <w:fldChar w:fldCharType="end"/>
            </w:r>
          </w:hyperlink>
        </w:p>
        <w:p w14:paraId="7FD36E0E" w14:textId="6EDE455C" w:rsidR="001E4CCB" w:rsidRDefault="001E4CCB">
          <w:pPr>
            <w:pStyle w:val="TOC1"/>
            <w:rPr>
              <w:rFonts w:asciiTheme="minorHAnsi" w:eastAsiaTheme="minorEastAsia" w:hAnsiTheme="minorHAnsi" w:cstheme="minorBidi"/>
              <w:b w:val="0"/>
              <w:color w:val="auto"/>
              <w:kern w:val="2"/>
              <w:sz w:val="24"/>
              <w:szCs w:val="24"/>
              <w14:ligatures w14:val="standardContextual"/>
            </w:rPr>
          </w:pPr>
          <w:hyperlink w:anchor="_Toc211627817" w:history="1">
            <w:r w:rsidRPr="002E4524">
              <w:rPr>
                <w:rStyle w:val="Hyperlink"/>
              </w:rPr>
              <w:t>FRC Public Sector Advisory Group (PSAG)</w:t>
            </w:r>
            <w:r>
              <w:rPr>
                <w:webHidden/>
              </w:rPr>
              <w:tab/>
            </w:r>
            <w:r>
              <w:rPr>
                <w:webHidden/>
              </w:rPr>
              <w:fldChar w:fldCharType="begin"/>
            </w:r>
            <w:r>
              <w:rPr>
                <w:webHidden/>
              </w:rPr>
              <w:instrText xml:space="preserve"> PAGEREF _Toc211627817 \h </w:instrText>
            </w:r>
            <w:r>
              <w:rPr>
                <w:webHidden/>
              </w:rPr>
            </w:r>
            <w:r>
              <w:rPr>
                <w:webHidden/>
              </w:rPr>
              <w:fldChar w:fldCharType="separate"/>
            </w:r>
            <w:r w:rsidR="007422F3">
              <w:rPr>
                <w:webHidden/>
              </w:rPr>
              <w:t>29</w:t>
            </w:r>
            <w:r>
              <w:rPr>
                <w:webHidden/>
              </w:rPr>
              <w:fldChar w:fldCharType="end"/>
            </w:r>
          </w:hyperlink>
        </w:p>
        <w:p w14:paraId="6D320C37" w14:textId="564B8C57" w:rsidR="001E4CCB" w:rsidRDefault="001E4CCB">
          <w:pPr>
            <w:pStyle w:val="TOC2"/>
            <w:rPr>
              <w:rFonts w:asciiTheme="minorHAnsi" w:eastAsiaTheme="minorEastAsia" w:hAnsiTheme="minorHAnsi" w:cstheme="minorBidi"/>
              <w:color w:val="auto"/>
              <w:kern w:val="2"/>
              <w:sz w:val="24"/>
              <w:szCs w:val="24"/>
              <w14:ligatures w14:val="standardContextual"/>
            </w:rPr>
          </w:pPr>
          <w:hyperlink w:anchor="_Toc211627818" w:history="1">
            <w:r w:rsidRPr="002E4524">
              <w:rPr>
                <w:rStyle w:val="Hyperlink"/>
              </w:rPr>
              <w:t>PSAG focus areas for 2024–25</w:t>
            </w:r>
            <w:r>
              <w:rPr>
                <w:webHidden/>
              </w:rPr>
              <w:tab/>
            </w:r>
            <w:r>
              <w:rPr>
                <w:webHidden/>
              </w:rPr>
              <w:fldChar w:fldCharType="begin"/>
            </w:r>
            <w:r>
              <w:rPr>
                <w:webHidden/>
              </w:rPr>
              <w:instrText xml:space="preserve"> PAGEREF _Toc211627818 \h </w:instrText>
            </w:r>
            <w:r>
              <w:rPr>
                <w:webHidden/>
              </w:rPr>
            </w:r>
            <w:r>
              <w:rPr>
                <w:webHidden/>
              </w:rPr>
              <w:fldChar w:fldCharType="separate"/>
            </w:r>
            <w:r w:rsidR="007422F3">
              <w:rPr>
                <w:webHidden/>
              </w:rPr>
              <w:t>29</w:t>
            </w:r>
            <w:r>
              <w:rPr>
                <w:webHidden/>
              </w:rPr>
              <w:fldChar w:fldCharType="end"/>
            </w:r>
          </w:hyperlink>
        </w:p>
        <w:p w14:paraId="72B057A9" w14:textId="77777777" w:rsidR="001E4CCB" w:rsidRDefault="001E4CCB">
          <w:pPr>
            <w:pStyle w:val="TOC1"/>
            <w:rPr>
              <w:rStyle w:val="Hyperlink"/>
            </w:rPr>
          </w:pPr>
          <w:r>
            <w:rPr>
              <w:rStyle w:val="Hyperlink"/>
            </w:rPr>
            <w:br w:type="page"/>
          </w:r>
        </w:p>
        <w:p w14:paraId="340B8102" w14:textId="468FE124" w:rsidR="001E4CCB" w:rsidRDefault="001E4CCB">
          <w:pPr>
            <w:pStyle w:val="TOC1"/>
            <w:rPr>
              <w:rFonts w:asciiTheme="minorHAnsi" w:eastAsiaTheme="minorEastAsia" w:hAnsiTheme="minorHAnsi" w:cstheme="minorBidi"/>
              <w:b w:val="0"/>
              <w:color w:val="auto"/>
              <w:kern w:val="2"/>
              <w:sz w:val="24"/>
              <w:szCs w:val="24"/>
              <w14:ligatures w14:val="standardContextual"/>
            </w:rPr>
          </w:pPr>
          <w:hyperlink w:anchor="_Toc211627819" w:history="1">
            <w:r w:rsidRPr="002E4524">
              <w:rPr>
                <w:rStyle w:val="Hyperlink"/>
              </w:rPr>
              <w:t>FRC membership</w:t>
            </w:r>
            <w:r>
              <w:rPr>
                <w:webHidden/>
              </w:rPr>
              <w:tab/>
            </w:r>
            <w:r>
              <w:rPr>
                <w:webHidden/>
              </w:rPr>
              <w:fldChar w:fldCharType="begin"/>
            </w:r>
            <w:r>
              <w:rPr>
                <w:webHidden/>
              </w:rPr>
              <w:instrText xml:space="preserve"> PAGEREF _Toc211627819 \h </w:instrText>
            </w:r>
            <w:r>
              <w:rPr>
                <w:webHidden/>
              </w:rPr>
            </w:r>
            <w:r>
              <w:rPr>
                <w:webHidden/>
              </w:rPr>
              <w:fldChar w:fldCharType="separate"/>
            </w:r>
            <w:r w:rsidR="007422F3">
              <w:rPr>
                <w:webHidden/>
              </w:rPr>
              <w:t>30</w:t>
            </w:r>
            <w:r>
              <w:rPr>
                <w:webHidden/>
              </w:rPr>
              <w:fldChar w:fldCharType="end"/>
            </w:r>
          </w:hyperlink>
        </w:p>
        <w:p w14:paraId="3860FA46" w14:textId="4065C19B" w:rsidR="001E4CCB" w:rsidRDefault="001E4CCB">
          <w:pPr>
            <w:pStyle w:val="TOC2"/>
            <w:rPr>
              <w:rFonts w:asciiTheme="minorHAnsi" w:eastAsiaTheme="minorEastAsia" w:hAnsiTheme="minorHAnsi" w:cstheme="minorBidi"/>
              <w:color w:val="auto"/>
              <w:kern w:val="2"/>
              <w:sz w:val="24"/>
              <w:szCs w:val="24"/>
              <w14:ligatures w14:val="standardContextual"/>
            </w:rPr>
          </w:pPr>
          <w:hyperlink w:anchor="_Toc211627820" w:history="1">
            <w:r w:rsidRPr="002E4524">
              <w:rPr>
                <w:rStyle w:val="Hyperlink"/>
              </w:rPr>
              <w:t>FRC members</w:t>
            </w:r>
            <w:r>
              <w:rPr>
                <w:webHidden/>
              </w:rPr>
              <w:tab/>
            </w:r>
            <w:r>
              <w:rPr>
                <w:webHidden/>
              </w:rPr>
              <w:fldChar w:fldCharType="begin"/>
            </w:r>
            <w:r>
              <w:rPr>
                <w:webHidden/>
              </w:rPr>
              <w:instrText xml:space="preserve"> PAGEREF _Toc211627820 \h </w:instrText>
            </w:r>
            <w:r>
              <w:rPr>
                <w:webHidden/>
              </w:rPr>
            </w:r>
            <w:r>
              <w:rPr>
                <w:webHidden/>
              </w:rPr>
              <w:fldChar w:fldCharType="separate"/>
            </w:r>
            <w:r w:rsidR="007422F3">
              <w:rPr>
                <w:webHidden/>
              </w:rPr>
              <w:t>30</w:t>
            </w:r>
            <w:r>
              <w:rPr>
                <w:webHidden/>
              </w:rPr>
              <w:fldChar w:fldCharType="end"/>
            </w:r>
          </w:hyperlink>
        </w:p>
        <w:p w14:paraId="7B6E3361" w14:textId="29E06B1D" w:rsidR="001E4CCB" w:rsidRDefault="001E4CCB">
          <w:pPr>
            <w:pStyle w:val="TOC2"/>
            <w:rPr>
              <w:rFonts w:asciiTheme="minorHAnsi" w:eastAsiaTheme="minorEastAsia" w:hAnsiTheme="minorHAnsi" w:cstheme="minorBidi"/>
              <w:color w:val="auto"/>
              <w:kern w:val="2"/>
              <w:sz w:val="24"/>
              <w:szCs w:val="24"/>
              <w14:ligatures w14:val="standardContextual"/>
            </w:rPr>
          </w:pPr>
          <w:hyperlink w:anchor="_Toc211627821" w:history="1">
            <w:r w:rsidRPr="002E4524">
              <w:rPr>
                <w:rStyle w:val="Hyperlink"/>
              </w:rPr>
              <w:t>Transparency</w:t>
            </w:r>
            <w:r>
              <w:rPr>
                <w:webHidden/>
              </w:rPr>
              <w:tab/>
            </w:r>
            <w:r>
              <w:rPr>
                <w:webHidden/>
              </w:rPr>
              <w:fldChar w:fldCharType="begin"/>
            </w:r>
            <w:r>
              <w:rPr>
                <w:webHidden/>
              </w:rPr>
              <w:instrText xml:space="preserve"> PAGEREF _Toc211627821 \h </w:instrText>
            </w:r>
            <w:r>
              <w:rPr>
                <w:webHidden/>
              </w:rPr>
            </w:r>
            <w:r>
              <w:rPr>
                <w:webHidden/>
              </w:rPr>
              <w:fldChar w:fldCharType="separate"/>
            </w:r>
            <w:r w:rsidR="007422F3">
              <w:rPr>
                <w:webHidden/>
              </w:rPr>
              <w:t>33</w:t>
            </w:r>
            <w:r>
              <w:rPr>
                <w:webHidden/>
              </w:rPr>
              <w:fldChar w:fldCharType="end"/>
            </w:r>
          </w:hyperlink>
        </w:p>
        <w:p w14:paraId="4DB61C47" w14:textId="1C24C98E" w:rsidR="001E4CCB" w:rsidRDefault="001E4CCB">
          <w:pPr>
            <w:pStyle w:val="TOC2"/>
            <w:rPr>
              <w:rFonts w:asciiTheme="minorHAnsi" w:eastAsiaTheme="minorEastAsia" w:hAnsiTheme="minorHAnsi" w:cstheme="minorBidi"/>
              <w:color w:val="auto"/>
              <w:kern w:val="2"/>
              <w:sz w:val="24"/>
              <w:szCs w:val="24"/>
              <w14:ligatures w14:val="standardContextual"/>
            </w:rPr>
          </w:pPr>
          <w:hyperlink w:anchor="_Toc211627869" w:history="1">
            <w:r w:rsidRPr="002E4524">
              <w:rPr>
                <w:rStyle w:val="Hyperlink"/>
              </w:rPr>
              <w:t>Disclosure and conflict of interests</w:t>
            </w:r>
            <w:r>
              <w:rPr>
                <w:webHidden/>
              </w:rPr>
              <w:tab/>
            </w:r>
            <w:r>
              <w:rPr>
                <w:webHidden/>
              </w:rPr>
              <w:fldChar w:fldCharType="begin"/>
            </w:r>
            <w:r>
              <w:rPr>
                <w:webHidden/>
              </w:rPr>
              <w:instrText xml:space="preserve"> PAGEREF _Toc211627869 \h </w:instrText>
            </w:r>
            <w:r>
              <w:rPr>
                <w:webHidden/>
              </w:rPr>
            </w:r>
            <w:r>
              <w:rPr>
                <w:webHidden/>
              </w:rPr>
              <w:fldChar w:fldCharType="separate"/>
            </w:r>
            <w:r w:rsidR="007422F3">
              <w:rPr>
                <w:webHidden/>
              </w:rPr>
              <w:t>33</w:t>
            </w:r>
            <w:r>
              <w:rPr>
                <w:webHidden/>
              </w:rPr>
              <w:fldChar w:fldCharType="end"/>
            </w:r>
          </w:hyperlink>
        </w:p>
        <w:p w14:paraId="5E67BC5D" w14:textId="6D9E81A9" w:rsidR="001E4CCB" w:rsidRDefault="001E4CCB">
          <w:pPr>
            <w:pStyle w:val="TOC1"/>
            <w:rPr>
              <w:rFonts w:asciiTheme="minorHAnsi" w:eastAsiaTheme="minorEastAsia" w:hAnsiTheme="minorHAnsi" w:cstheme="minorBidi"/>
              <w:b w:val="0"/>
              <w:color w:val="auto"/>
              <w:kern w:val="2"/>
              <w:sz w:val="24"/>
              <w:szCs w:val="24"/>
              <w14:ligatures w14:val="standardContextual"/>
            </w:rPr>
          </w:pPr>
          <w:hyperlink w:anchor="_Toc211627870" w:history="1">
            <w:r w:rsidRPr="002E4524">
              <w:rPr>
                <w:rStyle w:val="Hyperlink"/>
              </w:rPr>
              <w:t>Other matters</w:t>
            </w:r>
            <w:r>
              <w:rPr>
                <w:webHidden/>
              </w:rPr>
              <w:tab/>
            </w:r>
            <w:r>
              <w:rPr>
                <w:webHidden/>
              </w:rPr>
              <w:fldChar w:fldCharType="begin"/>
            </w:r>
            <w:r>
              <w:rPr>
                <w:webHidden/>
              </w:rPr>
              <w:instrText xml:space="preserve"> PAGEREF _Toc211627870 \h </w:instrText>
            </w:r>
            <w:r>
              <w:rPr>
                <w:webHidden/>
              </w:rPr>
            </w:r>
            <w:r>
              <w:rPr>
                <w:webHidden/>
              </w:rPr>
              <w:fldChar w:fldCharType="separate"/>
            </w:r>
            <w:r w:rsidR="007422F3">
              <w:rPr>
                <w:webHidden/>
              </w:rPr>
              <w:t>35</w:t>
            </w:r>
            <w:r>
              <w:rPr>
                <w:webHidden/>
              </w:rPr>
              <w:fldChar w:fldCharType="end"/>
            </w:r>
          </w:hyperlink>
        </w:p>
        <w:p w14:paraId="4CB21D31" w14:textId="1147C61B" w:rsidR="001E4CCB" w:rsidRDefault="001E4CCB">
          <w:pPr>
            <w:pStyle w:val="TOC2"/>
            <w:rPr>
              <w:rFonts w:asciiTheme="minorHAnsi" w:eastAsiaTheme="minorEastAsia" w:hAnsiTheme="minorHAnsi" w:cstheme="minorBidi"/>
              <w:color w:val="auto"/>
              <w:kern w:val="2"/>
              <w:sz w:val="24"/>
              <w:szCs w:val="24"/>
              <w14:ligatures w14:val="standardContextual"/>
            </w:rPr>
          </w:pPr>
          <w:hyperlink w:anchor="_Toc211627871" w:history="1">
            <w:r w:rsidRPr="002E4524">
              <w:rPr>
                <w:rStyle w:val="Hyperlink"/>
              </w:rPr>
              <w:t>Communication and consultation</w:t>
            </w:r>
            <w:r>
              <w:rPr>
                <w:webHidden/>
              </w:rPr>
              <w:tab/>
            </w:r>
            <w:r>
              <w:rPr>
                <w:webHidden/>
              </w:rPr>
              <w:fldChar w:fldCharType="begin"/>
            </w:r>
            <w:r>
              <w:rPr>
                <w:webHidden/>
              </w:rPr>
              <w:instrText xml:space="preserve"> PAGEREF _Toc211627871 \h </w:instrText>
            </w:r>
            <w:r>
              <w:rPr>
                <w:webHidden/>
              </w:rPr>
            </w:r>
            <w:r>
              <w:rPr>
                <w:webHidden/>
              </w:rPr>
              <w:fldChar w:fldCharType="separate"/>
            </w:r>
            <w:r w:rsidR="007422F3">
              <w:rPr>
                <w:webHidden/>
              </w:rPr>
              <w:t>35</w:t>
            </w:r>
            <w:r>
              <w:rPr>
                <w:webHidden/>
              </w:rPr>
              <w:fldChar w:fldCharType="end"/>
            </w:r>
          </w:hyperlink>
        </w:p>
        <w:p w14:paraId="6816BFBC" w14:textId="3BBB253C" w:rsidR="001E4CCB" w:rsidRDefault="001E4CCB">
          <w:pPr>
            <w:pStyle w:val="TOC2"/>
            <w:rPr>
              <w:rFonts w:asciiTheme="minorHAnsi" w:eastAsiaTheme="minorEastAsia" w:hAnsiTheme="minorHAnsi" w:cstheme="minorBidi"/>
              <w:color w:val="auto"/>
              <w:kern w:val="2"/>
              <w:sz w:val="24"/>
              <w:szCs w:val="24"/>
              <w14:ligatures w14:val="standardContextual"/>
            </w:rPr>
          </w:pPr>
          <w:hyperlink w:anchor="_Toc211627872" w:history="1">
            <w:r w:rsidRPr="002E4524">
              <w:rPr>
                <w:rStyle w:val="Hyperlink"/>
              </w:rPr>
              <w:t>Finances</w:t>
            </w:r>
            <w:r>
              <w:rPr>
                <w:webHidden/>
              </w:rPr>
              <w:tab/>
            </w:r>
            <w:r>
              <w:rPr>
                <w:webHidden/>
              </w:rPr>
              <w:fldChar w:fldCharType="begin"/>
            </w:r>
            <w:r>
              <w:rPr>
                <w:webHidden/>
              </w:rPr>
              <w:instrText xml:space="preserve"> PAGEREF _Toc211627872 \h </w:instrText>
            </w:r>
            <w:r>
              <w:rPr>
                <w:webHidden/>
              </w:rPr>
            </w:r>
            <w:r>
              <w:rPr>
                <w:webHidden/>
              </w:rPr>
              <w:fldChar w:fldCharType="separate"/>
            </w:r>
            <w:r w:rsidR="007422F3">
              <w:rPr>
                <w:webHidden/>
              </w:rPr>
              <w:t>35</w:t>
            </w:r>
            <w:r>
              <w:rPr>
                <w:webHidden/>
              </w:rPr>
              <w:fldChar w:fldCharType="end"/>
            </w:r>
          </w:hyperlink>
        </w:p>
        <w:p w14:paraId="4BC66E75" w14:textId="3BB7DDE6" w:rsidR="001E4CCB" w:rsidRDefault="001E4CCB">
          <w:pPr>
            <w:pStyle w:val="TOC2"/>
            <w:rPr>
              <w:rFonts w:asciiTheme="minorHAnsi" w:eastAsiaTheme="minorEastAsia" w:hAnsiTheme="minorHAnsi" w:cstheme="minorBidi"/>
              <w:color w:val="auto"/>
              <w:kern w:val="2"/>
              <w:sz w:val="24"/>
              <w:szCs w:val="24"/>
              <w14:ligatures w14:val="standardContextual"/>
            </w:rPr>
          </w:pPr>
          <w:hyperlink w:anchor="_Toc211627873" w:history="1">
            <w:r w:rsidRPr="002E4524">
              <w:rPr>
                <w:rStyle w:val="Hyperlink"/>
              </w:rPr>
              <w:t>Information Publication Scheme</w:t>
            </w:r>
            <w:r>
              <w:rPr>
                <w:webHidden/>
              </w:rPr>
              <w:tab/>
            </w:r>
            <w:r>
              <w:rPr>
                <w:webHidden/>
              </w:rPr>
              <w:fldChar w:fldCharType="begin"/>
            </w:r>
            <w:r>
              <w:rPr>
                <w:webHidden/>
              </w:rPr>
              <w:instrText xml:space="preserve"> PAGEREF _Toc211627873 \h </w:instrText>
            </w:r>
            <w:r>
              <w:rPr>
                <w:webHidden/>
              </w:rPr>
            </w:r>
            <w:r>
              <w:rPr>
                <w:webHidden/>
              </w:rPr>
              <w:fldChar w:fldCharType="separate"/>
            </w:r>
            <w:r w:rsidR="007422F3">
              <w:rPr>
                <w:webHidden/>
              </w:rPr>
              <w:t>35</w:t>
            </w:r>
            <w:r>
              <w:rPr>
                <w:webHidden/>
              </w:rPr>
              <w:fldChar w:fldCharType="end"/>
            </w:r>
          </w:hyperlink>
        </w:p>
        <w:p w14:paraId="16884C35" w14:textId="4E312454" w:rsidR="001E4CCB" w:rsidRDefault="001E4CCB">
          <w:pPr>
            <w:pStyle w:val="TOC2"/>
            <w:rPr>
              <w:rFonts w:asciiTheme="minorHAnsi" w:eastAsiaTheme="minorEastAsia" w:hAnsiTheme="minorHAnsi" w:cstheme="minorBidi"/>
              <w:color w:val="auto"/>
              <w:kern w:val="2"/>
              <w:sz w:val="24"/>
              <w:szCs w:val="24"/>
              <w14:ligatures w14:val="standardContextual"/>
            </w:rPr>
          </w:pPr>
          <w:hyperlink w:anchor="_Toc211627874" w:history="1">
            <w:r w:rsidRPr="002E4524">
              <w:rPr>
                <w:rStyle w:val="Hyperlink"/>
              </w:rPr>
              <w:t>Impact Analysis Statements</w:t>
            </w:r>
            <w:r>
              <w:rPr>
                <w:webHidden/>
              </w:rPr>
              <w:tab/>
            </w:r>
            <w:r>
              <w:rPr>
                <w:webHidden/>
              </w:rPr>
              <w:fldChar w:fldCharType="begin"/>
            </w:r>
            <w:r>
              <w:rPr>
                <w:webHidden/>
              </w:rPr>
              <w:instrText xml:space="preserve"> PAGEREF _Toc211627874 \h </w:instrText>
            </w:r>
            <w:r>
              <w:rPr>
                <w:webHidden/>
              </w:rPr>
            </w:r>
            <w:r>
              <w:rPr>
                <w:webHidden/>
              </w:rPr>
              <w:fldChar w:fldCharType="separate"/>
            </w:r>
            <w:r w:rsidR="007422F3">
              <w:rPr>
                <w:webHidden/>
              </w:rPr>
              <w:t>35</w:t>
            </w:r>
            <w:r>
              <w:rPr>
                <w:webHidden/>
              </w:rPr>
              <w:fldChar w:fldCharType="end"/>
            </w:r>
          </w:hyperlink>
        </w:p>
        <w:p w14:paraId="05E04E98" w14:textId="638F33EB" w:rsidR="001E4CCB" w:rsidRDefault="001E4CCB">
          <w:pPr>
            <w:pStyle w:val="TOC1"/>
            <w:rPr>
              <w:rFonts w:asciiTheme="minorHAnsi" w:eastAsiaTheme="minorEastAsia" w:hAnsiTheme="minorHAnsi" w:cstheme="minorBidi"/>
              <w:b w:val="0"/>
              <w:color w:val="auto"/>
              <w:kern w:val="2"/>
              <w:sz w:val="24"/>
              <w:szCs w:val="24"/>
              <w14:ligatures w14:val="standardContextual"/>
            </w:rPr>
          </w:pPr>
          <w:hyperlink w:anchor="_Toc211627875" w:history="1">
            <w:r w:rsidRPr="002E4524">
              <w:rPr>
                <w:rStyle w:val="Hyperlink"/>
              </w:rPr>
              <w:t>Glossary</w:t>
            </w:r>
            <w:r>
              <w:rPr>
                <w:webHidden/>
              </w:rPr>
              <w:tab/>
            </w:r>
            <w:r>
              <w:rPr>
                <w:webHidden/>
              </w:rPr>
              <w:fldChar w:fldCharType="begin"/>
            </w:r>
            <w:r>
              <w:rPr>
                <w:webHidden/>
              </w:rPr>
              <w:instrText xml:space="preserve"> PAGEREF _Toc211627875 \h </w:instrText>
            </w:r>
            <w:r>
              <w:rPr>
                <w:webHidden/>
              </w:rPr>
            </w:r>
            <w:r>
              <w:rPr>
                <w:webHidden/>
              </w:rPr>
              <w:fldChar w:fldCharType="separate"/>
            </w:r>
            <w:r w:rsidR="007422F3">
              <w:rPr>
                <w:webHidden/>
              </w:rPr>
              <w:t>36</w:t>
            </w:r>
            <w:r>
              <w:rPr>
                <w:webHidden/>
              </w:rPr>
              <w:fldChar w:fldCharType="end"/>
            </w:r>
          </w:hyperlink>
        </w:p>
        <w:p w14:paraId="61109B64" w14:textId="0933DFAF" w:rsidR="00CB7C46" w:rsidRDefault="00CB7C46">
          <w:r>
            <w:rPr>
              <w:b/>
              <w:noProof/>
              <w:color w:val="497783" w:themeColor="accent1"/>
              <w:szCs w:val="22"/>
            </w:rPr>
            <w:fldChar w:fldCharType="end"/>
          </w:r>
        </w:p>
      </w:sdtContent>
    </w:sdt>
    <w:p w14:paraId="3AE4C253" w14:textId="77777777" w:rsidR="00CB7C46" w:rsidRPr="00CB7C46" w:rsidRDefault="00CB7C46" w:rsidP="00CB7C46">
      <w:pPr>
        <w:sectPr w:rsidR="00CB7C46" w:rsidRPr="00CB7C46" w:rsidSect="005E5EE1">
          <w:footerReference w:type="even" r:id="rId19"/>
          <w:footerReference w:type="default" r:id="rId20"/>
          <w:pgSz w:w="11906" w:h="16838" w:code="9"/>
          <w:pgMar w:top="1843" w:right="1418" w:bottom="1418" w:left="1418" w:header="0" w:footer="792" w:gutter="0"/>
          <w:cols w:space="351"/>
          <w:docGrid w:linePitch="326"/>
        </w:sectPr>
      </w:pPr>
    </w:p>
    <w:p w14:paraId="2E267C45" w14:textId="71BBF88B" w:rsidR="00E132E1" w:rsidRPr="00A94360" w:rsidRDefault="00E132E1" w:rsidP="00701FB5">
      <w:pPr>
        <w:pStyle w:val="Heading1"/>
      </w:pPr>
      <w:bookmarkStart w:id="1" w:name="_Toc211627782"/>
      <w:r w:rsidRPr="00A94360">
        <w:t>Our past year</w:t>
      </w:r>
      <w:bookmarkEnd w:id="1"/>
    </w:p>
    <w:p w14:paraId="157A2DC6" w14:textId="3A945F75" w:rsidR="00E132E1" w:rsidRPr="00E132E1" w:rsidRDefault="00E132E1" w:rsidP="00D10B8F">
      <w:pPr>
        <w:rPr>
          <w:rFonts w:eastAsia="Aptos"/>
          <w:lang w:eastAsia="en-US"/>
        </w:rPr>
      </w:pPr>
      <w:r w:rsidRPr="00E132E1">
        <w:rPr>
          <w:rFonts w:eastAsia="Aptos"/>
          <w:lang w:eastAsia="en-US"/>
        </w:rPr>
        <w:t xml:space="preserve">The FRC’s activities </w:t>
      </w:r>
      <w:r w:rsidR="00F76F5A">
        <w:rPr>
          <w:rFonts w:eastAsia="Aptos"/>
          <w:lang w:eastAsia="en-US"/>
        </w:rPr>
        <w:t>in</w:t>
      </w:r>
      <w:r w:rsidR="00F76F5A" w:rsidRPr="00E132E1">
        <w:rPr>
          <w:rFonts w:eastAsia="Aptos"/>
          <w:lang w:eastAsia="en-US"/>
        </w:rPr>
        <w:t xml:space="preserve"> </w:t>
      </w:r>
      <w:r w:rsidRPr="00E132E1">
        <w:rPr>
          <w:rFonts w:eastAsia="Aptos"/>
          <w:lang w:eastAsia="en-US"/>
        </w:rPr>
        <w:t xml:space="preserve">the 2024–25 </w:t>
      </w:r>
      <w:r w:rsidR="005D2586">
        <w:rPr>
          <w:rFonts w:eastAsia="Aptos"/>
          <w:lang w:eastAsia="en-US"/>
        </w:rPr>
        <w:t>reporting</w:t>
      </w:r>
      <w:r w:rsidR="005D2586" w:rsidRPr="00E132E1">
        <w:rPr>
          <w:rFonts w:eastAsia="Aptos"/>
          <w:lang w:eastAsia="en-US"/>
        </w:rPr>
        <w:t xml:space="preserve"> </w:t>
      </w:r>
      <w:r w:rsidRPr="00E132E1">
        <w:rPr>
          <w:rFonts w:eastAsia="Aptos"/>
          <w:lang w:eastAsia="en-US"/>
        </w:rPr>
        <w:t>year reflected its commitment to strengthening confidence in</w:t>
      </w:r>
      <w:r w:rsidR="00842144">
        <w:rPr>
          <w:rFonts w:eastAsia="Aptos"/>
          <w:lang w:eastAsia="en-US"/>
        </w:rPr>
        <w:t xml:space="preserve"> financial reporting in</w:t>
      </w:r>
      <w:r w:rsidRPr="00E132E1">
        <w:rPr>
          <w:rFonts w:eastAsia="Aptos"/>
          <w:lang w:eastAsia="en-US"/>
        </w:rPr>
        <w:t xml:space="preserve"> Australia</w:t>
      </w:r>
      <w:r w:rsidR="00842144">
        <w:rPr>
          <w:rFonts w:eastAsia="Aptos"/>
          <w:lang w:eastAsia="en-US"/>
        </w:rPr>
        <w:t xml:space="preserve">. The FRC </w:t>
      </w:r>
      <w:r w:rsidR="00EA243F">
        <w:rPr>
          <w:rFonts w:eastAsia="Aptos"/>
          <w:lang w:eastAsia="en-US"/>
        </w:rPr>
        <w:t>continued</w:t>
      </w:r>
      <w:r w:rsidR="00EE4BD6">
        <w:rPr>
          <w:rFonts w:eastAsia="Aptos"/>
          <w:lang w:eastAsia="en-US"/>
        </w:rPr>
        <w:t xml:space="preserve"> to </w:t>
      </w:r>
      <w:r w:rsidR="00B524B5">
        <w:rPr>
          <w:rFonts w:eastAsia="Aptos"/>
          <w:lang w:eastAsia="en-US"/>
        </w:rPr>
        <w:t>enhance</w:t>
      </w:r>
      <w:r w:rsidR="00EE4BD6">
        <w:rPr>
          <w:rFonts w:eastAsia="Aptos"/>
          <w:lang w:eastAsia="en-US"/>
        </w:rPr>
        <w:t xml:space="preserve"> </w:t>
      </w:r>
      <w:r w:rsidRPr="00E132E1">
        <w:rPr>
          <w:rFonts w:eastAsia="Aptos"/>
          <w:lang w:eastAsia="en-US"/>
        </w:rPr>
        <w:t xml:space="preserve">financial </w:t>
      </w:r>
      <w:r w:rsidR="00DF4433">
        <w:rPr>
          <w:rFonts w:eastAsia="Aptos"/>
          <w:lang w:eastAsia="en-US"/>
        </w:rPr>
        <w:t xml:space="preserve">and sustainability </w:t>
      </w:r>
      <w:r w:rsidRPr="00E132E1">
        <w:rPr>
          <w:rFonts w:eastAsia="Aptos"/>
          <w:lang w:eastAsia="en-US"/>
        </w:rPr>
        <w:t>reporting and assurance frameworks</w:t>
      </w:r>
      <w:r w:rsidR="00EE4BD6">
        <w:rPr>
          <w:rFonts w:eastAsia="Aptos"/>
          <w:lang w:eastAsia="en-US"/>
        </w:rPr>
        <w:t xml:space="preserve"> through</w:t>
      </w:r>
      <w:r w:rsidRPr="00E132E1">
        <w:rPr>
          <w:rFonts w:eastAsia="Aptos"/>
          <w:lang w:eastAsia="en-US"/>
        </w:rPr>
        <w:t>:</w:t>
      </w:r>
    </w:p>
    <w:p w14:paraId="0B3ABC15" w14:textId="77777777" w:rsidR="00E132E1" w:rsidRPr="00D10B8F" w:rsidRDefault="00E132E1" w:rsidP="003B326A">
      <w:pPr>
        <w:pStyle w:val="Bullet"/>
      </w:pPr>
      <w:r w:rsidRPr="00D10B8F">
        <w:t>targeted environmental scans and strategic oversight</w:t>
      </w:r>
    </w:p>
    <w:p w14:paraId="674E191D" w14:textId="77777777" w:rsidR="00E132E1" w:rsidRPr="00D10B8F" w:rsidRDefault="00E132E1" w:rsidP="003B326A">
      <w:pPr>
        <w:pStyle w:val="Bullet"/>
      </w:pPr>
      <w:r w:rsidRPr="00D10B8F">
        <w:t>active engagement with domestic and international stakeholders</w:t>
      </w:r>
    </w:p>
    <w:p w14:paraId="40DBA170" w14:textId="1AF6B157" w:rsidR="00A235E5" w:rsidRPr="00D10B8F" w:rsidRDefault="00E132E1" w:rsidP="003B326A">
      <w:pPr>
        <w:pStyle w:val="Bullet"/>
      </w:pPr>
      <w:r w:rsidRPr="00D10B8F">
        <w:t xml:space="preserve">support for the implementation of climate and sustainability reporting standards </w:t>
      </w:r>
      <w:r w:rsidR="00BB3CF4" w:rsidRPr="00D10B8F">
        <w:t>aligned</w:t>
      </w:r>
      <w:r w:rsidR="00DB2326" w:rsidRPr="00D10B8F">
        <w:t xml:space="preserve"> </w:t>
      </w:r>
      <w:r w:rsidRPr="00D10B8F">
        <w:t>with global frameworks</w:t>
      </w:r>
      <w:r w:rsidR="00ED72EA" w:rsidRPr="00D10B8F">
        <w:t>.</w:t>
      </w:r>
    </w:p>
    <w:p w14:paraId="6DB76F91" w14:textId="6E05865B" w:rsidR="00E132E1" w:rsidRPr="00E132E1" w:rsidRDefault="00A235E5" w:rsidP="00D10B8F">
      <w:pPr>
        <w:rPr>
          <w:rFonts w:eastAsia="Aptos"/>
          <w:lang w:eastAsia="en-US"/>
        </w:rPr>
      </w:pPr>
      <w:r>
        <w:rPr>
          <w:rFonts w:eastAsia="Aptos"/>
          <w:lang w:eastAsia="en-US"/>
        </w:rPr>
        <w:t>The FRC continued its</w:t>
      </w:r>
      <w:r w:rsidRPr="00E132E1">
        <w:rPr>
          <w:rFonts w:eastAsia="Aptos"/>
          <w:lang w:eastAsia="en-US"/>
        </w:rPr>
        <w:t xml:space="preserve"> </w:t>
      </w:r>
      <w:r w:rsidR="00E132E1" w:rsidRPr="00E132E1">
        <w:rPr>
          <w:rFonts w:eastAsia="Aptos"/>
          <w:lang w:eastAsia="en-US"/>
        </w:rPr>
        <w:t xml:space="preserve">collaboration with the </w:t>
      </w:r>
      <w:r>
        <w:rPr>
          <w:rFonts w:eastAsia="Aptos"/>
          <w:lang w:eastAsia="en-US"/>
        </w:rPr>
        <w:t>Australian Accounting Standards Board (</w:t>
      </w:r>
      <w:r w:rsidR="00E132E1" w:rsidRPr="00E132E1">
        <w:rPr>
          <w:rFonts w:eastAsia="Aptos"/>
          <w:lang w:eastAsia="en-US"/>
        </w:rPr>
        <w:t>AASB</w:t>
      </w:r>
      <w:r>
        <w:rPr>
          <w:rFonts w:eastAsia="Aptos"/>
          <w:lang w:eastAsia="en-US"/>
        </w:rPr>
        <w:t>)</w:t>
      </w:r>
      <w:r w:rsidR="00E132E1" w:rsidRPr="00E132E1">
        <w:rPr>
          <w:rFonts w:eastAsia="Aptos"/>
          <w:lang w:eastAsia="en-US"/>
        </w:rPr>
        <w:t xml:space="preserve">, </w:t>
      </w:r>
      <w:r>
        <w:rPr>
          <w:rFonts w:eastAsia="Aptos"/>
          <w:lang w:eastAsia="en-US"/>
        </w:rPr>
        <w:t>Auditing and Assurance Standards Board (</w:t>
      </w:r>
      <w:r w:rsidR="00E132E1" w:rsidRPr="00E132E1">
        <w:rPr>
          <w:rFonts w:eastAsia="Aptos"/>
          <w:lang w:eastAsia="en-US"/>
        </w:rPr>
        <w:t>AUASB</w:t>
      </w:r>
      <w:r>
        <w:rPr>
          <w:rFonts w:eastAsia="Aptos"/>
          <w:lang w:eastAsia="en-US"/>
        </w:rPr>
        <w:t>)</w:t>
      </w:r>
      <w:r w:rsidR="00E132E1" w:rsidRPr="00E132E1">
        <w:rPr>
          <w:rFonts w:eastAsia="Aptos"/>
          <w:lang w:eastAsia="en-US"/>
        </w:rPr>
        <w:t xml:space="preserve"> and </w:t>
      </w:r>
      <w:r w:rsidR="004444C3">
        <w:rPr>
          <w:rFonts w:eastAsia="Aptos"/>
          <w:lang w:eastAsia="en-US"/>
        </w:rPr>
        <w:t xml:space="preserve">other </w:t>
      </w:r>
      <w:r w:rsidR="00E132E1" w:rsidRPr="00E132E1">
        <w:rPr>
          <w:rFonts w:eastAsia="Aptos"/>
          <w:lang w:eastAsia="en-US"/>
        </w:rPr>
        <w:t>stakeholders</w:t>
      </w:r>
      <w:r>
        <w:rPr>
          <w:rFonts w:eastAsia="Aptos"/>
          <w:lang w:eastAsia="en-US"/>
        </w:rPr>
        <w:t>. By doing so, t</w:t>
      </w:r>
      <w:r w:rsidR="00E132E1" w:rsidRPr="00E132E1">
        <w:rPr>
          <w:rFonts w:eastAsia="Aptos"/>
          <w:lang w:eastAsia="en-US"/>
        </w:rPr>
        <w:t>he FRC</w:t>
      </w:r>
      <w:r w:rsidR="002A1039">
        <w:rPr>
          <w:rFonts w:eastAsia="Aptos"/>
          <w:lang w:eastAsia="en-US"/>
        </w:rPr>
        <w:t xml:space="preserve"> promoted</w:t>
      </w:r>
      <w:r w:rsidR="00E132E1" w:rsidRPr="00E132E1">
        <w:rPr>
          <w:rFonts w:eastAsia="Aptos"/>
          <w:lang w:eastAsia="en-US"/>
        </w:rPr>
        <w:t xml:space="preserve"> </w:t>
      </w:r>
      <w:r w:rsidR="002A1039" w:rsidRPr="00E132E1">
        <w:rPr>
          <w:rFonts w:eastAsia="Aptos"/>
          <w:lang w:eastAsia="en-US"/>
        </w:rPr>
        <w:t>international consistency and comparability</w:t>
      </w:r>
      <w:r w:rsidR="002A1039">
        <w:rPr>
          <w:rFonts w:eastAsia="Aptos"/>
          <w:lang w:eastAsia="en-US"/>
        </w:rPr>
        <w:t xml:space="preserve">, which </w:t>
      </w:r>
      <w:r w:rsidR="004444C3">
        <w:rPr>
          <w:rFonts w:eastAsia="Aptos"/>
          <w:lang w:eastAsia="en-US"/>
        </w:rPr>
        <w:t>helped shape</w:t>
      </w:r>
      <w:r w:rsidR="00E132E1" w:rsidRPr="00E132E1">
        <w:rPr>
          <w:rFonts w:eastAsia="Aptos"/>
          <w:lang w:eastAsia="en-US"/>
        </w:rPr>
        <w:t xml:space="preserve"> Australia’s sustainability reporting standards. </w:t>
      </w:r>
    </w:p>
    <w:p w14:paraId="313FECB0" w14:textId="359F5D27" w:rsidR="00E132E1" w:rsidRPr="00E132E1" w:rsidRDefault="00E132E1" w:rsidP="00D10B8F">
      <w:pPr>
        <w:rPr>
          <w:rFonts w:eastAsia="Aptos"/>
          <w:lang w:eastAsia="en-US"/>
        </w:rPr>
      </w:pPr>
      <w:r w:rsidRPr="00E132E1">
        <w:rPr>
          <w:rFonts w:eastAsia="Aptos"/>
          <w:lang w:eastAsia="en-US"/>
        </w:rPr>
        <w:t>This</w:t>
      </w:r>
      <w:r w:rsidR="008B0E9C">
        <w:rPr>
          <w:rFonts w:eastAsia="Aptos"/>
          <w:lang w:eastAsia="en-US"/>
        </w:rPr>
        <w:t xml:space="preserve"> annual</w:t>
      </w:r>
      <w:r w:rsidRPr="00E132E1">
        <w:rPr>
          <w:rFonts w:eastAsia="Aptos"/>
          <w:lang w:eastAsia="en-US"/>
        </w:rPr>
        <w:t xml:space="preserve"> report outlines the FRC’s priorities, actions and achievements during the 2024–25 </w:t>
      </w:r>
      <w:r w:rsidR="00537119">
        <w:rPr>
          <w:rFonts w:eastAsia="Aptos"/>
          <w:lang w:eastAsia="en-US"/>
        </w:rPr>
        <w:t>reporting</w:t>
      </w:r>
      <w:r w:rsidR="00537119" w:rsidRPr="00E132E1">
        <w:rPr>
          <w:rFonts w:eastAsia="Aptos"/>
          <w:lang w:eastAsia="en-US"/>
        </w:rPr>
        <w:t xml:space="preserve"> </w:t>
      </w:r>
      <w:r w:rsidRPr="00E132E1">
        <w:rPr>
          <w:rFonts w:eastAsia="Aptos"/>
          <w:lang w:eastAsia="en-US"/>
        </w:rPr>
        <w:t>year</w:t>
      </w:r>
      <w:r w:rsidR="00802C66">
        <w:rPr>
          <w:rFonts w:eastAsia="Aptos"/>
          <w:lang w:eastAsia="en-US"/>
        </w:rPr>
        <w:t xml:space="preserve">. It </w:t>
      </w:r>
      <w:r w:rsidRPr="00E132E1">
        <w:rPr>
          <w:rFonts w:eastAsia="Aptos"/>
          <w:lang w:eastAsia="en-US"/>
        </w:rPr>
        <w:t xml:space="preserve">highlights </w:t>
      </w:r>
      <w:r w:rsidR="00802C66">
        <w:rPr>
          <w:rFonts w:eastAsia="Aptos"/>
          <w:lang w:eastAsia="en-US"/>
        </w:rPr>
        <w:t>the FRC’s</w:t>
      </w:r>
      <w:r w:rsidR="00802C66" w:rsidRPr="00E132E1">
        <w:rPr>
          <w:rFonts w:eastAsia="Aptos"/>
          <w:lang w:eastAsia="en-US"/>
        </w:rPr>
        <w:t xml:space="preserve"> </w:t>
      </w:r>
      <w:r w:rsidRPr="00E132E1">
        <w:rPr>
          <w:rFonts w:eastAsia="Aptos"/>
          <w:lang w:eastAsia="en-US"/>
        </w:rPr>
        <w:t>commitment to</w:t>
      </w:r>
      <w:r w:rsidR="00FA556D">
        <w:rPr>
          <w:rFonts w:eastAsia="Aptos"/>
          <w:lang w:eastAsia="en-US"/>
        </w:rPr>
        <w:t xml:space="preserve"> </w:t>
      </w:r>
      <w:r w:rsidR="00DB5C03">
        <w:rPr>
          <w:rFonts w:eastAsia="Aptos"/>
          <w:lang w:eastAsia="en-US"/>
        </w:rPr>
        <w:t>maintaining</w:t>
      </w:r>
      <w:r w:rsidRPr="00E132E1">
        <w:rPr>
          <w:rFonts w:eastAsia="Aptos"/>
          <w:lang w:eastAsia="en-US"/>
        </w:rPr>
        <w:t xml:space="preserve"> an effective</w:t>
      </w:r>
      <w:r w:rsidR="00E62FC5">
        <w:rPr>
          <w:rFonts w:eastAsia="Aptos"/>
          <w:lang w:eastAsia="en-US"/>
        </w:rPr>
        <w:t xml:space="preserve"> and</w:t>
      </w:r>
      <w:r w:rsidRPr="00E132E1">
        <w:rPr>
          <w:rFonts w:eastAsia="Aptos"/>
          <w:lang w:eastAsia="en-US"/>
        </w:rPr>
        <w:t xml:space="preserve"> inclusive financial reporting system</w:t>
      </w:r>
      <w:r w:rsidR="00BF6057">
        <w:rPr>
          <w:rFonts w:eastAsia="Aptos"/>
          <w:lang w:eastAsia="en-US"/>
        </w:rPr>
        <w:t xml:space="preserve"> for the benefit of all Australians</w:t>
      </w:r>
      <w:r w:rsidRPr="00E132E1">
        <w:rPr>
          <w:rFonts w:eastAsia="Aptos"/>
          <w:lang w:eastAsia="en-US"/>
        </w:rPr>
        <w:t>.</w:t>
      </w:r>
    </w:p>
    <w:p w14:paraId="5F8C3447" w14:textId="77777777" w:rsidR="0016307B" w:rsidRDefault="0016307B" w:rsidP="0016307B">
      <w:pPr>
        <w:pStyle w:val="Heading1"/>
        <w:sectPr w:rsidR="0016307B" w:rsidSect="005E5EE1">
          <w:footerReference w:type="default" r:id="rId21"/>
          <w:pgSz w:w="11906" w:h="16838" w:code="9"/>
          <w:pgMar w:top="1843" w:right="1418" w:bottom="1418" w:left="1418" w:header="0" w:footer="792" w:gutter="0"/>
          <w:pgNumType w:start="1"/>
          <w:cols w:space="351"/>
          <w:docGrid w:linePitch="326"/>
        </w:sectPr>
      </w:pPr>
    </w:p>
    <w:p w14:paraId="7C67DBB3" w14:textId="7BFF4E2C" w:rsidR="00E132E1" w:rsidRPr="00D878B3" w:rsidRDefault="00E132E1" w:rsidP="0016307B">
      <w:pPr>
        <w:pStyle w:val="Heading1"/>
      </w:pPr>
      <w:bookmarkStart w:id="2" w:name="_Toc211627783"/>
      <w:r w:rsidRPr="00D878B3">
        <w:t xml:space="preserve">Snapshot of </w:t>
      </w:r>
      <w:r w:rsidR="00802C66" w:rsidRPr="00D878B3">
        <w:t>k</w:t>
      </w:r>
      <w:r w:rsidRPr="00D878B3">
        <w:t xml:space="preserve">ey and </w:t>
      </w:r>
      <w:r w:rsidR="00802C66" w:rsidRPr="00D878B3">
        <w:t>on</w:t>
      </w:r>
      <w:r w:rsidRPr="00D878B3">
        <w:t xml:space="preserve">going </w:t>
      </w:r>
      <w:r w:rsidR="00802C66" w:rsidRPr="00D878B3">
        <w:t>i</w:t>
      </w:r>
      <w:r w:rsidRPr="00D878B3">
        <w:t>nitiatives</w:t>
      </w:r>
      <w:bookmarkEnd w:id="2"/>
    </w:p>
    <w:p w14:paraId="376451F9" w14:textId="01964BB1" w:rsidR="00E132E1" w:rsidRPr="00D10B8F" w:rsidRDefault="00E132E1" w:rsidP="000B66A2">
      <w:pPr>
        <w:pStyle w:val="Heading2"/>
      </w:pPr>
      <w:bookmarkStart w:id="3" w:name="_Toc211627784"/>
      <w:r w:rsidRPr="00D10B8F">
        <w:t xml:space="preserve">Climate and </w:t>
      </w:r>
      <w:r w:rsidR="00446C50" w:rsidRPr="00D10B8F">
        <w:t>s</w:t>
      </w:r>
      <w:r w:rsidRPr="00D10B8F">
        <w:t>ustainability-</w:t>
      </w:r>
      <w:r w:rsidR="00446C50" w:rsidRPr="00D10B8F">
        <w:t>r</w:t>
      </w:r>
      <w:r w:rsidRPr="00D10B8F">
        <w:t xml:space="preserve">elated </w:t>
      </w:r>
      <w:r w:rsidR="00446C50" w:rsidRPr="00D10B8F">
        <w:t>s</w:t>
      </w:r>
      <w:r w:rsidRPr="00D10B8F">
        <w:t>tandards</w:t>
      </w:r>
      <w:bookmarkEnd w:id="3"/>
    </w:p>
    <w:p w14:paraId="1EA97F52" w14:textId="474CD2BD" w:rsidR="00E132E1" w:rsidRPr="00E132E1" w:rsidRDefault="00E132E1" w:rsidP="00D10B8F">
      <w:pPr>
        <w:rPr>
          <w:rFonts w:eastAsia="Aptos"/>
          <w:lang w:eastAsia="en-US"/>
        </w:rPr>
      </w:pPr>
      <w:r w:rsidRPr="00E132E1">
        <w:rPr>
          <w:rFonts w:eastAsia="Aptos"/>
          <w:lang w:eastAsia="en-US"/>
        </w:rPr>
        <w:t xml:space="preserve">During the 2024–25 </w:t>
      </w:r>
      <w:r w:rsidR="00353AF0">
        <w:rPr>
          <w:rFonts w:eastAsia="Aptos"/>
          <w:lang w:eastAsia="en-US"/>
        </w:rPr>
        <w:t>reporting</w:t>
      </w:r>
      <w:r w:rsidR="00353AF0" w:rsidRPr="00E132E1">
        <w:rPr>
          <w:rFonts w:eastAsia="Aptos"/>
          <w:lang w:eastAsia="en-US"/>
        </w:rPr>
        <w:t xml:space="preserve"> </w:t>
      </w:r>
      <w:r w:rsidRPr="00E132E1">
        <w:rPr>
          <w:rFonts w:eastAsia="Aptos"/>
          <w:lang w:eastAsia="en-US"/>
        </w:rPr>
        <w:t>year, the FRC</w:t>
      </w:r>
      <w:r w:rsidR="00576E00">
        <w:rPr>
          <w:rFonts w:eastAsia="Aptos"/>
          <w:lang w:eastAsia="en-US"/>
        </w:rPr>
        <w:t xml:space="preserve"> supported the efforts of </w:t>
      </w:r>
      <w:r w:rsidRPr="00E132E1">
        <w:rPr>
          <w:rFonts w:eastAsia="Aptos"/>
          <w:lang w:eastAsia="en-US"/>
        </w:rPr>
        <w:t>the AASB and the AUASB in advancing sustainability reporting and assurance frameworks. This reflect</w:t>
      </w:r>
      <w:r w:rsidR="00576E00">
        <w:rPr>
          <w:rFonts w:eastAsia="Aptos"/>
          <w:lang w:eastAsia="en-US"/>
        </w:rPr>
        <w:t>ed</w:t>
      </w:r>
      <w:r w:rsidRPr="00E132E1">
        <w:rPr>
          <w:rFonts w:eastAsia="Aptos"/>
          <w:lang w:eastAsia="en-US"/>
        </w:rPr>
        <w:t xml:space="preserve"> </w:t>
      </w:r>
      <w:r w:rsidR="005318BA">
        <w:rPr>
          <w:rFonts w:eastAsia="Aptos"/>
          <w:lang w:eastAsia="en-US"/>
        </w:rPr>
        <w:t>the FRC’s</w:t>
      </w:r>
      <w:r w:rsidRPr="00E132E1">
        <w:rPr>
          <w:rFonts w:eastAsia="Aptos"/>
          <w:lang w:eastAsia="en-US"/>
        </w:rPr>
        <w:t xml:space="preserve"> commitment to enhancing the quality, consistency and reliability of climate and sustainability disclosures in Australia</w:t>
      </w:r>
      <w:r w:rsidR="004667B8">
        <w:rPr>
          <w:rFonts w:eastAsia="Aptos"/>
          <w:lang w:eastAsia="en-US"/>
        </w:rPr>
        <w:t>’s</w:t>
      </w:r>
      <w:r w:rsidRPr="00E132E1">
        <w:rPr>
          <w:rFonts w:eastAsia="Aptos"/>
          <w:lang w:eastAsia="en-US"/>
        </w:rPr>
        <w:t xml:space="preserve"> regulatory environment.</w:t>
      </w:r>
    </w:p>
    <w:p w14:paraId="5DA7239F" w14:textId="5039DF42" w:rsidR="00896C6D" w:rsidRPr="00963032" w:rsidRDefault="00EF0CFC" w:rsidP="00D10B8F">
      <w:pPr>
        <w:rPr>
          <w:rFonts w:eastAsia="Aptos"/>
          <w:lang w:eastAsia="en-US"/>
        </w:rPr>
      </w:pPr>
      <w:r w:rsidRPr="00963032">
        <w:rPr>
          <w:rFonts w:eastAsia="Aptos"/>
          <w:lang w:eastAsia="en-US"/>
        </w:rPr>
        <w:t>The AASB and AUASB developed 3 sustainability reporting and assurance standards</w:t>
      </w:r>
      <w:r w:rsidR="00F11E7B" w:rsidRPr="00963032">
        <w:rPr>
          <w:rFonts w:eastAsia="Aptos"/>
          <w:lang w:eastAsia="en-US"/>
        </w:rPr>
        <w:t>:</w:t>
      </w:r>
    </w:p>
    <w:p w14:paraId="3A06C06E" w14:textId="77777777" w:rsidR="002043D6" w:rsidRPr="00D10B8F" w:rsidRDefault="002043D6" w:rsidP="003B326A">
      <w:pPr>
        <w:pStyle w:val="Bullet"/>
      </w:pPr>
      <w:r w:rsidRPr="00D10B8F">
        <w:t>AASB S1 General Requirements for Disclosure of Sustainability-related Financial Information</w:t>
      </w:r>
    </w:p>
    <w:p w14:paraId="30111640" w14:textId="77777777" w:rsidR="002043D6" w:rsidRPr="00D10B8F" w:rsidRDefault="002043D6" w:rsidP="003B326A">
      <w:pPr>
        <w:pStyle w:val="Bullet"/>
      </w:pPr>
      <w:r w:rsidRPr="00D10B8F">
        <w:t>AASB S2 Climate-related Disclosures</w:t>
      </w:r>
    </w:p>
    <w:p w14:paraId="1A8F6A5F" w14:textId="77777777" w:rsidR="002043D6" w:rsidRPr="00D10B8F" w:rsidRDefault="002043D6" w:rsidP="003B326A">
      <w:pPr>
        <w:pStyle w:val="Bullet"/>
      </w:pPr>
      <w:r w:rsidRPr="00D10B8F">
        <w:t>Assurance standard ASSA 5000 General Requirements for Sustainability Assurance Engagements.</w:t>
      </w:r>
    </w:p>
    <w:p w14:paraId="1BEF2AF4" w14:textId="1582A292" w:rsidR="005454F1" w:rsidRPr="004F46A4" w:rsidRDefault="00E132E1" w:rsidP="00D10B8F">
      <w:pPr>
        <w:rPr>
          <w:lang w:val="en-GB"/>
        </w:rPr>
      </w:pPr>
      <w:r w:rsidRPr="005411B8">
        <w:rPr>
          <w:rFonts w:eastAsia="Aptos"/>
          <w:lang w:eastAsia="en-US"/>
        </w:rPr>
        <w:t>AASB S1 and AASB S2</w:t>
      </w:r>
      <w:r w:rsidR="000852BA">
        <w:rPr>
          <w:rFonts w:eastAsia="Aptos"/>
          <w:lang w:eastAsia="en-US"/>
        </w:rPr>
        <w:t xml:space="preserve"> </w:t>
      </w:r>
      <w:r w:rsidR="001066C5" w:rsidRPr="00E926C7">
        <w:rPr>
          <w:rFonts w:eastAsia="Aptos"/>
          <w:lang w:eastAsia="en-US"/>
        </w:rPr>
        <w:t>create a global baseline for sustainability-related financial disclosures</w:t>
      </w:r>
      <w:r w:rsidR="005454F1" w:rsidRPr="00E926C7">
        <w:rPr>
          <w:rFonts w:eastAsia="Aptos"/>
          <w:lang w:eastAsia="en-US"/>
        </w:rPr>
        <w:t>.</w:t>
      </w:r>
      <w:r w:rsidR="005454F1">
        <w:rPr>
          <w:rFonts w:eastAsia="Aptos"/>
          <w:lang w:eastAsia="en-US"/>
        </w:rPr>
        <w:t xml:space="preserve"> </w:t>
      </w:r>
      <w:r w:rsidRPr="007455D5">
        <w:rPr>
          <w:rFonts w:eastAsia="Aptos"/>
          <w:lang w:eastAsia="en-US"/>
        </w:rPr>
        <w:t>ASSA 5000</w:t>
      </w:r>
      <w:r w:rsidR="000852BA">
        <w:rPr>
          <w:rFonts w:eastAsia="Aptos"/>
          <w:lang w:eastAsia="en-US"/>
        </w:rPr>
        <w:t xml:space="preserve"> </w:t>
      </w:r>
      <w:r w:rsidRPr="007455D5">
        <w:rPr>
          <w:rFonts w:eastAsia="Aptos"/>
          <w:lang w:eastAsia="en-US"/>
        </w:rPr>
        <w:t>aligns with the</w:t>
      </w:r>
      <w:r w:rsidR="009F421D">
        <w:rPr>
          <w:rFonts w:eastAsia="Aptos"/>
          <w:lang w:eastAsia="en-US"/>
        </w:rPr>
        <w:t xml:space="preserve"> </w:t>
      </w:r>
      <w:r w:rsidR="009F421D" w:rsidRPr="00F061F9">
        <w:rPr>
          <w:lang w:val="en-GB"/>
        </w:rPr>
        <w:t>International Auditing and Assurance Standards Boar</w:t>
      </w:r>
      <w:r w:rsidR="009F421D">
        <w:rPr>
          <w:lang w:val="en-GB"/>
        </w:rPr>
        <w:t>d</w:t>
      </w:r>
      <w:r w:rsidR="00C91ED8">
        <w:rPr>
          <w:lang w:val="en-GB"/>
        </w:rPr>
        <w:t>’s (</w:t>
      </w:r>
      <w:r w:rsidRPr="007455D5">
        <w:rPr>
          <w:rFonts w:eastAsia="Aptos"/>
          <w:lang w:eastAsia="en-US"/>
        </w:rPr>
        <w:t>IAASB's</w:t>
      </w:r>
      <w:r w:rsidR="00C91ED8">
        <w:rPr>
          <w:rFonts w:eastAsia="Aptos"/>
          <w:lang w:eastAsia="en-US"/>
        </w:rPr>
        <w:t>)</w:t>
      </w:r>
      <w:r w:rsidRPr="005411B8">
        <w:rPr>
          <w:rFonts w:eastAsia="Aptos"/>
          <w:lang w:eastAsia="en-US"/>
        </w:rPr>
        <w:t xml:space="preserve"> International Standard on Sustainability Assurance (ISSA)</w:t>
      </w:r>
      <w:r w:rsidR="0035490D" w:rsidRPr="005411B8">
        <w:rPr>
          <w:rFonts w:eastAsia="Aptos"/>
          <w:lang w:eastAsia="en-US"/>
        </w:rPr>
        <w:t xml:space="preserve">. </w:t>
      </w:r>
      <w:r w:rsidR="0035490D">
        <w:rPr>
          <w:rFonts w:eastAsia="Aptos"/>
          <w:lang w:eastAsia="en-US"/>
        </w:rPr>
        <w:t>Th</w:t>
      </w:r>
      <w:r w:rsidR="008F7465">
        <w:rPr>
          <w:rFonts w:eastAsia="Aptos"/>
          <w:lang w:eastAsia="en-US"/>
        </w:rPr>
        <w:t xml:space="preserve">ese 3 standards will </w:t>
      </w:r>
      <w:r w:rsidRPr="00E132E1">
        <w:rPr>
          <w:rFonts w:eastAsia="Aptos"/>
          <w:lang w:eastAsia="en-US"/>
        </w:rPr>
        <w:t>support greater confidence in sustainability information presented in annual reports as part of the</w:t>
      </w:r>
      <w:r w:rsidR="0035490D">
        <w:rPr>
          <w:rFonts w:eastAsia="Aptos"/>
          <w:lang w:eastAsia="en-US"/>
        </w:rPr>
        <w:t xml:space="preserve"> Australian</w:t>
      </w:r>
      <w:r w:rsidRPr="00E132E1">
        <w:rPr>
          <w:rFonts w:eastAsia="Aptos"/>
          <w:lang w:eastAsia="en-US"/>
        </w:rPr>
        <w:t xml:space="preserve"> Government’s mandatory climate-related financial disclosures regime.</w:t>
      </w:r>
    </w:p>
    <w:p w14:paraId="11F04F34" w14:textId="3868B4ED" w:rsidR="00E132E1" w:rsidRPr="00E132E1" w:rsidRDefault="000846CC" w:rsidP="00D10B8F">
      <w:pPr>
        <w:rPr>
          <w:rFonts w:eastAsia="Aptos"/>
          <w:lang w:eastAsia="en-US"/>
        </w:rPr>
      </w:pPr>
      <w:r>
        <w:rPr>
          <w:rFonts w:eastAsia="Aptos"/>
          <w:lang w:eastAsia="en-US"/>
        </w:rPr>
        <w:t>T</w:t>
      </w:r>
      <w:r w:rsidR="00E132E1" w:rsidRPr="00E132E1">
        <w:rPr>
          <w:rFonts w:eastAsia="Aptos"/>
          <w:lang w:eastAsia="en-US"/>
        </w:rPr>
        <w:t>he</w:t>
      </w:r>
      <w:r w:rsidR="00576E00">
        <w:rPr>
          <w:rFonts w:eastAsia="Aptos"/>
          <w:lang w:eastAsia="en-US"/>
        </w:rPr>
        <w:t>se</w:t>
      </w:r>
      <w:r w:rsidR="00E132E1" w:rsidRPr="00E132E1">
        <w:rPr>
          <w:rFonts w:eastAsia="Aptos"/>
          <w:lang w:eastAsia="en-US"/>
        </w:rPr>
        <w:t xml:space="preserve"> efforts </w:t>
      </w:r>
      <w:r>
        <w:rPr>
          <w:rFonts w:eastAsia="Aptos"/>
          <w:lang w:eastAsia="en-US"/>
        </w:rPr>
        <w:t>in</w:t>
      </w:r>
      <w:r w:rsidRPr="00E132E1">
        <w:rPr>
          <w:rFonts w:eastAsia="Aptos"/>
          <w:lang w:eastAsia="en-US"/>
        </w:rPr>
        <w:t xml:space="preserve"> </w:t>
      </w:r>
      <w:r w:rsidR="00E132E1" w:rsidRPr="00E132E1">
        <w:rPr>
          <w:rFonts w:eastAsia="Aptos"/>
          <w:lang w:eastAsia="en-US"/>
        </w:rPr>
        <w:t>2024</w:t>
      </w:r>
      <w:r w:rsidR="00725969">
        <w:rPr>
          <w:rFonts w:eastAsia="Aptos"/>
          <w:lang w:eastAsia="en-US"/>
        </w:rPr>
        <w:t>–</w:t>
      </w:r>
      <w:r w:rsidR="00E132E1" w:rsidRPr="00E132E1">
        <w:rPr>
          <w:rFonts w:eastAsia="Aptos"/>
          <w:lang w:eastAsia="en-US"/>
        </w:rPr>
        <w:t xml:space="preserve">25 </w:t>
      </w:r>
      <w:r w:rsidR="00A31528">
        <w:rPr>
          <w:rFonts w:eastAsia="Aptos"/>
          <w:lang w:eastAsia="en-US"/>
        </w:rPr>
        <w:t>was</w:t>
      </w:r>
      <w:r w:rsidR="00293CC2" w:rsidRPr="00E132E1">
        <w:rPr>
          <w:rFonts w:eastAsia="Aptos"/>
          <w:lang w:eastAsia="en-US"/>
        </w:rPr>
        <w:t xml:space="preserve"> </w:t>
      </w:r>
      <w:r w:rsidR="00E132E1" w:rsidRPr="00E132E1">
        <w:rPr>
          <w:rFonts w:eastAsia="Aptos"/>
          <w:lang w:eastAsia="en-US"/>
        </w:rPr>
        <w:t>a significant step forward in embedding climate and sustainability considerations into Australia</w:t>
      </w:r>
      <w:r w:rsidR="00457118">
        <w:rPr>
          <w:rFonts w:eastAsia="Aptos"/>
          <w:lang w:eastAsia="en-US"/>
        </w:rPr>
        <w:t>’s</w:t>
      </w:r>
      <w:r w:rsidR="00E132E1" w:rsidRPr="00E132E1">
        <w:rPr>
          <w:rFonts w:eastAsia="Aptos"/>
          <w:lang w:eastAsia="en-US"/>
        </w:rPr>
        <w:t xml:space="preserve"> reporting landscape. The development</w:t>
      </w:r>
      <w:r w:rsidR="0072242D">
        <w:rPr>
          <w:rFonts w:eastAsia="Aptos"/>
          <w:lang w:eastAsia="en-US"/>
        </w:rPr>
        <w:t xml:space="preserve"> of new standards</w:t>
      </w:r>
      <w:r w:rsidR="00E132E1" w:rsidRPr="00E132E1">
        <w:rPr>
          <w:rFonts w:eastAsia="Aptos"/>
          <w:lang w:eastAsia="en-US"/>
        </w:rPr>
        <w:t xml:space="preserve"> align</w:t>
      </w:r>
      <w:r w:rsidR="0072242D">
        <w:rPr>
          <w:rFonts w:eastAsia="Aptos"/>
          <w:lang w:eastAsia="en-US"/>
        </w:rPr>
        <w:t>s</w:t>
      </w:r>
      <w:r w:rsidR="00E132E1" w:rsidRPr="00E132E1">
        <w:rPr>
          <w:rFonts w:eastAsia="Aptos"/>
          <w:lang w:eastAsia="en-US"/>
        </w:rPr>
        <w:t xml:space="preserve"> Australia with global sustainability standards</w:t>
      </w:r>
      <w:r w:rsidR="0072242D">
        <w:rPr>
          <w:rFonts w:eastAsia="Aptos"/>
          <w:lang w:eastAsia="en-US"/>
        </w:rPr>
        <w:t>. It</w:t>
      </w:r>
      <w:r w:rsidR="00E132E1" w:rsidRPr="00E132E1">
        <w:rPr>
          <w:rFonts w:eastAsia="Aptos"/>
          <w:lang w:eastAsia="en-US"/>
        </w:rPr>
        <w:t xml:space="preserve"> also enhance</w:t>
      </w:r>
      <w:r w:rsidR="0072242D">
        <w:rPr>
          <w:rFonts w:eastAsia="Aptos"/>
          <w:lang w:eastAsia="en-US"/>
        </w:rPr>
        <w:t>s</w:t>
      </w:r>
      <w:r w:rsidR="00E132E1" w:rsidRPr="00E132E1">
        <w:rPr>
          <w:rFonts w:eastAsia="Aptos"/>
          <w:lang w:eastAsia="en-US"/>
        </w:rPr>
        <w:t xml:space="preserve"> the integrity and utility of sustainability disclosures for investors, regulators and the broader community.</w:t>
      </w:r>
    </w:p>
    <w:p w14:paraId="4B1B31AA" w14:textId="60BDD75B" w:rsidR="00E132E1" w:rsidRPr="000476F1" w:rsidRDefault="00E132E1" w:rsidP="000B66A2">
      <w:pPr>
        <w:pStyle w:val="Heading2"/>
      </w:pPr>
      <w:bookmarkStart w:id="4" w:name="_Toc211627785"/>
      <w:r w:rsidRPr="000476F1">
        <w:t>Audit Quality Management</w:t>
      </w:r>
      <w:bookmarkEnd w:id="4"/>
    </w:p>
    <w:p w14:paraId="500C3991" w14:textId="2A405987" w:rsidR="00764AA7" w:rsidRDefault="00E132E1" w:rsidP="00AF1792">
      <w:pPr>
        <w:rPr>
          <w:rFonts w:eastAsia="Aptos"/>
          <w:lang w:eastAsia="en-US"/>
        </w:rPr>
      </w:pPr>
      <w:r w:rsidRPr="00E132E1">
        <w:rPr>
          <w:rFonts w:eastAsia="Aptos"/>
          <w:lang w:eastAsia="en-US"/>
        </w:rPr>
        <w:t xml:space="preserve">Recognising the evolving landscape of reporting, particularly with the introduction of sustainability disclosures, the FRC acknowledged the significant efforts made by the AUASB and AASB in developing comprehensive guidance and educational resources. These materials </w:t>
      </w:r>
      <w:r w:rsidR="00B36340">
        <w:rPr>
          <w:rFonts w:eastAsia="Aptos"/>
          <w:lang w:eastAsia="en-US"/>
        </w:rPr>
        <w:t>help</w:t>
      </w:r>
      <w:r w:rsidRPr="00E132E1">
        <w:rPr>
          <w:rFonts w:eastAsia="Aptos"/>
          <w:lang w:eastAsia="en-US"/>
        </w:rPr>
        <w:t xml:space="preserve"> auditors implement new auditing standards</w:t>
      </w:r>
      <w:r w:rsidR="00B36340">
        <w:rPr>
          <w:rFonts w:eastAsia="Aptos"/>
          <w:lang w:eastAsia="en-US"/>
        </w:rPr>
        <w:t xml:space="preserve">. </w:t>
      </w:r>
      <w:r w:rsidR="00981CAB">
        <w:rPr>
          <w:rFonts w:eastAsia="Aptos"/>
          <w:lang w:eastAsia="en-US"/>
        </w:rPr>
        <w:t>Providing</w:t>
      </w:r>
      <w:r w:rsidR="000D449B">
        <w:rPr>
          <w:rFonts w:eastAsia="Aptos"/>
          <w:lang w:eastAsia="en-US"/>
        </w:rPr>
        <w:t xml:space="preserve"> guidance and resources</w:t>
      </w:r>
      <w:r w:rsidR="00B36340">
        <w:rPr>
          <w:rFonts w:eastAsia="Aptos"/>
          <w:lang w:eastAsia="en-US"/>
        </w:rPr>
        <w:t xml:space="preserve"> </w:t>
      </w:r>
      <w:r w:rsidR="000D449B">
        <w:rPr>
          <w:rFonts w:eastAsia="Aptos"/>
          <w:lang w:eastAsia="en-US"/>
        </w:rPr>
        <w:t xml:space="preserve">helps </w:t>
      </w:r>
      <w:r w:rsidRPr="00E132E1">
        <w:rPr>
          <w:rFonts w:eastAsia="Aptos"/>
          <w:lang w:eastAsia="en-US"/>
        </w:rPr>
        <w:t>ensur</w:t>
      </w:r>
      <w:r w:rsidR="00B36340">
        <w:rPr>
          <w:rFonts w:eastAsia="Aptos"/>
          <w:lang w:eastAsia="en-US"/>
        </w:rPr>
        <w:t>e</w:t>
      </w:r>
      <w:r w:rsidRPr="00E132E1">
        <w:rPr>
          <w:rFonts w:eastAsia="Aptos"/>
          <w:lang w:eastAsia="en-US"/>
        </w:rPr>
        <w:t xml:space="preserve"> audit practices keep pace with the increasing complexity and breadth of reporting requirements.</w:t>
      </w:r>
    </w:p>
    <w:p w14:paraId="6D4D344D" w14:textId="5EB8326A" w:rsidR="00E132E1" w:rsidRPr="004F46A4" w:rsidRDefault="00E132E1" w:rsidP="00AF1792">
      <w:pPr>
        <w:rPr>
          <w:rStyle w:val="Hyperlink"/>
          <w:rFonts w:eastAsia="Aptos"/>
        </w:rPr>
      </w:pPr>
      <w:r w:rsidRPr="00E132E1">
        <w:rPr>
          <w:rFonts w:eastAsia="Aptos"/>
          <w:lang w:eastAsia="en-US"/>
        </w:rPr>
        <w:t>The FRC continu</w:t>
      </w:r>
      <w:r w:rsidR="00C56575">
        <w:rPr>
          <w:rFonts w:eastAsia="Aptos"/>
          <w:lang w:eastAsia="en-US"/>
        </w:rPr>
        <w:t>es</w:t>
      </w:r>
      <w:r w:rsidRPr="00E132E1">
        <w:rPr>
          <w:rFonts w:eastAsia="Aptos"/>
          <w:lang w:eastAsia="en-US"/>
        </w:rPr>
        <w:t xml:space="preserve"> to engage with</w:t>
      </w:r>
      <w:r w:rsidR="002C733C">
        <w:rPr>
          <w:rFonts w:eastAsia="Aptos"/>
          <w:lang w:eastAsia="en-US"/>
        </w:rPr>
        <w:t xml:space="preserve"> an</w:t>
      </w:r>
      <w:r w:rsidR="00C56575">
        <w:rPr>
          <w:rFonts w:eastAsia="Aptos"/>
          <w:lang w:eastAsia="en-US"/>
        </w:rPr>
        <w:t>d</w:t>
      </w:r>
      <w:r w:rsidR="002C733C">
        <w:rPr>
          <w:rFonts w:eastAsia="Aptos"/>
          <w:lang w:eastAsia="en-US"/>
        </w:rPr>
        <w:t xml:space="preserve"> consider the implications of</w:t>
      </w:r>
      <w:r w:rsidRPr="00E132E1">
        <w:rPr>
          <w:rFonts w:eastAsia="Aptos"/>
          <w:lang w:eastAsia="en-US"/>
        </w:rPr>
        <w:t xml:space="preserve"> the recommendations made by the Parliamentary Joint Committee on Corporations and Financial Services in its final report</w:t>
      </w:r>
      <w:r w:rsidR="00AC3C8C">
        <w:rPr>
          <w:rFonts w:eastAsia="Aptos"/>
          <w:lang w:eastAsia="en-US"/>
        </w:rPr>
        <w:t>,</w:t>
      </w:r>
      <w:r w:rsidRPr="00E132E1">
        <w:rPr>
          <w:rFonts w:eastAsia="Aptos"/>
          <w:lang w:eastAsia="en-US"/>
        </w:rPr>
        <w:t xml:space="preserve"> </w:t>
      </w:r>
      <w:hyperlink r:id="rId22" w:history="1">
        <w:r w:rsidRPr="001C6261">
          <w:rPr>
            <w:rStyle w:val="Hyperlink"/>
            <w:rFonts w:eastAsia="Aptos"/>
          </w:rPr>
          <w:t>Ethics and Professional Accountability: Structural Challenges in the Audit, Assurance and Consultancy Industry (2024)</w:t>
        </w:r>
        <w:r w:rsidRPr="001C6261">
          <w:rPr>
            <w:rFonts w:eastAsia="Aptos"/>
          </w:rPr>
          <w:t>.</w:t>
        </w:r>
      </w:hyperlink>
    </w:p>
    <w:p w14:paraId="45DC5D3E" w14:textId="1ECB49C8" w:rsidR="00E132E1" w:rsidRPr="000476F1" w:rsidRDefault="00E132E1" w:rsidP="000B66A2">
      <w:pPr>
        <w:pStyle w:val="Heading2"/>
      </w:pPr>
      <w:bookmarkStart w:id="5" w:name="_Toc211627786"/>
      <w:r w:rsidRPr="000476F1">
        <w:t>International Financial Reporting Standards</w:t>
      </w:r>
      <w:bookmarkEnd w:id="5"/>
    </w:p>
    <w:p w14:paraId="31F1E353" w14:textId="35540F47" w:rsidR="00E132E1" w:rsidRPr="00E132E1" w:rsidRDefault="00E132E1" w:rsidP="00AF1792">
      <w:pPr>
        <w:rPr>
          <w:rFonts w:eastAsia="Aptos"/>
          <w:lang w:eastAsia="en-US"/>
        </w:rPr>
      </w:pPr>
      <w:r w:rsidRPr="00E132E1">
        <w:rPr>
          <w:rFonts w:eastAsia="Aptos"/>
          <w:lang w:eastAsia="en-US"/>
        </w:rPr>
        <w:t>The FRC maintained its commitment to</w:t>
      </w:r>
      <w:r w:rsidR="008F260B">
        <w:rPr>
          <w:rFonts w:eastAsia="Aptos"/>
          <w:lang w:eastAsia="en-US"/>
        </w:rPr>
        <w:t xml:space="preserve"> ensure</w:t>
      </w:r>
      <w:r w:rsidRPr="00E132E1">
        <w:rPr>
          <w:rFonts w:eastAsia="Aptos"/>
          <w:lang w:eastAsia="en-US"/>
        </w:rPr>
        <w:t xml:space="preserve"> align</w:t>
      </w:r>
      <w:r w:rsidR="008F260B">
        <w:rPr>
          <w:rFonts w:eastAsia="Aptos"/>
          <w:lang w:eastAsia="en-US"/>
        </w:rPr>
        <w:t>ment of</w:t>
      </w:r>
      <w:r w:rsidRPr="00E132E1">
        <w:rPr>
          <w:rFonts w:eastAsia="Aptos"/>
          <w:lang w:eastAsia="en-US"/>
        </w:rPr>
        <w:t xml:space="preserve"> Australia's financial reporting framework with international standards. The FRC supported various appointments of Australians to international standard-setting bodies and forums of influence by identifying</w:t>
      </w:r>
      <w:r w:rsidR="00DE0DCE">
        <w:rPr>
          <w:rFonts w:eastAsia="Aptos"/>
          <w:lang w:eastAsia="en-US"/>
        </w:rPr>
        <w:t xml:space="preserve"> and nominating</w:t>
      </w:r>
      <w:r w:rsidRPr="00E132E1">
        <w:rPr>
          <w:rFonts w:eastAsia="Aptos"/>
          <w:lang w:eastAsia="en-US"/>
        </w:rPr>
        <w:t xml:space="preserve"> suitable candidates, reinforcing Australia's </w:t>
      </w:r>
      <w:r w:rsidR="00DE0DCE">
        <w:rPr>
          <w:rFonts w:eastAsia="Aptos"/>
          <w:lang w:eastAsia="en-US"/>
        </w:rPr>
        <w:t>standing</w:t>
      </w:r>
      <w:r w:rsidR="00DE0DCE" w:rsidRPr="00E132E1">
        <w:rPr>
          <w:rFonts w:eastAsia="Aptos"/>
          <w:lang w:eastAsia="en-US"/>
        </w:rPr>
        <w:t xml:space="preserve"> </w:t>
      </w:r>
      <w:r w:rsidRPr="00E132E1">
        <w:rPr>
          <w:rFonts w:eastAsia="Aptos"/>
          <w:lang w:eastAsia="en-US"/>
        </w:rPr>
        <w:t>in global standard-setting discussions.</w:t>
      </w:r>
    </w:p>
    <w:p w14:paraId="27AAABCA" w14:textId="126901D2" w:rsidR="00E132E1" w:rsidRPr="00E132E1" w:rsidRDefault="00E132E1" w:rsidP="00AF1792">
      <w:pPr>
        <w:rPr>
          <w:rFonts w:eastAsia="Aptos"/>
          <w:lang w:eastAsia="en-US"/>
        </w:rPr>
      </w:pPr>
      <w:r w:rsidRPr="00E132E1">
        <w:rPr>
          <w:rFonts w:eastAsia="Aptos"/>
          <w:lang w:eastAsia="en-US"/>
        </w:rPr>
        <w:t>The FRC emphasised the importance of proactive engagement in international forums to ensure that Australia's standards reflect global trends and domestic needs. The AASB and AUASB regularly report to the FRC on their activities to strengthen and expand relationships with global and national standard-setting bodies. This allows the boards to effectively monitor and contribute to international developments.</w:t>
      </w:r>
    </w:p>
    <w:p w14:paraId="598D268B" w14:textId="420E75A4" w:rsidR="00E132E1" w:rsidRPr="000476F1" w:rsidRDefault="00E132E1" w:rsidP="004F46A4">
      <w:pPr>
        <w:rPr>
          <w:rFonts w:ascii="Calibri" w:hAnsi="Calibri" w:cs="Arial"/>
          <w:iCs/>
          <w:color w:val="497783" w:themeColor="accent1"/>
          <w:kern w:val="32"/>
          <w:sz w:val="36"/>
          <w:szCs w:val="28"/>
        </w:rPr>
      </w:pPr>
      <w:r w:rsidRPr="000476F1">
        <w:rPr>
          <w:rFonts w:ascii="Calibri" w:hAnsi="Calibri" w:cs="Arial"/>
          <w:iCs/>
          <w:color w:val="497783" w:themeColor="accent1"/>
          <w:kern w:val="32"/>
          <w:sz w:val="36"/>
          <w:szCs w:val="28"/>
        </w:rPr>
        <w:t xml:space="preserve">Talent </w:t>
      </w:r>
      <w:r w:rsidR="00197E29" w:rsidRPr="000476F1">
        <w:rPr>
          <w:rFonts w:ascii="Calibri" w:hAnsi="Calibri" w:cs="Arial"/>
          <w:iCs/>
          <w:color w:val="497783" w:themeColor="accent1"/>
          <w:kern w:val="32"/>
          <w:sz w:val="36"/>
          <w:szCs w:val="28"/>
        </w:rPr>
        <w:t>a</w:t>
      </w:r>
      <w:r w:rsidRPr="000476F1">
        <w:rPr>
          <w:rFonts w:ascii="Calibri" w:hAnsi="Calibri" w:cs="Arial"/>
          <w:iCs/>
          <w:color w:val="497783" w:themeColor="accent1"/>
          <w:kern w:val="32"/>
          <w:sz w:val="36"/>
          <w:szCs w:val="28"/>
        </w:rPr>
        <w:t xml:space="preserve">ttraction and </w:t>
      </w:r>
      <w:r w:rsidR="00197E29" w:rsidRPr="000476F1">
        <w:rPr>
          <w:rFonts w:ascii="Calibri" w:hAnsi="Calibri" w:cs="Arial"/>
          <w:iCs/>
          <w:color w:val="497783" w:themeColor="accent1"/>
          <w:kern w:val="32"/>
          <w:sz w:val="36"/>
          <w:szCs w:val="28"/>
        </w:rPr>
        <w:t>r</w:t>
      </w:r>
      <w:r w:rsidRPr="000476F1">
        <w:rPr>
          <w:rFonts w:ascii="Calibri" w:hAnsi="Calibri" w:cs="Arial"/>
          <w:iCs/>
          <w:color w:val="497783" w:themeColor="accent1"/>
          <w:kern w:val="32"/>
          <w:sz w:val="36"/>
          <w:szCs w:val="28"/>
        </w:rPr>
        <w:t>etention</w:t>
      </w:r>
    </w:p>
    <w:p w14:paraId="170C8B40" w14:textId="5633D6FE" w:rsidR="00E132E1" w:rsidRPr="00E132E1" w:rsidRDefault="00E132E1" w:rsidP="00AF1792">
      <w:pPr>
        <w:rPr>
          <w:rFonts w:eastAsia="Aptos"/>
          <w:lang w:eastAsia="en-US"/>
        </w:rPr>
      </w:pPr>
      <w:r w:rsidRPr="00E132E1">
        <w:rPr>
          <w:rFonts w:eastAsia="Aptos"/>
          <w:lang w:eastAsia="en-US"/>
        </w:rPr>
        <w:t xml:space="preserve">During the 2024–25 financial year, the FRC continued to focus on the challenges of talent attraction and retention within the accounting profession. The FRC acknowledged ongoing research initiatives led by Professional Accounting Bodies (PABs) that seek to better understand the multifaceted challenges involved in attracting and retaining skilled professionals. This research is vital in identifying barriers and enablers across various stages of professional development, from early career entry </w:t>
      </w:r>
      <w:r w:rsidR="002B055F">
        <w:rPr>
          <w:rFonts w:eastAsia="Aptos"/>
          <w:lang w:eastAsia="en-US"/>
        </w:rPr>
        <w:t xml:space="preserve">level </w:t>
      </w:r>
      <w:r w:rsidRPr="00E132E1">
        <w:rPr>
          <w:rFonts w:eastAsia="Aptos"/>
          <w:lang w:eastAsia="en-US"/>
        </w:rPr>
        <w:t>to senior leadership roles.</w:t>
      </w:r>
      <w:r w:rsidR="00FC04B3">
        <w:rPr>
          <w:rFonts w:eastAsia="Aptos"/>
          <w:lang w:eastAsia="en-US"/>
        </w:rPr>
        <w:t xml:space="preserve"> The FRC </w:t>
      </w:r>
      <w:r w:rsidR="00D4415C">
        <w:rPr>
          <w:rFonts w:eastAsia="Aptos"/>
          <w:lang w:eastAsia="en-US"/>
        </w:rPr>
        <w:t>noted</w:t>
      </w:r>
      <w:r w:rsidR="00D84D27">
        <w:rPr>
          <w:rFonts w:eastAsia="Aptos"/>
          <w:lang w:eastAsia="en-US"/>
        </w:rPr>
        <w:t xml:space="preserve"> declining enrolments in accounting-related university degrees, </w:t>
      </w:r>
      <w:r w:rsidR="00F73DBC">
        <w:rPr>
          <w:rFonts w:eastAsia="Aptos"/>
          <w:lang w:eastAsia="en-US"/>
        </w:rPr>
        <w:t xml:space="preserve">which could be addressed by promoting </w:t>
      </w:r>
      <w:r w:rsidR="00AE2B28">
        <w:rPr>
          <w:rFonts w:eastAsia="Aptos"/>
          <w:lang w:eastAsia="en-US"/>
        </w:rPr>
        <w:t xml:space="preserve">financial reporting career opportunities </w:t>
      </w:r>
      <w:r w:rsidR="003C6C07">
        <w:rPr>
          <w:rFonts w:eastAsia="Aptos"/>
          <w:lang w:eastAsia="en-US"/>
        </w:rPr>
        <w:t>at the high school level</w:t>
      </w:r>
      <w:r w:rsidR="00AE2B28">
        <w:rPr>
          <w:rFonts w:eastAsia="Aptos"/>
          <w:lang w:eastAsia="en-US"/>
        </w:rPr>
        <w:t>.</w:t>
      </w:r>
    </w:p>
    <w:p w14:paraId="5746C72D" w14:textId="5C5BDC7F" w:rsidR="00E132E1" w:rsidRPr="00E132E1" w:rsidRDefault="00E132E1" w:rsidP="00AF1792">
      <w:pPr>
        <w:rPr>
          <w:rFonts w:eastAsia="Aptos"/>
          <w:lang w:eastAsia="en-US"/>
        </w:rPr>
      </w:pPr>
      <w:r w:rsidRPr="00E132E1">
        <w:rPr>
          <w:rFonts w:eastAsia="Aptos"/>
          <w:lang w:eastAsia="en-US"/>
        </w:rPr>
        <w:t xml:space="preserve">The FRC recognised several factors influencing talent dynamics in the profession, such as workplace inclusivity, diversity, and work-life balance, which </w:t>
      </w:r>
      <w:r w:rsidR="002F481F">
        <w:rPr>
          <w:rFonts w:eastAsia="Aptos"/>
          <w:lang w:eastAsia="en-US"/>
        </w:rPr>
        <w:t xml:space="preserve">can </w:t>
      </w:r>
      <w:r w:rsidRPr="00E132E1">
        <w:rPr>
          <w:rFonts w:eastAsia="Aptos"/>
          <w:lang w:eastAsia="en-US"/>
        </w:rPr>
        <w:t xml:space="preserve">significantly impact employee engagement and long-term retention. </w:t>
      </w:r>
      <w:r w:rsidR="00321E4E">
        <w:rPr>
          <w:rFonts w:eastAsia="Aptos"/>
          <w:lang w:eastAsia="en-US"/>
        </w:rPr>
        <w:t>T</w:t>
      </w:r>
      <w:r w:rsidRPr="00E132E1">
        <w:rPr>
          <w:rFonts w:eastAsia="Aptos"/>
          <w:lang w:eastAsia="en-US"/>
        </w:rPr>
        <w:t>he FRC</w:t>
      </w:r>
      <w:r w:rsidR="00321E4E">
        <w:rPr>
          <w:rFonts w:eastAsia="Aptos"/>
          <w:lang w:eastAsia="en-US"/>
        </w:rPr>
        <w:t xml:space="preserve"> also</w:t>
      </w:r>
      <w:r w:rsidRPr="00E132E1">
        <w:rPr>
          <w:rFonts w:eastAsia="Aptos"/>
          <w:lang w:eastAsia="en-US"/>
        </w:rPr>
        <w:t xml:space="preserve"> recognised the need for more structured</w:t>
      </w:r>
      <w:r w:rsidR="00B9039A">
        <w:rPr>
          <w:rFonts w:eastAsia="Aptos"/>
          <w:lang w:eastAsia="en-US"/>
        </w:rPr>
        <w:t xml:space="preserve">, </w:t>
      </w:r>
      <w:r w:rsidRPr="00E132E1">
        <w:rPr>
          <w:rFonts w:eastAsia="Aptos"/>
          <w:lang w:eastAsia="en-US"/>
        </w:rPr>
        <w:t xml:space="preserve">transparent </w:t>
      </w:r>
      <w:r w:rsidR="00B9039A">
        <w:rPr>
          <w:rFonts w:eastAsia="Aptos"/>
          <w:lang w:eastAsia="en-US"/>
        </w:rPr>
        <w:t xml:space="preserve">and diverse </w:t>
      </w:r>
      <w:r w:rsidRPr="00E132E1">
        <w:rPr>
          <w:rFonts w:eastAsia="Aptos"/>
          <w:lang w:eastAsia="en-US"/>
        </w:rPr>
        <w:t xml:space="preserve">career pathways that enable professionals to navigate their </w:t>
      </w:r>
      <w:r w:rsidR="00B9039A">
        <w:rPr>
          <w:rFonts w:eastAsia="Aptos"/>
          <w:lang w:eastAsia="en-US"/>
        </w:rPr>
        <w:t xml:space="preserve">career </w:t>
      </w:r>
      <w:r w:rsidRPr="00E132E1">
        <w:rPr>
          <w:rFonts w:eastAsia="Aptos"/>
          <w:lang w:eastAsia="en-US"/>
        </w:rPr>
        <w:t>progression with greater clarity and confidence.</w:t>
      </w:r>
      <w:r w:rsidR="00B9039A">
        <w:rPr>
          <w:rFonts w:eastAsia="Aptos"/>
          <w:lang w:eastAsia="en-US"/>
        </w:rPr>
        <w:t xml:space="preserve"> </w:t>
      </w:r>
    </w:p>
    <w:p w14:paraId="3D20D70B" w14:textId="2CAA0B1F" w:rsidR="00CB32A0" w:rsidRDefault="00E132E1" w:rsidP="00AF1792">
      <w:pPr>
        <w:rPr>
          <w:rFonts w:eastAsia="Aptos"/>
          <w:lang w:eastAsia="en-US"/>
        </w:rPr>
      </w:pPr>
      <w:r w:rsidRPr="00E132E1">
        <w:rPr>
          <w:rFonts w:eastAsia="Aptos"/>
          <w:lang w:eastAsia="en-US"/>
        </w:rPr>
        <w:t xml:space="preserve">The FRC noted that addressing these challenges requires a coordinated, collaborative approach involving </w:t>
      </w:r>
      <w:r w:rsidR="00A04BE6">
        <w:rPr>
          <w:rFonts w:eastAsia="Aptos"/>
          <w:lang w:eastAsia="en-US"/>
        </w:rPr>
        <w:t xml:space="preserve">many </w:t>
      </w:r>
      <w:r w:rsidRPr="00E132E1">
        <w:rPr>
          <w:rFonts w:eastAsia="Aptos"/>
          <w:lang w:eastAsia="en-US"/>
        </w:rPr>
        <w:t>stakeholders</w:t>
      </w:r>
      <w:r w:rsidR="00CB32A0">
        <w:rPr>
          <w:rFonts w:eastAsia="Aptos"/>
          <w:lang w:eastAsia="en-US"/>
        </w:rPr>
        <w:t>,</w:t>
      </w:r>
      <w:r w:rsidRPr="00E132E1">
        <w:rPr>
          <w:rFonts w:eastAsia="Aptos"/>
          <w:lang w:eastAsia="en-US"/>
        </w:rPr>
        <w:t xml:space="preserve"> including</w:t>
      </w:r>
      <w:r w:rsidR="00CB32A0">
        <w:rPr>
          <w:rFonts w:eastAsia="Aptos"/>
          <w:lang w:eastAsia="en-US"/>
        </w:rPr>
        <w:t>:</w:t>
      </w:r>
    </w:p>
    <w:p w14:paraId="0E66C287" w14:textId="77777777" w:rsidR="00CB32A0" w:rsidRPr="00C176BF" w:rsidRDefault="00E132E1" w:rsidP="003B326A">
      <w:pPr>
        <w:pStyle w:val="Bullet"/>
      </w:pPr>
      <w:r w:rsidRPr="00C176BF">
        <w:t>regulatory bodies</w:t>
      </w:r>
    </w:p>
    <w:p w14:paraId="585A5C7C" w14:textId="3ED398A3" w:rsidR="00CB32A0" w:rsidRPr="00C176BF" w:rsidRDefault="00E132E1" w:rsidP="003B326A">
      <w:pPr>
        <w:pStyle w:val="Bullet"/>
      </w:pPr>
      <w:r w:rsidRPr="00C176BF">
        <w:t>professional associations</w:t>
      </w:r>
    </w:p>
    <w:p w14:paraId="368410ED" w14:textId="3E47149C" w:rsidR="00CB32A0" w:rsidRPr="00C176BF" w:rsidRDefault="0045166C" w:rsidP="003B326A">
      <w:pPr>
        <w:pStyle w:val="Bullet"/>
      </w:pPr>
      <w:r w:rsidRPr="00C176BF">
        <w:t>a</w:t>
      </w:r>
      <w:r w:rsidR="003B2168" w:rsidRPr="00C176BF">
        <w:t xml:space="preserve">ccounting </w:t>
      </w:r>
      <w:r w:rsidR="00E132E1" w:rsidRPr="00C176BF">
        <w:t>firms</w:t>
      </w:r>
      <w:r w:rsidR="00A04BE6" w:rsidRPr="00C176BF">
        <w:t xml:space="preserve"> </w:t>
      </w:r>
    </w:p>
    <w:p w14:paraId="0837BD51" w14:textId="226AC627" w:rsidR="00CB32A0" w:rsidRPr="00AF1792" w:rsidRDefault="00E132E1" w:rsidP="003B326A">
      <w:pPr>
        <w:pStyle w:val="Bullet"/>
      </w:pPr>
      <w:r w:rsidRPr="00C176BF">
        <w:t>educational institutions.</w:t>
      </w:r>
    </w:p>
    <w:p w14:paraId="6453D556" w14:textId="0B0E7E26" w:rsidR="00E132E1" w:rsidRPr="00E132E1" w:rsidRDefault="00E132E1" w:rsidP="00AF1792">
      <w:pPr>
        <w:rPr>
          <w:rFonts w:eastAsia="Aptos"/>
          <w:lang w:eastAsia="en-US"/>
        </w:rPr>
      </w:pPr>
      <w:r w:rsidRPr="00E132E1">
        <w:rPr>
          <w:rFonts w:eastAsia="Aptos"/>
          <w:lang w:eastAsia="en-US"/>
        </w:rPr>
        <w:t>The FRC supports initiatives aimed at fostering a culture of continuous learning, professional growth and inclusion, thereby strengthening the capacity of the accounting profession to meet future challenges and stakeholder expectations effectively.</w:t>
      </w:r>
      <w:r w:rsidR="00112911">
        <w:rPr>
          <w:rFonts w:eastAsia="Aptos"/>
          <w:lang w:eastAsia="en-US"/>
        </w:rPr>
        <w:t xml:space="preserve"> </w:t>
      </w:r>
      <w:r w:rsidRPr="00E132E1">
        <w:rPr>
          <w:rFonts w:eastAsia="Aptos"/>
          <w:lang w:eastAsia="en-US"/>
        </w:rPr>
        <w:t xml:space="preserve">The FRC continues to engage with the Accounting Professional &amp; Ethical Standards Board (APESB) and International Ethics Standards Board for Accountants (IESBA) on international best practices to ensure community ethical expectations are </w:t>
      </w:r>
      <w:r w:rsidR="00B037BE">
        <w:rPr>
          <w:rFonts w:eastAsia="Aptos"/>
          <w:lang w:eastAsia="en-US"/>
        </w:rPr>
        <w:t xml:space="preserve">understood and </w:t>
      </w:r>
      <w:r w:rsidRPr="00E132E1">
        <w:rPr>
          <w:rFonts w:eastAsia="Aptos"/>
          <w:lang w:eastAsia="en-US"/>
        </w:rPr>
        <w:t>achieved.</w:t>
      </w:r>
    </w:p>
    <w:p w14:paraId="7F2C3B00" w14:textId="17D2EE07" w:rsidR="00E132E1" w:rsidRPr="000476F1" w:rsidRDefault="00E132E1" w:rsidP="000B66A2">
      <w:pPr>
        <w:pStyle w:val="Heading2"/>
      </w:pPr>
      <w:bookmarkStart w:id="6" w:name="_Toc211627787"/>
      <w:r w:rsidRPr="000476F1">
        <w:t xml:space="preserve">Public </w:t>
      </w:r>
      <w:r w:rsidR="00197E29" w:rsidRPr="000476F1">
        <w:t>s</w:t>
      </w:r>
      <w:r w:rsidRPr="000476F1">
        <w:t xml:space="preserve">ector </w:t>
      </w:r>
      <w:r w:rsidR="00197E29" w:rsidRPr="000476F1">
        <w:t>r</w:t>
      </w:r>
      <w:r w:rsidRPr="000476F1">
        <w:t xml:space="preserve">eporting </w:t>
      </w:r>
      <w:r w:rsidR="00197E29" w:rsidRPr="000476F1">
        <w:t>d</w:t>
      </w:r>
      <w:r w:rsidRPr="000476F1">
        <w:t>evelopments</w:t>
      </w:r>
      <w:bookmarkEnd w:id="6"/>
    </w:p>
    <w:p w14:paraId="19BBF3D6" w14:textId="792737C3" w:rsidR="00CB32A0" w:rsidRPr="00AF1792" w:rsidRDefault="00E132E1" w:rsidP="00AF1792">
      <w:pPr>
        <w:rPr>
          <w:rFonts w:eastAsia="Aptos"/>
        </w:rPr>
      </w:pPr>
      <w:r w:rsidRPr="00AF1792">
        <w:rPr>
          <w:rFonts w:eastAsia="Aptos"/>
        </w:rPr>
        <w:t xml:space="preserve">Public sector reporting continued to be a focus </w:t>
      </w:r>
      <w:r w:rsidR="00CB32A0" w:rsidRPr="00AF1792">
        <w:rPr>
          <w:rFonts w:eastAsia="Aptos"/>
        </w:rPr>
        <w:t xml:space="preserve">area </w:t>
      </w:r>
      <w:r w:rsidRPr="00AF1792">
        <w:rPr>
          <w:rFonts w:eastAsia="Aptos"/>
        </w:rPr>
        <w:t xml:space="preserve">for the FRC during the 2024–25 </w:t>
      </w:r>
      <w:r w:rsidR="001302CE" w:rsidRPr="00AF1792">
        <w:rPr>
          <w:rFonts w:eastAsia="Aptos"/>
        </w:rPr>
        <w:t xml:space="preserve">reporting </w:t>
      </w:r>
      <w:r w:rsidRPr="00AF1792">
        <w:rPr>
          <w:rFonts w:eastAsia="Aptos"/>
        </w:rPr>
        <w:t xml:space="preserve">year. </w:t>
      </w:r>
    </w:p>
    <w:p w14:paraId="5EE06B61" w14:textId="096B2B3D" w:rsidR="00E132E1" w:rsidRPr="00E132E1" w:rsidRDefault="00E132E1" w:rsidP="00AF1792">
      <w:pPr>
        <w:rPr>
          <w:rFonts w:eastAsia="Aptos"/>
          <w:lang w:eastAsia="en-US"/>
        </w:rPr>
      </w:pPr>
      <w:r w:rsidRPr="00E132E1">
        <w:rPr>
          <w:rFonts w:eastAsia="Aptos"/>
          <w:lang w:eastAsia="en-US"/>
        </w:rPr>
        <w:t xml:space="preserve">Discussions held by the Public Sector Advisory Group (PSAG) throughout the year recognised that </w:t>
      </w:r>
      <w:r w:rsidR="00337A8D">
        <w:rPr>
          <w:rFonts w:eastAsia="Aptos"/>
          <w:lang w:eastAsia="en-US"/>
        </w:rPr>
        <w:t>attraction and retention of suitably qualified staff to the public sector</w:t>
      </w:r>
      <w:r w:rsidR="00112911">
        <w:rPr>
          <w:rFonts w:eastAsia="Aptos"/>
          <w:lang w:eastAsia="en-US"/>
        </w:rPr>
        <w:t xml:space="preserve"> </w:t>
      </w:r>
      <w:r w:rsidRPr="00E132E1">
        <w:rPr>
          <w:rFonts w:eastAsia="Aptos"/>
          <w:lang w:eastAsia="en-US"/>
        </w:rPr>
        <w:t xml:space="preserve">organisations present </w:t>
      </w:r>
      <w:r w:rsidR="00B872E4">
        <w:rPr>
          <w:rFonts w:eastAsia="Aptos"/>
          <w:lang w:eastAsia="en-US"/>
        </w:rPr>
        <w:t>ongoing</w:t>
      </w:r>
      <w:r w:rsidR="00112911">
        <w:rPr>
          <w:rFonts w:eastAsia="Aptos"/>
          <w:lang w:eastAsia="en-US"/>
        </w:rPr>
        <w:t xml:space="preserve"> </w:t>
      </w:r>
      <w:r w:rsidR="00764AA7">
        <w:rPr>
          <w:rFonts w:eastAsia="Aptos"/>
          <w:lang w:eastAsia="en-US"/>
        </w:rPr>
        <w:t xml:space="preserve">challenges in </w:t>
      </w:r>
      <w:r w:rsidRPr="00E132E1">
        <w:rPr>
          <w:rFonts w:eastAsia="Aptos"/>
          <w:lang w:eastAsia="en-US"/>
        </w:rPr>
        <w:t>effective</w:t>
      </w:r>
      <w:r w:rsidR="00B872E4">
        <w:rPr>
          <w:rFonts w:eastAsia="Aptos"/>
          <w:lang w:eastAsia="en-US"/>
        </w:rPr>
        <w:t xml:space="preserve"> and </w:t>
      </w:r>
      <w:r w:rsidR="00A31528">
        <w:rPr>
          <w:rFonts w:eastAsia="Aptos"/>
          <w:lang w:eastAsia="en-US"/>
        </w:rPr>
        <w:t>high-quality</w:t>
      </w:r>
      <w:r w:rsidRPr="00E132E1">
        <w:rPr>
          <w:rFonts w:eastAsia="Aptos"/>
          <w:lang w:eastAsia="en-US"/>
        </w:rPr>
        <w:t xml:space="preserve"> reporting, underscoring the need for targeted </w:t>
      </w:r>
      <w:r w:rsidR="00B872E4">
        <w:rPr>
          <w:rFonts w:eastAsia="Aptos"/>
          <w:lang w:eastAsia="en-US"/>
        </w:rPr>
        <w:t>capability</w:t>
      </w:r>
      <w:r w:rsidR="00B872E4" w:rsidRPr="00E132E1">
        <w:rPr>
          <w:rFonts w:eastAsia="Aptos"/>
          <w:lang w:eastAsia="en-US"/>
        </w:rPr>
        <w:t xml:space="preserve"> </w:t>
      </w:r>
      <w:r w:rsidRPr="00E132E1">
        <w:rPr>
          <w:rFonts w:eastAsia="Aptos"/>
          <w:lang w:eastAsia="en-US"/>
        </w:rPr>
        <w:t>and capacity-building initiatives.</w:t>
      </w:r>
    </w:p>
    <w:p w14:paraId="62845628" w14:textId="69AB18AA" w:rsidR="00E132E1" w:rsidRPr="00E132E1" w:rsidRDefault="00E132E1" w:rsidP="00AF1792">
      <w:pPr>
        <w:rPr>
          <w:rFonts w:eastAsia="Aptos"/>
          <w:lang w:eastAsia="en-US"/>
        </w:rPr>
      </w:pPr>
      <w:r w:rsidRPr="00E132E1">
        <w:rPr>
          <w:rFonts w:eastAsia="Aptos"/>
          <w:lang w:eastAsia="en-US"/>
        </w:rPr>
        <w:t xml:space="preserve">The FRC emphasised the critical importance of building capability and securing adequate </w:t>
      </w:r>
      <w:r w:rsidR="00E67DFA">
        <w:rPr>
          <w:rFonts w:eastAsia="Aptos"/>
          <w:lang w:eastAsia="en-US"/>
        </w:rPr>
        <w:t>talent</w:t>
      </w:r>
      <w:r w:rsidR="00E67DFA" w:rsidRPr="00E132E1">
        <w:rPr>
          <w:rFonts w:eastAsia="Aptos"/>
          <w:lang w:eastAsia="en-US"/>
        </w:rPr>
        <w:t xml:space="preserve"> </w:t>
      </w:r>
      <w:r w:rsidRPr="00E132E1">
        <w:rPr>
          <w:rFonts w:eastAsia="Aptos"/>
          <w:lang w:eastAsia="en-US"/>
        </w:rPr>
        <w:t>in public</w:t>
      </w:r>
      <w:r w:rsidR="00FD444F">
        <w:rPr>
          <w:rFonts w:eastAsia="Aptos"/>
          <w:lang w:eastAsia="en-US"/>
        </w:rPr>
        <w:t>-</w:t>
      </w:r>
      <w:r w:rsidRPr="00E132E1">
        <w:rPr>
          <w:rFonts w:eastAsia="Aptos"/>
          <w:lang w:eastAsia="en-US"/>
        </w:rPr>
        <w:t>sector entities</w:t>
      </w:r>
      <w:r w:rsidR="00465C4B">
        <w:rPr>
          <w:rFonts w:eastAsia="Aptos"/>
          <w:lang w:eastAsia="en-US"/>
        </w:rPr>
        <w:t>.</w:t>
      </w:r>
      <w:r w:rsidR="00FD444F">
        <w:rPr>
          <w:rFonts w:eastAsia="Aptos"/>
          <w:lang w:eastAsia="en-US"/>
        </w:rPr>
        <w:t xml:space="preserve"> This is</w:t>
      </w:r>
      <w:r w:rsidRPr="00E132E1">
        <w:rPr>
          <w:rFonts w:eastAsia="Aptos"/>
          <w:lang w:eastAsia="en-US"/>
        </w:rPr>
        <w:t xml:space="preserve"> particularly</w:t>
      </w:r>
      <w:r w:rsidR="00FD444F">
        <w:rPr>
          <w:rFonts w:eastAsia="Aptos"/>
          <w:lang w:eastAsia="en-US"/>
        </w:rPr>
        <w:t xml:space="preserve"> vital</w:t>
      </w:r>
      <w:r w:rsidRPr="00E132E1">
        <w:rPr>
          <w:rFonts w:eastAsia="Aptos"/>
          <w:lang w:eastAsia="en-US"/>
        </w:rPr>
        <w:t xml:space="preserve"> in regional and remote areas</w:t>
      </w:r>
      <w:r w:rsidR="00FD444F">
        <w:rPr>
          <w:rFonts w:eastAsia="Aptos"/>
          <w:lang w:eastAsia="en-US"/>
        </w:rPr>
        <w:t>,</w:t>
      </w:r>
      <w:r w:rsidRPr="00E132E1">
        <w:rPr>
          <w:rFonts w:eastAsia="Aptos"/>
          <w:lang w:eastAsia="en-US"/>
        </w:rPr>
        <w:t xml:space="preserve"> where access to sustainability</w:t>
      </w:r>
      <w:r w:rsidR="00FD444F">
        <w:rPr>
          <w:rFonts w:eastAsia="Aptos"/>
          <w:lang w:eastAsia="en-US"/>
        </w:rPr>
        <w:t>-related</w:t>
      </w:r>
      <w:r w:rsidRPr="00E132E1">
        <w:rPr>
          <w:rFonts w:eastAsia="Aptos"/>
          <w:lang w:eastAsia="en-US"/>
        </w:rPr>
        <w:t xml:space="preserve"> expertise </w:t>
      </w:r>
      <w:r w:rsidR="00E67DFA">
        <w:rPr>
          <w:rFonts w:eastAsia="Aptos"/>
          <w:lang w:eastAsia="en-US"/>
        </w:rPr>
        <w:t>can be</w:t>
      </w:r>
      <w:r w:rsidRPr="00E132E1">
        <w:rPr>
          <w:rFonts w:eastAsia="Aptos"/>
          <w:lang w:eastAsia="en-US"/>
        </w:rPr>
        <w:t xml:space="preserve"> limited. Strengthening these areas is essential to support</w:t>
      </w:r>
      <w:r w:rsidR="00FD444F">
        <w:rPr>
          <w:rFonts w:eastAsia="Aptos"/>
          <w:lang w:eastAsia="en-US"/>
        </w:rPr>
        <w:t>ing</w:t>
      </w:r>
      <w:r w:rsidRPr="00E132E1">
        <w:rPr>
          <w:rFonts w:eastAsia="Aptos"/>
          <w:lang w:eastAsia="en-US"/>
        </w:rPr>
        <w:t xml:space="preserve"> effective implementation of sustainability reporting standards</w:t>
      </w:r>
      <w:r w:rsidR="00FD444F">
        <w:rPr>
          <w:rFonts w:eastAsia="Aptos"/>
          <w:lang w:eastAsia="en-US"/>
        </w:rPr>
        <w:t xml:space="preserve">. It will also </w:t>
      </w:r>
      <w:r w:rsidRPr="00E132E1">
        <w:rPr>
          <w:rFonts w:eastAsia="Aptos"/>
          <w:lang w:eastAsia="en-US"/>
        </w:rPr>
        <w:t>enhance the overall quality and relevance of public</w:t>
      </w:r>
      <w:r w:rsidR="00FD444F">
        <w:rPr>
          <w:rFonts w:eastAsia="Aptos"/>
          <w:lang w:eastAsia="en-US"/>
        </w:rPr>
        <w:t>-</w:t>
      </w:r>
      <w:r w:rsidRPr="00E132E1">
        <w:rPr>
          <w:rFonts w:eastAsia="Aptos"/>
          <w:lang w:eastAsia="en-US"/>
        </w:rPr>
        <w:t>sector disclosures.</w:t>
      </w:r>
    </w:p>
    <w:p w14:paraId="09EA2848" w14:textId="5505AF36" w:rsidR="00E132E1" w:rsidRPr="00E132E1" w:rsidRDefault="00E132E1" w:rsidP="00AF1792">
      <w:pPr>
        <w:rPr>
          <w:rFonts w:eastAsia="Aptos"/>
          <w:lang w:eastAsia="en-US"/>
        </w:rPr>
      </w:pPr>
      <w:r w:rsidRPr="00E132E1">
        <w:rPr>
          <w:rFonts w:eastAsia="Aptos"/>
          <w:lang w:eastAsia="en-US"/>
        </w:rPr>
        <w:t xml:space="preserve">The AASB continues </w:t>
      </w:r>
      <w:r w:rsidR="0072133A">
        <w:rPr>
          <w:rFonts w:eastAsia="Aptos"/>
          <w:lang w:eastAsia="en-US"/>
        </w:rPr>
        <w:t xml:space="preserve">to develop its </w:t>
      </w:r>
      <w:r w:rsidRPr="00E132E1">
        <w:rPr>
          <w:rFonts w:eastAsia="Aptos"/>
          <w:lang w:eastAsia="en-US"/>
        </w:rPr>
        <w:t>Service Performance Reporting</w:t>
      </w:r>
      <w:r w:rsidR="0072133A">
        <w:rPr>
          <w:rFonts w:eastAsia="Aptos"/>
          <w:lang w:eastAsia="en-US"/>
        </w:rPr>
        <w:t xml:space="preserve"> framework</w:t>
      </w:r>
      <w:r w:rsidR="00512C38">
        <w:rPr>
          <w:rFonts w:eastAsia="Aptos"/>
          <w:lang w:eastAsia="en-US"/>
        </w:rPr>
        <w:t xml:space="preserve">. </w:t>
      </w:r>
      <w:r w:rsidR="00176555">
        <w:rPr>
          <w:rFonts w:eastAsia="Aptos"/>
          <w:lang w:eastAsia="en-US"/>
        </w:rPr>
        <w:t xml:space="preserve">The </w:t>
      </w:r>
      <w:r w:rsidR="00412C69">
        <w:rPr>
          <w:rFonts w:eastAsia="Aptos"/>
          <w:lang w:eastAsia="en-US"/>
        </w:rPr>
        <w:t xml:space="preserve">framework aims </w:t>
      </w:r>
      <w:r w:rsidR="00176555">
        <w:rPr>
          <w:rFonts w:eastAsia="Aptos"/>
          <w:lang w:eastAsia="en-US"/>
        </w:rPr>
        <w:t xml:space="preserve">to </w:t>
      </w:r>
      <w:r w:rsidR="009925E2">
        <w:rPr>
          <w:rFonts w:eastAsia="Aptos"/>
          <w:lang w:eastAsia="en-US"/>
        </w:rPr>
        <w:t xml:space="preserve">improve how public sector entities </w:t>
      </w:r>
      <w:r w:rsidR="00412C69">
        <w:rPr>
          <w:rFonts w:eastAsia="Aptos"/>
          <w:lang w:eastAsia="en-US"/>
        </w:rPr>
        <w:t xml:space="preserve">capture and communicate their </w:t>
      </w:r>
      <w:r w:rsidR="00176555">
        <w:rPr>
          <w:rFonts w:eastAsia="Aptos"/>
          <w:lang w:eastAsia="en-US"/>
        </w:rPr>
        <w:t>non-financial performance metric</w:t>
      </w:r>
      <w:r w:rsidR="00412C69">
        <w:rPr>
          <w:rFonts w:eastAsia="Aptos"/>
          <w:lang w:eastAsia="en-US"/>
        </w:rPr>
        <w:t>s</w:t>
      </w:r>
      <w:r w:rsidRPr="00E132E1">
        <w:rPr>
          <w:rFonts w:eastAsia="Aptos"/>
          <w:lang w:eastAsia="en-US"/>
        </w:rPr>
        <w:t xml:space="preserve">. </w:t>
      </w:r>
      <w:r w:rsidR="00093F27">
        <w:rPr>
          <w:rFonts w:eastAsia="Aptos"/>
          <w:lang w:eastAsia="en-US"/>
        </w:rPr>
        <w:t>By p</w:t>
      </w:r>
      <w:r w:rsidR="00A72FF5">
        <w:rPr>
          <w:rFonts w:eastAsia="Aptos"/>
          <w:lang w:eastAsia="en-US"/>
        </w:rPr>
        <w:t>rovid</w:t>
      </w:r>
      <w:r w:rsidR="00093F27">
        <w:rPr>
          <w:rFonts w:eastAsia="Aptos"/>
          <w:lang w:eastAsia="en-US"/>
        </w:rPr>
        <w:t>ing</w:t>
      </w:r>
      <w:r w:rsidR="00A72FF5">
        <w:rPr>
          <w:rFonts w:eastAsia="Aptos"/>
          <w:lang w:eastAsia="en-US"/>
        </w:rPr>
        <w:t xml:space="preserve"> stakeholders with clearer insights into how </w:t>
      </w:r>
      <w:r w:rsidR="007E6097">
        <w:rPr>
          <w:rFonts w:eastAsia="Aptos"/>
          <w:lang w:eastAsia="en-US"/>
        </w:rPr>
        <w:t>public services are delivered, and the impact of those services</w:t>
      </w:r>
      <w:r w:rsidR="00093F27">
        <w:rPr>
          <w:rFonts w:eastAsia="Aptos"/>
          <w:lang w:eastAsia="en-US"/>
        </w:rPr>
        <w:t xml:space="preserve">, the Service Performance Reporting framework will </w:t>
      </w:r>
      <w:r w:rsidR="00A1713B">
        <w:rPr>
          <w:rFonts w:eastAsia="Aptos"/>
          <w:lang w:eastAsia="en-US"/>
        </w:rPr>
        <w:t xml:space="preserve">help </w:t>
      </w:r>
      <w:r w:rsidRPr="00E132E1">
        <w:rPr>
          <w:rFonts w:eastAsia="Aptos"/>
          <w:lang w:eastAsia="en-US"/>
        </w:rPr>
        <w:t xml:space="preserve">enhance transparency and </w:t>
      </w:r>
      <w:proofErr w:type="gramStart"/>
      <w:r w:rsidRPr="00E132E1">
        <w:rPr>
          <w:rFonts w:eastAsia="Aptos"/>
          <w:lang w:eastAsia="en-US"/>
        </w:rPr>
        <w:t>accountability</w:t>
      </w:r>
      <w:r w:rsidR="00A1713B">
        <w:rPr>
          <w:rFonts w:eastAsia="Aptos"/>
          <w:lang w:eastAsia="en-US"/>
        </w:rPr>
        <w:t>, and</w:t>
      </w:r>
      <w:proofErr w:type="gramEnd"/>
      <w:r w:rsidR="00A1713B">
        <w:rPr>
          <w:rFonts w:eastAsia="Aptos"/>
          <w:lang w:eastAsia="en-US"/>
        </w:rPr>
        <w:t xml:space="preserve"> move public service reporting </w:t>
      </w:r>
      <w:r w:rsidRPr="00E132E1">
        <w:rPr>
          <w:rFonts w:eastAsia="Aptos"/>
          <w:lang w:eastAsia="en-US"/>
        </w:rPr>
        <w:t xml:space="preserve">beyond traditional </w:t>
      </w:r>
      <w:r w:rsidR="00D01507">
        <w:rPr>
          <w:rFonts w:eastAsia="Aptos"/>
          <w:lang w:eastAsia="en-US"/>
        </w:rPr>
        <w:t>accounting</w:t>
      </w:r>
      <w:r w:rsidR="00D01507" w:rsidRPr="00E132E1">
        <w:rPr>
          <w:rFonts w:eastAsia="Aptos"/>
          <w:lang w:eastAsia="en-US"/>
        </w:rPr>
        <w:t xml:space="preserve"> </w:t>
      </w:r>
      <w:r w:rsidRPr="00E132E1">
        <w:rPr>
          <w:rFonts w:eastAsia="Aptos"/>
          <w:lang w:eastAsia="en-US"/>
        </w:rPr>
        <w:t>measures.</w:t>
      </w:r>
    </w:p>
    <w:p w14:paraId="25DCD08C" w14:textId="77777777" w:rsidR="00AA59BD" w:rsidRDefault="00E132E1" w:rsidP="00AF1792">
      <w:pPr>
        <w:rPr>
          <w:rFonts w:eastAsia="Aptos"/>
          <w:lang w:eastAsia="en-US"/>
        </w:rPr>
      </w:pPr>
      <w:r w:rsidRPr="00E132E1">
        <w:rPr>
          <w:rFonts w:eastAsia="Aptos"/>
          <w:lang w:eastAsia="en-US"/>
        </w:rPr>
        <w:t xml:space="preserve">The FRC aims to promote a robust, transparent, and culturally sensitive public sector reporting environment that </w:t>
      </w:r>
      <w:r w:rsidR="00BC0921">
        <w:rPr>
          <w:rFonts w:eastAsia="Aptos"/>
          <w:lang w:eastAsia="en-US"/>
        </w:rPr>
        <w:t>is</w:t>
      </w:r>
      <w:r w:rsidR="00AA59BD">
        <w:rPr>
          <w:rFonts w:eastAsia="Aptos"/>
          <w:lang w:eastAsia="en-US"/>
        </w:rPr>
        <w:t>:</w:t>
      </w:r>
    </w:p>
    <w:p w14:paraId="4810C2BB" w14:textId="561F850E" w:rsidR="00AA59BD" w:rsidRPr="00AF1792" w:rsidRDefault="00BC0921" w:rsidP="003B326A">
      <w:pPr>
        <w:pStyle w:val="Bullet"/>
      </w:pPr>
      <w:r w:rsidRPr="00AF1792">
        <w:t>contemporary with international jurisdictions</w:t>
      </w:r>
      <w:r w:rsidR="00AA59BD" w:rsidRPr="00AF1792">
        <w:t>, and</w:t>
      </w:r>
    </w:p>
    <w:p w14:paraId="77180D46" w14:textId="12404D25" w:rsidR="00E132E1" w:rsidRPr="00AF1792" w:rsidRDefault="00BC0921" w:rsidP="003B326A">
      <w:pPr>
        <w:pStyle w:val="Bullet"/>
      </w:pPr>
      <w:r w:rsidRPr="00AF1792">
        <w:t xml:space="preserve"> </w:t>
      </w:r>
      <w:r w:rsidR="00E132E1" w:rsidRPr="00AF1792">
        <w:t xml:space="preserve">meets the evolving expectations of government stakeholders and the broader </w:t>
      </w:r>
      <w:r w:rsidRPr="00AF1792">
        <w:t xml:space="preserve">domestic and international </w:t>
      </w:r>
      <w:r w:rsidR="00E132E1" w:rsidRPr="00AF1792">
        <w:t>community.</w:t>
      </w:r>
    </w:p>
    <w:p w14:paraId="70C21C54" w14:textId="6717BB81" w:rsidR="00E132E1" w:rsidRPr="000476F1" w:rsidRDefault="00E132E1" w:rsidP="000B66A2">
      <w:pPr>
        <w:pStyle w:val="Heading2"/>
      </w:pPr>
      <w:bookmarkStart w:id="7" w:name="_Toc211627788"/>
      <w:r w:rsidRPr="000476F1">
        <w:t xml:space="preserve">Other </w:t>
      </w:r>
      <w:r w:rsidR="00197E29" w:rsidRPr="000476F1">
        <w:t>i</w:t>
      </w:r>
      <w:r w:rsidRPr="000476F1">
        <w:t xml:space="preserve">nternational </w:t>
      </w:r>
      <w:r w:rsidR="00197E29" w:rsidRPr="000476F1">
        <w:t>d</w:t>
      </w:r>
      <w:r w:rsidRPr="000476F1">
        <w:t>evelopments</w:t>
      </w:r>
      <w:bookmarkEnd w:id="7"/>
    </w:p>
    <w:p w14:paraId="61C5C3EA" w14:textId="2A33F864" w:rsidR="00E132E1" w:rsidRPr="00E132E1" w:rsidRDefault="00E132E1" w:rsidP="00AF1792">
      <w:pPr>
        <w:rPr>
          <w:rFonts w:eastAsia="Aptos"/>
          <w:lang w:eastAsia="en-US"/>
        </w:rPr>
      </w:pPr>
      <w:r w:rsidRPr="00E132E1">
        <w:rPr>
          <w:rFonts w:eastAsia="Aptos"/>
          <w:lang w:eastAsia="en-US"/>
        </w:rPr>
        <w:t>The FRC closely monitored international regulatory reforms and considered their relevance to Australia. Particular attention was given to developments in the United Kingdom</w:t>
      </w:r>
      <w:r w:rsidR="007C2230">
        <w:rPr>
          <w:rFonts w:eastAsia="Aptos"/>
          <w:lang w:eastAsia="en-US"/>
        </w:rPr>
        <w:t xml:space="preserve"> (UK)</w:t>
      </w:r>
      <w:r w:rsidRPr="00E132E1">
        <w:rPr>
          <w:rFonts w:eastAsia="Aptos"/>
          <w:lang w:eastAsia="en-US"/>
        </w:rPr>
        <w:t>, where the UK Financial Reporting Council plan</w:t>
      </w:r>
      <w:r w:rsidR="007C2230">
        <w:rPr>
          <w:rFonts w:eastAsia="Aptos"/>
          <w:lang w:eastAsia="en-US"/>
        </w:rPr>
        <w:t xml:space="preserve">s to </w:t>
      </w:r>
      <w:r w:rsidRPr="00E132E1">
        <w:rPr>
          <w:rFonts w:eastAsia="Aptos"/>
          <w:lang w:eastAsia="en-US"/>
        </w:rPr>
        <w:t xml:space="preserve">transition to the Audit, Reporting and Governance Authority (ARGA). </w:t>
      </w:r>
      <w:r w:rsidR="007C2230">
        <w:rPr>
          <w:rFonts w:eastAsia="Aptos"/>
          <w:lang w:eastAsia="en-US"/>
        </w:rPr>
        <w:t>At</w:t>
      </w:r>
      <w:r w:rsidR="007C2230" w:rsidRPr="00E132E1">
        <w:rPr>
          <w:rFonts w:eastAsia="Aptos"/>
          <w:lang w:eastAsia="en-US"/>
        </w:rPr>
        <w:t xml:space="preserve"> </w:t>
      </w:r>
      <w:r w:rsidRPr="00E132E1">
        <w:rPr>
          <w:rFonts w:eastAsia="Aptos"/>
          <w:lang w:eastAsia="en-US"/>
        </w:rPr>
        <w:t xml:space="preserve">the FRC quarterly meeting, members discussed the implications of ARGA's expanded powers, including potential lessons </w:t>
      </w:r>
      <w:r w:rsidR="007C2230">
        <w:rPr>
          <w:rFonts w:eastAsia="Aptos"/>
          <w:lang w:eastAsia="en-US"/>
        </w:rPr>
        <w:t xml:space="preserve">on how to enhance </w:t>
      </w:r>
      <w:r w:rsidRPr="00E132E1">
        <w:rPr>
          <w:rFonts w:eastAsia="Aptos"/>
          <w:lang w:eastAsia="en-US"/>
        </w:rPr>
        <w:t>Australia's audit oversight framework.</w:t>
      </w:r>
    </w:p>
    <w:p w14:paraId="7AF9DC85" w14:textId="4CECEC41" w:rsidR="00E132E1" w:rsidRPr="000476F1" w:rsidRDefault="00E132E1" w:rsidP="000B66A2">
      <w:pPr>
        <w:pStyle w:val="Heading2"/>
      </w:pPr>
      <w:bookmarkStart w:id="8" w:name="_Toc211627789"/>
      <w:r w:rsidRPr="000476F1">
        <w:t xml:space="preserve">Stakeholder </w:t>
      </w:r>
      <w:r w:rsidR="00197E29" w:rsidRPr="000476F1">
        <w:t>e</w:t>
      </w:r>
      <w:r w:rsidRPr="000476F1">
        <w:t>ngagement</w:t>
      </w:r>
      <w:bookmarkEnd w:id="8"/>
    </w:p>
    <w:p w14:paraId="5E8DC576" w14:textId="721CF79F" w:rsidR="00E132E1" w:rsidRPr="00E132E1" w:rsidRDefault="00E132E1" w:rsidP="00AF1792">
      <w:pPr>
        <w:rPr>
          <w:rFonts w:eastAsia="Aptos"/>
          <w:lang w:eastAsia="en-US"/>
        </w:rPr>
      </w:pPr>
      <w:r w:rsidRPr="00E132E1">
        <w:rPr>
          <w:rFonts w:eastAsia="Aptos"/>
          <w:lang w:eastAsia="en-US"/>
        </w:rPr>
        <w:t xml:space="preserve">Engagement with stakeholders remained central to the FRC’s strategy to identify and address emerging issues in financial reporting and auditing. </w:t>
      </w:r>
      <w:r w:rsidR="00D55102">
        <w:rPr>
          <w:rFonts w:eastAsia="Aptos"/>
          <w:lang w:eastAsia="en-US"/>
        </w:rPr>
        <w:t>A</w:t>
      </w:r>
      <w:r w:rsidRPr="00E132E1">
        <w:rPr>
          <w:rFonts w:eastAsia="Aptos"/>
          <w:lang w:eastAsia="en-US"/>
        </w:rPr>
        <w:t>ctivities during the 2024</w:t>
      </w:r>
      <w:r w:rsidR="00197E29">
        <w:rPr>
          <w:rFonts w:eastAsia="Aptos"/>
          <w:lang w:eastAsia="en-US"/>
        </w:rPr>
        <w:t>–</w:t>
      </w:r>
      <w:r w:rsidRPr="00E132E1">
        <w:rPr>
          <w:rFonts w:eastAsia="Aptos"/>
          <w:lang w:eastAsia="en-US"/>
        </w:rPr>
        <w:t xml:space="preserve">25 </w:t>
      </w:r>
      <w:r w:rsidR="00197E29">
        <w:rPr>
          <w:rFonts w:eastAsia="Aptos"/>
          <w:lang w:eastAsia="en-US"/>
        </w:rPr>
        <w:t>reporting</w:t>
      </w:r>
      <w:r w:rsidR="00197E29" w:rsidRPr="00E132E1">
        <w:rPr>
          <w:rFonts w:eastAsia="Aptos"/>
          <w:lang w:eastAsia="en-US"/>
        </w:rPr>
        <w:t xml:space="preserve"> </w:t>
      </w:r>
      <w:r w:rsidRPr="00E132E1">
        <w:rPr>
          <w:rFonts w:eastAsia="Aptos"/>
          <w:lang w:eastAsia="en-US"/>
        </w:rPr>
        <w:t>year included:</w:t>
      </w:r>
    </w:p>
    <w:p w14:paraId="7FDD367A" w14:textId="3D4C2098" w:rsidR="00E132E1" w:rsidRPr="00AF1792" w:rsidRDefault="002F3990" w:rsidP="003B326A">
      <w:pPr>
        <w:pStyle w:val="Bullet"/>
        <w:rPr>
          <w:rFonts w:eastAsia="Aptos"/>
        </w:rPr>
      </w:pPr>
      <w:r w:rsidRPr="00AF1792">
        <w:rPr>
          <w:rFonts w:eastAsia="Aptos"/>
        </w:rPr>
        <w:t>i</w:t>
      </w:r>
      <w:r w:rsidR="00D55102" w:rsidRPr="00AF1792">
        <w:rPr>
          <w:rFonts w:eastAsia="Aptos"/>
        </w:rPr>
        <w:t>dentifying difficulties in</w:t>
      </w:r>
      <w:r w:rsidR="00E132E1" w:rsidRPr="00AF1792">
        <w:rPr>
          <w:rFonts w:eastAsia="Aptos"/>
        </w:rPr>
        <w:t xml:space="preserve"> talent attraction and retention </w:t>
      </w:r>
      <w:r w:rsidR="00BB4D8D" w:rsidRPr="00AF1792">
        <w:rPr>
          <w:rFonts w:eastAsia="Aptos"/>
        </w:rPr>
        <w:t>for the</w:t>
      </w:r>
      <w:r w:rsidR="00E132E1" w:rsidRPr="00AF1792">
        <w:rPr>
          <w:rFonts w:eastAsia="Aptos"/>
        </w:rPr>
        <w:t xml:space="preserve"> accounting and auditing professions</w:t>
      </w:r>
    </w:p>
    <w:p w14:paraId="647FD4C3" w14:textId="2C8B2DBA" w:rsidR="00E132E1" w:rsidRPr="00AF1792" w:rsidRDefault="002F3990" w:rsidP="003B326A">
      <w:pPr>
        <w:pStyle w:val="Bullet"/>
        <w:rPr>
          <w:rFonts w:eastAsia="Aptos"/>
        </w:rPr>
      </w:pPr>
      <w:r w:rsidRPr="00AF1792">
        <w:rPr>
          <w:rFonts w:eastAsia="Aptos"/>
        </w:rPr>
        <w:t>h</w:t>
      </w:r>
      <w:r w:rsidR="00BB4D8D" w:rsidRPr="00AF1792">
        <w:rPr>
          <w:rFonts w:eastAsia="Aptos"/>
        </w:rPr>
        <w:t>olding t</w:t>
      </w:r>
      <w:r w:rsidR="00E132E1" w:rsidRPr="00AF1792">
        <w:rPr>
          <w:rFonts w:eastAsia="Aptos"/>
        </w:rPr>
        <w:t>argeted stakeholder roundtables to gather feedback on sustainability reporting and assurance</w:t>
      </w:r>
      <w:r w:rsidR="00D55102" w:rsidRPr="00AF1792">
        <w:rPr>
          <w:rFonts w:eastAsia="Aptos"/>
        </w:rPr>
        <w:t>.</w:t>
      </w:r>
    </w:p>
    <w:p w14:paraId="17123328" w14:textId="002D64A9" w:rsidR="00E132E1" w:rsidRPr="00E132E1" w:rsidRDefault="00E132E1" w:rsidP="00AF1792">
      <w:pPr>
        <w:rPr>
          <w:rFonts w:eastAsia="Aptos"/>
          <w:lang w:eastAsia="en-US"/>
        </w:rPr>
      </w:pPr>
      <w:r w:rsidRPr="00E132E1">
        <w:rPr>
          <w:rFonts w:eastAsia="Aptos"/>
          <w:lang w:eastAsia="en-US"/>
        </w:rPr>
        <w:t xml:space="preserve">These </w:t>
      </w:r>
      <w:r w:rsidR="002F3990">
        <w:rPr>
          <w:rFonts w:eastAsia="Aptos"/>
          <w:lang w:eastAsia="en-US"/>
        </w:rPr>
        <w:t>activities</w:t>
      </w:r>
      <w:r w:rsidR="002F3990" w:rsidRPr="00E132E1">
        <w:rPr>
          <w:rFonts w:eastAsia="Aptos"/>
          <w:lang w:eastAsia="en-US"/>
        </w:rPr>
        <w:t xml:space="preserve"> </w:t>
      </w:r>
      <w:r w:rsidRPr="00E132E1">
        <w:rPr>
          <w:rFonts w:eastAsia="Aptos"/>
          <w:lang w:eastAsia="en-US"/>
        </w:rPr>
        <w:t>highlighted important themes</w:t>
      </w:r>
      <w:r w:rsidR="00A841B3">
        <w:rPr>
          <w:rFonts w:eastAsia="Aptos"/>
          <w:lang w:eastAsia="en-US"/>
        </w:rPr>
        <w:t>.</w:t>
      </w:r>
    </w:p>
    <w:p w14:paraId="304131BD" w14:textId="4BEC9D03" w:rsidR="00E132E1" w:rsidRPr="00D36EF0" w:rsidRDefault="00E132E1" w:rsidP="003B326A">
      <w:pPr>
        <w:pStyle w:val="Bullet"/>
        <w:rPr>
          <w:rFonts w:eastAsia="Aptos"/>
        </w:rPr>
      </w:pPr>
      <w:r w:rsidRPr="00D36EF0">
        <w:rPr>
          <w:rFonts w:eastAsia="Aptos"/>
        </w:rPr>
        <w:t xml:space="preserve">The necessity </w:t>
      </w:r>
      <w:r w:rsidR="002F3990" w:rsidRPr="00D36EF0">
        <w:rPr>
          <w:rFonts w:eastAsia="Aptos"/>
        </w:rPr>
        <w:t>of</w:t>
      </w:r>
      <w:r w:rsidRPr="00D36EF0">
        <w:rPr>
          <w:rFonts w:eastAsia="Aptos"/>
        </w:rPr>
        <w:t xml:space="preserve"> address</w:t>
      </w:r>
      <w:r w:rsidR="002F3990" w:rsidRPr="00D36EF0">
        <w:rPr>
          <w:rFonts w:eastAsia="Aptos"/>
        </w:rPr>
        <w:t>ing</w:t>
      </w:r>
      <w:r w:rsidR="002C1FFE" w:rsidRPr="00D36EF0">
        <w:rPr>
          <w:rFonts w:eastAsia="Aptos"/>
        </w:rPr>
        <w:t xml:space="preserve"> audit firms’</w:t>
      </w:r>
      <w:r w:rsidRPr="00D36EF0">
        <w:rPr>
          <w:rFonts w:eastAsia="Aptos"/>
        </w:rPr>
        <w:t xml:space="preserve"> cultural and structural challenges to enhance audit quality and professional standards</w:t>
      </w:r>
      <w:r w:rsidR="002F3990" w:rsidRPr="00D36EF0">
        <w:rPr>
          <w:rFonts w:eastAsia="Aptos"/>
        </w:rPr>
        <w:t>.</w:t>
      </w:r>
    </w:p>
    <w:p w14:paraId="501DFFF1" w14:textId="2B1F7E5C" w:rsidR="00E132E1" w:rsidRPr="00D36EF0" w:rsidRDefault="00E132E1" w:rsidP="003B326A">
      <w:pPr>
        <w:pStyle w:val="Bullet"/>
        <w:rPr>
          <w:rFonts w:eastAsia="Aptos"/>
        </w:rPr>
      </w:pPr>
      <w:r w:rsidRPr="00D36EF0">
        <w:rPr>
          <w:rFonts w:eastAsia="Aptos"/>
        </w:rPr>
        <w:t xml:space="preserve">The critical need </w:t>
      </w:r>
      <w:r w:rsidR="002C1FFE" w:rsidRPr="00D36EF0">
        <w:rPr>
          <w:rFonts w:eastAsia="Aptos"/>
        </w:rPr>
        <w:t xml:space="preserve">for </w:t>
      </w:r>
      <w:r w:rsidR="00A42805" w:rsidRPr="00D36EF0">
        <w:rPr>
          <w:rFonts w:eastAsia="Aptos"/>
        </w:rPr>
        <w:t xml:space="preserve">firms </w:t>
      </w:r>
      <w:r w:rsidRPr="00D36EF0">
        <w:rPr>
          <w:rFonts w:eastAsia="Aptos"/>
        </w:rPr>
        <w:t xml:space="preserve">to develop strategies </w:t>
      </w:r>
      <w:r w:rsidR="00A42805" w:rsidRPr="00D36EF0">
        <w:rPr>
          <w:rFonts w:eastAsia="Aptos"/>
        </w:rPr>
        <w:t xml:space="preserve">to </w:t>
      </w:r>
      <w:r w:rsidRPr="00D36EF0">
        <w:rPr>
          <w:rFonts w:eastAsia="Aptos"/>
        </w:rPr>
        <w:t>attract, develop and retain skilled professionals amid evolving market demands.</w:t>
      </w:r>
    </w:p>
    <w:p w14:paraId="35B47808" w14:textId="42245B9A" w:rsidR="003154CB" w:rsidRDefault="00E132E1" w:rsidP="00D36EF0">
      <w:pPr>
        <w:rPr>
          <w:color w:val="336699"/>
          <w:lang w:val="en-GB"/>
        </w:rPr>
      </w:pPr>
      <w:r w:rsidRPr="00E132E1">
        <w:rPr>
          <w:rFonts w:eastAsia="Aptos"/>
          <w:lang w:eastAsia="en-US"/>
        </w:rPr>
        <w:t>The FRC’s active stakeholder engagement ensured it remained responsive to sector developments and could adapt its oversight strategies effectively. This proactive approach supports continuous improvements in Australia’s financial reporting and auditing frameworks.</w:t>
      </w:r>
    </w:p>
    <w:p w14:paraId="68E18B88" w14:textId="30548664" w:rsidR="00F9688B" w:rsidRPr="000476F1" w:rsidRDefault="00F9688B" w:rsidP="000B66A2">
      <w:pPr>
        <w:pStyle w:val="Heading2"/>
      </w:pPr>
      <w:bookmarkStart w:id="9" w:name="_Toc211627790"/>
      <w:r w:rsidRPr="000476F1">
        <w:t xml:space="preserve">FRC </w:t>
      </w:r>
      <w:r w:rsidR="00C67571" w:rsidRPr="000476F1">
        <w:t>stakeholders</w:t>
      </w:r>
      <w:bookmarkEnd w:id="9"/>
    </w:p>
    <w:p w14:paraId="4050BF0D" w14:textId="29FAD198" w:rsidR="00C67571" w:rsidRPr="004F46A4" w:rsidRDefault="00A42805" w:rsidP="00D36EF0">
      <w:r w:rsidRPr="004F46A4">
        <w:t xml:space="preserve">The FRC </w:t>
      </w:r>
      <w:r w:rsidR="00C67571" w:rsidRPr="004F46A4">
        <w:t>thank</w:t>
      </w:r>
      <w:r w:rsidRPr="004F46A4">
        <w:t>s</w:t>
      </w:r>
      <w:r w:rsidR="00C67571" w:rsidRPr="004F46A4">
        <w:t xml:space="preserve"> stakeholders </w:t>
      </w:r>
      <w:r w:rsidR="001A1012" w:rsidRPr="004F46A4">
        <w:t xml:space="preserve">for their </w:t>
      </w:r>
      <w:r w:rsidR="00C67571" w:rsidRPr="004F46A4">
        <w:t>communica</w:t>
      </w:r>
      <w:r w:rsidR="001A1012" w:rsidRPr="004F46A4">
        <w:t>tion</w:t>
      </w:r>
      <w:r w:rsidR="00C67571" w:rsidRPr="004F46A4">
        <w:t>, particularly:</w:t>
      </w:r>
    </w:p>
    <w:p w14:paraId="3F16BA47" w14:textId="77777777" w:rsidR="00C67571" w:rsidRPr="00D36EF0" w:rsidRDefault="00C67571" w:rsidP="003B326A">
      <w:pPr>
        <w:pStyle w:val="Bullet"/>
      </w:pPr>
      <w:r w:rsidRPr="00D36EF0">
        <w:t>Australian Business Reporting Leaders Forum</w:t>
      </w:r>
    </w:p>
    <w:p w14:paraId="65F51207" w14:textId="77777777" w:rsidR="00C67571" w:rsidRPr="00D36EF0" w:rsidRDefault="00C67571" w:rsidP="003B326A">
      <w:pPr>
        <w:pStyle w:val="Bullet"/>
      </w:pPr>
      <w:r w:rsidRPr="00D36EF0">
        <w:t>Australian Charities and Not-for-profits Commission</w:t>
      </w:r>
    </w:p>
    <w:p w14:paraId="743C1A6C" w14:textId="3642D2AB" w:rsidR="00C54D2A" w:rsidRPr="00D36EF0" w:rsidRDefault="00C54D2A" w:rsidP="003B326A">
      <w:pPr>
        <w:pStyle w:val="Bullet"/>
      </w:pPr>
      <w:r w:rsidRPr="00D36EF0">
        <w:t>Australasian Council of Auditors-General</w:t>
      </w:r>
    </w:p>
    <w:p w14:paraId="6C73A991" w14:textId="77777777" w:rsidR="00C67571" w:rsidRPr="00D36EF0" w:rsidRDefault="00C67571" w:rsidP="003B326A">
      <w:pPr>
        <w:pStyle w:val="Bullet"/>
      </w:pPr>
      <w:r w:rsidRPr="00D36EF0">
        <w:t>Australian Institute of Company Directors</w:t>
      </w:r>
    </w:p>
    <w:p w14:paraId="4F482F8E" w14:textId="77777777" w:rsidR="00481E74" w:rsidRPr="00D36EF0" w:rsidRDefault="00C67571" w:rsidP="003B326A">
      <w:pPr>
        <w:pStyle w:val="Bullet"/>
      </w:pPr>
      <w:r w:rsidRPr="00D36EF0">
        <w:t>Australian Institute of Superannuation Trustees</w:t>
      </w:r>
    </w:p>
    <w:p w14:paraId="2C3D2041" w14:textId="0C8C00D7" w:rsidR="00C67571" w:rsidRPr="00D36EF0" w:rsidRDefault="00481E74" w:rsidP="003B326A">
      <w:pPr>
        <w:pStyle w:val="Bullet"/>
      </w:pPr>
      <w:r w:rsidRPr="00D36EF0">
        <w:t xml:space="preserve">Australian </w:t>
      </w:r>
      <w:r w:rsidR="00764AA7" w:rsidRPr="00D36EF0">
        <w:t xml:space="preserve">Accounting and Assurance </w:t>
      </w:r>
      <w:r w:rsidRPr="00D36EF0">
        <w:t>Public Policy Committee</w:t>
      </w:r>
    </w:p>
    <w:p w14:paraId="4F07FF09" w14:textId="16478166" w:rsidR="00CE426D" w:rsidRPr="00D36EF0" w:rsidRDefault="00CE426D" w:rsidP="003B326A">
      <w:pPr>
        <w:pStyle w:val="Bullet"/>
      </w:pPr>
      <w:r w:rsidRPr="00D36EF0">
        <w:t>Accounting Professional &amp; Ethical Standards Board</w:t>
      </w:r>
    </w:p>
    <w:p w14:paraId="079AC2FE" w14:textId="77777777" w:rsidR="00C67571" w:rsidRPr="00D36EF0" w:rsidRDefault="00C67571" w:rsidP="003B326A">
      <w:pPr>
        <w:pStyle w:val="Bullet"/>
      </w:pPr>
      <w:r w:rsidRPr="00D36EF0">
        <w:t>Australian Shareholders’ Association</w:t>
      </w:r>
    </w:p>
    <w:p w14:paraId="57373402" w14:textId="5F20F560" w:rsidR="00C67571" w:rsidRPr="00D36EF0" w:rsidRDefault="001D25FC" w:rsidP="003B326A">
      <w:pPr>
        <w:pStyle w:val="Bullet"/>
      </w:pPr>
      <w:r w:rsidRPr="00D36EF0">
        <w:t>Australian Prudential Regulat</w:t>
      </w:r>
      <w:r w:rsidR="00E045A1" w:rsidRPr="00D36EF0">
        <w:t>ion</w:t>
      </w:r>
      <w:r w:rsidRPr="00D36EF0">
        <w:t xml:space="preserve"> Authority</w:t>
      </w:r>
    </w:p>
    <w:p w14:paraId="122CA727" w14:textId="756127F3" w:rsidR="0071642E" w:rsidRPr="00D36EF0" w:rsidRDefault="0071642E" w:rsidP="003B326A">
      <w:pPr>
        <w:pStyle w:val="Bullet"/>
      </w:pPr>
      <w:r w:rsidRPr="00D36EF0">
        <w:t>Australian Securities Exchange</w:t>
      </w:r>
    </w:p>
    <w:p w14:paraId="7BD3113B" w14:textId="774C5BAD" w:rsidR="00C67571" w:rsidRPr="00D36EF0" w:rsidRDefault="00C67571" w:rsidP="003B326A">
      <w:pPr>
        <w:pStyle w:val="Bullet"/>
      </w:pPr>
      <w:r w:rsidRPr="00D36EF0">
        <w:t>A</w:t>
      </w:r>
      <w:r w:rsidR="00E045A1" w:rsidRPr="00D36EF0">
        <w:t>ustralian Securities and Investments Commission</w:t>
      </w:r>
    </w:p>
    <w:p w14:paraId="5B630613" w14:textId="7EF08EB7" w:rsidR="00902030" w:rsidRPr="00D36EF0" w:rsidRDefault="00902030" w:rsidP="003B326A">
      <w:pPr>
        <w:pStyle w:val="Bullet"/>
      </w:pPr>
      <w:r w:rsidRPr="00D36EF0">
        <w:t>Business Reporting Leaders Forum</w:t>
      </w:r>
    </w:p>
    <w:p w14:paraId="489B7A6C" w14:textId="4765F036" w:rsidR="00C67571" w:rsidRPr="00D36EF0" w:rsidRDefault="00E045A1" w:rsidP="003B326A">
      <w:pPr>
        <w:pStyle w:val="Bullet"/>
      </w:pPr>
      <w:r w:rsidRPr="00D36EF0">
        <w:t>Chartered Accountants Australia and New Zealand</w:t>
      </w:r>
    </w:p>
    <w:p w14:paraId="0FB46FC2" w14:textId="77777777" w:rsidR="00C67571" w:rsidRPr="00D36EF0" w:rsidRDefault="00C67571" w:rsidP="003B326A">
      <w:pPr>
        <w:pStyle w:val="Bullet"/>
      </w:pPr>
      <w:r w:rsidRPr="00D36EF0">
        <w:t>CPA Australia</w:t>
      </w:r>
    </w:p>
    <w:p w14:paraId="183015E2" w14:textId="77777777" w:rsidR="00C67571" w:rsidRPr="00D36EF0" w:rsidRDefault="00C67571" w:rsidP="003B326A">
      <w:pPr>
        <w:pStyle w:val="Bullet"/>
      </w:pPr>
      <w:r w:rsidRPr="00D36EF0">
        <w:t>Commonwealth Department of Finance</w:t>
      </w:r>
    </w:p>
    <w:p w14:paraId="07E9F8F8" w14:textId="77777777" w:rsidR="008746EF" w:rsidRPr="00D36EF0" w:rsidRDefault="008746EF" w:rsidP="003B326A">
      <w:pPr>
        <w:pStyle w:val="Bullet"/>
      </w:pPr>
      <w:r w:rsidRPr="00D36EF0">
        <w:t>Commonwealth Treasury</w:t>
      </w:r>
    </w:p>
    <w:p w14:paraId="6B06CA72" w14:textId="4ED25AD3" w:rsidR="000D4229" w:rsidRPr="00D36EF0" w:rsidRDefault="000D4229" w:rsidP="003B326A">
      <w:pPr>
        <w:pStyle w:val="Bullet"/>
      </w:pPr>
      <w:r w:rsidRPr="00D36EF0">
        <w:t>Deloitte</w:t>
      </w:r>
    </w:p>
    <w:p w14:paraId="48BBF7D5" w14:textId="1A8EDB12" w:rsidR="00265914" w:rsidRPr="00D36EF0" w:rsidRDefault="00265914" w:rsidP="003B326A">
      <w:pPr>
        <w:pStyle w:val="Bullet"/>
      </w:pPr>
      <w:r w:rsidRPr="00D36EF0">
        <w:t xml:space="preserve">Ernst &amp; Young (EY) </w:t>
      </w:r>
    </w:p>
    <w:p w14:paraId="4C090693" w14:textId="5F2C6EC7" w:rsidR="008746EF" w:rsidRPr="00D36EF0" w:rsidRDefault="008746EF" w:rsidP="003B326A">
      <w:pPr>
        <w:pStyle w:val="Bullet"/>
      </w:pPr>
      <w:r w:rsidRPr="00D36EF0">
        <w:t>External Reporting Board</w:t>
      </w:r>
      <w:r w:rsidR="00CD0C23" w:rsidRPr="00D36EF0">
        <w:t xml:space="preserve"> of New Zealand</w:t>
      </w:r>
      <w:r w:rsidRPr="00D36EF0">
        <w:t xml:space="preserve"> (XRB)</w:t>
      </w:r>
    </w:p>
    <w:p w14:paraId="32FE9B90" w14:textId="0AD17AD5" w:rsidR="008746EF" w:rsidRPr="00D36EF0" w:rsidRDefault="008746EF" w:rsidP="003B326A">
      <w:pPr>
        <w:pStyle w:val="Bullet"/>
      </w:pPr>
      <w:r w:rsidRPr="00D36EF0">
        <w:t>Grant Thornton</w:t>
      </w:r>
    </w:p>
    <w:p w14:paraId="7FA47D74" w14:textId="77777777" w:rsidR="00C67571" w:rsidRPr="00AF1792" w:rsidRDefault="00C67571" w:rsidP="003B326A">
      <w:pPr>
        <w:pStyle w:val="Bullet"/>
      </w:pPr>
      <w:r w:rsidRPr="00AF1792">
        <w:t>Heads of Treasuries Accounting and Reporting Advisory Committee</w:t>
      </w:r>
    </w:p>
    <w:p w14:paraId="65AD87BB" w14:textId="44B2FCEA" w:rsidR="00C67571" w:rsidRPr="00AF1792" w:rsidRDefault="00C67571" w:rsidP="003B326A">
      <w:pPr>
        <w:pStyle w:val="Bullet"/>
      </w:pPr>
      <w:r w:rsidRPr="00AF1792">
        <w:t>Institute of Internal Auditors-Australia</w:t>
      </w:r>
    </w:p>
    <w:p w14:paraId="4D3CF1BE" w14:textId="4A0B8084" w:rsidR="00C67571" w:rsidRPr="00AF1792" w:rsidRDefault="002769A2" w:rsidP="003B326A">
      <w:pPr>
        <w:pStyle w:val="Bullet"/>
      </w:pPr>
      <w:r w:rsidRPr="00AF1792">
        <w:t>Institute of Public Accountants</w:t>
      </w:r>
    </w:p>
    <w:p w14:paraId="685BCA57" w14:textId="5DE7E2EC" w:rsidR="0065700D" w:rsidRPr="00AF1792" w:rsidRDefault="0065700D" w:rsidP="003B326A">
      <w:pPr>
        <w:pStyle w:val="Bullet"/>
      </w:pPr>
      <w:r w:rsidRPr="00AF1792">
        <w:t>KPMG</w:t>
      </w:r>
    </w:p>
    <w:p w14:paraId="7F6505A9" w14:textId="77777777" w:rsidR="005B7027" w:rsidRPr="00AF1792" w:rsidRDefault="005B7027" w:rsidP="003B326A">
      <w:pPr>
        <w:pStyle w:val="Bullet"/>
      </w:pPr>
      <w:r w:rsidRPr="00AF1792">
        <w:t>New South Wales Treasury</w:t>
      </w:r>
    </w:p>
    <w:p w14:paraId="6F75BDC7" w14:textId="401A20CF" w:rsidR="00677655" w:rsidRPr="00AF1792" w:rsidRDefault="00677655" w:rsidP="003B326A">
      <w:pPr>
        <w:pStyle w:val="Bullet"/>
      </w:pPr>
      <w:r w:rsidRPr="00AF1792">
        <w:t>PwC</w:t>
      </w:r>
    </w:p>
    <w:p w14:paraId="5A8FB682" w14:textId="77777777" w:rsidR="006A655D" w:rsidRDefault="00C67571" w:rsidP="006A655D">
      <w:pPr>
        <w:rPr>
          <w:color w:val="000000"/>
        </w:rPr>
      </w:pPr>
      <w:r w:rsidRPr="004F46A4">
        <w:t>Th</w:t>
      </w:r>
      <w:r w:rsidR="00230A33" w:rsidRPr="004F46A4">
        <w:t xml:space="preserve">is </w:t>
      </w:r>
      <w:r w:rsidR="0016290E" w:rsidRPr="004F46A4">
        <w:t xml:space="preserve">list indicates the </w:t>
      </w:r>
      <w:r w:rsidRPr="004F46A4">
        <w:t xml:space="preserve">range of stakeholders </w:t>
      </w:r>
      <w:r w:rsidR="004A6BC8" w:rsidRPr="004F46A4">
        <w:t>demonstrat</w:t>
      </w:r>
      <w:r w:rsidR="00F877EE" w:rsidRPr="004F46A4">
        <w:t>ing</w:t>
      </w:r>
      <w:r w:rsidR="004A6BC8" w:rsidRPr="004F46A4">
        <w:t xml:space="preserve"> an interest in </w:t>
      </w:r>
      <w:r w:rsidR="00662EAD" w:rsidRPr="004F46A4">
        <w:t xml:space="preserve">Australia’s </w:t>
      </w:r>
      <w:r w:rsidR="00757598" w:rsidRPr="004F46A4">
        <w:t xml:space="preserve">financial </w:t>
      </w:r>
      <w:r w:rsidR="00662EAD" w:rsidRPr="004F46A4">
        <w:t>reporting framework</w:t>
      </w:r>
      <w:r w:rsidRPr="004F46A4">
        <w:t>.</w:t>
      </w:r>
      <w:r w:rsidR="00D9187E" w:rsidRPr="004F46A4">
        <w:rPr>
          <w:color w:val="000000"/>
        </w:rPr>
        <w:t xml:space="preserve"> </w:t>
      </w:r>
      <w:r w:rsidR="00A97053" w:rsidRPr="004F46A4">
        <w:rPr>
          <w:color w:val="000000"/>
        </w:rPr>
        <w:t>T</w:t>
      </w:r>
      <w:r w:rsidR="00D9187E" w:rsidRPr="004F46A4">
        <w:rPr>
          <w:color w:val="000000"/>
        </w:rPr>
        <w:t>h</w:t>
      </w:r>
      <w:r w:rsidR="007C0DAC" w:rsidRPr="004F46A4">
        <w:rPr>
          <w:color w:val="000000"/>
        </w:rPr>
        <w:t>is list is not intended to be exclusiv</w:t>
      </w:r>
      <w:r w:rsidR="00D9187E" w:rsidRPr="004F46A4">
        <w:rPr>
          <w:color w:val="000000"/>
        </w:rPr>
        <w:t>e</w:t>
      </w:r>
      <w:r w:rsidR="00F877EE" w:rsidRPr="004F46A4">
        <w:rPr>
          <w:color w:val="000000"/>
        </w:rPr>
        <w:t>. T</w:t>
      </w:r>
      <w:r w:rsidR="007C0DAC" w:rsidRPr="004F46A4">
        <w:rPr>
          <w:color w:val="000000"/>
        </w:rPr>
        <w:t>he</w:t>
      </w:r>
      <w:r w:rsidR="00D9187E" w:rsidRPr="004F46A4">
        <w:rPr>
          <w:color w:val="000000"/>
        </w:rPr>
        <w:t xml:space="preserve"> FRC </w:t>
      </w:r>
      <w:r w:rsidR="007C0DAC" w:rsidRPr="004F46A4">
        <w:rPr>
          <w:color w:val="000000"/>
        </w:rPr>
        <w:t>welcomes</w:t>
      </w:r>
      <w:r w:rsidR="00391F5A" w:rsidRPr="004F46A4">
        <w:rPr>
          <w:color w:val="000000"/>
        </w:rPr>
        <w:t xml:space="preserve"> other </w:t>
      </w:r>
      <w:r w:rsidR="007202C1" w:rsidRPr="004F46A4">
        <w:rPr>
          <w:color w:val="000000"/>
        </w:rPr>
        <w:t xml:space="preserve">stakeholders to engage if they </w:t>
      </w:r>
      <w:r w:rsidR="00EE5454" w:rsidRPr="004F46A4">
        <w:rPr>
          <w:color w:val="000000"/>
        </w:rPr>
        <w:t>have significant interest in Australia’s financial reporting framework.</w:t>
      </w:r>
      <w:bookmarkEnd w:id="0"/>
    </w:p>
    <w:p w14:paraId="5ABB21C0" w14:textId="77777777" w:rsidR="00641896" w:rsidRDefault="00641896" w:rsidP="00641896">
      <w:pPr>
        <w:pStyle w:val="Heading1"/>
        <w:sectPr w:rsidR="00641896" w:rsidSect="005E5EE1">
          <w:pgSz w:w="11906" w:h="16838" w:code="9"/>
          <w:pgMar w:top="1843" w:right="1418" w:bottom="1418" w:left="1418" w:header="0" w:footer="792" w:gutter="0"/>
          <w:cols w:space="351"/>
          <w:docGrid w:linePitch="326"/>
        </w:sectPr>
      </w:pPr>
    </w:p>
    <w:p w14:paraId="6358C89F" w14:textId="08E4A323" w:rsidR="00E87F8F" w:rsidRPr="00641896" w:rsidRDefault="00C67571" w:rsidP="00641896">
      <w:pPr>
        <w:pStyle w:val="Heading1"/>
      </w:pPr>
      <w:bookmarkStart w:id="10" w:name="_Toc211627791"/>
      <w:r w:rsidRPr="00641896">
        <w:t>FRC o</w:t>
      </w:r>
      <w:r w:rsidR="00C6378A" w:rsidRPr="00641896">
        <w:t>bjectives</w:t>
      </w:r>
      <w:r w:rsidR="00B2611D" w:rsidRPr="00641896">
        <w:t xml:space="preserve"> and </w:t>
      </w:r>
      <w:r w:rsidRPr="00641896">
        <w:t>functions</w:t>
      </w:r>
      <w:bookmarkEnd w:id="10"/>
      <w:r w:rsidRPr="00641896">
        <w:t xml:space="preserve"> </w:t>
      </w:r>
    </w:p>
    <w:p w14:paraId="27BB3DF0" w14:textId="33C3386F" w:rsidR="00C67571" w:rsidRPr="007D7A93" w:rsidRDefault="00C67571" w:rsidP="000B66A2">
      <w:pPr>
        <w:pStyle w:val="Heading2"/>
      </w:pPr>
      <w:bookmarkStart w:id="11" w:name="_Toc211627792"/>
      <w:r w:rsidRPr="007D7A93">
        <w:t>The financial reporting system</w:t>
      </w:r>
      <w:bookmarkEnd w:id="11"/>
    </w:p>
    <w:p w14:paraId="5543F0BC" w14:textId="0B1A3B91" w:rsidR="00C67571" w:rsidRPr="007D7A93" w:rsidRDefault="00C67571" w:rsidP="00D36EF0">
      <w:r w:rsidRPr="007D7A93">
        <w:t>Part 12 of the ASIC Act establishes the framework for Australia’s financial reporting system. The objectives of Part 12 are set out in section 224 of the ASIC Act and include:</w:t>
      </w:r>
    </w:p>
    <w:p w14:paraId="2A774041" w14:textId="3C3CD14D" w:rsidR="00C67571" w:rsidRPr="00D36EF0" w:rsidRDefault="00C67571" w:rsidP="003B326A">
      <w:pPr>
        <w:pStyle w:val="Bullet"/>
      </w:pPr>
      <w:r w:rsidRPr="00D36EF0">
        <w:t xml:space="preserve">facilitating the development of accounting </w:t>
      </w:r>
      <w:r w:rsidR="00DC4A40" w:rsidRPr="00D36EF0">
        <w:t xml:space="preserve">and sustainability </w:t>
      </w:r>
      <w:r w:rsidRPr="00D36EF0">
        <w:t>standards that:</w:t>
      </w:r>
    </w:p>
    <w:p w14:paraId="3BE8BCEE" w14:textId="2F82715A" w:rsidR="00C67571" w:rsidRPr="006A655D" w:rsidRDefault="00FA5500" w:rsidP="003B326A">
      <w:pPr>
        <w:pStyle w:val="Dash"/>
      </w:pPr>
      <w:r w:rsidRPr="006A655D">
        <w:t>a</w:t>
      </w:r>
      <w:r w:rsidR="00C67571" w:rsidRPr="006A655D">
        <w:t>llow users to make and evaluate financial decisions</w:t>
      </w:r>
    </w:p>
    <w:p w14:paraId="6AA4BC97" w14:textId="3A43530D" w:rsidR="00C67571" w:rsidRPr="006A655D" w:rsidRDefault="00FA5500" w:rsidP="003B326A">
      <w:pPr>
        <w:pStyle w:val="Dash"/>
      </w:pPr>
      <w:r w:rsidRPr="006A655D">
        <w:t>a</w:t>
      </w:r>
      <w:r w:rsidR="00C67571" w:rsidRPr="006A655D">
        <w:t>ssist directors to fulfil their statutory financial reporting obligations</w:t>
      </w:r>
    </w:p>
    <w:p w14:paraId="4CE3EDA8" w14:textId="43D5ECE5" w:rsidR="00C67571" w:rsidRPr="006A655D" w:rsidRDefault="00FA5500" w:rsidP="003B326A">
      <w:pPr>
        <w:pStyle w:val="Dash"/>
      </w:pPr>
      <w:r w:rsidRPr="006A655D">
        <w:t>a</w:t>
      </w:r>
      <w:r w:rsidR="00E87F8F" w:rsidRPr="006A655D">
        <w:t xml:space="preserve">re </w:t>
      </w:r>
      <w:r w:rsidR="00C67571" w:rsidRPr="006A655D">
        <w:t>relevant, reliable, easy to understand and facilitate comparability</w:t>
      </w:r>
    </w:p>
    <w:p w14:paraId="5F212916" w14:textId="00EDD880" w:rsidR="00C67571" w:rsidRPr="006A655D" w:rsidRDefault="009D3A80" w:rsidP="003B326A">
      <w:pPr>
        <w:pStyle w:val="Bullet"/>
      </w:pPr>
      <w:r w:rsidRPr="006A655D">
        <w:t>f</w:t>
      </w:r>
      <w:r w:rsidR="00C67571" w:rsidRPr="006A655D">
        <w:t xml:space="preserve">acilitating the development of auditing and assurance standards that provide Australian auditors with relevant and comprehensive guidance in determining whether financial reports comply with statutory </w:t>
      </w:r>
      <w:r w:rsidR="00C620E6" w:rsidRPr="006A655D">
        <w:t>requirements and</w:t>
      </w:r>
      <w:r w:rsidR="00C67571" w:rsidRPr="006A655D">
        <w:t xml:space="preserve"> require auditors’ reports to be reliable and readily understood by users</w:t>
      </w:r>
    </w:p>
    <w:p w14:paraId="16320FC8" w14:textId="3B39C626" w:rsidR="00C67571" w:rsidRPr="0016307B" w:rsidRDefault="009D3A80" w:rsidP="0016307B">
      <w:pPr>
        <w:pStyle w:val="Bullet"/>
      </w:pPr>
      <w:r w:rsidRPr="0016307B">
        <w:t>f</w:t>
      </w:r>
      <w:r w:rsidR="00C67571" w:rsidRPr="0016307B">
        <w:t>acilitating the Australian economy by:</w:t>
      </w:r>
    </w:p>
    <w:p w14:paraId="19941685" w14:textId="3F9748AB" w:rsidR="00C67571" w:rsidRPr="005A7732" w:rsidRDefault="00FA5500" w:rsidP="003B326A">
      <w:pPr>
        <w:pStyle w:val="Dash"/>
      </w:pPr>
      <w:r w:rsidRPr="005A7732">
        <w:t>r</w:t>
      </w:r>
      <w:r w:rsidR="00C67571" w:rsidRPr="005A7732">
        <w:t>educing the cost of capital</w:t>
      </w:r>
    </w:p>
    <w:p w14:paraId="61309BE5" w14:textId="29CB9B5F" w:rsidR="00C67571" w:rsidRPr="005A7732" w:rsidRDefault="00FA5500" w:rsidP="003B326A">
      <w:pPr>
        <w:pStyle w:val="Dash"/>
      </w:pPr>
      <w:r w:rsidRPr="005A7732">
        <w:t>e</w:t>
      </w:r>
      <w:r w:rsidR="00C67571" w:rsidRPr="005A7732">
        <w:t>nabling Australian entities to compete effectively overseas</w:t>
      </w:r>
    </w:p>
    <w:p w14:paraId="20D98725" w14:textId="031442E3" w:rsidR="00C67571" w:rsidRPr="005A7732" w:rsidRDefault="00FA5500" w:rsidP="003B326A">
      <w:pPr>
        <w:pStyle w:val="Dash"/>
      </w:pPr>
      <w:r w:rsidRPr="005A7732">
        <w:t>h</w:t>
      </w:r>
      <w:r w:rsidR="00C67571" w:rsidRPr="005A7732">
        <w:t>aving accounting</w:t>
      </w:r>
      <w:r w:rsidR="00C55C27" w:rsidRPr="005A7732">
        <w:t>, sustainability</w:t>
      </w:r>
      <w:r w:rsidR="00C67571" w:rsidRPr="005A7732">
        <w:t xml:space="preserve"> and auditing standards that are clearly stated and easy to understand</w:t>
      </w:r>
    </w:p>
    <w:p w14:paraId="54225FF2" w14:textId="47EBE83F" w:rsidR="00C67571" w:rsidRPr="005A7732" w:rsidRDefault="009D3A80" w:rsidP="003B326A">
      <w:pPr>
        <w:pStyle w:val="Bullet"/>
      </w:pPr>
      <w:r w:rsidRPr="005A7732">
        <w:t>m</w:t>
      </w:r>
      <w:r w:rsidR="00C67571" w:rsidRPr="005A7732">
        <w:t>aintaining investor confidence in the Australian economy (including its capital markets).</w:t>
      </w:r>
    </w:p>
    <w:p w14:paraId="45C7A805" w14:textId="7CB60FC9" w:rsidR="00C67571" w:rsidRPr="005A7732" w:rsidRDefault="00C67571" w:rsidP="000B66A2">
      <w:pPr>
        <w:pStyle w:val="Heading2"/>
      </w:pPr>
      <w:bookmarkStart w:id="12" w:name="_Toc211627793"/>
      <w:r w:rsidRPr="005A7732">
        <w:t>Functions of the FRC</w:t>
      </w:r>
      <w:bookmarkEnd w:id="12"/>
    </w:p>
    <w:p w14:paraId="73A78B09" w14:textId="2F865447" w:rsidR="00C67571" w:rsidRPr="005A7732" w:rsidRDefault="00C67571" w:rsidP="005A7732">
      <w:r w:rsidRPr="005A7732">
        <w:t>The FRC is the peak body responsible for overseeing the effectiveness of the financial reporting system in Australia.</w:t>
      </w:r>
      <w:r w:rsidR="00CA540A" w:rsidRPr="005A7732">
        <w:t xml:space="preserve"> </w:t>
      </w:r>
      <w:r w:rsidRPr="005A7732">
        <w:t>The FRC’s functions, as set out in the ASIC Act, include:</w:t>
      </w:r>
    </w:p>
    <w:p w14:paraId="7D8DCE21" w14:textId="3B56BADC" w:rsidR="00C67571" w:rsidRPr="005A7732" w:rsidRDefault="00B305AC" w:rsidP="003B326A">
      <w:pPr>
        <w:pStyle w:val="Bullet"/>
      </w:pPr>
      <w:r w:rsidRPr="005A7732">
        <w:t>p</w:t>
      </w:r>
      <w:r w:rsidR="009A746A" w:rsidRPr="005A7732">
        <w:t>rovidin</w:t>
      </w:r>
      <w:r w:rsidR="00C67571" w:rsidRPr="005A7732">
        <w:t>g broad oversight of the accounting</w:t>
      </w:r>
      <w:r w:rsidR="00DC3DA7" w:rsidRPr="005A7732">
        <w:t>,</w:t>
      </w:r>
      <w:r w:rsidR="00094267" w:rsidRPr="005A7732">
        <w:t xml:space="preserve"> sustainability</w:t>
      </w:r>
      <w:r w:rsidR="00C67571" w:rsidRPr="005A7732">
        <w:t xml:space="preserve"> and auditing standard setting processes and giving the Minister reports and advice about such matters</w:t>
      </w:r>
    </w:p>
    <w:p w14:paraId="4429BD8D" w14:textId="094B4CD7" w:rsidR="00C67571" w:rsidRPr="005A7732" w:rsidRDefault="00ED7BC5" w:rsidP="003B326A">
      <w:pPr>
        <w:pStyle w:val="Bullet"/>
      </w:pPr>
      <w:r w:rsidRPr="005A7732">
        <w:t>e</w:t>
      </w:r>
      <w:r w:rsidR="009A746A" w:rsidRPr="005A7732">
        <w:t>stablish</w:t>
      </w:r>
      <w:r w:rsidR="00C67571" w:rsidRPr="005A7732">
        <w:t>ing appropriate consultative mechanisms</w:t>
      </w:r>
    </w:p>
    <w:p w14:paraId="1059A3EA" w14:textId="28CF8017" w:rsidR="00C67571" w:rsidRPr="005A7732" w:rsidRDefault="00ED7BC5" w:rsidP="003B326A">
      <w:pPr>
        <w:pStyle w:val="Bullet"/>
      </w:pPr>
      <w:r w:rsidRPr="005A7732">
        <w:t>a</w:t>
      </w:r>
      <w:r w:rsidR="009A746A" w:rsidRPr="005A7732">
        <w:t>ppo</w:t>
      </w:r>
      <w:r w:rsidR="00C67571" w:rsidRPr="005A7732">
        <w:t>inting members of the AASB and AUASB (other than the Chairs)</w:t>
      </w:r>
    </w:p>
    <w:p w14:paraId="59F20BBE" w14:textId="3B71BDBC" w:rsidR="00C67571" w:rsidRPr="005A7732" w:rsidRDefault="00ED7BC5" w:rsidP="003B326A">
      <w:pPr>
        <w:pStyle w:val="Bullet"/>
      </w:pPr>
      <w:r w:rsidRPr="005A7732">
        <w:t>g</w:t>
      </w:r>
      <w:r w:rsidR="009A746A" w:rsidRPr="005A7732">
        <w:t xml:space="preserve">iving </w:t>
      </w:r>
      <w:r w:rsidR="00C67571" w:rsidRPr="005A7732">
        <w:t>advice or feedback to the AASB and AUASB on their priorities, business plans and procedures</w:t>
      </w:r>
    </w:p>
    <w:p w14:paraId="35B959A8" w14:textId="1588A4CC" w:rsidR="00C67571" w:rsidRPr="005A7732" w:rsidRDefault="00ED7BC5" w:rsidP="003B326A">
      <w:pPr>
        <w:pStyle w:val="Bullet"/>
      </w:pPr>
      <w:r w:rsidRPr="005A7732">
        <w:t>g</w:t>
      </w:r>
      <w:r w:rsidR="009A746A" w:rsidRPr="005A7732">
        <w:t>ivin</w:t>
      </w:r>
      <w:r w:rsidR="00C67571" w:rsidRPr="005A7732">
        <w:t>g advice or feedback to the offices of the AASB and AUASB on their budget and staffing arrangements</w:t>
      </w:r>
    </w:p>
    <w:p w14:paraId="22B14F82" w14:textId="3626F53C" w:rsidR="00C67571" w:rsidRPr="005A7732" w:rsidRDefault="00ED7BC5" w:rsidP="003B326A">
      <w:pPr>
        <w:pStyle w:val="Bullet"/>
      </w:pPr>
      <w:r w:rsidRPr="005A7732">
        <w:t>d</w:t>
      </w:r>
      <w:r w:rsidR="009A746A" w:rsidRPr="005A7732">
        <w:t>ete</w:t>
      </w:r>
      <w:r w:rsidR="00C67571" w:rsidRPr="005A7732">
        <w:t>rmining the broad strategic direction of the AASB and AUASB</w:t>
      </w:r>
    </w:p>
    <w:p w14:paraId="07440107" w14:textId="0F9AD172" w:rsidR="00C67571" w:rsidRPr="005A7732" w:rsidRDefault="00ED7BC5" w:rsidP="003B326A">
      <w:pPr>
        <w:pStyle w:val="Bullet"/>
      </w:pPr>
      <w:r w:rsidRPr="005A7732">
        <w:t>m</w:t>
      </w:r>
      <w:r w:rsidR="009A746A" w:rsidRPr="005A7732">
        <w:t>on</w:t>
      </w:r>
      <w:r w:rsidR="00C67571" w:rsidRPr="005A7732">
        <w:t>itoring the operation of accounting</w:t>
      </w:r>
      <w:r w:rsidR="00A22FE3" w:rsidRPr="005A7732">
        <w:t>, sustainability</w:t>
      </w:r>
      <w:r w:rsidR="00C67571" w:rsidRPr="005A7732">
        <w:t xml:space="preserve"> and auditing standards and the effectiveness of consultative arrangements of the AASB and AUASB</w:t>
      </w:r>
    </w:p>
    <w:p w14:paraId="56E81201" w14:textId="4161C34D" w:rsidR="00C67571" w:rsidRPr="005A7732" w:rsidRDefault="00ED7BC5" w:rsidP="003B326A">
      <w:pPr>
        <w:pStyle w:val="Bullet"/>
      </w:pPr>
      <w:r w:rsidRPr="005A7732">
        <w:t>g</w:t>
      </w:r>
      <w:r w:rsidR="009A746A" w:rsidRPr="005A7732">
        <w:t>ivin</w:t>
      </w:r>
      <w:r w:rsidR="00C67571" w:rsidRPr="005A7732">
        <w:t>g strategic policy advice and reports to the Minister and professional accounting bodies in relation to the quality of audits conducted by Australian auditors</w:t>
      </w:r>
    </w:p>
    <w:p w14:paraId="5CCC38DF" w14:textId="5E8E4659" w:rsidR="00C67571" w:rsidRPr="005A7732" w:rsidRDefault="00ED7BC5" w:rsidP="003B326A">
      <w:pPr>
        <w:pStyle w:val="Bullet"/>
      </w:pPr>
      <w:bookmarkStart w:id="13" w:name="Statutory_obligations"/>
      <w:bookmarkStart w:id="14" w:name="_bookmark4"/>
      <w:bookmarkEnd w:id="13"/>
      <w:bookmarkEnd w:id="14"/>
      <w:r w:rsidRPr="005A7732">
        <w:t>m</w:t>
      </w:r>
      <w:r w:rsidR="009A746A" w:rsidRPr="005A7732">
        <w:t>o</w:t>
      </w:r>
      <w:r w:rsidR="00C67571" w:rsidRPr="005A7732">
        <w:t>nitoring the development of international accounting</w:t>
      </w:r>
      <w:r w:rsidR="00F70BE7" w:rsidRPr="005A7732">
        <w:t>, sustainability</w:t>
      </w:r>
      <w:r w:rsidR="00C67571" w:rsidRPr="005A7732">
        <w:t xml:space="preserve"> and auditing standards</w:t>
      </w:r>
    </w:p>
    <w:p w14:paraId="21AEA6E5" w14:textId="132DBB52" w:rsidR="00C67571" w:rsidRPr="005A7732" w:rsidRDefault="00ED7BC5" w:rsidP="003B326A">
      <w:pPr>
        <w:pStyle w:val="Bullet"/>
      </w:pPr>
      <w:r w:rsidRPr="005A7732">
        <w:t>f</w:t>
      </w:r>
      <w:r w:rsidR="009A746A" w:rsidRPr="005A7732">
        <w:t>urt</w:t>
      </w:r>
      <w:r w:rsidR="00C67571" w:rsidRPr="005A7732">
        <w:t>hering the development of a single set of accounting</w:t>
      </w:r>
      <w:r w:rsidR="00F70BE7" w:rsidRPr="005A7732">
        <w:t>, sustainability</w:t>
      </w:r>
      <w:r w:rsidR="00C67571" w:rsidRPr="005A7732">
        <w:t xml:space="preserve"> and auditing standards for world-wide use</w:t>
      </w:r>
    </w:p>
    <w:p w14:paraId="4445578A" w14:textId="73FCB7FC" w:rsidR="00C67571" w:rsidRPr="005A7732" w:rsidRDefault="00ED7BC5" w:rsidP="003B326A">
      <w:pPr>
        <w:pStyle w:val="Bullet"/>
      </w:pPr>
      <w:r w:rsidRPr="005A7732">
        <w:t>p</w:t>
      </w:r>
      <w:r w:rsidR="009A746A" w:rsidRPr="005A7732">
        <w:t>rom</w:t>
      </w:r>
      <w:r w:rsidR="00C67571" w:rsidRPr="005A7732">
        <w:t>oting the continued adoption of international best practice standards in the Australian standard setting processes.</w:t>
      </w:r>
    </w:p>
    <w:p w14:paraId="22C09708" w14:textId="77777777" w:rsidR="00C67571" w:rsidRPr="005A7732" w:rsidRDefault="00C67571" w:rsidP="005A7732">
      <w:r w:rsidRPr="005A7732">
        <w:t>The FRC is also responsible for advancing and promoting the main objects of Part 12 of the ASIC Act, concerning the Australian financial reporting system.</w:t>
      </w:r>
    </w:p>
    <w:p w14:paraId="22E6484A" w14:textId="2AEDCC31" w:rsidR="00C67571" w:rsidRPr="005A7732" w:rsidRDefault="00C67571" w:rsidP="005A7732">
      <w:r w:rsidRPr="005A7732">
        <w:t>Statutory obligations</w:t>
      </w:r>
    </w:p>
    <w:p w14:paraId="1F9DA296" w14:textId="5C77FD59" w:rsidR="00C67571" w:rsidRPr="005A7732" w:rsidRDefault="00E87F8F" w:rsidP="005A7732">
      <w:r w:rsidRPr="005A7732">
        <w:t xml:space="preserve">The </w:t>
      </w:r>
      <w:r w:rsidR="00C67571" w:rsidRPr="005A7732">
        <w:t xml:space="preserve">FRC </w:t>
      </w:r>
      <w:r w:rsidR="00A661A4" w:rsidRPr="005A7732">
        <w:t xml:space="preserve">has </w:t>
      </w:r>
      <w:r w:rsidR="00033335" w:rsidRPr="005A7732">
        <w:t>me</w:t>
      </w:r>
      <w:r w:rsidR="00EE3A8F" w:rsidRPr="005A7732">
        <w:t>t</w:t>
      </w:r>
      <w:r w:rsidR="00033335" w:rsidRPr="005A7732">
        <w:t xml:space="preserve"> its statutory obligations under the ASIC Act through </w:t>
      </w:r>
      <w:r w:rsidR="00A661A4" w:rsidRPr="005A7732">
        <w:t>the following activities</w:t>
      </w:r>
      <w:r w:rsidR="008226CF" w:rsidRPr="005A7732">
        <w:t>.</w:t>
      </w:r>
    </w:p>
    <w:p w14:paraId="77B4BDDA" w14:textId="6FC07A89" w:rsidR="00C67571" w:rsidRPr="005A7732" w:rsidRDefault="00C67571" w:rsidP="003B326A">
      <w:pPr>
        <w:pStyle w:val="Bullet"/>
      </w:pPr>
      <w:r w:rsidRPr="005A7732">
        <w:t xml:space="preserve">Appointed </w:t>
      </w:r>
      <w:r w:rsidR="008226CF" w:rsidRPr="005A7732">
        <w:t>one</w:t>
      </w:r>
      <w:r w:rsidR="0092317C" w:rsidRPr="005A7732">
        <w:t xml:space="preserve"> </w:t>
      </w:r>
      <w:r w:rsidRPr="005A7732">
        <w:t xml:space="preserve">new member and reappointed </w:t>
      </w:r>
      <w:r w:rsidR="008226CF" w:rsidRPr="005A7732">
        <w:t>one</w:t>
      </w:r>
      <w:r w:rsidR="0092317C" w:rsidRPr="005A7732">
        <w:t xml:space="preserve"> </w:t>
      </w:r>
      <w:r w:rsidRPr="005A7732">
        <w:t>member of the AASB.</w:t>
      </w:r>
      <w:r w:rsidR="00261713" w:rsidRPr="005A7732">
        <w:t xml:space="preserve"> </w:t>
      </w:r>
      <w:r w:rsidRPr="005A7732">
        <w:t>Each appointee brought significant depth of expertise in areas relevant to the work of the AASB</w:t>
      </w:r>
      <w:r w:rsidR="00F70E72" w:rsidRPr="005A7732">
        <w:t xml:space="preserve"> such as sustainability</w:t>
      </w:r>
      <w:r w:rsidR="00B3193B" w:rsidRPr="005A7732">
        <w:t>.</w:t>
      </w:r>
      <w:r w:rsidRPr="005A7732">
        <w:t xml:space="preserve"> </w:t>
      </w:r>
      <w:r w:rsidR="00B3193B" w:rsidRPr="005A7732">
        <w:t xml:space="preserve">As such, they </w:t>
      </w:r>
      <w:r w:rsidRPr="005A7732">
        <w:t>facilitated the development</w:t>
      </w:r>
      <w:r w:rsidR="00261713" w:rsidRPr="005A7732">
        <w:t xml:space="preserve"> </w:t>
      </w:r>
      <w:r w:rsidRPr="005A7732">
        <w:t xml:space="preserve">of relevant, reliable, comparable, understandable and usable accounting </w:t>
      </w:r>
      <w:r w:rsidR="006A6FFE" w:rsidRPr="005A7732">
        <w:t xml:space="preserve">and sustainability </w:t>
      </w:r>
      <w:r w:rsidRPr="005A7732">
        <w:t>standards.</w:t>
      </w:r>
    </w:p>
    <w:p w14:paraId="2DC3AA0D" w14:textId="4A12AB73" w:rsidR="00C67571" w:rsidRPr="005A7732" w:rsidRDefault="0008081D" w:rsidP="003B326A">
      <w:pPr>
        <w:pStyle w:val="Bullet"/>
      </w:pPr>
      <w:r w:rsidRPr="005A7732">
        <w:t xml:space="preserve">Appointed </w:t>
      </w:r>
      <w:r w:rsidR="005D3975" w:rsidRPr="005A7732">
        <w:t>2</w:t>
      </w:r>
      <w:r w:rsidRPr="005A7732">
        <w:t xml:space="preserve"> new member</w:t>
      </w:r>
      <w:r w:rsidR="005D3975" w:rsidRPr="005A7732">
        <w:t>s</w:t>
      </w:r>
      <w:r w:rsidR="00A6648E" w:rsidRPr="005A7732">
        <w:t xml:space="preserve"> and r</w:t>
      </w:r>
      <w:r w:rsidR="003A6A7A" w:rsidRPr="005A7732">
        <w:t>e</w:t>
      </w:r>
      <w:r w:rsidR="00DA5DD2" w:rsidRPr="005A7732">
        <w:t>a</w:t>
      </w:r>
      <w:r w:rsidR="00C67571" w:rsidRPr="005A7732">
        <w:t xml:space="preserve">ppointed </w:t>
      </w:r>
      <w:r w:rsidR="00A6648E" w:rsidRPr="005A7732">
        <w:t>2</w:t>
      </w:r>
      <w:r w:rsidR="00C67571" w:rsidRPr="005A7732">
        <w:t xml:space="preserve"> member</w:t>
      </w:r>
      <w:r w:rsidR="00261713" w:rsidRPr="005A7732">
        <w:t>s</w:t>
      </w:r>
      <w:r w:rsidR="00C67571" w:rsidRPr="005A7732">
        <w:t xml:space="preserve"> to the AUASB. Each appointee brought significant depth of expertise in areas relevant to the work of the AUASB</w:t>
      </w:r>
      <w:r w:rsidR="00391132" w:rsidRPr="005A7732">
        <w:t>,</w:t>
      </w:r>
      <w:r w:rsidR="001A7117" w:rsidRPr="005A7732">
        <w:t xml:space="preserve"> including sustainability</w:t>
      </w:r>
      <w:r w:rsidR="00C37F86" w:rsidRPr="005A7732">
        <w:t>. As such, the</w:t>
      </w:r>
      <w:r w:rsidR="00391132" w:rsidRPr="005A7732">
        <w:t xml:space="preserve"> members </w:t>
      </w:r>
      <w:r w:rsidR="00C67571" w:rsidRPr="005A7732">
        <w:t xml:space="preserve">facilitated </w:t>
      </w:r>
      <w:r w:rsidR="007E6EBB" w:rsidRPr="005A7732">
        <w:t xml:space="preserve">AUASB’s </w:t>
      </w:r>
      <w:r w:rsidR="00C67571" w:rsidRPr="005A7732">
        <w:t>development</w:t>
      </w:r>
      <w:r w:rsidR="00261713" w:rsidRPr="005A7732">
        <w:t xml:space="preserve"> </w:t>
      </w:r>
      <w:r w:rsidR="00C67571" w:rsidRPr="005A7732">
        <w:t>of auditing and assurance standards and related guidance materials</w:t>
      </w:r>
      <w:r w:rsidR="007E6EBB" w:rsidRPr="005A7732">
        <w:t>.</w:t>
      </w:r>
      <w:r w:rsidR="00D404D9" w:rsidRPr="005A7732">
        <w:t xml:space="preserve"> These standards and materials</w:t>
      </w:r>
      <w:r w:rsidR="00C67571" w:rsidRPr="005A7732">
        <w:t xml:space="preserve"> provide</w:t>
      </w:r>
      <w:r w:rsidR="00D404D9" w:rsidRPr="005A7732">
        <w:t>d</w:t>
      </w:r>
      <w:r w:rsidR="00C67571" w:rsidRPr="005A7732">
        <w:t xml:space="preserve"> relevant and comprehensive </w:t>
      </w:r>
      <w:r w:rsidR="00CE7F47" w:rsidRPr="005A7732">
        <w:t>guidance and</w:t>
      </w:r>
      <w:r w:rsidR="00C67571" w:rsidRPr="005A7732">
        <w:t xml:space="preserve"> support</w:t>
      </w:r>
      <w:r w:rsidR="00D404D9" w:rsidRPr="005A7732">
        <w:t>ed</w:t>
      </w:r>
      <w:r w:rsidR="00C67571" w:rsidRPr="005A7732">
        <w:t xml:space="preserve"> reliable and understandable auditor reports.</w:t>
      </w:r>
    </w:p>
    <w:p w14:paraId="6C3E863C" w14:textId="77777777" w:rsidR="006D092D" w:rsidRPr="005A7732" w:rsidRDefault="009D2711" w:rsidP="003B326A">
      <w:pPr>
        <w:pStyle w:val="Bullet"/>
      </w:pPr>
      <w:r w:rsidRPr="005A7732">
        <w:t>C</w:t>
      </w:r>
      <w:r w:rsidR="005E297F" w:rsidRPr="005A7732">
        <w:t xml:space="preserve">ontinued </w:t>
      </w:r>
      <w:r w:rsidR="00F55C53" w:rsidRPr="005A7732">
        <w:t>work</w:t>
      </w:r>
      <w:r w:rsidR="008F0F70" w:rsidRPr="005A7732">
        <w:t xml:space="preserve"> directed at</w:t>
      </w:r>
      <w:r w:rsidR="005E1C06" w:rsidRPr="005A7732">
        <w:t xml:space="preserve"> </w:t>
      </w:r>
      <w:r w:rsidR="005E297F" w:rsidRPr="005A7732">
        <w:t>enhanc</w:t>
      </w:r>
      <w:r w:rsidR="008F0F70" w:rsidRPr="005A7732">
        <w:t xml:space="preserve">ing </w:t>
      </w:r>
      <w:r w:rsidR="005E297F" w:rsidRPr="005A7732">
        <w:t xml:space="preserve">the quality of financial reports, </w:t>
      </w:r>
      <w:r w:rsidR="00B574F5" w:rsidRPr="005A7732">
        <w:t>which</w:t>
      </w:r>
      <w:r w:rsidR="006D092D" w:rsidRPr="005A7732">
        <w:t>:</w:t>
      </w:r>
    </w:p>
    <w:p w14:paraId="63008364" w14:textId="77777777" w:rsidR="006D092D" w:rsidRPr="005A7732" w:rsidRDefault="00B574F5" w:rsidP="003B326A">
      <w:pPr>
        <w:pStyle w:val="Dash"/>
      </w:pPr>
      <w:r w:rsidRPr="005A7732">
        <w:t xml:space="preserve"> </w:t>
      </w:r>
      <w:r w:rsidR="005E297F" w:rsidRPr="005A7732">
        <w:t>contribut</w:t>
      </w:r>
      <w:r w:rsidRPr="005A7732">
        <w:t>ed</w:t>
      </w:r>
      <w:r w:rsidR="005E297F" w:rsidRPr="005A7732">
        <w:t xml:space="preserve"> to the development of common international accounting</w:t>
      </w:r>
      <w:r w:rsidR="005E43E0" w:rsidRPr="005A7732">
        <w:t>, sustainability</w:t>
      </w:r>
      <w:r w:rsidR="005E297F" w:rsidRPr="005A7732">
        <w:t xml:space="preserve"> and auditing </w:t>
      </w:r>
      <w:r w:rsidR="00CE7F47" w:rsidRPr="005A7732">
        <w:t>standards</w:t>
      </w:r>
    </w:p>
    <w:p w14:paraId="48B8B189" w14:textId="755BDD6F" w:rsidR="006D092D" w:rsidRPr="005A7732" w:rsidRDefault="005E297F" w:rsidP="003B326A">
      <w:pPr>
        <w:pStyle w:val="Dash"/>
      </w:pPr>
      <w:r w:rsidRPr="005A7732">
        <w:t>facilitat</w:t>
      </w:r>
      <w:r w:rsidR="00B574F5" w:rsidRPr="005A7732">
        <w:t>ed</w:t>
      </w:r>
      <w:r w:rsidR="008F0F70" w:rsidRPr="005A7732">
        <w:t xml:space="preserve"> the</w:t>
      </w:r>
      <w:r w:rsidRPr="005A7732">
        <w:t xml:space="preserve"> harmonisation of Australian standards with international standards.</w:t>
      </w:r>
      <w:r w:rsidR="005E1C06" w:rsidRPr="005A7732">
        <w:t xml:space="preserve"> </w:t>
      </w:r>
    </w:p>
    <w:p w14:paraId="6B6EF1B9" w14:textId="77777777" w:rsidR="006D092D" w:rsidRDefault="005E1C06" w:rsidP="00D54A8B">
      <w:pPr>
        <w:rPr>
          <w:lang w:val="en-GB"/>
        </w:rPr>
      </w:pPr>
      <w:r w:rsidRPr="009B03AE">
        <w:rPr>
          <w:lang w:val="en-GB"/>
        </w:rPr>
        <w:t>This work</w:t>
      </w:r>
      <w:r w:rsidR="003B1AF5" w:rsidRPr="009B03AE">
        <w:rPr>
          <w:lang w:val="en-GB"/>
        </w:rPr>
        <w:t xml:space="preserve"> included</w:t>
      </w:r>
      <w:r w:rsidR="008E2A80" w:rsidRPr="009B03AE">
        <w:rPr>
          <w:lang w:val="en-GB"/>
        </w:rPr>
        <w:t xml:space="preserve"> </w:t>
      </w:r>
      <w:r w:rsidR="003B1AF5" w:rsidRPr="009B03AE">
        <w:rPr>
          <w:lang w:val="en-GB"/>
        </w:rPr>
        <w:t>monitoring developments in international standards and</w:t>
      </w:r>
      <w:r w:rsidR="008E2A80" w:rsidRPr="009B03AE">
        <w:rPr>
          <w:lang w:val="en-GB"/>
        </w:rPr>
        <w:t xml:space="preserve"> </w:t>
      </w:r>
      <w:r w:rsidR="003B1AF5" w:rsidRPr="009B03AE">
        <w:rPr>
          <w:lang w:val="en-GB"/>
        </w:rPr>
        <w:t>promoting a coordinated approach to Australian standards</w:t>
      </w:r>
      <w:r w:rsidR="00F72998" w:rsidRPr="009B03AE">
        <w:rPr>
          <w:lang w:val="en-GB"/>
        </w:rPr>
        <w:t xml:space="preserve">. As a result, </w:t>
      </w:r>
      <w:r w:rsidR="00E667D2" w:rsidRPr="009B03AE">
        <w:rPr>
          <w:lang w:val="en-GB"/>
        </w:rPr>
        <w:t>the FRC</w:t>
      </w:r>
      <w:r w:rsidR="006D092D">
        <w:rPr>
          <w:lang w:val="en-GB"/>
        </w:rPr>
        <w:t>:</w:t>
      </w:r>
    </w:p>
    <w:p w14:paraId="7DF830ED" w14:textId="604AE11C" w:rsidR="006D092D" w:rsidRPr="005A7732" w:rsidRDefault="00670750" w:rsidP="003B326A">
      <w:pPr>
        <w:pStyle w:val="Dash"/>
      </w:pPr>
      <w:r w:rsidRPr="005A7732">
        <w:t>facilitate</w:t>
      </w:r>
      <w:r w:rsidR="00E667D2" w:rsidRPr="005A7732">
        <w:t>d</w:t>
      </w:r>
      <w:r w:rsidRPr="005A7732">
        <w:t xml:space="preserve"> </w:t>
      </w:r>
      <w:r w:rsidR="005E1C06" w:rsidRPr="005A7732">
        <w:t>investor confidence in Australian firms</w:t>
      </w:r>
    </w:p>
    <w:p w14:paraId="349544D8" w14:textId="33AADDB1" w:rsidR="006D092D" w:rsidRPr="005A7732" w:rsidRDefault="005E1C06" w:rsidP="003B326A">
      <w:pPr>
        <w:pStyle w:val="Dash"/>
      </w:pPr>
      <w:r w:rsidRPr="005A7732">
        <w:t>promote</w:t>
      </w:r>
      <w:r w:rsidR="00E667D2" w:rsidRPr="005A7732">
        <w:t>d</w:t>
      </w:r>
      <w:r w:rsidRPr="005A7732">
        <w:t xml:space="preserve"> cross-border comparisons by investors</w:t>
      </w:r>
    </w:p>
    <w:p w14:paraId="7578250E" w14:textId="3D07A611" w:rsidR="005E297F" w:rsidRPr="005A7732" w:rsidRDefault="006A1B24" w:rsidP="003B326A">
      <w:pPr>
        <w:pStyle w:val="Dash"/>
      </w:pPr>
      <w:r w:rsidRPr="005A7732">
        <w:t>enhance</w:t>
      </w:r>
      <w:r w:rsidR="00E667D2" w:rsidRPr="005A7732">
        <w:t>d</w:t>
      </w:r>
      <w:r w:rsidRPr="005A7732">
        <w:t xml:space="preserve"> the ability of </w:t>
      </w:r>
      <w:r w:rsidR="005E1C06" w:rsidRPr="005A7732">
        <w:t xml:space="preserve">Australian firms </w:t>
      </w:r>
      <w:r w:rsidRPr="005A7732">
        <w:t xml:space="preserve">to </w:t>
      </w:r>
      <w:r w:rsidR="005E1C06" w:rsidRPr="005A7732">
        <w:t>access international capital markets at lower cost.</w:t>
      </w:r>
      <w:r w:rsidR="00DE15BB" w:rsidRPr="005A7732">
        <w:t xml:space="preserve"> </w:t>
      </w:r>
    </w:p>
    <w:p w14:paraId="030C3AB8" w14:textId="77777777" w:rsidR="00EE2696" w:rsidRPr="005A7732" w:rsidRDefault="009D2711" w:rsidP="003B326A">
      <w:pPr>
        <w:pStyle w:val="Bullet"/>
      </w:pPr>
      <w:r w:rsidRPr="005A7732">
        <w:t>M</w:t>
      </w:r>
      <w:r w:rsidR="00DB0C08" w:rsidRPr="005A7732">
        <w:t>onitor</w:t>
      </w:r>
      <w:r w:rsidR="0067670C" w:rsidRPr="005A7732">
        <w:t>ed</w:t>
      </w:r>
      <w:r w:rsidR="00DB0C08" w:rsidRPr="005A7732">
        <w:t xml:space="preserve"> the impact of macroeconomic </w:t>
      </w:r>
      <w:r w:rsidR="000305A6" w:rsidRPr="005A7732">
        <w:t>conditions and skill shortages on the financial reporting system and audit quality</w:t>
      </w:r>
      <w:r w:rsidR="00A6279D" w:rsidRPr="005A7732">
        <w:t xml:space="preserve">. </w:t>
      </w:r>
    </w:p>
    <w:p w14:paraId="37AAB499" w14:textId="4CC0590D" w:rsidR="000A5A47" w:rsidRPr="005A7732" w:rsidRDefault="00A6279D" w:rsidP="003B326A">
      <w:pPr>
        <w:pStyle w:val="Bullet"/>
      </w:pPr>
      <w:r w:rsidRPr="005A7732">
        <w:t>C</w:t>
      </w:r>
      <w:r w:rsidR="0067670C" w:rsidRPr="005A7732">
        <w:t>ontinued to obtain qualitative and quantitative data from stakeholders on matters including</w:t>
      </w:r>
      <w:r w:rsidR="000A5A47" w:rsidRPr="005A7732">
        <w:t>:</w:t>
      </w:r>
    </w:p>
    <w:p w14:paraId="4D676236" w14:textId="697AC10D" w:rsidR="000A5A47" w:rsidRPr="00047D8A" w:rsidRDefault="0067670C" w:rsidP="003B326A">
      <w:pPr>
        <w:pStyle w:val="Bullet"/>
      </w:pPr>
      <w:r w:rsidRPr="00047D8A">
        <w:t>auditor disciplinary processes</w:t>
      </w:r>
    </w:p>
    <w:p w14:paraId="3DBE3B63" w14:textId="254CF8A0" w:rsidR="000A5A47" w:rsidRPr="00047D8A" w:rsidRDefault="008E0007" w:rsidP="003B326A">
      <w:pPr>
        <w:pStyle w:val="Bullet"/>
      </w:pPr>
      <w:r w:rsidRPr="00047D8A">
        <w:t>talent retention</w:t>
      </w:r>
    </w:p>
    <w:p w14:paraId="0070F59B" w14:textId="14EAD0FE" w:rsidR="000A5A47" w:rsidRPr="00047D8A" w:rsidRDefault="006B7734" w:rsidP="003B326A">
      <w:pPr>
        <w:pStyle w:val="Bullet"/>
      </w:pPr>
      <w:r w:rsidRPr="00047D8A">
        <w:t>skill shortages</w:t>
      </w:r>
    </w:p>
    <w:p w14:paraId="5E1E90B6" w14:textId="0F6062F7" w:rsidR="000A5A47" w:rsidRPr="00047D8A" w:rsidRDefault="006B7734" w:rsidP="003B326A">
      <w:pPr>
        <w:pStyle w:val="Bullet"/>
      </w:pPr>
      <w:r w:rsidRPr="00047D8A">
        <w:t>sustainability</w:t>
      </w:r>
      <w:r w:rsidR="000305A6" w:rsidRPr="00047D8A">
        <w:t>.</w:t>
      </w:r>
      <w:r w:rsidR="00FF2D64" w:rsidRPr="00047D8A">
        <w:t xml:space="preserve"> </w:t>
      </w:r>
    </w:p>
    <w:p w14:paraId="1A7F4DD2" w14:textId="41FE9172" w:rsidR="005D317E" w:rsidRPr="003832C9" w:rsidRDefault="00FF2D64" w:rsidP="00D54A8B">
      <w:r w:rsidRPr="003832C9">
        <w:t>This work facilitate</w:t>
      </w:r>
      <w:r w:rsidR="00A6279D" w:rsidRPr="003832C9">
        <w:t>d</w:t>
      </w:r>
      <w:r w:rsidRPr="003832C9">
        <w:t xml:space="preserve"> the development of </w:t>
      </w:r>
      <w:r w:rsidR="00BA477C" w:rsidRPr="003832C9">
        <w:t>financial reporting</w:t>
      </w:r>
      <w:r w:rsidRPr="003832C9">
        <w:t xml:space="preserve"> standards</w:t>
      </w:r>
      <w:r w:rsidR="005D317E" w:rsidRPr="003832C9">
        <w:t xml:space="preserve"> </w:t>
      </w:r>
      <w:r w:rsidR="006B0CFF" w:rsidRPr="003832C9">
        <w:t xml:space="preserve">and investor confidence by </w:t>
      </w:r>
      <w:r w:rsidR="00BA477C" w:rsidRPr="003832C9">
        <w:t>enabling any</w:t>
      </w:r>
      <w:r w:rsidR="009C3F12" w:rsidRPr="003832C9">
        <w:t xml:space="preserve"> impacts of such matters</w:t>
      </w:r>
      <w:r w:rsidR="00BA477C" w:rsidRPr="003832C9">
        <w:t xml:space="preserve"> on</w:t>
      </w:r>
      <w:r w:rsidR="009C3F12" w:rsidRPr="003832C9">
        <w:t xml:space="preserve"> accounting</w:t>
      </w:r>
      <w:r w:rsidR="005E43E0" w:rsidRPr="003832C9">
        <w:t>, sustainability</w:t>
      </w:r>
      <w:r w:rsidR="009C3F12" w:rsidRPr="003832C9">
        <w:t xml:space="preserve"> and auditing standards and practices</w:t>
      </w:r>
      <w:r w:rsidR="00BA477C" w:rsidRPr="003832C9">
        <w:t xml:space="preserve"> to be identified and addressed. </w:t>
      </w:r>
    </w:p>
    <w:p w14:paraId="10A5DE16" w14:textId="7FC1442A" w:rsidR="00BD54C9" w:rsidRPr="00D54A8B" w:rsidRDefault="00DE5D7C" w:rsidP="00D54A8B">
      <w:pPr>
        <w:pStyle w:val="Bullet"/>
      </w:pPr>
      <w:r w:rsidRPr="00D54A8B">
        <w:t>Corresponded with</w:t>
      </w:r>
      <w:r w:rsidR="00BD54C9" w:rsidRPr="00D54A8B">
        <w:t xml:space="preserve"> </w:t>
      </w:r>
      <w:r w:rsidRPr="00D54A8B">
        <w:t xml:space="preserve">Australian Government </w:t>
      </w:r>
      <w:r w:rsidR="005E7C39" w:rsidRPr="00D54A8B">
        <w:t>m</w:t>
      </w:r>
      <w:r w:rsidR="007452E6" w:rsidRPr="00D54A8B">
        <w:t>inister</w:t>
      </w:r>
      <w:r w:rsidR="001A3CEC" w:rsidRPr="00D54A8B">
        <w:t>s</w:t>
      </w:r>
      <w:r w:rsidR="007452E6" w:rsidRPr="00D54A8B">
        <w:t xml:space="preserve"> </w:t>
      </w:r>
      <w:r w:rsidR="00EB0531" w:rsidRPr="00D54A8B">
        <w:t xml:space="preserve">about </w:t>
      </w:r>
      <w:r w:rsidR="007452E6" w:rsidRPr="00D54A8B">
        <w:t>the contemporary financial environment including</w:t>
      </w:r>
      <w:r w:rsidR="000C2BE1" w:rsidRPr="00D54A8B">
        <w:t xml:space="preserve"> supporting and</w:t>
      </w:r>
      <w:r w:rsidR="007452E6" w:rsidRPr="00D54A8B">
        <w:t xml:space="preserve"> funding</w:t>
      </w:r>
      <w:r w:rsidR="00D35211" w:rsidRPr="00D54A8B">
        <w:t xml:space="preserve"> </w:t>
      </w:r>
      <w:r w:rsidR="00AB2B57" w:rsidRPr="00D54A8B">
        <w:t xml:space="preserve">international standard setting </w:t>
      </w:r>
      <w:r w:rsidR="00D35211" w:rsidRPr="00D54A8B">
        <w:t>and digital reporting</w:t>
      </w:r>
      <w:r w:rsidR="004762FE" w:rsidRPr="00D54A8B">
        <w:t>.</w:t>
      </w:r>
    </w:p>
    <w:p w14:paraId="7545E09F" w14:textId="09A246AB" w:rsidR="002B7CC0" w:rsidRDefault="009D2711" w:rsidP="00B71301">
      <w:pPr>
        <w:pStyle w:val="Bullet"/>
        <w:sectPr w:rsidR="002B7CC0" w:rsidSect="005E5EE1">
          <w:pgSz w:w="11906" w:h="16838" w:code="9"/>
          <w:pgMar w:top="1843" w:right="1418" w:bottom="1418" w:left="1418" w:header="0" w:footer="794" w:gutter="0"/>
          <w:cols w:space="351"/>
          <w:docGrid w:linePitch="326"/>
        </w:sectPr>
      </w:pPr>
      <w:r w:rsidRPr="00D54A8B">
        <w:t>C</w:t>
      </w:r>
      <w:r w:rsidR="003C2747" w:rsidRPr="00D54A8B">
        <w:t>ontinue</w:t>
      </w:r>
      <w:r w:rsidR="005E297F" w:rsidRPr="00D54A8B">
        <w:t>d</w:t>
      </w:r>
      <w:r w:rsidR="003C2747" w:rsidRPr="00D54A8B">
        <w:t xml:space="preserve"> to monitor financial reporting and auditing issues relevant to the public sector through its FRC Public Sector </w:t>
      </w:r>
      <w:r w:rsidR="005B03DD" w:rsidRPr="00D54A8B">
        <w:t>Advisory</w:t>
      </w:r>
      <w:r w:rsidR="003C2747" w:rsidRPr="00D54A8B">
        <w:t xml:space="preserve"> Group, comprising members of the FRC and the public sector.</w:t>
      </w:r>
    </w:p>
    <w:p w14:paraId="59F9DE66" w14:textId="77777777" w:rsidR="007867F6" w:rsidRDefault="007867F6" w:rsidP="00C3466D">
      <w:pPr>
        <w:pStyle w:val="Heading1"/>
        <w:sectPr w:rsidR="007867F6" w:rsidSect="005E5EE1">
          <w:footerReference w:type="even" r:id="rId23"/>
          <w:headerReference w:type="first" r:id="rId24"/>
          <w:type w:val="continuous"/>
          <w:pgSz w:w="11906" w:h="16838" w:code="9"/>
          <w:pgMar w:top="1843" w:right="1418" w:bottom="1418" w:left="1418" w:header="708" w:footer="708" w:gutter="0"/>
          <w:cols w:space="708"/>
          <w:titlePg/>
          <w:docGrid w:linePitch="360"/>
        </w:sectPr>
      </w:pPr>
      <w:bookmarkStart w:id="15" w:name="_Toc211627794"/>
    </w:p>
    <w:p w14:paraId="7A129F17" w14:textId="7B1DAAE1" w:rsidR="009527A2" w:rsidRPr="00953FCC" w:rsidRDefault="00B026FA" w:rsidP="00C3466D">
      <w:pPr>
        <w:pStyle w:val="Heading1"/>
      </w:pPr>
      <w:r w:rsidRPr="005A7732">
        <w:t>Oversight of Australian</w:t>
      </w:r>
      <w:r w:rsidR="00C67571" w:rsidRPr="005A7732">
        <w:t xml:space="preserve"> </w:t>
      </w:r>
      <w:r w:rsidR="00B2611D" w:rsidRPr="005A7732">
        <w:t>s</w:t>
      </w:r>
      <w:r w:rsidRPr="005A7732">
        <w:t xml:space="preserve">tandard </w:t>
      </w:r>
      <w:r w:rsidR="00B2611D" w:rsidRPr="005A7732">
        <w:t>s</w:t>
      </w:r>
      <w:r w:rsidRPr="005A7732">
        <w:t>etting</w:t>
      </w:r>
      <w:bookmarkEnd w:id="15"/>
    </w:p>
    <w:p w14:paraId="376E3AF4" w14:textId="77777777" w:rsidR="009527A2" w:rsidRPr="000B66A2" w:rsidRDefault="009527A2" w:rsidP="000B66A2">
      <w:pPr>
        <w:pStyle w:val="Heading2"/>
      </w:pPr>
      <w:bookmarkStart w:id="16" w:name="_Toc177124033"/>
      <w:bookmarkStart w:id="17" w:name="_Toc177124858"/>
      <w:bookmarkStart w:id="18" w:name="_Toc211627795"/>
      <w:r w:rsidRPr="000B66A2">
        <w:t>Giving advice or feedback to the AASB, AUASB and their offices</w:t>
      </w:r>
      <w:bookmarkEnd w:id="16"/>
      <w:bookmarkEnd w:id="17"/>
      <w:bookmarkEnd w:id="18"/>
    </w:p>
    <w:p w14:paraId="1AD87763" w14:textId="12BA7EEB" w:rsidR="009527A2" w:rsidRPr="009B03AE" w:rsidRDefault="009527A2" w:rsidP="002B7CC0">
      <w:r w:rsidRPr="009B03AE">
        <w:t>The FRC primarily provides advice to the AASB, AUASB and their offices at meetings of the FRC. The</w:t>
      </w:r>
      <w:r w:rsidR="002B7CC0">
        <w:t> </w:t>
      </w:r>
      <w:r w:rsidRPr="009B03AE">
        <w:t>Chairs of the AASB and AUASB are members of the FRC. They provide written and oral reports on</w:t>
      </w:r>
      <w:r w:rsidR="002B7CC0">
        <w:t> </w:t>
      </w:r>
      <w:r w:rsidRPr="009B03AE">
        <w:t>the activities of their respective boards at each FRC meeting. In 2024–25, AASB and AUASB reports included items covering:</w:t>
      </w:r>
    </w:p>
    <w:p w14:paraId="7D68D525" w14:textId="77777777" w:rsidR="009527A2" w:rsidRPr="009B03AE" w:rsidRDefault="009527A2" w:rsidP="003B326A">
      <w:pPr>
        <w:pStyle w:val="Bullet"/>
      </w:pPr>
      <w:r w:rsidRPr="009B03AE">
        <w:t>AASB and AUASB strategies</w:t>
      </w:r>
    </w:p>
    <w:p w14:paraId="39C5F7E2" w14:textId="77777777" w:rsidR="009527A2" w:rsidRPr="009B03AE" w:rsidRDefault="009527A2" w:rsidP="003B326A">
      <w:pPr>
        <w:pStyle w:val="Bullet"/>
      </w:pPr>
      <w:r w:rsidRPr="009B03AE">
        <w:t>AASB and AUASB Corporate Plans for 2024–25</w:t>
      </w:r>
    </w:p>
    <w:p w14:paraId="7AC37449" w14:textId="77777777" w:rsidR="009527A2" w:rsidRPr="009B03AE" w:rsidRDefault="009527A2" w:rsidP="003B326A">
      <w:pPr>
        <w:pStyle w:val="Bullet"/>
      </w:pPr>
      <w:r w:rsidRPr="009B03AE">
        <w:t>AASB and AUASB’s key activities including progress on key strategic priorities.</w:t>
      </w:r>
    </w:p>
    <w:p w14:paraId="375116E5" w14:textId="3461066E" w:rsidR="009527A2" w:rsidRPr="009B03AE" w:rsidRDefault="009527A2" w:rsidP="002B7CC0">
      <w:r w:rsidRPr="009B03AE">
        <w:t>FRC members reviewed these reports and provided</w:t>
      </w:r>
      <w:r w:rsidRPr="009B03AE">
        <w:rPr>
          <w:spacing w:val="-5"/>
        </w:rPr>
        <w:t xml:space="preserve"> </w:t>
      </w:r>
      <w:r w:rsidRPr="009B03AE">
        <w:t>advice</w:t>
      </w:r>
      <w:r w:rsidRPr="009B03AE">
        <w:rPr>
          <w:spacing w:val="-5"/>
        </w:rPr>
        <w:t xml:space="preserve"> </w:t>
      </w:r>
      <w:r w:rsidRPr="009B03AE">
        <w:t>and</w:t>
      </w:r>
      <w:r w:rsidRPr="009B03AE">
        <w:rPr>
          <w:spacing w:val="-5"/>
        </w:rPr>
        <w:t xml:space="preserve"> </w:t>
      </w:r>
      <w:r w:rsidRPr="009B03AE">
        <w:t>feedback</w:t>
      </w:r>
      <w:r w:rsidRPr="009B03AE">
        <w:rPr>
          <w:spacing w:val="-5"/>
        </w:rPr>
        <w:t xml:space="preserve"> </w:t>
      </w:r>
      <w:r w:rsidRPr="009B03AE">
        <w:t>to</w:t>
      </w:r>
      <w:r w:rsidRPr="009B03AE">
        <w:rPr>
          <w:spacing w:val="-5"/>
        </w:rPr>
        <w:t xml:space="preserve"> </w:t>
      </w:r>
      <w:r w:rsidRPr="009B03AE">
        <w:t>the</w:t>
      </w:r>
      <w:r w:rsidRPr="009B03AE">
        <w:rPr>
          <w:spacing w:val="-5"/>
        </w:rPr>
        <w:t xml:space="preserve"> </w:t>
      </w:r>
      <w:r w:rsidRPr="009B03AE">
        <w:t>AASB</w:t>
      </w:r>
      <w:r w:rsidRPr="009B03AE">
        <w:rPr>
          <w:spacing w:val="-5"/>
        </w:rPr>
        <w:t xml:space="preserve"> </w:t>
      </w:r>
      <w:r w:rsidRPr="009B03AE">
        <w:t>and AUASB at FRC meetings, including on AASB</w:t>
      </w:r>
      <w:r w:rsidRPr="009B03AE">
        <w:rPr>
          <w:spacing w:val="40"/>
        </w:rPr>
        <w:t xml:space="preserve"> </w:t>
      </w:r>
      <w:r w:rsidRPr="009B03AE">
        <w:t>and AUASB strategic priorities, business plans and emerging topics. The</w:t>
      </w:r>
      <w:r w:rsidRPr="009B03AE">
        <w:rPr>
          <w:spacing w:val="-5"/>
        </w:rPr>
        <w:t xml:space="preserve"> </w:t>
      </w:r>
      <w:r w:rsidRPr="009B03AE">
        <w:t>FRC</w:t>
      </w:r>
      <w:r w:rsidRPr="009B03AE">
        <w:rPr>
          <w:spacing w:val="-5"/>
        </w:rPr>
        <w:t xml:space="preserve"> </w:t>
      </w:r>
      <w:r w:rsidRPr="009B03AE">
        <w:t>did</w:t>
      </w:r>
      <w:r w:rsidRPr="009B03AE">
        <w:rPr>
          <w:spacing w:val="-5"/>
        </w:rPr>
        <w:t xml:space="preserve"> </w:t>
      </w:r>
      <w:r w:rsidRPr="009B03AE">
        <w:t xml:space="preserve">not directly provide advice to the </w:t>
      </w:r>
      <w:r w:rsidR="00DE121F">
        <w:t>o</w:t>
      </w:r>
      <w:r w:rsidRPr="009B03AE">
        <w:t>ffices of the AASB and the AUASB on their budgets and staffing in 2024–25. However, the FRC did contribute to the strategic priorities and thereby influenced budgets and staffing indirectly.</w:t>
      </w:r>
    </w:p>
    <w:p w14:paraId="3CE82B21" w14:textId="09407784" w:rsidR="009527A2" w:rsidRPr="009B03AE" w:rsidRDefault="009527A2" w:rsidP="002B7CC0">
      <w:r w:rsidRPr="009B03AE">
        <w:t xml:space="preserve">The FRC continued to encourage alignment of AASB and AUASB plans, projects and activities where practicable and welcomed the ongoing collaboration between </w:t>
      </w:r>
      <w:r w:rsidRPr="009B03AE" w:rsidDel="00D833D9">
        <w:t xml:space="preserve">the </w:t>
      </w:r>
      <w:r w:rsidRPr="009B03AE">
        <w:t xml:space="preserve">boards in 2024–25. In particular, the FRC supported the </w:t>
      </w:r>
      <w:r w:rsidR="000A166B">
        <w:t>b</w:t>
      </w:r>
      <w:r w:rsidRPr="009B03AE">
        <w:t xml:space="preserve">oards to work closely together on </w:t>
      </w:r>
      <w:bookmarkStart w:id="19" w:name="_Hlk139634088"/>
      <w:r w:rsidRPr="009B03AE">
        <w:t>preparatory steps to support the implementation of:</w:t>
      </w:r>
    </w:p>
    <w:p w14:paraId="31CB65F5" w14:textId="77777777" w:rsidR="009527A2" w:rsidRPr="003B326A" w:rsidRDefault="009527A2" w:rsidP="003B326A">
      <w:pPr>
        <w:pStyle w:val="Bullet"/>
      </w:pPr>
      <w:r w:rsidRPr="003B326A">
        <w:t>AASB S1 General Requirements for Disclosure of Sustainability-related Financial Information</w:t>
      </w:r>
    </w:p>
    <w:p w14:paraId="63134118" w14:textId="77777777" w:rsidR="009527A2" w:rsidRPr="003B326A" w:rsidRDefault="009527A2" w:rsidP="003B326A">
      <w:pPr>
        <w:pStyle w:val="Bullet"/>
      </w:pPr>
      <w:r w:rsidRPr="003B326A">
        <w:t>AASB S2 Climate-related Disclosures</w:t>
      </w:r>
    </w:p>
    <w:p w14:paraId="74B50E6E" w14:textId="4D3DA898" w:rsidR="009527A2" w:rsidRPr="003B326A" w:rsidRDefault="009527A2" w:rsidP="003B326A">
      <w:pPr>
        <w:pStyle w:val="Bullet"/>
        <w:rPr>
          <w:i/>
        </w:rPr>
      </w:pPr>
      <w:r w:rsidRPr="003B326A">
        <w:t xml:space="preserve">Assurance standard ASSA 5000 </w:t>
      </w:r>
      <w:r w:rsidRPr="003B326A">
        <w:rPr>
          <w:rStyle w:val="BulletChar"/>
          <w:i/>
          <w:iCs/>
        </w:rPr>
        <w:t>General Requirements for Sustainability Assurance</w:t>
      </w:r>
      <w:r w:rsidR="003B326A" w:rsidRPr="003B326A">
        <w:t> </w:t>
      </w:r>
      <w:r w:rsidRPr="003B326A">
        <w:rPr>
          <w:rStyle w:val="BulletChar"/>
          <w:i/>
          <w:iCs/>
        </w:rPr>
        <w:t>Engagements.</w:t>
      </w:r>
    </w:p>
    <w:bookmarkEnd w:id="19"/>
    <w:p w14:paraId="60F7948F" w14:textId="77777777" w:rsidR="009527A2" w:rsidRPr="00953FCC" w:rsidRDefault="009527A2" w:rsidP="002B7CC0">
      <w:r w:rsidRPr="00953FCC">
        <w:t>The AASB and the AUASB undertook the following activities in 2024–25.</w:t>
      </w:r>
    </w:p>
    <w:p w14:paraId="150B22DE" w14:textId="77777777" w:rsidR="009527A2" w:rsidRPr="002970CE" w:rsidRDefault="009527A2" w:rsidP="000B66A2">
      <w:pPr>
        <w:pStyle w:val="Heading2"/>
      </w:pPr>
      <w:bookmarkStart w:id="20" w:name="_Toc177124034"/>
      <w:bookmarkStart w:id="21" w:name="_Toc177124859"/>
      <w:bookmarkStart w:id="22" w:name="_Toc211627796"/>
      <w:r w:rsidRPr="000E28BE">
        <w:t>AAS</w:t>
      </w:r>
      <w:r w:rsidRPr="002970CE">
        <w:t>B</w:t>
      </w:r>
      <w:bookmarkEnd w:id="20"/>
      <w:bookmarkEnd w:id="21"/>
      <w:bookmarkEnd w:id="22"/>
    </w:p>
    <w:p w14:paraId="67456E38" w14:textId="0712A941" w:rsidR="009527A2" w:rsidRPr="002B7CC0" w:rsidRDefault="009527A2" w:rsidP="003B326A">
      <w:pPr>
        <w:pStyle w:val="Bullet"/>
      </w:pPr>
      <w:r w:rsidRPr="002B7CC0">
        <w:t xml:space="preserve">Issued AASB S1 </w:t>
      </w:r>
      <w:r w:rsidRPr="002B7CC0">
        <w:rPr>
          <w:iCs/>
        </w:rPr>
        <w:t xml:space="preserve">General Requirements for Disclosure of Sustainability-related Financial Information </w:t>
      </w:r>
      <w:r w:rsidRPr="002B7CC0">
        <w:t>and</w:t>
      </w:r>
      <w:r w:rsidRPr="002B7CC0">
        <w:rPr>
          <w:iCs/>
        </w:rPr>
        <w:t xml:space="preserve"> AASB S2 Climate-related Disclosures</w:t>
      </w:r>
      <w:r w:rsidR="006D54EE" w:rsidRPr="002B7CC0">
        <w:rPr>
          <w:iCs/>
        </w:rPr>
        <w:t>.</w:t>
      </w:r>
    </w:p>
    <w:p w14:paraId="6DA256CC" w14:textId="0935B65C" w:rsidR="009527A2" w:rsidRPr="002B7CC0" w:rsidRDefault="009527A2" w:rsidP="003B326A">
      <w:pPr>
        <w:pStyle w:val="Bullet"/>
      </w:pPr>
      <w:r w:rsidRPr="002B7CC0">
        <w:t>Issued amendments to Australian Accounting Standards:</w:t>
      </w:r>
    </w:p>
    <w:p w14:paraId="07E8C500" w14:textId="77777777" w:rsidR="009527A2" w:rsidRPr="003B326A" w:rsidRDefault="009527A2" w:rsidP="003B326A">
      <w:pPr>
        <w:pStyle w:val="Dash"/>
        <w:rPr>
          <w:rFonts w:ascii="Aptos" w:hAnsi="Aptos" w:cs="Calibri Light"/>
          <w:color w:val="auto"/>
        </w:rPr>
      </w:pPr>
      <w:r w:rsidRPr="003B326A">
        <w:t>AASB 2025-2</w:t>
      </w:r>
      <w:r w:rsidRPr="003B326A">
        <w:rPr>
          <w:rFonts w:ascii="Aptos" w:hAnsi="Aptos" w:cs="Calibri Light"/>
          <w:color w:val="auto"/>
        </w:rPr>
        <w:t xml:space="preserve"> </w:t>
      </w:r>
      <w:r w:rsidRPr="003B326A">
        <w:t>Amendments to Australian Accounting Standards – Classification and Measurement of Financial Instruments: Tier 2 Disclosures</w:t>
      </w:r>
      <w:r w:rsidRPr="003B326A">
        <w:rPr>
          <w:rFonts w:ascii="Aptos" w:hAnsi="Aptos" w:cs="Calibri Light"/>
          <w:color w:val="auto"/>
        </w:rPr>
        <w:t xml:space="preserve"> </w:t>
      </w:r>
    </w:p>
    <w:p w14:paraId="07DA5244" w14:textId="58E9DBA8" w:rsidR="009527A2" w:rsidRPr="003B326A" w:rsidRDefault="009527A2" w:rsidP="003B326A">
      <w:pPr>
        <w:pStyle w:val="Dash"/>
      </w:pPr>
      <w:r w:rsidRPr="003B326A">
        <w:t>AASB 2025-1</w:t>
      </w:r>
      <w:r w:rsidRPr="003B326A">
        <w:rPr>
          <w:rFonts w:ascii="Aptos" w:hAnsi="Aptos" w:cs="Calibri Light"/>
          <w:color w:val="auto"/>
        </w:rPr>
        <w:t xml:space="preserve"> </w:t>
      </w:r>
      <w:r w:rsidRPr="003B326A">
        <w:t>Amendments to Australian Accounting Standards – Contracts Referencing Nature</w:t>
      </w:r>
      <w:r w:rsidR="00D54A8B">
        <w:noBreakHyphen/>
      </w:r>
      <w:r w:rsidRPr="003B326A">
        <w:t xml:space="preserve">dependent Electricity </w:t>
      </w:r>
    </w:p>
    <w:p w14:paraId="5D92B632" w14:textId="77777777" w:rsidR="009527A2" w:rsidRPr="003B326A" w:rsidRDefault="009527A2" w:rsidP="003B326A">
      <w:pPr>
        <w:pStyle w:val="Dash"/>
      </w:pPr>
      <w:r w:rsidRPr="003B326A">
        <w:t>AASB 2024-4</w:t>
      </w:r>
      <w:r w:rsidRPr="003B326A">
        <w:rPr>
          <w:rFonts w:ascii="Aptos" w:hAnsi="Aptos" w:cs="Calibri Light"/>
          <w:color w:val="auto"/>
        </w:rPr>
        <w:t xml:space="preserve"> </w:t>
      </w:r>
      <w:r w:rsidRPr="003B326A">
        <w:t>Amendments to Australian Accounting Standards – Effective Date of Amendments to AASB 10 and AASB 128</w:t>
      </w:r>
    </w:p>
    <w:p w14:paraId="60647E8B" w14:textId="5ED1EF13" w:rsidR="009527A2" w:rsidRPr="003B326A" w:rsidRDefault="009527A2" w:rsidP="003B326A">
      <w:pPr>
        <w:pStyle w:val="Dash"/>
      </w:pPr>
      <w:r w:rsidRPr="00D54A8B">
        <w:t>AASB 2024-3</w:t>
      </w:r>
      <w:r w:rsidRPr="003B326A">
        <w:rPr>
          <w:rFonts w:ascii="Aptos" w:hAnsi="Aptos" w:cs="Calibri Light"/>
          <w:color w:val="auto"/>
        </w:rPr>
        <w:t xml:space="preserve"> </w:t>
      </w:r>
      <w:r w:rsidRPr="003B326A">
        <w:t>Amendments to Australian Accounting Standards – Annual Improvements Volume</w:t>
      </w:r>
      <w:r w:rsidR="00D54A8B">
        <w:t> </w:t>
      </w:r>
      <w:r w:rsidRPr="003B326A">
        <w:t>11</w:t>
      </w:r>
    </w:p>
    <w:p w14:paraId="0A57874C" w14:textId="6E06AAC7" w:rsidR="009527A2" w:rsidRPr="00953FCC" w:rsidRDefault="009527A2" w:rsidP="003B326A">
      <w:pPr>
        <w:pStyle w:val="Dash"/>
      </w:pPr>
      <w:r w:rsidRPr="00D54A8B">
        <w:t>AASB 2024-2</w:t>
      </w:r>
      <w:r w:rsidRPr="009B03AE">
        <w:rPr>
          <w:rFonts w:ascii="Aptos" w:hAnsi="Aptos" w:cs="Calibri Light"/>
          <w:color w:val="auto"/>
        </w:rPr>
        <w:t xml:space="preserve"> </w:t>
      </w:r>
      <w:r w:rsidRPr="00953FCC">
        <w:t>Amendments to Australian Accounting Standards – Classification and Measurement of Financial Instruments</w:t>
      </w:r>
      <w:r w:rsidR="006D54EE" w:rsidRPr="00953FCC">
        <w:t>.</w:t>
      </w:r>
    </w:p>
    <w:p w14:paraId="5AEE1831" w14:textId="0A3A60B4" w:rsidR="009527A2" w:rsidRPr="002B7CC0" w:rsidRDefault="009527A2" w:rsidP="003B326A">
      <w:pPr>
        <w:pStyle w:val="Bullet"/>
      </w:pPr>
      <w:r w:rsidRPr="002B7CC0">
        <w:t>Issued the</w:t>
      </w:r>
      <w:r w:rsidRPr="002B7CC0" w:rsidDel="00DC6161">
        <w:t xml:space="preserve"> following </w:t>
      </w:r>
      <w:r w:rsidRPr="002B7CC0">
        <w:t>exposure drafts: </w:t>
      </w:r>
    </w:p>
    <w:p w14:paraId="7B2308BB" w14:textId="77777777" w:rsidR="009527A2" w:rsidRPr="009B03AE" w:rsidRDefault="009527A2" w:rsidP="003B326A">
      <w:pPr>
        <w:pStyle w:val="Dash"/>
        <w:rPr>
          <w:rFonts w:ascii="Aptos" w:hAnsi="Aptos" w:cs="Calibri Light"/>
          <w:color w:val="auto"/>
        </w:rPr>
      </w:pPr>
      <w:r w:rsidRPr="00D54A8B">
        <w:t>ED SR2</w:t>
      </w:r>
      <w:r w:rsidRPr="009B03AE">
        <w:rPr>
          <w:rFonts w:ascii="Aptos" w:hAnsi="Aptos" w:cs="Calibri Light"/>
          <w:color w:val="auto"/>
        </w:rPr>
        <w:t xml:space="preserve"> </w:t>
      </w:r>
      <w:r w:rsidRPr="00953FCC">
        <w:t>Amendments to Greenhouse Gas Emissions Disclosures</w:t>
      </w:r>
    </w:p>
    <w:p w14:paraId="0A12F495" w14:textId="77777777" w:rsidR="009527A2" w:rsidRPr="009B03AE" w:rsidRDefault="009527A2" w:rsidP="003B326A">
      <w:pPr>
        <w:pStyle w:val="Dash"/>
        <w:rPr>
          <w:rFonts w:ascii="Aptos" w:hAnsi="Aptos" w:cs="Calibri Light"/>
          <w:color w:val="auto"/>
        </w:rPr>
      </w:pPr>
      <w:r w:rsidRPr="00D54A8B">
        <w:t>ED 337</w:t>
      </w:r>
      <w:r w:rsidRPr="009B03AE">
        <w:rPr>
          <w:rFonts w:ascii="Aptos" w:hAnsi="Aptos" w:cs="Calibri Light"/>
          <w:color w:val="auto"/>
        </w:rPr>
        <w:t xml:space="preserve"> </w:t>
      </w:r>
      <w:r w:rsidRPr="00953FCC">
        <w:t>Contracts Referencing Nature-dependent Electricity: Tier 2 Disclosures</w:t>
      </w:r>
    </w:p>
    <w:p w14:paraId="143DBB58" w14:textId="6CA18BC2" w:rsidR="009527A2" w:rsidRPr="009B03AE" w:rsidRDefault="009527A2" w:rsidP="003B326A">
      <w:pPr>
        <w:pStyle w:val="Dash"/>
        <w:rPr>
          <w:rFonts w:ascii="Aptos" w:hAnsi="Aptos" w:cs="Calibri Light"/>
          <w:color w:val="auto"/>
        </w:rPr>
      </w:pPr>
      <w:r w:rsidRPr="00D54A8B">
        <w:t>ED 336</w:t>
      </w:r>
      <w:r w:rsidRPr="009B03AE">
        <w:rPr>
          <w:rFonts w:ascii="Aptos" w:hAnsi="Aptos" w:cs="Calibri Light"/>
          <w:color w:val="auto"/>
        </w:rPr>
        <w:t xml:space="preserve"> </w:t>
      </w:r>
      <w:r w:rsidRPr="00953FCC">
        <w:t>Provisions</w:t>
      </w:r>
      <w:r w:rsidR="00FB5290" w:rsidRPr="00953FCC">
        <w:t xml:space="preserve"> – </w:t>
      </w:r>
      <w:r w:rsidRPr="00953FCC">
        <w:t>Targeted Improvements</w:t>
      </w:r>
    </w:p>
    <w:p w14:paraId="1F48CFD3" w14:textId="77777777" w:rsidR="009527A2" w:rsidRPr="009B03AE" w:rsidRDefault="009527A2" w:rsidP="003B326A">
      <w:pPr>
        <w:pStyle w:val="Dash"/>
        <w:rPr>
          <w:rFonts w:ascii="Aptos" w:hAnsi="Aptos" w:cs="Calibri Light"/>
          <w:color w:val="auto"/>
        </w:rPr>
      </w:pPr>
      <w:r w:rsidRPr="00D54A8B">
        <w:t>ED 335</w:t>
      </w:r>
      <w:r w:rsidRPr="009B03AE">
        <w:rPr>
          <w:rFonts w:ascii="Aptos" w:hAnsi="Aptos" w:cs="Calibri Light"/>
          <w:color w:val="auto"/>
        </w:rPr>
        <w:t xml:space="preserve"> </w:t>
      </w:r>
      <w:r w:rsidRPr="00953FCC">
        <w:t>General Purpose Financial Statements – Not-for-Profit Private Sector Tier 3 Entities</w:t>
      </w:r>
    </w:p>
    <w:p w14:paraId="4759959D" w14:textId="3EDAE0C0" w:rsidR="009527A2" w:rsidRPr="00953FCC" w:rsidRDefault="009527A2" w:rsidP="003B326A">
      <w:pPr>
        <w:pStyle w:val="Dash"/>
      </w:pPr>
      <w:r w:rsidRPr="00D54A8B">
        <w:t>ED 334</w:t>
      </w:r>
      <w:r w:rsidRPr="009B03AE">
        <w:rPr>
          <w:rFonts w:ascii="Aptos" w:hAnsi="Aptos" w:cs="Calibri Light"/>
          <w:color w:val="auto"/>
        </w:rPr>
        <w:t xml:space="preserve"> </w:t>
      </w:r>
      <w:r w:rsidRPr="00953FCC">
        <w:t>Limiting the Ability of Not-for-Profit Entities to Prepare Special Purpose Financial</w:t>
      </w:r>
      <w:r w:rsidR="00D54A8B">
        <w:t> </w:t>
      </w:r>
      <w:r w:rsidRPr="00953FCC">
        <w:t>Statements</w:t>
      </w:r>
    </w:p>
    <w:p w14:paraId="52CD7835" w14:textId="77777777" w:rsidR="009527A2" w:rsidRPr="00953FCC" w:rsidRDefault="009527A2" w:rsidP="003B326A">
      <w:pPr>
        <w:pStyle w:val="Dash"/>
      </w:pPr>
      <w:r w:rsidRPr="00D54A8B">
        <w:t>ED 333</w:t>
      </w:r>
      <w:r w:rsidRPr="009B03AE">
        <w:rPr>
          <w:rFonts w:ascii="Aptos" w:hAnsi="Aptos" w:cs="Calibri Light"/>
          <w:color w:val="auto"/>
        </w:rPr>
        <w:t xml:space="preserve"> </w:t>
      </w:r>
      <w:r w:rsidRPr="00953FCC">
        <w:t>Equity Method of Accounting</w:t>
      </w:r>
    </w:p>
    <w:p w14:paraId="2F8970BB" w14:textId="77777777" w:rsidR="009527A2" w:rsidRPr="00953FCC" w:rsidRDefault="009527A2" w:rsidP="003B326A">
      <w:pPr>
        <w:pStyle w:val="Dash"/>
      </w:pPr>
      <w:r w:rsidRPr="00D54A8B">
        <w:t>ED 332</w:t>
      </w:r>
      <w:r w:rsidRPr="009B03AE">
        <w:rPr>
          <w:rFonts w:ascii="Aptos" w:hAnsi="Aptos" w:cs="Calibri Light"/>
          <w:color w:val="auto"/>
        </w:rPr>
        <w:t xml:space="preserve"> </w:t>
      </w:r>
      <w:r w:rsidRPr="00953FCC">
        <w:t>Classification and Measurement of Financial Instruments: Tier 2 Disclosures</w:t>
      </w:r>
    </w:p>
    <w:p w14:paraId="46B689DA" w14:textId="5B544DB8" w:rsidR="009527A2" w:rsidRPr="009B03AE" w:rsidRDefault="009527A2" w:rsidP="003B326A">
      <w:pPr>
        <w:pStyle w:val="Dash"/>
        <w:rPr>
          <w:rFonts w:ascii="Aptos" w:hAnsi="Aptos" w:cs="Calibri Light"/>
          <w:color w:val="auto"/>
        </w:rPr>
      </w:pPr>
      <w:r w:rsidRPr="00D54A8B">
        <w:t xml:space="preserve">ED 331 </w:t>
      </w:r>
      <w:r w:rsidRPr="00953FCC">
        <w:t>Climate-related and Other Uncertainties in the Financial Statements</w:t>
      </w:r>
      <w:r w:rsidR="006D54EE" w:rsidRPr="00953FCC">
        <w:t>.</w:t>
      </w:r>
    </w:p>
    <w:p w14:paraId="63D35AD1" w14:textId="26777E7D" w:rsidR="009527A2" w:rsidRPr="00953FCC" w:rsidRDefault="009527A2" w:rsidP="003B326A">
      <w:pPr>
        <w:pStyle w:val="Bullet"/>
      </w:pPr>
      <w:r w:rsidRPr="00953FCC">
        <w:t xml:space="preserve">Engaged in the </w:t>
      </w:r>
      <w:r w:rsidRPr="00953FCC" w:rsidDel="00DC6161">
        <w:t xml:space="preserve">following </w:t>
      </w:r>
      <w:r w:rsidRPr="00953FCC">
        <w:t>Post-implementation Review (PIR) activities</w:t>
      </w:r>
      <w:r w:rsidR="005257DE" w:rsidRPr="00953FCC">
        <w:t>:</w:t>
      </w:r>
    </w:p>
    <w:p w14:paraId="3E4FEFF9" w14:textId="7ED66E6D" w:rsidR="009527A2" w:rsidRPr="009B03AE" w:rsidRDefault="009527A2" w:rsidP="003B326A">
      <w:pPr>
        <w:pStyle w:val="Dash"/>
        <w:rPr>
          <w:rFonts w:ascii="Aptos" w:hAnsi="Aptos" w:cs="Calibri Light"/>
          <w:color w:val="auto"/>
        </w:rPr>
      </w:pPr>
      <w:r w:rsidRPr="00DB72C8">
        <w:t xml:space="preserve">Commenced the PIR of the </w:t>
      </w:r>
      <w:r w:rsidR="006D54EE" w:rsidRPr="00DB72C8">
        <w:t>L</w:t>
      </w:r>
      <w:r w:rsidRPr="00DB72C8">
        <w:t xml:space="preserve">eases Standard by issuing ITC 55 </w:t>
      </w:r>
      <w:r w:rsidR="00DC6161" w:rsidRPr="00DB72C8">
        <w:t>PIR</w:t>
      </w:r>
      <w:r w:rsidRPr="00DB72C8">
        <w:t xml:space="preserve"> of AASB 16 Leases covering the IASB’s IFRS 16 PIR for for-profit private sector entities and the</w:t>
      </w:r>
      <w:r w:rsidRPr="009B03AE">
        <w:rPr>
          <w:rFonts w:ascii="Aptos" w:hAnsi="Aptos" w:cs="Calibri Light"/>
          <w:color w:val="auto"/>
        </w:rPr>
        <w:t xml:space="preserve"> </w:t>
      </w:r>
      <w:r w:rsidRPr="00DB72C8">
        <w:t xml:space="preserve">AASB’s domestic PIR of AASB 16 for </w:t>
      </w:r>
      <w:r w:rsidR="00D140DF" w:rsidRPr="00DB72C8">
        <w:t>n</w:t>
      </w:r>
      <w:r w:rsidR="00D74F36" w:rsidRPr="00DB72C8">
        <w:t>ot-for-</w:t>
      </w:r>
      <w:r w:rsidR="00D140DF" w:rsidRPr="00DB72C8">
        <w:t>p</w:t>
      </w:r>
      <w:r w:rsidR="00D74F36" w:rsidRPr="00DB72C8">
        <w:t xml:space="preserve">rofit </w:t>
      </w:r>
      <w:r w:rsidRPr="00DB72C8">
        <w:t>and public sector entities</w:t>
      </w:r>
    </w:p>
    <w:p w14:paraId="1BB5FA74" w14:textId="77777777" w:rsidR="009527A2" w:rsidRPr="00DB72C8" w:rsidRDefault="009527A2" w:rsidP="003B326A">
      <w:pPr>
        <w:pStyle w:val="Dash"/>
      </w:pPr>
      <w:r w:rsidRPr="00DB72C8">
        <w:t>Continued working on the PIR of AASB 1060</w:t>
      </w:r>
      <w:r w:rsidRPr="009B03AE">
        <w:rPr>
          <w:rFonts w:ascii="Aptos" w:hAnsi="Aptos" w:cs="Calibri Light"/>
          <w:color w:val="auto"/>
        </w:rPr>
        <w:t xml:space="preserve"> </w:t>
      </w:r>
      <w:r w:rsidRPr="00DB72C8">
        <w:t>General Purpose Financial Statements – Simplified Disclosures for For-Profit and Not-for-Profit Tier 2 Entities and AASB 2020-2 Removal of Special Purpose Financial Statements for Certain For-Profit Private Sector Entities</w:t>
      </w:r>
    </w:p>
    <w:p w14:paraId="2F55E332" w14:textId="45CF93F8" w:rsidR="009527A2" w:rsidRPr="00DB72C8" w:rsidRDefault="009527A2" w:rsidP="003B326A">
      <w:pPr>
        <w:pStyle w:val="Dash"/>
      </w:pPr>
      <w:r w:rsidRPr="00DB72C8">
        <w:t>Resumed the PIR of AASB 1059 Service Concession Arrangements: Grantor (ITC 49</w:t>
      </w:r>
      <w:r w:rsidRPr="009B03AE">
        <w:rPr>
          <w:rFonts w:ascii="Aptos" w:hAnsi="Aptos" w:cs="Calibri Light"/>
          <w:color w:val="auto"/>
        </w:rPr>
        <w:t xml:space="preserve"> </w:t>
      </w:r>
      <w:r w:rsidRPr="00DB72C8">
        <w:t>Post</w:t>
      </w:r>
      <w:r w:rsidR="00BD6A9D">
        <w:noBreakHyphen/>
      </w:r>
      <w:r w:rsidRPr="00DB72C8">
        <w:t>implementation Review of AASB 1059 Service Concession Arrangements: Grantors)</w:t>
      </w:r>
    </w:p>
    <w:p w14:paraId="0CF9D1B4" w14:textId="05DEFEB2" w:rsidR="009527A2" w:rsidRPr="00DB72C8" w:rsidRDefault="009527A2" w:rsidP="003B326A">
      <w:pPr>
        <w:pStyle w:val="Dash"/>
      </w:pPr>
      <w:r w:rsidRPr="00DB72C8">
        <w:t xml:space="preserve">Resumed the PIR of certain </w:t>
      </w:r>
      <w:r w:rsidR="00D140DF" w:rsidRPr="00DB72C8">
        <w:t>n</w:t>
      </w:r>
      <w:r w:rsidRPr="00DB72C8">
        <w:t>ot-for-</w:t>
      </w:r>
      <w:r w:rsidR="00D140DF" w:rsidRPr="00DB72C8">
        <w:t>p</w:t>
      </w:r>
      <w:r w:rsidRPr="00DB72C8">
        <w:t>rofit topics (ITC 51</w:t>
      </w:r>
      <w:r w:rsidRPr="009B03AE">
        <w:rPr>
          <w:rFonts w:ascii="Aptos" w:hAnsi="Aptos" w:cs="Calibri Light"/>
          <w:color w:val="auto"/>
        </w:rPr>
        <w:t xml:space="preserve"> </w:t>
      </w:r>
      <w:r w:rsidRPr="00DB72C8">
        <w:t>Post-implementation Review of Not</w:t>
      </w:r>
      <w:r w:rsidR="00BD6A9D">
        <w:noBreakHyphen/>
      </w:r>
      <w:r w:rsidRPr="00DB72C8">
        <w:t>for-Profit Topics – Control, Structured Entities, Related Party Disclosures and Basis of Preparation of Special Purpose Financial Statements)</w:t>
      </w:r>
    </w:p>
    <w:p w14:paraId="66EEA661" w14:textId="4FAA1E2A" w:rsidR="009527A2" w:rsidRPr="00DB72C8" w:rsidRDefault="009527A2" w:rsidP="003B326A">
      <w:pPr>
        <w:pStyle w:val="Dash"/>
      </w:pPr>
      <w:r w:rsidRPr="00DB72C8">
        <w:t xml:space="preserve">Completed the PIR of </w:t>
      </w:r>
      <w:r w:rsidRPr="00DB72C8" w:rsidDel="00754F18">
        <w:t>I</w:t>
      </w:r>
      <w:r w:rsidRPr="00DB72C8">
        <w:t xml:space="preserve">ncome of </w:t>
      </w:r>
      <w:r w:rsidRPr="00DB72C8" w:rsidDel="005C47BB">
        <w:t>N</w:t>
      </w:r>
      <w:r w:rsidRPr="00DB72C8">
        <w:t xml:space="preserve">ot-for-Profit </w:t>
      </w:r>
      <w:r w:rsidRPr="00DB72C8" w:rsidDel="005C47BB">
        <w:t>E</w:t>
      </w:r>
      <w:r w:rsidRPr="00DB72C8">
        <w:t>ntities (ITC 50</w:t>
      </w:r>
      <w:r w:rsidRPr="009B03AE">
        <w:rPr>
          <w:rFonts w:ascii="Aptos" w:hAnsi="Aptos" w:cs="Calibri Light"/>
          <w:color w:val="auto"/>
        </w:rPr>
        <w:t xml:space="preserve"> </w:t>
      </w:r>
      <w:r w:rsidRPr="00DB72C8">
        <w:t>Post</w:t>
      </w:r>
      <w:r w:rsidR="005257DE" w:rsidRPr="00DB72C8">
        <w:noBreakHyphen/>
      </w:r>
      <w:r w:rsidRPr="00DB72C8">
        <w:t>implementation Review – Income of Not-for-Profit Entities)</w:t>
      </w:r>
      <w:r w:rsidR="005257DE" w:rsidRPr="00DB72C8">
        <w:t>.</w:t>
      </w:r>
    </w:p>
    <w:p w14:paraId="6C71B5B8" w14:textId="7435985F" w:rsidR="009527A2" w:rsidRPr="002B7CC0" w:rsidRDefault="009527A2" w:rsidP="003B326A">
      <w:pPr>
        <w:pStyle w:val="Bullet"/>
      </w:pPr>
      <w:r w:rsidRPr="002B7CC0">
        <w:t>Released the</w:t>
      </w:r>
      <w:r w:rsidRPr="002B7CC0" w:rsidDel="00DC6161">
        <w:t xml:space="preserve"> following </w:t>
      </w:r>
      <w:r w:rsidRPr="002B7CC0">
        <w:t>Research Reports: </w:t>
      </w:r>
    </w:p>
    <w:p w14:paraId="615555EB" w14:textId="77777777" w:rsidR="009527A2" w:rsidRPr="009B03AE" w:rsidRDefault="009527A2" w:rsidP="003B326A">
      <w:pPr>
        <w:pStyle w:val="Dash"/>
        <w:rPr>
          <w:rFonts w:ascii="Aptos" w:hAnsi="Aptos" w:cs="Calibri Light"/>
          <w:i/>
          <w:color w:val="auto"/>
        </w:rPr>
      </w:pPr>
      <w:r w:rsidRPr="00EB2180">
        <w:t>AASB-MASB (Malaysian Accounting Standards Board) Joint Research Report</w:t>
      </w:r>
      <w:r w:rsidRPr="009B03AE">
        <w:rPr>
          <w:rFonts w:ascii="Aptos" w:hAnsi="Aptos" w:cs="Calibri Light"/>
          <w:color w:val="auto"/>
        </w:rPr>
        <w:t xml:space="preserve"> </w:t>
      </w:r>
      <w:r w:rsidRPr="00EB2180">
        <w:t>Addressing Key Accounting Challenges</w:t>
      </w:r>
    </w:p>
    <w:p w14:paraId="21CDFECD" w14:textId="288169A5" w:rsidR="002B7CC0" w:rsidRDefault="009527A2" w:rsidP="003B326A">
      <w:pPr>
        <w:pStyle w:val="Dash"/>
      </w:pPr>
      <w:r w:rsidRPr="00EB2180">
        <w:t>Research Report 23</w:t>
      </w:r>
      <w:r w:rsidRPr="009B03AE">
        <w:rPr>
          <w:rFonts w:ascii="Aptos" w:hAnsi="Aptos" w:cs="Calibri Light"/>
          <w:color w:val="auto"/>
        </w:rPr>
        <w:t xml:space="preserve"> </w:t>
      </w:r>
      <w:r w:rsidRPr="00EB2180">
        <w:t>Understanding the Impact of Accounting Standards on the Cost of</w:t>
      </w:r>
      <w:r w:rsidR="002B7CC0">
        <w:t> </w:t>
      </w:r>
      <w:r w:rsidRPr="00EB2180">
        <w:t>Capital</w:t>
      </w:r>
      <w:r w:rsidR="005257DE" w:rsidRPr="00EB2180">
        <w:t>.</w:t>
      </w:r>
      <w:r w:rsidR="002B7CC0">
        <w:br w:type="page"/>
      </w:r>
    </w:p>
    <w:p w14:paraId="76B4BD8F" w14:textId="1A8A151D" w:rsidR="009527A2" w:rsidRPr="002B7CC0" w:rsidRDefault="009527A2" w:rsidP="003B326A">
      <w:pPr>
        <w:pStyle w:val="Bullet"/>
      </w:pPr>
      <w:r w:rsidRPr="002B7CC0">
        <w:t>Made the</w:t>
      </w:r>
      <w:r w:rsidRPr="002B7CC0" w:rsidDel="00DC6161">
        <w:t xml:space="preserve"> following </w:t>
      </w:r>
      <w:r w:rsidRPr="002B7CC0">
        <w:t>submissions:</w:t>
      </w:r>
    </w:p>
    <w:p w14:paraId="0ED914E8" w14:textId="6C6AD0F7" w:rsidR="009527A2" w:rsidRPr="00EB2180" w:rsidRDefault="009527A2" w:rsidP="003B326A">
      <w:pPr>
        <w:pStyle w:val="Dash"/>
      </w:pPr>
      <w:r w:rsidRPr="00EB2180">
        <w:t>AASB submission on IASB Exposure Draft/2024/8 Provisions</w:t>
      </w:r>
      <w:r w:rsidR="006E51B3" w:rsidRPr="00EB2180">
        <w:t xml:space="preserve"> – </w:t>
      </w:r>
      <w:r w:rsidRPr="00EB2180">
        <w:t>Targeted Improvements</w:t>
      </w:r>
      <w:r w:rsidR="006E51B3" w:rsidRPr="00EB2180">
        <w:t xml:space="preserve"> – </w:t>
      </w:r>
      <w:r w:rsidRPr="00EB2180">
        <w:t>Proposed amendments to IAS 37</w:t>
      </w:r>
      <w:r w:rsidRPr="009B03AE">
        <w:rPr>
          <w:rFonts w:ascii="Aptos" w:hAnsi="Aptos" w:cs="Calibri Light"/>
          <w:i/>
          <w:color w:val="auto"/>
        </w:rPr>
        <w:t xml:space="preserve"> </w:t>
      </w:r>
      <w:r w:rsidRPr="00EB2180">
        <w:t>Provisions, Contingent Liabilities and Contingent</w:t>
      </w:r>
      <w:r w:rsidR="008D3C3A">
        <w:t> </w:t>
      </w:r>
      <w:r w:rsidRPr="00EB2180">
        <w:t>Assets</w:t>
      </w:r>
    </w:p>
    <w:p w14:paraId="7A7AC99C" w14:textId="77777777" w:rsidR="00EB2180" w:rsidRDefault="009527A2" w:rsidP="003B326A">
      <w:pPr>
        <w:pStyle w:val="Dash"/>
      </w:pPr>
      <w:r w:rsidRPr="00EB2180">
        <w:t>AASB submission on IASB Exposure Draft Equity Method of Accounting IAS 28</w:t>
      </w:r>
      <w:r w:rsidRPr="009B03AE">
        <w:rPr>
          <w:rFonts w:ascii="Aptos" w:hAnsi="Aptos" w:cs="Calibri Light"/>
          <w:i/>
          <w:color w:val="auto"/>
        </w:rPr>
        <w:t xml:space="preserve"> </w:t>
      </w:r>
      <w:r w:rsidRPr="00EB2180">
        <w:t>Investments in Associates and Joint Ventures</w:t>
      </w:r>
    </w:p>
    <w:p w14:paraId="613AFCA5" w14:textId="33FFE180" w:rsidR="009527A2" w:rsidRPr="00EB2180" w:rsidRDefault="009527A2" w:rsidP="003B326A">
      <w:pPr>
        <w:pStyle w:val="Dash"/>
        <w:rPr>
          <w:i/>
        </w:rPr>
      </w:pPr>
      <w:r w:rsidRPr="00EB2180">
        <w:t>AASB submission on IASB Exposure Draft/2024/6 Climate-related and Other Uncertainties in the Financial Statements</w:t>
      </w:r>
    </w:p>
    <w:p w14:paraId="2EFB2B2C" w14:textId="7BE1F2D2" w:rsidR="009527A2" w:rsidRPr="00EB2180" w:rsidRDefault="009527A2" w:rsidP="003B326A">
      <w:pPr>
        <w:pStyle w:val="Dash"/>
      </w:pPr>
      <w:r w:rsidRPr="00EB2180">
        <w:t>AASB submission on IASB Exposure Draft/2024/3 Contracts for Renewable Electricity: Proposed amendments to IFRS 9 and IFRS 7</w:t>
      </w:r>
      <w:r w:rsidR="006E51B3" w:rsidRPr="00EB2180">
        <w:t>.</w:t>
      </w:r>
    </w:p>
    <w:p w14:paraId="74B3F9AB" w14:textId="50B280D0" w:rsidR="009527A2" w:rsidRPr="00EB2180" w:rsidRDefault="009A7207" w:rsidP="003B326A">
      <w:pPr>
        <w:pStyle w:val="Bullet"/>
      </w:pPr>
      <w:r w:rsidRPr="00EB2180">
        <w:t>P</w:t>
      </w:r>
      <w:r w:rsidR="00A21675" w:rsidRPr="00EB2180">
        <w:t>rovided these submissions</w:t>
      </w:r>
      <w:r w:rsidR="009527A2" w:rsidRPr="00EB2180">
        <w:t xml:space="preserve"> in its role as Asian-Oceanian Standard-Setters Group (AOSSG) Working Group leader on Financial Instruments and Liabilities, jointly with the AOSSG</w:t>
      </w:r>
      <w:r w:rsidR="008D3C3A">
        <w:t> </w:t>
      </w:r>
      <w:r w:rsidR="009527A2" w:rsidRPr="00EB2180">
        <w:t>Chair:</w:t>
      </w:r>
    </w:p>
    <w:p w14:paraId="07FAEBC6" w14:textId="77777777" w:rsidR="00EB2180" w:rsidRDefault="009527A2" w:rsidP="003B326A">
      <w:pPr>
        <w:pStyle w:val="Dash"/>
      </w:pPr>
      <w:r w:rsidRPr="009B03AE">
        <w:t>AOSSG submission to IASB Exposure Draft/2024/3 Contracts for Renewable Electricity: Proposed amendments to IFRS 9 and IFRS 7</w:t>
      </w:r>
    </w:p>
    <w:p w14:paraId="7910B966" w14:textId="28E8D9DE" w:rsidR="009527A2" w:rsidRPr="009B03AE" w:rsidRDefault="009527A2" w:rsidP="003B326A">
      <w:pPr>
        <w:pStyle w:val="Dash"/>
      </w:pPr>
      <w:r w:rsidRPr="009B03AE">
        <w:t>AOSSG submission to IASB Exposure Draft/2024/8 Provisions</w:t>
      </w:r>
      <w:r w:rsidR="00633975">
        <w:t xml:space="preserve"> – </w:t>
      </w:r>
      <w:r w:rsidRPr="009B03AE">
        <w:t>Targeted Improvements</w:t>
      </w:r>
      <w:r w:rsidR="00633975">
        <w:t xml:space="preserve"> – </w:t>
      </w:r>
      <w:r w:rsidRPr="009B03AE">
        <w:t>Proposed amendments to IAS 37</w:t>
      </w:r>
      <w:r w:rsidR="00633975">
        <w:t>.</w:t>
      </w:r>
      <w:r w:rsidRPr="009B03AE">
        <w:t xml:space="preserve"> </w:t>
      </w:r>
    </w:p>
    <w:p w14:paraId="141D64D5" w14:textId="7989474F" w:rsidR="009527A2" w:rsidRPr="008D3C3A" w:rsidRDefault="009527A2" w:rsidP="003B326A">
      <w:pPr>
        <w:pStyle w:val="Bullet"/>
      </w:pPr>
      <w:r w:rsidRPr="008D3C3A">
        <w:t>The AASB</w:t>
      </w:r>
      <w:r w:rsidR="00F00FC4" w:rsidRPr="008D3C3A">
        <w:t xml:space="preserve"> and </w:t>
      </w:r>
      <w:r w:rsidRPr="008D3C3A">
        <w:t xml:space="preserve">University of Technology Sydney co-hosted the annual AASB Research Forum on 6 November 2024. This year the AASB offered the opportunity to attend in Sydney or virtually from any other location worldwide (118 </w:t>
      </w:r>
      <w:r w:rsidR="00EB432F" w:rsidRPr="008D3C3A">
        <w:t>i</w:t>
      </w:r>
      <w:r w:rsidRPr="008D3C3A">
        <w:t>n-</w:t>
      </w:r>
      <w:r w:rsidR="00EB432F" w:rsidRPr="008D3C3A">
        <w:t>p</w:t>
      </w:r>
      <w:r w:rsidRPr="008D3C3A">
        <w:t xml:space="preserve">erson </w:t>
      </w:r>
      <w:r w:rsidR="00EB432F" w:rsidRPr="008D3C3A">
        <w:t>a</w:t>
      </w:r>
      <w:r w:rsidRPr="008D3C3A">
        <w:t xml:space="preserve">ttendees; 183 </w:t>
      </w:r>
      <w:r w:rsidR="00EB432F" w:rsidRPr="008D3C3A">
        <w:t>v</w:t>
      </w:r>
      <w:r w:rsidRPr="008D3C3A">
        <w:t xml:space="preserve">irtual </w:t>
      </w:r>
      <w:r w:rsidR="00EB432F" w:rsidRPr="008D3C3A">
        <w:t>a</w:t>
      </w:r>
      <w:r w:rsidRPr="008D3C3A">
        <w:t>ttendees). </w:t>
      </w:r>
    </w:p>
    <w:p w14:paraId="46B20A75" w14:textId="77777777" w:rsidR="009527A2" w:rsidRPr="00C439E3" w:rsidRDefault="009527A2" w:rsidP="000B66A2">
      <w:pPr>
        <w:pStyle w:val="Heading2"/>
      </w:pPr>
      <w:bookmarkStart w:id="23" w:name="_Toc177124035"/>
      <w:bookmarkStart w:id="24" w:name="_Toc177124860"/>
      <w:bookmarkStart w:id="25" w:name="_Toc211627797"/>
      <w:r w:rsidRPr="00C439E3">
        <w:t>AUASB</w:t>
      </w:r>
      <w:bookmarkEnd w:id="23"/>
      <w:bookmarkEnd w:id="24"/>
      <w:bookmarkEnd w:id="25"/>
    </w:p>
    <w:p w14:paraId="3748047E" w14:textId="5C59D56C" w:rsidR="009527A2" w:rsidRPr="007B5190" w:rsidRDefault="009527A2" w:rsidP="003B326A">
      <w:pPr>
        <w:pStyle w:val="Bullet"/>
      </w:pPr>
      <w:r w:rsidRPr="007B5190">
        <w:t>Released a Bulletin to provide guidance on the audit implications of the new Consolidated Entity Disclosure Statement</w:t>
      </w:r>
      <w:r w:rsidR="00022301" w:rsidRPr="007B5190">
        <w:t>.</w:t>
      </w:r>
    </w:p>
    <w:p w14:paraId="60E13561" w14:textId="71346211" w:rsidR="009527A2" w:rsidRPr="007B5190" w:rsidRDefault="009527A2" w:rsidP="003B326A">
      <w:pPr>
        <w:pStyle w:val="Bullet"/>
      </w:pPr>
      <w:r w:rsidRPr="007B5190">
        <w:t>Issued the</w:t>
      </w:r>
      <w:r w:rsidR="00DC6161" w:rsidRPr="007B5190">
        <w:t xml:space="preserve">se </w:t>
      </w:r>
      <w:r w:rsidR="00CE5897" w:rsidRPr="007B5190">
        <w:t>e</w:t>
      </w:r>
      <w:r w:rsidRPr="007B5190">
        <w:t xml:space="preserve">xposure </w:t>
      </w:r>
      <w:r w:rsidR="00CE5897" w:rsidRPr="007B5190">
        <w:t>d</w:t>
      </w:r>
      <w:r w:rsidRPr="007B5190">
        <w:t xml:space="preserve">rafts and </w:t>
      </w:r>
      <w:r w:rsidR="00CE5897" w:rsidRPr="007B5190">
        <w:t>c</w:t>
      </w:r>
      <w:r w:rsidRPr="007B5190">
        <w:t xml:space="preserve">onsultation </w:t>
      </w:r>
      <w:r w:rsidR="00CE5897" w:rsidRPr="007B5190">
        <w:t>p</w:t>
      </w:r>
      <w:r w:rsidRPr="007B5190">
        <w:t>apers:</w:t>
      </w:r>
    </w:p>
    <w:p w14:paraId="48B94828" w14:textId="77777777" w:rsidR="008157FA" w:rsidRPr="007B5190" w:rsidRDefault="009527A2" w:rsidP="00D54A8B">
      <w:pPr>
        <w:pStyle w:val="Dash"/>
        <w:rPr>
          <w:rFonts w:ascii="Source Sans Pro Light" w:hAnsi="Source Sans Pro Light" w:cs="Source Sans Pro Light"/>
          <w:sz w:val="21"/>
          <w:szCs w:val="21"/>
        </w:rPr>
      </w:pPr>
      <w:r w:rsidRPr="00D54A8B">
        <w:t>Exposure Draft – Proposed Australian Standard on Sustainability Assurance ASSA 5010</w:t>
      </w:r>
      <w:r w:rsidRPr="007B5190">
        <w:rPr>
          <w:rStyle w:val="normaltextrun"/>
          <w:rFonts w:ascii="Aptos" w:hAnsi="Aptos" w:cs="Calibri Light"/>
          <w:sz w:val="21"/>
          <w:szCs w:val="21"/>
          <w:shd w:val="clear" w:color="auto" w:fill="FFFFFF"/>
        </w:rPr>
        <w:t xml:space="preserve"> </w:t>
      </w:r>
      <w:r w:rsidRPr="00D54A8B">
        <w:rPr>
          <w:i/>
          <w:iCs/>
        </w:rPr>
        <w:t>Timeline for Audits or Reviews of Information in Sustainability Reports Under the Corporations Act 2001</w:t>
      </w:r>
    </w:p>
    <w:p w14:paraId="691AB1B9" w14:textId="3F5205E7" w:rsidR="009527A2" w:rsidRPr="007B5190" w:rsidRDefault="009527A2" w:rsidP="00D54A8B">
      <w:pPr>
        <w:pStyle w:val="Dash"/>
        <w:rPr>
          <w:rStyle w:val="BulletChar"/>
          <w:szCs w:val="21"/>
        </w:rPr>
      </w:pPr>
      <w:r w:rsidRPr="007B5190">
        <w:rPr>
          <w:rStyle w:val="BulletChar"/>
          <w:szCs w:val="21"/>
        </w:rPr>
        <w:t>Consultation Paper – Prohibiting Sustainability Assurance Practitioner from Using Direct Assistance by Internal Auditors</w:t>
      </w:r>
    </w:p>
    <w:p w14:paraId="4020F148" w14:textId="6A439193" w:rsidR="009527A2" w:rsidRPr="007B5190" w:rsidRDefault="009527A2" w:rsidP="00D54A8B">
      <w:pPr>
        <w:pStyle w:val="Dash"/>
        <w:rPr>
          <w:rStyle w:val="BulletChar"/>
          <w:szCs w:val="21"/>
        </w:rPr>
      </w:pPr>
      <w:r w:rsidRPr="007B5190">
        <w:rPr>
          <w:rStyle w:val="BulletChar"/>
          <w:szCs w:val="21"/>
        </w:rPr>
        <w:t>Exposure Draft – Proposed Amendments to ASSA 5000</w:t>
      </w:r>
      <w:r w:rsidRPr="007B5190">
        <w:rPr>
          <w:rFonts w:ascii="Aptos" w:hAnsi="Aptos" w:cs="Calibri Light"/>
          <w:sz w:val="21"/>
          <w:szCs w:val="21"/>
        </w:rPr>
        <w:t xml:space="preserve"> </w:t>
      </w:r>
      <w:r w:rsidRPr="00D54A8B">
        <w:rPr>
          <w:i/>
          <w:iCs/>
        </w:rPr>
        <w:t>General Requirements for Assurance Engagements and ASA 102 Compliance with Ethical Requirements when Performing Audits, Reviews and Other Assurance Engagements</w:t>
      </w:r>
      <w:r w:rsidRPr="00D54A8B">
        <w:rPr>
          <w:rStyle w:val="Emphasis"/>
        </w:rPr>
        <w:t xml:space="preserve"> </w:t>
      </w:r>
      <w:r w:rsidRPr="007B5190">
        <w:rPr>
          <w:rStyle w:val="BulletChar"/>
          <w:szCs w:val="21"/>
        </w:rPr>
        <w:t>(including approach to practical issues arising from sustainability ethics requirements and changes to effective date for voluntary assurance)</w:t>
      </w:r>
    </w:p>
    <w:p w14:paraId="4AD52049" w14:textId="77777777" w:rsidR="009527A2" w:rsidRPr="007B5190" w:rsidRDefault="009527A2" w:rsidP="00D54A8B">
      <w:pPr>
        <w:pStyle w:val="Dash"/>
        <w:rPr>
          <w:rFonts w:ascii="Aptos" w:hAnsi="Aptos" w:cs="Calibri Light"/>
          <w:sz w:val="21"/>
          <w:szCs w:val="21"/>
        </w:rPr>
      </w:pPr>
      <w:r w:rsidRPr="007B5190">
        <w:rPr>
          <w:rStyle w:val="BulletChar"/>
          <w:szCs w:val="21"/>
        </w:rPr>
        <w:t>Consultation Paper –</w:t>
      </w:r>
      <w:r w:rsidRPr="007B5190">
        <w:rPr>
          <w:rFonts w:ascii="Aptos" w:hAnsi="Aptos" w:cs="Calibri Light"/>
          <w:sz w:val="21"/>
          <w:szCs w:val="21"/>
        </w:rPr>
        <w:t xml:space="preserve"> </w:t>
      </w:r>
      <w:r w:rsidRPr="00D54A8B">
        <w:rPr>
          <w:i/>
          <w:iCs/>
        </w:rPr>
        <w:t>IAASB’s Proposed Narrow-Scope Amendments to IAASB Standards Arising from the IESBA’s Using the Work of an External Expert Project</w:t>
      </w:r>
      <w:r w:rsidRPr="007B5190">
        <w:rPr>
          <w:rFonts w:ascii="Aptos" w:hAnsi="Aptos" w:cs="Calibri Light"/>
          <w:sz w:val="21"/>
          <w:szCs w:val="21"/>
        </w:rPr>
        <w:t xml:space="preserve"> </w:t>
      </w:r>
      <w:r w:rsidRPr="007B5190">
        <w:rPr>
          <w:rStyle w:val="BulletChar"/>
          <w:szCs w:val="21"/>
        </w:rPr>
        <w:t>and drafted submission to IAASB.</w:t>
      </w:r>
    </w:p>
    <w:p w14:paraId="6D447525" w14:textId="3D34955C" w:rsidR="009527A2" w:rsidRPr="007B5190" w:rsidRDefault="009527A2" w:rsidP="003B326A">
      <w:pPr>
        <w:pStyle w:val="Bullet"/>
      </w:pPr>
      <w:r w:rsidRPr="007B5190">
        <w:t>Approved the</w:t>
      </w:r>
      <w:r w:rsidR="00DC6161" w:rsidRPr="007B5190">
        <w:t xml:space="preserve">se </w:t>
      </w:r>
      <w:r w:rsidRPr="007B5190">
        <w:t>standards:</w:t>
      </w:r>
    </w:p>
    <w:p w14:paraId="764F0A78" w14:textId="2552D160" w:rsidR="009527A2" w:rsidRPr="008D3C3A" w:rsidRDefault="009527A2" w:rsidP="003B326A">
      <w:pPr>
        <w:pStyle w:val="Dash"/>
        <w:rPr>
          <w:rStyle w:val="normaltextrun"/>
        </w:rPr>
      </w:pPr>
      <w:r w:rsidRPr="008D3C3A">
        <w:rPr>
          <w:rStyle w:val="normaltextrun"/>
        </w:rPr>
        <w:t>ASSA 5000</w:t>
      </w:r>
      <w:r w:rsidRPr="008D3C3A">
        <w:rPr>
          <w:rStyle w:val="normaltextrun"/>
          <w:i/>
          <w:iCs/>
        </w:rPr>
        <w:t xml:space="preserve"> General Requirements for Sustainability Assurance Engagements</w:t>
      </w:r>
    </w:p>
    <w:p w14:paraId="51518B83" w14:textId="75371960" w:rsidR="009527A2" w:rsidRPr="008D3C3A" w:rsidRDefault="009527A2" w:rsidP="003B326A">
      <w:pPr>
        <w:pStyle w:val="Dash"/>
        <w:rPr>
          <w:rStyle w:val="normaltextrun"/>
        </w:rPr>
      </w:pPr>
      <w:r w:rsidRPr="008D3C3A">
        <w:rPr>
          <w:rStyle w:val="normaltextrun"/>
        </w:rPr>
        <w:t xml:space="preserve">ASSA 5010 </w:t>
      </w:r>
      <w:r w:rsidRPr="008D3C3A">
        <w:rPr>
          <w:rStyle w:val="normaltextrun"/>
          <w:i/>
          <w:iCs/>
        </w:rPr>
        <w:t>Timeline for Audits and Reviews of Information in Sustainability Reports under the Corporations Act 2001</w:t>
      </w:r>
    </w:p>
    <w:p w14:paraId="40620C69" w14:textId="5DD57F58" w:rsidR="009527A2" w:rsidRPr="00D54A8B" w:rsidRDefault="009527A2" w:rsidP="00D54A8B">
      <w:pPr>
        <w:pStyle w:val="Dash"/>
        <w:rPr>
          <w:rStyle w:val="normaltextrun"/>
        </w:rPr>
      </w:pPr>
      <w:r w:rsidRPr="00D54A8B">
        <w:t xml:space="preserve">A revised ASAE 3500 </w:t>
      </w:r>
      <w:r w:rsidRPr="00D54A8B">
        <w:rPr>
          <w:rStyle w:val="normaltextrun"/>
        </w:rPr>
        <w:t>Performance Engagements</w:t>
      </w:r>
    </w:p>
    <w:p w14:paraId="0C830099" w14:textId="62833C64" w:rsidR="009527A2" w:rsidRPr="008D3C3A" w:rsidRDefault="009527A2" w:rsidP="003B326A">
      <w:pPr>
        <w:pStyle w:val="Dash"/>
        <w:rPr>
          <w:rStyle w:val="normaltextrun"/>
        </w:rPr>
      </w:pPr>
      <w:r w:rsidRPr="008D3C3A">
        <w:t xml:space="preserve">ASA 2025-1 </w:t>
      </w:r>
      <w:r w:rsidRPr="0031027B">
        <w:rPr>
          <w:i/>
          <w:iCs/>
        </w:rPr>
        <w:t>Amendments to Australian Auditing Standards</w:t>
      </w:r>
      <w:r w:rsidRPr="008D3C3A">
        <w:t xml:space="preserve"> (PIE Track 1 amendments)</w:t>
      </w:r>
    </w:p>
    <w:p w14:paraId="18BAA901" w14:textId="198E97A9" w:rsidR="009527A2" w:rsidRPr="008D3C3A" w:rsidRDefault="009527A2" w:rsidP="003B326A">
      <w:pPr>
        <w:pStyle w:val="Dash"/>
        <w:rPr>
          <w:rStyle w:val="normaltextrun"/>
        </w:rPr>
      </w:pPr>
      <w:r w:rsidRPr="008D3C3A">
        <w:t xml:space="preserve">A revised ASA 102 </w:t>
      </w:r>
      <w:r w:rsidRPr="008D3C3A">
        <w:rPr>
          <w:rStyle w:val="normaltextrun"/>
          <w:i/>
          <w:iCs/>
        </w:rPr>
        <w:t>Compliance with Ethical Requirements when Performing Audits, Reviews and Other Assurance Engagements</w:t>
      </w:r>
    </w:p>
    <w:p w14:paraId="4BF2406A" w14:textId="77777777" w:rsidR="009527A2" w:rsidRPr="008D3C3A" w:rsidRDefault="009527A2" w:rsidP="003B326A">
      <w:pPr>
        <w:pStyle w:val="Dash"/>
      </w:pPr>
      <w:r w:rsidRPr="008D3C3A">
        <w:t xml:space="preserve">A revised ASA 570 </w:t>
      </w:r>
      <w:r w:rsidRPr="0031027B">
        <w:rPr>
          <w:i/>
          <w:iCs/>
        </w:rPr>
        <w:t>Going Concern</w:t>
      </w:r>
      <w:r w:rsidRPr="008D3C3A">
        <w:t xml:space="preserve"> and consequential amendments to other standards.</w:t>
      </w:r>
    </w:p>
    <w:p w14:paraId="279DED10" w14:textId="0E5CFDD2" w:rsidR="009527A2" w:rsidRPr="0031027B" w:rsidRDefault="009527A2" w:rsidP="0031027B">
      <w:pPr>
        <w:pStyle w:val="Bullet"/>
      </w:pPr>
      <w:r w:rsidRPr="0031027B">
        <w:t>Approved in-</w:t>
      </w:r>
      <w:proofErr w:type="gramStart"/>
      <w:r w:rsidRPr="0031027B">
        <w:t>principle</w:t>
      </w:r>
      <w:proofErr w:type="gramEnd"/>
      <w:r w:rsidRPr="0031027B">
        <w:t xml:space="preserve"> ASA 240 </w:t>
      </w:r>
      <w:r w:rsidRPr="0031027B">
        <w:rPr>
          <w:i/>
          <w:iCs/>
        </w:rPr>
        <w:t>The Auditor’s Responsibility to Consider Fraud and Error in an Audit of Financial Statements</w:t>
      </w:r>
      <w:r w:rsidRPr="0031027B">
        <w:t xml:space="preserve"> and consequential amendments to other standards</w:t>
      </w:r>
      <w:r w:rsidR="00601503" w:rsidRPr="0031027B">
        <w:t>.</w:t>
      </w:r>
    </w:p>
    <w:p w14:paraId="709C4E62" w14:textId="3C7CD12E" w:rsidR="009527A2" w:rsidRPr="007B5190" w:rsidRDefault="009527A2" w:rsidP="003B326A">
      <w:pPr>
        <w:pStyle w:val="Bullet"/>
      </w:pPr>
      <w:r w:rsidRPr="007B5190">
        <w:t>Drafted the</w:t>
      </w:r>
      <w:r w:rsidR="00DC6161" w:rsidRPr="007B5190">
        <w:t>se</w:t>
      </w:r>
      <w:r w:rsidRPr="007B5190">
        <w:t xml:space="preserve"> standards for </w:t>
      </w:r>
      <w:r w:rsidR="00567148" w:rsidRPr="007B5190">
        <w:t>b</w:t>
      </w:r>
      <w:r w:rsidRPr="007B5190">
        <w:t>oard approval in July 2025:</w:t>
      </w:r>
    </w:p>
    <w:p w14:paraId="3778020F" w14:textId="1B71B897" w:rsidR="009527A2" w:rsidRPr="007B5190" w:rsidRDefault="009527A2" w:rsidP="0031027B">
      <w:pPr>
        <w:pStyle w:val="Dash"/>
      </w:pPr>
      <w:r w:rsidRPr="007B5190">
        <w:t xml:space="preserve">AUASB 2025-5 </w:t>
      </w:r>
      <w:r w:rsidRPr="0031027B">
        <w:rPr>
          <w:i/>
          <w:iCs/>
        </w:rPr>
        <w:t>Amendments to AUASB Standard</w:t>
      </w:r>
      <w:r w:rsidRPr="007B5190">
        <w:t xml:space="preserve"> for changes to APES 110 </w:t>
      </w:r>
      <w:r w:rsidRPr="0031027B">
        <w:rPr>
          <w:i/>
          <w:iCs/>
        </w:rPr>
        <w:t>Code of Ethics for Professional Accountants (including Independence Standards)</w:t>
      </w:r>
      <w:r w:rsidRPr="007B5190">
        <w:t xml:space="preserve"> (APES 110) on taxation advice</w:t>
      </w:r>
    </w:p>
    <w:p w14:paraId="11F3C80D" w14:textId="77777777" w:rsidR="009527A2" w:rsidRPr="007B5190" w:rsidRDefault="009527A2" w:rsidP="0031027B">
      <w:pPr>
        <w:pStyle w:val="Dash"/>
      </w:pPr>
      <w:r w:rsidRPr="007B5190">
        <w:t xml:space="preserve">AUASB 2025-7 </w:t>
      </w:r>
      <w:r w:rsidRPr="0031027B">
        <w:rPr>
          <w:i/>
          <w:iCs/>
        </w:rPr>
        <w:t>Amendments to AUASB Standards</w:t>
      </w:r>
      <w:r w:rsidRPr="007B5190">
        <w:t xml:space="preserve"> for changes to APES 110 on the use of external experts and sustainability assurance, from the effective dates in APES 110.</w:t>
      </w:r>
    </w:p>
    <w:p w14:paraId="504E62F4" w14:textId="74C33B64" w:rsidR="009527A2" w:rsidRPr="007B5190" w:rsidRDefault="009527A2" w:rsidP="0031027B">
      <w:pPr>
        <w:pStyle w:val="Bullet"/>
      </w:pPr>
      <w:r w:rsidRPr="007B5190">
        <w:t>Prepared proposals for consideration by the Board on consulting on whether during the phasing</w:t>
      </w:r>
      <w:r w:rsidR="00DC6161" w:rsidRPr="007B5190">
        <w:t>-</w:t>
      </w:r>
      <w:r w:rsidRPr="007B5190">
        <w:t>in of mandatory sustainability assurance the directors’ declaration should be covered</w:t>
      </w:r>
      <w:r w:rsidR="00DC6161" w:rsidRPr="007B5190">
        <w:t>,</w:t>
      </w:r>
      <w:r w:rsidRPr="007B5190">
        <w:t xml:space="preserve"> and the impact of proposed legislation to allow entities to elect to prepare a sustainability report under the </w:t>
      </w:r>
      <w:r w:rsidR="00F7399D" w:rsidRPr="007B5190">
        <w:t>Corporations</w:t>
      </w:r>
      <w:r w:rsidRPr="007B5190">
        <w:t xml:space="preserve"> Act earlier than required.</w:t>
      </w:r>
    </w:p>
    <w:p w14:paraId="6A370860" w14:textId="707ABBBC" w:rsidR="009527A2" w:rsidRPr="0031027B" w:rsidRDefault="009527A2" w:rsidP="0031027B">
      <w:pPr>
        <w:pStyle w:val="Bullet"/>
      </w:pPr>
      <w:r w:rsidRPr="0031027B">
        <w:t>Commenced projects to update Australian-specific Guidance Statements:</w:t>
      </w:r>
    </w:p>
    <w:p w14:paraId="5C492DA1" w14:textId="77777777" w:rsidR="009527A2" w:rsidRPr="007B5190" w:rsidRDefault="009527A2" w:rsidP="0031027B">
      <w:pPr>
        <w:pStyle w:val="Dash"/>
      </w:pPr>
      <w:r w:rsidRPr="007B5190">
        <w:t xml:space="preserve">GS 002 </w:t>
      </w:r>
      <w:r w:rsidRPr="0031027B">
        <w:rPr>
          <w:i/>
          <w:iCs/>
        </w:rPr>
        <w:t>Audit Implications of Prudential Reporting Requirements for Registered Superannuation Entities</w:t>
      </w:r>
      <w:r w:rsidRPr="007B5190">
        <w:t xml:space="preserve"> (and related illustrative assurance report)</w:t>
      </w:r>
    </w:p>
    <w:p w14:paraId="7E6862C2" w14:textId="77777777" w:rsidR="009527A2" w:rsidRPr="007B5190" w:rsidRDefault="009527A2" w:rsidP="0031027B">
      <w:pPr>
        <w:pStyle w:val="Dash"/>
        <w:rPr>
          <w:rFonts w:ascii="Source Sans Pro Light" w:hAnsi="Source Sans Pro Light" w:cs="Calibri Light"/>
          <w:sz w:val="21"/>
          <w:szCs w:val="21"/>
        </w:rPr>
      </w:pPr>
      <w:r w:rsidRPr="007B5190">
        <w:rPr>
          <w:rFonts w:ascii="Source Sans Pro Light" w:hAnsi="Source Sans Pro Light" w:cs="Calibri Light"/>
          <w:sz w:val="21"/>
          <w:szCs w:val="21"/>
        </w:rPr>
        <w:t xml:space="preserve">GS 007 </w:t>
      </w:r>
      <w:r w:rsidRPr="0031027B">
        <w:rPr>
          <w:i/>
          <w:iCs/>
        </w:rPr>
        <w:t>Audit Implications of the Use of Service Organisations for Investment Management Services</w:t>
      </w:r>
      <w:r w:rsidRPr="007B5190">
        <w:rPr>
          <w:rFonts w:ascii="Source Sans Pro Light" w:hAnsi="Source Sans Pro Light" w:cs="Calibri Light"/>
          <w:sz w:val="21"/>
          <w:szCs w:val="21"/>
        </w:rPr>
        <w:t xml:space="preserve"> </w:t>
      </w:r>
    </w:p>
    <w:p w14:paraId="05A1B48D" w14:textId="2D684B90" w:rsidR="009527A2" w:rsidRPr="0031027B" w:rsidRDefault="009527A2" w:rsidP="0031027B">
      <w:pPr>
        <w:pStyle w:val="Dash"/>
      </w:pPr>
      <w:r w:rsidRPr="007B5190">
        <w:t xml:space="preserve">GS </w:t>
      </w:r>
      <w:r w:rsidRPr="0031027B">
        <w:t xml:space="preserve">011 </w:t>
      </w:r>
      <w:r w:rsidRPr="0031027B">
        <w:rPr>
          <w:i/>
          <w:iCs/>
        </w:rPr>
        <w:t>Third Party Access to Audit Working Papers</w:t>
      </w:r>
      <w:r w:rsidR="00DC6161" w:rsidRPr="0031027B">
        <w:rPr>
          <w:i/>
          <w:iCs/>
        </w:rPr>
        <w:t>.</w:t>
      </w:r>
    </w:p>
    <w:p w14:paraId="2798334E" w14:textId="00CA508F" w:rsidR="009527A2" w:rsidRPr="0031027B" w:rsidRDefault="009527A2" w:rsidP="0031027B">
      <w:pPr>
        <w:pStyle w:val="Bullet"/>
      </w:pPr>
      <w:r w:rsidRPr="0031027B">
        <w:t>Issued the</w:t>
      </w:r>
      <w:r w:rsidR="00DC6161" w:rsidRPr="0031027B">
        <w:t xml:space="preserve">se </w:t>
      </w:r>
      <w:r w:rsidRPr="0031027B">
        <w:t>research reports:</w:t>
      </w:r>
    </w:p>
    <w:p w14:paraId="14F50603" w14:textId="77A09EC7" w:rsidR="009527A2" w:rsidRPr="0031027B" w:rsidRDefault="009527A2" w:rsidP="0031027B">
      <w:pPr>
        <w:pStyle w:val="Dash"/>
        <w:rPr>
          <w:rStyle w:val="Emphasis"/>
        </w:rPr>
      </w:pPr>
      <w:r w:rsidRPr="007B5190">
        <w:rPr>
          <w:rStyle w:val="normaltextrun"/>
          <w:rFonts w:ascii="Source Sans Pro Light" w:hAnsi="Source Sans Pro Light" w:cs="Calibri Light"/>
          <w:sz w:val="21"/>
          <w:szCs w:val="21"/>
          <w:shd w:val="clear" w:color="auto" w:fill="FFFFFF"/>
        </w:rPr>
        <w:t xml:space="preserve">Research Report 11 </w:t>
      </w:r>
      <w:r w:rsidRPr="0031027B">
        <w:rPr>
          <w:i/>
          <w:iCs/>
        </w:rPr>
        <w:t>State of Assurance Choices for Medium Sized Australian Charities</w:t>
      </w:r>
    </w:p>
    <w:p w14:paraId="16F4704B" w14:textId="6C8140B5" w:rsidR="009527A2" w:rsidRPr="007B5190" w:rsidRDefault="009527A2" w:rsidP="0031027B">
      <w:pPr>
        <w:pStyle w:val="Dash"/>
        <w:rPr>
          <w:rFonts w:ascii="Source Sans Pro Light" w:hAnsi="Source Sans Pro Light" w:cs="Calibri Light"/>
          <w:sz w:val="21"/>
          <w:szCs w:val="21"/>
        </w:rPr>
      </w:pPr>
      <w:hyperlink r:id="rId25" w:tgtFrame="_blank" w:history="1">
        <w:r w:rsidRPr="007B5190">
          <w:rPr>
            <w:rStyle w:val="normaltextrun"/>
            <w:rFonts w:ascii="Source Sans Pro Light" w:hAnsi="Source Sans Pro Light" w:cs="Calibri Light"/>
            <w:sz w:val="21"/>
            <w:szCs w:val="21"/>
            <w:shd w:val="clear" w:color="auto" w:fill="FFFFFF"/>
          </w:rPr>
          <w:t>Research Report 12</w:t>
        </w:r>
        <w:r w:rsidRPr="007B5190">
          <w:rPr>
            <w:rStyle w:val="normaltextrun"/>
            <w:rFonts w:ascii="Source Sans Pro Light" w:hAnsi="Source Sans Pro Light" w:cs="Calibri Light"/>
            <w:i/>
            <w:sz w:val="21"/>
            <w:szCs w:val="21"/>
            <w:shd w:val="clear" w:color="auto" w:fill="FFFFFF"/>
          </w:rPr>
          <w:t xml:space="preserve"> </w:t>
        </w:r>
        <w:r w:rsidRPr="0031027B">
          <w:rPr>
            <w:i/>
            <w:iCs/>
          </w:rPr>
          <w:t>Understanding and evaluating the effectiveness of ASA 720, The Auditor's Responsibilities Relating to Other Information, and its role in the current environment</w:t>
        </w:r>
      </w:hyperlink>
    </w:p>
    <w:p w14:paraId="3A84A07F" w14:textId="67A0A445" w:rsidR="009527A2" w:rsidRPr="0031027B" w:rsidRDefault="009527A2" w:rsidP="0031027B">
      <w:pPr>
        <w:pStyle w:val="Dash"/>
        <w:rPr>
          <w:rStyle w:val="Hyperlink"/>
          <w:color w:val="auto"/>
        </w:rPr>
      </w:pPr>
      <w:r w:rsidRPr="0031027B">
        <w:rPr>
          <w:rStyle w:val="DashChar"/>
        </w:rPr>
        <w:t>Research Report 13</w:t>
      </w:r>
      <w:r w:rsidRPr="0031027B">
        <w:t xml:space="preserve"> </w:t>
      </w:r>
      <w:hyperlink r:id="rId26" w:history="1">
        <w:r w:rsidRPr="0031027B">
          <w:rPr>
            <w:rStyle w:val="Hyperlink"/>
            <w:i/>
            <w:iCs/>
          </w:rPr>
          <w:t>University of Sydney – Deakin</w:t>
        </w:r>
        <w:r w:rsidR="00DC6161" w:rsidRPr="0031027B">
          <w:rPr>
            <w:rStyle w:val="Hyperlink"/>
            <w:i/>
            <w:iCs/>
          </w:rPr>
          <w:t xml:space="preserve"> – </w:t>
        </w:r>
        <w:r w:rsidRPr="0031027B">
          <w:rPr>
            <w:rStyle w:val="Hyperlink"/>
            <w:i/>
            <w:iCs/>
          </w:rPr>
          <w:t>AUASB Sustainability assurance research workshop: Overviews of research projects to inform the AUASB’s work programme</w:t>
        </w:r>
      </w:hyperlink>
      <w:r w:rsidRPr="0031027B">
        <w:t>.</w:t>
      </w:r>
    </w:p>
    <w:p w14:paraId="0D0E0B45" w14:textId="77777777" w:rsidR="009527A2" w:rsidRPr="007B5190" w:rsidRDefault="009527A2" w:rsidP="0031027B">
      <w:pPr>
        <w:pStyle w:val="Bullet"/>
      </w:pPr>
      <w:r w:rsidRPr="007B5190">
        <w:t>The AUASB Chair participated in the November 2024 and May 2025 IAASB/IESBA Stakeholder Advisory Council, providing strategic advice to the international boards.</w:t>
      </w:r>
    </w:p>
    <w:p w14:paraId="6ED31574" w14:textId="4A3141B1" w:rsidR="009527A2" w:rsidRPr="007B5190" w:rsidRDefault="009527A2" w:rsidP="0031027B">
      <w:pPr>
        <w:pStyle w:val="Bullet"/>
      </w:pPr>
      <w:r w:rsidRPr="007B5190">
        <w:t>The AUASB Chair and Director–National also participated in the IAASB’s Jurisdiction Standard Setters meeting in May 2025.</w:t>
      </w:r>
      <w:r w:rsidR="00112911" w:rsidRPr="007B5190">
        <w:t xml:space="preserve"> </w:t>
      </w:r>
    </w:p>
    <w:p w14:paraId="32EAF69B" w14:textId="77777777" w:rsidR="009527A2" w:rsidRPr="000E28BE" w:rsidRDefault="009527A2" w:rsidP="000B66A2">
      <w:pPr>
        <w:pStyle w:val="Heading2"/>
      </w:pPr>
      <w:bookmarkStart w:id="26" w:name="_Toc177124036"/>
      <w:bookmarkStart w:id="27" w:name="_Toc177124861"/>
      <w:bookmarkStart w:id="28" w:name="_Toc211627798"/>
      <w:r w:rsidRPr="000E28BE">
        <w:t>Determining the strategic direction of the AASB and AUASB</w:t>
      </w:r>
      <w:bookmarkEnd w:id="26"/>
      <w:bookmarkEnd w:id="27"/>
      <w:bookmarkEnd w:id="28"/>
    </w:p>
    <w:p w14:paraId="7B036EB3" w14:textId="77777777" w:rsidR="009527A2" w:rsidRPr="007B5190" w:rsidRDefault="009527A2" w:rsidP="00BD3CA4">
      <w:r w:rsidRPr="007B5190">
        <w:t>Since its establishment, the FRC has made 3 determinations concerning the broad strategic direction of the AASB and AUASB. These determinations require:</w:t>
      </w:r>
    </w:p>
    <w:p w14:paraId="4DBAB36D" w14:textId="77777777" w:rsidR="009527A2" w:rsidRPr="007B5190" w:rsidRDefault="009527A2" w:rsidP="00BD3CA4">
      <w:pPr>
        <w:pStyle w:val="Bullet"/>
      </w:pPr>
      <w:r w:rsidRPr="007B5190">
        <w:t>the AASB to work towards the adoption of accounting standards that are the same as those issued by the IASB (Direction approved 5 September 2002)</w:t>
      </w:r>
    </w:p>
    <w:p w14:paraId="0E8233BE" w14:textId="57851A39" w:rsidR="009527A2" w:rsidRPr="007B5190" w:rsidRDefault="009527A2" w:rsidP="00BD3CA4">
      <w:pPr>
        <w:pStyle w:val="Bullet"/>
      </w:pPr>
      <w:r w:rsidRPr="007B5190">
        <w:t>the AASB to pursue the harmonisation of</w:t>
      </w:r>
      <w:r w:rsidR="007642AF" w:rsidRPr="007B5190">
        <w:t xml:space="preserve"> reporting </w:t>
      </w:r>
      <w:r w:rsidR="00D27556" w:rsidRPr="007B5190">
        <w:t xml:space="preserve">between </w:t>
      </w:r>
      <w:r w:rsidR="007642AF" w:rsidRPr="007B5190">
        <w:t xml:space="preserve">Government Finance Statistics </w:t>
      </w:r>
      <w:r w:rsidRPr="007B5190">
        <w:t xml:space="preserve">and </w:t>
      </w:r>
      <w:r w:rsidR="00FF1E70" w:rsidRPr="007B5190">
        <w:rPr>
          <w:lang w:val="en-GB"/>
        </w:rPr>
        <w:t>Generally Accepted Accounting Principles</w:t>
      </w:r>
      <w:r w:rsidR="00FF1E70" w:rsidRPr="007B5190" w:rsidDel="00FF1E70">
        <w:t xml:space="preserve"> </w:t>
      </w:r>
      <w:r w:rsidRPr="007B5190">
        <w:t>(Direction approved 12 December 2002)</w:t>
      </w:r>
    </w:p>
    <w:p w14:paraId="65447AF6" w14:textId="77777777" w:rsidR="00254D72" w:rsidRPr="007B5190" w:rsidRDefault="009527A2" w:rsidP="00BD3CA4">
      <w:pPr>
        <w:pStyle w:val="Bullet"/>
      </w:pPr>
      <w:r w:rsidRPr="007B5190">
        <w:t>the AUASB to use auditing standards issued by the IAASB as a base from which to</w:t>
      </w:r>
      <w:r w:rsidR="00254D72" w:rsidRPr="007B5190">
        <w:t>:</w:t>
      </w:r>
    </w:p>
    <w:p w14:paraId="32CC1A78" w14:textId="284BEA41" w:rsidR="00254D72" w:rsidRPr="007B5190" w:rsidRDefault="009527A2" w:rsidP="00BD3CA4">
      <w:pPr>
        <w:pStyle w:val="Dash"/>
      </w:pPr>
      <w:r w:rsidRPr="007B5190">
        <w:t>develop the Australian standards</w:t>
      </w:r>
    </w:p>
    <w:p w14:paraId="0BB38E88" w14:textId="0F90260B" w:rsidR="00254D72" w:rsidRPr="007B5190" w:rsidRDefault="009527A2" w:rsidP="00BD3CA4">
      <w:pPr>
        <w:pStyle w:val="Dash"/>
      </w:pPr>
      <w:r w:rsidRPr="007B5190">
        <w:t>develop auditing and assurance standards other than for historical financial information</w:t>
      </w:r>
    </w:p>
    <w:p w14:paraId="3407BD04" w14:textId="7ECFF9EA" w:rsidR="009527A2" w:rsidRPr="007B5190" w:rsidRDefault="009527A2" w:rsidP="00BD3CA4">
      <w:pPr>
        <w:pStyle w:val="Dash"/>
      </w:pPr>
      <w:r w:rsidRPr="007B5190">
        <w:t>participate in audit research that is conducive to the AUASB’s standard-setting activities (Direction approved 4 April 2005).</w:t>
      </w:r>
    </w:p>
    <w:p w14:paraId="27EB16C0" w14:textId="77777777" w:rsidR="009527A2" w:rsidRPr="007B5190" w:rsidRDefault="009527A2" w:rsidP="00BD3CA4">
      <w:r w:rsidRPr="007B5190">
        <w:t>These directions remain current and the FRC continues to monitor their appropriateness. The FRC is satisfied that the AASB and the AUASB have implemented these directions.</w:t>
      </w:r>
    </w:p>
    <w:p w14:paraId="00D4847E" w14:textId="77777777" w:rsidR="009527A2" w:rsidRPr="000E28BE" w:rsidRDefault="009527A2" w:rsidP="000B66A2">
      <w:pPr>
        <w:pStyle w:val="Heading2"/>
      </w:pPr>
      <w:bookmarkStart w:id="29" w:name="_Toc177124037"/>
      <w:bookmarkStart w:id="30" w:name="_Toc177124862"/>
      <w:bookmarkStart w:id="31" w:name="_Toc211627799"/>
      <w:r w:rsidRPr="000E28BE">
        <w:t>Monitoring international developments</w:t>
      </w:r>
      <w:bookmarkEnd w:id="29"/>
      <w:bookmarkEnd w:id="30"/>
      <w:bookmarkEnd w:id="31"/>
    </w:p>
    <w:p w14:paraId="55336E2E" w14:textId="281031AA" w:rsidR="001E7BA8" w:rsidRPr="007B5190" w:rsidRDefault="009527A2" w:rsidP="00BD3CA4">
      <w:r w:rsidRPr="007B5190">
        <w:t>The FRC monitors the development of international standard</w:t>
      </w:r>
      <w:r w:rsidR="00B43F03" w:rsidRPr="007B5190">
        <w:t xml:space="preserve"> </w:t>
      </w:r>
      <w:r w:rsidRPr="007B5190">
        <w:t>setting in a range of ways, including by</w:t>
      </w:r>
      <w:r w:rsidR="001E7BA8" w:rsidRPr="007B5190">
        <w:t>:</w:t>
      </w:r>
    </w:p>
    <w:p w14:paraId="020932D1" w14:textId="1D572103" w:rsidR="00C91ED8" w:rsidRPr="00BD3CA4" w:rsidRDefault="009527A2" w:rsidP="00BD3CA4">
      <w:pPr>
        <w:pStyle w:val="Bullet"/>
      </w:pPr>
      <w:r w:rsidRPr="00BD3CA4">
        <w:t>inviting speakers from international financial reporting organisations to present at its meetings</w:t>
      </w:r>
    </w:p>
    <w:p w14:paraId="73EB86D9" w14:textId="329A248A" w:rsidR="009527A2" w:rsidRPr="00BD3CA4" w:rsidRDefault="009527A2" w:rsidP="00BD3CA4">
      <w:pPr>
        <w:pStyle w:val="Bullet"/>
      </w:pPr>
      <w:r w:rsidRPr="00BD3CA4">
        <w:t xml:space="preserve">reviewing media from international bodies and other jurisdictions. </w:t>
      </w:r>
    </w:p>
    <w:p w14:paraId="2DA13210" w14:textId="54DEE74D" w:rsidR="009527A2" w:rsidRPr="007B5190" w:rsidRDefault="009527A2" w:rsidP="00BD3CA4">
      <w:r w:rsidRPr="007B5190">
        <w:t>The AASB and AUASB provide regular reports to the FRC on their efforts to build and enhance relationships with global and national standard</w:t>
      </w:r>
      <w:r w:rsidR="007367B9" w:rsidRPr="007B5190">
        <w:t xml:space="preserve"> </w:t>
      </w:r>
      <w:r w:rsidRPr="007B5190">
        <w:t>setters, through which the boards can monitor and influence international developments.</w:t>
      </w:r>
    </w:p>
    <w:p w14:paraId="1C0A5F2A" w14:textId="5C7A4E65" w:rsidR="009527A2" w:rsidRPr="00BD3CA4" w:rsidRDefault="009527A2" w:rsidP="00BD3CA4">
      <w:pPr>
        <w:pStyle w:val="Heading3"/>
      </w:pPr>
      <w:bookmarkStart w:id="32" w:name="_Toc177124038"/>
      <w:bookmarkStart w:id="33" w:name="_Toc177124700"/>
      <w:bookmarkStart w:id="34" w:name="_Toc177124863"/>
      <w:r w:rsidRPr="00BD3CA4">
        <w:t>International accounting standards</w:t>
      </w:r>
      <w:bookmarkEnd w:id="32"/>
      <w:bookmarkEnd w:id="33"/>
      <w:bookmarkEnd w:id="34"/>
    </w:p>
    <w:p w14:paraId="54F18F72" w14:textId="77777777" w:rsidR="009527A2" w:rsidRPr="007B5190" w:rsidRDefault="009527A2" w:rsidP="00BD3CA4">
      <w:r w:rsidRPr="007B5190">
        <w:t>In line with its mandate to further the development of a single set of accounting standards for worldwide use, the FRC supports the AASB’s adoption of the IFRS accounting standards issued</w:t>
      </w:r>
      <w:r w:rsidRPr="007B5190">
        <w:rPr>
          <w:spacing w:val="-5"/>
        </w:rPr>
        <w:t xml:space="preserve"> </w:t>
      </w:r>
      <w:r w:rsidRPr="007B5190">
        <w:t>by</w:t>
      </w:r>
      <w:r w:rsidRPr="007B5190">
        <w:rPr>
          <w:spacing w:val="-5"/>
        </w:rPr>
        <w:t xml:space="preserve"> </w:t>
      </w:r>
      <w:r w:rsidRPr="007B5190">
        <w:t>the</w:t>
      </w:r>
      <w:r w:rsidRPr="007B5190">
        <w:rPr>
          <w:spacing w:val="-5"/>
        </w:rPr>
        <w:t xml:space="preserve"> </w:t>
      </w:r>
      <w:r w:rsidRPr="007B5190">
        <w:t>IASB. These standards continue to have the most widespread impact, having been adopted in over 100 countries.</w:t>
      </w:r>
    </w:p>
    <w:p w14:paraId="6375BFF4" w14:textId="065C4812" w:rsidR="00EE133F" w:rsidRPr="007B5190" w:rsidRDefault="009527A2" w:rsidP="00BD3CA4">
      <w:r w:rsidRPr="007B5190">
        <w:t xml:space="preserve">The AASB regularly reassesses the appropriateness of using the IFRS (rather than International Public Sector Accounting Standards Board (IPSASB) standards) as a base for the Australian public sector. The AASB also uses IPSASB guidance to modify IFRS for the not-for-profit sector where appropriate. </w:t>
      </w:r>
    </w:p>
    <w:p w14:paraId="5218E34D" w14:textId="39ECD758" w:rsidR="009527A2" w:rsidRPr="007B5190" w:rsidRDefault="009527A2" w:rsidP="00BD3CA4">
      <w:r w:rsidRPr="007B5190">
        <w:t>The AASB active</w:t>
      </w:r>
      <w:r w:rsidR="005A667A" w:rsidRPr="007B5190">
        <w:t>ly</w:t>
      </w:r>
      <w:r w:rsidRPr="007B5190">
        <w:t xml:space="preserve"> support</w:t>
      </w:r>
      <w:r w:rsidR="005A667A" w:rsidRPr="007B5190">
        <w:t xml:space="preserve">ed </w:t>
      </w:r>
      <w:r w:rsidRPr="007B5190">
        <w:t xml:space="preserve">Vietnam </w:t>
      </w:r>
      <w:r w:rsidR="005A667A" w:rsidRPr="007B5190">
        <w:t xml:space="preserve">in </w:t>
      </w:r>
      <w:r w:rsidRPr="007B5190">
        <w:t xml:space="preserve">adopting and implementing IFRS Standards. </w:t>
      </w:r>
      <w:r w:rsidR="00971477" w:rsidRPr="007B5190">
        <w:t>The</w:t>
      </w:r>
      <w:r w:rsidRPr="007B5190">
        <w:t xml:space="preserve"> AASB work</w:t>
      </w:r>
      <w:r w:rsidR="005A667A" w:rsidRPr="007B5190">
        <w:t>ed</w:t>
      </w:r>
      <w:r w:rsidRPr="007B5190">
        <w:t xml:space="preserve"> with the IFRS and Vietnam</w:t>
      </w:r>
      <w:r w:rsidR="005A667A" w:rsidRPr="007B5190">
        <w:t>ese</w:t>
      </w:r>
      <w:r w:rsidRPr="007B5190">
        <w:t xml:space="preserve"> Ministry of Finance </w:t>
      </w:r>
      <w:r w:rsidR="00801367" w:rsidRPr="007B5190">
        <w:t>to</w:t>
      </w:r>
      <w:r w:rsidR="008E6ED5" w:rsidRPr="007B5190">
        <w:t xml:space="preserve"> </w:t>
      </w:r>
      <w:r w:rsidR="00B22F90" w:rsidRPr="007B5190">
        <w:t>deliver training on specific financial reporting standards.</w:t>
      </w:r>
    </w:p>
    <w:p w14:paraId="1FD4E77A" w14:textId="77777777" w:rsidR="009527A2" w:rsidRPr="00BD3CA4" w:rsidRDefault="009527A2" w:rsidP="00BD3CA4">
      <w:pPr>
        <w:pStyle w:val="Heading3"/>
      </w:pPr>
      <w:bookmarkStart w:id="35" w:name="_Toc177124039"/>
      <w:bookmarkStart w:id="36" w:name="_Toc177124701"/>
      <w:bookmarkStart w:id="37" w:name="_Toc177124864"/>
      <w:r w:rsidRPr="00BD3CA4">
        <w:t>International auditing standards</w:t>
      </w:r>
      <w:bookmarkEnd w:id="35"/>
      <w:bookmarkEnd w:id="36"/>
      <w:bookmarkEnd w:id="37"/>
    </w:p>
    <w:p w14:paraId="45C0F961" w14:textId="77777777" w:rsidR="009527A2" w:rsidRPr="007B5190" w:rsidRDefault="009527A2" w:rsidP="00BD3CA4">
      <w:r w:rsidRPr="007B5190">
        <w:t>The FRC supports the AUASB’s adoption of the international auditing standards issued by the IAASB. This is consistent with the AUASB’s mandate under the ASIC Act to further the development of a single set of auditing standards for worldwide use. These standards have been adopted in over 140 countries.</w:t>
      </w:r>
    </w:p>
    <w:p w14:paraId="172BD1B6" w14:textId="77777777" w:rsidR="009527A2" w:rsidRPr="007B5190" w:rsidRDefault="009527A2" w:rsidP="00BD3CA4">
      <w:r w:rsidRPr="007B5190">
        <w:t>The AUASB monitors and contributes to the work of the IAASB through:</w:t>
      </w:r>
    </w:p>
    <w:p w14:paraId="0718F3EF" w14:textId="0D1A683B" w:rsidR="009527A2" w:rsidRPr="007B5190" w:rsidRDefault="00B968DB" w:rsidP="00BD3CA4">
      <w:pPr>
        <w:pStyle w:val="Bullet"/>
      </w:pPr>
      <w:r w:rsidRPr="007B5190">
        <w:t>t</w:t>
      </w:r>
      <w:r w:rsidR="009527A2" w:rsidRPr="007B5190">
        <w:t>he AUASB Chair’s membership of the IAASB and IESBA Stakeholder Advisory Council</w:t>
      </w:r>
    </w:p>
    <w:p w14:paraId="6352CFDE" w14:textId="07278D9E" w:rsidR="009527A2" w:rsidRPr="007B5190" w:rsidRDefault="00B968DB" w:rsidP="00BD3CA4">
      <w:pPr>
        <w:pStyle w:val="Bullet"/>
      </w:pPr>
      <w:r w:rsidRPr="007B5190">
        <w:t>p</w:t>
      </w:r>
      <w:r w:rsidR="009527A2" w:rsidRPr="007B5190">
        <w:t>articipating in the Jurisdictional Standard Setters meetings with the IAASB</w:t>
      </w:r>
    </w:p>
    <w:p w14:paraId="7AFD72C1" w14:textId="6480B8E1" w:rsidR="009527A2" w:rsidRPr="007B5190" w:rsidRDefault="00B968DB" w:rsidP="00BD3CA4">
      <w:pPr>
        <w:pStyle w:val="Bullet"/>
      </w:pPr>
      <w:r w:rsidRPr="007B5190">
        <w:t>o</w:t>
      </w:r>
      <w:r w:rsidR="009527A2" w:rsidRPr="007B5190">
        <w:t>utreach to stakeholders and submissions on IAASB exposure drafts</w:t>
      </w:r>
    </w:p>
    <w:p w14:paraId="682840A9" w14:textId="1E0EBDD8" w:rsidR="009527A2" w:rsidRPr="007B5190" w:rsidRDefault="00B968DB" w:rsidP="00BD3CA4">
      <w:pPr>
        <w:pStyle w:val="Bullet"/>
      </w:pPr>
      <w:r w:rsidRPr="007B5190">
        <w:t>m</w:t>
      </w:r>
      <w:r w:rsidR="009527A2" w:rsidRPr="007B5190">
        <w:t>eetings with the Chair and staff of the IAASB on developments and key issues</w:t>
      </w:r>
    </w:p>
    <w:p w14:paraId="6B45789F" w14:textId="3804DF94" w:rsidR="009527A2" w:rsidRPr="007B5190" w:rsidRDefault="00B968DB" w:rsidP="00BD3CA4">
      <w:pPr>
        <w:pStyle w:val="Bullet"/>
      </w:pPr>
      <w:r w:rsidRPr="007B5190">
        <w:t>s</w:t>
      </w:r>
      <w:r w:rsidR="009527A2" w:rsidRPr="007B5190">
        <w:t xml:space="preserve">upporting a member of the IAASB by reviewing IAASB papers and providing suggestions on issues to be raised at IAASB meetings. </w:t>
      </w:r>
      <w:r w:rsidR="008863E6" w:rsidRPr="007B5190">
        <w:t xml:space="preserve">The </w:t>
      </w:r>
      <w:r w:rsidR="009527A2" w:rsidRPr="007B5190">
        <w:t xml:space="preserve">AUASB Director </w:t>
      </w:r>
      <w:r w:rsidR="00440723" w:rsidRPr="007B5190">
        <w:t>(</w:t>
      </w:r>
      <w:r w:rsidR="009527A2" w:rsidRPr="007B5190">
        <w:t>Technical</w:t>
      </w:r>
      <w:r w:rsidR="00440723" w:rsidRPr="007B5190">
        <w:t>)</w:t>
      </w:r>
      <w:r w:rsidR="009527A2" w:rsidRPr="007B5190">
        <w:t xml:space="preserve"> acts as an IAASB </w:t>
      </w:r>
      <w:r w:rsidRPr="007B5190">
        <w:t>t</w:t>
      </w:r>
      <w:r w:rsidR="009527A2" w:rsidRPr="007B5190">
        <w:t xml:space="preserve">echnical </w:t>
      </w:r>
      <w:r w:rsidRPr="007B5190">
        <w:t>a</w:t>
      </w:r>
      <w:r w:rsidR="009527A2" w:rsidRPr="007B5190">
        <w:t xml:space="preserve">dviser and provides detailed AUASB input to </w:t>
      </w:r>
      <w:r w:rsidR="008863E6" w:rsidRPr="007B5190">
        <w:t>the member</w:t>
      </w:r>
      <w:r w:rsidR="009527A2" w:rsidRPr="007B5190">
        <w:t>.</w:t>
      </w:r>
    </w:p>
    <w:p w14:paraId="633154CF" w14:textId="2E01F5A0" w:rsidR="009527A2" w:rsidRPr="007B5190" w:rsidRDefault="009527A2" w:rsidP="00BD3CA4">
      <w:r w:rsidRPr="007B5190">
        <w:t>IAASB and AUASB auditing standards apply to private and public sector audits. Standards and application guidance specific to the audits and related services for public sector entities are covered (where appropriate) by AUASB standards.</w:t>
      </w:r>
    </w:p>
    <w:p w14:paraId="768F7C83" w14:textId="77777777" w:rsidR="009527A2" w:rsidRPr="000E28BE" w:rsidRDefault="009527A2" w:rsidP="00BD3CA4">
      <w:pPr>
        <w:pStyle w:val="Heading3"/>
      </w:pPr>
      <w:bookmarkStart w:id="38" w:name="_Toc177124040"/>
      <w:bookmarkStart w:id="39" w:name="_Toc177124702"/>
      <w:bookmarkStart w:id="40" w:name="_Toc177124865"/>
      <w:r w:rsidRPr="000E28BE">
        <w:t>International sustainability standards</w:t>
      </w:r>
      <w:bookmarkEnd w:id="38"/>
      <w:bookmarkEnd w:id="39"/>
      <w:bookmarkEnd w:id="40"/>
      <w:r w:rsidRPr="000E28BE">
        <w:t xml:space="preserve"> </w:t>
      </w:r>
    </w:p>
    <w:p w14:paraId="79A89C55" w14:textId="77777777" w:rsidR="009527A2" w:rsidRPr="007B5190" w:rsidRDefault="009527A2" w:rsidP="00BD3CA4">
      <w:r w:rsidRPr="007B5190">
        <w:t>In the 2024–25 financial year, the FRC closely monitored the ISSB’s activities, including its release of exposure drafts and sustainability standards.</w:t>
      </w:r>
      <w:r w:rsidRPr="007B5190" w:rsidDel="00543109">
        <w:t xml:space="preserve"> </w:t>
      </w:r>
    </w:p>
    <w:p w14:paraId="3C95A259" w14:textId="77777777" w:rsidR="00DA7138" w:rsidRPr="007B5190" w:rsidRDefault="00867FA5" w:rsidP="00BD3CA4">
      <w:r w:rsidRPr="007B5190">
        <w:t>In</w:t>
      </w:r>
      <w:r w:rsidR="009527A2" w:rsidRPr="007B5190">
        <w:t xml:space="preserve"> 2023, ISSB released its new sustainability standards</w:t>
      </w:r>
      <w:r w:rsidR="00DA7138" w:rsidRPr="007B5190">
        <w:t>:</w:t>
      </w:r>
    </w:p>
    <w:p w14:paraId="207D5FCE" w14:textId="1C38D232" w:rsidR="00DA7138" w:rsidRPr="007B5190" w:rsidRDefault="009527A2" w:rsidP="003B326A">
      <w:pPr>
        <w:pStyle w:val="Bullet"/>
      </w:pPr>
      <w:r w:rsidRPr="007B5190">
        <w:t>IFRS S1 General Requirements for Disclosure of Sustainability-related Financial Information,</w:t>
      </w:r>
    </w:p>
    <w:p w14:paraId="20C8CAFE" w14:textId="4AE47E30" w:rsidR="00DA7138" w:rsidRPr="007B5190" w:rsidRDefault="009527A2" w:rsidP="003B326A">
      <w:pPr>
        <w:pStyle w:val="Bullet"/>
      </w:pPr>
      <w:r w:rsidRPr="007B5190">
        <w:t xml:space="preserve">IFRS S2 Climate-related Disclosures. </w:t>
      </w:r>
    </w:p>
    <w:p w14:paraId="548254B3" w14:textId="533E86DE" w:rsidR="009527A2" w:rsidRPr="007B5190" w:rsidRDefault="009527A2" w:rsidP="00BD3CA4">
      <w:r w:rsidRPr="007B5190">
        <w:t>Both will help to improve trust and confidence in company disclosures about sustainability to inform investment decisions.</w:t>
      </w:r>
    </w:p>
    <w:p w14:paraId="26F83F8E" w14:textId="3AC9CFDB" w:rsidR="009527A2" w:rsidRPr="007B5190" w:rsidRDefault="009527A2" w:rsidP="00BD3CA4">
      <w:r w:rsidRPr="007B5190">
        <w:t>The FRC notes that Australian standard-setting boards proactively took steps to formulate and make Australian sustainability-related and climate-risk disclosure and assurance standards.</w:t>
      </w:r>
    </w:p>
    <w:p w14:paraId="09406121" w14:textId="558A6CB2" w:rsidR="00C528C5" w:rsidRPr="007B5190" w:rsidRDefault="009527A2" w:rsidP="00BD3CA4">
      <w:pPr>
        <w:pStyle w:val="Bullet"/>
        <w:rPr>
          <w:rFonts w:eastAsia="Calibri Light" w:cs="Calibri Light"/>
        </w:rPr>
      </w:pPr>
      <w:r w:rsidRPr="007B5190">
        <w:t xml:space="preserve">The AASB Board formally voted to pronounce AASB S1 </w:t>
      </w:r>
      <w:r w:rsidRPr="00BD3CA4">
        <w:rPr>
          <w:i/>
          <w:iCs/>
        </w:rPr>
        <w:t xml:space="preserve">General Requirements for Disclosure of </w:t>
      </w:r>
      <w:r w:rsidRPr="00BD3CA4">
        <w:rPr>
          <w:rFonts w:eastAsia="Calibri Light"/>
          <w:i/>
          <w:iCs/>
        </w:rPr>
        <w:t>Sustainability-related Financial Information</w:t>
      </w:r>
      <w:r w:rsidRPr="007B5190">
        <w:rPr>
          <w:rFonts w:eastAsia="Calibri Light" w:cs="Calibri Light"/>
        </w:rPr>
        <w:t xml:space="preserve"> and AASB S2 </w:t>
      </w:r>
      <w:r w:rsidRPr="00BD3CA4">
        <w:rPr>
          <w:rFonts w:eastAsia="Calibri Light"/>
          <w:i/>
          <w:iCs/>
        </w:rPr>
        <w:t>Climate-related Disclosures</w:t>
      </w:r>
      <w:r w:rsidRPr="007B5190">
        <w:t xml:space="preserve"> </w:t>
      </w:r>
      <w:r w:rsidRPr="007B5190">
        <w:rPr>
          <w:rFonts w:eastAsia="Calibri Light" w:cs="Calibri Light"/>
        </w:rPr>
        <w:t xml:space="preserve">at its 209th meeting in September 2024. More than 50 staff papers were presented to finalise these </w:t>
      </w:r>
      <w:r w:rsidR="00C528C5" w:rsidRPr="007B5190">
        <w:rPr>
          <w:rFonts w:eastAsia="Calibri Light" w:cs="Calibri Light"/>
        </w:rPr>
        <w:t>2 s</w:t>
      </w:r>
      <w:r w:rsidRPr="007B5190">
        <w:rPr>
          <w:rFonts w:eastAsia="Calibri Light" w:cs="Calibri Light"/>
        </w:rPr>
        <w:t xml:space="preserve">tandards in response to stakeholder feedback on ED SR1. </w:t>
      </w:r>
    </w:p>
    <w:p w14:paraId="2048300F" w14:textId="3A78D649" w:rsidR="00C528C5" w:rsidRPr="007B5190" w:rsidRDefault="009527A2" w:rsidP="00BD3CA4">
      <w:pPr>
        <w:pStyle w:val="Dash"/>
        <w:rPr>
          <w:rFonts w:eastAsia="Calibri Light" w:cs="Calibri Light"/>
        </w:rPr>
      </w:pPr>
      <w:r w:rsidRPr="00B21B82">
        <w:rPr>
          <w:rFonts w:eastAsia="Calibri Light"/>
        </w:rPr>
        <w:t xml:space="preserve">AASB S1 is a voluntary </w:t>
      </w:r>
      <w:r w:rsidR="00C528C5" w:rsidRPr="00B21B82">
        <w:rPr>
          <w:rFonts w:eastAsia="Calibri Light"/>
        </w:rPr>
        <w:t>s</w:t>
      </w:r>
      <w:r w:rsidRPr="00B21B82">
        <w:rPr>
          <w:rFonts w:eastAsia="Calibri Light"/>
        </w:rPr>
        <w:t xml:space="preserve">tandard with the same scope and content as </w:t>
      </w:r>
      <w:r w:rsidRPr="00B21B82">
        <w:t>IFRS S1</w:t>
      </w:r>
      <w:r w:rsidRPr="007B5190">
        <w:t xml:space="preserve"> </w:t>
      </w:r>
      <w:r w:rsidRPr="00B21B82">
        <w:rPr>
          <w:i/>
          <w:iCs/>
        </w:rPr>
        <w:t>General Requirements for Disclosure of Sustainability-related Financial Information</w:t>
      </w:r>
      <w:r w:rsidRPr="007B5190">
        <w:rPr>
          <w:i/>
        </w:rPr>
        <w:t xml:space="preserve">, </w:t>
      </w:r>
      <w:r w:rsidRPr="00BA4BA0">
        <w:t xml:space="preserve">except for some transition reliefs that have been modified or omitted to align with the Standard’s voluntary status. </w:t>
      </w:r>
    </w:p>
    <w:p w14:paraId="1CAAECFA" w14:textId="48C17E65" w:rsidR="009527A2" w:rsidRPr="007B5190" w:rsidRDefault="009527A2" w:rsidP="00BD3CA4">
      <w:pPr>
        <w:pStyle w:val="Dash"/>
        <w:rPr>
          <w:rFonts w:eastAsia="Calibri Light" w:cs="Calibri Light"/>
        </w:rPr>
      </w:pPr>
      <w:r w:rsidRPr="007B5190">
        <w:t xml:space="preserve">AASB S2 is a mandatory </w:t>
      </w:r>
      <w:r w:rsidR="00C528C5" w:rsidRPr="007B5190">
        <w:t>s</w:t>
      </w:r>
      <w:r w:rsidRPr="007B5190">
        <w:t xml:space="preserve">tandard for certain entities that incorporates most of the requirements in IFRS S2 </w:t>
      </w:r>
      <w:r w:rsidRPr="00B21B82">
        <w:rPr>
          <w:i/>
          <w:iCs/>
        </w:rPr>
        <w:t>Climate-related Disclosures</w:t>
      </w:r>
      <w:r w:rsidRPr="007B5190">
        <w:rPr>
          <w:i/>
        </w:rPr>
        <w:t xml:space="preserve"> </w:t>
      </w:r>
      <w:r w:rsidRPr="007B5190">
        <w:t>with some modifications.</w:t>
      </w:r>
    </w:p>
    <w:p w14:paraId="7ABC3E1A" w14:textId="421AB44B" w:rsidR="00453702" w:rsidRPr="00BA4BA0" w:rsidRDefault="009527A2" w:rsidP="00BA4BA0">
      <w:pPr>
        <w:pStyle w:val="Bullet"/>
        <w:rPr>
          <w:rFonts w:eastAsia="Calibri Light"/>
        </w:rPr>
      </w:pPr>
      <w:r w:rsidRPr="00BA4BA0">
        <w:rPr>
          <w:rFonts w:eastAsia="Calibri Light"/>
        </w:rPr>
        <w:t xml:space="preserve">The AASB issued ED SR2 </w:t>
      </w:r>
      <w:r w:rsidRPr="00BA4BA0">
        <w:rPr>
          <w:rFonts w:eastAsia="Calibri Light"/>
          <w:i/>
          <w:iCs/>
        </w:rPr>
        <w:t>Amendments to Greenhouse Gas Emissions Disclosures – Proposed amendments to AASB S2</w:t>
      </w:r>
      <w:r w:rsidRPr="00BA4BA0">
        <w:rPr>
          <w:rFonts w:eastAsia="Calibri Light"/>
        </w:rPr>
        <w:t xml:space="preserve"> in April 2025, which</w:t>
      </w:r>
      <w:r w:rsidR="00453702" w:rsidRPr="00BA4BA0">
        <w:rPr>
          <w:rFonts w:eastAsia="Calibri Light"/>
        </w:rPr>
        <w:t>:</w:t>
      </w:r>
    </w:p>
    <w:p w14:paraId="1A6E96BB" w14:textId="158385A7" w:rsidR="00453702" w:rsidRPr="007B5190" w:rsidRDefault="009527A2" w:rsidP="00201910">
      <w:pPr>
        <w:numPr>
          <w:ilvl w:val="1"/>
          <w:numId w:val="5"/>
        </w:numPr>
        <w:tabs>
          <w:tab w:val="left" w:pos="720"/>
        </w:tabs>
        <w:spacing w:line="259" w:lineRule="auto"/>
        <w:rPr>
          <w:rFonts w:ascii="Source Sans Pro Light" w:eastAsia="Calibri Light" w:hAnsi="Source Sans Pro Light" w:cs="Calibri Light"/>
          <w:i/>
          <w:sz w:val="21"/>
          <w:szCs w:val="21"/>
        </w:rPr>
      </w:pPr>
      <w:r w:rsidRPr="00BA4BA0">
        <w:rPr>
          <w:rStyle w:val="DashChar"/>
          <w:rFonts w:eastAsia="Calibri Light"/>
        </w:rPr>
        <w:t xml:space="preserve">incorporate ISSB ED/2025/1 (ISSB </w:t>
      </w:r>
      <w:r w:rsidRPr="00BA4BA0">
        <w:rPr>
          <w:rStyle w:val="DashChar"/>
        </w:rPr>
        <w:t>Exposure Draft</w:t>
      </w:r>
      <w:r w:rsidRPr="007B5190">
        <w:rPr>
          <w:rFonts w:ascii="Source Sans Pro Light" w:hAnsi="Source Sans Pro Light"/>
          <w:sz w:val="21"/>
          <w:szCs w:val="21"/>
        </w:rPr>
        <w:t xml:space="preserve"> </w:t>
      </w:r>
      <w:r w:rsidRPr="00BA4BA0">
        <w:rPr>
          <w:rStyle w:val="DashChar"/>
          <w:i/>
          <w:iCs/>
        </w:rPr>
        <w:t>Amendments to Greenhouse Gas Emissions Disclosures – Proposed amendments to IFRS S2)</w:t>
      </w:r>
      <w:r w:rsidR="00453702" w:rsidRPr="007B5190">
        <w:rPr>
          <w:rFonts w:ascii="Source Sans Pro Light" w:hAnsi="Source Sans Pro Light"/>
          <w:sz w:val="21"/>
          <w:szCs w:val="21"/>
        </w:rPr>
        <w:t xml:space="preserve">, </w:t>
      </w:r>
      <w:r w:rsidR="00453702" w:rsidRPr="00BA4BA0">
        <w:rPr>
          <w:rStyle w:val="DashChar"/>
        </w:rPr>
        <w:t>and</w:t>
      </w:r>
    </w:p>
    <w:p w14:paraId="6451E3BF" w14:textId="4C21C1BB" w:rsidR="009527A2" w:rsidRPr="00976A89" w:rsidRDefault="009527A2" w:rsidP="00976A89">
      <w:pPr>
        <w:pStyle w:val="Dash"/>
        <w:rPr>
          <w:rFonts w:eastAsia="Calibri Light"/>
        </w:rPr>
      </w:pPr>
      <w:r w:rsidRPr="00976A89">
        <w:t>propose to clarify and provide additional relief for specific greenhouse gas emissions disclosure in response to application challenges identified by international stakeholders</w:t>
      </w:r>
      <w:r w:rsidRPr="00976A89">
        <w:rPr>
          <w:rFonts w:eastAsia="Calibri Light"/>
        </w:rPr>
        <w:t>.</w:t>
      </w:r>
    </w:p>
    <w:p w14:paraId="349B07AE" w14:textId="4611FFC5" w:rsidR="009527A2" w:rsidRPr="007B5190" w:rsidRDefault="009527A2" w:rsidP="00976A89">
      <w:pPr>
        <w:pStyle w:val="Bullet"/>
        <w:rPr>
          <w:rFonts w:eastAsia="Calibri Light"/>
        </w:rPr>
      </w:pPr>
      <w:r w:rsidRPr="007B5190">
        <w:rPr>
          <w:rFonts w:eastAsia="Calibri Light"/>
        </w:rPr>
        <w:t>The AASB made the</w:t>
      </w:r>
      <w:r w:rsidR="00453702" w:rsidRPr="007B5190">
        <w:rPr>
          <w:rFonts w:eastAsia="Calibri Light"/>
        </w:rPr>
        <w:t>se</w:t>
      </w:r>
      <w:r w:rsidRPr="007B5190">
        <w:rPr>
          <w:rFonts w:eastAsia="Calibri Light"/>
        </w:rPr>
        <w:t xml:space="preserve"> submissions:</w:t>
      </w:r>
    </w:p>
    <w:p w14:paraId="3A826A44" w14:textId="3B8E046E" w:rsidR="009527A2" w:rsidRPr="00976A89" w:rsidRDefault="009527A2" w:rsidP="00976A89">
      <w:pPr>
        <w:pStyle w:val="Dash"/>
      </w:pPr>
      <w:r w:rsidRPr="00976A89">
        <w:t xml:space="preserve">AASB submission to ISSB on Exposure Draft </w:t>
      </w:r>
      <w:r w:rsidRPr="00976A89">
        <w:rPr>
          <w:i/>
          <w:iCs/>
        </w:rPr>
        <w:t>Amendments to Greenhouse Gas Emissions Disclosures – Proposed amendments to IFRS S2</w:t>
      </w:r>
    </w:p>
    <w:p w14:paraId="38337431" w14:textId="77777777" w:rsidR="009527A2" w:rsidRPr="007B5190" w:rsidRDefault="009527A2" w:rsidP="00976A89">
      <w:pPr>
        <w:pStyle w:val="Dash"/>
      </w:pPr>
      <w:r w:rsidRPr="007B5190">
        <w:t xml:space="preserve">AASB, FRC and SSBJ joint submission to ISSB on Exposure Draft </w:t>
      </w:r>
      <w:r w:rsidRPr="00976A89">
        <w:rPr>
          <w:i/>
          <w:iCs/>
        </w:rPr>
        <w:t>Amendments to Greenhouse Gas Emissions Disclosures – Proposed amendments to IFRS S2.</w:t>
      </w:r>
    </w:p>
    <w:p w14:paraId="28FD4C33" w14:textId="6337C5C4" w:rsidR="0016307B" w:rsidRDefault="009527A2" w:rsidP="00976A89">
      <w:pPr>
        <w:pStyle w:val="Bullet"/>
      </w:pPr>
      <w:r w:rsidRPr="007B5190">
        <w:t>The AASB formed the AASB S2 Implementation Advisory Panel (IAP)</w:t>
      </w:r>
      <w:r w:rsidR="000E6354" w:rsidRPr="007B5190">
        <w:t xml:space="preserve"> – </w:t>
      </w:r>
      <w:r w:rsidRPr="007B5190">
        <w:t xml:space="preserve">a dedicated forum to support consistent, principles-based application across Australia. The IAP held its inaugural meeting in May 2025. </w:t>
      </w:r>
      <w:r w:rsidR="0016307B">
        <w:br w:type="page"/>
      </w:r>
    </w:p>
    <w:p w14:paraId="6BE4569C" w14:textId="5632D491" w:rsidR="00766FBE" w:rsidRPr="007B5190" w:rsidRDefault="009527A2" w:rsidP="00976A89">
      <w:pPr>
        <w:pStyle w:val="Bullet"/>
      </w:pPr>
      <w:r w:rsidRPr="007B5190">
        <w:t xml:space="preserve">The AASB </w:t>
      </w:r>
      <w:r w:rsidR="000E6354" w:rsidRPr="007B5190">
        <w:t xml:space="preserve">completed 2 </w:t>
      </w:r>
      <w:r w:rsidRPr="007B5190">
        <w:t xml:space="preserve">project plans to support Australian entities as they commence a phased approach to mandatory reporting using AASB S2 </w:t>
      </w:r>
      <w:r w:rsidRPr="00976A89">
        <w:rPr>
          <w:i/>
          <w:iCs/>
        </w:rPr>
        <w:t>Climate-related Disclosures</w:t>
      </w:r>
      <w:r w:rsidRPr="007B5190">
        <w:t xml:space="preserve"> from 1</w:t>
      </w:r>
      <w:r w:rsidR="000B1635" w:rsidRPr="007B5190">
        <w:t> </w:t>
      </w:r>
      <w:r w:rsidRPr="007B5190">
        <w:t xml:space="preserve">January 2025: </w:t>
      </w:r>
    </w:p>
    <w:p w14:paraId="44A00B36" w14:textId="77119DC2" w:rsidR="00766FBE" w:rsidRPr="007B5190" w:rsidRDefault="009527A2" w:rsidP="00976A89">
      <w:pPr>
        <w:pStyle w:val="Dash"/>
      </w:pPr>
      <w:r w:rsidRPr="007B5190">
        <w:t>AASB S2: Implementation Support</w:t>
      </w:r>
    </w:p>
    <w:p w14:paraId="1861168C" w14:textId="1AB8F51D" w:rsidR="009527A2" w:rsidRPr="007B5190" w:rsidRDefault="009527A2" w:rsidP="00976A89">
      <w:pPr>
        <w:pStyle w:val="Dash"/>
      </w:pPr>
      <w:r w:rsidRPr="007B5190">
        <w:t>AASB S2: Industry-based Information.</w:t>
      </w:r>
    </w:p>
    <w:p w14:paraId="5FAAC06A" w14:textId="55FBB4DC" w:rsidR="009527A2" w:rsidRPr="007B5190" w:rsidRDefault="009527A2" w:rsidP="00976A89">
      <w:pPr>
        <w:pStyle w:val="Bullet"/>
      </w:pPr>
      <w:r w:rsidRPr="007B5190">
        <w:t xml:space="preserve">The AASB launched the </w:t>
      </w:r>
      <w:r w:rsidR="003E78FD" w:rsidRPr="007B5190">
        <w:t>AASB S2 Knowledge Hub</w:t>
      </w:r>
      <w:r w:rsidRPr="007B5190">
        <w:t xml:space="preserve">, which provides a repository of information to assist entities in understanding and preparing climate-related financial disclosures and information. The AASB has since published an Overview of Australian Sustainability Reporting Standards document and AASB S2 to </w:t>
      </w:r>
      <w:r w:rsidR="00383D6C" w:rsidRPr="007B5190">
        <w:t>Task Force on Climate-Related Financial Disclosures</w:t>
      </w:r>
      <w:r w:rsidRPr="007B5190">
        <w:t xml:space="preserve"> Comparison document on the Knowledge Hub.</w:t>
      </w:r>
    </w:p>
    <w:p w14:paraId="22DBCA27" w14:textId="3003083A" w:rsidR="00EA56D4" w:rsidRPr="007B5190" w:rsidRDefault="007D0C21" w:rsidP="00976A89">
      <w:pPr>
        <w:pStyle w:val="Bullet"/>
      </w:pPr>
      <w:r w:rsidRPr="007B5190">
        <w:t>In August 2024 t</w:t>
      </w:r>
      <w:r w:rsidR="009527A2" w:rsidRPr="007B5190">
        <w:t xml:space="preserve">he AASB hosted </w:t>
      </w:r>
      <w:r w:rsidR="00F24BA6" w:rsidRPr="007B5190">
        <w:t>the</w:t>
      </w:r>
      <w:r w:rsidR="009527A2" w:rsidRPr="007B5190">
        <w:t xml:space="preserve"> Vice-Chair of the ISSB</w:t>
      </w:r>
      <w:r w:rsidR="00CE5752" w:rsidRPr="007B5190">
        <w:t xml:space="preserve">, who </w:t>
      </w:r>
      <w:r w:rsidR="000045F8" w:rsidRPr="007B5190">
        <w:t xml:space="preserve">delivered a </w:t>
      </w:r>
      <w:r w:rsidR="009527A2" w:rsidRPr="007B5190">
        <w:t xml:space="preserve">presentation on the uptake of the ISSB Standards and recently released Work Plan. </w:t>
      </w:r>
    </w:p>
    <w:p w14:paraId="34A48E41" w14:textId="599126B6" w:rsidR="009527A2" w:rsidRPr="007B5190" w:rsidRDefault="009527A2" w:rsidP="00976A89">
      <w:pPr>
        <w:pStyle w:val="Bullet"/>
      </w:pPr>
      <w:r w:rsidRPr="007B5190">
        <w:t>The AASB hosted the ISSB Vice-Chair in May 2025</w:t>
      </w:r>
      <w:r w:rsidR="00EA56D4" w:rsidRPr="007B5190">
        <w:t>. S</w:t>
      </w:r>
      <w:r w:rsidRPr="007B5190">
        <w:t xml:space="preserve">he participated in the inaugural meeting of the IAP and delivered keynote addresses at the </w:t>
      </w:r>
      <w:r w:rsidR="00223FDB" w:rsidRPr="007B5190">
        <w:t>Australasian Investor Relations Association</w:t>
      </w:r>
      <w:r w:rsidR="000904D8" w:rsidRPr="007B5190">
        <w:t>’s</w:t>
      </w:r>
      <w:r w:rsidR="00223FDB" w:rsidRPr="007B5190">
        <w:t xml:space="preserve"> </w:t>
      </w:r>
      <w:r w:rsidRPr="007B5190">
        <w:t>Annual Conference</w:t>
      </w:r>
      <w:r w:rsidR="000904D8" w:rsidRPr="007B5190">
        <w:t>,</w:t>
      </w:r>
      <w:r w:rsidRPr="007B5190">
        <w:t xml:space="preserve"> and the </w:t>
      </w:r>
      <w:r w:rsidR="000904D8" w:rsidRPr="007B5190">
        <w:t xml:space="preserve">Responsible Investment Association Australasia’s </w:t>
      </w:r>
      <w:r w:rsidRPr="007B5190">
        <w:t>Conference.</w:t>
      </w:r>
    </w:p>
    <w:p w14:paraId="4E4295B5" w14:textId="2337B671" w:rsidR="00671CF9" w:rsidRPr="007B5190" w:rsidRDefault="00F24BA6" w:rsidP="00976A89">
      <w:pPr>
        <w:pStyle w:val="Bullet"/>
      </w:pPr>
      <w:r w:rsidRPr="007B5190">
        <w:t xml:space="preserve">The </w:t>
      </w:r>
      <w:r w:rsidR="009527A2" w:rsidRPr="007B5190">
        <w:t xml:space="preserve">AASB Chair and staff </w:t>
      </w:r>
      <w:r w:rsidR="007C3F02" w:rsidRPr="007B5190">
        <w:t xml:space="preserve">engaged with </w:t>
      </w:r>
      <w:r w:rsidR="009527A2" w:rsidRPr="007B5190">
        <w:t>stakeholders throughout 2024</w:t>
      </w:r>
      <w:r w:rsidR="002A4D1C" w:rsidRPr="007B5190">
        <w:t>–</w:t>
      </w:r>
      <w:r w:rsidR="009527A2" w:rsidRPr="007B5190">
        <w:t>25</w:t>
      </w:r>
      <w:r w:rsidR="002A4D1C" w:rsidRPr="007B5190">
        <w:t xml:space="preserve">. </w:t>
      </w:r>
      <w:r w:rsidR="007C3F02" w:rsidRPr="007B5190">
        <w:t>They presented</w:t>
      </w:r>
      <w:r w:rsidR="009527A2" w:rsidRPr="007B5190">
        <w:t xml:space="preserve"> on climate-related financial disclosures at</w:t>
      </w:r>
      <w:r w:rsidR="00671CF9" w:rsidRPr="007B5190">
        <w:t>:</w:t>
      </w:r>
    </w:p>
    <w:p w14:paraId="073B13A4" w14:textId="77777777" w:rsidR="007403E8" w:rsidRPr="007B5190" w:rsidRDefault="009527A2" w:rsidP="00976A89">
      <w:pPr>
        <w:pStyle w:val="Dash"/>
      </w:pPr>
      <w:r w:rsidRPr="007B5190">
        <w:t>Impact X Summit</w:t>
      </w:r>
    </w:p>
    <w:p w14:paraId="3421FB22" w14:textId="77777777" w:rsidR="007403E8" w:rsidRPr="007B5190" w:rsidRDefault="009527A2" w:rsidP="00976A89">
      <w:pPr>
        <w:pStyle w:val="Dash"/>
      </w:pPr>
      <w:r w:rsidRPr="007B5190">
        <w:t>Monash Sustainability Industry Engagement session</w:t>
      </w:r>
    </w:p>
    <w:p w14:paraId="5E7E5720" w14:textId="77777777" w:rsidR="007403E8" w:rsidRPr="007B5190" w:rsidRDefault="009527A2" w:rsidP="00976A89">
      <w:pPr>
        <w:pStyle w:val="Dash"/>
      </w:pPr>
      <w:r w:rsidRPr="007B5190">
        <w:t>Australian Dairy Products Federation breakfast forum on Sustainability Reporting</w:t>
      </w:r>
    </w:p>
    <w:p w14:paraId="26A56A0A" w14:textId="77777777" w:rsidR="007403E8" w:rsidRPr="007B5190" w:rsidRDefault="009527A2" w:rsidP="00976A89">
      <w:pPr>
        <w:pStyle w:val="Dash"/>
      </w:pPr>
      <w:r w:rsidRPr="007B5190">
        <w:t>S&amp;P Global Market Intelligence Live Webcast: Deciphering the Australian Climate Risk Disclosures event</w:t>
      </w:r>
    </w:p>
    <w:p w14:paraId="50AB765F" w14:textId="77777777" w:rsidR="007403E8" w:rsidRPr="007B5190" w:rsidRDefault="009527A2" w:rsidP="00976A89">
      <w:pPr>
        <w:pStyle w:val="Dash"/>
      </w:pPr>
      <w:r w:rsidRPr="007B5190">
        <w:t xml:space="preserve">KPMG </w:t>
      </w:r>
      <w:r w:rsidRPr="007B5190">
        <w:rPr>
          <w:i/>
        </w:rPr>
        <w:t>Leaders 2050 Panel</w:t>
      </w:r>
    </w:p>
    <w:p w14:paraId="697B2168" w14:textId="77777777" w:rsidR="007403E8" w:rsidRPr="007B5190" w:rsidRDefault="009527A2" w:rsidP="00976A89">
      <w:pPr>
        <w:pStyle w:val="Dash"/>
      </w:pPr>
      <w:r w:rsidRPr="007B5190">
        <w:t>Victorian Public Sector Climate Working Group</w:t>
      </w:r>
    </w:p>
    <w:p w14:paraId="21893804" w14:textId="77777777" w:rsidR="007403E8" w:rsidRPr="007B5190" w:rsidRDefault="009527A2" w:rsidP="00976A89">
      <w:pPr>
        <w:pStyle w:val="Dash"/>
      </w:pPr>
      <w:r w:rsidRPr="007B5190">
        <w:t>CPA and IAI Business Breakfast</w:t>
      </w:r>
    </w:p>
    <w:p w14:paraId="621D5EAA" w14:textId="77777777" w:rsidR="007403E8" w:rsidRPr="007B5190" w:rsidRDefault="009527A2" w:rsidP="00976A89">
      <w:pPr>
        <w:pStyle w:val="Dash"/>
      </w:pPr>
      <w:r w:rsidRPr="007B5190">
        <w:t>Fijian Institute of Chartered Accountants Conference</w:t>
      </w:r>
    </w:p>
    <w:p w14:paraId="4EBED9B6" w14:textId="77777777" w:rsidR="007403E8" w:rsidRPr="007B5190" w:rsidRDefault="009527A2" w:rsidP="00976A89">
      <w:pPr>
        <w:pStyle w:val="Dash"/>
      </w:pPr>
      <w:r w:rsidRPr="007B5190">
        <w:t xml:space="preserve">Dairy Manufacturer’s Sustainability Council </w:t>
      </w:r>
    </w:p>
    <w:p w14:paraId="353B896B" w14:textId="74BF2A3A" w:rsidR="00082C2F" w:rsidRPr="007B5190" w:rsidRDefault="009527A2" w:rsidP="00976A89">
      <w:pPr>
        <w:pStyle w:val="Dash"/>
      </w:pPr>
      <w:proofErr w:type="spellStart"/>
      <w:r w:rsidRPr="007B5190">
        <w:t>Brentnalls</w:t>
      </w:r>
      <w:proofErr w:type="spellEnd"/>
      <w:r w:rsidRPr="007B5190">
        <w:t xml:space="preserve"> Conference</w:t>
      </w:r>
      <w:r w:rsidR="00122EA3" w:rsidRPr="007B5190">
        <w:t>.</w:t>
      </w:r>
    </w:p>
    <w:p w14:paraId="0244A08B" w14:textId="1CBC138D" w:rsidR="00AF4780" w:rsidRPr="007B5190" w:rsidRDefault="00AF4780" w:rsidP="0016307B">
      <w:pPr>
        <w:pStyle w:val="Bullet"/>
      </w:pPr>
      <w:r w:rsidRPr="007B5190">
        <w:t xml:space="preserve">The AASB Chair and staff also addressed </w:t>
      </w:r>
      <w:r w:rsidR="009527A2" w:rsidRPr="007B5190">
        <w:t>various audiences</w:t>
      </w:r>
      <w:r w:rsidRPr="007B5190">
        <w:t xml:space="preserve"> on</w:t>
      </w:r>
      <w:r w:rsidR="009527A2" w:rsidRPr="007B5190">
        <w:t xml:space="preserve"> </w:t>
      </w:r>
      <w:r w:rsidRPr="007B5190">
        <w:t xml:space="preserve">climate-related financial disclosures, including: </w:t>
      </w:r>
    </w:p>
    <w:p w14:paraId="5CBABBA0" w14:textId="77777777" w:rsidR="00AF4780" w:rsidRPr="007B5190" w:rsidRDefault="009527A2" w:rsidP="0016307B">
      <w:pPr>
        <w:pStyle w:val="Dash"/>
      </w:pPr>
      <w:r w:rsidRPr="007B5190">
        <w:t>the Investor Group on Climate Change</w:t>
      </w:r>
    </w:p>
    <w:p w14:paraId="1611B16B" w14:textId="7646BF38" w:rsidR="00AF4780" w:rsidRPr="0016307B" w:rsidRDefault="009527A2" w:rsidP="0016307B">
      <w:pPr>
        <w:pStyle w:val="Dash"/>
        <w:rPr>
          <w:rStyle w:val="Emphasis"/>
        </w:rPr>
      </w:pPr>
      <w:r w:rsidRPr="007B5190">
        <w:t xml:space="preserve">FSC </w:t>
      </w:r>
      <w:r w:rsidRPr="0016307B">
        <w:rPr>
          <w:i/>
          <w:iCs/>
        </w:rPr>
        <w:t>ESG Working Group</w:t>
      </w:r>
    </w:p>
    <w:p w14:paraId="615540ED" w14:textId="1322ADA0" w:rsidR="00AF4780" w:rsidRPr="007B5190" w:rsidRDefault="009527A2" w:rsidP="0016307B">
      <w:pPr>
        <w:pStyle w:val="Dash"/>
      </w:pPr>
      <w:r w:rsidRPr="007B5190">
        <w:t xml:space="preserve">AFMA </w:t>
      </w:r>
      <w:r w:rsidRPr="0016307B">
        <w:rPr>
          <w:i/>
          <w:iCs/>
        </w:rPr>
        <w:t>Sustainability Data Disclosure Working Group</w:t>
      </w:r>
    </w:p>
    <w:p w14:paraId="27F23519" w14:textId="63468511" w:rsidR="009527A2" w:rsidRPr="007B5190" w:rsidRDefault="009527A2" w:rsidP="0016307B">
      <w:pPr>
        <w:pStyle w:val="Dash"/>
      </w:pPr>
      <w:r w:rsidRPr="007B5190">
        <w:t>University of Melbourne Department of Accounting.</w:t>
      </w:r>
    </w:p>
    <w:p w14:paraId="11EBBFA0" w14:textId="77777777" w:rsidR="009527A2" w:rsidRPr="007B5190" w:rsidRDefault="009527A2" w:rsidP="0016307B">
      <w:pPr>
        <w:pStyle w:val="Bullet"/>
      </w:pPr>
      <w:r w:rsidRPr="007B5190">
        <w:t>During 2024 the AUASB closely monitored the development of ISSA 5000</w:t>
      </w:r>
      <w:r w:rsidRPr="007B5190">
        <w:rPr>
          <w:i/>
        </w:rPr>
        <w:t xml:space="preserve"> </w:t>
      </w:r>
      <w:r w:rsidRPr="0016307B">
        <w:rPr>
          <w:i/>
          <w:iCs/>
        </w:rPr>
        <w:t>General Requirements for Sustainability Assurance Engagement</w:t>
      </w:r>
      <w:r w:rsidRPr="007B5190">
        <w:t>. The IAASB launched ISSA 5000 on 27 January 2025.</w:t>
      </w:r>
    </w:p>
    <w:p w14:paraId="1C2311CD" w14:textId="5CA45C26" w:rsidR="009527A2" w:rsidRPr="007B5190" w:rsidRDefault="009527A2" w:rsidP="0016307B">
      <w:pPr>
        <w:pStyle w:val="Bullet"/>
      </w:pPr>
      <w:r w:rsidRPr="007B5190">
        <w:t xml:space="preserve"> </w:t>
      </w:r>
      <w:r w:rsidR="00D930A0" w:rsidRPr="007B5190">
        <w:t>On 28 January 2025 t</w:t>
      </w:r>
      <w:r w:rsidRPr="007B5190">
        <w:t>he AUASB approved the Australian equivalent of ISSA 5000</w:t>
      </w:r>
      <w:r w:rsidR="00D930A0" w:rsidRPr="007B5190">
        <w:t>.</w:t>
      </w:r>
      <w:r w:rsidRPr="007B5190">
        <w:t xml:space="preserve"> </w:t>
      </w:r>
      <w:r w:rsidR="00863AB0" w:rsidRPr="007B5190">
        <w:t xml:space="preserve">It is </w:t>
      </w:r>
      <w:r w:rsidRPr="007B5190">
        <w:t>effective for mandatory and voluntary assurance engagements on sustainability information reported for periods beginning on or after 1 January 2025</w:t>
      </w:r>
      <w:r w:rsidR="00316747" w:rsidRPr="007B5190">
        <w:t>,</w:t>
      </w:r>
      <w:r w:rsidRPr="007B5190">
        <w:t xml:space="preserve"> or as at a specific date on or after 1</w:t>
      </w:r>
      <w:r w:rsidR="00316747" w:rsidRPr="007B5190">
        <w:t> </w:t>
      </w:r>
      <w:r w:rsidRPr="007B5190">
        <w:t>January 2025.</w:t>
      </w:r>
    </w:p>
    <w:p w14:paraId="086EB38D" w14:textId="236BC687" w:rsidR="009527A2" w:rsidRPr="007B5190" w:rsidRDefault="009527A2" w:rsidP="0016307B">
      <w:pPr>
        <w:pStyle w:val="Bullet"/>
      </w:pPr>
      <w:r w:rsidRPr="007B5190">
        <w:t>The AUASB Chair and the Director – National participated in the IAASB’s Working Group developing supplementary illustrative assurance reports.</w:t>
      </w:r>
      <w:r w:rsidR="00112911" w:rsidRPr="007B5190">
        <w:t xml:space="preserve"> </w:t>
      </w:r>
    </w:p>
    <w:p w14:paraId="1425E261" w14:textId="77777777" w:rsidR="004F6D6D" w:rsidRPr="007B5190" w:rsidRDefault="009527A2" w:rsidP="0016307B">
      <w:pPr>
        <w:pStyle w:val="Heading3"/>
      </w:pPr>
      <w:bookmarkStart w:id="41" w:name="_Toc177124041"/>
      <w:bookmarkStart w:id="42" w:name="_Toc177124703"/>
      <w:bookmarkStart w:id="43" w:name="_Toc177124866"/>
      <w:r w:rsidRPr="00E90DBE">
        <w:t xml:space="preserve">International </w:t>
      </w:r>
      <w:r w:rsidRPr="007B5190">
        <w:t>appointments</w:t>
      </w:r>
      <w:bookmarkEnd w:id="41"/>
      <w:bookmarkEnd w:id="42"/>
      <w:bookmarkEnd w:id="43"/>
    </w:p>
    <w:p w14:paraId="6387E1DA" w14:textId="276621A8" w:rsidR="009527A2" w:rsidRPr="007B5190" w:rsidRDefault="009527A2" w:rsidP="0016307B">
      <w:pPr>
        <w:rPr>
          <w:rFonts w:cs="Arial"/>
          <w:b/>
          <w:kern w:val="32"/>
        </w:rPr>
      </w:pPr>
      <w:r w:rsidRPr="007B5190">
        <w:t>In 2024–25 the FRC welcomed the following international appointments of</w:t>
      </w:r>
      <w:r w:rsidR="00336887" w:rsidRPr="007B5190">
        <w:t xml:space="preserve"> </w:t>
      </w:r>
      <w:r w:rsidRPr="007B5190">
        <w:t xml:space="preserve">Australian accounting and auditing profession leaders: </w:t>
      </w:r>
    </w:p>
    <w:p w14:paraId="6EF04853" w14:textId="37E69C4B" w:rsidR="009527A2" w:rsidRPr="007B5190" w:rsidRDefault="009527A2" w:rsidP="0016307B">
      <w:pPr>
        <w:pStyle w:val="Bullet"/>
      </w:pPr>
      <w:r w:rsidRPr="007B5190">
        <w:t xml:space="preserve">The AASB and XRB were jointly appointed to the International Accounting Standards Board (IASB)'s Accounting Standards Advisory Forum (ASAF), effective from 1 January 2025. ASAF </w:t>
      </w:r>
      <w:r w:rsidR="36B9812A" w:rsidRPr="007B5190">
        <w:t>was</w:t>
      </w:r>
      <w:r w:rsidRPr="007B5190">
        <w:t xml:space="preserve"> founded by the IASB </w:t>
      </w:r>
      <w:r w:rsidR="60A755D3" w:rsidRPr="007B5190">
        <w:t>so</w:t>
      </w:r>
      <w:r w:rsidRPr="007B5190">
        <w:t xml:space="preserve"> members can contribute</w:t>
      </w:r>
      <w:r w:rsidR="27F095EB" w:rsidRPr="007B5190">
        <w:t xml:space="preserve"> </w:t>
      </w:r>
      <w:r w:rsidR="4D11B343" w:rsidRPr="007B5190">
        <w:t>to</w:t>
      </w:r>
      <w:r w:rsidRPr="007B5190">
        <w:t xml:space="preserve"> developing globally accepted high-quality accounting </w:t>
      </w:r>
      <w:r w:rsidRPr="007B5190" w:rsidDel="00B87E4B">
        <w:t>standards</w:t>
      </w:r>
      <w:r w:rsidRPr="007B5190">
        <w:t>.</w:t>
      </w:r>
    </w:p>
    <w:p w14:paraId="13139A15" w14:textId="77E9B55B" w:rsidR="009527A2" w:rsidRPr="007B5190" w:rsidRDefault="009527A2" w:rsidP="0016307B">
      <w:pPr>
        <w:pStyle w:val="Bullet"/>
      </w:pPr>
      <w:r w:rsidRPr="007B5190">
        <w:t>Dr Keith Kendall (Chair, AASB) and the Chair of Canada’s Accounting Standards Board (</w:t>
      </w:r>
      <w:proofErr w:type="spellStart"/>
      <w:r w:rsidRPr="007B5190">
        <w:t>AcSB</w:t>
      </w:r>
      <w:proofErr w:type="spellEnd"/>
      <w:r w:rsidRPr="007B5190">
        <w:t xml:space="preserve">) </w:t>
      </w:r>
      <w:r w:rsidR="0E29930A" w:rsidRPr="007B5190">
        <w:t xml:space="preserve">was also appointed </w:t>
      </w:r>
      <w:r w:rsidRPr="007B5190">
        <w:t>co-Chair of the International Forum of Accounting Standard Setters (IFASS) at the end of the March 2025 meeting. IFASS</w:t>
      </w:r>
      <w:r w:rsidR="48D8ABB2" w:rsidRPr="007B5190">
        <w:t xml:space="preserve"> </w:t>
      </w:r>
      <w:r w:rsidRPr="007B5190">
        <w:t>comprise</w:t>
      </w:r>
      <w:r w:rsidR="401DEC30" w:rsidRPr="007B5190">
        <w:t>s</w:t>
      </w:r>
      <w:r w:rsidRPr="007B5190">
        <w:t xml:space="preserve"> National Standard Setters, </w:t>
      </w:r>
      <w:r w:rsidR="44085D14" w:rsidRPr="007B5190">
        <w:t>which</w:t>
      </w:r>
      <w:r w:rsidRPr="007B5190">
        <w:t xml:space="preserve"> foster evidence-based standard setting </w:t>
      </w:r>
      <w:r w:rsidR="61CAA579" w:rsidRPr="007B5190">
        <w:t>and share</w:t>
      </w:r>
      <w:r w:rsidR="54F5536A" w:rsidRPr="007B5190">
        <w:t>s</w:t>
      </w:r>
      <w:r w:rsidRPr="007B5190">
        <w:t xml:space="preserve"> </w:t>
      </w:r>
      <w:r w:rsidR="46FD2E89" w:rsidRPr="007B5190">
        <w:t xml:space="preserve">insights </w:t>
      </w:r>
      <w:r w:rsidRPr="007B5190">
        <w:t>with international standard</w:t>
      </w:r>
      <w:r w:rsidR="08CC5AFC" w:rsidRPr="007B5190">
        <w:t>-</w:t>
      </w:r>
      <w:r w:rsidRPr="007B5190">
        <w:t>setting bodies such as the International Accounting Standards Board (IASB) and the International Sustainability Standards Board (ISSB).</w:t>
      </w:r>
    </w:p>
    <w:p w14:paraId="720AC9E7" w14:textId="6A6C449F" w:rsidR="009527A2" w:rsidRPr="007B5190" w:rsidRDefault="009527A2" w:rsidP="0016307B">
      <w:pPr>
        <w:pStyle w:val="Bullet"/>
      </w:pPr>
      <w:r w:rsidRPr="007B5190">
        <w:t xml:space="preserve">Dr Kendall continued his role as Vice Chair </w:t>
      </w:r>
      <w:r w:rsidR="70C771F8" w:rsidRPr="007B5190">
        <w:t xml:space="preserve">of </w:t>
      </w:r>
      <w:r w:rsidRPr="007B5190">
        <w:t>AOSSG</w:t>
      </w:r>
      <w:r w:rsidR="006E51B3" w:rsidRPr="007B5190">
        <w:t xml:space="preserve"> – </w:t>
      </w:r>
      <w:r w:rsidRPr="007B5190">
        <w:t>a grouping of the </w:t>
      </w:r>
      <w:proofErr w:type="gramStart"/>
      <w:r w:rsidRPr="007B5190">
        <w:t>28 </w:t>
      </w:r>
      <w:r w:rsidR="000047A9" w:rsidRPr="007B5190">
        <w:t>a</w:t>
      </w:r>
      <w:r w:rsidRPr="007B5190">
        <w:t>ccounting</w:t>
      </w:r>
      <w:proofErr w:type="gramEnd"/>
      <w:r w:rsidRPr="007B5190">
        <w:t xml:space="preserve"> </w:t>
      </w:r>
      <w:r w:rsidR="000047A9" w:rsidRPr="007B5190">
        <w:t>s</w:t>
      </w:r>
      <w:r w:rsidRPr="007B5190">
        <w:t>tandard</w:t>
      </w:r>
      <w:r w:rsidR="0016307B">
        <w:noBreakHyphen/>
      </w:r>
      <w:r w:rsidR="000047A9" w:rsidRPr="007B5190">
        <w:t>s</w:t>
      </w:r>
      <w:r w:rsidRPr="007B5190">
        <w:t xml:space="preserve">etters in the Asian-Oceanian region. The Group was formed in 2009 </w:t>
      </w:r>
      <w:r w:rsidR="6FE00084" w:rsidRPr="007B5190">
        <w:t>in response</w:t>
      </w:r>
      <w:r w:rsidRPr="007B5190">
        <w:t xml:space="preserve"> to the</w:t>
      </w:r>
      <w:r w:rsidR="0016307B">
        <w:t> </w:t>
      </w:r>
      <w:r w:rsidRPr="007B5190">
        <w:t>adoption of International Financial Reporting Standards (IFRS) and to contribute to the development of a high-quality set of global accounting standards.</w:t>
      </w:r>
    </w:p>
    <w:p w14:paraId="178B3AD6" w14:textId="2FF60539" w:rsidR="00FE53B6" w:rsidRPr="007B5190" w:rsidRDefault="009527A2" w:rsidP="0016307B">
      <w:pPr>
        <w:pStyle w:val="Bullet"/>
      </w:pPr>
      <w:r w:rsidRPr="007B5190">
        <w:t>Doug Niven (Chair, AUASB) continued his role as a member of the IAASB and IESBA Stakeholder Advisory Council</w:t>
      </w:r>
      <w:r w:rsidR="00975D77" w:rsidRPr="007B5190">
        <w:t xml:space="preserve">, which </w:t>
      </w:r>
      <w:r w:rsidRPr="007B5190">
        <w:t>provides strategic input and recommendations to IAASB and IESBA.</w:t>
      </w:r>
    </w:p>
    <w:p w14:paraId="22F09E8D" w14:textId="035513FB" w:rsidR="009527A2" w:rsidRPr="007B5190" w:rsidRDefault="00FE53B6" w:rsidP="0016307B">
      <w:pPr>
        <w:pStyle w:val="Bullet"/>
      </w:pPr>
      <w:proofErr w:type="spellStart"/>
      <w:r w:rsidRPr="007B5190">
        <w:t>Merran</w:t>
      </w:r>
      <w:proofErr w:type="spellEnd"/>
      <w:r w:rsidRPr="007B5190">
        <w:t xml:space="preserve"> Kelsall was appointed as the Chair of the IFRS Advisory Council in February 2025. </w:t>
      </w:r>
    </w:p>
    <w:p w14:paraId="03FF55FA" w14:textId="77777777" w:rsidR="009527A2" w:rsidRPr="000E28BE" w:rsidRDefault="009527A2" w:rsidP="0016307B">
      <w:pPr>
        <w:pStyle w:val="Heading3"/>
      </w:pPr>
      <w:bookmarkStart w:id="44" w:name="_Toc177124042"/>
      <w:bookmarkStart w:id="45" w:name="_Toc177124704"/>
      <w:bookmarkStart w:id="46" w:name="_Toc177124867"/>
      <w:r w:rsidRPr="000E28BE">
        <w:t>Regional relationships</w:t>
      </w:r>
      <w:bookmarkEnd w:id="44"/>
      <w:bookmarkEnd w:id="45"/>
      <w:bookmarkEnd w:id="46"/>
    </w:p>
    <w:p w14:paraId="7592079F" w14:textId="0D7B26E8" w:rsidR="009527A2" w:rsidRPr="00B06284" w:rsidRDefault="009527A2" w:rsidP="0016307B">
      <w:r w:rsidRPr="00B06284">
        <w:t>Australia and New Zealand continued to facilitate harmonisation of trans-Tasman standard setting. This</w:t>
      </w:r>
      <w:r w:rsidR="0016307B">
        <w:t> </w:t>
      </w:r>
      <w:r w:rsidRPr="00B06284">
        <w:t xml:space="preserve">relationship </w:t>
      </w:r>
      <w:r w:rsidR="0069621C" w:rsidRPr="00B06284">
        <w:t>was</w:t>
      </w:r>
      <w:r w:rsidRPr="00B06284">
        <w:t xml:space="preserve"> enhanced by cross appointment</w:t>
      </w:r>
      <w:r w:rsidR="56853C50" w:rsidRPr="00B06284">
        <w:t>s</w:t>
      </w:r>
      <w:r w:rsidRPr="00B06284">
        <w:t xml:space="preserve"> to financial reporting oversight and standard</w:t>
      </w:r>
      <w:r w:rsidR="00BD6A9D">
        <w:noBreakHyphen/>
      </w:r>
      <w:r w:rsidRPr="00B06284">
        <w:t xml:space="preserve">setting boards between Australia and New Zealand. </w:t>
      </w:r>
    </w:p>
    <w:p w14:paraId="7E3B5A9D" w14:textId="460384BA" w:rsidR="009527A2" w:rsidRPr="00B06284" w:rsidRDefault="009527A2" w:rsidP="0016307B">
      <w:r w:rsidRPr="00B06284">
        <w:t>The FRC Chair is a member of the XRB. The XRB Chair is a member of the FRC as part of the arrangement for cross</w:t>
      </w:r>
      <w:r w:rsidR="0077617C" w:rsidRPr="00B06284">
        <w:t xml:space="preserve"> </w:t>
      </w:r>
      <w:r w:rsidRPr="00B06284">
        <w:t xml:space="preserve">appointments between Australia and New Zealand. The Chairs of the AASB, AUASB, </w:t>
      </w:r>
      <w:r w:rsidRPr="00B06284">
        <w:rPr>
          <w:lang w:val="en-GB"/>
        </w:rPr>
        <w:t>New Zealand Accounting Standards Board</w:t>
      </w:r>
      <w:r w:rsidRPr="00B06284">
        <w:t xml:space="preserve"> (NZASB) and </w:t>
      </w:r>
      <w:r w:rsidRPr="00B06284">
        <w:rPr>
          <w:lang w:val="en-GB"/>
        </w:rPr>
        <w:t>New Zealand Auditing and Assurance Standards Board (</w:t>
      </w:r>
      <w:proofErr w:type="spellStart"/>
      <w:r w:rsidRPr="00B06284">
        <w:t>NZAuASB</w:t>
      </w:r>
      <w:proofErr w:type="spellEnd"/>
      <w:r w:rsidRPr="00B06284">
        <w:t>) are also members of their counterpart boards.</w:t>
      </w:r>
    </w:p>
    <w:p w14:paraId="0BDB8815" w14:textId="77777777" w:rsidR="007867F6" w:rsidRDefault="007867F6" w:rsidP="000B66A2">
      <w:pPr>
        <w:pStyle w:val="Heading2"/>
      </w:pPr>
      <w:bookmarkStart w:id="47" w:name="_Toc177124043"/>
      <w:bookmarkStart w:id="48" w:name="_Toc177124868"/>
      <w:bookmarkStart w:id="49" w:name="_Toc211627800"/>
      <w:r>
        <w:br w:type="page"/>
      </w:r>
    </w:p>
    <w:p w14:paraId="461042FA" w14:textId="446C5A93" w:rsidR="009527A2" w:rsidRPr="000E28BE" w:rsidRDefault="009527A2" w:rsidP="000B66A2">
      <w:pPr>
        <w:pStyle w:val="Heading2"/>
      </w:pPr>
      <w:r w:rsidRPr="000E28BE">
        <w:t>Monitoring the operation of accounting and auditing standards</w:t>
      </w:r>
      <w:bookmarkEnd w:id="47"/>
      <w:bookmarkEnd w:id="48"/>
      <w:bookmarkEnd w:id="49"/>
    </w:p>
    <w:p w14:paraId="78E65A17" w14:textId="3AC352F7" w:rsidR="009527A2" w:rsidRPr="000434BD" w:rsidRDefault="009527A2" w:rsidP="0016307B">
      <w:r w:rsidRPr="000434BD">
        <w:t>The FRC monitors the operation of Australian accounting</w:t>
      </w:r>
      <w:r w:rsidR="00586D42" w:rsidRPr="000434BD">
        <w:t>, sustainability</w:t>
      </w:r>
      <w:r w:rsidRPr="000434BD">
        <w:t xml:space="preserve"> and auditing standards. It does so to assess the continued relevance and effectiveness of the standards. This applies to private and public sectors in Australia’s economy.</w:t>
      </w:r>
    </w:p>
    <w:p w14:paraId="381B2C6D" w14:textId="72529E80" w:rsidR="009527A2" w:rsidRPr="000434BD" w:rsidRDefault="009527A2" w:rsidP="0016307B">
      <w:r w:rsidRPr="000434BD">
        <w:t>Based on the reports of the Chairs of the AASB and AUASB, and on FRC members’ knowledge of how the standard-setting processes and standards themselves operate in practice, the FRC is satisfied the AASB and AUASB</w:t>
      </w:r>
      <w:r w:rsidR="00634F4D" w:rsidRPr="000434BD">
        <w:t xml:space="preserve"> have</w:t>
      </w:r>
      <w:r w:rsidRPr="000434BD">
        <w:t>:</w:t>
      </w:r>
    </w:p>
    <w:p w14:paraId="0584260C" w14:textId="5F16DBCF" w:rsidR="009527A2" w:rsidRPr="000434BD" w:rsidRDefault="009527A2" w:rsidP="0016307B">
      <w:pPr>
        <w:pStyle w:val="Bullet"/>
      </w:pPr>
      <w:r w:rsidRPr="000434BD">
        <w:t>adopted IFRS accounting standards and International Standards on Auditing</w:t>
      </w:r>
      <w:r w:rsidR="0068751C" w:rsidRPr="000434BD">
        <w:t>, including those related to sustainability,</w:t>
      </w:r>
      <w:r w:rsidRPr="000434BD">
        <w:t xml:space="preserve"> within reasonable timeframes in accordance with the strategic directions issued by the FRC </w:t>
      </w:r>
    </w:p>
    <w:p w14:paraId="39B442AC" w14:textId="38DA95F8" w:rsidR="009527A2" w:rsidRPr="000434BD" w:rsidRDefault="009527A2" w:rsidP="0016307B">
      <w:pPr>
        <w:pStyle w:val="Bullet"/>
      </w:pPr>
      <w:r w:rsidRPr="000434BD">
        <w:t>adequate post-implementation review processes to assess the effectiveness of new standards and</w:t>
      </w:r>
      <w:r w:rsidR="0016307B">
        <w:t> </w:t>
      </w:r>
      <w:r w:rsidRPr="000434BD">
        <w:t>guidance</w:t>
      </w:r>
    </w:p>
    <w:p w14:paraId="536E8FAF" w14:textId="3EB80A55" w:rsidR="009527A2" w:rsidRPr="000434BD" w:rsidRDefault="009527A2" w:rsidP="0016307B">
      <w:pPr>
        <w:pStyle w:val="Bullet"/>
      </w:pPr>
      <w:r w:rsidRPr="000434BD">
        <w:t>regular consultation processes to identify if further guidance is necessary for existing accounting</w:t>
      </w:r>
      <w:r w:rsidR="00980EFB" w:rsidRPr="000434BD">
        <w:t>, sustainability</w:t>
      </w:r>
      <w:r w:rsidRPr="000434BD">
        <w:t xml:space="preserve"> and auditing standards</w:t>
      </w:r>
    </w:p>
    <w:p w14:paraId="21E09ED5" w14:textId="77777777" w:rsidR="0016307B" w:rsidRDefault="00634F4D" w:rsidP="0016307B">
      <w:pPr>
        <w:pStyle w:val="Bullet"/>
      </w:pPr>
      <w:r w:rsidRPr="000434BD">
        <w:t xml:space="preserve">consulted </w:t>
      </w:r>
      <w:r w:rsidR="009527A2" w:rsidRPr="000434BD">
        <w:t>appropriately before issuing new standards or guidance</w:t>
      </w:r>
    </w:p>
    <w:p w14:paraId="2704F9D7" w14:textId="63D8DEFD" w:rsidR="007867F6" w:rsidRDefault="0097019F" w:rsidP="00332A0F">
      <w:pPr>
        <w:pStyle w:val="Bullet"/>
        <w:sectPr w:rsidR="007867F6" w:rsidSect="005E5EE1">
          <w:pgSz w:w="11906" w:h="16838" w:code="9"/>
          <w:pgMar w:top="1843" w:right="1418" w:bottom="1418" w:left="1418" w:header="708" w:footer="708" w:gutter="0"/>
          <w:cols w:space="708"/>
          <w:titlePg/>
          <w:docGrid w:linePitch="360"/>
        </w:sectPr>
      </w:pPr>
      <w:r w:rsidRPr="000434BD">
        <w:t xml:space="preserve">appropriate </w:t>
      </w:r>
      <w:r w:rsidR="009527A2" w:rsidRPr="000434BD">
        <w:t xml:space="preserve">consultation mechanisms </w:t>
      </w:r>
      <w:r w:rsidRPr="000434BD">
        <w:t xml:space="preserve">in place </w:t>
      </w:r>
      <w:r w:rsidR="009527A2" w:rsidRPr="000434BD">
        <w:t>that include roundtables, targeted outreach, education sessions, webinars and relevant social media</w:t>
      </w:r>
      <w:r w:rsidR="009B03AE" w:rsidRPr="000434BD">
        <w:t>.</w:t>
      </w:r>
      <w:r w:rsidR="0016307B" w:rsidRPr="007867F6">
        <w:rPr>
          <w:rFonts w:ascii="Aptos" w:hAnsi="Aptos"/>
          <w:color w:val="85AED7"/>
          <w:sz w:val="56"/>
          <w:szCs w:val="56"/>
          <w:lang w:val="en-GB"/>
        </w:rPr>
        <w:t xml:space="preserve"> </w:t>
      </w:r>
      <w:bookmarkStart w:id="50" w:name="_Toc211627801"/>
      <w:bookmarkStart w:id="51" w:name="_Hlk139874340"/>
    </w:p>
    <w:p w14:paraId="2C574333" w14:textId="721BD11A" w:rsidR="00F23429" w:rsidRPr="004F6D6D" w:rsidRDefault="00B026FA" w:rsidP="00F5608E">
      <w:pPr>
        <w:pStyle w:val="Heading1"/>
      </w:pPr>
      <w:r w:rsidRPr="004F6D6D">
        <w:t xml:space="preserve">Audit </w:t>
      </w:r>
      <w:r w:rsidR="00FE4EBF" w:rsidRPr="004F6D6D">
        <w:t>q</w:t>
      </w:r>
      <w:r w:rsidRPr="004F6D6D">
        <w:t>uality</w:t>
      </w:r>
      <w:bookmarkEnd w:id="50"/>
    </w:p>
    <w:p w14:paraId="3A60A098" w14:textId="25D35313" w:rsidR="000D1F53" w:rsidRPr="004F6D6D" w:rsidRDefault="006174EF" w:rsidP="000B66A2">
      <w:pPr>
        <w:pStyle w:val="Heading2"/>
      </w:pPr>
      <w:bookmarkStart w:id="52" w:name="_Toc211627802"/>
      <w:r w:rsidRPr="004F6D6D">
        <w:t>FRC’s role on audit quality</w:t>
      </w:r>
      <w:bookmarkEnd w:id="52"/>
    </w:p>
    <w:p w14:paraId="63B2DAB2" w14:textId="721454C8" w:rsidR="004C26EB" w:rsidRPr="000434BD" w:rsidRDefault="004C26EB" w:rsidP="0016307B">
      <w:r w:rsidRPr="000434BD">
        <w:t xml:space="preserve">Australia’s legislative framework for audit is mainly set out in </w:t>
      </w:r>
      <w:r w:rsidRPr="0016307B">
        <w:t>the</w:t>
      </w:r>
      <w:r w:rsidRPr="0016307B">
        <w:rPr>
          <w:rStyle w:val="Emphasis"/>
        </w:rPr>
        <w:t xml:space="preserve"> </w:t>
      </w:r>
      <w:r w:rsidRPr="0016307B">
        <w:rPr>
          <w:i/>
          <w:iCs/>
        </w:rPr>
        <w:t>Corporations Act</w:t>
      </w:r>
      <w:r w:rsidR="00180480" w:rsidRPr="0016307B">
        <w:rPr>
          <w:i/>
          <w:iCs/>
        </w:rPr>
        <w:t xml:space="preserve"> 2001</w:t>
      </w:r>
      <w:r w:rsidR="00180480" w:rsidRPr="000434BD">
        <w:t xml:space="preserve"> (Corporations Act)</w:t>
      </w:r>
      <w:r w:rsidRPr="000434BD">
        <w:t>. ASIC has key regulator responsibil</w:t>
      </w:r>
      <w:r w:rsidR="00520083" w:rsidRPr="000434BD">
        <w:t>ity</w:t>
      </w:r>
      <w:r w:rsidRPr="000434BD">
        <w:t xml:space="preserve"> for the regime, including for surveillance, </w:t>
      </w:r>
      <w:r w:rsidR="000149C5" w:rsidRPr="000434BD">
        <w:t>investigation</w:t>
      </w:r>
      <w:r w:rsidR="00520083" w:rsidRPr="000434BD">
        <w:t xml:space="preserve"> </w:t>
      </w:r>
      <w:r w:rsidRPr="000434BD">
        <w:t>and enforcement of audit requirements.</w:t>
      </w:r>
    </w:p>
    <w:p w14:paraId="5F7CCE4E" w14:textId="18DC0988" w:rsidR="004C26EB" w:rsidRPr="000434BD" w:rsidRDefault="004C26EB" w:rsidP="0016307B">
      <w:r w:rsidRPr="000434BD">
        <w:t>The Corporations Act framework gives legal effect to the auditing standards developed by the AUASB. The auditing standards require auditors to adhere to relevant ethical standards issued by the</w:t>
      </w:r>
      <w:r w:rsidR="00B55B55" w:rsidRPr="000434BD">
        <w:t xml:space="preserve"> </w:t>
      </w:r>
      <w:r w:rsidRPr="000434BD">
        <w:t>APESB.</w:t>
      </w:r>
    </w:p>
    <w:p w14:paraId="54D57872" w14:textId="32294B33" w:rsidR="002B1344" w:rsidRDefault="004C26EB" w:rsidP="0016307B">
      <w:r w:rsidRPr="000434BD">
        <w:t xml:space="preserve">The FRC’s functions under the ASIC Act include </w:t>
      </w:r>
      <w:r w:rsidR="1BD98678" w:rsidRPr="000434BD">
        <w:t xml:space="preserve">providing </w:t>
      </w:r>
      <w:r w:rsidRPr="000434BD">
        <w:t xml:space="preserve">strategic policy advice and reports to the Minister and the </w:t>
      </w:r>
      <w:r w:rsidR="00DA1954" w:rsidRPr="000434BD">
        <w:t>P</w:t>
      </w:r>
      <w:r w:rsidRPr="000434BD">
        <w:t xml:space="preserve">rofessional </w:t>
      </w:r>
      <w:r w:rsidR="00DA1954" w:rsidRPr="000434BD">
        <w:t>A</w:t>
      </w:r>
      <w:r w:rsidRPr="000434BD">
        <w:t xml:space="preserve">ccounting </w:t>
      </w:r>
      <w:r w:rsidR="00DA1954" w:rsidRPr="000434BD">
        <w:t>B</w:t>
      </w:r>
      <w:r w:rsidRPr="000434BD">
        <w:t xml:space="preserve">odies </w:t>
      </w:r>
      <w:r w:rsidR="00DA1954" w:rsidRPr="000434BD">
        <w:t>(PABs)</w:t>
      </w:r>
      <w:r w:rsidRPr="000434BD">
        <w:t xml:space="preserve"> in relation to the quality of audits conducted by Australian auditors. This advice may include advising and reporting on the Corporations Act audit framework, auditing standards or codes of conduct, and the quality assurance reviews, auditor disciplinary processes and education on professional ethics undertaken by the professional accounting bodies.</w:t>
      </w:r>
    </w:p>
    <w:p w14:paraId="409CCB9E" w14:textId="77777777" w:rsidR="00940283" w:rsidRPr="004F6D6D" w:rsidRDefault="00940283" w:rsidP="000B66A2">
      <w:pPr>
        <w:pStyle w:val="Heading2"/>
      </w:pPr>
      <w:bookmarkStart w:id="53" w:name="_Toc211627803"/>
      <w:r w:rsidRPr="004F6D6D">
        <w:t>ASIC initiatives to support and review audit quality</w:t>
      </w:r>
      <w:bookmarkEnd w:id="53"/>
    </w:p>
    <w:p w14:paraId="2043CE02" w14:textId="28CDCEBB" w:rsidR="00273794" w:rsidRPr="000434BD" w:rsidRDefault="00B873AE" w:rsidP="008853B0">
      <w:pPr>
        <w:rPr>
          <w:rFonts w:ascii="Source Sans Pro Light" w:hAnsi="Source Sans Pro Light" w:cs="Source Sans Pro Light"/>
          <w:color w:val="000000"/>
          <w:sz w:val="21"/>
          <w:szCs w:val="21"/>
        </w:rPr>
      </w:pPr>
      <w:r w:rsidRPr="000434BD">
        <w:t xml:space="preserve">ASIC </w:t>
      </w:r>
      <w:r w:rsidR="274BDC71" w:rsidRPr="000434BD">
        <w:t>oversees</w:t>
      </w:r>
      <w:r w:rsidRPr="000434BD">
        <w:t xml:space="preserve"> the integrity and quality of financial reporting and auditing in Australia. This includes the use of regulatory tools such as engagement, guidance, surveillance, and enforcement actions</w:t>
      </w:r>
      <w:r w:rsidR="00273794" w:rsidRPr="000434BD">
        <w:t>.</w:t>
      </w:r>
    </w:p>
    <w:p w14:paraId="443793D1" w14:textId="77777777" w:rsidR="00A97E05" w:rsidRPr="00D45D47" w:rsidRDefault="00A97E05" w:rsidP="000B66A2">
      <w:pPr>
        <w:pStyle w:val="Heading2"/>
      </w:pPr>
      <w:bookmarkStart w:id="54" w:name="_Toc148364554"/>
      <w:bookmarkStart w:id="55" w:name="_Toc148428408"/>
      <w:bookmarkStart w:id="56" w:name="_Toc211627804"/>
      <w:bookmarkEnd w:id="51"/>
      <w:r w:rsidRPr="00D45D47">
        <w:t>ASIC financial reporting and audit surveillance program</w:t>
      </w:r>
      <w:bookmarkEnd w:id="54"/>
      <w:bookmarkEnd w:id="55"/>
      <w:bookmarkEnd w:id="56"/>
      <w:r w:rsidRPr="00D45D47">
        <w:t xml:space="preserve"> </w:t>
      </w:r>
    </w:p>
    <w:p w14:paraId="232E885A" w14:textId="246DCD94" w:rsidR="00A97E05" w:rsidRPr="000434BD" w:rsidRDefault="00A97E05" w:rsidP="008853B0">
      <w:pPr>
        <w:rPr>
          <w:rFonts w:eastAsia="Calibri"/>
          <w:lang w:eastAsia="en-US"/>
        </w:rPr>
      </w:pPr>
      <w:r w:rsidRPr="000434BD">
        <w:rPr>
          <w:rFonts w:eastAsia="Calibri"/>
          <w:lang w:eastAsia="en-US"/>
        </w:rPr>
        <w:t>ASIC’s financial reporting and audit surveillance program focuses on the entire financial reporting system. The program provide</w:t>
      </w:r>
      <w:r w:rsidR="583FB2C2" w:rsidRPr="000434BD">
        <w:rPr>
          <w:rFonts w:eastAsia="Calibri"/>
          <w:lang w:eastAsia="en-US"/>
        </w:rPr>
        <w:t>s</w:t>
      </w:r>
      <w:r w:rsidRPr="000434BD">
        <w:rPr>
          <w:rFonts w:eastAsia="Calibri"/>
          <w:lang w:eastAsia="en-US"/>
        </w:rPr>
        <w:t xml:space="preserve"> </w:t>
      </w:r>
      <w:r w:rsidR="02B96E1A" w:rsidRPr="000434BD">
        <w:rPr>
          <w:rFonts w:eastAsia="Calibri"/>
          <w:lang w:eastAsia="en-US"/>
        </w:rPr>
        <w:t>stakeholders</w:t>
      </w:r>
      <w:r w:rsidRPr="000434BD">
        <w:rPr>
          <w:rFonts w:eastAsia="Calibri"/>
          <w:lang w:eastAsia="en-US"/>
        </w:rPr>
        <w:t xml:space="preserve"> </w:t>
      </w:r>
      <w:r w:rsidR="0B81099D" w:rsidRPr="000434BD">
        <w:rPr>
          <w:rFonts w:eastAsia="Calibri"/>
          <w:lang w:eastAsia="en-US"/>
        </w:rPr>
        <w:t>with</w:t>
      </w:r>
      <w:r w:rsidRPr="000434BD">
        <w:rPr>
          <w:rFonts w:eastAsia="Calibri"/>
          <w:lang w:eastAsia="en-US"/>
        </w:rPr>
        <w:t xml:space="preserve"> information about ASIC’s surveillance</w:t>
      </w:r>
      <w:r w:rsidR="5E10D304" w:rsidRPr="000434BD">
        <w:rPr>
          <w:rFonts w:eastAsia="Calibri"/>
          <w:lang w:eastAsia="en-US"/>
        </w:rPr>
        <w:t xml:space="preserve"> </w:t>
      </w:r>
      <w:r w:rsidR="0FCEB8CE" w:rsidRPr="000434BD">
        <w:rPr>
          <w:rFonts w:eastAsia="Calibri"/>
          <w:lang w:eastAsia="en-US"/>
        </w:rPr>
        <w:t xml:space="preserve">to </w:t>
      </w:r>
      <w:r w:rsidRPr="000434BD">
        <w:rPr>
          <w:rFonts w:eastAsia="Calibri"/>
          <w:lang w:eastAsia="en-US"/>
        </w:rPr>
        <w:t xml:space="preserve">help improve financial reporting and audit quality. Since 1 July 2022, ASIC has routinely communicated audit findings to directors of audited entities. ASIC’s Information Sheet 224 </w:t>
      </w:r>
      <w:r w:rsidRPr="008853B0">
        <w:rPr>
          <w:rFonts w:eastAsia="Calibri"/>
          <w:i/>
          <w:iCs/>
        </w:rPr>
        <w:t>ASIC audit surveillances</w:t>
      </w:r>
      <w:r w:rsidRPr="000434BD">
        <w:rPr>
          <w:rFonts w:eastAsia="Calibri"/>
          <w:lang w:eastAsia="en-US"/>
        </w:rPr>
        <w:t xml:space="preserve"> </w:t>
      </w:r>
      <w:proofErr w:type="gramStart"/>
      <w:r w:rsidRPr="000434BD">
        <w:rPr>
          <w:rFonts w:eastAsia="Calibri"/>
          <w:lang w:eastAsia="en-US"/>
        </w:rPr>
        <w:t>provides</w:t>
      </w:r>
      <w:proofErr w:type="gramEnd"/>
      <w:r w:rsidRPr="000434BD">
        <w:rPr>
          <w:rFonts w:eastAsia="Calibri"/>
          <w:lang w:eastAsia="en-US"/>
        </w:rPr>
        <w:t xml:space="preserve"> further information on ASIC’s approach to financial reporting and audit surveillances. </w:t>
      </w:r>
    </w:p>
    <w:p w14:paraId="4B31ACDA" w14:textId="2D5D8A00" w:rsidR="00A97E05" w:rsidRPr="00B909C4" w:rsidRDefault="00A97E05" w:rsidP="008853B0">
      <w:pPr>
        <w:pStyle w:val="Heading3"/>
        <w:rPr>
          <w:rFonts w:eastAsia="Calibri"/>
          <w:i/>
          <w:iCs/>
          <w:lang w:eastAsia="en-US"/>
        </w:rPr>
      </w:pPr>
      <w:r w:rsidRPr="00B909C4">
        <w:rPr>
          <w:lang w:eastAsia="en-US"/>
        </w:rPr>
        <w:t>2023</w:t>
      </w:r>
      <w:r w:rsidR="3438DE1E" w:rsidRPr="67368ED7">
        <w:rPr>
          <w:rFonts w:cs="Times New Roman"/>
        </w:rPr>
        <w:t>–</w:t>
      </w:r>
      <w:r w:rsidRPr="00B909C4">
        <w:rPr>
          <w:rFonts w:eastAsia="Calibri"/>
          <w:lang w:eastAsia="en-US"/>
        </w:rPr>
        <w:t>24 Surveillance program</w:t>
      </w:r>
    </w:p>
    <w:p w14:paraId="4BC0FDF6" w14:textId="328E5673" w:rsidR="00A97E05" w:rsidRPr="000434BD" w:rsidRDefault="00A97E05" w:rsidP="008853B0">
      <w:pPr>
        <w:rPr>
          <w:rFonts w:eastAsia="Calibri"/>
          <w:i/>
          <w:iCs/>
          <w:lang w:eastAsia="en-US"/>
        </w:rPr>
      </w:pPr>
      <w:r w:rsidRPr="000434BD">
        <w:rPr>
          <w:rFonts w:eastAsia="Calibri"/>
          <w:lang w:eastAsia="en-US"/>
        </w:rPr>
        <w:t>In October 2024, ASIC published a report on its oversight of financial reporting and audit including findings from its surveillance program for the 12 months to 30 June 2024 (ASIC Report 799</w:t>
      </w:r>
      <w:r w:rsidRPr="008853B0">
        <w:rPr>
          <w:rFonts w:eastAsia="Calibri"/>
          <w:i/>
          <w:iCs/>
        </w:rPr>
        <w:t xml:space="preserve"> ASIC’s oversight of financial reporting and audit 2023</w:t>
      </w:r>
      <w:r w:rsidR="348C2846" w:rsidRPr="008853B0">
        <w:rPr>
          <w:i/>
          <w:iCs/>
        </w:rPr>
        <w:t>–</w:t>
      </w:r>
      <w:r w:rsidRPr="008853B0">
        <w:rPr>
          <w:rFonts w:eastAsia="Calibri"/>
          <w:i/>
          <w:iCs/>
        </w:rPr>
        <w:t>24)</w:t>
      </w:r>
      <w:r w:rsidRPr="000434BD">
        <w:rPr>
          <w:rFonts w:eastAsia="Calibri"/>
          <w:i/>
          <w:iCs/>
          <w:lang w:eastAsia="en-US"/>
        </w:rPr>
        <w:t>.</w:t>
      </w:r>
    </w:p>
    <w:p w14:paraId="45DBAD3E" w14:textId="5D3628A8" w:rsidR="00A97E05" w:rsidRPr="000434BD" w:rsidRDefault="00A97E05" w:rsidP="008853B0">
      <w:pPr>
        <w:rPr>
          <w:rFonts w:eastAsia="Calibri"/>
          <w:lang w:eastAsia="en-US"/>
        </w:rPr>
      </w:pPr>
      <w:r w:rsidRPr="000434BD">
        <w:rPr>
          <w:rFonts w:eastAsia="Calibri"/>
          <w:lang w:eastAsia="en-US"/>
        </w:rPr>
        <w:t xml:space="preserve">ASIC reviewed 188 financial reports of </w:t>
      </w:r>
      <w:r w:rsidR="00350BDF" w:rsidRPr="000434BD">
        <w:rPr>
          <w:rFonts w:eastAsia="Calibri"/>
          <w:lang w:eastAsia="en-US"/>
        </w:rPr>
        <w:t>Australian Securities Exchange</w:t>
      </w:r>
      <w:r w:rsidRPr="000434BD">
        <w:rPr>
          <w:rFonts w:eastAsia="Calibri"/>
          <w:lang w:eastAsia="en-US"/>
        </w:rPr>
        <w:t>-listed entities and other large unlisted entities including for the first time Registrable Superannuation Entities (RSE), selected using a risk-based approach, and 15 related audit files at 11 audit firms in the surveillance period. ASIC selected audit files for surveillance where a change had been made to financial information or the financial report or where ASIC had concerns that a financial report may have had a risk of material misstatement. This is because there is a strong link between problems in a financial report and problems with the quality of audit work undertaken on the financial report. ASIC also selected audit files based on other intelligence.</w:t>
      </w:r>
    </w:p>
    <w:p w14:paraId="17920C6D" w14:textId="7B434326" w:rsidR="00A97E05" w:rsidRPr="000434BD" w:rsidRDefault="00A97E05" w:rsidP="008853B0">
      <w:pPr>
        <w:rPr>
          <w:rFonts w:eastAsia="Calibri"/>
          <w:lang w:eastAsia="en-US"/>
        </w:rPr>
      </w:pPr>
      <w:r w:rsidRPr="000434BD">
        <w:rPr>
          <w:rFonts w:eastAsia="Calibri"/>
          <w:lang w:eastAsia="en-US"/>
        </w:rPr>
        <w:t xml:space="preserve">Following ASIC’s review of the 180 financial reports, ASIC contacted 39 entities and raised 61 issues with them. Most of the issues related to disclosure in the operating and financial review, impairment testing, revenue recognition, and financial report disclosures. Of the 39 entities contacted, 14 explanations resolved the enquiries, and 25 entities amended their financial report or financial information in a subsequent reporting period. ASIC issued a media release </w:t>
      </w:r>
      <w:r w:rsidR="00147CE8" w:rsidRPr="000434BD">
        <w:rPr>
          <w:rFonts w:eastAsia="Calibri"/>
          <w:lang w:eastAsia="en-US"/>
        </w:rPr>
        <w:t>about the</w:t>
      </w:r>
      <w:r w:rsidRPr="000434BD">
        <w:rPr>
          <w:rFonts w:eastAsia="Calibri"/>
          <w:lang w:eastAsia="en-US"/>
        </w:rPr>
        <w:t xml:space="preserve"> entities that made amendments.</w:t>
      </w:r>
    </w:p>
    <w:p w14:paraId="58F37076" w14:textId="6470005E" w:rsidR="00A97E05" w:rsidRPr="000434BD" w:rsidRDefault="00A97E05" w:rsidP="008853B0">
      <w:pPr>
        <w:rPr>
          <w:rFonts w:eastAsia="Calibri"/>
          <w:lang w:eastAsia="en-US"/>
        </w:rPr>
      </w:pPr>
      <w:r w:rsidRPr="000434BD">
        <w:rPr>
          <w:rFonts w:eastAsia="Calibri"/>
          <w:lang w:eastAsia="en-US"/>
        </w:rPr>
        <w:t xml:space="preserve">ASIC’s audit surveillances for the 12 months to 30 June 2024 reported </w:t>
      </w:r>
      <w:r w:rsidR="00154547" w:rsidRPr="000434BD">
        <w:rPr>
          <w:rFonts w:eastAsia="Calibri"/>
          <w:lang w:eastAsia="en-US"/>
        </w:rPr>
        <w:t xml:space="preserve">findings </w:t>
      </w:r>
      <w:r w:rsidRPr="000434BD">
        <w:rPr>
          <w:rFonts w:eastAsia="Calibri"/>
          <w:lang w:eastAsia="en-US"/>
        </w:rPr>
        <w:t xml:space="preserve">to 12 entities and </w:t>
      </w:r>
      <w:r w:rsidR="00154547" w:rsidRPr="000434BD">
        <w:rPr>
          <w:rFonts w:eastAsia="Calibri"/>
          <w:lang w:eastAsia="en-US"/>
        </w:rPr>
        <w:t xml:space="preserve">9 </w:t>
      </w:r>
      <w:r w:rsidRPr="000434BD">
        <w:rPr>
          <w:rFonts w:eastAsia="Calibri"/>
          <w:lang w:eastAsia="en-US"/>
        </w:rPr>
        <w:t xml:space="preserve">audit firms. Three of the 15 audit surveillances had findings from ASIC’s audit surveillance and ASIC’s surveillance of the entity’s financial report. ASIC closed </w:t>
      </w:r>
      <w:r w:rsidR="007F5F8D" w:rsidRPr="000434BD">
        <w:rPr>
          <w:rFonts w:eastAsia="Calibri"/>
          <w:lang w:eastAsia="en-US"/>
        </w:rPr>
        <w:t xml:space="preserve">3 </w:t>
      </w:r>
      <w:r w:rsidRPr="000434BD">
        <w:rPr>
          <w:rFonts w:eastAsia="Calibri"/>
          <w:lang w:eastAsia="en-US"/>
        </w:rPr>
        <w:t>audit surveillances with no findings. ASIC continues to have the largest number of findings on the audit of revenue and receivables and impairment of non-financial assets.</w:t>
      </w:r>
    </w:p>
    <w:p w14:paraId="0E2E47EC" w14:textId="7FC74A2E" w:rsidR="00A97E05" w:rsidRPr="00B909C4" w:rsidRDefault="00A97E05" w:rsidP="008853B0">
      <w:pPr>
        <w:pStyle w:val="Heading3"/>
        <w:rPr>
          <w:rFonts w:eastAsia="Calibri"/>
          <w:i/>
          <w:iCs/>
          <w:lang w:eastAsia="en-US"/>
        </w:rPr>
      </w:pPr>
      <w:r w:rsidRPr="00B909C4">
        <w:rPr>
          <w:lang w:eastAsia="en-US"/>
        </w:rPr>
        <w:t>2024</w:t>
      </w:r>
      <w:r w:rsidR="00F775D1">
        <w:rPr>
          <w:rFonts w:eastAsia="Calibri"/>
          <w:lang w:eastAsia="en-US"/>
        </w:rPr>
        <w:t>–</w:t>
      </w:r>
      <w:r w:rsidRPr="00B909C4">
        <w:rPr>
          <w:rFonts w:eastAsia="Calibri"/>
          <w:lang w:eastAsia="en-US"/>
        </w:rPr>
        <w:t xml:space="preserve">25 </w:t>
      </w:r>
      <w:r w:rsidR="002E3E37">
        <w:rPr>
          <w:rFonts w:eastAsia="Calibri"/>
          <w:lang w:eastAsia="en-US"/>
        </w:rPr>
        <w:t>s</w:t>
      </w:r>
      <w:r w:rsidRPr="00B909C4">
        <w:rPr>
          <w:rFonts w:eastAsia="Calibri"/>
          <w:lang w:eastAsia="en-US"/>
        </w:rPr>
        <w:t>urveillance program</w:t>
      </w:r>
    </w:p>
    <w:p w14:paraId="48FF325A" w14:textId="1B75D3CE" w:rsidR="00F775D1" w:rsidRPr="000434BD" w:rsidRDefault="00A97E05" w:rsidP="008853B0">
      <w:pPr>
        <w:rPr>
          <w:rFonts w:eastAsia="Calibri"/>
          <w:lang w:eastAsia="en-US"/>
        </w:rPr>
      </w:pPr>
      <w:r w:rsidRPr="000434BD">
        <w:rPr>
          <w:rFonts w:eastAsia="Calibri"/>
          <w:lang w:eastAsia="en-US"/>
        </w:rPr>
        <w:t>ASIC published its focus areas for its 2024</w:t>
      </w:r>
      <w:r w:rsidR="00F775D1" w:rsidRPr="000434BD">
        <w:rPr>
          <w:rFonts w:eastAsia="Calibri"/>
          <w:lang w:eastAsia="en-US"/>
        </w:rPr>
        <w:t>–</w:t>
      </w:r>
      <w:r w:rsidRPr="000434BD">
        <w:rPr>
          <w:rFonts w:eastAsia="Calibri"/>
          <w:lang w:eastAsia="en-US"/>
        </w:rPr>
        <w:t xml:space="preserve">25 program in May and December 2024: </w:t>
      </w:r>
    </w:p>
    <w:p w14:paraId="0C2E3586" w14:textId="52932693" w:rsidR="00F775D1" w:rsidRPr="000434BD" w:rsidRDefault="006B1A0C" w:rsidP="008853B0">
      <w:pPr>
        <w:pStyle w:val="Bullet"/>
      </w:pPr>
      <w:r w:rsidRPr="000434BD">
        <w:t>24-101MR ASIC announces 30 June 2024 focus areas and expanded program to support financial reporting and audit quality</w:t>
      </w:r>
      <w:r w:rsidR="00A97E05" w:rsidRPr="000434BD">
        <w:t xml:space="preserve"> </w:t>
      </w:r>
    </w:p>
    <w:p w14:paraId="2089CF2D" w14:textId="723BBE86" w:rsidR="00A97E05" w:rsidRPr="000434BD" w:rsidRDefault="006B1A0C" w:rsidP="008853B0">
      <w:pPr>
        <w:pStyle w:val="Bullet"/>
      </w:pPr>
      <w:r w:rsidRPr="000434BD">
        <w:t>24-275MR ASIC highlights focus areas for 31 December 2024 financial reports</w:t>
      </w:r>
      <w:r w:rsidR="00A97E05" w:rsidRPr="000434BD">
        <w:t xml:space="preserve">. </w:t>
      </w:r>
    </w:p>
    <w:p w14:paraId="61DDABCA" w14:textId="124B3A83" w:rsidR="00A97E05" w:rsidRPr="000434BD" w:rsidRDefault="00A97E05" w:rsidP="008853B0">
      <w:pPr>
        <w:rPr>
          <w:rFonts w:eastAsia="Calibri"/>
          <w:lang w:eastAsia="en-US"/>
        </w:rPr>
      </w:pPr>
      <w:r w:rsidRPr="000434BD">
        <w:rPr>
          <w:rFonts w:eastAsia="Calibri"/>
          <w:lang w:eastAsia="en-US"/>
        </w:rPr>
        <w:t>ASIC’s financial reporting and audit surveillance report for reviews conducted between 1 July 2024 and 30 June 2025 will be published in the second quarter of 2025</w:t>
      </w:r>
      <w:r w:rsidR="006B2698" w:rsidRPr="000434BD">
        <w:rPr>
          <w:rFonts w:eastAsia="Calibri"/>
          <w:lang w:eastAsia="en-US"/>
        </w:rPr>
        <w:t>–</w:t>
      </w:r>
      <w:r w:rsidRPr="000434BD">
        <w:rPr>
          <w:rFonts w:eastAsia="Calibri"/>
          <w:lang w:eastAsia="en-US"/>
        </w:rPr>
        <w:t xml:space="preserve">26. </w:t>
      </w:r>
    </w:p>
    <w:p w14:paraId="1014584D" w14:textId="734B3AEF" w:rsidR="00A97E05" w:rsidRPr="000434BD" w:rsidRDefault="00A97E05" w:rsidP="008853B0">
      <w:pPr>
        <w:rPr>
          <w:rFonts w:eastAsia="Calibri"/>
          <w:lang w:eastAsia="en-US"/>
        </w:rPr>
      </w:pPr>
      <w:r w:rsidRPr="000434BD">
        <w:rPr>
          <w:rFonts w:eastAsia="Calibri"/>
          <w:lang w:eastAsia="en-US"/>
        </w:rPr>
        <w:t>Given 2024</w:t>
      </w:r>
      <w:r w:rsidR="006B2698" w:rsidRPr="000434BD">
        <w:rPr>
          <w:rFonts w:eastAsia="Calibri"/>
          <w:lang w:eastAsia="en-US"/>
        </w:rPr>
        <w:t>–</w:t>
      </w:r>
      <w:r w:rsidRPr="000434BD">
        <w:rPr>
          <w:rFonts w:eastAsia="Calibri"/>
          <w:lang w:eastAsia="en-US"/>
        </w:rPr>
        <w:t>25 was the first year that ASIC conducted a surveillance of RSE financial reports and audits, ASIC will publish a separate report on its RSE findings in the first quarter of 2025</w:t>
      </w:r>
      <w:r w:rsidR="006B2698" w:rsidRPr="000434BD">
        <w:rPr>
          <w:rFonts w:eastAsia="Calibri"/>
          <w:lang w:eastAsia="en-US"/>
        </w:rPr>
        <w:t>–</w:t>
      </w:r>
      <w:r w:rsidRPr="000434BD">
        <w:rPr>
          <w:rFonts w:eastAsia="Calibri"/>
          <w:lang w:eastAsia="en-US"/>
        </w:rPr>
        <w:t>26.</w:t>
      </w:r>
    </w:p>
    <w:p w14:paraId="778C355F" w14:textId="0FDD9EDD" w:rsidR="00A97E05" w:rsidRPr="000434BD" w:rsidRDefault="00A97E05" w:rsidP="008853B0">
      <w:pPr>
        <w:pStyle w:val="Heading3"/>
        <w:rPr>
          <w:rFonts w:eastAsia="Calibri"/>
          <w:lang w:eastAsia="en-US"/>
        </w:rPr>
      </w:pPr>
      <w:r w:rsidRPr="000434BD">
        <w:rPr>
          <w:rFonts w:eastAsia="Calibri"/>
          <w:lang w:eastAsia="en-US"/>
        </w:rPr>
        <w:t>2025</w:t>
      </w:r>
      <w:r w:rsidR="006B2698" w:rsidRPr="000434BD">
        <w:rPr>
          <w:rFonts w:eastAsia="Calibri"/>
          <w:lang w:eastAsia="en-US"/>
        </w:rPr>
        <w:t>–</w:t>
      </w:r>
      <w:r w:rsidRPr="000434BD">
        <w:rPr>
          <w:rFonts w:eastAsia="Calibri"/>
          <w:lang w:eastAsia="en-US"/>
        </w:rPr>
        <w:t xml:space="preserve">26 </w:t>
      </w:r>
      <w:r w:rsidR="002E3E37" w:rsidRPr="000434BD">
        <w:rPr>
          <w:rFonts w:eastAsia="Calibri"/>
          <w:lang w:eastAsia="en-US"/>
        </w:rPr>
        <w:t>s</w:t>
      </w:r>
      <w:r w:rsidRPr="000434BD">
        <w:rPr>
          <w:rFonts w:eastAsia="Calibri"/>
          <w:lang w:eastAsia="en-US"/>
        </w:rPr>
        <w:t>urveillance program</w:t>
      </w:r>
    </w:p>
    <w:p w14:paraId="58E86E94" w14:textId="3D2B5DA0" w:rsidR="00A97E05" w:rsidRPr="000434BD" w:rsidRDefault="00A97E05" w:rsidP="008853B0">
      <w:pPr>
        <w:rPr>
          <w:rFonts w:eastAsia="Calibri"/>
          <w:lang w:eastAsia="en-US"/>
        </w:rPr>
      </w:pPr>
      <w:r w:rsidRPr="000434BD">
        <w:rPr>
          <w:rFonts w:eastAsia="Calibri"/>
          <w:lang w:eastAsia="en-US"/>
        </w:rPr>
        <w:t>ASIC published its focus areas for its 2025</w:t>
      </w:r>
      <w:r w:rsidR="00B73DD1" w:rsidRPr="000434BD">
        <w:rPr>
          <w:rFonts w:eastAsia="Calibri"/>
          <w:lang w:eastAsia="en-US"/>
        </w:rPr>
        <w:t>–</w:t>
      </w:r>
      <w:r w:rsidRPr="000434BD">
        <w:rPr>
          <w:rFonts w:eastAsia="Calibri"/>
          <w:lang w:eastAsia="en-US"/>
        </w:rPr>
        <w:t xml:space="preserve">26 program in May 2025 </w:t>
      </w:r>
      <w:r w:rsidR="006B1A0C" w:rsidRPr="000434BD">
        <w:rPr>
          <w:rFonts w:eastAsia="Calibri"/>
          <w:lang w:eastAsia="en-US"/>
        </w:rPr>
        <w:t>25-079MR ASIC announces financial reporting and audit focus areas for FY 2025-26</w:t>
      </w:r>
      <w:r w:rsidRPr="000434BD">
        <w:rPr>
          <w:rFonts w:eastAsia="Calibri"/>
          <w:lang w:eastAsia="en-US"/>
        </w:rPr>
        <w:t>.</w:t>
      </w:r>
    </w:p>
    <w:p w14:paraId="67E70159" w14:textId="43B3874F" w:rsidR="00A97E05" w:rsidRPr="000434BD" w:rsidRDefault="00A97E05" w:rsidP="008853B0">
      <w:pPr>
        <w:rPr>
          <w:rFonts w:eastAsia="Calibri"/>
          <w:lang w:eastAsia="en-US"/>
        </w:rPr>
      </w:pPr>
      <w:r w:rsidRPr="000434BD">
        <w:rPr>
          <w:rFonts w:eastAsia="Calibri"/>
          <w:lang w:eastAsia="en-US"/>
        </w:rPr>
        <w:t>In 2025</w:t>
      </w:r>
      <w:r w:rsidR="006B2698" w:rsidRPr="000434BD">
        <w:rPr>
          <w:rFonts w:eastAsia="Calibri"/>
          <w:lang w:eastAsia="en-US"/>
        </w:rPr>
        <w:t>–</w:t>
      </w:r>
      <w:r w:rsidRPr="000434BD">
        <w:rPr>
          <w:rFonts w:eastAsia="Calibri"/>
          <w:lang w:eastAsia="en-US"/>
        </w:rPr>
        <w:t xml:space="preserve">26, in addition to selecting audit files where a change has been made to financial information or the financial report or where ASIC had concerns that a financial report may have a risk of material misstatement, ASIC will also review a random selection of audit files from </w:t>
      </w:r>
      <w:r w:rsidR="00CB4626" w:rsidRPr="000434BD">
        <w:rPr>
          <w:rFonts w:eastAsia="Calibri"/>
          <w:lang w:eastAsia="en-US"/>
        </w:rPr>
        <w:t>the</w:t>
      </w:r>
      <w:r w:rsidRPr="000434BD">
        <w:rPr>
          <w:rFonts w:eastAsia="Calibri"/>
          <w:lang w:eastAsia="en-US"/>
        </w:rPr>
        <w:t xml:space="preserve"> regulated population. ASIC will also increase the number of audit files reviewed.</w:t>
      </w:r>
    </w:p>
    <w:p w14:paraId="242BAE84" w14:textId="4785F749" w:rsidR="00A97E05" w:rsidRPr="000434BD" w:rsidRDefault="00A97E05" w:rsidP="008853B0">
      <w:pPr>
        <w:rPr>
          <w:rFonts w:eastAsia="Calibri"/>
          <w:lang w:eastAsia="en-US"/>
        </w:rPr>
      </w:pPr>
      <w:r w:rsidRPr="000434BD">
        <w:rPr>
          <w:rFonts w:eastAsia="Calibri"/>
          <w:lang w:eastAsia="en-US"/>
        </w:rPr>
        <w:t>In 2025</w:t>
      </w:r>
      <w:r w:rsidR="006B2698" w:rsidRPr="000434BD">
        <w:rPr>
          <w:rFonts w:eastAsia="Calibri"/>
          <w:lang w:eastAsia="en-US"/>
        </w:rPr>
        <w:t>–</w:t>
      </w:r>
      <w:r w:rsidRPr="000434BD">
        <w:rPr>
          <w:rFonts w:eastAsia="Calibri"/>
          <w:lang w:eastAsia="en-US"/>
        </w:rPr>
        <w:t xml:space="preserve">26, ASIC will review sustainability reports for the first time. ASIC has published RG 280 </w:t>
      </w:r>
      <w:r w:rsidRPr="000434BD">
        <w:rPr>
          <w:rFonts w:eastAsia="Calibri"/>
          <w:i/>
          <w:iCs/>
          <w:lang w:eastAsia="en-US"/>
        </w:rPr>
        <w:t>Sustainability Reporting</w:t>
      </w:r>
      <w:r w:rsidRPr="000434BD">
        <w:rPr>
          <w:rFonts w:eastAsia="Calibri"/>
          <w:lang w:eastAsia="en-US"/>
        </w:rPr>
        <w:t xml:space="preserve"> to assist entities to comply with their new reporting obligations.</w:t>
      </w:r>
    </w:p>
    <w:p w14:paraId="3AD2C91B" w14:textId="4E30ED68" w:rsidR="00A97E05" w:rsidRPr="008853B0" w:rsidRDefault="00A97E05" w:rsidP="008853B0">
      <w:pPr>
        <w:pStyle w:val="Heading2"/>
      </w:pPr>
      <w:bookmarkStart w:id="57" w:name="_Toc148364555"/>
      <w:bookmarkStart w:id="58" w:name="_Toc148428409"/>
      <w:bookmarkStart w:id="59" w:name="_Toc211627805"/>
      <w:r w:rsidRPr="008853B0">
        <w:t xml:space="preserve">ASIC </w:t>
      </w:r>
      <w:bookmarkEnd w:id="57"/>
      <w:bookmarkEnd w:id="58"/>
      <w:r w:rsidRPr="008853B0">
        <w:t>surveillance on auditor independence and conflicts of</w:t>
      </w:r>
      <w:r w:rsidR="008853B0">
        <w:t> </w:t>
      </w:r>
      <w:r w:rsidRPr="008853B0">
        <w:t>interest</w:t>
      </w:r>
      <w:bookmarkEnd w:id="59"/>
    </w:p>
    <w:p w14:paraId="4379F1C4" w14:textId="3A202D58" w:rsidR="00A97E05" w:rsidRPr="000434BD" w:rsidRDefault="00A97E05" w:rsidP="008853B0">
      <w:pPr>
        <w:rPr>
          <w:rFonts w:eastAsia="Calibri"/>
          <w:lang w:eastAsia="en-US"/>
        </w:rPr>
      </w:pPr>
      <w:r w:rsidRPr="000434BD">
        <w:rPr>
          <w:rFonts w:eastAsia="Calibri"/>
          <w:lang w:eastAsia="en-US"/>
        </w:rPr>
        <w:t>In addition to the financial reporting and audit surveillance, in 2024</w:t>
      </w:r>
      <w:r w:rsidR="21270BD6" w:rsidRPr="000434BD">
        <w:rPr>
          <w:i/>
          <w:iCs/>
        </w:rPr>
        <w:t>–</w:t>
      </w:r>
      <w:r w:rsidRPr="000434BD">
        <w:rPr>
          <w:rFonts w:eastAsia="Calibri"/>
          <w:lang w:eastAsia="en-US"/>
        </w:rPr>
        <w:t xml:space="preserve">25 ASIC also undertook a surveillance of how auditors are complying with their independence and conflicts of interest obligations under the Corporations </w:t>
      </w:r>
      <w:r w:rsidR="000F3CDE" w:rsidRPr="000434BD">
        <w:rPr>
          <w:rFonts w:eastAsia="Calibri"/>
          <w:lang w:eastAsia="en-US"/>
        </w:rPr>
        <w:t>Act</w:t>
      </w:r>
      <w:r w:rsidRPr="000434BD">
        <w:rPr>
          <w:rFonts w:eastAsia="Calibri"/>
          <w:lang w:eastAsia="en-US"/>
        </w:rPr>
        <w:t>. This was a data-driven surveillance that used internal and public data sources to engage with auditors at scale. The surveillance focused on auditor rotation</w:t>
      </w:r>
      <w:r w:rsidRPr="000434BD" w:rsidDel="004E19D2">
        <w:rPr>
          <w:rFonts w:eastAsia="Calibri"/>
          <w:lang w:eastAsia="en-US"/>
        </w:rPr>
        <w:t xml:space="preserve"> requirements</w:t>
      </w:r>
      <w:r w:rsidRPr="000434BD">
        <w:rPr>
          <w:rFonts w:eastAsia="Calibri"/>
          <w:lang w:eastAsia="en-US"/>
        </w:rPr>
        <w:t>, relationships between current and former members of audit firms and audited companies, long associations, and the provision of non-audit services. ASIC will publish the outcomes</w:t>
      </w:r>
      <w:r w:rsidR="008853B0">
        <w:rPr>
          <w:rFonts w:eastAsia="Calibri"/>
          <w:lang w:eastAsia="en-US"/>
        </w:rPr>
        <w:t> </w:t>
      </w:r>
      <w:r w:rsidRPr="000434BD">
        <w:rPr>
          <w:rFonts w:eastAsia="Calibri"/>
          <w:lang w:eastAsia="en-US"/>
        </w:rPr>
        <w:t>of this surveillance by October 2025.</w:t>
      </w:r>
      <w:r w:rsidRPr="000434BD" w:rsidDel="004316D6">
        <w:rPr>
          <w:rFonts w:eastAsia="Calibri"/>
          <w:lang w:eastAsia="en-US"/>
        </w:rPr>
        <w:t xml:space="preserve"> </w:t>
      </w:r>
    </w:p>
    <w:p w14:paraId="383CC7B1" w14:textId="77777777" w:rsidR="00A97E05" w:rsidRPr="008853B0" w:rsidRDefault="00A97E05" w:rsidP="008853B0">
      <w:pPr>
        <w:pStyle w:val="Heading2"/>
      </w:pPr>
      <w:bookmarkStart w:id="60" w:name="_Toc211627806"/>
      <w:r w:rsidRPr="008853B0">
        <w:t>ASIC auditor enforcement activities</w:t>
      </w:r>
      <w:bookmarkEnd w:id="60"/>
    </w:p>
    <w:p w14:paraId="0EC5A2D3" w14:textId="1D5A21B7" w:rsidR="00A97E05" w:rsidRPr="000434BD" w:rsidRDefault="00A97E05" w:rsidP="008853B0">
      <w:pPr>
        <w:rPr>
          <w:rFonts w:eastAsia="Calibri"/>
          <w:lang w:eastAsia="en-US"/>
        </w:rPr>
      </w:pPr>
      <w:r w:rsidRPr="000434BD">
        <w:rPr>
          <w:rFonts w:eastAsia="Calibri"/>
          <w:lang w:eastAsia="en-US"/>
        </w:rPr>
        <w:t>ASIC announced that company auditor misconduct is an enforcement priority for 2025. Examples of enforcement action finalised by ASIC during 2024</w:t>
      </w:r>
      <w:r w:rsidR="006B2698" w:rsidRPr="000434BD">
        <w:rPr>
          <w:rFonts w:eastAsia="Calibri"/>
          <w:lang w:eastAsia="en-US"/>
        </w:rPr>
        <w:t>–</w:t>
      </w:r>
      <w:r w:rsidRPr="000434BD">
        <w:rPr>
          <w:rFonts w:eastAsia="Calibri"/>
          <w:lang w:eastAsia="en-US"/>
        </w:rPr>
        <w:t xml:space="preserve">25 included: </w:t>
      </w:r>
    </w:p>
    <w:p w14:paraId="4F04441B" w14:textId="76B6E214" w:rsidR="00A97E05" w:rsidRPr="000434BD" w:rsidRDefault="005F64C2" w:rsidP="008853B0">
      <w:pPr>
        <w:pStyle w:val="Bullet"/>
      </w:pPr>
      <w:r w:rsidRPr="000434BD">
        <w:t xml:space="preserve">2 </w:t>
      </w:r>
      <w:r w:rsidR="00A97E05" w:rsidRPr="000434BD">
        <w:t>auditor</w:t>
      </w:r>
      <w:r w:rsidR="006700DB" w:rsidRPr="000434BD">
        <w:t>s had their</w:t>
      </w:r>
      <w:r w:rsidR="00A97E05" w:rsidRPr="000434BD">
        <w:t xml:space="preserve"> registration cancelled for deficient audits</w:t>
      </w:r>
    </w:p>
    <w:p w14:paraId="71B59646" w14:textId="63505E01" w:rsidR="00A97E05" w:rsidRPr="000434BD" w:rsidRDefault="006700DB" w:rsidP="008853B0">
      <w:pPr>
        <w:pStyle w:val="Bullet"/>
      </w:pPr>
      <w:r w:rsidRPr="000434BD">
        <w:t xml:space="preserve">one </w:t>
      </w:r>
      <w:r w:rsidR="00A97E05" w:rsidRPr="000434BD">
        <w:t>auditor</w:t>
      </w:r>
      <w:r w:rsidRPr="000434BD">
        <w:t xml:space="preserve"> had their</w:t>
      </w:r>
      <w:r w:rsidR="00A97E05" w:rsidRPr="000434BD">
        <w:t xml:space="preserve"> registration suspended for a deficient audit</w:t>
      </w:r>
    </w:p>
    <w:p w14:paraId="5E52ECCB" w14:textId="1D3345D3" w:rsidR="00A97E05" w:rsidRPr="000434BD" w:rsidRDefault="006700DB" w:rsidP="008853B0">
      <w:pPr>
        <w:pStyle w:val="Bullet"/>
      </w:pPr>
      <w:r w:rsidRPr="000434BD">
        <w:t xml:space="preserve">one </w:t>
      </w:r>
      <w:r w:rsidR="00A97E05" w:rsidRPr="000434BD">
        <w:t xml:space="preserve">auditor </w:t>
      </w:r>
      <w:r w:rsidRPr="000434BD">
        <w:t xml:space="preserve">was </w:t>
      </w:r>
      <w:r w:rsidR="00A97E05" w:rsidRPr="000434BD">
        <w:t>admonished (noting they had previously undertaken not to practice as an auditor for 12 months) for their involvement as review auditor in a deficient audit.</w:t>
      </w:r>
    </w:p>
    <w:p w14:paraId="2E532135" w14:textId="530A73FC" w:rsidR="00A97E05" w:rsidRPr="000434BD" w:rsidRDefault="00A97E05" w:rsidP="008853B0">
      <w:pPr>
        <w:rPr>
          <w:rFonts w:eastAsia="Calibri"/>
          <w:lang w:eastAsia="en-US"/>
        </w:rPr>
      </w:pPr>
      <w:r w:rsidRPr="000434BD">
        <w:rPr>
          <w:rFonts w:eastAsia="Calibri"/>
          <w:lang w:eastAsia="en-US"/>
        </w:rPr>
        <w:t>Throughout 2024</w:t>
      </w:r>
      <w:r w:rsidR="006A2CAE" w:rsidRPr="000434BD">
        <w:rPr>
          <w:rFonts w:eastAsia="Calibri"/>
          <w:lang w:eastAsia="en-US"/>
        </w:rPr>
        <w:t>–</w:t>
      </w:r>
      <w:r w:rsidRPr="000434BD">
        <w:rPr>
          <w:rFonts w:eastAsia="Calibri"/>
          <w:lang w:eastAsia="en-US"/>
        </w:rPr>
        <w:t xml:space="preserve">25, ASIC has increased the number of company auditor investigations and applications is has brought to the Companies Auditors Disciplinary Board, which remain open. </w:t>
      </w:r>
    </w:p>
    <w:p w14:paraId="462DB297" w14:textId="77777777" w:rsidR="00A97E05" w:rsidRPr="008853B0" w:rsidRDefault="00A97E05" w:rsidP="008853B0">
      <w:pPr>
        <w:pStyle w:val="Heading2"/>
      </w:pPr>
      <w:bookmarkStart w:id="61" w:name="_Toc148364556"/>
      <w:bookmarkStart w:id="62" w:name="_Toc148428410"/>
      <w:bookmarkStart w:id="63" w:name="_Toc211627807"/>
      <w:r w:rsidRPr="008853B0">
        <w:t>ASIC stakeholder engagement</w:t>
      </w:r>
      <w:bookmarkEnd w:id="61"/>
      <w:bookmarkEnd w:id="62"/>
      <w:bookmarkEnd w:id="63"/>
    </w:p>
    <w:p w14:paraId="62291781" w14:textId="38B69F37" w:rsidR="00A97E05" w:rsidRPr="000434BD" w:rsidRDefault="00A97E05" w:rsidP="008418E3">
      <w:pPr>
        <w:rPr>
          <w:rFonts w:eastAsia="Calibri"/>
          <w:lang w:eastAsia="en-US"/>
        </w:rPr>
      </w:pPr>
      <w:r w:rsidRPr="000434BD">
        <w:rPr>
          <w:rFonts w:eastAsia="Calibri"/>
          <w:lang w:eastAsia="en-US"/>
        </w:rPr>
        <w:t>ASIC undertakes engagement with international and domestic stakeholders to discuss emerging issues</w:t>
      </w:r>
      <w:r w:rsidR="008418E3">
        <w:rPr>
          <w:rFonts w:eastAsia="Calibri"/>
          <w:lang w:eastAsia="en-US"/>
        </w:rPr>
        <w:t> </w:t>
      </w:r>
      <w:r w:rsidRPr="000434BD">
        <w:rPr>
          <w:rFonts w:eastAsia="Calibri"/>
          <w:lang w:eastAsia="en-US"/>
        </w:rPr>
        <w:t>and risks in the financial reporting and audit industry and collaborates with other regulators and government agencies to improve the quality of financial reporting and audit.</w:t>
      </w:r>
    </w:p>
    <w:p w14:paraId="5D77A919" w14:textId="77777777" w:rsidR="00A97E05" w:rsidRPr="000434BD" w:rsidRDefault="00A97E05" w:rsidP="008418E3">
      <w:pPr>
        <w:rPr>
          <w:rFonts w:eastAsia="Calibri"/>
          <w:lang w:eastAsia="en-US"/>
        </w:rPr>
      </w:pPr>
      <w:r w:rsidRPr="000434BD">
        <w:rPr>
          <w:rFonts w:eastAsia="Calibri"/>
          <w:lang w:eastAsia="en-US"/>
        </w:rPr>
        <w:t>ASIC is a member of the International Organisation of Securities Commissions (IOSCO) and the International Forum of Independent Audit Regulators (IFIAR).</w:t>
      </w:r>
    </w:p>
    <w:p w14:paraId="529EF9E0" w14:textId="3AADD02F" w:rsidR="00A97E05" w:rsidRPr="000434BD" w:rsidRDefault="00A97E05" w:rsidP="008418E3">
      <w:pPr>
        <w:rPr>
          <w:rFonts w:eastAsia="Calibri"/>
          <w:lang w:eastAsia="en-US"/>
        </w:rPr>
      </w:pPr>
      <w:r w:rsidRPr="000434BD">
        <w:rPr>
          <w:rFonts w:eastAsia="Calibri"/>
          <w:lang w:eastAsia="en-US"/>
        </w:rPr>
        <w:t xml:space="preserve">In March 2025, IFIAR released its thirteenth annual survey of results of its member regulators’ inspections of audit firms affiliated with the </w:t>
      </w:r>
      <w:r w:rsidR="006A2CAE" w:rsidRPr="000434BD">
        <w:rPr>
          <w:rFonts w:eastAsia="Calibri"/>
          <w:lang w:eastAsia="en-US"/>
        </w:rPr>
        <w:t xml:space="preserve">6 </w:t>
      </w:r>
      <w:r w:rsidRPr="000434BD">
        <w:rPr>
          <w:rFonts w:eastAsia="Calibri"/>
          <w:lang w:eastAsia="en-US"/>
        </w:rPr>
        <w:t>largest global audit firm networks. Similar to ASIC, IFIAR’s areas with the highest level of findings included accounting estimates, including fair value measurement and revenue recognition.</w:t>
      </w:r>
    </w:p>
    <w:p w14:paraId="27AD2DCA" w14:textId="110DCB70" w:rsidR="00583A7E" w:rsidRPr="000434BD" w:rsidRDefault="00A97E05" w:rsidP="008418E3">
      <w:r w:rsidRPr="000434BD">
        <w:rPr>
          <w:rFonts w:eastAsia="Calibri"/>
          <w:lang w:eastAsia="en-US"/>
        </w:rPr>
        <w:t>Domestically, ASIC regularly liaises with professional accounting bodies and audit firms to discuss emerging accounting and auditing issues. ASIC also undertakes ongoing and regular engagement with</w:t>
      </w:r>
      <w:r w:rsidR="008418E3">
        <w:rPr>
          <w:rFonts w:eastAsia="Calibri"/>
          <w:lang w:eastAsia="en-US"/>
        </w:rPr>
        <w:t> </w:t>
      </w:r>
      <w:r w:rsidRPr="000434BD">
        <w:rPr>
          <w:rFonts w:eastAsia="Calibri"/>
          <w:lang w:eastAsia="en-US"/>
        </w:rPr>
        <w:t>the AASB and the AUASB on issues related to financial reporting and audit</w:t>
      </w:r>
      <w:r w:rsidR="00CE177D" w:rsidRPr="000434BD">
        <w:rPr>
          <w:rFonts w:eastAsia="Calibri"/>
          <w:lang w:eastAsia="en-US"/>
        </w:rPr>
        <w:t>,</w:t>
      </w:r>
      <w:r w:rsidRPr="000434BD">
        <w:rPr>
          <w:rFonts w:eastAsia="Calibri"/>
          <w:lang w:eastAsia="en-US"/>
        </w:rPr>
        <w:t xml:space="preserve"> including sustainable</w:t>
      </w:r>
      <w:r w:rsidR="008418E3">
        <w:rPr>
          <w:rFonts w:eastAsia="Calibri"/>
          <w:lang w:eastAsia="en-US"/>
        </w:rPr>
        <w:t> </w:t>
      </w:r>
      <w:r w:rsidRPr="000434BD">
        <w:rPr>
          <w:rFonts w:eastAsia="Calibri"/>
          <w:lang w:eastAsia="en-US"/>
        </w:rPr>
        <w:t>finance.</w:t>
      </w:r>
    </w:p>
    <w:p w14:paraId="64D8D3B8" w14:textId="2C42DB47" w:rsidR="006174EF" w:rsidRPr="00D45D47" w:rsidRDefault="003644ED" w:rsidP="000B66A2">
      <w:pPr>
        <w:pStyle w:val="Heading2"/>
      </w:pPr>
      <w:bookmarkStart w:id="64" w:name="_Toc211627808"/>
      <w:r w:rsidRPr="00D45D47">
        <w:t>Professional accounting bod</w:t>
      </w:r>
      <w:r w:rsidR="005C685D" w:rsidRPr="00D45D47">
        <w:t>ies</w:t>
      </w:r>
      <w:bookmarkEnd w:id="64"/>
      <w:r w:rsidRPr="00D45D47">
        <w:t xml:space="preserve"> </w:t>
      </w:r>
    </w:p>
    <w:p w14:paraId="165E7D11" w14:textId="60B25AF5" w:rsidR="008810BD" w:rsidRPr="000434BD" w:rsidRDefault="008810BD" w:rsidP="00821E6B">
      <w:r w:rsidRPr="000434BD">
        <w:t xml:space="preserve">Each </w:t>
      </w:r>
      <w:r w:rsidR="0077431D" w:rsidRPr="000434BD">
        <w:t>PAB</w:t>
      </w:r>
      <w:r w:rsidR="00EA7795" w:rsidRPr="000434BD">
        <w:t xml:space="preserve"> </w:t>
      </w:r>
      <w:r w:rsidRPr="000434BD">
        <w:t xml:space="preserve">conducts </w:t>
      </w:r>
      <w:r w:rsidR="00106C33" w:rsidRPr="000434BD">
        <w:t xml:space="preserve">a </w:t>
      </w:r>
      <w:r w:rsidRPr="000434BD">
        <w:t xml:space="preserve">review program to support the </w:t>
      </w:r>
      <w:r w:rsidR="00106C33" w:rsidRPr="000434BD">
        <w:t xml:space="preserve">quality </w:t>
      </w:r>
      <w:r w:rsidRPr="000434BD">
        <w:t xml:space="preserve">of audits and auditors in Australia. </w:t>
      </w:r>
      <w:r w:rsidR="001063B3" w:rsidRPr="000434BD">
        <w:t>E</w:t>
      </w:r>
      <w:r w:rsidRPr="000434BD">
        <w:t>ach organisation</w:t>
      </w:r>
      <w:r w:rsidR="001063B3" w:rsidRPr="000434BD">
        <w:t>’s program</w:t>
      </w:r>
      <w:r w:rsidRPr="000434BD">
        <w:t xml:space="preserve"> is different, with complementary </w:t>
      </w:r>
      <w:r w:rsidR="001678F2" w:rsidRPr="000434BD">
        <w:t xml:space="preserve">risk </w:t>
      </w:r>
      <w:r w:rsidRPr="000434BD">
        <w:t xml:space="preserve">management, </w:t>
      </w:r>
      <w:r w:rsidR="009B3D42" w:rsidRPr="000434BD">
        <w:t>participants,</w:t>
      </w:r>
      <w:r w:rsidRPr="000434BD">
        <w:t xml:space="preserve"> and types of engagement. Accordingly, statistics gathered by each organisation may not be comparable. </w:t>
      </w:r>
      <w:r w:rsidR="004E1BD8" w:rsidRPr="000434BD">
        <w:t>P</w:t>
      </w:r>
      <w:r w:rsidR="0077431D" w:rsidRPr="000434BD">
        <w:t>ABs</w:t>
      </w:r>
      <w:r w:rsidR="004E1BD8" w:rsidRPr="000434BD">
        <w:t xml:space="preserve"> </w:t>
      </w:r>
      <w:r w:rsidRPr="000434BD">
        <w:t xml:space="preserve">also </w:t>
      </w:r>
      <w:r w:rsidR="005809F8" w:rsidRPr="000434BD">
        <w:t xml:space="preserve">support their members to adhere to </w:t>
      </w:r>
      <w:r w:rsidRPr="000434BD">
        <w:t>professional standards.</w:t>
      </w:r>
    </w:p>
    <w:p w14:paraId="41F0A1C2" w14:textId="35585820" w:rsidR="008810BD" w:rsidRPr="000434BD" w:rsidRDefault="008363F2" w:rsidP="00821E6B">
      <w:r w:rsidRPr="000434BD">
        <w:t>This section lists n</w:t>
      </w:r>
      <w:r w:rsidR="008810BD" w:rsidRPr="000434BD">
        <w:t>otable audit quality initiatives implemented in 20</w:t>
      </w:r>
      <w:r w:rsidR="00C97B55" w:rsidRPr="000434BD">
        <w:t>24</w:t>
      </w:r>
      <w:r w:rsidR="006A2CAE" w:rsidRPr="000434BD">
        <w:t>–</w:t>
      </w:r>
      <w:r w:rsidR="00C97B55" w:rsidRPr="000434BD">
        <w:t>25</w:t>
      </w:r>
      <w:r w:rsidR="008810BD" w:rsidRPr="000434BD">
        <w:t>.</w:t>
      </w:r>
    </w:p>
    <w:p w14:paraId="477A6C3D" w14:textId="77777777" w:rsidR="008810BD" w:rsidRPr="00D45D47" w:rsidRDefault="008810BD" w:rsidP="000B66A2">
      <w:pPr>
        <w:pStyle w:val="Heading2"/>
      </w:pPr>
      <w:bookmarkStart w:id="65" w:name="_Toc211627809"/>
      <w:r w:rsidRPr="00D45D47">
        <w:t>CA ANZ</w:t>
      </w:r>
      <w:bookmarkEnd w:id="65"/>
    </w:p>
    <w:p w14:paraId="057336C5" w14:textId="35D04368" w:rsidR="000A73FE" w:rsidRPr="000434BD" w:rsidRDefault="724B9CBD" w:rsidP="00B50024">
      <w:r w:rsidRPr="000434BD">
        <w:t>CA ANZ</w:t>
      </w:r>
      <w:r w:rsidR="00B46E88" w:rsidRPr="000434BD">
        <w:t xml:space="preserve"> included the findings from </w:t>
      </w:r>
      <w:r w:rsidR="00AB62E0" w:rsidRPr="000434BD">
        <w:t>its</w:t>
      </w:r>
      <w:r w:rsidR="00B46E88" w:rsidRPr="000434BD">
        <w:t xml:space="preserve"> quality reviews in the</w:t>
      </w:r>
      <w:r w:rsidR="00647463" w:rsidRPr="000434BD">
        <w:t xml:space="preserve"> CA ANZ</w:t>
      </w:r>
      <w:r w:rsidR="00B46E88" w:rsidRPr="000434BD">
        <w:t xml:space="preserve"> Professional Standards, Regulation and Conduct</w:t>
      </w:r>
      <w:r w:rsidR="006160A3" w:rsidRPr="000434BD">
        <w:t xml:space="preserve"> Annual R</w:t>
      </w:r>
      <w:r w:rsidR="00B46E88" w:rsidRPr="000434BD">
        <w:t>eport and the </w:t>
      </w:r>
      <w:r w:rsidR="00647463" w:rsidRPr="000434BD">
        <w:t xml:space="preserve">CA ANZ </w:t>
      </w:r>
      <w:r w:rsidR="00BB7AF6" w:rsidRPr="000434BD">
        <w:t xml:space="preserve">Annual </w:t>
      </w:r>
      <w:r w:rsidR="00B46E88" w:rsidRPr="000434BD">
        <w:t xml:space="preserve">Professional Standards Roadshow. These platforms allow </w:t>
      </w:r>
      <w:r w:rsidR="00D95FC5" w:rsidRPr="000434BD">
        <w:t>CA ANZ</w:t>
      </w:r>
      <w:r w:rsidR="00B46E88" w:rsidRPr="000434BD">
        <w:t xml:space="preserve"> to share insights and promote best practices.</w:t>
      </w:r>
      <w:r w:rsidR="00112911" w:rsidRPr="000434BD">
        <w:t xml:space="preserve"> </w:t>
      </w:r>
    </w:p>
    <w:p w14:paraId="668F9F14" w14:textId="122C0961" w:rsidR="00B46E88" w:rsidRPr="000434BD" w:rsidRDefault="00B46E88" w:rsidP="00B50024">
      <w:r w:rsidRPr="000434BD">
        <w:t xml:space="preserve">A milestone was the approval of a new </w:t>
      </w:r>
      <w:r w:rsidR="000A73FE" w:rsidRPr="000434BD">
        <w:t>5</w:t>
      </w:r>
      <w:r w:rsidRPr="000434BD">
        <w:t>-year Professional Standards Scheme</w:t>
      </w:r>
      <w:r w:rsidR="00747C70" w:rsidRPr="000434BD">
        <w:t xml:space="preserve"> by the Professional Standards Council</w:t>
      </w:r>
      <w:r w:rsidRPr="000434BD">
        <w:t xml:space="preserve">. </w:t>
      </w:r>
      <w:r w:rsidR="009D5296" w:rsidRPr="000434BD">
        <w:t xml:space="preserve">The scheme is designed to elevate professional standards among members, including audit practitioners. </w:t>
      </w:r>
      <w:r w:rsidRPr="000434BD">
        <w:t>By limiting financial risk to auditors, the scheme contributes to the attractiveness and sustainability of auditing as a profession.</w:t>
      </w:r>
    </w:p>
    <w:p w14:paraId="6F42570B" w14:textId="3E708D1B" w:rsidR="009D5296" w:rsidRPr="000434BD" w:rsidRDefault="009D5296" w:rsidP="00B50024">
      <w:r w:rsidRPr="000434BD">
        <w:t xml:space="preserve">CA ANZ expanded its review team by recruiting 8 </w:t>
      </w:r>
      <w:r w:rsidR="005A76E5" w:rsidRPr="000434BD">
        <w:t>additional</w:t>
      </w:r>
      <w:r w:rsidRPr="000434BD">
        <w:t xml:space="preserve"> reviewers to support an increased volume of reviews in the 2026 financial year and beyond. </w:t>
      </w:r>
    </w:p>
    <w:p w14:paraId="7F9ECAE2" w14:textId="5294E890" w:rsidR="00B46E88" w:rsidRPr="000434BD" w:rsidRDefault="00C97B55" w:rsidP="00B50024">
      <w:r w:rsidRPr="000434BD">
        <w:t>CA ANZ</w:t>
      </w:r>
      <w:r w:rsidR="00B46E88" w:rsidRPr="000434BD">
        <w:t xml:space="preserve"> continued to brief members on the quality review process, helping them better understand expectations and prepare effectively for their reviews. </w:t>
      </w:r>
    </w:p>
    <w:p w14:paraId="09DA4028" w14:textId="387AB75D" w:rsidR="00B46E88" w:rsidRPr="000434BD" w:rsidRDefault="00B46E88" w:rsidP="00B50024">
      <w:r w:rsidRPr="000434BD">
        <w:t xml:space="preserve">In 2024, </w:t>
      </w:r>
      <w:r w:rsidR="00C97B55" w:rsidRPr="000434BD">
        <w:t>CA ANZ</w:t>
      </w:r>
      <w:r w:rsidRPr="000434BD">
        <w:t xml:space="preserve"> expanded the scope of </w:t>
      </w:r>
      <w:r w:rsidR="00DB767A" w:rsidRPr="000434BD">
        <w:t xml:space="preserve">reviews of </w:t>
      </w:r>
      <w:r w:rsidRPr="000434BD">
        <w:t>large</w:t>
      </w:r>
      <w:r w:rsidR="00103D61" w:rsidRPr="000434BD">
        <w:t xml:space="preserve"> firms</w:t>
      </w:r>
      <w:r w:rsidR="009A7D6E" w:rsidRPr="000434BD">
        <w:t xml:space="preserve"> to cover</w:t>
      </w:r>
      <w:r w:rsidRPr="000434BD">
        <w:t xml:space="preserve"> all elements within a firm’s system of quality management. This includes governance and leadership, professional standards</w:t>
      </w:r>
      <w:r w:rsidR="00045541" w:rsidRPr="000434BD">
        <w:t xml:space="preserve"> </w:t>
      </w:r>
      <w:r w:rsidRPr="000434BD">
        <w:t xml:space="preserve">and human resources. Enhancements to </w:t>
      </w:r>
      <w:r w:rsidR="00D851A3" w:rsidRPr="000434BD">
        <w:t>CA ANZ’s</w:t>
      </w:r>
      <w:r w:rsidRPr="000434BD">
        <w:t xml:space="preserve"> review </w:t>
      </w:r>
      <w:r w:rsidR="009D5296" w:rsidRPr="000434BD">
        <w:t xml:space="preserve">of large firms </w:t>
      </w:r>
      <w:r w:rsidRPr="000434BD">
        <w:t>included:</w:t>
      </w:r>
    </w:p>
    <w:p w14:paraId="14DC0258" w14:textId="07BC3374" w:rsidR="00B46E88" w:rsidRPr="000434BD" w:rsidRDefault="000A73FE" w:rsidP="00B50024">
      <w:pPr>
        <w:pStyle w:val="Bullet"/>
      </w:pPr>
      <w:r w:rsidRPr="000434BD">
        <w:t>i</w:t>
      </w:r>
      <w:r w:rsidR="00B46E88" w:rsidRPr="000434BD">
        <w:t>ntroducing more detailed guidance and checklists for reviewers to improve consistency and comparability of reviews</w:t>
      </w:r>
    </w:p>
    <w:p w14:paraId="5752AC34" w14:textId="7DD7885A" w:rsidR="00B46E88" w:rsidRPr="000434BD" w:rsidRDefault="000A73FE" w:rsidP="00B50024">
      <w:pPr>
        <w:pStyle w:val="Bullet"/>
      </w:pPr>
      <w:r w:rsidRPr="000434BD">
        <w:t>e</w:t>
      </w:r>
      <w:r w:rsidR="00B46E88" w:rsidRPr="000434BD">
        <w:t>xpanding the scope of interviews and documentation to include areas such as firm culture, partner appraisals and remuneration, and processes for resolving contentious issues or partner disagreements</w:t>
      </w:r>
    </w:p>
    <w:p w14:paraId="19A5369D" w14:textId="464E4F18" w:rsidR="00B46E88" w:rsidRPr="000434BD" w:rsidRDefault="000A73FE" w:rsidP="00B50024">
      <w:pPr>
        <w:pStyle w:val="Bullet"/>
      </w:pPr>
      <w:r w:rsidRPr="000434BD">
        <w:t>m</w:t>
      </w:r>
      <w:r w:rsidR="00B46E88" w:rsidRPr="000434BD">
        <w:t>aking targeted inquiries into how firms identify and manage conflicts of interest</w:t>
      </w:r>
    </w:p>
    <w:p w14:paraId="722CD1D7" w14:textId="563B4C18" w:rsidR="00B46E88" w:rsidRPr="000434BD" w:rsidRDefault="000A73FE" w:rsidP="00B50024">
      <w:pPr>
        <w:pStyle w:val="Bullet"/>
      </w:pPr>
      <w:r w:rsidRPr="000434BD">
        <w:t>a</w:t>
      </w:r>
      <w:r w:rsidR="00B46E88" w:rsidRPr="000434BD">
        <w:t>ssessing the firm’s efforts to foster an ethical culture</w:t>
      </w:r>
    </w:p>
    <w:p w14:paraId="3C7B16C6" w14:textId="3BE31753" w:rsidR="00B46E88" w:rsidRPr="000434BD" w:rsidRDefault="000A73FE" w:rsidP="00B50024">
      <w:pPr>
        <w:pStyle w:val="Bullet"/>
      </w:pPr>
      <w:r w:rsidRPr="000434BD">
        <w:t>c</w:t>
      </w:r>
      <w:r w:rsidR="00B46E88" w:rsidRPr="000434BD">
        <w:t xml:space="preserve">ollecting evidence from other reviews or regulatory investigations to inform </w:t>
      </w:r>
      <w:r w:rsidR="00D851A3" w:rsidRPr="000434BD">
        <w:t>its</w:t>
      </w:r>
      <w:r w:rsidR="00B46E88" w:rsidRPr="000434BD">
        <w:t xml:space="preserve"> assessments.</w:t>
      </w:r>
    </w:p>
    <w:p w14:paraId="0CA7CBFD" w14:textId="3C8DD477" w:rsidR="00B46E88" w:rsidRPr="000434BD" w:rsidRDefault="00B46E88" w:rsidP="00B50024">
      <w:r w:rsidRPr="000434BD">
        <w:t xml:space="preserve">Over the past year, </w:t>
      </w:r>
      <w:r w:rsidR="009D5296" w:rsidRPr="000434BD">
        <w:t xml:space="preserve">CA ANZ contributed to </w:t>
      </w:r>
      <w:r w:rsidRPr="000434BD">
        <w:t xml:space="preserve">advancing audit and assurance practices, particularly in the context of sustainability and technology. A guide on </w:t>
      </w:r>
      <w:r w:rsidR="003E78FD" w:rsidRPr="000434BD">
        <w:t>materiality</w:t>
      </w:r>
      <w:r w:rsidRPr="000434BD">
        <w:t xml:space="preserve"> for sustainability assurance engagements was developed, featuring a practical case study that applied the ISSA 5000 materiality requirements to disclosures of scope 1–3 greenhouse gas emissions. This resource aims to support practitioners in navigating complex sustainability reporting frameworks.</w:t>
      </w:r>
    </w:p>
    <w:p w14:paraId="1C4950B3" w14:textId="459A7648" w:rsidR="00B46E88" w:rsidRPr="000434BD" w:rsidRDefault="00B46E88" w:rsidP="00B50024">
      <w:r w:rsidRPr="000434BD">
        <w:t xml:space="preserve">In response to the evolving technological landscape, </w:t>
      </w:r>
      <w:r w:rsidR="00BA4F71" w:rsidRPr="000434BD">
        <w:t xml:space="preserve">CA ANZ </w:t>
      </w:r>
      <w:r w:rsidR="00C4641E" w:rsidRPr="000434BD">
        <w:t xml:space="preserve">and </w:t>
      </w:r>
      <w:r w:rsidR="000A3726" w:rsidRPr="000434BD">
        <w:t>Association of Chartered Certified Accountants</w:t>
      </w:r>
      <w:r w:rsidR="00BA4F71" w:rsidRPr="000434BD">
        <w:t xml:space="preserve"> released the </w:t>
      </w:r>
      <w:r w:rsidR="009A7002" w:rsidRPr="000434BD">
        <w:t>Audit and Technology Playbook</w:t>
      </w:r>
      <w:r w:rsidRPr="000434BD">
        <w:t>. This practitioner-focused guide offers insights and strategies to help audit professionals adapt to emerging technologies</w:t>
      </w:r>
      <w:r w:rsidR="00BA4F71" w:rsidRPr="000434BD">
        <w:t xml:space="preserve"> such as </w:t>
      </w:r>
      <w:r w:rsidRPr="000434BD">
        <w:t>artificial intelligence (AI) and integrate them effectively into their workflows.</w:t>
      </w:r>
    </w:p>
    <w:p w14:paraId="43A9A7D0" w14:textId="6E84BCED" w:rsidR="00B46E88" w:rsidRPr="000434BD" w:rsidRDefault="00BA4F71" w:rsidP="00B50024">
      <w:r w:rsidRPr="000434BD">
        <w:t>CA ANZ provided e</w:t>
      </w:r>
      <w:r w:rsidR="00B46E88" w:rsidRPr="000434BD">
        <w:t>xtensive input on audit quality and related matters to inform government consultations. Notably,</w:t>
      </w:r>
      <w:r w:rsidR="00221F54" w:rsidRPr="000434BD">
        <w:t xml:space="preserve"> CA ANZ </w:t>
      </w:r>
      <w:r w:rsidRPr="000434BD">
        <w:t xml:space="preserve">contributed </w:t>
      </w:r>
      <w:r w:rsidR="00B46E88" w:rsidRPr="000434BD">
        <w:t>to Treasury’s proposal to merge the AASB, AUASB and FRC. Additionally,</w:t>
      </w:r>
      <w:r w:rsidRPr="000434BD">
        <w:t xml:space="preserve"> it submitted evidence </w:t>
      </w:r>
      <w:r w:rsidR="00B46E88" w:rsidRPr="000434BD">
        <w:t>to the</w:t>
      </w:r>
      <w:r w:rsidR="004A44B4" w:rsidRPr="000434BD">
        <w:t xml:space="preserve"> </w:t>
      </w:r>
      <w:r w:rsidR="00B46E88" w:rsidRPr="000434BD">
        <w:t>ANAO</w:t>
      </w:r>
      <w:r w:rsidR="00EE68DA" w:rsidRPr="000434BD">
        <w:t>’s</w:t>
      </w:r>
      <w:r w:rsidR="00B46E88" w:rsidRPr="000434BD">
        <w:t xml:space="preserve"> performance audit</w:t>
      </w:r>
      <w:r w:rsidR="00EE68DA" w:rsidRPr="000434BD">
        <w:t xml:space="preserve"> that</w:t>
      </w:r>
      <w:r w:rsidR="00B46E88" w:rsidRPr="000434BD">
        <w:t xml:space="preserve"> assess</w:t>
      </w:r>
      <w:r w:rsidR="00EE68DA" w:rsidRPr="000434BD">
        <w:t>ed</w:t>
      </w:r>
      <w:r w:rsidR="00B46E88" w:rsidRPr="000434BD">
        <w:t xml:space="preserve"> the effectiveness of ASIC’s regulation of registered company auditors.</w:t>
      </w:r>
    </w:p>
    <w:p w14:paraId="5E97A6A9" w14:textId="7AEBEBE6" w:rsidR="00B46E88" w:rsidRPr="000434BD" w:rsidRDefault="00B46E88" w:rsidP="00B50024">
      <w:r w:rsidRPr="000434BD">
        <w:t>Engagement with professional accountants was a priority, with outreach efforts supporting submissions on consultations by local and international auditing standard setters. These efforts focused on shaping the </w:t>
      </w:r>
      <w:r w:rsidR="009A7002" w:rsidRPr="000434BD">
        <w:t>assurance</w:t>
      </w:r>
      <w:r w:rsidRPr="000434BD">
        <w:t>, and </w:t>
      </w:r>
      <w:r w:rsidR="009A7002" w:rsidRPr="000434BD">
        <w:t>ethics and independence</w:t>
      </w:r>
      <w:r w:rsidRPr="000434BD">
        <w:t> requirements for sustainability, ensuring that practitioner perspectives were well represented.</w:t>
      </w:r>
    </w:p>
    <w:p w14:paraId="7AE181E6" w14:textId="7550C4FC" w:rsidR="00B46E88" w:rsidRPr="000434BD" w:rsidRDefault="0082236F" w:rsidP="00B50024">
      <w:r w:rsidRPr="000434BD">
        <w:t>CA ANZ undertook a</w:t>
      </w:r>
      <w:r w:rsidR="00B46E88" w:rsidRPr="000434BD">
        <w:t xml:space="preserve"> dedicated research program to explore trends and issues impacting audit quality. This included studies on </w:t>
      </w:r>
      <w:r w:rsidR="009A7002" w:rsidRPr="000434BD">
        <w:t>investor confidence</w:t>
      </w:r>
      <w:r w:rsidR="00B46E88" w:rsidRPr="000434BD">
        <w:t> in audited financial statements and trust in auditors, and the frequency and nature of </w:t>
      </w:r>
      <w:r w:rsidR="009A7002" w:rsidRPr="000434BD">
        <w:t>key audit matters</w:t>
      </w:r>
      <w:r w:rsidR="00B46E88" w:rsidRPr="000434BD">
        <w:t>, providing insights to guide future policy and practice.</w:t>
      </w:r>
    </w:p>
    <w:p w14:paraId="3D186B54" w14:textId="7004A7D8" w:rsidR="00B46E88" w:rsidRPr="000434BD" w:rsidRDefault="00B46E88" w:rsidP="00B50024">
      <w:r w:rsidRPr="000434BD">
        <w:t>A large-scale training initiative to enhance audit quality culminated in an annual conference attended by over 3,000 participants. The event featured presentations from regulators, policymakers, standard</w:t>
      </w:r>
      <w:r w:rsidR="00BD6A9D">
        <w:noBreakHyphen/>
      </w:r>
      <w:r w:rsidRPr="000434BD">
        <w:t>setters, and audit firms, fostering dialogue and professional development.</w:t>
      </w:r>
    </w:p>
    <w:p w14:paraId="6CDA45B0" w14:textId="27E74398" w:rsidR="00B46E88" w:rsidRPr="000434BD" w:rsidRDefault="00B46E88" w:rsidP="00B50024">
      <w:r w:rsidRPr="000434BD">
        <w:t xml:space="preserve">To support auditors in navigating changes to standards and the economic environment’s impact on audit quality, </w:t>
      </w:r>
      <w:r w:rsidR="00283790" w:rsidRPr="000434BD">
        <w:t xml:space="preserve">CA ANZ provided </w:t>
      </w:r>
      <w:r w:rsidRPr="000434BD">
        <w:t>biannual </w:t>
      </w:r>
      <w:r w:rsidR="003E78FD" w:rsidRPr="000434BD">
        <w:t>Assurance Essential Guides</w:t>
      </w:r>
      <w:r w:rsidRPr="000434BD">
        <w:t xml:space="preserve"> and webinars. </w:t>
      </w:r>
    </w:p>
    <w:p w14:paraId="0CB0586B" w14:textId="6E18EAA5" w:rsidR="00B46E88" w:rsidRPr="000434BD" w:rsidRDefault="00283790" w:rsidP="00B50024">
      <w:r w:rsidRPr="000434BD">
        <w:t>CA ANZ dis</w:t>
      </w:r>
      <w:r w:rsidR="00821B85" w:rsidRPr="000434BD">
        <w:t>seminated d</w:t>
      </w:r>
      <w:r w:rsidR="00B46E88" w:rsidRPr="000434BD">
        <w:t>evelopments from standard setters and regulators through a fortnightly technical newsletter, reaching over 20,000 subscribers</w:t>
      </w:r>
      <w:r w:rsidR="009D5296" w:rsidRPr="000434BD">
        <w:t>.</w:t>
      </w:r>
    </w:p>
    <w:p w14:paraId="77DCA415" w14:textId="4CEEA045" w:rsidR="00B46E88" w:rsidRPr="000434BD" w:rsidRDefault="00821B85" w:rsidP="00B50024">
      <w:pPr>
        <w:rPr>
          <w:rFonts w:cs="Source Sans Pro"/>
          <w:color w:val="336699"/>
          <w:szCs w:val="21"/>
          <w:lang w:val="en-GB"/>
        </w:rPr>
      </w:pPr>
      <w:r w:rsidRPr="000434BD">
        <w:t>CA ANZ facilitated m</w:t>
      </w:r>
      <w:r w:rsidR="00B46E88" w:rsidRPr="000434BD">
        <w:t>onthly dialogues among stakeholders</w:t>
      </w:r>
      <w:r w:rsidR="000D4C26" w:rsidRPr="000434BD">
        <w:t xml:space="preserve"> – </w:t>
      </w:r>
      <w:r w:rsidR="00B46E88" w:rsidRPr="000434BD">
        <w:t>including ASIC, ACNC, AASB, AUASB, APESB, and audit firms</w:t>
      </w:r>
      <w:r w:rsidR="000D4C26" w:rsidRPr="000434BD">
        <w:t xml:space="preserve"> – </w:t>
      </w:r>
      <w:r w:rsidR="00B46E88" w:rsidRPr="000434BD">
        <w:t>to address technical matters central to audit quality</w:t>
      </w:r>
      <w:r w:rsidR="009D5296" w:rsidRPr="000434BD">
        <w:t>.</w:t>
      </w:r>
    </w:p>
    <w:p w14:paraId="783BCA16" w14:textId="77777777" w:rsidR="008810BD" w:rsidRPr="00D45D47" w:rsidRDefault="008810BD" w:rsidP="000B66A2">
      <w:pPr>
        <w:pStyle w:val="Heading2"/>
      </w:pPr>
      <w:bookmarkStart w:id="66" w:name="_Toc211627810"/>
      <w:r w:rsidRPr="00D45D47">
        <w:t>CPA</w:t>
      </w:r>
      <w:bookmarkEnd w:id="66"/>
    </w:p>
    <w:p w14:paraId="708991B9" w14:textId="70367EAD" w:rsidR="00670B2F" w:rsidRPr="000434BD" w:rsidRDefault="00670B2F" w:rsidP="00B50024">
      <w:r w:rsidRPr="000434BD">
        <w:t>The CPA Australia Best Practice Program supports members in public practice, while also ensuring the highest professional and ethical standards are maintained. The Program’s assessments are designed to ensure CPA Australia’s public practice certificate</w:t>
      </w:r>
      <w:r w:rsidR="00DD336C" w:rsidRPr="000434BD">
        <w:t xml:space="preserve"> (PPC)</w:t>
      </w:r>
      <w:r w:rsidRPr="000434BD">
        <w:t xml:space="preserve"> holders </w:t>
      </w:r>
      <w:r w:rsidR="00E432D0" w:rsidRPr="000434BD">
        <w:t xml:space="preserve">who </w:t>
      </w:r>
      <w:r w:rsidRPr="000434BD">
        <w:t>provid</w:t>
      </w:r>
      <w:r w:rsidR="00E432D0" w:rsidRPr="000434BD">
        <w:t>e</w:t>
      </w:r>
      <w:r w:rsidRPr="000434BD">
        <w:t xml:space="preserve"> public accounting services in Australia and New Zealand:</w:t>
      </w:r>
    </w:p>
    <w:p w14:paraId="68A8577F" w14:textId="77777777" w:rsidR="00670B2F" w:rsidRPr="000434BD" w:rsidRDefault="00670B2F" w:rsidP="00B50024">
      <w:pPr>
        <w:pStyle w:val="Bullet"/>
      </w:pPr>
      <w:r w:rsidRPr="000434BD">
        <w:t>have implemented a system of quality management</w:t>
      </w:r>
    </w:p>
    <w:p w14:paraId="1D31958E" w14:textId="77777777" w:rsidR="00670B2F" w:rsidRPr="000434BD" w:rsidRDefault="00670B2F" w:rsidP="00B50024">
      <w:pPr>
        <w:pStyle w:val="Bullet"/>
      </w:pPr>
      <w:r w:rsidRPr="000434BD">
        <w:t>adhere to professional and ethical standards</w:t>
      </w:r>
    </w:p>
    <w:p w14:paraId="12432A14" w14:textId="17C544BF" w:rsidR="00670B2F" w:rsidRPr="000434BD" w:rsidRDefault="00670B2F" w:rsidP="00B50024">
      <w:pPr>
        <w:pStyle w:val="Bullet"/>
      </w:pPr>
      <w:r w:rsidRPr="000434BD">
        <w:t xml:space="preserve">continue to meet the CPA Australia </w:t>
      </w:r>
      <w:r w:rsidR="00E432D0" w:rsidRPr="000434BD">
        <w:t>b</w:t>
      </w:r>
      <w:r w:rsidRPr="000434BD">
        <w:t>y-</w:t>
      </w:r>
      <w:r w:rsidR="00E432D0" w:rsidRPr="000434BD">
        <w:t>l</w:t>
      </w:r>
      <w:r w:rsidRPr="000434BD">
        <w:t xml:space="preserve">aw requirements relevant to PPC holders. </w:t>
      </w:r>
    </w:p>
    <w:p w14:paraId="35B1EB4D" w14:textId="05EB1D58" w:rsidR="00670B2F" w:rsidRPr="000434BD" w:rsidRDefault="00532D1A" w:rsidP="00B50024">
      <w:r w:rsidRPr="000434BD">
        <w:t xml:space="preserve">Members </w:t>
      </w:r>
      <w:r w:rsidR="00B51DF4" w:rsidRPr="000434BD">
        <w:t>who</w:t>
      </w:r>
      <w:r w:rsidRPr="000434BD">
        <w:t xml:space="preserve"> provide audit and assurance services</w:t>
      </w:r>
      <w:r w:rsidR="00B51DF4" w:rsidRPr="000434BD">
        <w:t xml:space="preserve"> </w:t>
      </w:r>
      <w:r w:rsidR="0066482C" w:rsidRPr="000434BD">
        <w:t>have their working papers asse</w:t>
      </w:r>
      <w:r w:rsidR="005315A3" w:rsidRPr="000434BD">
        <w:t>sse</w:t>
      </w:r>
      <w:r w:rsidR="0066482C" w:rsidRPr="000434BD">
        <w:t>d to ensure th</w:t>
      </w:r>
      <w:r w:rsidR="005315A3" w:rsidRPr="000434BD">
        <w:t xml:space="preserve">ey </w:t>
      </w:r>
      <w:r w:rsidR="00670B2F" w:rsidRPr="000434BD">
        <w:t>provide sufficient and appropriate evidence that support</w:t>
      </w:r>
      <w:r w:rsidR="005315A3" w:rsidRPr="000434BD">
        <w:t>s</w:t>
      </w:r>
      <w:r w:rsidR="00670B2F" w:rsidRPr="000434BD">
        <w:t xml:space="preserve"> the audit report. </w:t>
      </w:r>
    </w:p>
    <w:p w14:paraId="059CBEFF" w14:textId="7167F007" w:rsidR="00670B2F" w:rsidRPr="000434BD" w:rsidRDefault="009D5296" w:rsidP="00B50024">
      <w:r w:rsidRPr="000434BD">
        <w:t>CPA Australia uses i</w:t>
      </w:r>
      <w:r w:rsidR="00670B2F" w:rsidRPr="000434BD">
        <w:t>nsights from assessments and member queries to provide practice support for all</w:t>
      </w:r>
      <w:r w:rsidR="009E1A52" w:rsidRPr="000434BD">
        <w:t xml:space="preserve"> its</w:t>
      </w:r>
      <w:r w:rsidR="00670B2F" w:rsidRPr="000434BD">
        <w:t xml:space="preserve"> members to </w:t>
      </w:r>
      <w:r w:rsidRPr="000434BD">
        <w:t>promote</w:t>
      </w:r>
      <w:r w:rsidR="00670B2F" w:rsidRPr="000434BD">
        <w:t xml:space="preserve"> compliance and the delivery of high-quality public accounting services. Common assessment findings are shared with members to inform and educate as well as promote proactive self</w:t>
      </w:r>
      <w:r w:rsidR="00B50024">
        <w:noBreakHyphen/>
      </w:r>
      <w:r w:rsidR="00670B2F" w:rsidRPr="000434BD">
        <w:t xml:space="preserve">review and access to </w:t>
      </w:r>
      <w:r w:rsidR="009E1A52" w:rsidRPr="000434BD">
        <w:t>CPA’s</w:t>
      </w:r>
      <w:r w:rsidR="00670B2F" w:rsidRPr="000434BD">
        <w:t xml:space="preserve"> tools and resources. This information is provided in </w:t>
      </w:r>
      <w:r w:rsidR="009E1A52" w:rsidRPr="000434BD">
        <w:t>the</w:t>
      </w:r>
      <w:r w:rsidR="00670B2F" w:rsidRPr="000434BD">
        <w:t xml:space="preserve"> </w:t>
      </w:r>
      <w:r w:rsidR="003E78FD" w:rsidRPr="000434BD">
        <w:t>CPA Australia 2024 Professional Standards Report</w:t>
      </w:r>
      <w:r w:rsidR="00670B2F" w:rsidRPr="000434BD">
        <w:t>.</w:t>
      </w:r>
    </w:p>
    <w:p w14:paraId="6957DDD4" w14:textId="7E2DE00A" w:rsidR="00670B2F" w:rsidRPr="000434BD" w:rsidRDefault="00670B2F" w:rsidP="00B50024">
      <w:r w:rsidRPr="000434BD">
        <w:t>During the year, CPA Australia provided written submissions to Australian and international standard</w:t>
      </w:r>
      <w:r w:rsidR="00BD6A9D">
        <w:noBreakHyphen/>
      </w:r>
      <w:r w:rsidRPr="000434BD">
        <w:t xml:space="preserve">setters to support development of high-quality auditing and independence standards. </w:t>
      </w:r>
      <w:r w:rsidR="00BC2DBD" w:rsidRPr="000434BD">
        <w:t>CPA Australia</w:t>
      </w:r>
      <w:r w:rsidRPr="000434BD">
        <w:t xml:space="preserve"> maintained regular engagement with stakeholders, including government, standard-setters and regulators, to help uphold and enhance audit quality in Australia. This includes contributing informal feedback to government agencies through soft consultations on emerging issues.</w:t>
      </w:r>
    </w:p>
    <w:p w14:paraId="6AE5F9C3" w14:textId="50675C94" w:rsidR="00670B2F" w:rsidRPr="000434BD" w:rsidRDefault="00670B2F" w:rsidP="00B50024">
      <w:r w:rsidRPr="000434BD">
        <w:t xml:space="preserve">Notable formal submissions during the reporting period included </w:t>
      </w:r>
      <w:r w:rsidR="005B7512" w:rsidRPr="000434BD">
        <w:t>CPA’s</w:t>
      </w:r>
      <w:r w:rsidRPr="000434BD">
        <w:t xml:space="preserve"> response to Treasury’s consultation on </w:t>
      </w:r>
      <w:r w:rsidR="009F16D0" w:rsidRPr="000434BD">
        <w:t>Positioning Australia’s Financial Reporting System for the Future</w:t>
      </w:r>
      <w:r w:rsidRPr="000434BD">
        <w:t xml:space="preserve">, and </w:t>
      </w:r>
      <w:r w:rsidR="005B7512" w:rsidRPr="000434BD">
        <w:t>CPA’s</w:t>
      </w:r>
      <w:r w:rsidRPr="000434BD">
        <w:t xml:space="preserve"> submission to the ANAO on </w:t>
      </w:r>
      <w:r w:rsidR="009F16D0" w:rsidRPr="000434BD">
        <w:t>ASIC’s regulation of registered company auditors</w:t>
      </w:r>
      <w:r w:rsidRPr="000434BD">
        <w:t>.</w:t>
      </w:r>
    </w:p>
    <w:p w14:paraId="472A5892" w14:textId="66F8D865" w:rsidR="005B183D" w:rsidRPr="000434BD" w:rsidRDefault="00670B2F" w:rsidP="00B50024">
      <w:r w:rsidRPr="000434BD">
        <w:t xml:space="preserve">CPA Australia continues to support members by developing practical resources such as guides, webinars, podcasts, </w:t>
      </w:r>
      <w:proofErr w:type="spellStart"/>
      <w:r w:rsidRPr="00B50024">
        <w:rPr>
          <w:i/>
          <w:iCs/>
        </w:rPr>
        <w:t>InPractice</w:t>
      </w:r>
      <w:proofErr w:type="spellEnd"/>
      <w:r w:rsidRPr="000434BD">
        <w:t xml:space="preserve"> content, and </w:t>
      </w:r>
      <w:r w:rsidRPr="00B50024">
        <w:rPr>
          <w:i/>
          <w:iCs/>
        </w:rPr>
        <w:t>INTHEBLACK</w:t>
      </w:r>
      <w:r w:rsidRPr="000434BD">
        <w:t xml:space="preserve"> articles, to assist members in their roles as auditors. </w:t>
      </w:r>
      <w:r w:rsidR="00BC2DBD" w:rsidRPr="000434BD">
        <w:t xml:space="preserve">CPA </w:t>
      </w:r>
      <w:r w:rsidR="005B7512" w:rsidRPr="000434BD">
        <w:t>is</w:t>
      </w:r>
      <w:r w:rsidRPr="000434BD">
        <w:t xml:space="preserve"> soon to release an updated online ASQM 1 tool</w:t>
      </w:r>
      <w:r w:rsidR="005202FE" w:rsidRPr="000434BD">
        <w:t>,</w:t>
      </w:r>
      <w:r w:rsidRPr="000434BD">
        <w:t xml:space="preserve"> which will step members through their risk assessment against quality objectives </w:t>
      </w:r>
      <w:r w:rsidR="003F1438" w:rsidRPr="000434BD">
        <w:t>and</w:t>
      </w:r>
      <w:r w:rsidRPr="000434BD">
        <w:t xml:space="preserve"> assist in evidencing monitoring activities. Further enhancements will provide templates for related policies and procedures.</w:t>
      </w:r>
    </w:p>
    <w:p w14:paraId="1F9D26EC" w14:textId="77777777" w:rsidR="008810BD" w:rsidRPr="00A93D4C" w:rsidRDefault="008810BD" w:rsidP="000B66A2">
      <w:pPr>
        <w:pStyle w:val="Heading2"/>
      </w:pPr>
      <w:bookmarkStart w:id="67" w:name="_Toc211627811"/>
      <w:r w:rsidRPr="00A93D4C">
        <w:t>IPA</w:t>
      </w:r>
      <w:bookmarkEnd w:id="67"/>
    </w:p>
    <w:p w14:paraId="2B675F76" w14:textId="1C1D127D" w:rsidR="00C1151C" w:rsidRPr="000434BD" w:rsidRDefault="00C1151C" w:rsidP="00B50024">
      <w:r w:rsidRPr="000434BD">
        <w:t xml:space="preserve">IPA undertook extensive revision of member tools, resources and guidance, </w:t>
      </w:r>
      <w:r w:rsidR="000E2704" w:rsidRPr="000434BD">
        <w:t xml:space="preserve">and </w:t>
      </w:r>
      <w:r w:rsidRPr="000434BD">
        <w:t>add</w:t>
      </w:r>
      <w:r w:rsidR="000E2704" w:rsidRPr="000434BD">
        <w:t>ed</w:t>
      </w:r>
      <w:r w:rsidRPr="000434BD">
        <w:t xml:space="preserve"> new resources to improve compliance with rules, regulations and standards. This included</w:t>
      </w:r>
      <w:r w:rsidR="001A2C37" w:rsidRPr="000434BD">
        <w:t xml:space="preserve"> </w:t>
      </w:r>
      <w:r w:rsidRPr="000434BD">
        <w:t>ASQM 1</w:t>
      </w:r>
      <w:r w:rsidRPr="00B50024">
        <w:rPr>
          <w:rStyle w:val="FootnoteReference"/>
          <w:vertAlign w:val="superscript"/>
        </w:rPr>
        <w:footnoteReference w:id="2"/>
      </w:r>
      <w:r w:rsidRPr="000434BD">
        <w:t>, APES 320</w:t>
      </w:r>
      <w:r w:rsidRPr="00B50024">
        <w:rPr>
          <w:rStyle w:val="FootnoteReference"/>
          <w:rFonts w:ascii="Source Sans Pro Light" w:hAnsi="Source Sans Pro Light" w:cs="Arial"/>
          <w:sz w:val="21"/>
          <w:szCs w:val="21"/>
          <w:vertAlign w:val="superscript"/>
        </w:rPr>
        <w:footnoteReference w:id="3"/>
      </w:r>
      <w:r w:rsidRPr="000434BD">
        <w:t xml:space="preserve"> and APES 325</w:t>
      </w:r>
      <w:r w:rsidRPr="00B50024">
        <w:rPr>
          <w:rStyle w:val="FootnoteReference"/>
          <w:rFonts w:ascii="Source Sans Pro Light" w:hAnsi="Source Sans Pro Light" w:cs="Arial"/>
          <w:sz w:val="21"/>
          <w:szCs w:val="21"/>
          <w:vertAlign w:val="superscript"/>
        </w:rPr>
        <w:footnoteReference w:id="4"/>
      </w:r>
      <w:r w:rsidRPr="000434BD">
        <w:t xml:space="preserve">, covering quality management for firms that perform audits or reviews of financial reports, other assurance services and risk management. </w:t>
      </w:r>
      <w:r w:rsidR="001A2C37" w:rsidRPr="000434BD">
        <w:t xml:space="preserve">IPA focused on </w:t>
      </w:r>
      <w:r w:rsidRPr="000434BD">
        <w:t>providing smaller practices with more practical and accessible tools and resources specifically designed for a smaller practice. IPA has a system of continuous improvement to ensure that tools, resources and guidance remain current and</w:t>
      </w:r>
      <w:r w:rsidR="00B50024">
        <w:t> </w:t>
      </w:r>
      <w:r w:rsidRPr="000434BD">
        <w:t>practical.</w:t>
      </w:r>
    </w:p>
    <w:p w14:paraId="37C5F681" w14:textId="7F0FAF9B" w:rsidR="00C1151C" w:rsidRPr="000434BD" w:rsidRDefault="00C1151C" w:rsidP="00B50024">
      <w:r w:rsidRPr="000434BD">
        <w:t>Further improvements resulted from feedback from over 2,000 members, which led to enhancements in the presentation of tools, resources and guidance</w:t>
      </w:r>
      <w:r w:rsidR="00242E83" w:rsidRPr="000434BD">
        <w:t>.</w:t>
      </w:r>
      <w:r w:rsidRPr="000434BD">
        <w:t xml:space="preserve"> </w:t>
      </w:r>
      <w:r w:rsidR="00242E83" w:rsidRPr="000434BD">
        <w:t>This i</w:t>
      </w:r>
      <w:r w:rsidRPr="000434BD">
        <w:t>nclud</w:t>
      </w:r>
      <w:r w:rsidR="00242E83" w:rsidRPr="000434BD">
        <w:t>ed</w:t>
      </w:r>
      <w:r w:rsidRPr="000434BD">
        <w:t xml:space="preserve"> more specialised focus depending on the size of the practice, including sole practitioners. This led to a reduction in the number of member queries and non</w:t>
      </w:r>
      <w:r w:rsidR="00242E83" w:rsidRPr="000434BD">
        <w:noBreakHyphen/>
      </w:r>
      <w:r w:rsidRPr="000434BD">
        <w:t xml:space="preserve">compliance in completing the Quality Review Program.  </w:t>
      </w:r>
      <w:r w:rsidR="00112911" w:rsidRPr="000434BD">
        <w:t xml:space="preserve"> </w:t>
      </w:r>
    </w:p>
    <w:p w14:paraId="408E7506" w14:textId="59CEB311" w:rsidR="00C1151C" w:rsidRPr="000434BD" w:rsidRDefault="00E50CBB" w:rsidP="00E8076E">
      <w:r w:rsidRPr="000434BD">
        <w:t>IPA developed</w:t>
      </w:r>
      <w:r w:rsidR="00C1151C" w:rsidRPr="000434BD">
        <w:t xml:space="preserve"> a new risk management training course, which encompasses areas of practice including audit and assurance engagements, provided online and in</w:t>
      </w:r>
      <w:r w:rsidR="000E2704" w:rsidRPr="000434BD">
        <w:t>-</w:t>
      </w:r>
      <w:r w:rsidR="00C1151C" w:rsidRPr="000434BD">
        <w:t>person.</w:t>
      </w:r>
    </w:p>
    <w:p w14:paraId="342C4FEE" w14:textId="68C1869A" w:rsidR="00C1151C" w:rsidRPr="000434BD" w:rsidRDefault="00C1151C" w:rsidP="00E8076E">
      <w:r w:rsidRPr="000434BD">
        <w:t xml:space="preserve">Registered </w:t>
      </w:r>
      <w:r w:rsidR="00E50CBB" w:rsidRPr="000434BD">
        <w:t>c</w:t>
      </w:r>
      <w:r w:rsidRPr="000434BD">
        <w:t xml:space="preserve">ompany </w:t>
      </w:r>
      <w:r w:rsidR="00E50CBB" w:rsidRPr="000434BD">
        <w:t>a</w:t>
      </w:r>
      <w:r w:rsidRPr="000434BD">
        <w:t xml:space="preserve">uditors and </w:t>
      </w:r>
      <w:r w:rsidR="00E50CBB" w:rsidRPr="000434BD">
        <w:t>r</w:t>
      </w:r>
      <w:r w:rsidRPr="000434BD">
        <w:t xml:space="preserve">egistered </w:t>
      </w:r>
      <w:r w:rsidR="00E50CBB" w:rsidRPr="000434BD">
        <w:t>self-managed super fund (SMSF) a</w:t>
      </w:r>
      <w:r w:rsidRPr="000434BD">
        <w:t xml:space="preserve">uditors are subject to the Quality Review Program every </w:t>
      </w:r>
      <w:r w:rsidR="000E2704" w:rsidRPr="000434BD">
        <w:t xml:space="preserve">3 </w:t>
      </w:r>
      <w:r w:rsidRPr="000434BD">
        <w:t>years</w:t>
      </w:r>
      <w:r w:rsidR="00E50CBB" w:rsidRPr="000434BD">
        <w:t xml:space="preserve">. </w:t>
      </w:r>
      <w:r w:rsidR="003F1438" w:rsidRPr="000434BD">
        <w:t>IPA has</w:t>
      </w:r>
      <w:r w:rsidRPr="000434BD">
        <w:t xml:space="preserve"> now completed </w:t>
      </w:r>
      <w:r w:rsidR="000E2704" w:rsidRPr="000434BD">
        <w:t xml:space="preserve">2 </w:t>
      </w:r>
      <w:r w:rsidRPr="000434BD">
        <w:t>full cycles for these members.</w:t>
      </w:r>
    </w:p>
    <w:p w14:paraId="36AAD930" w14:textId="0C6D591E" w:rsidR="00491348" w:rsidRPr="00E8076E" w:rsidRDefault="00C1151C" w:rsidP="00E8076E">
      <w:r w:rsidRPr="000434BD">
        <w:t xml:space="preserve">IPA members voted in favour of </w:t>
      </w:r>
      <w:r w:rsidR="00724676" w:rsidRPr="000434BD">
        <w:t>c</w:t>
      </w:r>
      <w:r w:rsidRPr="000434BD">
        <w:t xml:space="preserve">onstitutional changes to implement the recommendations from the Professional Conduct Review. These changes and the consequent </w:t>
      </w:r>
      <w:r w:rsidR="00724676" w:rsidRPr="000434BD">
        <w:t>b</w:t>
      </w:r>
      <w:r w:rsidRPr="000434BD">
        <w:t>y-</w:t>
      </w:r>
      <w:r w:rsidR="00724676" w:rsidRPr="000434BD">
        <w:t>l</w:t>
      </w:r>
      <w:r w:rsidRPr="000434BD">
        <w:t xml:space="preserve">aw changes </w:t>
      </w:r>
      <w:r w:rsidR="5BDCFC36" w:rsidRPr="73D3ADE0">
        <w:t>are designed to</w:t>
      </w:r>
      <w:r w:rsidRPr="000434BD">
        <w:t xml:space="preserve"> raise the IPA’s complaints and disciplinary system and processes to best</w:t>
      </w:r>
      <w:r w:rsidR="000E2704" w:rsidRPr="000434BD">
        <w:t>-</w:t>
      </w:r>
      <w:r w:rsidRPr="000434BD">
        <w:t>practice levels.</w:t>
      </w:r>
    </w:p>
    <w:p w14:paraId="475937EC" w14:textId="0E4FA35A" w:rsidR="00146EF1" w:rsidRPr="000434BD" w:rsidRDefault="00164A9C" w:rsidP="00E8076E">
      <w:r w:rsidRPr="000434BD">
        <w:t xml:space="preserve">The results of </w:t>
      </w:r>
      <w:r w:rsidR="00BD1FFB" w:rsidRPr="000434BD">
        <w:t xml:space="preserve">IPA’s, CA ANZ’s and CPA Australia’s </w:t>
      </w:r>
      <w:r w:rsidRPr="000434BD">
        <w:t>programs are summarised in</w:t>
      </w:r>
      <w:r w:rsidR="00E34CFC" w:rsidRPr="000434BD">
        <w:t xml:space="preserve"> </w:t>
      </w:r>
      <w:r w:rsidR="00DC0298" w:rsidRPr="000434BD">
        <w:t xml:space="preserve">Tables </w:t>
      </w:r>
      <w:r w:rsidR="00444E39" w:rsidRPr="000434BD">
        <w:t>4</w:t>
      </w:r>
      <w:r w:rsidR="00707BB5" w:rsidRPr="000434BD">
        <w:t>.</w:t>
      </w:r>
      <w:r w:rsidR="004E57FA" w:rsidRPr="000434BD">
        <w:t>1</w:t>
      </w:r>
      <w:r w:rsidR="00707BB5" w:rsidRPr="000434BD">
        <w:t xml:space="preserve"> and </w:t>
      </w:r>
      <w:r w:rsidR="00444E39" w:rsidRPr="000434BD">
        <w:t>4</w:t>
      </w:r>
      <w:r w:rsidR="00707BB5" w:rsidRPr="000434BD">
        <w:t>.</w:t>
      </w:r>
      <w:r w:rsidR="004E57FA" w:rsidRPr="000434BD">
        <w:t>2</w:t>
      </w:r>
      <w:r w:rsidR="00954252" w:rsidRPr="000434BD">
        <w:t>.</w:t>
      </w:r>
    </w:p>
    <w:p w14:paraId="688EBA58" w14:textId="203A6347" w:rsidR="000B3A31" w:rsidRPr="00BE5272" w:rsidRDefault="000B3A31" w:rsidP="00BE5272">
      <w:pPr>
        <w:pStyle w:val="TableMainHeading"/>
      </w:pPr>
      <w:r w:rsidRPr="00BE5272">
        <w:t xml:space="preserve">Table </w:t>
      </w:r>
      <w:r w:rsidR="00B30DF8" w:rsidRPr="00BE5272">
        <w:t>4</w:t>
      </w:r>
      <w:r w:rsidRPr="00BE5272">
        <w:t>.</w:t>
      </w:r>
      <w:r w:rsidR="004E57FA" w:rsidRPr="00BE5272">
        <w:t>1</w:t>
      </w:r>
      <w:r w:rsidRPr="00BE5272">
        <w:t xml:space="preserve">: Outcomes of review programs – </w:t>
      </w:r>
      <w:r w:rsidR="006C4EE0" w:rsidRPr="00BE5272">
        <w:t>q</w:t>
      </w:r>
      <w:r w:rsidRPr="00BE5272">
        <w:t>uality assurance reviews of audit firms</w:t>
      </w:r>
    </w:p>
    <w:tbl>
      <w:tblPr>
        <w:tblStyle w:val="GridTable3-Accent1"/>
        <w:tblpPr w:leftFromText="180" w:rightFromText="180" w:vertAnchor="text" w:tblpY="1"/>
        <w:tblOverlap w:val="never"/>
        <w:tblW w:w="4945" w:type="pct"/>
        <w:tblInd w:w="0" w:type="dxa"/>
        <w:tblCellMar>
          <w:left w:w="85" w:type="dxa"/>
          <w:right w:w="85" w:type="dxa"/>
        </w:tblCellMar>
        <w:tblLook w:val="04A0" w:firstRow="1" w:lastRow="0" w:firstColumn="1" w:lastColumn="0" w:noHBand="0" w:noVBand="1"/>
      </w:tblPr>
      <w:tblGrid>
        <w:gridCol w:w="1420"/>
        <w:gridCol w:w="696"/>
        <w:gridCol w:w="630"/>
        <w:gridCol w:w="615"/>
        <w:gridCol w:w="633"/>
        <w:gridCol w:w="615"/>
        <w:gridCol w:w="633"/>
        <w:gridCol w:w="617"/>
        <w:gridCol w:w="626"/>
        <w:gridCol w:w="628"/>
        <w:gridCol w:w="619"/>
        <w:gridCol w:w="565"/>
        <w:gridCol w:w="673"/>
      </w:tblGrid>
      <w:tr w:rsidR="00E8076E" w:rsidRPr="00995477" w14:paraId="683AF81E" w14:textId="77777777" w:rsidTr="00DF3392">
        <w:trPr>
          <w:cnfStyle w:val="100000000000" w:firstRow="1" w:lastRow="0" w:firstColumn="0" w:lastColumn="0" w:oddVBand="0" w:evenVBand="0" w:oddHBand="0" w:evenHBand="0" w:firstRowFirstColumn="0" w:firstRowLastColumn="0" w:lastRowFirstColumn="0" w:lastRowLastColumn="0"/>
          <w:trHeight w:val="255"/>
        </w:trPr>
        <w:tc>
          <w:tcPr>
            <w:cnfStyle w:val="001000000100" w:firstRow="0" w:lastRow="0" w:firstColumn="1" w:lastColumn="0" w:oddVBand="0" w:evenVBand="0" w:oddHBand="0" w:evenHBand="0" w:firstRowFirstColumn="1" w:firstRowLastColumn="0" w:lastRowFirstColumn="0" w:lastRowLastColumn="0"/>
            <w:tcW w:w="791" w:type="pct"/>
            <w:tcBorders>
              <w:top w:val="single" w:sz="4" w:space="0" w:color="89B2BD" w:themeColor="accent1" w:themeTint="99"/>
              <w:right w:val="single" w:sz="12" w:space="0" w:color="89B2BD" w:themeColor="accent1" w:themeTint="99"/>
            </w:tcBorders>
            <w:shd w:val="clear" w:color="auto" w:fill="006170" w:themeFill="text2"/>
          </w:tcPr>
          <w:p w14:paraId="4DD110CC" w14:textId="77777777" w:rsidR="00D80418" w:rsidRPr="00995477" w:rsidRDefault="00D80418" w:rsidP="00BE5272">
            <w:pPr>
              <w:pStyle w:val="OutlineNumbered1"/>
              <w:keepNext/>
              <w:numPr>
                <w:ilvl w:val="0"/>
                <w:numId w:val="0"/>
              </w:numPr>
              <w:tabs>
                <w:tab w:val="left" w:pos="720"/>
              </w:tabs>
              <w:jc w:val="center"/>
            </w:pPr>
          </w:p>
        </w:tc>
        <w:tc>
          <w:tcPr>
            <w:tcW w:w="1435" w:type="pct"/>
            <w:gridSpan w:val="4"/>
            <w:tcBorders>
              <w:top w:val="single" w:sz="4" w:space="0" w:color="89B2BD" w:themeColor="accent1" w:themeTint="99"/>
              <w:left w:val="single" w:sz="12" w:space="0" w:color="89B2BD" w:themeColor="accent1" w:themeTint="99"/>
              <w:right w:val="single" w:sz="12" w:space="0" w:color="89B2BD" w:themeColor="accent1" w:themeTint="99"/>
            </w:tcBorders>
            <w:shd w:val="clear" w:color="auto" w:fill="006170" w:themeFill="text2"/>
            <w:vAlign w:val="center"/>
          </w:tcPr>
          <w:p w14:paraId="687E50ED" w14:textId="6E3DD649" w:rsidR="00D80418" w:rsidRPr="00E8076E" w:rsidRDefault="00D80418" w:rsidP="00DF3392">
            <w:pPr>
              <w:pStyle w:val="TableColumnHeadingCentred"/>
              <w:cnfStyle w:val="100000000000" w:firstRow="1" w:lastRow="0" w:firstColumn="0" w:lastColumn="0" w:oddVBand="0" w:evenVBand="0" w:oddHBand="0" w:evenHBand="0" w:firstRowFirstColumn="0" w:firstRowLastColumn="0" w:lastRowFirstColumn="0" w:lastRowLastColumn="0"/>
              <w:rPr>
                <w:b/>
                <w:color w:val="FFFFFF" w:themeColor="background1"/>
              </w:rPr>
            </w:pPr>
            <w:proofErr w:type="spellStart"/>
            <w:r w:rsidRPr="00E8076E">
              <w:rPr>
                <w:b/>
                <w:color w:val="FFFFFF" w:themeColor="background1"/>
              </w:rPr>
              <w:t>IPA</w:t>
            </w:r>
            <w:r w:rsidR="00BE5272" w:rsidRPr="00E8076E">
              <w:rPr>
                <w:b/>
                <w:color w:val="FFFFFF" w:themeColor="background1"/>
                <w:vertAlign w:val="superscript"/>
              </w:rPr>
              <w:t>a</w:t>
            </w:r>
            <w:proofErr w:type="spellEnd"/>
          </w:p>
        </w:tc>
        <w:tc>
          <w:tcPr>
            <w:tcW w:w="1388" w:type="pct"/>
            <w:gridSpan w:val="4"/>
            <w:tcBorders>
              <w:top w:val="single" w:sz="4" w:space="0" w:color="89B2BD" w:themeColor="accent1" w:themeTint="99"/>
              <w:left w:val="single" w:sz="12" w:space="0" w:color="89B2BD" w:themeColor="accent1" w:themeTint="99"/>
              <w:bottom w:val="single" w:sz="4" w:space="0" w:color="89B2BD" w:themeColor="accent1" w:themeTint="99"/>
              <w:right w:val="single" w:sz="12" w:space="0" w:color="89B2BD" w:themeColor="accent1" w:themeTint="99"/>
            </w:tcBorders>
            <w:shd w:val="clear" w:color="auto" w:fill="006170" w:themeFill="text2"/>
            <w:vAlign w:val="center"/>
          </w:tcPr>
          <w:p w14:paraId="50F386BD" w14:textId="268F6830" w:rsidR="00D80418" w:rsidRPr="00E8076E" w:rsidRDefault="00D80418" w:rsidP="00DF3392">
            <w:pPr>
              <w:pStyle w:val="TableColumnHeadingCentred"/>
              <w:cnfStyle w:val="100000000000" w:firstRow="1" w:lastRow="0" w:firstColumn="0" w:lastColumn="0" w:oddVBand="0" w:evenVBand="0" w:oddHBand="0" w:evenHBand="0" w:firstRowFirstColumn="0" w:firstRowLastColumn="0" w:lastRowFirstColumn="0" w:lastRowLastColumn="0"/>
              <w:rPr>
                <w:b/>
                <w:color w:val="FFFFFF" w:themeColor="background1"/>
              </w:rPr>
            </w:pPr>
            <w:r w:rsidRPr="00E8076E">
              <w:rPr>
                <w:b/>
                <w:color w:val="FFFFFF" w:themeColor="background1"/>
              </w:rPr>
              <w:t xml:space="preserve">CA </w:t>
            </w:r>
            <w:proofErr w:type="spellStart"/>
            <w:r w:rsidRPr="00E8076E">
              <w:rPr>
                <w:b/>
                <w:color w:val="FFFFFF" w:themeColor="background1"/>
              </w:rPr>
              <w:t>ANZ</w:t>
            </w:r>
            <w:r w:rsidR="00BE5272" w:rsidRPr="00E8076E">
              <w:rPr>
                <w:b/>
                <w:color w:val="FFFFFF" w:themeColor="background1"/>
                <w:vertAlign w:val="superscript"/>
              </w:rPr>
              <w:t>b</w:t>
            </w:r>
            <w:proofErr w:type="spellEnd"/>
          </w:p>
        </w:tc>
        <w:tc>
          <w:tcPr>
            <w:tcW w:w="1385" w:type="pct"/>
            <w:gridSpan w:val="4"/>
            <w:tcBorders>
              <w:top w:val="single" w:sz="4" w:space="0" w:color="89B2BD" w:themeColor="accent1" w:themeTint="99"/>
              <w:left w:val="single" w:sz="12" w:space="0" w:color="89B2BD" w:themeColor="accent1" w:themeTint="99"/>
              <w:bottom w:val="single" w:sz="4" w:space="0" w:color="89B2BD" w:themeColor="accent1" w:themeTint="99"/>
            </w:tcBorders>
            <w:shd w:val="clear" w:color="auto" w:fill="006170" w:themeFill="text2"/>
            <w:vAlign w:val="center"/>
          </w:tcPr>
          <w:p w14:paraId="2984D70E" w14:textId="64F465CB" w:rsidR="00D80418" w:rsidRPr="00E8076E" w:rsidRDefault="00D80418" w:rsidP="00DF3392">
            <w:pPr>
              <w:pStyle w:val="TableColumnHeadingCentred"/>
              <w:cnfStyle w:val="100000000000" w:firstRow="1" w:lastRow="0" w:firstColumn="0" w:lastColumn="0" w:oddVBand="0" w:evenVBand="0" w:oddHBand="0" w:evenHBand="0" w:firstRowFirstColumn="0" w:firstRowLastColumn="0" w:lastRowFirstColumn="0" w:lastRowLastColumn="0"/>
              <w:rPr>
                <w:b/>
                <w:color w:val="FFFFFF" w:themeColor="background1"/>
              </w:rPr>
            </w:pPr>
            <w:r w:rsidRPr="00E8076E">
              <w:rPr>
                <w:b/>
                <w:color w:val="FFFFFF" w:themeColor="background1"/>
              </w:rPr>
              <w:t xml:space="preserve">CPA </w:t>
            </w:r>
            <w:proofErr w:type="spellStart"/>
            <w:r w:rsidRPr="00E8076E">
              <w:rPr>
                <w:b/>
                <w:color w:val="FFFFFF" w:themeColor="background1"/>
              </w:rPr>
              <w:t>Australia</w:t>
            </w:r>
            <w:r w:rsidR="00BE5272" w:rsidRPr="00E8076E">
              <w:rPr>
                <w:b/>
                <w:color w:val="FFFFFF" w:themeColor="background1"/>
                <w:vertAlign w:val="superscript"/>
              </w:rPr>
              <w:t>c</w:t>
            </w:r>
            <w:proofErr w:type="spellEnd"/>
          </w:p>
        </w:tc>
      </w:tr>
      <w:tr w:rsidR="005E5EE1" w:rsidRPr="00995477" w14:paraId="2E5B1ED4" w14:textId="77777777" w:rsidTr="00DF339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91" w:type="pct"/>
            <w:tcBorders>
              <w:top w:val="single" w:sz="4" w:space="0" w:color="89B2BD" w:themeColor="accent1" w:themeTint="99"/>
              <w:bottom w:val="single" w:sz="4" w:space="0" w:color="89B2BD" w:themeColor="accent1" w:themeTint="99"/>
              <w:right w:val="single" w:sz="12" w:space="0" w:color="89B2BD" w:themeColor="accent1" w:themeTint="99"/>
            </w:tcBorders>
            <w:shd w:val="clear" w:color="auto" w:fill="D7E5E9" w:themeFill="accent1" w:themeFillTint="33"/>
          </w:tcPr>
          <w:p w14:paraId="394D9467" w14:textId="77777777" w:rsidR="00D80418" w:rsidRPr="00995477" w:rsidRDefault="00D80418" w:rsidP="00BE5272">
            <w:pPr>
              <w:pStyle w:val="OutlineNumbered1"/>
              <w:keepNext/>
              <w:numPr>
                <w:ilvl w:val="0"/>
                <w:numId w:val="0"/>
              </w:numPr>
              <w:tabs>
                <w:tab w:val="left" w:pos="720"/>
              </w:tabs>
              <w:jc w:val="center"/>
            </w:pPr>
          </w:p>
        </w:tc>
        <w:tc>
          <w:tcPr>
            <w:tcW w:w="739" w:type="pct"/>
            <w:gridSpan w:val="2"/>
            <w:tcBorders>
              <w:top w:val="single" w:sz="4" w:space="0" w:color="89B2BD" w:themeColor="accent1" w:themeTint="99"/>
              <w:left w:val="single" w:sz="12" w:space="0" w:color="89B2BD" w:themeColor="accent1" w:themeTint="99"/>
              <w:right w:val="single" w:sz="4" w:space="0" w:color="89B2BD" w:themeColor="accent1" w:themeTint="99"/>
            </w:tcBorders>
            <w:vAlign w:val="center"/>
          </w:tcPr>
          <w:p w14:paraId="704316C5" w14:textId="7AFF5B61" w:rsidR="00D80418" w:rsidRPr="00E8076E" w:rsidRDefault="00D80418" w:rsidP="00DF3392">
            <w:pPr>
              <w:pStyle w:val="TableTextCentered"/>
              <w:spacing w:before="0" w:after="0"/>
              <w:cnfStyle w:val="000000100000" w:firstRow="0" w:lastRow="0" w:firstColumn="0" w:lastColumn="0" w:oddVBand="0" w:evenVBand="0" w:oddHBand="1" w:evenHBand="0" w:firstRowFirstColumn="0" w:firstRowLastColumn="0" w:lastRowFirstColumn="0" w:lastRowLastColumn="0"/>
              <w:rPr>
                <w:b/>
                <w:bCs/>
                <w:color w:val="006170" w:themeColor="text2"/>
              </w:rPr>
            </w:pPr>
            <w:r w:rsidRPr="00E8076E">
              <w:rPr>
                <w:b/>
                <w:bCs/>
                <w:color w:val="006170" w:themeColor="text2"/>
              </w:rPr>
              <w:t>2023</w:t>
            </w:r>
            <w:r w:rsidR="006C4EE0" w:rsidRPr="00E8076E">
              <w:rPr>
                <w:b/>
                <w:bCs/>
                <w:color w:val="006170" w:themeColor="text2"/>
              </w:rPr>
              <w:t>–</w:t>
            </w:r>
            <w:r w:rsidRPr="00E8076E">
              <w:rPr>
                <w:b/>
                <w:bCs/>
                <w:color w:val="006170" w:themeColor="text2"/>
              </w:rPr>
              <w:t>24</w:t>
            </w:r>
          </w:p>
        </w:tc>
        <w:tc>
          <w:tcPr>
            <w:tcW w:w="696" w:type="pct"/>
            <w:gridSpan w:val="2"/>
            <w:tcBorders>
              <w:top w:val="single" w:sz="4" w:space="0" w:color="89B2BD" w:themeColor="accent1" w:themeTint="99"/>
              <w:left w:val="single" w:sz="4" w:space="0" w:color="89B2BD" w:themeColor="accent1" w:themeTint="99"/>
              <w:right w:val="single" w:sz="12" w:space="0" w:color="89B2BD" w:themeColor="accent1" w:themeTint="99"/>
            </w:tcBorders>
            <w:vAlign w:val="center"/>
          </w:tcPr>
          <w:p w14:paraId="58CD7E39" w14:textId="3161881C" w:rsidR="00D80418" w:rsidRPr="00E8076E" w:rsidRDefault="00D80418" w:rsidP="00DF3392">
            <w:pPr>
              <w:pStyle w:val="TableTextCentered"/>
              <w:spacing w:before="0" w:after="0"/>
              <w:cnfStyle w:val="000000100000" w:firstRow="0" w:lastRow="0" w:firstColumn="0" w:lastColumn="0" w:oddVBand="0" w:evenVBand="0" w:oddHBand="1" w:evenHBand="0" w:firstRowFirstColumn="0" w:firstRowLastColumn="0" w:lastRowFirstColumn="0" w:lastRowLastColumn="0"/>
              <w:rPr>
                <w:b/>
                <w:bCs/>
                <w:color w:val="006170" w:themeColor="text2"/>
              </w:rPr>
            </w:pPr>
            <w:r w:rsidRPr="00E8076E">
              <w:rPr>
                <w:b/>
                <w:bCs/>
                <w:color w:val="006170" w:themeColor="text2"/>
              </w:rPr>
              <w:t>2024</w:t>
            </w:r>
            <w:r w:rsidR="006C4EE0" w:rsidRPr="00E8076E">
              <w:rPr>
                <w:b/>
                <w:bCs/>
                <w:color w:val="006170" w:themeColor="text2"/>
              </w:rPr>
              <w:t>–</w:t>
            </w:r>
            <w:r w:rsidRPr="00E8076E">
              <w:rPr>
                <w:b/>
                <w:bCs/>
                <w:color w:val="006170" w:themeColor="text2"/>
              </w:rPr>
              <w:t>25</w:t>
            </w:r>
          </w:p>
        </w:tc>
        <w:tc>
          <w:tcPr>
            <w:tcW w:w="696" w:type="pct"/>
            <w:gridSpan w:val="2"/>
            <w:tcBorders>
              <w:top w:val="single" w:sz="4" w:space="0" w:color="89B2BD" w:themeColor="accent1" w:themeTint="99"/>
              <w:left w:val="single" w:sz="12" w:space="0" w:color="89B2BD" w:themeColor="accent1" w:themeTint="99"/>
              <w:bottom w:val="single" w:sz="4" w:space="0" w:color="89B2BD" w:themeColor="accent1" w:themeTint="99"/>
              <w:right w:val="single" w:sz="8" w:space="0" w:color="89B2BD" w:themeColor="accent1" w:themeTint="99"/>
            </w:tcBorders>
            <w:vAlign w:val="center"/>
            <w:hideMark/>
          </w:tcPr>
          <w:p w14:paraId="5E7037E2" w14:textId="05AF54FF" w:rsidR="00D80418" w:rsidRPr="00E8076E" w:rsidRDefault="00D80418" w:rsidP="00DF3392">
            <w:pPr>
              <w:pStyle w:val="TableTextCentered"/>
              <w:spacing w:before="0" w:after="0"/>
              <w:cnfStyle w:val="000000100000" w:firstRow="0" w:lastRow="0" w:firstColumn="0" w:lastColumn="0" w:oddVBand="0" w:evenVBand="0" w:oddHBand="1" w:evenHBand="0" w:firstRowFirstColumn="0" w:firstRowLastColumn="0" w:lastRowFirstColumn="0" w:lastRowLastColumn="0"/>
              <w:rPr>
                <w:b/>
                <w:bCs/>
                <w:color w:val="006170" w:themeColor="text2"/>
              </w:rPr>
            </w:pPr>
            <w:r w:rsidRPr="00E8076E">
              <w:rPr>
                <w:b/>
                <w:bCs/>
                <w:color w:val="006170" w:themeColor="text2"/>
              </w:rPr>
              <w:t>2023</w:t>
            </w:r>
            <w:r w:rsidR="00954252" w:rsidRPr="00E8076E">
              <w:rPr>
                <w:color w:val="006170" w:themeColor="text2"/>
              </w:rPr>
              <w:t>–</w:t>
            </w:r>
            <w:r w:rsidRPr="00E8076E">
              <w:rPr>
                <w:b/>
                <w:bCs/>
                <w:color w:val="006170" w:themeColor="text2"/>
              </w:rPr>
              <w:t>24</w:t>
            </w:r>
          </w:p>
        </w:tc>
        <w:tc>
          <w:tcPr>
            <w:tcW w:w="693" w:type="pct"/>
            <w:gridSpan w:val="2"/>
            <w:tcBorders>
              <w:top w:val="single" w:sz="4" w:space="0" w:color="89B2BD" w:themeColor="accent1" w:themeTint="99"/>
              <w:left w:val="single" w:sz="8" w:space="0" w:color="89B2BD" w:themeColor="accent1" w:themeTint="99"/>
              <w:bottom w:val="single" w:sz="4" w:space="0" w:color="89B2BD" w:themeColor="accent1" w:themeTint="99"/>
              <w:right w:val="single" w:sz="12" w:space="0" w:color="89B2BD" w:themeColor="accent1" w:themeTint="99"/>
            </w:tcBorders>
            <w:vAlign w:val="center"/>
            <w:hideMark/>
          </w:tcPr>
          <w:p w14:paraId="121CB784" w14:textId="325C5E4E" w:rsidR="00D80418" w:rsidRPr="00E8076E" w:rsidRDefault="00D80418" w:rsidP="00DF3392">
            <w:pPr>
              <w:pStyle w:val="TableTextCentered"/>
              <w:spacing w:before="0" w:after="0"/>
              <w:cnfStyle w:val="000000100000" w:firstRow="0" w:lastRow="0" w:firstColumn="0" w:lastColumn="0" w:oddVBand="0" w:evenVBand="0" w:oddHBand="1" w:evenHBand="0" w:firstRowFirstColumn="0" w:firstRowLastColumn="0" w:lastRowFirstColumn="0" w:lastRowLastColumn="0"/>
              <w:rPr>
                <w:b/>
                <w:bCs/>
                <w:color w:val="006170" w:themeColor="text2"/>
              </w:rPr>
            </w:pPr>
            <w:r w:rsidRPr="00E8076E">
              <w:rPr>
                <w:b/>
                <w:bCs/>
                <w:color w:val="006170" w:themeColor="text2"/>
              </w:rPr>
              <w:t>2024</w:t>
            </w:r>
            <w:r w:rsidR="00954252" w:rsidRPr="00E8076E">
              <w:rPr>
                <w:b/>
                <w:bCs/>
                <w:color w:val="006170" w:themeColor="text2"/>
              </w:rPr>
              <w:t>–</w:t>
            </w:r>
            <w:r w:rsidRPr="00E8076E">
              <w:rPr>
                <w:b/>
                <w:bCs/>
                <w:color w:val="006170" w:themeColor="text2"/>
              </w:rPr>
              <w:t>25</w:t>
            </w:r>
          </w:p>
        </w:tc>
        <w:tc>
          <w:tcPr>
            <w:tcW w:w="695" w:type="pct"/>
            <w:gridSpan w:val="2"/>
            <w:tcBorders>
              <w:top w:val="single" w:sz="4" w:space="0" w:color="89B2BD" w:themeColor="accent1" w:themeTint="99"/>
              <w:left w:val="single" w:sz="12" w:space="0" w:color="89B2BD" w:themeColor="accent1" w:themeTint="99"/>
              <w:bottom w:val="single" w:sz="4" w:space="0" w:color="89B2BD" w:themeColor="accent1" w:themeTint="99"/>
              <w:right w:val="single" w:sz="8" w:space="0" w:color="89B2BD" w:themeColor="accent1" w:themeTint="99"/>
            </w:tcBorders>
            <w:vAlign w:val="center"/>
          </w:tcPr>
          <w:p w14:paraId="72B8F155" w14:textId="1C9A9B7F" w:rsidR="00D80418" w:rsidRPr="00E8076E" w:rsidRDefault="00D80418" w:rsidP="00DF3392">
            <w:pPr>
              <w:pStyle w:val="TableTextCentered"/>
              <w:spacing w:before="0" w:after="0"/>
              <w:cnfStyle w:val="000000100000" w:firstRow="0" w:lastRow="0" w:firstColumn="0" w:lastColumn="0" w:oddVBand="0" w:evenVBand="0" w:oddHBand="1" w:evenHBand="0" w:firstRowFirstColumn="0" w:firstRowLastColumn="0" w:lastRowFirstColumn="0" w:lastRowLastColumn="0"/>
              <w:rPr>
                <w:b/>
                <w:bCs/>
                <w:color w:val="006170" w:themeColor="text2"/>
              </w:rPr>
            </w:pPr>
            <w:r w:rsidRPr="00E8076E">
              <w:rPr>
                <w:b/>
                <w:bCs/>
                <w:color w:val="006170" w:themeColor="text2"/>
              </w:rPr>
              <w:t>2023</w:t>
            </w:r>
            <w:r w:rsidR="00954252" w:rsidRPr="00E8076E">
              <w:rPr>
                <w:b/>
                <w:bCs/>
                <w:color w:val="006170" w:themeColor="text2"/>
              </w:rPr>
              <w:t>–</w:t>
            </w:r>
            <w:r w:rsidRPr="00E8076E">
              <w:rPr>
                <w:b/>
                <w:bCs/>
                <w:color w:val="006170" w:themeColor="text2"/>
              </w:rPr>
              <w:t>24</w:t>
            </w:r>
          </w:p>
        </w:tc>
        <w:tc>
          <w:tcPr>
            <w:tcW w:w="690" w:type="pct"/>
            <w:gridSpan w:val="2"/>
            <w:tcBorders>
              <w:top w:val="single" w:sz="4" w:space="0" w:color="89B2BD" w:themeColor="accent1" w:themeTint="99"/>
              <w:left w:val="single" w:sz="8" w:space="0" w:color="89B2BD" w:themeColor="accent1" w:themeTint="99"/>
              <w:bottom w:val="single" w:sz="4" w:space="0" w:color="89B2BD" w:themeColor="accent1" w:themeTint="99"/>
              <w:right w:val="nil"/>
            </w:tcBorders>
            <w:vAlign w:val="center"/>
          </w:tcPr>
          <w:p w14:paraId="3C0F346D" w14:textId="724C23B6" w:rsidR="00D80418" w:rsidRPr="00E8076E" w:rsidRDefault="00D80418" w:rsidP="00DF3392">
            <w:pPr>
              <w:pStyle w:val="TableTextCentered"/>
              <w:spacing w:before="0" w:after="0"/>
              <w:cnfStyle w:val="000000100000" w:firstRow="0" w:lastRow="0" w:firstColumn="0" w:lastColumn="0" w:oddVBand="0" w:evenVBand="0" w:oddHBand="1" w:evenHBand="0" w:firstRowFirstColumn="0" w:firstRowLastColumn="0" w:lastRowFirstColumn="0" w:lastRowLastColumn="0"/>
              <w:rPr>
                <w:b/>
                <w:bCs/>
                <w:color w:val="006170" w:themeColor="text2"/>
              </w:rPr>
            </w:pPr>
            <w:r w:rsidRPr="00E8076E">
              <w:rPr>
                <w:b/>
                <w:bCs/>
                <w:color w:val="006170" w:themeColor="text2"/>
              </w:rPr>
              <w:t>2024</w:t>
            </w:r>
            <w:r w:rsidR="00954252" w:rsidRPr="00E8076E">
              <w:rPr>
                <w:b/>
                <w:bCs/>
                <w:color w:val="006170" w:themeColor="text2"/>
              </w:rPr>
              <w:t>–</w:t>
            </w:r>
            <w:r w:rsidRPr="00E8076E">
              <w:rPr>
                <w:b/>
                <w:bCs/>
                <w:color w:val="006170" w:themeColor="text2"/>
              </w:rPr>
              <w:t>25</w:t>
            </w:r>
          </w:p>
        </w:tc>
      </w:tr>
      <w:tr w:rsidR="00FC060E" w:rsidRPr="00995477" w14:paraId="787A25BB" w14:textId="77777777" w:rsidTr="00DF3392">
        <w:trPr>
          <w:trHeight w:val="450"/>
        </w:trPr>
        <w:tc>
          <w:tcPr>
            <w:cnfStyle w:val="001000000000" w:firstRow="0" w:lastRow="0" w:firstColumn="1" w:lastColumn="0" w:oddVBand="0" w:evenVBand="0" w:oddHBand="0" w:evenHBand="0" w:firstRowFirstColumn="0" w:firstRowLastColumn="0" w:lastRowFirstColumn="0" w:lastRowLastColumn="0"/>
            <w:tcW w:w="791" w:type="pct"/>
            <w:tcBorders>
              <w:top w:val="single" w:sz="4" w:space="0" w:color="89B2BD" w:themeColor="accent1" w:themeTint="99"/>
              <w:bottom w:val="single" w:sz="4" w:space="0" w:color="89B2BD" w:themeColor="accent1" w:themeTint="99"/>
              <w:right w:val="single" w:sz="12" w:space="0" w:color="89B2BD" w:themeColor="accent1" w:themeTint="99"/>
            </w:tcBorders>
            <w:vAlign w:val="center"/>
            <w:hideMark/>
          </w:tcPr>
          <w:p w14:paraId="65F9597F" w14:textId="6FB6E284" w:rsidR="00D80418" w:rsidRPr="00BE5272" w:rsidRDefault="00D80418" w:rsidP="00DF3392">
            <w:pPr>
              <w:pStyle w:val="TableTextLeft"/>
              <w:rPr>
                <w:i w:val="0"/>
                <w:iCs w:val="0"/>
              </w:rPr>
            </w:pPr>
            <w:r w:rsidRPr="00BE5272">
              <w:rPr>
                <w:i w:val="0"/>
                <w:iCs w:val="0"/>
              </w:rPr>
              <w:t>Satisfactory/</w:t>
            </w:r>
            <w:r w:rsidR="00BE5272" w:rsidRPr="00BE5272">
              <w:rPr>
                <w:i w:val="0"/>
                <w:iCs w:val="0"/>
              </w:rPr>
              <w:br/>
            </w:r>
            <w:r w:rsidRPr="00BE5272">
              <w:rPr>
                <w:i w:val="0"/>
                <w:iCs w:val="0"/>
              </w:rPr>
              <w:t xml:space="preserve">fully compliant </w:t>
            </w:r>
          </w:p>
        </w:tc>
        <w:tc>
          <w:tcPr>
            <w:tcW w:w="388" w:type="pct"/>
            <w:tcBorders>
              <w:top w:val="single" w:sz="4" w:space="0" w:color="89B2BD" w:themeColor="accent1" w:themeTint="99"/>
              <w:left w:val="single" w:sz="12" w:space="0" w:color="89B2BD" w:themeColor="accent1" w:themeTint="99"/>
              <w:bottom w:val="single" w:sz="4" w:space="0" w:color="89B2BD" w:themeColor="accent1" w:themeTint="99"/>
              <w:right w:val="single" w:sz="4" w:space="0" w:color="89B2BD" w:themeColor="accent1" w:themeTint="99"/>
            </w:tcBorders>
            <w:vAlign w:val="center"/>
          </w:tcPr>
          <w:p w14:paraId="29EB418B" w14:textId="1FFFB4A0" w:rsidR="00D80418" w:rsidRPr="00995477" w:rsidRDefault="004624D4" w:rsidP="00DF3392">
            <w:pPr>
              <w:pStyle w:val="TableTextRight"/>
              <w:cnfStyle w:val="000000000000" w:firstRow="0" w:lastRow="0" w:firstColumn="0" w:lastColumn="0" w:oddVBand="0" w:evenVBand="0" w:oddHBand="0" w:evenHBand="0" w:firstRowFirstColumn="0" w:firstRowLastColumn="0" w:lastRowFirstColumn="0" w:lastRowLastColumn="0"/>
            </w:pPr>
            <w:r>
              <w:t xml:space="preserve">No. </w:t>
            </w:r>
            <w:r w:rsidR="00D80418">
              <w:t>23</w:t>
            </w:r>
          </w:p>
        </w:tc>
        <w:tc>
          <w:tcPr>
            <w:tcW w:w="351" w:type="pct"/>
            <w:tcBorders>
              <w:top w:val="single" w:sz="4" w:space="0" w:color="89B2BD" w:themeColor="accent1" w:themeTint="99"/>
              <w:left w:val="single" w:sz="4" w:space="0" w:color="89B2BD" w:themeColor="accent1" w:themeTint="99"/>
              <w:bottom w:val="single" w:sz="4" w:space="0" w:color="89B2BD" w:themeColor="accent1" w:themeTint="99"/>
              <w:right w:val="single" w:sz="4" w:space="0" w:color="89B2BD" w:themeColor="accent1" w:themeTint="99"/>
            </w:tcBorders>
            <w:vAlign w:val="center"/>
          </w:tcPr>
          <w:p w14:paraId="413E3442" w14:textId="2FC126CF" w:rsidR="00D80418" w:rsidRPr="00995477" w:rsidRDefault="00D80418" w:rsidP="00DF3392">
            <w:pPr>
              <w:pStyle w:val="TableTextRight"/>
              <w:cnfStyle w:val="000000000000" w:firstRow="0" w:lastRow="0" w:firstColumn="0" w:lastColumn="0" w:oddVBand="0" w:evenVBand="0" w:oddHBand="0" w:evenHBand="0" w:firstRowFirstColumn="0" w:firstRowLastColumn="0" w:lastRowFirstColumn="0" w:lastRowLastColumn="0"/>
            </w:pPr>
            <w:r>
              <w:t>85</w:t>
            </w:r>
            <w:r w:rsidR="004624D4">
              <w:t>%</w:t>
            </w:r>
          </w:p>
        </w:tc>
        <w:tc>
          <w:tcPr>
            <w:tcW w:w="343" w:type="pct"/>
            <w:tcBorders>
              <w:top w:val="single" w:sz="4" w:space="0" w:color="89B2BD" w:themeColor="accent1" w:themeTint="99"/>
              <w:left w:val="single" w:sz="4" w:space="0" w:color="89B2BD" w:themeColor="accent1" w:themeTint="99"/>
              <w:bottom w:val="single" w:sz="4" w:space="0" w:color="89B2BD" w:themeColor="accent1" w:themeTint="99"/>
              <w:right w:val="single" w:sz="4" w:space="0" w:color="89B2BD" w:themeColor="accent1" w:themeTint="99"/>
            </w:tcBorders>
            <w:vAlign w:val="center"/>
          </w:tcPr>
          <w:p w14:paraId="0A679BC0" w14:textId="0F16B8DA" w:rsidR="00D80418" w:rsidRPr="00A43EA4" w:rsidRDefault="004624D4" w:rsidP="00DF3392">
            <w:pPr>
              <w:pStyle w:val="TableTextRight"/>
              <w:cnfStyle w:val="000000000000" w:firstRow="0" w:lastRow="0" w:firstColumn="0" w:lastColumn="0" w:oddVBand="0" w:evenVBand="0" w:oddHBand="0" w:evenHBand="0" w:firstRowFirstColumn="0" w:firstRowLastColumn="0" w:lastRowFirstColumn="0" w:lastRowLastColumn="0"/>
            </w:pPr>
            <w:r>
              <w:t xml:space="preserve">No. </w:t>
            </w:r>
            <w:r w:rsidR="00C1151C">
              <w:t>23</w:t>
            </w:r>
          </w:p>
        </w:tc>
        <w:tc>
          <w:tcPr>
            <w:tcW w:w="353" w:type="pct"/>
            <w:tcBorders>
              <w:top w:val="single" w:sz="4" w:space="0" w:color="89B2BD" w:themeColor="accent1" w:themeTint="99"/>
              <w:left w:val="single" w:sz="4" w:space="0" w:color="89B2BD" w:themeColor="accent1" w:themeTint="99"/>
              <w:bottom w:val="single" w:sz="4" w:space="0" w:color="89B2BD" w:themeColor="accent1" w:themeTint="99"/>
              <w:right w:val="single" w:sz="12" w:space="0" w:color="89B2BD" w:themeColor="accent1" w:themeTint="99"/>
            </w:tcBorders>
            <w:vAlign w:val="center"/>
          </w:tcPr>
          <w:p w14:paraId="43CECB13" w14:textId="75BE4F3F" w:rsidR="00D80418" w:rsidRPr="00A43EA4" w:rsidRDefault="00C1151C" w:rsidP="00DF3392">
            <w:pPr>
              <w:pStyle w:val="TableTextRight"/>
              <w:cnfStyle w:val="000000000000" w:firstRow="0" w:lastRow="0" w:firstColumn="0" w:lastColumn="0" w:oddVBand="0" w:evenVBand="0" w:oddHBand="0" w:evenHBand="0" w:firstRowFirstColumn="0" w:firstRowLastColumn="0" w:lastRowFirstColumn="0" w:lastRowLastColumn="0"/>
            </w:pPr>
            <w:r>
              <w:t>61</w:t>
            </w:r>
            <w:r w:rsidR="004624D4">
              <w:t>%</w:t>
            </w:r>
          </w:p>
        </w:tc>
        <w:tc>
          <w:tcPr>
            <w:tcW w:w="343" w:type="pct"/>
            <w:tcBorders>
              <w:top w:val="single" w:sz="4" w:space="0" w:color="89B2BD" w:themeColor="accent1" w:themeTint="99"/>
              <w:left w:val="single" w:sz="12" w:space="0" w:color="89B2BD" w:themeColor="accent1" w:themeTint="99"/>
              <w:bottom w:val="single" w:sz="4" w:space="0" w:color="89B2BD" w:themeColor="accent1" w:themeTint="99"/>
              <w:right w:val="single" w:sz="4" w:space="0" w:color="89B2BD" w:themeColor="accent1" w:themeTint="99"/>
            </w:tcBorders>
            <w:vAlign w:val="center"/>
          </w:tcPr>
          <w:p w14:paraId="6F5165D3" w14:textId="6EBEE9EE" w:rsidR="00D80418" w:rsidRPr="00995477" w:rsidRDefault="004624D4" w:rsidP="00DF3392">
            <w:pPr>
              <w:pStyle w:val="TableTextRight"/>
              <w:cnfStyle w:val="000000000000" w:firstRow="0" w:lastRow="0" w:firstColumn="0" w:lastColumn="0" w:oddVBand="0" w:evenVBand="0" w:oddHBand="0" w:evenHBand="0" w:firstRowFirstColumn="0" w:firstRowLastColumn="0" w:lastRowFirstColumn="0" w:lastRowLastColumn="0"/>
            </w:pPr>
            <w:r>
              <w:t xml:space="preserve">No. </w:t>
            </w:r>
            <w:r w:rsidR="00D80418">
              <w:t>199</w:t>
            </w:r>
          </w:p>
        </w:tc>
        <w:tc>
          <w:tcPr>
            <w:tcW w:w="353" w:type="pct"/>
            <w:tcBorders>
              <w:top w:val="single" w:sz="4" w:space="0" w:color="89B2BD" w:themeColor="accent1" w:themeTint="99"/>
              <w:left w:val="single" w:sz="4" w:space="0" w:color="89B2BD" w:themeColor="accent1" w:themeTint="99"/>
              <w:bottom w:val="single" w:sz="4" w:space="0" w:color="89B2BD" w:themeColor="accent1" w:themeTint="99"/>
              <w:right w:val="single" w:sz="4" w:space="0" w:color="89B2BD" w:themeColor="accent1" w:themeTint="99"/>
            </w:tcBorders>
            <w:vAlign w:val="center"/>
          </w:tcPr>
          <w:p w14:paraId="20BC4C43" w14:textId="2D213BF5" w:rsidR="00D80418" w:rsidRPr="00995477" w:rsidRDefault="00D80418" w:rsidP="00DF3392">
            <w:pPr>
              <w:pStyle w:val="TableTextRight"/>
              <w:cnfStyle w:val="000000000000" w:firstRow="0" w:lastRow="0" w:firstColumn="0" w:lastColumn="0" w:oddVBand="0" w:evenVBand="0" w:oddHBand="0" w:evenHBand="0" w:firstRowFirstColumn="0" w:firstRowLastColumn="0" w:lastRowFirstColumn="0" w:lastRowLastColumn="0"/>
            </w:pPr>
            <w:r>
              <w:t>81</w:t>
            </w:r>
            <w:r w:rsidR="004624D4">
              <w:t>%</w:t>
            </w:r>
          </w:p>
        </w:tc>
        <w:tc>
          <w:tcPr>
            <w:tcW w:w="344" w:type="pct"/>
            <w:tcBorders>
              <w:top w:val="single" w:sz="4" w:space="0" w:color="89B2BD" w:themeColor="accent1" w:themeTint="99"/>
              <w:left w:val="single" w:sz="4" w:space="0" w:color="89B2BD" w:themeColor="accent1" w:themeTint="99"/>
              <w:right w:val="single" w:sz="4" w:space="0" w:color="89B2BD" w:themeColor="accent1" w:themeTint="99"/>
            </w:tcBorders>
            <w:vAlign w:val="center"/>
          </w:tcPr>
          <w:p w14:paraId="72C65C83" w14:textId="4A9C3C2F" w:rsidR="00D80418" w:rsidRPr="00995477" w:rsidRDefault="004624D4" w:rsidP="00DF3392">
            <w:pPr>
              <w:pStyle w:val="TableTextRight"/>
              <w:cnfStyle w:val="000000000000" w:firstRow="0" w:lastRow="0" w:firstColumn="0" w:lastColumn="0" w:oddVBand="0" w:evenVBand="0" w:oddHBand="0" w:evenHBand="0" w:firstRowFirstColumn="0" w:firstRowLastColumn="0" w:lastRowFirstColumn="0" w:lastRowLastColumn="0"/>
            </w:pPr>
            <w:r>
              <w:t xml:space="preserve">No. </w:t>
            </w:r>
            <w:r w:rsidR="00D80418">
              <w:t>118</w:t>
            </w:r>
          </w:p>
        </w:tc>
        <w:tc>
          <w:tcPr>
            <w:tcW w:w="349" w:type="pct"/>
            <w:tcBorders>
              <w:top w:val="single" w:sz="4" w:space="0" w:color="89B2BD" w:themeColor="accent1" w:themeTint="99"/>
              <w:left w:val="single" w:sz="4" w:space="0" w:color="89B2BD" w:themeColor="accent1" w:themeTint="99"/>
              <w:bottom w:val="single" w:sz="4" w:space="0" w:color="89B2BD" w:themeColor="accent1" w:themeTint="99"/>
              <w:right w:val="single" w:sz="12" w:space="0" w:color="89B2BD" w:themeColor="accent1" w:themeTint="99"/>
            </w:tcBorders>
            <w:vAlign w:val="center"/>
          </w:tcPr>
          <w:p w14:paraId="3ED7F3F1" w14:textId="66BDA4EC" w:rsidR="00D80418" w:rsidRPr="00995477" w:rsidRDefault="00D80418" w:rsidP="00DF3392">
            <w:pPr>
              <w:pStyle w:val="TableTextRight"/>
              <w:cnfStyle w:val="000000000000" w:firstRow="0" w:lastRow="0" w:firstColumn="0" w:lastColumn="0" w:oddVBand="0" w:evenVBand="0" w:oddHBand="0" w:evenHBand="0" w:firstRowFirstColumn="0" w:firstRowLastColumn="0" w:lastRowFirstColumn="0" w:lastRowLastColumn="0"/>
            </w:pPr>
            <w:r>
              <w:t>80</w:t>
            </w:r>
            <w:r w:rsidR="004624D4">
              <w:t>%</w:t>
            </w:r>
          </w:p>
        </w:tc>
        <w:tc>
          <w:tcPr>
            <w:tcW w:w="350" w:type="pct"/>
            <w:tcBorders>
              <w:top w:val="single" w:sz="4" w:space="0" w:color="89B2BD" w:themeColor="accent1" w:themeTint="99"/>
              <w:left w:val="single" w:sz="12" w:space="0" w:color="89B2BD" w:themeColor="accent1" w:themeTint="99"/>
              <w:bottom w:val="single" w:sz="4" w:space="0" w:color="89B2BD" w:themeColor="accent1" w:themeTint="99"/>
              <w:right w:val="single" w:sz="4" w:space="0" w:color="89B2BD" w:themeColor="accent1" w:themeTint="99"/>
            </w:tcBorders>
            <w:vAlign w:val="center"/>
          </w:tcPr>
          <w:p w14:paraId="7DB6432F" w14:textId="31E0B9C4" w:rsidR="00D80418" w:rsidRPr="00995477" w:rsidRDefault="004D6686" w:rsidP="00DF3392">
            <w:pPr>
              <w:pStyle w:val="TableTextRight"/>
              <w:cnfStyle w:val="000000000000" w:firstRow="0" w:lastRow="0" w:firstColumn="0" w:lastColumn="0" w:oddVBand="0" w:evenVBand="0" w:oddHBand="0" w:evenHBand="0" w:firstRowFirstColumn="0" w:firstRowLastColumn="0" w:lastRowFirstColumn="0" w:lastRowLastColumn="0"/>
            </w:pPr>
            <w:r>
              <w:t>No.</w:t>
            </w:r>
            <w:r w:rsidR="00CB18D4">
              <w:t xml:space="preserve"> </w:t>
            </w:r>
            <w:r w:rsidR="00D80418">
              <w:t>58</w:t>
            </w:r>
          </w:p>
        </w:tc>
        <w:tc>
          <w:tcPr>
            <w:tcW w:w="345" w:type="pct"/>
            <w:tcBorders>
              <w:top w:val="single" w:sz="4" w:space="0" w:color="89B2BD" w:themeColor="accent1" w:themeTint="99"/>
              <w:left w:val="single" w:sz="4" w:space="0" w:color="89B2BD" w:themeColor="accent1" w:themeTint="99"/>
              <w:bottom w:val="single" w:sz="4" w:space="0" w:color="89B2BD" w:themeColor="accent1" w:themeTint="99"/>
              <w:right w:val="single" w:sz="4" w:space="0" w:color="89B2BD" w:themeColor="accent1" w:themeTint="99"/>
            </w:tcBorders>
            <w:vAlign w:val="center"/>
          </w:tcPr>
          <w:p w14:paraId="543C4BB9" w14:textId="1543559E" w:rsidR="00D80418" w:rsidRPr="00995477" w:rsidRDefault="00D80418" w:rsidP="00DF3392">
            <w:pPr>
              <w:pStyle w:val="TableTextRight"/>
              <w:cnfStyle w:val="000000000000" w:firstRow="0" w:lastRow="0" w:firstColumn="0" w:lastColumn="0" w:oddVBand="0" w:evenVBand="0" w:oddHBand="0" w:evenHBand="0" w:firstRowFirstColumn="0" w:firstRowLastColumn="0" w:lastRowFirstColumn="0" w:lastRowLastColumn="0"/>
            </w:pPr>
            <w:r>
              <w:t>44</w:t>
            </w:r>
            <w:r w:rsidR="00CB18D4">
              <w:t>%</w:t>
            </w:r>
          </w:p>
        </w:tc>
        <w:tc>
          <w:tcPr>
            <w:tcW w:w="315" w:type="pct"/>
            <w:tcBorders>
              <w:top w:val="single" w:sz="4" w:space="0" w:color="89B2BD" w:themeColor="accent1" w:themeTint="99"/>
              <w:left w:val="single" w:sz="4" w:space="0" w:color="89B2BD" w:themeColor="accent1" w:themeTint="99"/>
              <w:bottom w:val="single" w:sz="4" w:space="0" w:color="89B2BD" w:themeColor="accent1" w:themeTint="99"/>
              <w:right w:val="single" w:sz="4" w:space="0" w:color="89B2BD" w:themeColor="accent1" w:themeTint="99"/>
            </w:tcBorders>
            <w:vAlign w:val="center"/>
          </w:tcPr>
          <w:p w14:paraId="2831D68B" w14:textId="3C1EE4EA" w:rsidR="00D80418" w:rsidRPr="00995477" w:rsidRDefault="00CB18D4" w:rsidP="00DF3392">
            <w:pPr>
              <w:pStyle w:val="TableTextRight"/>
              <w:cnfStyle w:val="000000000000" w:firstRow="0" w:lastRow="0" w:firstColumn="0" w:lastColumn="0" w:oddVBand="0" w:evenVBand="0" w:oddHBand="0" w:evenHBand="0" w:firstRowFirstColumn="0" w:firstRowLastColumn="0" w:lastRowFirstColumn="0" w:lastRowLastColumn="0"/>
            </w:pPr>
            <w:r>
              <w:t xml:space="preserve">No. </w:t>
            </w:r>
            <w:r w:rsidR="00670B2F">
              <w:t>82</w:t>
            </w:r>
          </w:p>
        </w:tc>
        <w:tc>
          <w:tcPr>
            <w:tcW w:w="375" w:type="pct"/>
            <w:tcBorders>
              <w:top w:val="single" w:sz="4" w:space="0" w:color="89B2BD" w:themeColor="accent1" w:themeTint="99"/>
              <w:left w:val="single" w:sz="4" w:space="0" w:color="89B2BD" w:themeColor="accent1" w:themeTint="99"/>
              <w:bottom w:val="single" w:sz="4" w:space="0" w:color="89B2BD" w:themeColor="accent1" w:themeTint="99"/>
              <w:right w:val="nil"/>
            </w:tcBorders>
            <w:vAlign w:val="center"/>
          </w:tcPr>
          <w:p w14:paraId="1B006046" w14:textId="1D67C687" w:rsidR="00D80418" w:rsidRPr="00995477" w:rsidRDefault="00670B2F" w:rsidP="00DF3392">
            <w:pPr>
              <w:pStyle w:val="TableTextRight"/>
              <w:cnfStyle w:val="000000000000" w:firstRow="0" w:lastRow="0" w:firstColumn="0" w:lastColumn="0" w:oddVBand="0" w:evenVBand="0" w:oddHBand="0" w:evenHBand="0" w:firstRowFirstColumn="0" w:firstRowLastColumn="0" w:lastRowFirstColumn="0" w:lastRowLastColumn="0"/>
            </w:pPr>
            <w:r>
              <w:t>65</w:t>
            </w:r>
            <w:r w:rsidR="00CB18D4">
              <w:t>%</w:t>
            </w:r>
          </w:p>
        </w:tc>
      </w:tr>
      <w:tr w:rsidR="00FC060E" w:rsidRPr="00995477" w14:paraId="6A81BF30" w14:textId="77777777" w:rsidTr="00DF33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 w:type="pct"/>
            <w:tcBorders>
              <w:top w:val="single" w:sz="4" w:space="0" w:color="89B2BD" w:themeColor="accent1" w:themeTint="99"/>
              <w:bottom w:val="single" w:sz="4" w:space="0" w:color="89B2BD" w:themeColor="accent1" w:themeTint="99"/>
              <w:right w:val="single" w:sz="12" w:space="0" w:color="89B2BD" w:themeColor="accent1" w:themeTint="99"/>
            </w:tcBorders>
            <w:vAlign w:val="center"/>
            <w:hideMark/>
          </w:tcPr>
          <w:p w14:paraId="01068201" w14:textId="77777777" w:rsidR="00D80418" w:rsidRPr="00BE5272" w:rsidRDefault="00D80418" w:rsidP="00DF3392">
            <w:pPr>
              <w:pStyle w:val="TableTextLeft"/>
              <w:rPr>
                <w:i w:val="0"/>
                <w:iCs w:val="0"/>
              </w:rPr>
            </w:pPr>
            <w:r w:rsidRPr="00BE5272">
              <w:rPr>
                <w:i w:val="0"/>
                <w:iCs w:val="0"/>
              </w:rPr>
              <w:t xml:space="preserve">Corrective actions required </w:t>
            </w:r>
          </w:p>
        </w:tc>
        <w:tc>
          <w:tcPr>
            <w:tcW w:w="388" w:type="pct"/>
            <w:tcBorders>
              <w:top w:val="single" w:sz="4" w:space="0" w:color="89B2BD" w:themeColor="accent1" w:themeTint="99"/>
              <w:left w:val="single" w:sz="12" w:space="0" w:color="89B2BD" w:themeColor="accent1" w:themeTint="99"/>
              <w:bottom w:val="single" w:sz="4" w:space="0" w:color="89B2BD" w:themeColor="accent1" w:themeTint="99"/>
              <w:right w:val="single" w:sz="4" w:space="0" w:color="89B2BD" w:themeColor="accent1" w:themeTint="99"/>
            </w:tcBorders>
            <w:shd w:val="clear" w:color="auto" w:fill="FFFFFF" w:themeFill="background1"/>
            <w:vAlign w:val="center"/>
          </w:tcPr>
          <w:p w14:paraId="71B618A2" w14:textId="6BF45925" w:rsidR="00D80418" w:rsidRPr="00995477" w:rsidRDefault="00CB18D4" w:rsidP="00DF3392">
            <w:pPr>
              <w:pStyle w:val="TableTextRight"/>
              <w:cnfStyle w:val="000000100000" w:firstRow="0" w:lastRow="0" w:firstColumn="0" w:lastColumn="0" w:oddVBand="0" w:evenVBand="0" w:oddHBand="1" w:evenHBand="0" w:firstRowFirstColumn="0" w:firstRowLastColumn="0" w:lastRowFirstColumn="0" w:lastRowLastColumn="0"/>
            </w:pPr>
            <w:r>
              <w:t xml:space="preserve">No. </w:t>
            </w:r>
            <w:r w:rsidR="00D80418">
              <w:t>4</w:t>
            </w:r>
          </w:p>
        </w:tc>
        <w:tc>
          <w:tcPr>
            <w:tcW w:w="351" w:type="pct"/>
            <w:tcBorders>
              <w:top w:val="single" w:sz="4" w:space="0" w:color="89B2BD" w:themeColor="accent1" w:themeTint="99"/>
              <w:left w:val="single" w:sz="4" w:space="0" w:color="89B2BD" w:themeColor="accent1" w:themeTint="99"/>
              <w:bottom w:val="single" w:sz="4" w:space="0" w:color="89B2BD" w:themeColor="accent1" w:themeTint="99"/>
              <w:right w:val="single" w:sz="4" w:space="0" w:color="89B2BD" w:themeColor="accent1" w:themeTint="99"/>
            </w:tcBorders>
            <w:shd w:val="clear" w:color="auto" w:fill="FFFFFF" w:themeFill="background1"/>
            <w:vAlign w:val="center"/>
          </w:tcPr>
          <w:p w14:paraId="71DBE880" w14:textId="180CD748" w:rsidR="00D80418" w:rsidRPr="00995477" w:rsidRDefault="00D80418" w:rsidP="00DF3392">
            <w:pPr>
              <w:pStyle w:val="TableTextRight"/>
              <w:cnfStyle w:val="000000100000" w:firstRow="0" w:lastRow="0" w:firstColumn="0" w:lastColumn="0" w:oddVBand="0" w:evenVBand="0" w:oddHBand="1" w:evenHBand="0" w:firstRowFirstColumn="0" w:firstRowLastColumn="0" w:lastRowFirstColumn="0" w:lastRowLastColumn="0"/>
            </w:pPr>
            <w:r>
              <w:t>15</w:t>
            </w:r>
            <w:r w:rsidR="00CB18D4">
              <w:t>%</w:t>
            </w:r>
          </w:p>
        </w:tc>
        <w:tc>
          <w:tcPr>
            <w:tcW w:w="343" w:type="pct"/>
            <w:tcBorders>
              <w:top w:val="single" w:sz="4" w:space="0" w:color="89B2BD" w:themeColor="accent1" w:themeTint="99"/>
              <w:left w:val="single" w:sz="4" w:space="0" w:color="89B2BD" w:themeColor="accent1" w:themeTint="99"/>
              <w:bottom w:val="single" w:sz="4" w:space="0" w:color="89B2BD" w:themeColor="accent1" w:themeTint="99"/>
              <w:right w:val="single" w:sz="4" w:space="0" w:color="89B2BD" w:themeColor="accent1" w:themeTint="99"/>
            </w:tcBorders>
            <w:shd w:val="clear" w:color="auto" w:fill="FFFFFF" w:themeFill="background1"/>
            <w:vAlign w:val="center"/>
          </w:tcPr>
          <w:p w14:paraId="1C73603A" w14:textId="6F4065BE" w:rsidR="00D80418" w:rsidRPr="00A43EA4" w:rsidRDefault="00CB18D4" w:rsidP="00DF3392">
            <w:pPr>
              <w:pStyle w:val="TableTextRight"/>
              <w:cnfStyle w:val="000000100000" w:firstRow="0" w:lastRow="0" w:firstColumn="0" w:lastColumn="0" w:oddVBand="0" w:evenVBand="0" w:oddHBand="1" w:evenHBand="0" w:firstRowFirstColumn="0" w:firstRowLastColumn="0" w:lastRowFirstColumn="0" w:lastRowLastColumn="0"/>
            </w:pPr>
            <w:r>
              <w:t xml:space="preserve">No. </w:t>
            </w:r>
            <w:r w:rsidR="00C1151C">
              <w:t>0</w:t>
            </w:r>
          </w:p>
        </w:tc>
        <w:tc>
          <w:tcPr>
            <w:tcW w:w="353" w:type="pct"/>
            <w:tcBorders>
              <w:top w:val="single" w:sz="4" w:space="0" w:color="89B2BD" w:themeColor="accent1" w:themeTint="99"/>
              <w:left w:val="single" w:sz="4" w:space="0" w:color="89B2BD" w:themeColor="accent1" w:themeTint="99"/>
              <w:bottom w:val="single" w:sz="4" w:space="0" w:color="89B2BD" w:themeColor="accent1" w:themeTint="99"/>
              <w:right w:val="single" w:sz="12" w:space="0" w:color="89B2BD" w:themeColor="accent1" w:themeTint="99"/>
            </w:tcBorders>
            <w:shd w:val="clear" w:color="auto" w:fill="FFFFFF" w:themeFill="background1"/>
            <w:vAlign w:val="center"/>
          </w:tcPr>
          <w:p w14:paraId="113F4FF0" w14:textId="148C1FAA" w:rsidR="00D80418" w:rsidRPr="00A43EA4" w:rsidRDefault="00C1151C" w:rsidP="00DF3392">
            <w:pPr>
              <w:pStyle w:val="TableTextRight"/>
              <w:cnfStyle w:val="000000100000" w:firstRow="0" w:lastRow="0" w:firstColumn="0" w:lastColumn="0" w:oddVBand="0" w:evenVBand="0" w:oddHBand="1" w:evenHBand="0" w:firstRowFirstColumn="0" w:firstRowLastColumn="0" w:lastRowFirstColumn="0" w:lastRowLastColumn="0"/>
            </w:pPr>
            <w:r>
              <w:t>0</w:t>
            </w:r>
            <w:r w:rsidR="00CB18D4">
              <w:t>%</w:t>
            </w:r>
          </w:p>
        </w:tc>
        <w:tc>
          <w:tcPr>
            <w:tcW w:w="343" w:type="pct"/>
            <w:tcBorders>
              <w:top w:val="single" w:sz="4" w:space="0" w:color="89B2BD" w:themeColor="accent1" w:themeTint="99"/>
              <w:left w:val="single" w:sz="12" w:space="0" w:color="89B2BD" w:themeColor="accent1" w:themeTint="99"/>
              <w:bottom w:val="single" w:sz="4" w:space="0" w:color="89B2BD" w:themeColor="accent1" w:themeTint="99"/>
              <w:right w:val="single" w:sz="4" w:space="0" w:color="89B2BD" w:themeColor="accent1" w:themeTint="99"/>
            </w:tcBorders>
            <w:shd w:val="clear" w:color="auto" w:fill="FFFFFF" w:themeFill="background1"/>
            <w:vAlign w:val="center"/>
          </w:tcPr>
          <w:p w14:paraId="44EA6CE0" w14:textId="00021F6E" w:rsidR="00D80418" w:rsidRPr="00995477" w:rsidRDefault="00CB18D4" w:rsidP="00DF3392">
            <w:pPr>
              <w:pStyle w:val="TableTextRight"/>
              <w:cnfStyle w:val="000000100000" w:firstRow="0" w:lastRow="0" w:firstColumn="0" w:lastColumn="0" w:oddVBand="0" w:evenVBand="0" w:oddHBand="1" w:evenHBand="0" w:firstRowFirstColumn="0" w:firstRowLastColumn="0" w:lastRowFirstColumn="0" w:lastRowLastColumn="0"/>
            </w:pPr>
            <w:r>
              <w:t xml:space="preserve">No. </w:t>
            </w:r>
            <w:r w:rsidR="00D80418">
              <w:t>44</w:t>
            </w:r>
          </w:p>
        </w:tc>
        <w:tc>
          <w:tcPr>
            <w:tcW w:w="353" w:type="pct"/>
            <w:tcBorders>
              <w:top w:val="single" w:sz="4" w:space="0" w:color="89B2BD" w:themeColor="accent1" w:themeTint="99"/>
              <w:left w:val="single" w:sz="4" w:space="0" w:color="89B2BD" w:themeColor="accent1" w:themeTint="99"/>
              <w:bottom w:val="single" w:sz="4" w:space="0" w:color="89B2BD" w:themeColor="accent1" w:themeTint="99"/>
              <w:right w:val="single" w:sz="4" w:space="0" w:color="89B2BD" w:themeColor="accent1" w:themeTint="99"/>
            </w:tcBorders>
            <w:shd w:val="clear" w:color="auto" w:fill="FFFFFF" w:themeFill="background1"/>
            <w:vAlign w:val="center"/>
          </w:tcPr>
          <w:p w14:paraId="705F9A2D" w14:textId="4FFEDA40" w:rsidR="00D80418" w:rsidRPr="00995477" w:rsidRDefault="00D80418" w:rsidP="00DF3392">
            <w:pPr>
              <w:pStyle w:val="TableTextRight"/>
              <w:cnfStyle w:val="000000100000" w:firstRow="0" w:lastRow="0" w:firstColumn="0" w:lastColumn="0" w:oddVBand="0" w:evenVBand="0" w:oddHBand="1" w:evenHBand="0" w:firstRowFirstColumn="0" w:firstRowLastColumn="0" w:lastRowFirstColumn="0" w:lastRowLastColumn="0"/>
            </w:pPr>
            <w:r w:rsidRPr="00995477">
              <w:t>1</w:t>
            </w:r>
            <w:r>
              <w:t>8</w:t>
            </w:r>
            <w:r w:rsidR="00CB18D4">
              <w:t>%</w:t>
            </w:r>
          </w:p>
        </w:tc>
        <w:tc>
          <w:tcPr>
            <w:tcW w:w="344" w:type="pct"/>
            <w:tcBorders>
              <w:top w:val="single" w:sz="4" w:space="0" w:color="89B2BD" w:themeColor="accent1" w:themeTint="99"/>
              <w:left w:val="single" w:sz="4" w:space="0" w:color="89B2BD" w:themeColor="accent1" w:themeTint="99"/>
              <w:bottom w:val="single" w:sz="4" w:space="0" w:color="89B2BD" w:themeColor="accent1" w:themeTint="99"/>
              <w:right w:val="single" w:sz="4" w:space="0" w:color="89B2BD" w:themeColor="accent1" w:themeTint="99"/>
            </w:tcBorders>
            <w:shd w:val="clear" w:color="auto" w:fill="FFFFFF" w:themeFill="background1"/>
            <w:vAlign w:val="center"/>
          </w:tcPr>
          <w:p w14:paraId="1EAA9128" w14:textId="111BCE97" w:rsidR="00D80418" w:rsidRPr="00995477" w:rsidRDefault="00CB18D4" w:rsidP="00DF3392">
            <w:pPr>
              <w:pStyle w:val="TableTextRight"/>
              <w:cnfStyle w:val="000000100000" w:firstRow="0" w:lastRow="0" w:firstColumn="0" w:lastColumn="0" w:oddVBand="0" w:evenVBand="0" w:oddHBand="1" w:evenHBand="0" w:firstRowFirstColumn="0" w:firstRowLastColumn="0" w:lastRowFirstColumn="0" w:lastRowLastColumn="0"/>
            </w:pPr>
            <w:r>
              <w:t xml:space="preserve">No. </w:t>
            </w:r>
            <w:r w:rsidR="00D80418">
              <w:t>27</w:t>
            </w:r>
          </w:p>
        </w:tc>
        <w:tc>
          <w:tcPr>
            <w:tcW w:w="349" w:type="pct"/>
            <w:tcBorders>
              <w:top w:val="single" w:sz="4" w:space="0" w:color="89B2BD" w:themeColor="accent1" w:themeTint="99"/>
              <w:left w:val="single" w:sz="4" w:space="0" w:color="89B2BD" w:themeColor="accent1" w:themeTint="99"/>
              <w:bottom w:val="single" w:sz="4" w:space="0" w:color="89B2BD" w:themeColor="accent1" w:themeTint="99"/>
              <w:right w:val="single" w:sz="12" w:space="0" w:color="89B2BD" w:themeColor="accent1" w:themeTint="99"/>
            </w:tcBorders>
            <w:shd w:val="clear" w:color="auto" w:fill="FFFFFF" w:themeFill="background1"/>
            <w:vAlign w:val="center"/>
          </w:tcPr>
          <w:p w14:paraId="108F7916" w14:textId="72D140F5" w:rsidR="00D80418" w:rsidRPr="00995477" w:rsidRDefault="00D80418" w:rsidP="00DF3392">
            <w:pPr>
              <w:pStyle w:val="TableTextRight"/>
              <w:cnfStyle w:val="000000100000" w:firstRow="0" w:lastRow="0" w:firstColumn="0" w:lastColumn="0" w:oddVBand="0" w:evenVBand="0" w:oddHBand="1" w:evenHBand="0" w:firstRowFirstColumn="0" w:firstRowLastColumn="0" w:lastRowFirstColumn="0" w:lastRowLastColumn="0"/>
            </w:pPr>
            <w:r>
              <w:t>19</w:t>
            </w:r>
            <w:r w:rsidR="00CB18D4">
              <w:t>%</w:t>
            </w:r>
          </w:p>
        </w:tc>
        <w:tc>
          <w:tcPr>
            <w:tcW w:w="350" w:type="pct"/>
            <w:tcBorders>
              <w:top w:val="single" w:sz="4" w:space="0" w:color="89B2BD" w:themeColor="accent1" w:themeTint="99"/>
              <w:left w:val="single" w:sz="12" w:space="0" w:color="89B2BD" w:themeColor="accent1" w:themeTint="99"/>
              <w:bottom w:val="single" w:sz="4" w:space="0" w:color="89B2BD" w:themeColor="accent1" w:themeTint="99"/>
              <w:right w:val="single" w:sz="4" w:space="0" w:color="89B2BD" w:themeColor="accent1" w:themeTint="99"/>
            </w:tcBorders>
            <w:shd w:val="clear" w:color="auto" w:fill="FFFFFF" w:themeFill="background1"/>
            <w:vAlign w:val="center"/>
          </w:tcPr>
          <w:p w14:paraId="6B24F464" w14:textId="43FE2287" w:rsidR="00D80418" w:rsidRPr="00995477" w:rsidRDefault="00CB18D4" w:rsidP="00DF3392">
            <w:pPr>
              <w:pStyle w:val="TableTextRight"/>
              <w:cnfStyle w:val="000000100000" w:firstRow="0" w:lastRow="0" w:firstColumn="0" w:lastColumn="0" w:oddVBand="0" w:evenVBand="0" w:oddHBand="1" w:evenHBand="0" w:firstRowFirstColumn="0" w:firstRowLastColumn="0" w:lastRowFirstColumn="0" w:lastRowLastColumn="0"/>
            </w:pPr>
            <w:r>
              <w:t xml:space="preserve">No. </w:t>
            </w:r>
            <w:r w:rsidR="00D80418">
              <w:t>73</w:t>
            </w:r>
          </w:p>
        </w:tc>
        <w:tc>
          <w:tcPr>
            <w:tcW w:w="345" w:type="pct"/>
            <w:tcBorders>
              <w:top w:val="single" w:sz="4" w:space="0" w:color="89B2BD" w:themeColor="accent1" w:themeTint="99"/>
              <w:left w:val="single" w:sz="4" w:space="0" w:color="89B2BD" w:themeColor="accent1" w:themeTint="99"/>
              <w:bottom w:val="single" w:sz="4" w:space="0" w:color="89B2BD" w:themeColor="accent1" w:themeTint="99"/>
              <w:right w:val="single" w:sz="4" w:space="0" w:color="89B2BD" w:themeColor="accent1" w:themeTint="99"/>
            </w:tcBorders>
            <w:shd w:val="clear" w:color="auto" w:fill="FFFFFF" w:themeFill="background1"/>
            <w:vAlign w:val="center"/>
          </w:tcPr>
          <w:p w14:paraId="03C09166" w14:textId="077F7F72" w:rsidR="00D80418" w:rsidRPr="00995477" w:rsidRDefault="00D80418" w:rsidP="00DF3392">
            <w:pPr>
              <w:pStyle w:val="TableTextRight"/>
              <w:cnfStyle w:val="000000100000" w:firstRow="0" w:lastRow="0" w:firstColumn="0" w:lastColumn="0" w:oddVBand="0" w:evenVBand="0" w:oddHBand="1" w:evenHBand="0" w:firstRowFirstColumn="0" w:firstRowLastColumn="0" w:lastRowFirstColumn="0" w:lastRowLastColumn="0"/>
            </w:pPr>
            <w:r>
              <w:t>56</w:t>
            </w:r>
            <w:r w:rsidR="00CB18D4">
              <w:t>%</w:t>
            </w:r>
          </w:p>
        </w:tc>
        <w:tc>
          <w:tcPr>
            <w:tcW w:w="315" w:type="pct"/>
            <w:tcBorders>
              <w:top w:val="single" w:sz="4" w:space="0" w:color="89B2BD" w:themeColor="accent1" w:themeTint="99"/>
              <w:left w:val="single" w:sz="4" w:space="0" w:color="89B2BD" w:themeColor="accent1" w:themeTint="99"/>
              <w:bottom w:val="single" w:sz="4" w:space="0" w:color="89B2BD" w:themeColor="accent1" w:themeTint="99"/>
              <w:right w:val="single" w:sz="4" w:space="0" w:color="89B2BD" w:themeColor="accent1" w:themeTint="99"/>
            </w:tcBorders>
            <w:shd w:val="clear" w:color="auto" w:fill="FFFFFF" w:themeFill="background1"/>
            <w:vAlign w:val="center"/>
          </w:tcPr>
          <w:p w14:paraId="0D96AD48" w14:textId="44255413" w:rsidR="00D80418" w:rsidRPr="00995477" w:rsidRDefault="00C354C3" w:rsidP="00DF3392">
            <w:pPr>
              <w:pStyle w:val="TableTextRight"/>
              <w:cnfStyle w:val="000000100000" w:firstRow="0" w:lastRow="0" w:firstColumn="0" w:lastColumn="0" w:oddVBand="0" w:evenVBand="0" w:oddHBand="1" w:evenHBand="0" w:firstRowFirstColumn="0" w:firstRowLastColumn="0" w:lastRowFirstColumn="0" w:lastRowLastColumn="0"/>
            </w:pPr>
            <w:r>
              <w:t xml:space="preserve">No. </w:t>
            </w:r>
            <w:r w:rsidR="00670B2F">
              <w:t>44</w:t>
            </w:r>
          </w:p>
        </w:tc>
        <w:tc>
          <w:tcPr>
            <w:tcW w:w="375" w:type="pct"/>
            <w:tcBorders>
              <w:top w:val="single" w:sz="4" w:space="0" w:color="89B2BD" w:themeColor="accent1" w:themeTint="99"/>
              <w:left w:val="single" w:sz="4" w:space="0" w:color="89B2BD" w:themeColor="accent1" w:themeTint="99"/>
              <w:bottom w:val="single" w:sz="4" w:space="0" w:color="89B2BD" w:themeColor="accent1" w:themeTint="99"/>
              <w:right w:val="nil"/>
            </w:tcBorders>
            <w:shd w:val="clear" w:color="auto" w:fill="FFFFFF" w:themeFill="background1"/>
            <w:vAlign w:val="center"/>
          </w:tcPr>
          <w:p w14:paraId="6882519C" w14:textId="671731F2" w:rsidR="00D80418" w:rsidRPr="00995477" w:rsidRDefault="00670B2F" w:rsidP="00DF3392">
            <w:pPr>
              <w:pStyle w:val="TableTextRight"/>
              <w:cnfStyle w:val="000000100000" w:firstRow="0" w:lastRow="0" w:firstColumn="0" w:lastColumn="0" w:oddVBand="0" w:evenVBand="0" w:oddHBand="1" w:evenHBand="0" w:firstRowFirstColumn="0" w:firstRowLastColumn="0" w:lastRowFirstColumn="0" w:lastRowLastColumn="0"/>
            </w:pPr>
            <w:r>
              <w:t>35</w:t>
            </w:r>
            <w:r w:rsidR="00C354C3">
              <w:t>%</w:t>
            </w:r>
          </w:p>
        </w:tc>
      </w:tr>
      <w:tr w:rsidR="00FC060E" w:rsidRPr="00995477" w14:paraId="78F0AE69" w14:textId="77777777" w:rsidTr="00DF3392">
        <w:tc>
          <w:tcPr>
            <w:cnfStyle w:val="001000000000" w:firstRow="0" w:lastRow="0" w:firstColumn="1" w:lastColumn="0" w:oddVBand="0" w:evenVBand="0" w:oddHBand="0" w:evenHBand="0" w:firstRowFirstColumn="0" w:firstRowLastColumn="0" w:lastRowFirstColumn="0" w:lastRowLastColumn="0"/>
            <w:tcW w:w="791" w:type="pct"/>
            <w:tcBorders>
              <w:top w:val="single" w:sz="4" w:space="0" w:color="89B2BD" w:themeColor="accent1" w:themeTint="99"/>
              <w:bottom w:val="single" w:sz="4" w:space="0" w:color="89B2BD" w:themeColor="accent1" w:themeTint="99"/>
              <w:right w:val="single" w:sz="12" w:space="0" w:color="89B2BD" w:themeColor="accent1" w:themeTint="99"/>
            </w:tcBorders>
            <w:vAlign w:val="center"/>
          </w:tcPr>
          <w:p w14:paraId="226E9E6F" w14:textId="48661CA7" w:rsidR="00CA4EAD" w:rsidRPr="00BE5272" w:rsidRDefault="00CA4EAD" w:rsidP="00DF3392">
            <w:pPr>
              <w:pStyle w:val="TableTextLeft"/>
              <w:rPr>
                <w:i w:val="0"/>
                <w:iCs w:val="0"/>
              </w:rPr>
            </w:pPr>
            <w:r w:rsidRPr="00BE5272">
              <w:rPr>
                <w:i w:val="0"/>
                <w:iCs w:val="0"/>
              </w:rPr>
              <w:t>Minor corrective actions required</w:t>
            </w:r>
          </w:p>
        </w:tc>
        <w:tc>
          <w:tcPr>
            <w:tcW w:w="388" w:type="pct"/>
            <w:tcBorders>
              <w:top w:val="single" w:sz="4" w:space="0" w:color="89B2BD" w:themeColor="accent1" w:themeTint="99"/>
              <w:left w:val="single" w:sz="12" w:space="0" w:color="89B2BD" w:themeColor="accent1" w:themeTint="99"/>
              <w:bottom w:val="single" w:sz="4" w:space="0" w:color="89B2BD" w:themeColor="accent1" w:themeTint="99"/>
              <w:right w:val="single" w:sz="4" w:space="0" w:color="89B2BD" w:themeColor="accent1" w:themeTint="99"/>
            </w:tcBorders>
            <w:shd w:val="clear" w:color="auto" w:fill="FFFFFF" w:themeFill="background1"/>
            <w:vAlign w:val="center"/>
          </w:tcPr>
          <w:p w14:paraId="08C0C9D1" w14:textId="4221D988" w:rsidR="00CA4EAD" w:rsidRPr="00EF4BA0" w:rsidRDefault="00CF4E8F" w:rsidP="00DF3392">
            <w:pPr>
              <w:pStyle w:val="TableTextRight"/>
              <w:cnfStyle w:val="000000000000" w:firstRow="0" w:lastRow="0" w:firstColumn="0" w:lastColumn="0" w:oddVBand="0" w:evenVBand="0" w:oddHBand="0" w:evenHBand="0" w:firstRowFirstColumn="0" w:firstRowLastColumn="0" w:lastRowFirstColumn="0" w:lastRowLastColumn="0"/>
            </w:pPr>
            <w:r w:rsidRPr="00EF4BA0">
              <w:t>N/A</w:t>
            </w:r>
          </w:p>
        </w:tc>
        <w:tc>
          <w:tcPr>
            <w:tcW w:w="351" w:type="pct"/>
            <w:tcBorders>
              <w:top w:val="single" w:sz="4" w:space="0" w:color="89B2BD" w:themeColor="accent1" w:themeTint="99"/>
              <w:left w:val="single" w:sz="4" w:space="0" w:color="89B2BD" w:themeColor="accent1" w:themeTint="99"/>
              <w:bottom w:val="single" w:sz="4" w:space="0" w:color="89B2BD" w:themeColor="accent1" w:themeTint="99"/>
              <w:right w:val="single" w:sz="4" w:space="0" w:color="89B2BD" w:themeColor="accent1" w:themeTint="99"/>
            </w:tcBorders>
            <w:shd w:val="clear" w:color="auto" w:fill="FFFFFF" w:themeFill="background1"/>
            <w:vAlign w:val="center"/>
          </w:tcPr>
          <w:p w14:paraId="670B00F5" w14:textId="47DFA401" w:rsidR="00CA4EAD" w:rsidRPr="00EF4BA0" w:rsidRDefault="00CF4E8F" w:rsidP="00DF3392">
            <w:pPr>
              <w:pStyle w:val="TableTextRight"/>
              <w:cnfStyle w:val="000000000000" w:firstRow="0" w:lastRow="0" w:firstColumn="0" w:lastColumn="0" w:oddVBand="0" w:evenVBand="0" w:oddHBand="0" w:evenHBand="0" w:firstRowFirstColumn="0" w:firstRowLastColumn="0" w:lastRowFirstColumn="0" w:lastRowLastColumn="0"/>
            </w:pPr>
            <w:r w:rsidRPr="00EF4BA0">
              <w:t>N/A</w:t>
            </w:r>
          </w:p>
        </w:tc>
        <w:tc>
          <w:tcPr>
            <w:tcW w:w="343" w:type="pct"/>
            <w:tcBorders>
              <w:top w:val="single" w:sz="4" w:space="0" w:color="89B2BD" w:themeColor="accent1" w:themeTint="99"/>
              <w:left w:val="single" w:sz="4" w:space="0" w:color="89B2BD" w:themeColor="accent1" w:themeTint="99"/>
              <w:bottom w:val="single" w:sz="4" w:space="0" w:color="89B2BD" w:themeColor="accent1" w:themeTint="99"/>
              <w:right w:val="single" w:sz="4" w:space="0" w:color="89B2BD" w:themeColor="accent1" w:themeTint="99"/>
            </w:tcBorders>
            <w:shd w:val="clear" w:color="auto" w:fill="FFFFFF" w:themeFill="background1"/>
            <w:vAlign w:val="center"/>
          </w:tcPr>
          <w:p w14:paraId="2C30B363" w14:textId="21E6DAC9" w:rsidR="00CA4EAD" w:rsidRPr="00BE5272" w:rsidRDefault="00C354C3" w:rsidP="00DF3392">
            <w:pPr>
              <w:pStyle w:val="TableTextRight"/>
              <w:cnfStyle w:val="000000000000" w:firstRow="0" w:lastRow="0" w:firstColumn="0" w:lastColumn="0" w:oddVBand="0" w:evenVBand="0" w:oddHBand="0" w:evenHBand="0" w:firstRowFirstColumn="0" w:firstRowLastColumn="0" w:lastRowFirstColumn="0" w:lastRowLastColumn="0"/>
            </w:pPr>
            <w:r w:rsidRPr="00BE5272">
              <w:t>No.</w:t>
            </w:r>
            <w:r w:rsidR="00CA4EAD" w:rsidRPr="00BE5272">
              <w:t>4</w:t>
            </w:r>
          </w:p>
        </w:tc>
        <w:tc>
          <w:tcPr>
            <w:tcW w:w="353" w:type="pct"/>
            <w:tcBorders>
              <w:top w:val="single" w:sz="4" w:space="0" w:color="89B2BD" w:themeColor="accent1" w:themeTint="99"/>
              <w:left w:val="single" w:sz="4" w:space="0" w:color="89B2BD" w:themeColor="accent1" w:themeTint="99"/>
              <w:bottom w:val="single" w:sz="4" w:space="0" w:color="89B2BD" w:themeColor="accent1" w:themeTint="99"/>
              <w:right w:val="single" w:sz="12" w:space="0" w:color="89B2BD" w:themeColor="accent1" w:themeTint="99"/>
            </w:tcBorders>
            <w:shd w:val="clear" w:color="auto" w:fill="FFFFFF" w:themeFill="background1"/>
            <w:vAlign w:val="center"/>
          </w:tcPr>
          <w:p w14:paraId="635EA485" w14:textId="35F2094A" w:rsidR="00CA4EAD" w:rsidRPr="00BE5272" w:rsidRDefault="00CA4EAD" w:rsidP="00DF3392">
            <w:pPr>
              <w:pStyle w:val="TableTextRight"/>
              <w:cnfStyle w:val="000000000000" w:firstRow="0" w:lastRow="0" w:firstColumn="0" w:lastColumn="0" w:oddVBand="0" w:evenVBand="0" w:oddHBand="0" w:evenHBand="0" w:firstRowFirstColumn="0" w:firstRowLastColumn="0" w:lastRowFirstColumn="0" w:lastRowLastColumn="0"/>
            </w:pPr>
            <w:r w:rsidRPr="00BE5272">
              <w:t>11%</w:t>
            </w:r>
          </w:p>
        </w:tc>
        <w:tc>
          <w:tcPr>
            <w:tcW w:w="343" w:type="pct"/>
            <w:tcBorders>
              <w:top w:val="single" w:sz="4" w:space="0" w:color="89B2BD" w:themeColor="accent1" w:themeTint="99"/>
              <w:left w:val="single" w:sz="12" w:space="0" w:color="89B2BD" w:themeColor="accent1" w:themeTint="99"/>
              <w:bottom w:val="single" w:sz="4" w:space="0" w:color="89B2BD" w:themeColor="accent1" w:themeTint="99"/>
              <w:right w:val="single" w:sz="4" w:space="0" w:color="89B2BD" w:themeColor="accent1" w:themeTint="99"/>
            </w:tcBorders>
            <w:shd w:val="clear" w:color="auto" w:fill="FFFFFF" w:themeFill="background1"/>
            <w:vAlign w:val="center"/>
          </w:tcPr>
          <w:p w14:paraId="40DA6E10" w14:textId="6592DE02" w:rsidR="00CA4EAD" w:rsidRDefault="00CF4E8F" w:rsidP="00DF3392">
            <w:pPr>
              <w:pStyle w:val="TableTextRight"/>
              <w:cnfStyle w:val="000000000000" w:firstRow="0" w:lastRow="0" w:firstColumn="0" w:lastColumn="0" w:oddVBand="0" w:evenVBand="0" w:oddHBand="0" w:evenHBand="0" w:firstRowFirstColumn="0" w:firstRowLastColumn="0" w:lastRowFirstColumn="0" w:lastRowLastColumn="0"/>
            </w:pPr>
            <w:r>
              <w:t>N/A</w:t>
            </w:r>
          </w:p>
        </w:tc>
        <w:tc>
          <w:tcPr>
            <w:tcW w:w="353" w:type="pct"/>
            <w:tcBorders>
              <w:top w:val="single" w:sz="4" w:space="0" w:color="89B2BD" w:themeColor="accent1" w:themeTint="99"/>
              <w:left w:val="single" w:sz="4" w:space="0" w:color="89B2BD" w:themeColor="accent1" w:themeTint="99"/>
              <w:bottom w:val="single" w:sz="4" w:space="0" w:color="89B2BD" w:themeColor="accent1" w:themeTint="99"/>
              <w:right w:val="single" w:sz="4" w:space="0" w:color="89B2BD" w:themeColor="accent1" w:themeTint="99"/>
            </w:tcBorders>
            <w:shd w:val="clear" w:color="auto" w:fill="FFFFFF" w:themeFill="background1"/>
            <w:vAlign w:val="center"/>
          </w:tcPr>
          <w:p w14:paraId="16BD3D4C" w14:textId="3B9E7C42" w:rsidR="00CA4EAD" w:rsidRPr="00995477" w:rsidRDefault="00CF4E8F" w:rsidP="00DF3392">
            <w:pPr>
              <w:pStyle w:val="TableTextRight"/>
              <w:cnfStyle w:val="000000000000" w:firstRow="0" w:lastRow="0" w:firstColumn="0" w:lastColumn="0" w:oddVBand="0" w:evenVBand="0" w:oddHBand="0" w:evenHBand="0" w:firstRowFirstColumn="0" w:firstRowLastColumn="0" w:lastRowFirstColumn="0" w:lastRowLastColumn="0"/>
            </w:pPr>
            <w:r>
              <w:t>N/A</w:t>
            </w:r>
          </w:p>
        </w:tc>
        <w:tc>
          <w:tcPr>
            <w:tcW w:w="344" w:type="pct"/>
            <w:tcBorders>
              <w:top w:val="single" w:sz="4" w:space="0" w:color="89B2BD" w:themeColor="accent1" w:themeTint="99"/>
              <w:left w:val="single" w:sz="4" w:space="0" w:color="89B2BD" w:themeColor="accent1" w:themeTint="99"/>
              <w:bottom w:val="single" w:sz="4" w:space="0" w:color="89B2BD" w:themeColor="accent1" w:themeTint="99"/>
              <w:right w:val="single" w:sz="4" w:space="0" w:color="89B2BD" w:themeColor="accent1" w:themeTint="99"/>
            </w:tcBorders>
            <w:shd w:val="clear" w:color="auto" w:fill="FFFFFF" w:themeFill="background1"/>
            <w:vAlign w:val="center"/>
          </w:tcPr>
          <w:p w14:paraId="74E54C25" w14:textId="3CC2B507" w:rsidR="00CA4EAD" w:rsidRDefault="006B4FFA" w:rsidP="00DF3392">
            <w:pPr>
              <w:pStyle w:val="TableTextRight"/>
              <w:cnfStyle w:val="000000000000" w:firstRow="0" w:lastRow="0" w:firstColumn="0" w:lastColumn="0" w:oddVBand="0" w:evenVBand="0" w:oddHBand="0" w:evenHBand="0" w:firstRowFirstColumn="0" w:firstRowLastColumn="0" w:lastRowFirstColumn="0" w:lastRowLastColumn="0"/>
            </w:pPr>
            <w:r>
              <w:t>N/A</w:t>
            </w:r>
          </w:p>
        </w:tc>
        <w:tc>
          <w:tcPr>
            <w:tcW w:w="349" w:type="pct"/>
            <w:tcBorders>
              <w:top w:val="single" w:sz="4" w:space="0" w:color="89B2BD" w:themeColor="accent1" w:themeTint="99"/>
              <w:left w:val="single" w:sz="4" w:space="0" w:color="89B2BD" w:themeColor="accent1" w:themeTint="99"/>
              <w:bottom w:val="single" w:sz="4" w:space="0" w:color="89B2BD" w:themeColor="accent1" w:themeTint="99"/>
              <w:right w:val="single" w:sz="12" w:space="0" w:color="89B2BD" w:themeColor="accent1" w:themeTint="99"/>
            </w:tcBorders>
            <w:shd w:val="clear" w:color="auto" w:fill="FFFFFF" w:themeFill="background1"/>
            <w:vAlign w:val="center"/>
          </w:tcPr>
          <w:p w14:paraId="1BA728D8" w14:textId="68F58F51" w:rsidR="00CA4EAD" w:rsidRDefault="006B4FFA" w:rsidP="00DF3392">
            <w:pPr>
              <w:pStyle w:val="TableTextRight"/>
              <w:cnfStyle w:val="000000000000" w:firstRow="0" w:lastRow="0" w:firstColumn="0" w:lastColumn="0" w:oddVBand="0" w:evenVBand="0" w:oddHBand="0" w:evenHBand="0" w:firstRowFirstColumn="0" w:firstRowLastColumn="0" w:lastRowFirstColumn="0" w:lastRowLastColumn="0"/>
            </w:pPr>
            <w:r>
              <w:t>N/A</w:t>
            </w:r>
          </w:p>
        </w:tc>
        <w:tc>
          <w:tcPr>
            <w:tcW w:w="350" w:type="pct"/>
            <w:tcBorders>
              <w:top w:val="single" w:sz="4" w:space="0" w:color="89B2BD" w:themeColor="accent1" w:themeTint="99"/>
              <w:left w:val="single" w:sz="12" w:space="0" w:color="89B2BD" w:themeColor="accent1" w:themeTint="99"/>
              <w:bottom w:val="single" w:sz="4" w:space="0" w:color="89B2BD" w:themeColor="accent1" w:themeTint="99"/>
              <w:right w:val="single" w:sz="4" w:space="0" w:color="89B2BD" w:themeColor="accent1" w:themeTint="99"/>
            </w:tcBorders>
            <w:shd w:val="clear" w:color="auto" w:fill="FFFFFF" w:themeFill="background1"/>
            <w:vAlign w:val="center"/>
          </w:tcPr>
          <w:p w14:paraId="76D6B49E" w14:textId="3D28A9A1" w:rsidR="00CA4EAD" w:rsidRDefault="006B4FFA" w:rsidP="00DF3392">
            <w:pPr>
              <w:pStyle w:val="TableTextRight"/>
              <w:cnfStyle w:val="000000000000" w:firstRow="0" w:lastRow="0" w:firstColumn="0" w:lastColumn="0" w:oddVBand="0" w:evenVBand="0" w:oddHBand="0" w:evenHBand="0" w:firstRowFirstColumn="0" w:firstRowLastColumn="0" w:lastRowFirstColumn="0" w:lastRowLastColumn="0"/>
            </w:pPr>
            <w:r>
              <w:t>N/A</w:t>
            </w:r>
          </w:p>
        </w:tc>
        <w:tc>
          <w:tcPr>
            <w:tcW w:w="345" w:type="pct"/>
            <w:tcBorders>
              <w:top w:val="single" w:sz="4" w:space="0" w:color="89B2BD" w:themeColor="accent1" w:themeTint="99"/>
              <w:left w:val="single" w:sz="4" w:space="0" w:color="89B2BD" w:themeColor="accent1" w:themeTint="99"/>
              <w:bottom w:val="single" w:sz="4" w:space="0" w:color="89B2BD" w:themeColor="accent1" w:themeTint="99"/>
              <w:right w:val="single" w:sz="4" w:space="0" w:color="89B2BD" w:themeColor="accent1" w:themeTint="99"/>
            </w:tcBorders>
            <w:shd w:val="clear" w:color="auto" w:fill="FFFFFF" w:themeFill="background1"/>
            <w:vAlign w:val="center"/>
          </w:tcPr>
          <w:p w14:paraId="25DBFC8C" w14:textId="43CAB57F" w:rsidR="00CA4EAD" w:rsidRDefault="006B4FFA" w:rsidP="00DF3392">
            <w:pPr>
              <w:pStyle w:val="TableTextRight"/>
              <w:cnfStyle w:val="000000000000" w:firstRow="0" w:lastRow="0" w:firstColumn="0" w:lastColumn="0" w:oddVBand="0" w:evenVBand="0" w:oddHBand="0" w:evenHBand="0" w:firstRowFirstColumn="0" w:firstRowLastColumn="0" w:lastRowFirstColumn="0" w:lastRowLastColumn="0"/>
            </w:pPr>
            <w:r>
              <w:t>N/A</w:t>
            </w:r>
          </w:p>
        </w:tc>
        <w:tc>
          <w:tcPr>
            <w:tcW w:w="315" w:type="pct"/>
            <w:tcBorders>
              <w:top w:val="single" w:sz="4" w:space="0" w:color="89B2BD" w:themeColor="accent1" w:themeTint="99"/>
              <w:left w:val="single" w:sz="4" w:space="0" w:color="89B2BD" w:themeColor="accent1" w:themeTint="99"/>
              <w:bottom w:val="single" w:sz="4" w:space="0" w:color="89B2BD" w:themeColor="accent1" w:themeTint="99"/>
              <w:right w:val="single" w:sz="4" w:space="0" w:color="89B2BD" w:themeColor="accent1" w:themeTint="99"/>
            </w:tcBorders>
            <w:shd w:val="clear" w:color="auto" w:fill="FFFFFF" w:themeFill="background1"/>
            <w:vAlign w:val="center"/>
          </w:tcPr>
          <w:p w14:paraId="0374571D" w14:textId="14DF3A78" w:rsidR="00CA4EAD" w:rsidRDefault="006B4FFA" w:rsidP="00DF3392">
            <w:pPr>
              <w:pStyle w:val="TableTextRight"/>
              <w:cnfStyle w:val="000000000000" w:firstRow="0" w:lastRow="0" w:firstColumn="0" w:lastColumn="0" w:oddVBand="0" w:evenVBand="0" w:oddHBand="0" w:evenHBand="0" w:firstRowFirstColumn="0" w:firstRowLastColumn="0" w:lastRowFirstColumn="0" w:lastRowLastColumn="0"/>
            </w:pPr>
            <w:r>
              <w:t>N/A</w:t>
            </w:r>
          </w:p>
        </w:tc>
        <w:tc>
          <w:tcPr>
            <w:tcW w:w="375" w:type="pct"/>
            <w:tcBorders>
              <w:top w:val="single" w:sz="4" w:space="0" w:color="89B2BD" w:themeColor="accent1" w:themeTint="99"/>
              <w:left w:val="single" w:sz="4" w:space="0" w:color="89B2BD" w:themeColor="accent1" w:themeTint="99"/>
              <w:bottom w:val="single" w:sz="4" w:space="0" w:color="89B2BD" w:themeColor="accent1" w:themeTint="99"/>
              <w:right w:val="nil"/>
            </w:tcBorders>
            <w:shd w:val="clear" w:color="auto" w:fill="FFFFFF" w:themeFill="background1"/>
            <w:vAlign w:val="center"/>
          </w:tcPr>
          <w:p w14:paraId="213E9541" w14:textId="058D6387" w:rsidR="00CA4EAD" w:rsidRDefault="006B4FFA" w:rsidP="00DF3392">
            <w:pPr>
              <w:pStyle w:val="TableTextRight"/>
              <w:cnfStyle w:val="000000000000" w:firstRow="0" w:lastRow="0" w:firstColumn="0" w:lastColumn="0" w:oddVBand="0" w:evenVBand="0" w:oddHBand="0" w:evenHBand="0" w:firstRowFirstColumn="0" w:firstRowLastColumn="0" w:lastRowFirstColumn="0" w:lastRowLastColumn="0"/>
            </w:pPr>
            <w:r>
              <w:t>N/A</w:t>
            </w:r>
          </w:p>
        </w:tc>
      </w:tr>
      <w:tr w:rsidR="00FC060E" w:rsidRPr="00995477" w14:paraId="4A0AB34A" w14:textId="77777777" w:rsidTr="00DF33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 w:type="pct"/>
            <w:tcBorders>
              <w:top w:val="single" w:sz="4" w:space="0" w:color="89B2BD" w:themeColor="accent1" w:themeTint="99"/>
              <w:bottom w:val="single" w:sz="4" w:space="0" w:color="89B2BD" w:themeColor="accent1" w:themeTint="99"/>
              <w:right w:val="single" w:sz="12" w:space="0" w:color="89B2BD" w:themeColor="accent1" w:themeTint="99"/>
            </w:tcBorders>
            <w:vAlign w:val="center"/>
          </w:tcPr>
          <w:p w14:paraId="03B8CEE3" w14:textId="5AC3EEB2" w:rsidR="006B4FFA" w:rsidRPr="00BE5272" w:rsidRDefault="006B4FFA" w:rsidP="00DF3392">
            <w:pPr>
              <w:pStyle w:val="TableTextLeft"/>
              <w:rPr>
                <w:i w:val="0"/>
                <w:iCs w:val="0"/>
              </w:rPr>
            </w:pPr>
            <w:r w:rsidRPr="00BE5272">
              <w:rPr>
                <w:i w:val="0"/>
                <w:iCs w:val="0"/>
              </w:rPr>
              <w:t>Major corrective actions required</w:t>
            </w:r>
          </w:p>
        </w:tc>
        <w:tc>
          <w:tcPr>
            <w:tcW w:w="388" w:type="pct"/>
            <w:tcBorders>
              <w:top w:val="single" w:sz="4" w:space="0" w:color="89B2BD" w:themeColor="accent1" w:themeTint="99"/>
              <w:left w:val="single" w:sz="12" w:space="0" w:color="89B2BD" w:themeColor="accent1" w:themeTint="99"/>
              <w:bottom w:val="single" w:sz="4" w:space="0" w:color="89B2BD" w:themeColor="accent1" w:themeTint="99"/>
              <w:right w:val="single" w:sz="4" w:space="0" w:color="89B2BD" w:themeColor="accent1" w:themeTint="99"/>
            </w:tcBorders>
            <w:shd w:val="clear" w:color="auto" w:fill="FFFFFF" w:themeFill="background1"/>
            <w:vAlign w:val="center"/>
          </w:tcPr>
          <w:p w14:paraId="63E58745" w14:textId="3C024038" w:rsidR="006B4FFA" w:rsidRPr="00EF4BA0" w:rsidRDefault="006B4FFA" w:rsidP="00DF3392">
            <w:pPr>
              <w:pStyle w:val="TableTextRight"/>
              <w:cnfStyle w:val="000000100000" w:firstRow="0" w:lastRow="0" w:firstColumn="0" w:lastColumn="0" w:oddVBand="0" w:evenVBand="0" w:oddHBand="1" w:evenHBand="0" w:firstRowFirstColumn="0" w:firstRowLastColumn="0" w:lastRowFirstColumn="0" w:lastRowLastColumn="0"/>
            </w:pPr>
            <w:r w:rsidRPr="00EF4BA0">
              <w:t>N/A</w:t>
            </w:r>
          </w:p>
        </w:tc>
        <w:tc>
          <w:tcPr>
            <w:tcW w:w="351" w:type="pct"/>
            <w:tcBorders>
              <w:top w:val="single" w:sz="4" w:space="0" w:color="89B2BD" w:themeColor="accent1" w:themeTint="99"/>
              <w:left w:val="single" w:sz="4" w:space="0" w:color="89B2BD" w:themeColor="accent1" w:themeTint="99"/>
              <w:bottom w:val="single" w:sz="4" w:space="0" w:color="89B2BD" w:themeColor="accent1" w:themeTint="99"/>
              <w:right w:val="single" w:sz="4" w:space="0" w:color="89B2BD" w:themeColor="accent1" w:themeTint="99"/>
            </w:tcBorders>
            <w:shd w:val="clear" w:color="auto" w:fill="FFFFFF" w:themeFill="background1"/>
            <w:vAlign w:val="center"/>
          </w:tcPr>
          <w:p w14:paraId="778353BB" w14:textId="3D04DE75" w:rsidR="006B4FFA" w:rsidRPr="00EF4BA0" w:rsidRDefault="006B4FFA" w:rsidP="00DF3392">
            <w:pPr>
              <w:pStyle w:val="TableTextRight"/>
              <w:cnfStyle w:val="000000100000" w:firstRow="0" w:lastRow="0" w:firstColumn="0" w:lastColumn="0" w:oddVBand="0" w:evenVBand="0" w:oddHBand="1" w:evenHBand="0" w:firstRowFirstColumn="0" w:firstRowLastColumn="0" w:lastRowFirstColumn="0" w:lastRowLastColumn="0"/>
            </w:pPr>
            <w:r w:rsidRPr="00EF4BA0">
              <w:t>N/A</w:t>
            </w:r>
          </w:p>
        </w:tc>
        <w:tc>
          <w:tcPr>
            <w:tcW w:w="343" w:type="pct"/>
            <w:tcBorders>
              <w:top w:val="single" w:sz="4" w:space="0" w:color="89B2BD" w:themeColor="accent1" w:themeTint="99"/>
              <w:left w:val="single" w:sz="4" w:space="0" w:color="89B2BD" w:themeColor="accent1" w:themeTint="99"/>
              <w:bottom w:val="single" w:sz="4" w:space="0" w:color="89B2BD" w:themeColor="accent1" w:themeTint="99"/>
              <w:right w:val="single" w:sz="4" w:space="0" w:color="89B2BD" w:themeColor="accent1" w:themeTint="99"/>
            </w:tcBorders>
            <w:shd w:val="clear" w:color="auto" w:fill="FFFFFF" w:themeFill="background1"/>
            <w:vAlign w:val="center"/>
          </w:tcPr>
          <w:p w14:paraId="04301BD5" w14:textId="0B0CD162" w:rsidR="006B4FFA" w:rsidRPr="00BE5272" w:rsidRDefault="00C354C3" w:rsidP="00DF3392">
            <w:pPr>
              <w:pStyle w:val="TableTextRight"/>
              <w:cnfStyle w:val="000000100000" w:firstRow="0" w:lastRow="0" w:firstColumn="0" w:lastColumn="0" w:oddVBand="0" w:evenVBand="0" w:oddHBand="1" w:evenHBand="0" w:firstRowFirstColumn="0" w:firstRowLastColumn="0" w:lastRowFirstColumn="0" w:lastRowLastColumn="0"/>
            </w:pPr>
            <w:r w:rsidRPr="00BE5272">
              <w:t xml:space="preserve">No. </w:t>
            </w:r>
            <w:r w:rsidR="006B4FFA" w:rsidRPr="00BE5272">
              <w:t>11</w:t>
            </w:r>
          </w:p>
        </w:tc>
        <w:tc>
          <w:tcPr>
            <w:tcW w:w="353" w:type="pct"/>
            <w:tcBorders>
              <w:top w:val="single" w:sz="4" w:space="0" w:color="89B2BD" w:themeColor="accent1" w:themeTint="99"/>
              <w:left w:val="single" w:sz="4" w:space="0" w:color="89B2BD" w:themeColor="accent1" w:themeTint="99"/>
              <w:bottom w:val="single" w:sz="4" w:space="0" w:color="89B2BD" w:themeColor="accent1" w:themeTint="99"/>
              <w:right w:val="single" w:sz="12" w:space="0" w:color="89B2BD" w:themeColor="accent1" w:themeTint="99"/>
            </w:tcBorders>
            <w:shd w:val="clear" w:color="auto" w:fill="FFFFFF" w:themeFill="background1"/>
            <w:vAlign w:val="center"/>
          </w:tcPr>
          <w:p w14:paraId="44A86743" w14:textId="535BCD7E" w:rsidR="006B4FFA" w:rsidRPr="00BE5272" w:rsidRDefault="006B4FFA" w:rsidP="00DF3392">
            <w:pPr>
              <w:pStyle w:val="TableTextRight"/>
              <w:cnfStyle w:val="000000100000" w:firstRow="0" w:lastRow="0" w:firstColumn="0" w:lastColumn="0" w:oddVBand="0" w:evenVBand="0" w:oddHBand="1" w:evenHBand="0" w:firstRowFirstColumn="0" w:firstRowLastColumn="0" w:lastRowFirstColumn="0" w:lastRowLastColumn="0"/>
            </w:pPr>
            <w:r w:rsidRPr="00BE5272">
              <w:t>28%</w:t>
            </w:r>
          </w:p>
        </w:tc>
        <w:tc>
          <w:tcPr>
            <w:tcW w:w="343" w:type="pct"/>
            <w:tcBorders>
              <w:top w:val="single" w:sz="4" w:space="0" w:color="89B2BD" w:themeColor="accent1" w:themeTint="99"/>
              <w:left w:val="single" w:sz="12" w:space="0" w:color="89B2BD" w:themeColor="accent1" w:themeTint="99"/>
              <w:bottom w:val="single" w:sz="4" w:space="0" w:color="89B2BD" w:themeColor="accent1" w:themeTint="99"/>
              <w:right w:val="single" w:sz="4" w:space="0" w:color="89B2BD" w:themeColor="accent1" w:themeTint="99"/>
            </w:tcBorders>
            <w:shd w:val="clear" w:color="auto" w:fill="FFFFFF" w:themeFill="background1"/>
            <w:vAlign w:val="center"/>
          </w:tcPr>
          <w:p w14:paraId="0B8E479D" w14:textId="1455878C" w:rsidR="006B4FFA" w:rsidRDefault="006B4FFA" w:rsidP="00DF3392">
            <w:pPr>
              <w:pStyle w:val="TableTextRight"/>
              <w:cnfStyle w:val="000000100000" w:firstRow="0" w:lastRow="0" w:firstColumn="0" w:lastColumn="0" w:oddVBand="0" w:evenVBand="0" w:oddHBand="1" w:evenHBand="0" w:firstRowFirstColumn="0" w:firstRowLastColumn="0" w:lastRowFirstColumn="0" w:lastRowLastColumn="0"/>
            </w:pPr>
            <w:r>
              <w:t>N/A</w:t>
            </w:r>
          </w:p>
        </w:tc>
        <w:tc>
          <w:tcPr>
            <w:tcW w:w="353" w:type="pct"/>
            <w:tcBorders>
              <w:top w:val="single" w:sz="4" w:space="0" w:color="89B2BD" w:themeColor="accent1" w:themeTint="99"/>
              <w:left w:val="single" w:sz="4" w:space="0" w:color="89B2BD" w:themeColor="accent1" w:themeTint="99"/>
              <w:bottom w:val="single" w:sz="4" w:space="0" w:color="89B2BD" w:themeColor="accent1" w:themeTint="99"/>
              <w:right w:val="single" w:sz="4" w:space="0" w:color="89B2BD" w:themeColor="accent1" w:themeTint="99"/>
            </w:tcBorders>
            <w:shd w:val="clear" w:color="auto" w:fill="FFFFFF" w:themeFill="background1"/>
            <w:vAlign w:val="center"/>
          </w:tcPr>
          <w:p w14:paraId="6C5E1671" w14:textId="303DC57A" w:rsidR="006B4FFA" w:rsidRPr="00995477" w:rsidRDefault="006B4FFA" w:rsidP="00DF3392">
            <w:pPr>
              <w:pStyle w:val="TableTextRight"/>
              <w:cnfStyle w:val="000000100000" w:firstRow="0" w:lastRow="0" w:firstColumn="0" w:lastColumn="0" w:oddVBand="0" w:evenVBand="0" w:oddHBand="1" w:evenHBand="0" w:firstRowFirstColumn="0" w:firstRowLastColumn="0" w:lastRowFirstColumn="0" w:lastRowLastColumn="0"/>
            </w:pPr>
            <w:r>
              <w:t>N/A</w:t>
            </w:r>
          </w:p>
        </w:tc>
        <w:tc>
          <w:tcPr>
            <w:tcW w:w="344" w:type="pct"/>
            <w:tcBorders>
              <w:top w:val="single" w:sz="4" w:space="0" w:color="89B2BD" w:themeColor="accent1" w:themeTint="99"/>
              <w:left w:val="single" w:sz="4" w:space="0" w:color="89B2BD" w:themeColor="accent1" w:themeTint="99"/>
              <w:bottom w:val="single" w:sz="4" w:space="0" w:color="89B2BD" w:themeColor="accent1" w:themeTint="99"/>
              <w:right w:val="single" w:sz="4" w:space="0" w:color="89B2BD" w:themeColor="accent1" w:themeTint="99"/>
            </w:tcBorders>
            <w:shd w:val="clear" w:color="auto" w:fill="FFFFFF" w:themeFill="background1"/>
            <w:vAlign w:val="center"/>
          </w:tcPr>
          <w:p w14:paraId="708FE708" w14:textId="4CCD94F6" w:rsidR="006B4FFA" w:rsidRDefault="006B4FFA" w:rsidP="00DF3392">
            <w:pPr>
              <w:pStyle w:val="TableTextRight"/>
              <w:cnfStyle w:val="000000100000" w:firstRow="0" w:lastRow="0" w:firstColumn="0" w:lastColumn="0" w:oddVBand="0" w:evenVBand="0" w:oddHBand="1" w:evenHBand="0" w:firstRowFirstColumn="0" w:firstRowLastColumn="0" w:lastRowFirstColumn="0" w:lastRowLastColumn="0"/>
            </w:pPr>
            <w:r>
              <w:t>N/A</w:t>
            </w:r>
          </w:p>
        </w:tc>
        <w:tc>
          <w:tcPr>
            <w:tcW w:w="349" w:type="pct"/>
            <w:tcBorders>
              <w:top w:val="single" w:sz="4" w:space="0" w:color="89B2BD" w:themeColor="accent1" w:themeTint="99"/>
              <w:left w:val="single" w:sz="4" w:space="0" w:color="89B2BD" w:themeColor="accent1" w:themeTint="99"/>
              <w:bottom w:val="single" w:sz="4" w:space="0" w:color="89B2BD" w:themeColor="accent1" w:themeTint="99"/>
              <w:right w:val="single" w:sz="12" w:space="0" w:color="89B2BD" w:themeColor="accent1" w:themeTint="99"/>
            </w:tcBorders>
            <w:shd w:val="clear" w:color="auto" w:fill="FFFFFF" w:themeFill="background1"/>
            <w:vAlign w:val="center"/>
          </w:tcPr>
          <w:p w14:paraId="5B9F1305" w14:textId="05D891B0" w:rsidR="006B4FFA" w:rsidRDefault="006B4FFA" w:rsidP="00DF3392">
            <w:pPr>
              <w:pStyle w:val="TableTextRight"/>
              <w:cnfStyle w:val="000000100000" w:firstRow="0" w:lastRow="0" w:firstColumn="0" w:lastColumn="0" w:oddVBand="0" w:evenVBand="0" w:oddHBand="1" w:evenHBand="0" w:firstRowFirstColumn="0" w:firstRowLastColumn="0" w:lastRowFirstColumn="0" w:lastRowLastColumn="0"/>
            </w:pPr>
            <w:r>
              <w:t>N/A</w:t>
            </w:r>
          </w:p>
        </w:tc>
        <w:tc>
          <w:tcPr>
            <w:tcW w:w="350" w:type="pct"/>
            <w:tcBorders>
              <w:top w:val="single" w:sz="4" w:space="0" w:color="89B2BD" w:themeColor="accent1" w:themeTint="99"/>
              <w:left w:val="single" w:sz="12" w:space="0" w:color="89B2BD" w:themeColor="accent1" w:themeTint="99"/>
              <w:bottom w:val="single" w:sz="4" w:space="0" w:color="89B2BD" w:themeColor="accent1" w:themeTint="99"/>
              <w:right w:val="single" w:sz="4" w:space="0" w:color="89B2BD" w:themeColor="accent1" w:themeTint="99"/>
            </w:tcBorders>
            <w:shd w:val="clear" w:color="auto" w:fill="FFFFFF" w:themeFill="background1"/>
            <w:vAlign w:val="center"/>
          </w:tcPr>
          <w:p w14:paraId="00A97D10" w14:textId="6059CB20" w:rsidR="006B4FFA" w:rsidRDefault="006B4FFA" w:rsidP="00DF3392">
            <w:pPr>
              <w:pStyle w:val="TableTextRight"/>
              <w:cnfStyle w:val="000000100000" w:firstRow="0" w:lastRow="0" w:firstColumn="0" w:lastColumn="0" w:oddVBand="0" w:evenVBand="0" w:oddHBand="1" w:evenHBand="0" w:firstRowFirstColumn="0" w:firstRowLastColumn="0" w:lastRowFirstColumn="0" w:lastRowLastColumn="0"/>
            </w:pPr>
            <w:r>
              <w:t>N/A</w:t>
            </w:r>
          </w:p>
        </w:tc>
        <w:tc>
          <w:tcPr>
            <w:tcW w:w="345" w:type="pct"/>
            <w:tcBorders>
              <w:top w:val="single" w:sz="4" w:space="0" w:color="89B2BD" w:themeColor="accent1" w:themeTint="99"/>
              <w:left w:val="single" w:sz="4" w:space="0" w:color="89B2BD" w:themeColor="accent1" w:themeTint="99"/>
              <w:bottom w:val="single" w:sz="4" w:space="0" w:color="89B2BD" w:themeColor="accent1" w:themeTint="99"/>
              <w:right w:val="single" w:sz="4" w:space="0" w:color="89B2BD" w:themeColor="accent1" w:themeTint="99"/>
            </w:tcBorders>
            <w:shd w:val="clear" w:color="auto" w:fill="FFFFFF" w:themeFill="background1"/>
            <w:vAlign w:val="center"/>
          </w:tcPr>
          <w:p w14:paraId="012F84EA" w14:textId="6FD281AF" w:rsidR="006B4FFA" w:rsidRDefault="006B4FFA" w:rsidP="00DF3392">
            <w:pPr>
              <w:pStyle w:val="TableTextRight"/>
              <w:cnfStyle w:val="000000100000" w:firstRow="0" w:lastRow="0" w:firstColumn="0" w:lastColumn="0" w:oddVBand="0" w:evenVBand="0" w:oddHBand="1" w:evenHBand="0" w:firstRowFirstColumn="0" w:firstRowLastColumn="0" w:lastRowFirstColumn="0" w:lastRowLastColumn="0"/>
            </w:pPr>
            <w:r>
              <w:t>N/A</w:t>
            </w:r>
          </w:p>
        </w:tc>
        <w:tc>
          <w:tcPr>
            <w:tcW w:w="315" w:type="pct"/>
            <w:tcBorders>
              <w:top w:val="single" w:sz="4" w:space="0" w:color="89B2BD" w:themeColor="accent1" w:themeTint="99"/>
              <w:left w:val="single" w:sz="4" w:space="0" w:color="89B2BD" w:themeColor="accent1" w:themeTint="99"/>
              <w:bottom w:val="single" w:sz="4" w:space="0" w:color="89B2BD" w:themeColor="accent1" w:themeTint="99"/>
              <w:right w:val="single" w:sz="4" w:space="0" w:color="89B2BD" w:themeColor="accent1" w:themeTint="99"/>
            </w:tcBorders>
            <w:shd w:val="clear" w:color="auto" w:fill="FFFFFF" w:themeFill="background1"/>
            <w:vAlign w:val="center"/>
          </w:tcPr>
          <w:p w14:paraId="170ABE08" w14:textId="79C60876" w:rsidR="006B4FFA" w:rsidRDefault="006B4FFA" w:rsidP="00DF3392">
            <w:pPr>
              <w:pStyle w:val="TableTextRight"/>
              <w:cnfStyle w:val="000000100000" w:firstRow="0" w:lastRow="0" w:firstColumn="0" w:lastColumn="0" w:oddVBand="0" w:evenVBand="0" w:oddHBand="1" w:evenHBand="0" w:firstRowFirstColumn="0" w:firstRowLastColumn="0" w:lastRowFirstColumn="0" w:lastRowLastColumn="0"/>
            </w:pPr>
            <w:r>
              <w:t>N/A</w:t>
            </w:r>
          </w:p>
        </w:tc>
        <w:tc>
          <w:tcPr>
            <w:tcW w:w="375" w:type="pct"/>
            <w:tcBorders>
              <w:top w:val="single" w:sz="4" w:space="0" w:color="89B2BD" w:themeColor="accent1" w:themeTint="99"/>
              <w:left w:val="single" w:sz="4" w:space="0" w:color="89B2BD" w:themeColor="accent1" w:themeTint="99"/>
              <w:bottom w:val="single" w:sz="4" w:space="0" w:color="89B2BD" w:themeColor="accent1" w:themeTint="99"/>
              <w:right w:val="nil"/>
            </w:tcBorders>
            <w:shd w:val="clear" w:color="auto" w:fill="FFFFFF" w:themeFill="background1"/>
            <w:vAlign w:val="center"/>
          </w:tcPr>
          <w:p w14:paraId="122900A7" w14:textId="3D3F9AAB" w:rsidR="006B4FFA" w:rsidRDefault="006B4FFA" w:rsidP="00DF3392">
            <w:pPr>
              <w:pStyle w:val="TableTextRight"/>
              <w:cnfStyle w:val="000000100000" w:firstRow="0" w:lastRow="0" w:firstColumn="0" w:lastColumn="0" w:oddVBand="0" w:evenVBand="0" w:oddHBand="1" w:evenHBand="0" w:firstRowFirstColumn="0" w:firstRowLastColumn="0" w:lastRowFirstColumn="0" w:lastRowLastColumn="0"/>
            </w:pPr>
            <w:r>
              <w:t>N/A</w:t>
            </w:r>
          </w:p>
        </w:tc>
      </w:tr>
      <w:tr w:rsidR="00FC060E" w:rsidRPr="00995477" w14:paraId="329C05A3" w14:textId="77777777" w:rsidTr="00DF3392">
        <w:tc>
          <w:tcPr>
            <w:cnfStyle w:val="001000000000" w:firstRow="0" w:lastRow="0" w:firstColumn="1" w:lastColumn="0" w:oddVBand="0" w:evenVBand="0" w:oddHBand="0" w:evenHBand="0" w:firstRowFirstColumn="0" w:firstRowLastColumn="0" w:lastRowFirstColumn="0" w:lastRowLastColumn="0"/>
            <w:tcW w:w="791" w:type="pct"/>
            <w:tcBorders>
              <w:top w:val="single" w:sz="4" w:space="0" w:color="89B2BD" w:themeColor="accent1" w:themeTint="99"/>
              <w:bottom w:val="single" w:sz="4" w:space="0" w:color="89B2BD" w:themeColor="accent1" w:themeTint="99"/>
              <w:right w:val="single" w:sz="12" w:space="0" w:color="89B2BD" w:themeColor="accent1" w:themeTint="99"/>
            </w:tcBorders>
            <w:vAlign w:val="center"/>
            <w:hideMark/>
          </w:tcPr>
          <w:p w14:paraId="0E907566" w14:textId="20234E3A" w:rsidR="006B4FFA" w:rsidRPr="00BE5272" w:rsidRDefault="006B4FFA" w:rsidP="00DF3392">
            <w:pPr>
              <w:pStyle w:val="TableTextLeft"/>
              <w:rPr>
                <w:i w:val="0"/>
                <w:iCs w:val="0"/>
              </w:rPr>
            </w:pPr>
            <w:r w:rsidRPr="00BE5272">
              <w:rPr>
                <w:i w:val="0"/>
                <w:iCs w:val="0"/>
              </w:rPr>
              <w:t>Unsatisfactory/</w:t>
            </w:r>
            <w:r w:rsidR="00BE5272" w:rsidRPr="00BE5272">
              <w:rPr>
                <w:i w:val="0"/>
                <w:iCs w:val="0"/>
              </w:rPr>
              <w:br/>
            </w:r>
            <w:r w:rsidRPr="00BE5272">
              <w:rPr>
                <w:i w:val="0"/>
                <w:iCs w:val="0"/>
              </w:rPr>
              <w:t xml:space="preserve">disciplinary action required </w:t>
            </w:r>
          </w:p>
        </w:tc>
        <w:tc>
          <w:tcPr>
            <w:tcW w:w="388" w:type="pct"/>
            <w:tcBorders>
              <w:top w:val="single" w:sz="4" w:space="0" w:color="89B2BD" w:themeColor="accent1" w:themeTint="99"/>
              <w:left w:val="single" w:sz="12" w:space="0" w:color="89B2BD" w:themeColor="accent1" w:themeTint="99"/>
              <w:bottom w:val="single" w:sz="4" w:space="0" w:color="89B2BD" w:themeColor="accent1" w:themeTint="99"/>
              <w:right w:val="single" w:sz="4" w:space="0" w:color="89B2BD" w:themeColor="accent1" w:themeTint="99"/>
            </w:tcBorders>
            <w:shd w:val="clear" w:color="auto" w:fill="FFFFFF" w:themeFill="background1"/>
            <w:vAlign w:val="center"/>
          </w:tcPr>
          <w:p w14:paraId="56F47F2E" w14:textId="143DC6CF" w:rsidR="006B4FFA" w:rsidRPr="00995477" w:rsidRDefault="00C354C3" w:rsidP="00DF3392">
            <w:pPr>
              <w:pStyle w:val="TableTextRight"/>
              <w:cnfStyle w:val="000000000000" w:firstRow="0" w:lastRow="0" w:firstColumn="0" w:lastColumn="0" w:oddVBand="0" w:evenVBand="0" w:oddHBand="0" w:evenHBand="0" w:firstRowFirstColumn="0" w:firstRowLastColumn="0" w:lastRowFirstColumn="0" w:lastRowLastColumn="0"/>
            </w:pPr>
            <w:r>
              <w:t xml:space="preserve">No. </w:t>
            </w:r>
            <w:r w:rsidR="006B4FFA" w:rsidRPr="00995477">
              <w:t>0</w:t>
            </w:r>
          </w:p>
        </w:tc>
        <w:tc>
          <w:tcPr>
            <w:tcW w:w="351" w:type="pct"/>
            <w:tcBorders>
              <w:top w:val="single" w:sz="4" w:space="0" w:color="89B2BD" w:themeColor="accent1" w:themeTint="99"/>
              <w:left w:val="single" w:sz="4" w:space="0" w:color="89B2BD" w:themeColor="accent1" w:themeTint="99"/>
              <w:bottom w:val="single" w:sz="4" w:space="0" w:color="89B2BD" w:themeColor="accent1" w:themeTint="99"/>
              <w:right w:val="single" w:sz="4" w:space="0" w:color="89B2BD" w:themeColor="accent1" w:themeTint="99"/>
            </w:tcBorders>
            <w:shd w:val="clear" w:color="auto" w:fill="FFFFFF" w:themeFill="background1"/>
            <w:vAlign w:val="center"/>
          </w:tcPr>
          <w:p w14:paraId="7CBFD93B" w14:textId="2100AC72" w:rsidR="006B4FFA" w:rsidRPr="00995477" w:rsidRDefault="006B4FFA" w:rsidP="00DF3392">
            <w:pPr>
              <w:pStyle w:val="TableTextRight"/>
              <w:cnfStyle w:val="000000000000" w:firstRow="0" w:lastRow="0" w:firstColumn="0" w:lastColumn="0" w:oddVBand="0" w:evenVBand="0" w:oddHBand="0" w:evenHBand="0" w:firstRowFirstColumn="0" w:firstRowLastColumn="0" w:lastRowFirstColumn="0" w:lastRowLastColumn="0"/>
            </w:pPr>
            <w:r w:rsidRPr="00995477">
              <w:t>0</w:t>
            </w:r>
            <w:r w:rsidR="00C354C3">
              <w:t>%</w:t>
            </w:r>
          </w:p>
        </w:tc>
        <w:tc>
          <w:tcPr>
            <w:tcW w:w="343" w:type="pct"/>
            <w:tcBorders>
              <w:top w:val="single" w:sz="4" w:space="0" w:color="89B2BD" w:themeColor="accent1" w:themeTint="99"/>
              <w:left w:val="single" w:sz="4" w:space="0" w:color="89B2BD" w:themeColor="accent1" w:themeTint="99"/>
              <w:bottom w:val="single" w:sz="4" w:space="0" w:color="89B2BD" w:themeColor="accent1" w:themeTint="99"/>
              <w:right w:val="single" w:sz="4" w:space="0" w:color="89B2BD" w:themeColor="accent1" w:themeTint="99"/>
            </w:tcBorders>
            <w:shd w:val="clear" w:color="auto" w:fill="FFFFFF" w:themeFill="background1"/>
            <w:vAlign w:val="center"/>
          </w:tcPr>
          <w:p w14:paraId="66FD9E3F" w14:textId="376CC45A" w:rsidR="006B4FFA" w:rsidRPr="00A43EA4" w:rsidRDefault="00C354C3" w:rsidP="00DF3392">
            <w:pPr>
              <w:pStyle w:val="TableTextRight"/>
              <w:cnfStyle w:val="000000000000" w:firstRow="0" w:lastRow="0" w:firstColumn="0" w:lastColumn="0" w:oddVBand="0" w:evenVBand="0" w:oddHBand="0" w:evenHBand="0" w:firstRowFirstColumn="0" w:firstRowLastColumn="0" w:lastRowFirstColumn="0" w:lastRowLastColumn="0"/>
            </w:pPr>
            <w:r>
              <w:t xml:space="preserve">No. </w:t>
            </w:r>
            <w:r w:rsidR="006B4FFA">
              <w:t>0</w:t>
            </w:r>
          </w:p>
        </w:tc>
        <w:tc>
          <w:tcPr>
            <w:tcW w:w="353" w:type="pct"/>
            <w:tcBorders>
              <w:top w:val="single" w:sz="4" w:space="0" w:color="89B2BD" w:themeColor="accent1" w:themeTint="99"/>
              <w:left w:val="single" w:sz="4" w:space="0" w:color="89B2BD" w:themeColor="accent1" w:themeTint="99"/>
              <w:bottom w:val="single" w:sz="4" w:space="0" w:color="89B2BD" w:themeColor="accent1" w:themeTint="99"/>
              <w:right w:val="single" w:sz="12" w:space="0" w:color="89B2BD" w:themeColor="accent1" w:themeTint="99"/>
            </w:tcBorders>
            <w:shd w:val="clear" w:color="auto" w:fill="FFFFFF" w:themeFill="background1"/>
            <w:vAlign w:val="center"/>
          </w:tcPr>
          <w:p w14:paraId="2AACD3CB" w14:textId="61A43FAD" w:rsidR="006B4FFA" w:rsidRPr="00A43EA4" w:rsidRDefault="006B4FFA" w:rsidP="00DF3392">
            <w:pPr>
              <w:pStyle w:val="TableTextRight"/>
              <w:cnfStyle w:val="000000000000" w:firstRow="0" w:lastRow="0" w:firstColumn="0" w:lastColumn="0" w:oddVBand="0" w:evenVBand="0" w:oddHBand="0" w:evenHBand="0" w:firstRowFirstColumn="0" w:firstRowLastColumn="0" w:lastRowFirstColumn="0" w:lastRowLastColumn="0"/>
            </w:pPr>
            <w:r>
              <w:t>0</w:t>
            </w:r>
            <w:r w:rsidR="00C354C3">
              <w:t>%</w:t>
            </w:r>
          </w:p>
        </w:tc>
        <w:tc>
          <w:tcPr>
            <w:tcW w:w="343" w:type="pct"/>
            <w:tcBorders>
              <w:top w:val="single" w:sz="4" w:space="0" w:color="89B2BD" w:themeColor="accent1" w:themeTint="99"/>
              <w:left w:val="single" w:sz="12" w:space="0" w:color="89B2BD" w:themeColor="accent1" w:themeTint="99"/>
              <w:bottom w:val="single" w:sz="4" w:space="0" w:color="89B2BD" w:themeColor="accent1" w:themeTint="99"/>
              <w:right w:val="single" w:sz="4" w:space="0" w:color="89B2BD" w:themeColor="accent1" w:themeTint="99"/>
            </w:tcBorders>
            <w:shd w:val="clear" w:color="auto" w:fill="FFFFFF" w:themeFill="background1"/>
            <w:vAlign w:val="center"/>
          </w:tcPr>
          <w:p w14:paraId="4345E4B8" w14:textId="077886A9" w:rsidR="006B4FFA" w:rsidRPr="00995477" w:rsidRDefault="00C354C3" w:rsidP="00DF3392">
            <w:pPr>
              <w:pStyle w:val="TableTextRight"/>
              <w:cnfStyle w:val="000000000000" w:firstRow="0" w:lastRow="0" w:firstColumn="0" w:lastColumn="0" w:oddVBand="0" w:evenVBand="0" w:oddHBand="0" w:evenHBand="0" w:firstRowFirstColumn="0" w:firstRowLastColumn="0" w:lastRowFirstColumn="0" w:lastRowLastColumn="0"/>
            </w:pPr>
            <w:r>
              <w:t xml:space="preserve">No. </w:t>
            </w:r>
            <w:r w:rsidR="006B4FFA">
              <w:t>1</w:t>
            </w:r>
          </w:p>
        </w:tc>
        <w:tc>
          <w:tcPr>
            <w:tcW w:w="353" w:type="pct"/>
            <w:tcBorders>
              <w:top w:val="single" w:sz="4" w:space="0" w:color="89B2BD" w:themeColor="accent1" w:themeTint="99"/>
              <w:left w:val="single" w:sz="4" w:space="0" w:color="89B2BD" w:themeColor="accent1" w:themeTint="99"/>
              <w:bottom w:val="single" w:sz="4" w:space="0" w:color="89B2BD" w:themeColor="accent1" w:themeTint="99"/>
              <w:right w:val="single" w:sz="4" w:space="0" w:color="89B2BD" w:themeColor="accent1" w:themeTint="99"/>
            </w:tcBorders>
            <w:shd w:val="clear" w:color="auto" w:fill="FFFFFF" w:themeFill="background1"/>
            <w:vAlign w:val="center"/>
          </w:tcPr>
          <w:p w14:paraId="6B6435BE" w14:textId="35D2A7FC" w:rsidR="006B4FFA" w:rsidRPr="00995477" w:rsidRDefault="006B4FFA" w:rsidP="00DF3392">
            <w:pPr>
              <w:pStyle w:val="TableTextRight"/>
              <w:cnfStyle w:val="000000000000" w:firstRow="0" w:lastRow="0" w:firstColumn="0" w:lastColumn="0" w:oddVBand="0" w:evenVBand="0" w:oddHBand="0" w:evenHBand="0" w:firstRowFirstColumn="0" w:firstRowLastColumn="0" w:lastRowFirstColumn="0" w:lastRowLastColumn="0"/>
            </w:pPr>
            <w:r>
              <w:t>1</w:t>
            </w:r>
            <w:r w:rsidR="00C354C3">
              <w:t>%</w:t>
            </w:r>
          </w:p>
        </w:tc>
        <w:tc>
          <w:tcPr>
            <w:tcW w:w="344" w:type="pct"/>
            <w:tcBorders>
              <w:top w:val="single" w:sz="4" w:space="0" w:color="89B2BD" w:themeColor="accent1" w:themeTint="99"/>
              <w:left w:val="single" w:sz="4" w:space="0" w:color="89B2BD" w:themeColor="accent1" w:themeTint="99"/>
              <w:bottom w:val="single" w:sz="4" w:space="0" w:color="89B2BD" w:themeColor="accent1" w:themeTint="99"/>
              <w:right w:val="single" w:sz="4" w:space="0" w:color="89B2BD" w:themeColor="accent1" w:themeTint="99"/>
            </w:tcBorders>
            <w:shd w:val="clear" w:color="auto" w:fill="FFFFFF" w:themeFill="background1"/>
            <w:vAlign w:val="center"/>
          </w:tcPr>
          <w:p w14:paraId="7E6E9E20" w14:textId="5771DE29" w:rsidR="006B4FFA" w:rsidRPr="00995477" w:rsidRDefault="00C354C3" w:rsidP="00DF3392">
            <w:pPr>
              <w:pStyle w:val="TableTextRight"/>
              <w:cnfStyle w:val="000000000000" w:firstRow="0" w:lastRow="0" w:firstColumn="0" w:lastColumn="0" w:oddVBand="0" w:evenVBand="0" w:oddHBand="0" w:evenHBand="0" w:firstRowFirstColumn="0" w:firstRowLastColumn="0" w:lastRowFirstColumn="0" w:lastRowLastColumn="0"/>
            </w:pPr>
            <w:r>
              <w:t xml:space="preserve">No. </w:t>
            </w:r>
            <w:r w:rsidR="006B4FFA">
              <w:t>2</w:t>
            </w:r>
          </w:p>
        </w:tc>
        <w:tc>
          <w:tcPr>
            <w:tcW w:w="349" w:type="pct"/>
            <w:tcBorders>
              <w:top w:val="single" w:sz="4" w:space="0" w:color="89B2BD" w:themeColor="accent1" w:themeTint="99"/>
              <w:left w:val="single" w:sz="4" w:space="0" w:color="89B2BD" w:themeColor="accent1" w:themeTint="99"/>
              <w:bottom w:val="single" w:sz="4" w:space="0" w:color="89B2BD" w:themeColor="accent1" w:themeTint="99"/>
              <w:right w:val="single" w:sz="12" w:space="0" w:color="89B2BD" w:themeColor="accent1" w:themeTint="99"/>
            </w:tcBorders>
            <w:shd w:val="clear" w:color="auto" w:fill="FFFFFF" w:themeFill="background1"/>
            <w:vAlign w:val="center"/>
          </w:tcPr>
          <w:p w14:paraId="74B5253D" w14:textId="4664A170" w:rsidR="006B4FFA" w:rsidRPr="00995477" w:rsidRDefault="006B4FFA" w:rsidP="00DF3392">
            <w:pPr>
              <w:pStyle w:val="TableTextRight"/>
              <w:cnfStyle w:val="000000000000" w:firstRow="0" w:lastRow="0" w:firstColumn="0" w:lastColumn="0" w:oddVBand="0" w:evenVBand="0" w:oddHBand="0" w:evenHBand="0" w:firstRowFirstColumn="0" w:firstRowLastColumn="0" w:lastRowFirstColumn="0" w:lastRowLastColumn="0"/>
            </w:pPr>
            <w:r>
              <w:t>1</w:t>
            </w:r>
            <w:r w:rsidR="00C354C3">
              <w:t>%</w:t>
            </w:r>
          </w:p>
        </w:tc>
        <w:tc>
          <w:tcPr>
            <w:tcW w:w="350" w:type="pct"/>
            <w:tcBorders>
              <w:top w:val="single" w:sz="4" w:space="0" w:color="89B2BD" w:themeColor="accent1" w:themeTint="99"/>
              <w:left w:val="single" w:sz="12" w:space="0" w:color="89B2BD" w:themeColor="accent1" w:themeTint="99"/>
              <w:bottom w:val="single" w:sz="4" w:space="0" w:color="89B2BD" w:themeColor="accent1" w:themeTint="99"/>
              <w:right w:val="single" w:sz="4" w:space="0" w:color="89B2BD" w:themeColor="accent1" w:themeTint="99"/>
            </w:tcBorders>
            <w:shd w:val="clear" w:color="auto" w:fill="FFFFFF" w:themeFill="background1"/>
            <w:vAlign w:val="center"/>
          </w:tcPr>
          <w:p w14:paraId="6462797D" w14:textId="08A16BF3" w:rsidR="006B4FFA" w:rsidRPr="00995477" w:rsidRDefault="00C354C3" w:rsidP="00DF3392">
            <w:pPr>
              <w:pStyle w:val="TableTextRight"/>
              <w:cnfStyle w:val="000000000000" w:firstRow="0" w:lastRow="0" w:firstColumn="0" w:lastColumn="0" w:oddVBand="0" w:evenVBand="0" w:oddHBand="0" w:evenHBand="0" w:firstRowFirstColumn="0" w:firstRowLastColumn="0" w:lastRowFirstColumn="0" w:lastRowLastColumn="0"/>
            </w:pPr>
            <w:r>
              <w:t xml:space="preserve">No. </w:t>
            </w:r>
            <w:r w:rsidR="006B4FFA">
              <w:t>0</w:t>
            </w:r>
          </w:p>
        </w:tc>
        <w:tc>
          <w:tcPr>
            <w:tcW w:w="345" w:type="pct"/>
            <w:tcBorders>
              <w:top w:val="single" w:sz="4" w:space="0" w:color="89B2BD" w:themeColor="accent1" w:themeTint="99"/>
              <w:left w:val="single" w:sz="4" w:space="0" w:color="89B2BD" w:themeColor="accent1" w:themeTint="99"/>
              <w:bottom w:val="single" w:sz="4" w:space="0" w:color="89B2BD" w:themeColor="accent1" w:themeTint="99"/>
              <w:right w:val="single" w:sz="4" w:space="0" w:color="89B2BD" w:themeColor="accent1" w:themeTint="99"/>
            </w:tcBorders>
            <w:shd w:val="clear" w:color="auto" w:fill="FFFFFF" w:themeFill="background1"/>
            <w:vAlign w:val="center"/>
          </w:tcPr>
          <w:p w14:paraId="30DB92A4" w14:textId="33B7072B" w:rsidR="006B4FFA" w:rsidRPr="00995477" w:rsidRDefault="00112911" w:rsidP="00DF3392">
            <w:pPr>
              <w:pStyle w:val="TableTextRight"/>
              <w:cnfStyle w:val="000000000000" w:firstRow="0" w:lastRow="0" w:firstColumn="0" w:lastColumn="0" w:oddVBand="0" w:evenVBand="0" w:oddHBand="0" w:evenHBand="0" w:firstRowFirstColumn="0" w:firstRowLastColumn="0" w:lastRowFirstColumn="0" w:lastRowLastColumn="0"/>
            </w:pPr>
            <w:r>
              <w:t xml:space="preserve"> </w:t>
            </w:r>
            <w:r w:rsidR="006B4FFA">
              <w:t>0</w:t>
            </w:r>
            <w:r w:rsidR="00C354C3">
              <w:t>%</w:t>
            </w:r>
          </w:p>
        </w:tc>
        <w:tc>
          <w:tcPr>
            <w:tcW w:w="315" w:type="pct"/>
            <w:tcBorders>
              <w:top w:val="single" w:sz="4" w:space="0" w:color="89B2BD" w:themeColor="accent1" w:themeTint="99"/>
              <w:left w:val="single" w:sz="4" w:space="0" w:color="89B2BD" w:themeColor="accent1" w:themeTint="99"/>
              <w:bottom w:val="single" w:sz="4" w:space="0" w:color="89B2BD" w:themeColor="accent1" w:themeTint="99"/>
              <w:right w:val="single" w:sz="4" w:space="0" w:color="89B2BD" w:themeColor="accent1" w:themeTint="99"/>
            </w:tcBorders>
            <w:shd w:val="clear" w:color="auto" w:fill="FFFFFF" w:themeFill="background1"/>
            <w:vAlign w:val="center"/>
          </w:tcPr>
          <w:p w14:paraId="72957C6F" w14:textId="225F3F8F" w:rsidR="006B4FFA" w:rsidRPr="00995477" w:rsidRDefault="00C354C3" w:rsidP="00DF3392">
            <w:pPr>
              <w:pStyle w:val="TableTextRight"/>
              <w:cnfStyle w:val="000000000000" w:firstRow="0" w:lastRow="0" w:firstColumn="0" w:lastColumn="0" w:oddVBand="0" w:evenVBand="0" w:oddHBand="0" w:evenHBand="0" w:firstRowFirstColumn="0" w:firstRowLastColumn="0" w:lastRowFirstColumn="0" w:lastRowLastColumn="0"/>
            </w:pPr>
            <w:r>
              <w:t xml:space="preserve">No. </w:t>
            </w:r>
            <w:r w:rsidR="006B4FFA">
              <w:t>0</w:t>
            </w:r>
          </w:p>
        </w:tc>
        <w:tc>
          <w:tcPr>
            <w:tcW w:w="375" w:type="pct"/>
            <w:tcBorders>
              <w:top w:val="single" w:sz="4" w:space="0" w:color="89B2BD" w:themeColor="accent1" w:themeTint="99"/>
              <w:left w:val="single" w:sz="4" w:space="0" w:color="89B2BD" w:themeColor="accent1" w:themeTint="99"/>
              <w:bottom w:val="single" w:sz="4" w:space="0" w:color="89B2BD" w:themeColor="accent1" w:themeTint="99"/>
              <w:right w:val="nil"/>
            </w:tcBorders>
            <w:shd w:val="clear" w:color="auto" w:fill="FFFFFF" w:themeFill="background1"/>
            <w:vAlign w:val="center"/>
          </w:tcPr>
          <w:p w14:paraId="6BD3ACE0" w14:textId="3B1603D3" w:rsidR="006B4FFA" w:rsidRPr="00995477" w:rsidRDefault="006B4FFA" w:rsidP="00DF3392">
            <w:pPr>
              <w:pStyle w:val="TableTextRight"/>
              <w:cnfStyle w:val="000000000000" w:firstRow="0" w:lastRow="0" w:firstColumn="0" w:lastColumn="0" w:oddVBand="0" w:evenVBand="0" w:oddHBand="0" w:evenHBand="0" w:firstRowFirstColumn="0" w:firstRowLastColumn="0" w:lastRowFirstColumn="0" w:lastRowLastColumn="0"/>
            </w:pPr>
            <w:r>
              <w:t>0</w:t>
            </w:r>
            <w:r w:rsidR="00C354C3">
              <w:t>%</w:t>
            </w:r>
          </w:p>
        </w:tc>
      </w:tr>
      <w:tr w:rsidR="00FC060E" w:rsidRPr="00995477" w14:paraId="157282F5" w14:textId="77777777" w:rsidTr="00DF339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791" w:type="pct"/>
            <w:tcBorders>
              <w:top w:val="single" w:sz="4" w:space="0" w:color="89B2BD" w:themeColor="accent1" w:themeTint="99"/>
              <w:right w:val="single" w:sz="12" w:space="0" w:color="89B2BD" w:themeColor="accent1" w:themeTint="99"/>
            </w:tcBorders>
            <w:shd w:val="clear" w:color="auto" w:fill="D7E5E9" w:themeFill="accent1" w:themeFillTint="33"/>
            <w:vAlign w:val="center"/>
            <w:hideMark/>
          </w:tcPr>
          <w:p w14:paraId="26910639" w14:textId="77777777" w:rsidR="006B4FFA" w:rsidRPr="00E8076E" w:rsidRDefault="006B4FFA" w:rsidP="00DF3392">
            <w:pPr>
              <w:pStyle w:val="TableColumnHeadingCentred"/>
              <w:jc w:val="left"/>
              <w:rPr>
                <w:i w:val="0"/>
                <w:iCs w:val="0"/>
                <w:color w:val="006170" w:themeColor="text2"/>
              </w:rPr>
            </w:pPr>
            <w:r w:rsidRPr="00E8076E">
              <w:rPr>
                <w:i w:val="0"/>
                <w:iCs w:val="0"/>
                <w:color w:val="006170" w:themeColor="text2"/>
              </w:rPr>
              <w:t xml:space="preserve">Total </w:t>
            </w:r>
          </w:p>
        </w:tc>
        <w:tc>
          <w:tcPr>
            <w:tcW w:w="388" w:type="pct"/>
            <w:tcBorders>
              <w:top w:val="single" w:sz="4" w:space="0" w:color="89B2BD" w:themeColor="accent1" w:themeTint="99"/>
              <w:left w:val="single" w:sz="12" w:space="0" w:color="89B2BD" w:themeColor="accent1" w:themeTint="99"/>
              <w:bottom w:val="nil"/>
              <w:right w:val="single" w:sz="4" w:space="0" w:color="89B2BD" w:themeColor="accent1" w:themeTint="99"/>
            </w:tcBorders>
            <w:vAlign w:val="center"/>
          </w:tcPr>
          <w:p w14:paraId="24A8818A" w14:textId="002F0BBD" w:rsidR="006B4FFA" w:rsidRPr="00E8076E" w:rsidRDefault="00C354C3" w:rsidP="00DF3392">
            <w:pPr>
              <w:pStyle w:val="TableColumnHeadingCentred"/>
              <w:jc w:val="right"/>
              <w:cnfStyle w:val="000000100000" w:firstRow="0" w:lastRow="0" w:firstColumn="0" w:lastColumn="0" w:oddVBand="0" w:evenVBand="0" w:oddHBand="1" w:evenHBand="0" w:firstRowFirstColumn="0" w:firstRowLastColumn="0" w:lastRowFirstColumn="0" w:lastRowLastColumn="0"/>
              <w:rPr>
                <w:color w:val="006170" w:themeColor="text2"/>
              </w:rPr>
            </w:pPr>
            <w:r w:rsidRPr="00E8076E">
              <w:rPr>
                <w:color w:val="006170" w:themeColor="text2"/>
              </w:rPr>
              <w:t xml:space="preserve">No. </w:t>
            </w:r>
            <w:r w:rsidR="006B4FFA" w:rsidRPr="00E8076E">
              <w:rPr>
                <w:color w:val="006170" w:themeColor="text2"/>
              </w:rPr>
              <w:t>27</w:t>
            </w:r>
          </w:p>
        </w:tc>
        <w:tc>
          <w:tcPr>
            <w:tcW w:w="351" w:type="pct"/>
            <w:tcBorders>
              <w:top w:val="single" w:sz="4" w:space="0" w:color="89B2BD" w:themeColor="accent1" w:themeTint="99"/>
              <w:left w:val="single" w:sz="4" w:space="0" w:color="89B2BD" w:themeColor="accent1" w:themeTint="99"/>
              <w:bottom w:val="nil"/>
              <w:right w:val="single" w:sz="4" w:space="0" w:color="89B2BD" w:themeColor="accent1" w:themeTint="99"/>
            </w:tcBorders>
            <w:vAlign w:val="center"/>
          </w:tcPr>
          <w:p w14:paraId="6F7E53E3" w14:textId="511ED459" w:rsidR="006B4FFA" w:rsidRPr="00E8076E" w:rsidRDefault="006B4FFA" w:rsidP="00DF3392">
            <w:pPr>
              <w:pStyle w:val="TableColumnHeadingCentred"/>
              <w:jc w:val="right"/>
              <w:cnfStyle w:val="000000100000" w:firstRow="0" w:lastRow="0" w:firstColumn="0" w:lastColumn="0" w:oddVBand="0" w:evenVBand="0" w:oddHBand="1" w:evenHBand="0" w:firstRowFirstColumn="0" w:firstRowLastColumn="0" w:lastRowFirstColumn="0" w:lastRowLastColumn="0"/>
              <w:rPr>
                <w:color w:val="006170" w:themeColor="text2"/>
              </w:rPr>
            </w:pPr>
            <w:r w:rsidRPr="00E8076E">
              <w:rPr>
                <w:color w:val="006170" w:themeColor="text2"/>
              </w:rPr>
              <w:t>100</w:t>
            </w:r>
            <w:r w:rsidR="00C354C3" w:rsidRPr="00E8076E">
              <w:rPr>
                <w:color w:val="006170" w:themeColor="text2"/>
              </w:rPr>
              <w:t>%</w:t>
            </w:r>
          </w:p>
        </w:tc>
        <w:tc>
          <w:tcPr>
            <w:tcW w:w="343" w:type="pct"/>
            <w:tcBorders>
              <w:top w:val="single" w:sz="4" w:space="0" w:color="89B2BD" w:themeColor="accent1" w:themeTint="99"/>
              <w:left w:val="single" w:sz="4" w:space="0" w:color="89B2BD" w:themeColor="accent1" w:themeTint="99"/>
              <w:bottom w:val="nil"/>
              <w:right w:val="single" w:sz="4" w:space="0" w:color="89B2BD" w:themeColor="accent1" w:themeTint="99"/>
            </w:tcBorders>
            <w:vAlign w:val="center"/>
          </w:tcPr>
          <w:p w14:paraId="5C65139D" w14:textId="5F35BA7D" w:rsidR="006B4FFA" w:rsidRPr="00E8076E" w:rsidRDefault="00C354C3" w:rsidP="00DF3392">
            <w:pPr>
              <w:pStyle w:val="TableColumnHeadingCentred"/>
              <w:jc w:val="right"/>
              <w:cnfStyle w:val="000000100000" w:firstRow="0" w:lastRow="0" w:firstColumn="0" w:lastColumn="0" w:oddVBand="0" w:evenVBand="0" w:oddHBand="1" w:evenHBand="0" w:firstRowFirstColumn="0" w:firstRowLastColumn="0" w:lastRowFirstColumn="0" w:lastRowLastColumn="0"/>
              <w:rPr>
                <w:color w:val="006170" w:themeColor="text2"/>
              </w:rPr>
            </w:pPr>
            <w:r w:rsidRPr="00E8076E">
              <w:rPr>
                <w:color w:val="006170" w:themeColor="text2"/>
              </w:rPr>
              <w:t xml:space="preserve">No. </w:t>
            </w:r>
            <w:r w:rsidR="006B4FFA" w:rsidRPr="00E8076E">
              <w:rPr>
                <w:color w:val="006170" w:themeColor="text2"/>
              </w:rPr>
              <w:t>38</w:t>
            </w:r>
          </w:p>
        </w:tc>
        <w:tc>
          <w:tcPr>
            <w:tcW w:w="353" w:type="pct"/>
            <w:tcBorders>
              <w:top w:val="single" w:sz="4" w:space="0" w:color="89B2BD" w:themeColor="accent1" w:themeTint="99"/>
              <w:left w:val="single" w:sz="4" w:space="0" w:color="89B2BD" w:themeColor="accent1" w:themeTint="99"/>
              <w:bottom w:val="nil"/>
              <w:right w:val="single" w:sz="12" w:space="0" w:color="89B2BD" w:themeColor="accent1" w:themeTint="99"/>
            </w:tcBorders>
            <w:vAlign w:val="center"/>
          </w:tcPr>
          <w:p w14:paraId="2CAE5A75" w14:textId="68014483" w:rsidR="006B4FFA" w:rsidRPr="00E8076E" w:rsidRDefault="006B4FFA" w:rsidP="00DF3392">
            <w:pPr>
              <w:pStyle w:val="TableColumnHeadingCentred"/>
              <w:jc w:val="right"/>
              <w:cnfStyle w:val="000000100000" w:firstRow="0" w:lastRow="0" w:firstColumn="0" w:lastColumn="0" w:oddVBand="0" w:evenVBand="0" w:oddHBand="1" w:evenHBand="0" w:firstRowFirstColumn="0" w:firstRowLastColumn="0" w:lastRowFirstColumn="0" w:lastRowLastColumn="0"/>
              <w:rPr>
                <w:color w:val="006170" w:themeColor="text2"/>
              </w:rPr>
            </w:pPr>
            <w:r w:rsidRPr="00E8076E">
              <w:rPr>
                <w:color w:val="006170" w:themeColor="text2"/>
              </w:rPr>
              <w:t>100</w:t>
            </w:r>
            <w:r w:rsidR="00C354C3" w:rsidRPr="00E8076E">
              <w:rPr>
                <w:color w:val="006170" w:themeColor="text2"/>
              </w:rPr>
              <w:t>%</w:t>
            </w:r>
          </w:p>
        </w:tc>
        <w:tc>
          <w:tcPr>
            <w:tcW w:w="343" w:type="pct"/>
            <w:tcBorders>
              <w:top w:val="single" w:sz="4" w:space="0" w:color="89B2BD" w:themeColor="accent1" w:themeTint="99"/>
              <w:left w:val="single" w:sz="12" w:space="0" w:color="89B2BD" w:themeColor="accent1" w:themeTint="99"/>
              <w:bottom w:val="nil"/>
              <w:right w:val="single" w:sz="4" w:space="0" w:color="89B2BD" w:themeColor="accent1" w:themeTint="99"/>
            </w:tcBorders>
            <w:vAlign w:val="center"/>
          </w:tcPr>
          <w:p w14:paraId="37D10DFA" w14:textId="46E7A298" w:rsidR="006B4FFA" w:rsidRPr="00E8076E" w:rsidRDefault="00C354C3" w:rsidP="00DF3392">
            <w:pPr>
              <w:pStyle w:val="TableColumnHeadingCentred"/>
              <w:jc w:val="right"/>
              <w:cnfStyle w:val="000000100000" w:firstRow="0" w:lastRow="0" w:firstColumn="0" w:lastColumn="0" w:oddVBand="0" w:evenVBand="0" w:oddHBand="1" w:evenHBand="0" w:firstRowFirstColumn="0" w:firstRowLastColumn="0" w:lastRowFirstColumn="0" w:lastRowLastColumn="0"/>
              <w:rPr>
                <w:color w:val="006170" w:themeColor="text2"/>
              </w:rPr>
            </w:pPr>
            <w:r w:rsidRPr="00E8076E">
              <w:rPr>
                <w:color w:val="006170" w:themeColor="text2"/>
              </w:rPr>
              <w:t xml:space="preserve">No. </w:t>
            </w:r>
            <w:r w:rsidR="006B4FFA" w:rsidRPr="00E8076E">
              <w:rPr>
                <w:color w:val="006170" w:themeColor="text2"/>
              </w:rPr>
              <w:t>244</w:t>
            </w:r>
            <w:r w:rsidR="006B4FFA" w:rsidRPr="00E8076E">
              <w:rPr>
                <w:color w:val="006170" w:themeColor="text2"/>
                <w:vertAlign w:val="superscript"/>
              </w:rPr>
              <w:t>4</w:t>
            </w:r>
          </w:p>
        </w:tc>
        <w:tc>
          <w:tcPr>
            <w:tcW w:w="353" w:type="pct"/>
            <w:tcBorders>
              <w:top w:val="single" w:sz="4" w:space="0" w:color="89B2BD" w:themeColor="accent1" w:themeTint="99"/>
              <w:left w:val="single" w:sz="4" w:space="0" w:color="89B2BD" w:themeColor="accent1" w:themeTint="99"/>
              <w:bottom w:val="nil"/>
              <w:right w:val="single" w:sz="4" w:space="0" w:color="89B2BD" w:themeColor="accent1" w:themeTint="99"/>
            </w:tcBorders>
            <w:vAlign w:val="center"/>
          </w:tcPr>
          <w:p w14:paraId="6A11F0A2" w14:textId="3D673FAC" w:rsidR="006B4FFA" w:rsidRPr="00E8076E" w:rsidRDefault="006B4FFA" w:rsidP="00DF3392">
            <w:pPr>
              <w:pStyle w:val="TableColumnHeadingCentred"/>
              <w:jc w:val="right"/>
              <w:cnfStyle w:val="000000100000" w:firstRow="0" w:lastRow="0" w:firstColumn="0" w:lastColumn="0" w:oddVBand="0" w:evenVBand="0" w:oddHBand="1" w:evenHBand="0" w:firstRowFirstColumn="0" w:firstRowLastColumn="0" w:lastRowFirstColumn="0" w:lastRowLastColumn="0"/>
              <w:rPr>
                <w:color w:val="006170" w:themeColor="text2"/>
              </w:rPr>
            </w:pPr>
            <w:r w:rsidRPr="00E8076E">
              <w:rPr>
                <w:color w:val="006170" w:themeColor="text2"/>
              </w:rPr>
              <w:t>100</w:t>
            </w:r>
            <w:r w:rsidR="00F31CCB" w:rsidRPr="00E8076E">
              <w:rPr>
                <w:color w:val="006170" w:themeColor="text2"/>
              </w:rPr>
              <w:t>%</w:t>
            </w:r>
          </w:p>
        </w:tc>
        <w:tc>
          <w:tcPr>
            <w:tcW w:w="344" w:type="pct"/>
            <w:tcBorders>
              <w:top w:val="single" w:sz="4" w:space="0" w:color="89B2BD" w:themeColor="accent1" w:themeTint="99"/>
              <w:left w:val="single" w:sz="4" w:space="0" w:color="89B2BD" w:themeColor="accent1" w:themeTint="99"/>
              <w:bottom w:val="nil"/>
              <w:right w:val="single" w:sz="4" w:space="0" w:color="89B2BD" w:themeColor="accent1" w:themeTint="99"/>
            </w:tcBorders>
            <w:vAlign w:val="center"/>
          </w:tcPr>
          <w:p w14:paraId="4D495543" w14:textId="3B09CE53" w:rsidR="006B4FFA" w:rsidRPr="00E8076E" w:rsidRDefault="00F31CCB" w:rsidP="00DF3392">
            <w:pPr>
              <w:pStyle w:val="TableColumnHeadingCentred"/>
              <w:jc w:val="right"/>
              <w:cnfStyle w:val="000000100000" w:firstRow="0" w:lastRow="0" w:firstColumn="0" w:lastColumn="0" w:oddVBand="0" w:evenVBand="0" w:oddHBand="1" w:evenHBand="0" w:firstRowFirstColumn="0" w:firstRowLastColumn="0" w:lastRowFirstColumn="0" w:lastRowLastColumn="0"/>
              <w:rPr>
                <w:color w:val="006170" w:themeColor="text2"/>
              </w:rPr>
            </w:pPr>
            <w:r w:rsidRPr="00E8076E">
              <w:rPr>
                <w:color w:val="006170" w:themeColor="text2"/>
              </w:rPr>
              <w:t xml:space="preserve">No. </w:t>
            </w:r>
            <w:r w:rsidR="006B4FFA" w:rsidRPr="00E8076E">
              <w:rPr>
                <w:color w:val="006170" w:themeColor="text2"/>
              </w:rPr>
              <w:t>147</w:t>
            </w:r>
            <w:r w:rsidR="006B4FFA" w:rsidRPr="00E8076E">
              <w:rPr>
                <w:color w:val="006170" w:themeColor="text2"/>
                <w:vertAlign w:val="superscript"/>
              </w:rPr>
              <w:t>4</w:t>
            </w:r>
          </w:p>
        </w:tc>
        <w:tc>
          <w:tcPr>
            <w:tcW w:w="349" w:type="pct"/>
            <w:tcBorders>
              <w:top w:val="single" w:sz="4" w:space="0" w:color="89B2BD" w:themeColor="accent1" w:themeTint="99"/>
              <w:left w:val="single" w:sz="4" w:space="0" w:color="89B2BD" w:themeColor="accent1" w:themeTint="99"/>
              <w:bottom w:val="nil"/>
              <w:right w:val="single" w:sz="12" w:space="0" w:color="89B2BD" w:themeColor="accent1" w:themeTint="99"/>
            </w:tcBorders>
            <w:vAlign w:val="center"/>
          </w:tcPr>
          <w:p w14:paraId="1158C016" w14:textId="023D0E9D" w:rsidR="006B4FFA" w:rsidRPr="00E8076E" w:rsidRDefault="006B4FFA" w:rsidP="00DF3392">
            <w:pPr>
              <w:pStyle w:val="TableColumnHeadingCentred"/>
              <w:jc w:val="right"/>
              <w:cnfStyle w:val="000000100000" w:firstRow="0" w:lastRow="0" w:firstColumn="0" w:lastColumn="0" w:oddVBand="0" w:evenVBand="0" w:oddHBand="1" w:evenHBand="0" w:firstRowFirstColumn="0" w:firstRowLastColumn="0" w:lastRowFirstColumn="0" w:lastRowLastColumn="0"/>
              <w:rPr>
                <w:color w:val="006170" w:themeColor="text2"/>
              </w:rPr>
            </w:pPr>
            <w:r w:rsidRPr="00E8076E">
              <w:rPr>
                <w:color w:val="006170" w:themeColor="text2"/>
              </w:rPr>
              <w:t>100</w:t>
            </w:r>
            <w:r w:rsidR="00F31CCB" w:rsidRPr="00E8076E">
              <w:rPr>
                <w:color w:val="006170" w:themeColor="text2"/>
              </w:rPr>
              <w:t>%</w:t>
            </w:r>
          </w:p>
        </w:tc>
        <w:tc>
          <w:tcPr>
            <w:tcW w:w="350" w:type="pct"/>
            <w:tcBorders>
              <w:top w:val="single" w:sz="4" w:space="0" w:color="89B2BD" w:themeColor="accent1" w:themeTint="99"/>
              <w:left w:val="single" w:sz="12" w:space="0" w:color="89B2BD" w:themeColor="accent1" w:themeTint="99"/>
              <w:bottom w:val="nil"/>
              <w:right w:val="single" w:sz="4" w:space="0" w:color="89B2BD" w:themeColor="accent1" w:themeTint="99"/>
            </w:tcBorders>
            <w:vAlign w:val="center"/>
          </w:tcPr>
          <w:p w14:paraId="14CDD02E" w14:textId="5C89E9C1" w:rsidR="006B4FFA" w:rsidRPr="00E8076E" w:rsidRDefault="00F31CCB" w:rsidP="00DF3392">
            <w:pPr>
              <w:pStyle w:val="TableColumnHeadingCentred"/>
              <w:jc w:val="right"/>
              <w:cnfStyle w:val="000000100000" w:firstRow="0" w:lastRow="0" w:firstColumn="0" w:lastColumn="0" w:oddVBand="0" w:evenVBand="0" w:oddHBand="1" w:evenHBand="0" w:firstRowFirstColumn="0" w:firstRowLastColumn="0" w:lastRowFirstColumn="0" w:lastRowLastColumn="0"/>
              <w:rPr>
                <w:color w:val="006170" w:themeColor="text2"/>
              </w:rPr>
            </w:pPr>
            <w:r w:rsidRPr="00E8076E">
              <w:rPr>
                <w:color w:val="006170" w:themeColor="text2"/>
              </w:rPr>
              <w:t xml:space="preserve">No. </w:t>
            </w:r>
            <w:r w:rsidR="006B4FFA" w:rsidRPr="00E8076E">
              <w:rPr>
                <w:color w:val="006170" w:themeColor="text2"/>
              </w:rPr>
              <w:t>131</w:t>
            </w:r>
          </w:p>
        </w:tc>
        <w:tc>
          <w:tcPr>
            <w:tcW w:w="345" w:type="pct"/>
            <w:tcBorders>
              <w:top w:val="single" w:sz="4" w:space="0" w:color="89B2BD" w:themeColor="accent1" w:themeTint="99"/>
              <w:left w:val="single" w:sz="4" w:space="0" w:color="89B2BD" w:themeColor="accent1" w:themeTint="99"/>
              <w:bottom w:val="nil"/>
              <w:right w:val="single" w:sz="4" w:space="0" w:color="89B2BD" w:themeColor="accent1" w:themeTint="99"/>
            </w:tcBorders>
            <w:vAlign w:val="center"/>
          </w:tcPr>
          <w:p w14:paraId="36B8336D" w14:textId="5C0D9325" w:rsidR="006B4FFA" w:rsidRPr="00E8076E" w:rsidRDefault="006B4FFA" w:rsidP="00DF3392">
            <w:pPr>
              <w:pStyle w:val="TableColumnHeadingCentred"/>
              <w:jc w:val="right"/>
              <w:cnfStyle w:val="000000100000" w:firstRow="0" w:lastRow="0" w:firstColumn="0" w:lastColumn="0" w:oddVBand="0" w:evenVBand="0" w:oddHBand="1" w:evenHBand="0" w:firstRowFirstColumn="0" w:firstRowLastColumn="0" w:lastRowFirstColumn="0" w:lastRowLastColumn="0"/>
              <w:rPr>
                <w:color w:val="006170" w:themeColor="text2"/>
              </w:rPr>
            </w:pPr>
            <w:r w:rsidRPr="00E8076E">
              <w:rPr>
                <w:color w:val="006170" w:themeColor="text2"/>
              </w:rPr>
              <w:t>100</w:t>
            </w:r>
            <w:r w:rsidR="00F31CCB" w:rsidRPr="00E8076E">
              <w:rPr>
                <w:color w:val="006170" w:themeColor="text2"/>
              </w:rPr>
              <w:t>%</w:t>
            </w:r>
          </w:p>
        </w:tc>
        <w:tc>
          <w:tcPr>
            <w:tcW w:w="315" w:type="pct"/>
            <w:tcBorders>
              <w:top w:val="single" w:sz="4" w:space="0" w:color="89B2BD" w:themeColor="accent1" w:themeTint="99"/>
              <w:left w:val="single" w:sz="4" w:space="0" w:color="89B2BD" w:themeColor="accent1" w:themeTint="99"/>
              <w:bottom w:val="nil"/>
              <w:right w:val="single" w:sz="4" w:space="0" w:color="89B2BD" w:themeColor="accent1" w:themeTint="99"/>
            </w:tcBorders>
            <w:vAlign w:val="center"/>
          </w:tcPr>
          <w:p w14:paraId="5399B7B6" w14:textId="045E1FE8" w:rsidR="006B4FFA" w:rsidRPr="00E8076E" w:rsidRDefault="00F31CCB" w:rsidP="00DF3392">
            <w:pPr>
              <w:pStyle w:val="TableColumnHeadingCentred"/>
              <w:jc w:val="right"/>
              <w:cnfStyle w:val="000000100000" w:firstRow="0" w:lastRow="0" w:firstColumn="0" w:lastColumn="0" w:oddVBand="0" w:evenVBand="0" w:oddHBand="1" w:evenHBand="0" w:firstRowFirstColumn="0" w:firstRowLastColumn="0" w:lastRowFirstColumn="0" w:lastRowLastColumn="0"/>
              <w:rPr>
                <w:color w:val="006170" w:themeColor="text2"/>
              </w:rPr>
            </w:pPr>
            <w:r w:rsidRPr="00E8076E">
              <w:rPr>
                <w:color w:val="006170" w:themeColor="text2"/>
              </w:rPr>
              <w:t xml:space="preserve">No. </w:t>
            </w:r>
            <w:r w:rsidR="006B4FFA" w:rsidRPr="00E8076E">
              <w:rPr>
                <w:color w:val="006170" w:themeColor="text2"/>
              </w:rPr>
              <w:t>126</w:t>
            </w:r>
          </w:p>
        </w:tc>
        <w:tc>
          <w:tcPr>
            <w:tcW w:w="375" w:type="pct"/>
            <w:tcBorders>
              <w:top w:val="single" w:sz="4" w:space="0" w:color="89B2BD" w:themeColor="accent1" w:themeTint="99"/>
              <w:left w:val="single" w:sz="4" w:space="0" w:color="89B2BD" w:themeColor="accent1" w:themeTint="99"/>
              <w:bottom w:val="nil"/>
              <w:right w:val="nil"/>
            </w:tcBorders>
            <w:vAlign w:val="center"/>
          </w:tcPr>
          <w:p w14:paraId="4B299629" w14:textId="29FAA807" w:rsidR="006B4FFA" w:rsidRPr="00E8076E" w:rsidRDefault="006B4FFA" w:rsidP="00DF3392">
            <w:pPr>
              <w:pStyle w:val="TableColumnHeadingCentred"/>
              <w:jc w:val="right"/>
              <w:cnfStyle w:val="000000100000" w:firstRow="0" w:lastRow="0" w:firstColumn="0" w:lastColumn="0" w:oddVBand="0" w:evenVBand="0" w:oddHBand="1" w:evenHBand="0" w:firstRowFirstColumn="0" w:firstRowLastColumn="0" w:lastRowFirstColumn="0" w:lastRowLastColumn="0"/>
              <w:rPr>
                <w:color w:val="006170" w:themeColor="text2"/>
              </w:rPr>
            </w:pPr>
            <w:r w:rsidRPr="00E8076E">
              <w:rPr>
                <w:color w:val="006170" w:themeColor="text2"/>
              </w:rPr>
              <w:t>100</w:t>
            </w:r>
            <w:r w:rsidR="00F31CCB" w:rsidRPr="00E8076E">
              <w:rPr>
                <w:color w:val="006170" w:themeColor="text2"/>
              </w:rPr>
              <w:t>%</w:t>
            </w:r>
          </w:p>
        </w:tc>
      </w:tr>
    </w:tbl>
    <w:p w14:paraId="261AE3FE" w14:textId="116393B2" w:rsidR="000B3A31" w:rsidRPr="00BE5272" w:rsidRDefault="000B3A31" w:rsidP="007867F6">
      <w:r w:rsidRPr="00BE5272">
        <w:t xml:space="preserve">Notes: </w:t>
      </w:r>
    </w:p>
    <w:p w14:paraId="7C461C0E" w14:textId="77777777" w:rsidR="00BE5272" w:rsidRDefault="001173DA" w:rsidP="00BE5272">
      <w:pPr>
        <w:pStyle w:val="ChartandTableFootnoteAlpha"/>
        <w:spacing w:after="120"/>
      </w:pPr>
      <w:r w:rsidRPr="00BE5272">
        <w:t>The IPA classifies member QRP outputs into compliant, minor non-compliance or major non-compliance.</w:t>
      </w:r>
      <w:r w:rsidR="00112911" w:rsidRPr="00BE5272">
        <w:t xml:space="preserve"> </w:t>
      </w:r>
      <w:r w:rsidRPr="00BE5272">
        <w:t>The non</w:t>
      </w:r>
      <w:r w:rsidR="00BE5272">
        <w:t> </w:t>
      </w:r>
      <w:r w:rsidRPr="00BE5272">
        <w:t xml:space="preserve">compliances reported in Tables 4.1 and 4.2 have been divided into these categories. The results are inputted into the IPA’s risk management framework and processes, with some members being reviewed more frequently. </w:t>
      </w:r>
    </w:p>
    <w:p w14:paraId="09E21F30" w14:textId="1CDD9912" w:rsidR="00BE5272" w:rsidRPr="00BE5272" w:rsidRDefault="001173DA" w:rsidP="00BE5272">
      <w:pPr>
        <w:pStyle w:val="ChartorTableNote"/>
        <w:ind w:left="284"/>
      </w:pPr>
      <w:r w:rsidRPr="00BE5272">
        <w:t>The QRP assesses compliance with the professional and ethical standards promulgated by APESB, including APES 320 and 325, as well as IPA’s Constitution and By-Laws, and the requirements of the Professional Standards Legislation.</w:t>
      </w:r>
      <w:r w:rsidR="00112911" w:rsidRPr="00BE5272">
        <w:t xml:space="preserve"> </w:t>
      </w:r>
    </w:p>
    <w:p w14:paraId="3A54947B" w14:textId="77777777" w:rsidR="00BE5272" w:rsidRPr="00BE5272" w:rsidRDefault="001173DA" w:rsidP="00BE5272">
      <w:pPr>
        <w:pStyle w:val="ChartandTableFootnoteAlpha"/>
        <w:numPr>
          <w:ilvl w:val="0"/>
          <w:numId w:val="0"/>
        </w:numPr>
        <w:spacing w:after="120"/>
        <w:ind w:left="284"/>
      </w:pPr>
      <w:r w:rsidRPr="00BE5272">
        <w:t xml:space="preserve">The QRP is conducted at an individual member level, compliant with </w:t>
      </w:r>
      <w:r w:rsidR="002A08AE" w:rsidRPr="00BE5272">
        <w:t xml:space="preserve">International </w:t>
      </w:r>
      <w:r w:rsidR="008B637F" w:rsidRPr="00BE5272">
        <w:t>Federation of Accountants (</w:t>
      </w:r>
      <w:r w:rsidRPr="00BE5272">
        <w:t>IFAC</w:t>
      </w:r>
      <w:r w:rsidR="008B637F" w:rsidRPr="00BE5272">
        <w:t>)</w:t>
      </w:r>
      <w:r w:rsidRPr="00BE5272">
        <w:t xml:space="preserve"> Statement of Membership Obligations (SMO) 1 </w:t>
      </w:r>
      <w:r w:rsidRPr="00BE5272">
        <w:rPr>
          <w:i/>
          <w:iCs/>
        </w:rPr>
        <w:t>Quality Assurance</w:t>
      </w:r>
      <w:r w:rsidRPr="00BE5272">
        <w:t>.</w:t>
      </w:r>
      <w:r w:rsidR="00112911" w:rsidRPr="00BE5272">
        <w:t xml:space="preserve"> </w:t>
      </w:r>
      <w:r w:rsidRPr="00BE5272">
        <w:t xml:space="preserve">Members of the same practice may be assessed simultaneously. Entity Members are assessed as an entity at a later stage. </w:t>
      </w:r>
    </w:p>
    <w:p w14:paraId="3C904694" w14:textId="77777777" w:rsidR="00BE5272" w:rsidRDefault="001173DA" w:rsidP="00BE5272">
      <w:pPr>
        <w:pStyle w:val="ChartandTableFootnoteAlpha"/>
        <w:numPr>
          <w:ilvl w:val="0"/>
          <w:numId w:val="0"/>
        </w:numPr>
        <w:spacing w:after="120"/>
        <w:ind w:left="284"/>
      </w:pPr>
      <w:r w:rsidRPr="00BE5272">
        <w:t xml:space="preserve">Table 4.1 reports the QRP results for practices with </w:t>
      </w:r>
      <w:r w:rsidR="006B3F66" w:rsidRPr="00BE5272">
        <w:t xml:space="preserve">2 </w:t>
      </w:r>
      <w:r w:rsidRPr="00BE5272">
        <w:t xml:space="preserve">or more partners and Table 4.2 reports the QRP results for single partner practices. </w:t>
      </w:r>
    </w:p>
    <w:p w14:paraId="7A357FFF" w14:textId="5E2495B6" w:rsidR="001173DA" w:rsidRPr="00BE5272" w:rsidRDefault="001173DA" w:rsidP="00BE5272">
      <w:pPr>
        <w:pStyle w:val="ChartandTableFootnoteAlpha"/>
        <w:numPr>
          <w:ilvl w:val="0"/>
          <w:numId w:val="0"/>
        </w:numPr>
        <w:ind w:left="284"/>
      </w:pPr>
      <w:r w:rsidRPr="00BE5272">
        <w:t>Corrective actions required are further divided into:</w:t>
      </w:r>
    </w:p>
    <w:p w14:paraId="717C6454" w14:textId="4A0E9185" w:rsidR="001173DA" w:rsidRPr="00BD6A9D" w:rsidRDefault="001173DA" w:rsidP="00BE5272">
      <w:pPr>
        <w:pStyle w:val="DoubleDot"/>
        <w:numPr>
          <w:ilvl w:val="2"/>
          <w:numId w:val="35"/>
        </w:numPr>
        <w:rPr>
          <w:rFonts w:asciiTheme="minorHAnsi" w:hAnsiTheme="minorHAnsi" w:cstheme="minorHAnsi"/>
          <w:sz w:val="18"/>
          <w:szCs w:val="18"/>
        </w:rPr>
      </w:pPr>
      <w:r w:rsidRPr="00BD6A9D">
        <w:rPr>
          <w:rFonts w:asciiTheme="minorHAnsi" w:hAnsiTheme="minorHAnsi" w:cstheme="minorHAnsi"/>
          <w:sz w:val="18"/>
          <w:szCs w:val="18"/>
          <w:lang w:val="en-GB"/>
        </w:rPr>
        <w:t xml:space="preserve">Minor – which relates to matters such as </w:t>
      </w:r>
      <w:r w:rsidRPr="00BD6A9D">
        <w:rPr>
          <w:rFonts w:asciiTheme="minorHAnsi" w:hAnsiTheme="minorHAnsi" w:cstheme="minorHAnsi"/>
          <w:sz w:val="18"/>
          <w:szCs w:val="18"/>
        </w:rPr>
        <w:t>scheme disclosed in correspondence and website, CPD shortfall that are less than 10 hours, PI insurance</w:t>
      </w:r>
      <w:r w:rsidR="00BC2614" w:rsidRPr="00BD6A9D">
        <w:rPr>
          <w:rFonts w:asciiTheme="minorHAnsi" w:hAnsiTheme="minorHAnsi" w:cstheme="minorHAnsi"/>
          <w:sz w:val="18"/>
          <w:szCs w:val="18"/>
        </w:rPr>
        <w:t>.</w:t>
      </w:r>
      <w:r w:rsidRPr="00BD6A9D">
        <w:rPr>
          <w:rFonts w:asciiTheme="minorHAnsi" w:hAnsiTheme="minorHAnsi" w:cstheme="minorHAnsi"/>
          <w:sz w:val="18"/>
          <w:szCs w:val="18"/>
          <w:lang w:val="en-GB"/>
        </w:rPr>
        <w:t xml:space="preserve"> </w:t>
      </w:r>
    </w:p>
    <w:p w14:paraId="70A93B32" w14:textId="3B880D36" w:rsidR="000B3A31" w:rsidRPr="00BD6A9D" w:rsidRDefault="001173DA" w:rsidP="00BE5272">
      <w:pPr>
        <w:pStyle w:val="DoubleDot"/>
        <w:numPr>
          <w:ilvl w:val="2"/>
          <w:numId w:val="37"/>
        </w:numPr>
        <w:rPr>
          <w:rFonts w:asciiTheme="minorHAnsi" w:hAnsiTheme="minorHAnsi" w:cstheme="minorHAnsi"/>
          <w:sz w:val="18"/>
          <w:szCs w:val="18"/>
        </w:rPr>
      </w:pPr>
      <w:r w:rsidRPr="00BD6A9D">
        <w:rPr>
          <w:rFonts w:asciiTheme="minorHAnsi" w:hAnsiTheme="minorHAnsi" w:cstheme="minorHAnsi"/>
          <w:sz w:val="18"/>
          <w:szCs w:val="18"/>
          <w:lang w:val="en-GB"/>
        </w:rPr>
        <w:t xml:space="preserve">Major – which relates to matters such as </w:t>
      </w:r>
      <w:r w:rsidRPr="00BD6A9D">
        <w:rPr>
          <w:rFonts w:asciiTheme="minorHAnsi" w:hAnsiTheme="minorHAnsi" w:cstheme="minorHAnsi"/>
          <w:sz w:val="18"/>
          <w:szCs w:val="18"/>
        </w:rPr>
        <w:t>CPD shortfall of more than 10 hours, APES 230, APES 320, APES 325 and the ASQM 1 Manual.</w:t>
      </w:r>
    </w:p>
    <w:p w14:paraId="05D8BB51" w14:textId="144001B0" w:rsidR="00DA70DD" w:rsidRPr="00995477" w:rsidRDefault="00DA70DD" w:rsidP="00BE5272">
      <w:pPr>
        <w:pStyle w:val="ChartandTableFootnoteAlpha"/>
      </w:pPr>
      <w:r w:rsidRPr="00995477">
        <w:t xml:space="preserve">CA ANZ’s review program assesses whether a firm has implemented an appropriate system of quality control as set out in APES 320 </w:t>
      </w:r>
      <w:r w:rsidRPr="00995477">
        <w:rPr>
          <w:i/>
          <w:iCs/>
        </w:rPr>
        <w:t>Quality Management for Firms that provide Non-Assurance Services</w:t>
      </w:r>
      <w:r>
        <w:t>;</w:t>
      </w:r>
      <w:r w:rsidRPr="00995477">
        <w:t xml:space="preserve"> and ASQM 1 </w:t>
      </w:r>
      <w:r w:rsidRPr="00995477">
        <w:rPr>
          <w:i/>
          <w:iCs/>
        </w:rPr>
        <w:t xml:space="preserve">Quality Management for Firms that Perform Audits or Reviews of Financial Reports and Other Financial Information, or Other Assurance or Related Services Engagements </w:t>
      </w:r>
      <w:r w:rsidRPr="00995477">
        <w:t>and antecedent standards.</w:t>
      </w:r>
    </w:p>
    <w:p w14:paraId="7F6DC08C" w14:textId="41BA51A3" w:rsidR="00940AE1" w:rsidRDefault="00940AE1" w:rsidP="00BE5272">
      <w:pPr>
        <w:pStyle w:val="ChartandTableFootnoteAlpha"/>
        <w:rPr>
          <w:lang w:val="en-GB"/>
        </w:rPr>
      </w:pPr>
      <w:r w:rsidRPr="00765F98">
        <w:rPr>
          <w:lang w:val="en-GB"/>
        </w:rPr>
        <w:t xml:space="preserve">The CPA Australia Best Practice Program </w:t>
      </w:r>
      <w:r>
        <w:rPr>
          <w:lang w:val="en-GB"/>
        </w:rPr>
        <w:t>during 2024</w:t>
      </w:r>
      <w:r w:rsidR="00421274">
        <w:rPr>
          <w:lang w:val="en-GB"/>
        </w:rPr>
        <w:t>–</w:t>
      </w:r>
      <w:r>
        <w:rPr>
          <w:lang w:val="en-GB"/>
        </w:rPr>
        <w:t xml:space="preserve">25 did not </w:t>
      </w:r>
      <w:r w:rsidRPr="00765F98">
        <w:rPr>
          <w:lang w:val="en-GB"/>
        </w:rPr>
        <w:t>lead to an outcome that results in a re</w:t>
      </w:r>
      <w:r w:rsidR="00BD6A9D">
        <w:rPr>
          <w:lang w:val="en-GB"/>
        </w:rPr>
        <w:t> </w:t>
      </w:r>
      <w:r w:rsidRPr="00765F98">
        <w:rPr>
          <w:lang w:val="en-GB"/>
        </w:rPr>
        <w:t>review/</w:t>
      </w:r>
      <w:r w:rsidR="00BD6A9D">
        <w:rPr>
          <w:lang w:val="en-GB"/>
        </w:rPr>
        <w:t xml:space="preserve"> </w:t>
      </w:r>
      <w:proofErr w:type="spellStart"/>
      <w:proofErr w:type="gramStart"/>
      <w:r w:rsidRPr="00765F98">
        <w:rPr>
          <w:lang w:val="en-GB"/>
        </w:rPr>
        <w:t>non</w:t>
      </w:r>
      <w:r w:rsidR="00BD6A9D">
        <w:rPr>
          <w:lang w:val="en-GB"/>
        </w:rPr>
        <w:t> </w:t>
      </w:r>
      <w:r w:rsidRPr="00765F98">
        <w:rPr>
          <w:lang w:val="en-GB"/>
        </w:rPr>
        <w:t>compliance</w:t>
      </w:r>
      <w:proofErr w:type="spellEnd"/>
      <w:proofErr w:type="gramEnd"/>
      <w:r w:rsidRPr="00765F98">
        <w:rPr>
          <w:lang w:val="en-GB"/>
        </w:rPr>
        <w:t>. The numbers disclosed in this category represent members with high</w:t>
      </w:r>
      <w:r>
        <w:rPr>
          <w:lang w:val="en-GB"/>
        </w:rPr>
        <w:t>-</w:t>
      </w:r>
      <w:r w:rsidRPr="00765F98">
        <w:rPr>
          <w:lang w:val="en-GB"/>
        </w:rPr>
        <w:t>priority audit findings. Assessments classified as satisfactory/fully compliant refer to members for whom the findings have resulted in moderate</w:t>
      </w:r>
      <w:r>
        <w:rPr>
          <w:lang w:val="en-GB"/>
        </w:rPr>
        <w:t>-</w:t>
      </w:r>
      <w:r w:rsidRPr="00765F98">
        <w:rPr>
          <w:lang w:val="en-GB"/>
        </w:rPr>
        <w:t xml:space="preserve"> or low</w:t>
      </w:r>
      <w:r>
        <w:rPr>
          <w:lang w:val="en-GB"/>
        </w:rPr>
        <w:t>-</w:t>
      </w:r>
      <w:r w:rsidRPr="00765F98">
        <w:rPr>
          <w:lang w:val="en-GB"/>
        </w:rPr>
        <w:t xml:space="preserve">rated recommendations for improvement. </w:t>
      </w:r>
    </w:p>
    <w:p w14:paraId="41E81871" w14:textId="1B89AA8B" w:rsidR="00DA70DD" w:rsidRPr="00F03B76" w:rsidRDefault="00DA70DD" w:rsidP="00BE5272">
      <w:pPr>
        <w:pStyle w:val="ChartandTableFootnoteAlpha"/>
      </w:pPr>
      <w:r>
        <w:t>CA ANZ’s</w:t>
      </w:r>
      <w:r w:rsidRPr="00F03B76">
        <w:t xml:space="preserve"> review of these </w:t>
      </w:r>
      <w:r>
        <w:t>147</w:t>
      </w:r>
      <w:r w:rsidRPr="00F03B76">
        <w:t xml:space="preserve"> practices included the work of </w:t>
      </w:r>
      <w:r>
        <w:t>204 i</w:t>
      </w:r>
      <w:r w:rsidRPr="00F03B76">
        <w:t xml:space="preserve">ndividual members </w:t>
      </w:r>
      <w:r>
        <w:t xml:space="preserve">who complete audit engagements </w:t>
      </w:r>
      <w:r w:rsidRPr="00F03B76">
        <w:t xml:space="preserve">and </w:t>
      </w:r>
      <w:r>
        <w:t>264</w:t>
      </w:r>
      <w:r w:rsidRPr="00F03B76">
        <w:t xml:space="preserve"> audit files. </w:t>
      </w:r>
      <w:r w:rsidRPr="007455D5">
        <w:rPr>
          <w:rFonts w:eastAsia="Source Sans Pro Light"/>
          <w:color w:val="000000" w:themeColor="text1"/>
        </w:rPr>
        <w:t>Whil</w:t>
      </w:r>
      <w:r w:rsidR="00BC2614" w:rsidRPr="007455D5">
        <w:rPr>
          <w:rFonts w:eastAsia="Source Sans Pro Light"/>
          <w:color w:val="000000" w:themeColor="text1"/>
        </w:rPr>
        <w:t>e</w:t>
      </w:r>
      <w:r w:rsidRPr="007455D5">
        <w:rPr>
          <w:rFonts w:eastAsia="Source Sans Pro Light"/>
          <w:color w:val="000000" w:themeColor="text1"/>
        </w:rPr>
        <w:t xml:space="preserve"> the number of audit practices reviewed is less than 2024, the total number of reviews for all types of practices completed, 381 is consistent with 2024.</w:t>
      </w:r>
    </w:p>
    <w:p w14:paraId="7E4FB291" w14:textId="0C2CD9B3" w:rsidR="009318A2" w:rsidRDefault="00355CFF" w:rsidP="00BE5272">
      <w:pPr>
        <w:pStyle w:val="ChartandTableFootnoteAlpha"/>
      </w:pPr>
      <w:r>
        <w:t xml:space="preserve">Results may differ </w:t>
      </w:r>
      <w:r w:rsidR="00073AEB">
        <w:t>because</w:t>
      </w:r>
      <w:r>
        <w:t xml:space="preserve"> </w:t>
      </w:r>
      <w:r w:rsidR="0035269B">
        <w:t xml:space="preserve">the professional accounting bodies use different ways to categorise </w:t>
      </w:r>
      <w:r w:rsidR="00130AE0">
        <w:t xml:space="preserve">the statuses of </w:t>
      </w:r>
      <w:r w:rsidR="00BC2614">
        <w:t>‘</w:t>
      </w:r>
      <w:r w:rsidR="00130AE0">
        <w:t>satisfactory</w:t>
      </w:r>
      <w:r w:rsidR="00BC2614">
        <w:t>’</w:t>
      </w:r>
      <w:r w:rsidR="00130AE0">
        <w:t xml:space="preserve"> or </w:t>
      </w:r>
      <w:r w:rsidR="00BC2614">
        <w:t>‘</w:t>
      </w:r>
      <w:r w:rsidR="00130AE0">
        <w:t>requires review</w:t>
      </w:r>
      <w:r w:rsidR="00BC2614">
        <w:t>’</w:t>
      </w:r>
      <w:r w:rsidR="004E7C9C">
        <w:t>. As such</w:t>
      </w:r>
      <w:r w:rsidR="005C407F">
        <w:t>,</w:t>
      </w:r>
      <w:r w:rsidR="00700385">
        <w:t xml:space="preserve"> this would affect</w:t>
      </w:r>
      <w:r w:rsidR="005C407F">
        <w:t xml:space="preserve"> direct </w:t>
      </w:r>
      <w:r w:rsidR="00601B77">
        <w:t>comparability</w:t>
      </w:r>
      <w:r w:rsidR="005C407F">
        <w:t xml:space="preserve"> between the bodies’ results</w:t>
      </w:r>
      <w:r w:rsidR="009318A2">
        <w:t>.</w:t>
      </w:r>
    </w:p>
    <w:p w14:paraId="4011818F" w14:textId="6EAD6A80" w:rsidR="006315FB" w:rsidRPr="00BE5272" w:rsidRDefault="009318A2" w:rsidP="00BE5272">
      <w:pPr>
        <w:pStyle w:val="ChartandTableFootnoteAlpha"/>
      </w:pPr>
      <w:r w:rsidRPr="009318A2">
        <w:t>CPA Australia does not discipline firms, it disciplines members</w:t>
      </w:r>
      <w:r w:rsidR="00BC2614">
        <w:t>. T</w:t>
      </w:r>
      <w:r w:rsidRPr="009318A2">
        <w:t>herefore</w:t>
      </w:r>
      <w:r w:rsidR="00BC2614">
        <w:t>,</w:t>
      </w:r>
      <w:r w:rsidRPr="009318A2">
        <w:t xml:space="preserve"> the results this year are zero and not reflective of last year’s data</w:t>
      </w:r>
      <w:r w:rsidR="00BC2614">
        <w:t>,</w:t>
      </w:r>
      <w:r w:rsidRPr="009318A2">
        <w:t xml:space="preserve"> which included firms being referred to the Professional Conduct Unit for non-engagement, rather than firms that were subject to disciplinary actions. These numbers are no longer included in this</w:t>
      </w:r>
      <w:r w:rsidR="00BC2614">
        <w:t xml:space="preserve"> annual</w:t>
      </w:r>
      <w:r w:rsidRPr="009318A2">
        <w:t xml:space="preserve"> report.</w:t>
      </w:r>
    </w:p>
    <w:p w14:paraId="762481EF" w14:textId="77777777" w:rsidR="00BE5272" w:rsidRDefault="00BE5272" w:rsidP="00BE5272">
      <w:pPr>
        <w:pStyle w:val="TableMainHeading"/>
      </w:pPr>
      <w:r>
        <w:br w:type="page"/>
      </w:r>
    </w:p>
    <w:p w14:paraId="0DF3D26E" w14:textId="61BD6EC9" w:rsidR="003C67A5" w:rsidRPr="00AE453E" w:rsidRDefault="003C67A5" w:rsidP="00BE5272">
      <w:pPr>
        <w:pStyle w:val="TableMainHeading"/>
      </w:pPr>
      <w:r w:rsidRPr="00AE453E">
        <w:t xml:space="preserve">Table </w:t>
      </w:r>
      <w:r w:rsidR="00B30DF8" w:rsidRPr="00AE453E">
        <w:t>4</w:t>
      </w:r>
      <w:r w:rsidRPr="00AE453E">
        <w:t>.</w:t>
      </w:r>
      <w:r w:rsidR="004E57FA" w:rsidRPr="00AE453E">
        <w:t>2</w:t>
      </w:r>
      <w:r w:rsidRPr="00AE453E">
        <w:t xml:space="preserve">: Outcomes of review programs – </w:t>
      </w:r>
      <w:r w:rsidR="004B1948" w:rsidRPr="00AE453E">
        <w:t>q</w:t>
      </w:r>
      <w:r w:rsidRPr="00AE453E">
        <w:t>uality assurance reviews of individual</w:t>
      </w:r>
      <w:r w:rsidR="00E8076E">
        <w:t> </w:t>
      </w:r>
      <w:proofErr w:type="spellStart"/>
      <w:r w:rsidRPr="00AE453E">
        <w:t>members</w:t>
      </w:r>
      <w:r w:rsidR="00E8076E" w:rsidRPr="00E8076E">
        <w:rPr>
          <w:rFonts w:cs="Calibri"/>
          <w:vertAlign w:val="superscript"/>
        </w:rPr>
        <w:t>a</w:t>
      </w:r>
      <w:proofErr w:type="spellEnd"/>
    </w:p>
    <w:tbl>
      <w:tblPr>
        <w:tblStyle w:val="GridTable3-Accent1"/>
        <w:tblpPr w:leftFromText="180" w:rightFromText="180" w:vertAnchor="text" w:tblpX="10" w:tblpY="1"/>
        <w:tblOverlap w:val="never"/>
        <w:tblW w:w="5000" w:type="pct"/>
        <w:tblInd w:w="0" w:type="dxa"/>
        <w:tblCellMar>
          <w:left w:w="85" w:type="dxa"/>
          <w:right w:w="85" w:type="dxa"/>
        </w:tblCellMar>
        <w:tblLook w:val="04A0" w:firstRow="1" w:lastRow="0" w:firstColumn="1" w:lastColumn="0" w:noHBand="0" w:noVBand="1"/>
      </w:tblPr>
      <w:tblGrid>
        <w:gridCol w:w="2847"/>
        <w:gridCol w:w="1556"/>
        <w:gridCol w:w="1556"/>
        <w:gridCol w:w="1556"/>
        <w:gridCol w:w="1555"/>
      </w:tblGrid>
      <w:tr w:rsidR="003963B2" w:rsidRPr="00995477" w14:paraId="0EEDB1B4" w14:textId="77777777" w:rsidTr="00DF3392">
        <w:trPr>
          <w:cnfStyle w:val="100000000000" w:firstRow="1" w:lastRow="0" w:firstColumn="0" w:lastColumn="0" w:oddVBand="0" w:evenVBand="0" w:oddHBand="0" w:evenHBand="0" w:firstRowFirstColumn="0" w:firstRowLastColumn="0" w:lastRowFirstColumn="0" w:lastRowLastColumn="0"/>
          <w:trHeight w:val="369"/>
        </w:trPr>
        <w:tc>
          <w:tcPr>
            <w:cnfStyle w:val="001000000100" w:firstRow="0" w:lastRow="0" w:firstColumn="1" w:lastColumn="0" w:oddVBand="0" w:evenVBand="0" w:oddHBand="0" w:evenHBand="0" w:firstRowFirstColumn="1" w:firstRowLastColumn="0" w:lastRowFirstColumn="0" w:lastRowLastColumn="0"/>
            <w:tcW w:w="1569" w:type="pct"/>
            <w:tcBorders>
              <w:right w:val="single" w:sz="18" w:space="0" w:color="89B2BD"/>
            </w:tcBorders>
            <w:shd w:val="clear" w:color="auto" w:fill="006170" w:themeFill="text2"/>
            <w:vAlign w:val="center"/>
          </w:tcPr>
          <w:p w14:paraId="0B5C000F" w14:textId="77777777" w:rsidR="00E8076E" w:rsidRPr="00E8076E" w:rsidRDefault="00E8076E" w:rsidP="00DF3392">
            <w:pPr>
              <w:pStyle w:val="OutlineNumbered1"/>
              <w:keepNext/>
              <w:numPr>
                <w:ilvl w:val="0"/>
                <w:numId w:val="0"/>
              </w:numPr>
              <w:tabs>
                <w:tab w:val="left" w:pos="720"/>
              </w:tabs>
              <w:spacing w:after="0"/>
              <w:jc w:val="center"/>
              <w:rPr>
                <w:color w:val="FFFFFF" w:themeColor="background1"/>
              </w:rPr>
            </w:pPr>
          </w:p>
        </w:tc>
        <w:tc>
          <w:tcPr>
            <w:tcW w:w="1716" w:type="pct"/>
            <w:gridSpan w:val="2"/>
            <w:tcBorders>
              <w:left w:val="single" w:sz="18" w:space="0" w:color="89B2BD"/>
              <w:bottom w:val="single" w:sz="4" w:space="0" w:color="89B2BD" w:themeColor="accent1" w:themeTint="99"/>
              <w:right w:val="single" w:sz="18" w:space="0" w:color="89B2BD"/>
            </w:tcBorders>
            <w:shd w:val="clear" w:color="auto" w:fill="006170" w:themeFill="text2"/>
            <w:vAlign w:val="center"/>
          </w:tcPr>
          <w:p w14:paraId="637AE822" w14:textId="00F415E1" w:rsidR="00E8076E" w:rsidRPr="00DF3392" w:rsidRDefault="00E8076E" w:rsidP="00DF3392">
            <w:pPr>
              <w:pStyle w:val="TableColumnHeadingCentred"/>
              <w:cnfStyle w:val="100000000000" w:firstRow="1" w:lastRow="0" w:firstColumn="0" w:lastColumn="0" w:oddVBand="0" w:evenVBand="0" w:oddHBand="0" w:evenHBand="0" w:firstRowFirstColumn="0" w:firstRowLastColumn="0" w:lastRowFirstColumn="0" w:lastRowLastColumn="0"/>
              <w:rPr>
                <w:b/>
                <w:bCs w:val="0"/>
                <w:color w:val="FFFFFF" w:themeColor="background1"/>
              </w:rPr>
            </w:pPr>
            <w:proofErr w:type="spellStart"/>
            <w:r w:rsidRPr="00DF3392">
              <w:rPr>
                <w:b/>
                <w:bCs w:val="0"/>
                <w:color w:val="FFFFFF" w:themeColor="background1"/>
              </w:rPr>
              <w:t>IPA</w:t>
            </w:r>
            <w:r w:rsidRPr="00DF3392">
              <w:rPr>
                <w:b/>
                <w:bCs w:val="0"/>
                <w:color w:val="FFFFFF" w:themeColor="background1"/>
                <w:vertAlign w:val="superscript"/>
              </w:rPr>
              <w:t>b</w:t>
            </w:r>
            <w:proofErr w:type="spellEnd"/>
          </w:p>
        </w:tc>
        <w:tc>
          <w:tcPr>
            <w:tcW w:w="1715" w:type="pct"/>
            <w:gridSpan w:val="2"/>
            <w:tcBorders>
              <w:left w:val="single" w:sz="18" w:space="0" w:color="89B2BD"/>
              <w:bottom w:val="single" w:sz="4" w:space="0" w:color="89B2BD" w:themeColor="accent1" w:themeTint="99"/>
            </w:tcBorders>
            <w:shd w:val="clear" w:color="auto" w:fill="006170" w:themeFill="text2"/>
            <w:vAlign w:val="center"/>
          </w:tcPr>
          <w:p w14:paraId="7D285264" w14:textId="59AA3528" w:rsidR="00E8076E" w:rsidRPr="00DF3392" w:rsidRDefault="00E8076E" w:rsidP="00DF3392">
            <w:pPr>
              <w:pStyle w:val="TableColumnHeadingCentre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DF3392">
              <w:rPr>
                <w:b/>
                <w:bCs w:val="0"/>
                <w:color w:val="FFFFFF" w:themeColor="background1"/>
              </w:rPr>
              <w:t xml:space="preserve">CPA </w:t>
            </w:r>
            <w:proofErr w:type="spellStart"/>
            <w:r w:rsidRPr="00DF3392">
              <w:rPr>
                <w:b/>
                <w:bCs w:val="0"/>
                <w:color w:val="FFFFFF" w:themeColor="background1"/>
              </w:rPr>
              <w:t>Australia</w:t>
            </w:r>
            <w:r w:rsidRPr="00DF3392">
              <w:rPr>
                <w:b/>
                <w:bCs w:val="0"/>
                <w:color w:val="FFFFFF" w:themeColor="background1"/>
                <w:vertAlign w:val="superscript"/>
              </w:rPr>
              <w:t>c</w:t>
            </w:r>
            <w:proofErr w:type="spellEnd"/>
          </w:p>
        </w:tc>
      </w:tr>
      <w:tr w:rsidR="003963B2" w:rsidRPr="00995477" w14:paraId="76DF837E" w14:textId="77777777" w:rsidTr="00DF3392">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569" w:type="pct"/>
            <w:tcBorders>
              <w:top w:val="single" w:sz="4" w:space="0" w:color="89B2BD" w:themeColor="accent1" w:themeTint="99"/>
              <w:bottom w:val="single" w:sz="4" w:space="0" w:color="89B2BD" w:themeColor="accent1" w:themeTint="99"/>
              <w:right w:val="single" w:sz="18" w:space="0" w:color="89B2BD"/>
            </w:tcBorders>
            <w:shd w:val="clear" w:color="auto" w:fill="D7E5E9" w:themeFill="accent1" w:themeFillTint="33"/>
            <w:vAlign w:val="center"/>
          </w:tcPr>
          <w:p w14:paraId="4FC7051B" w14:textId="77777777" w:rsidR="00E8076E" w:rsidRPr="00E8076E" w:rsidRDefault="00E8076E" w:rsidP="00DF3392">
            <w:pPr>
              <w:pStyle w:val="OutlineNumbered1"/>
              <w:keepNext/>
              <w:numPr>
                <w:ilvl w:val="0"/>
                <w:numId w:val="0"/>
              </w:numPr>
              <w:tabs>
                <w:tab w:val="left" w:pos="720"/>
              </w:tabs>
              <w:spacing w:after="0"/>
              <w:jc w:val="center"/>
              <w:rPr>
                <w:color w:val="006170" w:themeColor="text2"/>
              </w:rPr>
            </w:pPr>
          </w:p>
        </w:tc>
        <w:tc>
          <w:tcPr>
            <w:tcW w:w="858" w:type="pct"/>
            <w:tcBorders>
              <w:top w:val="single" w:sz="4" w:space="0" w:color="89B2BD" w:themeColor="accent1" w:themeTint="99"/>
              <w:left w:val="single" w:sz="18" w:space="0" w:color="89B2BD"/>
              <w:bottom w:val="single" w:sz="4" w:space="0" w:color="89B2BD" w:themeColor="accent1" w:themeTint="99"/>
              <w:right w:val="single" w:sz="12" w:space="0" w:color="89B2BD" w:themeColor="accent1" w:themeTint="99"/>
            </w:tcBorders>
            <w:vAlign w:val="center"/>
          </w:tcPr>
          <w:p w14:paraId="211BB7EC" w14:textId="4C844D1A" w:rsidR="00E8076E" w:rsidRPr="00DF3392" w:rsidRDefault="00E8076E" w:rsidP="00DF3392">
            <w:pPr>
              <w:pStyle w:val="TableColumnHeadingCentred"/>
              <w:cnfStyle w:val="000000100000" w:firstRow="0" w:lastRow="0" w:firstColumn="0" w:lastColumn="0" w:oddVBand="0" w:evenVBand="0" w:oddHBand="1" w:evenHBand="0" w:firstRowFirstColumn="0" w:firstRowLastColumn="0" w:lastRowFirstColumn="0" w:lastRowLastColumn="0"/>
              <w:rPr>
                <w:color w:val="006170" w:themeColor="text2"/>
              </w:rPr>
            </w:pPr>
            <w:r w:rsidRPr="00DF3392">
              <w:rPr>
                <w:color w:val="006170" w:themeColor="text2"/>
              </w:rPr>
              <w:t>2023</w:t>
            </w:r>
            <w:r w:rsidRPr="00DF3392">
              <w:rPr>
                <w:color w:val="006170" w:themeColor="text2"/>
                <w:szCs w:val="14"/>
              </w:rPr>
              <w:t>–</w:t>
            </w:r>
            <w:r w:rsidRPr="00DF3392">
              <w:rPr>
                <w:color w:val="006170" w:themeColor="text2"/>
              </w:rPr>
              <w:t>24</w:t>
            </w:r>
          </w:p>
        </w:tc>
        <w:tc>
          <w:tcPr>
            <w:tcW w:w="858" w:type="pct"/>
            <w:tcBorders>
              <w:top w:val="single" w:sz="4" w:space="0" w:color="89B2BD" w:themeColor="accent1" w:themeTint="99"/>
              <w:left w:val="single" w:sz="12" w:space="0" w:color="89B2BD" w:themeColor="accent1" w:themeTint="99"/>
              <w:bottom w:val="single" w:sz="4" w:space="0" w:color="89B2BD" w:themeColor="accent1" w:themeTint="99"/>
              <w:right w:val="single" w:sz="18" w:space="0" w:color="89B2BD"/>
            </w:tcBorders>
            <w:vAlign w:val="center"/>
          </w:tcPr>
          <w:p w14:paraId="3F6BADC7" w14:textId="20D7C473" w:rsidR="00E8076E" w:rsidRPr="00E8076E" w:rsidRDefault="00E8076E" w:rsidP="00DF3392">
            <w:pPr>
              <w:pStyle w:val="TableColumnHeadingCentred"/>
              <w:cnfStyle w:val="000000100000" w:firstRow="0" w:lastRow="0" w:firstColumn="0" w:lastColumn="0" w:oddVBand="0" w:evenVBand="0" w:oddHBand="1" w:evenHBand="0" w:firstRowFirstColumn="0" w:firstRowLastColumn="0" w:lastRowFirstColumn="0" w:lastRowLastColumn="0"/>
              <w:rPr>
                <w:b w:val="0"/>
                <w:bCs/>
                <w:color w:val="006170" w:themeColor="text2"/>
              </w:rPr>
            </w:pPr>
            <w:r w:rsidRPr="00DF3392">
              <w:rPr>
                <w:color w:val="006170" w:themeColor="text2"/>
              </w:rPr>
              <w:t>2024–25</w:t>
            </w:r>
          </w:p>
        </w:tc>
        <w:tc>
          <w:tcPr>
            <w:tcW w:w="858" w:type="pct"/>
            <w:tcBorders>
              <w:top w:val="single" w:sz="4" w:space="0" w:color="89B2BD" w:themeColor="accent1" w:themeTint="99"/>
              <w:left w:val="single" w:sz="18" w:space="0" w:color="89B2BD"/>
              <w:bottom w:val="single" w:sz="4" w:space="0" w:color="89B2BD" w:themeColor="accent1" w:themeTint="99"/>
              <w:right w:val="single" w:sz="12" w:space="0" w:color="89B2BD"/>
            </w:tcBorders>
            <w:vAlign w:val="center"/>
          </w:tcPr>
          <w:p w14:paraId="20F68B5A" w14:textId="1098297A" w:rsidR="00E8076E" w:rsidRPr="00E8076E" w:rsidRDefault="00E8076E" w:rsidP="00DF3392">
            <w:pPr>
              <w:pStyle w:val="TableColumnHeadingCentred"/>
              <w:cnfStyle w:val="000000100000" w:firstRow="0" w:lastRow="0" w:firstColumn="0" w:lastColumn="0" w:oddVBand="0" w:evenVBand="0" w:oddHBand="1" w:evenHBand="0" w:firstRowFirstColumn="0" w:firstRowLastColumn="0" w:lastRowFirstColumn="0" w:lastRowLastColumn="0"/>
              <w:rPr>
                <w:b w:val="0"/>
                <w:bCs/>
                <w:color w:val="006170" w:themeColor="text2"/>
              </w:rPr>
            </w:pPr>
            <w:r w:rsidRPr="00DF3392">
              <w:rPr>
                <w:color w:val="006170" w:themeColor="text2"/>
              </w:rPr>
              <w:t>2023–24</w:t>
            </w:r>
          </w:p>
        </w:tc>
        <w:tc>
          <w:tcPr>
            <w:tcW w:w="857" w:type="pct"/>
            <w:tcBorders>
              <w:top w:val="single" w:sz="4" w:space="0" w:color="89B2BD" w:themeColor="accent1" w:themeTint="99"/>
              <w:left w:val="single" w:sz="12" w:space="0" w:color="89B2BD"/>
              <w:bottom w:val="single" w:sz="4" w:space="0" w:color="89B2BD" w:themeColor="accent1" w:themeTint="99"/>
              <w:right w:val="nil"/>
            </w:tcBorders>
            <w:vAlign w:val="center"/>
          </w:tcPr>
          <w:p w14:paraId="2D4CD04A" w14:textId="387BDB8D" w:rsidR="00E8076E" w:rsidRPr="00E8076E" w:rsidRDefault="00E8076E" w:rsidP="00DF3392">
            <w:pPr>
              <w:pStyle w:val="TableColumnHeadingCentred"/>
              <w:cnfStyle w:val="000000100000" w:firstRow="0" w:lastRow="0" w:firstColumn="0" w:lastColumn="0" w:oddVBand="0" w:evenVBand="0" w:oddHBand="1" w:evenHBand="0" w:firstRowFirstColumn="0" w:firstRowLastColumn="0" w:lastRowFirstColumn="0" w:lastRowLastColumn="0"/>
              <w:rPr>
                <w:b w:val="0"/>
                <w:bCs/>
                <w:color w:val="006170" w:themeColor="text2"/>
              </w:rPr>
            </w:pPr>
            <w:r w:rsidRPr="00DF3392">
              <w:rPr>
                <w:color w:val="006170" w:themeColor="text2"/>
              </w:rPr>
              <w:t>2024–25</w:t>
            </w:r>
          </w:p>
        </w:tc>
      </w:tr>
      <w:tr w:rsidR="003963B2" w:rsidRPr="00995477" w14:paraId="304F7DF3" w14:textId="77777777" w:rsidTr="00DF3392">
        <w:trPr>
          <w:trHeight w:val="488"/>
        </w:trPr>
        <w:tc>
          <w:tcPr>
            <w:cnfStyle w:val="001000000000" w:firstRow="0" w:lastRow="0" w:firstColumn="1" w:lastColumn="0" w:oddVBand="0" w:evenVBand="0" w:oddHBand="0" w:evenHBand="0" w:firstRowFirstColumn="0" w:firstRowLastColumn="0" w:lastRowFirstColumn="0" w:lastRowLastColumn="0"/>
            <w:tcW w:w="1569" w:type="pct"/>
            <w:tcBorders>
              <w:top w:val="single" w:sz="4" w:space="0" w:color="89B2BD" w:themeColor="accent1" w:themeTint="99"/>
              <w:bottom w:val="single" w:sz="4" w:space="0" w:color="89B2BD" w:themeColor="accent1" w:themeTint="99"/>
              <w:right w:val="single" w:sz="18" w:space="0" w:color="89B2BD"/>
            </w:tcBorders>
            <w:vAlign w:val="center"/>
            <w:hideMark/>
          </w:tcPr>
          <w:p w14:paraId="38C9EC03" w14:textId="07328FC6" w:rsidR="00E8076E" w:rsidRPr="00995477" w:rsidRDefault="00E8076E" w:rsidP="00DF3392">
            <w:pPr>
              <w:pStyle w:val="TableTextLeft"/>
            </w:pPr>
            <w:r w:rsidRPr="00995477">
              <w:t>Satisfactory</w:t>
            </w:r>
            <w:r>
              <w:t xml:space="preserve"> </w:t>
            </w:r>
            <w:r w:rsidRPr="00995477">
              <w:t>/</w:t>
            </w:r>
            <w:r>
              <w:t xml:space="preserve"> </w:t>
            </w:r>
            <w:r w:rsidRPr="00995477">
              <w:t xml:space="preserve">fully compliant </w:t>
            </w:r>
          </w:p>
        </w:tc>
        <w:tc>
          <w:tcPr>
            <w:tcW w:w="858" w:type="pct"/>
            <w:tcBorders>
              <w:left w:val="single" w:sz="18" w:space="0" w:color="89B2BD"/>
              <w:right w:val="single" w:sz="12" w:space="0" w:color="89B2BD" w:themeColor="accent1" w:themeTint="99"/>
            </w:tcBorders>
            <w:shd w:val="clear" w:color="auto" w:fill="FFFFFF" w:themeFill="background1"/>
            <w:vAlign w:val="center"/>
          </w:tcPr>
          <w:p w14:paraId="35700A5B" w14:textId="1EF1C8CF" w:rsidR="00E8076E" w:rsidRPr="00995477" w:rsidRDefault="00E8076E" w:rsidP="00DF3392">
            <w:pPr>
              <w:pStyle w:val="TableTextRight"/>
              <w:cnfStyle w:val="000000000000" w:firstRow="0" w:lastRow="0" w:firstColumn="0" w:lastColumn="0" w:oddVBand="0" w:evenVBand="0" w:oddHBand="0" w:evenHBand="0" w:firstRowFirstColumn="0" w:firstRowLastColumn="0" w:lastRowFirstColumn="0" w:lastRowLastColumn="0"/>
            </w:pPr>
            <w:r>
              <w:t>63%</w:t>
            </w:r>
          </w:p>
        </w:tc>
        <w:tc>
          <w:tcPr>
            <w:tcW w:w="858" w:type="pct"/>
            <w:tcBorders>
              <w:left w:val="single" w:sz="12" w:space="0" w:color="89B2BD" w:themeColor="accent1" w:themeTint="99"/>
              <w:bottom w:val="single" w:sz="4" w:space="0" w:color="89B2BD" w:themeColor="accent1" w:themeTint="99"/>
              <w:right w:val="single" w:sz="18" w:space="0" w:color="89B2BD"/>
            </w:tcBorders>
            <w:shd w:val="clear" w:color="auto" w:fill="FFFFFF" w:themeFill="background1"/>
            <w:vAlign w:val="center"/>
          </w:tcPr>
          <w:p w14:paraId="264A1010" w14:textId="578D0087" w:rsidR="00E8076E" w:rsidRDefault="00E8076E" w:rsidP="00DF3392">
            <w:pPr>
              <w:pStyle w:val="TableTextRight"/>
              <w:cnfStyle w:val="000000000000" w:firstRow="0" w:lastRow="0" w:firstColumn="0" w:lastColumn="0" w:oddVBand="0" w:evenVBand="0" w:oddHBand="0" w:evenHBand="0" w:firstRowFirstColumn="0" w:firstRowLastColumn="0" w:lastRowFirstColumn="0" w:lastRowLastColumn="0"/>
            </w:pPr>
            <w:r>
              <w:t>65%</w:t>
            </w:r>
          </w:p>
        </w:tc>
        <w:tc>
          <w:tcPr>
            <w:tcW w:w="858" w:type="pct"/>
            <w:tcBorders>
              <w:left w:val="single" w:sz="18" w:space="0" w:color="89B2BD"/>
              <w:bottom w:val="single" w:sz="4" w:space="0" w:color="89B2BD" w:themeColor="accent1" w:themeTint="99"/>
              <w:right w:val="single" w:sz="12" w:space="0" w:color="89B2BD"/>
            </w:tcBorders>
            <w:shd w:val="clear" w:color="auto" w:fill="FFFFFF" w:themeFill="background1"/>
            <w:vAlign w:val="center"/>
          </w:tcPr>
          <w:p w14:paraId="025708D6" w14:textId="575A1EB2" w:rsidR="00E8076E" w:rsidRPr="00995477" w:rsidRDefault="00E8076E" w:rsidP="00DF3392">
            <w:pPr>
              <w:pStyle w:val="TableTextRight"/>
              <w:cnfStyle w:val="000000000000" w:firstRow="0" w:lastRow="0" w:firstColumn="0" w:lastColumn="0" w:oddVBand="0" w:evenVBand="0" w:oddHBand="0" w:evenHBand="0" w:firstRowFirstColumn="0" w:firstRowLastColumn="0" w:lastRowFirstColumn="0" w:lastRowLastColumn="0"/>
            </w:pPr>
            <w:r>
              <w:t>39%</w:t>
            </w:r>
          </w:p>
        </w:tc>
        <w:tc>
          <w:tcPr>
            <w:tcW w:w="857" w:type="pct"/>
            <w:tcBorders>
              <w:left w:val="single" w:sz="12" w:space="0" w:color="89B2BD"/>
              <w:bottom w:val="single" w:sz="4" w:space="0" w:color="89B2BD" w:themeColor="accent1" w:themeTint="99"/>
              <w:right w:val="nil"/>
            </w:tcBorders>
            <w:shd w:val="clear" w:color="auto" w:fill="FFFFFF" w:themeFill="background1"/>
            <w:vAlign w:val="center"/>
          </w:tcPr>
          <w:p w14:paraId="5FFAB71B" w14:textId="375882D5" w:rsidR="00E8076E" w:rsidRDefault="00E8076E" w:rsidP="00DF3392">
            <w:pPr>
              <w:pStyle w:val="TableTextRight"/>
              <w:cnfStyle w:val="000000000000" w:firstRow="0" w:lastRow="0" w:firstColumn="0" w:lastColumn="0" w:oddVBand="0" w:evenVBand="0" w:oddHBand="0" w:evenHBand="0" w:firstRowFirstColumn="0" w:firstRowLastColumn="0" w:lastRowFirstColumn="0" w:lastRowLastColumn="0"/>
            </w:pPr>
            <w:r>
              <w:t>65%</w:t>
            </w:r>
          </w:p>
        </w:tc>
      </w:tr>
      <w:tr w:rsidR="003963B2" w:rsidRPr="00995477" w14:paraId="32F86155" w14:textId="77777777" w:rsidTr="00DF339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569" w:type="pct"/>
            <w:tcBorders>
              <w:top w:val="single" w:sz="4" w:space="0" w:color="89B2BD" w:themeColor="accent1" w:themeTint="99"/>
              <w:bottom w:val="single" w:sz="4" w:space="0" w:color="89B2BD" w:themeColor="accent1" w:themeTint="99"/>
              <w:right w:val="single" w:sz="18" w:space="0" w:color="89B2BD"/>
            </w:tcBorders>
            <w:vAlign w:val="center"/>
            <w:hideMark/>
          </w:tcPr>
          <w:p w14:paraId="749F9669" w14:textId="3C4C0415" w:rsidR="00E8076E" w:rsidRPr="00995477" w:rsidRDefault="00E8076E" w:rsidP="00DF3392">
            <w:pPr>
              <w:pStyle w:val="TableTextLeft"/>
            </w:pPr>
            <w:r w:rsidRPr="00995477">
              <w:t>Requires rereview</w:t>
            </w:r>
            <w:r>
              <w:t xml:space="preserve"> </w:t>
            </w:r>
            <w:r w:rsidRPr="00995477">
              <w:t>/</w:t>
            </w:r>
            <w:r>
              <w:t xml:space="preserve"> </w:t>
            </w:r>
            <w:r w:rsidRPr="00995477">
              <w:t>non</w:t>
            </w:r>
            <w:r>
              <w:noBreakHyphen/>
            </w:r>
            <w:r w:rsidRPr="00995477">
              <w:t xml:space="preserve">compliant </w:t>
            </w:r>
          </w:p>
        </w:tc>
        <w:tc>
          <w:tcPr>
            <w:tcW w:w="858" w:type="pct"/>
            <w:tcBorders>
              <w:top w:val="nil"/>
              <w:left w:val="single" w:sz="18" w:space="0" w:color="89B2BD"/>
              <w:bottom w:val="single" w:sz="8" w:space="0" w:color="8EAADB"/>
              <w:right w:val="single" w:sz="12" w:space="0" w:color="89B2BD" w:themeColor="accent1" w:themeTint="99"/>
            </w:tcBorders>
            <w:shd w:val="clear" w:color="auto" w:fill="FFFFFF" w:themeFill="background1"/>
            <w:vAlign w:val="center"/>
          </w:tcPr>
          <w:p w14:paraId="295A30C2" w14:textId="46B3AD23" w:rsidR="00E8076E" w:rsidRPr="00995477" w:rsidRDefault="00E8076E" w:rsidP="00DF3392">
            <w:pPr>
              <w:pStyle w:val="TableTextRight"/>
              <w:cnfStyle w:val="000000100000" w:firstRow="0" w:lastRow="0" w:firstColumn="0" w:lastColumn="0" w:oddVBand="0" w:evenVBand="0" w:oddHBand="1" w:evenHBand="0" w:firstRowFirstColumn="0" w:firstRowLastColumn="0" w:lastRowFirstColumn="0" w:lastRowLastColumn="0"/>
            </w:pPr>
            <w:r>
              <w:t>37%</w:t>
            </w:r>
          </w:p>
        </w:tc>
        <w:tc>
          <w:tcPr>
            <w:tcW w:w="858" w:type="pct"/>
            <w:tcBorders>
              <w:top w:val="single" w:sz="4" w:space="0" w:color="89B2BD" w:themeColor="accent1" w:themeTint="99"/>
              <w:left w:val="single" w:sz="12" w:space="0" w:color="89B2BD" w:themeColor="accent1" w:themeTint="99"/>
              <w:bottom w:val="single" w:sz="8" w:space="0" w:color="8EAADB"/>
              <w:right w:val="single" w:sz="18" w:space="0" w:color="89B2BD"/>
            </w:tcBorders>
            <w:shd w:val="clear" w:color="auto" w:fill="FFFFFF" w:themeFill="background1"/>
            <w:vAlign w:val="center"/>
          </w:tcPr>
          <w:p w14:paraId="040D4AA3" w14:textId="69933E93" w:rsidR="00E8076E" w:rsidRDefault="00E8076E" w:rsidP="00DF3392">
            <w:pPr>
              <w:pStyle w:val="TableTextRight"/>
              <w:cnfStyle w:val="000000100000" w:firstRow="0" w:lastRow="0" w:firstColumn="0" w:lastColumn="0" w:oddVBand="0" w:evenVBand="0" w:oddHBand="1" w:evenHBand="0" w:firstRowFirstColumn="0" w:firstRowLastColumn="0" w:lastRowFirstColumn="0" w:lastRowLastColumn="0"/>
            </w:pPr>
            <w:r>
              <w:t>0%</w:t>
            </w:r>
          </w:p>
        </w:tc>
        <w:tc>
          <w:tcPr>
            <w:tcW w:w="858" w:type="pct"/>
            <w:tcBorders>
              <w:top w:val="nil"/>
              <w:left w:val="single" w:sz="18" w:space="0" w:color="89B2BD"/>
              <w:bottom w:val="single" w:sz="8" w:space="0" w:color="8EAADB"/>
              <w:right w:val="single" w:sz="12" w:space="0" w:color="89B2BD"/>
            </w:tcBorders>
            <w:shd w:val="clear" w:color="auto" w:fill="FFFFFF" w:themeFill="background1"/>
            <w:vAlign w:val="center"/>
          </w:tcPr>
          <w:p w14:paraId="0CF4FF9F" w14:textId="50D47E8B" w:rsidR="00E8076E" w:rsidRPr="00995477" w:rsidRDefault="00E8076E" w:rsidP="00DF3392">
            <w:pPr>
              <w:pStyle w:val="TableTextRight"/>
              <w:cnfStyle w:val="000000100000" w:firstRow="0" w:lastRow="0" w:firstColumn="0" w:lastColumn="0" w:oddVBand="0" w:evenVBand="0" w:oddHBand="1" w:evenHBand="0" w:firstRowFirstColumn="0" w:firstRowLastColumn="0" w:lastRowFirstColumn="0" w:lastRowLastColumn="0"/>
            </w:pPr>
            <w:r>
              <w:t>60%</w:t>
            </w:r>
          </w:p>
        </w:tc>
        <w:tc>
          <w:tcPr>
            <w:tcW w:w="857" w:type="pct"/>
            <w:tcBorders>
              <w:top w:val="nil"/>
              <w:left w:val="single" w:sz="12" w:space="0" w:color="89B2BD"/>
              <w:bottom w:val="single" w:sz="8" w:space="0" w:color="8EAADB"/>
              <w:right w:val="nil"/>
            </w:tcBorders>
            <w:shd w:val="clear" w:color="auto" w:fill="FFFFFF" w:themeFill="background1"/>
            <w:vAlign w:val="center"/>
          </w:tcPr>
          <w:p w14:paraId="2DFF3747" w14:textId="03077EFB" w:rsidR="00E8076E" w:rsidRDefault="00E8076E" w:rsidP="00DF3392">
            <w:pPr>
              <w:pStyle w:val="TableTextRight"/>
              <w:cnfStyle w:val="000000100000" w:firstRow="0" w:lastRow="0" w:firstColumn="0" w:lastColumn="0" w:oddVBand="0" w:evenVBand="0" w:oddHBand="1" w:evenHBand="0" w:firstRowFirstColumn="0" w:firstRowLastColumn="0" w:lastRowFirstColumn="0" w:lastRowLastColumn="0"/>
            </w:pPr>
            <w:r>
              <w:t>34%</w:t>
            </w:r>
          </w:p>
        </w:tc>
      </w:tr>
      <w:tr w:rsidR="003963B2" w:rsidRPr="00995477" w14:paraId="737F0D99" w14:textId="77777777" w:rsidTr="00DF3392">
        <w:trPr>
          <w:trHeight w:val="488"/>
        </w:trPr>
        <w:tc>
          <w:tcPr>
            <w:cnfStyle w:val="001000000000" w:firstRow="0" w:lastRow="0" w:firstColumn="1" w:lastColumn="0" w:oddVBand="0" w:evenVBand="0" w:oddHBand="0" w:evenHBand="0" w:firstRowFirstColumn="0" w:firstRowLastColumn="0" w:lastRowFirstColumn="0" w:lastRowLastColumn="0"/>
            <w:tcW w:w="1569" w:type="pct"/>
            <w:tcBorders>
              <w:top w:val="single" w:sz="4" w:space="0" w:color="89B2BD" w:themeColor="accent1" w:themeTint="99"/>
              <w:bottom w:val="single" w:sz="4" w:space="0" w:color="89B2BD" w:themeColor="accent1" w:themeTint="99"/>
              <w:right w:val="single" w:sz="18" w:space="0" w:color="89B2BD"/>
            </w:tcBorders>
            <w:vAlign w:val="center"/>
          </w:tcPr>
          <w:p w14:paraId="5E422D57" w14:textId="6C125388" w:rsidR="00E8076E" w:rsidRPr="00E8076E" w:rsidRDefault="00E8076E" w:rsidP="00DF3392">
            <w:pPr>
              <w:pStyle w:val="TableTextLeft"/>
            </w:pPr>
            <w:r w:rsidRPr="00E8076E">
              <w:t>Minor corrective</w:t>
            </w:r>
            <w:r>
              <w:t xml:space="preserve"> </w:t>
            </w:r>
            <w:r w:rsidRPr="00E8076E">
              <w:t>actions required</w:t>
            </w:r>
          </w:p>
        </w:tc>
        <w:tc>
          <w:tcPr>
            <w:tcW w:w="858" w:type="pct"/>
            <w:tcBorders>
              <w:top w:val="nil"/>
              <w:left w:val="single" w:sz="18" w:space="0" w:color="89B2BD"/>
              <w:bottom w:val="single" w:sz="8" w:space="0" w:color="8EAADB"/>
              <w:right w:val="single" w:sz="12" w:space="0" w:color="89B2BD" w:themeColor="accent1" w:themeTint="99"/>
            </w:tcBorders>
            <w:shd w:val="clear" w:color="auto" w:fill="FFFFFF" w:themeFill="background1"/>
            <w:vAlign w:val="center"/>
          </w:tcPr>
          <w:p w14:paraId="2BD25DB7" w14:textId="6F4C7987" w:rsidR="00E8076E" w:rsidRDefault="00E8076E" w:rsidP="00DF3392">
            <w:pPr>
              <w:pStyle w:val="TableTextRight"/>
              <w:cnfStyle w:val="000000000000" w:firstRow="0" w:lastRow="0" w:firstColumn="0" w:lastColumn="0" w:oddVBand="0" w:evenVBand="0" w:oddHBand="0" w:evenHBand="0" w:firstRowFirstColumn="0" w:firstRowLastColumn="0" w:lastRowFirstColumn="0" w:lastRowLastColumn="0"/>
            </w:pPr>
            <w:r>
              <w:t>N/A</w:t>
            </w:r>
          </w:p>
        </w:tc>
        <w:tc>
          <w:tcPr>
            <w:tcW w:w="858" w:type="pct"/>
            <w:tcBorders>
              <w:top w:val="single" w:sz="4" w:space="0" w:color="89B2BD" w:themeColor="accent1" w:themeTint="99"/>
              <w:left w:val="single" w:sz="12" w:space="0" w:color="89B2BD" w:themeColor="accent1" w:themeTint="99"/>
              <w:bottom w:val="single" w:sz="8" w:space="0" w:color="8EAADB"/>
              <w:right w:val="single" w:sz="18" w:space="0" w:color="89B2BD"/>
            </w:tcBorders>
            <w:shd w:val="clear" w:color="auto" w:fill="FFFFFF" w:themeFill="background1"/>
            <w:vAlign w:val="center"/>
          </w:tcPr>
          <w:p w14:paraId="4061F9AA" w14:textId="519F068D" w:rsidR="00E8076E" w:rsidRDefault="00E8076E" w:rsidP="00DF3392">
            <w:pPr>
              <w:pStyle w:val="TableTextRight"/>
              <w:cnfStyle w:val="000000000000" w:firstRow="0" w:lastRow="0" w:firstColumn="0" w:lastColumn="0" w:oddVBand="0" w:evenVBand="0" w:oddHBand="0" w:evenHBand="0" w:firstRowFirstColumn="0" w:firstRowLastColumn="0" w:lastRowFirstColumn="0" w:lastRowLastColumn="0"/>
            </w:pPr>
            <w:r>
              <w:t>5%</w:t>
            </w:r>
          </w:p>
        </w:tc>
        <w:tc>
          <w:tcPr>
            <w:tcW w:w="858" w:type="pct"/>
            <w:tcBorders>
              <w:top w:val="nil"/>
              <w:left w:val="single" w:sz="18" w:space="0" w:color="89B2BD"/>
              <w:bottom w:val="single" w:sz="8" w:space="0" w:color="8EAADB"/>
              <w:right w:val="single" w:sz="12" w:space="0" w:color="89B2BD"/>
            </w:tcBorders>
            <w:shd w:val="clear" w:color="auto" w:fill="FFFFFF" w:themeFill="background1"/>
            <w:vAlign w:val="center"/>
          </w:tcPr>
          <w:p w14:paraId="09B3D3D7" w14:textId="287B2995" w:rsidR="00E8076E" w:rsidRDefault="00E8076E" w:rsidP="00DF3392">
            <w:pPr>
              <w:pStyle w:val="TableTextRight"/>
              <w:cnfStyle w:val="000000000000" w:firstRow="0" w:lastRow="0" w:firstColumn="0" w:lastColumn="0" w:oddVBand="0" w:evenVBand="0" w:oddHBand="0" w:evenHBand="0" w:firstRowFirstColumn="0" w:firstRowLastColumn="0" w:lastRowFirstColumn="0" w:lastRowLastColumn="0"/>
            </w:pPr>
            <w:r>
              <w:t>N/A</w:t>
            </w:r>
          </w:p>
        </w:tc>
        <w:tc>
          <w:tcPr>
            <w:tcW w:w="857" w:type="pct"/>
            <w:tcBorders>
              <w:top w:val="nil"/>
              <w:left w:val="single" w:sz="12" w:space="0" w:color="89B2BD"/>
              <w:bottom w:val="single" w:sz="8" w:space="0" w:color="8EAADB"/>
              <w:right w:val="nil"/>
            </w:tcBorders>
            <w:shd w:val="clear" w:color="auto" w:fill="FFFFFF" w:themeFill="background1"/>
            <w:vAlign w:val="center"/>
          </w:tcPr>
          <w:p w14:paraId="52D293DB" w14:textId="1F49CD2D" w:rsidR="00E8076E" w:rsidRDefault="00E8076E" w:rsidP="00DF3392">
            <w:pPr>
              <w:pStyle w:val="TableTextRight"/>
              <w:cnfStyle w:val="000000000000" w:firstRow="0" w:lastRow="0" w:firstColumn="0" w:lastColumn="0" w:oddVBand="0" w:evenVBand="0" w:oddHBand="0" w:evenHBand="0" w:firstRowFirstColumn="0" w:firstRowLastColumn="0" w:lastRowFirstColumn="0" w:lastRowLastColumn="0"/>
            </w:pPr>
            <w:r>
              <w:t>N/A</w:t>
            </w:r>
          </w:p>
        </w:tc>
      </w:tr>
      <w:tr w:rsidR="003963B2" w:rsidRPr="00995477" w14:paraId="0BD0459E" w14:textId="77777777" w:rsidTr="00DF339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569" w:type="pct"/>
            <w:tcBorders>
              <w:top w:val="single" w:sz="4" w:space="0" w:color="89B2BD" w:themeColor="accent1" w:themeTint="99"/>
              <w:bottom w:val="single" w:sz="4" w:space="0" w:color="89B2BD" w:themeColor="accent1" w:themeTint="99"/>
              <w:right w:val="single" w:sz="18" w:space="0" w:color="89B2BD"/>
            </w:tcBorders>
            <w:vAlign w:val="center"/>
          </w:tcPr>
          <w:p w14:paraId="42D3F306" w14:textId="1C2BBCB1" w:rsidR="00E8076E" w:rsidRPr="00E8076E" w:rsidRDefault="00E8076E" w:rsidP="00DF3392">
            <w:pPr>
              <w:pStyle w:val="TableTextLeft"/>
            </w:pPr>
            <w:r w:rsidRPr="00E8076E">
              <w:t>Major corrective</w:t>
            </w:r>
            <w:r>
              <w:t xml:space="preserve"> </w:t>
            </w:r>
            <w:r w:rsidRPr="00E8076E">
              <w:t>actions required</w:t>
            </w:r>
          </w:p>
        </w:tc>
        <w:tc>
          <w:tcPr>
            <w:tcW w:w="858" w:type="pct"/>
            <w:tcBorders>
              <w:top w:val="nil"/>
              <w:left w:val="single" w:sz="18" w:space="0" w:color="89B2BD"/>
              <w:bottom w:val="single" w:sz="8" w:space="0" w:color="8EAADB"/>
              <w:right w:val="single" w:sz="12" w:space="0" w:color="89B2BD" w:themeColor="accent1" w:themeTint="99"/>
            </w:tcBorders>
            <w:shd w:val="clear" w:color="auto" w:fill="FFFFFF" w:themeFill="background1"/>
            <w:vAlign w:val="center"/>
          </w:tcPr>
          <w:p w14:paraId="581F05F8" w14:textId="308A6D79" w:rsidR="00E8076E" w:rsidRDefault="00E8076E" w:rsidP="00DF3392">
            <w:pPr>
              <w:pStyle w:val="TableTextRight"/>
              <w:cnfStyle w:val="000000100000" w:firstRow="0" w:lastRow="0" w:firstColumn="0" w:lastColumn="0" w:oddVBand="0" w:evenVBand="0" w:oddHBand="1" w:evenHBand="0" w:firstRowFirstColumn="0" w:firstRowLastColumn="0" w:lastRowFirstColumn="0" w:lastRowLastColumn="0"/>
            </w:pPr>
            <w:r>
              <w:t>N/A</w:t>
            </w:r>
          </w:p>
        </w:tc>
        <w:tc>
          <w:tcPr>
            <w:tcW w:w="858" w:type="pct"/>
            <w:tcBorders>
              <w:top w:val="single" w:sz="4" w:space="0" w:color="89B2BD" w:themeColor="accent1" w:themeTint="99"/>
              <w:left w:val="single" w:sz="12" w:space="0" w:color="89B2BD" w:themeColor="accent1" w:themeTint="99"/>
              <w:bottom w:val="single" w:sz="8" w:space="0" w:color="8EAADB"/>
              <w:right w:val="single" w:sz="18" w:space="0" w:color="89B2BD"/>
            </w:tcBorders>
            <w:shd w:val="clear" w:color="auto" w:fill="FFFFFF" w:themeFill="background1"/>
            <w:vAlign w:val="center"/>
          </w:tcPr>
          <w:p w14:paraId="3934DE4D" w14:textId="5CCB1EDF" w:rsidR="00E8076E" w:rsidRDefault="00E8076E" w:rsidP="00DF3392">
            <w:pPr>
              <w:pStyle w:val="TableTextRight"/>
              <w:cnfStyle w:val="000000100000" w:firstRow="0" w:lastRow="0" w:firstColumn="0" w:lastColumn="0" w:oddVBand="0" w:evenVBand="0" w:oddHBand="1" w:evenHBand="0" w:firstRowFirstColumn="0" w:firstRowLastColumn="0" w:lastRowFirstColumn="0" w:lastRowLastColumn="0"/>
            </w:pPr>
            <w:r>
              <w:t>30%</w:t>
            </w:r>
          </w:p>
        </w:tc>
        <w:tc>
          <w:tcPr>
            <w:tcW w:w="858" w:type="pct"/>
            <w:tcBorders>
              <w:top w:val="nil"/>
              <w:left w:val="single" w:sz="18" w:space="0" w:color="89B2BD"/>
              <w:bottom w:val="single" w:sz="8" w:space="0" w:color="8EAADB"/>
              <w:right w:val="single" w:sz="12" w:space="0" w:color="89B2BD"/>
            </w:tcBorders>
            <w:shd w:val="clear" w:color="auto" w:fill="FFFFFF" w:themeFill="background1"/>
            <w:vAlign w:val="center"/>
          </w:tcPr>
          <w:p w14:paraId="3C40F655" w14:textId="7448E2E3" w:rsidR="00E8076E" w:rsidRDefault="00E8076E" w:rsidP="00DF3392">
            <w:pPr>
              <w:pStyle w:val="TableTextRight"/>
              <w:cnfStyle w:val="000000100000" w:firstRow="0" w:lastRow="0" w:firstColumn="0" w:lastColumn="0" w:oddVBand="0" w:evenVBand="0" w:oddHBand="1" w:evenHBand="0" w:firstRowFirstColumn="0" w:firstRowLastColumn="0" w:lastRowFirstColumn="0" w:lastRowLastColumn="0"/>
            </w:pPr>
            <w:r>
              <w:t>N/A</w:t>
            </w:r>
          </w:p>
        </w:tc>
        <w:tc>
          <w:tcPr>
            <w:tcW w:w="857" w:type="pct"/>
            <w:tcBorders>
              <w:top w:val="nil"/>
              <w:left w:val="single" w:sz="12" w:space="0" w:color="89B2BD"/>
              <w:bottom w:val="single" w:sz="8" w:space="0" w:color="8EAADB"/>
              <w:right w:val="nil"/>
            </w:tcBorders>
            <w:shd w:val="clear" w:color="auto" w:fill="FFFFFF" w:themeFill="background1"/>
            <w:vAlign w:val="center"/>
          </w:tcPr>
          <w:p w14:paraId="2336E3DC" w14:textId="1C82DAC0" w:rsidR="00E8076E" w:rsidRDefault="00E8076E" w:rsidP="00DF3392">
            <w:pPr>
              <w:pStyle w:val="TableTextRight"/>
              <w:cnfStyle w:val="000000100000" w:firstRow="0" w:lastRow="0" w:firstColumn="0" w:lastColumn="0" w:oddVBand="0" w:evenVBand="0" w:oddHBand="1" w:evenHBand="0" w:firstRowFirstColumn="0" w:firstRowLastColumn="0" w:lastRowFirstColumn="0" w:lastRowLastColumn="0"/>
            </w:pPr>
            <w:r>
              <w:t>N/A</w:t>
            </w:r>
          </w:p>
        </w:tc>
      </w:tr>
      <w:tr w:rsidR="003963B2" w:rsidRPr="00995477" w14:paraId="3AF0EA32" w14:textId="77777777" w:rsidTr="00DF3392">
        <w:tc>
          <w:tcPr>
            <w:cnfStyle w:val="001000000000" w:firstRow="0" w:lastRow="0" w:firstColumn="1" w:lastColumn="0" w:oddVBand="0" w:evenVBand="0" w:oddHBand="0" w:evenHBand="0" w:firstRowFirstColumn="0" w:firstRowLastColumn="0" w:lastRowFirstColumn="0" w:lastRowLastColumn="0"/>
            <w:tcW w:w="1569" w:type="pct"/>
            <w:tcBorders>
              <w:top w:val="single" w:sz="4" w:space="0" w:color="89B2BD" w:themeColor="accent1" w:themeTint="99"/>
              <w:bottom w:val="single" w:sz="4" w:space="0" w:color="89B2BD" w:themeColor="accent1" w:themeTint="99"/>
              <w:right w:val="single" w:sz="18" w:space="0" w:color="89B2BD"/>
            </w:tcBorders>
            <w:vAlign w:val="center"/>
            <w:hideMark/>
          </w:tcPr>
          <w:p w14:paraId="7DBAB8BE" w14:textId="62DBC454" w:rsidR="00E8076E" w:rsidRPr="00995477" w:rsidRDefault="00E8076E" w:rsidP="00DF3392">
            <w:pPr>
              <w:pStyle w:val="TableTextLeft"/>
            </w:pPr>
            <w:r w:rsidRPr="00995477">
              <w:t>Unsatisfactory</w:t>
            </w:r>
            <w:r>
              <w:t xml:space="preserve"> </w:t>
            </w:r>
            <w:r w:rsidRPr="00995477">
              <w:t>/</w:t>
            </w:r>
            <w:r>
              <w:t xml:space="preserve"> </w:t>
            </w:r>
            <w:r w:rsidRPr="00995477">
              <w:t xml:space="preserve">disciplinary </w:t>
            </w:r>
            <w:r>
              <w:br/>
            </w:r>
            <w:r w:rsidRPr="00995477">
              <w:t xml:space="preserve">action required </w:t>
            </w:r>
          </w:p>
        </w:tc>
        <w:tc>
          <w:tcPr>
            <w:tcW w:w="858" w:type="pct"/>
            <w:tcBorders>
              <w:left w:val="single" w:sz="18" w:space="0" w:color="89B2BD"/>
              <w:bottom w:val="single" w:sz="4" w:space="0" w:color="89B2BD" w:themeColor="accent1" w:themeTint="99"/>
              <w:right w:val="single" w:sz="12" w:space="0" w:color="89B2BD" w:themeColor="accent1" w:themeTint="99"/>
            </w:tcBorders>
            <w:shd w:val="clear" w:color="auto" w:fill="FFFFFF" w:themeFill="background1"/>
            <w:vAlign w:val="center"/>
          </w:tcPr>
          <w:p w14:paraId="7F4E3A12" w14:textId="7B30BA96" w:rsidR="00E8076E" w:rsidRPr="00995477" w:rsidRDefault="00E8076E" w:rsidP="00DF3392">
            <w:pPr>
              <w:pStyle w:val="TableTextRight"/>
              <w:cnfStyle w:val="000000000000" w:firstRow="0" w:lastRow="0" w:firstColumn="0" w:lastColumn="0" w:oddVBand="0" w:evenVBand="0" w:oddHBand="0" w:evenHBand="0" w:firstRowFirstColumn="0" w:firstRowLastColumn="0" w:lastRowFirstColumn="0" w:lastRowLastColumn="0"/>
            </w:pPr>
            <w:r>
              <w:t>0%</w:t>
            </w:r>
          </w:p>
        </w:tc>
        <w:tc>
          <w:tcPr>
            <w:tcW w:w="858" w:type="pct"/>
            <w:tcBorders>
              <w:left w:val="single" w:sz="12" w:space="0" w:color="89B2BD" w:themeColor="accent1" w:themeTint="99"/>
              <w:bottom w:val="single" w:sz="4" w:space="0" w:color="89B2BD" w:themeColor="accent1" w:themeTint="99"/>
              <w:right w:val="single" w:sz="18" w:space="0" w:color="89B2BD"/>
            </w:tcBorders>
            <w:shd w:val="clear" w:color="auto" w:fill="FFFFFF" w:themeFill="background1"/>
            <w:vAlign w:val="center"/>
          </w:tcPr>
          <w:p w14:paraId="7716B7DA" w14:textId="0FA2D19B" w:rsidR="00E8076E" w:rsidRDefault="00E8076E" w:rsidP="00DF3392">
            <w:pPr>
              <w:pStyle w:val="TableTextRight"/>
              <w:cnfStyle w:val="000000000000" w:firstRow="0" w:lastRow="0" w:firstColumn="0" w:lastColumn="0" w:oddVBand="0" w:evenVBand="0" w:oddHBand="0" w:evenHBand="0" w:firstRowFirstColumn="0" w:firstRowLastColumn="0" w:lastRowFirstColumn="0" w:lastRowLastColumn="0"/>
            </w:pPr>
            <w:r>
              <w:t>0%</w:t>
            </w:r>
          </w:p>
        </w:tc>
        <w:tc>
          <w:tcPr>
            <w:tcW w:w="858" w:type="pct"/>
            <w:tcBorders>
              <w:left w:val="single" w:sz="18" w:space="0" w:color="89B2BD"/>
              <w:bottom w:val="single" w:sz="4" w:space="0" w:color="89B2BD" w:themeColor="accent1" w:themeTint="99"/>
              <w:right w:val="single" w:sz="12" w:space="0" w:color="89B2BD"/>
            </w:tcBorders>
            <w:shd w:val="clear" w:color="auto" w:fill="FFFFFF" w:themeFill="background1"/>
            <w:vAlign w:val="center"/>
          </w:tcPr>
          <w:p w14:paraId="3D981504" w14:textId="744FE9C4" w:rsidR="00E8076E" w:rsidRPr="00995477" w:rsidRDefault="00E8076E" w:rsidP="00DF3392">
            <w:pPr>
              <w:pStyle w:val="TableTextRight"/>
              <w:cnfStyle w:val="000000000000" w:firstRow="0" w:lastRow="0" w:firstColumn="0" w:lastColumn="0" w:oddVBand="0" w:evenVBand="0" w:oddHBand="0" w:evenHBand="0" w:firstRowFirstColumn="0" w:firstRowLastColumn="0" w:lastRowFirstColumn="0" w:lastRowLastColumn="0"/>
            </w:pPr>
            <w:r>
              <w:t>1%</w:t>
            </w:r>
          </w:p>
        </w:tc>
        <w:tc>
          <w:tcPr>
            <w:tcW w:w="857" w:type="pct"/>
            <w:tcBorders>
              <w:left w:val="single" w:sz="12" w:space="0" w:color="89B2BD"/>
              <w:bottom w:val="single" w:sz="4" w:space="0" w:color="89B2BD" w:themeColor="accent1" w:themeTint="99"/>
              <w:right w:val="nil"/>
            </w:tcBorders>
            <w:shd w:val="clear" w:color="auto" w:fill="FFFFFF" w:themeFill="background1"/>
            <w:vAlign w:val="center"/>
          </w:tcPr>
          <w:p w14:paraId="0E6B06CF" w14:textId="38C808D4" w:rsidR="00E8076E" w:rsidRDefault="00E8076E" w:rsidP="00DF3392">
            <w:pPr>
              <w:pStyle w:val="TableTextRight"/>
              <w:cnfStyle w:val="000000000000" w:firstRow="0" w:lastRow="0" w:firstColumn="0" w:lastColumn="0" w:oddVBand="0" w:evenVBand="0" w:oddHBand="0" w:evenHBand="0" w:firstRowFirstColumn="0" w:firstRowLastColumn="0" w:lastRowFirstColumn="0" w:lastRowLastColumn="0"/>
            </w:pPr>
            <w:r>
              <w:t>1%</w:t>
            </w:r>
          </w:p>
        </w:tc>
      </w:tr>
      <w:tr w:rsidR="00FF46A3" w:rsidRPr="00995477" w14:paraId="75766666" w14:textId="77777777" w:rsidTr="00DF3392">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569" w:type="pct"/>
            <w:tcBorders>
              <w:top w:val="single" w:sz="4" w:space="0" w:color="89B2BD" w:themeColor="accent1" w:themeTint="99"/>
              <w:right w:val="single" w:sz="18" w:space="0" w:color="89B2BD"/>
            </w:tcBorders>
            <w:shd w:val="clear" w:color="auto" w:fill="D7E5E9" w:themeFill="accent1" w:themeFillTint="33"/>
            <w:vAlign w:val="center"/>
            <w:hideMark/>
          </w:tcPr>
          <w:p w14:paraId="47556671" w14:textId="77777777" w:rsidR="00E8076E" w:rsidRPr="00E8076E" w:rsidRDefault="00E8076E" w:rsidP="00DF3392">
            <w:pPr>
              <w:pStyle w:val="TableColumnHeadingCentred"/>
              <w:jc w:val="left"/>
              <w:rPr>
                <w:i w:val="0"/>
                <w:iCs w:val="0"/>
                <w:color w:val="006170" w:themeColor="text2"/>
              </w:rPr>
            </w:pPr>
            <w:r w:rsidRPr="00E8076E">
              <w:rPr>
                <w:i w:val="0"/>
                <w:iCs w:val="0"/>
                <w:color w:val="006170" w:themeColor="text2"/>
              </w:rPr>
              <w:t xml:space="preserve">Total </w:t>
            </w:r>
          </w:p>
        </w:tc>
        <w:tc>
          <w:tcPr>
            <w:tcW w:w="858" w:type="pct"/>
            <w:tcBorders>
              <w:left w:val="single" w:sz="18" w:space="0" w:color="89B2BD"/>
              <w:bottom w:val="nil"/>
              <w:right w:val="single" w:sz="12" w:space="0" w:color="89B2BD" w:themeColor="accent1" w:themeTint="99"/>
            </w:tcBorders>
            <w:vAlign w:val="center"/>
          </w:tcPr>
          <w:p w14:paraId="3247D491" w14:textId="4D7093B7" w:rsidR="00E8076E" w:rsidRPr="00E8076E" w:rsidRDefault="00E8076E" w:rsidP="00DF3392">
            <w:pPr>
              <w:pStyle w:val="TableColumnHeadingRight"/>
              <w:cnfStyle w:val="000000100000" w:firstRow="0" w:lastRow="0" w:firstColumn="0" w:lastColumn="0" w:oddVBand="0" w:evenVBand="0" w:oddHBand="1" w:evenHBand="0" w:firstRowFirstColumn="0" w:firstRowLastColumn="0" w:lastRowFirstColumn="0" w:lastRowLastColumn="0"/>
            </w:pPr>
            <w:r w:rsidRPr="00E8076E">
              <w:t>100%</w:t>
            </w:r>
          </w:p>
        </w:tc>
        <w:tc>
          <w:tcPr>
            <w:tcW w:w="858" w:type="pct"/>
            <w:tcBorders>
              <w:left w:val="single" w:sz="12" w:space="0" w:color="89B2BD" w:themeColor="accent1" w:themeTint="99"/>
              <w:bottom w:val="nil"/>
              <w:right w:val="single" w:sz="18" w:space="0" w:color="89B2BD"/>
            </w:tcBorders>
            <w:vAlign w:val="center"/>
          </w:tcPr>
          <w:p w14:paraId="08B29E83" w14:textId="51F8F1D2" w:rsidR="00E8076E" w:rsidRPr="00E8076E" w:rsidRDefault="00E8076E" w:rsidP="00DF3392">
            <w:pPr>
              <w:pStyle w:val="TableColumnHeadingRight"/>
              <w:cnfStyle w:val="000000100000" w:firstRow="0" w:lastRow="0" w:firstColumn="0" w:lastColumn="0" w:oddVBand="0" w:evenVBand="0" w:oddHBand="1" w:evenHBand="0" w:firstRowFirstColumn="0" w:firstRowLastColumn="0" w:lastRowFirstColumn="0" w:lastRowLastColumn="0"/>
            </w:pPr>
            <w:r w:rsidRPr="00E8076E">
              <w:t>100%</w:t>
            </w:r>
          </w:p>
        </w:tc>
        <w:tc>
          <w:tcPr>
            <w:tcW w:w="858" w:type="pct"/>
            <w:tcBorders>
              <w:left w:val="single" w:sz="18" w:space="0" w:color="89B2BD"/>
              <w:bottom w:val="nil"/>
              <w:right w:val="single" w:sz="12" w:space="0" w:color="89B2BD"/>
            </w:tcBorders>
            <w:vAlign w:val="center"/>
          </w:tcPr>
          <w:p w14:paraId="4777C747" w14:textId="5661E186" w:rsidR="00E8076E" w:rsidRPr="00E8076E" w:rsidRDefault="00E8076E" w:rsidP="00DF3392">
            <w:pPr>
              <w:pStyle w:val="TableColumnHeadingRight"/>
              <w:cnfStyle w:val="000000100000" w:firstRow="0" w:lastRow="0" w:firstColumn="0" w:lastColumn="0" w:oddVBand="0" w:evenVBand="0" w:oddHBand="1" w:evenHBand="0" w:firstRowFirstColumn="0" w:firstRowLastColumn="0" w:lastRowFirstColumn="0" w:lastRowLastColumn="0"/>
            </w:pPr>
            <w:r w:rsidRPr="00E8076E">
              <w:t>100%</w:t>
            </w:r>
          </w:p>
        </w:tc>
        <w:tc>
          <w:tcPr>
            <w:tcW w:w="857" w:type="pct"/>
            <w:tcBorders>
              <w:left w:val="single" w:sz="12" w:space="0" w:color="89B2BD"/>
              <w:bottom w:val="nil"/>
              <w:right w:val="nil"/>
            </w:tcBorders>
            <w:vAlign w:val="center"/>
          </w:tcPr>
          <w:p w14:paraId="5924D7C4" w14:textId="0415C287" w:rsidR="00E8076E" w:rsidRPr="00E8076E" w:rsidRDefault="00E8076E" w:rsidP="00DF3392">
            <w:pPr>
              <w:pStyle w:val="TableColumnHeadingRight"/>
              <w:cnfStyle w:val="000000100000" w:firstRow="0" w:lastRow="0" w:firstColumn="0" w:lastColumn="0" w:oddVBand="0" w:evenVBand="0" w:oddHBand="1" w:evenHBand="0" w:firstRowFirstColumn="0" w:firstRowLastColumn="0" w:lastRowFirstColumn="0" w:lastRowLastColumn="0"/>
            </w:pPr>
            <w:r w:rsidRPr="00E8076E">
              <w:t>100%</w:t>
            </w:r>
          </w:p>
        </w:tc>
      </w:tr>
    </w:tbl>
    <w:p w14:paraId="46FE4298" w14:textId="06F88AFE" w:rsidR="003C67A5" w:rsidRPr="003E278C" w:rsidRDefault="003C67A5" w:rsidP="00BE5272">
      <w:pPr>
        <w:pStyle w:val="ChartorTableNote"/>
        <w:spacing w:before="240"/>
        <w:rPr>
          <w:lang w:val="en-GB"/>
        </w:rPr>
      </w:pPr>
      <w:r w:rsidRPr="003E278C">
        <w:rPr>
          <w:lang w:val="en-GB"/>
        </w:rPr>
        <w:t>Notes:</w:t>
      </w:r>
    </w:p>
    <w:p w14:paraId="10FE49D9" w14:textId="77777777" w:rsidR="00E762BD" w:rsidRPr="00BE5272" w:rsidRDefault="004114B6" w:rsidP="00BE5272">
      <w:pPr>
        <w:pStyle w:val="ChartandTableFootnoteAlpha"/>
        <w:numPr>
          <w:ilvl w:val="0"/>
          <w:numId w:val="38"/>
        </w:numPr>
        <w:rPr>
          <w:lang w:val="en-GB"/>
        </w:rPr>
      </w:pPr>
      <w:r w:rsidRPr="00BE5272">
        <w:rPr>
          <w:lang w:val="en-GB"/>
        </w:rPr>
        <w:t>CA ANZ review program completes quality assurance reviews based on firms, not individual members. Inclusion of individual members is in Table 4.1.</w:t>
      </w:r>
    </w:p>
    <w:p w14:paraId="60190D25" w14:textId="77777777" w:rsidR="00E762BD" w:rsidRPr="00A51947" w:rsidRDefault="004114B6" w:rsidP="00BE5272">
      <w:pPr>
        <w:pStyle w:val="ChartandTableFootnoteAlpha"/>
        <w:rPr>
          <w:lang w:val="en-GB"/>
        </w:rPr>
      </w:pPr>
      <w:r w:rsidRPr="00A51947">
        <w:rPr>
          <w:lang w:val="en-GB"/>
        </w:rPr>
        <w:t xml:space="preserve">See note 1 to Table 4.1. </w:t>
      </w:r>
    </w:p>
    <w:p w14:paraId="4DDBEBFE" w14:textId="5BE949A0" w:rsidR="004114B6" w:rsidRPr="00BE5272" w:rsidRDefault="004114B6" w:rsidP="00BE5272">
      <w:pPr>
        <w:pStyle w:val="ChartandTableFootnoteAlpha"/>
        <w:rPr>
          <w:lang w:val="en-GB"/>
        </w:rPr>
      </w:pPr>
      <w:r w:rsidRPr="00A51947">
        <w:rPr>
          <w:lang w:val="en-GB"/>
        </w:rPr>
        <w:t xml:space="preserve">See note 3 to Table 4.1. </w:t>
      </w:r>
    </w:p>
    <w:p w14:paraId="1C8EFB47" w14:textId="14A54E01" w:rsidR="00620B7E" w:rsidRDefault="004114B6" w:rsidP="003963B2">
      <w:pPr>
        <w:sectPr w:rsidR="00620B7E" w:rsidSect="005E5EE1">
          <w:pgSz w:w="11906" w:h="16838" w:code="9"/>
          <w:pgMar w:top="1843" w:right="1418" w:bottom="1418" w:left="1418" w:header="708" w:footer="708" w:gutter="0"/>
          <w:cols w:space="708"/>
          <w:titlePg/>
          <w:docGrid w:linePitch="360"/>
        </w:sectPr>
      </w:pPr>
      <w:r w:rsidRPr="000434BD">
        <w:rPr>
          <w:lang w:val="en-GB"/>
        </w:rPr>
        <w:t>The FRC will continue asking the</w:t>
      </w:r>
      <w:r w:rsidR="00076A7C" w:rsidRPr="000434BD">
        <w:rPr>
          <w:lang w:val="en-GB"/>
        </w:rPr>
        <w:t xml:space="preserve"> PABs</w:t>
      </w:r>
      <w:r w:rsidRPr="000434BD">
        <w:rPr>
          <w:lang w:val="en-GB"/>
        </w:rPr>
        <w:t xml:space="preserve"> for updates on their audit quality initiatives, as well as their review processes and outcomes. Access to this information better positions the FRC to identify and advise on the processes used by the PABs for audit quality assurance and auditor discipline. It also better positions the FRC to advise on potential gaps and overlaps in auditor disciplinary responsibilities within the broader financial reporting and regulatory regime. </w:t>
      </w:r>
    </w:p>
    <w:p w14:paraId="29E08654" w14:textId="25E3FD54" w:rsidR="00F23429" w:rsidRPr="00610F4C" w:rsidRDefault="001157FB" w:rsidP="00610F4C">
      <w:pPr>
        <w:pStyle w:val="Heading1"/>
      </w:pPr>
      <w:bookmarkStart w:id="68" w:name="_Toc211627812"/>
      <w:r w:rsidRPr="00610F4C">
        <w:t>FRC Nominations Committee</w:t>
      </w:r>
      <w:bookmarkEnd w:id="68"/>
    </w:p>
    <w:p w14:paraId="0A41DD26" w14:textId="77777777" w:rsidR="001157FB" w:rsidRPr="00D45D47" w:rsidRDefault="001157FB" w:rsidP="000B66A2">
      <w:pPr>
        <w:pStyle w:val="Heading2"/>
      </w:pPr>
      <w:bookmarkStart w:id="69" w:name="_Toc211627813"/>
      <w:r w:rsidRPr="00D45D47">
        <w:t>FRC Nominations Committee members</w:t>
      </w:r>
      <w:bookmarkEnd w:id="69"/>
    </w:p>
    <w:p w14:paraId="22D27E85" w14:textId="237701B8" w:rsidR="001157FB" w:rsidRPr="000434BD" w:rsidRDefault="001157FB" w:rsidP="00610F4C">
      <w:pPr>
        <w:rPr>
          <w:lang w:val="en-GB"/>
        </w:rPr>
      </w:pPr>
      <w:r w:rsidRPr="000434BD">
        <w:rPr>
          <w:lang w:val="en-GB"/>
        </w:rPr>
        <w:t xml:space="preserve">As </w:t>
      </w:r>
      <w:r w:rsidR="006A545E" w:rsidRPr="000434BD">
        <w:rPr>
          <w:lang w:val="en-GB"/>
        </w:rPr>
        <w:t>of</w:t>
      </w:r>
      <w:r w:rsidRPr="000434BD">
        <w:rPr>
          <w:lang w:val="en-GB"/>
        </w:rPr>
        <w:t xml:space="preserve"> 30 June </w:t>
      </w:r>
      <w:r w:rsidR="00F937BA" w:rsidRPr="000434BD">
        <w:rPr>
          <w:lang w:val="en-GB"/>
        </w:rPr>
        <w:t>202</w:t>
      </w:r>
      <w:r w:rsidR="00E73322" w:rsidRPr="000434BD">
        <w:rPr>
          <w:lang w:val="en-GB"/>
        </w:rPr>
        <w:t>5</w:t>
      </w:r>
      <w:r w:rsidRPr="000434BD">
        <w:rPr>
          <w:lang w:val="en-GB"/>
        </w:rPr>
        <w:t xml:space="preserve">, the FRC Nominations Committee comprised </w:t>
      </w:r>
      <w:r w:rsidR="00032680" w:rsidRPr="000434BD">
        <w:rPr>
          <w:lang w:val="en-GB"/>
        </w:rPr>
        <w:t xml:space="preserve">FRC members </w:t>
      </w:r>
      <w:r w:rsidR="00F937BA" w:rsidRPr="000434BD">
        <w:rPr>
          <w:lang w:val="en-GB"/>
        </w:rPr>
        <w:t>Rachel Grimes</w:t>
      </w:r>
      <w:r w:rsidRPr="000434BD">
        <w:rPr>
          <w:lang w:val="en-GB"/>
        </w:rPr>
        <w:t xml:space="preserve"> (Chair), Andrew Mills</w:t>
      </w:r>
      <w:r w:rsidR="00EB71F8" w:rsidRPr="000434BD">
        <w:rPr>
          <w:lang w:val="en-GB"/>
        </w:rPr>
        <w:t xml:space="preserve"> (ex officio)</w:t>
      </w:r>
      <w:r w:rsidRPr="000434BD">
        <w:rPr>
          <w:lang w:val="en-GB"/>
        </w:rPr>
        <w:t>, Keith Kendall</w:t>
      </w:r>
      <w:r w:rsidR="00E73322" w:rsidRPr="000434BD">
        <w:rPr>
          <w:lang w:val="en-GB"/>
        </w:rPr>
        <w:t xml:space="preserve">, Doug Niven and </w:t>
      </w:r>
      <w:proofErr w:type="spellStart"/>
      <w:r w:rsidR="00E73322" w:rsidRPr="000434BD">
        <w:rPr>
          <w:lang w:val="en-GB"/>
        </w:rPr>
        <w:t>Pru</w:t>
      </w:r>
      <w:proofErr w:type="spellEnd"/>
      <w:r w:rsidR="00E73322" w:rsidRPr="000434BD">
        <w:rPr>
          <w:lang w:val="en-GB"/>
        </w:rPr>
        <w:t xml:space="preserve"> Benn</w:t>
      </w:r>
      <w:r w:rsidR="00A92025" w:rsidRPr="000434BD">
        <w:rPr>
          <w:lang w:val="en-GB"/>
        </w:rPr>
        <w:t xml:space="preserve">ett. </w:t>
      </w:r>
    </w:p>
    <w:p w14:paraId="5C75F4C3" w14:textId="77777777" w:rsidR="001157FB" w:rsidRPr="00610F4C" w:rsidRDefault="001157FB" w:rsidP="00610F4C">
      <w:pPr>
        <w:pStyle w:val="Heading2"/>
      </w:pPr>
      <w:bookmarkStart w:id="70" w:name="_Toc211627814"/>
      <w:r w:rsidRPr="00610F4C">
        <w:t>Operations of the FRC Nominations Committee</w:t>
      </w:r>
      <w:bookmarkEnd w:id="70"/>
    </w:p>
    <w:p w14:paraId="1FAB048F" w14:textId="48412403" w:rsidR="00AF1BFE" w:rsidRPr="000434BD" w:rsidRDefault="0067706A" w:rsidP="00610F4C">
      <w:pPr>
        <w:rPr>
          <w:lang w:val="en-GB"/>
        </w:rPr>
      </w:pPr>
      <w:r w:rsidRPr="000434BD">
        <w:rPr>
          <w:lang w:val="en-GB"/>
        </w:rPr>
        <w:t>In 202</w:t>
      </w:r>
      <w:r w:rsidR="00A92025" w:rsidRPr="000434BD">
        <w:rPr>
          <w:lang w:val="en-GB"/>
        </w:rPr>
        <w:t>4</w:t>
      </w:r>
      <w:r w:rsidRPr="000434BD">
        <w:rPr>
          <w:lang w:val="en-GB"/>
        </w:rPr>
        <w:t>–2</w:t>
      </w:r>
      <w:r w:rsidR="00A92025" w:rsidRPr="000434BD">
        <w:rPr>
          <w:lang w:val="en-GB"/>
        </w:rPr>
        <w:t>5</w:t>
      </w:r>
      <w:r w:rsidRPr="000434BD">
        <w:rPr>
          <w:lang w:val="en-GB"/>
        </w:rPr>
        <w:t xml:space="preserve">, the FRC Nominations </w:t>
      </w:r>
      <w:r w:rsidR="00AF1BFE" w:rsidRPr="000434BD">
        <w:rPr>
          <w:lang w:val="en-GB"/>
        </w:rPr>
        <w:t xml:space="preserve">Committee: </w:t>
      </w:r>
    </w:p>
    <w:p w14:paraId="4411A113" w14:textId="297E1165" w:rsidR="001157FB" w:rsidRPr="00610F4C" w:rsidRDefault="00776803" w:rsidP="00610F4C">
      <w:pPr>
        <w:pStyle w:val="Bullet"/>
      </w:pPr>
      <w:r w:rsidRPr="00610F4C">
        <w:t>r</w:t>
      </w:r>
      <w:r w:rsidR="001157FB" w:rsidRPr="00610F4C">
        <w:t>eviewed the composition of, and criteria for appointment to, the AASB and the AUASB</w:t>
      </w:r>
    </w:p>
    <w:p w14:paraId="735D38BB" w14:textId="646E1C6B" w:rsidR="001157FB" w:rsidRPr="00610F4C" w:rsidRDefault="00776803" w:rsidP="00610F4C">
      <w:pPr>
        <w:pStyle w:val="Bullet"/>
      </w:pPr>
      <w:r w:rsidRPr="00610F4C">
        <w:t>m</w:t>
      </w:r>
      <w:r w:rsidR="001157FB" w:rsidRPr="00610F4C">
        <w:t>ade recommendations to the FRC for the appointment of members to the AASB and AUASB</w:t>
      </w:r>
    </w:p>
    <w:p w14:paraId="5A564E2D" w14:textId="6F450EB5" w:rsidR="001157FB" w:rsidRPr="00610F4C" w:rsidRDefault="00776803" w:rsidP="00610F4C">
      <w:pPr>
        <w:pStyle w:val="Bullet"/>
      </w:pPr>
      <w:r w:rsidRPr="00610F4C">
        <w:t>r</w:t>
      </w:r>
      <w:r w:rsidR="001157FB" w:rsidRPr="00610F4C">
        <w:t>eviewed the succession needs of the AASB and AUASB</w:t>
      </w:r>
    </w:p>
    <w:p w14:paraId="5320C398" w14:textId="47522DCA" w:rsidR="00784B26" w:rsidRPr="00610F4C" w:rsidRDefault="00776803" w:rsidP="00610F4C">
      <w:pPr>
        <w:pStyle w:val="Bullet"/>
      </w:pPr>
      <w:r w:rsidRPr="00610F4C">
        <w:t>c</w:t>
      </w:r>
      <w:r w:rsidR="001157FB" w:rsidRPr="00610F4C">
        <w:t>onsidered and reported to the FRC on the performance of the AASB and AUASB members including through peer review</w:t>
      </w:r>
    </w:p>
    <w:p w14:paraId="61BE21B5" w14:textId="7F522946" w:rsidR="00175A58" w:rsidRPr="00610F4C" w:rsidRDefault="00776803" w:rsidP="00610F4C">
      <w:pPr>
        <w:pStyle w:val="Bullet"/>
      </w:pPr>
      <w:r w:rsidRPr="00610F4C">
        <w:t>r</w:t>
      </w:r>
      <w:r w:rsidR="00175A58" w:rsidRPr="00610F4C">
        <w:t xml:space="preserve">ecommended changes </w:t>
      </w:r>
      <w:r w:rsidR="00F64E5B" w:rsidRPr="00610F4C">
        <w:t>to</w:t>
      </w:r>
      <w:r w:rsidR="00175A58" w:rsidRPr="00610F4C">
        <w:t xml:space="preserve"> the Nominations Charter to the FRC</w:t>
      </w:r>
      <w:r w:rsidR="00F64E5B" w:rsidRPr="00610F4C">
        <w:t xml:space="preserve"> and effectively streamlined nominations processes</w:t>
      </w:r>
      <w:r w:rsidR="001D6C53" w:rsidRPr="00610F4C">
        <w:t>.</w:t>
      </w:r>
    </w:p>
    <w:p w14:paraId="7277AF80" w14:textId="77777777" w:rsidR="001157FB" w:rsidRPr="00D45D47" w:rsidRDefault="001157FB" w:rsidP="000B66A2">
      <w:pPr>
        <w:pStyle w:val="Heading2"/>
      </w:pPr>
      <w:bookmarkStart w:id="71" w:name="_Toc211627815"/>
      <w:r w:rsidRPr="00D45D47">
        <w:t>Appointment of members to the AASB and AUASB</w:t>
      </w:r>
      <w:bookmarkEnd w:id="71"/>
    </w:p>
    <w:p w14:paraId="0AD88C14" w14:textId="3874B908" w:rsidR="001157FB" w:rsidRPr="000434BD" w:rsidRDefault="001157FB" w:rsidP="00610F4C">
      <w:pPr>
        <w:rPr>
          <w:lang w:val="en-GB"/>
        </w:rPr>
      </w:pPr>
      <w:r w:rsidRPr="000434BD">
        <w:rPr>
          <w:lang w:val="en-GB"/>
        </w:rPr>
        <w:t>In 202</w:t>
      </w:r>
      <w:r w:rsidR="00E9542A" w:rsidRPr="000434BD">
        <w:rPr>
          <w:lang w:val="en-GB"/>
        </w:rPr>
        <w:t>4</w:t>
      </w:r>
      <w:r w:rsidRPr="000434BD">
        <w:rPr>
          <w:lang w:val="en-GB"/>
        </w:rPr>
        <w:t>–2</w:t>
      </w:r>
      <w:r w:rsidR="00E9542A" w:rsidRPr="000434BD">
        <w:rPr>
          <w:lang w:val="en-GB"/>
        </w:rPr>
        <w:t>5</w:t>
      </w:r>
      <w:r w:rsidRPr="000434BD">
        <w:rPr>
          <w:lang w:val="en-GB"/>
        </w:rPr>
        <w:t xml:space="preserve">, the FRC </w:t>
      </w:r>
      <w:r w:rsidR="00074DE0" w:rsidRPr="000434BD">
        <w:rPr>
          <w:lang w:val="en-GB"/>
        </w:rPr>
        <w:t xml:space="preserve">Nominations Committee recommended the </w:t>
      </w:r>
      <w:r w:rsidRPr="000434BD">
        <w:rPr>
          <w:lang w:val="en-GB"/>
        </w:rPr>
        <w:t xml:space="preserve">following </w:t>
      </w:r>
      <w:r w:rsidR="008378C5" w:rsidRPr="000434BD">
        <w:rPr>
          <w:lang w:val="en-GB"/>
        </w:rPr>
        <w:t xml:space="preserve">appointments and </w:t>
      </w:r>
      <w:r w:rsidRPr="000434BD">
        <w:rPr>
          <w:lang w:val="en-GB"/>
        </w:rPr>
        <w:t>reappointments to the AASB and AUASB.</w:t>
      </w:r>
      <w:r w:rsidR="00074DE0" w:rsidRPr="000434BD">
        <w:rPr>
          <w:lang w:val="en-GB"/>
        </w:rPr>
        <w:t xml:space="preserve"> These recommendations were accepted by the FRC. </w:t>
      </w:r>
    </w:p>
    <w:p w14:paraId="26556C56" w14:textId="77777777" w:rsidR="00861F10" w:rsidRPr="000434BD" w:rsidRDefault="00861F10" w:rsidP="00610F4C">
      <w:pPr>
        <w:pStyle w:val="Heading3"/>
      </w:pPr>
      <w:r w:rsidRPr="000434BD">
        <w:t>AASB</w:t>
      </w:r>
    </w:p>
    <w:p w14:paraId="1DF592FF" w14:textId="191922AF" w:rsidR="00AB579F" w:rsidRPr="00610F4C" w:rsidRDefault="008378C5" w:rsidP="00610F4C">
      <w:pPr>
        <w:pStyle w:val="Bullet"/>
      </w:pPr>
      <w:r w:rsidRPr="00610F4C">
        <w:t>Rebecca Gordon (appointment commenced 1 January 2025)</w:t>
      </w:r>
    </w:p>
    <w:p w14:paraId="38798FB6" w14:textId="11F660E4" w:rsidR="00EB344E" w:rsidRPr="00610F4C" w:rsidRDefault="00837E56" w:rsidP="00610F4C">
      <w:pPr>
        <w:pStyle w:val="Bullet"/>
      </w:pPr>
      <w:r w:rsidRPr="00610F4C">
        <w:t xml:space="preserve">Sean </w:t>
      </w:r>
      <w:r w:rsidR="003D7783" w:rsidRPr="00610F4C">
        <w:t>Osborn</w:t>
      </w:r>
      <w:r w:rsidR="00B75A42" w:rsidRPr="00610F4C">
        <w:t xml:space="preserve"> </w:t>
      </w:r>
      <w:r w:rsidR="00002AA5" w:rsidRPr="00610F4C">
        <w:t>(</w:t>
      </w:r>
      <w:r w:rsidR="003D7783" w:rsidRPr="00610F4C">
        <w:t>re</w:t>
      </w:r>
      <w:r w:rsidR="00002AA5" w:rsidRPr="00610F4C">
        <w:t xml:space="preserve">appointment commenced </w:t>
      </w:r>
      <w:r w:rsidR="002066AD" w:rsidRPr="00610F4C">
        <w:t>22 February 2025)</w:t>
      </w:r>
    </w:p>
    <w:p w14:paraId="64594280" w14:textId="77777777" w:rsidR="001157FB" w:rsidRPr="000434BD" w:rsidRDefault="001157FB" w:rsidP="00610F4C">
      <w:pPr>
        <w:pStyle w:val="Heading3"/>
      </w:pPr>
      <w:r w:rsidRPr="000434BD">
        <w:t>AUASB</w:t>
      </w:r>
    </w:p>
    <w:p w14:paraId="13103285" w14:textId="4A2DF72A" w:rsidR="00C725A8" w:rsidRPr="000434BD" w:rsidRDefault="00C725A8" w:rsidP="003B326A">
      <w:pPr>
        <w:pStyle w:val="Bullet"/>
        <w:rPr>
          <w:lang w:val="en-GB"/>
        </w:rPr>
      </w:pPr>
      <w:proofErr w:type="spellStart"/>
      <w:r w:rsidRPr="000434BD">
        <w:rPr>
          <w:lang w:val="en-GB"/>
        </w:rPr>
        <w:t>Klynton</w:t>
      </w:r>
      <w:proofErr w:type="spellEnd"/>
      <w:r w:rsidRPr="000434BD">
        <w:rPr>
          <w:lang w:val="en-GB"/>
        </w:rPr>
        <w:t xml:space="preserve"> Hankin (</w:t>
      </w:r>
      <w:r w:rsidR="008378C5" w:rsidRPr="000434BD">
        <w:rPr>
          <w:lang w:val="en-GB"/>
        </w:rPr>
        <w:t>re</w:t>
      </w:r>
      <w:r w:rsidRPr="000434BD">
        <w:rPr>
          <w:lang w:val="en-GB"/>
        </w:rPr>
        <w:t xml:space="preserve">appointment commenced </w:t>
      </w:r>
      <w:r w:rsidR="00A049DF" w:rsidRPr="000434BD">
        <w:rPr>
          <w:lang w:val="en-GB"/>
        </w:rPr>
        <w:t>1 January</w:t>
      </w:r>
      <w:r w:rsidRPr="000434BD">
        <w:rPr>
          <w:lang w:val="en-GB"/>
        </w:rPr>
        <w:t xml:space="preserve"> 2025)</w:t>
      </w:r>
    </w:p>
    <w:p w14:paraId="0F4D5F74" w14:textId="0F940B63" w:rsidR="00C725A8" w:rsidRPr="000434BD" w:rsidRDefault="00C725A8" w:rsidP="003B326A">
      <w:pPr>
        <w:pStyle w:val="Bullet"/>
        <w:rPr>
          <w:lang w:val="en-GB"/>
        </w:rPr>
      </w:pPr>
      <w:r w:rsidRPr="000434BD">
        <w:rPr>
          <w:lang w:val="en-GB"/>
        </w:rPr>
        <w:t>Jennifer Travers</w:t>
      </w:r>
      <w:r w:rsidR="008378C5" w:rsidRPr="000434BD">
        <w:rPr>
          <w:lang w:val="en-GB"/>
        </w:rPr>
        <w:t xml:space="preserve"> (appointment commenced </w:t>
      </w:r>
      <w:r w:rsidR="008765C8" w:rsidRPr="000434BD">
        <w:rPr>
          <w:lang w:val="en-GB"/>
        </w:rPr>
        <w:t>1 January</w:t>
      </w:r>
      <w:r w:rsidR="008378C5" w:rsidRPr="000434BD">
        <w:rPr>
          <w:lang w:val="en-GB"/>
        </w:rPr>
        <w:t xml:space="preserve"> 2025)</w:t>
      </w:r>
    </w:p>
    <w:p w14:paraId="524A8DBC" w14:textId="4623B07B" w:rsidR="00C725A8" w:rsidRPr="000434BD" w:rsidRDefault="00C725A8" w:rsidP="003B326A">
      <w:pPr>
        <w:pStyle w:val="Bullet"/>
        <w:rPr>
          <w:lang w:val="en-GB"/>
        </w:rPr>
      </w:pPr>
      <w:r w:rsidRPr="000434BD">
        <w:rPr>
          <w:lang w:val="en-GB"/>
        </w:rPr>
        <w:t>Joanne Lonergan</w:t>
      </w:r>
      <w:r w:rsidR="00890626" w:rsidRPr="000434BD">
        <w:rPr>
          <w:lang w:val="en-GB"/>
        </w:rPr>
        <w:t xml:space="preserve"> (</w:t>
      </w:r>
      <w:r w:rsidR="008378C5" w:rsidRPr="000434BD">
        <w:rPr>
          <w:lang w:val="en-GB"/>
        </w:rPr>
        <w:t>re</w:t>
      </w:r>
      <w:r w:rsidR="00890626" w:rsidRPr="000434BD">
        <w:rPr>
          <w:lang w:val="en-GB"/>
        </w:rPr>
        <w:t xml:space="preserve">appointment commenced </w:t>
      </w:r>
      <w:r w:rsidR="00B049A9" w:rsidRPr="000434BD">
        <w:rPr>
          <w:lang w:val="en-GB"/>
        </w:rPr>
        <w:t>1 January</w:t>
      </w:r>
      <w:r w:rsidR="00890626" w:rsidRPr="000434BD">
        <w:rPr>
          <w:lang w:val="en-GB"/>
        </w:rPr>
        <w:t xml:space="preserve"> 2025)</w:t>
      </w:r>
    </w:p>
    <w:p w14:paraId="5BE07FA5" w14:textId="02BD9AEE" w:rsidR="006221BD" w:rsidRPr="00610F4C" w:rsidRDefault="002066AD" w:rsidP="00610F4C">
      <w:pPr>
        <w:pStyle w:val="Bullet"/>
        <w:rPr>
          <w:lang w:val="en-GB"/>
        </w:rPr>
      </w:pPr>
      <w:r w:rsidRPr="000434BD">
        <w:rPr>
          <w:lang w:val="en-GB"/>
        </w:rPr>
        <w:t>Merilyn Gwan</w:t>
      </w:r>
      <w:r w:rsidR="004F43B1" w:rsidRPr="000434BD">
        <w:rPr>
          <w:lang w:val="en-GB"/>
        </w:rPr>
        <w:t xml:space="preserve"> </w:t>
      </w:r>
      <w:r w:rsidR="00B75A42" w:rsidRPr="000434BD">
        <w:rPr>
          <w:lang w:val="en-GB"/>
        </w:rPr>
        <w:t xml:space="preserve">(appointment commenced </w:t>
      </w:r>
      <w:r w:rsidRPr="000434BD">
        <w:rPr>
          <w:lang w:val="en-GB"/>
        </w:rPr>
        <w:t>22 February 2025)</w:t>
      </w:r>
    </w:p>
    <w:p w14:paraId="76AE0381" w14:textId="77777777" w:rsidR="00610F4C" w:rsidRDefault="00610F4C" w:rsidP="00610F4C">
      <w:pPr>
        <w:pStyle w:val="Heading2"/>
      </w:pPr>
      <w:r>
        <w:br w:type="page"/>
      </w:r>
    </w:p>
    <w:p w14:paraId="26B8C7E7" w14:textId="7778F723" w:rsidR="001157FB" w:rsidRPr="00610F4C" w:rsidRDefault="001157FB" w:rsidP="00610F4C">
      <w:pPr>
        <w:pStyle w:val="Heading2"/>
      </w:pPr>
      <w:bookmarkStart w:id="72" w:name="_Toc211627816"/>
      <w:r w:rsidRPr="00610F4C">
        <w:t>Attendance at FRC Nominations Committee meetings</w:t>
      </w:r>
      <w:bookmarkEnd w:id="72"/>
    </w:p>
    <w:p w14:paraId="30958E4A" w14:textId="5364DBE7" w:rsidR="001157FB" w:rsidRPr="000434BD" w:rsidRDefault="001157FB" w:rsidP="00610F4C">
      <w:pPr>
        <w:rPr>
          <w:lang w:val="en-GB"/>
        </w:rPr>
      </w:pPr>
      <w:r w:rsidRPr="000434BD">
        <w:rPr>
          <w:lang w:val="en-GB"/>
        </w:rPr>
        <w:t xml:space="preserve">The FRC Nominations Committee held </w:t>
      </w:r>
      <w:r w:rsidR="003C7C0D" w:rsidRPr="000434BD">
        <w:rPr>
          <w:lang w:val="en-GB"/>
        </w:rPr>
        <w:t>2</w:t>
      </w:r>
      <w:r w:rsidR="00825443" w:rsidRPr="000434BD">
        <w:rPr>
          <w:lang w:val="en-GB"/>
        </w:rPr>
        <w:t xml:space="preserve"> </w:t>
      </w:r>
      <w:r w:rsidRPr="000434BD">
        <w:rPr>
          <w:lang w:val="en-GB"/>
        </w:rPr>
        <w:t>meetings in 202</w:t>
      </w:r>
      <w:r w:rsidR="00D63556" w:rsidRPr="000434BD">
        <w:rPr>
          <w:lang w:val="en-GB"/>
        </w:rPr>
        <w:t>4</w:t>
      </w:r>
      <w:r w:rsidRPr="000434BD">
        <w:rPr>
          <w:lang w:val="en-GB"/>
        </w:rPr>
        <w:t>–2</w:t>
      </w:r>
      <w:r w:rsidR="00D63556" w:rsidRPr="000434BD">
        <w:rPr>
          <w:lang w:val="en-GB"/>
        </w:rPr>
        <w:t>5</w:t>
      </w:r>
      <w:r w:rsidRPr="000434BD">
        <w:rPr>
          <w:lang w:val="en-GB"/>
        </w:rPr>
        <w:t>.</w:t>
      </w:r>
      <w:r w:rsidR="00850184" w:rsidRPr="000434BD">
        <w:rPr>
          <w:lang w:val="en-GB"/>
        </w:rPr>
        <w:t xml:space="preserve"> </w:t>
      </w:r>
      <w:r w:rsidRPr="000434BD">
        <w:rPr>
          <w:lang w:val="en-GB"/>
        </w:rPr>
        <w:t xml:space="preserve">Members’ attendance is in </w:t>
      </w:r>
      <w:r w:rsidR="00414B5D" w:rsidRPr="000434BD">
        <w:rPr>
          <w:lang w:val="en-GB"/>
        </w:rPr>
        <w:t>Table</w:t>
      </w:r>
      <w:r w:rsidR="005202FE" w:rsidRPr="000434BD">
        <w:rPr>
          <w:lang w:val="en-GB"/>
        </w:rPr>
        <w:t> </w:t>
      </w:r>
      <w:r w:rsidR="00DC0298" w:rsidRPr="000434BD">
        <w:rPr>
          <w:lang w:val="en-GB"/>
        </w:rPr>
        <w:t>5</w:t>
      </w:r>
      <w:r w:rsidR="00414B5D" w:rsidRPr="000434BD">
        <w:rPr>
          <w:lang w:val="en-GB"/>
        </w:rPr>
        <w:t xml:space="preserve">.1. </w:t>
      </w:r>
    </w:p>
    <w:p w14:paraId="7480775C" w14:textId="57A161A4" w:rsidR="001157FB" w:rsidRPr="00AE453E" w:rsidRDefault="001157FB" w:rsidP="00610F4C">
      <w:pPr>
        <w:pStyle w:val="TableMainHeading"/>
      </w:pPr>
      <w:r w:rsidRPr="00AE453E">
        <w:t xml:space="preserve">Table </w:t>
      </w:r>
      <w:r w:rsidR="00DC0298" w:rsidRPr="00AE453E">
        <w:t>5</w:t>
      </w:r>
      <w:r w:rsidRPr="00AE453E">
        <w:t>.1: FRC Nominations Committee meeting attendance in 202</w:t>
      </w:r>
      <w:r w:rsidR="005E565E" w:rsidRPr="00AE453E">
        <w:t>4</w:t>
      </w:r>
      <w:r w:rsidRPr="00AE453E">
        <w:t>–2</w:t>
      </w:r>
      <w:r w:rsidR="005E565E" w:rsidRPr="00AE453E">
        <w:t>5</w:t>
      </w:r>
    </w:p>
    <w:tbl>
      <w:tblPr>
        <w:tblStyle w:val="DefaultTable"/>
        <w:tblW w:w="5000" w:type="pct"/>
        <w:tblBorders>
          <w:left w:val="none" w:sz="0" w:space="0" w:color="auto"/>
          <w:right w:val="none" w:sz="0" w:space="0" w:color="auto"/>
        </w:tblBorders>
        <w:tblLook w:val="04A0" w:firstRow="1" w:lastRow="0" w:firstColumn="1" w:lastColumn="0" w:noHBand="0" w:noVBand="1"/>
      </w:tblPr>
      <w:tblGrid>
        <w:gridCol w:w="3567"/>
        <w:gridCol w:w="5503"/>
      </w:tblGrid>
      <w:tr w:rsidR="00850184" w:rsidRPr="00F061F9" w14:paraId="18627091" w14:textId="77777777" w:rsidTr="006A545E">
        <w:tc>
          <w:tcPr>
            <w:tcW w:w="2943" w:type="dxa"/>
            <w:tcBorders>
              <w:top w:val="nil"/>
              <w:bottom w:val="nil"/>
              <w:right w:val="single" w:sz="12" w:space="0" w:color="365862" w:themeColor="accent1" w:themeShade="BF"/>
            </w:tcBorders>
            <w:shd w:val="clear" w:color="auto" w:fill="D7E5E9" w:themeFill="accent1" w:themeFillTint="33"/>
          </w:tcPr>
          <w:p w14:paraId="30F1BCF9" w14:textId="77777777" w:rsidR="00850184" w:rsidRPr="00610F4C" w:rsidRDefault="00850184" w:rsidP="00610F4C">
            <w:pPr>
              <w:pStyle w:val="TableColumnHeadingCentred"/>
            </w:pPr>
            <w:r w:rsidRPr="00610F4C">
              <w:t>Member</w:t>
            </w:r>
          </w:p>
        </w:tc>
        <w:tc>
          <w:tcPr>
            <w:tcW w:w="4540" w:type="dxa"/>
            <w:tcBorders>
              <w:top w:val="nil"/>
              <w:left w:val="single" w:sz="12" w:space="0" w:color="365862" w:themeColor="accent1" w:themeShade="BF"/>
              <w:bottom w:val="nil"/>
            </w:tcBorders>
            <w:shd w:val="clear" w:color="auto" w:fill="D7E5E9" w:themeFill="accent1" w:themeFillTint="33"/>
          </w:tcPr>
          <w:p w14:paraId="44EB77DF" w14:textId="2B9F89C7" w:rsidR="00850184" w:rsidRPr="00610F4C" w:rsidRDefault="007D6C8F" w:rsidP="00610F4C">
            <w:pPr>
              <w:pStyle w:val="TableColumnHeadingCentred"/>
            </w:pPr>
            <w:r w:rsidRPr="00610F4C">
              <w:t xml:space="preserve">Number of </w:t>
            </w:r>
            <w:r w:rsidR="00850184" w:rsidRPr="00610F4C">
              <w:t xml:space="preserve">eligible </w:t>
            </w:r>
            <w:r w:rsidRPr="00610F4C">
              <w:t xml:space="preserve">meetings </w:t>
            </w:r>
            <w:r w:rsidR="00850184" w:rsidRPr="00610F4C">
              <w:t>attend</w:t>
            </w:r>
            <w:r w:rsidRPr="00610F4C">
              <w:t>ed</w:t>
            </w:r>
          </w:p>
        </w:tc>
      </w:tr>
      <w:tr w:rsidR="00850184" w:rsidRPr="00F061F9" w14:paraId="3BDA217F" w14:textId="77777777" w:rsidTr="006A545E">
        <w:tc>
          <w:tcPr>
            <w:tcW w:w="2943" w:type="dxa"/>
            <w:tcBorders>
              <w:top w:val="nil"/>
              <w:bottom w:val="single" w:sz="4" w:space="0" w:color="89B2BD" w:themeColor="accent1" w:themeTint="99"/>
              <w:right w:val="single" w:sz="12" w:space="0" w:color="365862" w:themeColor="accent1" w:themeShade="BF"/>
            </w:tcBorders>
          </w:tcPr>
          <w:p w14:paraId="13853A41" w14:textId="2BD9BCDF" w:rsidR="00850184" w:rsidRPr="00F80DF3" w:rsidRDefault="00777473" w:rsidP="00610F4C">
            <w:pPr>
              <w:pStyle w:val="TableTextLeft"/>
              <w:rPr>
                <w:lang w:val="en-GB"/>
              </w:rPr>
            </w:pPr>
            <w:r w:rsidRPr="00F80DF3">
              <w:t>Rachel Grimes</w:t>
            </w:r>
            <w:r w:rsidR="004B7E79" w:rsidRPr="00F80DF3">
              <w:t xml:space="preserve"> </w:t>
            </w:r>
            <w:r w:rsidR="00850184" w:rsidRPr="00F80DF3">
              <w:rPr>
                <w:lang w:val="en-GB"/>
              </w:rPr>
              <w:t>(Chair)</w:t>
            </w:r>
          </w:p>
        </w:tc>
        <w:tc>
          <w:tcPr>
            <w:tcW w:w="4540" w:type="dxa"/>
            <w:tcBorders>
              <w:top w:val="nil"/>
              <w:left w:val="single" w:sz="12" w:space="0" w:color="365862" w:themeColor="accent1" w:themeShade="BF"/>
              <w:bottom w:val="single" w:sz="4" w:space="0" w:color="89B2BD" w:themeColor="accent1" w:themeTint="99"/>
            </w:tcBorders>
          </w:tcPr>
          <w:p w14:paraId="79187F57" w14:textId="3B6E6194" w:rsidR="00850184" w:rsidRPr="00F80DF3" w:rsidRDefault="003C7C0D" w:rsidP="00610F4C">
            <w:pPr>
              <w:pStyle w:val="TableTextLeft"/>
              <w:rPr>
                <w:lang w:val="en-GB"/>
              </w:rPr>
            </w:pPr>
            <w:r w:rsidRPr="00F80DF3">
              <w:rPr>
                <w:lang w:val="en-GB"/>
              </w:rPr>
              <w:t>2</w:t>
            </w:r>
            <w:r w:rsidR="001A04F3" w:rsidRPr="00F80DF3">
              <w:rPr>
                <w:lang w:val="en-GB"/>
              </w:rPr>
              <w:t xml:space="preserve"> of </w:t>
            </w:r>
            <w:r w:rsidRPr="00F80DF3">
              <w:rPr>
                <w:lang w:val="en-GB"/>
              </w:rPr>
              <w:t>2</w:t>
            </w:r>
          </w:p>
        </w:tc>
      </w:tr>
      <w:tr w:rsidR="001A04F3" w:rsidRPr="00F061F9" w14:paraId="252D3452" w14:textId="77777777" w:rsidTr="006A545E">
        <w:tc>
          <w:tcPr>
            <w:tcW w:w="2943" w:type="dxa"/>
            <w:tcBorders>
              <w:top w:val="single" w:sz="4" w:space="0" w:color="89B2BD" w:themeColor="accent1" w:themeTint="99"/>
              <w:bottom w:val="single" w:sz="4" w:space="0" w:color="89B2BD" w:themeColor="accent1" w:themeTint="99"/>
              <w:right w:val="single" w:sz="12" w:space="0" w:color="365862" w:themeColor="accent1" w:themeShade="BF"/>
            </w:tcBorders>
          </w:tcPr>
          <w:p w14:paraId="6475A5C6" w14:textId="0EB61792" w:rsidR="001A04F3" w:rsidRPr="00F80DF3" w:rsidRDefault="001A04F3" w:rsidP="00610F4C">
            <w:pPr>
              <w:pStyle w:val="TableTextLeft"/>
              <w:rPr>
                <w:lang w:val="en-GB"/>
              </w:rPr>
            </w:pPr>
            <w:r w:rsidRPr="00F80DF3">
              <w:rPr>
                <w:lang w:val="en-GB"/>
              </w:rPr>
              <w:t>A Mills</w:t>
            </w:r>
            <w:r w:rsidR="0090187C" w:rsidRPr="00F80DF3">
              <w:rPr>
                <w:lang w:val="en-GB"/>
              </w:rPr>
              <w:t xml:space="preserve"> (ex officio)</w:t>
            </w:r>
          </w:p>
        </w:tc>
        <w:tc>
          <w:tcPr>
            <w:tcW w:w="4540" w:type="dxa"/>
            <w:tcBorders>
              <w:top w:val="single" w:sz="4" w:space="0" w:color="89B2BD" w:themeColor="accent1" w:themeTint="99"/>
              <w:left w:val="single" w:sz="12" w:space="0" w:color="365862" w:themeColor="accent1" w:themeShade="BF"/>
              <w:bottom w:val="single" w:sz="4" w:space="0" w:color="89B2BD" w:themeColor="accent1" w:themeTint="99"/>
            </w:tcBorders>
          </w:tcPr>
          <w:p w14:paraId="10659C63" w14:textId="2F45EA75" w:rsidR="001A04F3" w:rsidRPr="00F80DF3" w:rsidRDefault="003C7C0D" w:rsidP="00610F4C">
            <w:pPr>
              <w:pStyle w:val="TableTextLeft"/>
              <w:rPr>
                <w:lang w:val="en-GB"/>
              </w:rPr>
            </w:pPr>
            <w:r w:rsidRPr="00F80DF3">
              <w:rPr>
                <w:lang w:val="en-GB"/>
              </w:rPr>
              <w:t>2</w:t>
            </w:r>
            <w:r w:rsidR="00D63556" w:rsidRPr="00F80DF3">
              <w:rPr>
                <w:lang w:val="en-GB"/>
              </w:rPr>
              <w:t xml:space="preserve"> of </w:t>
            </w:r>
            <w:r w:rsidRPr="00F80DF3">
              <w:rPr>
                <w:lang w:val="en-GB"/>
              </w:rPr>
              <w:t>2</w:t>
            </w:r>
          </w:p>
        </w:tc>
      </w:tr>
      <w:tr w:rsidR="008C15F2" w:rsidRPr="00F061F9" w14:paraId="26CAC67E" w14:textId="77777777" w:rsidTr="006A545E">
        <w:tc>
          <w:tcPr>
            <w:tcW w:w="2943" w:type="dxa"/>
            <w:tcBorders>
              <w:top w:val="single" w:sz="4" w:space="0" w:color="89B2BD" w:themeColor="accent1" w:themeTint="99"/>
              <w:bottom w:val="single" w:sz="4" w:space="0" w:color="89B2BD" w:themeColor="accent1" w:themeTint="99"/>
              <w:right w:val="single" w:sz="12" w:space="0" w:color="365862" w:themeColor="accent1" w:themeShade="BF"/>
            </w:tcBorders>
          </w:tcPr>
          <w:p w14:paraId="5626F669" w14:textId="6353AA76" w:rsidR="008C15F2" w:rsidRPr="00F80DF3" w:rsidRDefault="008C15F2" w:rsidP="00610F4C">
            <w:pPr>
              <w:pStyle w:val="TableTextLeft"/>
              <w:rPr>
                <w:lang w:val="en-GB"/>
              </w:rPr>
            </w:pPr>
            <w:r w:rsidRPr="00F80DF3">
              <w:rPr>
                <w:lang w:val="en-GB"/>
              </w:rPr>
              <w:t>D Niven</w:t>
            </w:r>
          </w:p>
        </w:tc>
        <w:tc>
          <w:tcPr>
            <w:tcW w:w="4540" w:type="dxa"/>
            <w:tcBorders>
              <w:top w:val="single" w:sz="4" w:space="0" w:color="89B2BD" w:themeColor="accent1" w:themeTint="99"/>
              <w:left w:val="single" w:sz="12" w:space="0" w:color="365862" w:themeColor="accent1" w:themeShade="BF"/>
              <w:bottom w:val="single" w:sz="4" w:space="0" w:color="89B2BD" w:themeColor="accent1" w:themeTint="99"/>
            </w:tcBorders>
          </w:tcPr>
          <w:p w14:paraId="2FC80093" w14:textId="1BBF6AD1" w:rsidR="008C15F2" w:rsidRPr="00F80DF3" w:rsidRDefault="008C15F2" w:rsidP="00610F4C">
            <w:pPr>
              <w:pStyle w:val="TableTextLeft"/>
              <w:rPr>
                <w:lang w:val="en-GB"/>
              </w:rPr>
            </w:pPr>
            <w:r w:rsidRPr="00F80DF3">
              <w:rPr>
                <w:lang w:val="en-GB"/>
              </w:rPr>
              <w:t>2 of 2</w:t>
            </w:r>
          </w:p>
        </w:tc>
      </w:tr>
      <w:tr w:rsidR="008C15F2" w:rsidRPr="00F061F9" w14:paraId="4B0D65EA" w14:textId="77777777" w:rsidTr="006A545E">
        <w:tc>
          <w:tcPr>
            <w:tcW w:w="2943" w:type="dxa"/>
            <w:tcBorders>
              <w:top w:val="single" w:sz="4" w:space="0" w:color="89B2BD" w:themeColor="accent1" w:themeTint="99"/>
              <w:bottom w:val="single" w:sz="4" w:space="0" w:color="89B2BD" w:themeColor="accent1" w:themeTint="99"/>
              <w:right w:val="single" w:sz="12" w:space="0" w:color="365862" w:themeColor="accent1" w:themeShade="BF"/>
            </w:tcBorders>
          </w:tcPr>
          <w:p w14:paraId="22AD85F1" w14:textId="6B617906" w:rsidR="008C15F2" w:rsidRPr="00F80DF3" w:rsidRDefault="008C15F2" w:rsidP="00610F4C">
            <w:pPr>
              <w:pStyle w:val="TableTextLeft"/>
              <w:rPr>
                <w:lang w:val="en-GB"/>
              </w:rPr>
            </w:pPr>
            <w:r w:rsidRPr="00F80DF3">
              <w:rPr>
                <w:lang w:val="en-GB"/>
              </w:rPr>
              <w:t xml:space="preserve">K Kendall </w:t>
            </w:r>
          </w:p>
        </w:tc>
        <w:tc>
          <w:tcPr>
            <w:tcW w:w="4540" w:type="dxa"/>
            <w:tcBorders>
              <w:top w:val="single" w:sz="4" w:space="0" w:color="89B2BD" w:themeColor="accent1" w:themeTint="99"/>
              <w:left w:val="single" w:sz="12" w:space="0" w:color="365862" w:themeColor="accent1" w:themeShade="BF"/>
              <w:bottom w:val="single" w:sz="4" w:space="0" w:color="89B2BD" w:themeColor="accent1" w:themeTint="99"/>
            </w:tcBorders>
          </w:tcPr>
          <w:p w14:paraId="75F820C0" w14:textId="156CBE50" w:rsidR="008C15F2" w:rsidRPr="00F80DF3" w:rsidRDefault="008C15F2" w:rsidP="00610F4C">
            <w:pPr>
              <w:pStyle w:val="TableTextLeft"/>
              <w:rPr>
                <w:lang w:val="en-GB"/>
              </w:rPr>
            </w:pPr>
            <w:r w:rsidRPr="00F80DF3">
              <w:rPr>
                <w:lang w:val="en-GB"/>
              </w:rPr>
              <w:t>2 of 2</w:t>
            </w:r>
          </w:p>
        </w:tc>
      </w:tr>
      <w:tr w:rsidR="008C15F2" w:rsidRPr="00F061F9" w14:paraId="250B8507" w14:textId="77777777" w:rsidTr="006A545E">
        <w:tc>
          <w:tcPr>
            <w:tcW w:w="2943" w:type="dxa"/>
            <w:tcBorders>
              <w:top w:val="single" w:sz="4" w:space="0" w:color="89B2BD" w:themeColor="accent1" w:themeTint="99"/>
              <w:bottom w:val="nil"/>
              <w:right w:val="single" w:sz="12" w:space="0" w:color="365862" w:themeColor="accent1" w:themeShade="BF"/>
            </w:tcBorders>
          </w:tcPr>
          <w:p w14:paraId="3A43C666" w14:textId="4A87D472" w:rsidR="008C15F2" w:rsidRPr="00F80DF3" w:rsidRDefault="008C15F2" w:rsidP="00610F4C">
            <w:pPr>
              <w:pStyle w:val="TableTextLeft"/>
              <w:rPr>
                <w:lang w:val="en-GB"/>
              </w:rPr>
            </w:pPr>
            <w:r w:rsidRPr="00F80DF3">
              <w:rPr>
                <w:lang w:val="en-GB"/>
              </w:rPr>
              <w:t>P Bennett</w:t>
            </w:r>
          </w:p>
        </w:tc>
        <w:tc>
          <w:tcPr>
            <w:tcW w:w="4540" w:type="dxa"/>
            <w:tcBorders>
              <w:top w:val="single" w:sz="4" w:space="0" w:color="89B2BD" w:themeColor="accent1" w:themeTint="99"/>
              <w:left w:val="single" w:sz="12" w:space="0" w:color="365862" w:themeColor="accent1" w:themeShade="BF"/>
              <w:bottom w:val="nil"/>
            </w:tcBorders>
          </w:tcPr>
          <w:p w14:paraId="551F18E9" w14:textId="478D4A34" w:rsidR="008C15F2" w:rsidRPr="00F80DF3" w:rsidRDefault="008C15F2" w:rsidP="00610F4C">
            <w:pPr>
              <w:pStyle w:val="TableTextLeft"/>
              <w:rPr>
                <w:lang w:val="en-GB"/>
              </w:rPr>
            </w:pPr>
            <w:r w:rsidRPr="00F80DF3">
              <w:rPr>
                <w:lang w:val="en-GB"/>
              </w:rPr>
              <w:t>1 of 2</w:t>
            </w:r>
          </w:p>
        </w:tc>
      </w:tr>
    </w:tbl>
    <w:p w14:paraId="03A3509F" w14:textId="77777777" w:rsidR="00620B7E" w:rsidRDefault="00620B7E" w:rsidP="00620B7E">
      <w:pPr>
        <w:pStyle w:val="Heading1"/>
        <w:sectPr w:rsidR="00620B7E" w:rsidSect="005E5EE1">
          <w:pgSz w:w="11906" w:h="16838" w:code="9"/>
          <w:pgMar w:top="1843" w:right="1418" w:bottom="1418" w:left="1418" w:header="708" w:footer="708" w:gutter="0"/>
          <w:cols w:space="708"/>
          <w:titlePg/>
          <w:docGrid w:linePitch="360"/>
        </w:sectPr>
      </w:pPr>
    </w:p>
    <w:p w14:paraId="0054A486" w14:textId="0424B130" w:rsidR="00502EFA" w:rsidRPr="00620B7E" w:rsidRDefault="00546F47" w:rsidP="00620B7E">
      <w:pPr>
        <w:pStyle w:val="Heading1"/>
      </w:pPr>
      <w:bookmarkStart w:id="73" w:name="_Toc211627817"/>
      <w:r w:rsidRPr="00D45D47">
        <w:t>FRC Public Sector Advisory Group</w:t>
      </w:r>
      <w:r w:rsidR="002F3E02">
        <w:t xml:space="preserve"> (PSAG)</w:t>
      </w:r>
      <w:bookmarkEnd w:id="73"/>
    </w:p>
    <w:p w14:paraId="68A030F2" w14:textId="48563307" w:rsidR="006030DA" w:rsidRPr="00620B7E" w:rsidRDefault="006030DA" w:rsidP="00546F47">
      <w:r w:rsidRPr="00C8657F">
        <w:t>The FRC monitors financial reporting and auditing issues relevant to the public sector through its FRC PSAG</w:t>
      </w:r>
      <w:r w:rsidR="001242B7" w:rsidRPr="00C8657F">
        <w:t>.</w:t>
      </w:r>
      <w:r w:rsidR="004B7E79" w:rsidRPr="00C8657F">
        <w:t xml:space="preserve"> The group</w:t>
      </w:r>
      <w:r w:rsidRPr="00C8657F">
        <w:t xml:space="preserve"> compris</w:t>
      </w:r>
      <w:r w:rsidR="004B7E79" w:rsidRPr="00C8657F">
        <w:t>es</w:t>
      </w:r>
      <w:r w:rsidRPr="00C8657F">
        <w:t xml:space="preserve"> members of the FRC and public sector.</w:t>
      </w:r>
    </w:p>
    <w:p w14:paraId="1954C5A5" w14:textId="270367DC" w:rsidR="006812C8" w:rsidRPr="00C8657F" w:rsidRDefault="0087705E" w:rsidP="00620B7E">
      <w:r w:rsidRPr="00C8657F">
        <w:t xml:space="preserve">As </w:t>
      </w:r>
      <w:r w:rsidR="00C8462F" w:rsidRPr="00C8657F">
        <w:t xml:space="preserve">of </w:t>
      </w:r>
      <w:r w:rsidRPr="00C8657F">
        <w:t xml:space="preserve">30 June </w:t>
      </w:r>
      <w:r w:rsidR="00C8462F" w:rsidRPr="00C8657F">
        <w:t>202</w:t>
      </w:r>
      <w:r w:rsidR="00792956" w:rsidRPr="00C8657F">
        <w:t>5</w:t>
      </w:r>
      <w:r w:rsidRPr="00C8657F">
        <w:t xml:space="preserve">, the </w:t>
      </w:r>
      <w:r w:rsidR="004D5323" w:rsidRPr="00C8657F">
        <w:t xml:space="preserve">PSAG members </w:t>
      </w:r>
      <w:r w:rsidRPr="00C8657F">
        <w:t>were</w:t>
      </w:r>
      <w:r w:rsidR="004D5323" w:rsidRPr="00C8657F">
        <w:t>:</w:t>
      </w:r>
    </w:p>
    <w:p w14:paraId="7A43325A" w14:textId="69E5AE9B" w:rsidR="00262C0F" w:rsidRPr="00620B7E" w:rsidRDefault="00262C0F" w:rsidP="00620B7E">
      <w:pPr>
        <w:pStyle w:val="Bullet"/>
      </w:pPr>
      <w:r w:rsidRPr="00620B7E">
        <w:rPr>
          <w:b/>
          <w:bCs/>
        </w:rPr>
        <w:t>Amy Fox</w:t>
      </w:r>
      <w:r w:rsidRPr="00620B7E">
        <w:t xml:space="preserve"> </w:t>
      </w:r>
      <w:r w:rsidR="002267DB" w:rsidRPr="00620B7E">
        <w:t>–</w:t>
      </w:r>
      <w:r w:rsidRPr="00620B7E">
        <w:t xml:space="preserve"> Department of Finance </w:t>
      </w:r>
      <w:r w:rsidR="001242B7" w:rsidRPr="00620B7E">
        <w:t>–</w:t>
      </w:r>
      <w:r w:rsidRPr="00620B7E">
        <w:t xml:space="preserve"> First Assistant Secretary</w:t>
      </w:r>
    </w:p>
    <w:p w14:paraId="42289F13" w14:textId="2F2595EB" w:rsidR="004D5323" w:rsidRPr="00620B7E" w:rsidRDefault="004D5323" w:rsidP="00620B7E">
      <w:pPr>
        <w:pStyle w:val="Bullet"/>
      </w:pPr>
      <w:r w:rsidRPr="00620B7E">
        <w:rPr>
          <w:b/>
          <w:bCs/>
        </w:rPr>
        <w:t>Keith Kendall</w:t>
      </w:r>
      <w:r w:rsidR="00374DD8" w:rsidRPr="00620B7E">
        <w:t xml:space="preserve"> </w:t>
      </w:r>
      <w:r w:rsidR="00912764" w:rsidRPr="00620B7E">
        <w:t>–</w:t>
      </w:r>
      <w:r w:rsidR="00374DD8" w:rsidRPr="00620B7E">
        <w:t xml:space="preserve"> </w:t>
      </w:r>
      <w:r w:rsidR="00912764" w:rsidRPr="00620B7E">
        <w:t>Chair of AASB</w:t>
      </w:r>
    </w:p>
    <w:p w14:paraId="24FB0A1F" w14:textId="4A6644FC" w:rsidR="008C621C" w:rsidRPr="00620B7E" w:rsidRDefault="009910AC" w:rsidP="00620B7E">
      <w:pPr>
        <w:pStyle w:val="Bullet"/>
      </w:pPr>
      <w:r w:rsidRPr="00620B7E">
        <w:rPr>
          <w:b/>
          <w:bCs/>
        </w:rPr>
        <w:t>Doug Niven</w:t>
      </w:r>
      <w:r w:rsidR="00FC0E0B" w:rsidRPr="00620B7E">
        <w:t xml:space="preserve"> </w:t>
      </w:r>
      <w:r w:rsidR="002267DB" w:rsidRPr="00620B7E">
        <w:t>–</w:t>
      </w:r>
      <w:r w:rsidR="00FC0E0B" w:rsidRPr="00620B7E">
        <w:softHyphen/>
        <w:t xml:space="preserve"> </w:t>
      </w:r>
      <w:r w:rsidRPr="00620B7E">
        <w:t>Chair of AUASB</w:t>
      </w:r>
    </w:p>
    <w:p w14:paraId="205980C5" w14:textId="77A9B46E" w:rsidR="00912764" w:rsidRPr="00620B7E" w:rsidRDefault="00915149" w:rsidP="00620B7E">
      <w:pPr>
        <w:pStyle w:val="Bullet"/>
      </w:pPr>
      <w:r w:rsidRPr="00620B7E">
        <w:rPr>
          <w:b/>
          <w:bCs/>
        </w:rPr>
        <w:t>Andrew Greaves</w:t>
      </w:r>
      <w:r w:rsidR="00912764" w:rsidRPr="00620B7E">
        <w:t xml:space="preserve"> –</w:t>
      </w:r>
      <w:r w:rsidR="00DC0EAE" w:rsidRPr="00620B7E">
        <w:t xml:space="preserve"> </w:t>
      </w:r>
      <w:r w:rsidR="00912764" w:rsidRPr="00620B7E">
        <w:t>ACAG representative</w:t>
      </w:r>
    </w:p>
    <w:p w14:paraId="0A256B98" w14:textId="3B78FC48" w:rsidR="004573D6" w:rsidRPr="00620B7E" w:rsidRDefault="000B680B" w:rsidP="00620B7E">
      <w:pPr>
        <w:pStyle w:val="Bullet"/>
      </w:pPr>
      <w:r w:rsidRPr="00620B7E">
        <w:rPr>
          <w:b/>
          <w:bCs/>
        </w:rPr>
        <w:t>Sean Osborn</w:t>
      </w:r>
      <w:r w:rsidR="004573D6" w:rsidRPr="00620B7E">
        <w:t xml:space="preserve"> – </w:t>
      </w:r>
      <w:r w:rsidR="00092120" w:rsidRPr="00620B7E">
        <w:t>NSW</w:t>
      </w:r>
      <w:r w:rsidR="00480081" w:rsidRPr="00620B7E">
        <w:t xml:space="preserve"> Treasury</w:t>
      </w:r>
      <w:r w:rsidR="00915149" w:rsidRPr="00620B7E">
        <w:t xml:space="preserve"> representative</w:t>
      </w:r>
    </w:p>
    <w:p w14:paraId="7B6E6B34" w14:textId="447BD167" w:rsidR="00E525C9" w:rsidRPr="00620B7E" w:rsidRDefault="00FB1A95" w:rsidP="00620B7E">
      <w:pPr>
        <w:pStyle w:val="Bullet"/>
      </w:pPr>
      <w:r w:rsidRPr="00620B7E">
        <w:rPr>
          <w:b/>
          <w:bCs/>
        </w:rPr>
        <w:t>Lasantha Samaranayake</w:t>
      </w:r>
      <w:r w:rsidRPr="00620B7E">
        <w:t xml:space="preserve"> </w:t>
      </w:r>
      <w:r w:rsidR="00487EB9" w:rsidRPr="00620B7E">
        <w:t>–</w:t>
      </w:r>
      <w:r w:rsidR="001128A4" w:rsidRPr="00620B7E">
        <w:t xml:space="preserve"> </w:t>
      </w:r>
      <w:r w:rsidR="00E51CD8" w:rsidRPr="00620B7E">
        <w:t xml:space="preserve">Department of Finance </w:t>
      </w:r>
      <w:r w:rsidR="00DC0EAE" w:rsidRPr="00620B7E">
        <w:t xml:space="preserve">– </w:t>
      </w:r>
      <w:r w:rsidR="00E51CD8" w:rsidRPr="00620B7E">
        <w:t>Assistant Secretary</w:t>
      </w:r>
    </w:p>
    <w:p w14:paraId="7BDAA37F" w14:textId="012A8843" w:rsidR="00E6679A" w:rsidRPr="00C8657F" w:rsidRDefault="00E6679A" w:rsidP="00620B7E">
      <w:r w:rsidRPr="00C8657F">
        <w:t xml:space="preserve">The FRC </w:t>
      </w:r>
      <w:r w:rsidR="00236767" w:rsidRPr="00C8657F">
        <w:t>would like to thank Jane Meade</w:t>
      </w:r>
      <w:r w:rsidR="00032680" w:rsidRPr="00C8657F">
        <w:t xml:space="preserve"> of the ANAO</w:t>
      </w:r>
      <w:r w:rsidR="00236767" w:rsidRPr="00C8657F">
        <w:t xml:space="preserve"> </w:t>
      </w:r>
      <w:r w:rsidR="00DD6CA6" w:rsidRPr="00C8657F">
        <w:t xml:space="preserve">who contributed </w:t>
      </w:r>
      <w:r w:rsidR="002B2C21" w:rsidRPr="00C8657F">
        <w:t xml:space="preserve">as the ACAG representative </w:t>
      </w:r>
      <w:r w:rsidR="00DD6CA6" w:rsidRPr="00C8657F">
        <w:t xml:space="preserve">to </w:t>
      </w:r>
      <w:r w:rsidR="00236767" w:rsidRPr="00C8657F">
        <w:t>PSAG</w:t>
      </w:r>
      <w:r w:rsidR="00DD6CA6" w:rsidRPr="00C8657F">
        <w:t xml:space="preserve"> </w:t>
      </w:r>
      <w:r w:rsidR="00AA057C" w:rsidRPr="00C8657F">
        <w:t xml:space="preserve">from </w:t>
      </w:r>
      <w:r w:rsidR="00DD6CA6" w:rsidRPr="00C8657F">
        <w:t>its inception</w:t>
      </w:r>
      <w:r w:rsidR="00C721DD" w:rsidRPr="00C8657F">
        <w:t xml:space="preserve"> until April 2025.</w:t>
      </w:r>
    </w:p>
    <w:p w14:paraId="5E8B3CE4" w14:textId="38CBDF54" w:rsidR="00E525C9" w:rsidRPr="00620B7E" w:rsidRDefault="00E33E45" w:rsidP="00620B7E">
      <w:pPr>
        <w:pStyle w:val="Heading2"/>
      </w:pPr>
      <w:bookmarkStart w:id="74" w:name="_Toc211627818"/>
      <w:r w:rsidRPr="00620B7E">
        <w:t>PSAG f</w:t>
      </w:r>
      <w:r w:rsidR="00E525C9" w:rsidRPr="00620B7E">
        <w:t xml:space="preserve">ocus </w:t>
      </w:r>
      <w:r w:rsidRPr="00620B7E">
        <w:t xml:space="preserve">areas </w:t>
      </w:r>
      <w:r w:rsidR="00E525C9" w:rsidRPr="00620B7E">
        <w:t xml:space="preserve">for </w:t>
      </w:r>
      <w:r w:rsidR="00BB3EA5" w:rsidRPr="00620B7E">
        <w:t>202</w:t>
      </w:r>
      <w:r w:rsidR="00E73322" w:rsidRPr="00620B7E">
        <w:t>4</w:t>
      </w:r>
      <w:r w:rsidR="001242B7" w:rsidRPr="00620B7E">
        <w:t>–</w:t>
      </w:r>
      <w:r w:rsidR="00E73322" w:rsidRPr="00620B7E">
        <w:t>25</w:t>
      </w:r>
      <w:bookmarkEnd w:id="74"/>
    </w:p>
    <w:p w14:paraId="1EABD4F1" w14:textId="0F3A929F" w:rsidR="00E525C9" w:rsidRPr="00620B7E" w:rsidRDefault="00E525C9" w:rsidP="00620B7E">
      <w:pPr>
        <w:pStyle w:val="Bullet"/>
      </w:pPr>
      <w:r w:rsidRPr="00620B7E">
        <w:t>Talent attraction and retention in the public sector</w:t>
      </w:r>
    </w:p>
    <w:p w14:paraId="4114DA6C" w14:textId="55178DCA" w:rsidR="00E525C9" w:rsidRPr="00620B7E" w:rsidRDefault="00E525C9" w:rsidP="00620B7E">
      <w:pPr>
        <w:pStyle w:val="Bullet"/>
      </w:pPr>
      <w:r w:rsidRPr="00620B7E">
        <w:t>Public sector sustainability reporting</w:t>
      </w:r>
    </w:p>
    <w:p w14:paraId="580C35E7" w14:textId="03A768C9" w:rsidR="00E525C9" w:rsidRPr="00620B7E" w:rsidRDefault="00E525C9" w:rsidP="00620B7E">
      <w:pPr>
        <w:pStyle w:val="Bullet"/>
      </w:pPr>
      <w:r w:rsidRPr="00620B7E">
        <w:t>Audit quality and audit themes in the public sector</w:t>
      </w:r>
    </w:p>
    <w:p w14:paraId="55BF120D" w14:textId="54EC4916" w:rsidR="00740289" w:rsidRPr="00620B7E" w:rsidRDefault="00230745" w:rsidP="00620B7E">
      <w:pPr>
        <w:pStyle w:val="Bullet"/>
      </w:pPr>
      <w:r w:rsidRPr="00620B7E">
        <w:t>Application of accounting standards to local government entities</w:t>
      </w:r>
    </w:p>
    <w:p w14:paraId="1925698B" w14:textId="77777777" w:rsidR="00620B7E" w:rsidRDefault="00620B7E" w:rsidP="000B32EF">
      <w:pPr>
        <w:pStyle w:val="Heading1"/>
        <w:sectPr w:rsidR="00620B7E" w:rsidSect="005E5EE1">
          <w:pgSz w:w="11906" w:h="16838" w:code="9"/>
          <w:pgMar w:top="1843" w:right="1418" w:bottom="1418" w:left="1418" w:header="708" w:footer="708" w:gutter="0"/>
          <w:cols w:space="708"/>
          <w:titlePg/>
          <w:docGrid w:linePitch="360"/>
        </w:sectPr>
      </w:pPr>
    </w:p>
    <w:p w14:paraId="6616DD44" w14:textId="77777777" w:rsidR="00CB7C46" w:rsidRDefault="00CB7C46" w:rsidP="000B32EF">
      <w:pPr>
        <w:pStyle w:val="Heading1"/>
        <w:sectPr w:rsidR="00CB7C46" w:rsidSect="005E5EE1">
          <w:type w:val="continuous"/>
          <w:pgSz w:w="11906" w:h="16838" w:code="9"/>
          <w:pgMar w:top="1843" w:right="1418" w:bottom="1418" w:left="1418" w:header="708" w:footer="708" w:gutter="0"/>
          <w:cols w:space="708"/>
          <w:titlePg/>
          <w:docGrid w:linePitch="360"/>
        </w:sectPr>
      </w:pPr>
    </w:p>
    <w:p w14:paraId="258E0D7F" w14:textId="09799554" w:rsidR="00F23429" w:rsidRPr="00D878B3" w:rsidRDefault="0027283D" w:rsidP="000B32EF">
      <w:pPr>
        <w:pStyle w:val="Heading1"/>
      </w:pPr>
      <w:bookmarkStart w:id="75" w:name="_Toc211627819"/>
      <w:r w:rsidRPr="00D878B3">
        <w:t xml:space="preserve">FRC </w:t>
      </w:r>
      <w:r w:rsidR="009A69A4" w:rsidRPr="00D878B3">
        <w:t>m</w:t>
      </w:r>
      <w:r w:rsidRPr="00D878B3">
        <w:t>embership</w:t>
      </w:r>
      <w:bookmarkEnd w:id="75"/>
      <w:r w:rsidR="00621009" w:rsidRPr="00D878B3">
        <w:tab/>
      </w:r>
    </w:p>
    <w:p w14:paraId="61B4E246" w14:textId="77777777" w:rsidR="0027283D" w:rsidRPr="00D878B3" w:rsidRDefault="0027283D" w:rsidP="000B66A2">
      <w:pPr>
        <w:pStyle w:val="Heading2"/>
      </w:pPr>
      <w:bookmarkStart w:id="76" w:name="_Toc211627820"/>
      <w:r w:rsidRPr="00D878B3">
        <w:t>FRC members</w:t>
      </w:r>
      <w:bookmarkEnd w:id="76"/>
    </w:p>
    <w:p w14:paraId="238B2176" w14:textId="35E82304" w:rsidR="0027283D" w:rsidRPr="00F80DF3" w:rsidRDefault="0027283D" w:rsidP="00DF3392">
      <w:r w:rsidRPr="00F80DF3">
        <w:t>Members of the FRC are appointed on a</w:t>
      </w:r>
      <w:r w:rsidR="002A3F46" w:rsidRPr="00F80DF3">
        <w:t xml:space="preserve"> </w:t>
      </w:r>
      <w:r w:rsidRPr="00F80DF3">
        <w:t>part-time basis by the Minister.</w:t>
      </w:r>
    </w:p>
    <w:p w14:paraId="0CF7C505" w14:textId="3F467974" w:rsidR="00B00037" w:rsidRDefault="00A50ECA" w:rsidP="00DF3392">
      <w:r w:rsidRPr="00F80DF3">
        <w:t>The FRC was constituted by a Chair and</w:t>
      </w:r>
      <w:r w:rsidR="00C03B4E" w:rsidRPr="00F80DF3">
        <w:t xml:space="preserve"> </w:t>
      </w:r>
      <w:r w:rsidR="001242B7" w:rsidRPr="00F80DF3">
        <w:t xml:space="preserve">8 </w:t>
      </w:r>
      <w:r w:rsidR="00666800" w:rsidRPr="00F80DF3">
        <w:t>other</w:t>
      </w:r>
      <w:r w:rsidR="00C03B4E" w:rsidRPr="00F80DF3">
        <w:t xml:space="preserve"> </w:t>
      </w:r>
      <w:r w:rsidRPr="00F80DF3">
        <w:t>members during the reporting year</w:t>
      </w:r>
      <w:r w:rsidR="000A2754" w:rsidRPr="00F80DF3">
        <w:t xml:space="preserve">. </w:t>
      </w:r>
    </w:p>
    <w:tbl>
      <w:tblPr>
        <w:tblStyle w:val="TableGrid"/>
        <w:tblW w:w="0" w:type="auto"/>
        <w:tblLook w:val="04A0" w:firstRow="1" w:lastRow="0" w:firstColumn="1" w:lastColumn="0" w:noHBand="0" w:noVBand="1"/>
      </w:tblPr>
      <w:tblGrid>
        <w:gridCol w:w="9026"/>
      </w:tblGrid>
      <w:tr w:rsidR="00620B7E" w14:paraId="31E118DB" w14:textId="77777777" w:rsidTr="00620B7E">
        <w:trPr>
          <w:cnfStyle w:val="100000000000" w:firstRow="1" w:lastRow="0" w:firstColumn="0" w:lastColumn="0" w:oddVBand="0" w:evenVBand="0" w:oddHBand="0" w:evenHBand="0" w:firstRowFirstColumn="0" w:firstRowLastColumn="0" w:lastRowFirstColumn="0" w:lastRowLastColumn="0"/>
        </w:trPr>
        <w:tc>
          <w:tcPr>
            <w:tcW w:w="9026" w:type="dxa"/>
            <w:tcBorders>
              <w:top w:val="single" w:sz="6" w:space="0" w:color="B0CBD3" w:themeColor="accent1" w:themeTint="66"/>
              <w:bottom w:val="single" w:sz="6" w:space="0" w:color="B0CBD3" w:themeColor="accent1" w:themeTint="66"/>
            </w:tcBorders>
            <w:shd w:val="clear" w:color="auto" w:fill="auto"/>
          </w:tcPr>
          <w:p w14:paraId="0132E45E" w14:textId="77777777" w:rsidR="00620B7E" w:rsidRPr="00DF3392" w:rsidRDefault="00620B7E" w:rsidP="00DF3392">
            <w:pPr>
              <w:pStyle w:val="Heading3"/>
              <w:spacing w:before="60"/>
              <w:rPr>
                <w:b w:val="0"/>
                <w:bCs w:val="0"/>
                <w:lang w:val="en-GB"/>
              </w:rPr>
            </w:pPr>
            <w:r w:rsidRPr="00DF3392">
              <w:rPr>
                <w:b w:val="0"/>
                <w:bCs w:val="0"/>
                <w:lang w:val="en-GB"/>
              </w:rPr>
              <w:t xml:space="preserve">Mr Andrew Mills (Chair) </w:t>
            </w:r>
          </w:p>
          <w:p w14:paraId="186F9DDA" w14:textId="77777777" w:rsidR="00620B7E" w:rsidRPr="00620B7E" w:rsidRDefault="00620B7E" w:rsidP="00620B7E">
            <w:pPr>
              <w:rPr>
                <w:b w:val="0"/>
                <w:bCs/>
              </w:rPr>
            </w:pPr>
            <w:r w:rsidRPr="00620B7E">
              <w:rPr>
                <w:b w:val="0"/>
                <w:bCs/>
              </w:rPr>
              <w:t>Andrew has over 40 </w:t>
            </w:r>
            <w:proofErr w:type="spellStart"/>
            <w:r w:rsidRPr="00620B7E">
              <w:rPr>
                <w:b w:val="0"/>
                <w:bCs/>
              </w:rPr>
              <w:t>years experience</w:t>
            </w:r>
            <w:proofErr w:type="spellEnd"/>
            <w:r w:rsidRPr="00620B7E">
              <w:rPr>
                <w:b w:val="0"/>
                <w:bCs/>
              </w:rPr>
              <w:t xml:space="preserve"> in senior commercial, accounting and legal practice, government and academic roles. He is Chair of the Independent Planning Commission (NSW), member of the External Reporting Board (NZ) and of the Board of Taxation among other governance roles. Andrew is also a Principal Fellow of the University of Melbourne Law School.</w:t>
            </w:r>
          </w:p>
          <w:p w14:paraId="0D07746A" w14:textId="77777777" w:rsidR="00620B7E" w:rsidRPr="00620B7E" w:rsidRDefault="00620B7E" w:rsidP="00620B7E">
            <w:pPr>
              <w:rPr>
                <w:b w:val="0"/>
                <w:bCs/>
              </w:rPr>
            </w:pPr>
            <w:r w:rsidRPr="00620B7E">
              <w:rPr>
                <w:b w:val="0"/>
                <w:bCs/>
              </w:rPr>
              <w:t xml:space="preserve">Previously, Andrew served as Second Commissioner of Taxation at the ATO. He was also a </w:t>
            </w:r>
            <w:proofErr w:type="gramStart"/>
            <w:r w:rsidRPr="00620B7E">
              <w:rPr>
                <w:b w:val="0"/>
                <w:bCs/>
              </w:rPr>
              <w:t>Director</w:t>
            </w:r>
            <w:proofErr w:type="gramEnd"/>
            <w:r w:rsidRPr="00620B7E">
              <w:rPr>
                <w:b w:val="0"/>
                <w:bCs/>
              </w:rPr>
              <w:noBreakHyphen/>
              <w:t>Partner at Greenwoods &amp; Freehills for over 20 years, including Managing Director of the firm between 2006 and 2011 and has held senior roles in the financial services industry.</w:t>
            </w:r>
          </w:p>
          <w:p w14:paraId="6AE6C359" w14:textId="7209B8AB" w:rsidR="00620B7E" w:rsidRDefault="00620B7E" w:rsidP="00620B7E">
            <w:pPr>
              <w:rPr>
                <w:rFonts w:ascii="Source Sans Pro Light" w:hAnsi="Source Sans Pro Light" w:cs="Source Sans Pro Light"/>
                <w:sz w:val="21"/>
                <w:szCs w:val="21"/>
              </w:rPr>
            </w:pPr>
            <w:r w:rsidRPr="00620B7E">
              <w:rPr>
                <w:b w:val="0"/>
                <w:bCs/>
              </w:rPr>
              <w:t>Andrew has a Bachelor of Business, a Master of Laws and a Graduate Diploma in Tax Law. He is also a Graduate Member of the Australian Institute of Company Directors, a Fellow of CPA Australia, a Fellow of the Governance Institute of Australia, and a Chartered Tax Adviser (Life).</w:t>
            </w:r>
          </w:p>
        </w:tc>
      </w:tr>
      <w:tr w:rsidR="00620B7E" w14:paraId="008F287E" w14:textId="77777777" w:rsidTr="00620B7E">
        <w:tc>
          <w:tcPr>
            <w:tcW w:w="9026" w:type="dxa"/>
            <w:tcBorders>
              <w:top w:val="single" w:sz="6" w:space="0" w:color="B0CBD3" w:themeColor="accent1" w:themeTint="66"/>
              <w:bottom w:val="single" w:sz="6" w:space="0" w:color="B0CBD3" w:themeColor="accent1" w:themeTint="66"/>
            </w:tcBorders>
          </w:tcPr>
          <w:p w14:paraId="7D843025" w14:textId="77777777" w:rsidR="00620B7E" w:rsidRPr="00DF3392" w:rsidRDefault="00620B7E" w:rsidP="00DF3392">
            <w:pPr>
              <w:pStyle w:val="Heading3"/>
              <w:spacing w:before="60"/>
              <w:rPr>
                <w:lang w:val="en-GB"/>
              </w:rPr>
            </w:pPr>
            <w:r w:rsidRPr="00DF3392">
              <w:rPr>
                <w:lang w:val="en-GB"/>
              </w:rPr>
              <w:t>Ms Amy Fox</w:t>
            </w:r>
          </w:p>
          <w:p w14:paraId="5337F2BA" w14:textId="77777777" w:rsidR="00620B7E" w:rsidRPr="00620B7E" w:rsidRDefault="00620B7E" w:rsidP="00620B7E">
            <w:r w:rsidRPr="00620B7E">
              <w:t>Amy is a First Assistant Secretary at the Australian Government Department of Finance. She has over 2 decades of experience in various roles including at the Department of Agriculture, Fisheries and Forestry, the Australian National Audit Office, and as a consultant to the World Bank.</w:t>
            </w:r>
          </w:p>
          <w:p w14:paraId="23835636" w14:textId="2467AA01" w:rsidR="00620B7E" w:rsidRDefault="00620B7E" w:rsidP="00620B7E">
            <w:pPr>
              <w:rPr>
                <w:rFonts w:ascii="Source Sans Pro Light" w:hAnsi="Source Sans Pro Light" w:cs="Source Sans Pro Light"/>
                <w:sz w:val="21"/>
                <w:szCs w:val="21"/>
              </w:rPr>
            </w:pPr>
            <w:r w:rsidRPr="00620B7E">
              <w:t>Amy holds a Master of Business Administration from Deakin University, is a fellow of Certified Practicing Accountants (CPA), fellow of Chartered Accountants Australia and New Zealand and graduate of the Australian Institute of Company Directors.</w:t>
            </w:r>
          </w:p>
        </w:tc>
      </w:tr>
      <w:tr w:rsidR="00620B7E" w14:paraId="1E00B8E9" w14:textId="77777777" w:rsidTr="00620B7E">
        <w:tc>
          <w:tcPr>
            <w:tcW w:w="9026" w:type="dxa"/>
            <w:tcBorders>
              <w:top w:val="single" w:sz="6" w:space="0" w:color="B0CBD3" w:themeColor="accent1" w:themeTint="66"/>
              <w:bottom w:val="single" w:sz="6" w:space="0" w:color="B0CBD3" w:themeColor="accent1" w:themeTint="66"/>
            </w:tcBorders>
          </w:tcPr>
          <w:p w14:paraId="0611BAEA" w14:textId="77777777" w:rsidR="00620B7E" w:rsidRPr="00620B7E" w:rsidRDefault="00620B7E" w:rsidP="00DF3392">
            <w:pPr>
              <w:pStyle w:val="Heading3"/>
              <w:spacing w:before="60"/>
              <w:rPr>
                <w:lang w:val="en-GB"/>
              </w:rPr>
            </w:pPr>
            <w:r w:rsidRPr="00620B7E">
              <w:rPr>
                <w:lang w:val="en-GB"/>
              </w:rPr>
              <w:t>Dr Keith Kendall</w:t>
            </w:r>
          </w:p>
          <w:p w14:paraId="713C44F3" w14:textId="77777777" w:rsidR="00620B7E" w:rsidRPr="00F80DF3" w:rsidRDefault="00620B7E" w:rsidP="00620B7E">
            <w:r w:rsidRPr="00F80DF3">
              <w:t xml:space="preserve">Dr Keith Kendall joined the AASB as Chair in May 2020. </w:t>
            </w:r>
          </w:p>
          <w:p w14:paraId="0F111935" w14:textId="6AF9BE24" w:rsidR="00620B7E" w:rsidRDefault="00620B7E" w:rsidP="00620B7E">
            <w:pPr>
              <w:rPr>
                <w:rFonts w:ascii="Source Sans Pro Light" w:hAnsi="Source Sans Pro Light" w:cs="Source Sans Pro Light"/>
                <w:sz w:val="21"/>
              </w:rPr>
            </w:pPr>
            <w:r w:rsidRPr="00F80DF3">
              <w:t>Prior to his appointment, he was a Partner at Rigby Cooke Lawyers, a Victorian barrister, and a Senior Lecturer at La Trobe University. His experience across law, academia, accounting, and government (as a member of the Administrative Appeals Tribunal), allows him to bring a well</w:t>
            </w:r>
            <w:r w:rsidR="00BD6A9D">
              <w:noBreakHyphen/>
            </w:r>
            <w:r w:rsidRPr="00F80DF3">
              <w:t>rounded perspective to the AASB’s projects and strategic direction.</w:t>
            </w:r>
          </w:p>
        </w:tc>
      </w:tr>
    </w:tbl>
    <w:p w14:paraId="2DBACC46" w14:textId="77777777" w:rsidR="00796F9A" w:rsidRDefault="00796F9A"/>
    <w:tbl>
      <w:tblPr>
        <w:tblStyle w:val="TableGrid"/>
        <w:tblW w:w="0" w:type="auto"/>
        <w:tblLook w:val="04A0" w:firstRow="1" w:lastRow="0" w:firstColumn="1" w:lastColumn="0" w:noHBand="0" w:noVBand="1"/>
      </w:tblPr>
      <w:tblGrid>
        <w:gridCol w:w="9026"/>
      </w:tblGrid>
      <w:tr w:rsidR="00620B7E" w14:paraId="6BBD1F0C" w14:textId="77777777" w:rsidTr="00796F9A">
        <w:trPr>
          <w:cnfStyle w:val="100000000000" w:firstRow="1" w:lastRow="0" w:firstColumn="0" w:lastColumn="0" w:oddVBand="0" w:evenVBand="0" w:oddHBand="0" w:evenHBand="0" w:firstRowFirstColumn="0" w:firstRowLastColumn="0" w:lastRowFirstColumn="0" w:lastRowLastColumn="0"/>
          <w:cantSplit/>
        </w:trPr>
        <w:tc>
          <w:tcPr>
            <w:tcW w:w="9026" w:type="dxa"/>
            <w:tcBorders>
              <w:top w:val="single" w:sz="6" w:space="0" w:color="B0CBD3" w:themeColor="accent1" w:themeTint="66"/>
              <w:bottom w:val="single" w:sz="6" w:space="0" w:color="B0CBD3" w:themeColor="accent1" w:themeTint="66"/>
            </w:tcBorders>
            <w:shd w:val="clear" w:color="auto" w:fill="auto"/>
          </w:tcPr>
          <w:p w14:paraId="566665FB" w14:textId="77777777" w:rsidR="00620B7E" w:rsidRPr="00796F9A" w:rsidRDefault="00620B7E" w:rsidP="00796F9A">
            <w:pPr>
              <w:pStyle w:val="Heading3"/>
              <w:spacing w:before="60"/>
              <w:rPr>
                <w:b w:val="0"/>
                <w:bCs w:val="0"/>
                <w:lang w:val="en-GB"/>
              </w:rPr>
            </w:pPr>
            <w:r w:rsidRPr="00796F9A">
              <w:rPr>
                <w:b w:val="0"/>
                <w:bCs w:val="0"/>
                <w:lang w:val="en-GB"/>
              </w:rPr>
              <w:t>Ms Alison White</w:t>
            </w:r>
          </w:p>
          <w:p w14:paraId="31633968" w14:textId="77777777" w:rsidR="00620B7E" w:rsidRPr="00796F9A" w:rsidRDefault="00620B7E" w:rsidP="00620B7E">
            <w:pPr>
              <w:rPr>
                <w:b w:val="0"/>
                <w:bCs/>
              </w:rPr>
            </w:pPr>
            <w:r w:rsidRPr="00796F9A">
              <w:rPr>
                <w:b w:val="0"/>
                <w:bCs/>
              </w:rPr>
              <w:t>Alison is the leader of the Accounting &amp; Corporate Reporting team in Deloitte’s Audit and Assurance division. She has over 26 years audit and accounting advisory experience in Australia, Hong Kong and South Africa, specialising in the resolution of complex accounting issues.</w:t>
            </w:r>
          </w:p>
          <w:p w14:paraId="469E21D9" w14:textId="77777777" w:rsidR="00620B7E" w:rsidRPr="00796F9A" w:rsidRDefault="00620B7E" w:rsidP="00620B7E">
            <w:pPr>
              <w:rPr>
                <w:b w:val="0"/>
                <w:bCs/>
              </w:rPr>
            </w:pPr>
            <w:r w:rsidRPr="00796F9A">
              <w:rPr>
                <w:b w:val="0"/>
                <w:bCs/>
              </w:rPr>
              <w:t>Alison served as a member of the AASB and has recently completed her 6</w:t>
            </w:r>
            <w:r w:rsidRPr="00796F9A">
              <w:rPr>
                <w:b w:val="0"/>
                <w:bCs/>
              </w:rPr>
              <w:noBreakHyphen/>
              <w:t>year term as the deputy chair. She is also a member of the Business Combinations Project Advisory Panels of the AASB.</w:t>
            </w:r>
          </w:p>
          <w:p w14:paraId="1CC27988" w14:textId="3B855E38" w:rsidR="00620B7E" w:rsidRDefault="00620B7E" w:rsidP="00620B7E">
            <w:pPr>
              <w:rPr>
                <w:rFonts w:ascii="Source Sans Pro Light" w:hAnsi="Source Sans Pro Light" w:cs="Source Sans Pro Light"/>
                <w:sz w:val="21"/>
              </w:rPr>
            </w:pPr>
            <w:r w:rsidRPr="00796F9A">
              <w:rPr>
                <w:b w:val="0"/>
                <w:bCs/>
              </w:rPr>
              <w:t>Alison is a member of the Deloitte Global Expert Advisory Panel on Leases and the Property Council of Australia’s National Accounting Roundtable.</w:t>
            </w:r>
          </w:p>
        </w:tc>
      </w:tr>
      <w:tr w:rsidR="00620B7E" w14:paraId="77DF038A" w14:textId="77777777" w:rsidTr="00620B7E">
        <w:trPr>
          <w:cantSplit/>
        </w:trPr>
        <w:tc>
          <w:tcPr>
            <w:tcW w:w="9026" w:type="dxa"/>
            <w:tcBorders>
              <w:top w:val="single" w:sz="6" w:space="0" w:color="B0CBD3" w:themeColor="accent1" w:themeTint="66"/>
              <w:bottom w:val="single" w:sz="6" w:space="0" w:color="B0CBD3" w:themeColor="accent1" w:themeTint="66"/>
            </w:tcBorders>
          </w:tcPr>
          <w:p w14:paraId="26A79F97" w14:textId="77777777" w:rsidR="00620B7E" w:rsidRPr="00796F9A" w:rsidRDefault="00620B7E" w:rsidP="00796F9A">
            <w:pPr>
              <w:pStyle w:val="Heading3"/>
              <w:spacing w:before="60"/>
              <w:rPr>
                <w:lang w:val="en-GB"/>
              </w:rPr>
            </w:pPr>
            <w:r w:rsidRPr="00796F9A">
              <w:rPr>
                <w:lang w:val="en-GB"/>
              </w:rPr>
              <w:t xml:space="preserve">Ms Michele </w:t>
            </w:r>
            <w:proofErr w:type="spellStart"/>
            <w:r w:rsidRPr="00796F9A">
              <w:rPr>
                <w:lang w:val="en-GB"/>
              </w:rPr>
              <w:t>Embling</w:t>
            </w:r>
            <w:proofErr w:type="spellEnd"/>
          </w:p>
          <w:p w14:paraId="07A236F4" w14:textId="77777777" w:rsidR="00620B7E" w:rsidRPr="00F80DF3" w:rsidRDefault="00620B7E" w:rsidP="00620B7E">
            <w:pPr>
              <w:rPr>
                <w:lang w:val="en-GB"/>
              </w:rPr>
            </w:pPr>
            <w:r w:rsidRPr="00F80DF3">
              <w:rPr>
                <w:lang w:val="en-GB"/>
              </w:rPr>
              <w:t xml:space="preserve">Michele has over 10 </w:t>
            </w:r>
            <w:proofErr w:type="spellStart"/>
            <w:r w:rsidRPr="00F80DF3">
              <w:rPr>
                <w:lang w:val="en-GB"/>
              </w:rPr>
              <w:t>years experience</w:t>
            </w:r>
            <w:proofErr w:type="spellEnd"/>
            <w:r w:rsidRPr="00F80DF3">
              <w:rPr>
                <w:lang w:val="en-GB"/>
              </w:rPr>
              <w:t xml:space="preserve"> as a Chair and Board Member for private, not for profit, and public sector entities.</w:t>
            </w:r>
          </w:p>
          <w:p w14:paraId="7522F2F9" w14:textId="77777777" w:rsidR="00620B7E" w:rsidRPr="00F80DF3" w:rsidRDefault="00620B7E" w:rsidP="00620B7E">
            <w:pPr>
              <w:rPr>
                <w:lang w:val="en-GB"/>
              </w:rPr>
            </w:pPr>
            <w:r w:rsidRPr="00F80DF3">
              <w:rPr>
                <w:lang w:val="en-GB"/>
              </w:rPr>
              <w:t xml:space="preserve">This includes current appointments as Chair of the External Reporting Board; Board member of Transpower New Zealand; and </w:t>
            </w:r>
            <w:proofErr w:type="spellStart"/>
            <w:r w:rsidRPr="00F80DF3">
              <w:rPr>
                <w:lang w:val="en-GB"/>
              </w:rPr>
              <w:t>Toitū</w:t>
            </w:r>
            <w:proofErr w:type="spellEnd"/>
            <w:r w:rsidRPr="00F80DF3">
              <w:rPr>
                <w:lang w:val="en-GB"/>
              </w:rPr>
              <w:t xml:space="preserve"> </w:t>
            </w:r>
            <w:proofErr w:type="spellStart"/>
            <w:r w:rsidRPr="00F80DF3">
              <w:rPr>
                <w:lang w:val="en-GB"/>
              </w:rPr>
              <w:t>Tahua</w:t>
            </w:r>
            <w:proofErr w:type="spellEnd"/>
            <w:r w:rsidRPr="00F80DF3">
              <w:rPr>
                <w:lang w:val="en-GB"/>
              </w:rPr>
              <w:t xml:space="preserve"> – The Centre for Sustainable Finance. </w:t>
            </w:r>
          </w:p>
          <w:p w14:paraId="58D02D79" w14:textId="77777777" w:rsidR="00620B7E" w:rsidRPr="00F80DF3" w:rsidRDefault="00620B7E" w:rsidP="00620B7E">
            <w:pPr>
              <w:rPr>
                <w:lang w:val="en-GB"/>
              </w:rPr>
            </w:pPr>
            <w:r w:rsidRPr="00F80DF3">
              <w:rPr>
                <w:lang w:val="en-GB"/>
              </w:rPr>
              <w:t xml:space="preserve">Michele served as Chair of PwC in New Zealand from 2016 to 2020. She was Co-Chair of Champions for Change and Deputy Chair of Global Women from 2018 to 2020. </w:t>
            </w:r>
          </w:p>
          <w:p w14:paraId="456D4DE7" w14:textId="77777777" w:rsidR="00620B7E" w:rsidRPr="00F80DF3" w:rsidRDefault="00620B7E" w:rsidP="00620B7E">
            <w:pPr>
              <w:rPr>
                <w:lang w:val="en-GB"/>
              </w:rPr>
            </w:pPr>
            <w:r w:rsidRPr="00F80DF3">
              <w:rPr>
                <w:lang w:val="en-GB"/>
              </w:rPr>
              <w:t xml:space="preserve">Other Board roles include the Australian Financial Reporting Council and Deputy Chair of the University of Auckland’s Business School Advisory Board. </w:t>
            </w:r>
          </w:p>
          <w:p w14:paraId="515D003D" w14:textId="0D5273AF" w:rsidR="00620B7E" w:rsidRDefault="00620B7E" w:rsidP="00620B7E">
            <w:pPr>
              <w:rPr>
                <w:rFonts w:ascii="Source Sans Pro Light" w:hAnsi="Source Sans Pro Light" w:cs="Source Sans Pro Light"/>
                <w:sz w:val="21"/>
              </w:rPr>
            </w:pPr>
            <w:r w:rsidRPr="00F80DF3">
              <w:rPr>
                <w:lang w:val="en-GB"/>
              </w:rPr>
              <w:t>She is a fellow of Chartered Accountants Australia and New Zealand; and a former member of its Nominations and Governance Committee.</w:t>
            </w:r>
          </w:p>
        </w:tc>
      </w:tr>
      <w:tr w:rsidR="00620B7E" w14:paraId="77CA96C8" w14:textId="77777777" w:rsidTr="00620B7E">
        <w:tc>
          <w:tcPr>
            <w:tcW w:w="9026" w:type="dxa"/>
            <w:tcBorders>
              <w:top w:val="single" w:sz="6" w:space="0" w:color="B0CBD3" w:themeColor="accent1" w:themeTint="66"/>
              <w:bottom w:val="single" w:sz="6" w:space="0" w:color="B0CBD3" w:themeColor="accent1" w:themeTint="66"/>
            </w:tcBorders>
          </w:tcPr>
          <w:p w14:paraId="51C469D6" w14:textId="77777777" w:rsidR="00620B7E" w:rsidRPr="00620B7E" w:rsidRDefault="00620B7E" w:rsidP="00796F9A">
            <w:pPr>
              <w:pStyle w:val="Heading3"/>
              <w:spacing w:before="60"/>
              <w:rPr>
                <w:lang w:val="en-GB"/>
              </w:rPr>
            </w:pPr>
            <w:r w:rsidRPr="00620B7E">
              <w:rPr>
                <w:lang w:val="en-GB"/>
              </w:rPr>
              <w:t>Ms Emma Herd</w:t>
            </w:r>
          </w:p>
          <w:p w14:paraId="771D1D3E" w14:textId="77777777" w:rsidR="00620B7E" w:rsidRPr="00F80DF3" w:rsidRDefault="00620B7E" w:rsidP="00620B7E">
            <w:r w:rsidRPr="00F80DF3">
              <w:t>Emma has 25 </w:t>
            </w:r>
            <w:proofErr w:type="spellStart"/>
            <w:r w:rsidRPr="00F80DF3">
              <w:t>years experience</w:t>
            </w:r>
            <w:proofErr w:type="spellEnd"/>
            <w:r w:rsidRPr="00F80DF3">
              <w:t xml:space="preserve"> in finance, sustainability, and non</w:t>
            </w:r>
            <w:r w:rsidRPr="00F80DF3">
              <w:noBreakHyphen/>
              <w:t xml:space="preserve">financial reporting with specialisation in commercial climate change finance and investment. </w:t>
            </w:r>
          </w:p>
          <w:p w14:paraId="32F7BFF2" w14:textId="77777777" w:rsidR="00620B7E" w:rsidRPr="00F80DF3" w:rsidRDefault="00620B7E" w:rsidP="00620B7E">
            <w:r w:rsidRPr="00F80DF3">
              <w:t>She is a Partner of Climate Change and Sustainability Services at Ernst and Young Oceania.</w:t>
            </w:r>
          </w:p>
          <w:p w14:paraId="658B7A75" w14:textId="77777777" w:rsidR="00620B7E" w:rsidRPr="00F80DF3" w:rsidRDefault="00620B7E" w:rsidP="00620B7E">
            <w:r w:rsidRPr="00F80DF3">
              <w:t>Emma’s previous roles include Chief Executive Officer of Investor Group on Climate Change; Environment Commissioner with the NSW Greater Cities Commission; and Head of Sustainability and Executive Director, Emissions and Environment at Westpac Institutional Bank.</w:t>
            </w:r>
          </w:p>
          <w:p w14:paraId="32E5C8A6" w14:textId="77777777" w:rsidR="00620B7E" w:rsidRPr="00F80DF3" w:rsidRDefault="00620B7E" w:rsidP="00620B7E">
            <w:r w:rsidRPr="00F80DF3">
              <w:t>She is also currently Co</w:t>
            </w:r>
            <w:r w:rsidRPr="00F80DF3">
              <w:noBreakHyphen/>
              <w:t xml:space="preserve">Chair of the Australian Sustainable Finance Institute Technical Advisory </w:t>
            </w:r>
            <w:proofErr w:type="gramStart"/>
            <w:r w:rsidRPr="00F80DF3">
              <w:t>Group;</w:t>
            </w:r>
            <w:proofErr w:type="gramEnd"/>
            <w:r w:rsidRPr="00F80DF3">
              <w:t xml:space="preserve"> a member of the ASIC Consultative Panel, Queensland Land Restoration Fund Investment Panel, and the Green Building Council of Australia Green Star Advisory Committee. </w:t>
            </w:r>
          </w:p>
          <w:p w14:paraId="344F6298" w14:textId="77777777" w:rsidR="00620B7E" w:rsidRPr="00F80DF3" w:rsidRDefault="00620B7E" w:rsidP="00620B7E">
            <w:r w:rsidRPr="00F80DF3">
              <w:t>Emma is a former member of the Victorian Government Independent Expert Panel on Interim Targets, and former Board Member of the Carbon Market Institute.</w:t>
            </w:r>
          </w:p>
          <w:p w14:paraId="4197CE1A" w14:textId="06678114" w:rsidR="00620B7E" w:rsidRPr="00620B7E" w:rsidRDefault="00620B7E" w:rsidP="00F80DF3">
            <w:r w:rsidRPr="00F80DF3">
              <w:t>Emma’s qualifications include a Bachelor of Asian Studies (Thai) (Hons) and United Nations Environment Programme Finance Initiative/United Nations Institute for Training and Research </w:t>
            </w:r>
            <w:r w:rsidRPr="00F80DF3">
              <w:rPr>
                <w:i/>
                <w:iCs/>
              </w:rPr>
              <w:t>Climate Change: Risks and Opportunities for the Finance Sector</w:t>
            </w:r>
            <w:r w:rsidRPr="00F80DF3">
              <w:t> certification.</w:t>
            </w:r>
          </w:p>
        </w:tc>
      </w:tr>
    </w:tbl>
    <w:p w14:paraId="5E7274C7" w14:textId="345D98BF" w:rsidR="00796F9A" w:rsidRDefault="00796F9A">
      <w:r>
        <w:br w:type="page"/>
      </w:r>
    </w:p>
    <w:tbl>
      <w:tblPr>
        <w:tblStyle w:val="TableGrid"/>
        <w:tblW w:w="0" w:type="auto"/>
        <w:tblLook w:val="04A0" w:firstRow="1" w:lastRow="0" w:firstColumn="1" w:lastColumn="0" w:noHBand="0" w:noVBand="1"/>
      </w:tblPr>
      <w:tblGrid>
        <w:gridCol w:w="9026"/>
      </w:tblGrid>
      <w:tr w:rsidR="00620B7E" w14:paraId="6011EE27" w14:textId="77777777" w:rsidTr="00796F9A">
        <w:trPr>
          <w:cnfStyle w:val="100000000000" w:firstRow="1" w:lastRow="0" w:firstColumn="0" w:lastColumn="0" w:oddVBand="0" w:evenVBand="0" w:oddHBand="0" w:evenHBand="0" w:firstRowFirstColumn="0" w:firstRowLastColumn="0" w:lastRowFirstColumn="0" w:lastRowLastColumn="0"/>
        </w:trPr>
        <w:tc>
          <w:tcPr>
            <w:tcW w:w="9026" w:type="dxa"/>
            <w:tcBorders>
              <w:top w:val="single" w:sz="6" w:space="0" w:color="B0CBD3" w:themeColor="accent1" w:themeTint="66"/>
              <w:bottom w:val="single" w:sz="6" w:space="0" w:color="B0CBD3" w:themeColor="accent1" w:themeTint="66"/>
            </w:tcBorders>
            <w:shd w:val="clear" w:color="auto" w:fill="auto"/>
          </w:tcPr>
          <w:p w14:paraId="69F49DB3" w14:textId="77777777" w:rsidR="00620B7E" w:rsidRPr="00796F9A" w:rsidRDefault="00620B7E" w:rsidP="00796F9A">
            <w:pPr>
              <w:pStyle w:val="Heading3"/>
              <w:spacing w:before="60"/>
              <w:rPr>
                <w:b w:val="0"/>
                <w:bCs w:val="0"/>
                <w:lang w:val="en-GB"/>
              </w:rPr>
            </w:pPr>
            <w:r w:rsidRPr="00796F9A">
              <w:rPr>
                <w:b w:val="0"/>
                <w:bCs w:val="0"/>
                <w:lang w:val="en-GB"/>
              </w:rPr>
              <w:t>Ms Rachel Grimes AM</w:t>
            </w:r>
          </w:p>
          <w:p w14:paraId="6852C021" w14:textId="77777777" w:rsidR="00620B7E" w:rsidRPr="00796F9A" w:rsidRDefault="00620B7E" w:rsidP="00620B7E">
            <w:pPr>
              <w:rPr>
                <w:b w:val="0"/>
                <w:bCs/>
              </w:rPr>
            </w:pPr>
            <w:r w:rsidRPr="00796F9A">
              <w:rPr>
                <w:b w:val="0"/>
                <w:bCs/>
              </w:rPr>
              <w:t>Rachel has over 30 </w:t>
            </w:r>
            <w:proofErr w:type="spellStart"/>
            <w:r w:rsidRPr="00796F9A">
              <w:rPr>
                <w:b w:val="0"/>
                <w:bCs/>
              </w:rPr>
              <w:t>years experience</w:t>
            </w:r>
            <w:proofErr w:type="spellEnd"/>
            <w:r w:rsidRPr="00796F9A">
              <w:rPr>
                <w:b w:val="0"/>
                <w:bCs/>
              </w:rPr>
              <w:t xml:space="preserve"> specialising in the financial services sector after which time she has focused on Non</w:t>
            </w:r>
            <w:r w:rsidRPr="00796F9A">
              <w:rPr>
                <w:b w:val="0"/>
                <w:bCs/>
              </w:rPr>
              <w:noBreakHyphen/>
              <w:t>Executive Director roles.</w:t>
            </w:r>
          </w:p>
          <w:p w14:paraId="49A1A59A" w14:textId="77777777" w:rsidR="00620B7E" w:rsidRPr="00796F9A" w:rsidRDefault="00620B7E" w:rsidP="00620B7E">
            <w:pPr>
              <w:rPr>
                <w:b w:val="0"/>
                <w:bCs/>
              </w:rPr>
            </w:pPr>
            <w:r w:rsidRPr="00796F9A">
              <w:rPr>
                <w:b w:val="0"/>
                <w:bCs/>
              </w:rPr>
              <w:t>In 2011, Rachel was appointed President of the Institute of Chartered Accountants Australia and was the President of the IFAC – the global organisation for the accountancy profession from 2016 to 2018. Rachel is a non</w:t>
            </w:r>
            <w:r w:rsidRPr="00796F9A">
              <w:rPr>
                <w:b w:val="0"/>
                <w:bCs/>
              </w:rPr>
              <w:noBreakHyphen/>
              <w:t>executive Director on ASX-listed Boards including HUB24 and Platinum.</w:t>
            </w:r>
          </w:p>
          <w:p w14:paraId="595AE933" w14:textId="77777777" w:rsidR="00620B7E" w:rsidRPr="00796F9A" w:rsidRDefault="00620B7E" w:rsidP="00620B7E">
            <w:pPr>
              <w:rPr>
                <w:b w:val="0"/>
                <w:bCs/>
              </w:rPr>
            </w:pPr>
            <w:r w:rsidRPr="00796F9A">
              <w:rPr>
                <w:b w:val="0"/>
                <w:bCs/>
              </w:rPr>
              <w:t>Rachel is also a Director on Australian Payments Plus, Angus Knight and the Accounting Professional and Ethical Standards Board and serves as the Chair of the Finance and Risk Committee for Surfing Australia. Rachel has a Bachelor of Business in Accounting from the University of Technology Sydney.</w:t>
            </w:r>
          </w:p>
          <w:p w14:paraId="3207609B" w14:textId="66257C51" w:rsidR="00620B7E" w:rsidRDefault="00620B7E" w:rsidP="00620B7E">
            <w:pPr>
              <w:rPr>
                <w:rFonts w:ascii="Source Sans Pro Light" w:hAnsi="Source Sans Pro Light" w:cs="Source Sans Pro Light"/>
                <w:sz w:val="21"/>
              </w:rPr>
            </w:pPr>
            <w:r w:rsidRPr="00796F9A">
              <w:rPr>
                <w:b w:val="0"/>
                <w:bCs/>
              </w:rPr>
              <w:t>Rachel was appointed as a Member in the General division for significant service in the field of accountancy and to professional associations.</w:t>
            </w:r>
          </w:p>
        </w:tc>
      </w:tr>
      <w:tr w:rsidR="00620B7E" w14:paraId="75863574" w14:textId="77777777" w:rsidTr="00620B7E">
        <w:trPr>
          <w:cantSplit/>
        </w:trPr>
        <w:tc>
          <w:tcPr>
            <w:tcW w:w="9026" w:type="dxa"/>
            <w:tcBorders>
              <w:top w:val="single" w:sz="6" w:space="0" w:color="B0CBD3" w:themeColor="accent1" w:themeTint="66"/>
              <w:bottom w:val="single" w:sz="6" w:space="0" w:color="B0CBD3" w:themeColor="accent1" w:themeTint="66"/>
            </w:tcBorders>
          </w:tcPr>
          <w:p w14:paraId="4E8651D5" w14:textId="77777777" w:rsidR="00620B7E" w:rsidRPr="00796F9A" w:rsidRDefault="00620B7E" w:rsidP="00796F9A">
            <w:pPr>
              <w:pStyle w:val="Heading3"/>
              <w:spacing w:before="60"/>
              <w:rPr>
                <w:lang w:val="en-GB"/>
              </w:rPr>
            </w:pPr>
            <w:r w:rsidRPr="00796F9A">
              <w:rPr>
                <w:lang w:val="en-GB"/>
              </w:rPr>
              <w:t xml:space="preserve">Ms </w:t>
            </w:r>
            <w:proofErr w:type="spellStart"/>
            <w:r w:rsidRPr="00796F9A">
              <w:rPr>
                <w:lang w:val="en-GB"/>
              </w:rPr>
              <w:t>Pru</w:t>
            </w:r>
            <w:proofErr w:type="spellEnd"/>
            <w:r w:rsidRPr="00796F9A">
              <w:rPr>
                <w:lang w:val="en-GB"/>
              </w:rPr>
              <w:t xml:space="preserve"> Bennett</w:t>
            </w:r>
          </w:p>
          <w:p w14:paraId="11FE2961" w14:textId="77777777" w:rsidR="00620B7E" w:rsidRPr="00F80DF3" w:rsidRDefault="00620B7E" w:rsidP="00620B7E">
            <w:r w:rsidRPr="00F80DF3">
              <w:t>With over 30 </w:t>
            </w:r>
            <w:proofErr w:type="spellStart"/>
            <w:r w:rsidRPr="00F80DF3">
              <w:t>years experience</w:t>
            </w:r>
            <w:proofErr w:type="spellEnd"/>
            <w:r w:rsidRPr="00F80DF3">
              <w:t xml:space="preserve">, </w:t>
            </w:r>
            <w:proofErr w:type="spellStart"/>
            <w:r w:rsidRPr="00F80DF3">
              <w:t>Pru</w:t>
            </w:r>
            <w:proofErr w:type="spellEnd"/>
            <w:r w:rsidRPr="00F80DF3">
              <w:t xml:space="preserve"> is a Partner at Brunswick Group and Chair of the National Foundation for Australia</w:t>
            </w:r>
            <w:r w:rsidRPr="00F80DF3">
              <w:noBreakHyphen/>
              <w:t>China Relations.</w:t>
            </w:r>
          </w:p>
          <w:p w14:paraId="2AEA31D3" w14:textId="38111CFA" w:rsidR="00620B7E" w:rsidRPr="00620B7E" w:rsidRDefault="00620B7E" w:rsidP="00620B7E">
            <w:pPr>
              <w:rPr>
                <w:rFonts w:ascii="Source Sans Pro Light" w:hAnsi="Source Sans Pro Light" w:cs="Source Sans Pro Light"/>
                <w:sz w:val="21"/>
              </w:rPr>
            </w:pPr>
            <w:proofErr w:type="spellStart"/>
            <w:r w:rsidRPr="00F80DF3">
              <w:t>Pru</w:t>
            </w:r>
            <w:proofErr w:type="spellEnd"/>
            <w:r w:rsidRPr="00F80DF3">
              <w:t xml:space="preserve"> is a council member of the Asian Corporate Governance Association, and a member of Deakin University Integrated Reporting Centre Advisory Board. </w:t>
            </w:r>
            <w:proofErr w:type="spellStart"/>
            <w:r w:rsidRPr="00F80DF3">
              <w:t>Pru</w:t>
            </w:r>
            <w:proofErr w:type="spellEnd"/>
            <w:r w:rsidRPr="00F80DF3">
              <w:t xml:space="preserve"> is a former director of the Global Compact Network Australia, a former member of the Monetary Authority of Singapore’s Corporate Governance Advisory Committee. She is a Fellow of Chartered Accountants Australia and New Zealand, a graduate of the Australian Institute of Company Directors, and has a Bachelor of Commerce from the University of New South Wales.</w:t>
            </w:r>
          </w:p>
        </w:tc>
      </w:tr>
      <w:tr w:rsidR="00620B7E" w14:paraId="4B8D55E7" w14:textId="77777777" w:rsidTr="00620B7E">
        <w:trPr>
          <w:cantSplit/>
        </w:trPr>
        <w:tc>
          <w:tcPr>
            <w:tcW w:w="9026" w:type="dxa"/>
            <w:tcBorders>
              <w:top w:val="single" w:sz="6" w:space="0" w:color="B0CBD3" w:themeColor="accent1" w:themeTint="66"/>
              <w:bottom w:val="single" w:sz="6" w:space="0" w:color="B0CBD3" w:themeColor="accent1" w:themeTint="66"/>
            </w:tcBorders>
          </w:tcPr>
          <w:p w14:paraId="55B26C6D" w14:textId="77777777" w:rsidR="00620B7E" w:rsidRPr="00620B7E" w:rsidRDefault="00620B7E" w:rsidP="00796F9A">
            <w:pPr>
              <w:pStyle w:val="Heading3"/>
              <w:spacing w:before="60"/>
              <w:rPr>
                <w:lang w:val="en-GB"/>
              </w:rPr>
            </w:pPr>
            <w:r w:rsidRPr="00620B7E">
              <w:rPr>
                <w:lang w:val="en-GB"/>
              </w:rPr>
              <w:t>Mr Doug Niven</w:t>
            </w:r>
          </w:p>
          <w:p w14:paraId="38F6721B" w14:textId="77777777" w:rsidR="00620B7E" w:rsidRPr="00F80DF3" w:rsidRDefault="00620B7E" w:rsidP="00620B7E">
            <w:r w:rsidRPr="00F80DF3">
              <w:t>Doug Niven joined the AUASB as Chair in September 2023 and was acting Chair from July 2023.</w:t>
            </w:r>
          </w:p>
          <w:p w14:paraId="61844DD9" w14:textId="77777777" w:rsidR="00620B7E" w:rsidRPr="00F80DF3" w:rsidRDefault="00620B7E" w:rsidP="00620B7E">
            <w:r w:rsidRPr="00F80DF3">
              <w:t>Doug has more than 40 years of experience in financial reporting and audit. He worked at Deloitte Touche Tohmatsu for 15 years, where he audited companies in the financial services sector and other industries. He joined ASIC as Deputy Chief Accountant in 1998 and was ASIC’s Senior Executive Leader, Financial Reporting and Audit, from 2008 to 2020, and Chief Accountant from 2020 to 2023.</w:t>
            </w:r>
          </w:p>
          <w:p w14:paraId="2BAB6815" w14:textId="77777777" w:rsidR="00620B7E" w:rsidRPr="00F80DF3" w:rsidRDefault="00620B7E" w:rsidP="00620B7E">
            <w:r w:rsidRPr="00F80DF3">
              <w:t>Doug was responsible for ASIC’s financial reporting surveillances and audit inspections, ASIC’s strategy and policy on financial reporting, audit and periodic sustainability reporting, and digital financial reporting. Doug represented ASIC externally on financial reporting and auditing matters.</w:t>
            </w:r>
          </w:p>
          <w:p w14:paraId="69C4B6D5" w14:textId="77777777" w:rsidR="00620B7E" w:rsidRPr="00F80DF3" w:rsidRDefault="00620B7E" w:rsidP="00620B7E">
            <w:r w:rsidRPr="00F80DF3">
              <w:t>He was a member of the IOSCO Committee 1 on Accounting, Audit and Disclosure, the IOSCO Sustainability Reporting and Assurance Workstreams and the International Forum of Independent Audit Regulators.</w:t>
            </w:r>
          </w:p>
          <w:p w14:paraId="3AA6F4FA" w14:textId="77777777" w:rsidR="00620B7E" w:rsidRPr="00F80DF3" w:rsidRDefault="00620B7E" w:rsidP="00620B7E">
            <w:pPr>
              <w:rPr>
                <w:rFonts w:ascii="Source Sans Pro Light" w:hAnsi="Source Sans Pro Light" w:cs="Source Sans Pro Light"/>
                <w:sz w:val="21"/>
              </w:rPr>
            </w:pPr>
            <w:r w:rsidRPr="00F80DF3">
              <w:t>Doug is also a member of the IAASB/IESBA Stakeholder Advisory Council.</w:t>
            </w:r>
          </w:p>
          <w:p w14:paraId="441A99DC" w14:textId="77777777" w:rsidR="00620B7E" w:rsidRPr="00620B7E" w:rsidRDefault="00620B7E" w:rsidP="00620B7E">
            <w:pPr>
              <w:pStyle w:val="TableColumnHeadingLeft"/>
              <w:rPr>
                <w:lang w:val="en-GB"/>
              </w:rPr>
            </w:pPr>
          </w:p>
        </w:tc>
      </w:tr>
    </w:tbl>
    <w:p w14:paraId="2D080CFA" w14:textId="77777777" w:rsidR="00796F9A" w:rsidRDefault="00796F9A" w:rsidP="000B66A2">
      <w:pPr>
        <w:pStyle w:val="Heading2"/>
      </w:pPr>
      <w:bookmarkStart w:id="77" w:name="_Toc211627821"/>
      <w:r>
        <w:br w:type="page"/>
      </w:r>
    </w:p>
    <w:p w14:paraId="12DE1693" w14:textId="03FD71EC" w:rsidR="0027283D" w:rsidRPr="00D878B3" w:rsidRDefault="0027283D" w:rsidP="000B66A2">
      <w:pPr>
        <w:pStyle w:val="Heading2"/>
      </w:pPr>
      <w:r w:rsidRPr="00D878B3">
        <w:t>Transparency</w:t>
      </w:r>
      <w:bookmarkEnd w:id="77"/>
    </w:p>
    <w:p w14:paraId="6D14C59D" w14:textId="0B05EF22" w:rsidR="0027283D" w:rsidRPr="00F80DF3" w:rsidRDefault="0027283D" w:rsidP="00620B7E">
      <w:pPr>
        <w:rPr>
          <w:lang w:val="en-GB"/>
        </w:rPr>
      </w:pPr>
      <w:r w:rsidRPr="00F80DF3">
        <w:rPr>
          <w:lang w:val="en-GB"/>
        </w:rPr>
        <w:t xml:space="preserve">In </w:t>
      </w:r>
      <w:r w:rsidR="00176C7C" w:rsidRPr="00F80DF3">
        <w:rPr>
          <w:lang w:val="en-GB"/>
        </w:rPr>
        <w:t>202</w:t>
      </w:r>
      <w:r w:rsidR="00897BCA" w:rsidRPr="00F80DF3">
        <w:rPr>
          <w:lang w:val="en-GB"/>
        </w:rPr>
        <w:t>4</w:t>
      </w:r>
      <w:r w:rsidR="00176C7C" w:rsidRPr="00F80DF3">
        <w:rPr>
          <w:lang w:val="en-GB"/>
        </w:rPr>
        <w:t>–2</w:t>
      </w:r>
      <w:r w:rsidR="00897BCA" w:rsidRPr="00F80DF3">
        <w:rPr>
          <w:lang w:val="en-GB"/>
        </w:rPr>
        <w:t>5</w:t>
      </w:r>
      <w:r w:rsidRPr="00F80DF3">
        <w:rPr>
          <w:lang w:val="en-GB"/>
        </w:rPr>
        <w:t xml:space="preserve"> the FRC </w:t>
      </w:r>
      <w:r w:rsidR="00C96ABD" w:rsidRPr="00F80DF3">
        <w:rPr>
          <w:lang w:val="en-GB"/>
        </w:rPr>
        <w:t xml:space="preserve">continued </w:t>
      </w:r>
      <w:r w:rsidRPr="00F80DF3">
        <w:rPr>
          <w:lang w:val="en-GB"/>
        </w:rPr>
        <w:t>to allow members of the public to observe its meetings</w:t>
      </w:r>
      <w:r w:rsidR="004D7C13" w:rsidRPr="00F80DF3">
        <w:rPr>
          <w:lang w:val="en-GB"/>
        </w:rPr>
        <w:t xml:space="preserve">. </w:t>
      </w:r>
      <w:r w:rsidR="001D605A" w:rsidRPr="00F80DF3">
        <w:rPr>
          <w:lang w:val="en-GB"/>
        </w:rPr>
        <w:t>Advance</w:t>
      </w:r>
      <w:r w:rsidR="00620B7E">
        <w:rPr>
          <w:lang w:val="en-GB"/>
        </w:rPr>
        <w:t> </w:t>
      </w:r>
      <w:r w:rsidR="001D605A" w:rsidRPr="00F80DF3">
        <w:rPr>
          <w:lang w:val="en-GB"/>
        </w:rPr>
        <w:t>notices of meetings</w:t>
      </w:r>
      <w:r w:rsidR="00B6457E" w:rsidRPr="00F80DF3">
        <w:rPr>
          <w:lang w:val="en-GB"/>
        </w:rPr>
        <w:t xml:space="preserve"> and minutes </w:t>
      </w:r>
      <w:r w:rsidR="00F47314" w:rsidRPr="00F80DF3">
        <w:rPr>
          <w:lang w:val="en-GB"/>
        </w:rPr>
        <w:t>of the public session are published on the FRC website</w:t>
      </w:r>
      <w:r w:rsidR="007731D6" w:rsidRPr="00F80DF3">
        <w:rPr>
          <w:lang w:val="en-GB"/>
        </w:rPr>
        <w:t>.</w:t>
      </w:r>
      <w:r w:rsidRPr="00F80DF3">
        <w:rPr>
          <w:lang w:val="en-GB"/>
        </w:rPr>
        <w:t xml:space="preserve"> </w:t>
      </w:r>
      <w:r w:rsidR="007731D6" w:rsidRPr="00F80DF3">
        <w:rPr>
          <w:lang w:val="en-GB"/>
        </w:rPr>
        <w:t>This</w:t>
      </w:r>
      <w:r w:rsidR="00620B7E">
        <w:rPr>
          <w:lang w:val="en-GB"/>
        </w:rPr>
        <w:t> </w:t>
      </w:r>
      <w:r w:rsidR="007731D6" w:rsidRPr="00F80DF3">
        <w:rPr>
          <w:lang w:val="en-GB"/>
        </w:rPr>
        <w:t xml:space="preserve">demonstrates </w:t>
      </w:r>
      <w:r w:rsidRPr="00F80DF3">
        <w:rPr>
          <w:lang w:val="en-GB"/>
        </w:rPr>
        <w:t>the FRC’s strong commitment to transparency and stakeholder engagement.</w:t>
      </w:r>
    </w:p>
    <w:p w14:paraId="573923F2" w14:textId="77777777" w:rsidR="0027283D" w:rsidRPr="00D878B3" w:rsidRDefault="0027283D" w:rsidP="000B66A2">
      <w:pPr>
        <w:pStyle w:val="Heading2"/>
      </w:pPr>
      <w:bookmarkStart w:id="78" w:name="_Toc211627869"/>
      <w:r w:rsidRPr="00D878B3">
        <w:t>Disclosure and conflict of interests</w:t>
      </w:r>
      <w:bookmarkEnd w:id="78"/>
    </w:p>
    <w:p w14:paraId="4624E277" w14:textId="7578B9EB" w:rsidR="0027283D" w:rsidRPr="00F80DF3" w:rsidRDefault="0027283D" w:rsidP="00620B7E">
      <w:pPr>
        <w:rPr>
          <w:lang w:val="en-GB"/>
        </w:rPr>
      </w:pPr>
      <w:r w:rsidRPr="00F80DF3">
        <w:rPr>
          <w:lang w:val="en-GB"/>
        </w:rPr>
        <w:t>The FRC has processes to manage conflicts of interest of members</w:t>
      </w:r>
      <w:r w:rsidR="00941473" w:rsidRPr="00F80DF3">
        <w:rPr>
          <w:lang w:val="en-GB"/>
        </w:rPr>
        <w:t xml:space="preserve">. Members are </w:t>
      </w:r>
      <w:r w:rsidRPr="00F80DF3">
        <w:rPr>
          <w:lang w:val="en-GB"/>
        </w:rPr>
        <w:t>required to disclose</w:t>
      </w:r>
      <w:r w:rsidR="00941473" w:rsidRPr="00F80DF3">
        <w:rPr>
          <w:lang w:val="en-GB"/>
        </w:rPr>
        <w:t xml:space="preserve"> relevant interests</w:t>
      </w:r>
      <w:r w:rsidRPr="00F80DF3">
        <w:rPr>
          <w:lang w:val="en-GB"/>
        </w:rPr>
        <w:t xml:space="preserve"> on </w:t>
      </w:r>
      <w:r w:rsidR="00941473" w:rsidRPr="00F80DF3">
        <w:rPr>
          <w:lang w:val="en-GB"/>
        </w:rPr>
        <w:t xml:space="preserve">their </w:t>
      </w:r>
      <w:r w:rsidRPr="00F80DF3">
        <w:rPr>
          <w:lang w:val="en-GB"/>
        </w:rPr>
        <w:t xml:space="preserve">appointment and at the commencement of FRC meetings. </w:t>
      </w:r>
      <w:r w:rsidR="009B0803" w:rsidRPr="00F80DF3">
        <w:rPr>
          <w:lang w:val="en-GB"/>
        </w:rPr>
        <w:t>The FRC also maintains a</w:t>
      </w:r>
      <w:r w:rsidRPr="00F80DF3">
        <w:rPr>
          <w:lang w:val="en-GB"/>
        </w:rPr>
        <w:t xml:space="preserve"> register of interests.</w:t>
      </w:r>
    </w:p>
    <w:p w14:paraId="30CFF9E7" w14:textId="77777777" w:rsidR="00620B7E" w:rsidRDefault="00620B7E" w:rsidP="00D878B3">
      <w:pPr>
        <w:rPr>
          <w:rFonts w:ascii="Calibri" w:hAnsi="Calibri" w:cs="Arial"/>
          <w:iCs/>
          <w:color w:val="497783" w:themeColor="accent1"/>
          <w:kern w:val="32"/>
          <w:sz w:val="36"/>
          <w:szCs w:val="28"/>
        </w:rPr>
      </w:pPr>
      <w:r>
        <w:rPr>
          <w:rFonts w:ascii="Calibri" w:hAnsi="Calibri" w:cs="Arial"/>
          <w:iCs/>
          <w:color w:val="497783" w:themeColor="accent1"/>
          <w:kern w:val="32"/>
          <w:sz w:val="36"/>
          <w:szCs w:val="28"/>
        </w:rPr>
        <w:br w:type="page"/>
      </w:r>
    </w:p>
    <w:p w14:paraId="6F26C766" w14:textId="708170C4" w:rsidR="0027283D" w:rsidRPr="00CC7A88" w:rsidRDefault="0027283D" w:rsidP="00D878B3">
      <w:pPr>
        <w:rPr>
          <w:rFonts w:ascii="Calibri" w:hAnsi="Calibri" w:cs="Arial"/>
          <w:iCs/>
          <w:color w:val="497783" w:themeColor="accent1"/>
          <w:kern w:val="32"/>
          <w:sz w:val="36"/>
          <w:szCs w:val="28"/>
        </w:rPr>
      </w:pPr>
      <w:r w:rsidRPr="00CC7A88">
        <w:rPr>
          <w:rFonts w:ascii="Calibri" w:hAnsi="Calibri" w:cs="Arial"/>
          <w:iCs/>
          <w:color w:val="497783" w:themeColor="accent1"/>
          <w:kern w:val="32"/>
          <w:sz w:val="36"/>
          <w:szCs w:val="28"/>
        </w:rPr>
        <w:t>Attendance at FRC meetings</w:t>
      </w:r>
    </w:p>
    <w:p w14:paraId="7BEBB4F6" w14:textId="4D668DBA" w:rsidR="006722D3" w:rsidRPr="00F80DF3" w:rsidRDefault="0027283D" w:rsidP="006118C2">
      <w:pPr>
        <w:rPr>
          <w:szCs w:val="21"/>
          <w:lang w:val="en-GB"/>
        </w:rPr>
      </w:pPr>
      <w:r w:rsidRPr="00F80DF3">
        <w:rPr>
          <w:szCs w:val="21"/>
          <w:lang w:val="en-GB"/>
        </w:rPr>
        <w:t xml:space="preserve">The FRC held </w:t>
      </w:r>
      <w:r w:rsidR="00D66ADC" w:rsidRPr="00F80DF3">
        <w:rPr>
          <w:szCs w:val="21"/>
          <w:lang w:val="en-GB"/>
        </w:rPr>
        <w:t xml:space="preserve">4 </w:t>
      </w:r>
      <w:r w:rsidRPr="00F80DF3">
        <w:rPr>
          <w:szCs w:val="21"/>
          <w:lang w:val="en-GB"/>
        </w:rPr>
        <w:t>meetings in 202</w:t>
      </w:r>
      <w:r w:rsidR="00464AAB" w:rsidRPr="00F80DF3">
        <w:rPr>
          <w:szCs w:val="21"/>
          <w:lang w:val="en-GB"/>
        </w:rPr>
        <w:t>4</w:t>
      </w:r>
      <w:r w:rsidRPr="00F80DF3">
        <w:rPr>
          <w:szCs w:val="21"/>
          <w:lang w:val="en-GB"/>
        </w:rPr>
        <w:t>–2</w:t>
      </w:r>
      <w:r w:rsidR="00464AAB" w:rsidRPr="00F80DF3">
        <w:rPr>
          <w:szCs w:val="21"/>
          <w:lang w:val="en-GB"/>
        </w:rPr>
        <w:t>5</w:t>
      </w:r>
      <w:r w:rsidR="00C131CD" w:rsidRPr="00F80DF3">
        <w:rPr>
          <w:szCs w:val="21"/>
          <w:lang w:val="en-GB"/>
        </w:rPr>
        <w:t xml:space="preserve">: </w:t>
      </w:r>
      <w:r w:rsidRPr="00F80DF3">
        <w:rPr>
          <w:szCs w:val="21"/>
          <w:lang w:val="en-GB"/>
        </w:rPr>
        <w:t>September</w:t>
      </w:r>
      <w:r w:rsidR="00BE61F3" w:rsidRPr="00F80DF3">
        <w:rPr>
          <w:szCs w:val="21"/>
          <w:lang w:val="en-GB"/>
        </w:rPr>
        <w:t xml:space="preserve"> 2024</w:t>
      </w:r>
      <w:r w:rsidRPr="00F80DF3">
        <w:rPr>
          <w:szCs w:val="21"/>
          <w:lang w:val="en-GB"/>
        </w:rPr>
        <w:t xml:space="preserve">, </w:t>
      </w:r>
      <w:r w:rsidR="00CB197D" w:rsidRPr="00F80DF3">
        <w:rPr>
          <w:szCs w:val="21"/>
          <w:lang w:val="en-GB"/>
        </w:rPr>
        <w:t>November</w:t>
      </w:r>
      <w:r w:rsidR="00BE61F3" w:rsidRPr="00F80DF3">
        <w:rPr>
          <w:szCs w:val="21"/>
          <w:lang w:val="en-GB"/>
        </w:rPr>
        <w:t xml:space="preserve"> 2024</w:t>
      </w:r>
      <w:r w:rsidRPr="00F80DF3">
        <w:rPr>
          <w:szCs w:val="21"/>
          <w:lang w:val="en-GB"/>
        </w:rPr>
        <w:t xml:space="preserve">, </w:t>
      </w:r>
      <w:r w:rsidR="00CB197D" w:rsidRPr="00F80DF3">
        <w:rPr>
          <w:szCs w:val="21"/>
          <w:lang w:val="en-GB"/>
        </w:rPr>
        <w:t>March</w:t>
      </w:r>
      <w:r w:rsidR="00625D0C" w:rsidRPr="00F80DF3">
        <w:rPr>
          <w:szCs w:val="21"/>
          <w:lang w:val="en-GB"/>
        </w:rPr>
        <w:t xml:space="preserve"> </w:t>
      </w:r>
      <w:r w:rsidR="00BE61F3" w:rsidRPr="00F80DF3">
        <w:rPr>
          <w:szCs w:val="21"/>
          <w:lang w:val="en-GB"/>
        </w:rPr>
        <w:t xml:space="preserve">2025 </w:t>
      </w:r>
      <w:r w:rsidR="00625D0C" w:rsidRPr="00F80DF3">
        <w:rPr>
          <w:szCs w:val="21"/>
          <w:lang w:val="en-GB"/>
        </w:rPr>
        <w:t>and June</w:t>
      </w:r>
      <w:r w:rsidR="00BE61F3" w:rsidRPr="00F80DF3">
        <w:rPr>
          <w:szCs w:val="21"/>
          <w:lang w:val="en-GB"/>
        </w:rPr>
        <w:t xml:space="preserve"> 2025</w:t>
      </w:r>
      <w:r w:rsidRPr="00F80DF3">
        <w:rPr>
          <w:szCs w:val="21"/>
          <w:lang w:val="en-GB"/>
        </w:rPr>
        <w:t xml:space="preserve">. </w:t>
      </w:r>
      <w:r w:rsidR="00B026FA" w:rsidRPr="00F80DF3">
        <w:rPr>
          <w:szCs w:val="21"/>
          <w:lang w:val="en-GB"/>
        </w:rPr>
        <w:t xml:space="preserve">Members’ attendance is in </w:t>
      </w:r>
      <w:r w:rsidR="00F74004" w:rsidRPr="00F80DF3">
        <w:rPr>
          <w:szCs w:val="21"/>
          <w:lang w:val="en-GB"/>
        </w:rPr>
        <w:t xml:space="preserve">Table </w:t>
      </w:r>
      <w:r w:rsidR="0009081D" w:rsidRPr="00F80DF3">
        <w:rPr>
          <w:szCs w:val="21"/>
          <w:lang w:val="en-GB"/>
        </w:rPr>
        <w:t>7</w:t>
      </w:r>
      <w:r w:rsidR="00F74004" w:rsidRPr="00F80DF3">
        <w:rPr>
          <w:szCs w:val="21"/>
          <w:lang w:val="en-GB"/>
        </w:rPr>
        <w:t>.1</w:t>
      </w:r>
      <w:r w:rsidR="006722D3" w:rsidRPr="00F80DF3">
        <w:rPr>
          <w:szCs w:val="21"/>
          <w:lang w:val="en-GB"/>
        </w:rPr>
        <w:t>.</w:t>
      </w:r>
    </w:p>
    <w:p w14:paraId="03950D31" w14:textId="7A2659AE" w:rsidR="00AF1BFE" w:rsidRPr="00620B7E" w:rsidRDefault="006722D3" w:rsidP="00620B7E">
      <w:pPr>
        <w:pStyle w:val="TableMainHeading"/>
        <w:rPr>
          <w:lang w:val="en-GB"/>
        </w:rPr>
      </w:pPr>
      <w:r w:rsidRPr="00620B7E">
        <w:rPr>
          <w:sz w:val="22"/>
          <w:szCs w:val="14"/>
          <w:lang w:val="en-GB"/>
        </w:rPr>
        <w:t xml:space="preserve">Table </w:t>
      </w:r>
      <w:r w:rsidR="0009081D" w:rsidRPr="00620B7E">
        <w:rPr>
          <w:sz w:val="22"/>
          <w:szCs w:val="14"/>
          <w:lang w:val="en-GB"/>
        </w:rPr>
        <w:t>7</w:t>
      </w:r>
      <w:r w:rsidRPr="00620B7E">
        <w:rPr>
          <w:sz w:val="22"/>
          <w:szCs w:val="14"/>
          <w:lang w:val="en-GB"/>
        </w:rPr>
        <w:t xml:space="preserve">.1: FRC meeting attendance in </w:t>
      </w:r>
      <w:r w:rsidR="00176C7C" w:rsidRPr="00620B7E">
        <w:rPr>
          <w:sz w:val="22"/>
          <w:szCs w:val="14"/>
          <w:lang w:val="en-GB"/>
        </w:rPr>
        <w:t>202</w:t>
      </w:r>
      <w:r w:rsidR="00897BCA" w:rsidRPr="00620B7E">
        <w:rPr>
          <w:sz w:val="22"/>
          <w:szCs w:val="14"/>
          <w:lang w:val="en-GB"/>
        </w:rPr>
        <w:t>4</w:t>
      </w:r>
      <w:r w:rsidR="00176C7C" w:rsidRPr="00620B7E">
        <w:rPr>
          <w:sz w:val="22"/>
          <w:szCs w:val="14"/>
          <w:lang w:val="en-GB"/>
        </w:rPr>
        <w:t>–2</w:t>
      </w:r>
      <w:r w:rsidR="00897BCA" w:rsidRPr="00620B7E">
        <w:rPr>
          <w:sz w:val="22"/>
          <w:szCs w:val="14"/>
          <w:lang w:val="en-GB"/>
        </w:rPr>
        <w:t>5</w:t>
      </w:r>
    </w:p>
    <w:tbl>
      <w:tblPr>
        <w:tblStyle w:val="DefaultTable"/>
        <w:tblW w:w="5000" w:type="pct"/>
        <w:tblBorders>
          <w:top w:val="none" w:sz="0" w:space="0" w:color="auto"/>
          <w:left w:val="none" w:sz="0" w:space="0" w:color="auto"/>
          <w:bottom w:val="none" w:sz="0" w:space="0" w:color="auto"/>
          <w:right w:val="none" w:sz="0" w:space="0" w:color="auto"/>
          <w:insideH w:val="single" w:sz="6" w:space="0" w:color="B0CBD3" w:themeColor="accent1" w:themeTint="66"/>
          <w:insideV w:val="none" w:sz="0" w:space="0" w:color="auto"/>
        </w:tblBorders>
        <w:tblLook w:val="04A0" w:firstRow="1" w:lastRow="0" w:firstColumn="1" w:lastColumn="0" w:noHBand="0" w:noVBand="1"/>
      </w:tblPr>
      <w:tblGrid>
        <w:gridCol w:w="3567"/>
        <w:gridCol w:w="5503"/>
      </w:tblGrid>
      <w:tr w:rsidR="00F23429" w:rsidRPr="00F061F9" w14:paraId="1B32154E" w14:textId="77777777" w:rsidTr="006A545E">
        <w:tc>
          <w:tcPr>
            <w:tcW w:w="2943" w:type="dxa"/>
            <w:tcBorders>
              <w:top w:val="nil"/>
              <w:bottom w:val="single" w:sz="6" w:space="0" w:color="B0CBD3" w:themeColor="accent1" w:themeTint="66"/>
              <w:right w:val="single" w:sz="12" w:space="0" w:color="365862" w:themeColor="accent1" w:themeShade="BF"/>
            </w:tcBorders>
            <w:shd w:val="clear" w:color="auto" w:fill="D7E5E9" w:themeFill="accent1" w:themeFillTint="33"/>
          </w:tcPr>
          <w:p w14:paraId="7C996DC0" w14:textId="77777777" w:rsidR="00F23429" w:rsidRPr="00F80DF3" w:rsidRDefault="00B026FA" w:rsidP="00CB7C46">
            <w:pPr>
              <w:pStyle w:val="TableColumnHeadingCentred"/>
            </w:pPr>
            <w:r w:rsidRPr="00F80DF3">
              <w:t>Member</w:t>
            </w:r>
          </w:p>
        </w:tc>
        <w:tc>
          <w:tcPr>
            <w:tcW w:w="4540" w:type="dxa"/>
            <w:tcBorders>
              <w:left w:val="single" w:sz="12" w:space="0" w:color="365862" w:themeColor="accent1" w:themeShade="BF"/>
            </w:tcBorders>
            <w:shd w:val="clear" w:color="auto" w:fill="D7E5E9" w:themeFill="accent1" w:themeFillTint="33"/>
          </w:tcPr>
          <w:p w14:paraId="251469F8" w14:textId="77777777" w:rsidR="00F23429" w:rsidRPr="00F80DF3" w:rsidRDefault="00B026FA" w:rsidP="00CB7C46">
            <w:pPr>
              <w:pStyle w:val="TableColumnHeadingCentred"/>
            </w:pPr>
            <w:r w:rsidRPr="00F80DF3">
              <w:t>No</w:t>
            </w:r>
            <w:r w:rsidR="00EF5032" w:rsidRPr="00F80DF3">
              <w:t>.</w:t>
            </w:r>
            <w:r w:rsidRPr="00F80DF3">
              <w:t xml:space="preserve"> meetings attended/No</w:t>
            </w:r>
            <w:r w:rsidR="00EF5032" w:rsidRPr="00F80DF3">
              <w:t>.</w:t>
            </w:r>
            <w:r w:rsidR="00401335" w:rsidRPr="00F80DF3">
              <w:t xml:space="preserve"> </w:t>
            </w:r>
            <w:r w:rsidRPr="00F80DF3">
              <w:t>eligible to attend</w:t>
            </w:r>
          </w:p>
        </w:tc>
      </w:tr>
      <w:tr w:rsidR="00F23429" w:rsidRPr="00F061F9" w14:paraId="1F05AB38" w14:textId="77777777" w:rsidTr="006A545E">
        <w:tc>
          <w:tcPr>
            <w:tcW w:w="2943" w:type="dxa"/>
            <w:tcBorders>
              <w:top w:val="single" w:sz="6" w:space="0" w:color="B0CBD3" w:themeColor="accent1" w:themeTint="66"/>
              <w:bottom w:val="single" w:sz="6" w:space="0" w:color="B0CBD3" w:themeColor="accent1" w:themeTint="66"/>
              <w:right w:val="single" w:sz="12" w:space="0" w:color="365862" w:themeColor="accent1" w:themeShade="BF"/>
            </w:tcBorders>
          </w:tcPr>
          <w:p w14:paraId="6B680C61" w14:textId="687C6E47" w:rsidR="00F23429" w:rsidRPr="00F80DF3" w:rsidRDefault="006722D3" w:rsidP="00CB7C46">
            <w:pPr>
              <w:pStyle w:val="TableTextLeft"/>
              <w:rPr>
                <w:lang w:val="en-GB"/>
              </w:rPr>
            </w:pPr>
            <w:r w:rsidRPr="00F80DF3">
              <w:rPr>
                <w:lang w:val="en-GB"/>
              </w:rPr>
              <w:t>A Mills (Chair)</w:t>
            </w:r>
          </w:p>
        </w:tc>
        <w:tc>
          <w:tcPr>
            <w:tcW w:w="4540" w:type="dxa"/>
            <w:tcBorders>
              <w:left w:val="single" w:sz="12" w:space="0" w:color="365862" w:themeColor="accent1" w:themeShade="BF"/>
            </w:tcBorders>
          </w:tcPr>
          <w:p w14:paraId="11AFC42D" w14:textId="32A65BF3" w:rsidR="00F23429" w:rsidRPr="00F80DF3" w:rsidRDefault="00010B2B" w:rsidP="00CB7C46">
            <w:pPr>
              <w:pStyle w:val="TableTextLeft"/>
              <w:rPr>
                <w:lang w:val="en-GB"/>
              </w:rPr>
            </w:pPr>
            <w:r w:rsidRPr="00F80DF3">
              <w:rPr>
                <w:lang w:val="en-GB"/>
              </w:rPr>
              <w:t xml:space="preserve">4 </w:t>
            </w:r>
            <w:r w:rsidR="008969B2" w:rsidRPr="00F80DF3">
              <w:rPr>
                <w:lang w:val="en-GB"/>
              </w:rPr>
              <w:t xml:space="preserve">of </w:t>
            </w:r>
            <w:r w:rsidRPr="00F80DF3">
              <w:rPr>
                <w:lang w:val="en-GB"/>
              </w:rPr>
              <w:t>4</w:t>
            </w:r>
          </w:p>
        </w:tc>
      </w:tr>
      <w:tr w:rsidR="00370D6E" w:rsidRPr="00F061F9" w14:paraId="5B46C0DE" w14:textId="77777777" w:rsidTr="006A545E">
        <w:tc>
          <w:tcPr>
            <w:tcW w:w="2943" w:type="dxa"/>
            <w:tcBorders>
              <w:top w:val="single" w:sz="6" w:space="0" w:color="B0CBD3" w:themeColor="accent1" w:themeTint="66"/>
              <w:bottom w:val="single" w:sz="6" w:space="0" w:color="B0CBD3" w:themeColor="accent1" w:themeTint="66"/>
              <w:right w:val="single" w:sz="12" w:space="0" w:color="365862" w:themeColor="accent1" w:themeShade="BF"/>
            </w:tcBorders>
          </w:tcPr>
          <w:p w14:paraId="0997E1DF" w14:textId="74106807" w:rsidR="00370D6E" w:rsidRPr="00F80DF3" w:rsidRDefault="00036B4D" w:rsidP="00CB7C46">
            <w:pPr>
              <w:pStyle w:val="TableTextLeft"/>
              <w:rPr>
                <w:lang w:val="en-GB"/>
              </w:rPr>
            </w:pPr>
            <w:r w:rsidRPr="00F80DF3">
              <w:rPr>
                <w:lang w:val="en-GB"/>
              </w:rPr>
              <w:t>A</w:t>
            </w:r>
            <w:r w:rsidRPr="00F80DF3">
              <w:t xml:space="preserve"> Fox</w:t>
            </w:r>
          </w:p>
        </w:tc>
        <w:tc>
          <w:tcPr>
            <w:tcW w:w="4540" w:type="dxa"/>
            <w:tcBorders>
              <w:left w:val="single" w:sz="12" w:space="0" w:color="365862" w:themeColor="accent1" w:themeShade="BF"/>
            </w:tcBorders>
          </w:tcPr>
          <w:p w14:paraId="22C0D8B8" w14:textId="663C62CD" w:rsidR="00370D6E" w:rsidRPr="00F80DF3" w:rsidRDefault="00036B4D" w:rsidP="00CB7C46">
            <w:pPr>
              <w:pStyle w:val="TableTextLeft"/>
              <w:rPr>
                <w:lang w:val="en-GB"/>
              </w:rPr>
            </w:pPr>
            <w:r w:rsidRPr="00F80DF3">
              <w:rPr>
                <w:lang w:val="en-GB"/>
              </w:rPr>
              <w:t>4 of 4</w:t>
            </w:r>
          </w:p>
        </w:tc>
      </w:tr>
      <w:tr w:rsidR="00036B4D" w:rsidRPr="00F061F9" w14:paraId="4647E0E8" w14:textId="77777777" w:rsidTr="006A545E">
        <w:tc>
          <w:tcPr>
            <w:tcW w:w="2943" w:type="dxa"/>
            <w:tcBorders>
              <w:top w:val="single" w:sz="6" w:space="0" w:color="B0CBD3" w:themeColor="accent1" w:themeTint="66"/>
              <w:bottom w:val="single" w:sz="6" w:space="0" w:color="B0CBD3" w:themeColor="accent1" w:themeTint="66"/>
              <w:right w:val="single" w:sz="12" w:space="0" w:color="365862" w:themeColor="accent1" w:themeShade="BF"/>
            </w:tcBorders>
          </w:tcPr>
          <w:p w14:paraId="0A5772A6" w14:textId="0EF17D15" w:rsidR="00036B4D" w:rsidRPr="00F80DF3" w:rsidRDefault="00036B4D" w:rsidP="00CB7C46">
            <w:pPr>
              <w:pStyle w:val="TableTextLeft"/>
              <w:rPr>
                <w:lang w:val="en-GB"/>
              </w:rPr>
            </w:pPr>
            <w:r w:rsidRPr="00F80DF3">
              <w:rPr>
                <w:lang w:val="en-GB"/>
              </w:rPr>
              <w:t>A White</w:t>
            </w:r>
          </w:p>
        </w:tc>
        <w:tc>
          <w:tcPr>
            <w:tcW w:w="4540" w:type="dxa"/>
            <w:tcBorders>
              <w:left w:val="single" w:sz="12" w:space="0" w:color="365862" w:themeColor="accent1" w:themeShade="BF"/>
            </w:tcBorders>
          </w:tcPr>
          <w:p w14:paraId="57D5F5E9" w14:textId="48BF727A" w:rsidR="00036B4D" w:rsidRPr="00F80DF3" w:rsidRDefault="00036B4D" w:rsidP="00CB7C46">
            <w:pPr>
              <w:pStyle w:val="TableTextLeft"/>
              <w:rPr>
                <w:lang w:val="en-GB"/>
              </w:rPr>
            </w:pPr>
            <w:r w:rsidRPr="00F80DF3">
              <w:rPr>
                <w:lang w:val="en-GB"/>
              </w:rPr>
              <w:t>4 of 4</w:t>
            </w:r>
          </w:p>
        </w:tc>
      </w:tr>
      <w:tr w:rsidR="00036B4D" w:rsidRPr="00F061F9" w14:paraId="58A295CF" w14:textId="77777777" w:rsidTr="006A545E">
        <w:tc>
          <w:tcPr>
            <w:tcW w:w="2943" w:type="dxa"/>
            <w:tcBorders>
              <w:top w:val="single" w:sz="6" w:space="0" w:color="B0CBD3" w:themeColor="accent1" w:themeTint="66"/>
              <w:bottom w:val="single" w:sz="6" w:space="0" w:color="B0CBD3" w:themeColor="accent1" w:themeTint="66"/>
              <w:right w:val="single" w:sz="12" w:space="0" w:color="365862" w:themeColor="accent1" w:themeShade="BF"/>
            </w:tcBorders>
          </w:tcPr>
          <w:p w14:paraId="7A0E88F3" w14:textId="1BED5939" w:rsidR="00036B4D" w:rsidRPr="00F80DF3" w:rsidRDefault="00036B4D" w:rsidP="00CB7C46">
            <w:pPr>
              <w:pStyle w:val="TableTextLeft"/>
              <w:rPr>
                <w:lang w:val="en-GB"/>
              </w:rPr>
            </w:pPr>
            <w:r w:rsidRPr="00F80DF3">
              <w:rPr>
                <w:lang w:val="en-GB"/>
              </w:rPr>
              <w:t>D Niven</w:t>
            </w:r>
          </w:p>
        </w:tc>
        <w:tc>
          <w:tcPr>
            <w:tcW w:w="4540" w:type="dxa"/>
            <w:tcBorders>
              <w:left w:val="single" w:sz="12" w:space="0" w:color="365862" w:themeColor="accent1" w:themeShade="BF"/>
            </w:tcBorders>
          </w:tcPr>
          <w:p w14:paraId="1AA8CBE3" w14:textId="512D5917" w:rsidR="00036B4D" w:rsidRPr="00F80DF3" w:rsidRDefault="00DA0A34" w:rsidP="00CB7C46">
            <w:pPr>
              <w:pStyle w:val="TableTextLeft"/>
              <w:rPr>
                <w:lang w:val="en-GB"/>
              </w:rPr>
            </w:pPr>
            <w:r w:rsidRPr="00F80DF3">
              <w:rPr>
                <w:lang w:val="en-GB"/>
              </w:rPr>
              <w:t>4 of 4</w:t>
            </w:r>
          </w:p>
        </w:tc>
      </w:tr>
      <w:tr w:rsidR="00F23429" w:rsidRPr="00F061F9" w14:paraId="3290B4FA" w14:textId="77777777" w:rsidTr="006A545E">
        <w:tc>
          <w:tcPr>
            <w:tcW w:w="2943" w:type="dxa"/>
            <w:tcBorders>
              <w:top w:val="single" w:sz="6" w:space="0" w:color="B0CBD3" w:themeColor="accent1" w:themeTint="66"/>
              <w:bottom w:val="single" w:sz="6" w:space="0" w:color="B0CBD3" w:themeColor="accent1" w:themeTint="66"/>
              <w:right w:val="single" w:sz="12" w:space="0" w:color="365862" w:themeColor="accent1" w:themeShade="BF"/>
            </w:tcBorders>
          </w:tcPr>
          <w:p w14:paraId="02C52788" w14:textId="488B6EA4" w:rsidR="00F23429" w:rsidRPr="00F80DF3" w:rsidRDefault="00CB6A48" w:rsidP="00CB7C46">
            <w:pPr>
              <w:pStyle w:val="TableTextLeft"/>
              <w:rPr>
                <w:lang w:val="en-GB"/>
              </w:rPr>
            </w:pPr>
            <w:r w:rsidRPr="00F80DF3">
              <w:rPr>
                <w:lang w:val="en-GB"/>
              </w:rPr>
              <w:t>E Herd</w:t>
            </w:r>
            <w:r w:rsidR="006722D3" w:rsidRPr="00F80DF3">
              <w:rPr>
                <w:lang w:val="en-GB"/>
              </w:rPr>
              <w:t xml:space="preserve"> </w:t>
            </w:r>
          </w:p>
        </w:tc>
        <w:tc>
          <w:tcPr>
            <w:tcW w:w="4540" w:type="dxa"/>
            <w:tcBorders>
              <w:left w:val="single" w:sz="12" w:space="0" w:color="365862" w:themeColor="accent1" w:themeShade="BF"/>
            </w:tcBorders>
          </w:tcPr>
          <w:p w14:paraId="608A3E9B" w14:textId="1DA7B56B" w:rsidR="00F23429" w:rsidRPr="00F80DF3" w:rsidRDefault="00E77B2E" w:rsidP="00CB7C46">
            <w:pPr>
              <w:pStyle w:val="TableTextLeft"/>
              <w:rPr>
                <w:lang w:val="en-GB"/>
              </w:rPr>
            </w:pPr>
            <w:r w:rsidRPr="00F80DF3">
              <w:rPr>
                <w:lang w:val="en-GB"/>
              </w:rPr>
              <w:t xml:space="preserve">3 </w:t>
            </w:r>
            <w:r w:rsidR="008969B2" w:rsidRPr="00F80DF3">
              <w:rPr>
                <w:lang w:val="en-GB"/>
              </w:rPr>
              <w:t xml:space="preserve">of </w:t>
            </w:r>
            <w:r w:rsidRPr="00F80DF3">
              <w:rPr>
                <w:lang w:val="en-GB"/>
              </w:rPr>
              <w:t>4</w:t>
            </w:r>
          </w:p>
        </w:tc>
      </w:tr>
      <w:tr w:rsidR="006722D3" w:rsidRPr="00F061F9" w14:paraId="7BE9135D" w14:textId="77777777" w:rsidTr="006A545E">
        <w:tc>
          <w:tcPr>
            <w:tcW w:w="2943" w:type="dxa"/>
            <w:tcBorders>
              <w:top w:val="single" w:sz="6" w:space="0" w:color="B0CBD3" w:themeColor="accent1" w:themeTint="66"/>
              <w:bottom w:val="single" w:sz="6" w:space="0" w:color="B0CBD3" w:themeColor="accent1" w:themeTint="66"/>
              <w:right w:val="single" w:sz="12" w:space="0" w:color="365862" w:themeColor="accent1" w:themeShade="BF"/>
            </w:tcBorders>
          </w:tcPr>
          <w:p w14:paraId="747B9E2E" w14:textId="1A852469" w:rsidR="006722D3" w:rsidRPr="00F80DF3" w:rsidRDefault="006722D3" w:rsidP="00CB7C46">
            <w:pPr>
              <w:pStyle w:val="TableTextLeft"/>
              <w:rPr>
                <w:lang w:val="en-GB"/>
              </w:rPr>
            </w:pPr>
            <w:r w:rsidRPr="00F80DF3">
              <w:rPr>
                <w:lang w:val="en-GB"/>
              </w:rPr>
              <w:t>K Kendall</w:t>
            </w:r>
          </w:p>
        </w:tc>
        <w:tc>
          <w:tcPr>
            <w:tcW w:w="4540" w:type="dxa"/>
            <w:tcBorders>
              <w:left w:val="single" w:sz="12" w:space="0" w:color="365862" w:themeColor="accent1" w:themeShade="BF"/>
            </w:tcBorders>
          </w:tcPr>
          <w:p w14:paraId="45702FDD" w14:textId="5E19817C" w:rsidR="006722D3" w:rsidRPr="00F80DF3" w:rsidRDefault="00E77B2E" w:rsidP="00CB7C46">
            <w:pPr>
              <w:pStyle w:val="TableTextLeft"/>
              <w:rPr>
                <w:lang w:val="en-GB"/>
              </w:rPr>
            </w:pPr>
            <w:r w:rsidRPr="00F80DF3">
              <w:rPr>
                <w:lang w:val="en-GB"/>
              </w:rPr>
              <w:t>4</w:t>
            </w:r>
            <w:r w:rsidR="006722D3" w:rsidRPr="00F80DF3">
              <w:rPr>
                <w:lang w:val="en-GB"/>
              </w:rPr>
              <w:t xml:space="preserve"> of </w:t>
            </w:r>
            <w:r w:rsidRPr="00F80DF3">
              <w:rPr>
                <w:lang w:val="en-GB"/>
              </w:rPr>
              <w:t>4</w:t>
            </w:r>
          </w:p>
        </w:tc>
      </w:tr>
      <w:tr w:rsidR="006722D3" w:rsidRPr="00F061F9" w14:paraId="72025029" w14:textId="77777777" w:rsidTr="006A545E">
        <w:tc>
          <w:tcPr>
            <w:tcW w:w="2943" w:type="dxa"/>
            <w:tcBorders>
              <w:top w:val="single" w:sz="6" w:space="0" w:color="B0CBD3" w:themeColor="accent1" w:themeTint="66"/>
              <w:bottom w:val="single" w:sz="6" w:space="0" w:color="B0CBD3" w:themeColor="accent1" w:themeTint="66"/>
              <w:right w:val="single" w:sz="12" w:space="0" w:color="365862" w:themeColor="accent1" w:themeShade="BF"/>
            </w:tcBorders>
          </w:tcPr>
          <w:p w14:paraId="37D879A3" w14:textId="4DD8CE74" w:rsidR="006722D3" w:rsidRPr="00F80DF3" w:rsidRDefault="006722D3" w:rsidP="00CB7C46">
            <w:pPr>
              <w:pStyle w:val="TableTextLeft"/>
              <w:rPr>
                <w:lang w:val="en-GB"/>
              </w:rPr>
            </w:pPr>
            <w:r w:rsidRPr="00F80DF3">
              <w:rPr>
                <w:lang w:val="en-GB"/>
              </w:rPr>
              <w:t xml:space="preserve">M </w:t>
            </w:r>
            <w:proofErr w:type="spellStart"/>
            <w:r w:rsidRPr="00F80DF3">
              <w:rPr>
                <w:lang w:val="en-GB"/>
              </w:rPr>
              <w:t>Embling</w:t>
            </w:r>
            <w:proofErr w:type="spellEnd"/>
            <w:r w:rsidRPr="00F80DF3">
              <w:rPr>
                <w:lang w:val="en-GB"/>
              </w:rPr>
              <w:t xml:space="preserve"> </w:t>
            </w:r>
          </w:p>
        </w:tc>
        <w:tc>
          <w:tcPr>
            <w:tcW w:w="4540" w:type="dxa"/>
            <w:tcBorders>
              <w:left w:val="single" w:sz="12" w:space="0" w:color="365862" w:themeColor="accent1" w:themeShade="BF"/>
            </w:tcBorders>
          </w:tcPr>
          <w:p w14:paraId="06BF3FE1" w14:textId="7C1F25A7" w:rsidR="006722D3" w:rsidRPr="00F80DF3" w:rsidRDefault="00B612A5" w:rsidP="00CB7C46">
            <w:pPr>
              <w:pStyle w:val="TableTextLeft"/>
              <w:rPr>
                <w:lang w:val="en-GB"/>
              </w:rPr>
            </w:pPr>
            <w:r w:rsidRPr="00F80DF3">
              <w:rPr>
                <w:lang w:val="en-GB"/>
              </w:rPr>
              <w:t>2</w:t>
            </w:r>
            <w:r w:rsidR="006722D3" w:rsidRPr="00F80DF3">
              <w:rPr>
                <w:lang w:val="en-GB"/>
              </w:rPr>
              <w:t xml:space="preserve"> of </w:t>
            </w:r>
            <w:r w:rsidRPr="00F80DF3">
              <w:rPr>
                <w:lang w:val="en-GB"/>
              </w:rPr>
              <w:t>3</w:t>
            </w:r>
          </w:p>
        </w:tc>
      </w:tr>
      <w:tr w:rsidR="00DA0A34" w:rsidRPr="00F061F9" w14:paraId="76EE9B9D" w14:textId="77777777" w:rsidTr="006A545E">
        <w:tc>
          <w:tcPr>
            <w:tcW w:w="2943" w:type="dxa"/>
            <w:tcBorders>
              <w:top w:val="single" w:sz="6" w:space="0" w:color="B0CBD3" w:themeColor="accent1" w:themeTint="66"/>
              <w:bottom w:val="single" w:sz="6" w:space="0" w:color="B0CBD3" w:themeColor="accent1" w:themeTint="66"/>
              <w:right w:val="single" w:sz="12" w:space="0" w:color="365862" w:themeColor="accent1" w:themeShade="BF"/>
            </w:tcBorders>
          </w:tcPr>
          <w:p w14:paraId="1F7B2633" w14:textId="5F6F5D26" w:rsidR="00DA0A34" w:rsidRPr="00F80DF3" w:rsidRDefault="00DA0A34" w:rsidP="00CB7C46">
            <w:pPr>
              <w:pStyle w:val="TableTextLeft"/>
              <w:rPr>
                <w:lang w:val="en-GB"/>
              </w:rPr>
            </w:pPr>
            <w:r w:rsidRPr="00F80DF3">
              <w:rPr>
                <w:lang w:val="en-GB"/>
              </w:rPr>
              <w:t>P Bennett</w:t>
            </w:r>
          </w:p>
        </w:tc>
        <w:tc>
          <w:tcPr>
            <w:tcW w:w="4540" w:type="dxa"/>
            <w:tcBorders>
              <w:left w:val="single" w:sz="12" w:space="0" w:color="365862" w:themeColor="accent1" w:themeShade="BF"/>
            </w:tcBorders>
          </w:tcPr>
          <w:p w14:paraId="52753E94" w14:textId="19BB12EF" w:rsidR="00DA0A34" w:rsidRPr="00F80DF3" w:rsidRDefault="006A3D20" w:rsidP="00CB7C46">
            <w:pPr>
              <w:pStyle w:val="TableTextLeft"/>
              <w:rPr>
                <w:lang w:val="en-GB"/>
              </w:rPr>
            </w:pPr>
            <w:r w:rsidRPr="00F80DF3">
              <w:rPr>
                <w:lang w:val="en-GB"/>
              </w:rPr>
              <w:t xml:space="preserve">4 </w:t>
            </w:r>
            <w:r w:rsidR="00162E53" w:rsidRPr="00F80DF3">
              <w:rPr>
                <w:lang w:val="en-GB"/>
              </w:rPr>
              <w:t>of 4</w:t>
            </w:r>
          </w:p>
        </w:tc>
      </w:tr>
      <w:tr w:rsidR="00DA0A34" w:rsidRPr="00F061F9" w14:paraId="5A016C38" w14:textId="77777777" w:rsidTr="006A545E">
        <w:tc>
          <w:tcPr>
            <w:tcW w:w="2943" w:type="dxa"/>
            <w:tcBorders>
              <w:top w:val="single" w:sz="6" w:space="0" w:color="B0CBD3" w:themeColor="accent1" w:themeTint="66"/>
              <w:bottom w:val="nil"/>
              <w:right w:val="single" w:sz="12" w:space="0" w:color="365862" w:themeColor="accent1" w:themeShade="BF"/>
            </w:tcBorders>
          </w:tcPr>
          <w:p w14:paraId="63984233" w14:textId="45B3ED63" w:rsidR="00DA0A34" w:rsidRPr="00F80DF3" w:rsidRDefault="00DA0A34" w:rsidP="00CB7C46">
            <w:pPr>
              <w:pStyle w:val="TableTextLeft"/>
              <w:rPr>
                <w:lang w:val="en-GB"/>
              </w:rPr>
            </w:pPr>
            <w:r w:rsidRPr="00F80DF3">
              <w:rPr>
                <w:lang w:val="en-GB"/>
              </w:rPr>
              <w:t>R Grimes</w:t>
            </w:r>
          </w:p>
        </w:tc>
        <w:tc>
          <w:tcPr>
            <w:tcW w:w="4540" w:type="dxa"/>
            <w:tcBorders>
              <w:left w:val="single" w:sz="12" w:space="0" w:color="365862" w:themeColor="accent1" w:themeShade="BF"/>
            </w:tcBorders>
          </w:tcPr>
          <w:p w14:paraId="63309643" w14:textId="7257E90A" w:rsidR="00DA0A34" w:rsidRPr="00F80DF3" w:rsidRDefault="00D34AB0" w:rsidP="00CB7C46">
            <w:pPr>
              <w:pStyle w:val="TableTextLeft"/>
              <w:rPr>
                <w:lang w:val="en-GB"/>
              </w:rPr>
            </w:pPr>
            <w:r w:rsidRPr="00F80DF3">
              <w:rPr>
                <w:lang w:val="en-GB"/>
              </w:rPr>
              <w:t>4</w:t>
            </w:r>
            <w:r w:rsidR="006A3D20" w:rsidRPr="00F80DF3">
              <w:rPr>
                <w:lang w:val="en-GB"/>
              </w:rPr>
              <w:t xml:space="preserve"> </w:t>
            </w:r>
            <w:r w:rsidR="00162E53" w:rsidRPr="00F80DF3">
              <w:rPr>
                <w:lang w:val="en-GB"/>
              </w:rPr>
              <w:t>of 4</w:t>
            </w:r>
          </w:p>
        </w:tc>
      </w:tr>
    </w:tbl>
    <w:p w14:paraId="0C710F0F" w14:textId="77777777" w:rsidR="00620B7E" w:rsidRDefault="00620B7E" w:rsidP="00FD4D2F">
      <w:pPr>
        <w:pStyle w:val="Heading1"/>
        <w:sectPr w:rsidR="00620B7E" w:rsidSect="005E5EE1">
          <w:pgSz w:w="11906" w:h="16838" w:code="9"/>
          <w:pgMar w:top="1843" w:right="1418" w:bottom="1418" w:left="1418" w:header="708" w:footer="708" w:gutter="0"/>
          <w:cols w:space="708"/>
          <w:titlePg/>
          <w:docGrid w:linePitch="360"/>
        </w:sectPr>
      </w:pPr>
    </w:p>
    <w:p w14:paraId="1CC4DCA6" w14:textId="78F83598" w:rsidR="009A69A4" w:rsidRPr="00D878B3" w:rsidRDefault="009A69A4" w:rsidP="00620B7E">
      <w:pPr>
        <w:pStyle w:val="Heading1"/>
        <w:spacing w:before="0"/>
      </w:pPr>
      <w:bookmarkStart w:id="79" w:name="_Toc211627870"/>
      <w:r w:rsidRPr="00D878B3">
        <w:t>Other matters</w:t>
      </w:r>
      <w:bookmarkEnd w:id="79"/>
    </w:p>
    <w:p w14:paraId="0BC0743E" w14:textId="77777777" w:rsidR="00502EFA" w:rsidRPr="00BF010E" w:rsidRDefault="00502EFA" w:rsidP="00136B58">
      <w:pPr>
        <w:keepNext/>
        <w:keepLines/>
        <w:rPr>
          <w:color w:val="336699"/>
          <w:lang w:val="en-GB"/>
        </w:rPr>
        <w:sectPr w:rsidR="00502EFA" w:rsidRPr="00BF010E" w:rsidSect="005E5EE1">
          <w:pgSz w:w="11906" w:h="16838" w:code="9"/>
          <w:pgMar w:top="1843" w:right="1418" w:bottom="1418" w:left="1418" w:header="709" w:footer="709" w:gutter="0"/>
          <w:cols w:space="708"/>
          <w:titlePg/>
          <w:docGrid w:linePitch="360"/>
        </w:sectPr>
      </w:pPr>
    </w:p>
    <w:p w14:paraId="47517E6E" w14:textId="77777777" w:rsidR="009A69A4" w:rsidRPr="00DF1681" w:rsidRDefault="009A69A4" w:rsidP="000B66A2">
      <w:pPr>
        <w:pStyle w:val="Heading2"/>
      </w:pPr>
      <w:bookmarkStart w:id="80" w:name="_Toc211627871"/>
      <w:r w:rsidRPr="00DF1681">
        <w:t>Communication and consultation</w:t>
      </w:r>
      <w:bookmarkEnd w:id="80"/>
    </w:p>
    <w:p w14:paraId="74C6ABAA" w14:textId="1DFDDF72" w:rsidR="00664821" w:rsidRPr="00F80DF3" w:rsidRDefault="009A69A4" w:rsidP="00ED0709">
      <w:pPr>
        <w:rPr>
          <w:lang w:val="en-GB"/>
        </w:rPr>
      </w:pPr>
      <w:r w:rsidRPr="00F80DF3">
        <w:rPr>
          <w:lang w:val="en-GB"/>
        </w:rPr>
        <w:t>The</w:t>
      </w:r>
      <w:r w:rsidRPr="00F80DF3">
        <w:rPr>
          <w:spacing w:val="-2"/>
          <w:lang w:val="en-GB"/>
        </w:rPr>
        <w:t xml:space="preserve"> </w:t>
      </w:r>
      <w:r w:rsidRPr="00F80DF3">
        <w:rPr>
          <w:lang w:val="en-GB"/>
        </w:rPr>
        <w:t xml:space="preserve">FRC primarily communicates and consults with stakeholders and other interest groups via meetings and through its </w:t>
      </w:r>
      <w:hyperlink r:id="rId27" w:history="1">
        <w:r w:rsidRPr="00F80DF3">
          <w:rPr>
            <w:rStyle w:val="Hyperlink"/>
            <w:szCs w:val="21"/>
            <w:lang w:val="en-GB"/>
          </w:rPr>
          <w:t>website</w:t>
        </w:r>
      </w:hyperlink>
      <w:r w:rsidR="003E1473" w:rsidRPr="00F80DF3">
        <w:rPr>
          <w:lang w:val="en-GB"/>
        </w:rPr>
        <w:t xml:space="preserve">. </w:t>
      </w:r>
      <w:r w:rsidR="00C44845" w:rsidRPr="00F80DF3">
        <w:rPr>
          <w:lang w:val="en-GB"/>
        </w:rPr>
        <w:t>S</w:t>
      </w:r>
      <w:r w:rsidRPr="00F80DF3">
        <w:rPr>
          <w:lang w:val="en-GB"/>
        </w:rPr>
        <w:t xml:space="preserve">takeholders are invited to prepare a </w:t>
      </w:r>
      <w:r w:rsidR="00307E41" w:rsidRPr="00F80DF3">
        <w:rPr>
          <w:lang w:val="en-GB"/>
        </w:rPr>
        <w:t>s</w:t>
      </w:r>
      <w:r w:rsidRPr="00F80DF3">
        <w:rPr>
          <w:lang w:val="en-GB"/>
        </w:rPr>
        <w:t xml:space="preserve">takeholder </w:t>
      </w:r>
      <w:r w:rsidR="00307E41" w:rsidRPr="00F80DF3">
        <w:rPr>
          <w:lang w:val="en-GB"/>
        </w:rPr>
        <w:t>r</w:t>
      </w:r>
      <w:r w:rsidRPr="00F80DF3">
        <w:rPr>
          <w:lang w:val="en-GB"/>
        </w:rPr>
        <w:t>eport for FRC meeting</w:t>
      </w:r>
      <w:r w:rsidR="001907A0" w:rsidRPr="00F80DF3">
        <w:rPr>
          <w:lang w:val="en-GB"/>
        </w:rPr>
        <w:t>s</w:t>
      </w:r>
      <w:r w:rsidRPr="00F80DF3">
        <w:rPr>
          <w:lang w:val="en-GB"/>
        </w:rPr>
        <w:t>. A communique from each FRC meeting is published on the website and distributed to stakeholders. The website includes</w:t>
      </w:r>
      <w:r w:rsidRPr="00F80DF3">
        <w:rPr>
          <w:spacing w:val="-6"/>
          <w:lang w:val="en-GB"/>
        </w:rPr>
        <w:t xml:space="preserve"> </w:t>
      </w:r>
      <w:r w:rsidRPr="00F80DF3">
        <w:rPr>
          <w:lang w:val="en-GB"/>
        </w:rPr>
        <w:t>information</w:t>
      </w:r>
      <w:r w:rsidRPr="00F80DF3">
        <w:rPr>
          <w:spacing w:val="-6"/>
          <w:lang w:val="en-GB"/>
        </w:rPr>
        <w:t xml:space="preserve"> </w:t>
      </w:r>
      <w:r w:rsidRPr="00F80DF3">
        <w:rPr>
          <w:lang w:val="en-GB"/>
        </w:rPr>
        <w:t>about</w:t>
      </w:r>
      <w:r w:rsidRPr="00F80DF3">
        <w:rPr>
          <w:spacing w:val="-6"/>
          <w:lang w:val="en-GB"/>
        </w:rPr>
        <w:t xml:space="preserve"> </w:t>
      </w:r>
      <w:r w:rsidRPr="00F80DF3">
        <w:rPr>
          <w:lang w:val="en-GB"/>
        </w:rPr>
        <w:t>FRC</w:t>
      </w:r>
      <w:r w:rsidRPr="00F80DF3">
        <w:rPr>
          <w:spacing w:val="-6"/>
          <w:lang w:val="en-GB"/>
        </w:rPr>
        <w:t xml:space="preserve"> </w:t>
      </w:r>
      <w:r w:rsidRPr="00F80DF3">
        <w:rPr>
          <w:lang w:val="en-GB"/>
        </w:rPr>
        <w:t>members, minutes of meetings, published reports and procedural</w:t>
      </w:r>
      <w:r w:rsidRPr="00F80DF3">
        <w:rPr>
          <w:spacing w:val="-7"/>
          <w:lang w:val="en-GB"/>
        </w:rPr>
        <w:t xml:space="preserve"> </w:t>
      </w:r>
      <w:r w:rsidRPr="00F80DF3">
        <w:rPr>
          <w:lang w:val="en-GB"/>
        </w:rPr>
        <w:t xml:space="preserve">rules. </w:t>
      </w:r>
    </w:p>
    <w:p w14:paraId="25D91889" w14:textId="2F71D2EF" w:rsidR="00932C68" w:rsidRPr="00F80DF3" w:rsidRDefault="00664821" w:rsidP="00620B7E">
      <w:pPr>
        <w:rPr>
          <w:lang w:val="en-GB"/>
        </w:rPr>
      </w:pPr>
      <w:r w:rsidRPr="00F80DF3">
        <w:rPr>
          <w:lang w:val="en-GB"/>
        </w:rPr>
        <w:t xml:space="preserve">The FRC did not use its </w:t>
      </w:r>
      <w:r w:rsidR="00C8096A" w:rsidRPr="00F80DF3">
        <w:rPr>
          <w:lang w:val="en-GB"/>
        </w:rPr>
        <w:t xml:space="preserve">formal </w:t>
      </w:r>
      <w:r w:rsidRPr="00F80DF3">
        <w:rPr>
          <w:lang w:val="en-GB"/>
        </w:rPr>
        <w:t xml:space="preserve">information gathering powers under section 225A of the ASIC Act in </w:t>
      </w:r>
      <w:r w:rsidR="00176C7C" w:rsidRPr="00F80DF3">
        <w:rPr>
          <w:lang w:val="en-GB"/>
        </w:rPr>
        <w:t>202</w:t>
      </w:r>
      <w:r w:rsidR="00052194" w:rsidRPr="00F80DF3">
        <w:rPr>
          <w:lang w:val="en-GB"/>
        </w:rPr>
        <w:t>4</w:t>
      </w:r>
      <w:r w:rsidR="00176C7C" w:rsidRPr="00F80DF3">
        <w:rPr>
          <w:lang w:val="en-GB"/>
        </w:rPr>
        <w:t>–2</w:t>
      </w:r>
      <w:r w:rsidR="00052194" w:rsidRPr="00F80DF3">
        <w:rPr>
          <w:lang w:val="en-GB"/>
        </w:rPr>
        <w:t>5</w:t>
      </w:r>
      <w:r w:rsidRPr="00F80DF3">
        <w:rPr>
          <w:lang w:val="en-GB"/>
        </w:rPr>
        <w:t>.</w:t>
      </w:r>
    </w:p>
    <w:p w14:paraId="1DD318E9" w14:textId="3CB5EF58" w:rsidR="00664821" w:rsidRPr="00F80DF3" w:rsidRDefault="009303B3" w:rsidP="00620B7E">
      <w:pPr>
        <w:rPr>
          <w:lang w:val="en-GB"/>
        </w:rPr>
      </w:pPr>
      <w:r w:rsidRPr="00F80DF3">
        <w:rPr>
          <w:lang w:val="en-GB"/>
        </w:rPr>
        <w:t>The FRC thanks</w:t>
      </w:r>
      <w:r w:rsidR="00763EF6" w:rsidRPr="00F80DF3">
        <w:rPr>
          <w:lang w:val="en-GB"/>
        </w:rPr>
        <w:t xml:space="preserve"> all</w:t>
      </w:r>
      <w:r w:rsidRPr="00F80DF3">
        <w:rPr>
          <w:lang w:val="en-GB"/>
        </w:rPr>
        <w:t xml:space="preserve"> stakeholder</w:t>
      </w:r>
      <w:r w:rsidR="006A4E7D" w:rsidRPr="00F80DF3">
        <w:rPr>
          <w:lang w:val="en-GB"/>
        </w:rPr>
        <w:t>s</w:t>
      </w:r>
      <w:r w:rsidRPr="00F80DF3">
        <w:rPr>
          <w:lang w:val="en-GB"/>
        </w:rPr>
        <w:t xml:space="preserve"> </w:t>
      </w:r>
      <w:r w:rsidR="00763EF6" w:rsidRPr="00F80DF3">
        <w:rPr>
          <w:lang w:val="en-GB"/>
        </w:rPr>
        <w:t xml:space="preserve">who supported its work by providing requested </w:t>
      </w:r>
      <w:r w:rsidRPr="00F80DF3">
        <w:rPr>
          <w:lang w:val="en-GB"/>
        </w:rPr>
        <w:t>information and data</w:t>
      </w:r>
      <w:r w:rsidR="00763EF6" w:rsidRPr="00F80DF3">
        <w:rPr>
          <w:lang w:val="en-GB"/>
        </w:rPr>
        <w:t>.</w:t>
      </w:r>
    </w:p>
    <w:p w14:paraId="7D6D16DF" w14:textId="77777777" w:rsidR="009A69A4" w:rsidRPr="00DF1681" w:rsidRDefault="009A69A4" w:rsidP="000B66A2">
      <w:pPr>
        <w:pStyle w:val="Heading2"/>
      </w:pPr>
      <w:bookmarkStart w:id="81" w:name="_Toc211627872"/>
      <w:r w:rsidRPr="00DF1681">
        <w:t>Finances</w:t>
      </w:r>
      <w:bookmarkEnd w:id="81"/>
    </w:p>
    <w:p w14:paraId="5D1356DB" w14:textId="7EA93294" w:rsidR="009A69A4" w:rsidRPr="009E5758" w:rsidRDefault="009A69A4" w:rsidP="00620B7E">
      <w:pPr>
        <w:rPr>
          <w:lang w:val="en-GB"/>
        </w:rPr>
      </w:pPr>
      <w:r w:rsidRPr="009E5758">
        <w:rPr>
          <w:lang w:val="en-GB"/>
        </w:rPr>
        <w:t xml:space="preserve">In </w:t>
      </w:r>
      <w:r w:rsidR="00176C7C" w:rsidRPr="009E5758">
        <w:rPr>
          <w:lang w:val="en-GB"/>
        </w:rPr>
        <w:t>20</w:t>
      </w:r>
      <w:r w:rsidR="00C25954" w:rsidRPr="009E5758">
        <w:rPr>
          <w:lang w:val="en-GB"/>
        </w:rPr>
        <w:t>2</w:t>
      </w:r>
      <w:r w:rsidR="00052194" w:rsidRPr="009E5758">
        <w:rPr>
          <w:lang w:val="en-GB"/>
        </w:rPr>
        <w:t>4</w:t>
      </w:r>
      <w:r w:rsidR="008671A9" w:rsidRPr="009E5758">
        <w:rPr>
          <w:lang w:val="en-GB"/>
        </w:rPr>
        <w:t>–</w:t>
      </w:r>
      <w:r w:rsidR="00C25954" w:rsidRPr="009E5758">
        <w:rPr>
          <w:lang w:val="en-GB"/>
        </w:rPr>
        <w:t>2</w:t>
      </w:r>
      <w:r w:rsidR="00052194" w:rsidRPr="009E5758">
        <w:rPr>
          <w:lang w:val="en-GB"/>
        </w:rPr>
        <w:t>5</w:t>
      </w:r>
      <w:r w:rsidRPr="009E5758">
        <w:rPr>
          <w:lang w:val="en-GB"/>
        </w:rPr>
        <w:t>, the Australian Government provided funding through the Treasury to support the FRC. The</w:t>
      </w:r>
      <w:r w:rsidR="00620B7E">
        <w:rPr>
          <w:lang w:val="en-GB"/>
        </w:rPr>
        <w:t> </w:t>
      </w:r>
      <w:r w:rsidRPr="009E5758">
        <w:rPr>
          <w:lang w:val="en-GB"/>
        </w:rPr>
        <w:t xml:space="preserve">FRC’s Secretariat is provided by staff </w:t>
      </w:r>
      <w:r w:rsidR="00031A30" w:rsidRPr="009E5758">
        <w:rPr>
          <w:lang w:val="en-GB"/>
        </w:rPr>
        <w:t xml:space="preserve">members from </w:t>
      </w:r>
      <w:r w:rsidRPr="009E5758">
        <w:rPr>
          <w:lang w:val="en-GB"/>
        </w:rPr>
        <w:t xml:space="preserve">Treasury’s Markets Group. Expenditure and performance of </w:t>
      </w:r>
      <w:r w:rsidR="00031A30" w:rsidRPr="009E5758">
        <w:rPr>
          <w:lang w:val="en-GB"/>
        </w:rPr>
        <w:t xml:space="preserve">the FRC’s </w:t>
      </w:r>
      <w:r w:rsidRPr="009E5758">
        <w:rPr>
          <w:lang w:val="en-GB"/>
        </w:rPr>
        <w:t xml:space="preserve">functions are included in Treasury’s annual financial statements. </w:t>
      </w:r>
    </w:p>
    <w:p w14:paraId="49F7F47D" w14:textId="77777777" w:rsidR="009A69A4" w:rsidRPr="009E5758" w:rsidRDefault="009A69A4" w:rsidP="00620B7E">
      <w:pPr>
        <w:rPr>
          <w:lang w:val="en-GB"/>
        </w:rPr>
      </w:pPr>
      <w:r w:rsidRPr="009E5758">
        <w:rPr>
          <w:lang w:val="en-GB"/>
        </w:rPr>
        <w:t>Information about the funding of the AASB and AUASB (including the sources of that funding) is included in the annual report of the AASB and AUASB.</w:t>
      </w:r>
    </w:p>
    <w:p w14:paraId="4F272037" w14:textId="7EC0DB9F" w:rsidR="002A061E" w:rsidRPr="00DF1681" w:rsidRDefault="002A061E" w:rsidP="00620B7E">
      <w:pPr>
        <w:pStyle w:val="Heading3"/>
      </w:pPr>
      <w:r w:rsidRPr="00DF1681">
        <w:t>A</w:t>
      </w:r>
      <w:r w:rsidR="0051188E" w:rsidRPr="00DF1681">
        <w:t xml:space="preserve">ustralian </w:t>
      </w:r>
      <w:r w:rsidRPr="00DF1681">
        <w:t>P</w:t>
      </w:r>
      <w:r w:rsidR="0051188E" w:rsidRPr="00DF1681">
        <w:t xml:space="preserve">ublic </w:t>
      </w:r>
      <w:r w:rsidRPr="00DF1681">
        <w:t>S</w:t>
      </w:r>
      <w:r w:rsidR="0051188E" w:rsidRPr="00DF1681">
        <w:t>ervice</w:t>
      </w:r>
      <w:r w:rsidRPr="00DF1681">
        <w:t xml:space="preserve"> Net Zer</w:t>
      </w:r>
      <w:r w:rsidR="00BF105C" w:rsidRPr="00DF1681">
        <w:t>o</w:t>
      </w:r>
      <w:r w:rsidRPr="00DF1681">
        <w:t xml:space="preserve"> 2030</w:t>
      </w:r>
      <w:r w:rsidR="00237FDF" w:rsidRPr="00DF1681">
        <w:t xml:space="preserve"> – Public Reporting on Government</w:t>
      </w:r>
      <w:r w:rsidR="00620B7E">
        <w:t> </w:t>
      </w:r>
      <w:r w:rsidR="00237FDF" w:rsidRPr="00DF1681">
        <w:t>Emissions</w:t>
      </w:r>
    </w:p>
    <w:p w14:paraId="14879389" w14:textId="3904BFD0" w:rsidR="000F71A5" w:rsidRPr="009E5758" w:rsidRDefault="000F71A5" w:rsidP="00620B7E">
      <w:pPr>
        <w:rPr>
          <w:lang w:val="en-GB"/>
        </w:rPr>
      </w:pPr>
      <w:r w:rsidRPr="009E5758">
        <w:rPr>
          <w:lang w:val="en-GB"/>
        </w:rPr>
        <w:t xml:space="preserve">As a secondary statutory </w:t>
      </w:r>
      <w:r w:rsidR="005F7722" w:rsidRPr="009E5758">
        <w:rPr>
          <w:lang w:val="en-GB"/>
        </w:rPr>
        <w:t>body,</w:t>
      </w:r>
      <w:r w:rsidRPr="009E5758">
        <w:rPr>
          <w:lang w:val="en-GB"/>
        </w:rPr>
        <w:t xml:space="preserve"> t</w:t>
      </w:r>
      <w:r w:rsidR="00E42FF9" w:rsidRPr="009E5758">
        <w:rPr>
          <w:lang w:val="en-GB"/>
        </w:rPr>
        <w:t>he FRC is not separately</w:t>
      </w:r>
      <w:r w:rsidR="00790A13" w:rsidRPr="009E5758">
        <w:t xml:space="preserve"> </w:t>
      </w:r>
      <w:r w:rsidR="00790A13" w:rsidRPr="009E5758">
        <w:rPr>
          <w:lang w:val="en-GB"/>
        </w:rPr>
        <w:t>report</w:t>
      </w:r>
      <w:r w:rsidR="00B4126D" w:rsidRPr="009E5758">
        <w:rPr>
          <w:lang w:val="en-GB"/>
        </w:rPr>
        <w:t>ing</w:t>
      </w:r>
      <w:r w:rsidR="00790A13" w:rsidRPr="009E5758">
        <w:rPr>
          <w:lang w:val="en-GB"/>
        </w:rPr>
        <w:t xml:space="preserve"> on the emissions from </w:t>
      </w:r>
      <w:r w:rsidR="00786CC0" w:rsidRPr="009E5758">
        <w:rPr>
          <w:lang w:val="en-GB"/>
        </w:rPr>
        <w:t xml:space="preserve">its </w:t>
      </w:r>
      <w:r w:rsidR="00790A13" w:rsidRPr="009E5758">
        <w:rPr>
          <w:lang w:val="en-GB"/>
        </w:rPr>
        <w:t>operations as part of the</w:t>
      </w:r>
      <w:r w:rsidR="00426472" w:rsidRPr="009E5758">
        <w:rPr>
          <w:lang w:val="en-GB"/>
        </w:rPr>
        <w:t xml:space="preserve"> </w:t>
      </w:r>
      <w:r w:rsidR="00790A13" w:rsidRPr="009E5758">
        <w:rPr>
          <w:lang w:val="en-GB"/>
        </w:rPr>
        <w:t xml:space="preserve">Australian Public Service Net Zero 2030 policy. </w:t>
      </w:r>
    </w:p>
    <w:p w14:paraId="5F5DB5D3" w14:textId="471405EE" w:rsidR="00E42FF9" w:rsidRPr="009E5758" w:rsidRDefault="001F62C5" w:rsidP="00620B7E">
      <w:pPr>
        <w:rPr>
          <w:lang w:val="en-GB"/>
        </w:rPr>
      </w:pPr>
      <w:r w:rsidRPr="009E5758">
        <w:rPr>
          <w:lang w:val="en-GB"/>
        </w:rPr>
        <w:t>T</w:t>
      </w:r>
      <w:r w:rsidR="00790A13" w:rsidRPr="009E5758">
        <w:rPr>
          <w:lang w:val="en-GB"/>
        </w:rPr>
        <w:t xml:space="preserve">he FRC </w:t>
      </w:r>
      <w:r w:rsidR="00D75708" w:rsidRPr="009E5758">
        <w:rPr>
          <w:lang w:val="en-GB"/>
        </w:rPr>
        <w:t>is</w:t>
      </w:r>
      <w:r w:rsidR="00790A13" w:rsidRPr="009E5758">
        <w:rPr>
          <w:lang w:val="en-GB"/>
        </w:rPr>
        <w:t xml:space="preserve"> accounted for as part of the emissions reporting in the </w:t>
      </w:r>
      <w:r w:rsidR="00176C7C" w:rsidRPr="009E5758">
        <w:rPr>
          <w:lang w:val="en-GB"/>
        </w:rPr>
        <w:t>20</w:t>
      </w:r>
      <w:r w:rsidR="00C3631B" w:rsidRPr="009E5758">
        <w:rPr>
          <w:lang w:val="en-GB"/>
        </w:rPr>
        <w:t>2</w:t>
      </w:r>
      <w:r w:rsidR="00CA7249" w:rsidRPr="009E5758">
        <w:rPr>
          <w:lang w:val="en-GB"/>
        </w:rPr>
        <w:t>4</w:t>
      </w:r>
      <w:r w:rsidR="00786CC0" w:rsidRPr="009E5758">
        <w:rPr>
          <w:lang w:val="en-GB"/>
        </w:rPr>
        <w:t>–</w:t>
      </w:r>
      <w:r w:rsidR="00C3631B" w:rsidRPr="009E5758">
        <w:rPr>
          <w:lang w:val="en-GB"/>
        </w:rPr>
        <w:t>2</w:t>
      </w:r>
      <w:r w:rsidR="00CA7249" w:rsidRPr="009E5758">
        <w:rPr>
          <w:lang w:val="en-GB"/>
        </w:rPr>
        <w:t>5</w:t>
      </w:r>
      <w:r w:rsidR="00BF53F7" w:rsidRPr="009E5758">
        <w:rPr>
          <w:lang w:val="en-GB"/>
        </w:rPr>
        <w:t xml:space="preserve"> </w:t>
      </w:r>
      <w:r w:rsidR="0051188E" w:rsidRPr="009E5758">
        <w:rPr>
          <w:lang w:val="en-GB"/>
        </w:rPr>
        <w:t>A</w:t>
      </w:r>
      <w:r w:rsidR="006B7768" w:rsidRPr="009E5758">
        <w:rPr>
          <w:lang w:val="en-GB"/>
        </w:rPr>
        <w:t xml:space="preserve">nnual </w:t>
      </w:r>
      <w:r w:rsidR="0051188E" w:rsidRPr="009E5758">
        <w:rPr>
          <w:lang w:val="en-GB"/>
        </w:rPr>
        <w:t>R</w:t>
      </w:r>
      <w:r w:rsidR="006B7768" w:rsidRPr="009E5758">
        <w:rPr>
          <w:lang w:val="en-GB"/>
        </w:rPr>
        <w:t xml:space="preserve">eport of </w:t>
      </w:r>
      <w:r w:rsidR="00795AF4" w:rsidRPr="009E5758">
        <w:rPr>
          <w:lang w:val="en-GB"/>
        </w:rPr>
        <w:t>t</w:t>
      </w:r>
      <w:r w:rsidR="006B7768" w:rsidRPr="009E5758">
        <w:rPr>
          <w:lang w:val="en-GB"/>
        </w:rPr>
        <w:t xml:space="preserve">he Department of the </w:t>
      </w:r>
      <w:r w:rsidR="00790A13" w:rsidRPr="009E5758">
        <w:rPr>
          <w:lang w:val="en-GB"/>
        </w:rPr>
        <w:t>Treasury.</w:t>
      </w:r>
      <w:r w:rsidR="00790A13" w:rsidRPr="00620B7E">
        <w:rPr>
          <w:rStyle w:val="FootnoteReference"/>
          <w:rFonts w:ascii="Source Sans Pro Light" w:hAnsi="Source Sans Pro Light" w:cs="Source Sans Pro Light"/>
          <w:color w:val="000000"/>
          <w:sz w:val="21"/>
          <w:szCs w:val="21"/>
          <w:vertAlign w:val="superscript"/>
          <w:lang w:val="en-GB"/>
        </w:rPr>
        <w:footnoteReference w:id="5"/>
      </w:r>
    </w:p>
    <w:p w14:paraId="486B2C96" w14:textId="05F559B8" w:rsidR="009A69A4" w:rsidRPr="00DF1681" w:rsidRDefault="009A69A4" w:rsidP="000B66A2">
      <w:pPr>
        <w:pStyle w:val="Heading2"/>
      </w:pPr>
      <w:bookmarkStart w:id="82" w:name="_Toc211627873"/>
      <w:r w:rsidRPr="00DF1681">
        <w:t>Information Publication Scheme</w:t>
      </w:r>
      <w:bookmarkEnd w:id="82"/>
    </w:p>
    <w:p w14:paraId="63743FC1" w14:textId="6C3C3F4A" w:rsidR="002A744A" w:rsidRPr="009E5758" w:rsidRDefault="00EE10C1" w:rsidP="00620B7E">
      <w:pPr>
        <w:rPr>
          <w:lang w:val="en-GB"/>
        </w:rPr>
      </w:pPr>
      <w:r w:rsidRPr="009E5758">
        <w:rPr>
          <w:lang w:val="en-GB"/>
        </w:rPr>
        <w:t xml:space="preserve">Part II of the </w:t>
      </w:r>
      <w:r w:rsidR="009A69A4" w:rsidRPr="009E5758">
        <w:rPr>
          <w:i/>
          <w:iCs/>
          <w:lang w:val="en-GB"/>
        </w:rPr>
        <w:t>F</w:t>
      </w:r>
      <w:r w:rsidR="009557FA" w:rsidRPr="009E5758">
        <w:rPr>
          <w:i/>
          <w:iCs/>
          <w:lang w:val="en-GB"/>
        </w:rPr>
        <w:t xml:space="preserve">reedom of Information </w:t>
      </w:r>
      <w:r w:rsidR="009A69A4" w:rsidRPr="009E5758">
        <w:rPr>
          <w:i/>
          <w:iCs/>
          <w:lang w:val="en-GB"/>
        </w:rPr>
        <w:t>Act</w:t>
      </w:r>
      <w:r w:rsidR="009557FA" w:rsidRPr="009E5758">
        <w:rPr>
          <w:i/>
          <w:iCs/>
          <w:lang w:val="en-GB"/>
        </w:rPr>
        <w:t xml:space="preserve"> 1982</w:t>
      </w:r>
      <w:r w:rsidR="009557FA" w:rsidRPr="009E5758">
        <w:rPr>
          <w:lang w:val="en-GB"/>
        </w:rPr>
        <w:t xml:space="preserve"> (FOI Act)</w:t>
      </w:r>
      <w:r w:rsidR="009A69A4" w:rsidRPr="009E5758">
        <w:rPr>
          <w:spacing w:val="-11"/>
          <w:lang w:val="en-GB"/>
        </w:rPr>
        <w:t xml:space="preserve"> </w:t>
      </w:r>
      <w:r w:rsidRPr="009E5758">
        <w:rPr>
          <w:lang w:val="en-GB"/>
        </w:rPr>
        <w:t xml:space="preserve">requires Australian </w:t>
      </w:r>
      <w:r w:rsidR="00C13189" w:rsidRPr="009E5758">
        <w:rPr>
          <w:lang w:val="en-GB"/>
        </w:rPr>
        <w:t>G</w:t>
      </w:r>
      <w:r w:rsidRPr="009E5758">
        <w:rPr>
          <w:lang w:val="en-GB"/>
        </w:rPr>
        <w:t>overnment agencies to publis</w:t>
      </w:r>
      <w:r w:rsidR="00951BA9" w:rsidRPr="009E5758">
        <w:rPr>
          <w:lang w:val="en-GB"/>
        </w:rPr>
        <w:t>h an I</w:t>
      </w:r>
      <w:r w:rsidR="009A69A4" w:rsidRPr="009E5758">
        <w:rPr>
          <w:lang w:val="en-GB"/>
        </w:rPr>
        <w:t>nformation Publication Scheme</w:t>
      </w:r>
      <w:r w:rsidR="00951BA9" w:rsidRPr="009E5758">
        <w:rPr>
          <w:lang w:val="en-GB"/>
        </w:rPr>
        <w:t xml:space="preserve"> plan on their website. </w:t>
      </w:r>
      <w:r w:rsidR="00EC48AB" w:rsidRPr="009E5758">
        <w:rPr>
          <w:lang w:val="en-GB"/>
        </w:rPr>
        <w:t xml:space="preserve">These plans </w:t>
      </w:r>
      <w:r w:rsidR="00447D1F" w:rsidRPr="009E5758">
        <w:rPr>
          <w:lang w:val="en-GB"/>
        </w:rPr>
        <w:t xml:space="preserve">must </w:t>
      </w:r>
      <w:r w:rsidR="00113D6A" w:rsidRPr="009E5758">
        <w:rPr>
          <w:lang w:val="en-GB"/>
        </w:rPr>
        <w:t>explain</w:t>
      </w:r>
      <w:r w:rsidR="00447D1F" w:rsidRPr="009E5758">
        <w:rPr>
          <w:lang w:val="en-GB"/>
        </w:rPr>
        <w:t xml:space="preserve"> how the agency will meet its </w:t>
      </w:r>
      <w:r w:rsidR="00164D13" w:rsidRPr="009E5758">
        <w:rPr>
          <w:lang w:val="en-GB"/>
        </w:rPr>
        <w:t>obligations to proactively publish information</w:t>
      </w:r>
      <w:r w:rsidR="005D32C2" w:rsidRPr="009E5758">
        <w:rPr>
          <w:lang w:val="en-GB"/>
        </w:rPr>
        <w:t xml:space="preserve">. </w:t>
      </w:r>
    </w:p>
    <w:p w14:paraId="529A53C7" w14:textId="3DF0D751" w:rsidR="009A69A4" w:rsidRPr="009E5758" w:rsidRDefault="00C13189" w:rsidP="00620B7E">
      <w:pPr>
        <w:rPr>
          <w:lang w:val="en-GB"/>
        </w:rPr>
      </w:pPr>
      <w:r w:rsidRPr="009E5758">
        <w:rPr>
          <w:lang w:val="en-GB"/>
        </w:rPr>
        <w:t xml:space="preserve">The FRC’s </w:t>
      </w:r>
      <w:r w:rsidR="00492EE9" w:rsidRPr="009E5758">
        <w:rPr>
          <w:lang w:val="en-GB"/>
        </w:rPr>
        <w:t xml:space="preserve">Information Publication Scheme plan </w:t>
      </w:r>
      <w:r w:rsidR="005B0CC5" w:rsidRPr="009E5758">
        <w:rPr>
          <w:lang w:val="en-GB"/>
        </w:rPr>
        <w:t xml:space="preserve">is </w:t>
      </w:r>
      <w:r w:rsidR="002A744A" w:rsidRPr="009E5758">
        <w:rPr>
          <w:lang w:val="en-GB"/>
        </w:rPr>
        <w:t xml:space="preserve">on </w:t>
      </w:r>
      <w:r w:rsidR="009A69A4" w:rsidRPr="009E5758">
        <w:rPr>
          <w:lang w:val="en-GB"/>
        </w:rPr>
        <w:t xml:space="preserve">the home page of the </w:t>
      </w:r>
      <w:hyperlink r:id="rId28" w:history="1">
        <w:r w:rsidR="009A69A4" w:rsidRPr="00620B7E">
          <w:rPr>
            <w:rStyle w:val="Hyperlink"/>
          </w:rPr>
          <w:t>FRC’s website</w:t>
        </w:r>
      </w:hyperlink>
      <w:r w:rsidR="009A69A4" w:rsidRPr="009E5758">
        <w:rPr>
          <w:lang w:val="en-GB"/>
        </w:rPr>
        <w:t xml:space="preserve">. </w:t>
      </w:r>
    </w:p>
    <w:p w14:paraId="058CD89B" w14:textId="78F682F4" w:rsidR="009A69A4" w:rsidRPr="00DF1681" w:rsidRDefault="009A69A4" w:rsidP="000B66A2">
      <w:pPr>
        <w:pStyle w:val="Heading2"/>
      </w:pPr>
      <w:bookmarkStart w:id="83" w:name="_Toc211627874"/>
      <w:r w:rsidRPr="00DF1681">
        <w:t>Impact</w:t>
      </w:r>
      <w:r w:rsidR="00652AC9" w:rsidRPr="00DF1681">
        <w:t xml:space="preserve"> Analysis</w:t>
      </w:r>
      <w:r w:rsidRPr="00DF1681">
        <w:t xml:space="preserve"> Statements</w:t>
      </w:r>
      <w:bookmarkEnd w:id="83"/>
    </w:p>
    <w:p w14:paraId="04A8CA12" w14:textId="77153B8B" w:rsidR="009A69A4" w:rsidRPr="009E5758" w:rsidRDefault="009A69A4" w:rsidP="00620B7E">
      <w:pPr>
        <w:rPr>
          <w:color w:val="000000"/>
          <w:szCs w:val="21"/>
          <w:lang w:val="en-GB"/>
        </w:rPr>
      </w:pPr>
      <w:r w:rsidRPr="009E5758">
        <w:rPr>
          <w:lang w:val="en-GB"/>
        </w:rPr>
        <w:t xml:space="preserve">The FRC did not submit any Impact </w:t>
      </w:r>
      <w:r w:rsidR="006A44AD" w:rsidRPr="009E5758">
        <w:rPr>
          <w:lang w:val="en-GB"/>
        </w:rPr>
        <w:t xml:space="preserve">Analysis </w:t>
      </w:r>
      <w:r w:rsidRPr="009E5758">
        <w:rPr>
          <w:lang w:val="en-GB"/>
        </w:rPr>
        <w:t xml:space="preserve">Statements in </w:t>
      </w:r>
      <w:r w:rsidR="00176C7C" w:rsidRPr="009E5758">
        <w:rPr>
          <w:lang w:val="en-GB"/>
        </w:rPr>
        <w:t>202</w:t>
      </w:r>
      <w:r w:rsidR="00EC5A31" w:rsidRPr="009E5758">
        <w:rPr>
          <w:lang w:val="en-GB"/>
        </w:rPr>
        <w:t>4</w:t>
      </w:r>
      <w:r w:rsidR="00176C7C" w:rsidRPr="009E5758">
        <w:rPr>
          <w:lang w:val="en-GB"/>
        </w:rPr>
        <w:t>–2</w:t>
      </w:r>
      <w:r w:rsidR="00EC5A31" w:rsidRPr="009E5758">
        <w:rPr>
          <w:lang w:val="en-GB"/>
        </w:rPr>
        <w:t>5</w:t>
      </w:r>
      <w:r w:rsidRPr="009E5758">
        <w:rPr>
          <w:lang w:val="en-GB"/>
        </w:rPr>
        <w:t>.</w:t>
      </w:r>
    </w:p>
    <w:p w14:paraId="097B24B9" w14:textId="77777777" w:rsidR="00136B58" w:rsidRPr="00BF010E" w:rsidRDefault="00136B58" w:rsidP="00136B58">
      <w:pPr>
        <w:pStyle w:val="OutlineNumbered1"/>
        <w:ind w:left="0"/>
        <w:rPr>
          <w:rFonts w:asciiTheme="minorHAnsi" w:hAnsiTheme="minorHAnsi"/>
          <w:color w:val="85AED7"/>
          <w:sz w:val="56"/>
          <w:szCs w:val="56"/>
          <w:lang w:val="en-GB"/>
        </w:rPr>
        <w:sectPr w:rsidR="00136B58" w:rsidRPr="00BF010E" w:rsidSect="005E5EE1">
          <w:type w:val="continuous"/>
          <w:pgSz w:w="11906" w:h="16838" w:code="9"/>
          <w:pgMar w:top="1843" w:right="1418" w:bottom="1418" w:left="1418" w:header="708" w:footer="708" w:gutter="0"/>
          <w:cols w:space="708"/>
          <w:titlePg/>
          <w:docGrid w:linePitch="360"/>
        </w:sectPr>
      </w:pPr>
    </w:p>
    <w:p w14:paraId="792D4358" w14:textId="16E6AB20" w:rsidR="001D1BBF" w:rsidRPr="00D878B3" w:rsidRDefault="006B3DFF" w:rsidP="00620B7E">
      <w:pPr>
        <w:pStyle w:val="Heading1"/>
        <w:spacing w:before="0"/>
        <w:ind w:left="57"/>
      </w:pPr>
      <w:bookmarkStart w:id="84" w:name="_Toc211627875"/>
      <w:r w:rsidRPr="00D878B3">
        <w:t>Glossary</w:t>
      </w:r>
      <w:bookmarkEnd w:id="84"/>
      <w:r w:rsidRPr="00D878B3">
        <w:t xml:space="preserve"> </w:t>
      </w:r>
    </w:p>
    <w:tbl>
      <w:tblPr>
        <w:tblW w:w="0" w:type="auto"/>
        <w:tblBorders>
          <w:insideH w:val="single" w:sz="4" w:space="0" w:color="auto"/>
        </w:tblBorders>
        <w:tblLook w:val="04A0" w:firstRow="1" w:lastRow="0" w:firstColumn="1" w:lastColumn="0" w:noHBand="0" w:noVBand="1"/>
      </w:tblPr>
      <w:tblGrid>
        <w:gridCol w:w="1560"/>
        <w:gridCol w:w="7456"/>
      </w:tblGrid>
      <w:tr w:rsidR="00350596" w:rsidRPr="00F061F9" w14:paraId="13C30929" w14:textId="77777777" w:rsidTr="006A545E">
        <w:tc>
          <w:tcPr>
            <w:tcW w:w="1560" w:type="dxa"/>
            <w:tcBorders>
              <w:bottom w:val="single" w:sz="4" w:space="0" w:color="497783" w:themeColor="accent1"/>
            </w:tcBorders>
          </w:tcPr>
          <w:p w14:paraId="731AA189" w14:textId="77777777" w:rsidR="00350596" w:rsidRPr="006A545E" w:rsidRDefault="00350596" w:rsidP="00620B7E">
            <w:pPr>
              <w:pStyle w:val="TableTextLeft"/>
              <w:rPr>
                <w:b/>
                <w:bCs/>
                <w:lang w:val="en-GB"/>
              </w:rPr>
            </w:pPr>
            <w:r w:rsidRPr="006A545E">
              <w:rPr>
                <w:b/>
                <w:bCs/>
                <w:lang w:val="en-GB"/>
              </w:rPr>
              <w:t>AASB</w:t>
            </w:r>
          </w:p>
        </w:tc>
        <w:tc>
          <w:tcPr>
            <w:tcW w:w="7456" w:type="dxa"/>
            <w:tcBorders>
              <w:bottom w:val="single" w:sz="4" w:space="0" w:color="497783" w:themeColor="accent1"/>
            </w:tcBorders>
          </w:tcPr>
          <w:p w14:paraId="5FB3E773" w14:textId="77777777" w:rsidR="00350596" w:rsidRPr="00620B7E" w:rsidRDefault="00350596" w:rsidP="00620B7E">
            <w:pPr>
              <w:pStyle w:val="TableTextLeft"/>
              <w:rPr>
                <w:b/>
                <w:bCs/>
              </w:rPr>
            </w:pPr>
            <w:r w:rsidRPr="00620B7E">
              <w:rPr>
                <w:bCs/>
              </w:rPr>
              <w:t>Australian Accounting Standards Board</w:t>
            </w:r>
          </w:p>
        </w:tc>
      </w:tr>
      <w:tr w:rsidR="00350596" w:rsidRPr="00F061F9" w14:paraId="13B4E928" w14:textId="77777777" w:rsidTr="006A545E">
        <w:tc>
          <w:tcPr>
            <w:tcW w:w="1560" w:type="dxa"/>
            <w:tcBorders>
              <w:top w:val="single" w:sz="4" w:space="0" w:color="497783" w:themeColor="accent1"/>
              <w:bottom w:val="single" w:sz="4" w:space="0" w:color="497783" w:themeColor="accent1"/>
            </w:tcBorders>
          </w:tcPr>
          <w:p w14:paraId="5E2749C1" w14:textId="77777777" w:rsidR="00350596" w:rsidRPr="00620B7E" w:rsidRDefault="00350596" w:rsidP="00620B7E">
            <w:pPr>
              <w:pStyle w:val="TableTextLeft"/>
              <w:rPr>
                <w:b/>
                <w:lang w:val="en-GB"/>
              </w:rPr>
            </w:pPr>
            <w:r w:rsidRPr="00620B7E">
              <w:rPr>
                <w:b/>
                <w:lang w:val="en-GB"/>
              </w:rPr>
              <w:t>ACNC</w:t>
            </w:r>
          </w:p>
        </w:tc>
        <w:tc>
          <w:tcPr>
            <w:tcW w:w="7456" w:type="dxa"/>
            <w:tcBorders>
              <w:top w:val="single" w:sz="4" w:space="0" w:color="497783" w:themeColor="accent1"/>
              <w:bottom w:val="single" w:sz="4" w:space="0" w:color="497783" w:themeColor="accent1"/>
            </w:tcBorders>
          </w:tcPr>
          <w:p w14:paraId="24455AB0" w14:textId="350A4806" w:rsidR="00350596" w:rsidRPr="00620B7E" w:rsidRDefault="00350596" w:rsidP="00620B7E">
            <w:pPr>
              <w:pStyle w:val="TableTextLeft"/>
            </w:pPr>
            <w:r w:rsidRPr="00620B7E">
              <w:t>Australian Charities and Not</w:t>
            </w:r>
            <w:r w:rsidR="009F0CAE" w:rsidRPr="00620B7E">
              <w:t>-</w:t>
            </w:r>
            <w:r w:rsidRPr="00620B7E">
              <w:t>for-profits Commission</w:t>
            </w:r>
          </w:p>
        </w:tc>
      </w:tr>
      <w:tr w:rsidR="002228EE" w:rsidRPr="00F061F9" w14:paraId="32B555F4" w14:textId="77777777" w:rsidTr="006A545E">
        <w:tc>
          <w:tcPr>
            <w:tcW w:w="1560" w:type="dxa"/>
            <w:tcBorders>
              <w:top w:val="single" w:sz="4" w:space="0" w:color="497783" w:themeColor="accent1"/>
              <w:bottom w:val="single" w:sz="4" w:space="0" w:color="497783" w:themeColor="accent1"/>
            </w:tcBorders>
          </w:tcPr>
          <w:p w14:paraId="31B312E8" w14:textId="37B7CC9B" w:rsidR="002228EE" w:rsidRPr="00620B7E" w:rsidRDefault="002228EE" w:rsidP="00620B7E">
            <w:pPr>
              <w:pStyle w:val="TableTextLeft"/>
              <w:rPr>
                <w:b/>
                <w:lang w:val="en-GB"/>
              </w:rPr>
            </w:pPr>
            <w:r w:rsidRPr="00620B7E">
              <w:rPr>
                <w:b/>
              </w:rPr>
              <w:t>ANAO</w:t>
            </w:r>
          </w:p>
        </w:tc>
        <w:tc>
          <w:tcPr>
            <w:tcW w:w="7456" w:type="dxa"/>
            <w:tcBorders>
              <w:top w:val="single" w:sz="4" w:space="0" w:color="497783" w:themeColor="accent1"/>
              <w:bottom w:val="single" w:sz="4" w:space="0" w:color="497783" w:themeColor="accent1"/>
            </w:tcBorders>
          </w:tcPr>
          <w:p w14:paraId="3DE91AC9" w14:textId="45D571D0" w:rsidR="002228EE" w:rsidRPr="00620B7E" w:rsidRDefault="002228EE" w:rsidP="00620B7E">
            <w:pPr>
              <w:pStyle w:val="TableTextLeft"/>
            </w:pPr>
            <w:r w:rsidRPr="00620B7E">
              <w:t xml:space="preserve">Australian National Audit Office </w:t>
            </w:r>
          </w:p>
        </w:tc>
      </w:tr>
      <w:tr w:rsidR="00350596" w:rsidRPr="00F061F9" w14:paraId="215E4E71" w14:textId="77777777" w:rsidTr="006A545E">
        <w:tc>
          <w:tcPr>
            <w:tcW w:w="1560" w:type="dxa"/>
            <w:tcBorders>
              <w:top w:val="single" w:sz="4" w:space="0" w:color="497783" w:themeColor="accent1"/>
              <w:bottom w:val="single" w:sz="4" w:space="0" w:color="497783" w:themeColor="accent1"/>
            </w:tcBorders>
          </w:tcPr>
          <w:p w14:paraId="10C8B93F" w14:textId="77777777" w:rsidR="00350596" w:rsidRPr="00620B7E" w:rsidRDefault="00350596" w:rsidP="00620B7E">
            <w:pPr>
              <w:pStyle w:val="TableTextLeft"/>
              <w:rPr>
                <w:b/>
                <w:lang w:val="en-GB"/>
              </w:rPr>
            </w:pPr>
            <w:r w:rsidRPr="00620B7E">
              <w:rPr>
                <w:b/>
                <w:lang w:val="en-GB"/>
              </w:rPr>
              <w:t>APESB</w:t>
            </w:r>
          </w:p>
        </w:tc>
        <w:tc>
          <w:tcPr>
            <w:tcW w:w="7456" w:type="dxa"/>
            <w:tcBorders>
              <w:top w:val="single" w:sz="4" w:space="0" w:color="497783" w:themeColor="accent1"/>
              <w:bottom w:val="single" w:sz="4" w:space="0" w:color="497783" w:themeColor="accent1"/>
            </w:tcBorders>
          </w:tcPr>
          <w:p w14:paraId="7F775E01" w14:textId="77777777" w:rsidR="00350596" w:rsidRPr="00620B7E" w:rsidRDefault="00350596" w:rsidP="00620B7E">
            <w:pPr>
              <w:pStyle w:val="TableTextLeft"/>
            </w:pPr>
            <w:r w:rsidRPr="00620B7E">
              <w:t>Accounting Professional and Ethical Standards Board</w:t>
            </w:r>
          </w:p>
        </w:tc>
      </w:tr>
      <w:tr w:rsidR="00350596" w:rsidRPr="00F061F9" w14:paraId="649A1644" w14:textId="77777777" w:rsidTr="006A545E">
        <w:tc>
          <w:tcPr>
            <w:tcW w:w="1560" w:type="dxa"/>
            <w:tcBorders>
              <w:top w:val="single" w:sz="4" w:space="0" w:color="497783" w:themeColor="accent1"/>
              <w:bottom w:val="single" w:sz="4" w:space="0" w:color="497783" w:themeColor="accent1"/>
            </w:tcBorders>
          </w:tcPr>
          <w:p w14:paraId="6774304D" w14:textId="77777777" w:rsidR="00350596" w:rsidRPr="00620B7E" w:rsidRDefault="00350596" w:rsidP="00620B7E">
            <w:pPr>
              <w:pStyle w:val="TableTextLeft"/>
              <w:rPr>
                <w:b/>
                <w:lang w:val="en-GB"/>
              </w:rPr>
            </w:pPr>
            <w:r w:rsidRPr="00620B7E">
              <w:rPr>
                <w:b/>
                <w:lang w:val="en-GB"/>
              </w:rPr>
              <w:t>APRA</w:t>
            </w:r>
          </w:p>
        </w:tc>
        <w:tc>
          <w:tcPr>
            <w:tcW w:w="7456" w:type="dxa"/>
            <w:tcBorders>
              <w:top w:val="single" w:sz="4" w:space="0" w:color="497783" w:themeColor="accent1"/>
              <w:bottom w:val="single" w:sz="4" w:space="0" w:color="497783" w:themeColor="accent1"/>
            </w:tcBorders>
          </w:tcPr>
          <w:p w14:paraId="6F6DDBE7" w14:textId="77777777" w:rsidR="00350596" w:rsidRPr="00620B7E" w:rsidRDefault="00350596" w:rsidP="00620B7E">
            <w:pPr>
              <w:pStyle w:val="TableTextLeft"/>
            </w:pPr>
            <w:r w:rsidRPr="00620B7E">
              <w:t>Australian Prudential Regulation Authority</w:t>
            </w:r>
          </w:p>
        </w:tc>
      </w:tr>
      <w:tr w:rsidR="00D03E52" w:rsidRPr="00F061F9" w14:paraId="6983FB99" w14:textId="77777777" w:rsidTr="006A545E">
        <w:tc>
          <w:tcPr>
            <w:tcW w:w="1560" w:type="dxa"/>
            <w:tcBorders>
              <w:top w:val="single" w:sz="4" w:space="0" w:color="497783" w:themeColor="accent1"/>
              <w:bottom w:val="single" w:sz="4" w:space="0" w:color="497783" w:themeColor="accent1"/>
            </w:tcBorders>
          </w:tcPr>
          <w:p w14:paraId="061C3BDC" w14:textId="1B2B615D" w:rsidR="00D03E52" w:rsidRPr="00620B7E" w:rsidRDefault="00D03E52" w:rsidP="00620B7E">
            <w:pPr>
              <w:pStyle w:val="TableTextLeft"/>
              <w:rPr>
                <w:b/>
                <w:lang w:val="en-GB"/>
              </w:rPr>
            </w:pPr>
            <w:r w:rsidRPr="00620B7E">
              <w:rPr>
                <w:b/>
                <w:lang w:val="en-GB"/>
              </w:rPr>
              <w:t>APS</w:t>
            </w:r>
          </w:p>
        </w:tc>
        <w:tc>
          <w:tcPr>
            <w:tcW w:w="7456" w:type="dxa"/>
            <w:tcBorders>
              <w:top w:val="single" w:sz="4" w:space="0" w:color="497783" w:themeColor="accent1"/>
              <w:bottom w:val="single" w:sz="4" w:space="0" w:color="497783" w:themeColor="accent1"/>
            </w:tcBorders>
          </w:tcPr>
          <w:p w14:paraId="043111C9" w14:textId="5DD427D3" w:rsidR="00D03E52" w:rsidRPr="00620B7E" w:rsidRDefault="00D03E52" w:rsidP="00620B7E">
            <w:pPr>
              <w:pStyle w:val="TableTextLeft"/>
            </w:pPr>
            <w:r w:rsidRPr="00620B7E">
              <w:t>Australian Public Service</w:t>
            </w:r>
          </w:p>
        </w:tc>
      </w:tr>
      <w:tr w:rsidR="003B2168" w:rsidRPr="00F061F9" w14:paraId="29B33CAE" w14:textId="77777777" w:rsidTr="006A545E">
        <w:tc>
          <w:tcPr>
            <w:tcW w:w="1560" w:type="dxa"/>
            <w:tcBorders>
              <w:top w:val="single" w:sz="4" w:space="0" w:color="497783" w:themeColor="accent1"/>
              <w:bottom w:val="single" w:sz="4" w:space="0" w:color="497783" w:themeColor="accent1"/>
            </w:tcBorders>
          </w:tcPr>
          <w:p w14:paraId="7122A25B" w14:textId="1B464CF1" w:rsidR="003B2168" w:rsidRPr="00620B7E" w:rsidRDefault="003B2168" w:rsidP="00620B7E">
            <w:pPr>
              <w:pStyle w:val="TableTextLeft"/>
              <w:rPr>
                <w:b/>
                <w:lang w:val="en-GB"/>
              </w:rPr>
            </w:pPr>
            <w:r w:rsidRPr="00620B7E">
              <w:rPr>
                <w:rFonts w:eastAsia="Aptos"/>
                <w:b/>
                <w:kern w:val="2"/>
                <w14:ligatures w14:val="standardContextual"/>
              </w:rPr>
              <w:t>ARGA</w:t>
            </w:r>
          </w:p>
        </w:tc>
        <w:tc>
          <w:tcPr>
            <w:tcW w:w="7456" w:type="dxa"/>
            <w:tcBorders>
              <w:top w:val="single" w:sz="4" w:space="0" w:color="497783" w:themeColor="accent1"/>
              <w:bottom w:val="single" w:sz="4" w:space="0" w:color="497783" w:themeColor="accent1"/>
            </w:tcBorders>
          </w:tcPr>
          <w:p w14:paraId="58BB6F8C" w14:textId="48E09890" w:rsidR="003B2168" w:rsidRPr="00620B7E" w:rsidRDefault="00761727" w:rsidP="00620B7E">
            <w:pPr>
              <w:pStyle w:val="TableTextLeft"/>
            </w:pPr>
            <w:r w:rsidRPr="00620B7E">
              <w:rPr>
                <w:rFonts w:eastAsia="Aptos"/>
              </w:rPr>
              <w:t>Audit, Reporting and Governance Authority</w:t>
            </w:r>
          </w:p>
        </w:tc>
      </w:tr>
      <w:tr w:rsidR="00350596" w:rsidRPr="00F061F9" w14:paraId="27092C6F" w14:textId="77777777" w:rsidTr="006A545E">
        <w:tc>
          <w:tcPr>
            <w:tcW w:w="1560" w:type="dxa"/>
            <w:tcBorders>
              <w:top w:val="single" w:sz="4" w:space="0" w:color="497783" w:themeColor="accent1"/>
              <w:bottom w:val="single" w:sz="4" w:space="0" w:color="497783" w:themeColor="accent1"/>
            </w:tcBorders>
          </w:tcPr>
          <w:p w14:paraId="10E11E2C" w14:textId="77777777" w:rsidR="00350596" w:rsidRPr="00620B7E" w:rsidRDefault="00350596" w:rsidP="00620B7E">
            <w:pPr>
              <w:pStyle w:val="TableTextLeft"/>
              <w:rPr>
                <w:b/>
                <w:lang w:val="en-GB"/>
              </w:rPr>
            </w:pPr>
            <w:r w:rsidRPr="00620B7E">
              <w:rPr>
                <w:b/>
                <w:lang w:val="en-GB"/>
              </w:rPr>
              <w:t>ASIC</w:t>
            </w:r>
          </w:p>
        </w:tc>
        <w:tc>
          <w:tcPr>
            <w:tcW w:w="7456" w:type="dxa"/>
            <w:tcBorders>
              <w:top w:val="single" w:sz="4" w:space="0" w:color="497783" w:themeColor="accent1"/>
              <w:bottom w:val="single" w:sz="4" w:space="0" w:color="497783" w:themeColor="accent1"/>
            </w:tcBorders>
          </w:tcPr>
          <w:p w14:paraId="274F44A5" w14:textId="77777777" w:rsidR="00350596" w:rsidRPr="00620B7E" w:rsidRDefault="00350596" w:rsidP="00620B7E">
            <w:pPr>
              <w:pStyle w:val="TableTextLeft"/>
            </w:pPr>
            <w:r w:rsidRPr="00620B7E">
              <w:t>Australian Securities and Investments Commission</w:t>
            </w:r>
          </w:p>
        </w:tc>
      </w:tr>
      <w:tr w:rsidR="005C2DC0" w:rsidRPr="00F061F9" w14:paraId="1C789EB5" w14:textId="77777777" w:rsidTr="006A545E">
        <w:tc>
          <w:tcPr>
            <w:tcW w:w="1560" w:type="dxa"/>
            <w:tcBorders>
              <w:top w:val="single" w:sz="4" w:space="0" w:color="497783" w:themeColor="accent1"/>
              <w:bottom w:val="single" w:sz="4" w:space="0" w:color="497783" w:themeColor="accent1"/>
            </w:tcBorders>
          </w:tcPr>
          <w:p w14:paraId="473C24E2" w14:textId="35253E42" w:rsidR="005C2DC0" w:rsidRPr="00620B7E" w:rsidRDefault="005C2DC0" w:rsidP="00620B7E">
            <w:pPr>
              <w:pStyle w:val="TableTextLeft"/>
              <w:rPr>
                <w:b/>
                <w:lang w:val="en-GB"/>
              </w:rPr>
            </w:pPr>
            <w:r w:rsidRPr="00620B7E">
              <w:rPr>
                <w:b/>
                <w:lang w:val="en-GB"/>
              </w:rPr>
              <w:t>ASIC Act</w:t>
            </w:r>
          </w:p>
        </w:tc>
        <w:tc>
          <w:tcPr>
            <w:tcW w:w="7456" w:type="dxa"/>
            <w:tcBorders>
              <w:top w:val="single" w:sz="4" w:space="0" w:color="497783" w:themeColor="accent1"/>
              <w:bottom w:val="single" w:sz="4" w:space="0" w:color="497783" w:themeColor="accent1"/>
            </w:tcBorders>
          </w:tcPr>
          <w:p w14:paraId="695FD4EE" w14:textId="1C1491B1" w:rsidR="005C2DC0" w:rsidRPr="00620B7E" w:rsidRDefault="005C2DC0" w:rsidP="00620B7E">
            <w:pPr>
              <w:pStyle w:val="TableTextLeft"/>
            </w:pPr>
            <w:r w:rsidRPr="00620B7E">
              <w:t>Australian Securities and Investments Commission Act 2001</w:t>
            </w:r>
          </w:p>
        </w:tc>
      </w:tr>
      <w:tr w:rsidR="00350596" w:rsidRPr="00F061F9" w14:paraId="2F79887F" w14:textId="77777777" w:rsidTr="006A545E">
        <w:tc>
          <w:tcPr>
            <w:tcW w:w="1560" w:type="dxa"/>
            <w:tcBorders>
              <w:top w:val="single" w:sz="4" w:space="0" w:color="497783" w:themeColor="accent1"/>
              <w:bottom w:val="single" w:sz="4" w:space="0" w:color="497783" w:themeColor="accent1"/>
            </w:tcBorders>
          </w:tcPr>
          <w:p w14:paraId="25FA6489" w14:textId="77777777" w:rsidR="00350596" w:rsidRPr="00620B7E" w:rsidRDefault="00350596" w:rsidP="00620B7E">
            <w:pPr>
              <w:pStyle w:val="TableTextLeft"/>
              <w:rPr>
                <w:b/>
                <w:lang w:val="en-GB"/>
              </w:rPr>
            </w:pPr>
            <w:r w:rsidRPr="00620B7E">
              <w:rPr>
                <w:b/>
                <w:lang w:val="en-GB"/>
              </w:rPr>
              <w:t>ASX</w:t>
            </w:r>
          </w:p>
        </w:tc>
        <w:tc>
          <w:tcPr>
            <w:tcW w:w="7456" w:type="dxa"/>
            <w:tcBorders>
              <w:top w:val="single" w:sz="4" w:space="0" w:color="497783" w:themeColor="accent1"/>
              <w:bottom w:val="single" w:sz="4" w:space="0" w:color="497783" w:themeColor="accent1"/>
            </w:tcBorders>
          </w:tcPr>
          <w:p w14:paraId="11EF96D1" w14:textId="77777777" w:rsidR="00350596" w:rsidRPr="00620B7E" w:rsidRDefault="00350596" w:rsidP="00620B7E">
            <w:pPr>
              <w:pStyle w:val="TableTextLeft"/>
            </w:pPr>
            <w:r w:rsidRPr="00620B7E">
              <w:t>Australian Securities Exchange</w:t>
            </w:r>
          </w:p>
        </w:tc>
      </w:tr>
      <w:tr w:rsidR="00761727" w:rsidRPr="00F061F9" w14:paraId="1BC60B2C" w14:textId="77777777" w:rsidTr="006A545E">
        <w:tc>
          <w:tcPr>
            <w:tcW w:w="1560" w:type="dxa"/>
            <w:tcBorders>
              <w:top w:val="single" w:sz="4" w:space="0" w:color="497783" w:themeColor="accent1"/>
              <w:bottom w:val="single" w:sz="4" w:space="0" w:color="497783" w:themeColor="accent1"/>
            </w:tcBorders>
          </w:tcPr>
          <w:p w14:paraId="77059265" w14:textId="783A23D8" w:rsidR="00761727" w:rsidRPr="00620B7E" w:rsidRDefault="00761727" w:rsidP="00620B7E">
            <w:pPr>
              <w:pStyle w:val="TableTextLeft"/>
              <w:rPr>
                <w:b/>
                <w:lang w:val="en-GB"/>
              </w:rPr>
            </w:pPr>
            <w:r w:rsidRPr="00620B7E">
              <w:rPr>
                <w:b/>
              </w:rPr>
              <w:t>AOSSG</w:t>
            </w:r>
          </w:p>
        </w:tc>
        <w:tc>
          <w:tcPr>
            <w:tcW w:w="7456" w:type="dxa"/>
            <w:tcBorders>
              <w:top w:val="single" w:sz="4" w:space="0" w:color="497783" w:themeColor="accent1"/>
              <w:bottom w:val="single" w:sz="4" w:space="0" w:color="497783" w:themeColor="accent1"/>
            </w:tcBorders>
          </w:tcPr>
          <w:p w14:paraId="2BCE1345" w14:textId="75003C72" w:rsidR="00761727" w:rsidRPr="00620B7E" w:rsidRDefault="00761727" w:rsidP="00620B7E">
            <w:pPr>
              <w:pStyle w:val="TableTextLeft"/>
            </w:pPr>
            <w:r w:rsidRPr="00620B7E">
              <w:t>Asian-Oceanian Standard-Setters Group</w:t>
            </w:r>
          </w:p>
        </w:tc>
      </w:tr>
      <w:tr w:rsidR="00350596" w:rsidRPr="00F061F9" w14:paraId="345F9267" w14:textId="77777777" w:rsidTr="006A545E">
        <w:tc>
          <w:tcPr>
            <w:tcW w:w="1560" w:type="dxa"/>
            <w:tcBorders>
              <w:top w:val="single" w:sz="4" w:space="0" w:color="497783" w:themeColor="accent1"/>
              <w:bottom w:val="single" w:sz="4" w:space="0" w:color="497783" w:themeColor="accent1"/>
            </w:tcBorders>
          </w:tcPr>
          <w:p w14:paraId="64764F4B" w14:textId="77777777" w:rsidR="00350596" w:rsidRPr="00620B7E" w:rsidRDefault="00350596" w:rsidP="00620B7E">
            <w:pPr>
              <w:pStyle w:val="TableTextLeft"/>
              <w:rPr>
                <w:b/>
                <w:lang w:val="en-GB"/>
              </w:rPr>
            </w:pPr>
            <w:r w:rsidRPr="00620B7E">
              <w:rPr>
                <w:b/>
                <w:lang w:val="en-GB"/>
              </w:rPr>
              <w:t>AUASB</w:t>
            </w:r>
          </w:p>
        </w:tc>
        <w:tc>
          <w:tcPr>
            <w:tcW w:w="7456" w:type="dxa"/>
            <w:tcBorders>
              <w:top w:val="single" w:sz="4" w:space="0" w:color="497783" w:themeColor="accent1"/>
              <w:bottom w:val="single" w:sz="4" w:space="0" w:color="497783" w:themeColor="accent1"/>
            </w:tcBorders>
          </w:tcPr>
          <w:p w14:paraId="29CCE450" w14:textId="77777777" w:rsidR="00350596" w:rsidRPr="00620B7E" w:rsidRDefault="00350596" w:rsidP="00620B7E">
            <w:pPr>
              <w:pStyle w:val="TableTextLeft"/>
            </w:pPr>
            <w:r w:rsidRPr="00620B7E">
              <w:t>Auditing and Assurance Standards Board</w:t>
            </w:r>
          </w:p>
        </w:tc>
      </w:tr>
      <w:tr w:rsidR="00350596" w:rsidRPr="00F061F9" w14:paraId="2A87F64C" w14:textId="77777777" w:rsidTr="006A545E">
        <w:tc>
          <w:tcPr>
            <w:tcW w:w="1560" w:type="dxa"/>
            <w:tcBorders>
              <w:top w:val="single" w:sz="4" w:space="0" w:color="497783" w:themeColor="accent1"/>
              <w:bottom w:val="single" w:sz="4" w:space="0" w:color="497783" w:themeColor="accent1"/>
            </w:tcBorders>
          </w:tcPr>
          <w:p w14:paraId="611EACA0" w14:textId="7B55A4A3" w:rsidR="00350596" w:rsidRPr="00620B7E" w:rsidRDefault="00A43C1E" w:rsidP="00620B7E">
            <w:pPr>
              <w:pStyle w:val="TableTextLeft"/>
              <w:rPr>
                <w:b/>
                <w:lang w:val="en-GB"/>
              </w:rPr>
            </w:pPr>
            <w:r w:rsidRPr="00620B7E">
              <w:rPr>
                <w:b/>
                <w:lang w:val="en-GB"/>
              </w:rPr>
              <w:t>CA</w:t>
            </w:r>
            <w:r w:rsidR="00350596" w:rsidRPr="00620B7E">
              <w:rPr>
                <w:b/>
                <w:lang w:val="en-GB"/>
              </w:rPr>
              <w:t xml:space="preserve"> ANZ</w:t>
            </w:r>
          </w:p>
        </w:tc>
        <w:tc>
          <w:tcPr>
            <w:tcW w:w="7456" w:type="dxa"/>
            <w:tcBorders>
              <w:top w:val="single" w:sz="4" w:space="0" w:color="497783" w:themeColor="accent1"/>
              <w:bottom w:val="single" w:sz="4" w:space="0" w:color="497783" w:themeColor="accent1"/>
            </w:tcBorders>
          </w:tcPr>
          <w:p w14:paraId="70D15A74" w14:textId="77777777" w:rsidR="00350596" w:rsidRPr="00620B7E" w:rsidRDefault="00350596" w:rsidP="00620B7E">
            <w:pPr>
              <w:pStyle w:val="TableTextLeft"/>
            </w:pPr>
            <w:r w:rsidRPr="00620B7E">
              <w:t>Chartered Accountants Australia and New Zealand</w:t>
            </w:r>
          </w:p>
        </w:tc>
      </w:tr>
      <w:tr w:rsidR="00502C05" w:rsidRPr="00F061F9" w14:paraId="290F96D7" w14:textId="77777777" w:rsidTr="006A545E">
        <w:tc>
          <w:tcPr>
            <w:tcW w:w="1560" w:type="dxa"/>
            <w:tcBorders>
              <w:top w:val="single" w:sz="4" w:space="0" w:color="497783" w:themeColor="accent1"/>
              <w:bottom w:val="single" w:sz="4" w:space="0" w:color="497783" w:themeColor="accent1"/>
            </w:tcBorders>
          </w:tcPr>
          <w:p w14:paraId="10033C8B" w14:textId="265EA113" w:rsidR="00502C05" w:rsidRPr="00620B7E" w:rsidDel="00502C05" w:rsidRDefault="00502C05" w:rsidP="00620B7E">
            <w:pPr>
              <w:pStyle w:val="TableTextLeft"/>
              <w:rPr>
                <w:b/>
                <w:lang w:val="en-GB"/>
              </w:rPr>
            </w:pPr>
            <w:r w:rsidRPr="00620B7E">
              <w:rPr>
                <w:b/>
                <w:lang w:val="en-GB"/>
              </w:rPr>
              <w:t>C</w:t>
            </w:r>
            <w:r w:rsidRPr="00620B7E">
              <w:rPr>
                <w:b/>
              </w:rPr>
              <w:t>PA</w:t>
            </w:r>
          </w:p>
        </w:tc>
        <w:tc>
          <w:tcPr>
            <w:tcW w:w="7456" w:type="dxa"/>
            <w:tcBorders>
              <w:top w:val="single" w:sz="4" w:space="0" w:color="497783" w:themeColor="accent1"/>
              <w:bottom w:val="single" w:sz="4" w:space="0" w:color="497783" w:themeColor="accent1"/>
            </w:tcBorders>
          </w:tcPr>
          <w:p w14:paraId="67364C07" w14:textId="62C823F7" w:rsidR="00502C05" w:rsidRPr="00620B7E" w:rsidDel="00502C05" w:rsidRDefault="00502C05" w:rsidP="00620B7E">
            <w:pPr>
              <w:pStyle w:val="TableTextLeft"/>
            </w:pPr>
            <w:r w:rsidRPr="00620B7E">
              <w:t>CPA Australia</w:t>
            </w:r>
          </w:p>
        </w:tc>
      </w:tr>
      <w:tr w:rsidR="00350596" w:rsidRPr="00F061F9" w14:paraId="34B8C003" w14:textId="77777777" w:rsidTr="006A545E">
        <w:tc>
          <w:tcPr>
            <w:tcW w:w="1560" w:type="dxa"/>
            <w:tcBorders>
              <w:top w:val="single" w:sz="4" w:space="0" w:color="497783" w:themeColor="accent1"/>
              <w:bottom w:val="single" w:sz="4" w:space="0" w:color="497783" w:themeColor="accent1"/>
            </w:tcBorders>
          </w:tcPr>
          <w:p w14:paraId="3D009980" w14:textId="77777777" w:rsidR="00350596" w:rsidRPr="00620B7E" w:rsidRDefault="00350596" w:rsidP="00620B7E">
            <w:pPr>
              <w:pStyle w:val="TableTextLeft"/>
              <w:rPr>
                <w:b/>
                <w:lang w:val="en-GB"/>
              </w:rPr>
            </w:pPr>
            <w:r w:rsidRPr="00620B7E">
              <w:rPr>
                <w:b/>
                <w:lang w:val="en-GB"/>
              </w:rPr>
              <w:t>FRC</w:t>
            </w:r>
          </w:p>
        </w:tc>
        <w:tc>
          <w:tcPr>
            <w:tcW w:w="7456" w:type="dxa"/>
            <w:tcBorders>
              <w:top w:val="single" w:sz="4" w:space="0" w:color="497783" w:themeColor="accent1"/>
              <w:bottom w:val="single" w:sz="4" w:space="0" w:color="497783" w:themeColor="accent1"/>
            </w:tcBorders>
          </w:tcPr>
          <w:p w14:paraId="5B0D9FCF" w14:textId="77777777" w:rsidR="00350596" w:rsidRPr="00620B7E" w:rsidRDefault="00350596" w:rsidP="00620B7E">
            <w:pPr>
              <w:pStyle w:val="TableTextLeft"/>
            </w:pPr>
            <w:r w:rsidRPr="00620B7E">
              <w:t>Financial Reporting Council</w:t>
            </w:r>
          </w:p>
        </w:tc>
      </w:tr>
      <w:tr w:rsidR="008C7303" w:rsidRPr="00F061F9" w14:paraId="77A5298D" w14:textId="77777777" w:rsidTr="006A545E">
        <w:tc>
          <w:tcPr>
            <w:tcW w:w="1560" w:type="dxa"/>
            <w:tcBorders>
              <w:top w:val="single" w:sz="4" w:space="0" w:color="497783" w:themeColor="accent1"/>
              <w:bottom w:val="single" w:sz="4" w:space="0" w:color="497783" w:themeColor="accent1"/>
            </w:tcBorders>
          </w:tcPr>
          <w:p w14:paraId="51E199CE" w14:textId="0B03901B" w:rsidR="008C7303" w:rsidRPr="00620B7E" w:rsidRDefault="008C7303" w:rsidP="00620B7E">
            <w:pPr>
              <w:pStyle w:val="TableTextLeft"/>
              <w:rPr>
                <w:b/>
                <w:lang w:val="en-GB"/>
              </w:rPr>
            </w:pPr>
            <w:r w:rsidRPr="00620B7E">
              <w:rPr>
                <w:b/>
                <w:lang w:val="en-GB"/>
              </w:rPr>
              <w:t>GAAP</w:t>
            </w:r>
          </w:p>
        </w:tc>
        <w:tc>
          <w:tcPr>
            <w:tcW w:w="7456" w:type="dxa"/>
            <w:tcBorders>
              <w:top w:val="single" w:sz="4" w:space="0" w:color="497783" w:themeColor="accent1"/>
              <w:bottom w:val="single" w:sz="4" w:space="0" w:color="497783" w:themeColor="accent1"/>
            </w:tcBorders>
          </w:tcPr>
          <w:p w14:paraId="56D655C4" w14:textId="7B954C2F" w:rsidR="008C7303" w:rsidRPr="00620B7E" w:rsidRDefault="008C7303" w:rsidP="00620B7E">
            <w:pPr>
              <w:pStyle w:val="TableTextLeft"/>
            </w:pPr>
            <w:r w:rsidRPr="00620B7E">
              <w:t>Generally Accepted Accounting Principles</w:t>
            </w:r>
          </w:p>
        </w:tc>
      </w:tr>
      <w:tr w:rsidR="003278EB" w:rsidRPr="00F061F9" w14:paraId="0CBBB2A7" w14:textId="77777777" w:rsidTr="006A545E">
        <w:tc>
          <w:tcPr>
            <w:tcW w:w="1560" w:type="dxa"/>
            <w:tcBorders>
              <w:top w:val="single" w:sz="4" w:space="0" w:color="497783" w:themeColor="accent1"/>
              <w:bottom w:val="single" w:sz="4" w:space="0" w:color="497783" w:themeColor="accent1"/>
            </w:tcBorders>
          </w:tcPr>
          <w:p w14:paraId="09676CAE" w14:textId="145A5761" w:rsidR="003278EB" w:rsidRPr="00620B7E" w:rsidRDefault="003A475F" w:rsidP="00620B7E">
            <w:pPr>
              <w:pStyle w:val="TableTextLeft"/>
              <w:rPr>
                <w:b/>
                <w:lang w:val="en-GB"/>
              </w:rPr>
            </w:pPr>
            <w:r w:rsidRPr="00620B7E">
              <w:rPr>
                <w:b/>
                <w:lang w:val="en-GB"/>
              </w:rPr>
              <w:t>GFS</w:t>
            </w:r>
          </w:p>
        </w:tc>
        <w:tc>
          <w:tcPr>
            <w:tcW w:w="7456" w:type="dxa"/>
            <w:tcBorders>
              <w:top w:val="single" w:sz="4" w:space="0" w:color="497783" w:themeColor="accent1"/>
              <w:bottom w:val="single" w:sz="4" w:space="0" w:color="497783" w:themeColor="accent1"/>
            </w:tcBorders>
          </w:tcPr>
          <w:p w14:paraId="5FC11125" w14:textId="6E95D8FF" w:rsidR="003278EB" w:rsidRPr="00620B7E" w:rsidRDefault="003278EB" w:rsidP="00620B7E">
            <w:pPr>
              <w:pStyle w:val="TableTextLeft"/>
            </w:pPr>
            <w:r w:rsidRPr="00620B7E">
              <w:t xml:space="preserve">Government Finance Statistics </w:t>
            </w:r>
          </w:p>
        </w:tc>
      </w:tr>
      <w:tr w:rsidR="00386E0C" w:rsidRPr="00F061F9" w14:paraId="7146BBDF" w14:textId="77777777" w:rsidTr="006A545E">
        <w:tc>
          <w:tcPr>
            <w:tcW w:w="1560" w:type="dxa"/>
            <w:tcBorders>
              <w:top w:val="single" w:sz="4" w:space="0" w:color="497783" w:themeColor="accent1"/>
              <w:bottom w:val="single" w:sz="4" w:space="0" w:color="497783" w:themeColor="accent1"/>
            </w:tcBorders>
          </w:tcPr>
          <w:p w14:paraId="3FAF9B67" w14:textId="1B31D7AD" w:rsidR="00386E0C" w:rsidRPr="00620B7E" w:rsidRDefault="00386E0C" w:rsidP="00620B7E">
            <w:pPr>
              <w:pStyle w:val="TableTextLeft"/>
              <w:rPr>
                <w:b/>
                <w:lang w:val="en-GB"/>
              </w:rPr>
            </w:pPr>
            <w:r w:rsidRPr="00620B7E">
              <w:rPr>
                <w:b/>
                <w:lang w:val="en-GB"/>
              </w:rPr>
              <w:t>H</w:t>
            </w:r>
            <w:proofErr w:type="spellStart"/>
            <w:r w:rsidRPr="00620B7E">
              <w:rPr>
                <w:b/>
              </w:rPr>
              <w:t>oTARAC</w:t>
            </w:r>
            <w:proofErr w:type="spellEnd"/>
          </w:p>
        </w:tc>
        <w:tc>
          <w:tcPr>
            <w:tcW w:w="7456" w:type="dxa"/>
            <w:tcBorders>
              <w:top w:val="single" w:sz="4" w:space="0" w:color="497783" w:themeColor="accent1"/>
              <w:bottom w:val="single" w:sz="4" w:space="0" w:color="497783" w:themeColor="accent1"/>
            </w:tcBorders>
          </w:tcPr>
          <w:p w14:paraId="4EE99004" w14:textId="7CEB5897" w:rsidR="00386E0C" w:rsidRPr="00620B7E" w:rsidRDefault="00DE06D8" w:rsidP="00620B7E">
            <w:pPr>
              <w:pStyle w:val="TableTextLeft"/>
            </w:pPr>
            <w:r w:rsidRPr="00620B7E">
              <w:t>Heads of Treasury Accounting and Reporting Advisory Committee</w:t>
            </w:r>
          </w:p>
        </w:tc>
      </w:tr>
      <w:tr w:rsidR="00350596" w:rsidRPr="00F061F9" w14:paraId="0F1AC0CD" w14:textId="77777777" w:rsidTr="006A545E">
        <w:tc>
          <w:tcPr>
            <w:tcW w:w="1560" w:type="dxa"/>
            <w:tcBorders>
              <w:top w:val="single" w:sz="4" w:space="0" w:color="497783" w:themeColor="accent1"/>
              <w:bottom w:val="single" w:sz="4" w:space="0" w:color="497783" w:themeColor="accent1"/>
            </w:tcBorders>
          </w:tcPr>
          <w:p w14:paraId="65BCEB17" w14:textId="77777777" w:rsidR="00350596" w:rsidRPr="00620B7E" w:rsidRDefault="00350596" w:rsidP="00620B7E">
            <w:pPr>
              <w:pStyle w:val="TableTextLeft"/>
              <w:rPr>
                <w:b/>
                <w:lang w:val="en-GB"/>
              </w:rPr>
            </w:pPr>
            <w:r w:rsidRPr="00620B7E">
              <w:rPr>
                <w:b/>
                <w:lang w:val="en-GB"/>
              </w:rPr>
              <w:t>IAASB</w:t>
            </w:r>
          </w:p>
        </w:tc>
        <w:tc>
          <w:tcPr>
            <w:tcW w:w="7456" w:type="dxa"/>
            <w:tcBorders>
              <w:top w:val="single" w:sz="4" w:space="0" w:color="497783" w:themeColor="accent1"/>
              <w:bottom w:val="single" w:sz="4" w:space="0" w:color="497783" w:themeColor="accent1"/>
            </w:tcBorders>
          </w:tcPr>
          <w:p w14:paraId="1B93C5DF" w14:textId="77777777" w:rsidR="00350596" w:rsidRPr="00620B7E" w:rsidRDefault="00350596" w:rsidP="00620B7E">
            <w:pPr>
              <w:pStyle w:val="TableTextLeft"/>
            </w:pPr>
            <w:r w:rsidRPr="00620B7E">
              <w:t>International Auditing and Assurance Standards Board</w:t>
            </w:r>
          </w:p>
        </w:tc>
      </w:tr>
      <w:tr w:rsidR="003A475F" w:rsidRPr="00F061F9" w14:paraId="46C0F658" w14:textId="77777777" w:rsidTr="006A545E">
        <w:tc>
          <w:tcPr>
            <w:tcW w:w="1560" w:type="dxa"/>
            <w:tcBorders>
              <w:top w:val="single" w:sz="4" w:space="0" w:color="497783" w:themeColor="accent1"/>
              <w:bottom w:val="single" w:sz="4" w:space="0" w:color="497783" w:themeColor="accent1"/>
            </w:tcBorders>
          </w:tcPr>
          <w:p w14:paraId="5B44F319" w14:textId="6759AABF" w:rsidR="003A475F" w:rsidRPr="00620B7E" w:rsidRDefault="003A475F" w:rsidP="00620B7E">
            <w:pPr>
              <w:pStyle w:val="TableTextLeft"/>
              <w:rPr>
                <w:b/>
                <w:lang w:val="en-GB"/>
              </w:rPr>
            </w:pPr>
            <w:r w:rsidRPr="00620B7E">
              <w:rPr>
                <w:b/>
              </w:rPr>
              <w:t xml:space="preserve">IAP </w:t>
            </w:r>
          </w:p>
        </w:tc>
        <w:tc>
          <w:tcPr>
            <w:tcW w:w="7456" w:type="dxa"/>
            <w:tcBorders>
              <w:top w:val="single" w:sz="4" w:space="0" w:color="497783" w:themeColor="accent1"/>
              <w:bottom w:val="single" w:sz="4" w:space="0" w:color="497783" w:themeColor="accent1"/>
            </w:tcBorders>
          </w:tcPr>
          <w:p w14:paraId="7F2EF02D" w14:textId="7E12E0AB" w:rsidR="003A475F" w:rsidRPr="00620B7E" w:rsidRDefault="003A475F" w:rsidP="00620B7E">
            <w:pPr>
              <w:pStyle w:val="TableTextLeft"/>
            </w:pPr>
            <w:r w:rsidRPr="00620B7E">
              <w:t>Implementation Advisory Panel</w:t>
            </w:r>
          </w:p>
        </w:tc>
      </w:tr>
      <w:tr w:rsidR="00350596" w:rsidRPr="00F061F9" w14:paraId="74AFAFE1" w14:textId="77777777" w:rsidTr="006A545E">
        <w:tc>
          <w:tcPr>
            <w:tcW w:w="1560" w:type="dxa"/>
            <w:tcBorders>
              <w:top w:val="single" w:sz="4" w:space="0" w:color="497783" w:themeColor="accent1"/>
              <w:bottom w:val="single" w:sz="4" w:space="0" w:color="497783" w:themeColor="accent1"/>
            </w:tcBorders>
          </w:tcPr>
          <w:p w14:paraId="10632236" w14:textId="5A0945DA" w:rsidR="00350596" w:rsidRPr="00620B7E" w:rsidRDefault="009F0CAE" w:rsidP="00620B7E">
            <w:pPr>
              <w:pStyle w:val="TableTextLeft"/>
              <w:rPr>
                <w:b/>
                <w:lang w:val="en-GB"/>
              </w:rPr>
            </w:pPr>
            <w:r w:rsidRPr="00620B7E">
              <w:rPr>
                <w:b/>
                <w:lang w:val="en-GB"/>
              </w:rPr>
              <w:t>IASB</w:t>
            </w:r>
          </w:p>
        </w:tc>
        <w:tc>
          <w:tcPr>
            <w:tcW w:w="7456" w:type="dxa"/>
            <w:tcBorders>
              <w:top w:val="single" w:sz="4" w:space="0" w:color="497783" w:themeColor="accent1"/>
              <w:bottom w:val="single" w:sz="4" w:space="0" w:color="497783" w:themeColor="accent1"/>
            </w:tcBorders>
          </w:tcPr>
          <w:p w14:paraId="46242BC3" w14:textId="2E071FCC" w:rsidR="00350596" w:rsidRPr="00620B7E" w:rsidRDefault="00350596" w:rsidP="00620B7E">
            <w:pPr>
              <w:pStyle w:val="TableTextLeft"/>
            </w:pPr>
            <w:r w:rsidRPr="00620B7E">
              <w:t xml:space="preserve">International Accounting Standards </w:t>
            </w:r>
            <w:r w:rsidR="009F0CAE" w:rsidRPr="00620B7E">
              <w:t>Board</w:t>
            </w:r>
          </w:p>
        </w:tc>
      </w:tr>
      <w:tr w:rsidR="00350596" w:rsidRPr="00F061F9" w14:paraId="2BAE1F22" w14:textId="77777777" w:rsidTr="006A545E">
        <w:tc>
          <w:tcPr>
            <w:tcW w:w="1560" w:type="dxa"/>
            <w:tcBorders>
              <w:top w:val="single" w:sz="4" w:space="0" w:color="497783" w:themeColor="accent1"/>
              <w:bottom w:val="single" w:sz="4" w:space="0" w:color="497783" w:themeColor="accent1"/>
            </w:tcBorders>
          </w:tcPr>
          <w:p w14:paraId="12FB34FD" w14:textId="77777777" w:rsidR="00350596" w:rsidRPr="00620B7E" w:rsidRDefault="00350596" w:rsidP="00620B7E">
            <w:pPr>
              <w:pStyle w:val="TableTextLeft"/>
              <w:rPr>
                <w:b/>
                <w:lang w:val="en-GB"/>
              </w:rPr>
            </w:pPr>
            <w:r w:rsidRPr="00620B7E">
              <w:rPr>
                <w:b/>
                <w:lang w:val="en-GB"/>
              </w:rPr>
              <w:t>IESBA</w:t>
            </w:r>
          </w:p>
        </w:tc>
        <w:tc>
          <w:tcPr>
            <w:tcW w:w="7456" w:type="dxa"/>
            <w:tcBorders>
              <w:top w:val="single" w:sz="4" w:space="0" w:color="497783" w:themeColor="accent1"/>
              <w:bottom w:val="single" w:sz="4" w:space="0" w:color="497783" w:themeColor="accent1"/>
            </w:tcBorders>
          </w:tcPr>
          <w:p w14:paraId="4A2C971D" w14:textId="77777777" w:rsidR="00350596" w:rsidRPr="00620B7E" w:rsidRDefault="00350596" w:rsidP="00620B7E">
            <w:pPr>
              <w:pStyle w:val="TableTextLeft"/>
            </w:pPr>
            <w:r w:rsidRPr="00620B7E">
              <w:t>International Ethics Standards Board for Accountants</w:t>
            </w:r>
          </w:p>
        </w:tc>
      </w:tr>
      <w:tr w:rsidR="00F47FC4" w:rsidRPr="00F061F9" w14:paraId="1CCBDE44" w14:textId="77777777" w:rsidTr="006A545E">
        <w:tc>
          <w:tcPr>
            <w:tcW w:w="1560" w:type="dxa"/>
            <w:tcBorders>
              <w:bottom w:val="single" w:sz="4" w:space="0" w:color="497783" w:themeColor="accent1"/>
            </w:tcBorders>
          </w:tcPr>
          <w:p w14:paraId="7E2509E5" w14:textId="10F10584" w:rsidR="00F47FC4" w:rsidRPr="00620B7E" w:rsidRDefault="00F47FC4" w:rsidP="00620B7E">
            <w:pPr>
              <w:pStyle w:val="TableTextLeft"/>
              <w:rPr>
                <w:b/>
                <w:lang w:val="en-GB"/>
              </w:rPr>
            </w:pPr>
            <w:r w:rsidRPr="00620B7E">
              <w:rPr>
                <w:b/>
                <w:lang w:val="en-GB"/>
              </w:rPr>
              <w:t>IFAC</w:t>
            </w:r>
          </w:p>
        </w:tc>
        <w:tc>
          <w:tcPr>
            <w:tcW w:w="7456" w:type="dxa"/>
            <w:tcBorders>
              <w:bottom w:val="single" w:sz="4" w:space="0" w:color="497783" w:themeColor="accent1"/>
            </w:tcBorders>
          </w:tcPr>
          <w:p w14:paraId="6DF9A214" w14:textId="7CCE6E04" w:rsidR="00F47FC4" w:rsidRPr="00620B7E" w:rsidRDefault="00F47FC4" w:rsidP="00620B7E">
            <w:pPr>
              <w:pStyle w:val="TableTextLeft"/>
            </w:pPr>
            <w:r w:rsidRPr="00620B7E">
              <w:t>International Federation of Accountants</w:t>
            </w:r>
          </w:p>
        </w:tc>
      </w:tr>
      <w:tr w:rsidR="00350596" w:rsidRPr="00F061F9" w14:paraId="3ECCBE88" w14:textId="77777777" w:rsidTr="006A545E">
        <w:tc>
          <w:tcPr>
            <w:tcW w:w="1560" w:type="dxa"/>
            <w:tcBorders>
              <w:top w:val="single" w:sz="4" w:space="0" w:color="497783" w:themeColor="accent1"/>
              <w:bottom w:val="single" w:sz="4" w:space="0" w:color="497783" w:themeColor="accent1"/>
            </w:tcBorders>
          </w:tcPr>
          <w:p w14:paraId="51ED2EE5" w14:textId="77777777" w:rsidR="00350596" w:rsidRPr="00620B7E" w:rsidRDefault="00350596" w:rsidP="00620B7E">
            <w:pPr>
              <w:pStyle w:val="TableTextLeft"/>
              <w:rPr>
                <w:b/>
                <w:lang w:val="en-GB"/>
              </w:rPr>
            </w:pPr>
            <w:r w:rsidRPr="00620B7E">
              <w:rPr>
                <w:b/>
                <w:lang w:val="en-GB"/>
              </w:rPr>
              <w:t>IFIAR</w:t>
            </w:r>
          </w:p>
        </w:tc>
        <w:tc>
          <w:tcPr>
            <w:tcW w:w="7456" w:type="dxa"/>
            <w:tcBorders>
              <w:top w:val="single" w:sz="4" w:space="0" w:color="497783" w:themeColor="accent1"/>
              <w:bottom w:val="single" w:sz="4" w:space="0" w:color="497783" w:themeColor="accent1"/>
            </w:tcBorders>
          </w:tcPr>
          <w:p w14:paraId="132CF557" w14:textId="77777777" w:rsidR="00350596" w:rsidRPr="00620B7E" w:rsidRDefault="00350596" w:rsidP="00620B7E">
            <w:pPr>
              <w:pStyle w:val="TableTextLeft"/>
            </w:pPr>
            <w:r w:rsidRPr="00620B7E">
              <w:t>International Forum of Independent Audit Regulators</w:t>
            </w:r>
          </w:p>
        </w:tc>
      </w:tr>
      <w:tr w:rsidR="00DE06D8" w:rsidRPr="00F061F9" w14:paraId="50FA3E72" w14:textId="77777777" w:rsidTr="006A545E">
        <w:tc>
          <w:tcPr>
            <w:tcW w:w="1560" w:type="dxa"/>
            <w:tcBorders>
              <w:top w:val="single" w:sz="4" w:space="0" w:color="497783" w:themeColor="accent1"/>
              <w:bottom w:val="single" w:sz="4" w:space="0" w:color="497783" w:themeColor="accent1"/>
            </w:tcBorders>
          </w:tcPr>
          <w:p w14:paraId="3AE4C57F" w14:textId="2A99EB61" w:rsidR="00DE06D8" w:rsidRPr="00620B7E" w:rsidRDefault="00DE06D8" w:rsidP="00620B7E">
            <w:pPr>
              <w:pStyle w:val="TableTextLeft"/>
              <w:rPr>
                <w:b/>
                <w:lang w:val="en-GB"/>
              </w:rPr>
            </w:pPr>
            <w:r w:rsidRPr="00620B7E">
              <w:rPr>
                <w:b/>
                <w:lang w:val="en-GB"/>
              </w:rPr>
              <w:t>IFRS</w:t>
            </w:r>
          </w:p>
        </w:tc>
        <w:tc>
          <w:tcPr>
            <w:tcW w:w="7456" w:type="dxa"/>
            <w:tcBorders>
              <w:top w:val="single" w:sz="4" w:space="0" w:color="497783" w:themeColor="accent1"/>
              <w:bottom w:val="single" w:sz="4" w:space="0" w:color="497783" w:themeColor="accent1"/>
            </w:tcBorders>
          </w:tcPr>
          <w:p w14:paraId="75797E96" w14:textId="3F1260CB" w:rsidR="00DE06D8" w:rsidRPr="00620B7E" w:rsidRDefault="00DE06D8" w:rsidP="00620B7E">
            <w:pPr>
              <w:pStyle w:val="TableTextLeft"/>
            </w:pPr>
            <w:r w:rsidRPr="00620B7E">
              <w:t>International Financial Reporting Standards</w:t>
            </w:r>
          </w:p>
        </w:tc>
      </w:tr>
      <w:tr w:rsidR="00350596" w:rsidRPr="00F061F9" w14:paraId="27C167C9" w14:textId="77777777" w:rsidTr="006A545E">
        <w:tc>
          <w:tcPr>
            <w:tcW w:w="1560" w:type="dxa"/>
            <w:tcBorders>
              <w:top w:val="single" w:sz="4" w:space="0" w:color="497783" w:themeColor="accent1"/>
              <w:bottom w:val="single" w:sz="4" w:space="0" w:color="497783" w:themeColor="accent1"/>
            </w:tcBorders>
          </w:tcPr>
          <w:p w14:paraId="59424DAA" w14:textId="77777777" w:rsidR="00350596" w:rsidRPr="00620B7E" w:rsidRDefault="00350596" w:rsidP="00620B7E">
            <w:pPr>
              <w:pStyle w:val="TableTextLeft"/>
              <w:rPr>
                <w:b/>
                <w:lang w:val="en-GB"/>
              </w:rPr>
            </w:pPr>
            <w:r w:rsidRPr="00620B7E">
              <w:rPr>
                <w:b/>
                <w:lang w:val="en-GB"/>
              </w:rPr>
              <w:t>IOSCO</w:t>
            </w:r>
          </w:p>
        </w:tc>
        <w:tc>
          <w:tcPr>
            <w:tcW w:w="7456" w:type="dxa"/>
            <w:tcBorders>
              <w:top w:val="single" w:sz="4" w:space="0" w:color="497783" w:themeColor="accent1"/>
              <w:bottom w:val="single" w:sz="4" w:space="0" w:color="497783" w:themeColor="accent1"/>
            </w:tcBorders>
          </w:tcPr>
          <w:p w14:paraId="5FAA6A6B" w14:textId="77777777" w:rsidR="00350596" w:rsidRPr="00620B7E" w:rsidRDefault="00350596" w:rsidP="00620B7E">
            <w:pPr>
              <w:pStyle w:val="TableTextLeft"/>
            </w:pPr>
            <w:r w:rsidRPr="00620B7E">
              <w:t>International Organisation of Securities Commissions</w:t>
            </w:r>
          </w:p>
        </w:tc>
      </w:tr>
      <w:tr w:rsidR="00350596" w:rsidRPr="00F061F9" w14:paraId="44DD3B78" w14:textId="77777777" w:rsidTr="006A545E">
        <w:tc>
          <w:tcPr>
            <w:tcW w:w="1560" w:type="dxa"/>
            <w:tcBorders>
              <w:top w:val="single" w:sz="4" w:space="0" w:color="497783" w:themeColor="accent1"/>
              <w:bottom w:val="single" w:sz="4" w:space="0" w:color="497783" w:themeColor="accent1"/>
            </w:tcBorders>
          </w:tcPr>
          <w:p w14:paraId="41B7467D" w14:textId="77777777" w:rsidR="00350596" w:rsidRPr="00620B7E" w:rsidRDefault="00350596" w:rsidP="00620B7E">
            <w:pPr>
              <w:pStyle w:val="TableTextLeft"/>
              <w:rPr>
                <w:b/>
                <w:lang w:val="en-GB"/>
              </w:rPr>
            </w:pPr>
            <w:r w:rsidRPr="00620B7E">
              <w:rPr>
                <w:b/>
                <w:lang w:val="en-GB"/>
              </w:rPr>
              <w:t>IPA</w:t>
            </w:r>
          </w:p>
        </w:tc>
        <w:tc>
          <w:tcPr>
            <w:tcW w:w="7456" w:type="dxa"/>
            <w:tcBorders>
              <w:top w:val="single" w:sz="4" w:space="0" w:color="497783" w:themeColor="accent1"/>
              <w:bottom w:val="single" w:sz="4" w:space="0" w:color="497783" w:themeColor="accent1"/>
            </w:tcBorders>
          </w:tcPr>
          <w:p w14:paraId="2F17F34A" w14:textId="77777777" w:rsidR="00350596" w:rsidRPr="00620B7E" w:rsidRDefault="00350596" w:rsidP="00620B7E">
            <w:pPr>
              <w:pStyle w:val="TableTextLeft"/>
            </w:pPr>
            <w:r w:rsidRPr="00620B7E">
              <w:t>Institute of Public Accountants</w:t>
            </w:r>
          </w:p>
        </w:tc>
      </w:tr>
      <w:tr w:rsidR="00350596" w:rsidRPr="00F061F9" w14:paraId="7D710B20" w14:textId="77777777" w:rsidTr="006A545E">
        <w:tc>
          <w:tcPr>
            <w:tcW w:w="1560" w:type="dxa"/>
            <w:tcBorders>
              <w:top w:val="single" w:sz="4" w:space="0" w:color="497783" w:themeColor="accent1"/>
              <w:bottom w:val="single" w:sz="4" w:space="0" w:color="497783" w:themeColor="accent1"/>
            </w:tcBorders>
          </w:tcPr>
          <w:p w14:paraId="51672C21" w14:textId="77777777" w:rsidR="00350596" w:rsidRPr="00620B7E" w:rsidRDefault="00350596" w:rsidP="00620B7E">
            <w:pPr>
              <w:pStyle w:val="TableTextLeft"/>
              <w:rPr>
                <w:b/>
                <w:lang w:val="en-GB"/>
              </w:rPr>
            </w:pPr>
            <w:r w:rsidRPr="00620B7E">
              <w:rPr>
                <w:b/>
                <w:lang w:val="en-GB"/>
              </w:rPr>
              <w:t>IPSASB</w:t>
            </w:r>
          </w:p>
        </w:tc>
        <w:tc>
          <w:tcPr>
            <w:tcW w:w="7456" w:type="dxa"/>
            <w:tcBorders>
              <w:top w:val="single" w:sz="4" w:space="0" w:color="497783" w:themeColor="accent1"/>
              <w:bottom w:val="single" w:sz="4" w:space="0" w:color="497783" w:themeColor="accent1"/>
            </w:tcBorders>
          </w:tcPr>
          <w:p w14:paraId="7E14C25B" w14:textId="5B8CB606" w:rsidR="00350596" w:rsidRPr="00620B7E" w:rsidRDefault="00350596" w:rsidP="00620B7E">
            <w:pPr>
              <w:pStyle w:val="TableTextLeft"/>
            </w:pPr>
            <w:r w:rsidRPr="00620B7E">
              <w:t xml:space="preserve">International Public </w:t>
            </w:r>
            <w:r w:rsidR="009F0CAE" w:rsidRPr="00620B7E">
              <w:t xml:space="preserve">Sector </w:t>
            </w:r>
            <w:r w:rsidRPr="00620B7E">
              <w:t>Accounting Standards Board</w:t>
            </w:r>
          </w:p>
        </w:tc>
      </w:tr>
      <w:tr w:rsidR="00350596" w:rsidRPr="00F061F9" w14:paraId="3A9D9EAD" w14:textId="77777777" w:rsidTr="006A545E">
        <w:tc>
          <w:tcPr>
            <w:tcW w:w="1560" w:type="dxa"/>
            <w:tcBorders>
              <w:top w:val="single" w:sz="4" w:space="0" w:color="497783" w:themeColor="accent1"/>
              <w:bottom w:val="single" w:sz="4" w:space="0" w:color="497783" w:themeColor="accent1"/>
            </w:tcBorders>
          </w:tcPr>
          <w:p w14:paraId="74C4C461" w14:textId="77777777" w:rsidR="00350596" w:rsidRPr="00620B7E" w:rsidRDefault="00350596" w:rsidP="00620B7E">
            <w:pPr>
              <w:pStyle w:val="TableTextLeft"/>
              <w:rPr>
                <w:b/>
                <w:lang w:val="en-GB"/>
              </w:rPr>
            </w:pPr>
            <w:r w:rsidRPr="00620B7E">
              <w:rPr>
                <w:b/>
                <w:lang w:val="en-GB"/>
              </w:rPr>
              <w:t>ISA</w:t>
            </w:r>
          </w:p>
        </w:tc>
        <w:tc>
          <w:tcPr>
            <w:tcW w:w="7456" w:type="dxa"/>
            <w:tcBorders>
              <w:top w:val="single" w:sz="4" w:space="0" w:color="497783" w:themeColor="accent1"/>
              <w:bottom w:val="single" w:sz="4" w:space="0" w:color="497783" w:themeColor="accent1"/>
            </w:tcBorders>
          </w:tcPr>
          <w:p w14:paraId="3BAEC3E3" w14:textId="49168226" w:rsidR="00350596" w:rsidRPr="00620B7E" w:rsidRDefault="00350596" w:rsidP="00620B7E">
            <w:pPr>
              <w:pStyle w:val="TableTextLeft"/>
            </w:pPr>
            <w:r w:rsidRPr="00620B7E">
              <w:t>International Standard on Auditing</w:t>
            </w:r>
          </w:p>
        </w:tc>
      </w:tr>
      <w:tr w:rsidR="00CE48F4" w:rsidRPr="00F061F9" w14:paraId="07319DC1" w14:textId="77777777" w:rsidTr="006A545E">
        <w:tc>
          <w:tcPr>
            <w:tcW w:w="1560" w:type="dxa"/>
            <w:tcBorders>
              <w:top w:val="single" w:sz="4" w:space="0" w:color="497783" w:themeColor="accent1"/>
              <w:bottom w:val="single" w:sz="4" w:space="0" w:color="497783" w:themeColor="accent1"/>
            </w:tcBorders>
          </w:tcPr>
          <w:p w14:paraId="52F60DBB" w14:textId="23A43B7B" w:rsidR="00CE48F4" w:rsidRPr="00620B7E" w:rsidRDefault="00CE48F4" w:rsidP="00620B7E">
            <w:pPr>
              <w:pStyle w:val="TableTextLeft"/>
              <w:rPr>
                <w:b/>
                <w:lang w:val="en-GB"/>
              </w:rPr>
            </w:pPr>
            <w:r w:rsidRPr="00620B7E">
              <w:rPr>
                <w:b/>
                <w:lang w:val="en-GB"/>
              </w:rPr>
              <w:t>ISSA</w:t>
            </w:r>
          </w:p>
        </w:tc>
        <w:tc>
          <w:tcPr>
            <w:tcW w:w="7456" w:type="dxa"/>
            <w:tcBorders>
              <w:top w:val="single" w:sz="4" w:space="0" w:color="497783" w:themeColor="accent1"/>
              <w:bottom w:val="single" w:sz="4" w:space="0" w:color="497783" w:themeColor="accent1"/>
            </w:tcBorders>
          </w:tcPr>
          <w:p w14:paraId="4479940D" w14:textId="61FA3551" w:rsidR="00CE48F4" w:rsidRPr="00620B7E" w:rsidRDefault="008C7303" w:rsidP="00620B7E">
            <w:pPr>
              <w:pStyle w:val="TableTextLeft"/>
            </w:pPr>
            <w:r w:rsidRPr="00620B7E">
              <w:t>International Standard on Sustainability Assurance</w:t>
            </w:r>
          </w:p>
        </w:tc>
      </w:tr>
      <w:tr w:rsidR="006C7EF4" w:rsidRPr="00F061F9" w14:paraId="4D5F89F0" w14:textId="77777777" w:rsidTr="006A545E">
        <w:tc>
          <w:tcPr>
            <w:tcW w:w="1560" w:type="dxa"/>
            <w:tcBorders>
              <w:top w:val="single" w:sz="4" w:space="0" w:color="497783" w:themeColor="accent1"/>
              <w:bottom w:val="single" w:sz="4" w:space="0" w:color="497783" w:themeColor="accent1"/>
            </w:tcBorders>
          </w:tcPr>
          <w:p w14:paraId="6A7198CD" w14:textId="46F36900" w:rsidR="006C7EF4" w:rsidRPr="00620B7E" w:rsidRDefault="006C7EF4" w:rsidP="00620B7E">
            <w:pPr>
              <w:pStyle w:val="TableTextLeft"/>
              <w:rPr>
                <w:b/>
                <w:lang w:val="en-GB"/>
              </w:rPr>
            </w:pPr>
            <w:r w:rsidRPr="00620B7E">
              <w:rPr>
                <w:b/>
                <w:lang w:val="en-GB"/>
              </w:rPr>
              <w:t>I</w:t>
            </w:r>
            <w:r w:rsidRPr="00620B7E">
              <w:rPr>
                <w:b/>
                <w:color w:val="auto"/>
                <w:sz w:val="21"/>
                <w:szCs w:val="21"/>
                <w:lang w:val="en-GB"/>
              </w:rPr>
              <w:t>SSB</w:t>
            </w:r>
          </w:p>
        </w:tc>
        <w:tc>
          <w:tcPr>
            <w:tcW w:w="7456" w:type="dxa"/>
            <w:tcBorders>
              <w:top w:val="single" w:sz="4" w:space="0" w:color="497783" w:themeColor="accent1"/>
              <w:bottom w:val="single" w:sz="4" w:space="0" w:color="497783" w:themeColor="accent1"/>
            </w:tcBorders>
          </w:tcPr>
          <w:p w14:paraId="22FFE0CB" w14:textId="7578E9D3" w:rsidR="006C7EF4" w:rsidRPr="00620B7E" w:rsidRDefault="006C7EF4" w:rsidP="00620B7E">
            <w:pPr>
              <w:pStyle w:val="TableTextLeft"/>
            </w:pPr>
            <w:r w:rsidRPr="00620B7E">
              <w:t>International Sustainability Standards Board</w:t>
            </w:r>
          </w:p>
        </w:tc>
      </w:tr>
      <w:tr w:rsidR="00350596" w:rsidRPr="00F061F9" w14:paraId="642A18E3" w14:textId="77777777" w:rsidTr="006A545E">
        <w:tc>
          <w:tcPr>
            <w:tcW w:w="1560" w:type="dxa"/>
            <w:tcBorders>
              <w:top w:val="single" w:sz="4" w:space="0" w:color="497783" w:themeColor="accent1"/>
              <w:bottom w:val="single" w:sz="4" w:space="0" w:color="497783" w:themeColor="accent1"/>
            </w:tcBorders>
          </w:tcPr>
          <w:p w14:paraId="4BDD2A10" w14:textId="77777777" w:rsidR="00350596" w:rsidRPr="00620B7E" w:rsidRDefault="00350596" w:rsidP="00620B7E">
            <w:pPr>
              <w:pStyle w:val="TableTextLeft"/>
              <w:rPr>
                <w:b/>
                <w:lang w:val="en-GB"/>
              </w:rPr>
            </w:pPr>
            <w:r w:rsidRPr="00620B7E">
              <w:rPr>
                <w:b/>
                <w:lang w:val="en-GB"/>
              </w:rPr>
              <w:t>NZASB</w:t>
            </w:r>
          </w:p>
        </w:tc>
        <w:tc>
          <w:tcPr>
            <w:tcW w:w="7456" w:type="dxa"/>
            <w:tcBorders>
              <w:top w:val="single" w:sz="4" w:space="0" w:color="497783" w:themeColor="accent1"/>
              <w:bottom w:val="single" w:sz="4" w:space="0" w:color="497783" w:themeColor="accent1"/>
            </w:tcBorders>
          </w:tcPr>
          <w:p w14:paraId="7EA39222" w14:textId="77777777" w:rsidR="00350596" w:rsidRPr="00620B7E" w:rsidRDefault="00350596" w:rsidP="00620B7E">
            <w:pPr>
              <w:pStyle w:val="TableTextLeft"/>
            </w:pPr>
            <w:r w:rsidRPr="00620B7E">
              <w:t>New Zealand Accounting Standards Board</w:t>
            </w:r>
          </w:p>
        </w:tc>
      </w:tr>
      <w:tr w:rsidR="00350596" w:rsidRPr="00F061F9" w14:paraId="2F946E38" w14:textId="77777777" w:rsidTr="006A545E">
        <w:tc>
          <w:tcPr>
            <w:tcW w:w="1560" w:type="dxa"/>
            <w:tcBorders>
              <w:top w:val="single" w:sz="4" w:space="0" w:color="497783" w:themeColor="accent1"/>
              <w:bottom w:val="single" w:sz="4" w:space="0" w:color="497783" w:themeColor="accent1"/>
            </w:tcBorders>
          </w:tcPr>
          <w:p w14:paraId="3E09A3F1" w14:textId="77777777" w:rsidR="00350596" w:rsidRPr="00620B7E" w:rsidRDefault="00350596" w:rsidP="00620B7E">
            <w:pPr>
              <w:pStyle w:val="TableTextLeft"/>
              <w:rPr>
                <w:b/>
                <w:lang w:val="en-GB"/>
              </w:rPr>
            </w:pPr>
            <w:proofErr w:type="spellStart"/>
            <w:r w:rsidRPr="00620B7E">
              <w:rPr>
                <w:b/>
                <w:lang w:val="en-GB"/>
              </w:rPr>
              <w:t>NZAuASB</w:t>
            </w:r>
            <w:proofErr w:type="spellEnd"/>
          </w:p>
        </w:tc>
        <w:tc>
          <w:tcPr>
            <w:tcW w:w="7456" w:type="dxa"/>
            <w:tcBorders>
              <w:top w:val="single" w:sz="4" w:space="0" w:color="497783" w:themeColor="accent1"/>
              <w:bottom w:val="single" w:sz="4" w:space="0" w:color="497783" w:themeColor="accent1"/>
            </w:tcBorders>
          </w:tcPr>
          <w:p w14:paraId="12E32879" w14:textId="0C0CB107" w:rsidR="00350596" w:rsidRPr="00620B7E" w:rsidRDefault="00350596" w:rsidP="00620B7E">
            <w:pPr>
              <w:pStyle w:val="TableTextLeft"/>
            </w:pPr>
            <w:r w:rsidRPr="00620B7E">
              <w:t xml:space="preserve">New Zealand Auditing </w:t>
            </w:r>
            <w:r w:rsidR="00F86BF1" w:rsidRPr="00620B7E">
              <w:t xml:space="preserve">and </w:t>
            </w:r>
            <w:r w:rsidRPr="00620B7E">
              <w:t>Assurance Standards Board</w:t>
            </w:r>
          </w:p>
        </w:tc>
      </w:tr>
      <w:tr w:rsidR="003B2168" w:rsidRPr="00F061F9" w14:paraId="5D8CF43F" w14:textId="77777777" w:rsidTr="006A545E">
        <w:tc>
          <w:tcPr>
            <w:tcW w:w="1560" w:type="dxa"/>
            <w:tcBorders>
              <w:top w:val="single" w:sz="4" w:space="0" w:color="497783" w:themeColor="accent1"/>
              <w:bottom w:val="single" w:sz="4" w:space="0" w:color="497783" w:themeColor="accent1"/>
            </w:tcBorders>
          </w:tcPr>
          <w:p w14:paraId="01992096" w14:textId="2DF855EC" w:rsidR="003B2168" w:rsidRPr="00620B7E" w:rsidRDefault="003B2168" w:rsidP="00620B7E">
            <w:pPr>
              <w:pStyle w:val="TableTextLeft"/>
              <w:rPr>
                <w:b/>
                <w:lang w:val="en-GB"/>
              </w:rPr>
            </w:pPr>
            <w:r w:rsidRPr="00620B7E">
              <w:rPr>
                <w:rFonts w:eastAsia="Aptos"/>
                <w:b/>
                <w:kern w:val="2"/>
                <w14:ligatures w14:val="standardContextual"/>
              </w:rPr>
              <w:t xml:space="preserve">PABs </w:t>
            </w:r>
          </w:p>
        </w:tc>
        <w:tc>
          <w:tcPr>
            <w:tcW w:w="7456" w:type="dxa"/>
            <w:tcBorders>
              <w:top w:val="single" w:sz="4" w:space="0" w:color="497783" w:themeColor="accent1"/>
              <w:bottom w:val="single" w:sz="4" w:space="0" w:color="497783" w:themeColor="accent1"/>
            </w:tcBorders>
          </w:tcPr>
          <w:p w14:paraId="6A83CE44" w14:textId="13A7115F" w:rsidR="003B2168" w:rsidRPr="00620B7E" w:rsidRDefault="003B2168" w:rsidP="00620B7E">
            <w:pPr>
              <w:pStyle w:val="TableTextLeft"/>
            </w:pPr>
            <w:r w:rsidRPr="00620B7E">
              <w:rPr>
                <w:rFonts w:eastAsia="Aptos"/>
              </w:rPr>
              <w:t>Professional Accounting Bodies</w:t>
            </w:r>
          </w:p>
        </w:tc>
      </w:tr>
      <w:tr w:rsidR="00015123" w:rsidRPr="00F061F9" w14:paraId="4D4ABACA" w14:textId="77777777" w:rsidTr="006A545E">
        <w:tc>
          <w:tcPr>
            <w:tcW w:w="1560" w:type="dxa"/>
            <w:tcBorders>
              <w:top w:val="single" w:sz="4" w:space="0" w:color="497783" w:themeColor="accent1"/>
              <w:bottom w:val="single" w:sz="4" w:space="0" w:color="497783" w:themeColor="accent1"/>
            </w:tcBorders>
          </w:tcPr>
          <w:p w14:paraId="5672A525" w14:textId="0AA7A94C" w:rsidR="00015123" w:rsidRPr="00620B7E" w:rsidRDefault="00015123" w:rsidP="00620B7E">
            <w:pPr>
              <w:pStyle w:val="TableTextLeft"/>
              <w:rPr>
                <w:rFonts w:eastAsia="Aptos"/>
                <w:b/>
                <w:kern w:val="2"/>
                <w14:ligatures w14:val="standardContextual"/>
              </w:rPr>
            </w:pPr>
            <w:r w:rsidRPr="00620B7E">
              <w:rPr>
                <w:rFonts w:eastAsia="Aptos"/>
                <w:b/>
                <w:kern w:val="2"/>
                <w14:ligatures w14:val="standardContextual"/>
              </w:rPr>
              <w:t>PIR</w:t>
            </w:r>
          </w:p>
        </w:tc>
        <w:tc>
          <w:tcPr>
            <w:tcW w:w="7456" w:type="dxa"/>
            <w:tcBorders>
              <w:top w:val="single" w:sz="4" w:space="0" w:color="497783" w:themeColor="accent1"/>
              <w:bottom w:val="single" w:sz="4" w:space="0" w:color="497783" w:themeColor="accent1"/>
            </w:tcBorders>
          </w:tcPr>
          <w:p w14:paraId="07366844" w14:textId="33009EA6" w:rsidR="00015123" w:rsidRPr="00620B7E" w:rsidRDefault="00015123" w:rsidP="00620B7E">
            <w:pPr>
              <w:pStyle w:val="TableTextLeft"/>
              <w:rPr>
                <w:rFonts w:eastAsia="Aptos"/>
              </w:rPr>
            </w:pPr>
            <w:r w:rsidRPr="00620B7E">
              <w:rPr>
                <w:rFonts w:eastAsia="Aptos"/>
              </w:rPr>
              <w:t xml:space="preserve">Post-implementation Review </w:t>
            </w:r>
          </w:p>
        </w:tc>
      </w:tr>
      <w:tr w:rsidR="008D5D97" w:rsidRPr="00F061F9" w14:paraId="09783415" w14:textId="77777777" w:rsidTr="006A545E">
        <w:tc>
          <w:tcPr>
            <w:tcW w:w="1560" w:type="dxa"/>
            <w:tcBorders>
              <w:top w:val="single" w:sz="4" w:space="0" w:color="497783" w:themeColor="accent1"/>
              <w:bottom w:val="single" w:sz="4" w:space="0" w:color="497783" w:themeColor="accent1"/>
            </w:tcBorders>
          </w:tcPr>
          <w:p w14:paraId="52C5CE84" w14:textId="4E7F29E3" w:rsidR="008D5D97" w:rsidRPr="00620B7E" w:rsidRDefault="008D5D97" w:rsidP="00620B7E">
            <w:pPr>
              <w:pStyle w:val="TableTextLeft"/>
              <w:rPr>
                <w:b/>
                <w:lang w:val="en-GB"/>
              </w:rPr>
            </w:pPr>
            <w:r w:rsidRPr="00620B7E">
              <w:rPr>
                <w:b/>
              </w:rPr>
              <w:t>PPC</w:t>
            </w:r>
          </w:p>
        </w:tc>
        <w:tc>
          <w:tcPr>
            <w:tcW w:w="7456" w:type="dxa"/>
            <w:tcBorders>
              <w:top w:val="single" w:sz="4" w:space="0" w:color="497783" w:themeColor="accent1"/>
              <w:bottom w:val="single" w:sz="4" w:space="0" w:color="497783" w:themeColor="accent1"/>
            </w:tcBorders>
          </w:tcPr>
          <w:p w14:paraId="09908CDA" w14:textId="51A505D4" w:rsidR="008D5D97" w:rsidRPr="00620B7E" w:rsidRDefault="008D5D97" w:rsidP="00620B7E">
            <w:pPr>
              <w:pStyle w:val="TableTextLeft"/>
            </w:pPr>
            <w:r w:rsidRPr="00620B7E">
              <w:t xml:space="preserve">Public practice certificate </w:t>
            </w:r>
          </w:p>
        </w:tc>
      </w:tr>
      <w:tr w:rsidR="008C7303" w:rsidRPr="00F061F9" w14:paraId="21B4A5BA" w14:textId="77777777" w:rsidTr="006A545E">
        <w:tc>
          <w:tcPr>
            <w:tcW w:w="1560" w:type="dxa"/>
            <w:tcBorders>
              <w:top w:val="single" w:sz="4" w:space="0" w:color="497783" w:themeColor="accent1"/>
              <w:bottom w:val="single" w:sz="4" w:space="0" w:color="497783" w:themeColor="accent1"/>
            </w:tcBorders>
          </w:tcPr>
          <w:p w14:paraId="152328AE" w14:textId="430099A2" w:rsidR="008C7303" w:rsidRPr="00620B7E" w:rsidRDefault="008C7303" w:rsidP="00620B7E">
            <w:pPr>
              <w:pStyle w:val="TableTextLeft"/>
              <w:rPr>
                <w:b/>
                <w:lang w:val="en-GB"/>
              </w:rPr>
            </w:pPr>
            <w:r w:rsidRPr="00620B7E">
              <w:rPr>
                <w:b/>
                <w:lang w:val="en-GB"/>
              </w:rPr>
              <w:t>PSAG</w:t>
            </w:r>
          </w:p>
        </w:tc>
        <w:tc>
          <w:tcPr>
            <w:tcW w:w="7456" w:type="dxa"/>
            <w:tcBorders>
              <w:top w:val="single" w:sz="4" w:space="0" w:color="497783" w:themeColor="accent1"/>
              <w:bottom w:val="single" w:sz="4" w:space="0" w:color="497783" w:themeColor="accent1"/>
            </w:tcBorders>
          </w:tcPr>
          <w:p w14:paraId="00DC6252" w14:textId="18793F35" w:rsidR="008C7303" w:rsidRPr="00620B7E" w:rsidRDefault="008C7303" w:rsidP="00620B7E">
            <w:pPr>
              <w:pStyle w:val="TableTextLeft"/>
            </w:pPr>
            <w:r w:rsidRPr="00620B7E">
              <w:t xml:space="preserve">Public Sector </w:t>
            </w:r>
            <w:r w:rsidR="000414AC" w:rsidRPr="00620B7E">
              <w:t>Advisory</w:t>
            </w:r>
            <w:r w:rsidRPr="00620B7E">
              <w:t xml:space="preserve"> Group</w:t>
            </w:r>
          </w:p>
        </w:tc>
      </w:tr>
      <w:tr w:rsidR="005D4000" w:rsidRPr="00F061F9" w14:paraId="4EBB793A" w14:textId="77777777" w:rsidTr="006A545E">
        <w:tc>
          <w:tcPr>
            <w:tcW w:w="1560" w:type="dxa"/>
            <w:tcBorders>
              <w:top w:val="single" w:sz="4" w:space="0" w:color="497783" w:themeColor="accent1"/>
              <w:bottom w:val="single" w:sz="4" w:space="0" w:color="497783" w:themeColor="accent1"/>
            </w:tcBorders>
          </w:tcPr>
          <w:p w14:paraId="4801C1B8" w14:textId="588C0849" w:rsidR="005D4000" w:rsidRPr="00620B7E" w:rsidRDefault="005D4000" w:rsidP="00620B7E">
            <w:pPr>
              <w:pStyle w:val="TableTextLeft"/>
              <w:rPr>
                <w:b/>
                <w:lang w:val="en-GB"/>
              </w:rPr>
            </w:pPr>
            <w:r w:rsidRPr="00620B7E">
              <w:rPr>
                <w:b/>
                <w:lang w:val="en-GB"/>
              </w:rPr>
              <w:t>QRP</w:t>
            </w:r>
          </w:p>
        </w:tc>
        <w:tc>
          <w:tcPr>
            <w:tcW w:w="7456" w:type="dxa"/>
            <w:tcBorders>
              <w:top w:val="single" w:sz="4" w:space="0" w:color="497783" w:themeColor="accent1"/>
              <w:bottom w:val="single" w:sz="4" w:space="0" w:color="497783" w:themeColor="accent1"/>
            </w:tcBorders>
          </w:tcPr>
          <w:p w14:paraId="06719706" w14:textId="35A4592B" w:rsidR="005D4000" w:rsidRPr="00620B7E" w:rsidRDefault="005D4000" w:rsidP="00620B7E">
            <w:pPr>
              <w:pStyle w:val="TableTextLeft"/>
            </w:pPr>
            <w:r w:rsidRPr="00620B7E">
              <w:t>Quality Review Program</w:t>
            </w:r>
          </w:p>
        </w:tc>
      </w:tr>
      <w:tr w:rsidR="007A18F5" w:rsidRPr="00F061F9" w14:paraId="39200546" w14:textId="77777777" w:rsidTr="006A545E">
        <w:tc>
          <w:tcPr>
            <w:tcW w:w="1560" w:type="dxa"/>
            <w:tcBorders>
              <w:top w:val="single" w:sz="4" w:space="0" w:color="497783" w:themeColor="accent1"/>
              <w:bottom w:val="single" w:sz="4" w:space="0" w:color="497783" w:themeColor="accent1"/>
            </w:tcBorders>
          </w:tcPr>
          <w:p w14:paraId="201388AA" w14:textId="4C546E4E" w:rsidR="007A18F5" w:rsidRPr="00620B7E" w:rsidRDefault="007A18F5" w:rsidP="00620B7E">
            <w:pPr>
              <w:pStyle w:val="TableTextLeft"/>
              <w:rPr>
                <w:b/>
                <w:lang w:val="en-GB"/>
              </w:rPr>
            </w:pPr>
            <w:r w:rsidRPr="00620B7E">
              <w:rPr>
                <w:b/>
                <w:lang w:val="en-GB"/>
              </w:rPr>
              <w:t>SMSF</w:t>
            </w:r>
          </w:p>
        </w:tc>
        <w:tc>
          <w:tcPr>
            <w:tcW w:w="7456" w:type="dxa"/>
            <w:tcBorders>
              <w:top w:val="single" w:sz="4" w:space="0" w:color="497783" w:themeColor="accent1"/>
              <w:bottom w:val="single" w:sz="4" w:space="0" w:color="497783" w:themeColor="accent1"/>
            </w:tcBorders>
          </w:tcPr>
          <w:p w14:paraId="286EAE43" w14:textId="5E7723C7" w:rsidR="007A18F5" w:rsidRPr="00620B7E" w:rsidRDefault="007A18F5" w:rsidP="00620B7E">
            <w:pPr>
              <w:pStyle w:val="TableTextLeft"/>
            </w:pPr>
            <w:r w:rsidRPr="00620B7E">
              <w:t>Self-Managed Superannuation Fund</w:t>
            </w:r>
          </w:p>
        </w:tc>
      </w:tr>
      <w:tr w:rsidR="007A18F5" w:rsidRPr="00F061F9" w14:paraId="2C0045EE" w14:textId="77777777" w:rsidTr="006A545E">
        <w:tc>
          <w:tcPr>
            <w:tcW w:w="1560" w:type="dxa"/>
            <w:tcBorders>
              <w:top w:val="single" w:sz="4" w:space="0" w:color="497783" w:themeColor="accent1"/>
            </w:tcBorders>
          </w:tcPr>
          <w:p w14:paraId="1C772C78" w14:textId="77777777" w:rsidR="007A18F5" w:rsidRPr="00620B7E" w:rsidRDefault="007A18F5" w:rsidP="00620B7E">
            <w:pPr>
              <w:pStyle w:val="TableTextLeft"/>
              <w:rPr>
                <w:b/>
                <w:lang w:val="en-GB"/>
              </w:rPr>
            </w:pPr>
            <w:r w:rsidRPr="00620B7E">
              <w:rPr>
                <w:b/>
                <w:lang w:val="en-GB"/>
              </w:rPr>
              <w:t>XRB</w:t>
            </w:r>
          </w:p>
        </w:tc>
        <w:tc>
          <w:tcPr>
            <w:tcW w:w="7456" w:type="dxa"/>
            <w:tcBorders>
              <w:top w:val="single" w:sz="4" w:space="0" w:color="497783" w:themeColor="accent1"/>
            </w:tcBorders>
          </w:tcPr>
          <w:p w14:paraId="22F1A980" w14:textId="77777777" w:rsidR="007A18F5" w:rsidRPr="00620B7E" w:rsidRDefault="007A18F5" w:rsidP="00620B7E">
            <w:pPr>
              <w:pStyle w:val="TableTextLeft"/>
            </w:pPr>
            <w:r w:rsidRPr="00620B7E">
              <w:t>External Reporting Board of New Zealand</w:t>
            </w:r>
          </w:p>
        </w:tc>
      </w:tr>
    </w:tbl>
    <w:p w14:paraId="7A7682CB" w14:textId="54B73D10" w:rsidR="00AE2926" w:rsidRPr="00BF010E" w:rsidRDefault="00AE2926" w:rsidP="00620B7E">
      <w:pPr>
        <w:rPr>
          <w:lang w:val="en-GB"/>
        </w:rPr>
      </w:pPr>
    </w:p>
    <w:sectPr w:rsidR="00AE2926" w:rsidRPr="00BF010E" w:rsidSect="005E5EE1">
      <w:type w:val="continuous"/>
      <w:pgSz w:w="11906" w:h="16838" w:code="9"/>
      <w:pgMar w:top="1843"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23EF9" w14:textId="77777777" w:rsidR="00B3373A" w:rsidRDefault="00B3373A" w:rsidP="00F50B02">
      <w:r>
        <w:separator/>
      </w:r>
    </w:p>
  </w:endnote>
  <w:endnote w:type="continuationSeparator" w:id="0">
    <w:p w14:paraId="3AB2D7C3" w14:textId="77777777" w:rsidR="00B3373A" w:rsidRDefault="00B3373A" w:rsidP="00F50B02">
      <w:r>
        <w:continuationSeparator/>
      </w:r>
    </w:p>
  </w:endnote>
  <w:endnote w:type="continuationNotice" w:id="1">
    <w:p w14:paraId="3EA070A3" w14:textId="77777777" w:rsidR="00B3373A" w:rsidRDefault="00B337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Math"/>
    <w:charset w:val="00"/>
    <w:family w:val="roman"/>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ource Sans Pro Light">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3A62" w14:textId="61E13C54" w:rsidR="007867F6" w:rsidRPr="00EF03E1" w:rsidRDefault="007867F6" w:rsidP="00EF03E1">
    <w:pPr>
      <w:pStyle w:val="FooterEven"/>
      <w:tabs>
        <w:tab w:val="center" w:pos="9072"/>
      </w:tabs>
      <w:jc w:val="right"/>
    </w:pPr>
    <w:r w:rsidRPr="00742366">
      <w:drawing>
        <wp:anchor distT="0" distB="0" distL="114300" distR="114300" simplePos="0" relativeHeight="251668483" behindDoc="1" locked="1" layoutInCell="1" allowOverlap="1" wp14:anchorId="15ABC780" wp14:editId="325C7E91">
          <wp:simplePos x="0" y="0"/>
          <wp:positionH relativeFrom="margin">
            <wp:posOffset>5459095</wp:posOffset>
          </wp:positionH>
          <wp:positionV relativeFrom="page">
            <wp:posOffset>3280410</wp:posOffset>
          </wp:positionV>
          <wp:extent cx="7574280" cy="1043940"/>
          <wp:effectExtent l="7620" t="0" r="0" b="0"/>
          <wp:wrapNone/>
          <wp:docPr id="49258939" name="Picture 5" descr="Creative Co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58939" name="Picture 5" descr="Creative Comons logo"/>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position w:val="-10"/>
      </w:rPr>
      <w:fldChar w:fldCharType="begin"/>
    </w:r>
    <w:r>
      <w:rPr>
        <w:position w:val="-10"/>
      </w:rPr>
      <w:instrText xml:space="preserve"> TITLE  "Financial Reporting Council"  \* MERGEFORMAT </w:instrText>
    </w:r>
    <w:r>
      <w:rPr>
        <w:position w:val="-10"/>
      </w:rPr>
      <w:fldChar w:fldCharType="separate"/>
    </w:r>
    <w:r>
      <w:rPr>
        <w:position w:val="-10"/>
      </w:rPr>
      <w:t>Financial Reporting Council</w:t>
    </w:r>
    <w:r>
      <w:rPr>
        <w:position w:val="-10"/>
      </w:rPr>
      <w:fldChar w:fldCharType="end"/>
    </w:r>
    <w:r>
      <w:tab/>
    </w:r>
    <w:fldSimple w:instr=" STYLEREF  &quot;Heading 1&quot;  \* MERGEFORMAT ">
      <w:r w:rsidR="005E0D40">
        <w:t>Our past year</w:t>
      </w:r>
    </w:fldSimple>
    <w:r>
      <w:t xml:space="preserve"> | </w:t>
    </w:r>
    <w:r>
      <w:rPr>
        <w:noProof w:val="0"/>
      </w:rPr>
      <w:fldChar w:fldCharType="begin"/>
    </w:r>
    <w:r>
      <w:instrText xml:space="preserve"> PAGE   \* MERGEFORMAT </w:instrText>
    </w:r>
    <w:r>
      <w:rPr>
        <w:noProof w:val="0"/>
      </w:rPr>
      <w:fldChar w:fldCharType="separate"/>
    </w:r>
    <w:r>
      <w:rPr>
        <w:noProof w:val="0"/>
      </w:rPr>
      <w:t>1</w:t>
    </w:r>
    <w:r>
      <w:fldChar w:fldCharType="end"/>
    </w:r>
  </w:p>
  <w:p w14:paraId="04F1721F" w14:textId="77777777" w:rsidR="007867F6" w:rsidRDefault="007867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A1906" w14:textId="267D2BC8" w:rsidR="0016307B" w:rsidRPr="00EF03E1" w:rsidRDefault="0016307B" w:rsidP="0016307B">
    <w:pPr>
      <w:pStyle w:val="FooterEven"/>
      <w:tabs>
        <w:tab w:val="center" w:pos="9072"/>
      </w:tabs>
    </w:pPr>
    <w:r w:rsidRPr="00742366">
      <w:drawing>
        <wp:anchor distT="0" distB="0" distL="114300" distR="114300" simplePos="0" relativeHeight="251664387" behindDoc="1" locked="1" layoutInCell="1" allowOverlap="1" wp14:anchorId="1CBEF158" wp14:editId="6B630B92">
          <wp:simplePos x="0" y="0"/>
          <wp:positionH relativeFrom="margin">
            <wp:posOffset>5459095</wp:posOffset>
          </wp:positionH>
          <wp:positionV relativeFrom="page">
            <wp:posOffset>3280410</wp:posOffset>
          </wp:positionV>
          <wp:extent cx="7574280" cy="1043940"/>
          <wp:effectExtent l="7620" t="0" r="0" b="0"/>
          <wp:wrapNone/>
          <wp:docPr id="854122321"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122321"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position w:val="-10"/>
      </w:rPr>
      <w:fldChar w:fldCharType="begin"/>
    </w:r>
    <w:r>
      <w:rPr>
        <w:position w:val="-10"/>
      </w:rPr>
      <w:instrText xml:space="preserve"> TITLE  \* Caps  \* MERGEFORMAT </w:instrText>
    </w:r>
    <w:r>
      <w:rPr>
        <w:position w:val="-10"/>
      </w:rPr>
      <w:fldChar w:fldCharType="separate"/>
    </w:r>
    <w:r w:rsidR="007867F6">
      <w:rPr>
        <w:position w:val="-10"/>
      </w:rPr>
      <w:t>Financial Reporting Council</w:t>
    </w:r>
    <w:r>
      <w:rPr>
        <w:position w:val="-10"/>
      </w:rPr>
      <w:fldChar w:fldCharType="end"/>
    </w:r>
    <w:r>
      <w:tab/>
    </w:r>
    <w:fldSimple w:instr=" STYLEREF  &quot;Heading 1&quot;  \* MERGEFORMAT ">
      <w:r w:rsidR="005E0D40">
        <w:t>Oversight of Australian standard setting</w:t>
      </w:r>
    </w:fldSimple>
    <w:r>
      <w:t xml:space="preserve"> | </w:t>
    </w:r>
    <w:r>
      <w:rPr>
        <w:noProof w:val="0"/>
      </w:rPr>
      <w:fldChar w:fldCharType="begin"/>
    </w:r>
    <w:r>
      <w:instrText xml:space="preserve"> PAGE   \* MERGEFORMAT </w:instrText>
    </w:r>
    <w:r>
      <w:rPr>
        <w:noProof w:val="0"/>
      </w:rPr>
      <w:fldChar w:fldCharType="separate"/>
    </w:r>
    <w:r>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CC16" w14:textId="3C39CF9A" w:rsidR="007867F6" w:rsidRDefault="007867F6" w:rsidP="007867F6">
    <w:pPr>
      <w:pStyle w:val="FooterEven"/>
      <w:tabs>
        <w:tab w:val="center" w:pos="9072"/>
      </w:tabs>
      <w:jc w:val="right"/>
    </w:pPr>
    <w:r w:rsidRPr="00742366">
      <w:drawing>
        <wp:anchor distT="0" distB="0" distL="114300" distR="114300" simplePos="0" relativeHeight="251672579" behindDoc="1" locked="1" layoutInCell="1" allowOverlap="1" wp14:anchorId="2E12513A" wp14:editId="0FC2F2D1">
          <wp:simplePos x="0" y="0"/>
          <wp:positionH relativeFrom="margin">
            <wp:posOffset>5459095</wp:posOffset>
          </wp:positionH>
          <wp:positionV relativeFrom="page">
            <wp:posOffset>3280410</wp:posOffset>
          </wp:positionV>
          <wp:extent cx="7574280" cy="1043940"/>
          <wp:effectExtent l="7620" t="0" r="0" b="0"/>
          <wp:wrapNone/>
          <wp:docPr id="19766981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fldSimple w:instr=" TITLE   \* MERGEFORMAT ">
      <w:r>
        <w:t>Financial Reporting Council</w:t>
      </w:r>
    </w:fldSimple>
    <w:r>
      <w:tab/>
    </w:r>
    <w:fldSimple w:instr=" STYLEREF  &quot;Heading 1&quot;  \* MERGEFORMAT ">
      <w:r>
        <w:t>Our past year</w:t>
      </w:r>
    </w:fldSimple>
    <w:r>
      <w:t xml:space="preserve"> | </w:t>
    </w:r>
    <w:r>
      <w:rPr>
        <w:noProof w:val="0"/>
      </w:rPr>
      <w:fldChar w:fldCharType="begin"/>
    </w:r>
    <w:r>
      <w:instrText xml:space="preserve"> PAGE   \* MERGEFORMAT </w:instrText>
    </w:r>
    <w:r>
      <w:rPr>
        <w:noProof w:val="0"/>
      </w:rPr>
      <w:fldChar w:fldCharType="separate"/>
    </w:r>
    <w:r>
      <w:rPr>
        <w:noProof w:val="0"/>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BDC7E" w14:textId="3F4504DC" w:rsidR="00DB737F" w:rsidRPr="00DB737F" w:rsidRDefault="00DB737F" w:rsidP="00DB73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F57D2" w14:textId="2B4DD58A" w:rsidR="00DB737F" w:rsidRPr="00DB737F" w:rsidRDefault="00DB737F" w:rsidP="007867F6">
    <w:pPr>
      <w:pStyle w:val="FooterEven"/>
      <w:tabs>
        <w:tab w:val="center" w:pos="9072"/>
      </w:tabs>
      <w:jc w:val="right"/>
    </w:pPr>
    <w:r w:rsidRPr="00742366">
      <w:drawing>
        <wp:anchor distT="0" distB="0" distL="114300" distR="114300" simplePos="0" relativeHeight="251666435" behindDoc="1" locked="1" layoutInCell="1" allowOverlap="1" wp14:anchorId="08B9CBA7" wp14:editId="3F6FABF7">
          <wp:simplePos x="0" y="0"/>
          <wp:positionH relativeFrom="margin">
            <wp:posOffset>5459095</wp:posOffset>
          </wp:positionH>
          <wp:positionV relativeFrom="page">
            <wp:posOffset>3280410</wp:posOffset>
          </wp:positionV>
          <wp:extent cx="7574280" cy="1043940"/>
          <wp:effectExtent l="7620" t="0" r="0" b="0"/>
          <wp:wrapNone/>
          <wp:docPr id="1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fldSimple w:instr=" TITLE   \* MERGEFORMAT ">
      <w:r w:rsidR="007867F6">
        <w:t>Financial Reporting Council</w:t>
      </w:r>
    </w:fldSimple>
    <w:r>
      <w:tab/>
    </w:r>
    <w:fldSimple w:instr=" STYLEREF  &quot;Heading 1&quot;  \* MERGEFORMAT ">
      <w:r w:rsidR="00BE2A05">
        <w:t>Oversight of Australian standard setting</w:t>
      </w:r>
    </w:fldSimple>
    <w:r>
      <w:t xml:space="preserve"> | </w:t>
    </w:r>
    <w:r>
      <w:rPr>
        <w:noProof w:val="0"/>
      </w:rPr>
      <w:fldChar w:fldCharType="begin"/>
    </w:r>
    <w:r>
      <w:instrText xml:space="preserve"> PAGE   \* MERGEFORMAT </w:instrText>
    </w:r>
    <w:r>
      <w:rPr>
        <w:noProof w:val="0"/>
      </w:rPr>
      <w:fldChar w:fldCharType="separate"/>
    </w:r>
    <w:r>
      <w:rPr>
        <w:noProof w:val="0"/>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4B1B" w14:textId="0482E6BE" w:rsidR="007867F6" w:rsidRPr="00EF03E1" w:rsidRDefault="007867F6" w:rsidP="007867F6">
    <w:pPr>
      <w:pStyle w:val="FooterEven"/>
      <w:tabs>
        <w:tab w:val="center" w:pos="9072"/>
      </w:tabs>
    </w:pPr>
    <w:r w:rsidRPr="00742366">
      <w:drawing>
        <wp:anchor distT="0" distB="0" distL="114300" distR="114300" simplePos="0" relativeHeight="251670531" behindDoc="1" locked="1" layoutInCell="1" allowOverlap="1" wp14:anchorId="555B276B" wp14:editId="25042132">
          <wp:simplePos x="0" y="0"/>
          <wp:positionH relativeFrom="margin">
            <wp:posOffset>5459095</wp:posOffset>
          </wp:positionH>
          <wp:positionV relativeFrom="page">
            <wp:posOffset>3280410</wp:posOffset>
          </wp:positionV>
          <wp:extent cx="7574280" cy="1043940"/>
          <wp:effectExtent l="7620" t="0" r="0" b="0"/>
          <wp:wrapNone/>
          <wp:docPr id="2082600241"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122321"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position w:val="-10"/>
      </w:rPr>
      <w:fldChar w:fldCharType="begin"/>
    </w:r>
    <w:r>
      <w:rPr>
        <w:position w:val="-10"/>
      </w:rPr>
      <w:instrText xml:space="preserve"> TITLE  \* Caps  \* MERGEFORMAT </w:instrText>
    </w:r>
    <w:r>
      <w:rPr>
        <w:position w:val="-10"/>
      </w:rPr>
      <w:fldChar w:fldCharType="separate"/>
    </w:r>
    <w:r>
      <w:rPr>
        <w:position w:val="-10"/>
      </w:rPr>
      <w:t>Financial Reporting Council</w:t>
    </w:r>
    <w:r>
      <w:rPr>
        <w:position w:val="-10"/>
      </w:rPr>
      <w:fldChar w:fldCharType="end"/>
    </w:r>
    <w:r>
      <w:tab/>
    </w:r>
    <w:r>
      <w:fldChar w:fldCharType="begin"/>
    </w:r>
    <w:r>
      <w:instrText xml:space="preserve"> STYLEREF  "Heading 1"  \* MERGEFORMAT </w:instrText>
    </w:r>
    <w:r>
      <w:fldChar w:fldCharType="end"/>
    </w:r>
    <w:r>
      <w:t xml:space="preserve"> | </w:t>
    </w:r>
    <w:r>
      <w:rPr>
        <w:noProof w:val="0"/>
      </w:rPr>
      <w:fldChar w:fldCharType="begin"/>
    </w:r>
    <w:r>
      <w:instrText xml:space="preserve"> PAGE   \* MERGEFORMAT </w:instrText>
    </w:r>
    <w:r>
      <w:rPr>
        <w:noProof w:val="0"/>
      </w:rPr>
      <w:fldChar w:fldCharType="separate"/>
    </w:r>
    <w:r>
      <w:t>19</w:t>
    </w:r>
    <w:r>
      <w:fldChar w:fldCharType="end"/>
    </w:r>
  </w:p>
  <w:p w14:paraId="6F24BF76" w14:textId="53A6E97C" w:rsidR="00C67571" w:rsidRPr="007867F6" w:rsidRDefault="00C67571" w:rsidP="00786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9C179" w14:textId="77777777" w:rsidR="00B3373A" w:rsidRDefault="00B3373A" w:rsidP="00F50B02">
      <w:r>
        <w:separator/>
      </w:r>
    </w:p>
  </w:footnote>
  <w:footnote w:type="continuationSeparator" w:id="0">
    <w:p w14:paraId="0B10B962" w14:textId="77777777" w:rsidR="00B3373A" w:rsidRDefault="00B3373A" w:rsidP="00F50B02">
      <w:r>
        <w:continuationSeparator/>
      </w:r>
    </w:p>
  </w:footnote>
  <w:footnote w:type="continuationNotice" w:id="1">
    <w:p w14:paraId="16CC6D86" w14:textId="77777777" w:rsidR="00B3373A" w:rsidRDefault="00B3373A"/>
  </w:footnote>
  <w:footnote w:id="2">
    <w:p w14:paraId="4D0B9B0B" w14:textId="4C3898D1" w:rsidR="00C1151C" w:rsidRPr="00BE5272" w:rsidRDefault="00C1151C" w:rsidP="00BE5272">
      <w:pPr>
        <w:pStyle w:val="FootnoteText"/>
      </w:pPr>
      <w:r w:rsidRPr="00077FF0">
        <w:rPr>
          <w:rStyle w:val="FootnoteReference"/>
          <w:rFonts w:ascii="Source Sans Pro Light" w:hAnsi="Source Sans Pro Light" w:cs="Arial"/>
          <w:szCs w:val="18"/>
        </w:rPr>
        <w:footnoteRef/>
      </w:r>
      <w:r w:rsidR="00BE5272" w:rsidRPr="00BE5272">
        <w:tab/>
      </w:r>
      <w:r w:rsidRPr="00BE5272">
        <w:rPr>
          <w:rStyle w:val="FootnoteReference"/>
          <w:sz w:val="20"/>
        </w:rPr>
        <w:t xml:space="preserve">ASQM </w:t>
      </w:r>
      <w:r w:rsidRPr="00BE5272">
        <w:rPr>
          <w:rStyle w:val="FootnoteReference"/>
          <w:i/>
          <w:iCs/>
          <w:sz w:val="20"/>
        </w:rPr>
        <w:t xml:space="preserve">1 Quality Management for Firms that Perform Audits or Reviews of Financial Reports and Other </w:t>
      </w:r>
      <w:r w:rsidR="00BE5272" w:rsidRPr="00BE5272">
        <w:rPr>
          <w:rStyle w:val="FootnoteReference"/>
          <w:i/>
          <w:iCs/>
          <w:sz w:val="20"/>
        </w:rPr>
        <w:t xml:space="preserve"> </w:t>
      </w:r>
      <w:r w:rsidRPr="00BE5272">
        <w:rPr>
          <w:rStyle w:val="FootnoteReference"/>
          <w:i/>
          <w:iCs/>
          <w:sz w:val="20"/>
        </w:rPr>
        <w:t>Financial Information, or Other Assurance or Related Services Engagements</w:t>
      </w:r>
      <w:r w:rsidR="006C4EE0" w:rsidRPr="00BE5272">
        <w:rPr>
          <w:rStyle w:val="FootnoteReference"/>
          <w:sz w:val="20"/>
        </w:rPr>
        <w:t>.</w:t>
      </w:r>
    </w:p>
  </w:footnote>
  <w:footnote w:id="3">
    <w:p w14:paraId="5147C10C" w14:textId="58EFA309" w:rsidR="00C1151C" w:rsidRPr="00BE5272" w:rsidRDefault="00C1151C" w:rsidP="00BE5272">
      <w:pPr>
        <w:pStyle w:val="FootnoteText"/>
        <w:rPr>
          <w:rStyle w:val="FootnoteReference"/>
          <w:sz w:val="20"/>
        </w:rPr>
      </w:pPr>
      <w:r w:rsidRPr="00BE5272">
        <w:rPr>
          <w:rStyle w:val="FootnoteReference"/>
          <w:sz w:val="20"/>
        </w:rPr>
        <w:footnoteRef/>
      </w:r>
      <w:r w:rsidRPr="00BE5272">
        <w:rPr>
          <w:rStyle w:val="FootnoteReference"/>
          <w:sz w:val="20"/>
        </w:rPr>
        <w:t xml:space="preserve"> </w:t>
      </w:r>
      <w:r w:rsidR="00BE5272" w:rsidRPr="00BE5272">
        <w:tab/>
      </w:r>
      <w:r w:rsidRPr="00BE5272">
        <w:rPr>
          <w:rStyle w:val="FootnoteReference"/>
          <w:sz w:val="20"/>
        </w:rPr>
        <w:t xml:space="preserve">APES 320 </w:t>
      </w:r>
      <w:r w:rsidRPr="00BE5272">
        <w:rPr>
          <w:rStyle w:val="FootnoteReference"/>
          <w:i/>
          <w:iCs/>
          <w:sz w:val="20"/>
        </w:rPr>
        <w:t>Quality Management for Firms that provide Non-Assurance Services</w:t>
      </w:r>
      <w:r w:rsidR="006C4EE0" w:rsidRPr="00BE5272">
        <w:rPr>
          <w:rStyle w:val="FootnoteReference"/>
          <w:sz w:val="20"/>
        </w:rPr>
        <w:t>.</w:t>
      </w:r>
    </w:p>
  </w:footnote>
  <w:footnote w:id="4">
    <w:p w14:paraId="48C5D136" w14:textId="0E66103F" w:rsidR="00C1151C" w:rsidRPr="00D21BF0" w:rsidRDefault="00C1151C" w:rsidP="00BE5272">
      <w:pPr>
        <w:pStyle w:val="FootnoteText"/>
        <w:rPr>
          <w:rFonts w:ascii="Arial" w:hAnsi="Arial" w:cs="Arial"/>
          <w:szCs w:val="18"/>
        </w:rPr>
      </w:pPr>
      <w:r w:rsidRPr="00BE5272">
        <w:rPr>
          <w:rStyle w:val="FootnoteReference"/>
          <w:sz w:val="20"/>
        </w:rPr>
        <w:footnoteRef/>
      </w:r>
      <w:r w:rsidR="00BE5272" w:rsidRPr="00BE5272">
        <w:tab/>
      </w:r>
      <w:r w:rsidRPr="00BE5272">
        <w:rPr>
          <w:rStyle w:val="FootnoteReference"/>
          <w:sz w:val="20"/>
        </w:rPr>
        <w:t xml:space="preserve">APES 325 </w:t>
      </w:r>
      <w:r w:rsidRPr="00BE5272">
        <w:rPr>
          <w:rStyle w:val="FootnoteReference"/>
          <w:i/>
          <w:iCs/>
          <w:sz w:val="20"/>
        </w:rPr>
        <w:t>Risk Management for Firms</w:t>
      </w:r>
      <w:r w:rsidR="006C4EE0" w:rsidRPr="00BE5272">
        <w:rPr>
          <w:rStyle w:val="FootnoteReference"/>
          <w:sz w:val="20"/>
        </w:rPr>
        <w:t>.</w:t>
      </w:r>
    </w:p>
  </w:footnote>
  <w:footnote w:id="5">
    <w:p w14:paraId="4AF14C8D" w14:textId="16F80562" w:rsidR="00B96DA3" w:rsidRPr="00620B7E" w:rsidRDefault="00790A13" w:rsidP="00620B7E">
      <w:pPr>
        <w:pStyle w:val="FootnoteText"/>
      </w:pPr>
      <w:r w:rsidRPr="00620B7E">
        <w:rPr>
          <w:rStyle w:val="FootnoteReference"/>
          <w:sz w:val="20"/>
        </w:rPr>
        <w:footnoteRef/>
      </w:r>
      <w:r w:rsidR="00620B7E">
        <w:tab/>
      </w:r>
      <w:r w:rsidR="00BE12D8" w:rsidRPr="00620B7E">
        <w:t xml:space="preserve">Department of the </w:t>
      </w:r>
      <w:r w:rsidR="00A93B3D" w:rsidRPr="00620B7E">
        <w:t>Treasury</w:t>
      </w:r>
      <w:r w:rsidR="00BE12D8" w:rsidRPr="00620B7E">
        <w:t>,</w:t>
      </w:r>
      <w:r w:rsidR="00A93B3D" w:rsidRPr="00620B7E">
        <w:t xml:space="preserve"> </w:t>
      </w:r>
      <w:hyperlink r:id="rId1" w:history="1">
        <w:r w:rsidR="000F791B" w:rsidRPr="00620B7E">
          <w:rPr>
            <w:rStyle w:val="Hyperlink"/>
            <w:color w:val="auto"/>
            <w:u w:val="none"/>
          </w:rPr>
          <w:t>Treasury A</w:t>
        </w:r>
        <w:r w:rsidR="00A93B3D" w:rsidRPr="00620B7E">
          <w:rPr>
            <w:rStyle w:val="Hyperlink"/>
            <w:color w:val="auto"/>
            <w:u w:val="none"/>
          </w:rPr>
          <w:t>nnual Report</w:t>
        </w:r>
        <w:r w:rsidR="00067E09" w:rsidRPr="00620B7E">
          <w:rPr>
            <w:rStyle w:val="Hyperlink"/>
            <w:color w:val="auto"/>
            <w:u w:val="none"/>
          </w:rPr>
          <w:t xml:space="preserve"> </w:t>
        </w:r>
        <w:r w:rsidR="00176C7C" w:rsidRPr="00620B7E">
          <w:rPr>
            <w:rStyle w:val="Hyperlink"/>
            <w:color w:val="auto"/>
            <w:u w:val="none"/>
          </w:rPr>
          <w:t>202</w:t>
        </w:r>
        <w:r w:rsidR="00ED2285" w:rsidRPr="00620B7E">
          <w:rPr>
            <w:rStyle w:val="Hyperlink"/>
            <w:color w:val="auto"/>
            <w:u w:val="none"/>
          </w:rPr>
          <w:t>4</w:t>
        </w:r>
        <w:r w:rsidR="00176C7C" w:rsidRPr="00620B7E">
          <w:rPr>
            <w:rStyle w:val="Hyperlink"/>
            <w:color w:val="auto"/>
            <w:u w:val="none"/>
          </w:rPr>
          <w:t>–2</w:t>
        </w:r>
        <w:r w:rsidR="00ED2285" w:rsidRPr="00620B7E">
          <w:rPr>
            <w:rStyle w:val="Hyperlink"/>
            <w:color w:val="auto"/>
            <w:u w:val="none"/>
          </w:rPr>
          <w:t>5</w:t>
        </w:r>
      </w:hyperlink>
      <w:r w:rsidR="00067E09" w:rsidRPr="00620B7E">
        <w:t xml:space="preserve">, </w:t>
      </w:r>
      <w:r w:rsidR="00D76298" w:rsidRPr="00620B7E">
        <w:t xml:space="preserve">Part </w:t>
      </w:r>
      <w:r w:rsidR="00865B96" w:rsidRPr="00620B7E">
        <w:t>5</w:t>
      </w:r>
      <w:r w:rsidR="00D76298" w:rsidRPr="00620B7E">
        <w:t xml:space="preserve"> – </w:t>
      </w:r>
      <w:r w:rsidR="00067E09" w:rsidRPr="00620B7E">
        <w:t>Appendices</w:t>
      </w:r>
      <w:r w:rsidR="00C16E75" w:rsidRPr="00620B7E">
        <w:t>,</w:t>
      </w:r>
      <w:r w:rsidR="000F791B" w:rsidRPr="00620B7E">
        <w:t xml:space="preserve"> </w:t>
      </w:r>
      <w:r w:rsidR="00067E09" w:rsidRPr="00620B7E">
        <w:t>Ecologically sustainable</w:t>
      </w:r>
      <w:r w:rsidR="00620B7E">
        <w:t xml:space="preserve"> </w:t>
      </w:r>
      <w:r w:rsidR="004471C3" w:rsidRPr="00620B7E">
        <w:t>development and environmental performance</w:t>
      </w:r>
      <w:r w:rsidR="00BD0202" w:rsidRPr="00620B7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40285" w14:textId="333CEDD8" w:rsidR="00261713" w:rsidRDefault="002617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57C3E6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Logo&#10;&#10;Description automatically generated with medium confidence" style="width:103.1pt;height:15pt;visibility:visible;mso-wrap-style:square" o:bullet="t">
        <v:imagedata r:id="rId1" o:title="Logo&#10;&#10;Description automatically generated with medium confidence"/>
      </v:shape>
    </w:pict>
  </w:numPicBullet>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8211BC9"/>
    <w:multiLevelType w:val="multilevel"/>
    <w:tmpl w:val="6994E542"/>
    <w:lvl w:ilvl="0">
      <w:start w:val="1"/>
      <w:numFmt w:val="bullet"/>
      <w:lvlText w:val="o"/>
      <w:lvlJc w:val="left"/>
      <w:pPr>
        <w:tabs>
          <w:tab w:val="num" w:pos="1216"/>
        </w:tabs>
        <w:ind w:left="1216" w:hanging="496"/>
      </w:pPr>
      <w:rPr>
        <w:rFonts w:ascii="Courier New" w:hAnsi="Courier New" w:cs="Courier New" w:hint="default"/>
      </w:rPr>
    </w:lvl>
    <w:lvl w:ilvl="1">
      <w:start w:val="1"/>
      <w:numFmt w:val="bullet"/>
      <w:lvlText w:val="–"/>
      <w:lvlJc w:val="left"/>
      <w:pPr>
        <w:tabs>
          <w:tab w:val="num" w:pos="1712"/>
        </w:tabs>
        <w:ind w:left="1712" w:hanging="496"/>
      </w:pPr>
      <w:rPr>
        <w:rFonts w:ascii="Times New Roman" w:hAnsi="Times New Roman" w:cs="Times New Roman"/>
      </w:rPr>
    </w:lvl>
    <w:lvl w:ilvl="2">
      <w:start w:val="1"/>
      <w:numFmt w:val="bullet"/>
      <w:lvlText w:val=":"/>
      <w:lvlJc w:val="left"/>
      <w:pPr>
        <w:tabs>
          <w:tab w:val="num" w:pos="2208"/>
        </w:tabs>
        <w:ind w:left="2208" w:hanging="496"/>
      </w:pPr>
      <w:rPr>
        <w:rFonts w:ascii="Times New Roman" w:hAnsi="Times New Roman" w:cs="Times New Roman"/>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15:restartNumberingAfterBreak="0">
    <w:nsid w:val="08F259B6"/>
    <w:multiLevelType w:val="multilevel"/>
    <w:tmpl w:val="C12676F2"/>
    <w:name w:val="StandardBulletedList"/>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6" w15:restartNumberingAfterBreak="0">
    <w:nsid w:val="158D071C"/>
    <w:multiLevelType w:val="hybridMultilevel"/>
    <w:tmpl w:val="C3F2D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C41031"/>
    <w:multiLevelType w:val="multilevel"/>
    <w:tmpl w:val="6FA0AEC2"/>
    <w:lvl w:ilvl="0">
      <w:start w:val="1"/>
      <w:numFmt w:val="bullet"/>
      <w:lvlText w:val="o"/>
      <w:lvlJc w:val="left"/>
      <w:pPr>
        <w:tabs>
          <w:tab w:val="num" w:pos="567"/>
        </w:tabs>
        <w:ind w:left="567" w:hanging="283"/>
      </w:pPr>
      <w:rPr>
        <w:rFonts w:ascii="Courier New" w:hAnsi="Courier New" w:cs="Courier New" w:hint="default"/>
        <w:b w:val="0"/>
        <w:i w:val="0"/>
      </w:rPr>
    </w:lvl>
    <w:lvl w:ilvl="1">
      <w:start w:val="1"/>
      <w:numFmt w:val="bullet"/>
      <w:lvlText w:val="–"/>
      <w:lvlJc w:val="left"/>
      <w:pPr>
        <w:tabs>
          <w:tab w:val="num" w:pos="851"/>
        </w:tabs>
        <w:ind w:left="851" w:hanging="284"/>
      </w:pPr>
      <w:rPr>
        <w:rFonts w:ascii="Times New Roman" w:hAnsi="Times New Roman" w:cs="Times New Roman" w:hint="default"/>
        <w:b w:val="0"/>
        <w:i w:val="0"/>
      </w:rPr>
    </w:lvl>
    <w:lvl w:ilvl="2">
      <w:start w:val="1"/>
      <w:numFmt w:val="bullet"/>
      <w:lvlText w:val=":"/>
      <w:lvlJc w:val="left"/>
      <w:pPr>
        <w:tabs>
          <w:tab w:val="num" w:pos="1134"/>
        </w:tabs>
        <w:ind w:left="1134" w:hanging="283"/>
      </w:pPr>
      <w:rPr>
        <w:rFonts w:ascii="Times New Roman" w:hAnsi="Times New Roman" w:cs="Times New Roman" w:hint="default"/>
        <w:b w:val="0"/>
        <w:i w:val="0"/>
      </w:rPr>
    </w:lvl>
    <w:lvl w:ilvl="3">
      <w:start w:val="1"/>
      <w:numFmt w:val="decimal"/>
      <w:lvlText w:val="(%4)"/>
      <w:lvlJc w:val="left"/>
      <w:pPr>
        <w:tabs>
          <w:tab w:val="num" w:pos="1724"/>
        </w:tabs>
        <w:ind w:left="1724" w:hanging="360"/>
      </w:pPr>
      <w:rPr>
        <w:rFonts w:hint="default"/>
        <w:b w:val="0"/>
        <w:i w:val="0"/>
      </w:rPr>
    </w:lvl>
    <w:lvl w:ilvl="4">
      <w:start w:val="1"/>
      <w:numFmt w:val="lowerLetter"/>
      <w:lvlText w:val="(%5)"/>
      <w:lvlJc w:val="left"/>
      <w:pPr>
        <w:tabs>
          <w:tab w:val="num" w:pos="2084"/>
        </w:tabs>
        <w:ind w:left="2084" w:hanging="360"/>
      </w:pPr>
      <w:rPr>
        <w:rFonts w:hint="default"/>
        <w:b w:val="0"/>
        <w:i w:val="0"/>
      </w:rPr>
    </w:lvl>
    <w:lvl w:ilvl="5">
      <w:start w:val="1"/>
      <w:numFmt w:val="lowerRoman"/>
      <w:lvlText w:val="(%6)"/>
      <w:lvlJc w:val="left"/>
      <w:pPr>
        <w:tabs>
          <w:tab w:val="num" w:pos="2444"/>
        </w:tabs>
        <w:ind w:left="2444" w:hanging="360"/>
      </w:pPr>
      <w:rPr>
        <w:rFonts w:hint="default"/>
        <w:b w:val="0"/>
        <w:i w:val="0"/>
      </w:rPr>
    </w:lvl>
    <w:lvl w:ilvl="6">
      <w:start w:val="1"/>
      <w:numFmt w:val="decimal"/>
      <w:lvlText w:val="%7."/>
      <w:lvlJc w:val="left"/>
      <w:pPr>
        <w:tabs>
          <w:tab w:val="num" w:pos="2804"/>
        </w:tabs>
        <w:ind w:left="2804" w:hanging="360"/>
      </w:pPr>
      <w:rPr>
        <w:rFonts w:hint="default"/>
        <w:b w:val="0"/>
        <w:i w:val="0"/>
      </w:rPr>
    </w:lvl>
    <w:lvl w:ilvl="7">
      <w:start w:val="1"/>
      <w:numFmt w:val="lowerLetter"/>
      <w:lvlText w:val="%8."/>
      <w:lvlJc w:val="left"/>
      <w:pPr>
        <w:tabs>
          <w:tab w:val="num" w:pos="3164"/>
        </w:tabs>
        <w:ind w:left="3164" w:hanging="360"/>
      </w:pPr>
      <w:rPr>
        <w:rFonts w:hint="default"/>
        <w:b w:val="0"/>
        <w:i w:val="0"/>
      </w:rPr>
    </w:lvl>
    <w:lvl w:ilvl="8">
      <w:start w:val="1"/>
      <w:numFmt w:val="lowerRoman"/>
      <w:lvlText w:val="%9."/>
      <w:lvlJc w:val="left"/>
      <w:pPr>
        <w:tabs>
          <w:tab w:val="num" w:pos="3524"/>
        </w:tabs>
        <w:ind w:left="3524" w:hanging="360"/>
      </w:pPr>
      <w:rPr>
        <w:rFonts w:hint="default"/>
        <w:b w:val="0"/>
        <w:i w:val="0"/>
      </w:rPr>
    </w:lvl>
  </w:abstractNum>
  <w:abstractNum w:abstractNumId="8" w15:restartNumberingAfterBreak="0">
    <w:nsid w:val="16CC4E5D"/>
    <w:multiLevelType w:val="multilevel"/>
    <w:tmpl w:val="D10E9CF6"/>
    <w:numStyleLink w:val="OneLevelList"/>
  </w:abstractNum>
  <w:abstractNum w:abstractNumId="9"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C8E24FF"/>
    <w:multiLevelType w:val="multilevel"/>
    <w:tmpl w:val="894EE29C"/>
    <w:name w:val="StandardNumberedList"/>
    <w:lvl w:ilvl="0">
      <w:start w:val="1"/>
      <w:numFmt w:val="decimal"/>
      <w:lvlText w:val="%1."/>
      <w:lvlJc w:val="left"/>
      <w:pPr>
        <w:tabs>
          <w:tab w:val="num" w:pos="779"/>
        </w:tabs>
        <w:ind w:left="779" w:hanging="496"/>
      </w:pPr>
      <w:rPr>
        <w:b w:val="0"/>
        <w:bCs/>
      </w:rPr>
    </w:lvl>
    <w:lvl w:ilvl="1">
      <w:start w:val="1"/>
      <w:numFmt w:val="decimal"/>
      <w:lvlText w:val="%1.%2."/>
      <w:lvlJc w:val="left"/>
      <w:pPr>
        <w:tabs>
          <w:tab w:val="num" w:pos="992"/>
        </w:tabs>
        <w:ind w:left="992" w:hanging="496"/>
      </w:pPr>
    </w:lvl>
    <w:lvl w:ilvl="2">
      <w:start w:val="1"/>
      <w:numFmt w:val="decimal"/>
      <w:lvlText w:val="%1.%2.%3."/>
      <w:lvlJc w:val="left"/>
      <w:pPr>
        <w:tabs>
          <w:tab w:val="num" w:pos="1488"/>
        </w:tabs>
        <w:ind w:left="1488" w:hanging="49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2" w15:restartNumberingAfterBreak="0">
    <w:nsid w:val="24755A49"/>
    <w:multiLevelType w:val="multilevel"/>
    <w:tmpl w:val="2E108CA4"/>
    <w:styleLink w:val="ChartsandtableFootnoteAlphaBullets"/>
    <w:lvl w:ilvl="0">
      <w:start w:val="1"/>
      <w:numFmt w:val="bullet"/>
      <w:lvlText w:val="•"/>
      <w:lvlJc w:val="left"/>
      <w:pPr>
        <w:ind w:left="284" w:hanging="284"/>
      </w:pPr>
      <w:rPr>
        <w:rFonts w:asciiTheme="minorHAnsi" w:hAnsiTheme="minorHAnsi" w:cs="Times New Roman" w:hint="default"/>
        <w:sz w:val="18"/>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928" w:hanging="360"/>
      </w:pPr>
      <w:rPr>
        <w:rFonts w:ascii="Symbol" w:hAnsi="Symbo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3"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6" w15:restartNumberingAfterBreak="0">
    <w:nsid w:val="31EF577D"/>
    <w:multiLevelType w:val="hybridMultilevel"/>
    <w:tmpl w:val="49CA1762"/>
    <w:lvl w:ilvl="0" w:tplc="73E6BD10">
      <w:start w:val="1"/>
      <w:numFmt w:val="bullet"/>
      <w:lvlText w:val=""/>
      <w:lvlPicBulletId w:val="0"/>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57C04C0"/>
    <w:multiLevelType w:val="multilevel"/>
    <w:tmpl w:val="ABF091E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0" w15:restartNumberingAfterBreak="0">
    <w:nsid w:val="35AC411C"/>
    <w:multiLevelType w:val="multilevel"/>
    <w:tmpl w:val="2E108CA4"/>
    <w:numStyleLink w:val="ChartsandtableFootnoteAlphaBullets"/>
  </w:abstractNum>
  <w:abstractNum w:abstractNumId="21" w15:restartNumberingAfterBreak="0">
    <w:nsid w:val="40107349"/>
    <w:multiLevelType w:val="multilevel"/>
    <w:tmpl w:val="2E108CA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928" w:hanging="360"/>
      </w:pPr>
      <w:rPr>
        <w:rFonts w:ascii="Symbol" w:hAnsi="Symbo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2" w15:restartNumberingAfterBreak="0">
    <w:nsid w:val="41AB11CF"/>
    <w:multiLevelType w:val="hybridMultilevel"/>
    <w:tmpl w:val="DF229E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4413C30"/>
    <w:multiLevelType w:val="multilevel"/>
    <w:tmpl w:val="A082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5" w15:restartNumberingAfterBreak="0">
    <w:nsid w:val="5028565F"/>
    <w:multiLevelType w:val="hybridMultilevel"/>
    <w:tmpl w:val="8FC60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0D2021"/>
    <w:multiLevelType w:val="multilevel"/>
    <w:tmpl w:val="72F8140E"/>
    <w:numStyleLink w:val="OutlineList"/>
  </w:abstractNum>
  <w:abstractNum w:abstractNumId="27"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8165842"/>
    <w:multiLevelType w:val="multilevel"/>
    <w:tmpl w:val="38AA1BD6"/>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927" w:hanging="360"/>
      </w:pPr>
      <w:rPr>
        <w:rFonts w:ascii="Courier New" w:hAnsi="Courier New" w:hint="default"/>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0" w15:restartNumberingAfterBreak="0">
    <w:nsid w:val="6C181079"/>
    <w:multiLevelType w:val="multilevel"/>
    <w:tmpl w:val="29B216E8"/>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851"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1" w15:restartNumberingAfterBreak="0">
    <w:nsid w:val="767947FF"/>
    <w:multiLevelType w:val="hybridMultilevel"/>
    <w:tmpl w:val="906CFE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D6B5224"/>
    <w:multiLevelType w:val="multilevel"/>
    <w:tmpl w:val="91FE60A6"/>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5"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847064411">
    <w:abstractNumId w:val="2"/>
  </w:num>
  <w:num w:numId="2" w16cid:durableId="506554827">
    <w:abstractNumId w:val="23"/>
  </w:num>
  <w:num w:numId="3" w16cid:durableId="1773628790">
    <w:abstractNumId w:val="6"/>
  </w:num>
  <w:num w:numId="4" w16cid:durableId="1307050683">
    <w:abstractNumId w:val="31"/>
  </w:num>
  <w:num w:numId="5" w16cid:durableId="1509446909">
    <w:abstractNumId w:val="15"/>
  </w:num>
  <w:num w:numId="6" w16cid:durableId="230386874">
    <w:abstractNumId w:val="0"/>
  </w:num>
  <w:num w:numId="7" w16cid:durableId="929386739">
    <w:abstractNumId w:val="1"/>
  </w:num>
  <w:num w:numId="8" w16cid:durableId="2007052930">
    <w:abstractNumId w:val="19"/>
  </w:num>
  <w:num w:numId="9" w16cid:durableId="1459256639">
    <w:abstractNumId w:val="7"/>
  </w:num>
  <w:num w:numId="10" w16cid:durableId="890532382">
    <w:abstractNumId w:val="29"/>
  </w:num>
  <w:num w:numId="11" w16cid:durableId="1147892087">
    <w:abstractNumId w:val="22"/>
  </w:num>
  <w:num w:numId="12" w16cid:durableId="1754550055">
    <w:abstractNumId w:val="25"/>
  </w:num>
  <w:num w:numId="13" w16cid:durableId="1716855291">
    <w:abstractNumId w:val="18"/>
  </w:num>
  <w:num w:numId="14" w16cid:durableId="797724066">
    <w:abstractNumId w:val="4"/>
  </w:num>
  <w:num w:numId="15" w16cid:durableId="306596971">
    <w:abstractNumId w:val="26"/>
  </w:num>
  <w:num w:numId="16" w16cid:durableId="1739129519">
    <w:abstractNumId w:val="17"/>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7" w16cid:durableId="1043020558">
    <w:abstractNumId w:val="9"/>
  </w:num>
  <w:num w:numId="18" w16cid:durableId="832991063">
    <w:abstractNumId w:val="14"/>
  </w:num>
  <w:num w:numId="19" w16cid:durableId="143200778">
    <w:abstractNumId w:val="17"/>
  </w:num>
  <w:num w:numId="20" w16cid:durableId="1017973052">
    <w:abstractNumId w:val="5"/>
  </w:num>
  <w:num w:numId="21" w16cid:durableId="1534227257">
    <w:abstractNumId w:val="30"/>
  </w:num>
  <w:num w:numId="22" w16cid:durableId="12395609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9110180">
    <w:abstractNumId w:val="8"/>
  </w:num>
  <w:num w:numId="24" w16cid:durableId="1591279926">
    <w:abstractNumId w:val="3"/>
  </w:num>
  <w:num w:numId="25" w16cid:durableId="215508863">
    <w:abstractNumId w:val="34"/>
  </w:num>
  <w:num w:numId="26" w16cid:durableId="1757362042">
    <w:abstractNumId w:val="35"/>
  </w:num>
  <w:num w:numId="27" w16cid:durableId="353965158">
    <w:abstractNumId w:val="24"/>
  </w:num>
  <w:num w:numId="28" w16cid:durableId="77220001">
    <w:abstractNumId w:val="13"/>
  </w:num>
  <w:num w:numId="29" w16cid:durableId="626086807">
    <w:abstractNumId w:val="28"/>
  </w:num>
  <w:num w:numId="30" w16cid:durableId="2085910852">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96955640">
    <w:abstractNumId w:val="16"/>
  </w:num>
  <w:num w:numId="32" w16cid:durableId="525217854">
    <w:abstractNumId w:val="27"/>
  </w:num>
  <w:num w:numId="33" w16cid:durableId="17107575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98618205">
    <w:abstractNumId w:val="11"/>
  </w:num>
  <w:num w:numId="35" w16cid:durableId="37553539">
    <w:abstractNumId w:val="21"/>
  </w:num>
  <w:num w:numId="36" w16cid:durableId="1894735395">
    <w:abstractNumId w:val="12"/>
  </w:num>
  <w:num w:numId="37" w16cid:durableId="893276833">
    <w:abstractNumId w:val="20"/>
  </w:num>
  <w:num w:numId="38" w16cid:durableId="15861813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mirrorMargins/>
  <w:proofState w:spelling="clean" w:grammar="clean"/>
  <w:stylePaneSortMethod w:val="0000"/>
  <w:defaultTabStop w:val="720"/>
  <w:characterSpacingControl w:val="doNotCompress"/>
  <w:hdrShapeDefaults>
    <o:shapedefaults v:ext="edit" spidmax="194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429"/>
    <w:rsid w:val="000003DD"/>
    <w:rsid w:val="00000662"/>
    <w:rsid w:val="00000AFC"/>
    <w:rsid w:val="0000179B"/>
    <w:rsid w:val="00002037"/>
    <w:rsid w:val="00002345"/>
    <w:rsid w:val="00002AA5"/>
    <w:rsid w:val="00002E5E"/>
    <w:rsid w:val="00002F56"/>
    <w:rsid w:val="00002FD4"/>
    <w:rsid w:val="0000361C"/>
    <w:rsid w:val="00003A4B"/>
    <w:rsid w:val="00004487"/>
    <w:rsid w:val="00004522"/>
    <w:rsid w:val="000045F8"/>
    <w:rsid w:val="000047A9"/>
    <w:rsid w:val="00004803"/>
    <w:rsid w:val="000048E5"/>
    <w:rsid w:val="00005314"/>
    <w:rsid w:val="00005C7D"/>
    <w:rsid w:val="000060DD"/>
    <w:rsid w:val="00006250"/>
    <w:rsid w:val="000067DA"/>
    <w:rsid w:val="00007037"/>
    <w:rsid w:val="000076BE"/>
    <w:rsid w:val="00007844"/>
    <w:rsid w:val="00007D3F"/>
    <w:rsid w:val="000101F6"/>
    <w:rsid w:val="00010374"/>
    <w:rsid w:val="0001048A"/>
    <w:rsid w:val="00010B2B"/>
    <w:rsid w:val="00010BBF"/>
    <w:rsid w:val="00011943"/>
    <w:rsid w:val="00011D33"/>
    <w:rsid w:val="00011E6B"/>
    <w:rsid w:val="000122DD"/>
    <w:rsid w:val="000123B5"/>
    <w:rsid w:val="000126D1"/>
    <w:rsid w:val="00012778"/>
    <w:rsid w:val="0001295A"/>
    <w:rsid w:val="0001295F"/>
    <w:rsid w:val="00012AB0"/>
    <w:rsid w:val="00012ACA"/>
    <w:rsid w:val="00012C7A"/>
    <w:rsid w:val="00013451"/>
    <w:rsid w:val="00013D68"/>
    <w:rsid w:val="000144EC"/>
    <w:rsid w:val="00014771"/>
    <w:rsid w:val="000149C5"/>
    <w:rsid w:val="00014CC2"/>
    <w:rsid w:val="00014D95"/>
    <w:rsid w:val="00014E54"/>
    <w:rsid w:val="00015123"/>
    <w:rsid w:val="000157B0"/>
    <w:rsid w:val="00015DEF"/>
    <w:rsid w:val="00015E9A"/>
    <w:rsid w:val="0001670C"/>
    <w:rsid w:val="00017919"/>
    <w:rsid w:val="000179FD"/>
    <w:rsid w:val="00017D85"/>
    <w:rsid w:val="00020DBC"/>
    <w:rsid w:val="00020FB6"/>
    <w:rsid w:val="000210DA"/>
    <w:rsid w:val="000212B0"/>
    <w:rsid w:val="00021A1C"/>
    <w:rsid w:val="00022301"/>
    <w:rsid w:val="00022706"/>
    <w:rsid w:val="000235FF"/>
    <w:rsid w:val="00024206"/>
    <w:rsid w:val="0002439F"/>
    <w:rsid w:val="0002447D"/>
    <w:rsid w:val="00024945"/>
    <w:rsid w:val="000249A0"/>
    <w:rsid w:val="00024A30"/>
    <w:rsid w:val="00024C1A"/>
    <w:rsid w:val="00024D02"/>
    <w:rsid w:val="00024E1A"/>
    <w:rsid w:val="00025EB5"/>
    <w:rsid w:val="00025F9F"/>
    <w:rsid w:val="00027294"/>
    <w:rsid w:val="0002732E"/>
    <w:rsid w:val="0002798F"/>
    <w:rsid w:val="00027D58"/>
    <w:rsid w:val="00030037"/>
    <w:rsid w:val="0003008B"/>
    <w:rsid w:val="000302DD"/>
    <w:rsid w:val="000305A6"/>
    <w:rsid w:val="00030692"/>
    <w:rsid w:val="000308DF"/>
    <w:rsid w:val="00030F76"/>
    <w:rsid w:val="0003151B"/>
    <w:rsid w:val="00031A30"/>
    <w:rsid w:val="00031D59"/>
    <w:rsid w:val="00032680"/>
    <w:rsid w:val="00032695"/>
    <w:rsid w:val="00032D53"/>
    <w:rsid w:val="00032F94"/>
    <w:rsid w:val="0003324A"/>
    <w:rsid w:val="00033335"/>
    <w:rsid w:val="00033B5A"/>
    <w:rsid w:val="00033C1A"/>
    <w:rsid w:val="00033D4E"/>
    <w:rsid w:val="000345BE"/>
    <w:rsid w:val="00034A1B"/>
    <w:rsid w:val="00034C6E"/>
    <w:rsid w:val="00034CFA"/>
    <w:rsid w:val="000350DF"/>
    <w:rsid w:val="00035357"/>
    <w:rsid w:val="000354FD"/>
    <w:rsid w:val="00035744"/>
    <w:rsid w:val="00035B6D"/>
    <w:rsid w:val="00035D92"/>
    <w:rsid w:val="000368A3"/>
    <w:rsid w:val="00036B4D"/>
    <w:rsid w:val="0003794C"/>
    <w:rsid w:val="000379C5"/>
    <w:rsid w:val="00037A0E"/>
    <w:rsid w:val="00037E70"/>
    <w:rsid w:val="00037EF0"/>
    <w:rsid w:val="00040604"/>
    <w:rsid w:val="00040A81"/>
    <w:rsid w:val="00040CB9"/>
    <w:rsid w:val="00040FD8"/>
    <w:rsid w:val="0004103C"/>
    <w:rsid w:val="00041198"/>
    <w:rsid w:val="00041258"/>
    <w:rsid w:val="000412A6"/>
    <w:rsid w:val="000414A7"/>
    <w:rsid w:val="000414AC"/>
    <w:rsid w:val="000418E9"/>
    <w:rsid w:val="00041C2C"/>
    <w:rsid w:val="00041E0D"/>
    <w:rsid w:val="00041EFD"/>
    <w:rsid w:val="00042E92"/>
    <w:rsid w:val="00043062"/>
    <w:rsid w:val="000434BD"/>
    <w:rsid w:val="00043533"/>
    <w:rsid w:val="00043E62"/>
    <w:rsid w:val="00044667"/>
    <w:rsid w:val="000454C5"/>
    <w:rsid w:val="00045541"/>
    <w:rsid w:val="000455B4"/>
    <w:rsid w:val="00045972"/>
    <w:rsid w:val="00045C34"/>
    <w:rsid w:val="000460A9"/>
    <w:rsid w:val="00046133"/>
    <w:rsid w:val="000465B2"/>
    <w:rsid w:val="00046EF6"/>
    <w:rsid w:val="00047301"/>
    <w:rsid w:val="000476F1"/>
    <w:rsid w:val="00047D8A"/>
    <w:rsid w:val="000504BC"/>
    <w:rsid w:val="00050910"/>
    <w:rsid w:val="00050981"/>
    <w:rsid w:val="000509A9"/>
    <w:rsid w:val="00050FD2"/>
    <w:rsid w:val="00051085"/>
    <w:rsid w:val="00052194"/>
    <w:rsid w:val="00052322"/>
    <w:rsid w:val="000523C6"/>
    <w:rsid w:val="000529E1"/>
    <w:rsid w:val="00052BC0"/>
    <w:rsid w:val="00052D94"/>
    <w:rsid w:val="00052DCF"/>
    <w:rsid w:val="00053225"/>
    <w:rsid w:val="000532CD"/>
    <w:rsid w:val="000532F7"/>
    <w:rsid w:val="0005359E"/>
    <w:rsid w:val="00053C99"/>
    <w:rsid w:val="00054057"/>
    <w:rsid w:val="000542FF"/>
    <w:rsid w:val="00054384"/>
    <w:rsid w:val="00054515"/>
    <w:rsid w:val="000545B7"/>
    <w:rsid w:val="0005467A"/>
    <w:rsid w:val="00054756"/>
    <w:rsid w:val="00054A4D"/>
    <w:rsid w:val="00055044"/>
    <w:rsid w:val="00055643"/>
    <w:rsid w:val="00056223"/>
    <w:rsid w:val="000571C5"/>
    <w:rsid w:val="0005742E"/>
    <w:rsid w:val="0005744E"/>
    <w:rsid w:val="000575B9"/>
    <w:rsid w:val="0005770F"/>
    <w:rsid w:val="00057C1A"/>
    <w:rsid w:val="00057E0F"/>
    <w:rsid w:val="00057F4E"/>
    <w:rsid w:val="00057FDB"/>
    <w:rsid w:val="000605E9"/>
    <w:rsid w:val="0006197F"/>
    <w:rsid w:val="00062017"/>
    <w:rsid w:val="0006259A"/>
    <w:rsid w:val="000626DF"/>
    <w:rsid w:val="00062B6D"/>
    <w:rsid w:val="000645F2"/>
    <w:rsid w:val="000650A1"/>
    <w:rsid w:val="000655F6"/>
    <w:rsid w:val="00065C46"/>
    <w:rsid w:val="00065CA8"/>
    <w:rsid w:val="00065D9B"/>
    <w:rsid w:val="000660CD"/>
    <w:rsid w:val="00066627"/>
    <w:rsid w:val="00066AE8"/>
    <w:rsid w:val="00066D18"/>
    <w:rsid w:val="00066E9D"/>
    <w:rsid w:val="00067CE7"/>
    <w:rsid w:val="00067D5B"/>
    <w:rsid w:val="00067E09"/>
    <w:rsid w:val="00067F4F"/>
    <w:rsid w:val="00070605"/>
    <w:rsid w:val="000709AB"/>
    <w:rsid w:val="000713BD"/>
    <w:rsid w:val="000715AC"/>
    <w:rsid w:val="0007181B"/>
    <w:rsid w:val="0007192C"/>
    <w:rsid w:val="00071A7E"/>
    <w:rsid w:val="00072406"/>
    <w:rsid w:val="00072427"/>
    <w:rsid w:val="00072AD9"/>
    <w:rsid w:val="00072CB2"/>
    <w:rsid w:val="00072E1C"/>
    <w:rsid w:val="000732DB"/>
    <w:rsid w:val="000735FD"/>
    <w:rsid w:val="00073AEB"/>
    <w:rsid w:val="00073FB2"/>
    <w:rsid w:val="0007408E"/>
    <w:rsid w:val="00074694"/>
    <w:rsid w:val="0007472E"/>
    <w:rsid w:val="000748CC"/>
    <w:rsid w:val="00074923"/>
    <w:rsid w:val="00074934"/>
    <w:rsid w:val="00074CD9"/>
    <w:rsid w:val="00074DE0"/>
    <w:rsid w:val="0007539E"/>
    <w:rsid w:val="00075938"/>
    <w:rsid w:val="00075A3B"/>
    <w:rsid w:val="0007601A"/>
    <w:rsid w:val="0007608B"/>
    <w:rsid w:val="0007656A"/>
    <w:rsid w:val="00076775"/>
    <w:rsid w:val="00076A7C"/>
    <w:rsid w:val="0007793A"/>
    <w:rsid w:val="00077C17"/>
    <w:rsid w:val="00077CAD"/>
    <w:rsid w:val="00077FF0"/>
    <w:rsid w:val="0008081D"/>
    <w:rsid w:val="00080EC1"/>
    <w:rsid w:val="00081436"/>
    <w:rsid w:val="000814A0"/>
    <w:rsid w:val="000815A8"/>
    <w:rsid w:val="00082239"/>
    <w:rsid w:val="000825E9"/>
    <w:rsid w:val="00082C2F"/>
    <w:rsid w:val="00082C99"/>
    <w:rsid w:val="00082D33"/>
    <w:rsid w:val="00084037"/>
    <w:rsid w:val="000846CC"/>
    <w:rsid w:val="00084E1F"/>
    <w:rsid w:val="00084EEE"/>
    <w:rsid w:val="000850F1"/>
    <w:rsid w:val="000852BA"/>
    <w:rsid w:val="00085827"/>
    <w:rsid w:val="000858F0"/>
    <w:rsid w:val="00085ED6"/>
    <w:rsid w:val="00086206"/>
    <w:rsid w:val="00086BAF"/>
    <w:rsid w:val="00086CC9"/>
    <w:rsid w:val="00087555"/>
    <w:rsid w:val="000878F8"/>
    <w:rsid w:val="00087F56"/>
    <w:rsid w:val="000901F0"/>
    <w:rsid w:val="000904D8"/>
    <w:rsid w:val="000905FB"/>
    <w:rsid w:val="0009081D"/>
    <w:rsid w:val="000916C7"/>
    <w:rsid w:val="00091740"/>
    <w:rsid w:val="00091DF9"/>
    <w:rsid w:val="00092120"/>
    <w:rsid w:val="00092472"/>
    <w:rsid w:val="000925F1"/>
    <w:rsid w:val="00092F15"/>
    <w:rsid w:val="00093462"/>
    <w:rsid w:val="00093F27"/>
    <w:rsid w:val="00093FAF"/>
    <w:rsid w:val="00094267"/>
    <w:rsid w:val="00094C71"/>
    <w:rsid w:val="00094CA0"/>
    <w:rsid w:val="00094D3A"/>
    <w:rsid w:val="000955AE"/>
    <w:rsid w:val="000955EB"/>
    <w:rsid w:val="00095782"/>
    <w:rsid w:val="00095874"/>
    <w:rsid w:val="00095EF0"/>
    <w:rsid w:val="0009619D"/>
    <w:rsid w:val="00096C96"/>
    <w:rsid w:val="00096F46"/>
    <w:rsid w:val="00097372"/>
    <w:rsid w:val="00097674"/>
    <w:rsid w:val="00097BE0"/>
    <w:rsid w:val="00097D09"/>
    <w:rsid w:val="000A01B5"/>
    <w:rsid w:val="000A02B0"/>
    <w:rsid w:val="000A0420"/>
    <w:rsid w:val="000A1243"/>
    <w:rsid w:val="000A14CD"/>
    <w:rsid w:val="000A1600"/>
    <w:rsid w:val="000A166B"/>
    <w:rsid w:val="000A2347"/>
    <w:rsid w:val="000A26B9"/>
    <w:rsid w:val="000A2754"/>
    <w:rsid w:val="000A27A8"/>
    <w:rsid w:val="000A2BDD"/>
    <w:rsid w:val="000A2BF6"/>
    <w:rsid w:val="000A3218"/>
    <w:rsid w:val="000A3726"/>
    <w:rsid w:val="000A37AC"/>
    <w:rsid w:val="000A3A26"/>
    <w:rsid w:val="000A5413"/>
    <w:rsid w:val="000A5552"/>
    <w:rsid w:val="000A5A47"/>
    <w:rsid w:val="000A5CFE"/>
    <w:rsid w:val="000A5F0E"/>
    <w:rsid w:val="000A5FAB"/>
    <w:rsid w:val="000A6732"/>
    <w:rsid w:val="000A67CB"/>
    <w:rsid w:val="000A69FA"/>
    <w:rsid w:val="000A723B"/>
    <w:rsid w:val="000A7387"/>
    <w:rsid w:val="000A73FE"/>
    <w:rsid w:val="000A769C"/>
    <w:rsid w:val="000A780D"/>
    <w:rsid w:val="000B04B4"/>
    <w:rsid w:val="000B0A52"/>
    <w:rsid w:val="000B0B6F"/>
    <w:rsid w:val="000B0DA1"/>
    <w:rsid w:val="000B0E02"/>
    <w:rsid w:val="000B10B3"/>
    <w:rsid w:val="000B1635"/>
    <w:rsid w:val="000B1946"/>
    <w:rsid w:val="000B1974"/>
    <w:rsid w:val="000B260D"/>
    <w:rsid w:val="000B27BE"/>
    <w:rsid w:val="000B27F2"/>
    <w:rsid w:val="000B32EF"/>
    <w:rsid w:val="000B3A31"/>
    <w:rsid w:val="000B49A6"/>
    <w:rsid w:val="000B4D40"/>
    <w:rsid w:val="000B4E0F"/>
    <w:rsid w:val="000B51C7"/>
    <w:rsid w:val="000B546C"/>
    <w:rsid w:val="000B5499"/>
    <w:rsid w:val="000B5CAB"/>
    <w:rsid w:val="000B6124"/>
    <w:rsid w:val="000B62E1"/>
    <w:rsid w:val="000B649E"/>
    <w:rsid w:val="000B66A2"/>
    <w:rsid w:val="000B680B"/>
    <w:rsid w:val="000C0E94"/>
    <w:rsid w:val="000C17D3"/>
    <w:rsid w:val="000C1B5D"/>
    <w:rsid w:val="000C1CE8"/>
    <w:rsid w:val="000C2BE1"/>
    <w:rsid w:val="000C2C43"/>
    <w:rsid w:val="000C2D96"/>
    <w:rsid w:val="000C3421"/>
    <w:rsid w:val="000C3446"/>
    <w:rsid w:val="000C345C"/>
    <w:rsid w:val="000C480C"/>
    <w:rsid w:val="000C48D4"/>
    <w:rsid w:val="000C4ECE"/>
    <w:rsid w:val="000C541F"/>
    <w:rsid w:val="000C55A1"/>
    <w:rsid w:val="000C614B"/>
    <w:rsid w:val="000C6258"/>
    <w:rsid w:val="000C6B10"/>
    <w:rsid w:val="000C6E42"/>
    <w:rsid w:val="000C705C"/>
    <w:rsid w:val="000C744C"/>
    <w:rsid w:val="000C74A6"/>
    <w:rsid w:val="000C756F"/>
    <w:rsid w:val="000C7B0F"/>
    <w:rsid w:val="000C7B25"/>
    <w:rsid w:val="000C7DCF"/>
    <w:rsid w:val="000D0204"/>
    <w:rsid w:val="000D0B61"/>
    <w:rsid w:val="000D12B2"/>
    <w:rsid w:val="000D1B00"/>
    <w:rsid w:val="000D1EE6"/>
    <w:rsid w:val="000D1F0A"/>
    <w:rsid w:val="000D1F53"/>
    <w:rsid w:val="000D1F64"/>
    <w:rsid w:val="000D215D"/>
    <w:rsid w:val="000D25CB"/>
    <w:rsid w:val="000D3095"/>
    <w:rsid w:val="000D31E7"/>
    <w:rsid w:val="000D365F"/>
    <w:rsid w:val="000D372D"/>
    <w:rsid w:val="000D3907"/>
    <w:rsid w:val="000D4229"/>
    <w:rsid w:val="000D449B"/>
    <w:rsid w:val="000D4854"/>
    <w:rsid w:val="000D49D5"/>
    <w:rsid w:val="000D4B87"/>
    <w:rsid w:val="000D4C26"/>
    <w:rsid w:val="000D4ED6"/>
    <w:rsid w:val="000D5A92"/>
    <w:rsid w:val="000D5B57"/>
    <w:rsid w:val="000D5B6A"/>
    <w:rsid w:val="000D5CCE"/>
    <w:rsid w:val="000D5D55"/>
    <w:rsid w:val="000D66CA"/>
    <w:rsid w:val="000D6F5F"/>
    <w:rsid w:val="000D7376"/>
    <w:rsid w:val="000D75F9"/>
    <w:rsid w:val="000D76BD"/>
    <w:rsid w:val="000D788D"/>
    <w:rsid w:val="000D7BBA"/>
    <w:rsid w:val="000E013B"/>
    <w:rsid w:val="000E016D"/>
    <w:rsid w:val="000E13E6"/>
    <w:rsid w:val="000E15B0"/>
    <w:rsid w:val="000E16A0"/>
    <w:rsid w:val="000E1CD8"/>
    <w:rsid w:val="000E1F7D"/>
    <w:rsid w:val="000E1FF9"/>
    <w:rsid w:val="000E20B7"/>
    <w:rsid w:val="000E2704"/>
    <w:rsid w:val="000E2809"/>
    <w:rsid w:val="000E28EB"/>
    <w:rsid w:val="000E2917"/>
    <w:rsid w:val="000E2B36"/>
    <w:rsid w:val="000E2C2C"/>
    <w:rsid w:val="000E2F03"/>
    <w:rsid w:val="000E3570"/>
    <w:rsid w:val="000E382B"/>
    <w:rsid w:val="000E3BCF"/>
    <w:rsid w:val="000E42D6"/>
    <w:rsid w:val="000E4AD0"/>
    <w:rsid w:val="000E4F59"/>
    <w:rsid w:val="000E5324"/>
    <w:rsid w:val="000E5884"/>
    <w:rsid w:val="000E6354"/>
    <w:rsid w:val="000E64B6"/>
    <w:rsid w:val="000E6C83"/>
    <w:rsid w:val="000E7597"/>
    <w:rsid w:val="000E77E3"/>
    <w:rsid w:val="000E79C7"/>
    <w:rsid w:val="000E79D8"/>
    <w:rsid w:val="000E7BA7"/>
    <w:rsid w:val="000E7C01"/>
    <w:rsid w:val="000F048E"/>
    <w:rsid w:val="000F0541"/>
    <w:rsid w:val="000F0E55"/>
    <w:rsid w:val="000F0FCE"/>
    <w:rsid w:val="000F206A"/>
    <w:rsid w:val="000F2217"/>
    <w:rsid w:val="000F276E"/>
    <w:rsid w:val="000F3629"/>
    <w:rsid w:val="000F3CC4"/>
    <w:rsid w:val="000F3CDE"/>
    <w:rsid w:val="000F4543"/>
    <w:rsid w:val="000F4F37"/>
    <w:rsid w:val="000F52D2"/>
    <w:rsid w:val="000F54C5"/>
    <w:rsid w:val="000F5653"/>
    <w:rsid w:val="000F5883"/>
    <w:rsid w:val="000F60C2"/>
    <w:rsid w:val="000F6341"/>
    <w:rsid w:val="000F66C5"/>
    <w:rsid w:val="000F6C8B"/>
    <w:rsid w:val="000F71A5"/>
    <w:rsid w:val="000F72B4"/>
    <w:rsid w:val="000F7302"/>
    <w:rsid w:val="000F75C2"/>
    <w:rsid w:val="000F791B"/>
    <w:rsid w:val="000F7C1E"/>
    <w:rsid w:val="000F7DB2"/>
    <w:rsid w:val="00100016"/>
    <w:rsid w:val="0010020C"/>
    <w:rsid w:val="001006BF"/>
    <w:rsid w:val="00100C55"/>
    <w:rsid w:val="00100CC9"/>
    <w:rsid w:val="0010114F"/>
    <w:rsid w:val="001011BF"/>
    <w:rsid w:val="00101472"/>
    <w:rsid w:val="0010184C"/>
    <w:rsid w:val="00101CE7"/>
    <w:rsid w:val="00101F67"/>
    <w:rsid w:val="0010212B"/>
    <w:rsid w:val="001023B7"/>
    <w:rsid w:val="001025A7"/>
    <w:rsid w:val="001033D2"/>
    <w:rsid w:val="00103AE8"/>
    <w:rsid w:val="00103D61"/>
    <w:rsid w:val="00104178"/>
    <w:rsid w:val="00104C68"/>
    <w:rsid w:val="00104E3D"/>
    <w:rsid w:val="0010502F"/>
    <w:rsid w:val="0010572A"/>
    <w:rsid w:val="00105C3E"/>
    <w:rsid w:val="00105D46"/>
    <w:rsid w:val="00105D62"/>
    <w:rsid w:val="00105F32"/>
    <w:rsid w:val="001063B3"/>
    <w:rsid w:val="001066C5"/>
    <w:rsid w:val="00106C33"/>
    <w:rsid w:val="00106EC8"/>
    <w:rsid w:val="00107E27"/>
    <w:rsid w:val="00107F98"/>
    <w:rsid w:val="00107FB0"/>
    <w:rsid w:val="00110A6A"/>
    <w:rsid w:val="00111166"/>
    <w:rsid w:val="00111902"/>
    <w:rsid w:val="00112681"/>
    <w:rsid w:val="001128A4"/>
    <w:rsid w:val="00112911"/>
    <w:rsid w:val="001132C8"/>
    <w:rsid w:val="001136E0"/>
    <w:rsid w:val="0011378D"/>
    <w:rsid w:val="00113C55"/>
    <w:rsid w:val="00113D6A"/>
    <w:rsid w:val="00114217"/>
    <w:rsid w:val="00114285"/>
    <w:rsid w:val="00115297"/>
    <w:rsid w:val="00115345"/>
    <w:rsid w:val="00115479"/>
    <w:rsid w:val="00115657"/>
    <w:rsid w:val="001157FB"/>
    <w:rsid w:val="00115FB2"/>
    <w:rsid w:val="0011706C"/>
    <w:rsid w:val="001172DA"/>
    <w:rsid w:val="001173DA"/>
    <w:rsid w:val="00117AB6"/>
    <w:rsid w:val="00117D32"/>
    <w:rsid w:val="001203C2"/>
    <w:rsid w:val="00121328"/>
    <w:rsid w:val="00121624"/>
    <w:rsid w:val="00121B9A"/>
    <w:rsid w:val="001222B1"/>
    <w:rsid w:val="00122311"/>
    <w:rsid w:val="00122354"/>
    <w:rsid w:val="0012254F"/>
    <w:rsid w:val="00122BAD"/>
    <w:rsid w:val="00122CE3"/>
    <w:rsid w:val="00122EA3"/>
    <w:rsid w:val="00122F9A"/>
    <w:rsid w:val="001230E7"/>
    <w:rsid w:val="0012316B"/>
    <w:rsid w:val="00123CE1"/>
    <w:rsid w:val="00123DA2"/>
    <w:rsid w:val="00124267"/>
    <w:rsid w:val="001242B7"/>
    <w:rsid w:val="00124992"/>
    <w:rsid w:val="00124AF0"/>
    <w:rsid w:val="00124CE9"/>
    <w:rsid w:val="00124E03"/>
    <w:rsid w:val="00125823"/>
    <w:rsid w:val="001258B3"/>
    <w:rsid w:val="001258D6"/>
    <w:rsid w:val="00125E8F"/>
    <w:rsid w:val="0012675B"/>
    <w:rsid w:val="001267D6"/>
    <w:rsid w:val="00126CCB"/>
    <w:rsid w:val="00126D5C"/>
    <w:rsid w:val="00126FC0"/>
    <w:rsid w:val="00127189"/>
    <w:rsid w:val="001273CF"/>
    <w:rsid w:val="001275DD"/>
    <w:rsid w:val="001275E1"/>
    <w:rsid w:val="001302CE"/>
    <w:rsid w:val="0013067E"/>
    <w:rsid w:val="00130ABE"/>
    <w:rsid w:val="00130AE0"/>
    <w:rsid w:val="001313C2"/>
    <w:rsid w:val="001314CA"/>
    <w:rsid w:val="001315EA"/>
    <w:rsid w:val="00131987"/>
    <w:rsid w:val="001323A8"/>
    <w:rsid w:val="001327FE"/>
    <w:rsid w:val="00132998"/>
    <w:rsid w:val="00132C2C"/>
    <w:rsid w:val="00132E55"/>
    <w:rsid w:val="001331DE"/>
    <w:rsid w:val="00133476"/>
    <w:rsid w:val="00134B57"/>
    <w:rsid w:val="00134DB4"/>
    <w:rsid w:val="00135726"/>
    <w:rsid w:val="00135BA8"/>
    <w:rsid w:val="00135BEA"/>
    <w:rsid w:val="00135D12"/>
    <w:rsid w:val="00136B58"/>
    <w:rsid w:val="00137002"/>
    <w:rsid w:val="00137571"/>
    <w:rsid w:val="00137BCB"/>
    <w:rsid w:val="00137E42"/>
    <w:rsid w:val="0014022F"/>
    <w:rsid w:val="001409F2"/>
    <w:rsid w:val="00140E02"/>
    <w:rsid w:val="001416B0"/>
    <w:rsid w:val="001417C4"/>
    <w:rsid w:val="00141B61"/>
    <w:rsid w:val="00141BE2"/>
    <w:rsid w:val="00142BBA"/>
    <w:rsid w:val="001432DE"/>
    <w:rsid w:val="00143B6C"/>
    <w:rsid w:val="00143D81"/>
    <w:rsid w:val="0014505D"/>
    <w:rsid w:val="0014515E"/>
    <w:rsid w:val="00145BB0"/>
    <w:rsid w:val="00145BB5"/>
    <w:rsid w:val="00145D9A"/>
    <w:rsid w:val="00145E5B"/>
    <w:rsid w:val="00146B2E"/>
    <w:rsid w:val="00146EF1"/>
    <w:rsid w:val="00146F9A"/>
    <w:rsid w:val="0014727B"/>
    <w:rsid w:val="00147749"/>
    <w:rsid w:val="00147965"/>
    <w:rsid w:val="00147CE8"/>
    <w:rsid w:val="00151352"/>
    <w:rsid w:val="0015135F"/>
    <w:rsid w:val="001514FB"/>
    <w:rsid w:val="00151771"/>
    <w:rsid w:val="001519E8"/>
    <w:rsid w:val="00151D28"/>
    <w:rsid w:val="00151DDD"/>
    <w:rsid w:val="00151F98"/>
    <w:rsid w:val="00152AA6"/>
    <w:rsid w:val="00153154"/>
    <w:rsid w:val="001539B8"/>
    <w:rsid w:val="00153A85"/>
    <w:rsid w:val="00154547"/>
    <w:rsid w:val="00154BE6"/>
    <w:rsid w:val="0015539E"/>
    <w:rsid w:val="00155412"/>
    <w:rsid w:val="00155E67"/>
    <w:rsid w:val="00155FBD"/>
    <w:rsid w:val="00156331"/>
    <w:rsid w:val="001569AC"/>
    <w:rsid w:val="00156A62"/>
    <w:rsid w:val="00156E78"/>
    <w:rsid w:val="00156E7D"/>
    <w:rsid w:val="0015700B"/>
    <w:rsid w:val="0015745A"/>
    <w:rsid w:val="001577EE"/>
    <w:rsid w:val="00157FF6"/>
    <w:rsid w:val="001605FA"/>
    <w:rsid w:val="00160EB3"/>
    <w:rsid w:val="00160FC4"/>
    <w:rsid w:val="00161078"/>
    <w:rsid w:val="001610DF"/>
    <w:rsid w:val="00161111"/>
    <w:rsid w:val="00162233"/>
    <w:rsid w:val="0016290E"/>
    <w:rsid w:val="00162E53"/>
    <w:rsid w:val="00162F16"/>
    <w:rsid w:val="00162FBF"/>
    <w:rsid w:val="0016307B"/>
    <w:rsid w:val="001638FB"/>
    <w:rsid w:val="00164772"/>
    <w:rsid w:val="00164A9C"/>
    <w:rsid w:val="00164D13"/>
    <w:rsid w:val="00164FE0"/>
    <w:rsid w:val="00165783"/>
    <w:rsid w:val="0016633E"/>
    <w:rsid w:val="00166C86"/>
    <w:rsid w:val="00167657"/>
    <w:rsid w:val="001676BD"/>
    <w:rsid w:val="001678F2"/>
    <w:rsid w:val="001706BC"/>
    <w:rsid w:val="00170818"/>
    <w:rsid w:val="001708CF"/>
    <w:rsid w:val="00170D6A"/>
    <w:rsid w:val="001712D9"/>
    <w:rsid w:val="00171920"/>
    <w:rsid w:val="00171D4F"/>
    <w:rsid w:val="00171EC7"/>
    <w:rsid w:val="00171F9A"/>
    <w:rsid w:val="001720A0"/>
    <w:rsid w:val="0017274A"/>
    <w:rsid w:val="001728A6"/>
    <w:rsid w:val="00172D5F"/>
    <w:rsid w:val="00172FC2"/>
    <w:rsid w:val="001735CC"/>
    <w:rsid w:val="00173924"/>
    <w:rsid w:val="001747AB"/>
    <w:rsid w:val="00174929"/>
    <w:rsid w:val="00174F9B"/>
    <w:rsid w:val="0017507C"/>
    <w:rsid w:val="001752D4"/>
    <w:rsid w:val="00175308"/>
    <w:rsid w:val="00175534"/>
    <w:rsid w:val="00175654"/>
    <w:rsid w:val="00175733"/>
    <w:rsid w:val="00175A58"/>
    <w:rsid w:val="00175B37"/>
    <w:rsid w:val="00175C43"/>
    <w:rsid w:val="00175E57"/>
    <w:rsid w:val="00175F28"/>
    <w:rsid w:val="00175F3F"/>
    <w:rsid w:val="00176192"/>
    <w:rsid w:val="00176555"/>
    <w:rsid w:val="00176C7C"/>
    <w:rsid w:val="00176DF5"/>
    <w:rsid w:val="00177001"/>
    <w:rsid w:val="0017767F"/>
    <w:rsid w:val="00177E3D"/>
    <w:rsid w:val="00180480"/>
    <w:rsid w:val="0018048E"/>
    <w:rsid w:val="001806FB"/>
    <w:rsid w:val="00180923"/>
    <w:rsid w:val="001813AC"/>
    <w:rsid w:val="00181575"/>
    <w:rsid w:val="00181D4C"/>
    <w:rsid w:val="001820BE"/>
    <w:rsid w:val="0018257F"/>
    <w:rsid w:val="00182670"/>
    <w:rsid w:val="00182AA4"/>
    <w:rsid w:val="00183B7E"/>
    <w:rsid w:val="00183C39"/>
    <w:rsid w:val="00183EEE"/>
    <w:rsid w:val="001847EC"/>
    <w:rsid w:val="0018488E"/>
    <w:rsid w:val="00184A1E"/>
    <w:rsid w:val="00184AA6"/>
    <w:rsid w:val="00184BD4"/>
    <w:rsid w:val="00184FC2"/>
    <w:rsid w:val="001850DB"/>
    <w:rsid w:val="001851F5"/>
    <w:rsid w:val="00185333"/>
    <w:rsid w:val="001853BE"/>
    <w:rsid w:val="0018570F"/>
    <w:rsid w:val="001857D8"/>
    <w:rsid w:val="00185CED"/>
    <w:rsid w:val="001863A9"/>
    <w:rsid w:val="00186AC9"/>
    <w:rsid w:val="00186D95"/>
    <w:rsid w:val="001871C2"/>
    <w:rsid w:val="00187755"/>
    <w:rsid w:val="00187FB2"/>
    <w:rsid w:val="00190024"/>
    <w:rsid w:val="0019016F"/>
    <w:rsid w:val="001907A0"/>
    <w:rsid w:val="0019092B"/>
    <w:rsid w:val="00190C53"/>
    <w:rsid w:val="00190FEF"/>
    <w:rsid w:val="0019102C"/>
    <w:rsid w:val="0019120E"/>
    <w:rsid w:val="00191AF7"/>
    <w:rsid w:val="00191E4E"/>
    <w:rsid w:val="0019246D"/>
    <w:rsid w:val="001926E3"/>
    <w:rsid w:val="00192DDA"/>
    <w:rsid w:val="0019312B"/>
    <w:rsid w:val="00193814"/>
    <w:rsid w:val="00193CFC"/>
    <w:rsid w:val="00193DCB"/>
    <w:rsid w:val="00193EF4"/>
    <w:rsid w:val="001940A3"/>
    <w:rsid w:val="001941DA"/>
    <w:rsid w:val="0019470A"/>
    <w:rsid w:val="001947CB"/>
    <w:rsid w:val="00194A08"/>
    <w:rsid w:val="00194A84"/>
    <w:rsid w:val="00194F11"/>
    <w:rsid w:val="00194F8C"/>
    <w:rsid w:val="00195319"/>
    <w:rsid w:val="001953ED"/>
    <w:rsid w:val="0019608F"/>
    <w:rsid w:val="001964B9"/>
    <w:rsid w:val="00196A30"/>
    <w:rsid w:val="0019724F"/>
    <w:rsid w:val="00197E29"/>
    <w:rsid w:val="001A0465"/>
    <w:rsid w:val="001A04F3"/>
    <w:rsid w:val="001A0AA0"/>
    <w:rsid w:val="001A1012"/>
    <w:rsid w:val="001A140F"/>
    <w:rsid w:val="001A27CB"/>
    <w:rsid w:val="001A2B52"/>
    <w:rsid w:val="001A2B7D"/>
    <w:rsid w:val="001A2C37"/>
    <w:rsid w:val="001A36FB"/>
    <w:rsid w:val="001A3A6C"/>
    <w:rsid w:val="001A3CEC"/>
    <w:rsid w:val="001A4860"/>
    <w:rsid w:val="001A494F"/>
    <w:rsid w:val="001A576D"/>
    <w:rsid w:val="001A57B3"/>
    <w:rsid w:val="001A5825"/>
    <w:rsid w:val="001A5CE8"/>
    <w:rsid w:val="001A6B0A"/>
    <w:rsid w:val="001A7117"/>
    <w:rsid w:val="001A7A75"/>
    <w:rsid w:val="001A7ECB"/>
    <w:rsid w:val="001A7FEE"/>
    <w:rsid w:val="001B065E"/>
    <w:rsid w:val="001B0AEE"/>
    <w:rsid w:val="001B0DA6"/>
    <w:rsid w:val="001B0F4E"/>
    <w:rsid w:val="001B12EB"/>
    <w:rsid w:val="001B17A2"/>
    <w:rsid w:val="001B1B52"/>
    <w:rsid w:val="001B1F22"/>
    <w:rsid w:val="001B23F2"/>
    <w:rsid w:val="001B24E5"/>
    <w:rsid w:val="001B29EA"/>
    <w:rsid w:val="001B2D63"/>
    <w:rsid w:val="001B3F30"/>
    <w:rsid w:val="001B3FBC"/>
    <w:rsid w:val="001B56DA"/>
    <w:rsid w:val="001B595B"/>
    <w:rsid w:val="001B59A5"/>
    <w:rsid w:val="001B5A21"/>
    <w:rsid w:val="001B6287"/>
    <w:rsid w:val="001B62B5"/>
    <w:rsid w:val="001B741E"/>
    <w:rsid w:val="001B7D9C"/>
    <w:rsid w:val="001C0CE9"/>
    <w:rsid w:val="001C1E18"/>
    <w:rsid w:val="001C26CD"/>
    <w:rsid w:val="001C27D4"/>
    <w:rsid w:val="001C2E89"/>
    <w:rsid w:val="001C2EE2"/>
    <w:rsid w:val="001C31CF"/>
    <w:rsid w:val="001C3C20"/>
    <w:rsid w:val="001C3F3B"/>
    <w:rsid w:val="001C400F"/>
    <w:rsid w:val="001C4034"/>
    <w:rsid w:val="001C414D"/>
    <w:rsid w:val="001C4C18"/>
    <w:rsid w:val="001C4E73"/>
    <w:rsid w:val="001C5802"/>
    <w:rsid w:val="001C6261"/>
    <w:rsid w:val="001C6587"/>
    <w:rsid w:val="001C66C3"/>
    <w:rsid w:val="001C6B90"/>
    <w:rsid w:val="001C6C8F"/>
    <w:rsid w:val="001C6CB7"/>
    <w:rsid w:val="001C6FDB"/>
    <w:rsid w:val="001C7088"/>
    <w:rsid w:val="001C764B"/>
    <w:rsid w:val="001D04FE"/>
    <w:rsid w:val="001D12E1"/>
    <w:rsid w:val="001D15B4"/>
    <w:rsid w:val="001D1BBF"/>
    <w:rsid w:val="001D1F31"/>
    <w:rsid w:val="001D2045"/>
    <w:rsid w:val="001D25FC"/>
    <w:rsid w:val="001D2A3F"/>
    <w:rsid w:val="001D2B2E"/>
    <w:rsid w:val="001D2EA7"/>
    <w:rsid w:val="001D4056"/>
    <w:rsid w:val="001D477F"/>
    <w:rsid w:val="001D5A59"/>
    <w:rsid w:val="001D605A"/>
    <w:rsid w:val="001D60E8"/>
    <w:rsid w:val="001D6C53"/>
    <w:rsid w:val="001D73F3"/>
    <w:rsid w:val="001D7BAE"/>
    <w:rsid w:val="001D7BD3"/>
    <w:rsid w:val="001E015E"/>
    <w:rsid w:val="001E02B8"/>
    <w:rsid w:val="001E077C"/>
    <w:rsid w:val="001E1018"/>
    <w:rsid w:val="001E1630"/>
    <w:rsid w:val="001E1F99"/>
    <w:rsid w:val="001E1FCC"/>
    <w:rsid w:val="001E238E"/>
    <w:rsid w:val="001E250E"/>
    <w:rsid w:val="001E26C4"/>
    <w:rsid w:val="001E2A7E"/>
    <w:rsid w:val="001E2B5F"/>
    <w:rsid w:val="001E2F52"/>
    <w:rsid w:val="001E2FC3"/>
    <w:rsid w:val="001E33B7"/>
    <w:rsid w:val="001E3422"/>
    <w:rsid w:val="001E367C"/>
    <w:rsid w:val="001E3F55"/>
    <w:rsid w:val="001E4150"/>
    <w:rsid w:val="001E436B"/>
    <w:rsid w:val="001E4AD4"/>
    <w:rsid w:val="001E4B6F"/>
    <w:rsid w:val="001E4CCB"/>
    <w:rsid w:val="001E515A"/>
    <w:rsid w:val="001E60E3"/>
    <w:rsid w:val="001E6210"/>
    <w:rsid w:val="001E6745"/>
    <w:rsid w:val="001E691E"/>
    <w:rsid w:val="001E707A"/>
    <w:rsid w:val="001E71A5"/>
    <w:rsid w:val="001E71EB"/>
    <w:rsid w:val="001E7284"/>
    <w:rsid w:val="001E7A11"/>
    <w:rsid w:val="001E7A47"/>
    <w:rsid w:val="001E7A72"/>
    <w:rsid w:val="001E7ABA"/>
    <w:rsid w:val="001E7BA8"/>
    <w:rsid w:val="001E7C32"/>
    <w:rsid w:val="001E7F20"/>
    <w:rsid w:val="001F05BD"/>
    <w:rsid w:val="001F05C5"/>
    <w:rsid w:val="001F0CE9"/>
    <w:rsid w:val="001F0D43"/>
    <w:rsid w:val="001F0ED9"/>
    <w:rsid w:val="001F1766"/>
    <w:rsid w:val="001F41BE"/>
    <w:rsid w:val="001F41C7"/>
    <w:rsid w:val="001F41F0"/>
    <w:rsid w:val="001F4546"/>
    <w:rsid w:val="001F4921"/>
    <w:rsid w:val="001F4E9D"/>
    <w:rsid w:val="001F56AB"/>
    <w:rsid w:val="001F62C5"/>
    <w:rsid w:val="001F798F"/>
    <w:rsid w:val="001F7D02"/>
    <w:rsid w:val="001F7DB0"/>
    <w:rsid w:val="002004E8"/>
    <w:rsid w:val="00200917"/>
    <w:rsid w:val="00200B8F"/>
    <w:rsid w:val="00200EE7"/>
    <w:rsid w:val="002012CF"/>
    <w:rsid w:val="002016B4"/>
    <w:rsid w:val="00201910"/>
    <w:rsid w:val="00201E0E"/>
    <w:rsid w:val="00202C54"/>
    <w:rsid w:val="00202EC7"/>
    <w:rsid w:val="00202F27"/>
    <w:rsid w:val="0020347F"/>
    <w:rsid w:val="0020389A"/>
    <w:rsid w:val="002038E9"/>
    <w:rsid w:val="00203A68"/>
    <w:rsid w:val="00204128"/>
    <w:rsid w:val="002043D6"/>
    <w:rsid w:val="0020578B"/>
    <w:rsid w:val="002062BF"/>
    <w:rsid w:val="00206365"/>
    <w:rsid w:val="002066AD"/>
    <w:rsid w:val="002067D2"/>
    <w:rsid w:val="0020698C"/>
    <w:rsid w:val="002070C1"/>
    <w:rsid w:val="002071BF"/>
    <w:rsid w:val="00207538"/>
    <w:rsid w:val="00207D0E"/>
    <w:rsid w:val="00210329"/>
    <w:rsid w:val="002106B6"/>
    <w:rsid w:val="0021074B"/>
    <w:rsid w:val="00210A18"/>
    <w:rsid w:val="00210B33"/>
    <w:rsid w:val="00210EB1"/>
    <w:rsid w:val="00211612"/>
    <w:rsid w:val="00211CA7"/>
    <w:rsid w:val="00212356"/>
    <w:rsid w:val="00212B22"/>
    <w:rsid w:val="002133E7"/>
    <w:rsid w:val="002139C3"/>
    <w:rsid w:val="00213AAB"/>
    <w:rsid w:val="00213ADC"/>
    <w:rsid w:val="0021402C"/>
    <w:rsid w:val="002142F2"/>
    <w:rsid w:val="00214507"/>
    <w:rsid w:val="00214C13"/>
    <w:rsid w:val="00214E1D"/>
    <w:rsid w:val="00215507"/>
    <w:rsid w:val="0021555F"/>
    <w:rsid w:val="00215C4F"/>
    <w:rsid w:val="0021618F"/>
    <w:rsid w:val="00216A41"/>
    <w:rsid w:val="00216C9C"/>
    <w:rsid w:val="00221280"/>
    <w:rsid w:val="0022167C"/>
    <w:rsid w:val="00221B97"/>
    <w:rsid w:val="00221F54"/>
    <w:rsid w:val="0022206F"/>
    <w:rsid w:val="00222309"/>
    <w:rsid w:val="0022248F"/>
    <w:rsid w:val="0022269F"/>
    <w:rsid w:val="002228EE"/>
    <w:rsid w:val="0022323B"/>
    <w:rsid w:val="0022386B"/>
    <w:rsid w:val="00223FDB"/>
    <w:rsid w:val="002242F6"/>
    <w:rsid w:val="00224583"/>
    <w:rsid w:val="002249BE"/>
    <w:rsid w:val="00224A4F"/>
    <w:rsid w:val="00224D8B"/>
    <w:rsid w:val="00224EAF"/>
    <w:rsid w:val="002258EA"/>
    <w:rsid w:val="002267DB"/>
    <w:rsid w:val="00226A5A"/>
    <w:rsid w:val="0022794D"/>
    <w:rsid w:val="00227C85"/>
    <w:rsid w:val="00227FB8"/>
    <w:rsid w:val="002302A0"/>
    <w:rsid w:val="002303A7"/>
    <w:rsid w:val="00230745"/>
    <w:rsid w:val="00230A33"/>
    <w:rsid w:val="00231B40"/>
    <w:rsid w:val="00231EB0"/>
    <w:rsid w:val="002326DF"/>
    <w:rsid w:val="00233413"/>
    <w:rsid w:val="00233C5D"/>
    <w:rsid w:val="00234325"/>
    <w:rsid w:val="00234C30"/>
    <w:rsid w:val="00235521"/>
    <w:rsid w:val="00235802"/>
    <w:rsid w:val="00235E83"/>
    <w:rsid w:val="00236767"/>
    <w:rsid w:val="00236886"/>
    <w:rsid w:val="00236DD5"/>
    <w:rsid w:val="00237711"/>
    <w:rsid w:val="00237FDF"/>
    <w:rsid w:val="00237FED"/>
    <w:rsid w:val="0024073A"/>
    <w:rsid w:val="00240B84"/>
    <w:rsid w:val="002416F4"/>
    <w:rsid w:val="00242502"/>
    <w:rsid w:val="0024294C"/>
    <w:rsid w:val="00242998"/>
    <w:rsid w:val="00242B5A"/>
    <w:rsid w:val="00242D5B"/>
    <w:rsid w:val="00242E83"/>
    <w:rsid w:val="002437AD"/>
    <w:rsid w:val="0024392F"/>
    <w:rsid w:val="00243E11"/>
    <w:rsid w:val="00244482"/>
    <w:rsid w:val="002447B0"/>
    <w:rsid w:val="002448A4"/>
    <w:rsid w:val="00244971"/>
    <w:rsid w:val="00244BF3"/>
    <w:rsid w:val="00245090"/>
    <w:rsid w:val="002450A4"/>
    <w:rsid w:val="00245320"/>
    <w:rsid w:val="00245641"/>
    <w:rsid w:val="0024571A"/>
    <w:rsid w:val="00245D16"/>
    <w:rsid w:val="00245E02"/>
    <w:rsid w:val="00245EEC"/>
    <w:rsid w:val="002460B8"/>
    <w:rsid w:val="002462BC"/>
    <w:rsid w:val="00246524"/>
    <w:rsid w:val="00246C45"/>
    <w:rsid w:val="00246DCE"/>
    <w:rsid w:val="00246F81"/>
    <w:rsid w:val="00247456"/>
    <w:rsid w:val="00247D7D"/>
    <w:rsid w:val="002504A8"/>
    <w:rsid w:val="002505B6"/>
    <w:rsid w:val="00250E26"/>
    <w:rsid w:val="00250FF3"/>
    <w:rsid w:val="002511B9"/>
    <w:rsid w:val="00251717"/>
    <w:rsid w:val="002518F4"/>
    <w:rsid w:val="00251BD2"/>
    <w:rsid w:val="00251DC3"/>
    <w:rsid w:val="0025214F"/>
    <w:rsid w:val="00252543"/>
    <w:rsid w:val="00252BDA"/>
    <w:rsid w:val="00253C5C"/>
    <w:rsid w:val="00253F4A"/>
    <w:rsid w:val="002541C0"/>
    <w:rsid w:val="00254523"/>
    <w:rsid w:val="0025465E"/>
    <w:rsid w:val="00254764"/>
    <w:rsid w:val="00254D72"/>
    <w:rsid w:val="00254D80"/>
    <w:rsid w:val="00254E12"/>
    <w:rsid w:val="002554AD"/>
    <w:rsid w:val="00255DFE"/>
    <w:rsid w:val="00256360"/>
    <w:rsid w:val="002564B3"/>
    <w:rsid w:val="00256C48"/>
    <w:rsid w:val="00256EC4"/>
    <w:rsid w:val="00256F64"/>
    <w:rsid w:val="00257086"/>
    <w:rsid w:val="00257172"/>
    <w:rsid w:val="00260195"/>
    <w:rsid w:val="0026021C"/>
    <w:rsid w:val="002607AC"/>
    <w:rsid w:val="002610EC"/>
    <w:rsid w:val="0026132D"/>
    <w:rsid w:val="00261713"/>
    <w:rsid w:val="00261C74"/>
    <w:rsid w:val="0026242A"/>
    <w:rsid w:val="00262862"/>
    <w:rsid w:val="00262C0F"/>
    <w:rsid w:val="00262CD3"/>
    <w:rsid w:val="00262DFA"/>
    <w:rsid w:val="00262F81"/>
    <w:rsid w:val="00263B1B"/>
    <w:rsid w:val="00263B88"/>
    <w:rsid w:val="00263C83"/>
    <w:rsid w:val="00263DC0"/>
    <w:rsid w:val="00263FCA"/>
    <w:rsid w:val="00265300"/>
    <w:rsid w:val="00265857"/>
    <w:rsid w:val="002658E5"/>
    <w:rsid w:val="00265914"/>
    <w:rsid w:val="002660B4"/>
    <w:rsid w:val="00267048"/>
    <w:rsid w:val="00267E3F"/>
    <w:rsid w:val="00270019"/>
    <w:rsid w:val="0027001C"/>
    <w:rsid w:val="00270B98"/>
    <w:rsid w:val="00270D52"/>
    <w:rsid w:val="00270DD3"/>
    <w:rsid w:val="00270FE8"/>
    <w:rsid w:val="0027166A"/>
    <w:rsid w:val="00271866"/>
    <w:rsid w:val="00271ABD"/>
    <w:rsid w:val="00271B93"/>
    <w:rsid w:val="00272069"/>
    <w:rsid w:val="002726BE"/>
    <w:rsid w:val="0027283D"/>
    <w:rsid w:val="00272950"/>
    <w:rsid w:val="00273396"/>
    <w:rsid w:val="00273794"/>
    <w:rsid w:val="0027385F"/>
    <w:rsid w:val="00273AB4"/>
    <w:rsid w:val="00273C29"/>
    <w:rsid w:val="00273D09"/>
    <w:rsid w:val="00274030"/>
    <w:rsid w:val="00274E82"/>
    <w:rsid w:val="002753A7"/>
    <w:rsid w:val="00275919"/>
    <w:rsid w:val="00276175"/>
    <w:rsid w:val="00276845"/>
    <w:rsid w:val="002769A2"/>
    <w:rsid w:val="002771F6"/>
    <w:rsid w:val="002772A0"/>
    <w:rsid w:val="0027763E"/>
    <w:rsid w:val="00277A36"/>
    <w:rsid w:val="0028135C"/>
    <w:rsid w:val="00281C94"/>
    <w:rsid w:val="00281EBD"/>
    <w:rsid w:val="002821BE"/>
    <w:rsid w:val="002821F2"/>
    <w:rsid w:val="0028224F"/>
    <w:rsid w:val="002826A4"/>
    <w:rsid w:val="00282841"/>
    <w:rsid w:val="00283092"/>
    <w:rsid w:val="00283286"/>
    <w:rsid w:val="00283529"/>
    <w:rsid w:val="00283533"/>
    <w:rsid w:val="002835CE"/>
    <w:rsid w:val="0028362D"/>
    <w:rsid w:val="00283790"/>
    <w:rsid w:val="00283A77"/>
    <w:rsid w:val="00283F98"/>
    <w:rsid w:val="00284AA4"/>
    <w:rsid w:val="00284B40"/>
    <w:rsid w:val="00284BF3"/>
    <w:rsid w:val="00284CBD"/>
    <w:rsid w:val="00284D35"/>
    <w:rsid w:val="00285605"/>
    <w:rsid w:val="0028560B"/>
    <w:rsid w:val="002858C0"/>
    <w:rsid w:val="00285A38"/>
    <w:rsid w:val="00285D5F"/>
    <w:rsid w:val="00286268"/>
    <w:rsid w:val="00286724"/>
    <w:rsid w:val="00286DBF"/>
    <w:rsid w:val="00287CD3"/>
    <w:rsid w:val="00287E51"/>
    <w:rsid w:val="00290327"/>
    <w:rsid w:val="0029034B"/>
    <w:rsid w:val="00290EF3"/>
    <w:rsid w:val="00291B32"/>
    <w:rsid w:val="00292181"/>
    <w:rsid w:val="00292512"/>
    <w:rsid w:val="00292AE3"/>
    <w:rsid w:val="00292B12"/>
    <w:rsid w:val="00292F14"/>
    <w:rsid w:val="00293038"/>
    <w:rsid w:val="0029363C"/>
    <w:rsid w:val="00293C29"/>
    <w:rsid w:val="00293CC2"/>
    <w:rsid w:val="002947AE"/>
    <w:rsid w:val="00294E6C"/>
    <w:rsid w:val="00295774"/>
    <w:rsid w:val="0029588F"/>
    <w:rsid w:val="00295B99"/>
    <w:rsid w:val="00295C9C"/>
    <w:rsid w:val="00295FF6"/>
    <w:rsid w:val="00296581"/>
    <w:rsid w:val="00297334"/>
    <w:rsid w:val="00297778"/>
    <w:rsid w:val="00297AB7"/>
    <w:rsid w:val="00297FB4"/>
    <w:rsid w:val="002A04C4"/>
    <w:rsid w:val="002A061E"/>
    <w:rsid w:val="002A08AE"/>
    <w:rsid w:val="002A0A8D"/>
    <w:rsid w:val="002A1039"/>
    <w:rsid w:val="002A1676"/>
    <w:rsid w:val="002A18CB"/>
    <w:rsid w:val="002A257C"/>
    <w:rsid w:val="002A274B"/>
    <w:rsid w:val="002A2ED5"/>
    <w:rsid w:val="002A3157"/>
    <w:rsid w:val="002A3982"/>
    <w:rsid w:val="002A3F46"/>
    <w:rsid w:val="002A4851"/>
    <w:rsid w:val="002A4D1C"/>
    <w:rsid w:val="002A5030"/>
    <w:rsid w:val="002A5159"/>
    <w:rsid w:val="002A51A0"/>
    <w:rsid w:val="002A62C2"/>
    <w:rsid w:val="002A6B34"/>
    <w:rsid w:val="002A6BC4"/>
    <w:rsid w:val="002A744A"/>
    <w:rsid w:val="002A765A"/>
    <w:rsid w:val="002A78CF"/>
    <w:rsid w:val="002A7B8D"/>
    <w:rsid w:val="002B008D"/>
    <w:rsid w:val="002B03AD"/>
    <w:rsid w:val="002B055F"/>
    <w:rsid w:val="002B1124"/>
    <w:rsid w:val="002B122D"/>
    <w:rsid w:val="002B1344"/>
    <w:rsid w:val="002B1712"/>
    <w:rsid w:val="002B1937"/>
    <w:rsid w:val="002B23B2"/>
    <w:rsid w:val="002B26AB"/>
    <w:rsid w:val="002B2818"/>
    <w:rsid w:val="002B2B67"/>
    <w:rsid w:val="002B2C21"/>
    <w:rsid w:val="002B2C39"/>
    <w:rsid w:val="002B2CAF"/>
    <w:rsid w:val="002B2D84"/>
    <w:rsid w:val="002B309A"/>
    <w:rsid w:val="002B31AE"/>
    <w:rsid w:val="002B36D4"/>
    <w:rsid w:val="002B3801"/>
    <w:rsid w:val="002B3D32"/>
    <w:rsid w:val="002B414A"/>
    <w:rsid w:val="002B42D1"/>
    <w:rsid w:val="002B4579"/>
    <w:rsid w:val="002B457C"/>
    <w:rsid w:val="002B4FC1"/>
    <w:rsid w:val="002B5215"/>
    <w:rsid w:val="002B59D7"/>
    <w:rsid w:val="002B5B5F"/>
    <w:rsid w:val="002B5C00"/>
    <w:rsid w:val="002B5EAA"/>
    <w:rsid w:val="002B5FDF"/>
    <w:rsid w:val="002B60EE"/>
    <w:rsid w:val="002B642B"/>
    <w:rsid w:val="002B6781"/>
    <w:rsid w:val="002B6CCD"/>
    <w:rsid w:val="002B732C"/>
    <w:rsid w:val="002B753C"/>
    <w:rsid w:val="002B7761"/>
    <w:rsid w:val="002B77E9"/>
    <w:rsid w:val="002B7CC0"/>
    <w:rsid w:val="002B7D58"/>
    <w:rsid w:val="002C0A9A"/>
    <w:rsid w:val="002C0FF5"/>
    <w:rsid w:val="002C1827"/>
    <w:rsid w:val="002C1D79"/>
    <w:rsid w:val="002C1FFE"/>
    <w:rsid w:val="002C2724"/>
    <w:rsid w:val="002C2ECE"/>
    <w:rsid w:val="002C2F2A"/>
    <w:rsid w:val="002C30AC"/>
    <w:rsid w:val="002C370A"/>
    <w:rsid w:val="002C39B8"/>
    <w:rsid w:val="002C39D8"/>
    <w:rsid w:val="002C3D74"/>
    <w:rsid w:val="002C3E0C"/>
    <w:rsid w:val="002C3EFC"/>
    <w:rsid w:val="002C4097"/>
    <w:rsid w:val="002C4484"/>
    <w:rsid w:val="002C49CF"/>
    <w:rsid w:val="002C4E75"/>
    <w:rsid w:val="002C4E7E"/>
    <w:rsid w:val="002C4FC9"/>
    <w:rsid w:val="002C5106"/>
    <w:rsid w:val="002C5602"/>
    <w:rsid w:val="002C575B"/>
    <w:rsid w:val="002C5A00"/>
    <w:rsid w:val="002C5DB1"/>
    <w:rsid w:val="002C733C"/>
    <w:rsid w:val="002C7344"/>
    <w:rsid w:val="002C73C7"/>
    <w:rsid w:val="002C7A3B"/>
    <w:rsid w:val="002C7B3E"/>
    <w:rsid w:val="002D00E7"/>
    <w:rsid w:val="002D1AC8"/>
    <w:rsid w:val="002D1C3C"/>
    <w:rsid w:val="002D262A"/>
    <w:rsid w:val="002D28EB"/>
    <w:rsid w:val="002D2F0E"/>
    <w:rsid w:val="002D3530"/>
    <w:rsid w:val="002D36F9"/>
    <w:rsid w:val="002D4494"/>
    <w:rsid w:val="002D474B"/>
    <w:rsid w:val="002D4809"/>
    <w:rsid w:val="002D4845"/>
    <w:rsid w:val="002D5331"/>
    <w:rsid w:val="002D58ED"/>
    <w:rsid w:val="002D65CC"/>
    <w:rsid w:val="002D66BE"/>
    <w:rsid w:val="002D6799"/>
    <w:rsid w:val="002D6C3C"/>
    <w:rsid w:val="002D6F06"/>
    <w:rsid w:val="002D72BC"/>
    <w:rsid w:val="002D7E6B"/>
    <w:rsid w:val="002E0F26"/>
    <w:rsid w:val="002E186E"/>
    <w:rsid w:val="002E1EDC"/>
    <w:rsid w:val="002E1FC1"/>
    <w:rsid w:val="002E2154"/>
    <w:rsid w:val="002E21A8"/>
    <w:rsid w:val="002E2DF6"/>
    <w:rsid w:val="002E3A83"/>
    <w:rsid w:val="002E3E37"/>
    <w:rsid w:val="002E4F17"/>
    <w:rsid w:val="002E5213"/>
    <w:rsid w:val="002E53B6"/>
    <w:rsid w:val="002E5594"/>
    <w:rsid w:val="002E55C7"/>
    <w:rsid w:val="002E571B"/>
    <w:rsid w:val="002E59D4"/>
    <w:rsid w:val="002E5AAF"/>
    <w:rsid w:val="002E5C33"/>
    <w:rsid w:val="002E62E4"/>
    <w:rsid w:val="002E661B"/>
    <w:rsid w:val="002E664A"/>
    <w:rsid w:val="002E6A67"/>
    <w:rsid w:val="002E6B73"/>
    <w:rsid w:val="002E6D95"/>
    <w:rsid w:val="002E6E72"/>
    <w:rsid w:val="002E6EA5"/>
    <w:rsid w:val="002E79B6"/>
    <w:rsid w:val="002E7D93"/>
    <w:rsid w:val="002F0428"/>
    <w:rsid w:val="002F0B69"/>
    <w:rsid w:val="002F1BFE"/>
    <w:rsid w:val="002F2299"/>
    <w:rsid w:val="002F240B"/>
    <w:rsid w:val="002F257B"/>
    <w:rsid w:val="002F2933"/>
    <w:rsid w:val="002F3184"/>
    <w:rsid w:val="002F3990"/>
    <w:rsid w:val="002F3E02"/>
    <w:rsid w:val="002F3E12"/>
    <w:rsid w:val="002F44CE"/>
    <w:rsid w:val="002F481F"/>
    <w:rsid w:val="002F4E6A"/>
    <w:rsid w:val="002F5AE6"/>
    <w:rsid w:val="002F5D90"/>
    <w:rsid w:val="002F63F6"/>
    <w:rsid w:val="002F64E4"/>
    <w:rsid w:val="002F6D0E"/>
    <w:rsid w:val="002F7224"/>
    <w:rsid w:val="002F74D6"/>
    <w:rsid w:val="002F7600"/>
    <w:rsid w:val="002F763B"/>
    <w:rsid w:val="002F780A"/>
    <w:rsid w:val="002F7E39"/>
    <w:rsid w:val="003000AE"/>
    <w:rsid w:val="00300D12"/>
    <w:rsid w:val="003010AD"/>
    <w:rsid w:val="003011FD"/>
    <w:rsid w:val="003020D9"/>
    <w:rsid w:val="003024E7"/>
    <w:rsid w:val="003026CA"/>
    <w:rsid w:val="00303026"/>
    <w:rsid w:val="00303AC6"/>
    <w:rsid w:val="00303D5A"/>
    <w:rsid w:val="00304AFD"/>
    <w:rsid w:val="00304D97"/>
    <w:rsid w:val="003059E5"/>
    <w:rsid w:val="003061C1"/>
    <w:rsid w:val="00306ACF"/>
    <w:rsid w:val="00307178"/>
    <w:rsid w:val="00307231"/>
    <w:rsid w:val="00307755"/>
    <w:rsid w:val="00307E41"/>
    <w:rsid w:val="0031027B"/>
    <w:rsid w:val="003108F1"/>
    <w:rsid w:val="00310D4E"/>
    <w:rsid w:val="00312187"/>
    <w:rsid w:val="00312691"/>
    <w:rsid w:val="00313134"/>
    <w:rsid w:val="0031336A"/>
    <w:rsid w:val="00313B36"/>
    <w:rsid w:val="00314119"/>
    <w:rsid w:val="00314ACD"/>
    <w:rsid w:val="00314B43"/>
    <w:rsid w:val="003154B9"/>
    <w:rsid w:val="003154CB"/>
    <w:rsid w:val="003157A6"/>
    <w:rsid w:val="00315A53"/>
    <w:rsid w:val="00315F3A"/>
    <w:rsid w:val="00316747"/>
    <w:rsid w:val="00316E6F"/>
    <w:rsid w:val="00317A5C"/>
    <w:rsid w:val="00317B2A"/>
    <w:rsid w:val="003203A9"/>
    <w:rsid w:val="003204C0"/>
    <w:rsid w:val="003207BD"/>
    <w:rsid w:val="00320C11"/>
    <w:rsid w:val="00320FB4"/>
    <w:rsid w:val="0032150C"/>
    <w:rsid w:val="003218B6"/>
    <w:rsid w:val="00321E3C"/>
    <w:rsid w:val="00321E4E"/>
    <w:rsid w:val="00321F64"/>
    <w:rsid w:val="0032209E"/>
    <w:rsid w:val="00322227"/>
    <w:rsid w:val="00323305"/>
    <w:rsid w:val="00323428"/>
    <w:rsid w:val="00323636"/>
    <w:rsid w:val="003239C0"/>
    <w:rsid w:val="00323A89"/>
    <w:rsid w:val="00323AC1"/>
    <w:rsid w:val="00323DF2"/>
    <w:rsid w:val="0032471F"/>
    <w:rsid w:val="00324D20"/>
    <w:rsid w:val="00325223"/>
    <w:rsid w:val="00325297"/>
    <w:rsid w:val="00325E00"/>
    <w:rsid w:val="00325F08"/>
    <w:rsid w:val="00326077"/>
    <w:rsid w:val="0032612B"/>
    <w:rsid w:val="00326145"/>
    <w:rsid w:val="00326715"/>
    <w:rsid w:val="00326971"/>
    <w:rsid w:val="00326C2C"/>
    <w:rsid w:val="00327591"/>
    <w:rsid w:val="003275C6"/>
    <w:rsid w:val="003278EB"/>
    <w:rsid w:val="00327B3E"/>
    <w:rsid w:val="00327F80"/>
    <w:rsid w:val="00330758"/>
    <w:rsid w:val="003309AD"/>
    <w:rsid w:val="00330B7C"/>
    <w:rsid w:val="00330BAA"/>
    <w:rsid w:val="00331318"/>
    <w:rsid w:val="00331545"/>
    <w:rsid w:val="003315AF"/>
    <w:rsid w:val="003317B2"/>
    <w:rsid w:val="00331CEB"/>
    <w:rsid w:val="00331D2E"/>
    <w:rsid w:val="00331E2A"/>
    <w:rsid w:val="00331E64"/>
    <w:rsid w:val="00332426"/>
    <w:rsid w:val="00332553"/>
    <w:rsid w:val="00333713"/>
    <w:rsid w:val="00333D88"/>
    <w:rsid w:val="003344A6"/>
    <w:rsid w:val="003345CA"/>
    <w:rsid w:val="00334DAE"/>
    <w:rsid w:val="00335291"/>
    <w:rsid w:val="00335A10"/>
    <w:rsid w:val="003367CE"/>
    <w:rsid w:val="00336887"/>
    <w:rsid w:val="00336D3F"/>
    <w:rsid w:val="00336D75"/>
    <w:rsid w:val="00336E41"/>
    <w:rsid w:val="00336FD9"/>
    <w:rsid w:val="00337A8D"/>
    <w:rsid w:val="00337B74"/>
    <w:rsid w:val="00337C29"/>
    <w:rsid w:val="00337EDD"/>
    <w:rsid w:val="00340440"/>
    <w:rsid w:val="00340C78"/>
    <w:rsid w:val="0034139B"/>
    <w:rsid w:val="003413EA"/>
    <w:rsid w:val="003419C5"/>
    <w:rsid w:val="00341C36"/>
    <w:rsid w:val="003424DA"/>
    <w:rsid w:val="003424EF"/>
    <w:rsid w:val="00343210"/>
    <w:rsid w:val="003433A0"/>
    <w:rsid w:val="00343633"/>
    <w:rsid w:val="0034374C"/>
    <w:rsid w:val="00343DF7"/>
    <w:rsid w:val="00343E1B"/>
    <w:rsid w:val="0034400C"/>
    <w:rsid w:val="00344453"/>
    <w:rsid w:val="003447AF"/>
    <w:rsid w:val="0034522A"/>
    <w:rsid w:val="00345BA4"/>
    <w:rsid w:val="00345E7E"/>
    <w:rsid w:val="003469A7"/>
    <w:rsid w:val="00347508"/>
    <w:rsid w:val="003476E4"/>
    <w:rsid w:val="003476F9"/>
    <w:rsid w:val="00347795"/>
    <w:rsid w:val="00347B2E"/>
    <w:rsid w:val="003500F6"/>
    <w:rsid w:val="00350596"/>
    <w:rsid w:val="00350BDF"/>
    <w:rsid w:val="00350BF7"/>
    <w:rsid w:val="00350F98"/>
    <w:rsid w:val="003519B2"/>
    <w:rsid w:val="00351BF8"/>
    <w:rsid w:val="0035269B"/>
    <w:rsid w:val="003528ED"/>
    <w:rsid w:val="00352F51"/>
    <w:rsid w:val="00353AF0"/>
    <w:rsid w:val="0035423F"/>
    <w:rsid w:val="0035460E"/>
    <w:rsid w:val="0035473D"/>
    <w:rsid w:val="0035490D"/>
    <w:rsid w:val="00354C0D"/>
    <w:rsid w:val="00354CB6"/>
    <w:rsid w:val="00355937"/>
    <w:rsid w:val="00355CFF"/>
    <w:rsid w:val="0035613F"/>
    <w:rsid w:val="00356B7D"/>
    <w:rsid w:val="00356F64"/>
    <w:rsid w:val="00357024"/>
    <w:rsid w:val="0035727A"/>
    <w:rsid w:val="003576A9"/>
    <w:rsid w:val="00357F46"/>
    <w:rsid w:val="00360055"/>
    <w:rsid w:val="003604D8"/>
    <w:rsid w:val="00360BF2"/>
    <w:rsid w:val="00360D99"/>
    <w:rsid w:val="00360E42"/>
    <w:rsid w:val="00361010"/>
    <w:rsid w:val="00361471"/>
    <w:rsid w:val="0036199A"/>
    <w:rsid w:val="00361B14"/>
    <w:rsid w:val="00361BC2"/>
    <w:rsid w:val="00362142"/>
    <w:rsid w:val="0036268A"/>
    <w:rsid w:val="0036273C"/>
    <w:rsid w:val="00362780"/>
    <w:rsid w:val="00362AA5"/>
    <w:rsid w:val="00362DD6"/>
    <w:rsid w:val="003630EB"/>
    <w:rsid w:val="00363265"/>
    <w:rsid w:val="003638AD"/>
    <w:rsid w:val="00363CA1"/>
    <w:rsid w:val="00364012"/>
    <w:rsid w:val="003644ED"/>
    <w:rsid w:val="00364B90"/>
    <w:rsid w:val="00364E48"/>
    <w:rsid w:val="00365448"/>
    <w:rsid w:val="00365BC0"/>
    <w:rsid w:val="00366F78"/>
    <w:rsid w:val="00366F8B"/>
    <w:rsid w:val="0036791B"/>
    <w:rsid w:val="00367B64"/>
    <w:rsid w:val="00367D15"/>
    <w:rsid w:val="003700C6"/>
    <w:rsid w:val="00370401"/>
    <w:rsid w:val="003707C5"/>
    <w:rsid w:val="003708D9"/>
    <w:rsid w:val="0037096E"/>
    <w:rsid w:val="00370D6E"/>
    <w:rsid w:val="0037133E"/>
    <w:rsid w:val="003717C5"/>
    <w:rsid w:val="00371878"/>
    <w:rsid w:val="003726A1"/>
    <w:rsid w:val="0037278A"/>
    <w:rsid w:val="003728C8"/>
    <w:rsid w:val="00372960"/>
    <w:rsid w:val="003735D6"/>
    <w:rsid w:val="0037385F"/>
    <w:rsid w:val="00373AEF"/>
    <w:rsid w:val="00373C64"/>
    <w:rsid w:val="0037425E"/>
    <w:rsid w:val="003745C2"/>
    <w:rsid w:val="00374ADF"/>
    <w:rsid w:val="00374DD8"/>
    <w:rsid w:val="003751F3"/>
    <w:rsid w:val="00375211"/>
    <w:rsid w:val="003756B3"/>
    <w:rsid w:val="00376426"/>
    <w:rsid w:val="003766F6"/>
    <w:rsid w:val="00376DCA"/>
    <w:rsid w:val="00377863"/>
    <w:rsid w:val="00377915"/>
    <w:rsid w:val="00377BEC"/>
    <w:rsid w:val="00377E0E"/>
    <w:rsid w:val="0038041B"/>
    <w:rsid w:val="00380502"/>
    <w:rsid w:val="00380BD2"/>
    <w:rsid w:val="0038191C"/>
    <w:rsid w:val="003819F7"/>
    <w:rsid w:val="00381B2B"/>
    <w:rsid w:val="00381D6A"/>
    <w:rsid w:val="00381DAB"/>
    <w:rsid w:val="00381EC7"/>
    <w:rsid w:val="00382B1E"/>
    <w:rsid w:val="00382C8D"/>
    <w:rsid w:val="00382CEE"/>
    <w:rsid w:val="0038302D"/>
    <w:rsid w:val="003832C9"/>
    <w:rsid w:val="003839AE"/>
    <w:rsid w:val="00383CB2"/>
    <w:rsid w:val="00383D6C"/>
    <w:rsid w:val="00383ECF"/>
    <w:rsid w:val="003842C3"/>
    <w:rsid w:val="00384542"/>
    <w:rsid w:val="00384D12"/>
    <w:rsid w:val="00384E07"/>
    <w:rsid w:val="003859CA"/>
    <w:rsid w:val="00385B44"/>
    <w:rsid w:val="00385EA7"/>
    <w:rsid w:val="003863EF"/>
    <w:rsid w:val="00386C61"/>
    <w:rsid w:val="00386E0C"/>
    <w:rsid w:val="00387AB4"/>
    <w:rsid w:val="003908F4"/>
    <w:rsid w:val="00390DA5"/>
    <w:rsid w:val="00391132"/>
    <w:rsid w:val="003911C3"/>
    <w:rsid w:val="00391524"/>
    <w:rsid w:val="003916F2"/>
    <w:rsid w:val="00391C2C"/>
    <w:rsid w:val="00391F5A"/>
    <w:rsid w:val="0039208E"/>
    <w:rsid w:val="003921D5"/>
    <w:rsid w:val="0039291C"/>
    <w:rsid w:val="00392C2F"/>
    <w:rsid w:val="003934B8"/>
    <w:rsid w:val="003937F5"/>
    <w:rsid w:val="00393B61"/>
    <w:rsid w:val="00393C99"/>
    <w:rsid w:val="00393F98"/>
    <w:rsid w:val="0039455B"/>
    <w:rsid w:val="0039499E"/>
    <w:rsid w:val="00394D6D"/>
    <w:rsid w:val="00394E6F"/>
    <w:rsid w:val="003952F1"/>
    <w:rsid w:val="0039574F"/>
    <w:rsid w:val="00395D7A"/>
    <w:rsid w:val="003962A2"/>
    <w:rsid w:val="003963B2"/>
    <w:rsid w:val="003974AE"/>
    <w:rsid w:val="003975D8"/>
    <w:rsid w:val="003A051F"/>
    <w:rsid w:val="003A09A8"/>
    <w:rsid w:val="003A1231"/>
    <w:rsid w:val="003A1EE4"/>
    <w:rsid w:val="003A2330"/>
    <w:rsid w:val="003A2377"/>
    <w:rsid w:val="003A2620"/>
    <w:rsid w:val="003A2A45"/>
    <w:rsid w:val="003A2ACC"/>
    <w:rsid w:val="003A31CE"/>
    <w:rsid w:val="003A32AB"/>
    <w:rsid w:val="003A3CE0"/>
    <w:rsid w:val="003A41D1"/>
    <w:rsid w:val="003A475F"/>
    <w:rsid w:val="003A5115"/>
    <w:rsid w:val="003A5F76"/>
    <w:rsid w:val="003A63DE"/>
    <w:rsid w:val="003A695A"/>
    <w:rsid w:val="003A6A7A"/>
    <w:rsid w:val="003A6E97"/>
    <w:rsid w:val="003A731E"/>
    <w:rsid w:val="003A733C"/>
    <w:rsid w:val="003A7745"/>
    <w:rsid w:val="003A7B58"/>
    <w:rsid w:val="003A7C16"/>
    <w:rsid w:val="003B08BA"/>
    <w:rsid w:val="003B0AC3"/>
    <w:rsid w:val="003B0E85"/>
    <w:rsid w:val="003B1AC7"/>
    <w:rsid w:val="003B1AF5"/>
    <w:rsid w:val="003B2064"/>
    <w:rsid w:val="003B2168"/>
    <w:rsid w:val="003B283C"/>
    <w:rsid w:val="003B2C6A"/>
    <w:rsid w:val="003B31C5"/>
    <w:rsid w:val="003B326A"/>
    <w:rsid w:val="003B33CB"/>
    <w:rsid w:val="003B34AA"/>
    <w:rsid w:val="003B3549"/>
    <w:rsid w:val="003B3807"/>
    <w:rsid w:val="003B40B7"/>
    <w:rsid w:val="003B4B7E"/>
    <w:rsid w:val="003B4FF2"/>
    <w:rsid w:val="003B544C"/>
    <w:rsid w:val="003B549B"/>
    <w:rsid w:val="003B673F"/>
    <w:rsid w:val="003B6753"/>
    <w:rsid w:val="003B6769"/>
    <w:rsid w:val="003C0193"/>
    <w:rsid w:val="003C1BA3"/>
    <w:rsid w:val="003C1EAA"/>
    <w:rsid w:val="003C1FBD"/>
    <w:rsid w:val="003C2388"/>
    <w:rsid w:val="003C2747"/>
    <w:rsid w:val="003C298A"/>
    <w:rsid w:val="003C2F49"/>
    <w:rsid w:val="003C3D35"/>
    <w:rsid w:val="003C4140"/>
    <w:rsid w:val="003C4FA5"/>
    <w:rsid w:val="003C5E5E"/>
    <w:rsid w:val="003C62A2"/>
    <w:rsid w:val="003C6766"/>
    <w:rsid w:val="003C67A5"/>
    <w:rsid w:val="003C6C07"/>
    <w:rsid w:val="003C6FF4"/>
    <w:rsid w:val="003C73E5"/>
    <w:rsid w:val="003C7893"/>
    <w:rsid w:val="003C7C0D"/>
    <w:rsid w:val="003D068F"/>
    <w:rsid w:val="003D093D"/>
    <w:rsid w:val="003D1417"/>
    <w:rsid w:val="003D1631"/>
    <w:rsid w:val="003D17FE"/>
    <w:rsid w:val="003D18E2"/>
    <w:rsid w:val="003D197E"/>
    <w:rsid w:val="003D2782"/>
    <w:rsid w:val="003D27E2"/>
    <w:rsid w:val="003D280D"/>
    <w:rsid w:val="003D2E6D"/>
    <w:rsid w:val="003D3057"/>
    <w:rsid w:val="003D40E7"/>
    <w:rsid w:val="003D411A"/>
    <w:rsid w:val="003D4249"/>
    <w:rsid w:val="003D4619"/>
    <w:rsid w:val="003D483F"/>
    <w:rsid w:val="003D4B24"/>
    <w:rsid w:val="003D4DE2"/>
    <w:rsid w:val="003D665D"/>
    <w:rsid w:val="003D68C3"/>
    <w:rsid w:val="003D71A9"/>
    <w:rsid w:val="003D7783"/>
    <w:rsid w:val="003D78EB"/>
    <w:rsid w:val="003D7BF2"/>
    <w:rsid w:val="003D7D62"/>
    <w:rsid w:val="003E044F"/>
    <w:rsid w:val="003E0864"/>
    <w:rsid w:val="003E09C4"/>
    <w:rsid w:val="003E0ADA"/>
    <w:rsid w:val="003E1473"/>
    <w:rsid w:val="003E1D7D"/>
    <w:rsid w:val="003E1D99"/>
    <w:rsid w:val="003E271D"/>
    <w:rsid w:val="003E278C"/>
    <w:rsid w:val="003E2818"/>
    <w:rsid w:val="003E2F5A"/>
    <w:rsid w:val="003E30BC"/>
    <w:rsid w:val="003E3A33"/>
    <w:rsid w:val="003E3A6B"/>
    <w:rsid w:val="003E3D95"/>
    <w:rsid w:val="003E4855"/>
    <w:rsid w:val="003E4C65"/>
    <w:rsid w:val="003E55F9"/>
    <w:rsid w:val="003E57FD"/>
    <w:rsid w:val="003E5899"/>
    <w:rsid w:val="003E5CFD"/>
    <w:rsid w:val="003E6501"/>
    <w:rsid w:val="003E6553"/>
    <w:rsid w:val="003E69E1"/>
    <w:rsid w:val="003E72AB"/>
    <w:rsid w:val="003E7372"/>
    <w:rsid w:val="003E78FD"/>
    <w:rsid w:val="003E7987"/>
    <w:rsid w:val="003E7A90"/>
    <w:rsid w:val="003E7BBD"/>
    <w:rsid w:val="003E7EFA"/>
    <w:rsid w:val="003E7F50"/>
    <w:rsid w:val="003F076C"/>
    <w:rsid w:val="003F0DFB"/>
    <w:rsid w:val="003F0EE3"/>
    <w:rsid w:val="003F1438"/>
    <w:rsid w:val="003F1D7A"/>
    <w:rsid w:val="003F1EE1"/>
    <w:rsid w:val="003F203B"/>
    <w:rsid w:val="003F2CB8"/>
    <w:rsid w:val="003F31C3"/>
    <w:rsid w:val="003F3463"/>
    <w:rsid w:val="003F3BBC"/>
    <w:rsid w:val="003F40F8"/>
    <w:rsid w:val="003F50CD"/>
    <w:rsid w:val="003F54DF"/>
    <w:rsid w:val="003F55AE"/>
    <w:rsid w:val="003F58C6"/>
    <w:rsid w:val="003F5915"/>
    <w:rsid w:val="003F5AD8"/>
    <w:rsid w:val="003F5CE7"/>
    <w:rsid w:val="003F61B9"/>
    <w:rsid w:val="003F63AF"/>
    <w:rsid w:val="003F6A10"/>
    <w:rsid w:val="003F6D02"/>
    <w:rsid w:val="003F7CAA"/>
    <w:rsid w:val="003F7E3F"/>
    <w:rsid w:val="00400738"/>
    <w:rsid w:val="004007A7"/>
    <w:rsid w:val="00400946"/>
    <w:rsid w:val="00401335"/>
    <w:rsid w:val="00401454"/>
    <w:rsid w:val="00401B17"/>
    <w:rsid w:val="004021EA"/>
    <w:rsid w:val="00402AF1"/>
    <w:rsid w:val="00402F68"/>
    <w:rsid w:val="00403095"/>
    <w:rsid w:val="0040320B"/>
    <w:rsid w:val="004036E9"/>
    <w:rsid w:val="00403D31"/>
    <w:rsid w:val="00404160"/>
    <w:rsid w:val="004049D2"/>
    <w:rsid w:val="00404B3B"/>
    <w:rsid w:val="004050CB"/>
    <w:rsid w:val="0040573E"/>
    <w:rsid w:val="00405A24"/>
    <w:rsid w:val="00405C8F"/>
    <w:rsid w:val="00405C96"/>
    <w:rsid w:val="00405FF5"/>
    <w:rsid w:val="00406247"/>
    <w:rsid w:val="004062ED"/>
    <w:rsid w:val="0040649B"/>
    <w:rsid w:val="00406CF6"/>
    <w:rsid w:val="00406EEE"/>
    <w:rsid w:val="00410043"/>
    <w:rsid w:val="0041016D"/>
    <w:rsid w:val="00410440"/>
    <w:rsid w:val="00410567"/>
    <w:rsid w:val="0041057A"/>
    <w:rsid w:val="004105E7"/>
    <w:rsid w:val="00410F5E"/>
    <w:rsid w:val="004114B6"/>
    <w:rsid w:val="004118BB"/>
    <w:rsid w:val="00411EA9"/>
    <w:rsid w:val="00412554"/>
    <w:rsid w:val="0041274A"/>
    <w:rsid w:val="00412A85"/>
    <w:rsid w:val="00412B57"/>
    <w:rsid w:val="00412C69"/>
    <w:rsid w:val="0041371C"/>
    <w:rsid w:val="00414B5D"/>
    <w:rsid w:val="00414D0E"/>
    <w:rsid w:val="00415071"/>
    <w:rsid w:val="00415374"/>
    <w:rsid w:val="0041543B"/>
    <w:rsid w:val="00415724"/>
    <w:rsid w:val="0041596F"/>
    <w:rsid w:val="00415A18"/>
    <w:rsid w:val="00415AA7"/>
    <w:rsid w:val="004167B2"/>
    <w:rsid w:val="004170C6"/>
    <w:rsid w:val="00417B84"/>
    <w:rsid w:val="00417EB4"/>
    <w:rsid w:val="00417F2D"/>
    <w:rsid w:val="00420241"/>
    <w:rsid w:val="00420875"/>
    <w:rsid w:val="004209F5"/>
    <w:rsid w:val="00420ACD"/>
    <w:rsid w:val="00420E2D"/>
    <w:rsid w:val="00421274"/>
    <w:rsid w:val="004213B2"/>
    <w:rsid w:val="0042172C"/>
    <w:rsid w:val="0042188C"/>
    <w:rsid w:val="00421AAF"/>
    <w:rsid w:val="00422A27"/>
    <w:rsid w:val="00422DFB"/>
    <w:rsid w:val="00422E50"/>
    <w:rsid w:val="0042310D"/>
    <w:rsid w:val="00423198"/>
    <w:rsid w:val="00423388"/>
    <w:rsid w:val="004234A6"/>
    <w:rsid w:val="00424257"/>
    <w:rsid w:val="00424D62"/>
    <w:rsid w:val="00425082"/>
    <w:rsid w:val="00425159"/>
    <w:rsid w:val="0042520B"/>
    <w:rsid w:val="00425518"/>
    <w:rsid w:val="00425A88"/>
    <w:rsid w:val="00425BB9"/>
    <w:rsid w:val="00425BF1"/>
    <w:rsid w:val="00425E64"/>
    <w:rsid w:val="00426068"/>
    <w:rsid w:val="004262E4"/>
    <w:rsid w:val="004263D0"/>
    <w:rsid w:val="00426472"/>
    <w:rsid w:val="00426652"/>
    <w:rsid w:val="00426D30"/>
    <w:rsid w:val="00426DFC"/>
    <w:rsid w:val="00427038"/>
    <w:rsid w:val="004279D6"/>
    <w:rsid w:val="00427B2A"/>
    <w:rsid w:val="00430050"/>
    <w:rsid w:val="004309C9"/>
    <w:rsid w:val="00430E00"/>
    <w:rsid w:val="00430EA8"/>
    <w:rsid w:val="00431192"/>
    <w:rsid w:val="004312BF"/>
    <w:rsid w:val="0043189D"/>
    <w:rsid w:val="004319EB"/>
    <w:rsid w:val="00431B2B"/>
    <w:rsid w:val="00432833"/>
    <w:rsid w:val="00432DF9"/>
    <w:rsid w:val="004334FD"/>
    <w:rsid w:val="0043372E"/>
    <w:rsid w:val="00433C64"/>
    <w:rsid w:val="00433ED0"/>
    <w:rsid w:val="00434147"/>
    <w:rsid w:val="00434460"/>
    <w:rsid w:val="00434DCA"/>
    <w:rsid w:val="004360BC"/>
    <w:rsid w:val="0043621B"/>
    <w:rsid w:val="00436DD3"/>
    <w:rsid w:val="00437014"/>
    <w:rsid w:val="004374EC"/>
    <w:rsid w:val="004377DD"/>
    <w:rsid w:val="004405C6"/>
    <w:rsid w:val="00440723"/>
    <w:rsid w:val="00440963"/>
    <w:rsid w:val="00440CD5"/>
    <w:rsid w:val="00440EEB"/>
    <w:rsid w:val="00441821"/>
    <w:rsid w:val="00442117"/>
    <w:rsid w:val="00442849"/>
    <w:rsid w:val="00442FA4"/>
    <w:rsid w:val="0044354A"/>
    <w:rsid w:val="00443C8F"/>
    <w:rsid w:val="004444C3"/>
    <w:rsid w:val="00444582"/>
    <w:rsid w:val="004445E0"/>
    <w:rsid w:val="00444717"/>
    <w:rsid w:val="0044476F"/>
    <w:rsid w:val="004447C8"/>
    <w:rsid w:val="00444E39"/>
    <w:rsid w:val="00445007"/>
    <w:rsid w:val="004455C2"/>
    <w:rsid w:val="0044570D"/>
    <w:rsid w:val="00445C91"/>
    <w:rsid w:val="00445EEF"/>
    <w:rsid w:val="004465E0"/>
    <w:rsid w:val="0044691F"/>
    <w:rsid w:val="00446C50"/>
    <w:rsid w:val="004471C3"/>
    <w:rsid w:val="00447629"/>
    <w:rsid w:val="00447864"/>
    <w:rsid w:val="00447D1F"/>
    <w:rsid w:val="00450064"/>
    <w:rsid w:val="00450406"/>
    <w:rsid w:val="004505C9"/>
    <w:rsid w:val="00450898"/>
    <w:rsid w:val="004509D1"/>
    <w:rsid w:val="00450ABF"/>
    <w:rsid w:val="00450B90"/>
    <w:rsid w:val="00451219"/>
    <w:rsid w:val="00451431"/>
    <w:rsid w:val="004515D8"/>
    <w:rsid w:val="0045166C"/>
    <w:rsid w:val="00451A4A"/>
    <w:rsid w:val="00451E87"/>
    <w:rsid w:val="00453702"/>
    <w:rsid w:val="004538CC"/>
    <w:rsid w:val="00453AC1"/>
    <w:rsid w:val="00453B44"/>
    <w:rsid w:val="00453EF1"/>
    <w:rsid w:val="004540E7"/>
    <w:rsid w:val="004544DD"/>
    <w:rsid w:val="0045484D"/>
    <w:rsid w:val="00454D62"/>
    <w:rsid w:val="00455763"/>
    <w:rsid w:val="00455C73"/>
    <w:rsid w:val="00455DFE"/>
    <w:rsid w:val="0045661F"/>
    <w:rsid w:val="00457118"/>
    <w:rsid w:val="004573D6"/>
    <w:rsid w:val="0045766C"/>
    <w:rsid w:val="004579DD"/>
    <w:rsid w:val="004601DB"/>
    <w:rsid w:val="004606CF"/>
    <w:rsid w:val="004607F9"/>
    <w:rsid w:val="004608AC"/>
    <w:rsid w:val="00460DAE"/>
    <w:rsid w:val="004610BB"/>
    <w:rsid w:val="004611B0"/>
    <w:rsid w:val="00461C89"/>
    <w:rsid w:val="00461D89"/>
    <w:rsid w:val="00461DFB"/>
    <w:rsid w:val="00461EF2"/>
    <w:rsid w:val="004624D4"/>
    <w:rsid w:val="00462DA8"/>
    <w:rsid w:val="00463E31"/>
    <w:rsid w:val="00463EC5"/>
    <w:rsid w:val="00463FCE"/>
    <w:rsid w:val="004645D5"/>
    <w:rsid w:val="00464986"/>
    <w:rsid w:val="00464AAB"/>
    <w:rsid w:val="00464C00"/>
    <w:rsid w:val="00464FA5"/>
    <w:rsid w:val="004657EF"/>
    <w:rsid w:val="00465C4B"/>
    <w:rsid w:val="00466335"/>
    <w:rsid w:val="00466683"/>
    <w:rsid w:val="004667B8"/>
    <w:rsid w:val="0046691D"/>
    <w:rsid w:val="00466F57"/>
    <w:rsid w:val="00467554"/>
    <w:rsid w:val="0046779D"/>
    <w:rsid w:val="0047009E"/>
    <w:rsid w:val="00470A54"/>
    <w:rsid w:val="00470F2D"/>
    <w:rsid w:val="00470F2F"/>
    <w:rsid w:val="004710E8"/>
    <w:rsid w:val="004713F2"/>
    <w:rsid w:val="0047159B"/>
    <w:rsid w:val="00471828"/>
    <w:rsid w:val="00471AFD"/>
    <w:rsid w:val="004721A2"/>
    <w:rsid w:val="0047254F"/>
    <w:rsid w:val="004731F6"/>
    <w:rsid w:val="00473580"/>
    <w:rsid w:val="004736CE"/>
    <w:rsid w:val="00473A0C"/>
    <w:rsid w:val="00473C89"/>
    <w:rsid w:val="00473C98"/>
    <w:rsid w:val="0047438E"/>
    <w:rsid w:val="00474C5B"/>
    <w:rsid w:val="00475112"/>
    <w:rsid w:val="004753FB"/>
    <w:rsid w:val="004754ED"/>
    <w:rsid w:val="00475C58"/>
    <w:rsid w:val="0047607C"/>
    <w:rsid w:val="004762FE"/>
    <w:rsid w:val="00476483"/>
    <w:rsid w:val="0047652F"/>
    <w:rsid w:val="0047659E"/>
    <w:rsid w:val="00476B88"/>
    <w:rsid w:val="004774E8"/>
    <w:rsid w:val="00477CE1"/>
    <w:rsid w:val="00480081"/>
    <w:rsid w:val="0048054E"/>
    <w:rsid w:val="0048077D"/>
    <w:rsid w:val="00480A2A"/>
    <w:rsid w:val="00480EF1"/>
    <w:rsid w:val="00481150"/>
    <w:rsid w:val="00481C37"/>
    <w:rsid w:val="00481E74"/>
    <w:rsid w:val="00482C98"/>
    <w:rsid w:val="004832FC"/>
    <w:rsid w:val="00483511"/>
    <w:rsid w:val="00483CCF"/>
    <w:rsid w:val="00483E84"/>
    <w:rsid w:val="00483F03"/>
    <w:rsid w:val="00484429"/>
    <w:rsid w:val="00484AEF"/>
    <w:rsid w:val="0048509F"/>
    <w:rsid w:val="0048510F"/>
    <w:rsid w:val="0048582E"/>
    <w:rsid w:val="00486448"/>
    <w:rsid w:val="00486DCC"/>
    <w:rsid w:val="00486DF5"/>
    <w:rsid w:val="00487B9E"/>
    <w:rsid w:val="00487EB9"/>
    <w:rsid w:val="004903E4"/>
    <w:rsid w:val="00490AD6"/>
    <w:rsid w:val="004910A6"/>
    <w:rsid w:val="00491348"/>
    <w:rsid w:val="0049144E"/>
    <w:rsid w:val="00491650"/>
    <w:rsid w:val="004926B9"/>
    <w:rsid w:val="0049277F"/>
    <w:rsid w:val="00492885"/>
    <w:rsid w:val="00492EE9"/>
    <w:rsid w:val="00493250"/>
    <w:rsid w:val="004936B2"/>
    <w:rsid w:val="00493FF5"/>
    <w:rsid w:val="0049414A"/>
    <w:rsid w:val="00494482"/>
    <w:rsid w:val="00494C1A"/>
    <w:rsid w:val="0049505D"/>
    <w:rsid w:val="004950A5"/>
    <w:rsid w:val="004954B2"/>
    <w:rsid w:val="004955F2"/>
    <w:rsid w:val="0049620D"/>
    <w:rsid w:val="0049658B"/>
    <w:rsid w:val="004967EF"/>
    <w:rsid w:val="00496A66"/>
    <w:rsid w:val="00496D09"/>
    <w:rsid w:val="004976F3"/>
    <w:rsid w:val="004A0530"/>
    <w:rsid w:val="004A055D"/>
    <w:rsid w:val="004A0633"/>
    <w:rsid w:val="004A06DF"/>
    <w:rsid w:val="004A0C65"/>
    <w:rsid w:val="004A137A"/>
    <w:rsid w:val="004A190F"/>
    <w:rsid w:val="004A23EE"/>
    <w:rsid w:val="004A2986"/>
    <w:rsid w:val="004A3644"/>
    <w:rsid w:val="004A36E9"/>
    <w:rsid w:val="004A3D3D"/>
    <w:rsid w:val="004A40BE"/>
    <w:rsid w:val="004A42CD"/>
    <w:rsid w:val="004A44B4"/>
    <w:rsid w:val="004A44E8"/>
    <w:rsid w:val="004A5A3C"/>
    <w:rsid w:val="004A633A"/>
    <w:rsid w:val="004A6516"/>
    <w:rsid w:val="004A6708"/>
    <w:rsid w:val="004A6BC8"/>
    <w:rsid w:val="004A6E81"/>
    <w:rsid w:val="004A734A"/>
    <w:rsid w:val="004A76EA"/>
    <w:rsid w:val="004A79CB"/>
    <w:rsid w:val="004A7A5A"/>
    <w:rsid w:val="004A7F89"/>
    <w:rsid w:val="004B02CF"/>
    <w:rsid w:val="004B131E"/>
    <w:rsid w:val="004B1948"/>
    <w:rsid w:val="004B19DA"/>
    <w:rsid w:val="004B19FD"/>
    <w:rsid w:val="004B1CD5"/>
    <w:rsid w:val="004B1E6E"/>
    <w:rsid w:val="004B221A"/>
    <w:rsid w:val="004B2559"/>
    <w:rsid w:val="004B365E"/>
    <w:rsid w:val="004B3F7D"/>
    <w:rsid w:val="004B4024"/>
    <w:rsid w:val="004B4234"/>
    <w:rsid w:val="004B48F4"/>
    <w:rsid w:val="004B4966"/>
    <w:rsid w:val="004B4A59"/>
    <w:rsid w:val="004B4CCA"/>
    <w:rsid w:val="004B4D64"/>
    <w:rsid w:val="004B5AA8"/>
    <w:rsid w:val="004B6596"/>
    <w:rsid w:val="004B68E9"/>
    <w:rsid w:val="004B7109"/>
    <w:rsid w:val="004B7E18"/>
    <w:rsid w:val="004B7E1F"/>
    <w:rsid w:val="004B7E79"/>
    <w:rsid w:val="004C0516"/>
    <w:rsid w:val="004C0B37"/>
    <w:rsid w:val="004C0DBC"/>
    <w:rsid w:val="004C13DB"/>
    <w:rsid w:val="004C1D9E"/>
    <w:rsid w:val="004C261D"/>
    <w:rsid w:val="004C26EB"/>
    <w:rsid w:val="004C285D"/>
    <w:rsid w:val="004C2DFA"/>
    <w:rsid w:val="004C3424"/>
    <w:rsid w:val="004C378C"/>
    <w:rsid w:val="004C38C1"/>
    <w:rsid w:val="004C3918"/>
    <w:rsid w:val="004C48B3"/>
    <w:rsid w:val="004C4AA5"/>
    <w:rsid w:val="004C4EA7"/>
    <w:rsid w:val="004C5472"/>
    <w:rsid w:val="004C5746"/>
    <w:rsid w:val="004C57CB"/>
    <w:rsid w:val="004C694C"/>
    <w:rsid w:val="004C6A10"/>
    <w:rsid w:val="004C6CE4"/>
    <w:rsid w:val="004C7041"/>
    <w:rsid w:val="004C7265"/>
    <w:rsid w:val="004C75E7"/>
    <w:rsid w:val="004C7AD2"/>
    <w:rsid w:val="004D0564"/>
    <w:rsid w:val="004D0894"/>
    <w:rsid w:val="004D08EE"/>
    <w:rsid w:val="004D1293"/>
    <w:rsid w:val="004D160C"/>
    <w:rsid w:val="004D186E"/>
    <w:rsid w:val="004D2225"/>
    <w:rsid w:val="004D223E"/>
    <w:rsid w:val="004D268A"/>
    <w:rsid w:val="004D305C"/>
    <w:rsid w:val="004D31CB"/>
    <w:rsid w:val="004D3CA2"/>
    <w:rsid w:val="004D42AE"/>
    <w:rsid w:val="004D4CE3"/>
    <w:rsid w:val="004D5323"/>
    <w:rsid w:val="004D579A"/>
    <w:rsid w:val="004D57AD"/>
    <w:rsid w:val="004D5962"/>
    <w:rsid w:val="004D5E36"/>
    <w:rsid w:val="004D5ED1"/>
    <w:rsid w:val="004D625E"/>
    <w:rsid w:val="004D64C0"/>
    <w:rsid w:val="004D6686"/>
    <w:rsid w:val="004D6953"/>
    <w:rsid w:val="004D6C66"/>
    <w:rsid w:val="004D6E2D"/>
    <w:rsid w:val="004D6FC5"/>
    <w:rsid w:val="004D753F"/>
    <w:rsid w:val="004D7549"/>
    <w:rsid w:val="004D78A3"/>
    <w:rsid w:val="004D7C13"/>
    <w:rsid w:val="004E0B85"/>
    <w:rsid w:val="004E10F1"/>
    <w:rsid w:val="004E19D3"/>
    <w:rsid w:val="004E1B0D"/>
    <w:rsid w:val="004E1BD8"/>
    <w:rsid w:val="004E209C"/>
    <w:rsid w:val="004E2586"/>
    <w:rsid w:val="004E2E24"/>
    <w:rsid w:val="004E3113"/>
    <w:rsid w:val="004E346B"/>
    <w:rsid w:val="004E3593"/>
    <w:rsid w:val="004E431C"/>
    <w:rsid w:val="004E4A48"/>
    <w:rsid w:val="004E4F6D"/>
    <w:rsid w:val="004E57FA"/>
    <w:rsid w:val="004E5AF7"/>
    <w:rsid w:val="004E61F4"/>
    <w:rsid w:val="004E6226"/>
    <w:rsid w:val="004E6390"/>
    <w:rsid w:val="004E71A4"/>
    <w:rsid w:val="004E76A6"/>
    <w:rsid w:val="004E7C9C"/>
    <w:rsid w:val="004E7DF9"/>
    <w:rsid w:val="004E7EFF"/>
    <w:rsid w:val="004F00A3"/>
    <w:rsid w:val="004F0919"/>
    <w:rsid w:val="004F0920"/>
    <w:rsid w:val="004F09A8"/>
    <w:rsid w:val="004F0F09"/>
    <w:rsid w:val="004F1F89"/>
    <w:rsid w:val="004F251A"/>
    <w:rsid w:val="004F2AC4"/>
    <w:rsid w:val="004F2AE4"/>
    <w:rsid w:val="004F2ECB"/>
    <w:rsid w:val="004F325A"/>
    <w:rsid w:val="004F3516"/>
    <w:rsid w:val="004F35E6"/>
    <w:rsid w:val="004F3782"/>
    <w:rsid w:val="004F379D"/>
    <w:rsid w:val="004F3C61"/>
    <w:rsid w:val="004F3F14"/>
    <w:rsid w:val="004F4174"/>
    <w:rsid w:val="004F43B1"/>
    <w:rsid w:val="004F44EC"/>
    <w:rsid w:val="004F46A4"/>
    <w:rsid w:val="004F4A6C"/>
    <w:rsid w:val="004F4A80"/>
    <w:rsid w:val="004F5362"/>
    <w:rsid w:val="004F545F"/>
    <w:rsid w:val="004F65DE"/>
    <w:rsid w:val="004F6605"/>
    <w:rsid w:val="004F67A1"/>
    <w:rsid w:val="004F6A0A"/>
    <w:rsid w:val="004F6BA6"/>
    <w:rsid w:val="004F6D65"/>
    <w:rsid w:val="004F6D6D"/>
    <w:rsid w:val="004F715A"/>
    <w:rsid w:val="004F7A9E"/>
    <w:rsid w:val="00500EFE"/>
    <w:rsid w:val="0050100B"/>
    <w:rsid w:val="00501374"/>
    <w:rsid w:val="005015A9"/>
    <w:rsid w:val="00501A2C"/>
    <w:rsid w:val="005021AE"/>
    <w:rsid w:val="00502C05"/>
    <w:rsid w:val="00502EFA"/>
    <w:rsid w:val="00502F10"/>
    <w:rsid w:val="00502F13"/>
    <w:rsid w:val="005032B3"/>
    <w:rsid w:val="005033EA"/>
    <w:rsid w:val="0050353E"/>
    <w:rsid w:val="00503DA0"/>
    <w:rsid w:val="00503FEA"/>
    <w:rsid w:val="00504405"/>
    <w:rsid w:val="00504E24"/>
    <w:rsid w:val="00505195"/>
    <w:rsid w:val="00505385"/>
    <w:rsid w:val="005054B9"/>
    <w:rsid w:val="005057FA"/>
    <w:rsid w:val="005059D8"/>
    <w:rsid w:val="00507221"/>
    <w:rsid w:val="00507A18"/>
    <w:rsid w:val="00507BE0"/>
    <w:rsid w:val="00510219"/>
    <w:rsid w:val="0051054E"/>
    <w:rsid w:val="00510C67"/>
    <w:rsid w:val="00510C7C"/>
    <w:rsid w:val="005113E9"/>
    <w:rsid w:val="0051169A"/>
    <w:rsid w:val="005116C1"/>
    <w:rsid w:val="0051188E"/>
    <w:rsid w:val="005118E0"/>
    <w:rsid w:val="005129A1"/>
    <w:rsid w:val="00512A18"/>
    <w:rsid w:val="00512C38"/>
    <w:rsid w:val="00512C9A"/>
    <w:rsid w:val="005132B2"/>
    <w:rsid w:val="00513852"/>
    <w:rsid w:val="00514020"/>
    <w:rsid w:val="00514D52"/>
    <w:rsid w:val="00515702"/>
    <w:rsid w:val="00515AD2"/>
    <w:rsid w:val="00515E8F"/>
    <w:rsid w:val="005160F9"/>
    <w:rsid w:val="00516C88"/>
    <w:rsid w:val="00516F91"/>
    <w:rsid w:val="00517958"/>
    <w:rsid w:val="00517A0C"/>
    <w:rsid w:val="00517EEC"/>
    <w:rsid w:val="00520083"/>
    <w:rsid w:val="00520174"/>
    <w:rsid w:val="005202FE"/>
    <w:rsid w:val="0052054F"/>
    <w:rsid w:val="005209AD"/>
    <w:rsid w:val="00520B99"/>
    <w:rsid w:val="00521094"/>
    <w:rsid w:val="005214BD"/>
    <w:rsid w:val="0052190F"/>
    <w:rsid w:val="00521CEF"/>
    <w:rsid w:val="00521E3C"/>
    <w:rsid w:val="00522190"/>
    <w:rsid w:val="00522626"/>
    <w:rsid w:val="00522AC3"/>
    <w:rsid w:val="00523201"/>
    <w:rsid w:val="0052396E"/>
    <w:rsid w:val="005246CE"/>
    <w:rsid w:val="0052477F"/>
    <w:rsid w:val="00525317"/>
    <w:rsid w:val="00525481"/>
    <w:rsid w:val="005255CF"/>
    <w:rsid w:val="005257DE"/>
    <w:rsid w:val="00526421"/>
    <w:rsid w:val="00526753"/>
    <w:rsid w:val="00526AE0"/>
    <w:rsid w:val="00526B90"/>
    <w:rsid w:val="00526CA4"/>
    <w:rsid w:val="00527235"/>
    <w:rsid w:val="00527B98"/>
    <w:rsid w:val="00527CD7"/>
    <w:rsid w:val="00527E7E"/>
    <w:rsid w:val="005301BE"/>
    <w:rsid w:val="005303E3"/>
    <w:rsid w:val="00530F26"/>
    <w:rsid w:val="00531068"/>
    <w:rsid w:val="00531131"/>
    <w:rsid w:val="0053124A"/>
    <w:rsid w:val="00531364"/>
    <w:rsid w:val="005315A3"/>
    <w:rsid w:val="0053163C"/>
    <w:rsid w:val="0053165B"/>
    <w:rsid w:val="005318BA"/>
    <w:rsid w:val="00531C11"/>
    <w:rsid w:val="00531F2D"/>
    <w:rsid w:val="00531FBF"/>
    <w:rsid w:val="0053209E"/>
    <w:rsid w:val="005321F6"/>
    <w:rsid w:val="00532BDD"/>
    <w:rsid w:val="00532D1A"/>
    <w:rsid w:val="00532EBE"/>
    <w:rsid w:val="00533945"/>
    <w:rsid w:val="00533D72"/>
    <w:rsid w:val="00534D71"/>
    <w:rsid w:val="00535F85"/>
    <w:rsid w:val="00535F96"/>
    <w:rsid w:val="005366A5"/>
    <w:rsid w:val="00536F68"/>
    <w:rsid w:val="00537119"/>
    <w:rsid w:val="00537373"/>
    <w:rsid w:val="0053769F"/>
    <w:rsid w:val="00537749"/>
    <w:rsid w:val="005379AA"/>
    <w:rsid w:val="00537A3F"/>
    <w:rsid w:val="00537B73"/>
    <w:rsid w:val="005403C0"/>
    <w:rsid w:val="005411B8"/>
    <w:rsid w:val="0054124B"/>
    <w:rsid w:val="0054177B"/>
    <w:rsid w:val="00541D66"/>
    <w:rsid w:val="00542A9B"/>
    <w:rsid w:val="00542D59"/>
    <w:rsid w:val="00543435"/>
    <w:rsid w:val="005442E3"/>
    <w:rsid w:val="00544BFA"/>
    <w:rsid w:val="005454F1"/>
    <w:rsid w:val="00545DE7"/>
    <w:rsid w:val="00545FC8"/>
    <w:rsid w:val="00546784"/>
    <w:rsid w:val="00546A90"/>
    <w:rsid w:val="00546D04"/>
    <w:rsid w:val="00546D9F"/>
    <w:rsid w:val="00546EFC"/>
    <w:rsid w:val="00546F47"/>
    <w:rsid w:val="00547D74"/>
    <w:rsid w:val="00550532"/>
    <w:rsid w:val="00550B63"/>
    <w:rsid w:val="00550CB1"/>
    <w:rsid w:val="00550DCD"/>
    <w:rsid w:val="005512EF"/>
    <w:rsid w:val="0055251C"/>
    <w:rsid w:val="00552B8A"/>
    <w:rsid w:val="00552D08"/>
    <w:rsid w:val="00553C2E"/>
    <w:rsid w:val="00553E15"/>
    <w:rsid w:val="00553FAB"/>
    <w:rsid w:val="00554032"/>
    <w:rsid w:val="00554585"/>
    <w:rsid w:val="0055459B"/>
    <w:rsid w:val="00554F3B"/>
    <w:rsid w:val="005550F5"/>
    <w:rsid w:val="00555FD6"/>
    <w:rsid w:val="00556155"/>
    <w:rsid w:val="005564A0"/>
    <w:rsid w:val="005579C9"/>
    <w:rsid w:val="00557A36"/>
    <w:rsid w:val="00557B06"/>
    <w:rsid w:val="00557CFA"/>
    <w:rsid w:val="00561C7F"/>
    <w:rsid w:val="00561EF9"/>
    <w:rsid w:val="005621CE"/>
    <w:rsid w:val="0056239B"/>
    <w:rsid w:val="00562FDC"/>
    <w:rsid w:val="005637CD"/>
    <w:rsid w:val="00563FEF"/>
    <w:rsid w:val="0056402A"/>
    <w:rsid w:val="005640E3"/>
    <w:rsid w:val="00564180"/>
    <w:rsid w:val="0056463E"/>
    <w:rsid w:val="00564FE9"/>
    <w:rsid w:val="00565964"/>
    <w:rsid w:val="0056652D"/>
    <w:rsid w:val="005669F2"/>
    <w:rsid w:val="00566D94"/>
    <w:rsid w:val="005670FB"/>
    <w:rsid w:val="00567148"/>
    <w:rsid w:val="005678BD"/>
    <w:rsid w:val="005700C8"/>
    <w:rsid w:val="00570D29"/>
    <w:rsid w:val="00571094"/>
    <w:rsid w:val="005712AB"/>
    <w:rsid w:val="00571304"/>
    <w:rsid w:val="005715F6"/>
    <w:rsid w:val="005719B8"/>
    <w:rsid w:val="005723E8"/>
    <w:rsid w:val="00572A64"/>
    <w:rsid w:val="00572D0E"/>
    <w:rsid w:val="0057350C"/>
    <w:rsid w:val="00573666"/>
    <w:rsid w:val="00573725"/>
    <w:rsid w:val="0057398B"/>
    <w:rsid w:val="00573A4F"/>
    <w:rsid w:val="00573C92"/>
    <w:rsid w:val="00573F85"/>
    <w:rsid w:val="0057430F"/>
    <w:rsid w:val="00574A6E"/>
    <w:rsid w:val="00575926"/>
    <w:rsid w:val="005759FD"/>
    <w:rsid w:val="00575CAE"/>
    <w:rsid w:val="00576306"/>
    <w:rsid w:val="005766AE"/>
    <w:rsid w:val="00576874"/>
    <w:rsid w:val="00576E00"/>
    <w:rsid w:val="0057705B"/>
    <w:rsid w:val="0057729E"/>
    <w:rsid w:val="005775DF"/>
    <w:rsid w:val="0058022F"/>
    <w:rsid w:val="005802C8"/>
    <w:rsid w:val="005809F8"/>
    <w:rsid w:val="00580ED7"/>
    <w:rsid w:val="00581075"/>
    <w:rsid w:val="00581B62"/>
    <w:rsid w:val="005822E5"/>
    <w:rsid w:val="005826DB"/>
    <w:rsid w:val="005834B0"/>
    <w:rsid w:val="00583642"/>
    <w:rsid w:val="00583A7E"/>
    <w:rsid w:val="005849B4"/>
    <w:rsid w:val="00584E56"/>
    <w:rsid w:val="00584FB3"/>
    <w:rsid w:val="00585863"/>
    <w:rsid w:val="00585900"/>
    <w:rsid w:val="00585CB8"/>
    <w:rsid w:val="00586C6D"/>
    <w:rsid w:val="00586D42"/>
    <w:rsid w:val="00587189"/>
    <w:rsid w:val="0058767D"/>
    <w:rsid w:val="00590322"/>
    <w:rsid w:val="00590AEC"/>
    <w:rsid w:val="00590C42"/>
    <w:rsid w:val="00590D27"/>
    <w:rsid w:val="00591384"/>
    <w:rsid w:val="0059182C"/>
    <w:rsid w:val="0059289A"/>
    <w:rsid w:val="00593000"/>
    <w:rsid w:val="005934AF"/>
    <w:rsid w:val="00593E5A"/>
    <w:rsid w:val="005941B8"/>
    <w:rsid w:val="00594710"/>
    <w:rsid w:val="00594BE3"/>
    <w:rsid w:val="00595E2B"/>
    <w:rsid w:val="00596EFA"/>
    <w:rsid w:val="005975AF"/>
    <w:rsid w:val="005975B4"/>
    <w:rsid w:val="00597FCC"/>
    <w:rsid w:val="005A0413"/>
    <w:rsid w:val="005A05EF"/>
    <w:rsid w:val="005A073A"/>
    <w:rsid w:val="005A0A51"/>
    <w:rsid w:val="005A0D12"/>
    <w:rsid w:val="005A0F55"/>
    <w:rsid w:val="005A0FFA"/>
    <w:rsid w:val="005A105E"/>
    <w:rsid w:val="005A10E3"/>
    <w:rsid w:val="005A13A4"/>
    <w:rsid w:val="005A165E"/>
    <w:rsid w:val="005A16F5"/>
    <w:rsid w:val="005A1913"/>
    <w:rsid w:val="005A19A6"/>
    <w:rsid w:val="005A1D22"/>
    <w:rsid w:val="005A244C"/>
    <w:rsid w:val="005A263A"/>
    <w:rsid w:val="005A2B9C"/>
    <w:rsid w:val="005A469F"/>
    <w:rsid w:val="005A4FBC"/>
    <w:rsid w:val="005A5261"/>
    <w:rsid w:val="005A5489"/>
    <w:rsid w:val="005A54B1"/>
    <w:rsid w:val="005A57CD"/>
    <w:rsid w:val="005A5CF0"/>
    <w:rsid w:val="005A5E5A"/>
    <w:rsid w:val="005A603F"/>
    <w:rsid w:val="005A633E"/>
    <w:rsid w:val="005A6499"/>
    <w:rsid w:val="005A64D6"/>
    <w:rsid w:val="005A667A"/>
    <w:rsid w:val="005A688B"/>
    <w:rsid w:val="005A68C1"/>
    <w:rsid w:val="005A72F2"/>
    <w:rsid w:val="005A7413"/>
    <w:rsid w:val="005A76E5"/>
    <w:rsid w:val="005A7732"/>
    <w:rsid w:val="005A7792"/>
    <w:rsid w:val="005B03DD"/>
    <w:rsid w:val="005B0632"/>
    <w:rsid w:val="005B0CC5"/>
    <w:rsid w:val="005B0D8D"/>
    <w:rsid w:val="005B0FA9"/>
    <w:rsid w:val="005B1097"/>
    <w:rsid w:val="005B165F"/>
    <w:rsid w:val="005B183D"/>
    <w:rsid w:val="005B20E4"/>
    <w:rsid w:val="005B23BA"/>
    <w:rsid w:val="005B28ED"/>
    <w:rsid w:val="005B2AC5"/>
    <w:rsid w:val="005B3B4C"/>
    <w:rsid w:val="005B478B"/>
    <w:rsid w:val="005B5054"/>
    <w:rsid w:val="005B526C"/>
    <w:rsid w:val="005B53B8"/>
    <w:rsid w:val="005B60EB"/>
    <w:rsid w:val="005B640B"/>
    <w:rsid w:val="005B652E"/>
    <w:rsid w:val="005B7027"/>
    <w:rsid w:val="005B729B"/>
    <w:rsid w:val="005B7512"/>
    <w:rsid w:val="005B76D9"/>
    <w:rsid w:val="005B76DA"/>
    <w:rsid w:val="005B77A8"/>
    <w:rsid w:val="005B7957"/>
    <w:rsid w:val="005B7B89"/>
    <w:rsid w:val="005B7C6C"/>
    <w:rsid w:val="005B7D60"/>
    <w:rsid w:val="005B7F43"/>
    <w:rsid w:val="005C03BF"/>
    <w:rsid w:val="005C06C7"/>
    <w:rsid w:val="005C0A7A"/>
    <w:rsid w:val="005C0B99"/>
    <w:rsid w:val="005C0E5A"/>
    <w:rsid w:val="005C103A"/>
    <w:rsid w:val="005C1A47"/>
    <w:rsid w:val="005C2B07"/>
    <w:rsid w:val="005C2B2C"/>
    <w:rsid w:val="005C2C11"/>
    <w:rsid w:val="005C2DC0"/>
    <w:rsid w:val="005C3926"/>
    <w:rsid w:val="005C3BBB"/>
    <w:rsid w:val="005C407F"/>
    <w:rsid w:val="005C447E"/>
    <w:rsid w:val="005C47BB"/>
    <w:rsid w:val="005C50E7"/>
    <w:rsid w:val="005C6454"/>
    <w:rsid w:val="005C64B1"/>
    <w:rsid w:val="005C685D"/>
    <w:rsid w:val="005C6D68"/>
    <w:rsid w:val="005C6FCD"/>
    <w:rsid w:val="005C7555"/>
    <w:rsid w:val="005C7D64"/>
    <w:rsid w:val="005D015A"/>
    <w:rsid w:val="005D03BF"/>
    <w:rsid w:val="005D0792"/>
    <w:rsid w:val="005D0D22"/>
    <w:rsid w:val="005D0F0F"/>
    <w:rsid w:val="005D16FF"/>
    <w:rsid w:val="005D18C1"/>
    <w:rsid w:val="005D234F"/>
    <w:rsid w:val="005D2586"/>
    <w:rsid w:val="005D2B07"/>
    <w:rsid w:val="005D317E"/>
    <w:rsid w:val="005D32C2"/>
    <w:rsid w:val="005D3377"/>
    <w:rsid w:val="005D337E"/>
    <w:rsid w:val="005D3404"/>
    <w:rsid w:val="005D36F0"/>
    <w:rsid w:val="005D38D7"/>
    <w:rsid w:val="005D3975"/>
    <w:rsid w:val="005D4000"/>
    <w:rsid w:val="005D414A"/>
    <w:rsid w:val="005D4C89"/>
    <w:rsid w:val="005D53C9"/>
    <w:rsid w:val="005D5747"/>
    <w:rsid w:val="005D5FFE"/>
    <w:rsid w:val="005D6167"/>
    <w:rsid w:val="005D64BB"/>
    <w:rsid w:val="005E0793"/>
    <w:rsid w:val="005E08C0"/>
    <w:rsid w:val="005E0917"/>
    <w:rsid w:val="005E0C3B"/>
    <w:rsid w:val="005E0D10"/>
    <w:rsid w:val="005E0D40"/>
    <w:rsid w:val="005E12A8"/>
    <w:rsid w:val="005E1879"/>
    <w:rsid w:val="005E1A80"/>
    <w:rsid w:val="005E1A97"/>
    <w:rsid w:val="005E1B2A"/>
    <w:rsid w:val="005E1C06"/>
    <w:rsid w:val="005E1F4E"/>
    <w:rsid w:val="005E20E1"/>
    <w:rsid w:val="005E237A"/>
    <w:rsid w:val="005E297F"/>
    <w:rsid w:val="005E2A19"/>
    <w:rsid w:val="005E2F7D"/>
    <w:rsid w:val="005E3215"/>
    <w:rsid w:val="005E3277"/>
    <w:rsid w:val="005E3EEC"/>
    <w:rsid w:val="005E3F84"/>
    <w:rsid w:val="005E3FCD"/>
    <w:rsid w:val="005E43E0"/>
    <w:rsid w:val="005E44E0"/>
    <w:rsid w:val="005E458E"/>
    <w:rsid w:val="005E4CF9"/>
    <w:rsid w:val="005E4DF2"/>
    <w:rsid w:val="005E4EC3"/>
    <w:rsid w:val="005E565E"/>
    <w:rsid w:val="005E5C7F"/>
    <w:rsid w:val="005E5EE1"/>
    <w:rsid w:val="005E6277"/>
    <w:rsid w:val="005E6AD0"/>
    <w:rsid w:val="005E7047"/>
    <w:rsid w:val="005E7198"/>
    <w:rsid w:val="005E7642"/>
    <w:rsid w:val="005E7815"/>
    <w:rsid w:val="005E7C39"/>
    <w:rsid w:val="005E7D49"/>
    <w:rsid w:val="005F065C"/>
    <w:rsid w:val="005F0884"/>
    <w:rsid w:val="005F094A"/>
    <w:rsid w:val="005F0D4B"/>
    <w:rsid w:val="005F1A1F"/>
    <w:rsid w:val="005F1A9B"/>
    <w:rsid w:val="005F24A7"/>
    <w:rsid w:val="005F24C7"/>
    <w:rsid w:val="005F3273"/>
    <w:rsid w:val="005F33D2"/>
    <w:rsid w:val="005F46E8"/>
    <w:rsid w:val="005F486D"/>
    <w:rsid w:val="005F4D17"/>
    <w:rsid w:val="005F54EB"/>
    <w:rsid w:val="005F5895"/>
    <w:rsid w:val="005F5A90"/>
    <w:rsid w:val="005F5AFA"/>
    <w:rsid w:val="005F5E57"/>
    <w:rsid w:val="005F5E7A"/>
    <w:rsid w:val="005F60AF"/>
    <w:rsid w:val="005F6257"/>
    <w:rsid w:val="005F64B7"/>
    <w:rsid w:val="005F64C2"/>
    <w:rsid w:val="005F6EDA"/>
    <w:rsid w:val="005F7722"/>
    <w:rsid w:val="005F7B1F"/>
    <w:rsid w:val="005F7D45"/>
    <w:rsid w:val="00600155"/>
    <w:rsid w:val="006003FA"/>
    <w:rsid w:val="00600509"/>
    <w:rsid w:val="006009E7"/>
    <w:rsid w:val="00600A9B"/>
    <w:rsid w:val="00600B06"/>
    <w:rsid w:val="00601216"/>
    <w:rsid w:val="00601503"/>
    <w:rsid w:val="006015F1"/>
    <w:rsid w:val="00601B77"/>
    <w:rsid w:val="00601C9D"/>
    <w:rsid w:val="00601F4C"/>
    <w:rsid w:val="006022BC"/>
    <w:rsid w:val="006028C2"/>
    <w:rsid w:val="00602E6C"/>
    <w:rsid w:val="006030BA"/>
    <w:rsid w:val="006030DA"/>
    <w:rsid w:val="00603457"/>
    <w:rsid w:val="006035A4"/>
    <w:rsid w:val="00603668"/>
    <w:rsid w:val="00603935"/>
    <w:rsid w:val="00603F9D"/>
    <w:rsid w:val="0060450E"/>
    <w:rsid w:val="00604517"/>
    <w:rsid w:val="006046F2"/>
    <w:rsid w:val="00604E7D"/>
    <w:rsid w:val="006050D0"/>
    <w:rsid w:val="006053AA"/>
    <w:rsid w:val="0060590F"/>
    <w:rsid w:val="00605CFC"/>
    <w:rsid w:val="00605D21"/>
    <w:rsid w:val="006065BB"/>
    <w:rsid w:val="006065D3"/>
    <w:rsid w:val="00606BD4"/>
    <w:rsid w:val="00606D05"/>
    <w:rsid w:val="00606F9B"/>
    <w:rsid w:val="00607215"/>
    <w:rsid w:val="006074EB"/>
    <w:rsid w:val="00610A64"/>
    <w:rsid w:val="00610F4C"/>
    <w:rsid w:val="00611094"/>
    <w:rsid w:val="006118C2"/>
    <w:rsid w:val="00611F3E"/>
    <w:rsid w:val="006120C9"/>
    <w:rsid w:val="006129A9"/>
    <w:rsid w:val="00612B23"/>
    <w:rsid w:val="00612B9F"/>
    <w:rsid w:val="006136D9"/>
    <w:rsid w:val="0061375D"/>
    <w:rsid w:val="00614537"/>
    <w:rsid w:val="006146E6"/>
    <w:rsid w:val="00614FF6"/>
    <w:rsid w:val="00615396"/>
    <w:rsid w:val="006160A3"/>
    <w:rsid w:val="00616B53"/>
    <w:rsid w:val="006171F4"/>
    <w:rsid w:val="00617209"/>
    <w:rsid w:val="006174EF"/>
    <w:rsid w:val="006175E3"/>
    <w:rsid w:val="006177CD"/>
    <w:rsid w:val="0061785A"/>
    <w:rsid w:val="00620313"/>
    <w:rsid w:val="00620A43"/>
    <w:rsid w:val="00620B7E"/>
    <w:rsid w:val="00621009"/>
    <w:rsid w:val="00621092"/>
    <w:rsid w:val="00621311"/>
    <w:rsid w:val="0062164A"/>
    <w:rsid w:val="00621B10"/>
    <w:rsid w:val="00621C62"/>
    <w:rsid w:val="006220EF"/>
    <w:rsid w:val="006221BD"/>
    <w:rsid w:val="006226CD"/>
    <w:rsid w:val="00623988"/>
    <w:rsid w:val="00623AAC"/>
    <w:rsid w:val="00623D14"/>
    <w:rsid w:val="00623EA4"/>
    <w:rsid w:val="00623EB5"/>
    <w:rsid w:val="00624214"/>
    <w:rsid w:val="00624283"/>
    <w:rsid w:val="006244BC"/>
    <w:rsid w:val="0062455A"/>
    <w:rsid w:val="00624F85"/>
    <w:rsid w:val="00625049"/>
    <w:rsid w:val="006250D3"/>
    <w:rsid w:val="00625462"/>
    <w:rsid w:val="006254C6"/>
    <w:rsid w:val="00625BE4"/>
    <w:rsid w:val="00625D0C"/>
    <w:rsid w:val="00626249"/>
    <w:rsid w:val="006262B3"/>
    <w:rsid w:val="0062699C"/>
    <w:rsid w:val="00626AD5"/>
    <w:rsid w:val="00626C1A"/>
    <w:rsid w:val="00627102"/>
    <w:rsid w:val="00627563"/>
    <w:rsid w:val="00627BAE"/>
    <w:rsid w:val="006308CA"/>
    <w:rsid w:val="00630D15"/>
    <w:rsid w:val="00630F03"/>
    <w:rsid w:val="00631001"/>
    <w:rsid w:val="006313E0"/>
    <w:rsid w:val="006315FB"/>
    <w:rsid w:val="00631A42"/>
    <w:rsid w:val="006325DB"/>
    <w:rsid w:val="00632A66"/>
    <w:rsid w:val="00633094"/>
    <w:rsid w:val="00633402"/>
    <w:rsid w:val="0063381D"/>
    <w:rsid w:val="00633975"/>
    <w:rsid w:val="0063419D"/>
    <w:rsid w:val="00634697"/>
    <w:rsid w:val="00634F4D"/>
    <w:rsid w:val="0063507B"/>
    <w:rsid w:val="00635667"/>
    <w:rsid w:val="00636010"/>
    <w:rsid w:val="0063657B"/>
    <w:rsid w:val="006365AE"/>
    <w:rsid w:val="00636A40"/>
    <w:rsid w:val="00637ED2"/>
    <w:rsid w:val="006401BE"/>
    <w:rsid w:val="00640B67"/>
    <w:rsid w:val="00640CCF"/>
    <w:rsid w:val="006413A5"/>
    <w:rsid w:val="00641522"/>
    <w:rsid w:val="00641896"/>
    <w:rsid w:val="00641C34"/>
    <w:rsid w:val="0064242B"/>
    <w:rsid w:val="006426F7"/>
    <w:rsid w:val="006433E4"/>
    <w:rsid w:val="0064349D"/>
    <w:rsid w:val="006437FD"/>
    <w:rsid w:val="0064391E"/>
    <w:rsid w:val="00643C97"/>
    <w:rsid w:val="00644412"/>
    <w:rsid w:val="00644544"/>
    <w:rsid w:val="006448CD"/>
    <w:rsid w:val="00644993"/>
    <w:rsid w:val="00644B8F"/>
    <w:rsid w:val="00645438"/>
    <w:rsid w:val="0064649C"/>
    <w:rsid w:val="00646D08"/>
    <w:rsid w:val="00647193"/>
    <w:rsid w:val="00647446"/>
    <w:rsid w:val="00647463"/>
    <w:rsid w:val="00647D17"/>
    <w:rsid w:val="00650038"/>
    <w:rsid w:val="0065003A"/>
    <w:rsid w:val="0065047B"/>
    <w:rsid w:val="0065089B"/>
    <w:rsid w:val="00651690"/>
    <w:rsid w:val="00651B66"/>
    <w:rsid w:val="00651D12"/>
    <w:rsid w:val="0065299F"/>
    <w:rsid w:val="00652AC9"/>
    <w:rsid w:val="00652ED7"/>
    <w:rsid w:val="006534F1"/>
    <w:rsid w:val="00653E0E"/>
    <w:rsid w:val="0065409C"/>
    <w:rsid w:val="0065415B"/>
    <w:rsid w:val="00654858"/>
    <w:rsid w:val="00654A88"/>
    <w:rsid w:val="006554E7"/>
    <w:rsid w:val="00655C32"/>
    <w:rsid w:val="00655EC5"/>
    <w:rsid w:val="00656D63"/>
    <w:rsid w:val="0065700D"/>
    <w:rsid w:val="006570A9"/>
    <w:rsid w:val="0065711B"/>
    <w:rsid w:val="00657541"/>
    <w:rsid w:val="006577A3"/>
    <w:rsid w:val="0066083A"/>
    <w:rsid w:val="006608FC"/>
    <w:rsid w:val="00660A2F"/>
    <w:rsid w:val="00660D57"/>
    <w:rsid w:val="00660F2D"/>
    <w:rsid w:val="00661084"/>
    <w:rsid w:val="0066151F"/>
    <w:rsid w:val="0066177B"/>
    <w:rsid w:val="0066203A"/>
    <w:rsid w:val="00662165"/>
    <w:rsid w:val="006624A3"/>
    <w:rsid w:val="0066258C"/>
    <w:rsid w:val="00662EAD"/>
    <w:rsid w:val="00663190"/>
    <w:rsid w:val="006635DA"/>
    <w:rsid w:val="006643A1"/>
    <w:rsid w:val="00664821"/>
    <w:rsid w:val="0066482C"/>
    <w:rsid w:val="006649CF"/>
    <w:rsid w:val="00664BB7"/>
    <w:rsid w:val="00664C19"/>
    <w:rsid w:val="00664E1F"/>
    <w:rsid w:val="00664E79"/>
    <w:rsid w:val="00665045"/>
    <w:rsid w:val="006658FD"/>
    <w:rsid w:val="006659FC"/>
    <w:rsid w:val="00665A3F"/>
    <w:rsid w:val="00665A62"/>
    <w:rsid w:val="006663BC"/>
    <w:rsid w:val="00666800"/>
    <w:rsid w:val="00666F39"/>
    <w:rsid w:val="00667BF3"/>
    <w:rsid w:val="006700DB"/>
    <w:rsid w:val="00670750"/>
    <w:rsid w:val="00670B2F"/>
    <w:rsid w:val="00670B30"/>
    <w:rsid w:val="00670D43"/>
    <w:rsid w:val="00670ECB"/>
    <w:rsid w:val="00671881"/>
    <w:rsid w:val="00671957"/>
    <w:rsid w:val="00671CF9"/>
    <w:rsid w:val="00671E20"/>
    <w:rsid w:val="00671F7D"/>
    <w:rsid w:val="006722D3"/>
    <w:rsid w:val="00672617"/>
    <w:rsid w:val="00673319"/>
    <w:rsid w:val="00673387"/>
    <w:rsid w:val="006735F4"/>
    <w:rsid w:val="00673B3A"/>
    <w:rsid w:val="0067402D"/>
    <w:rsid w:val="00674362"/>
    <w:rsid w:val="006747BA"/>
    <w:rsid w:val="00674AA9"/>
    <w:rsid w:val="00674CE8"/>
    <w:rsid w:val="00675201"/>
    <w:rsid w:val="00675ADE"/>
    <w:rsid w:val="00675CD6"/>
    <w:rsid w:val="00675F42"/>
    <w:rsid w:val="0067670C"/>
    <w:rsid w:val="00676B1C"/>
    <w:rsid w:val="00676E47"/>
    <w:rsid w:val="0067706A"/>
    <w:rsid w:val="0067743E"/>
    <w:rsid w:val="00677467"/>
    <w:rsid w:val="00677655"/>
    <w:rsid w:val="00677948"/>
    <w:rsid w:val="00677AE6"/>
    <w:rsid w:val="00677D36"/>
    <w:rsid w:val="00677E2C"/>
    <w:rsid w:val="00677E66"/>
    <w:rsid w:val="006801D6"/>
    <w:rsid w:val="006809AD"/>
    <w:rsid w:val="00680E5E"/>
    <w:rsid w:val="006812C8"/>
    <w:rsid w:val="00681925"/>
    <w:rsid w:val="00681ED3"/>
    <w:rsid w:val="006823BB"/>
    <w:rsid w:val="006829AE"/>
    <w:rsid w:val="006829B2"/>
    <w:rsid w:val="00682B8C"/>
    <w:rsid w:val="00682EFD"/>
    <w:rsid w:val="0068323C"/>
    <w:rsid w:val="00683597"/>
    <w:rsid w:val="00683BAD"/>
    <w:rsid w:val="0068433C"/>
    <w:rsid w:val="006845DC"/>
    <w:rsid w:val="00684D57"/>
    <w:rsid w:val="00685093"/>
    <w:rsid w:val="00685815"/>
    <w:rsid w:val="0068586B"/>
    <w:rsid w:val="00686887"/>
    <w:rsid w:val="00686F3A"/>
    <w:rsid w:val="006870F3"/>
    <w:rsid w:val="00687416"/>
    <w:rsid w:val="0068751C"/>
    <w:rsid w:val="00687A1E"/>
    <w:rsid w:val="00690A0D"/>
    <w:rsid w:val="00690ADF"/>
    <w:rsid w:val="00691C36"/>
    <w:rsid w:val="0069228D"/>
    <w:rsid w:val="00692478"/>
    <w:rsid w:val="0069269C"/>
    <w:rsid w:val="00692848"/>
    <w:rsid w:val="00692C73"/>
    <w:rsid w:val="006932BF"/>
    <w:rsid w:val="00693650"/>
    <w:rsid w:val="00693707"/>
    <w:rsid w:val="00693938"/>
    <w:rsid w:val="006944F9"/>
    <w:rsid w:val="00694C5A"/>
    <w:rsid w:val="0069585D"/>
    <w:rsid w:val="00695B22"/>
    <w:rsid w:val="006961B7"/>
    <w:rsid w:val="006961BD"/>
    <w:rsid w:val="0069621C"/>
    <w:rsid w:val="00696A99"/>
    <w:rsid w:val="00696E6A"/>
    <w:rsid w:val="00696F2E"/>
    <w:rsid w:val="00696FC7"/>
    <w:rsid w:val="00697711"/>
    <w:rsid w:val="00697E5D"/>
    <w:rsid w:val="006A0556"/>
    <w:rsid w:val="006A1211"/>
    <w:rsid w:val="006A1697"/>
    <w:rsid w:val="006A1723"/>
    <w:rsid w:val="006A1B24"/>
    <w:rsid w:val="006A1F59"/>
    <w:rsid w:val="006A2078"/>
    <w:rsid w:val="006A22B5"/>
    <w:rsid w:val="006A2CAE"/>
    <w:rsid w:val="006A2E0C"/>
    <w:rsid w:val="006A39E7"/>
    <w:rsid w:val="006A3D20"/>
    <w:rsid w:val="006A3D40"/>
    <w:rsid w:val="006A44AD"/>
    <w:rsid w:val="006A46AB"/>
    <w:rsid w:val="006A4E7D"/>
    <w:rsid w:val="006A545E"/>
    <w:rsid w:val="006A5611"/>
    <w:rsid w:val="006A655D"/>
    <w:rsid w:val="006A66CB"/>
    <w:rsid w:val="006A670C"/>
    <w:rsid w:val="006A68D6"/>
    <w:rsid w:val="006A6FFE"/>
    <w:rsid w:val="006A7934"/>
    <w:rsid w:val="006A7FBC"/>
    <w:rsid w:val="006B0CFF"/>
    <w:rsid w:val="006B0DA2"/>
    <w:rsid w:val="006B0EBF"/>
    <w:rsid w:val="006B10DC"/>
    <w:rsid w:val="006B14BB"/>
    <w:rsid w:val="006B183B"/>
    <w:rsid w:val="006B1A0C"/>
    <w:rsid w:val="006B1A22"/>
    <w:rsid w:val="006B2698"/>
    <w:rsid w:val="006B2FF5"/>
    <w:rsid w:val="006B3041"/>
    <w:rsid w:val="006B330A"/>
    <w:rsid w:val="006B37BD"/>
    <w:rsid w:val="006B3AEE"/>
    <w:rsid w:val="006B3DFF"/>
    <w:rsid w:val="006B3E87"/>
    <w:rsid w:val="006B3F66"/>
    <w:rsid w:val="006B4634"/>
    <w:rsid w:val="006B4659"/>
    <w:rsid w:val="006B4FFA"/>
    <w:rsid w:val="006B5071"/>
    <w:rsid w:val="006B51DF"/>
    <w:rsid w:val="006B5348"/>
    <w:rsid w:val="006B5715"/>
    <w:rsid w:val="006B59BD"/>
    <w:rsid w:val="006B5D17"/>
    <w:rsid w:val="006B5FF1"/>
    <w:rsid w:val="006B6162"/>
    <w:rsid w:val="006B6570"/>
    <w:rsid w:val="006B6B95"/>
    <w:rsid w:val="006B6DF9"/>
    <w:rsid w:val="006B73B9"/>
    <w:rsid w:val="006B7566"/>
    <w:rsid w:val="006B7734"/>
    <w:rsid w:val="006B7768"/>
    <w:rsid w:val="006B7FF7"/>
    <w:rsid w:val="006C090C"/>
    <w:rsid w:val="006C100C"/>
    <w:rsid w:val="006C18F2"/>
    <w:rsid w:val="006C1F40"/>
    <w:rsid w:val="006C2517"/>
    <w:rsid w:val="006C25E0"/>
    <w:rsid w:val="006C2B94"/>
    <w:rsid w:val="006C2EF8"/>
    <w:rsid w:val="006C2F33"/>
    <w:rsid w:val="006C3172"/>
    <w:rsid w:val="006C32A9"/>
    <w:rsid w:val="006C37D1"/>
    <w:rsid w:val="006C3E23"/>
    <w:rsid w:val="006C3F5E"/>
    <w:rsid w:val="006C4DC2"/>
    <w:rsid w:val="006C4EE0"/>
    <w:rsid w:val="006C60B0"/>
    <w:rsid w:val="006C6911"/>
    <w:rsid w:val="006C6D62"/>
    <w:rsid w:val="006C7EF4"/>
    <w:rsid w:val="006D049B"/>
    <w:rsid w:val="006D0818"/>
    <w:rsid w:val="006D092D"/>
    <w:rsid w:val="006D09B5"/>
    <w:rsid w:val="006D0DDF"/>
    <w:rsid w:val="006D0FEF"/>
    <w:rsid w:val="006D1060"/>
    <w:rsid w:val="006D1101"/>
    <w:rsid w:val="006D16F7"/>
    <w:rsid w:val="006D1E4B"/>
    <w:rsid w:val="006D2398"/>
    <w:rsid w:val="006D2451"/>
    <w:rsid w:val="006D282D"/>
    <w:rsid w:val="006D2ECD"/>
    <w:rsid w:val="006D3CEE"/>
    <w:rsid w:val="006D4B62"/>
    <w:rsid w:val="006D4E0D"/>
    <w:rsid w:val="006D5366"/>
    <w:rsid w:val="006D541C"/>
    <w:rsid w:val="006D54EE"/>
    <w:rsid w:val="006D596B"/>
    <w:rsid w:val="006D5CD3"/>
    <w:rsid w:val="006D5FD3"/>
    <w:rsid w:val="006D603F"/>
    <w:rsid w:val="006D62E9"/>
    <w:rsid w:val="006D68D7"/>
    <w:rsid w:val="006D6988"/>
    <w:rsid w:val="006D6C9B"/>
    <w:rsid w:val="006D781A"/>
    <w:rsid w:val="006D799B"/>
    <w:rsid w:val="006D7AD5"/>
    <w:rsid w:val="006E05D8"/>
    <w:rsid w:val="006E0BB4"/>
    <w:rsid w:val="006E1152"/>
    <w:rsid w:val="006E2609"/>
    <w:rsid w:val="006E2C0F"/>
    <w:rsid w:val="006E2C92"/>
    <w:rsid w:val="006E2F05"/>
    <w:rsid w:val="006E32A2"/>
    <w:rsid w:val="006E32BD"/>
    <w:rsid w:val="006E3C3F"/>
    <w:rsid w:val="006E432C"/>
    <w:rsid w:val="006E4356"/>
    <w:rsid w:val="006E43F0"/>
    <w:rsid w:val="006E50B1"/>
    <w:rsid w:val="006E51B3"/>
    <w:rsid w:val="006E54A3"/>
    <w:rsid w:val="006E5D7B"/>
    <w:rsid w:val="006E5E08"/>
    <w:rsid w:val="006E5F79"/>
    <w:rsid w:val="006E67A9"/>
    <w:rsid w:val="006E6FFB"/>
    <w:rsid w:val="006E7707"/>
    <w:rsid w:val="006E777A"/>
    <w:rsid w:val="006F0033"/>
    <w:rsid w:val="006F012B"/>
    <w:rsid w:val="006F02BA"/>
    <w:rsid w:val="006F0426"/>
    <w:rsid w:val="006F1954"/>
    <w:rsid w:val="006F20BA"/>
    <w:rsid w:val="006F22B3"/>
    <w:rsid w:val="006F2732"/>
    <w:rsid w:val="006F2D40"/>
    <w:rsid w:val="006F2EB8"/>
    <w:rsid w:val="006F3469"/>
    <w:rsid w:val="006F3ACF"/>
    <w:rsid w:val="006F3CAC"/>
    <w:rsid w:val="006F3E0A"/>
    <w:rsid w:val="006F3FCA"/>
    <w:rsid w:val="006F53EE"/>
    <w:rsid w:val="006F5497"/>
    <w:rsid w:val="006F573F"/>
    <w:rsid w:val="006F5B87"/>
    <w:rsid w:val="006F5ED7"/>
    <w:rsid w:val="006F61E3"/>
    <w:rsid w:val="006F6226"/>
    <w:rsid w:val="006F62A2"/>
    <w:rsid w:val="006F65EB"/>
    <w:rsid w:val="006F6D6F"/>
    <w:rsid w:val="006F7904"/>
    <w:rsid w:val="006F7BE8"/>
    <w:rsid w:val="006F7E5A"/>
    <w:rsid w:val="00700104"/>
    <w:rsid w:val="00700385"/>
    <w:rsid w:val="007005C9"/>
    <w:rsid w:val="00700ECF"/>
    <w:rsid w:val="0070123A"/>
    <w:rsid w:val="00701FB5"/>
    <w:rsid w:val="00702161"/>
    <w:rsid w:val="007025ED"/>
    <w:rsid w:val="00702DA4"/>
    <w:rsid w:val="00702FF1"/>
    <w:rsid w:val="0070311A"/>
    <w:rsid w:val="0070321D"/>
    <w:rsid w:val="00703628"/>
    <w:rsid w:val="00703690"/>
    <w:rsid w:val="00703827"/>
    <w:rsid w:val="00703944"/>
    <w:rsid w:val="00703C28"/>
    <w:rsid w:val="00703DA4"/>
    <w:rsid w:val="00703FAA"/>
    <w:rsid w:val="007040E6"/>
    <w:rsid w:val="007041CC"/>
    <w:rsid w:val="00704423"/>
    <w:rsid w:val="0070452F"/>
    <w:rsid w:val="007051C5"/>
    <w:rsid w:val="007061EB"/>
    <w:rsid w:val="00706900"/>
    <w:rsid w:val="0070695A"/>
    <w:rsid w:val="00706C26"/>
    <w:rsid w:val="00706DD3"/>
    <w:rsid w:val="007071CC"/>
    <w:rsid w:val="00707BB5"/>
    <w:rsid w:val="00707D23"/>
    <w:rsid w:val="0071028F"/>
    <w:rsid w:val="0071076A"/>
    <w:rsid w:val="0071087E"/>
    <w:rsid w:val="00710909"/>
    <w:rsid w:val="00710AB2"/>
    <w:rsid w:val="00710D1E"/>
    <w:rsid w:val="00710FA7"/>
    <w:rsid w:val="00711A57"/>
    <w:rsid w:val="00711B19"/>
    <w:rsid w:val="007122DB"/>
    <w:rsid w:val="00712573"/>
    <w:rsid w:val="007130C1"/>
    <w:rsid w:val="00713260"/>
    <w:rsid w:val="0071434E"/>
    <w:rsid w:val="007143EE"/>
    <w:rsid w:val="0071443B"/>
    <w:rsid w:val="00714966"/>
    <w:rsid w:val="00715CD1"/>
    <w:rsid w:val="00715E58"/>
    <w:rsid w:val="0071642E"/>
    <w:rsid w:val="007167E0"/>
    <w:rsid w:val="00716930"/>
    <w:rsid w:val="00716A31"/>
    <w:rsid w:val="007172D9"/>
    <w:rsid w:val="007202C1"/>
    <w:rsid w:val="00720F80"/>
    <w:rsid w:val="00721070"/>
    <w:rsid w:val="0072133A"/>
    <w:rsid w:val="00721D7C"/>
    <w:rsid w:val="0072242D"/>
    <w:rsid w:val="007224AC"/>
    <w:rsid w:val="007225AA"/>
    <w:rsid w:val="00722791"/>
    <w:rsid w:val="0072296B"/>
    <w:rsid w:val="00722F27"/>
    <w:rsid w:val="00723655"/>
    <w:rsid w:val="00724676"/>
    <w:rsid w:val="00724808"/>
    <w:rsid w:val="0072480E"/>
    <w:rsid w:val="00724976"/>
    <w:rsid w:val="0072511B"/>
    <w:rsid w:val="007254BE"/>
    <w:rsid w:val="007258B7"/>
    <w:rsid w:val="00725969"/>
    <w:rsid w:val="00726ED4"/>
    <w:rsid w:val="007270D5"/>
    <w:rsid w:val="007272C7"/>
    <w:rsid w:val="00727A95"/>
    <w:rsid w:val="00730297"/>
    <w:rsid w:val="007303E1"/>
    <w:rsid w:val="007306BD"/>
    <w:rsid w:val="00730BA8"/>
    <w:rsid w:val="00731A7E"/>
    <w:rsid w:val="00731BFC"/>
    <w:rsid w:val="00731E72"/>
    <w:rsid w:val="00731EB4"/>
    <w:rsid w:val="00731FCC"/>
    <w:rsid w:val="007321C7"/>
    <w:rsid w:val="007322F5"/>
    <w:rsid w:val="007323C8"/>
    <w:rsid w:val="007326E8"/>
    <w:rsid w:val="0073288E"/>
    <w:rsid w:val="00733013"/>
    <w:rsid w:val="00733458"/>
    <w:rsid w:val="00734350"/>
    <w:rsid w:val="007347B7"/>
    <w:rsid w:val="00734F8F"/>
    <w:rsid w:val="00734FFB"/>
    <w:rsid w:val="00735EFA"/>
    <w:rsid w:val="00736472"/>
    <w:rsid w:val="007367B9"/>
    <w:rsid w:val="00736B54"/>
    <w:rsid w:val="0073702E"/>
    <w:rsid w:val="00737842"/>
    <w:rsid w:val="00737A28"/>
    <w:rsid w:val="00737EAA"/>
    <w:rsid w:val="00740289"/>
    <w:rsid w:val="007403E8"/>
    <w:rsid w:val="00741630"/>
    <w:rsid w:val="007416D6"/>
    <w:rsid w:val="00741E1C"/>
    <w:rsid w:val="007422F3"/>
    <w:rsid w:val="0074272F"/>
    <w:rsid w:val="00742D13"/>
    <w:rsid w:val="00742E71"/>
    <w:rsid w:val="00742F86"/>
    <w:rsid w:val="00743021"/>
    <w:rsid w:val="0074305B"/>
    <w:rsid w:val="00743689"/>
    <w:rsid w:val="00743856"/>
    <w:rsid w:val="00743913"/>
    <w:rsid w:val="00743F59"/>
    <w:rsid w:val="00744117"/>
    <w:rsid w:val="007450D0"/>
    <w:rsid w:val="007452E6"/>
    <w:rsid w:val="00745326"/>
    <w:rsid w:val="0074539B"/>
    <w:rsid w:val="007455D5"/>
    <w:rsid w:val="00745EA6"/>
    <w:rsid w:val="00747616"/>
    <w:rsid w:val="00747620"/>
    <w:rsid w:val="007478ED"/>
    <w:rsid w:val="00747C70"/>
    <w:rsid w:val="0075003C"/>
    <w:rsid w:val="00750299"/>
    <w:rsid w:val="00750516"/>
    <w:rsid w:val="00750616"/>
    <w:rsid w:val="00750A72"/>
    <w:rsid w:val="007513C4"/>
    <w:rsid w:val="00751802"/>
    <w:rsid w:val="00751AA8"/>
    <w:rsid w:val="007523A2"/>
    <w:rsid w:val="00752AD3"/>
    <w:rsid w:val="00752DF8"/>
    <w:rsid w:val="007531B8"/>
    <w:rsid w:val="00753305"/>
    <w:rsid w:val="00753AA8"/>
    <w:rsid w:val="007541BA"/>
    <w:rsid w:val="00754514"/>
    <w:rsid w:val="00754A50"/>
    <w:rsid w:val="00754F18"/>
    <w:rsid w:val="00755244"/>
    <w:rsid w:val="007559FD"/>
    <w:rsid w:val="00755A6F"/>
    <w:rsid w:val="00755CD0"/>
    <w:rsid w:val="00755D46"/>
    <w:rsid w:val="007560BA"/>
    <w:rsid w:val="007562F0"/>
    <w:rsid w:val="00756926"/>
    <w:rsid w:val="00757598"/>
    <w:rsid w:val="00760356"/>
    <w:rsid w:val="00760585"/>
    <w:rsid w:val="00760709"/>
    <w:rsid w:val="00760B3F"/>
    <w:rsid w:val="00760F5B"/>
    <w:rsid w:val="00761327"/>
    <w:rsid w:val="0076164F"/>
    <w:rsid w:val="0076169E"/>
    <w:rsid w:val="00761727"/>
    <w:rsid w:val="0076173C"/>
    <w:rsid w:val="00761765"/>
    <w:rsid w:val="00761874"/>
    <w:rsid w:val="00761D4A"/>
    <w:rsid w:val="00761E63"/>
    <w:rsid w:val="00762287"/>
    <w:rsid w:val="0076239B"/>
    <w:rsid w:val="0076272E"/>
    <w:rsid w:val="00762EE3"/>
    <w:rsid w:val="00763141"/>
    <w:rsid w:val="007635EF"/>
    <w:rsid w:val="007638C7"/>
    <w:rsid w:val="007638E8"/>
    <w:rsid w:val="00763D21"/>
    <w:rsid w:val="00763EF6"/>
    <w:rsid w:val="007642AF"/>
    <w:rsid w:val="00764305"/>
    <w:rsid w:val="007647CC"/>
    <w:rsid w:val="00764AA7"/>
    <w:rsid w:val="0076533B"/>
    <w:rsid w:val="0076567C"/>
    <w:rsid w:val="00765C68"/>
    <w:rsid w:val="00765EA9"/>
    <w:rsid w:val="00765F98"/>
    <w:rsid w:val="00766C63"/>
    <w:rsid w:val="00766F18"/>
    <w:rsid w:val="00766FBE"/>
    <w:rsid w:val="0076726D"/>
    <w:rsid w:val="00767680"/>
    <w:rsid w:val="00767996"/>
    <w:rsid w:val="007700A9"/>
    <w:rsid w:val="00770171"/>
    <w:rsid w:val="00770415"/>
    <w:rsid w:val="0077088B"/>
    <w:rsid w:val="007717FA"/>
    <w:rsid w:val="0077202E"/>
    <w:rsid w:val="00772972"/>
    <w:rsid w:val="00772A36"/>
    <w:rsid w:val="00772AD0"/>
    <w:rsid w:val="007731D6"/>
    <w:rsid w:val="007740D8"/>
    <w:rsid w:val="0077431D"/>
    <w:rsid w:val="0077497E"/>
    <w:rsid w:val="00774FE5"/>
    <w:rsid w:val="00775717"/>
    <w:rsid w:val="00775B83"/>
    <w:rsid w:val="0077617C"/>
    <w:rsid w:val="00776499"/>
    <w:rsid w:val="007764B8"/>
    <w:rsid w:val="007764ED"/>
    <w:rsid w:val="007765BB"/>
    <w:rsid w:val="00776803"/>
    <w:rsid w:val="00776E73"/>
    <w:rsid w:val="00777473"/>
    <w:rsid w:val="00780834"/>
    <w:rsid w:val="0078126E"/>
    <w:rsid w:val="007815E9"/>
    <w:rsid w:val="00781D15"/>
    <w:rsid w:val="00782099"/>
    <w:rsid w:val="00782141"/>
    <w:rsid w:val="00782A21"/>
    <w:rsid w:val="00782B82"/>
    <w:rsid w:val="00782EFD"/>
    <w:rsid w:val="007830EE"/>
    <w:rsid w:val="0078328C"/>
    <w:rsid w:val="00783C65"/>
    <w:rsid w:val="0078411C"/>
    <w:rsid w:val="00784776"/>
    <w:rsid w:val="00784B26"/>
    <w:rsid w:val="00784D09"/>
    <w:rsid w:val="00784D9F"/>
    <w:rsid w:val="007858B3"/>
    <w:rsid w:val="0078593A"/>
    <w:rsid w:val="00785CAE"/>
    <w:rsid w:val="007862CF"/>
    <w:rsid w:val="0078675E"/>
    <w:rsid w:val="007867F6"/>
    <w:rsid w:val="00786CC0"/>
    <w:rsid w:val="00786F20"/>
    <w:rsid w:val="0078745B"/>
    <w:rsid w:val="007877A3"/>
    <w:rsid w:val="00787BFF"/>
    <w:rsid w:val="00787D67"/>
    <w:rsid w:val="00787FC7"/>
    <w:rsid w:val="00790909"/>
    <w:rsid w:val="00790A13"/>
    <w:rsid w:val="00790C18"/>
    <w:rsid w:val="00791B8E"/>
    <w:rsid w:val="00792956"/>
    <w:rsid w:val="00792DEE"/>
    <w:rsid w:val="00793C26"/>
    <w:rsid w:val="00793C2E"/>
    <w:rsid w:val="007941E3"/>
    <w:rsid w:val="007945C7"/>
    <w:rsid w:val="007949DA"/>
    <w:rsid w:val="007949FC"/>
    <w:rsid w:val="00795445"/>
    <w:rsid w:val="0079562D"/>
    <w:rsid w:val="007957F3"/>
    <w:rsid w:val="00795AF4"/>
    <w:rsid w:val="00796BD3"/>
    <w:rsid w:val="00796C13"/>
    <w:rsid w:val="00796E5C"/>
    <w:rsid w:val="00796F69"/>
    <w:rsid w:val="00796F9A"/>
    <w:rsid w:val="007974BE"/>
    <w:rsid w:val="007979A9"/>
    <w:rsid w:val="00797C5B"/>
    <w:rsid w:val="007A0606"/>
    <w:rsid w:val="007A0A19"/>
    <w:rsid w:val="007A0B12"/>
    <w:rsid w:val="007A0BD7"/>
    <w:rsid w:val="007A0ECC"/>
    <w:rsid w:val="007A0FBB"/>
    <w:rsid w:val="007A1075"/>
    <w:rsid w:val="007A18F5"/>
    <w:rsid w:val="007A20F7"/>
    <w:rsid w:val="007A24CA"/>
    <w:rsid w:val="007A2591"/>
    <w:rsid w:val="007A2896"/>
    <w:rsid w:val="007A39B7"/>
    <w:rsid w:val="007A428A"/>
    <w:rsid w:val="007A42A0"/>
    <w:rsid w:val="007A42DB"/>
    <w:rsid w:val="007A430B"/>
    <w:rsid w:val="007A46B0"/>
    <w:rsid w:val="007A4BD3"/>
    <w:rsid w:val="007A53DE"/>
    <w:rsid w:val="007A5FCE"/>
    <w:rsid w:val="007A6565"/>
    <w:rsid w:val="007A6B2A"/>
    <w:rsid w:val="007A6D66"/>
    <w:rsid w:val="007A7278"/>
    <w:rsid w:val="007A7DEA"/>
    <w:rsid w:val="007B059B"/>
    <w:rsid w:val="007B0638"/>
    <w:rsid w:val="007B0D2A"/>
    <w:rsid w:val="007B17F4"/>
    <w:rsid w:val="007B2540"/>
    <w:rsid w:val="007B2819"/>
    <w:rsid w:val="007B2DF9"/>
    <w:rsid w:val="007B3402"/>
    <w:rsid w:val="007B3495"/>
    <w:rsid w:val="007B3818"/>
    <w:rsid w:val="007B3923"/>
    <w:rsid w:val="007B3BF7"/>
    <w:rsid w:val="007B3DD6"/>
    <w:rsid w:val="007B475D"/>
    <w:rsid w:val="007B4F7B"/>
    <w:rsid w:val="007B5190"/>
    <w:rsid w:val="007B519E"/>
    <w:rsid w:val="007B52E5"/>
    <w:rsid w:val="007B555F"/>
    <w:rsid w:val="007B56C0"/>
    <w:rsid w:val="007B6B3F"/>
    <w:rsid w:val="007B6DA9"/>
    <w:rsid w:val="007B6EA7"/>
    <w:rsid w:val="007B79F0"/>
    <w:rsid w:val="007B7A73"/>
    <w:rsid w:val="007B7BA1"/>
    <w:rsid w:val="007B7BBA"/>
    <w:rsid w:val="007C0171"/>
    <w:rsid w:val="007C0DAC"/>
    <w:rsid w:val="007C0EF7"/>
    <w:rsid w:val="007C0FF7"/>
    <w:rsid w:val="007C1A55"/>
    <w:rsid w:val="007C2230"/>
    <w:rsid w:val="007C230B"/>
    <w:rsid w:val="007C32C3"/>
    <w:rsid w:val="007C32E5"/>
    <w:rsid w:val="007C3EB5"/>
    <w:rsid w:val="007C3F02"/>
    <w:rsid w:val="007C4BCA"/>
    <w:rsid w:val="007C4C07"/>
    <w:rsid w:val="007C4CCA"/>
    <w:rsid w:val="007C60C9"/>
    <w:rsid w:val="007C61CD"/>
    <w:rsid w:val="007C6ACE"/>
    <w:rsid w:val="007C6B09"/>
    <w:rsid w:val="007C6B67"/>
    <w:rsid w:val="007C6F71"/>
    <w:rsid w:val="007C718E"/>
    <w:rsid w:val="007C7721"/>
    <w:rsid w:val="007C7740"/>
    <w:rsid w:val="007C79AF"/>
    <w:rsid w:val="007D0119"/>
    <w:rsid w:val="007D073A"/>
    <w:rsid w:val="007D0C21"/>
    <w:rsid w:val="007D0DEB"/>
    <w:rsid w:val="007D0FBD"/>
    <w:rsid w:val="007D1143"/>
    <w:rsid w:val="007D1DFE"/>
    <w:rsid w:val="007D2B3B"/>
    <w:rsid w:val="007D3078"/>
    <w:rsid w:val="007D336D"/>
    <w:rsid w:val="007D34E8"/>
    <w:rsid w:val="007D3822"/>
    <w:rsid w:val="007D3A5F"/>
    <w:rsid w:val="007D3C02"/>
    <w:rsid w:val="007D3CB6"/>
    <w:rsid w:val="007D43B6"/>
    <w:rsid w:val="007D4C9B"/>
    <w:rsid w:val="007D559B"/>
    <w:rsid w:val="007D56E2"/>
    <w:rsid w:val="007D58BC"/>
    <w:rsid w:val="007D5B53"/>
    <w:rsid w:val="007D5D92"/>
    <w:rsid w:val="007D654C"/>
    <w:rsid w:val="007D6C8F"/>
    <w:rsid w:val="007D71C1"/>
    <w:rsid w:val="007D7A93"/>
    <w:rsid w:val="007D7E45"/>
    <w:rsid w:val="007E083C"/>
    <w:rsid w:val="007E0A14"/>
    <w:rsid w:val="007E1D8E"/>
    <w:rsid w:val="007E2326"/>
    <w:rsid w:val="007E238A"/>
    <w:rsid w:val="007E2660"/>
    <w:rsid w:val="007E2B21"/>
    <w:rsid w:val="007E308D"/>
    <w:rsid w:val="007E3227"/>
    <w:rsid w:val="007E3251"/>
    <w:rsid w:val="007E3DF3"/>
    <w:rsid w:val="007E4658"/>
    <w:rsid w:val="007E4D34"/>
    <w:rsid w:val="007E4F57"/>
    <w:rsid w:val="007E543C"/>
    <w:rsid w:val="007E5955"/>
    <w:rsid w:val="007E5FB7"/>
    <w:rsid w:val="007E6097"/>
    <w:rsid w:val="007E634B"/>
    <w:rsid w:val="007E64C9"/>
    <w:rsid w:val="007E6D59"/>
    <w:rsid w:val="007E6EBB"/>
    <w:rsid w:val="007E70A8"/>
    <w:rsid w:val="007E7A1D"/>
    <w:rsid w:val="007E7AEB"/>
    <w:rsid w:val="007F0085"/>
    <w:rsid w:val="007F00E3"/>
    <w:rsid w:val="007F037A"/>
    <w:rsid w:val="007F0CBB"/>
    <w:rsid w:val="007F0F35"/>
    <w:rsid w:val="007F11EF"/>
    <w:rsid w:val="007F1325"/>
    <w:rsid w:val="007F1C0A"/>
    <w:rsid w:val="007F1CC7"/>
    <w:rsid w:val="007F1D30"/>
    <w:rsid w:val="007F1FC5"/>
    <w:rsid w:val="007F2C2E"/>
    <w:rsid w:val="007F3373"/>
    <w:rsid w:val="007F3573"/>
    <w:rsid w:val="007F3833"/>
    <w:rsid w:val="007F3BE9"/>
    <w:rsid w:val="007F44C4"/>
    <w:rsid w:val="007F47CC"/>
    <w:rsid w:val="007F4FFD"/>
    <w:rsid w:val="007F5039"/>
    <w:rsid w:val="007F567C"/>
    <w:rsid w:val="007F5864"/>
    <w:rsid w:val="007F5DEE"/>
    <w:rsid w:val="007F5F8D"/>
    <w:rsid w:val="007F6329"/>
    <w:rsid w:val="007F7376"/>
    <w:rsid w:val="007F74B2"/>
    <w:rsid w:val="008002D8"/>
    <w:rsid w:val="008002FC"/>
    <w:rsid w:val="0080068B"/>
    <w:rsid w:val="0080084D"/>
    <w:rsid w:val="008008DB"/>
    <w:rsid w:val="00800B00"/>
    <w:rsid w:val="00801367"/>
    <w:rsid w:val="00801736"/>
    <w:rsid w:val="00801AB9"/>
    <w:rsid w:val="00802C66"/>
    <w:rsid w:val="00802ED5"/>
    <w:rsid w:val="008039FF"/>
    <w:rsid w:val="00804258"/>
    <w:rsid w:val="00804615"/>
    <w:rsid w:val="0080478D"/>
    <w:rsid w:val="008049F6"/>
    <w:rsid w:val="00805073"/>
    <w:rsid w:val="00805C96"/>
    <w:rsid w:val="00806ABE"/>
    <w:rsid w:val="00806F98"/>
    <w:rsid w:val="0080755E"/>
    <w:rsid w:val="00807904"/>
    <w:rsid w:val="00807E63"/>
    <w:rsid w:val="00810D66"/>
    <w:rsid w:val="00811067"/>
    <w:rsid w:val="00811481"/>
    <w:rsid w:val="008117AD"/>
    <w:rsid w:val="00812304"/>
    <w:rsid w:val="00812D93"/>
    <w:rsid w:val="0081326F"/>
    <w:rsid w:val="00813326"/>
    <w:rsid w:val="00814303"/>
    <w:rsid w:val="008146E7"/>
    <w:rsid w:val="00814942"/>
    <w:rsid w:val="00814E11"/>
    <w:rsid w:val="00814EFD"/>
    <w:rsid w:val="00815773"/>
    <w:rsid w:val="008157FA"/>
    <w:rsid w:val="00815A4D"/>
    <w:rsid w:val="00816036"/>
    <w:rsid w:val="008161A2"/>
    <w:rsid w:val="00816357"/>
    <w:rsid w:val="0081683F"/>
    <w:rsid w:val="00816877"/>
    <w:rsid w:val="00816BFC"/>
    <w:rsid w:val="00816C8C"/>
    <w:rsid w:val="008170D0"/>
    <w:rsid w:val="00817895"/>
    <w:rsid w:val="00817A62"/>
    <w:rsid w:val="00817CC6"/>
    <w:rsid w:val="00820380"/>
    <w:rsid w:val="00820BF2"/>
    <w:rsid w:val="00821283"/>
    <w:rsid w:val="008218D2"/>
    <w:rsid w:val="00821B85"/>
    <w:rsid w:val="00821E6B"/>
    <w:rsid w:val="0082236F"/>
    <w:rsid w:val="008223EF"/>
    <w:rsid w:val="008224EF"/>
    <w:rsid w:val="008226CF"/>
    <w:rsid w:val="0082291D"/>
    <w:rsid w:val="008233E9"/>
    <w:rsid w:val="008237C0"/>
    <w:rsid w:val="00823BF8"/>
    <w:rsid w:val="00823F70"/>
    <w:rsid w:val="00824140"/>
    <w:rsid w:val="00824D1C"/>
    <w:rsid w:val="00824D8D"/>
    <w:rsid w:val="00824DD1"/>
    <w:rsid w:val="00825443"/>
    <w:rsid w:val="00825743"/>
    <w:rsid w:val="00826568"/>
    <w:rsid w:val="008273DC"/>
    <w:rsid w:val="0082746B"/>
    <w:rsid w:val="008278CA"/>
    <w:rsid w:val="00827957"/>
    <w:rsid w:val="00827E3F"/>
    <w:rsid w:val="00830018"/>
    <w:rsid w:val="008304A2"/>
    <w:rsid w:val="00830B82"/>
    <w:rsid w:val="00831250"/>
    <w:rsid w:val="008315A5"/>
    <w:rsid w:val="00831DC8"/>
    <w:rsid w:val="00832918"/>
    <w:rsid w:val="008329A4"/>
    <w:rsid w:val="0083305E"/>
    <w:rsid w:val="00833154"/>
    <w:rsid w:val="008331F5"/>
    <w:rsid w:val="0083329A"/>
    <w:rsid w:val="00833394"/>
    <w:rsid w:val="00833404"/>
    <w:rsid w:val="008337F6"/>
    <w:rsid w:val="00834765"/>
    <w:rsid w:val="00835823"/>
    <w:rsid w:val="0083589D"/>
    <w:rsid w:val="00835B23"/>
    <w:rsid w:val="008363F2"/>
    <w:rsid w:val="00836599"/>
    <w:rsid w:val="008369B5"/>
    <w:rsid w:val="00836A58"/>
    <w:rsid w:val="00836C8B"/>
    <w:rsid w:val="00836E11"/>
    <w:rsid w:val="008373CA"/>
    <w:rsid w:val="0083768C"/>
    <w:rsid w:val="0083786B"/>
    <w:rsid w:val="008378C5"/>
    <w:rsid w:val="0083792E"/>
    <w:rsid w:val="00837E56"/>
    <w:rsid w:val="00840042"/>
    <w:rsid w:val="0084008E"/>
    <w:rsid w:val="0084015B"/>
    <w:rsid w:val="00841879"/>
    <w:rsid w:val="008418E3"/>
    <w:rsid w:val="00841A4C"/>
    <w:rsid w:val="00841DEA"/>
    <w:rsid w:val="00841EB6"/>
    <w:rsid w:val="00842144"/>
    <w:rsid w:val="00842A92"/>
    <w:rsid w:val="00842BA6"/>
    <w:rsid w:val="00842DCA"/>
    <w:rsid w:val="008433D6"/>
    <w:rsid w:val="00843D3D"/>
    <w:rsid w:val="00843D94"/>
    <w:rsid w:val="00844215"/>
    <w:rsid w:val="0084486E"/>
    <w:rsid w:val="008451BE"/>
    <w:rsid w:val="0084550A"/>
    <w:rsid w:val="00845AD4"/>
    <w:rsid w:val="00845B5B"/>
    <w:rsid w:val="0084600A"/>
    <w:rsid w:val="008460AF"/>
    <w:rsid w:val="00846101"/>
    <w:rsid w:val="00846157"/>
    <w:rsid w:val="008461A5"/>
    <w:rsid w:val="008476FF"/>
    <w:rsid w:val="00847D93"/>
    <w:rsid w:val="00850184"/>
    <w:rsid w:val="00850B9F"/>
    <w:rsid w:val="00851299"/>
    <w:rsid w:val="008515A8"/>
    <w:rsid w:val="008517D1"/>
    <w:rsid w:val="00852054"/>
    <w:rsid w:val="00852249"/>
    <w:rsid w:val="00852C0F"/>
    <w:rsid w:val="008552B8"/>
    <w:rsid w:val="0085586F"/>
    <w:rsid w:val="00855C14"/>
    <w:rsid w:val="0085632F"/>
    <w:rsid w:val="00856D08"/>
    <w:rsid w:val="0085727F"/>
    <w:rsid w:val="0085735C"/>
    <w:rsid w:val="00860D50"/>
    <w:rsid w:val="00861646"/>
    <w:rsid w:val="0086174A"/>
    <w:rsid w:val="00861D97"/>
    <w:rsid w:val="00861F10"/>
    <w:rsid w:val="00861F6A"/>
    <w:rsid w:val="00862625"/>
    <w:rsid w:val="00862D9F"/>
    <w:rsid w:val="00862E11"/>
    <w:rsid w:val="0086328A"/>
    <w:rsid w:val="008637CC"/>
    <w:rsid w:val="008637CE"/>
    <w:rsid w:val="00863AB0"/>
    <w:rsid w:val="00863AB5"/>
    <w:rsid w:val="00864831"/>
    <w:rsid w:val="00864DCD"/>
    <w:rsid w:val="00864E2C"/>
    <w:rsid w:val="00864F12"/>
    <w:rsid w:val="00865316"/>
    <w:rsid w:val="0086572E"/>
    <w:rsid w:val="0086587B"/>
    <w:rsid w:val="0086587C"/>
    <w:rsid w:val="00865B96"/>
    <w:rsid w:val="00865EE1"/>
    <w:rsid w:val="0086618A"/>
    <w:rsid w:val="00866525"/>
    <w:rsid w:val="0086654A"/>
    <w:rsid w:val="008669F9"/>
    <w:rsid w:val="00866C96"/>
    <w:rsid w:val="00866D12"/>
    <w:rsid w:val="00866EA8"/>
    <w:rsid w:val="008671A9"/>
    <w:rsid w:val="008673AD"/>
    <w:rsid w:val="00867FA5"/>
    <w:rsid w:val="008701B3"/>
    <w:rsid w:val="008704E1"/>
    <w:rsid w:val="00870D77"/>
    <w:rsid w:val="00871F27"/>
    <w:rsid w:val="00872D53"/>
    <w:rsid w:val="00872FE1"/>
    <w:rsid w:val="00873B4B"/>
    <w:rsid w:val="00873D22"/>
    <w:rsid w:val="00873E2A"/>
    <w:rsid w:val="00873F93"/>
    <w:rsid w:val="00874331"/>
    <w:rsid w:val="0087446B"/>
    <w:rsid w:val="00874491"/>
    <w:rsid w:val="008746EF"/>
    <w:rsid w:val="00874843"/>
    <w:rsid w:val="0087491D"/>
    <w:rsid w:val="00875EA2"/>
    <w:rsid w:val="00875EB7"/>
    <w:rsid w:val="00875F46"/>
    <w:rsid w:val="008765C8"/>
    <w:rsid w:val="00876910"/>
    <w:rsid w:val="00876A1B"/>
    <w:rsid w:val="0087705E"/>
    <w:rsid w:val="008772E3"/>
    <w:rsid w:val="00877CCD"/>
    <w:rsid w:val="00880275"/>
    <w:rsid w:val="00880ECA"/>
    <w:rsid w:val="008810BD"/>
    <w:rsid w:val="00881784"/>
    <w:rsid w:val="00881B08"/>
    <w:rsid w:val="00881CEA"/>
    <w:rsid w:val="008821D6"/>
    <w:rsid w:val="0088221B"/>
    <w:rsid w:val="008824D2"/>
    <w:rsid w:val="0088277D"/>
    <w:rsid w:val="00882832"/>
    <w:rsid w:val="00882FF8"/>
    <w:rsid w:val="008835D8"/>
    <w:rsid w:val="00883992"/>
    <w:rsid w:val="008839A8"/>
    <w:rsid w:val="00883D8F"/>
    <w:rsid w:val="00883FBE"/>
    <w:rsid w:val="00884327"/>
    <w:rsid w:val="00884AA7"/>
    <w:rsid w:val="00884D3A"/>
    <w:rsid w:val="00884F26"/>
    <w:rsid w:val="008851CE"/>
    <w:rsid w:val="008853B0"/>
    <w:rsid w:val="008863E6"/>
    <w:rsid w:val="0088678D"/>
    <w:rsid w:val="008867A3"/>
    <w:rsid w:val="0088682A"/>
    <w:rsid w:val="00886B63"/>
    <w:rsid w:val="008872A6"/>
    <w:rsid w:val="008878FC"/>
    <w:rsid w:val="00887B64"/>
    <w:rsid w:val="00887C76"/>
    <w:rsid w:val="00890626"/>
    <w:rsid w:val="00890771"/>
    <w:rsid w:val="0089094C"/>
    <w:rsid w:val="00890A04"/>
    <w:rsid w:val="00891125"/>
    <w:rsid w:val="00891317"/>
    <w:rsid w:val="008913D7"/>
    <w:rsid w:val="008913E0"/>
    <w:rsid w:val="00891515"/>
    <w:rsid w:val="008944A1"/>
    <w:rsid w:val="008949D6"/>
    <w:rsid w:val="00894A5F"/>
    <w:rsid w:val="00894C38"/>
    <w:rsid w:val="00894D98"/>
    <w:rsid w:val="00895647"/>
    <w:rsid w:val="008966C0"/>
    <w:rsid w:val="00896945"/>
    <w:rsid w:val="008969B2"/>
    <w:rsid w:val="00896C6D"/>
    <w:rsid w:val="008972C9"/>
    <w:rsid w:val="00897344"/>
    <w:rsid w:val="00897354"/>
    <w:rsid w:val="00897BCA"/>
    <w:rsid w:val="00897F61"/>
    <w:rsid w:val="008A09D3"/>
    <w:rsid w:val="008A0A0F"/>
    <w:rsid w:val="008A0B58"/>
    <w:rsid w:val="008A0EB9"/>
    <w:rsid w:val="008A1E5C"/>
    <w:rsid w:val="008A1ED2"/>
    <w:rsid w:val="008A2082"/>
    <w:rsid w:val="008A2330"/>
    <w:rsid w:val="008A2393"/>
    <w:rsid w:val="008A259C"/>
    <w:rsid w:val="008A2602"/>
    <w:rsid w:val="008A2C9C"/>
    <w:rsid w:val="008A329E"/>
    <w:rsid w:val="008A34A3"/>
    <w:rsid w:val="008A37D2"/>
    <w:rsid w:val="008A3C70"/>
    <w:rsid w:val="008A3E9F"/>
    <w:rsid w:val="008A4D47"/>
    <w:rsid w:val="008A4DEF"/>
    <w:rsid w:val="008A50F3"/>
    <w:rsid w:val="008A5136"/>
    <w:rsid w:val="008A5EC0"/>
    <w:rsid w:val="008A5EDD"/>
    <w:rsid w:val="008A6929"/>
    <w:rsid w:val="008A6D19"/>
    <w:rsid w:val="008A6D75"/>
    <w:rsid w:val="008A7659"/>
    <w:rsid w:val="008B0E9C"/>
    <w:rsid w:val="008B20C9"/>
    <w:rsid w:val="008B2899"/>
    <w:rsid w:val="008B2BAE"/>
    <w:rsid w:val="008B3107"/>
    <w:rsid w:val="008B3946"/>
    <w:rsid w:val="008B3C7D"/>
    <w:rsid w:val="008B4288"/>
    <w:rsid w:val="008B46E7"/>
    <w:rsid w:val="008B4A08"/>
    <w:rsid w:val="008B54D1"/>
    <w:rsid w:val="008B5AE9"/>
    <w:rsid w:val="008B5C55"/>
    <w:rsid w:val="008B5C5E"/>
    <w:rsid w:val="008B637F"/>
    <w:rsid w:val="008B645B"/>
    <w:rsid w:val="008B6EE9"/>
    <w:rsid w:val="008C0F7A"/>
    <w:rsid w:val="008C14A2"/>
    <w:rsid w:val="008C1544"/>
    <w:rsid w:val="008C15A8"/>
    <w:rsid w:val="008C15F2"/>
    <w:rsid w:val="008C16B8"/>
    <w:rsid w:val="008C19D4"/>
    <w:rsid w:val="008C1A19"/>
    <w:rsid w:val="008C2A5D"/>
    <w:rsid w:val="008C2AE0"/>
    <w:rsid w:val="008C2E5C"/>
    <w:rsid w:val="008C319D"/>
    <w:rsid w:val="008C3D0C"/>
    <w:rsid w:val="008C51DB"/>
    <w:rsid w:val="008C621C"/>
    <w:rsid w:val="008C671F"/>
    <w:rsid w:val="008C6E20"/>
    <w:rsid w:val="008C7303"/>
    <w:rsid w:val="008C7991"/>
    <w:rsid w:val="008C7A53"/>
    <w:rsid w:val="008D0DCF"/>
    <w:rsid w:val="008D11C3"/>
    <w:rsid w:val="008D11FB"/>
    <w:rsid w:val="008D1AFA"/>
    <w:rsid w:val="008D1B52"/>
    <w:rsid w:val="008D1E4E"/>
    <w:rsid w:val="008D3315"/>
    <w:rsid w:val="008D3AEB"/>
    <w:rsid w:val="008D3C3A"/>
    <w:rsid w:val="008D4831"/>
    <w:rsid w:val="008D511C"/>
    <w:rsid w:val="008D5279"/>
    <w:rsid w:val="008D54C9"/>
    <w:rsid w:val="008D575A"/>
    <w:rsid w:val="008D5887"/>
    <w:rsid w:val="008D5C25"/>
    <w:rsid w:val="008D5D97"/>
    <w:rsid w:val="008D6097"/>
    <w:rsid w:val="008D61A8"/>
    <w:rsid w:val="008D64A0"/>
    <w:rsid w:val="008D67EB"/>
    <w:rsid w:val="008D6AAC"/>
    <w:rsid w:val="008D6BAD"/>
    <w:rsid w:val="008D72A4"/>
    <w:rsid w:val="008D72FD"/>
    <w:rsid w:val="008D77BD"/>
    <w:rsid w:val="008D77EE"/>
    <w:rsid w:val="008D7A9B"/>
    <w:rsid w:val="008D7DAF"/>
    <w:rsid w:val="008E0007"/>
    <w:rsid w:val="008E11EC"/>
    <w:rsid w:val="008E128C"/>
    <w:rsid w:val="008E26CC"/>
    <w:rsid w:val="008E27A4"/>
    <w:rsid w:val="008E2A80"/>
    <w:rsid w:val="008E3408"/>
    <w:rsid w:val="008E34BB"/>
    <w:rsid w:val="008E3FEC"/>
    <w:rsid w:val="008E40B3"/>
    <w:rsid w:val="008E413A"/>
    <w:rsid w:val="008E4863"/>
    <w:rsid w:val="008E5075"/>
    <w:rsid w:val="008E534B"/>
    <w:rsid w:val="008E5810"/>
    <w:rsid w:val="008E5B37"/>
    <w:rsid w:val="008E5FBA"/>
    <w:rsid w:val="008E622E"/>
    <w:rsid w:val="008E6255"/>
    <w:rsid w:val="008E6ED5"/>
    <w:rsid w:val="008E7685"/>
    <w:rsid w:val="008E7795"/>
    <w:rsid w:val="008E7D60"/>
    <w:rsid w:val="008F0507"/>
    <w:rsid w:val="008F09D2"/>
    <w:rsid w:val="008F0A6D"/>
    <w:rsid w:val="008F0C3F"/>
    <w:rsid w:val="008F0C65"/>
    <w:rsid w:val="008F0CFF"/>
    <w:rsid w:val="008F0F70"/>
    <w:rsid w:val="008F17AE"/>
    <w:rsid w:val="008F219A"/>
    <w:rsid w:val="008F2304"/>
    <w:rsid w:val="008F260B"/>
    <w:rsid w:val="008F2C5F"/>
    <w:rsid w:val="008F3BC2"/>
    <w:rsid w:val="008F3C01"/>
    <w:rsid w:val="008F3EFE"/>
    <w:rsid w:val="008F4104"/>
    <w:rsid w:val="008F4353"/>
    <w:rsid w:val="008F4617"/>
    <w:rsid w:val="008F48A5"/>
    <w:rsid w:val="008F49CB"/>
    <w:rsid w:val="008F4B21"/>
    <w:rsid w:val="008F5563"/>
    <w:rsid w:val="008F59D2"/>
    <w:rsid w:val="008F5E0A"/>
    <w:rsid w:val="008F5F30"/>
    <w:rsid w:val="008F6141"/>
    <w:rsid w:val="008F69C1"/>
    <w:rsid w:val="008F6A7D"/>
    <w:rsid w:val="008F6A99"/>
    <w:rsid w:val="008F6C51"/>
    <w:rsid w:val="008F6E1A"/>
    <w:rsid w:val="008F6F49"/>
    <w:rsid w:val="008F7459"/>
    <w:rsid w:val="008F7465"/>
    <w:rsid w:val="008F74C1"/>
    <w:rsid w:val="008F7AF3"/>
    <w:rsid w:val="008F7CEF"/>
    <w:rsid w:val="0090117D"/>
    <w:rsid w:val="009012EF"/>
    <w:rsid w:val="009014D9"/>
    <w:rsid w:val="00901522"/>
    <w:rsid w:val="00901802"/>
    <w:rsid w:val="0090187C"/>
    <w:rsid w:val="009018F8"/>
    <w:rsid w:val="00901CAE"/>
    <w:rsid w:val="0090200E"/>
    <w:rsid w:val="00902030"/>
    <w:rsid w:val="00902423"/>
    <w:rsid w:val="00902A41"/>
    <w:rsid w:val="009035EE"/>
    <w:rsid w:val="00903CCD"/>
    <w:rsid w:val="00904F22"/>
    <w:rsid w:val="009051F2"/>
    <w:rsid w:val="00905281"/>
    <w:rsid w:val="00905383"/>
    <w:rsid w:val="0090579E"/>
    <w:rsid w:val="00905FBF"/>
    <w:rsid w:val="00905FCF"/>
    <w:rsid w:val="0090636E"/>
    <w:rsid w:val="0090648A"/>
    <w:rsid w:val="00906721"/>
    <w:rsid w:val="009069E7"/>
    <w:rsid w:val="00906A03"/>
    <w:rsid w:val="00906BF4"/>
    <w:rsid w:val="0090707F"/>
    <w:rsid w:val="0090742B"/>
    <w:rsid w:val="00907A01"/>
    <w:rsid w:val="00907C61"/>
    <w:rsid w:val="00907EA9"/>
    <w:rsid w:val="00907F42"/>
    <w:rsid w:val="00910808"/>
    <w:rsid w:val="009110C2"/>
    <w:rsid w:val="009114B6"/>
    <w:rsid w:val="00912764"/>
    <w:rsid w:val="00912B6D"/>
    <w:rsid w:val="00912DB8"/>
    <w:rsid w:val="00912FA7"/>
    <w:rsid w:val="0091301C"/>
    <w:rsid w:val="00913453"/>
    <w:rsid w:val="00913799"/>
    <w:rsid w:val="0091406D"/>
    <w:rsid w:val="00914FBD"/>
    <w:rsid w:val="00915149"/>
    <w:rsid w:val="009156BB"/>
    <w:rsid w:val="00915DD7"/>
    <w:rsid w:val="00915E3D"/>
    <w:rsid w:val="00915FE9"/>
    <w:rsid w:val="009164CD"/>
    <w:rsid w:val="00916567"/>
    <w:rsid w:val="00916678"/>
    <w:rsid w:val="0091678E"/>
    <w:rsid w:val="00917856"/>
    <w:rsid w:val="00917A3D"/>
    <w:rsid w:val="00917FB2"/>
    <w:rsid w:val="00920221"/>
    <w:rsid w:val="0092036D"/>
    <w:rsid w:val="009209CE"/>
    <w:rsid w:val="00920F58"/>
    <w:rsid w:val="00921276"/>
    <w:rsid w:val="009212DA"/>
    <w:rsid w:val="00921405"/>
    <w:rsid w:val="00921A73"/>
    <w:rsid w:val="009227CE"/>
    <w:rsid w:val="0092317C"/>
    <w:rsid w:val="00923918"/>
    <w:rsid w:val="00923CB8"/>
    <w:rsid w:val="00924162"/>
    <w:rsid w:val="00924327"/>
    <w:rsid w:val="009249F5"/>
    <w:rsid w:val="00924D07"/>
    <w:rsid w:val="0092537C"/>
    <w:rsid w:val="00925A01"/>
    <w:rsid w:val="00925B52"/>
    <w:rsid w:val="00925D69"/>
    <w:rsid w:val="009266E3"/>
    <w:rsid w:val="0092696B"/>
    <w:rsid w:val="009272A7"/>
    <w:rsid w:val="0092754A"/>
    <w:rsid w:val="0092763A"/>
    <w:rsid w:val="009278C9"/>
    <w:rsid w:val="00927DC9"/>
    <w:rsid w:val="009303B3"/>
    <w:rsid w:val="00930514"/>
    <w:rsid w:val="00930976"/>
    <w:rsid w:val="00930B75"/>
    <w:rsid w:val="00930DB8"/>
    <w:rsid w:val="009311A8"/>
    <w:rsid w:val="009317BD"/>
    <w:rsid w:val="009318A2"/>
    <w:rsid w:val="00931AF7"/>
    <w:rsid w:val="00932447"/>
    <w:rsid w:val="0093257C"/>
    <w:rsid w:val="00932855"/>
    <w:rsid w:val="00932C68"/>
    <w:rsid w:val="00933247"/>
    <w:rsid w:val="00934636"/>
    <w:rsid w:val="00935DC0"/>
    <w:rsid w:val="00936974"/>
    <w:rsid w:val="00936FA2"/>
    <w:rsid w:val="00937007"/>
    <w:rsid w:val="0093754D"/>
    <w:rsid w:val="00937BC2"/>
    <w:rsid w:val="00937C20"/>
    <w:rsid w:val="00937D76"/>
    <w:rsid w:val="00940000"/>
    <w:rsid w:val="00940003"/>
    <w:rsid w:val="00940283"/>
    <w:rsid w:val="00940929"/>
    <w:rsid w:val="00940AE1"/>
    <w:rsid w:val="00941473"/>
    <w:rsid w:val="009417C6"/>
    <w:rsid w:val="00942818"/>
    <w:rsid w:val="00942A62"/>
    <w:rsid w:val="00942D32"/>
    <w:rsid w:val="00942D3F"/>
    <w:rsid w:val="0094309D"/>
    <w:rsid w:val="0094374B"/>
    <w:rsid w:val="00943C50"/>
    <w:rsid w:val="00943D6F"/>
    <w:rsid w:val="00943FC8"/>
    <w:rsid w:val="00944743"/>
    <w:rsid w:val="00944745"/>
    <w:rsid w:val="00944F07"/>
    <w:rsid w:val="00945B6C"/>
    <w:rsid w:val="00945BA0"/>
    <w:rsid w:val="0094630A"/>
    <w:rsid w:val="00946576"/>
    <w:rsid w:val="0094682C"/>
    <w:rsid w:val="0094774E"/>
    <w:rsid w:val="00947914"/>
    <w:rsid w:val="00947A87"/>
    <w:rsid w:val="00950027"/>
    <w:rsid w:val="009503A1"/>
    <w:rsid w:val="00950431"/>
    <w:rsid w:val="00951270"/>
    <w:rsid w:val="00951BA9"/>
    <w:rsid w:val="009527A2"/>
    <w:rsid w:val="00952877"/>
    <w:rsid w:val="0095297C"/>
    <w:rsid w:val="00953523"/>
    <w:rsid w:val="00953791"/>
    <w:rsid w:val="00953FCC"/>
    <w:rsid w:val="00954252"/>
    <w:rsid w:val="009547D1"/>
    <w:rsid w:val="00954B31"/>
    <w:rsid w:val="00954DDC"/>
    <w:rsid w:val="0095550A"/>
    <w:rsid w:val="009556AC"/>
    <w:rsid w:val="009557FA"/>
    <w:rsid w:val="00955B50"/>
    <w:rsid w:val="00955D96"/>
    <w:rsid w:val="00955E4F"/>
    <w:rsid w:val="00955FF1"/>
    <w:rsid w:val="0095613A"/>
    <w:rsid w:val="0095629F"/>
    <w:rsid w:val="00956A2E"/>
    <w:rsid w:val="00956C71"/>
    <w:rsid w:val="00957CAA"/>
    <w:rsid w:val="00957EEF"/>
    <w:rsid w:val="00957F8C"/>
    <w:rsid w:val="00961A9D"/>
    <w:rsid w:val="00961D69"/>
    <w:rsid w:val="00961D8F"/>
    <w:rsid w:val="009621B4"/>
    <w:rsid w:val="00962589"/>
    <w:rsid w:val="00962865"/>
    <w:rsid w:val="009629CD"/>
    <w:rsid w:val="00962B26"/>
    <w:rsid w:val="00963032"/>
    <w:rsid w:val="00963170"/>
    <w:rsid w:val="009633B4"/>
    <w:rsid w:val="0096364F"/>
    <w:rsid w:val="00963C96"/>
    <w:rsid w:val="00964448"/>
    <w:rsid w:val="00964752"/>
    <w:rsid w:val="00964905"/>
    <w:rsid w:val="00964AFE"/>
    <w:rsid w:val="0096578B"/>
    <w:rsid w:val="00965FC9"/>
    <w:rsid w:val="0096658B"/>
    <w:rsid w:val="00966AD8"/>
    <w:rsid w:val="00966CF8"/>
    <w:rsid w:val="00967235"/>
    <w:rsid w:val="009676F9"/>
    <w:rsid w:val="009679E7"/>
    <w:rsid w:val="00967B1A"/>
    <w:rsid w:val="0097019F"/>
    <w:rsid w:val="00970292"/>
    <w:rsid w:val="00970573"/>
    <w:rsid w:val="00970822"/>
    <w:rsid w:val="00970B61"/>
    <w:rsid w:val="00970DAE"/>
    <w:rsid w:val="00970DFF"/>
    <w:rsid w:val="00970E8A"/>
    <w:rsid w:val="00970EAE"/>
    <w:rsid w:val="00971116"/>
    <w:rsid w:val="00971251"/>
    <w:rsid w:val="00971477"/>
    <w:rsid w:val="0097159D"/>
    <w:rsid w:val="00971769"/>
    <w:rsid w:val="00971913"/>
    <w:rsid w:val="00972B12"/>
    <w:rsid w:val="00972B14"/>
    <w:rsid w:val="00973069"/>
    <w:rsid w:val="00973521"/>
    <w:rsid w:val="00973D3B"/>
    <w:rsid w:val="00973DFD"/>
    <w:rsid w:val="00973EC2"/>
    <w:rsid w:val="0097432B"/>
    <w:rsid w:val="009748C8"/>
    <w:rsid w:val="00974C67"/>
    <w:rsid w:val="00975D77"/>
    <w:rsid w:val="00975D8C"/>
    <w:rsid w:val="009762AC"/>
    <w:rsid w:val="00976883"/>
    <w:rsid w:val="00976A89"/>
    <w:rsid w:val="009774D1"/>
    <w:rsid w:val="009774DF"/>
    <w:rsid w:val="009778A0"/>
    <w:rsid w:val="00977CC4"/>
    <w:rsid w:val="00977E25"/>
    <w:rsid w:val="0098035A"/>
    <w:rsid w:val="00980D4A"/>
    <w:rsid w:val="00980D70"/>
    <w:rsid w:val="00980EFB"/>
    <w:rsid w:val="009810EB"/>
    <w:rsid w:val="009812B1"/>
    <w:rsid w:val="00981A12"/>
    <w:rsid w:val="00981AFE"/>
    <w:rsid w:val="00981C23"/>
    <w:rsid w:val="00981CAB"/>
    <w:rsid w:val="00981F5D"/>
    <w:rsid w:val="00982217"/>
    <w:rsid w:val="0098222A"/>
    <w:rsid w:val="00982777"/>
    <w:rsid w:val="00982B96"/>
    <w:rsid w:val="00982CF9"/>
    <w:rsid w:val="009836C1"/>
    <w:rsid w:val="00983E3A"/>
    <w:rsid w:val="00983F9E"/>
    <w:rsid w:val="0098429B"/>
    <w:rsid w:val="00984496"/>
    <w:rsid w:val="0098456D"/>
    <w:rsid w:val="00984805"/>
    <w:rsid w:val="009862A6"/>
    <w:rsid w:val="00986342"/>
    <w:rsid w:val="009866C0"/>
    <w:rsid w:val="00986DDC"/>
    <w:rsid w:val="009878FB"/>
    <w:rsid w:val="00987C53"/>
    <w:rsid w:val="0099042C"/>
    <w:rsid w:val="009904AA"/>
    <w:rsid w:val="00990550"/>
    <w:rsid w:val="0099057B"/>
    <w:rsid w:val="0099063B"/>
    <w:rsid w:val="0099080C"/>
    <w:rsid w:val="00990E42"/>
    <w:rsid w:val="009910AC"/>
    <w:rsid w:val="009915A6"/>
    <w:rsid w:val="0099172E"/>
    <w:rsid w:val="0099188D"/>
    <w:rsid w:val="00991DC0"/>
    <w:rsid w:val="009920D9"/>
    <w:rsid w:val="009925E2"/>
    <w:rsid w:val="0099352B"/>
    <w:rsid w:val="0099367C"/>
    <w:rsid w:val="00993E36"/>
    <w:rsid w:val="009942E4"/>
    <w:rsid w:val="00994345"/>
    <w:rsid w:val="009947E4"/>
    <w:rsid w:val="00994B40"/>
    <w:rsid w:val="00994EDF"/>
    <w:rsid w:val="00995477"/>
    <w:rsid w:val="009960A7"/>
    <w:rsid w:val="009961D8"/>
    <w:rsid w:val="00996296"/>
    <w:rsid w:val="0099707E"/>
    <w:rsid w:val="00997377"/>
    <w:rsid w:val="00997FEE"/>
    <w:rsid w:val="009A00AC"/>
    <w:rsid w:val="009A0418"/>
    <w:rsid w:val="009A1393"/>
    <w:rsid w:val="009A1A3F"/>
    <w:rsid w:val="009A2373"/>
    <w:rsid w:val="009A2516"/>
    <w:rsid w:val="009A3162"/>
    <w:rsid w:val="009A3B33"/>
    <w:rsid w:val="009A4A51"/>
    <w:rsid w:val="009A4BDF"/>
    <w:rsid w:val="009A4D38"/>
    <w:rsid w:val="009A4F77"/>
    <w:rsid w:val="009A514B"/>
    <w:rsid w:val="009A581C"/>
    <w:rsid w:val="009A60A8"/>
    <w:rsid w:val="009A6349"/>
    <w:rsid w:val="009A6467"/>
    <w:rsid w:val="009A69A4"/>
    <w:rsid w:val="009A7002"/>
    <w:rsid w:val="009A7087"/>
    <w:rsid w:val="009A7207"/>
    <w:rsid w:val="009A746A"/>
    <w:rsid w:val="009A7D13"/>
    <w:rsid w:val="009A7D6E"/>
    <w:rsid w:val="009A7FC5"/>
    <w:rsid w:val="009B0274"/>
    <w:rsid w:val="009B033A"/>
    <w:rsid w:val="009B03AE"/>
    <w:rsid w:val="009B0803"/>
    <w:rsid w:val="009B1DFF"/>
    <w:rsid w:val="009B1E19"/>
    <w:rsid w:val="009B1E6E"/>
    <w:rsid w:val="009B2E66"/>
    <w:rsid w:val="009B307D"/>
    <w:rsid w:val="009B3481"/>
    <w:rsid w:val="009B3484"/>
    <w:rsid w:val="009B35C4"/>
    <w:rsid w:val="009B39E9"/>
    <w:rsid w:val="009B3D42"/>
    <w:rsid w:val="009B3F55"/>
    <w:rsid w:val="009B42EC"/>
    <w:rsid w:val="009B4F64"/>
    <w:rsid w:val="009B5CBF"/>
    <w:rsid w:val="009B644D"/>
    <w:rsid w:val="009B7822"/>
    <w:rsid w:val="009B7BD6"/>
    <w:rsid w:val="009B7C1E"/>
    <w:rsid w:val="009C0787"/>
    <w:rsid w:val="009C0DB6"/>
    <w:rsid w:val="009C0EF4"/>
    <w:rsid w:val="009C12B6"/>
    <w:rsid w:val="009C14F6"/>
    <w:rsid w:val="009C19B6"/>
    <w:rsid w:val="009C1F6D"/>
    <w:rsid w:val="009C216C"/>
    <w:rsid w:val="009C2775"/>
    <w:rsid w:val="009C2979"/>
    <w:rsid w:val="009C2AD3"/>
    <w:rsid w:val="009C33F3"/>
    <w:rsid w:val="009C3F12"/>
    <w:rsid w:val="009C46DD"/>
    <w:rsid w:val="009C4CF4"/>
    <w:rsid w:val="009C58D8"/>
    <w:rsid w:val="009C5D97"/>
    <w:rsid w:val="009C65B2"/>
    <w:rsid w:val="009C6A33"/>
    <w:rsid w:val="009C726D"/>
    <w:rsid w:val="009C7400"/>
    <w:rsid w:val="009C783D"/>
    <w:rsid w:val="009C7AB1"/>
    <w:rsid w:val="009D0724"/>
    <w:rsid w:val="009D12D3"/>
    <w:rsid w:val="009D14B2"/>
    <w:rsid w:val="009D15E8"/>
    <w:rsid w:val="009D217A"/>
    <w:rsid w:val="009D2711"/>
    <w:rsid w:val="009D2948"/>
    <w:rsid w:val="009D2D36"/>
    <w:rsid w:val="009D377F"/>
    <w:rsid w:val="009D3A80"/>
    <w:rsid w:val="009D3DB9"/>
    <w:rsid w:val="009D3E82"/>
    <w:rsid w:val="009D40FF"/>
    <w:rsid w:val="009D424B"/>
    <w:rsid w:val="009D4272"/>
    <w:rsid w:val="009D48FC"/>
    <w:rsid w:val="009D5296"/>
    <w:rsid w:val="009D5A17"/>
    <w:rsid w:val="009D5F61"/>
    <w:rsid w:val="009D5F8E"/>
    <w:rsid w:val="009D6058"/>
    <w:rsid w:val="009D74EF"/>
    <w:rsid w:val="009E0535"/>
    <w:rsid w:val="009E05BE"/>
    <w:rsid w:val="009E084F"/>
    <w:rsid w:val="009E0BA5"/>
    <w:rsid w:val="009E0E94"/>
    <w:rsid w:val="009E10D6"/>
    <w:rsid w:val="009E11B2"/>
    <w:rsid w:val="009E11F3"/>
    <w:rsid w:val="009E128A"/>
    <w:rsid w:val="009E13C3"/>
    <w:rsid w:val="009E177D"/>
    <w:rsid w:val="009E1A52"/>
    <w:rsid w:val="009E2238"/>
    <w:rsid w:val="009E25C1"/>
    <w:rsid w:val="009E31A8"/>
    <w:rsid w:val="009E370F"/>
    <w:rsid w:val="009E3A01"/>
    <w:rsid w:val="009E4531"/>
    <w:rsid w:val="009E5012"/>
    <w:rsid w:val="009E5758"/>
    <w:rsid w:val="009E5C3B"/>
    <w:rsid w:val="009E60A0"/>
    <w:rsid w:val="009E611D"/>
    <w:rsid w:val="009E6217"/>
    <w:rsid w:val="009E7314"/>
    <w:rsid w:val="009E7A07"/>
    <w:rsid w:val="009E7E51"/>
    <w:rsid w:val="009F06C8"/>
    <w:rsid w:val="009F0818"/>
    <w:rsid w:val="009F0A31"/>
    <w:rsid w:val="009F0A86"/>
    <w:rsid w:val="009F0AA7"/>
    <w:rsid w:val="009F0CAE"/>
    <w:rsid w:val="009F1338"/>
    <w:rsid w:val="009F1651"/>
    <w:rsid w:val="009F16D0"/>
    <w:rsid w:val="009F1788"/>
    <w:rsid w:val="009F1A07"/>
    <w:rsid w:val="009F1CE6"/>
    <w:rsid w:val="009F2BDF"/>
    <w:rsid w:val="009F3444"/>
    <w:rsid w:val="009F3C47"/>
    <w:rsid w:val="009F3C5E"/>
    <w:rsid w:val="009F3DAD"/>
    <w:rsid w:val="009F421D"/>
    <w:rsid w:val="009F4FAE"/>
    <w:rsid w:val="009F5416"/>
    <w:rsid w:val="009F6744"/>
    <w:rsid w:val="009F6750"/>
    <w:rsid w:val="009F68F6"/>
    <w:rsid w:val="009F6E60"/>
    <w:rsid w:val="009F6EA8"/>
    <w:rsid w:val="009F73A2"/>
    <w:rsid w:val="009F76D0"/>
    <w:rsid w:val="009F7C76"/>
    <w:rsid w:val="00A00DBB"/>
    <w:rsid w:val="00A00DF3"/>
    <w:rsid w:val="00A013FF"/>
    <w:rsid w:val="00A01A0D"/>
    <w:rsid w:val="00A02465"/>
    <w:rsid w:val="00A024B9"/>
    <w:rsid w:val="00A032AD"/>
    <w:rsid w:val="00A03A69"/>
    <w:rsid w:val="00A0428E"/>
    <w:rsid w:val="00A0430F"/>
    <w:rsid w:val="00A04866"/>
    <w:rsid w:val="00A049DF"/>
    <w:rsid w:val="00A04BE6"/>
    <w:rsid w:val="00A04C0D"/>
    <w:rsid w:val="00A05062"/>
    <w:rsid w:val="00A05436"/>
    <w:rsid w:val="00A058EA"/>
    <w:rsid w:val="00A0646E"/>
    <w:rsid w:val="00A06E1F"/>
    <w:rsid w:val="00A0715D"/>
    <w:rsid w:val="00A074E3"/>
    <w:rsid w:val="00A07601"/>
    <w:rsid w:val="00A077CA"/>
    <w:rsid w:val="00A07B9B"/>
    <w:rsid w:val="00A07D8E"/>
    <w:rsid w:val="00A10011"/>
    <w:rsid w:val="00A10424"/>
    <w:rsid w:val="00A109EB"/>
    <w:rsid w:val="00A10C65"/>
    <w:rsid w:val="00A11463"/>
    <w:rsid w:val="00A119AF"/>
    <w:rsid w:val="00A11C82"/>
    <w:rsid w:val="00A11E2E"/>
    <w:rsid w:val="00A11F78"/>
    <w:rsid w:val="00A1201D"/>
    <w:rsid w:val="00A12884"/>
    <w:rsid w:val="00A1299D"/>
    <w:rsid w:val="00A131DE"/>
    <w:rsid w:val="00A13794"/>
    <w:rsid w:val="00A13890"/>
    <w:rsid w:val="00A13EC3"/>
    <w:rsid w:val="00A14131"/>
    <w:rsid w:val="00A14449"/>
    <w:rsid w:val="00A1464C"/>
    <w:rsid w:val="00A14A93"/>
    <w:rsid w:val="00A14ACE"/>
    <w:rsid w:val="00A14B5C"/>
    <w:rsid w:val="00A14C66"/>
    <w:rsid w:val="00A15248"/>
    <w:rsid w:val="00A15730"/>
    <w:rsid w:val="00A15908"/>
    <w:rsid w:val="00A15B9D"/>
    <w:rsid w:val="00A168B5"/>
    <w:rsid w:val="00A16903"/>
    <w:rsid w:val="00A169A1"/>
    <w:rsid w:val="00A1713B"/>
    <w:rsid w:val="00A1726D"/>
    <w:rsid w:val="00A174CA"/>
    <w:rsid w:val="00A1798A"/>
    <w:rsid w:val="00A17FCA"/>
    <w:rsid w:val="00A200CB"/>
    <w:rsid w:val="00A20405"/>
    <w:rsid w:val="00A208C8"/>
    <w:rsid w:val="00A2104E"/>
    <w:rsid w:val="00A214B1"/>
    <w:rsid w:val="00A2162D"/>
    <w:rsid w:val="00A21675"/>
    <w:rsid w:val="00A21AD9"/>
    <w:rsid w:val="00A21B3A"/>
    <w:rsid w:val="00A2283B"/>
    <w:rsid w:val="00A22FE3"/>
    <w:rsid w:val="00A23205"/>
    <w:rsid w:val="00A235E5"/>
    <w:rsid w:val="00A23726"/>
    <w:rsid w:val="00A24292"/>
    <w:rsid w:val="00A244C1"/>
    <w:rsid w:val="00A245A3"/>
    <w:rsid w:val="00A245EE"/>
    <w:rsid w:val="00A245F2"/>
    <w:rsid w:val="00A247C9"/>
    <w:rsid w:val="00A25648"/>
    <w:rsid w:val="00A259A4"/>
    <w:rsid w:val="00A261B7"/>
    <w:rsid w:val="00A26B90"/>
    <w:rsid w:val="00A26E6F"/>
    <w:rsid w:val="00A26FCA"/>
    <w:rsid w:val="00A27234"/>
    <w:rsid w:val="00A27D9A"/>
    <w:rsid w:val="00A3017E"/>
    <w:rsid w:val="00A30221"/>
    <w:rsid w:val="00A302A6"/>
    <w:rsid w:val="00A3099A"/>
    <w:rsid w:val="00A30FF0"/>
    <w:rsid w:val="00A31093"/>
    <w:rsid w:val="00A31528"/>
    <w:rsid w:val="00A3203A"/>
    <w:rsid w:val="00A320CD"/>
    <w:rsid w:val="00A321DC"/>
    <w:rsid w:val="00A32E2F"/>
    <w:rsid w:val="00A32F69"/>
    <w:rsid w:val="00A33A97"/>
    <w:rsid w:val="00A33B7B"/>
    <w:rsid w:val="00A33D41"/>
    <w:rsid w:val="00A34270"/>
    <w:rsid w:val="00A342AC"/>
    <w:rsid w:val="00A34917"/>
    <w:rsid w:val="00A34F71"/>
    <w:rsid w:val="00A35B5A"/>
    <w:rsid w:val="00A3753E"/>
    <w:rsid w:val="00A3760E"/>
    <w:rsid w:val="00A37BBF"/>
    <w:rsid w:val="00A407FA"/>
    <w:rsid w:val="00A40E9A"/>
    <w:rsid w:val="00A413E0"/>
    <w:rsid w:val="00A41AB8"/>
    <w:rsid w:val="00A41D00"/>
    <w:rsid w:val="00A421CB"/>
    <w:rsid w:val="00A42805"/>
    <w:rsid w:val="00A42A2C"/>
    <w:rsid w:val="00A42B55"/>
    <w:rsid w:val="00A42C06"/>
    <w:rsid w:val="00A42D05"/>
    <w:rsid w:val="00A43133"/>
    <w:rsid w:val="00A435D7"/>
    <w:rsid w:val="00A43945"/>
    <w:rsid w:val="00A43C1E"/>
    <w:rsid w:val="00A43DD4"/>
    <w:rsid w:val="00A43E48"/>
    <w:rsid w:val="00A441CE"/>
    <w:rsid w:val="00A44821"/>
    <w:rsid w:val="00A44935"/>
    <w:rsid w:val="00A44CA5"/>
    <w:rsid w:val="00A453A2"/>
    <w:rsid w:val="00A45C02"/>
    <w:rsid w:val="00A45E42"/>
    <w:rsid w:val="00A464B1"/>
    <w:rsid w:val="00A471D4"/>
    <w:rsid w:val="00A47B47"/>
    <w:rsid w:val="00A47C33"/>
    <w:rsid w:val="00A47C66"/>
    <w:rsid w:val="00A505D7"/>
    <w:rsid w:val="00A506B6"/>
    <w:rsid w:val="00A50A3E"/>
    <w:rsid w:val="00A50A41"/>
    <w:rsid w:val="00A50ECA"/>
    <w:rsid w:val="00A5115C"/>
    <w:rsid w:val="00A51503"/>
    <w:rsid w:val="00A51678"/>
    <w:rsid w:val="00A51947"/>
    <w:rsid w:val="00A51B81"/>
    <w:rsid w:val="00A52675"/>
    <w:rsid w:val="00A526AE"/>
    <w:rsid w:val="00A527A5"/>
    <w:rsid w:val="00A5303E"/>
    <w:rsid w:val="00A535D7"/>
    <w:rsid w:val="00A5558E"/>
    <w:rsid w:val="00A557EE"/>
    <w:rsid w:val="00A572C2"/>
    <w:rsid w:val="00A57374"/>
    <w:rsid w:val="00A5747A"/>
    <w:rsid w:val="00A574D7"/>
    <w:rsid w:val="00A57711"/>
    <w:rsid w:val="00A57CA0"/>
    <w:rsid w:val="00A60A25"/>
    <w:rsid w:val="00A60EF5"/>
    <w:rsid w:val="00A614CA"/>
    <w:rsid w:val="00A61593"/>
    <w:rsid w:val="00A615D2"/>
    <w:rsid w:val="00A6185C"/>
    <w:rsid w:val="00A6247E"/>
    <w:rsid w:val="00A6254D"/>
    <w:rsid w:val="00A6264A"/>
    <w:rsid w:val="00A6279D"/>
    <w:rsid w:val="00A6292B"/>
    <w:rsid w:val="00A631BB"/>
    <w:rsid w:val="00A635CF"/>
    <w:rsid w:val="00A638DF"/>
    <w:rsid w:val="00A638FF"/>
    <w:rsid w:val="00A63D14"/>
    <w:rsid w:val="00A64263"/>
    <w:rsid w:val="00A6428F"/>
    <w:rsid w:val="00A64632"/>
    <w:rsid w:val="00A64B9F"/>
    <w:rsid w:val="00A64D88"/>
    <w:rsid w:val="00A661A4"/>
    <w:rsid w:val="00A66380"/>
    <w:rsid w:val="00A663F8"/>
    <w:rsid w:val="00A6648E"/>
    <w:rsid w:val="00A667E5"/>
    <w:rsid w:val="00A669DE"/>
    <w:rsid w:val="00A66EB8"/>
    <w:rsid w:val="00A676F9"/>
    <w:rsid w:val="00A67D1F"/>
    <w:rsid w:val="00A709B0"/>
    <w:rsid w:val="00A70A95"/>
    <w:rsid w:val="00A7123A"/>
    <w:rsid w:val="00A7126F"/>
    <w:rsid w:val="00A71501"/>
    <w:rsid w:val="00A72D66"/>
    <w:rsid w:val="00A72FF5"/>
    <w:rsid w:val="00A73216"/>
    <w:rsid w:val="00A73637"/>
    <w:rsid w:val="00A73914"/>
    <w:rsid w:val="00A73A20"/>
    <w:rsid w:val="00A74C51"/>
    <w:rsid w:val="00A74FA3"/>
    <w:rsid w:val="00A75B27"/>
    <w:rsid w:val="00A75DCF"/>
    <w:rsid w:val="00A7645A"/>
    <w:rsid w:val="00A769DE"/>
    <w:rsid w:val="00A76F6D"/>
    <w:rsid w:val="00A774AF"/>
    <w:rsid w:val="00A778B5"/>
    <w:rsid w:val="00A8023B"/>
    <w:rsid w:val="00A80B6C"/>
    <w:rsid w:val="00A80DA5"/>
    <w:rsid w:val="00A8134E"/>
    <w:rsid w:val="00A815B0"/>
    <w:rsid w:val="00A81A1A"/>
    <w:rsid w:val="00A81C51"/>
    <w:rsid w:val="00A81C76"/>
    <w:rsid w:val="00A8233B"/>
    <w:rsid w:val="00A825F1"/>
    <w:rsid w:val="00A831E8"/>
    <w:rsid w:val="00A83A5C"/>
    <w:rsid w:val="00A83B8F"/>
    <w:rsid w:val="00A8411B"/>
    <w:rsid w:val="00A841B3"/>
    <w:rsid w:val="00A844ED"/>
    <w:rsid w:val="00A8508E"/>
    <w:rsid w:val="00A85E72"/>
    <w:rsid w:val="00A87151"/>
    <w:rsid w:val="00A87D8E"/>
    <w:rsid w:val="00A90C57"/>
    <w:rsid w:val="00A9116F"/>
    <w:rsid w:val="00A918A3"/>
    <w:rsid w:val="00A92025"/>
    <w:rsid w:val="00A921D8"/>
    <w:rsid w:val="00A921F6"/>
    <w:rsid w:val="00A93225"/>
    <w:rsid w:val="00A934AE"/>
    <w:rsid w:val="00A93B3D"/>
    <w:rsid w:val="00A93D4C"/>
    <w:rsid w:val="00A93D71"/>
    <w:rsid w:val="00A94360"/>
    <w:rsid w:val="00A9484E"/>
    <w:rsid w:val="00A94AE0"/>
    <w:rsid w:val="00A95164"/>
    <w:rsid w:val="00A966AB"/>
    <w:rsid w:val="00A966DA"/>
    <w:rsid w:val="00A96BCE"/>
    <w:rsid w:val="00A96CAC"/>
    <w:rsid w:val="00A97053"/>
    <w:rsid w:val="00A97A31"/>
    <w:rsid w:val="00A97CA1"/>
    <w:rsid w:val="00A97E05"/>
    <w:rsid w:val="00AA057C"/>
    <w:rsid w:val="00AA07F7"/>
    <w:rsid w:val="00AA0845"/>
    <w:rsid w:val="00AA0E6B"/>
    <w:rsid w:val="00AA0EAF"/>
    <w:rsid w:val="00AA0F0F"/>
    <w:rsid w:val="00AA103F"/>
    <w:rsid w:val="00AA1AD4"/>
    <w:rsid w:val="00AA1FF2"/>
    <w:rsid w:val="00AA20F0"/>
    <w:rsid w:val="00AA22DB"/>
    <w:rsid w:val="00AA3065"/>
    <w:rsid w:val="00AA345D"/>
    <w:rsid w:val="00AA3604"/>
    <w:rsid w:val="00AA393A"/>
    <w:rsid w:val="00AA422D"/>
    <w:rsid w:val="00AA467D"/>
    <w:rsid w:val="00AA4779"/>
    <w:rsid w:val="00AA4DC3"/>
    <w:rsid w:val="00AA4F0B"/>
    <w:rsid w:val="00AA4FA0"/>
    <w:rsid w:val="00AA5945"/>
    <w:rsid w:val="00AA59BD"/>
    <w:rsid w:val="00AA5A8A"/>
    <w:rsid w:val="00AA606E"/>
    <w:rsid w:val="00AA61AE"/>
    <w:rsid w:val="00AA6717"/>
    <w:rsid w:val="00AA6721"/>
    <w:rsid w:val="00AA675D"/>
    <w:rsid w:val="00AA6959"/>
    <w:rsid w:val="00AA7068"/>
    <w:rsid w:val="00AA7263"/>
    <w:rsid w:val="00AA7266"/>
    <w:rsid w:val="00AA72DC"/>
    <w:rsid w:val="00AA790D"/>
    <w:rsid w:val="00AA7E26"/>
    <w:rsid w:val="00AB0984"/>
    <w:rsid w:val="00AB0A0D"/>
    <w:rsid w:val="00AB1845"/>
    <w:rsid w:val="00AB1992"/>
    <w:rsid w:val="00AB1F09"/>
    <w:rsid w:val="00AB230A"/>
    <w:rsid w:val="00AB2424"/>
    <w:rsid w:val="00AB2854"/>
    <w:rsid w:val="00AB2A4E"/>
    <w:rsid w:val="00AB2B57"/>
    <w:rsid w:val="00AB3C83"/>
    <w:rsid w:val="00AB3F09"/>
    <w:rsid w:val="00AB470D"/>
    <w:rsid w:val="00AB4BE2"/>
    <w:rsid w:val="00AB534E"/>
    <w:rsid w:val="00AB5669"/>
    <w:rsid w:val="00AB579F"/>
    <w:rsid w:val="00AB62E0"/>
    <w:rsid w:val="00AB7209"/>
    <w:rsid w:val="00AB794A"/>
    <w:rsid w:val="00AB7B3F"/>
    <w:rsid w:val="00AB7C63"/>
    <w:rsid w:val="00AB7ED1"/>
    <w:rsid w:val="00AB7FC4"/>
    <w:rsid w:val="00AC0A79"/>
    <w:rsid w:val="00AC0F31"/>
    <w:rsid w:val="00AC19AC"/>
    <w:rsid w:val="00AC1FF3"/>
    <w:rsid w:val="00AC32A1"/>
    <w:rsid w:val="00AC35EC"/>
    <w:rsid w:val="00AC3685"/>
    <w:rsid w:val="00AC3963"/>
    <w:rsid w:val="00AC3C8C"/>
    <w:rsid w:val="00AC4094"/>
    <w:rsid w:val="00AC48AC"/>
    <w:rsid w:val="00AC4C86"/>
    <w:rsid w:val="00AC4EF0"/>
    <w:rsid w:val="00AC4F29"/>
    <w:rsid w:val="00AC536B"/>
    <w:rsid w:val="00AC60ED"/>
    <w:rsid w:val="00AC6354"/>
    <w:rsid w:val="00AC6690"/>
    <w:rsid w:val="00AC6D5F"/>
    <w:rsid w:val="00AC7202"/>
    <w:rsid w:val="00AC78C6"/>
    <w:rsid w:val="00AC78F2"/>
    <w:rsid w:val="00AC7D20"/>
    <w:rsid w:val="00AC7DCA"/>
    <w:rsid w:val="00AC7DCF"/>
    <w:rsid w:val="00AC7E43"/>
    <w:rsid w:val="00AD038A"/>
    <w:rsid w:val="00AD03CD"/>
    <w:rsid w:val="00AD0CE2"/>
    <w:rsid w:val="00AD0E1A"/>
    <w:rsid w:val="00AD1122"/>
    <w:rsid w:val="00AD118B"/>
    <w:rsid w:val="00AD1B4D"/>
    <w:rsid w:val="00AD2025"/>
    <w:rsid w:val="00AD2217"/>
    <w:rsid w:val="00AD2574"/>
    <w:rsid w:val="00AD2FAB"/>
    <w:rsid w:val="00AD3626"/>
    <w:rsid w:val="00AD3EEC"/>
    <w:rsid w:val="00AD4040"/>
    <w:rsid w:val="00AD4D85"/>
    <w:rsid w:val="00AD5197"/>
    <w:rsid w:val="00AD590F"/>
    <w:rsid w:val="00AD5D4B"/>
    <w:rsid w:val="00AD648F"/>
    <w:rsid w:val="00AD656E"/>
    <w:rsid w:val="00AD65C5"/>
    <w:rsid w:val="00AD6E09"/>
    <w:rsid w:val="00AD7353"/>
    <w:rsid w:val="00AD7E8F"/>
    <w:rsid w:val="00AE04C3"/>
    <w:rsid w:val="00AE0582"/>
    <w:rsid w:val="00AE0603"/>
    <w:rsid w:val="00AE105A"/>
    <w:rsid w:val="00AE1170"/>
    <w:rsid w:val="00AE1423"/>
    <w:rsid w:val="00AE1496"/>
    <w:rsid w:val="00AE1687"/>
    <w:rsid w:val="00AE22D1"/>
    <w:rsid w:val="00AE2467"/>
    <w:rsid w:val="00AE274A"/>
    <w:rsid w:val="00AE2926"/>
    <w:rsid w:val="00AE2B28"/>
    <w:rsid w:val="00AE2E47"/>
    <w:rsid w:val="00AE3226"/>
    <w:rsid w:val="00AE33CA"/>
    <w:rsid w:val="00AE3CE7"/>
    <w:rsid w:val="00AE453E"/>
    <w:rsid w:val="00AE45EF"/>
    <w:rsid w:val="00AE4715"/>
    <w:rsid w:val="00AE4A8B"/>
    <w:rsid w:val="00AE579D"/>
    <w:rsid w:val="00AE5823"/>
    <w:rsid w:val="00AE5FBA"/>
    <w:rsid w:val="00AE5FD0"/>
    <w:rsid w:val="00AE627D"/>
    <w:rsid w:val="00AE6A2F"/>
    <w:rsid w:val="00AE6D6B"/>
    <w:rsid w:val="00AE70C5"/>
    <w:rsid w:val="00AE7371"/>
    <w:rsid w:val="00AE739C"/>
    <w:rsid w:val="00AE7500"/>
    <w:rsid w:val="00AE76AF"/>
    <w:rsid w:val="00AE7981"/>
    <w:rsid w:val="00AE7E8A"/>
    <w:rsid w:val="00AF0A06"/>
    <w:rsid w:val="00AF0C3E"/>
    <w:rsid w:val="00AF0EE2"/>
    <w:rsid w:val="00AF1792"/>
    <w:rsid w:val="00AF1A9E"/>
    <w:rsid w:val="00AF1BFE"/>
    <w:rsid w:val="00AF2120"/>
    <w:rsid w:val="00AF2377"/>
    <w:rsid w:val="00AF3141"/>
    <w:rsid w:val="00AF3C48"/>
    <w:rsid w:val="00AF3C9F"/>
    <w:rsid w:val="00AF3D10"/>
    <w:rsid w:val="00AF3D86"/>
    <w:rsid w:val="00AF4780"/>
    <w:rsid w:val="00AF500A"/>
    <w:rsid w:val="00AF5446"/>
    <w:rsid w:val="00AF54D1"/>
    <w:rsid w:val="00AF5C9F"/>
    <w:rsid w:val="00AF5E8A"/>
    <w:rsid w:val="00AF684D"/>
    <w:rsid w:val="00AF6CB7"/>
    <w:rsid w:val="00AF7143"/>
    <w:rsid w:val="00AF736E"/>
    <w:rsid w:val="00AF75C1"/>
    <w:rsid w:val="00AF7671"/>
    <w:rsid w:val="00AF7A69"/>
    <w:rsid w:val="00AF7B42"/>
    <w:rsid w:val="00AF7C09"/>
    <w:rsid w:val="00AF7DE2"/>
    <w:rsid w:val="00B00037"/>
    <w:rsid w:val="00B0019B"/>
    <w:rsid w:val="00B00A26"/>
    <w:rsid w:val="00B01583"/>
    <w:rsid w:val="00B015A7"/>
    <w:rsid w:val="00B0192E"/>
    <w:rsid w:val="00B02066"/>
    <w:rsid w:val="00B026FA"/>
    <w:rsid w:val="00B02819"/>
    <w:rsid w:val="00B02A08"/>
    <w:rsid w:val="00B02B90"/>
    <w:rsid w:val="00B02E23"/>
    <w:rsid w:val="00B037BE"/>
    <w:rsid w:val="00B03DEE"/>
    <w:rsid w:val="00B0427F"/>
    <w:rsid w:val="00B042DF"/>
    <w:rsid w:val="00B04366"/>
    <w:rsid w:val="00B0439D"/>
    <w:rsid w:val="00B047AB"/>
    <w:rsid w:val="00B049A9"/>
    <w:rsid w:val="00B04A81"/>
    <w:rsid w:val="00B04F91"/>
    <w:rsid w:val="00B05085"/>
    <w:rsid w:val="00B055DD"/>
    <w:rsid w:val="00B05FD8"/>
    <w:rsid w:val="00B06243"/>
    <w:rsid w:val="00B06284"/>
    <w:rsid w:val="00B06362"/>
    <w:rsid w:val="00B06964"/>
    <w:rsid w:val="00B07014"/>
    <w:rsid w:val="00B0793C"/>
    <w:rsid w:val="00B07A60"/>
    <w:rsid w:val="00B1007B"/>
    <w:rsid w:val="00B10802"/>
    <w:rsid w:val="00B108A8"/>
    <w:rsid w:val="00B10CE0"/>
    <w:rsid w:val="00B1103B"/>
    <w:rsid w:val="00B12295"/>
    <w:rsid w:val="00B12CD2"/>
    <w:rsid w:val="00B12E14"/>
    <w:rsid w:val="00B131DC"/>
    <w:rsid w:val="00B132AA"/>
    <w:rsid w:val="00B13C7C"/>
    <w:rsid w:val="00B13D3F"/>
    <w:rsid w:val="00B140AE"/>
    <w:rsid w:val="00B141A1"/>
    <w:rsid w:val="00B14A2C"/>
    <w:rsid w:val="00B151AC"/>
    <w:rsid w:val="00B153D2"/>
    <w:rsid w:val="00B158D7"/>
    <w:rsid w:val="00B15EB0"/>
    <w:rsid w:val="00B16983"/>
    <w:rsid w:val="00B1698F"/>
    <w:rsid w:val="00B175B4"/>
    <w:rsid w:val="00B1797C"/>
    <w:rsid w:val="00B17F9B"/>
    <w:rsid w:val="00B2027F"/>
    <w:rsid w:val="00B204FE"/>
    <w:rsid w:val="00B20C32"/>
    <w:rsid w:val="00B20E57"/>
    <w:rsid w:val="00B21365"/>
    <w:rsid w:val="00B21514"/>
    <w:rsid w:val="00B216B2"/>
    <w:rsid w:val="00B21B82"/>
    <w:rsid w:val="00B22585"/>
    <w:rsid w:val="00B22927"/>
    <w:rsid w:val="00B22AFF"/>
    <w:rsid w:val="00B22F90"/>
    <w:rsid w:val="00B23247"/>
    <w:rsid w:val="00B235D2"/>
    <w:rsid w:val="00B23C07"/>
    <w:rsid w:val="00B23CC8"/>
    <w:rsid w:val="00B23D3B"/>
    <w:rsid w:val="00B242B0"/>
    <w:rsid w:val="00B244E6"/>
    <w:rsid w:val="00B24643"/>
    <w:rsid w:val="00B25101"/>
    <w:rsid w:val="00B25DE7"/>
    <w:rsid w:val="00B2608A"/>
    <w:rsid w:val="00B2611D"/>
    <w:rsid w:val="00B2612D"/>
    <w:rsid w:val="00B26AE0"/>
    <w:rsid w:val="00B27434"/>
    <w:rsid w:val="00B27564"/>
    <w:rsid w:val="00B27633"/>
    <w:rsid w:val="00B27819"/>
    <w:rsid w:val="00B27ADC"/>
    <w:rsid w:val="00B27DA3"/>
    <w:rsid w:val="00B3054E"/>
    <w:rsid w:val="00B305AC"/>
    <w:rsid w:val="00B309D0"/>
    <w:rsid w:val="00B30DF8"/>
    <w:rsid w:val="00B31867"/>
    <w:rsid w:val="00B3193B"/>
    <w:rsid w:val="00B31FCF"/>
    <w:rsid w:val="00B336D0"/>
    <w:rsid w:val="00B336FD"/>
    <w:rsid w:val="00B3373A"/>
    <w:rsid w:val="00B339C5"/>
    <w:rsid w:val="00B33A29"/>
    <w:rsid w:val="00B33B16"/>
    <w:rsid w:val="00B33BCB"/>
    <w:rsid w:val="00B33CBD"/>
    <w:rsid w:val="00B33D72"/>
    <w:rsid w:val="00B33F34"/>
    <w:rsid w:val="00B3423E"/>
    <w:rsid w:val="00B3590A"/>
    <w:rsid w:val="00B35D8B"/>
    <w:rsid w:val="00B36340"/>
    <w:rsid w:val="00B36601"/>
    <w:rsid w:val="00B36A7B"/>
    <w:rsid w:val="00B36FDA"/>
    <w:rsid w:val="00B370AA"/>
    <w:rsid w:val="00B376D8"/>
    <w:rsid w:val="00B37721"/>
    <w:rsid w:val="00B37ED7"/>
    <w:rsid w:val="00B4070D"/>
    <w:rsid w:val="00B40C14"/>
    <w:rsid w:val="00B410BD"/>
    <w:rsid w:val="00B4126D"/>
    <w:rsid w:val="00B412FD"/>
    <w:rsid w:val="00B41410"/>
    <w:rsid w:val="00B41605"/>
    <w:rsid w:val="00B41816"/>
    <w:rsid w:val="00B41E6E"/>
    <w:rsid w:val="00B422AE"/>
    <w:rsid w:val="00B42983"/>
    <w:rsid w:val="00B43204"/>
    <w:rsid w:val="00B43832"/>
    <w:rsid w:val="00B43A95"/>
    <w:rsid w:val="00B43F03"/>
    <w:rsid w:val="00B44187"/>
    <w:rsid w:val="00B44D4D"/>
    <w:rsid w:val="00B4546C"/>
    <w:rsid w:val="00B45614"/>
    <w:rsid w:val="00B45C84"/>
    <w:rsid w:val="00B46059"/>
    <w:rsid w:val="00B469B9"/>
    <w:rsid w:val="00B46BB0"/>
    <w:rsid w:val="00B46DDF"/>
    <w:rsid w:val="00B46E88"/>
    <w:rsid w:val="00B47264"/>
    <w:rsid w:val="00B479E1"/>
    <w:rsid w:val="00B50024"/>
    <w:rsid w:val="00B503BA"/>
    <w:rsid w:val="00B507DB"/>
    <w:rsid w:val="00B50B2E"/>
    <w:rsid w:val="00B5184D"/>
    <w:rsid w:val="00B518E1"/>
    <w:rsid w:val="00B519E2"/>
    <w:rsid w:val="00B51DF4"/>
    <w:rsid w:val="00B520AF"/>
    <w:rsid w:val="00B524B5"/>
    <w:rsid w:val="00B5267E"/>
    <w:rsid w:val="00B52833"/>
    <w:rsid w:val="00B52923"/>
    <w:rsid w:val="00B52C0E"/>
    <w:rsid w:val="00B52D23"/>
    <w:rsid w:val="00B53100"/>
    <w:rsid w:val="00B53282"/>
    <w:rsid w:val="00B5341C"/>
    <w:rsid w:val="00B5344E"/>
    <w:rsid w:val="00B53B30"/>
    <w:rsid w:val="00B53E4E"/>
    <w:rsid w:val="00B53EE2"/>
    <w:rsid w:val="00B54008"/>
    <w:rsid w:val="00B541F9"/>
    <w:rsid w:val="00B55B55"/>
    <w:rsid w:val="00B5630D"/>
    <w:rsid w:val="00B56648"/>
    <w:rsid w:val="00B569B3"/>
    <w:rsid w:val="00B56C5A"/>
    <w:rsid w:val="00B570DE"/>
    <w:rsid w:val="00B57184"/>
    <w:rsid w:val="00B574F5"/>
    <w:rsid w:val="00B5799B"/>
    <w:rsid w:val="00B57B71"/>
    <w:rsid w:val="00B57DEB"/>
    <w:rsid w:val="00B60017"/>
    <w:rsid w:val="00B600A9"/>
    <w:rsid w:val="00B60454"/>
    <w:rsid w:val="00B60773"/>
    <w:rsid w:val="00B612A5"/>
    <w:rsid w:val="00B61377"/>
    <w:rsid w:val="00B613A6"/>
    <w:rsid w:val="00B613CF"/>
    <w:rsid w:val="00B6171A"/>
    <w:rsid w:val="00B61829"/>
    <w:rsid w:val="00B62339"/>
    <w:rsid w:val="00B62625"/>
    <w:rsid w:val="00B6279D"/>
    <w:rsid w:val="00B629F8"/>
    <w:rsid w:val="00B62B46"/>
    <w:rsid w:val="00B632C1"/>
    <w:rsid w:val="00B63F1C"/>
    <w:rsid w:val="00B64497"/>
    <w:rsid w:val="00B6457E"/>
    <w:rsid w:val="00B646B4"/>
    <w:rsid w:val="00B64A41"/>
    <w:rsid w:val="00B64A97"/>
    <w:rsid w:val="00B64C77"/>
    <w:rsid w:val="00B64D1F"/>
    <w:rsid w:val="00B65702"/>
    <w:rsid w:val="00B6578A"/>
    <w:rsid w:val="00B65C01"/>
    <w:rsid w:val="00B663E0"/>
    <w:rsid w:val="00B66757"/>
    <w:rsid w:val="00B66BB5"/>
    <w:rsid w:val="00B66EBB"/>
    <w:rsid w:val="00B67268"/>
    <w:rsid w:val="00B675CE"/>
    <w:rsid w:val="00B67752"/>
    <w:rsid w:val="00B679E3"/>
    <w:rsid w:val="00B67B5F"/>
    <w:rsid w:val="00B701D1"/>
    <w:rsid w:val="00B7031C"/>
    <w:rsid w:val="00B70B2A"/>
    <w:rsid w:val="00B70E8A"/>
    <w:rsid w:val="00B70E9D"/>
    <w:rsid w:val="00B714C9"/>
    <w:rsid w:val="00B724A0"/>
    <w:rsid w:val="00B7256D"/>
    <w:rsid w:val="00B7284D"/>
    <w:rsid w:val="00B72EE8"/>
    <w:rsid w:val="00B735D5"/>
    <w:rsid w:val="00B73943"/>
    <w:rsid w:val="00B739BE"/>
    <w:rsid w:val="00B73DD1"/>
    <w:rsid w:val="00B74002"/>
    <w:rsid w:val="00B7483E"/>
    <w:rsid w:val="00B7491B"/>
    <w:rsid w:val="00B74F4B"/>
    <w:rsid w:val="00B75351"/>
    <w:rsid w:val="00B75A42"/>
    <w:rsid w:val="00B76F96"/>
    <w:rsid w:val="00B76FB2"/>
    <w:rsid w:val="00B77050"/>
    <w:rsid w:val="00B77280"/>
    <w:rsid w:val="00B778A8"/>
    <w:rsid w:val="00B778C0"/>
    <w:rsid w:val="00B80468"/>
    <w:rsid w:val="00B81320"/>
    <w:rsid w:val="00B816C5"/>
    <w:rsid w:val="00B817FC"/>
    <w:rsid w:val="00B81B2C"/>
    <w:rsid w:val="00B81EC5"/>
    <w:rsid w:val="00B8214F"/>
    <w:rsid w:val="00B82A66"/>
    <w:rsid w:val="00B82CB9"/>
    <w:rsid w:val="00B82F10"/>
    <w:rsid w:val="00B83FAF"/>
    <w:rsid w:val="00B841EE"/>
    <w:rsid w:val="00B8473B"/>
    <w:rsid w:val="00B849EA"/>
    <w:rsid w:val="00B84A98"/>
    <w:rsid w:val="00B8515A"/>
    <w:rsid w:val="00B85A89"/>
    <w:rsid w:val="00B85F55"/>
    <w:rsid w:val="00B85F98"/>
    <w:rsid w:val="00B8631F"/>
    <w:rsid w:val="00B8698B"/>
    <w:rsid w:val="00B86B03"/>
    <w:rsid w:val="00B86B84"/>
    <w:rsid w:val="00B86E20"/>
    <w:rsid w:val="00B870B5"/>
    <w:rsid w:val="00B872E4"/>
    <w:rsid w:val="00B873AE"/>
    <w:rsid w:val="00B8777C"/>
    <w:rsid w:val="00B901E3"/>
    <w:rsid w:val="00B9039A"/>
    <w:rsid w:val="00B9083A"/>
    <w:rsid w:val="00B909C4"/>
    <w:rsid w:val="00B90BD6"/>
    <w:rsid w:val="00B90EB6"/>
    <w:rsid w:val="00B91338"/>
    <w:rsid w:val="00B9137A"/>
    <w:rsid w:val="00B9175D"/>
    <w:rsid w:val="00B92CBD"/>
    <w:rsid w:val="00B93171"/>
    <w:rsid w:val="00B933B1"/>
    <w:rsid w:val="00B935CD"/>
    <w:rsid w:val="00B93D48"/>
    <w:rsid w:val="00B941EC"/>
    <w:rsid w:val="00B9425C"/>
    <w:rsid w:val="00B94E06"/>
    <w:rsid w:val="00B95866"/>
    <w:rsid w:val="00B95AE7"/>
    <w:rsid w:val="00B9638D"/>
    <w:rsid w:val="00B968DB"/>
    <w:rsid w:val="00B96BA4"/>
    <w:rsid w:val="00B96DA3"/>
    <w:rsid w:val="00B96DE0"/>
    <w:rsid w:val="00B96EDB"/>
    <w:rsid w:val="00B97075"/>
    <w:rsid w:val="00B9783B"/>
    <w:rsid w:val="00B97FC5"/>
    <w:rsid w:val="00BA088A"/>
    <w:rsid w:val="00BA11F7"/>
    <w:rsid w:val="00BA203E"/>
    <w:rsid w:val="00BA25D7"/>
    <w:rsid w:val="00BA2616"/>
    <w:rsid w:val="00BA2CB9"/>
    <w:rsid w:val="00BA2D39"/>
    <w:rsid w:val="00BA305D"/>
    <w:rsid w:val="00BA3522"/>
    <w:rsid w:val="00BA38F7"/>
    <w:rsid w:val="00BA414A"/>
    <w:rsid w:val="00BA4154"/>
    <w:rsid w:val="00BA4211"/>
    <w:rsid w:val="00BA477C"/>
    <w:rsid w:val="00BA4B7F"/>
    <w:rsid w:val="00BA4BA0"/>
    <w:rsid w:val="00BA4F25"/>
    <w:rsid w:val="00BA4F71"/>
    <w:rsid w:val="00BA53A0"/>
    <w:rsid w:val="00BA564C"/>
    <w:rsid w:val="00BA58AE"/>
    <w:rsid w:val="00BA5EB9"/>
    <w:rsid w:val="00BA6B77"/>
    <w:rsid w:val="00BA72BF"/>
    <w:rsid w:val="00BA77A0"/>
    <w:rsid w:val="00BA7BA0"/>
    <w:rsid w:val="00BA7E29"/>
    <w:rsid w:val="00BB0230"/>
    <w:rsid w:val="00BB2278"/>
    <w:rsid w:val="00BB23F2"/>
    <w:rsid w:val="00BB2C80"/>
    <w:rsid w:val="00BB3548"/>
    <w:rsid w:val="00BB368D"/>
    <w:rsid w:val="00BB3CF4"/>
    <w:rsid w:val="00BB3EA5"/>
    <w:rsid w:val="00BB40F6"/>
    <w:rsid w:val="00BB43CE"/>
    <w:rsid w:val="00BB4631"/>
    <w:rsid w:val="00BB4A0F"/>
    <w:rsid w:val="00BB4D7A"/>
    <w:rsid w:val="00BB4D8D"/>
    <w:rsid w:val="00BB4E1B"/>
    <w:rsid w:val="00BB5110"/>
    <w:rsid w:val="00BB5D52"/>
    <w:rsid w:val="00BB7A1F"/>
    <w:rsid w:val="00BB7AF2"/>
    <w:rsid w:val="00BB7AF6"/>
    <w:rsid w:val="00BC00A4"/>
    <w:rsid w:val="00BC0921"/>
    <w:rsid w:val="00BC0D02"/>
    <w:rsid w:val="00BC0D1C"/>
    <w:rsid w:val="00BC1337"/>
    <w:rsid w:val="00BC16AD"/>
    <w:rsid w:val="00BC1CEB"/>
    <w:rsid w:val="00BC2614"/>
    <w:rsid w:val="00BC2DBD"/>
    <w:rsid w:val="00BC324A"/>
    <w:rsid w:val="00BC3319"/>
    <w:rsid w:val="00BC376B"/>
    <w:rsid w:val="00BC3B16"/>
    <w:rsid w:val="00BC3B64"/>
    <w:rsid w:val="00BC41AC"/>
    <w:rsid w:val="00BC41FC"/>
    <w:rsid w:val="00BC4346"/>
    <w:rsid w:val="00BC4790"/>
    <w:rsid w:val="00BC479B"/>
    <w:rsid w:val="00BC4BFC"/>
    <w:rsid w:val="00BC4CA5"/>
    <w:rsid w:val="00BC4F40"/>
    <w:rsid w:val="00BC5367"/>
    <w:rsid w:val="00BC5811"/>
    <w:rsid w:val="00BC5F22"/>
    <w:rsid w:val="00BC60BD"/>
    <w:rsid w:val="00BC6AA4"/>
    <w:rsid w:val="00BC70CB"/>
    <w:rsid w:val="00BC71BE"/>
    <w:rsid w:val="00BC72A8"/>
    <w:rsid w:val="00BC7A91"/>
    <w:rsid w:val="00BD0202"/>
    <w:rsid w:val="00BD0B2C"/>
    <w:rsid w:val="00BD0C4C"/>
    <w:rsid w:val="00BD0F1C"/>
    <w:rsid w:val="00BD0F1F"/>
    <w:rsid w:val="00BD1008"/>
    <w:rsid w:val="00BD1FFB"/>
    <w:rsid w:val="00BD2160"/>
    <w:rsid w:val="00BD233F"/>
    <w:rsid w:val="00BD262D"/>
    <w:rsid w:val="00BD28CF"/>
    <w:rsid w:val="00BD2CB5"/>
    <w:rsid w:val="00BD2DDC"/>
    <w:rsid w:val="00BD32EE"/>
    <w:rsid w:val="00BD3AF0"/>
    <w:rsid w:val="00BD3CA4"/>
    <w:rsid w:val="00BD414D"/>
    <w:rsid w:val="00BD42FE"/>
    <w:rsid w:val="00BD45C8"/>
    <w:rsid w:val="00BD45F0"/>
    <w:rsid w:val="00BD4BE9"/>
    <w:rsid w:val="00BD54C9"/>
    <w:rsid w:val="00BD665B"/>
    <w:rsid w:val="00BD678A"/>
    <w:rsid w:val="00BD68A7"/>
    <w:rsid w:val="00BD6A9D"/>
    <w:rsid w:val="00BD6CAC"/>
    <w:rsid w:val="00BD7D43"/>
    <w:rsid w:val="00BD7E22"/>
    <w:rsid w:val="00BE0044"/>
    <w:rsid w:val="00BE0927"/>
    <w:rsid w:val="00BE0956"/>
    <w:rsid w:val="00BE1052"/>
    <w:rsid w:val="00BE12D8"/>
    <w:rsid w:val="00BE1C0D"/>
    <w:rsid w:val="00BE212D"/>
    <w:rsid w:val="00BE25E8"/>
    <w:rsid w:val="00BE28A8"/>
    <w:rsid w:val="00BE2A05"/>
    <w:rsid w:val="00BE304D"/>
    <w:rsid w:val="00BE368E"/>
    <w:rsid w:val="00BE36DC"/>
    <w:rsid w:val="00BE3E10"/>
    <w:rsid w:val="00BE3F6E"/>
    <w:rsid w:val="00BE4486"/>
    <w:rsid w:val="00BE47A1"/>
    <w:rsid w:val="00BE4E1C"/>
    <w:rsid w:val="00BE5116"/>
    <w:rsid w:val="00BE5272"/>
    <w:rsid w:val="00BE561E"/>
    <w:rsid w:val="00BE5B54"/>
    <w:rsid w:val="00BE61F3"/>
    <w:rsid w:val="00BE64DF"/>
    <w:rsid w:val="00BE6609"/>
    <w:rsid w:val="00BE6878"/>
    <w:rsid w:val="00BE6AEF"/>
    <w:rsid w:val="00BE6E28"/>
    <w:rsid w:val="00BE6F35"/>
    <w:rsid w:val="00BE7437"/>
    <w:rsid w:val="00BE7831"/>
    <w:rsid w:val="00BF010E"/>
    <w:rsid w:val="00BF037E"/>
    <w:rsid w:val="00BF070D"/>
    <w:rsid w:val="00BF0CB8"/>
    <w:rsid w:val="00BF0F40"/>
    <w:rsid w:val="00BF105C"/>
    <w:rsid w:val="00BF1177"/>
    <w:rsid w:val="00BF1772"/>
    <w:rsid w:val="00BF18A7"/>
    <w:rsid w:val="00BF1D69"/>
    <w:rsid w:val="00BF208E"/>
    <w:rsid w:val="00BF21B8"/>
    <w:rsid w:val="00BF2C42"/>
    <w:rsid w:val="00BF3321"/>
    <w:rsid w:val="00BF3BEC"/>
    <w:rsid w:val="00BF3F24"/>
    <w:rsid w:val="00BF3FC4"/>
    <w:rsid w:val="00BF4213"/>
    <w:rsid w:val="00BF4660"/>
    <w:rsid w:val="00BF4773"/>
    <w:rsid w:val="00BF477B"/>
    <w:rsid w:val="00BF4835"/>
    <w:rsid w:val="00BF4B92"/>
    <w:rsid w:val="00BF4EAB"/>
    <w:rsid w:val="00BF4F35"/>
    <w:rsid w:val="00BF4F36"/>
    <w:rsid w:val="00BF50E1"/>
    <w:rsid w:val="00BF53F7"/>
    <w:rsid w:val="00BF5814"/>
    <w:rsid w:val="00BF6057"/>
    <w:rsid w:val="00BF6AAD"/>
    <w:rsid w:val="00BF7847"/>
    <w:rsid w:val="00C00133"/>
    <w:rsid w:val="00C001AB"/>
    <w:rsid w:val="00C00675"/>
    <w:rsid w:val="00C006CD"/>
    <w:rsid w:val="00C0096C"/>
    <w:rsid w:val="00C00EB7"/>
    <w:rsid w:val="00C011ED"/>
    <w:rsid w:val="00C0130D"/>
    <w:rsid w:val="00C018EB"/>
    <w:rsid w:val="00C0197C"/>
    <w:rsid w:val="00C020C6"/>
    <w:rsid w:val="00C02FE5"/>
    <w:rsid w:val="00C037DB"/>
    <w:rsid w:val="00C03B4E"/>
    <w:rsid w:val="00C04068"/>
    <w:rsid w:val="00C046FB"/>
    <w:rsid w:val="00C04780"/>
    <w:rsid w:val="00C04BB9"/>
    <w:rsid w:val="00C04CFE"/>
    <w:rsid w:val="00C04FBF"/>
    <w:rsid w:val="00C05703"/>
    <w:rsid w:val="00C06082"/>
    <w:rsid w:val="00C06355"/>
    <w:rsid w:val="00C06544"/>
    <w:rsid w:val="00C07D10"/>
    <w:rsid w:val="00C07E4C"/>
    <w:rsid w:val="00C1014C"/>
    <w:rsid w:val="00C101A2"/>
    <w:rsid w:val="00C101F5"/>
    <w:rsid w:val="00C1021D"/>
    <w:rsid w:val="00C105FE"/>
    <w:rsid w:val="00C10B8B"/>
    <w:rsid w:val="00C10E64"/>
    <w:rsid w:val="00C11249"/>
    <w:rsid w:val="00C1151C"/>
    <w:rsid w:val="00C11602"/>
    <w:rsid w:val="00C1183C"/>
    <w:rsid w:val="00C11B2D"/>
    <w:rsid w:val="00C121D3"/>
    <w:rsid w:val="00C12394"/>
    <w:rsid w:val="00C12A67"/>
    <w:rsid w:val="00C12ECE"/>
    <w:rsid w:val="00C12F60"/>
    <w:rsid w:val="00C13189"/>
    <w:rsid w:val="00C131CD"/>
    <w:rsid w:val="00C1341D"/>
    <w:rsid w:val="00C134CF"/>
    <w:rsid w:val="00C13C60"/>
    <w:rsid w:val="00C13CFC"/>
    <w:rsid w:val="00C13F2A"/>
    <w:rsid w:val="00C140F2"/>
    <w:rsid w:val="00C14419"/>
    <w:rsid w:val="00C1441C"/>
    <w:rsid w:val="00C14FF4"/>
    <w:rsid w:val="00C15810"/>
    <w:rsid w:val="00C164B1"/>
    <w:rsid w:val="00C166F3"/>
    <w:rsid w:val="00C169D0"/>
    <w:rsid w:val="00C16C6B"/>
    <w:rsid w:val="00C16CDB"/>
    <w:rsid w:val="00C16E28"/>
    <w:rsid w:val="00C16E75"/>
    <w:rsid w:val="00C171B2"/>
    <w:rsid w:val="00C176BF"/>
    <w:rsid w:val="00C17AF7"/>
    <w:rsid w:val="00C20D2D"/>
    <w:rsid w:val="00C20EE3"/>
    <w:rsid w:val="00C2172B"/>
    <w:rsid w:val="00C21ADF"/>
    <w:rsid w:val="00C21CBF"/>
    <w:rsid w:val="00C21E75"/>
    <w:rsid w:val="00C220A7"/>
    <w:rsid w:val="00C221CC"/>
    <w:rsid w:val="00C225C5"/>
    <w:rsid w:val="00C22E41"/>
    <w:rsid w:val="00C2316A"/>
    <w:rsid w:val="00C23358"/>
    <w:rsid w:val="00C23736"/>
    <w:rsid w:val="00C23773"/>
    <w:rsid w:val="00C23BD5"/>
    <w:rsid w:val="00C23C8E"/>
    <w:rsid w:val="00C24146"/>
    <w:rsid w:val="00C2423E"/>
    <w:rsid w:val="00C24391"/>
    <w:rsid w:val="00C24AF2"/>
    <w:rsid w:val="00C25954"/>
    <w:rsid w:val="00C25C20"/>
    <w:rsid w:val="00C265B1"/>
    <w:rsid w:val="00C26627"/>
    <w:rsid w:val="00C26D5D"/>
    <w:rsid w:val="00C26F78"/>
    <w:rsid w:val="00C2783C"/>
    <w:rsid w:val="00C279C5"/>
    <w:rsid w:val="00C27A39"/>
    <w:rsid w:val="00C30533"/>
    <w:rsid w:val="00C305B1"/>
    <w:rsid w:val="00C30C38"/>
    <w:rsid w:val="00C310BC"/>
    <w:rsid w:val="00C31150"/>
    <w:rsid w:val="00C31493"/>
    <w:rsid w:val="00C32334"/>
    <w:rsid w:val="00C32D4F"/>
    <w:rsid w:val="00C32F24"/>
    <w:rsid w:val="00C330F0"/>
    <w:rsid w:val="00C332C5"/>
    <w:rsid w:val="00C33681"/>
    <w:rsid w:val="00C33A4F"/>
    <w:rsid w:val="00C33AA8"/>
    <w:rsid w:val="00C34016"/>
    <w:rsid w:val="00C3409E"/>
    <w:rsid w:val="00C3466D"/>
    <w:rsid w:val="00C3483F"/>
    <w:rsid w:val="00C34C50"/>
    <w:rsid w:val="00C34E2F"/>
    <w:rsid w:val="00C354C3"/>
    <w:rsid w:val="00C35667"/>
    <w:rsid w:val="00C35AD9"/>
    <w:rsid w:val="00C35EC9"/>
    <w:rsid w:val="00C3631B"/>
    <w:rsid w:val="00C3650D"/>
    <w:rsid w:val="00C36569"/>
    <w:rsid w:val="00C3656D"/>
    <w:rsid w:val="00C36859"/>
    <w:rsid w:val="00C376EB"/>
    <w:rsid w:val="00C37F86"/>
    <w:rsid w:val="00C40BD0"/>
    <w:rsid w:val="00C40D96"/>
    <w:rsid w:val="00C414A2"/>
    <w:rsid w:val="00C417BF"/>
    <w:rsid w:val="00C41993"/>
    <w:rsid w:val="00C4245A"/>
    <w:rsid w:val="00C425C5"/>
    <w:rsid w:val="00C425DC"/>
    <w:rsid w:val="00C42BD5"/>
    <w:rsid w:val="00C430C9"/>
    <w:rsid w:val="00C43414"/>
    <w:rsid w:val="00C436D9"/>
    <w:rsid w:val="00C439E3"/>
    <w:rsid w:val="00C44788"/>
    <w:rsid w:val="00C44845"/>
    <w:rsid w:val="00C44E9A"/>
    <w:rsid w:val="00C44F0F"/>
    <w:rsid w:val="00C44F34"/>
    <w:rsid w:val="00C45246"/>
    <w:rsid w:val="00C46074"/>
    <w:rsid w:val="00C4641E"/>
    <w:rsid w:val="00C467F4"/>
    <w:rsid w:val="00C47AA8"/>
    <w:rsid w:val="00C5071F"/>
    <w:rsid w:val="00C5078F"/>
    <w:rsid w:val="00C50B92"/>
    <w:rsid w:val="00C50BEA"/>
    <w:rsid w:val="00C515A2"/>
    <w:rsid w:val="00C515E7"/>
    <w:rsid w:val="00C51659"/>
    <w:rsid w:val="00C51BCB"/>
    <w:rsid w:val="00C51EBD"/>
    <w:rsid w:val="00C52600"/>
    <w:rsid w:val="00C5282C"/>
    <w:rsid w:val="00C528C5"/>
    <w:rsid w:val="00C532C9"/>
    <w:rsid w:val="00C53C0D"/>
    <w:rsid w:val="00C53CCA"/>
    <w:rsid w:val="00C54604"/>
    <w:rsid w:val="00C54AD2"/>
    <w:rsid w:val="00C54D2A"/>
    <w:rsid w:val="00C55C27"/>
    <w:rsid w:val="00C55D9A"/>
    <w:rsid w:val="00C562B5"/>
    <w:rsid w:val="00C56575"/>
    <w:rsid w:val="00C569B3"/>
    <w:rsid w:val="00C56C39"/>
    <w:rsid w:val="00C56D6F"/>
    <w:rsid w:val="00C6013E"/>
    <w:rsid w:val="00C606C9"/>
    <w:rsid w:val="00C60EF0"/>
    <w:rsid w:val="00C620E6"/>
    <w:rsid w:val="00C623EC"/>
    <w:rsid w:val="00C626C0"/>
    <w:rsid w:val="00C627BA"/>
    <w:rsid w:val="00C62E47"/>
    <w:rsid w:val="00C6308E"/>
    <w:rsid w:val="00C631B7"/>
    <w:rsid w:val="00C6378A"/>
    <w:rsid w:val="00C64442"/>
    <w:rsid w:val="00C645A2"/>
    <w:rsid w:val="00C64B37"/>
    <w:rsid w:val="00C64D83"/>
    <w:rsid w:val="00C64F34"/>
    <w:rsid w:val="00C652DB"/>
    <w:rsid w:val="00C655C5"/>
    <w:rsid w:val="00C657F1"/>
    <w:rsid w:val="00C65974"/>
    <w:rsid w:val="00C65D52"/>
    <w:rsid w:val="00C6612D"/>
    <w:rsid w:val="00C66350"/>
    <w:rsid w:val="00C66986"/>
    <w:rsid w:val="00C66DD3"/>
    <w:rsid w:val="00C6722F"/>
    <w:rsid w:val="00C67379"/>
    <w:rsid w:val="00C67571"/>
    <w:rsid w:val="00C67933"/>
    <w:rsid w:val="00C67D61"/>
    <w:rsid w:val="00C67DE1"/>
    <w:rsid w:val="00C7019B"/>
    <w:rsid w:val="00C704FF"/>
    <w:rsid w:val="00C707B4"/>
    <w:rsid w:val="00C70A29"/>
    <w:rsid w:val="00C70CF6"/>
    <w:rsid w:val="00C70E41"/>
    <w:rsid w:val="00C71218"/>
    <w:rsid w:val="00C71509"/>
    <w:rsid w:val="00C71EE8"/>
    <w:rsid w:val="00C721DD"/>
    <w:rsid w:val="00C72422"/>
    <w:rsid w:val="00C725A8"/>
    <w:rsid w:val="00C73DFB"/>
    <w:rsid w:val="00C74B42"/>
    <w:rsid w:val="00C75076"/>
    <w:rsid w:val="00C7510A"/>
    <w:rsid w:val="00C7566B"/>
    <w:rsid w:val="00C75A33"/>
    <w:rsid w:val="00C75F24"/>
    <w:rsid w:val="00C760B0"/>
    <w:rsid w:val="00C76A8A"/>
    <w:rsid w:val="00C76B4B"/>
    <w:rsid w:val="00C76B61"/>
    <w:rsid w:val="00C76FD2"/>
    <w:rsid w:val="00C771F0"/>
    <w:rsid w:val="00C773CF"/>
    <w:rsid w:val="00C80373"/>
    <w:rsid w:val="00C8096A"/>
    <w:rsid w:val="00C80E36"/>
    <w:rsid w:val="00C80E5B"/>
    <w:rsid w:val="00C813AF"/>
    <w:rsid w:val="00C81616"/>
    <w:rsid w:val="00C81D27"/>
    <w:rsid w:val="00C81F21"/>
    <w:rsid w:val="00C81F53"/>
    <w:rsid w:val="00C8212A"/>
    <w:rsid w:val="00C82569"/>
    <w:rsid w:val="00C82627"/>
    <w:rsid w:val="00C826E2"/>
    <w:rsid w:val="00C83E26"/>
    <w:rsid w:val="00C83EE0"/>
    <w:rsid w:val="00C84023"/>
    <w:rsid w:val="00C842EB"/>
    <w:rsid w:val="00C845CD"/>
    <w:rsid w:val="00C8462F"/>
    <w:rsid w:val="00C84779"/>
    <w:rsid w:val="00C8489B"/>
    <w:rsid w:val="00C84C3F"/>
    <w:rsid w:val="00C853D4"/>
    <w:rsid w:val="00C855DA"/>
    <w:rsid w:val="00C85827"/>
    <w:rsid w:val="00C859AE"/>
    <w:rsid w:val="00C85D6A"/>
    <w:rsid w:val="00C86078"/>
    <w:rsid w:val="00C8638C"/>
    <w:rsid w:val="00C8657F"/>
    <w:rsid w:val="00C86D9C"/>
    <w:rsid w:val="00C86F82"/>
    <w:rsid w:val="00C871AF"/>
    <w:rsid w:val="00C87860"/>
    <w:rsid w:val="00C87ED3"/>
    <w:rsid w:val="00C87F5A"/>
    <w:rsid w:val="00C90A36"/>
    <w:rsid w:val="00C90B28"/>
    <w:rsid w:val="00C90F83"/>
    <w:rsid w:val="00C91361"/>
    <w:rsid w:val="00C91ED8"/>
    <w:rsid w:val="00C9248F"/>
    <w:rsid w:val="00C92962"/>
    <w:rsid w:val="00C93009"/>
    <w:rsid w:val="00C9339A"/>
    <w:rsid w:val="00C93BE8"/>
    <w:rsid w:val="00C93E2B"/>
    <w:rsid w:val="00C93ED0"/>
    <w:rsid w:val="00C93EF2"/>
    <w:rsid w:val="00C9438C"/>
    <w:rsid w:val="00C9478D"/>
    <w:rsid w:val="00C95CBC"/>
    <w:rsid w:val="00C96056"/>
    <w:rsid w:val="00C96195"/>
    <w:rsid w:val="00C96266"/>
    <w:rsid w:val="00C96308"/>
    <w:rsid w:val="00C963DD"/>
    <w:rsid w:val="00C964B8"/>
    <w:rsid w:val="00C96687"/>
    <w:rsid w:val="00C968E1"/>
    <w:rsid w:val="00C96ABD"/>
    <w:rsid w:val="00C96BEF"/>
    <w:rsid w:val="00C9788A"/>
    <w:rsid w:val="00C97B55"/>
    <w:rsid w:val="00C97FE6"/>
    <w:rsid w:val="00CA046C"/>
    <w:rsid w:val="00CA0719"/>
    <w:rsid w:val="00CA0762"/>
    <w:rsid w:val="00CA077E"/>
    <w:rsid w:val="00CA0DE2"/>
    <w:rsid w:val="00CA0E12"/>
    <w:rsid w:val="00CA0EED"/>
    <w:rsid w:val="00CA100C"/>
    <w:rsid w:val="00CA14E9"/>
    <w:rsid w:val="00CA19DF"/>
    <w:rsid w:val="00CA22B8"/>
    <w:rsid w:val="00CA27ED"/>
    <w:rsid w:val="00CA2BC1"/>
    <w:rsid w:val="00CA3098"/>
    <w:rsid w:val="00CA316B"/>
    <w:rsid w:val="00CA386E"/>
    <w:rsid w:val="00CA3EDF"/>
    <w:rsid w:val="00CA3FFF"/>
    <w:rsid w:val="00CA408D"/>
    <w:rsid w:val="00CA4301"/>
    <w:rsid w:val="00CA4A7E"/>
    <w:rsid w:val="00CA4EAD"/>
    <w:rsid w:val="00CA4ECE"/>
    <w:rsid w:val="00CA540A"/>
    <w:rsid w:val="00CA6C58"/>
    <w:rsid w:val="00CA6C85"/>
    <w:rsid w:val="00CA6C8B"/>
    <w:rsid w:val="00CA7249"/>
    <w:rsid w:val="00CA7A12"/>
    <w:rsid w:val="00CA7BFA"/>
    <w:rsid w:val="00CA7F33"/>
    <w:rsid w:val="00CB0141"/>
    <w:rsid w:val="00CB04CA"/>
    <w:rsid w:val="00CB0594"/>
    <w:rsid w:val="00CB0D4F"/>
    <w:rsid w:val="00CB1864"/>
    <w:rsid w:val="00CB18D4"/>
    <w:rsid w:val="00CB197D"/>
    <w:rsid w:val="00CB20DF"/>
    <w:rsid w:val="00CB21A4"/>
    <w:rsid w:val="00CB2428"/>
    <w:rsid w:val="00CB2775"/>
    <w:rsid w:val="00CB2E0E"/>
    <w:rsid w:val="00CB30A4"/>
    <w:rsid w:val="00CB32A0"/>
    <w:rsid w:val="00CB3818"/>
    <w:rsid w:val="00CB3A57"/>
    <w:rsid w:val="00CB3B82"/>
    <w:rsid w:val="00CB41F6"/>
    <w:rsid w:val="00CB4626"/>
    <w:rsid w:val="00CB5540"/>
    <w:rsid w:val="00CB56E7"/>
    <w:rsid w:val="00CB59C3"/>
    <w:rsid w:val="00CB60FE"/>
    <w:rsid w:val="00CB622F"/>
    <w:rsid w:val="00CB65C4"/>
    <w:rsid w:val="00CB67BD"/>
    <w:rsid w:val="00CB67DF"/>
    <w:rsid w:val="00CB6A48"/>
    <w:rsid w:val="00CB6F6F"/>
    <w:rsid w:val="00CB702D"/>
    <w:rsid w:val="00CB7C46"/>
    <w:rsid w:val="00CB7D4B"/>
    <w:rsid w:val="00CC0206"/>
    <w:rsid w:val="00CC0472"/>
    <w:rsid w:val="00CC04ED"/>
    <w:rsid w:val="00CC0522"/>
    <w:rsid w:val="00CC0882"/>
    <w:rsid w:val="00CC08E3"/>
    <w:rsid w:val="00CC0AD0"/>
    <w:rsid w:val="00CC0AEA"/>
    <w:rsid w:val="00CC0BB3"/>
    <w:rsid w:val="00CC0C55"/>
    <w:rsid w:val="00CC0E38"/>
    <w:rsid w:val="00CC0E53"/>
    <w:rsid w:val="00CC0FDF"/>
    <w:rsid w:val="00CC113F"/>
    <w:rsid w:val="00CC146B"/>
    <w:rsid w:val="00CC187D"/>
    <w:rsid w:val="00CC1E90"/>
    <w:rsid w:val="00CC2312"/>
    <w:rsid w:val="00CC27A8"/>
    <w:rsid w:val="00CC27EA"/>
    <w:rsid w:val="00CC460C"/>
    <w:rsid w:val="00CC47BE"/>
    <w:rsid w:val="00CC5655"/>
    <w:rsid w:val="00CC5EEF"/>
    <w:rsid w:val="00CC5F54"/>
    <w:rsid w:val="00CC667E"/>
    <w:rsid w:val="00CC6916"/>
    <w:rsid w:val="00CC6A68"/>
    <w:rsid w:val="00CC6BC0"/>
    <w:rsid w:val="00CC6C03"/>
    <w:rsid w:val="00CC712B"/>
    <w:rsid w:val="00CC7A88"/>
    <w:rsid w:val="00CD015E"/>
    <w:rsid w:val="00CD047B"/>
    <w:rsid w:val="00CD0516"/>
    <w:rsid w:val="00CD0C23"/>
    <w:rsid w:val="00CD1717"/>
    <w:rsid w:val="00CD2BB8"/>
    <w:rsid w:val="00CD325E"/>
    <w:rsid w:val="00CD3835"/>
    <w:rsid w:val="00CD40E5"/>
    <w:rsid w:val="00CD4170"/>
    <w:rsid w:val="00CD4AD6"/>
    <w:rsid w:val="00CD4BBC"/>
    <w:rsid w:val="00CD4C40"/>
    <w:rsid w:val="00CD5267"/>
    <w:rsid w:val="00CD572D"/>
    <w:rsid w:val="00CD5B23"/>
    <w:rsid w:val="00CD6B44"/>
    <w:rsid w:val="00CD6BF6"/>
    <w:rsid w:val="00CD6FFD"/>
    <w:rsid w:val="00CD735D"/>
    <w:rsid w:val="00CD776C"/>
    <w:rsid w:val="00CD7D83"/>
    <w:rsid w:val="00CE00A3"/>
    <w:rsid w:val="00CE01BB"/>
    <w:rsid w:val="00CE01C5"/>
    <w:rsid w:val="00CE027D"/>
    <w:rsid w:val="00CE10CE"/>
    <w:rsid w:val="00CE177D"/>
    <w:rsid w:val="00CE332B"/>
    <w:rsid w:val="00CE3A47"/>
    <w:rsid w:val="00CE3F1F"/>
    <w:rsid w:val="00CE41FA"/>
    <w:rsid w:val="00CE425C"/>
    <w:rsid w:val="00CE426D"/>
    <w:rsid w:val="00CE46A4"/>
    <w:rsid w:val="00CE48F4"/>
    <w:rsid w:val="00CE4B43"/>
    <w:rsid w:val="00CE4CF0"/>
    <w:rsid w:val="00CE4D7A"/>
    <w:rsid w:val="00CE4F4F"/>
    <w:rsid w:val="00CE5255"/>
    <w:rsid w:val="00CE532A"/>
    <w:rsid w:val="00CE5752"/>
    <w:rsid w:val="00CE5897"/>
    <w:rsid w:val="00CE695F"/>
    <w:rsid w:val="00CE7293"/>
    <w:rsid w:val="00CE763D"/>
    <w:rsid w:val="00CE7A9D"/>
    <w:rsid w:val="00CE7C46"/>
    <w:rsid w:val="00CE7E55"/>
    <w:rsid w:val="00CE7F47"/>
    <w:rsid w:val="00CF0236"/>
    <w:rsid w:val="00CF0423"/>
    <w:rsid w:val="00CF189F"/>
    <w:rsid w:val="00CF1A74"/>
    <w:rsid w:val="00CF1C34"/>
    <w:rsid w:val="00CF2064"/>
    <w:rsid w:val="00CF29B5"/>
    <w:rsid w:val="00CF2D36"/>
    <w:rsid w:val="00CF2EEB"/>
    <w:rsid w:val="00CF3176"/>
    <w:rsid w:val="00CF3977"/>
    <w:rsid w:val="00CF416F"/>
    <w:rsid w:val="00CF49DC"/>
    <w:rsid w:val="00CF4E8F"/>
    <w:rsid w:val="00CF50DA"/>
    <w:rsid w:val="00CF536F"/>
    <w:rsid w:val="00CF5574"/>
    <w:rsid w:val="00CF58CD"/>
    <w:rsid w:val="00CF5D5A"/>
    <w:rsid w:val="00CF5FC0"/>
    <w:rsid w:val="00CF6111"/>
    <w:rsid w:val="00CF63C0"/>
    <w:rsid w:val="00CF64B8"/>
    <w:rsid w:val="00CF67E3"/>
    <w:rsid w:val="00CF716A"/>
    <w:rsid w:val="00CF7320"/>
    <w:rsid w:val="00CF79E3"/>
    <w:rsid w:val="00D00B6F"/>
    <w:rsid w:val="00D00BBE"/>
    <w:rsid w:val="00D00DFF"/>
    <w:rsid w:val="00D01507"/>
    <w:rsid w:val="00D020FA"/>
    <w:rsid w:val="00D0217D"/>
    <w:rsid w:val="00D0265B"/>
    <w:rsid w:val="00D02C68"/>
    <w:rsid w:val="00D0303D"/>
    <w:rsid w:val="00D0337E"/>
    <w:rsid w:val="00D03D63"/>
    <w:rsid w:val="00D03E52"/>
    <w:rsid w:val="00D03FCE"/>
    <w:rsid w:val="00D04073"/>
    <w:rsid w:val="00D04747"/>
    <w:rsid w:val="00D0492E"/>
    <w:rsid w:val="00D04CC5"/>
    <w:rsid w:val="00D051C7"/>
    <w:rsid w:val="00D05BDD"/>
    <w:rsid w:val="00D05CB7"/>
    <w:rsid w:val="00D06BBC"/>
    <w:rsid w:val="00D07711"/>
    <w:rsid w:val="00D102A7"/>
    <w:rsid w:val="00D108E1"/>
    <w:rsid w:val="00D109B4"/>
    <w:rsid w:val="00D10B16"/>
    <w:rsid w:val="00D10B8F"/>
    <w:rsid w:val="00D10C27"/>
    <w:rsid w:val="00D10CA1"/>
    <w:rsid w:val="00D10FB1"/>
    <w:rsid w:val="00D1156F"/>
    <w:rsid w:val="00D12203"/>
    <w:rsid w:val="00D125A9"/>
    <w:rsid w:val="00D12BF5"/>
    <w:rsid w:val="00D12ECC"/>
    <w:rsid w:val="00D13216"/>
    <w:rsid w:val="00D13DC1"/>
    <w:rsid w:val="00D140DF"/>
    <w:rsid w:val="00D142F7"/>
    <w:rsid w:val="00D143DE"/>
    <w:rsid w:val="00D1451A"/>
    <w:rsid w:val="00D148ED"/>
    <w:rsid w:val="00D14CF6"/>
    <w:rsid w:val="00D15535"/>
    <w:rsid w:val="00D15723"/>
    <w:rsid w:val="00D165A0"/>
    <w:rsid w:val="00D16CAD"/>
    <w:rsid w:val="00D16D3F"/>
    <w:rsid w:val="00D16DA0"/>
    <w:rsid w:val="00D178FA"/>
    <w:rsid w:val="00D17959"/>
    <w:rsid w:val="00D179F6"/>
    <w:rsid w:val="00D17A3E"/>
    <w:rsid w:val="00D20013"/>
    <w:rsid w:val="00D20395"/>
    <w:rsid w:val="00D205CD"/>
    <w:rsid w:val="00D20716"/>
    <w:rsid w:val="00D210D2"/>
    <w:rsid w:val="00D21A0D"/>
    <w:rsid w:val="00D229A2"/>
    <w:rsid w:val="00D229BA"/>
    <w:rsid w:val="00D22D15"/>
    <w:rsid w:val="00D23017"/>
    <w:rsid w:val="00D236DC"/>
    <w:rsid w:val="00D23B94"/>
    <w:rsid w:val="00D23DC6"/>
    <w:rsid w:val="00D23E51"/>
    <w:rsid w:val="00D2416B"/>
    <w:rsid w:val="00D243E7"/>
    <w:rsid w:val="00D2504B"/>
    <w:rsid w:val="00D26644"/>
    <w:rsid w:val="00D266EF"/>
    <w:rsid w:val="00D26DF5"/>
    <w:rsid w:val="00D27418"/>
    <w:rsid w:val="00D27556"/>
    <w:rsid w:val="00D27977"/>
    <w:rsid w:val="00D27AA7"/>
    <w:rsid w:val="00D3053E"/>
    <w:rsid w:val="00D30FAF"/>
    <w:rsid w:val="00D31024"/>
    <w:rsid w:val="00D3130A"/>
    <w:rsid w:val="00D31532"/>
    <w:rsid w:val="00D31839"/>
    <w:rsid w:val="00D31992"/>
    <w:rsid w:val="00D31DAB"/>
    <w:rsid w:val="00D31ECF"/>
    <w:rsid w:val="00D321EE"/>
    <w:rsid w:val="00D32591"/>
    <w:rsid w:val="00D325AF"/>
    <w:rsid w:val="00D32B24"/>
    <w:rsid w:val="00D3360A"/>
    <w:rsid w:val="00D336D0"/>
    <w:rsid w:val="00D339F1"/>
    <w:rsid w:val="00D33FD0"/>
    <w:rsid w:val="00D34807"/>
    <w:rsid w:val="00D34AB0"/>
    <w:rsid w:val="00D34C0A"/>
    <w:rsid w:val="00D34E87"/>
    <w:rsid w:val="00D35211"/>
    <w:rsid w:val="00D35763"/>
    <w:rsid w:val="00D35978"/>
    <w:rsid w:val="00D36960"/>
    <w:rsid w:val="00D3698B"/>
    <w:rsid w:val="00D36EF0"/>
    <w:rsid w:val="00D3723B"/>
    <w:rsid w:val="00D373AB"/>
    <w:rsid w:val="00D376E8"/>
    <w:rsid w:val="00D3787F"/>
    <w:rsid w:val="00D400AB"/>
    <w:rsid w:val="00D404D9"/>
    <w:rsid w:val="00D40630"/>
    <w:rsid w:val="00D409B8"/>
    <w:rsid w:val="00D4115C"/>
    <w:rsid w:val="00D4145D"/>
    <w:rsid w:val="00D41810"/>
    <w:rsid w:val="00D42509"/>
    <w:rsid w:val="00D42BA3"/>
    <w:rsid w:val="00D42C0D"/>
    <w:rsid w:val="00D43382"/>
    <w:rsid w:val="00D4359B"/>
    <w:rsid w:val="00D438D6"/>
    <w:rsid w:val="00D4409F"/>
    <w:rsid w:val="00D4415C"/>
    <w:rsid w:val="00D447ED"/>
    <w:rsid w:val="00D44C70"/>
    <w:rsid w:val="00D45684"/>
    <w:rsid w:val="00D4578A"/>
    <w:rsid w:val="00D45A45"/>
    <w:rsid w:val="00D45D47"/>
    <w:rsid w:val="00D462C9"/>
    <w:rsid w:val="00D462D0"/>
    <w:rsid w:val="00D46785"/>
    <w:rsid w:val="00D46939"/>
    <w:rsid w:val="00D46EC9"/>
    <w:rsid w:val="00D473E4"/>
    <w:rsid w:val="00D474B5"/>
    <w:rsid w:val="00D50610"/>
    <w:rsid w:val="00D51143"/>
    <w:rsid w:val="00D51CF9"/>
    <w:rsid w:val="00D51D46"/>
    <w:rsid w:val="00D51FBE"/>
    <w:rsid w:val="00D5255E"/>
    <w:rsid w:val="00D529DD"/>
    <w:rsid w:val="00D52BB2"/>
    <w:rsid w:val="00D530FF"/>
    <w:rsid w:val="00D5371E"/>
    <w:rsid w:val="00D53DD6"/>
    <w:rsid w:val="00D54180"/>
    <w:rsid w:val="00D548A9"/>
    <w:rsid w:val="00D54A8B"/>
    <w:rsid w:val="00D55102"/>
    <w:rsid w:val="00D55B03"/>
    <w:rsid w:val="00D565C4"/>
    <w:rsid w:val="00D600DB"/>
    <w:rsid w:val="00D60752"/>
    <w:rsid w:val="00D60DB9"/>
    <w:rsid w:val="00D611DF"/>
    <w:rsid w:val="00D61A0A"/>
    <w:rsid w:val="00D62532"/>
    <w:rsid w:val="00D62994"/>
    <w:rsid w:val="00D62ABD"/>
    <w:rsid w:val="00D62ADB"/>
    <w:rsid w:val="00D62FF2"/>
    <w:rsid w:val="00D63556"/>
    <w:rsid w:val="00D63A77"/>
    <w:rsid w:val="00D63BA2"/>
    <w:rsid w:val="00D63F45"/>
    <w:rsid w:val="00D643F6"/>
    <w:rsid w:val="00D648DD"/>
    <w:rsid w:val="00D64BEA"/>
    <w:rsid w:val="00D64C62"/>
    <w:rsid w:val="00D657C5"/>
    <w:rsid w:val="00D66047"/>
    <w:rsid w:val="00D6658E"/>
    <w:rsid w:val="00D666D2"/>
    <w:rsid w:val="00D66ADC"/>
    <w:rsid w:val="00D66D19"/>
    <w:rsid w:val="00D67ACD"/>
    <w:rsid w:val="00D67F92"/>
    <w:rsid w:val="00D7006D"/>
    <w:rsid w:val="00D700D0"/>
    <w:rsid w:val="00D70634"/>
    <w:rsid w:val="00D70ACF"/>
    <w:rsid w:val="00D70D1D"/>
    <w:rsid w:val="00D70E9C"/>
    <w:rsid w:val="00D70ED9"/>
    <w:rsid w:val="00D70FB7"/>
    <w:rsid w:val="00D712A1"/>
    <w:rsid w:val="00D716A6"/>
    <w:rsid w:val="00D71A78"/>
    <w:rsid w:val="00D71F9E"/>
    <w:rsid w:val="00D72076"/>
    <w:rsid w:val="00D72C70"/>
    <w:rsid w:val="00D736F5"/>
    <w:rsid w:val="00D73A4D"/>
    <w:rsid w:val="00D74192"/>
    <w:rsid w:val="00D742D2"/>
    <w:rsid w:val="00D74F36"/>
    <w:rsid w:val="00D7507F"/>
    <w:rsid w:val="00D751A2"/>
    <w:rsid w:val="00D75672"/>
    <w:rsid w:val="00D75708"/>
    <w:rsid w:val="00D75F36"/>
    <w:rsid w:val="00D76298"/>
    <w:rsid w:val="00D76E1A"/>
    <w:rsid w:val="00D77136"/>
    <w:rsid w:val="00D774D5"/>
    <w:rsid w:val="00D77A82"/>
    <w:rsid w:val="00D77E29"/>
    <w:rsid w:val="00D77E46"/>
    <w:rsid w:val="00D80418"/>
    <w:rsid w:val="00D8070D"/>
    <w:rsid w:val="00D8101C"/>
    <w:rsid w:val="00D810CD"/>
    <w:rsid w:val="00D8172B"/>
    <w:rsid w:val="00D819D8"/>
    <w:rsid w:val="00D819DA"/>
    <w:rsid w:val="00D81DCC"/>
    <w:rsid w:val="00D8210F"/>
    <w:rsid w:val="00D82C3A"/>
    <w:rsid w:val="00D831BD"/>
    <w:rsid w:val="00D831D6"/>
    <w:rsid w:val="00D833D9"/>
    <w:rsid w:val="00D84008"/>
    <w:rsid w:val="00D8455E"/>
    <w:rsid w:val="00D84A42"/>
    <w:rsid w:val="00D84D27"/>
    <w:rsid w:val="00D85019"/>
    <w:rsid w:val="00D851A3"/>
    <w:rsid w:val="00D86484"/>
    <w:rsid w:val="00D867B0"/>
    <w:rsid w:val="00D86CDB"/>
    <w:rsid w:val="00D86D67"/>
    <w:rsid w:val="00D87109"/>
    <w:rsid w:val="00D8748B"/>
    <w:rsid w:val="00D8784D"/>
    <w:rsid w:val="00D878B3"/>
    <w:rsid w:val="00D878D3"/>
    <w:rsid w:val="00D90325"/>
    <w:rsid w:val="00D90DBD"/>
    <w:rsid w:val="00D91276"/>
    <w:rsid w:val="00D912D7"/>
    <w:rsid w:val="00D9187E"/>
    <w:rsid w:val="00D91DF0"/>
    <w:rsid w:val="00D9207D"/>
    <w:rsid w:val="00D9229B"/>
    <w:rsid w:val="00D92AE8"/>
    <w:rsid w:val="00D92B69"/>
    <w:rsid w:val="00D930A0"/>
    <w:rsid w:val="00D93499"/>
    <w:rsid w:val="00D93635"/>
    <w:rsid w:val="00D940A4"/>
    <w:rsid w:val="00D940E5"/>
    <w:rsid w:val="00D9415C"/>
    <w:rsid w:val="00D942F5"/>
    <w:rsid w:val="00D94474"/>
    <w:rsid w:val="00D94861"/>
    <w:rsid w:val="00D94E48"/>
    <w:rsid w:val="00D94FBB"/>
    <w:rsid w:val="00D951CE"/>
    <w:rsid w:val="00D95399"/>
    <w:rsid w:val="00D957D1"/>
    <w:rsid w:val="00D95C10"/>
    <w:rsid w:val="00D95FC5"/>
    <w:rsid w:val="00D961A2"/>
    <w:rsid w:val="00D96822"/>
    <w:rsid w:val="00D96833"/>
    <w:rsid w:val="00D97CE4"/>
    <w:rsid w:val="00D97D17"/>
    <w:rsid w:val="00D97F02"/>
    <w:rsid w:val="00DA0A34"/>
    <w:rsid w:val="00DA0C9A"/>
    <w:rsid w:val="00DA1168"/>
    <w:rsid w:val="00DA1589"/>
    <w:rsid w:val="00DA1954"/>
    <w:rsid w:val="00DA1CF2"/>
    <w:rsid w:val="00DA2264"/>
    <w:rsid w:val="00DA474D"/>
    <w:rsid w:val="00DA482A"/>
    <w:rsid w:val="00DA5367"/>
    <w:rsid w:val="00DA558B"/>
    <w:rsid w:val="00DA5DD2"/>
    <w:rsid w:val="00DA650B"/>
    <w:rsid w:val="00DA67C3"/>
    <w:rsid w:val="00DA6AE9"/>
    <w:rsid w:val="00DA70DD"/>
    <w:rsid w:val="00DA7138"/>
    <w:rsid w:val="00DA74B8"/>
    <w:rsid w:val="00DA7631"/>
    <w:rsid w:val="00DA7DEE"/>
    <w:rsid w:val="00DA7E51"/>
    <w:rsid w:val="00DB011F"/>
    <w:rsid w:val="00DB0574"/>
    <w:rsid w:val="00DB0BA0"/>
    <w:rsid w:val="00DB0C08"/>
    <w:rsid w:val="00DB0F37"/>
    <w:rsid w:val="00DB2000"/>
    <w:rsid w:val="00DB2326"/>
    <w:rsid w:val="00DB24AC"/>
    <w:rsid w:val="00DB2593"/>
    <w:rsid w:val="00DB25FF"/>
    <w:rsid w:val="00DB3382"/>
    <w:rsid w:val="00DB3857"/>
    <w:rsid w:val="00DB39B6"/>
    <w:rsid w:val="00DB4242"/>
    <w:rsid w:val="00DB42AF"/>
    <w:rsid w:val="00DB4C6C"/>
    <w:rsid w:val="00DB5420"/>
    <w:rsid w:val="00DB558F"/>
    <w:rsid w:val="00DB569F"/>
    <w:rsid w:val="00DB587E"/>
    <w:rsid w:val="00DB59BE"/>
    <w:rsid w:val="00DB5C03"/>
    <w:rsid w:val="00DB5C7B"/>
    <w:rsid w:val="00DB5F54"/>
    <w:rsid w:val="00DB6486"/>
    <w:rsid w:val="00DB650C"/>
    <w:rsid w:val="00DB69D7"/>
    <w:rsid w:val="00DB6DC4"/>
    <w:rsid w:val="00DB6E9D"/>
    <w:rsid w:val="00DB7134"/>
    <w:rsid w:val="00DB714B"/>
    <w:rsid w:val="00DB72C8"/>
    <w:rsid w:val="00DB737F"/>
    <w:rsid w:val="00DB7395"/>
    <w:rsid w:val="00DB752F"/>
    <w:rsid w:val="00DB767A"/>
    <w:rsid w:val="00DB7A31"/>
    <w:rsid w:val="00DB7ECA"/>
    <w:rsid w:val="00DC006E"/>
    <w:rsid w:val="00DC0298"/>
    <w:rsid w:val="00DC037E"/>
    <w:rsid w:val="00DC0DF0"/>
    <w:rsid w:val="00DC0EAE"/>
    <w:rsid w:val="00DC10B8"/>
    <w:rsid w:val="00DC149F"/>
    <w:rsid w:val="00DC1D3F"/>
    <w:rsid w:val="00DC218D"/>
    <w:rsid w:val="00DC23F1"/>
    <w:rsid w:val="00DC260D"/>
    <w:rsid w:val="00DC2651"/>
    <w:rsid w:val="00DC3AF6"/>
    <w:rsid w:val="00DC3DA7"/>
    <w:rsid w:val="00DC3E47"/>
    <w:rsid w:val="00DC4357"/>
    <w:rsid w:val="00DC485F"/>
    <w:rsid w:val="00DC4949"/>
    <w:rsid w:val="00DC4A40"/>
    <w:rsid w:val="00DC57E5"/>
    <w:rsid w:val="00DC5FAA"/>
    <w:rsid w:val="00DC6161"/>
    <w:rsid w:val="00DC6873"/>
    <w:rsid w:val="00DC68C6"/>
    <w:rsid w:val="00DC6A7D"/>
    <w:rsid w:val="00DC6D45"/>
    <w:rsid w:val="00DC70F6"/>
    <w:rsid w:val="00DC7F8D"/>
    <w:rsid w:val="00DC7FD6"/>
    <w:rsid w:val="00DD08B0"/>
    <w:rsid w:val="00DD11AB"/>
    <w:rsid w:val="00DD1486"/>
    <w:rsid w:val="00DD18C1"/>
    <w:rsid w:val="00DD2173"/>
    <w:rsid w:val="00DD2BA9"/>
    <w:rsid w:val="00DD2D06"/>
    <w:rsid w:val="00DD2FBD"/>
    <w:rsid w:val="00DD336C"/>
    <w:rsid w:val="00DD33DA"/>
    <w:rsid w:val="00DD3E17"/>
    <w:rsid w:val="00DD40C3"/>
    <w:rsid w:val="00DD437E"/>
    <w:rsid w:val="00DD4E0C"/>
    <w:rsid w:val="00DD5379"/>
    <w:rsid w:val="00DD574A"/>
    <w:rsid w:val="00DD5C9A"/>
    <w:rsid w:val="00DD60C3"/>
    <w:rsid w:val="00DD6440"/>
    <w:rsid w:val="00DD6910"/>
    <w:rsid w:val="00DD6AC5"/>
    <w:rsid w:val="00DD6BAF"/>
    <w:rsid w:val="00DD6CA6"/>
    <w:rsid w:val="00DD76AC"/>
    <w:rsid w:val="00DD7B85"/>
    <w:rsid w:val="00DE037D"/>
    <w:rsid w:val="00DE06D8"/>
    <w:rsid w:val="00DE074A"/>
    <w:rsid w:val="00DE0DCE"/>
    <w:rsid w:val="00DE1183"/>
    <w:rsid w:val="00DE121F"/>
    <w:rsid w:val="00DE1235"/>
    <w:rsid w:val="00DE15BB"/>
    <w:rsid w:val="00DE1727"/>
    <w:rsid w:val="00DE172C"/>
    <w:rsid w:val="00DE1A56"/>
    <w:rsid w:val="00DE1CA8"/>
    <w:rsid w:val="00DE2442"/>
    <w:rsid w:val="00DE25C9"/>
    <w:rsid w:val="00DE2989"/>
    <w:rsid w:val="00DE2CF9"/>
    <w:rsid w:val="00DE2EEE"/>
    <w:rsid w:val="00DE32C3"/>
    <w:rsid w:val="00DE373D"/>
    <w:rsid w:val="00DE3B59"/>
    <w:rsid w:val="00DE3B92"/>
    <w:rsid w:val="00DE42E7"/>
    <w:rsid w:val="00DE57F1"/>
    <w:rsid w:val="00DE5C19"/>
    <w:rsid w:val="00DE5D7C"/>
    <w:rsid w:val="00DE6202"/>
    <w:rsid w:val="00DE65B2"/>
    <w:rsid w:val="00DF0661"/>
    <w:rsid w:val="00DF08E5"/>
    <w:rsid w:val="00DF0AA6"/>
    <w:rsid w:val="00DF1681"/>
    <w:rsid w:val="00DF1AD3"/>
    <w:rsid w:val="00DF1C1E"/>
    <w:rsid w:val="00DF1ED9"/>
    <w:rsid w:val="00DF2009"/>
    <w:rsid w:val="00DF2053"/>
    <w:rsid w:val="00DF249C"/>
    <w:rsid w:val="00DF24C9"/>
    <w:rsid w:val="00DF2D8C"/>
    <w:rsid w:val="00DF32B4"/>
    <w:rsid w:val="00DF3392"/>
    <w:rsid w:val="00DF38B1"/>
    <w:rsid w:val="00DF3CC3"/>
    <w:rsid w:val="00DF4433"/>
    <w:rsid w:val="00DF45E7"/>
    <w:rsid w:val="00DF47E8"/>
    <w:rsid w:val="00DF4BB1"/>
    <w:rsid w:val="00DF4BEB"/>
    <w:rsid w:val="00DF4CD0"/>
    <w:rsid w:val="00DF51FC"/>
    <w:rsid w:val="00DF5326"/>
    <w:rsid w:val="00DF558B"/>
    <w:rsid w:val="00DF5884"/>
    <w:rsid w:val="00DF5B67"/>
    <w:rsid w:val="00DF5BB0"/>
    <w:rsid w:val="00DF5DC3"/>
    <w:rsid w:val="00DF64EE"/>
    <w:rsid w:val="00DF6A72"/>
    <w:rsid w:val="00DF6C9E"/>
    <w:rsid w:val="00DF6FB6"/>
    <w:rsid w:val="00DF758D"/>
    <w:rsid w:val="00DF7D8C"/>
    <w:rsid w:val="00DF7EE5"/>
    <w:rsid w:val="00DF7F79"/>
    <w:rsid w:val="00E01188"/>
    <w:rsid w:val="00E01990"/>
    <w:rsid w:val="00E023C9"/>
    <w:rsid w:val="00E025DA"/>
    <w:rsid w:val="00E025EA"/>
    <w:rsid w:val="00E02D41"/>
    <w:rsid w:val="00E036D5"/>
    <w:rsid w:val="00E03ED8"/>
    <w:rsid w:val="00E041EF"/>
    <w:rsid w:val="00E042E2"/>
    <w:rsid w:val="00E04430"/>
    <w:rsid w:val="00E0457D"/>
    <w:rsid w:val="00E045A1"/>
    <w:rsid w:val="00E045B6"/>
    <w:rsid w:val="00E04774"/>
    <w:rsid w:val="00E04B57"/>
    <w:rsid w:val="00E04C1A"/>
    <w:rsid w:val="00E04EB2"/>
    <w:rsid w:val="00E04FA2"/>
    <w:rsid w:val="00E051B4"/>
    <w:rsid w:val="00E06230"/>
    <w:rsid w:val="00E063A8"/>
    <w:rsid w:val="00E064AD"/>
    <w:rsid w:val="00E06569"/>
    <w:rsid w:val="00E06831"/>
    <w:rsid w:val="00E06B62"/>
    <w:rsid w:val="00E06CD7"/>
    <w:rsid w:val="00E07752"/>
    <w:rsid w:val="00E0790B"/>
    <w:rsid w:val="00E07D12"/>
    <w:rsid w:val="00E10A68"/>
    <w:rsid w:val="00E10CD7"/>
    <w:rsid w:val="00E10D6E"/>
    <w:rsid w:val="00E10FA2"/>
    <w:rsid w:val="00E1120C"/>
    <w:rsid w:val="00E11494"/>
    <w:rsid w:val="00E12467"/>
    <w:rsid w:val="00E12761"/>
    <w:rsid w:val="00E1287E"/>
    <w:rsid w:val="00E132E1"/>
    <w:rsid w:val="00E1336E"/>
    <w:rsid w:val="00E13AFF"/>
    <w:rsid w:val="00E1473E"/>
    <w:rsid w:val="00E14F57"/>
    <w:rsid w:val="00E15AEF"/>
    <w:rsid w:val="00E15C57"/>
    <w:rsid w:val="00E1655D"/>
    <w:rsid w:val="00E16785"/>
    <w:rsid w:val="00E16E82"/>
    <w:rsid w:val="00E1726F"/>
    <w:rsid w:val="00E20335"/>
    <w:rsid w:val="00E20795"/>
    <w:rsid w:val="00E208B9"/>
    <w:rsid w:val="00E21737"/>
    <w:rsid w:val="00E2179F"/>
    <w:rsid w:val="00E220E2"/>
    <w:rsid w:val="00E225B7"/>
    <w:rsid w:val="00E2283B"/>
    <w:rsid w:val="00E230A9"/>
    <w:rsid w:val="00E2436B"/>
    <w:rsid w:val="00E24704"/>
    <w:rsid w:val="00E24B35"/>
    <w:rsid w:val="00E250C1"/>
    <w:rsid w:val="00E252AA"/>
    <w:rsid w:val="00E25C08"/>
    <w:rsid w:val="00E260E1"/>
    <w:rsid w:val="00E26446"/>
    <w:rsid w:val="00E26554"/>
    <w:rsid w:val="00E2697D"/>
    <w:rsid w:val="00E26AD5"/>
    <w:rsid w:val="00E26B56"/>
    <w:rsid w:val="00E26C89"/>
    <w:rsid w:val="00E278CE"/>
    <w:rsid w:val="00E278EB"/>
    <w:rsid w:val="00E306FA"/>
    <w:rsid w:val="00E30CD7"/>
    <w:rsid w:val="00E30FCD"/>
    <w:rsid w:val="00E3110F"/>
    <w:rsid w:val="00E31E79"/>
    <w:rsid w:val="00E31FAB"/>
    <w:rsid w:val="00E32489"/>
    <w:rsid w:val="00E32D30"/>
    <w:rsid w:val="00E332ED"/>
    <w:rsid w:val="00E33E45"/>
    <w:rsid w:val="00E34CFC"/>
    <w:rsid w:val="00E34E9E"/>
    <w:rsid w:val="00E35213"/>
    <w:rsid w:val="00E364A6"/>
    <w:rsid w:val="00E3686A"/>
    <w:rsid w:val="00E36CF4"/>
    <w:rsid w:val="00E36FD4"/>
    <w:rsid w:val="00E3728C"/>
    <w:rsid w:val="00E376E8"/>
    <w:rsid w:val="00E37DDF"/>
    <w:rsid w:val="00E40347"/>
    <w:rsid w:val="00E405C0"/>
    <w:rsid w:val="00E4072A"/>
    <w:rsid w:val="00E40F31"/>
    <w:rsid w:val="00E41489"/>
    <w:rsid w:val="00E41960"/>
    <w:rsid w:val="00E41B19"/>
    <w:rsid w:val="00E41F19"/>
    <w:rsid w:val="00E42076"/>
    <w:rsid w:val="00E42B22"/>
    <w:rsid w:val="00E42C90"/>
    <w:rsid w:val="00E42F77"/>
    <w:rsid w:val="00E42FCB"/>
    <w:rsid w:val="00E42FF9"/>
    <w:rsid w:val="00E432D0"/>
    <w:rsid w:val="00E433F8"/>
    <w:rsid w:val="00E43473"/>
    <w:rsid w:val="00E43908"/>
    <w:rsid w:val="00E43BE0"/>
    <w:rsid w:val="00E44486"/>
    <w:rsid w:val="00E44491"/>
    <w:rsid w:val="00E444B4"/>
    <w:rsid w:val="00E44CDF"/>
    <w:rsid w:val="00E45047"/>
    <w:rsid w:val="00E4555D"/>
    <w:rsid w:val="00E4563E"/>
    <w:rsid w:val="00E45C7F"/>
    <w:rsid w:val="00E46239"/>
    <w:rsid w:val="00E46C6B"/>
    <w:rsid w:val="00E47AD4"/>
    <w:rsid w:val="00E47BD6"/>
    <w:rsid w:val="00E47C3F"/>
    <w:rsid w:val="00E47C45"/>
    <w:rsid w:val="00E47CBB"/>
    <w:rsid w:val="00E47D39"/>
    <w:rsid w:val="00E47DF0"/>
    <w:rsid w:val="00E47FF0"/>
    <w:rsid w:val="00E50381"/>
    <w:rsid w:val="00E50835"/>
    <w:rsid w:val="00E50CBB"/>
    <w:rsid w:val="00E50D37"/>
    <w:rsid w:val="00E50EA7"/>
    <w:rsid w:val="00E5150B"/>
    <w:rsid w:val="00E5158E"/>
    <w:rsid w:val="00E51A5A"/>
    <w:rsid w:val="00E51CD8"/>
    <w:rsid w:val="00E51EB3"/>
    <w:rsid w:val="00E52010"/>
    <w:rsid w:val="00E522B5"/>
    <w:rsid w:val="00E525C9"/>
    <w:rsid w:val="00E53D81"/>
    <w:rsid w:val="00E53EEE"/>
    <w:rsid w:val="00E5407A"/>
    <w:rsid w:val="00E5423F"/>
    <w:rsid w:val="00E54B37"/>
    <w:rsid w:val="00E54D77"/>
    <w:rsid w:val="00E5545C"/>
    <w:rsid w:val="00E55620"/>
    <w:rsid w:val="00E561CA"/>
    <w:rsid w:val="00E56575"/>
    <w:rsid w:val="00E5661B"/>
    <w:rsid w:val="00E575E0"/>
    <w:rsid w:val="00E57835"/>
    <w:rsid w:val="00E57AAC"/>
    <w:rsid w:val="00E57DD9"/>
    <w:rsid w:val="00E60358"/>
    <w:rsid w:val="00E605F5"/>
    <w:rsid w:val="00E61285"/>
    <w:rsid w:val="00E613E4"/>
    <w:rsid w:val="00E617CD"/>
    <w:rsid w:val="00E61A56"/>
    <w:rsid w:val="00E61CB6"/>
    <w:rsid w:val="00E6272F"/>
    <w:rsid w:val="00E62CC4"/>
    <w:rsid w:val="00E62FC5"/>
    <w:rsid w:val="00E636D0"/>
    <w:rsid w:val="00E6370F"/>
    <w:rsid w:val="00E63B92"/>
    <w:rsid w:val="00E6420E"/>
    <w:rsid w:val="00E642AC"/>
    <w:rsid w:val="00E644D1"/>
    <w:rsid w:val="00E6454E"/>
    <w:rsid w:val="00E64FAA"/>
    <w:rsid w:val="00E65126"/>
    <w:rsid w:val="00E657AF"/>
    <w:rsid w:val="00E65CFA"/>
    <w:rsid w:val="00E65E9C"/>
    <w:rsid w:val="00E6628F"/>
    <w:rsid w:val="00E665EF"/>
    <w:rsid w:val="00E66770"/>
    <w:rsid w:val="00E6679A"/>
    <w:rsid w:val="00E667D2"/>
    <w:rsid w:val="00E667E0"/>
    <w:rsid w:val="00E67893"/>
    <w:rsid w:val="00E67DFA"/>
    <w:rsid w:val="00E70145"/>
    <w:rsid w:val="00E702E7"/>
    <w:rsid w:val="00E70663"/>
    <w:rsid w:val="00E70D1A"/>
    <w:rsid w:val="00E70FA1"/>
    <w:rsid w:val="00E71790"/>
    <w:rsid w:val="00E726CD"/>
    <w:rsid w:val="00E72C39"/>
    <w:rsid w:val="00E72D35"/>
    <w:rsid w:val="00E73322"/>
    <w:rsid w:val="00E740C4"/>
    <w:rsid w:val="00E7457B"/>
    <w:rsid w:val="00E752B2"/>
    <w:rsid w:val="00E75364"/>
    <w:rsid w:val="00E75369"/>
    <w:rsid w:val="00E755C7"/>
    <w:rsid w:val="00E756D0"/>
    <w:rsid w:val="00E75CEB"/>
    <w:rsid w:val="00E762BD"/>
    <w:rsid w:val="00E763DA"/>
    <w:rsid w:val="00E7648B"/>
    <w:rsid w:val="00E76A21"/>
    <w:rsid w:val="00E76FD4"/>
    <w:rsid w:val="00E77213"/>
    <w:rsid w:val="00E77918"/>
    <w:rsid w:val="00E7792C"/>
    <w:rsid w:val="00E77985"/>
    <w:rsid w:val="00E77B2E"/>
    <w:rsid w:val="00E77FEE"/>
    <w:rsid w:val="00E80171"/>
    <w:rsid w:val="00E8053B"/>
    <w:rsid w:val="00E8076E"/>
    <w:rsid w:val="00E80987"/>
    <w:rsid w:val="00E80F6A"/>
    <w:rsid w:val="00E80FD3"/>
    <w:rsid w:val="00E8191C"/>
    <w:rsid w:val="00E81CA9"/>
    <w:rsid w:val="00E82173"/>
    <w:rsid w:val="00E8273C"/>
    <w:rsid w:val="00E82DCD"/>
    <w:rsid w:val="00E82E32"/>
    <w:rsid w:val="00E834A1"/>
    <w:rsid w:val="00E83A05"/>
    <w:rsid w:val="00E84151"/>
    <w:rsid w:val="00E84876"/>
    <w:rsid w:val="00E84ADE"/>
    <w:rsid w:val="00E861DC"/>
    <w:rsid w:val="00E8759E"/>
    <w:rsid w:val="00E87F8F"/>
    <w:rsid w:val="00E9056B"/>
    <w:rsid w:val="00E90996"/>
    <w:rsid w:val="00E90B4B"/>
    <w:rsid w:val="00E911EE"/>
    <w:rsid w:val="00E9181A"/>
    <w:rsid w:val="00E91883"/>
    <w:rsid w:val="00E91BED"/>
    <w:rsid w:val="00E926C7"/>
    <w:rsid w:val="00E92BD5"/>
    <w:rsid w:val="00E92CCF"/>
    <w:rsid w:val="00E92E2E"/>
    <w:rsid w:val="00E92E34"/>
    <w:rsid w:val="00E930F3"/>
    <w:rsid w:val="00E932A1"/>
    <w:rsid w:val="00E93612"/>
    <w:rsid w:val="00E9404D"/>
    <w:rsid w:val="00E940C6"/>
    <w:rsid w:val="00E9426E"/>
    <w:rsid w:val="00E945B2"/>
    <w:rsid w:val="00E94B55"/>
    <w:rsid w:val="00E9542A"/>
    <w:rsid w:val="00E9592B"/>
    <w:rsid w:val="00E96A01"/>
    <w:rsid w:val="00E96B50"/>
    <w:rsid w:val="00E96D30"/>
    <w:rsid w:val="00E97240"/>
    <w:rsid w:val="00E97256"/>
    <w:rsid w:val="00E97713"/>
    <w:rsid w:val="00E97A94"/>
    <w:rsid w:val="00EA0AEA"/>
    <w:rsid w:val="00EA0D78"/>
    <w:rsid w:val="00EA0E11"/>
    <w:rsid w:val="00EA12EF"/>
    <w:rsid w:val="00EA1520"/>
    <w:rsid w:val="00EA1A30"/>
    <w:rsid w:val="00EA1F57"/>
    <w:rsid w:val="00EA243F"/>
    <w:rsid w:val="00EA272F"/>
    <w:rsid w:val="00EA280E"/>
    <w:rsid w:val="00EA3464"/>
    <w:rsid w:val="00EA393D"/>
    <w:rsid w:val="00EA4003"/>
    <w:rsid w:val="00EA4206"/>
    <w:rsid w:val="00EA42FC"/>
    <w:rsid w:val="00EA4463"/>
    <w:rsid w:val="00EA4A4F"/>
    <w:rsid w:val="00EA4C10"/>
    <w:rsid w:val="00EA4FC1"/>
    <w:rsid w:val="00EA526B"/>
    <w:rsid w:val="00EA56D4"/>
    <w:rsid w:val="00EA56F8"/>
    <w:rsid w:val="00EA5B01"/>
    <w:rsid w:val="00EA64E2"/>
    <w:rsid w:val="00EA6D3D"/>
    <w:rsid w:val="00EA7115"/>
    <w:rsid w:val="00EA7795"/>
    <w:rsid w:val="00EA7A4D"/>
    <w:rsid w:val="00EA7C1B"/>
    <w:rsid w:val="00EB018E"/>
    <w:rsid w:val="00EB02A5"/>
    <w:rsid w:val="00EB0531"/>
    <w:rsid w:val="00EB0B5F"/>
    <w:rsid w:val="00EB0DAF"/>
    <w:rsid w:val="00EB0EDE"/>
    <w:rsid w:val="00EB1326"/>
    <w:rsid w:val="00EB149D"/>
    <w:rsid w:val="00EB1A0D"/>
    <w:rsid w:val="00EB2180"/>
    <w:rsid w:val="00EB24B8"/>
    <w:rsid w:val="00EB29D4"/>
    <w:rsid w:val="00EB2A31"/>
    <w:rsid w:val="00EB2C05"/>
    <w:rsid w:val="00EB344E"/>
    <w:rsid w:val="00EB3575"/>
    <w:rsid w:val="00EB432F"/>
    <w:rsid w:val="00EB44ED"/>
    <w:rsid w:val="00EB4DB0"/>
    <w:rsid w:val="00EB4FCE"/>
    <w:rsid w:val="00EB5152"/>
    <w:rsid w:val="00EB56E4"/>
    <w:rsid w:val="00EB60D6"/>
    <w:rsid w:val="00EB648D"/>
    <w:rsid w:val="00EB6B69"/>
    <w:rsid w:val="00EB6F01"/>
    <w:rsid w:val="00EB6F0F"/>
    <w:rsid w:val="00EB71F8"/>
    <w:rsid w:val="00EB74B5"/>
    <w:rsid w:val="00EB779E"/>
    <w:rsid w:val="00EB7A5B"/>
    <w:rsid w:val="00EC0009"/>
    <w:rsid w:val="00EC0552"/>
    <w:rsid w:val="00EC097D"/>
    <w:rsid w:val="00EC0CDF"/>
    <w:rsid w:val="00EC0DDA"/>
    <w:rsid w:val="00EC12A9"/>
    <w:rsid w:val="00EC1730"/>
    <w:rsid w:val="00EC2C2E"/>
    <w:rsid w:val="00EC2E0A"/>
    <w:rsid w:val="00EC2F60"/>
    <w:rsid w:val="00EC3226"/>
    <w:rsid w:val="00EC33EE"/>
    <w:rsid w:val="00EC3B0C"/>
    <w:rsid w:val="00EC3CA4"/>
    <w:rsid w:val="00EC48AB"/>
    <w:rsid w:val="00EC51E5"/>
    <w:rsid w:val="00EC5980"/>
    <w:rsid w:val="00EC5A31"/>
    <w:rsid w:val="00EC5A8D"/>
    <w:rsid w:val="00EC6091"/>
    <w:rsid w:val="00EC6782"/>
    <w:rsid w:val="00EC6C18"/>
    <w:rsid w:val="00EC6C8A"/>
    <w:rsid w:val="00EC6DA9"/>
    <w:rsid w:val="00EC7348"/>
    <w:rsid w:val="00EC7ED8"/>
    <w:rsid w:val="00ED04BF"/>
    <w:rsid w:val="00ED0709"/>
    <w:rsid w:val="00ED0BFD"/>
    <w:rsid w:val="00ED10EF"/>
    <w:rsid w:val="00ED2285"/>
    <w:rsid w:val="00ED251B"/>
    <w:rsid w:val="00ED2D81"/>
    <w:rsid w:val="00ED3906"/>
    <w:rsid w:val="00ED404D"/>
    <w:rsid w:val="00ED4381"/>
    <w:rsid w:val="00ED44AA"/>
    <w:rsid w:val="00ED4981"/>
    <w:rsid w:val="00ED4C31"/>
    <w:rsid w:val="00ED4CCA"/>
    <w:rsid w:val="00ED5336"/>
    <w:rsid w:val="00ED58ED"/>
    <w:rsid w:val="00ED5B85"/>
    <w:rsid w:val="00ED5DB3"/>
    <w:rsid w:val="00ED5FD8"/>
    <w:rsid w:val="00ED61DF"/>
    <w:rsid w:val="00ED63AB"/>
    <w:rsid w:val="00ED63C8"/>
    <w:rsid w:val="00ED6CB3"/>
    <w:rsid w:val="00ED6DC9"/>
    <w:rsid w:val="00ED6DD2"/>
    <w:rsid w:val="00ED72EA"/>
    <w:rsid w:val="00ED7650"/>
    <w:rsid w:val="00ED7BC5"/>
    <w:rsid w:val="00EE06BE"/>
    <w:rsid w:val="00EE0880"/>
    <w:rsid w:val="00EE0FA8"/>
    <w:rsid w:val="00EE10C1"/>
    <w:rsid w:val="00EE133F"/>
    <w:rsid w:val="00EE14E8"/>
    <w:rsid w:val="00EE1626"/>
    <w:rsid w:val="00EE1755"/>
    <w:rsid w:val="00EE1D0F"/>
    <w:rsid w:val="00EE2098"/>
    <w:rsid w:val="00EE2317"/>
    <w:rsid w:val="00EE233C"/>
    <w:rsid w:val="00EE2696"/>
    <w:rsid w:val="00EE290F"/>
    <w:rsid w:val="00EE2EC4"/>
    <w:rsid w:val="00EE3847"/>
    <w:rsid w:val="00EE38FF"/>
    <w:rsid w:val="00EE3A69"/>
    <w:rsid w:val="00EE3A8F"/>
    <w:rsid w:val="00EE3C2F"/>
    <w:rsid w:val="00EE3FA0"/>
    <w:rsid w:val="00EE4177"/>
    <w:rsid w:val="00EE4AB4"/>
    <w:rsid w:val="00EE4AD3"/>
    <w:rsid w:val="00EE4BD6"/>
    <w:rsid w:val="00EE4C89"/>
    <w:rsid w:val="00EE4CDC"/>
    <w:rsid w:val="00EE4D11"/>
    <w:rsid w:val="00EE5454"/>
    <w:rsid w:val="00EE5636"/>
    <w:rsid w:val="00EE61F9"/>
    <w:rsid w:val="00EE6822"/>
    <w:rsid w:val="00EE68DA"/>
    <w:rsid w:val="00EE6E06"/>
    <w:rsid w:val="00EE74E9"/>
    <w:rsid w:val="00EE75E1"/>
    <w:rsid w:val="00EE7A5A"/>
    <w:rsid w:val="00EE7BF5"/>
    <w:rsid w:val="00EF006B"/>
    <w:rsid w:val="00EF076B"/>
    <w:rsid w:val="00EF07B8"/>
    <w:rsid w:val="00EF0881"/>
    <w:rsid w:val="00EF0CFC"/>
    <w:rsid w:val="00EF0F4F"/>
    <w:rsid w:val="00EF204A"/>
    <w:rsid w:val="00EF3719"/>
    <w:rsid w:val="00EF3886"/>
    <w:rsid w:val="00EF3D7B"/>
    <w:rsid w:val="00EF3E35"/>
    <w:rsid w:val="00EF3F89"/>
    <w:rsid w:val="00EF40B9"/>
    <w:rsid w:val="00EF4BA0"/>
    <w:rsid w:val="00EF4D72"/>
    <w:rsid w:val="00EF4E17"/>
    <w:rsid w:val="00EF5032"/>
    <w:rsid w:val="00EF565A"/>
    <w:rsid w:val="00EF5695"/>
    <w:rsid w:val="00EF5907"/>
    <w:rsid w:val="00EF6387"/>
    <w:rsid w:val="00EF647D"/>
    <w:rsid w:val="00EF659C"/>
    <w:rsid w:val="00EF661C"/>
    <w:rsid w:val="00EF694F"/>
    <w:rsid w:val="00EF6AA3"/>
    <w:rsid w:val="00EF7234"/>
    <w:rsid w:val="00EF7C19"/>
    <w:rsid w:val="00EF7D7F"/>
    <w:rsid w:val="00F001BE"/>
    <w:rsid w:val="00F002D2"/>
    <w:rsid w:val="00F007BC"/>
    <w:rsid w:val="00F00877"/>
    <w:rsid w:val="00F00A8E"/>
    <w:rsid w:val="00F00FC4"/>
    <w:rsid w:val="00F0117F"/>
    <w:rsid w:val="00F015D6"/>
    <w:rsid w:val="00F01852"/>
    <w:rsid w:val="00F0187A"/>
    <w:rsid w:val="00F01C9A"/>
    <w:rsid w:val="00F0299B"/>
    <w:rsid w:val="00F02A42"/>
    <w:rsid w:val="00F02A74"/>
    <w:rsid w:val="00F03111"/>
    <w:rsid w:val="00F032FB"/>
    <w:rsid w:val="00F034B4"/>
    <w:rsid w:val="00F036AA"/>
    <w:rsid w:val="00F040C8"/>
    <w:rsid w:val="00F0516F"/>
    <w:rsid w:val="00F056EC"/>
    <w:rsid w:val="00F05E2D"/>
    <w:rsid w:val="00F061F9"/>
    <w:rsid w:val="00F06309"/>
    <w:rsid w:val="00F063F1"/>
    <w:rsid w:val="00F06760"/>
    <w:rsid w:val="00F06B16"/>
    <w:rsid w:val="00F06CAC"/>
    <w:rsid w:val="00F07923"/>
    <w:rsid w:val="00F07958"/>
    <w:rsid w:val="00F103BE"/>
    <w:rsid w:val="00F105B9"/>
    <w:rsid w:val="00F105D3"/>
    <w:rsid w:val="00F10B2C"/>
    <w:rsid w:val="00F10BFD"/>
    <w:rsid w:val="00F10E1E"/>
    <w:rsid w:val="00F118F5"/>
    <w:rsid w:val="00F11D22"/>
    <w:rsid w:val="00F11D75"/>
    <w:rsid w:val="00F11E0F"/>
    <w:rsid w:val="00F11E32"/>
    <w:rsid w:val="00F11E7B"/>
    <w:rsid w:val="00F12156"/>
    <w:rsid w:val="00F12A4C"/>
    <w:rsid w:val="00F12C1E"/>
    <w:rsid w:val="00F1412A"/>
    <w:rsid w:val="00F1490E"/>
    <w:rsid w:val="00F159D7"/>
    <w:rsid w:val="00F1633B"/>
    <w:rsid w:val="00F1638D"/>
    <w:rsid w:val="00F1639B"/>
    <w:rsid w:val="00F170F1"/>
    <w:rsid w:val="00F17404"/>
    <w:rsid w:val="00F17B40"/>
    <w:rsid w:val="00F202A5"/>
    <w:rsid w:val="00F20868"/>
    <w:rsid w:val="00F20A21"/>
    <w:rsid w:val="00F20C1E"/>
    <w:rsid w:val="00F2115C"/>
    <w:rsid w:val="00F21D63"/>
    <w:rsid w:val="00F21F34"/>
    <w:rsid w:val="00F222BE"/>
    <w:rsid w:val="00F228C7"/>
    <w:rsid w:val="00F22B31"/>
    <w:rsid w:val="00F22B9E"/>
    <w:rsid w:val="00F22F03"/>
    <w:rsid w:val="00F22F56"/>
    <w:rsid w:val="00F2313E"/>
    <w:rsid w:val="00F23226"/>
    <w:rsid w:val="00F23429"/>
    <w:rsid w:val="00F2374D"/>
    <w:rsid w:val="00F24ABA"/>
    <w:rsid w:val="00F24BA6"/>
    <w:rsid w:val="00F24DD5"/>
    <w:rsid w:val="00F25752"/>
    <w:rsid w:val="00F257CB"/>
    <w:rsid w:val="00F259A0"/>
    <w:rsid w:val="00F25AFA"/>
    <w:rsid w:val="00F26399"/>
    <w:rsid w:val="00F26887"/>
    <w:rsid w:val="00F26CA4"/>
    <w:rsid w:val="00F2726A"/>
    <w:rsid w:val="00F27597"/>
    <w:rsid w:val="00F27634"/>
    <w:rsid w:val="00F27E99"/>
    <w:rsid w:val="00F30326"/>
    <w:rsid w:val="00F308DF"/>
    <w:rsid w:val="00F30913"/>
    <w:rsid w:val="00F30B44"/>
    <w:rsid w:val="00F30E6A"/>
    <w:rsid w:val="00F31580"/>
    <w:rsid w:val="00F31CCB"/>
    <w:rsid w:val="00F31DE5"/>
    <w:rsid w:val="00F320B4"/>
    <w:rsid w:val="00F32616"/>
    <w:rsid w:val="00F32A30"/>
    <w:rsid w:val="00F32C36"/>
    <w:rsid w:val="00F33405"/>
    <w:rsid w:val="00F3353C"/>
    <w:rsid w:val="00F347BF"/>
    <w:rsid w:val="00F34989"/>
    <w:rsid w:val="00F34B0F"/>
    <w:rsid w:val="00F353A4"/>
    <w:rsid w:val="00F355DE"/>
    <w:rsid w:val="00F35A23"/>
    <w:rsid w:val="00F35ADC"/>
    <w:rsid w:val="00F35BBA"/>
    <w:rsid w:val="00F36181"/>
    <w:rsid w:val="00F36362"/>
    <w:rsid w:val="00F368FE"/>
    <w:rsid w:val="00F36F69"/>
    <w:rsid w:val="00F37322"/>
    <w:rsid w:val="00F37E1E"/>
    <w:rsid w:val="00F41072"/>
    <w:rsid w:val="00F4189F"/>
    <w:rsid w:val="00F41F65"/>
    <w:rsid w:val="00F42B8D"/>
    <w:rsid w:val="00F42D24"/>
    <w:rsid w:val="00F42FE8"/>
    <w:rsid w:val="00F43573"/>
    <w:rsid w:val="00F43970"/>
    <w:rsid w:val="00F43D8D"/>
    <w:rsid w:val="00F44233"/>
    <w:rsid w:val="00F44EFF"/>
    <w:rsid w:val="00F45DCF"/>
    <w:rsid w:val="00F45FBA"/>
    <w:rsid w:val="00F45FD6"/>
    <w:rsid w:val="00F46CD1"/>
    <w:rsid w:val="00F47049"/>
    <w:rsid w:val="00F47314"/>
    <w:rsid w:val="00F4747A"/>
    <w:rsid w:val="00F47FC4"/>
    <w:rsid w:val="00F50277"/>
    <w:rsid w:val="00F506A9"/>
    <w:rsid w:val="00F50B02"/>
    <w:rsid w:val="00F5112D"/>
    <w:rsid w:val="00F51561"/>
    <w:rsid w:val="00F51AF6"/>
    <w:rsid w:val="00F51ED3"/>
    <w:rsid w:val="00F52D12"/>
    <w:rsid w:val="00F52D7B"/>
    <w:rsid w:val="00F52ECA"/>
    <w:rsid w:val="00F535B6"/>
    <w:rsid w:val="00F53991"/>
    <w:rsid w:val="00F53A4E"/>
    <w:rsid w:val="00F54503"/>
    <w:rsid w:val="00F5466F"/>
    <w:rsid w:val="00F54BAF"/>
    <w:rsid w:val="00F54CEB"/>
    <w:rsid w:val="00F550C2"/>
    <w:rsid w:val="00F551D0"/>
    <w:rsid w:val="00F55A93"/>
    <w:rsid w:val="00F55C53"/>
    <w:rsid w:val="00F5608E"/>
    <w:rsid w:val="00F5682B"/>
    <w:rsid w:val="00F56E4C"/>
    <w:rsid w:val="00F570F3"/>
    <w:rsid w:val="00F5713D"/>
    <w:rsid w:val="00F57653"/>
    <w:rsid w:val="00F60255"/>
    <w:rsid w:val="00F603DB"/>
    <w:rsid w:val="00F605BE"/>
    <w:rsid w:val="00F607EC"/>
    <w:rsid w:val="00F610B6"/>
    <w:rsid w:val="00F613D1"/>
    <w:rsid w:val="00F61E44"/>
    <w:rsid w:val="00F61EB8"/>
    <w:rsid w:val="00F61F05"/>
    <w:rsid w:val="00F62706"/>
    <w:rsid w:val="00F6340E"/>
    <w:rsid w:val="00F640A0"/>
    <w:rsid w:val="00F644C9"/>
    <w:rsid w:val="00F64B6E"/>
    <w:rsid w:val="00F64DCC"/>
    <w:rsid w:val="00F64E5B"/>
    <w:rsid w:val="00F6588F"/>
    <w:rsid w:val="00F658D3"/>
    <w:rsid w:val="00F661CD"/>
    <w:rsid w:val="00F6649D"/>
    <w:rsid w:val="00F66625"/>
    <w:rsid w:val="00F6699A"/>
    <w:rsid w:val="00F66C21"/>
    <w:rsid w:val="00F67575"/>
    <w:rsid w:val="00F701E1"/>
    <w:rsid w:val="00F70512"/>
    <w:rsid w:val="00F70BE7"/>
    <w:rsid w:val="00F70C80"/>
    <w:rsid w:val="00F70E72"/>
    <w:rsid w:val="00F71773"/>
    <w:rsid w:val="00F71B7A"/>
    <w:rsid w:val="00F7238A"/>
    <w:rsid w:val="00F7270B"/>
    <w:rsid w:val="00F728B3"/>
    <w:rsid w:val="00F72998"/>
    <w:rsid w:val="00F73651"/>
    <w:rsid w:val="00F7399D"/>
    <w:rsid w:val="00F73DBC"/>
    <w:rsid w:val="00F74004"/>
    <w:rsid w:val="00F74202"/>
    <w:rsid w:val="00F742CE"/>
    <w:rsid w:val="00F748FE"/>
    <w:rsid w:val="00F74B74"/>
    <w:rsid w:val="00F74E7A"/>
    <w:rsid w:val="00F75235"/>
    <w:rsid w:val="00F75272"/>
    <w:rsid w:val="00F75869"/>
    <w:rsid w:val="00F7660E"/>
    <w:rsid w:val="00F76F5A"/>
    <w:rsid w:val="00F775D1"/>
    <w:rsid w:val="00F77692"/>
    <w:rsid w:val="00F77B4A"/>
    <w:rsid w:val="00F80637"/>
    <w:rsid w:val="00F807C0"/>
    <w:rsid w:val="00F80B6F"/>
    <w:rsid w:val="00F80BAD"/>
    <w:rsid w:val="00F80DF3"/>
    <w:rsid w:val="00F80F2C"/>
    <w:rsid w:val="00F8106D"/>
    <w:rsid w:val="00F81234"/>
    <w:rsid w:val="00F813EC"/>
    <w:rsid w:val="00F81DDA"/>
    <w:rsid w:val="00F82049"/>
    <w:rsid w:val="00F82308"/>
    <w:rsid w:val="00F8241A"/>
    <w:rsid w:val="00F826F6"/>
    <w:rsid w:val="00F827C8"/>
    <w:rsid w:val="00F82A24"/>
    <w:rsid w:val="00F82D9F"/>
    <w:rsid w:val="00F833E6"/>
    <w:rsid w:val="00F833FF"/>
    <w:rsid w:val="00F83507"/>
    <w:rsid w:val="00F83557"/>
    <w:rsid w:val="00F836EE"/>
    <w:rsid w:val="00F83788"/>
    <w:rsid w:val="00F83F72"/>
    <w:rsid w:val="00F843A2"/>
    <w:rsid w:val="00F84507"/>
    <w:rsid w:val="00F8484B"/>
    <w:rsid w:val="00F84DAC"/>
    <w:rsid w:val="00F851CB"/>
    <w:rsid w:val="00F851DD"/>
    <w:rsid w:val="00F8532D"/>
    <w:rsid w:val="00F85891"/>
    <w:rsid w:val="00F85C19"/>
    <w:rsid w:val="00F86446"/>
    <w:rsid w:val="00F86607"/>
    <w:rsid w:val="00F86A19"/>
    <w:rsid w:val="00F86BF1"/>
    <w:rsid w:val="00F87402"/>
    <w:rsid w:val="00F877EE"/>
    <w:rsid w:val="00F9012C"/>
    <w:rsid w:val="00F9013E"/>
    <w:rsid w:val="00F903AE"/>
    <w:rsid w:val="00F9159C"/>
    <w:rsid w:val="00F91B11"/>
    <w:rsid w:val="00F9213C"/>
    <w:rsid w:val="00F92608"/>
    <w:rsid w:val="00F92DA7"/>
    <w:rsid w:val="00F932C5"/>
    <w:rsid w:val="00F937BA"/>
    <w:rsid w:val="00F941FA"/>
    <w:rsid w:val="00F9527D"/>
    <w:rsid w:val="00F95734"/>
    <w:rsid w:val="00F95CA3"/>
    <w:rsid w:val="00F960F7"/>
    <w:rsid w:val="00F962BB"/>
    <w:rsid w:val="00F962CB"/>
    <w:rsid w:val="00F9688B"/>
    <w:rsid w:val="00F96BD3"/>
    <w:rsid w:val="00F97032"/>
    <w:rsid w:val="00F9724F"/>
    <w:rsid w:val="00F9731B"/>
    <w:rsid w:val="00F9752F"/>
    <w:rsid w:val="00F97D89"/>
    <w:rsid w:val="00F97E14"/>
    <w:rsid w:val="00FA0064"/>
    <w:rsid w:val="00FA0C43"/>
    <w:rsid w:val="00FA15D0"/>
    <w:rsid w:val="00FA1AAD"/>
    <w:rsid w:val="00FA2262"/>
    <w:rsid w:val="00FA296B"/>
    <w:rsid w:val="00FA3411"/>
    <w:rsid w:val="00FA449E"/>
    <w:rsid w:val="00FA4C74"/>
    <w:rsid w:val="00FA534E"/>
    <w:rsid w:val="00FA5500"/>
    <w:rsid w:val="00FA556D"/>
    <w:rsid w:val="00FA59E0"/>
    <w:rsid w:val="00FA5A96"/>
    <w:rsid w:val="00FA607A"/>
    <w:rsid w:val="00FA620E"/>
    <w:rsid w:val="00FA623A"/>
    <w:rsid w:val="00FA757E"/>
    <w:rsid w:val="00FA7B60"/>
    <w:rsid w:val="00FA7D3F"/>
    <w:rsid w:val="00FB100A"/>
    <w:rsid w:val="00FB128D"/>
    <w:rsid w:val="00FB134C"/>
    <w:rsid w:val="00FB13BD"/>
    <w:rsid w:val="00FB14CC"/>
    <w:rsid w:val="00FB15D2"/>
    <w:rsid w:val="00FB1A7A"/>
    <w:rsid w:val="00FB1A95"/>
    <w:rsid w:val="00FB1AA6"/>
    <w:rsid w:val="00FB23FF"/>
    <w:rsid w:val="00FB26AA"/>
    <w:rsid w:val="00FB296A"/>
    <w:rsid w:val="00FB2CF2"/>
    <w:rsid w:val="00FB3019"/>
    <w:rsid w:val="00FB32EE"/>
    <w:rsid w:val="00FB37D7"/>
    <w:rsid w:val="00FB3F22"/>
    <w:rsid w:val="00FB46E3"/>
    <w:rsid w:val="00FB4935"/>
    <w:rsid w:val="00FB4A15"/>
    <w:rsid w:val="00FB4B5B"/>
    <w:rsid w:val="00FB4DF7"/>
    <w:rsid w:val="00FB4FB4"/>
    <w:rsid w:val="00FB5290"/>
    <w:rsid w:val="00FB52E6"/>
    <w:rsid w:val="00FB54DB"/>
    <w:rsid w:val="00FB558F"/>
    <w:rsid w:val="00FB570B"/>
    <w:rsid w:val="00FB6B01"/>
    <w:rsid w:val="00FB7EBD"/>
    <w:rsid w:val="00FC04B3"/>
    <w:rsid w:val="00FC060E"/>
    <w:rsid w:val="00FC0E0B"/>
    <w:rsid w:val="00FC144D"/>
    <w:rsid w:val="00FC1E42"/>
    <w:rsid w:val="00FC2673"/>
    <w:rsid w:val="00FC2E0C"/>
    <w:rsid w:val="00FC2FB9"/>
    <w:rsid w:val="00FC33BA"/>
    <w:rsid w:val="00FC3605"/>
    <w:rsid w:val="00FC374C"/>
    <w:rsid w:val="00FC388D"/>
    <w:rsid w:val="00FC39DB"/>
    <w:rsid w:val="00FC3B3E"/>
    <w:rsid w:val="00FC3CF8"/>
    <w:rsid w:val="00FC3DA4"/>
    <w:rsid w:val="00FC44FD"/>
    <w:rsid w:val="00FC453B"/>
    <w:rsid w:val="00FC4AC6"/>
    <w:rsid w:val="00FC5496"/>
    <w:rsid w:val="00FC568C"/>
    <w:rsid w:val="00FC5740"/>
    <w:rsid w:val="00FC58F8"/>
    <w:rsid w:val="00FC5B61"/>
    <w:rsid w:val="00FC6B17"/>
    <w:rsid w:val="00FC77B3"/>
    <w:rsid w:val="00FC7902"/>
    <w:rsid w:val="00FD0649"/>
    <w:rsid w:val="00FD0873"/>
    <w:rsid w:val="00FD11FB"/>
    <w:rsid w:val="00FD1525"/>
    <w:rsid w:val="00FD1570"/>
    <w:rsid w:val="00FD1627"/>
    <w:rsid w:val="00FD1877"/>
    <w:rsid w:val="00FD1C49"/>
    <w:rsid w:val="00FD1E65"/>
    <w:rsid w:val="00FD1F8C"/>
    <w:rsid w:val="00FD1FC1"/>
    <w:rsid w:val="00FD2106"/>
    <w:rsid w:val="00FD26D3"/>
    <w:rsid w:val="00FD2AD3"/>
    <w:rsid w:val="00FD3045"/>
    <w:rsid w:val="00FD35BF"/>
    <w:rsid w:val="00FD3AA3"/>
    <w:rsid w:val="00FD4147"/>
    <w:rsid w:val="00FD42CA"/>
    <w:rsid w:val="00FD444F"/>
    <w:rsid w:val="00FD4D2F"/>
    <w:rsid w:val="00FD4E16"/>
    <w:rsid w:val="00FD5079"/>
    <w:rsid w:val="00FD5232"/>
    <w:rsid w:val="00FD5DDC"/>
    <w:rsid w:val="00FD6453"/>
    <w:rsid w:val="00FD6C92"/>
    <w:rsid w:val="00FD76FE"/>
    <w:rsid w:val="00FD7CC7"/>
    <w:rsid w:val="00FD7D80"/>
    <w:rsid w:val="00FE0840"/>
    <w:rsid w:val="00FE08C1"/>
    <w:rsid w:val="00FE0A4F"/>
    <w:rsid w:val="00FE108F"/>
    <w:rsid w:val="00FE1D49"/>
    <w:rsid w:val="00FE206D"/>
    <w:rsid w:val="00FE22E0"/>
    <w:rsid w:val="00FE27DD"/>
    <w:rsid w:val="00FE3F90"/>
    <w:rsid w:val="00FE4B31"/>
    <w:rsid w:val="00FE4D5C"/>
    <w:rsid w:val="00FE4E42"/>
    <w:rsid w:val="00FE4EBF"/>
    <w:rsid w:val="00FE53B6"/>
    <w:rsid w:val="00FE5934"/>
    <w:rsid w:val="00FE5BAA"/>
    <w:rsid w:val="00FE5CE2"/>
    <w:rsid w:val="00FE5D68"/>
    <w:rsid w:val="00FE6410"/>
    <w:rsid w:val="00FE6FE4"/>
    <w:rsid w:val="00FE71CA"/>
    <w:rsid w:val="00FE729C"/>
    <w:rsid w:val="00FF0256"/>
    <w:rsid w:val="00FF0C1A"/>
    <w:rsid w:val="00FF1D80"/>
    <w:rsid w:val="00FF1E70"/>
    <w:rsid w:val="00FF2D64"/>
    <w:rsid w:val="00FF30D0"/>
    <w:rsid w:val="00FF362C"/>
    <w:rsid w:val="00FF38AD"/>
    <w:rsid w:val="00FF407D"/>
    <w:rsid w:val="00FF40EF"/>
    <w:rsid w:val="00FF46A3"/>
    <w:rsid w:val="00FF49CA"/>
    <w:rsid w:val="00FF4AF4"/>
    <w:rsid w:val="00FF52A1"/>
    <w:rsid w:val="00FF52AC"/>
    <w:rsid w:val="00FF52BE"/>
    <w:rsid w:val="00FF5502"/>
    <w:rsid w:val="00FF5BAE"/>
    <w:rsid w:val="00FF69FF"/>
    <w:rsid w:val="00FF6C70"/>
    <w:rsid w:val="00FF6F8F"/>
    <w:rsid w:val="00FF778A"/>
    <w:rsid w:val="00FF799D"/>
    <w:rsid w:val="00FF79EB"/>
    <w:rsid w:val="01469D3F"/>
    <w:rsid w:val="02B96E1A"/>
    <w:rsid w:val="039A21C9"/>
    <w:rsid w:val="03ED03B4"/>
    <w:rsid w:val="0461D70D"/>
    <w:rsid w:val="04BAAA1E"/>
    <w:rsid w:val="05A39E98"/>
    <w:rsid w:val="0829E990"/>
    <w:rsid w:val="08A912E8"/>
    <w:rsid w:val="08CC5AFC"/>
    <w:rsid w:val="08F1BF4E"/>
    <w:rsid w:val="09EF9EAA"/>
    <w:rsid w:val="0B81099D"/>
    <w:rsid w:val="0B8330C2"/>
    <w:rsid w:val="0BDBC1F1"/>
    <w:rsid w:val="0CB55567"/>
    <w:rsid w:val="0D290D04"/>
    <w:rsid w:val="0DE6F584"/>
    <w:rsid w:val="0E29930A"/>
    <w:rsid w:val="0EE1B724"/>
    <w:rsid w:val="0F0E40C3"/>
    <w:rsid w:val="0FCEB8CE"/>
    <w:rsid w:val="0FDAFE8F"/>
    <w:rsid w:val="0FF9E45A"/>
    <w:rsid w:val="1336CFC5"/>
    <w:rsid w:val="13413A7F"/>
    <w:rsid w:val="13D57851"/>
    <w:rsid w:val="16940298"/>
    <w:rsid w:val="179F0486"/>
    <w:rsid w:val="17AE144E"/>
    <w:rsid w:val="186D23AD"/>
    <w:rsid w:val="197D8007"/>
    <w:rsid w:val="1A41B1CC"/>
    <w:rsid w:val="1B567A91"/>
    <w:rsid w:val="1BD98678"/>
    <w:rsid w:val="1CEDD5A3"/>
    <w:rsid w:val="1E08379F"/>
    <w:rsid w:val="1EA8BD29"/>
    <w:rsid w:val="1EB23E46"/>
    <w:rsid w:val="20403330"/>
    <w:rsid w:val="2075D8AD"/>
    <w:rsid w:val="2086CDAA"/>
    <w:rsid w:val="21270BD6"/>
    <w:rsid w:val="21286234"/>
    <w:rsid w:val="215E5D93"/>
    <w:rsid w:val="22423265"/>
    <w:rsid w:val="244C0539"/>
    <w:rsid w:val="274BDC71"/>
    <w:rsid w:val="27DD7928"/>
    <w:rsid w:val="27ECC415"/>
    <w:rsid w:val="27F095EB"/>
    <w:rsid w:val="288BDF8A"/>
    <w:rsid w:val="2951C83C"/>
    <w:rsid w:val="2A5DF3B5"/>
    <w:rsid w:val="2B3A8F88"/>
    <w:rsid w:val="2C116C0B"/>
    <w:rsid w:val="2CC44216"/>
    <w:rsid w:val="2D3A18A0"/>
    <w:rsid w:val="2D7E81B1"/>
    <w:rsid w:val="2E8F868C"/>
    <w:rsid w:val="31348CD8"/>
    <w:rsid w:val="31A332B1"/>
    <w:rsid w:val="31BC8311"/>
    <w:rsid w:val="342A2223"/>
    <w:rsid w:val="3438DE1E"/>
    <w:rsid w:val="348C2846"/>
    <w:rsid w:val="3597E477"/>
    <w:rsid w:val="35C234AA"/>
    <w:rsid w:val="36B9812A"/>
    <w:rsid w:val="36D42CD9"/>
    <w:rsid w:val="39F5D045"/>
    <w:rsid w:val="3B177A7B"/>
    <w:rsid w:val="3B648877"/>
    <w:rsid w:val="3BC4B557"/>
    <w:rsid w:val="3CF01A20"/>
    <w:rsid w:val="3F406ED7"/>
    <w:rsid w:val="3F770F37"/>
    <w:rsid w:val="3FF6A565"/>
    <w:rsid w:val="401DEC30"/>
    <w:rsid w:val="40CD4BCA"/>
    <w:rsid w:val="412938D4"/>
    <w:rsid w:val="41629F04"/>
    <w:rsid w:val="420FF13A"/>
    <w:rsid w:val="44085D14"/>
    <w:rsid w:val="4436DBEC"/>
    <w:rsid w:val="4475626F"/>
    <w:rsid w:val="45622655"/>
    <w:rsid w:val="45DE9B80"/>
    <w:rsid w:val="46FD2E89"/>
    <w:rsid w:val="470DB468"/>
    <w:rsid w:val="47C79BDD"/>
    <w:rsid w:val="489ED7AF"/>
    <w:rsid w:val="48D8ABB2"/>
    <w:rsid w:val="48E5850C"/>
    <w:rsid w:val="4BC4BA70"/>
    <w:rsid w:val="4C0B58B5"/>
    <w:rsid w:val="4C38E51E"/>
    <w:rsid w:val="4D11B343"/>
    <w:rsid w:val="4D7AEDF0"/>
    <w:rsid w:val="4E08D3CF"/>
    <w:rsid w:val="4E56FEC8"/>
    <w:rsid w:val="5098A3F9"/>
    <w:rsid w:val="518FFCEC"/>
    <w:rsid w:val="5198DC07"/>
    <w:rsid w:val="54F5536A"/>
    <w:rsid w:val="562BB750"/>
    <w:rsid w:val="56853C50"/>
    <w:rsid w:val="5721A552"/>
    <w:rsid w:val="57A02B06"/>
    <w:rsid w:val="583FB2C2"/>
    <w:rsid w:val="5841867F"/>
    <w:rsid w:val="5847A8C8"/>
    <w:rsid w:val="5B46D38F"/>
    <w:rsid w:val="5BCD75C8"/>
    <w:rsid w:val="5BDCFC36"/>
    <w:rsid w:val="5C2D410F"/>
    <w:rsid w:val="5CDC03A5"/>
    <w:rsid w:val="5D4F74F5"/>
    <w:rsid w:val="5E10D304"/>
    <w:rsid w:val="5E28E910"/>
    <w:rsid w:val="5E595FCA"/>
    <w:rsid w:val="5E6E735C"/>
    <w:rsid w:val="5FE44AE8"/>
    <w:rsid w:val="60A755D3"/>
    <w:rsid w:val="61CAA579"/>
    <w:rsid w:val="6234ADFB"/>
    <w:rsid w:val="629675CE"/>
    <w:rsid w:val="62E80F13"/>
    <w:rsid w:val="638639BE"/>
    <w:rsid w:val="6392CF90"/>
    <w:rsid w:val="63A4FE66"/>
    <w:rsid w:val="66009959"/>
    <w:rsid w:val="6678E097"/>
    <w:rsid w:val="67368ED7"/>
    <w:rsid w:val="6808F7D0"/>
    <w:rsid w:val="68962A72"/>
    <w:rsid w:val="692998FA"/>
    <w:rsid w:val="69300448"/>
    <w:rsid w:val="6994B570"/>
    <w:rsid w:val="69C7B918"/>
    <w:rsid w:val="6BACB42A"/>
    <w:rsid w:val="6D30B9EE"/>
    <w:rsid w:val="6E879983"/>
    <w:rsid w:val="6EB0CFED"/>
    <w:rsid w:val="6EFDD1DD"/>
    <w:rsid w:val="6F99E0AD"/>
    <w:rsid w:val="6FE00084"/>
    <w:rsid w:val="6FF63BDB"/>
    <w:rsid w:val="70C771F8"/>
    <w:rsid w:val="71AE412A"/>
    <w:rsid w:val="724B9CBD"/>
    <w:rsid w:val="73D3ADE0"/>
    <w:rsid w:val="74668C98"/>
    <w:rsid w:val="7577E9F7"/>
    <w:rsid w:val="759F1B46"/>
    <w:rsid w:val="77C4D985"/>
    <w:rsid w:val="784ADA76"/>
    <w:rsid w:val="788E9267"/>
    <w:rsid w:val="7907F8A7"/>
    <w:rsid w:val="799D7436"/>
    <w:rsid w:val="79A08C3C"/>
    <w:rsid w:val="7A203904"/>
    <w:rsid w:val="7B6E41D9"/>
    <w:rsid w:val="7DC02B32"/>
    <w:rsid w:val="7E229951"/>
    <w:rsid w:val="7F48A734"/>
    <w:rsid w:val="7F6EABF1"/>
    <w:rsid w:val="7F7B02BE"/>
    <w:rsid w:val="7FDB991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2"/>
    </o:shapelayout>
  </w:shapeDefaults>
  <w:decimalSymbol w:val="."/>
  <w:listSeparator w:val=","/>
  <w14:docId w14:val="13F06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nion Pro" w:eastAsia="Times New Roman" w:hAnsi="Minion Pro" w:cs="Minion Pro"/>
        <w:color w:val="000000"/>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609"/>
    <w:pPr>
      <w:spacing w:before="120" w:after="120"/>
    </w:pPr>
    <w:rPr>
      <w:rFonts w:ascii="Calibri Light" w:hAnsi="Calibri Light" w:cs="Times New Roman"/>
      <w:color w:val="auto"/>
      <w:sz w:val="22"/>
      <w:szCs w:val="20"/>
    </w:rPr>
  </w:style>
  <w:style w:type="paragraph" w:styleId="Heading1">
    <w:name w:val="heading 1"/>
    <w:basedOn w:val="HeadingBase"/>
    <w:next w:val="Normal"/>
    <w:link w:val="Heading1Char"/>
    <w:qFormat/>
    <w:rsid w:val="00BE6609"/>
    <w:pPr>
      <w:spacing w:before="600" w:line="460" w:lineRule="exact"/>
      <w:outlineLvl w:val="0"/>
    </w:pPr>
    <w:rPr>
      <w:b/>
      <w:bCs w:val="0"/>
      <w:color w:val="006170" w:themeColor="accent3"/>
      <w:sz w:val="44"/>
    </w:rPr>
  </w:style>
  <w:style w:type="paragraph" w:styleId="Heading2">
    <w:name w:val="heading 2"/>
    <w:basedOn w:val="HeadingBase"/>
    <w:next w:val="Normal"/>
    <w:link w:val="Heading2Char"/>
    <w:qFormat/>
    <w:rsid w:val="000B66A2"/>
    <w:pPr>
      <w:spacing w:before="360" w:line="460" w:lineRule="exact"/>
      <w:outlineLvl w:val="1"/>
    </w:pPr>
    <w:rPr>
      <w:bCs w:val="0"/>
      <w:iCs/>
      <w:color w:val="004853" w:themeColor="text2" w:themeShade="BF"/>
      <w:sz w:val="36"/>
      <w:szCs w:val="28"/>
    </w:rPr>
  </w:style>
  <w:style w:type="paragraph" w:styleId="Heading3">
    <w:name w:val="heading 3"/>
    <w:basedOn w:val="HeadingBase"/>
    <w:next w:val="Normal"/>
    <w:link w:val="Heading3Char"/>
    <w:qFormat/>
    <w:rsid w:val="00BD3CA4"/>
    <w:pPr>
      <w:spacing w:before="320" w:after="0" w:line="276" w:lineRule="auto"/>
      <w:outlineLvl w:val="2"/>
    </w:pPr>
    <w:rPr>
      <w:color w:val="243B41" w:themeColor="accent1" w:themeShade="80"/>
      <w:sz w:val="28"/>
      <w:szCs w:val="26"/>
    </w:rPr>
  </w:style>
  <w:style w:type="paragraph" w:styleId="Heading4">
    <w:name w:val="heading 4"/>
    <w:basedOn w:val="HeadingBase"/>
    <w:next w:val="Normal"/>
    <w:link w:val="Heading4Char"/>
    <w:qFormat/>
    <w:rsid w:val="00BE6609"/>
    <w:pPr>
      <w:spacing w:before="280" w:after="0" w:line="276" w:lineRule="auto"/>
      <w:outlineLvl w:val="3"/>
    </w:pPr>
    <w:rPr>
      <w:rFonts w:ascii="Calibri Light" w:hAnsi="Calibri Light"/>
      <w:bCs w:val="0"/>
      <w:color w:val="006170" w:themeColor="accent2"/>
      <w:sz w:val="24"/>
      <w:szCs w:val="26"/>
    </w:rPr>
  </w:style>
  <w:style w:type="paragraph" w:styleId="Heading5">
    <w:name w:val="heading 5"/>
    <w:basedOn w:val="HeadingBase"/>
    <w:next w:val="Normal"/>
    <w:link w:val="Heading5Char"/>
    <w:rsid w:val="00BE6609"/>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BE6609"/>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qFormat/>
    <w:tblPr>
      <w:tblInd w:w="0" w:type="dxa"/>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BE6609"/>
    <w:rPr>
      <w:rFonts w:ascii="Calibri" w:hAnsi="Calibri"/>
      <w:sz w:val="20"/>
    </w:rPr>
  </w:style>
  <w:style w:type="character" w:customStyle="1" w:styleId="CommentTextChar">
    <w:name w:val="Comment Text Char"/>
    <w:basedOn w:val="DefaultParagraphFont"/>
    <w:link w:val="CommentText"/>
    <w:uiPriority w:val="99"/>
    <w:rsid w:val="00BE6609"/>
    <w:rPr>
      <w:rFonts w:ascii="Calibri" w:hAnsi="Calibri" w:cs="Times New Roman"/>
      <w:color w:val="auto"/>
      <w:sz w:val="20"/>
      <w:szCs w:val="20"/>
    </w:rPr>
  </w:style>
  <w:style w:type="character" w:styleId="CommentReference">
    <w:name w:val="annotation reference"/>
    <w:basedOn w:val="DefaultParagraphFont"/>
    <w:uiPriority w:val="99"/>
    <w:semiHidden/>
    <w:unhideWhenUsed/>
    <w:rsid w:val="00BE6609"/>
    <w:rPr>
      <w:sz w:val="16"/>
      <w:szCs w:val="16"/>
    </w:rPr>
  </w:style>
  <w:style w:type="paragraph" w:styleId="BalloonText">
    <w:name w:val="Balloon Text"/>
    <w:basedOn w:val="Normal"/>
    <w:link w:val="BalloonTextChar"/>
    <w:uiPriority w:val="99"/>
    <w:semiHidden/>
    <w:unhideWhenUsed/>
    <w:rsid w:val="00BE66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609"/>
    <w:rPr>
      <w:rFonts w:ascii="Tahoma" w:hAnsi="Tahoma" w:cs="Tahoma"/>
      <w:color w:val="auto"/>
      <w:sz w:val="16"/>
      <w:szCs w:val="16"/>
    </w:rPr>
  </w:style>
  <w:style w:type="paragraph" w:styleId="CommentSubject">
    <w:name w:val="annotation subject"/>
    <w:basedOn w:val="CommentText"/>
    <w:next w:val="CommentText"/>
    <w:link w:val="CommentSubjectChar"/>
    <w:uiPriority w:val="99"/>
    <w:semiHidden/>
    <w:unhideWhenUsed/>
    <w:rsid w:val="00AA7068"/>
    <w:rPr>
      <w:b/>
      <w:bCs/>
    </w:rPr>
  </w:style>
  <w:style w:type="character" w:customStyle="1" w:styleId="CommentSubjectChar">
    <w:name w:val="Comment Subject Char"/>
    <w:basedOn w:val="CommentTextChar"/>
    <w:link w:val="CommentSubject"/>
    <w:uiPriority w:val="99"/>
    <w:semiHidden/>
    <w:rsid w:val="00AA7068"/>
    <w:rPr>
      <w:rFonts w:ascii="Calibri" w:hAnsi="Calibri" w:cs="Times New Roman"/>
      <w:b/>
      <w:bCs/>
      <w:color w:val="auto"/>
      <w:sz w:val="20"/>
      <w:szCs w:val="20"/>
    </w:rPr>
  </w:style>
  <w:style w:type="table" w:styleId="TableGrid">
    <w:name w:val="Table Grid"/>
    <w:basedOn w:val="TableNormal"/>
    <w:rsid w:val="00BE6609"/>
    <w:pPr>
      <w:spacing w:before="40" w:after="40"/>
    </w:pPr>
    <w:rPr>
      <w:rFonts w:ascii="Calibri Light" w:hAnsi="Calibri Light" w:cs="Times New Roman"/>
      <w:color w:val="auto"/>
      <w:sz w:val="18"/>
      <w:szCs w:val="20"/>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497783" w:themeColor="accent1"/>
        <w:sz w:val="20"/>
      </w:rPr>
      <w:tblPr/>
      <w:tcPr>
        <w:shd w:val="clear" w:color="auto" w:fill="EEECE1" w:themeFill="background2"/>
      </w:tcPr>
    </w:tblStylePr>
  </w:style>
  <w:style w:type="paragraph" w:customStyle="1" w:styleId="Bullet">
    <w:name w:val="Bullet"/>
    <w:basedOn w:val="Normal"/>
    <w:link w:val="BulletChar"/>
    <w:qFormat/>
    <w:rsid w:val="003B326A"/>
    <w:pPr>
      <w:numPr>
        <w:numId w:val="21"/>
      </w:numPr>
      <w:tabs>
        <w:tab w:val="left" w:pos="720"/>
      </w:tabs>
      <w:spacing w:before="0" w:line="276" w:lineRule="auto"/>
    </w:pPr>
    <w:rPr>
      <w:color w:val="000000"/>
      <w:szCs w:val="22"/>
    </w:rPr>
  </w:style>
  <w:style w:type="character" w:customStyle="1" w:styleId="BulletChar">
    <w:name w:val="Bullet Char"/>
    <w:basedOn w:val="DefaultParagraphFont"/>
    <w:link w:val="Bullet"/>
    <w:rsid w:val="003B326A"/>
    <w:rPr>
      <w:rFonts w:ascii="Calibri Light" w:hAnsi="Calibri Light" w:cs="Times New Roman"/>
      <w:sz w:val="22"/>
      <w:szCs w:val="22"/>
    </w:rPr>
  </w:style>
  <w:style w:type="paragraph" w:customStyle="1" w:styleId="Dash">
    <w:name w:val="Dash"/>
    <w:basedOn w:val="Normal"/>
    <w:link w:val="DashChar"/>
    <w:uiPriority w:val="99"/>
    <w:qFormat/>
    <w:rsid w:val="003B326A"/>
    <w:pPr>
      <w:numPr>
        <w:ilvl w:val="1"/>
        <w:numId w:val="21"/>
      </w:numPr>
      <w:spacing w:before="0"/>
    </w:pPr>
    <w:rPr>
      <w:color w:val="000000"/>
      <w:szCs w:val="22"/>
    </w:rPr>
  </w:style>
  <w:style w:type="character" w:customStyle="1" w:styleId="DashChar">
    <w:name w:val="Dash Char"/>
    <w:basedOn w:val="DefaultParagraphFont"/>
    <w:link w:val="Dash"/>
    <w:uiPriority w:val="99"/>
    <w:rsid w:val="003B326A"/>
    <w:rPr>
      <w:rFonts w:ascii="Calibri Light" w:hAnsi="Calibri Light" w:cs="Times New Roman"/>
      <w:sz w:val="22"/>
      <w:szCs w:val="22"/>
    </w:rPr>
  </w:style>
  <w:style w:type="paragraph" w:customStyle="1" w:styleId="DoubleDot">
    <w:name w:val="Double Dot"/>
    <w:basedOn w:val="Normal"/>
    <w:link w:val="DoubleDotChar"/>
    <w:uiPriority w:val="99"/>
    <w:qFormat/>
    <w:rsid w:val="00BE6609"/>
    <w:pPr>
      <w:numPr>
        <w:ilvl w:val="2"/>
        <w:numId w:val="21"/>
      </w:numPr>
      <w:spacing w:before="0"/>
    </w:pPr>
    <w:rPr>
      <w:color w:val="000000"/>
      <w:sz w:val="24"/>
    </w:rPr>
  </w:style>
  <w:style w:type="character" w:customStyle="1" w:styleId="DoubleDotChar">
    <w:name w:val="Double Dot Char"/>
    <w:basedOn w:val="DefaultParagraphFont"/>
    <w:link w:val="DoubleDot"/>
    <w:uiPriority w:val="99"/>
    <w:rsid w:val="00BE6609"/>
    <w:rPr>
      <w:rFonts w:ascii="Calibri Light" w:hAnsi="Calibri Light" w:cs="Times New Roman"/>
      <w:szCs w:val="20"/>
    </w:rPr>
  </w:style>
  <w:style w:type="paragraph" w:styleId="Revision">
    <w:name w:val="Revision"/>
    <w:hidden/>
    <w:uiPriority w:val="99"/>
    <w:semiHidden/>
    <w:rsid w:val="00F032FB"/>
  </w:style>
  <w:style w:type="paragraph" w:customStyle="1" w:styleId="OutlineNumbered1">
    <w:name w:val="Outline Numbered 1"/>
    <w:basedOn w:val="Normal"/>
    <w:link w:val="OutlineNumbered1Char"/>
    <w:rsid w:val="00BE6609"/>
    <w:pPr>
      <w:numPr>
        <w:numId w:val="15"/>
      </w:numPr>
      <w:spacing w:before="0"/>
    </w:pPr>
  </w:style>
  <w:style w:type="character" w:customStyle="1" w:styleId="OutlineNumbered1Char">
    <w:name w:val="Outline Numbered 1 Char"/>
    <w:basedOn w:val="DefaultParagraphFont"/>
    <w:link w:val="OutlineNumbered1"/>
    <w:rsid w:val="00641522"/>
    <w:rPr>
      <w:rFonts w:ascii="Calibri Light" w:hAnsi="Calibri Light" w:cs="Times New Roman"/>
      <w:color w:val="auto"/>
      <w:sz w:val="22"/>
      <w:szCs w:val="20"/>
    </w:rPr>
  </w:style>
  <w:style w:type="paragraph" w:customStyle="1" w:styleId="OutlineNumbered2">
    <w:name w:val="Outline Numbered 2"/>
    <w:basedOn w:val="Normal"/>
    <w:link w:val="OutlineNumbered2Char"/>
    <w:rsid w:val="00BE6609"/>
    <w:pPr>
      <w:numPr>
        <w:ilvl w:val="1"/>
        <w:numId w:val="15"/>
      </w:numPr>
      <w:spacing w:before="0"/>
    </w:pPr>
  </w:style>
  <w:style w:type="character" w:customStyle="1" w:styleId="OutlineNumbered2Char">
    <w:name w:val="Outline Numbered 2 Char"/>
    <w:basedOn w:val="DefaultParagraphFont"/>
    <w:link w:val="OutlineNumbered2"/>
    <w:rsid w:val="00641522"/>
    <w:rPr>
      <w:rFonts w:ascii="Calibri Light" w:hAnsi="Calibri Light" w:cs="Times New Roman"/>
      <w:color w:val="auto"/>
      <w:sz w:val="22"/>
      <w:szCs w:val="20"/>
    </w:rPr>
  </w:style>
  <w:style w:type="paragraph" w:customStyle="1" w:styleId="OutlineNumbered3">
    <w:name w:val="Outline Numbered 3"/>
    <w:basedOn w:val="Normal"/>
    <w:link w:val="OutlineNumbered3Char"/>
    <w:rsid w:val="00BE6609"/>
    <w:pPr>
      <w:numPr>
        <w:ilvl w:val="2"/>
        <w:numId w:val="15"/>
      </w:numPr>
      <w:spacing w:before="0"/>
    </w:pPr>
  </w:style>
  <w:style w:type="character" w:customStyle="1" w:styleId="OutlineNumbered3Char">
    <w:name w:val="Outline Numbered 3 Char"/>
    <w:basedOn w:val="DefaultParagraphFont"/>
    <w:link w:val="OutlineNumbered3"/>
    <w:rsid w:val="00641522"/>
    <w:rPr>
      <w:rFonts w:ascii="Calibri Light" w:hAnsi="Calibri Light" w:cs="Times New Roman"/>
      <w:color w:val="auto"/>
      <w:sz w:val="22"/>
      <w:szCs w:val="20"/>
    </w:rPr>
  </w:style>
  <w:style w:type="paragraph" w:customStyle="1" w:styleId="TableTextLeft">
    <w:name w:val="Table Text Left"/>
    <w:basedOn w:val="TableTextRight"/>
    <w:rsid w:val="00BE6609"/>
    <w:pPr>
      <w:jc w:val="left"/>
    </w:pPr>
  </w:style>
  <w:style w:type="paragraph" w:customStyle="1" w:styleId="NoNumPlain1">
    <w:name w:val="NoNum Plain1"/>
    <w:basedOn w:val="Normal"/>
    <w:uiPriority w:val="2"/>
    <w:qFormat/>
    <w:rsid w:val="009C0DB6"/>
    <w:pPr>
      <w:spacing w:after="240"/>
    </w:pPr>
    <w:rPr>
      <w:rFonts w:ascii="Times New Roman" w:hAnsi="Times New Roman"/>
      <w:lang w:eastAsia="en-US"/>
    </w:rPr>
  </w:style>
  <w:style w:type="paragraph" w:styleId="NormalWeb">
    <w:name w:val="Normal (Web)"/>
    <w:basedOn w:val="Normal"/>
    <w:uiPriority w:val="99"/>
    <w:unhideWhenUsed/>
    <w:rsid w:val="0016633E"/>
    <w:pPr>
      <w:spacing w:after="150" w:line="312" w:lineRule="atLeast"/>
    </w:pPr>
    <w:rPr>
      <w:rFonts w:ascii="Times New Roman" w:hAnsi="Times New Roman"/>
      <w:szCs w:val="24"/>
    </w:rPr>
  </w:style>
  <w:style w:type="paragraph" w:customStyle="1" w:styleId="Crest">
    <w:name w:val="Crest"/>
    <w:basedOn w:val="Normal"/>
    <w:rsid w:val="002B3D32"/>
    <w:pPr>
      <w:tabs>
        <w:tab w:val="center" w:pos="4820"/>
      </w:tabs>
      <w:jc w:val="center"/>
    </w:pPr>
    <w:rPr>
      <w:rFonts w:ascii="Helvetica" w:hAnsi="Helvetica" w:cs="Helvetica"/>
      <w:sz w:val="48"/>
      <w:szCs w:val="48"/>
    </w:rPr>
  </w:style>
  <w:style w:type="paragraph" w:customStyle="1" w:styleId="SingleParagraph">
    <w:name w:val="Single Paragraph"/>
    <w:basedOn w:val="Normal"/>
    <w:next w:val="Normal"/>
    <w:link w:val="SingleParagraphChar"/>
    <w:rsid w:val="00BE6609"/>
    <w:pPr>
      <w:spacing w:before="0" w:after="0"/>
    </w:pPr>
  </w:style>
  <w:style w:type="paragraph" w:customStyle="1" w:styleId="TableGraphic">
    <w:name w:val="Table Graphic"/>
    <w:basedOn w:val="HeadingBase"/>
    <w:next w:val="Normal"/>
    <w:rsid w:val="00BE6609"/>
    <w:pPr>
      <w:spacing w:after="0"/>
    </w:pPr>
  </w:style>
  <w:style w:type="paragraph" w:styleId="BodyText">
    <w:name w:val="Body Text"/>
    <w:basedOn w:val="Normal"/>
    <w:link w:val="BodyTextChar"/>
    <w:uiPriority w:val="1"/>
    <w:qFormat/>
    <w:rsid w:val="00C67571"/>
    <w:pPr>
      <w:widowControl w:val="0"/>
      <w:autoSpaceDE w:val="0"/>
      <w:autoSpaceDN w:val="0"/>
    </w:pPr>
    <w:rPr>
      <w:rFonts w:ascii="Calibri" w:eastAsia="Calibri" w:hAnsi="Calibri" w:cs="Calibri"/>
      <w:sz w:val="20"/>
      <w:lang w:val="en-US" w:eastAsia="en-US"/>
    </w:rPr>
  </w:style>
  <w:style w:type="character" w:customStyle="1" w:styleId="BodyTextChar">
    <w:name w:val="Body Text Char"/>
    <w:basedOn w:val="DefaultParagraphFont"/>
    <w:link w:val="BodyText"/>
    <w:uiPriority w:val="1"/>
    <w:rsid w:val="00C67571"/>
    <w:rPr>
      <w:rFonts w:ascii="Calibri" w:eastAsia="Calibri" w:hAnsi="Calibri" w:cs="Calibri"/>
      <w:color w:val="auto"/>
      <w:sz w:val="20"/>
      <w:lang w:val="en-US" w:eastAsia="en-US"/>
    </w:rPr>
  </w:style>
  <w:style w:type="character" w:customStyle="1" w:styleId="Heading2Char">
    <w:name w:val="Heading 2 Char"/>
    <w:basedOn w:val="DefaultParagraphFont"/>
    <w:link w:val="Heading2"/>
    <w:rsid w:val="000B66A2"/>
    <w:rPr>
      <w:rFonts w:ascii="Calibri" w:hAnsi="Calibri" w:cs="Arial"/>
      <w:iCs/>
      <w:color w:val="004853" w:themeColor="text2" w:themeShade="BF"/>
      <w:kern w:val="32"/>
      <w:sz w:val="36"/>
      <w:szCs w:val="28"/>
    </w:rPr>
  </w:style>
  <w:style w:type="paragraph" w:styleId="ListParagraph">
    <w:name w:val="List Paragraph"/>
    <w:basedOn w:val="Normal"/>
    <w:uiPriority w:val="34"/>
    <w:rsid w:val="00BE6609"/>
    <w:pPr>
      <w:ind w:left="720"/>
      <w:contextualSpacing/>
    </w:pPr>
  </w:style>
  <w:style w:type="character" w:customStyle="1" w:styleId="Heading4Char">
    <w:name w:val="Heading 4 Char"/>
    <w:basedOn w:val="DefaultParagraphFont"/>
    <w:link w:val="Heading4"/>
    <w:rsid w:val="00BE6609"/>
    <w:rPr>
      <w:rFonts w:ascii="Calibri Light" w:hAnsi="Calibri Light" w:cs="Arial"/>
      <w:color w:val="006170" w:themeColor="accent2"/>
      <w:kern w:val="32"/>
      <w:szCs w:val="26"/>
    </w:rPr>
  </w:style>
  <w:style w:type="character" w:customStyle="1" w:styleId="Heading3Char">
    <w:name w:val="Heading 3 Char"/>
    <w:basedOn w:val="DefaultParagraphFont"/>
    <w:link w:val="Heading3"/>
    <w:rsid w:val="00BD3CA4"/>
    <w:rPr>
      <w:rFonts w:ascii="Calibri" w:hAnsi="Calibri" w:cs="Arial"/>
      <w:bCs/>
      <w:color w:val="243B41" w:themeColor="accent1" w:themeShade="80"/>
      <w:kern w:val="32"/>
      <w:sz w:val="28"/>
      <w:szCs w:val="26"/>
    </w:rPr>
  </w:style>
  <w:style w:type="character" w:customStyle="1" w:styleId="Heading1Char">
    <w:name w:val="Heading 1 Char"/>
    <w:basedOn w:val="DefaultParagraphFont"/>
    <w:link w:val="Heading1"/>
    <w:rsid w:val="00BE6609"/>
    <w:rPr>
      <w:rFonts w:ascii="Calibri" w:hAnsi="Calibri" w:cs="Arial"/>
      <w:b/>
      <w:color w:val="006170" w:themeColor="accent3"/>
      <w:kern w:val="32"/>
      <w:sz w:val="44"/>
      <w:szCs w:val="36"/>
    </w:rPr>
  </w:style>
  <w:style w:type="character" w:customStyle="1" w:styleId="Heading5Char">
    <w:name w:val="Heading 5 Char"/>
    <w:basedOn w:val="DefaultParagraphFont"/>
    <w:link w:val="Heading5"/>
    <w:rsid w:val="00BE6609"/>
    <w:rPr>
      <w:rFonts w:asciiTheme="majorHAnsi" w:hAnsiTheme="majorHAnsi" w:cs="Arial"/>
      <w:b/>
      <w:iCs/>
      <w:color w:val="000000" w:themeColor="text1"/>
      <w:kern w:val="32"/>
      <w:sz w:val="22"/>
      <w:szCs w:val="36"/>
    </w:rPr>
  </w:style>
  <w:style w:type="paragraph" w:styleId="TOC1">
    <w:name w:val="toc 1"/>
    <w:basedOn w:val="Normal"/>
    <w:next w:val="Normal"/>
    <w:uiPriority w:val="39"/>
    <w:rsid w:val="00BE6609"/>
    <w:pPr>
      <w:keepNext/>
      <w:tabs>
        <w:tab w:val="right" w:leader="dot" w:pos="9072"/>
      </w:tabs>
      <w:spacing w:before="180" w:after="0"/>
      <w:ind w:right="-2"/>
    </w:pPr>
    <w:rPr>
      <w:b/>
      <w:noProof/>
      <w:color w:val="497783" w:themeColor="accent1"/>
      <w:szCs w:val="22"/>
    </w:rPr>
  </w:style>
  <w:style w:type="paragraph" w:styleId="TOC2">
    <w:name w:val="toc 2"/>
    <w:basedOn w:val="Normal"/>
    <w:next w:val="Normal"/>
    <w:uiPriority w:val="39"/>
    <w:rsid w:val="00CB7C46"/>
    <w:pPr>
      <w:keepNext/>
      <w:tabs>
        <w:tab w:val="right" w:leader="dot" w:pos="9072"/>
      </w:tabs>
      <w:spacing w:before="40" w:after="20"/>
      <w:ind w:right="-2"/>
    </w:pPr>
    <w:rPr>
      <w:noProof/>
      <w:color w:val="000000" w:themeColor="text1"/>
    </w:rPr>
  </w:style>
  <w:style w:type="paragraph" w:customStyle="1" w:styleId="TableParagraph">
    <w:name w:val="Table Paragraph"/>
    <w:basedOn w:val="Normal"/>
    <w:uiPriority w:val="1"/>
    <w:qFormat/>
    <w:rsid w:val="00C67571"/>
    <w:pPr>
      <w:widowControl w:val="0"/>
      <w:autoSpaceDE w:val="0"/>
      <w:autoSpaceDN w:val="0"/>
      <w:spacing w:before="74"/>
      <w:ind w:left="113"/>
    </w:pPr>
    <w:rPr>
      <w:rFonts w:ascii="Calibri" w:eastAsia="Calibri" w:hAnsi="Calibri" w:cs="Calibri"/>
      <w:szCs w:val="22"/>
      <w:lang w:val="en-US" w:eastAsia="en-US"/>
    </w:rPr>
  </w:style>
  <w:style w:type="paragraph" w:styleId="Header">
    <w:name w:val="header"/>
    <w:basedOn w:val="Normal"/>
    <w:link w:val="HeaderChar"/>
    <w:uiPriority w:val="99"/>
    <w:unhideWhenUsed/>
    <w:rsid w:val="00BE6609"/>
    <w:pPr>
      <w:keepNext/>
      <w:spacing w:before="0" w:after="0"/>
      <w:jc w:val="right"/>
    </w:pPr>
    <w:rPr>
      <w:color w:val="004A7F"/>
      <w:sz w:val="20"/>
    </w:rPr>
  </w:style>
  <w:style w:type="character" w:customStyle="1" w:styleId="HeaderChar">
    <w:name w:val="Header Char"/>
    <w:basedOn w:val="DefaultParagraphFont"/>
    <w:link w:val="Header"/>
    <w:uiPriority w:val="99"/>
    <w:rsid w:val="00BE6609"/>
    <w:rPr>
      <w:rFonts w:ascii="Calibri Light" w:hAnsi="Calibri Light" w:cs="Times New Roman"/>
      <w:color w:val="004A7F"/>
      <w:sz w:val="20"/>
      <w:szCs w:val="20"/>
    </w:rPr>
  </w:style>
  <w:style w:type="paragraph" w:styleId="Footer">
    <w:name w:val="footer"/>
    <w:basedOn w:val="Normal"/>
    <w:link w:val="FooterChar"/>
    <w:unhideWhenUsed/>
    <w:rsid w:val="00BE6609"/>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BE6609"/>
    <w:rPr>
      <w:rFonts w:ascii="Calibri Light" w:hAnsi="Calibri Light" w:cs="Times New Roman"/>
      <w:color w:val="002C47"/>
      <w:sz w:val="20"/>
      <w:szCs w:val="20"/>
    </w:rPr>
  </w:style>
  <w:style w:type="paragraph" w:customStyle="1" w:styleId="subsection">
    <w:name w:val="subsection"/>
    <w:basedOn w:val="Normal"/>
    <w:rsid w:val="009D5F61"/>
    <w:pPr>
      <w:spacing w:before="100" w:beforeAutospacing="1" w:after="100" w:afterAutospacing="1"/>
    </w:pPr>
    <w:rPr>
      <w:rFonts w:ascii="Times New Roman" w:hAnsi="Times New Roman"/>
      <w:szCs w:val="24"/>
    </w:rPr>
  </w:style>
  <w:style w:type="paragraph" w:customStyle="1" w:styleId="paragraph">
    <w:name w:val="paragraph"/>
    <w:basedOn w:val="Normal"/>
    <w:rsid w:val="009D5F61"/>
    <w:pPr>
      <w:spacing w:before="100" w:beforeAutospacing="1" w:after="100" w:afterAutospacing="1"/>
    </w:pPr>
    <w:rPr>
      <w:rFonts w:ascii="Times New Roman" w:hAnsi="Times New Roman"/>
      <w:szCs w:val="24"/>
    </w:rPr>
  </w:style>
  <w:style w:type="paragraph" w:customStyle="1" w:styleId="paragraphsub">
    <w:name w:val="paragraphsub"/>
    <w:basedOn w:val="Normal"/>
    <w:rsid w:val="009D5F61"/>
    <w:pPr>
      <w:spacing w:before="100" w:beforeAutospacing="1" w:after="100" w:afterAutospacing="1"/>
    </w:pPr>
    <w:rPr>
      <w:rFonts w:ascii="Times New Roman" w:hAnsi="Times New Roman"/>
      <w:szCs w:val="24"/>
    </w:rPr>
  </w:style>
  <w:style w:type="paragraph" w:customStyle="1" w:styleId="subsectionhead">
    <w:name w:val="subsectionhead"/>
    <w:basedOn w:val="Normal"/>
    <w:rsid w:val="009D5F61"/>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BE6609"/>
    <w:rPr>
      <w:i/>
      <w:iCs/>
    </w:rPr>
  </w:style>
  <w:style w:type="character" w:styleId="Strong">
    <w:name w:val="Strong"/>
    <w:basedOn w:val="DefaultParagraphFont"/>
    <w:uiPriority w:val="22"/>
    <w:qFormat/>
    <w:rsid w:val="00BE6609"/>
    <w:rPr>
      <w:b/>
      <w:bCs/>
    </w:rPr>
  </w:style>
  <w:style w:type="paragraph" w:customStyle="1" w:styleId="Default">
    <w:name w:val="Default"/>
    <w:rsid w:val="0007608B"/>
    <w:pPr>
      <w:autoSpaceDE w:val="0"/>
      <w:autoSpaceDN w:val="0"/>
      <w:adjustRightInd w:val="0"/>
    </w:pPr>
    <w:rPr>
      <w:rFonts w:ascii="Calibri" w:hAnsi="Calibri" w:cs="Calibri"/>
    </w:rPr>
  </w:style>
  <w:style w:type="character" w:styleId="Hyperlink">
    <w:name w:val="Hyperlink"/>
    <w:basedOn w:val="DefaultParagraphFont"/>
    <w:uiPriority w:val="99"/>
    <w:rsid w:val="001C6261"/>
    <w:rPr>
      <w:color w:val="006170" w:themeColor="text2"/>
      <w:u w:val="single"/>
    </w:rPr>
  </w:style>
  <w:style w:type="character" w:styleId="UnresolvedMention">
    <w:name w:val="Unresolved Mention"/>
    <w:basedOn w:val="DefaultParagraphFont"/>
    <w:uiPriority w:val="99"/>
    <w:semiHidden/>
    <w:unhideWhenUsed/>
    <w:rsid w:val="00E40F31"/>
    <w:rPr>
      <w:color w:val="605E5C"/>
      <w:shd w:val="clear" w:color="auto" w:fill="E1DFDD"/>
    </w:rPr>
  </w:style>
  <w:style w:type="character" w:styleId="FollowedHyperlink">
    <w:name w:val="FollowedHyperlink"/>
    <w:basedOn w:val="DefaultParagraphFont"/>
    <w:uiPriority w:val="99"/>
    <w:semiHidden/>
    <w:unhideWhenUsed/>
    <w:rsid w:val="00E40F31"/>
    <w:rPr>
      <w:color w:val="679DAA" w:themeColor="followedHyperlink"/>
      <w:u w:val="single"/>
    </w:rPr>
  </w:style>
  <w:style w:type="paragraph" w:styleId="FootnoteText">
    <w:name w:val="footnote text"/>
    <w:basedOn w:val="Normal"/>
    <w:link w:val="FootnoteTextChar"/>
    <w:uiPriority w:val="99"/>
    <w:rsid w:val="00BE6609"/>
    <w:pPr>
      <w:spacing w:before="0" w:after="0"/>
      <w:ind w:left="397" w:hanging="397"/>
    </w:pPr>
    <w:rPr>
      <w:sz w:val="20"/>
    </w:rPr>
  </w:style>
  <w:style w:type="character" w:customStyle="1" w:styleId="FootnoteTextChar">
    <w:name w:val="Footnote Text Char"/>
    <w:basedOn w:val="DefaultParagraphFont"/>
    <w:link w:val="FootnoteText"/>
    <w:uiPriority w:val="99"/>
    <w:rsid w:val="00BE6609"/>
    <w:rPr>
      <w:rFonts w:ascii="Calibri Light" w:hAnsi="Calibri Light" w:cs="Times New Roman"/>
      <w:color w:val="auto"/>
      <w:sz w:val="20"/>
      <w:szCs w:val="20"/>
    </w:rPr>
  </w:style>
  <w:style w:type="character" w:styleId="FootnoteReference">
    <w:name w:val="footnote reference"/>
    <w:basedOn w:val="DefaultParagraphFont"/>
    <w:uiPriority w:val="99"/>
    <w:rsid w:val="00BE6609"/>
    <w:rPr>
      <w:sz w:val="18"/>
    </w:rPr>
  </w:style>
  <w:style w:type="table" w:styleId="GridTable3-Accent1">
    <w:name w:val="Grid Table 3 Accent 1"/>
    <w:basedOn w:val="TableNormal"/>
    <w:uiPriority w:val="48"/>
    <w:rsid w:val="004515D8"/>
    <w:rPr>
      <w:rFonts w:asciiTheme="minorHAnsi" w:eastAsiaTheme="minorHAnsi" w:hAnsiTheme="minorHAnsi" w:cstheme="minorBidi"/>
      <w:color w:val="auto"/>
      <w:sz w:val="22"/>
      <w:szCs w:val="22"/>
      <w:lang w:eastAsia="en-US"/>
    </w:rPr>
    <w:tblPr>
      <w:tblStyleRowBandSize w:val="1"/>
      <w:tblStyleColBandSize w:val="1"/>
      <w:tblInd w:w="0" w:type="nil"/>
      <w:tblBorders>
        <w:top w:val="single" w:sz="4" w:space="0" w:color="89B2BD" w:themeColor="accent1" w:themeTint="99"/>
        <w:left w:val="single" w:sz="4" w:space="0" w:color="89B2BD" w:themeColor="accent1" w:themeTint="99"/>
        <w:bottom w:val="single" w:sz="4" w:space="0" w:color="89B2BD" w:themeColor="accent1" w:themeTint="99"/>
        <w:right w:val="single" w:sz="4" w:space="0" w:color="89B2BD" w:themeColor="accent1" w:themeTint="99"/>
        <w:insideH w:val="single" w:sz="4" w:space="0" w:color="89B2BD" w:themeColor="accent1" w:themeTint="99"/>
        <w:insideV w:val="single" w:sz="4" w:space="0" w:color="89B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5E9" w:themeFill="accent1" w:themeFillTint="33"/>
      </w:tcPr>
    </w:tblStylePr>
    <w:tblStylePr w:type="band1Horz">
      <w:tblPr/>
      <w:tcPr>
        <w:shd w:val="clear" w:color="auto" w:fill="D7E5E9" w:themeFill="accent1" w:themeFillTint="33"/>
      </w:tcPr>
    </w:tblStylePr>
    <w:tblStylePr w:type="neCell">
      <w:tblPr/>
      <w:tcPr>
        <w:tcBorders>
          <w:bottom w:val="single" w:sz="4" w:space="0" w:color="89B2BD" w:themeColor="accent1" w:themeTint="99"/>
        </w:tcBorders>
      </w:tcPr>
    </w:tblStylePr>
    <w:tblStylePr w:type="nwCell">
      <w:tblPr/>
      <w:tcPr>
        <w:tcBorders>
          <w:bottom w:val="single" w:sz="4" w:space="0" w:color="89B2BD" w:themeColor="accent1" w:themeTint="99"/>
        </w:tcBorders>
      </w:tcPr>
    </w:tblStylePr>
    <w:tblStylePr w:type="seCell">
      <w:tblPr/>
      <w:tcPr>
        <w:tcBorders>
          <w:top w:val="single" w:sz="4" w:space="0" w:color="89B2BD" w:themeColor="accent1" w:themeTint="99"/>
        </w:tcBorders>
      </w:tcPr>
    </w:tblStylePr>
    <w:tblStylePr w:type="swCell">
      <w:tblPr/>
      <w:tcPr>
        <w:tcBorders>
          <w:top w:val="single" w:sz="4" w:space="0" w:color="89B2BD" w:themeColor="accent1" w:themeTint="99"/>
        </w:tcBorders>
      </w:tcPr>
    </w:tblStylePr>
  </w:style>
  <w:style w:type="character" w:customStyle="1" w:styleId="ui-provider">
    <w:name w:val="ui-provider"/>
    <w:basedOn w:val="DefaultParagraphFont"/>
    <w:rsid w:val="00A50ECA"/>
  </w:style>
  <w:style w:type="paragraph" w:styleId="TOCHeading">
    <w:name w:val="TOC Heading"/>
    <w:basedOn w:val="Heading1"/>
    <w:next w:val="Normal"/>
    <w:uiPriority w:val="39"/>
    <w:unhideWhenUsed/>
    <w:qFormat/>
    <w:rsid w:val="00CB7C46"/>
    <w:pPr>
      <w:keepLines/>
      <w:spacing w:before="240" w:line="259" w:lineRule="auto"/>
      <w:outlineLvl w:val="9"/>
    </w:pPr>
    <w:rPr>
      <w:rFonts w:asciiTheme="minorHAnsi" w:eastAsiaTheme="majorEastAsia" w:hAnsiTheme="minorHAnsi" w:cstheme="majorBidi"/>
      <w:color w:val="006170" w:themeColor="text2"/>
      <w:szCs w:val="32"/>
    </w:rPr>
  </w:style>
  <w:style w:type="character" w:customStyle="1" w:styleId="normaltextrun">
    <w:name w:val="normaltextrun"/>
    <w:basedOn w:val="DefaultParagraphFont"/>
    <w:rsid w:val="00BA2616"/>
  </w:style>
  <w:style w:type="paragraph" w:styleId="EndnoteText">
    <w:name w:val="endnote text"/>
    <w:basedOn w:val="Normal"/>
    <w:link w:val="EndnoteTextChar"/>
    <w:uiPriority w:val="99"/>
    <w:semiHidden/>
    <w:unhideWhenUsed/>
    <w:rsid w:val="006D282D"/>
    <w:rPr>
      <w:sz w:val="20"/>
    </w:rPr>
  </w:style>
  <w:style w:type="character" w:customStyle="1" w:styleId="EndnoteTextChar">
    <w:name w:val="Endnote Text Char"/>
    <w:basedOn w:val="DefaultParagraphFont"/>
    <w:link w:val="EndnoteText"/>
    <w:uiPriority w:val="99"/>
    <w:semiHidden/>
    <w:rsid w:val="006D282D"/>
    <w:rPr>
      <w:sz w:val="20"/>
    </w:rPr>
  </w:style>
  <w:style w:type="character" w:styleId="EndnoteReference">
    <w:name w:val="endnote reference"/>
    <w:basedOn w:val="DefaultParagraphFont"/>
    <w:uiPriority w:val="99"/>
    <w:semiHidden/>
    <w:unhideWhenUsed/>
    <w:rsid w:val="006D282D"/>
    <w:rPr>
      <w:vertAlign w:val="superscript"/>
    </w:rPr>
  </w:style>
  <w:style w:type="character" w:customStyle="1" w:styleId="eop">
    <w:name w:val="eop"/>
    <w:basedOn w:val="DefaultParagraphFont"/>
    <w:rsid w:val="00E9404D"/>
  </w:style>
  <w:style w:type="paragraph" w:customStyle="1" w:styleId="TableText">
    <w:name w:val="Table Text"/>
    <w:basedOn w:val="Normal"/>
    <w:qFormat/>
    <w:rsid w:val="00262C0F"/>
    <w:pPr>
      <w:suppressAutoHyphens/>
      <w:spacing w:before="60" w:after="60" w:line="280" w:lineRule="atLeast"/>
    </w:pPr>
    <w:rPr>
      <w:rFonts w:asciiTheme="minorHAnsi" w:eastAsiaTheme="minorHAnsi" w:hAnsiTheme="minorHAnsi" w:cstheme="minorBidi"/>
      <w:sz w:val="18"/>
      <w:szCs w:val="22"/>
      <w:lang w:eastAsia="en-US"/>
    </w:rPr>
  </w:style>
  <w:style w:type="numbering" w:customStyle="1" w:styleId="BulletedList">
    <w:name w:val="Bulleted List"/>
    <w:uiPriority w:val="99"/>
    <w:rsid w:val="00BE6609"/>
    <w:pPr>
      <w:numPr>
        <w:numId w:val="5"/>
      </w:numPr>
    </w:pPr>
  </w:style>
  <w:style w:type="numbering" w:customStyle="1" w:styleId="BoxBulletedList">
    <w:name w:val="Box Bulleted List"/>
    <w:uiPriority w:val="99"/>
    <w:rsid w:val="00BE6609"/>
    <w:pPr>
      <w:numPr>
        <w:numId w:val="6"/>
      </w:numPr>
    </w:pPr>
  </w:style>
  <w:style w:type="paragraph" w:customStyle="1" w:styleId="ParaPlain">
    <w:name w:val="ParaPlain"/>
    <w:basedOn w:val="Normal"/>
    <w:link w:val="ParaPlainChar"/>
    <w:qFormat/>
    <w:rsid w:val="009527A2"/>
    <w:pPr>
      <w:spacing w:after="240" w:line="240" w:lineRule="exact"/>
    </w:pPr>
    <w:rPr>
      <w:rFonts w:ascii="Arial" w:eastAsia="SimSun" w:hAnsi="Arial"/>
      <w:sz w:val="20"/>
      <w:szCs w:val="24"/>
      <w:lang w:eastAsia="en-US"/>
    </w:rPr>
  </w:style>
  <w:style w:type="character" w:customStyle="1" w:styleId="ParaPlainChar">
    <w:name w:val="ParaPlain Char"/>
    <w:basedOn w:val="DefaultParagraphFont"/>
    <w:link w:val="ParaPlain"/>
    <w:rsid w:val="009527A2"/>
    <w:rPr>
      <w:rFonts w:ascii="Arial" w:eastAsia="SimSun" w:hAnsi="Arial" w:cs="Times New Roman"/>
      <w:color w:val="auto"/>
      <w:sz w:val="20"/>
      <w:szCs w:val="24"/>
      <w:lang w:eastAsia="en-US"/>
    </w:rPr>
  </w:style>
  <w:style w:type="character" w:styleId="Mention">
    <w:name w:val="Mention"/>
    <w:basedOn w:val="DefaultParagraphFont"/>
    <w:uiPriority w:val="99"/>
    <w:unhideWhenUsed/>
    <w:rsid w:val="00FB23FF"/>
    <w:rPr>
      <w:color w:val="2B579A"/>
      <w:shd w:val="clear" w:color="auto" w:fill="E1DFDD"/>
    </w:rPr>
  </w:style>
  <w:style w:type="character" w:customStyle="1" w:styleId="Heading6Char">
    <w:name w:val="Heading 6 Char"/>
    <w:basedOn w:val="DefaultParagraphFont"/>
    <w:link w:val="Heading6"/>
    <w:rsid w:val="00BE6609"/>
    <w:rPr>
      <w:rFonts w:ascii="Calibri Light" w:hAnsi="Calibri Light" w:cs="Arial"/>
      <w:color w:val="000000" w:themeColor="text1"/>
      <w:kern w:val="32"/>
      <w:sz w:val="22"/>
      <w:szCs w:val="22"/>
    </w:rPr>
  </w:style>
  <w:style w:type="paragraph" w:customStyle="1" w:styleId="ChartGraphic">
    <w:name w:val="Chart Graphic"/>
    <w:basedOn w:val="Normal"/>
    <w:next w:val="Normal"/>
    <w:rsid w:val="00BE6609"/>
    <w:pPr>
      <w:keepNext/>
      <w:spacing w:before="0" w:after="0"/>
      <w:jc w:val="center"/>
    </w:pPr>
    <w:rPr>
      <w:color w:val="004A7F"/>
      <w:sz w:val="20"/>
    </w:rPr>
  </w:style>
  <w:style w:type="paragraph" w:customStyle="1" w:styleId="AlphaParagraph">
    <w:name w:val="Alpha Paragraph"/>
    <w:basedOn w:val="Normal"/>
    <w:qFormat/>
    <w:rsid w:val="00BE6609"/>
    <w:pPr>
      <w:numPr>
        <w:ilvl w:val="1"/>
        <w:numId w:val="18"/>
      </w:numPr>
      <w:spacing w:before="0"/>
    </w:pPr>
  </w:style>
  <w:style w:type="paragraph" w:customStyle="1" w:styleId="BoxHeading">
    <w:name w:val="Box Heading"/>
    <w:basedOn w:val="Normal"/>
    <w:next w:val="Normal"/>
    <w:rsid w:val="00BE6609"/>
    <w:pPr>
      <w:keepNext/>
      <w:spacing w:before="240"/>
    </w:pPr>
    <w:rPr>
      <w:b/>
      <w:color w:val="497783" w:themeColor="accent1"/>
      <w:sz w:val="26"/>
      <w:szCs w:val="26"/>
    </w:rPr>
  </w:style>
  <w:style w:type="paragraph" w:customStyle="1" w:styleId="BoxText">
    <w:name w:val="Box Text"/>
    <w:basedOn w:val="Normal"/>
    <w:link w:val="BoxTextChar"/>
    <w:rsid w:val="00BE6609"/>
  </w:style>
  <w:style w:type="paragraph" w:customStyle="1" w:styleId="ChartandTableFootnoteAlpha">
    <w:name w:val="Chart and Table Footnote Alpha"/>
    <w:rsid w:val="00BE6609"/>
    <w:pPr>
      <w:numPr>
        <w:numId w:val="19"/>
      </w:numPr>
      <w:jc w:val="both"/>
    </w:pPr>
    <w:rPr>
      <w:rFonts w:ascii="Calibri" w:hAnsi="Calibri" w:cs="Times New Roman"/>
      <w:sz w:val="18"/>
      <w:szCs w:val="16"/>
    </w:rPr>
  </w:style>
  <w:style w:type="paragraph" w:customStyle="1" w:styleId="ChartMainHeading">
    <w:name w:val="Chart Main Heading"/>
    <w:basedOn w:val="TableMainHeading"/>
    <w:next w:val="ChartGraphic"/>
    <w:rsid w:val="00BE6609"/>
    <w:pPr>
      <w:jc w:val="center"/>
    </w:pPr>
  </w:style>
  <w:style w:type="paragraph" w:customStyle="1" w:styleId="ChartorTableNote">
    <w:name w:val="Chart or Table Note"/>
    <w:next w:val="Normal"/>
    <w:rsid w:val="00BE6609"/>
    <w:pPr>
      <w:jc w:val="both"/>
    </w:pPr>
    <w:rPr>
      <w:rFonts w:ascii="Calibri" w:hAnsi="Calibri" w:cs="Times New Roman"/>
      <w:sz w:val="18"/>
      <w:szCs w:val="20"/>
    </w:rPr>
  </w:style>
  <w:style w:type="paragraph" w:customStyle="1" w:styleId="ChartSecondHeading">
    <w:name w:val="Chart Second Heading"/>
    <w:basedOn w:val="TableSecondHeading"/>
    <w:next w:val="ChartGraphic"/>
    <w:rsid w:val="00BE6609"/>
    <w:pPr>
      <w:jc w:val="center"/>
    </w:pPr>
    <w:rPr>
      <w:b w:val="0"/>
      <w:bCs/>
    </w:rPr>
  </w:style>
  <w:style w:type="paragraph" w:customStyle="1" w:styleId="ReportDate">
    <w:name w:val="Report Date"/>
    <w:basedOn w:val="Normal"/>
    <w:link w:val="ReportDateChar"/>
    <w:rsid w:val="00BE6609"/>
    <w:pPr>
      <w:keepNext/>
      <w:spacing w:before="0" w:after="360"/>
    </w:pPr>
    <w:rPr>
      <w:color w:val="90B6F0"/>
      <w:sz w:val="32"/>
    </w:rPr>
  </w:style>
  <w:style w:type="paragraph" w:customStyle="1" w:styleId="TableMainHeading">
    <w:name w:val="Table Main Heading"/>
    <w:basedOn w:val="Heading3"/>
    <w:next w:val="Normal"/>
    <w:rsid w:val="00BE6609"/>
    <w:pPr>
      <w:spacing w:before="120"/>
    </w:pPr>
    <w:rPr>
      <w:b/>
      <w:sz w:val="26"/>
    </w:rPr>
  </w:style>
  <w:style w:type="paragraph" w:customStyle="1" w:styleId="FooterEven">
    <w:name w:val="Footer Even"/>
    <w:basedOn w:val="Footer"/>
    <w:rsid w:val="00BE6609"/>
    <w:pPr>
      <w:keepNext/>
      <w:tabs>
        <w:tab w:val="clear" w:pos="4513"/>
        <w:tab w:val="clear" w:pos="9026"/>
        <w:tab w:val="right" w:pos="9072"/>
      </w:tabs>
      <w:jc w:val="left"/>
    </w:pPr>
    <w:rPr>
      <w:noProof/>
      <w:color w:val="497783" w:themeColor="accent1"/>
    </w:rPr>
  </w:style>
  <w:style w:type="paragraph" w:customStyle="1" w:styleId="FooterOdd">
    <w:name w:val="Footer Odd"/>
    <w:basedOn w:val="Footer"/>
    <w:rsid w:val="00BE6609"/>
    <w:pPr>
      <w:keepNext/>
      <w:tabs>
        <w:tab w:val="clear" w:pos="4513"/>
        <w:tab w:val="clear" w:pos="9026"/>
        <w:tab w:val="right" w:pos="9072"/>
      </w:tabs>
      <w:jc w:val="right"/>
    </w:pPr>
    <w:rPr>
      <w:color w:val="497783" w:themeColor="accent1"/>
    </w:rPr>
  </w:style>
  <w:style w:type="paragraph" w:customStyle="1" w:styleId="TableSecondHeading">
    <w:name w:val="Table Second Heading"/>
    <w:basedOn w:val="Normal"/>
    <w:next w:val="Normal"/>
    <w:rsid w:val="00BE5272"/>
    <w:pPr>
      <w:keepNext/>
      <w:spacing w:before="0" w:after="20"/>
    </w:pPr>
    <w:rPr>
      <w:b/>
      <w:color w:val="000000" w:themeColor="text1"/>
    </w:rPr>
  </w:style>
  <w:style w:type="paragraph" w:customStyle="1" w:styleId="TableColumnHeadingCentred">
    <w:name w:val="Table Column Heading Centred"/>
    <w:basedOn w:val="TableTextLeft"/>
    <w:rsid w:val="00610F4C"/>
    <w:pPr>
      <w:jc w:val="center"/>
    </w:pPr>
    <w:rPr>
      <w:b/>
      <w:color w:val="243B41" w:themeColor="accent1" w:themeShade="80"/>
      <w:sz w:val="20"/>
      <w:lang w:val="en-GB"/>
    </w:rPr>
  </w:style>
  <w:style w:type="paragraph" w:customStyle="1" w:styleId="TableColumnHeadingLeft">
    <w:name w:val="Table Column Heading Left"/>
    <w:basedOn w:val="TableTextLeft"/>
    <w:rsid w:val="00BE6609"/>
    <w:rPr>
      <w:b/>
      <w:color w:val="497783" w:themeColor="accent1"/>
      <w:sz w:val="20"/>
    </w:rPr>
  </w:style>
  <w:style w:type="paragraph" w:customStyle="1" w:styleId="TableColumnHeadingRight">
    <w:name w:val="Table Column Heading Right"/>
    <w:basedOn w:val="TableTextLeft"/>
    <w:rsid w:val="00BE6609"/>
    <w:pPr>
      <w:jc w:val="right"/>
    </w:pPr>
    <w:rPr>
      <w:b/>
      <w:color w:val="497783" w:themeColor="accent1"/>
      <w:sz w:val="20"/>
    </w:rPr>
  </w:style>
  <w:style w:type="paragraph" w:customStyle="1" w:styleId="TableTextCentered">
    <w:name w:val="Table Text Centered"/>
    <w:basedOn w:val="TableTextRight"/>
    <w:rsid w:val="00BE6609"/>
    <w:pPr>
      <w:jc w:val="center"/>
    </w:pPr>
  </w:style>
  <w:style w:type="paragraph" w:customStyle="1" w:styleId="TableTextRight">
    <w:name w:val="Table Text Right"/>
    <w:basedOn w:val="Normal"/>
    <w:rsid w:val="00BE6609"/>
    <w:pPr>
      <w:spacing w:before="40" w:after="40"/>
      <w:jc w:val="right"/>
    </w:pPr>
    <w:rPr>
      <w:color w:val="000000"/>
      <w:sz w:val="18"/>
    </w:rPr>
  </w:style>
  <w:style w:type="paragraph" w:styleId="TOC3">
    <w:name w:val="toc 3"/>
    <w:basedOn w:val="Normal"/>
    <w:next w:val="Normal"/>
    <w:uiPriority w:val="39"/>
    <w:rsid w:val="00BE6609"/>
    <w:pPr>
      <w:tabs>
        <w:tab w:val="right" w:leader="dot" w:pos="9072"/>
      </w:tabs>
      <w:spacing w:before="20" w:after="0"/>
      <w:ind w:left="284" w:right="-2"/>
    </w:pPr>
    <w:rPr>
      <w:rFonts w:cs="Calibri"/>
      <w:noProof/>
    </w:rPr>
  </w:style>
  <w:style w:type="numbering" w:customStyle="1" w:styleId="OutlineList">
    <w:name w:val="OutlineList"/>
    <w:uiPriority w:val="99"/>
    <w:rsid w:val="00BE6609"/>
    <w:pPr>
      <w:numPr>
        <w:numId w:val="14"/>
      </w:numPr>
    </w:pPr>
  </w:style>
  <w:style w:type="numbering" w:customStyle="1" w:styleId="OneLevelList">
    <w:name w:val="OneLevelList"/>
    <w:uiPriority w:val="99"/>
    <w:rsid w:val="00BE6609"/>
    <w:pPr>
      <w:numPr>
        <w:numId w:val="13"/>
      </w:numPr>
    </w:pPr>
  </w:style>
  <w:style w:type="numbering" w:customStyle="1" w:styleId="ChartandTableFootnoteAlphaList">
    <w:name w:val="ChartandTableFootnoteAlphaList"/>
    <w:uiPriority w:val="99"/>
    <w:rsid w:val="00BE6609"/>
    <w:pPr>
      <w:numPr>
        <w:numId w:val="19"/>
      </w:numPr>
    </w:pPr>
  </w:style>
  <w:style w:type="paragraph" w:customStyle="1" w:styleId="Heading1Numbered">
    <w:name w:val="Heading 1 Numbered"/>
    <w:basedOn w:val="Heading1"/>
    <w:next w:val="Normal"/>
    <w:rsid w:val="00BE6609"/>
    <w:pPr>
      <w:numPr>
        <w:numId w:val="17"/>
      </w:numPr>
    </w:pPr>
  </w:style>
  <w:style w:type="character" w:customStyle="1" w:styleId="SingleParagraphChar">
    <w:name w:val="Single Paragraph Char"/>
    <w:basedOn w:val="DefaultParagraphFont"/>
    <w:link w:val="SingleParagraph"/>
    <w:rsid w:val="00BE6609"/>
    <w:rPr>
      <w:rFonts w:ascii="Calibri Light" w:hAnsi="Calibri Light" w:cs="Times New Roman"/>
      <w:color w:val="auto"/>
      <w:sz w:val="22"/>
      <w:szCs w:val="20"/>
    </w:rPr>
  </w:style>
  <w:style w:type="paragraph" w:customStyle="1" w:styleId="Heading2Numbered">
    <w:name w:val="Heading 2 Numbered"/>
    <w:basedOn w:val="Heading2"/>
    <w:next w:val="Normal"/>
    <w:rsid w:val="00BE6609"/>
    <w:pPr>
      <w:numPr>
        <w:ilvl w:val="1"/>
        <w:numId w:val="17"/>
      </w:numPr>
      <w:ind w:left="284" w:hanging="284"/>
    </w:pPr>
  </w:style>
  <w:style w:type="paragraph" w:customStyle="1" w:styleId="Heading3Numbered">
    <w:name w:val="Heading 3 Numbered"/>
    <w:basedOn w:val="Heading3"/>
    <w:rsid w:val="00BE6609"/>
    <w:pPr>
      <w:numPr>
        <w:ilvl w:val="2"/>
        <w:numId w:val="17"/>
      </w:numPr>
      <w:ind w:left="284" w:hanging="284"/>
    </w:pPr>
  </w:style>
  <w:style w:type="paragraph" w:styleId="Title">
    <w:name w:val="Title"/>
    <w:basedOn w:val="Normal"/>
    <w:next w:val="Normal"/>
    <w:link w:val="TitleChar"/>
    <w:uiPriority w:val="10"/>
    <w:rsid w:val="00BE6609"/>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BE6609"/>
    <w:rPr>
      <w:rFonts w:ascii="Calibri Light" w:eastAsiaTheme="majorEastAsia" w:hAnsi="Calibri Light" w:cstheme="majorBidi"/>
      <w:b/>
      <w:color w:val="FFFFFF" w:themeColor="background1"/>
      <w:spacing w:val="5"/>
      <w:kern w:val="28"/>
      <w:sz w:val="72"/>
      <w:szCs w:val="52"/>
    </w:rPr>
  </w:style>
  <w:style w:type="paragraph" w:styleId="Subtitle">
    <w:name w:val="Subtitle"/>
    <w:basedOn w:val="Normal"/>
    <w:next w:val="Normal"/>
    <w:link w:val="SubtitleChar"/>
    <w:uiPriority w:val="11"/>
    <w:rsid w:val="00BE660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BE6609"/>
    <w:rPr>
      <w:rFonts w:ascii="Calibri Light" w:eastAsiaTheme="majorEastAsia" w:hAnsi="Calibri Light" w:cstheme="majorBidi"/>
      <w:iCs/>
      <w:color w:val="EEEEEE"/>
      <w:sz w:val="44"/>
      <w:szCs w:val="44"/>
    </w:rPr>
  </w:style>
  <w:style w:type="character" w:styleId="SubtleEmphasis">
    <w:name w:val="Subtle Emphasis"/>
    <w:basedOn w:val="DefaultParagraphFont"/>
    <w:uiPriority w:val="19"/>
    <w:rsid w:val="00BE6609"/>
    <w:rPr>
      <w:i/>
      <w:iCs/>
      <w:color w:val="808080" w:themeColor="text1" w:themeTint="7F"/>
    </w:rPr>
  </w:style>
  <w:style w:type="character" w:styleId="PlaceholderText">
    <w:name w:val="Placeholder Text"/>
    <w:basedOn w:val="DefaultParagraphFont"/>
    <w:uiPriority w:val="99"/>
    <w:semiHidden/>
    <w:rsid w:val="00BE6609"/>
    <w:rPr>
      <w:color w:val="808080"/>
    </w:rPr>
  </w:style>
  <w:style w:type="paragraph" w:customStyle="1" w:styleId="AppendixHeading">
    <w:name w:val="Appendix Heading"/>
    <w:basedOn w:val="Heading1"/>
    <w:next w:val="Normal"/>
    <w:rsid w:val="00BE6609"/>
  </w:style>
  <w:style w:type="paragraph" w:customStyle="1" w:styleId="HeadingBase">
    <w:name w:val="Heading Base"/>
    <w:rsid w:val="00BE6609"/>
    <w:pPr>
      <w:keepNext/>
      <w:spacing w:after="120"/>
    </w:pPr>
    <w:rPr>
      <w:rFonts w:ascii="Calibri" w:hAnsi="Calibri" w:cs="Arial"/>
      <w:bCs/>
      <w:color w:val="002C4A"/>
      <w:kern w:val="32"/>
      <w:sz w:val="48"/>
      <w:szCs w:val="36"/>
    </w:rPr>
  </w:style>
  <w:style w:type="character" w:customStyle="1" w:styleId="ReportDateChar">
    <w:name w:val="Report Date Char"/>
    <w:basedOn w:val="DefaultParagraphFont"/>
    <w:link w:val="ReportDate"/>
    <w:rsid w:val="00BE6609"/>
    <w:rPr>
      <w:rFonts w:ascii="Calibri Light" w:hAnsi="Calibri Light" w:cs="Times New Roman"/>
      <w:color w:val="90B6F0"/>
      <w:sz w:val="32"/>
      <w:szCs w:val="20"/>
    </w:rPr>
  </w:style>
  <w:style w:type="paragraph" w:customStyle="1" w:styleId="NotesHeading">
    <w:name w:val="Notes Heading"/>
    <w:basedOn w:val="Normal"/>
    <w:rsid w:val="00BE6609"/>
    <w:pPr>
      <w:keepNext/>
      <w:spacing w:before="240" w:after="360"/>
      <w:jc w:val="center"/>
    </w:pPr>
    <w:rPr>
      <w:rFonts w:ascii="Century Gothic" w:hAnsi="Century Gothic"/>
      <w:smallCaps/>
      <w:color w:val="006170" w:themeColor="text2"/>
      <w:sz w:val="36"/>
      <w:szCs w:val="36"/>
    </w:rPr>
  </w:style>
  <w:style w:type="paragraph" w:customStyle="1" w:styleId="TableTextIndented">
    <w:name w:val="Table Text Indented"/>
    <w:basedOn w:val="TableTextLeft"/>
    <w:rsid w:val="00BE6609"/>
    <w:pPr>
      <w:ind w:left="284"/>
    </w:pPr>
  </w:style>
  <w:style w:type="paragraph" w:customStyle="1" w:styleId="TableHeadingContinued">
    <w:name w:val="Table Heading Continued"/>
    <w:basedOn w:val="TableMainHeading"/>
    <w:next w:val="TableGraphic"/>
    <w:rsid w:val="00BE6609"/>
  </w:style>
  <w:style w:type="paragraph" w:customStyle="1" w:styleId="HeaderEven">
    <w:name w:val="Header Even"/>
    <w:basedOn w:val="Header"/>
    <w:qFormat/>
    <w:rsid w:val="00BE6609"/>
    <w:pPr>
      <w:jc w:val="left"/>
    </w:pPr>
    <w:rPr>
      <w:color w:val="002C47"/>
    </w:rPr>
  </w:style>
  <w:style w:type="paragraph" w:customStyle="1" w:styleId="HeaderOdd">
    <w:name w:val="Header Odd"/>
    <w:basedOn w:val="Header"/>
    <w:qFormat/>
    <w:rsid w:val="00BE6609"/>
    <w:rPr>
      <w:color w:val="002C47"/>
    </w:rPr>
  </w:style>
  <w:style w:type="character" w:customStyle="1" w:styleId="BoxTextChar">
    <w:name w:val="Box Text Char"/>
    <w:basedOn w:val="DefaultParagraphFont"/>
    <w:link w:val="BoxText"/>
    <w:locked/>
    <w:rsid w:val="00BE6609"/>
    <w:rPr>
      <w:rFonts w:ascii="Calibri Light" w:hAnsi="Calibri Light" w:cs="Times New Roman"/>
      <w:color w:val="auto"/>
      <w:sz w:val="22"/>
      <w:szCs w:val="20"/>
    </w:rPr>
  </w:style>
  <w:style w:type="paragraph" w:customStyle="1" w:styleId="Boxbullet">
    <w:name w:val="Box bullet"/>
    <w:basedOn w:val="Bullet"/>
    <w:rsid w:val="00BE6609"/>
    <w:pPr>
      <w:numPr>
        <w:numId w:val="33"/>
      </w:numPr>
      <w:tabs>
        <w:tab w:val="clear" w:pos="283"/>
        <w:tab w:val="num" w:pos="284"/>
        <w:tab w:val="num" w:pos="520"/>
      </w:tabs>
      <w:spacing w:before="60"/>
    </w:pPr>
    <w:rPr>
      <w:color w:val="0D0D0D" w:themeColor="text1" w:themeTint="F2"/>
    </w:rPr>
  </w:style>
  <w:style w:type="paragraph" w:customStyle="1" w:styleId="Boxdash">
    <w:name w:val="Box dash"/>
    <w:basedOn w:val="Dash"/>
    <w:rsid w:val="00BE6609"/>
    <w:pPr>
      <w:numPr>
        <w:numId w:val="33"/>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BE6609"/>
    <w:pPr>
      <w:numPr>
        <w:numId w:val="33"/>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6609"/>
    <w:pPr>
      <w:shd w:val="clear" w:color="auto" w:fill="FFFF00"/>
      <w:ind w:left="170" w:hanging="170"/>
    </w:pPr>
    <w:rPr>
      <w:rFonts w:asciiTheme="minorHAnsi" w:hAnsiTheme="minorHAnsi"/>
      <w:sz w:val="20"/>
      <w:szCs w:val="24"/>
    </w:rPr>
  </w:style>
  <w:style w:type="paragraph" w:customStyle="1" w:styleId="SecurityClassificationHeader">
    <w:name w:val="Security Classification Header"/>
    <w:link w:val="SecurityClassificationHeaderChar"/>
    <w:rsid w:val="00BE6609"/>
    <w:pPr>
      <w:spacing w:before="360" w:after="60" w:line="259" w:lineRule="auto"/>
      <w:jc w:val="center"/>
    </w:pPr>
    <w:rPr>
      <w:rFonts w:ascii="Calibri" w:hAnsi="Calibri" w:cs="Calibri"/>
      <w:b/>
      <w:color w:val="FF0000"/>
      <w:sz w:val="20"/>
      <w:szCs w:val="20"/>
    </w:rPr>
  </w:style>
  <w:style w:type="character" w:customStyle="1" w:styleId="SecurityClassificationHeaderChar">
    <w:name w:val="Security Classification Header Char"/>
    <w:basedOn w:val="HeaderChar"/>
    <w:link w:val="SecurityClassificationHeader"/>
    <w:rsid w:val="00BE6609"/>
    <w:rPr>
      <w:rFonts w:ascii="Calibri" w:hAnsi="Calibri" w:cs="Calibri"/>
      <w:b/>
      <w:color w:val="FF0000"/>
      <w:sz w:val="20"/>
      <w:szCs w:val="20"/>
    </w:rPr>
  </w:style>
  <w:style w:type="paragraph" w:customStyle="1" w:styleId="SecurityClassificationFooter">
    <w:name w:val="Security Classification Footer"/>
    <w:link w:val="SecurityClassificationFooterChar"/>
    <w:rsid w:val="00BE6609"/>
    <w:pPr>
      <w:spacing w:before="360" w:after="60" w:line="259" w:lineRule="auto"/>
      <w:jc w:val="center"/>
    </w:pPr>
    <w:rPr>
      <w:rFonts w:ascii="Calibri" w:hAnsi="Calibri" w:cs="Calibri"/>
      <w:b/>
      <w:color w:val="FF0000"/>
      <w:sz w:val="20"/>
      <w:szCs w:val="20"/>
    </w:rPr>
  </w:style>
  <w:style w:type="character" w:customStyle="1" w:styleId="SecurityClassificationFooterChar">
    <w:name w:val="Security Classification Footer Char"/>
    <w:basedOn w:val="HeaderChar"/>
    <w:link w:val="SecurityClassificationFooter"/>
    <w:rsid w:val="00BE6609"/>
    <w:rPr>
      <w:rFonts w:ascii="Calibri" w:hAnsi="Calibri" w:cs="Calibri"/>
      <w:b/>
      <w:color w:val="FF0000"/>
      <w:sz w:val="20"/>
      <w:szCs w:val="20"/>
    </w:rPr>
  </w:style>
  <w:style w:type="paragraph" w:customStyle="1" w:styleId="DLMSecurityHeader">
    <w:name w:val="DLM Security Header"/>
    <w:link w:val="DLMSecurityHeaderChar"/>
    <w:rsid w:val="00BE6609"/>
    <w:pPr>
      <w:spacing w:before="60" w:after="240" w:line="259" w:lineRule="auto"/>
      <w:jc w:val="center"/>
    </w:pPr>
    <w:rPr>
      <w:rFonts w:ascii="Calibri" w:hAnsi="Calibri" w:cs="Calibri"/>
      <w:b/>
      <w:color w:val="FF0000"/>
      <w:sz w:val="20"/>
      <w:szCs w:val="20"/>
    </w:rPr>
  </w:style>
  <w:style w:type="character" w:customStyle="1" w:styleId="DLMSecurityHeaderChar">
    <w:name w:val="DLM Security Header Char"/>
    <w:basedOn w:val="HeaderChar"/>
    <w:link w:val="DLMSecurityHeader"/>
    <w:rsid w:val="00BE6609"/>
    <w:rPr>
      <w:rFonts w:ascii="Calibri" w:hAnsi="Calibri" w:cs="Calibri"/>
      <w:b/>
      <w:color w:val="FF0000"/>
      <w:sz w:val="20"/>
      <w:szCs w:val="20"/>
    </w:rPr>
  </w:style>
  <w:style w:type="paragraph" w:customStyle="1" w:styleId="DLMSecurityFooter">
    <w:name w:val="DLM Security Footer"/>
    <w:link w:val="DLMSecurityFooterChar"/>
    <w:rsid w:val="00BE6609"/>
    <w:pPr>
      <w:spacing w:before="240" w:after="60" w:line="259" w:lineRule="auto"/>
      <w:jc w:val="center"/>
    </w:pPr>
    <w:rPr>
      <w:rFonts w:ascii="Calibri" w:hAnsi="Calibri" w:cs="Calibri"/>
      <w:b/>
      <w:color w:val="FF0000"/>
      <w:sz w:val="20"/>
      <w:szCs w:val="20"/>
    </w:rPr>
  </w:style>
  <w:style w:type="character" w:customStyle="1" w:styleId="DLMSecurityFooterChar">
    <w:name w:val="DLM Security Footer Char"/>
    <w:basedOn w:val="HeaderChar"/>
    <w:link w:val="DLMSecurityFooter"/>
    <w:rsid w:val="00BE6609"/>
    <w:rPr>
      <w:rFonts w:ascii="Calibri" w:hAnsi="Calibri" w:cs="Calibri"/>
      <w:b/>
      <w:color w:val="FF0000"/>
      <w:sz w:val="20"/>
      <w:szCs w:val="20"/>
    </w:rPr>
  </w:style>
  <w:style w:type="numbering" w:customStyle="1" w:styleId="ChartsandtableFootnoteAlphaBullets">
    <w:name w:val="Charts and table Footnote Alpha Bullets"/>
    <w:basedOn w:val="NoList"/>
    <w:uiPriority w:val="99"/>
    <w:rsid w:val="00BE5272"/>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5140">
      <w:bodyDiv w:val="1"/>
      <w:marLeft w:val="0"/>
      <w:marRight w:val="0"/>
      <w:marTop w:val="0"/>
      <w:marBottom w:val="0"/>
      <w:divBdr>
        <w:top w:val="none" w:sz="0" w:space="0" w:color="auto"/>
        <w:left w:val="none" w:sz="0" w:space="0" w:color="auto"/>
        <w:bottom w:val="none" w:sz="0" w:space="0" w:color="auto"/>
        <w:right w:val="none" w:sz="0" w:space="0" w:color="auto"/>
      </w:divBdr>
    </w:div>
    <w:div w:id="68967788">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200824455">
      <w:bodyDiv w:val="1"/>
      <w:marLeft w:val="0"/>
      <w:marRight w:val="0"/>
      <w:marTop w:val="0"/>
      <w:marBottom w:val="0"/>
      <w:divBdr>
        <w:top w:val="none" w:sz="0" w:space="0" w:color="auto"/>
        <w:left w:val="none" w:sz="0" w:space="0" w:color="auto"/>
        <w:bottom w:val="none" w:sz="0" w:space="0" w:color="auto"/>
        <w:right w:val="none" w:sz="0" w:space="0" w:color="auto"/>
      </w:divBdr>
    </w:div>
    <w:div w:id="203566373">
      <w:bodyDiv w:val="1"/>
      <w:marLeft w:val="0"/>
      <w:marRight w:val="0"/>
      <w:marTop w:val="0"/>
      <w:marBottom w:val="0"/>
      <w:divBdr>
        <w:top w:val="none" w:sz="0" w:space="0" w:color="auto"/>
        <w:left w:val="none" w:sz="0" w:space="0" w:color="auto"/>
        <w:bottom w:val="none" w:sz="0" w:space="0" w:color="auto"/>
        <w:right w:val="none" w:sz="0" w:space="0" w:color="auto"/>
      </w:divBdr>
    </w:div>
    <w:div w:id="204291739">
      <w:bodyDiv w:val="1"/>
      <w:marLeft w:val="0"/>
      <w:marRight w:val="0"/>
      <w:marTop w:val="0"/>
      <w:marBottom w:val="0"/>
      <w:divBdr>
        <w:top w:val="none" w:sz="0" w:space="0" w:color="auto"/>
        <w:left w:val="none" w:sz="0" w:space="0" w:color="auto"/>
        <w:bottom w:val="none" w:sz="0" w:space="0" w:color="auto"/>
        <w:right w:val="none" w:sz="0" w:space="0" w:color="auto"/>
      </w:divBdr>
    </w:div>
    <w:div w:id="224342027">
      <w:bodyDiv w:val="1"/>
      <w:marLeft w:val="0"/>
      <w:marRight w:val="0"/>
      <w:marTop w:val="0"/>
      <w:marBottom w:val="0"/>
      <w:divBdr>
        <w:top w:val="none" w:sz="0" w:space="0" w:color="auto"/>
        <w:left w:val="none" w:sz="0" w:space="0" w:color="auto"/>
        <w:bottom w:val="none" w:sz="0" w:space="0" w:color="auto"/>
        <w:right w:val="none" w:sz="0" w:space="0" w:color="auto"/>
      </w:divBdr>
    </w:div>
    <w:div w:id="258225469">
      <w:bodyDiv w:val="1"/>
      <w:marLeft w:val="0"/>
      <w:marRight w:val="0"/>
      <w:marTop w:val="0"/>
      <w:marBottom w:val="0"/>
      <w:divBdr>
        <w:top w:val="none" w:sz="0" w:space="0" w:color="auto"/>
        <w:left w:val="none" w:sz="0" w:space="0" w:color="auto"/>
        <w:bottom w:val="none" w:sz="0" w:space="0" w:color="auto"/>
        <w:right w:val="none" w:sz="0" w:space="0" w:color="auto"/>
      </w:divBdr>
    </w:div>
    <w:div w:id="263850124">
      <w:bodyDiv w:val="1"/>
      <w:marLeft w:val="0"/>
      <w:marRight w:val="0"/>
      <w:marTop w:val="0"/>
      <w:marBottom w:val="0"/>
      <w:divBdr>
        <w:top w:val="none" w:sz="0" w:space="0" w:color="auto"/>
        <w:left w:val="none" w:sz="0" w:space="0" w:color="auto"/>
        <w:bottom w:val="none" w:sz="0" w:space="0" w:color="auto"/>
        <w:right w:val="none" w:sz="0" w:space="0" w:color="auto"/>
      </w:divBdr>
    </w:div>
    <w:div w:id="315230231">
      <w:bodyDiv w:val="1"/>
      <w:marLeft w:val="0"/>
      <w:marRight w:val="0"/>
      <w:marTop w:val="0"/>
      <w:marBottom w:val="0"/>
      <w:divBdr>
        <w:top w:val="none" w:sz="0" w:space="0" w:color="auto"/>
        <w:left w:val="none" w:sz="0" w:space="0" w:color="auto"/>
        <w:bottom w:val="none" w:sz="0" w:space="0" w:color="auto"/>
        <w:right w:val="none" w:sz="0" w:space="0" w:color="auto"/>
      </w:divBdr>
    </w:div>
    <w:div w:id="357123300">
      <w:bodyDiv w:val="1"/>
      <w:marLeft w:val="0"/>
      <w:marRight w:val="0"/>
      <w:marTop w:val="0"/>
      <w:marBottom w:val="0"/>
      <w:divBdr>
        <w:top w:val="none" w:sz="0" w:space="0" w:color="auto"/>
        <w:left w:val="none" w:sz="0" w:space="0" w:color="auto"/>
        <w:bottom w:val="none" w:sz="0" w:space="0" w:color="auto"/>
        <w:right w:val="none" w:sz="0" w:space="0" w:color="auto"/>
      </w:divBdr>
    </w:div>
    <w:div w:id="365644664">
      <w:bodyDiv w:val="1"/>
      <w:marLeft w:val="0"/>
      <w:marRight w:val="0"/>
      <w:marTop w:val="0"/>
      <w:marBottom w:val="0"/>
      <w:divBdr>
        <w:top w:val="none" w:sz="0" w:space="0" w:color="auto"/>
        <w:left w:val="none" w:sz="0" w:space="0" w:color="auto"/>
        <w:bottom w:val="none" w:sz="0" w:space="0" w:color="auto"/>
        <w:right w:val="none" w:sz="0" w:space="0" w:color="auto"/>
      </w:divBdr>
    </w:div>
    <w:div w:id="378937054">
      <w:bodyDiv w:val="1"/>
      <w:marLeft w:val="0"/>
      <w:marRight w:val="0"/>
      <w:marTop w:val="0"/>
      <w:marBottom w:val="0"/>
      <w:divBdr>
        <w:top w:val="none" w:sz="0" w:space="0" w:color="auto"/>
        <w:left w:val="none" w:sz="0" w:space="0" w:color="auto"/>
        <w:bottom w:val="none" w:sz="0" w:space="0" w:color="auto"/>
        <w:right w:val="none" w:sz="0" w:space="0" w:color="auto"/>
      </w:divBdr>
    </w:div>
    <w:div w:id="383409541">
      <w:bodyDiv w:val="1"/>
      <w:marLeft w:val="0"/>
      <w:marRight w:val="0"/>
      <w:marTop w:val="0"/>
      <w:marBottom w:val="0"/>
      <w:divBdr>
        <w:top w:val="none" w:sz="0" w:space="0" w:color="auto"/>
        <w:left w:val="none" w:sz="0" w:space="0" w:color="auto"/>
        <w:bottom w:val="none" w:sz="0" w:space="0" w:color="auto"/>
        <w:right w:val="none" w:sz="0" w:space="0" w:color="auto"/>
      </w:divBdr>
    </w:div>
    <w:div w:id="397901396">
      <w:bodyDiv w:val="1"/>
      <w:marLeft w:val="0"/>
      <w:marRight w:val="0"/>
      <w:marTop w:val="0"/>
      <w:marBottom w:val="0"/>
      <w:divBdr>
        <w:top w:val="none" w:sz="0" w:space="0" w:color="auto"/>
        <w:left w:val="none" w:sz="0" w:space="0" w:color="auto"/>
        <w:bottom w:val="none" w:sz="0" w:space="0" w:color="auto"/>
        <w:right w:val="none" w:sz="0" w:space="0" w:color="auto"/>
      </w:divBdr>
    </w:div>
    <w:div w:id="441650836">
      <w:bodyDiv w:val="1"/>
      <w:marLeft w:val="0"/>
      <w:marRight w:val="0"/>
      <w:marTop w:val="0"/>
      <w:marBottom w:val="0"/>
      <w:divBdr>
        <w:top w:val="none" w:sz="0" w:space="0" w:color="auto"/>
        <w:left w:val="none" w:sz="0" w:space="0" w:color="auto"/>
        <w:bottom w:val="none" w:sz="0" w:space="0" w:color="auto"/>
        <w:right w:val="none" w:sz="0" w:space="0" w:color="auto"/>
      </w:divBdr>
    </w:div>
    <w:div w:id="461968252">
      <w:bodyDiv w:val="1"/>
      <w:marLeft w:val="0"/>
      <w:marRight w:val="0"/>
      <w:marTop w:val="0"/>
      <w:marBottom w:val="0"/>
      <w:divBdr>
        <w:top w:val="none" w:sz="0" w:space="0" w:color="auto"/>
        <w:left w:val="none" w:sz="0" w:space="0" w:color="auto"/>
        <w:bottom w:val="none" w:sz="0" w:space="0" w:color="auto"/>
        <w:right w:val="none" w:sz="0" w:space="0" w:color="auto"/>
      </w:divBdr>
    </w:div>
    <w:div w:id="470027532">
      <w:bodyDiv w:val="1"/>
      <w:marLeft w:val="0"/>
      <w:marRight w:val="0"/>
      <w:marTop w:val="0"/>
      <w:marBottom w:val="0"/>
      <w:divBdr>
        <w:top w:val="none" w:sz="0" w:space="0" w:color="auto"/>
        <w:left w:val="none" w:sz="0" w:space="0" w:color="auto"/>
        <w:bottom w:val="none" w:sz="0" w:space="0" w:color="auto"/>
        <w:right w:val="none" w:sz="0" w:space="0" w:color="auto"/>
      </w:divBdr>
    </w:div>
    <w:div w:id="483590833">
      <w:bodyDiv w:val="1"/>
      <w:marLeft w:val="0"/>
      <w:marRight w:val="0"/>
      <w:marTop w:val="0"/>
      <w:marBottom w:val="0"/>
      <w:divBdr>
        <w:top w:val="none" w:sz="0" w:space="0" w:color="auto"/>
        <w:left w:val="none" w:sz="0" w:space="0" w:color="auto"/>
        <w:bottom w:val="none" w:sz="0" w:space="0" w:color="auto"/>
        <w:right w:val="none" w:sz="0" w:space="0" w:color="auto"/>
      </w:divBdr>
    </w:div>
    <w:div w:id="491290054">
      <w:bodyDiv w:val="1"/>
      <w:marLeft w:val="0"/>
      <w:marRight w:val="0"/>
      <w:marTop w:val="0"/>
      <w:marBottom w:val="0"/>
      <w:divBdr>
        <w:top w:val="none" w:sz="0" w:space="0" w:color="auto"/>
        <w:left w:val="none" w:sz="0" w:space="0" w:color="auto"/>
        <w:bottom w:val="none" w:sz="0" w:space="0" w:color="auto"/>
        <w:right w:val="none" w:sz="0" w:space="0" w:color="auto"/>
      </w:divBdr>
    </w:div>
    <w:div w:id="498276005">
      <w:bodyDiv w:val="1"/>
      <w:marLeft w:val="0"/>
      <w:marRight w:val="0"/>
      <w:marTop w:val="0"/>
      <w:marBottom w:val="0"/>
      <w:divBdr>
        <w:top w:val="none" w:sz="0" w:space="0" w:color="auto"/>
        <w:left w:val="none" w:sz="0" w:space="0" w:color="auto"/>
        <w:bottom w:val="none" w:sz="0" w:space="0" w:color="auto"/>
        <w:right w:val="none" w:sz="0" w:space="0" w:color="auto"/>
      </w:divBdr>
    </w:div>
    <w:div w:id="521355807">
      <w:bodyDiv w:val="1"/>
      <w:marLeft w:val="0"/>
      <w:marRight w:val="0"/>
      <w:marTop w:val="0"/>
      <w:marBottom w:val="0"/>
      <w:divBdr>
        <w:top w:val="none" w:sz="0" w:space="0" w:color="auto"/>
        <w:left w:val="none" w:sz="0" w:space="0" w:color="auto"/>
        <w:bottom w:val="none" w:sz="0" w:space="0" w:color="auto"/>
        <w:right w:val="none" w:sz="0" w:space="0" w:color="auto"/>
      </w:divBdr>
    </w:div>
    <w:div w:id="542983137">
      <w:bodyDiv w:val="1"/>
      <w:marLeft w:val="0"/>
      <w:marRight w:val="0"/>
      <w:marTop w:val="0"/>
      <w:marBottom w:val="0"/>
      <w:divBdr>
        <w:top w:val="none" w:sz="0" w:space="0" w:color="auto"/>
        <w:left w:val="none" w:sz="0" w:space="0" w:color="auto"/>
        <w:bottom w:val="none" w:sz="0" w:space="0" w:color="auto"/>
        <w:right w:val="none" w:sz="0" w:space="0" w:color="auto"/>
      </w:divBdr>
    </w:div>
    <w:div w:id="569081490">
      <w:bodyDiv w:val="1"/>
      <w:marLeft w:val="0"/>
      <w:marRight w:val="0"/>
      <w:marTop w:val="0"/>
      <w:marBottom w:val="0"/>
      <w:divBdr>
        <w:top w:val="none" w:sz="0" w:space="0" w:color="auto"/>
        <w:left w:val="none" w:sz="0" w:space="0" w:color="auto"/>
        <w:bottom w:val="none" w:sz="0" w:space="0" w:color="auto"/>
        <w:right w:val="none" w:sz="0" w:space="0" w:color="auto"/>
      </w:divBdr>
    </w:div>
    <w:div w:id="584612664">
      <w:bodyDiv w:val="1"/>
      <w:marLeft w:val="0"/>
      <w:marRight w:val="0"/>
      <w:marTop w:val="0"/>
      <w:marBottom w:val="0"/>
      <w:divBdr>
        <w:top w:val="none" w:sz="0" w:space="0" w:color="auto"/>
        <w:left w:val="none" w:sz="0" w:space="0" w:color="auto"/>
        <w:bottom w:val="none" w:sz="0" w:space="0" w:color="auto"/>
        <w:right w:val="none" w:sz="0" w:space="0" w:color="auto"/>
      </w:divBdr>
    </w:div>
    <w:div w:id="605188821">
      <w:bodyDiv w:val="1"/>
      <w:marLeft w:val="0"/>
      <w:marRight w:val="0"/>
      <w:marTop w:val="0"/>
      <w:marBottom w:val="0"/>
      <w:divBdr>
        <w:top w:val="none" w:sz="0" w:space="0" w:color="auto"/>
        <w:left w:val="none" w:sz="0" w:space="0" w:color="auto"/>
        <w:bottom w:val="none" w:sz="0" w:space="0" w:color="auto"/>
        <w:right w:val="none" w:sz="0" w:space="0" w:color="auto"/>
      </w:divBdr>
    </w:div>
    <w:div w:id="608436379">
      <w:bodyDiv w:val="1"/>
      <w:marLeft w:val="0"/>
      <w:marRight w:val="0"/>
      <w:marTop w:val="0"/>
      <w:marBottom w:val="0"/>
      <w:divBdr>
        <w:top w:val="none" w:sz="0" w:space="0" w:color="auto"/>
        <w:left w:val="none" w:sz="0" w:space="0" w:color="auto"/>
        <w:bottom w:val="none" w:sz="0" w:space="0" w:color="auto"/>
        <w:right w:val="none" w:sz="0" w:space="0" w:color="auto"/>
      </w:divBdr>
    </w:div>
    <w:div w:id="614022281">
      <w:bodyDiv w:val="1"/>
      <w:marLeft w:val="0"/>
      <w:marRight w:val="0"/>
      <w:marTop w:val="0"/>
      <w:marBottom w:val="0"/>
      <w:divBdr>
        <w:top w:val="none" w:sz="0" w:space="0" w:color="auto"/>
        <w:left w:val="none" w:sz="0" w:space="0" w:color="auto"/>
        <w:bottom w:val="none" w:sz="0" w:space="0" w:color="auto"/>
        <w:right w:val="none" w:sz="0" w:space="0" w:color="auto"/>
      </w:divBdr>
    </w:div>
    <w:div w:id="652637022">
      <w:bodyDiv w:val="1"/>
      <w:marLeft w:val="0"/>
      <w:marRight w:val="0"/>
      <w:marTop w:val="0"/>
      <w:marBottom w:val="0"/>
      <w:divBdr>
        <w:top w:val="none" w:sz="0" w:space="0" w:color="auto"/>
        <w:left w:val="none" w:sz="0" w:space="0" w:color="auto"/>
        <w:bottom w:val="none" w:sz="0" w:space="0" w:color="auto"/>
        <w:right w:val="none" w:sz="0" w:space="0" w:color="auto"/>
      </w:divBdr>
    </w:div>
    <w:div w:id="683288204">
      <w:bodyDiv w:val="1"/>
      <w:marLeft w:val="0"/>
      <w:marRight w:val="0"/>
      <w:marTop w:val="0"/>
      <w:marBottom w:val="0"/>
      <w:divBdr>
        <w:top w:val="none" w:sz="0" w:space="0" w:color="auto"/>
        <w:left w:val="none" w:sz="0" w:space="0" w:color="auto"/>
        <w:bottom w:val="none" w:sz="0" w:space="0" w:color="auto"/>
        <w:right w:val="none" w:sz="0" w:space="0" w:color="auto"/>
      </w:divBdr>
    </w:div>
    <w:div w:id="692651072">
      <w:bodyDiv w:val="1"/>
      <w:marLeft w:val="0"/>
      <w:marRight w:val="0"/>
      <w:marTop w:val="0"/>
      <w:marBottom w:val="0"/>
      <w:divBdr>
        <w:top w:val="none" w:sz="0" w:space="0" w:color="auto"/>
        <w:left w:val="none" w:sz="0" w:space="0" w:color="auto"/>
        <w:bottom w:val="none" w:sz="0" w:space="0" w:color="auto"/>
        <w:right w:val="none" w:sz="0" w:space="0" w:color="auto"/>
      </w:divBdr>
    </w:div>
    <w:div w:id="702635882">
      <w:bodyDiv w:val="1"/>
      <w:marLeft w:val="0"/>
      <w:marRight w:val="0"/>
      <w:marTop w:val="0"/>
      <w:marBottom w:val="0"/>
      <w:divBdr>
        <w:top w:val="none" w:sz="0" w:space="0" w:color="auto"/>
        <w:left w:val="none" w:sz="0" w:space="0" w:color="auto"/>
        <w:bottom w:val="none" w:sz="0" w:space="0" w:color="auto"/>
        <w:right w:val="none" w:sz="0" w:space="0" w:color="auto"/>
      </w:divBdr>
    </w:div>
    <w:div w:id="713846812">
      <w:bodyDiv w:val="1"/>
      <w:marLeft w:val="0"/>
      <w:marRight w:val="0"/>
      <w:marTop w:val="0"/>
      <w:marBottom w:val="0"/>
      <w:divBdr>
        <w:top w:val="none" w:sz="0" w:space="0" w:color="auto"/>
        <w:left w:val="none" w:sz="0" w:space="0" w:color="auto"/>
        <w:bottom w:val="none" w:sz="0" w:space="0" w:color="auto"/>
        <w:right w:val="none" w:sz="0" w:space="0" w:color="auto"/>
      </w:divBdr>
    </w:div>
    <w:div w:id="718744061">
      <w:bodyDiv w:val="1"/>
      <w:marLeft w:val="0"/>
      <w:marRight w:val="0"/>
      <w:marTop w:val="0"/>
      <w:marBottom w:val="0"/>
      <w:divBdr>
        <w:top w:val="none" w:sz="0" w:space="0" w:color="auto"/>
        <w:left w:val="none" w:sz="0" w:space="0" w:color="auto"/>
        <w:bottom w:val="none" w:sz="0" w:space="0" w:color="auto"/>
        <w:right w:val="none" w:sz="0" w:space="0" w:color="auto"/>
      </w:divBdr>
    </w:div>
    <w:div w:id="741755098">
      <w:bodyDiv w:val="1"/>
      <w:marLeft w:val="0"/>
      <w:marRight w:val="0"/>
      <w:marTop w:val="0"/>
      <w:marBottom w:val="0"/>
      <w:divBdr>
        <w:top w:val="none" w:sz="0" w:space="0" w:color="auto"/>
        <w:left w:val="none" w:sz="0" w:space="0" w:color="auto"/>
        <w:bottom w:val="none" w:sz="0" w:space="0" w:color="auto"/>
        <w:right w:val="none" w:sz="0" w:space="0" w:color="auto"/>
      </w:divBdr>
    </w:div>
    <w:div w:id="742217295">
      <w:bodyDiv w:val="1"/>
      <w:marLeft w:val="0"/>
      <w:marRight w:val="0"/>
      <w:marTop w:val="0"/>
      <w:marBottom w:val="0"/>
      <w:divBdr>
        <w:top w:val="none" w:sz="0" w:space="0" w:color="auto"/>
        <w:left w:val="none" w:sz="0" w:space="0" w:color="auto"/>
        <w:bottom w:val="none" w:sz="0" w:space="0" w:color="auto"/>
        <w:right w:val="none" w:sz="0" w:space="0" w:color="auto"/>
      </w:divBdr>
    </w:div>
    <w:div w:id="800348351">
      <w:bodyDiv w:val="1"/>
      <w:marLeft w:val="0"/>
      <w:marRight w:val="0"/>
      <w:marTop w:val="0"/>
      <w:marBottom w:val="0"/>
      <w:divBdr>
        <w:top w:val="none" w:sz="0" w:space="0" w:color="auto"/>
        <w:left w:val="none" w:sz="0" w:space="0" w:color="auto"/>
        <w:bottom w:val="none" w:sz="0" w:space="0" w:color="auto"/>
        <w:right w:val="none" w:sz="0" w:space="0" w:color="auto"/>
      </w:divBdr>
    </w:div>
    <w:div w:id="826360373">
      <w:bodyDiv w:val="1"/>
      <w:marLeft w:val="0"/>
      <w:marRight w:val="0"/>
      <w:marTop w:val="0"/>
      <w:marBottom w:val="0"/>
      <w:divBdr>
        <w:top w:val="none" w:sz="0" w:space="0" w:color="auto"/>
        <w:left w:val="none" w:sz="0" w:space="0" w:color="auto"/>
        <w:bottom w:val="none" w:sz="0" w:space="0" w:color="auto"/>
        <w:right w:val="none" w:sz="0" w:space="0" w:color="auto"/>
      </w:divBdr>
    </w:div>
    <w:div w:id="840899032">
      <w:bodyDiv w:val="1"/>
      <w:marLeft w:val="0"/>
      <w:marRight w:val="0"/>
      <w:marTop w:val="0"/>
      <w:marBottom w:val="0"/>
      <w:divBdr>
        <w:top w:val="none" w:sz="0" w:space="0" w:color="auto"/>
        <w:left w:val="none" w:sz="0" w:space="0" w:color="auto"/>
        <w:bottom w:val="none" w:sz="0" w:space="0" w:color="auto"/>
        <w:right w:val="none" w:sz="0" w:space="0" w:color="auto"/>
      </w:divBdr>
    </w:div>
    <w:div w:id="889877066">
      <w:bodyDiv w:val="1"/>
      <w:marLeft w:val="0"/>
      <w:marRight w:val="0"/>
      <w:marTop w:val="0"/>
      <w:marBottom w:val="0"/>
      <w:divBdr>
        <w:top w:val="none" w:sz="0" w:space="0" w:color="auto"/>
        <w:left w:val="none" w:sz="0" w:space="0" w:color="auto"/>
        <w:bottom w:val="none" w:sz="0" w:space="0" w:color="auto"/>
        <w:right w:val="none" w:sz="0" w:space="0" w:color="auto"/>
      </w:divBdr>
    </w:div>
    <w:div w:id="893125625">
      <w:bodyDiv w:val="1"/>
      <w:marLeft w:val="0"/>
      <w:marRight w:val="0"/>
      <w:marTop w:val="0"/>
      <w:marBottom w:val="0"/>
      <w:divBdr>
        <w:top w:val="none" w:sz="0" w:space="0" w:color="auto"/>
        <w:left w:val="none" w:sz="0" w:space="0" w:color="auto"/>
        <w:bottom w:val="none" w:sz="0" w:space="0" w:color="auto"/>
        <w:right w:val="none" w:sz="0" w:space="0" w:color="auto"/>
      </w:divBdr>
    </w:div>
    <w:div w:id="955140389">
      <w:bodyDiv w:val="1"/>
      <w:marLeft w:val="0"/>
      <w:marRight w:val="0"/>
      <w:marTop w:val="0"/>
      <w:marBottom w:val="0"/>
      <w:divBdr>
        <w:top w:val="none" w:sz="0" w:space="0" w:color="auto"/>
        <w:left w:val="none" w:sz="0" w:space="0" w:color="auto"/>
        <w:bottom w:val="none" w:sz="0" w:space="0" w:color="auto"/>
        <w:right w:val="none" w:sz="0" w:space="0" w:color="auto"/>
      </w:divBdr>
    </w:div>
    <w:div w:id="974140256">
      <w:bodyDiv w:val="1"/>
      <w:marLeft w:val="0"/>
      <w:marRight w:val="0"/>
      <w:marTop w:val="0"/>
      <w:marBottom w:val="0"/>
      <w:divBdr>
        <w:top w:val="none" w:sz="0" w:space="0" w:color="auto"/>
        <w:left w:val="none" w:sz="0" w:space="0" w:color="auto"/>
        <w:bottom w:val="none" w:sz="0" w:space="0" w:color="auto"/>
        <w:right w:val="none" w:sz="0" w:space="0" w:color="auto"/>
      </w:divBdr>
    </w:div>
    <w:div w:id="1006520164">
      <w:bodyDiv w:val="1"/>
      <w:marLeft w:val="0"/>
      <w:marRight w:val="0"/>
      <w:marTop w:val="0"/>
      <w:marBottom w:val="0"/>
      <w:divBdr>
        <w:top w:val="none" w:sz="0" w:space="0" w:color="auto"/>
        <w:left w:val="none" w:sz="0" w:space="0" w:color="auto"/>
        <w:bottom w:val="none" w:sz="0" w:space="0" w:color="auto"/>
        <w:right w:val="none" w:sz="0" w:space="0" w:color="auto"/>
      </w:divBdr>
    </w:div>
    <w:div w:id="1011226533">
      <w:bodyDiv w:val="1"/>
      <w:marLeft w:val="0"/>
      <w:marRight w:val="0"/>
      <w:marTop w:val="0"/>
      <w:marBottom w:val="0"/>
      <w:divBdr>
        <w:top w:val="none" w:sz="0" w:space="0" w:color="auto"/>
        <w:left w:val="none" w:sz="0" w:space="0" w:color="auto"/>
        <w:bottom w:val="none" w:sz="0" w:space="0" w:color="auto"/>
        <w:right w:val="none" w:sz="0" w:space="0" w:color="auto"/>
      </w:divBdr>
    </w:div>
    <w:div w:id="1020594842">
      <w:bodyDiv w:val="1"/>
      <w:marLeft w:val="0"/>
      <w:marRight w:val="0"/>
      <w:marTop w:val="0"/>
      <w:marBottom w:val="0"/>
      <w:divBdr>
        <w:top w:val="none" w:sz="0" w:space="0" w:color="auto"/>
        <w:left w:val="none" w:sz="0" w:space="0" w:color="auto"/>
        <w:bottom w:val="none" w:sz="0" w:space="0" w:color="auto"/>
        <w:right w:val="none" w:sz="0" w:space="0" w:color="auto"/>
      </w:divBdr>
    </w:div>
    <w:div w:id="1084449522">
      <w:bodyDiv w:val="1"/>
      <w:marLeft w:val="0"/>
      <w:marRight w:val="0"/>
      <w:marTop w:val="0"/>
      <w:marBottom w:val="0"/>
      <w:divBdr>
        <w:top w:val="none" w:sz="0" w:space="0" w:color="auto"/>
        <w:left w:val="none" w:sz="0" w:space="0" w:color="auto"/>
        <w:bottom w:val="none" w:sz="0" w:space="0" w:color="auto"/>
        <w:right w:val="none" w:sz="0" w:space="0" w:color="auto"/>
      </w:divBdr>
    </w:div>
    <w:div w:id="1101149632">
      <w:bodyDiv w:val="1"/>
      <w:marLeft w:val="0"/>
      <w:marRight w:val="0"/>
      <w:marTop w:val="0"/>
      <w:marBottom w:val="0"/>
      <w:divBdr>
        <w:top w:val="none" w:sz="0" w:space="0" w:color="auto"/>
        <w:left w:val="none" w:sz="0" w:space="0" w:color="auto"/>
        <w:bottom w:val="none" w:sz="0" w:space="0" w:color="auto"/>
        <w:right w:val="none" w:sz="0" w:space="0" w:color="auto"/>
      </w:divBdr>
    </w:div>
    <w:div w:id="1140070667">
      <w:bodyDiv w:val="1"/>
      <w:marLeft w:val="0"/>
      <w:marRight w:val="0"/>
      <w:marTop w:val="0"/>
      <w:marBottom w:val="0"/>
      <w:divBdr>
        <w:top w:val="none" w:sz="0" w:space="0" w:color="auto"/>
        <w:left w:val="none" w:sz="0" w:space="0" w:color="auto"/>
        <w:bottom w:val="none" w:sz="0" w:space="0" w:color="auto"/>
        <w:right w:val="none" w:sz="0" w:space="0" w:color="auto"/>
      </w:divBdr>
    </w:div>
    <w:div w:id="1141460756">
      <w:bodyDiv w:val="1"/>
      <w:marLeft w:val="0"/>
      <w:marRight w:val="0"/>
      <w:marTop w:val="0"/>
      <w:marBottom w:val="0"/>
      <w:divBdr>
        <w:top w:val="none" w:sz="0" w:space="0" w:color="auto"/>
        <w:left w:val="none" w:sz="0" w:space="0" w:color="auto"/>
        <w:bottom w:val="none" w:sz="0" w:space="0" w:color="auto"/>
        <w:right w:val="none" w:sz="0" w:space="0" w:color="auto"/>
      </w:divBdr>
    </w:div>
    <w:div w:id="1181891660">
      <w:bodyDiv w:val="1"/>
      <w:marLeft w:val="0"/>
      <w:marRight w:val="0"/>
      <w:marTop w:val="0"/>
      <w:marBottom w:val="0"/>
      <w:divBdr>
        <w:top w:val="none" w:sz="0" w:space="0" w:color="auto"/>
        <w:left w:val="none" w:sz="0" w:space="0" w:color="auto"/>
        <w:bottom w:val="none" w:sz="0" w:space="0" w:color="auto"/>
        <w:right w:val="none" w:sz="0" w:space="0" w:color="auto"/>
      </w:divBdr>
    </w:div>
    <w:div w:id="1198813301">
      <w:bodyDiv w:val="1"/>
      <w:marLeft w:val="0"/>
      <w:marRight w:val="0"/>
      <w:marTop w:val="0"/>
      <w:marBottom w:val="0"/>
      <w:divBdr>
        <w:top w:val="none" w:sz="0" w:space="0" w:color="auto"/>
        <w:left w:val="none" w:sz="0" w:space="0" w:color="auto"/>
        <w:bottom w:val="none" w:sz="0" w:space="0" w:color="auto"/>
        <w:right w:val="none" w:sz="0" w:space="0" w:color="auto"/>
      </w:divBdr>
    </w:div>
    <w:div w:id="1208183806">
      <w:bodyDiv w:val="1"/>
      <w:marLeft w:val="0"/>
      <w:marRight w:val="0"/>
      <w:marTop w:val="0"/>
      <w:marBottom w:val="0"/>
      <w:divBdr>
        <w:top w:val="none" w:sz="0" w:space="0" w:color="auto"/>
        <w:left w:val="none" w:sz="0" w:space="0" w:color="auto"/>
        <w:bottom w:val="none" w:sz="0" w:space="0" w:color="auto"/>
        <w:right w:val="none" w:sz="0" w:space="0" w:color="auto"/>
      </w:divBdr>
    </w:div>
    <w:div w:id="1216503984">
      <w:bodyDiv w:val="1"/>
      <w:marLeft w:val="0"/>
      <w:marRight w:val="0"/>
      <w:marTop w:val="0"/>
      <w:marBottom w:val="0"/>
      <w:divBdr>
        <w:top w:val="none" w:sz="0" w:space="0" w:color="auto"/>
        <w:left w:val="none" w:sz="0" w:space="0" w:color="auto"/>
        <w:bottom w:val="none" w:sz="0" w:space="0" w:color="auto"/>
        <w:right w:val="none" w:sz="0" w:space="0" w:color="auto"/>
      </w:divBdr>
    </w:div>
    <w:div w:id="1219441757">
      <w:bodyDiv w:val="1"/>
      <w:marLeft w:val="0"/>
      <w:marRight w:val="0"/>
      <w:marTop w:val="0"/>
      <w:marBottom w:val="0"/>
      <w:divBdr>
        <w:top w:val="none" w:sz="0" w:space="0" w:color="auto"/>
        <w:left w:val="none" w:sz="0" w:space="0" w:color="auto"/>
        <w:bottom w:val="none" w:sz="0" w:space="0" w:color="auto"/>
        <w:right w:val="none" w:sz="0" w:space="0" w:color="auto"/>
      </w:divBdr>
    </w:div>
    <w:div w:id="1269241755">
      <w:bodyDiv w:val="1"/>
      <w:marLeft w:val="0"/>
      <w:marRight w:val="0"/>
      <w:marTop w:val="0"/>
      <w:marBottom w:val="0"/>
      <w:divBdr>
        <w:top w:val="none" w:sz="0" w:space="0" w:color="auto"/>
        <w:left w:val="none" w:sz="0" w:space="0" w:color="auto"/>
        <w:bottom w:val="none" w:sz="0" w:space="0" w:color="auto"/>
        <w:right w:val="none" w:sz="0" w:space="0" w:color="auto"/>
      </w:divBdr>
    </w:div>
    <w:div w:id="1285454806">
      <w:bodyDiv w:val="1"/>
      <w:marLeft w:val="0"/>
      <w:marRight w:val="0"/>
      <w:marTop w:val="0"/>
      <w:marBottom w:val="0"/>
      <w:divBdr>
        <w:top w:val="none" w:sz="0" w:space="0" w:color="auto"/>
        <w:left w:val="none" w:sz="0" w:space="0" w:color="auto"/>
        <w:bottom w:val="none" w:sz="0" w:space="0" w:color="auto"/>
        <w:right w:val="none" w:sz="0" w:space="0" w:color="auto"/>
      </w:divBdr>
    </w:div>
    <w:div w:id="1301110870">
      <w:bodyDiv w:val="1"/>
      <w:marLeft w:val="0"/>
      <w:marRight w:val="0"/>
      <w:marTop w:val="0"/>
      <w:marBottom w:val="0"/>
      <w:divBdr>
        <w:top w:val="none" w:sz="0" w:space="0" w:color="auto"/>
        <w:left w:val="none" w:sz="0" w:space="0" w:color="auto"/>
        <w:bottom w:val="none" w:sz="0" w:space="0" w:color="auto"/>
        <w:right w:val="none" w:sz="0" w:space="0" w:color="auto"/>
      </w:divBdr>
    </w:div>
    <w:div w:id="1301695338">
      <w:bodyDiv w:val="1"/>
      <w:marLeft w:val="0"/>
      <w:marRight w:val="0"/>
      <w:marTop w:val="0"/>
      <w:marBottom w:val="0"/>
      <w:divBdr>
        <w:top w:val="none" w:sz="0" w:space="0" w:color="auto"/>
        <w:left w:val="none" w:sz="0" w:space="0" w:color="auto"/>
        <w:bottom w:val="none" w:sz="0" w:space="0" w:color="auto"/>
        <w:right w:val="none" w:sz="0" w:space="0" w:color="auto"/>
      </w:divBdr>
    </w:div>
    <w:div w:id="1327511021">
      <w:bodyDiv w:val="1"/>
      <w:marLeft w:val="0"/>
      <w:marRight w:val="0"/>
      <w:marTop w:val="0"/>
      <w:marBottom w:val="0"/>
      <w:divBdr>
        <w:top w:val="none" w:sz="0" w:space="0" w:color="auto"/>
        <w:left w:val="none" w:sz="0" w:space="0" w:color="auto"/>
        <w:bottom w:val="none" w:sz="0" w:space="0" w:color="auto"/>
        <w:right w:val="none" w:sz="0" w:space="0" w:color="auto"/>
      </w:divBdr>
    </w:div>
    <w:div w:id="1330329442">
      <w:bodyDiv w:val="1"/>
      <w:marLeft w:val="0"/>
      <w:marRight w:val="0"/>
      <w:marTop w:val="0"/>
      <w:marBottom w:val="0"/>
      <w:divBdr>
        <w:top w:val="none" w:sz="0" w:space="0" w:color="auto"/>
        <w:left w:val="none" w:sz="0" w:space="0" w:color="auto"/>
        <w:bottom w:val="none" w:sz="0" w:space="0" w:color="auto"/>
        <w:right w:val="none" w:sz="0" w:space="0" w:color="auto"/>
      </w:divBdr>
    </w:div>
    <w:div w:id="1353804875">
      <w:bodyDiv w:val="1"/>
      <w:marLeft w:val="0"/>
      <w:marRight w:val="0"/>
      <w:marTop w:val="0"/>
      <w:marBottom w:val="0"/>
      <w:divBdr>
        <w:top w:val="none" w:sz="0" w:space="0" w:color="auto"/>
        <w:left w:val="none" w:sz="0" w:space="0" w:color="auto"/>
        <w:bottom w:val="none" w:sz="0" w:space="0" w:color="auto"/>
        <w:right w:val="none" w:sz="0" w:space="0" w:color="auto"/>
      </w:divBdr>
    </w:div>
    <w:div w:id="1384131853">
      <w:bodyDiv w:val="1"/>
      <w:marLeft w:val="0"/>
      <w:marRight w:val="0"/>
      <w:marTop w:val="0"/>
      <w:marBottom w:val="0"/>
      <w:divBdr>
        <w:top w:val="none" w:sz="0" w:space="0" w:color="auto"/>
        <w:left w:val="none" w:sz="0" w:space="0" w:color="auto"/>
        <w:bottom w:val="none" w:sz="0" w:space="0" w:color="auto"/>
        <w:right w:val="none" w:sz="0" w:space="0" w:color="auto"/>
      </w:divBdr>
    </w:div>
    <w:div w:id="1402674436">
      <w:bodyDiv w:val="1"/>
      <w:marLeft w:val="0"/>
      <w:marRight w:val="0"/>
      <w:marTop w:val="0"/>
      <w:marBottom w:val="0"/>
      <w:divBdr>
        <w:top w:val="none" w:sz="0" w:space="0" w:color="auto"/>
        <w:left w:val="none" w:sz="0" w:space="0" w:color="auto"/>
        <w:bottom w:val="none" w:sz="0" w:space="0" w:color="auto"/>
        <w:right w:val="none" w:sz="0" w:space="0" w:color="auto"/>
      </w:divBdr>
    </w:div>
    <w:div w:id="1463113449">
      <w:bodyDiv w:val="1"/>
      <w:marLeft w:val="0"/>
      <w:marRight w:val="0"/>
      <w:marTop w:val="0"/>
      <w:marBottom w:val="0"/>
      <w:divBdr>
        <w:top w:val="none" w:sz="0" w:space="0" w:color="auto"/>
        <w:left w:val="none" w:sz="0" w:space="0" w:color="auto"/>
        <w:bottom w:val="none" w:sz="0" w:space="0" w:color="auto"/>
        <w:right w:val="none" w:sz="0" w:space="0" w:color="auto"/>
      </w:divBdr>
    </w:div>
    <w:div w:id="1465000760">
      <w:bodyDiv w:val="1"/>
      <w:marLeft w:val="0"/>
      <w:marRight w:val="0"/>
      <w:marTop w:val="0"/>
      <w:marBottom w:val="0"/>
      <w:divBdr>
        <w:top w:val="none" w:sz="0" w:space="0" w:color="auto"/>
        <w:left w:val="none" w:sz="0" w:space="0" w:color="auto"/>
        <w:bottom w:val="none" w:sz="0" w:space="0" w:color="auto"/>
        <w:right w:val="none" w:sz="0" w:space="0" w:color="auto"/>
      </w:divBdr>
    </w:div>
    <w:div w:id="1490976548">
      <w:bodyDiv w:val="1"/>
      <w:marLeft w:val="0"/>
      <w:marRight w:val="0"/>
      <w:marTop w:val="0"/>
      <w:marBottom w:val="0"/>
      <w:divBdr>
        <w:top w:val="none" w:sz="0" w:space="0" w:color="auto"/>
        <w:left w:val="none" w:sz="0" w:space="0" w:color="auto"/>
        <w:bottom w:val="none" w:sz="0" w:space="0" w:color="auto"/>
        <w:right w:val="none" w:sz="0" w:space="0" w:color="auto"/>
      </w:divBdr>
    </w:div>
    <w:div w:id="1495607816">
      <w:bodyDiv w:val="1"/>
      <w:marLeft w:val="0"/>
      <w:marRight w:val="0"/>
      <w:marTop w:val="0"/>
      <w:marBottom w:val="0"/>
      <w:divBdr>
        <w:top w:val="none" w:sz="0" w:space="0" w:color="auto"/>
        <w:left w:val="none" w:sz="0" w:space="0" w:color="auto"/>
        <w:bottom w:val="none" w:sz="0" w:space="0" w:color="auto"/>
        <w:right w:val="none" w:sz="0" w:space="0" w:color="auto"/>
      </w:divBdr>
    </w:div>
    <w:div w:id="1512989750">
      <w:bodyDiv w:val="1"/>
      <w:marLeft w:val="0"/>
      <w:marRight w:val="0"/>
      <w:marTop w:val="0"/>
      <w:marBottom w:val="0"/>
      <w:divBdr>
        <w:top w:val="none" w:sz="0" w:space="0" w:color="auto"/>
        <w:left w:val="none" w:sz="0" w:space="0" w:color="auto"/>
        <w:bottom w:val="none" w:sz="0" w:space="0" w:color="auto"/>
        <w:right w:val="none" w:sz="0" w:space="0" w:color="auto"/>
      </w:divBdr>
    </w:div>
    <w:div w:id="1535725764">
      <w:bodyDiv w:val="1"/>
      <w:marLeft w:val="0"/>
      <w:marRight w:val="0"/>
      <w:marTop w:val="0"/>
      <w:marBottom w:val="0"/>
      <w:divBdr>
        <w:top w:val="none" w:sz="0" w:space="0" w:color="auto"/>
        <w:left w:val="none" w:sz="0" w:space="0" w:color="auto"/>
        <w:bottom w:val="none" w:sz="0" w:space="0" w:color="auto"/>
        <w:right w:val="none" w:sz="0" w:space="0" w:color="auto"/>
      </w:divBdr>
    </w:div>
    <w:div w:id="1541821043">
      <w:bodyDiv w:val="1"/>
      <w:marLeft w:val="0"/>
      <w:marRight w:val="0"/>
      <w:marTop w:val="0"/>
      <w:marBottom w:val="0"/>
      <w:divBdr>
        <w:top w:val="none" w:sz="0" w:space="0" w:color="auto"/>
        <w:left w:val="none" w:sz="0" w:space="0" w:color="auto"/>
        <w:bottom w:val="none" w:sz="0" w:space="0" w:color="auto"/>
        <w:right w:val="none" w:sz="0" w:space="0" w:color="auto"/>
      </w:divBdr>
    </w:div>
    <w:div w:id="1568875721">
      <w:bodyDiv w:val="1"/>
      <w:marLeft w:val="0"/>
      <w:marRight w:val="0"/>
      <w:marTop w:val="0"/>
      <w:marBottom w:val="0"/>
      <w:divBdr>
        <w:top w:val="none" w:sz="0" w:space="0" w:color="auto"/>
        <w:left w:val="none" w:sz="0" w:space="0" w:color="auto"/>
        <w:bottom w:val="none" w:sz="0" w:space="0" w:color="auto"/>
        <w:right w:val="none" w:sz="0" w:space="0" w:color="auto"/>
      </w:divBdr>
    </w:div>
    <w:div w:id="1592229430">
      <w:bodyDiv w:val="1"/>
      <w:marLeft w:val="0"/>
      <w:marRight w:val="0"/>
      <w:marTop w:val="0"/>
      <w:marBottom w:val="0"/>
      <w:divBdr>
        <w:top w:val="none" w:sz="0" w:space="0" w:color="auto"/>
        <w:left w:val="none" w:sz="0" w:space="0" w:color="auto"/>
        <w:bottom w:val="none" w:sz="0" w:space="0" w:color="auto"/>
        <w:right w:val="none" w:sz="0" w:space="0" w:color="auto"/>
      </w:divBdr>
    </w:div>
    <w:div w:id="1603563357">
      <w:bodyDiv w:val="1"/>
      <w:marLeft w:val="0"/>
      <w:marRight w:val="0"/>
      <w:marTop w:val="0"/>
      <w:marBottom w:val="0"/>
      <w:divBdr>
        <w:top w:val="none" w:sz="0" w:space="0" w:color="auto"/>
        <w:left w:val="none" w:sz="0" w:space="0" w:color="auto"/>
        <w:bottom w:val="none" w:sz="0" w:space="0" w:color="auto"/>
        <w:right w:val="none" w:sz="0" w:space="0" w:color="auto"/>
      </w:divBdr>
    </w:div>
    <w:div w:id="1634796598">
      <w:bodyDiv w:val="1"/>
      <w:marLeft w:val="0"/>
      <w:marRight w:val="0"/>
      <w:marTop w:val="0"/>
      <w:marBottom w:val="0"/>
      <w:divBdr>
        <w:top w:val="none" w:sz="0" w:space="0" w:color="auto"/>
        <w:left w:val="none" w:sz="0" w:space="0" w:color="auto"/>
        <w:bottom w:val="none" w:sz="0" w:space="0" w:color="auto"/>
        <w:right w:val="none" w:sz="0" w:space="0" w:color="auto"/>
      </w:divBdr>
    </w:div>
    <w:div w:id="1671250784">
      <w:bodyDiv w:val="1"/>
      <w:marLeft w:val="0"/>
      <w:marRight w:val="0"/>
      <w:marTop w:val="0"/>
      <w:marBottom w:val="0"/>
      <w:divBdr>
        <w:top w:val="none" w:sz="0" w:space="0" w:color="auto"/>
        <w:left w:val="none" w:sz="0" w:space="0" w:color="auto"/>
        <w:bottom w:val="none" w:sz="0" w:space="0" w:color="auto"/>
        <w:right w:val="none" w:sz="0" w:space="0" w:color="auto"/>
      </w:divBdr>
    </w:div>
    <w:div w:id="1728989104">
      <w:bodyDiv w:val="1"/>
      <w:marLeft w:val="0"/>
      <w:marRight w:val="0"/>
      <w:marTop w:val="0"/>
      <w:marBottom w:val="0"/>
      <w:divBdr>
        <w:top w:val="none" w:sz="0" w:space="0" w:color="auto"/>
        <w:left w:val="none" w:sz="0" w:space="0" w:color="auto"/>
        <w:bottom w:val="none" w:sz="0" w:space="0" w:color="auto"/>
        <w:right w:val="none" w:sz="0" w:space="0" w:color="auto"/>
      </w:divBdr>
    </w:div>
    <w:div w:id="1790473665">
      <w:bodyDiv w:val="1"/>
      <w:marLeft w:val="0"/>
      <w:marRight w:val="0"/>
      <w:marTop w:val="0"/>
      <w:marBottom w:val="0"/>
      <w:divBdr>
        <w:top w:val="none" w:sz="0" w:space="0" w:color="auto"/>
        <w:left w:val="none" w:sz="0" w:space="0" w:color="auto"/>
        <w:bottom w:val="none" w:sz="0" w:space="0" w:color="auto"/>
        <w:right w:val="none" w:sz="0" w:space="0" w:color="auto"/>
      </w:divBdr>
    </w:div>
    <w:div w:id="1795825748">
      <w:bodyDiv w:val="1"/>
      <w:marLeft w:val="0"/>
      <w:marRight w:val="0"/>
      <w:marTop w:val="0"/>
      <w:marBottom w:val="0"/>
      <w:divBdr>
        <w:top w:val="none" w:sz="0" w:space="0" w:color="auto"/>
        <w:left w:val="none" w:sz="0" w:space="0" w:color="auto"/>
        <w:bottom w:val="none" w:sz="0" w:space="0" w:color="auto"/>
        <w:right w:val="none" w:sz="0" w:space="0" w:color="auto"/>
      </w:divBdr>
    </w:div>
    <w:div w:id="1840542628">
      <w:bodyDiv w:val="1"/>
      <w:marLeft w:val="0"/>
      <w:marRight w:val="0"/>
      <w:marTop w:val="0"/>
      <w:marBottom w:val="0"/>
      <w:divBdr>
        <w:top w:val="none" w:sz="0" w:space="0" w:color="auto"/>
        <w:left w:val="none" w:sz="0" w:space="0" w:color="auto"/>
        <w:bottom w:val="none" w:sz="0" w:space="0" w:color="auto"/>
        <w:right w:val="none" w:sz="0" w:space="0" w:color="auto"/>
      </w:divBdr>
    </w:div>
    <w:div w:id="1895504851">
      <w:bodyDiv w:val="1"/>
      <w:marLeft w:val="0"/>
      <w:marRight w:val="0"/>
      <w:marTop w:val="0"/>
      <w:marBottom w:val="0"/>
      <w:divBdr>
        <w:top w:val="none" w:sz="0" w:space="0" w:color="auto"/>
        <w:left w:val="none" w:sz="0" w:space="0" w:color="auto"/>
        <w:bottom w:val="none" w:sz="0" w:space="0" w:color="auto"/>
        <w:right w:val="none" w:sz="0" w:space="0" w:color="auto"/>
      </w:divBdr>
    </w:div>
    <w:div w:id="1897547575">
      <w:bodyDiv w:val="1"/>
      <w:marLeft w:val="0"/>
      <w:marRight w:val="0"/>
      <w:marTop w:val="0"/>
      <w:marBottom w:val="0"/>
      <w:divBdr>
        <w:top w:val="none" w:sz="0" w:space="0" w:color="auto"/>
        <w:left w:val="none" w:sz="0" w:space="0" w:color="auto"/>
        <w:bottom w:val="none" w:sz="0" w:space="0" w:color="auto"/>
        <w:right w:val="none" w:sz="0" w:space="0" w:color="auto"/>
      </w:divBdr>
    </w:div>
    <w:div w:id="1909802517">
      <w:bodyDiv w:val="1"/>
      <w:marLeft w:val="0"/>
      <w:marRight w:val="0"/>
      <w:marTop w:val="0"/>
      <w:marBottom w:val="0"/>
      <w:divBdr>
        <w:top w:val="none" w:sz="0" w:space="0" w:color="auto"/>
        <w:left w:val="none" w:sz="0" w:space="0" w:color="auto"/>
        <w:bottom w:val="none" w:sz="0" w:space="0" w:color="auto"/>
        <w:right w:val="none" w:sz="0" w:space="0" w:color="auto"/>
      </w:divBdr>
    </w:div>
    <w:div w:id="1932661383">
      <w:bodyDiv w:val="1"/>
      <w:marLeft w:val="0"/>
      <w:marRight w:val="0"/>
      <w:marTop w:val="0"/>
      <w:marBottom w:val="0"/>
      <w:divBdr>
        <w:top w:val="none" w:sz="0" w:space="0" w:color="auto"/>
        <w:left w:val="none" w:sz="0" w:space="0" w:color="auto"/>
        <w:bottom w:val="none" w:sz="0" w:space="0" w:color="auto"/>
        <w:right w:val="none" w:sz="0" w:space="0" w:color="auto"/>
      </w:divBdr>
      <w:divsChild>
        <w:div w:id="780799774">
          <w:marLeft w:val="0"/>
          <w:marRight w:val="0"/>
          <w:marTop w:val="0"/>
          <w:marBottom w:val="0"/>
          <w:divBdr>
            <w:top w:val="none" w:sz="0" w:space="0" w:color="auto"/>
            <w:left w:val="none" w:sz="0" w:space="0" w:color="auto"/>
            <w:bottom w:val="none" w:sz="0" w:space="0" w:color="auto"/>
            <w:right w:val="none" w:sz="0" w:space="0" w:color="auto"/>
          </w:divBdr>
          <w:divsChild>
            <w:div w:id="1732121542">
              <w:marLeft w:val="375"/>
              <w:marRight w:val="375"/>
              <w:marTop w:val="0"/>
              <w:marBottom w:val="0"/>
              <w:divBdr>
                <w:top w:val="none" w:sz="0" w:space="0" w:color="auto"/>
                <w:left w:val="none" w:sz="0" w:space="0" w:color="auto"/>
                <w:bottom w:val="none" w:sz="0" w:space="0" w:color="auto"/>
                <w:right w:val="none" w:sz="0" w:space="0" w:color="auto"/>
              </w:divBdr>
              <w:divsChild>
                <w:div w:id="2083216350">
                  <w:marLeft w:val="0"/>
                  <w:marRight w:val="0"/>
                  <w:marTop w:val="0"/>
                  <w:marBottom w:val="0"/>
                  <w:divBdr>
                    <w:top w:val="none" w:sz="0" w:space="0" w:color="auto"/>
                    <w:left w:val="none" w:sz="0" w:space="0" w:color="auto"/>
                    <w:bottom w:val="none" w:sz="0" w:space="0" w:color="auto"/>
                    <w:right w:val="none" w:sz="0" w:space="0" w:color="auto"/>
                  </w:divBdr>
                  <w:divsChild>
                    <w:div w:id="17133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212434">
      <w:bodyDiv w:val="1"/>
      <w:marLeft w:val="0"/>
      <w:marRight w:val="0"/>
      <w:marTop w:val="0"/>
      <w:marBottom w:val="0"/>
      <w:divBdr>
        <w:top w:val="none" w:sz="0" w:space="0" w:color="auto"/>
        <w:left w:val="none" w:sz="0" w:space="0" w:color="auto"/>
        <w:bottom w:val="none" w:sz="0" w:space="0" w:color="auto"/>
        <w:right w:val="none" w:sz="0" w:space="0" w:color="auto"/>
      </w:divBdr>
    </w:div>
    <w:div w:id="1960526221">
      <w:bodyDiv w:val="1"/>
      <w:marLeft w:val="0"/>
      <w:marRight w:val="0"/>
      <w:marTop w:val="0"/>
      <w:marBottom w:val="0"/>
      <w:divBdr>
        <w:top w:val="none" w:sz="0" w:space="0" w:color="auto"/>
        <w:left w:val="none" w:sz="0" w:space="0" w:color="auto"/>
        <w:bottom w:val="none" w:sz="0" w:space="0" w:color="auto"/>
        <w:right w:val="none" w:sz="0" w:space="0" w:color="auto"/>
      </w:divBdr>
    </w:div>
    <w:div w:id="1977486009">
      <w:bodyDiv w:val="1"/>
      <w:marLeft w:val="0"/>
      <w:marRight w:val="0"/>
      <w:marTop w:val="0"/>
      <w:marBottom w:val="0"/>
      <w:divBdr>
        <w:top w:val="none" w:sz="0" w:space="0" w:color="auto"/>
        <w:left w:val="none" w:sz="0" w:space="0" w:color="auto"/>
        <w:bottom w:val="none" w:sz="0" w:space="0" w:color="auto"/>
        <w:right w:val="none" w:sz="0" w:space="0" w:color="auto"/>
      </w:divBdr>
    </w:div>
    <w:div w:id="1985618664">
      <w:bodyDiv w:val="1"/>
      <w:marLeft w:val="0"/>
      <w:marRight w:val="0"/>
      <w:marTop w:val="0"/>
      <w:marBottom w:val="0"/>
      <w:divBdr>
        <w:top w:val="none" w:sz="0" w:space="0" w:color="auto"/>
        <w:left w:val="none" w:sz="0" w:space="0" w:color="auto"/>
        <w:bottom w:val="none" w:sz="0" w:space="0" w:color="auto"/>
        <w:right w:val="none" w:sz="0" w:space="0" w:color="auto"/>
      </w:divBdr>
    </w:div>
    <w:div w:id="1994941331">
      <w:bodyDiv w:val="1"/>
      <w:marLeft w:val="0"/>
      <w:marRight w:val="0"/>
      <w:marTop w:val="0"/>
      <w:marBottom w:val="0"/>
      <w:divBdr>
        <w:top w:val="none" w:sz="0" w:space="0" w:color="auto"/>
        <w:left w:val="none" w:sz="0" w:space="0" w:color="auto"/>
        <w:bottom w:val="none" w:sz="0" w:space="0" w:color="auto"/>
        <w:right w:val="none" w:sz="0" w:space="0" w:color="auto"/>
      </w:divBdr>
    </w:div>
    <w:div w:id="2008556882">
      <w:bodyDiv w:val="1"/>
      <w:marLeft w:val="0"/>
      <w:marRight w:val="0"/>
      <w:marTop w:val="0"/>
      <w:marBottom w:val="0"/>
      <w:divBdr>
        <w:top w:val="none" w:sz="0" w:space="0" w:color="auto"/>
        <w:left w:val="none" w:sz="0" w:space="0" w:color="auto"/>
        <w:bottom w:val="none" w:sz="0" w:space="0" w:color="auto"/>
        <w:right w:val="none" w:sz="0" w:space="0" w:color="auto"/>
      </w:divBdr>
    </w:div>
    <w:div w:id="2008971666">
      <w:bodyDiv w:val="1"/>
      <w:marLeft w:val="0"/>
      <w:marRight w:val="0"/>
      <w:marTop w:val="0"/>
      <w:marBottom w:val="0"/>
      <w:divBdr>
        <w:top w:val="none" w:sz="0" w:space="0" w:color="auto"/>
        <w:left w:val="none" w:sz="0" w:space="0" w:color="auto"/>
        <w:bottom w:val="none" w:sz="0" w:space="0" w:color="auto"/>
        <w:right w:val="none" w:sz="0" w:space="0" w:color="auto"/>
      </w:divBdr>
    </w:div>
    <w:div w:id="2028870024">
      <w:bodyDiv w:val="1"/>
      <w:marLeft w:val="0"/>
      <w:marRight w:val="0"/>
      <w:marTop w:val="0"/>
      <w:marBottom w:val="0"/>
      <w:divBdr>
        <w:top w:val="none" w:sz="0" w:space="0" w:color="auto"/>
        <w:left w:val="none" w:sz="0" w:space="0" w:color="auto"/>
        <w:bottom w:val="none" w:sz="0" w:space="0" w:color="auto"/>
        <w:right w:val="none" w:sz="0" w:space="0" w:color="auto"/>
      </w:divBdr>
    </w:div>
    <w:div w:id="2116905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wmf"/><Relationship Id="rId18" Type="http://schemas.openxmlformats.org/officeDocument/2006/relationships/image" Target="media/image6.png"/><Relationship Id="rId26" Type="http://schemas.openxmlformats.org/officeDocument/2006/relationships/hyperlink" Target="https://www.auasb.gov.au/media/eooobwth/auasb_rr13_sustainabilityworkshop_04-25.pdf"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creativecommons.org/licenses/by/4.0/legalcode" TargetMode="External"/><Relationship Id="rId17" Type="http://schemas.openxmlformats.org/officeDocument/2006/relationships/image" Target="media/image5.jpeg"/><Relationship Id="rId25" Type="http://schemas.openxmlformats.org/officeDocument/2006/relationships/hyperlink" Target="https://www.auasb.gov.au/media/oiyokuki/asa720-auasb_researchreportfinal.pdf" TargetMode="External"/><Relationship Id="rId2" Type="http://schemas.openxmlformats.org/officeDocument/2006/relationships/numbering" Target="numbering.xml"/><Relationship Id="rId16" Type="http://schemas.openxmlformats.org/officeDocument/2006/relationships/hyperlink" Target="mailto:media@treasury.gov.au" TargetMode="Externa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mc.gov.au/government/commonwealth-coat-arms" TargetMode="External"/><Relationship Id="rId23" Type="http://schemas.openxmlformats.org/officeDocument/2006/relationships/footer" Target="footer6.xml"/><Relationship Id="rId28" Type="http://schemas.openxmlformats.org/officeDocument/2006/relationships/hyperlink" Target="http://www.frc.gov.au" TargetMode="Externa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reativecommons.org/licenses/by/4.0/" TargetMode="External"/><Relationship Id="rId22" Type="http://schemas.openxmlformats.org/officeDocument/2006/relationships/hyperlink" Target="https://www.aph.gov.au/Parliamentary_Business/Committees/Joint/Corporations_and_Financial_Services/ConsultancyFirms/Report" TargetMode="External"/><Relationship Id="rId27" Type="http://schemas.openxmlformats.org/officeDocument/2006/relationships/hyperlink" Target="http://www.frc.gov.au"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footer5.xml.rels><?xml version="1.0" encoding="UTF-8" standalone="yes"?>
<Relationships xmlns="http://schemas.openxmlformats.org/package/2006/relationships"><Relationship Id="rId1" Type="http://schemas.openxmlformats.org/officeDocument/2006/relationships/image" Target="media/image3.jpg"/></Relationships>
</file>

<file path=word/_rels/footer6.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1" Type="http://schemas.openxmlformats.org/officeDocument/2006/relationships/hyperlink" Target="https://treasury.gov.au/the-department/corporate-publications/annual-repor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RC Annual Report 2024-25">
      <a:dk1>
        <a:sysClr val="windowText" lastClr="000000"/>
      </a:dk1>
      <a:lt1>
        <a:sysClr val="window" lastClr="FFFFFF"/>
      </a:lt1>
      <a:dk2>
        <a:srgbClr val="006170"/>
      </a:dk2>
      <a:lt2>
        <a:srgbClr val="EEECE1"/>
      </a:lt2>
      <a:accent1>
        <a:srgbClr val="497783"/>
      </a:accent1>
      <a:accent2>
        <a:srgbClr val="006170"/>
      </a:accent2>
      <a:accent3>
        <a:srgbClr val="006170"/>
      </a:accent3>
      <a:accent4>
        <a:srgbClr val="006170"/>
      </a:accent4>
      <a:accent5>
        <a:srgbClr val="006170"/>
      </a:accent5>
      <a:accent6>
        <a:srgbClr val="006170"/>
      </a:accent6>
      <a:hlink>
        <a:srgbClr val="006170"/>
      </a:hlink>
      <a:folHlink>
        <a:srgbClr val="679DA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The23</b:Tag>
    <b:SourceType>InternetSite</b:SourceType>
    <b:Guid>{DE438838-A598-43A0-95E6-CF5275E42F3D}</b:Guid>
    <b:Title>The Economist</b:Title>
    <b:Year>2023</b:Year>
    <b:Month>June</b:Month>
    <b:Day>4</b:Day>
    <b:URL>https://www.economist.com/finance-and-economics/2023/06/04/who-is-keeping-coal-alive</b:URL>
    <b:RefOrder>1</b:RefOrder>
  </b:Source>
</b:Sources>
</file>

<file path=customXml/itemProps1.xml><?xml version="1.0" encoding="utf-8"?>
<ds:datastoreItem xmlns:ds="http://schemas.openxmlformats.org/officeDocument/2006/customXml" ds:itemID="{327D2486-4050-4E01-9E88-99090F68D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12178</Words>
  <Characters>69420</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Financial Reporting Council 2024–2025 Annual Report</vt:lpstr>
    </vt:vector>
  </TitlesOfParts>
  <Company/>
  <LinksUpToDate>false</LinksUpToDate>
  <CharactersWithSpaces>81436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Reporting Council 2024–2025 Annual Report</dc:title>
  <dc:subject/>
  <dc:creator>Financial Reporting Council</dc:creator>
  <cp:keywords/>
  <dc:description/>
  <cp:lastModifiedBy/>
  <cp:revision>1</cp:revision>
  <dcterms:created xsi:type="dcterms:W3CDTF">2025-10-27T05:37:00Z</dcterms:created>
  <dcterms:modified xsi:type="dcterms:W3CDTF">2025-10-27T05:38:00Z</dcterms:modified>
  <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2025-10-27T05:37:29Z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44766068-5e3c-4472-a1dd-672f586a855d</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y fmtid="{D5CDD505-2E9C-101B-9397-08002B2CF9AE}" pid="10" name="Language">
    <vt:lpwstr>English</vt:lpwstr>
  </property>
</Properties>
</file>