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935" w14:textId="77777777" w:rsidR="00810A38" w:rsidRDefault="00810A38" w:rsidP="001D7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 w:eastAsia="en-AU"/>
        </w:rPr>
      </w:pPr>
    </w:p>
    <w:p w14:paraId="580087D4" w14:textId="2FA7080E" w:rsidR="00810A38" w:rsidRDefault="00810A38" w:rsidP="00810A38">
      <w:pPr>
        <w:tabs>
          <w:tab w:val="left" w:pos="7230"/>
        </w:tabs>
        <w:spacing w:before="480"/>
        <w:ind w:right="96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AUDITING AND ASSURANCE STANDARDS BOARD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</w:rPr>
        <w:t>APPLICATIONS FOR APPOINTMENT AS A MEMBER</w:t>
      </w:r>
    </w:p>
    <w:p w14:paraId="2767B5B2" w14:textId="5D777411" w:rsidR="00810A38" w:rsidRDefault="00435661" w:rsidP="00810A38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 w:rsidRPr="00435661">
        <w:rPr>
          <w:rFonts w:ascii="Calibri" w:eastAsia="Calibri" w:hAnsi="Calibri" w:cs="Calibri"/>
          <w:sz w:val="22"/>
          <w:szCs w:val="22"/>
          <w:lang w:val="en-US"/>
        </w:rPr>
        <w:t>Two</w:t>
      </w:r>
      <w:r w:rsidR="00810A38" w:rsidRPr="00435661">
        <w:rPr>
          <w:rFonts w:ascii="Calibri" w:eastAsia="Calibri" w:hAnsi="Calibri" w:cs="Calibri"/>
          <w:sz w:val="22"/>
          <w:szCs w:val="22"/>
          <w:lang w:val="en-US"/>
        </w:rPr>
        <w:t xml:space="preserve"> vacanc</w:t>
      </w:r>
      <w:r w:rsidRPr="00435661">
        <w:rPr>
          <w:rFonts w:ascii="Calibri" w:eastAsia="Calibri" w:hAnsi="Calibri" w:cs="Calibri"/>
          <w:sz w:val="22"/>
          <w:szCs w:val="22"/>
          <w:lang w:val="en-US"/>
        </w:rPr>
        <w:t>ies</w:t>
      </w:r>
      <w:r w:rsidR="00810A38">
        <w:rPr>
          <w:rFonts w:ascii="Calibri" w:eastAsia="Calibri" w:hAnsi="Calibri" w:cs="Calibri"/>
          <w:sz w:val="22"/>
          <w:szCs w:val="22"/>
          <w:lang w:val="en-US"/>
        </w:rPr>
        <w:t xml:space="preserve"> currently exist for appointment as a part-time member of the Auditing and Assurance Standards Board (AUASB). </w:t>
      </w:r>
    </w:p>
    <w:p w14:paraId="50B233CC" w14:textId="77777777" w:rsidR="00810A38" w:rsidRDefault="00810A38" w:rsidP="00810A38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AUASB is an independent Commonwealth statutory body established under the</w:t>
      </w:r>
      <w:r w:rsidRPr="00035DAD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Australian Securities and Investments Commission Act 2001</w:t>
      </w:r>
      <w:r>
        <w:rPr>
          <w:rFonts w:ascii="Calibri" w:eastAsia="Calibri" w:hAnsi="Calibri" w:cs="Calibri"/>
          <w:sz w:val="22"/>
          <w:szCs w:val="22"/>
          <w:lang w:val="en-US"/>
        </w:rPr>
        <w:t>. Its functions include formulating auditing and assurance standards for Australia and participating in and contributing to the development of a single set of auditing standards for world</w:t>
      </w:r>
      <w:r>
        <w:rPr>
          <w:rFonts w:ascii="Calibri" w:eastAsia="Calibri" w:hAnsi="Calibri" w:cs="Calibri"/>
          <w:sz w:val="22"/>
          <w:szCs w:val="22"/>
          <w:lang w:val="en-US"/>
        </w:rPr>
        <w:noBreakHyphen/>
        <w:t>wide use.</w:t>
      </w:r>
    </w:p>
    <w:p w14:paraId="5F79F38C" w14:textId="77777777" w:rsidR="00810A38" w:rsidRDefault="00810A38" w:rsidP="00810A38">
      <w:pPr>
        <w:pStyle w:val="Body"/>
        <w:spacing w:after="120"/>
        <w:ind w:right="95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It is expected that the successful applicant </w:t>
      </w:r>
      <w:r w:rsidRPr="005D4262">
        <w:rPr>
          <w:rFonts w:ascii="Calibri" w:eastAsia="Calibri" w:hAnsi="Calibri" w:cs="Calibri"/>
          <w:sz w:val="22"/>
          <w:szCs w:val="22"/>
          <w:lang w:val="en-US"/>
        </w:rPr>
        <w:t xml:space="preserve">will be appointed from 1 </w:t>
      </w:r>
      <w:r>
        <w:rPr>
          <w:rFonts w:ascii="Calibri" w:eastAsia="Calibri" w:hAnsi="Calibri" w:cs="Calibri"/>
          <w:sz w:val="22"/>
          <w:szCs w:val="22"/>
          <w:lang w:val="en-US"/>
        </w:rPr>
        <w:t>January 2025.</w:t>
      </w:r>
    </w:p>
    <w:p w14:paraId="648124EA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The appointment will be made by the Financial Reporting Council (FRC). The FRC is the peak body responsible for overseeing the effectiveness of the financial reporting framework in Australia. </w:t>
      </w:r>
    </w:p>
    <w:p w14:paraId="497203CB" w14:textId="77777777" w:rsidR="00810A38" w:rsidRPr="00035DAD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The FRC </w:t>
      </w:r>
      <w:r>
        <w:rPr>
          <w:rFonts w:ascii="Calibri" w:eastAsia="Calibri" w:hAnsi="Calibri" w:cs="Calibri"/>
          <w:sz w:val="22"/>
          <w:lang w:val="en-US"/>
        </w:rPr>
        <w:t xml:space="preserve">welcomes applications from all qualified individuals and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is seeking candidates with expertise as </w:t>
      </w:r>
      <w:r w:rsidRPr="00035DAD">
        <w:rPr>
          <w:rFonts w:asciiTheme="minorHAnsi" w:eastAsia="Calibri" w:hAnsiTheme="minorHAnsi" w:cs="Calibri"/>
          <w:sz w:val="22"/>
          <w:szCs w:val="22"/>
          <w:lang w:val="en-US"/>
        </w:rPr>
        <w:t>a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n audit practitioner, a </w:t>
      </w:r>
      <w:r w:rsidRPr="00035DAD">
        <w:rPr>
          <w:rFonts w:asciiTheme="minorHAnsi" w:eastAsia="Calibri" w:hAnsiTheme="minorHAnsi" w:cs="Calibri"/>
          <w:sz w:val="22"/>
          <w:szCs w:val="22"/>
          <w:lang w:val="en-US"/>
        </w:rPr>
        <w:t>non-executive director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with audit committee experience</w:t>
      </w:r>
      <w:r w:rsidRPr="00035DAD">
        <w:rPr>
          <w:rFonts w:asciiTheme="minorHAnsi" w:eastAsia="Calibri" w:hAnsiTheme="minorHAnsi" w:cs="Calibri"/>
          <w:sz w:val="22"/>
          <w:szCs w:val="22"/>
          <w:lang w:val="en-US"/>
        </w:rPr>
        <w:t xml:space="preserve"> or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a </w:t>
      </w:r>
      <w:r w:rsidRPr="00035DAD">
        <w:rPr>
          <w:rFonts w:asciiTheme="minorHAnsi" w:eastAsia="Calibri" w:hAnsiTheme="minorHAnsi" w:cs="Calibri"/>
          <w:sz w:val="22"/>
          <w:szCs w:val="22"/>
          <w:lang w:val="en-US"/>
        </w:rPr>
        <w:t>preparer of financial reports for a large corporate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 or having a relevant academic background</w:t>
      </w:r>
      <w:r w:rsidRPr="00035DAD">
        <w:rPr>
          <w:rFonts w:asciiTheme="minorHAnsi" w:eastAsia="Calibri" w:hAnsiTheme="minorHAnsi" w:cs="Calibri"/>
          <w:sz w:val="22"/>
          <w:szCs w:val="22"/>
          <w:lang w:val="en-US"/>
        </w:rPr>
        <w:t>.</w:t>
      </w:r>
    </w:p>
    <w:p w14:paraId="360853F8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AUASB typically holds 7-8 meetings a year, </w:t>
      </w:r>
      <w:r>
        <w:rPr>
          <w:rFonts w:ascii="Calibri" w:eastAsia="Calibri" w:hAnsi="Calibri" w:cs="Calibri"/>
          <w:sz w:val="22"/>
          <w:szCs w:val="22"/>
          <w:lang w:val="en-US"/>
        </w:rPr>
        <w:t>comprising a mix of single day and two day meetings</w:t>
      </w:r>
      <w:r w:rsidRPr="00127D08">
        <w:rPr>
          <w:rFonts w:ascii="Calibri" w:eastAsia="Calibri" w:hAnsi="Calibri" w:cs="Calibri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Four or five meetings are typically held in person (usually in Melbourne, although meetings may occasionally be in another capital city).  Other meetings are typically held virtually.  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>Out of session work to finalise minor issues, involvement in Project Advisory Panels or subcommittees and attendance at related meetings is also expected.</w:t>
      </w:r>
    </w:p>
    <w:p w14:paraId="788A2709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Staff located mainly in Melbourne provide the Board with technical and administrative support.</w:t>
      </w:r>
    </w:p>
    <w:p w14:paraId="67086B38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Applications should comprise a current CV and address the selection criteria. The selection criteria are available at </w:t>
      </w:r>
      <w:hyperlink r:id="rId7" w:history="1">
        <w:r>
          <w:rPr>
            <w:rStyle w:val="Hyperlink"/>
            <w:rFonts w:ascii="ZWAdobeF" w:hAnsi="ZWAdobeF" w:cs="ZWAdobeF"/>
            <w:color w:val="auto"/>
            <w:sz w:val="2"/>
            <w:szCs w:val="2"/>
          </w:rPr>
          <w:t>34T</w:t>
        </w:r>
        <w:r>
          <w:rPr>
            <w:rStyle w:val="Hyperlink"/>
            <w:rFonts w:ascii="ZWAdobeF" w:hAnsi="ZWAdobeF" w:cs="ZWAdobeF"/>
            <w:color w:val="0000FF"/>
            <w:sz w:val="2"/>
            <w:szCs w:val="2"/>
          </w:rPr>
          <w:t>U</w:t>
        </w:r>
        <w:r>
          <w:rPr>
            <w:rStyle w:val="Hyperlink0"/>
          </w:rPr>
          <w:t>www.frc.gov.au</w:t>
        </w:r>
        <w:r>
          <w:rPr>
            <w:rStyle w:val="Hyperlink0"/>
            <w:rFonts w:ascii="ZWAdobeF" w:hAnsi="ZWAdobeF" w:cs="ZWAdobeF"/>
            <w:sz w:val="2"/>
            <w:szCs w:val="2"/>
          </w:rPr>
          <w:t>U</w:t>
        </w:r>
        <w:r>
          <w:rPr>
            <w:rStyle w:val="Hyperlink0"/>
            <w:rFonts w:ascii="ZWAdobeF" w:hAnsi="ZWAdobeF" w:cs="ZWAdobeF"/>
            <w:color w:val="auto"/>
            <w:sz w:val="2"/>
            <w:szCs w:val="2"/>
          </w:rPr>
          <w:t>34T</w:t>
        </w:r>
      </w:hyperlink>
      <w:r>
        <w:rPr>
          <w:rStyle w:val="Hyperlink0"/>
          <w:rFonts w:ascii="ZWAdobeF" w:hAnsi="ZWAdobeF" w:cs="ZWAdobeF"/>
          <w:sz w:val="2"/>
          <w:szCs w:val="2"/>
        </w:rPr>
        <w:t>U</w:t>
      </w:r>
      <w:r>
        <w:rPr>
          <w:rStyle w:val="Hyperlink0"/>
          <w:rFonts w:ascii="ZWAdobeF" w:hAnsi="ZWAdobeF" w:cs="ZWAdobeF"/>
          <w:color w:val="auto"/>
          <w:sz w:val="2"/>
          <w:szCs w:val="2"/>
        </w:rPr>
        <w:t>34T</w:t>
      </w:r>
      <w:r>
        <w:rPr>
          <w:rFonts w:asciiTheme="minorHAnsi" w:eastAsia="Calibri" w:hAnsiTheme="minorHAnsi" w:cs="Calibri"/>
          <w:sz w:val="22"/>
          <w:szCs w:val="22"/>
          <w:lang w:val="en-US"/>
        </w:rPr>
        <w:t xml:space="preserve">. Brevity would be appreciated. Further information about the position, the framework for appointment to the AUASB, remuneration and allowances is available at </w:t>
      </w:r>
      <w:hyperlink r:id="rId8" w:history="1">
        <w:r w:rsidRPr="00347D71">
          <w:rPr>
            <w:rStyle w:val="Hyperlink0"/>
          </w:rPr>
          <w:t>www.auasb.gov.au</w:t>
        </w:r>
      </w:hyperlink>
      <w:r>
        <w:rPr>
          <w:rFonts w:asciiTheme="minorHAnsi" w:eastAsia="Calibri" w:hAnsiTheme="minorHAnsi" w:cs="Calibri"/>
          <w:sz w:val="22"/>
          <w:szCs w:val="22"/>
          <w:lang w:val="en-US"/>
        </w:rPr>
        <w:t>.</w:t>
      </w:r>
    </w:p>
    <w:p w14:paraId="4906335C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sz w:val="22"/>
          <w:szCs w:val="22"/>
          <w:lang w:val="en-US"/>
        </w:rPr>
        <w:t>Applications should be addressed to:</w:t>
      </w:r>
    </w:p>
    <w:p w14:paraId="0DED3F78" w14:textId="77777777" w:rsidR="00810A38" w:rsidRPr="00595950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 w:rsidRPr="553898A1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The Chair</w:t>
      </w:r>
      <w:r>
        <w:br/>
      </w:r>
      <w:r w:rsidRPr="553898A1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FRC Nominations Committee</w:t>
      </w:r>
      <w:r>
        <w:br/>
      </w:r>
      <w:r w:rsidRPr="553898A1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 xml:space="preserve">c/- The Treasury, Langton Crescent </w:t>
      </w:r>
      <w:r>
        <w:br/>
      </w:r>
      <w:r w:rsidRPr="553898A1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Parkes ACT 2600</w:t>
      </w:r>
      <w:r>
        <w:br/>
      </w:r>
    </w:p>
    <w:p w14:paraId="61A89969" w14:textId="77777777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 w:rsidRPr="553898A1">
        <w:rPr>
          <w:rFonts w:asciiTheme="minorHAnsi" w:eastAsia="Calibri" w:hAnsiTheme="minorHAnsi" w:cs="Calibri"/>
          <w:sz w:val="22"/>
          <w:szCs w:val="22"/>
          <w:lang w:val="en-US"/>
        </w:rPr>
        <w:t xml:space="preserve">Applications may be emailed to </w:t>
      </w:r>
      <w:hyperlink r:id="rId9" w:history="1">
        <w:r w:rsidRPr="00595950">
          <w:rPr>
            <w:rFonts w:asciiTheme="minorHAnsi" w:eastAsia="Calibri" w:hAnsiTheme="minorHAnsi" w:cs="Calibri"/>
            <w:sz w:val="22"/>
            <w:szCs w:val="22"/>
            <w:lang w:val="en-US"/>
          </w:rPr>
          <w:t>secretariat@frc.gov.au</w:t>
        </w:r>
      </w:hyperlink>
      <w:r>
        <w:rPr>
          <w:rFonts w:asciiTheme="minorHAnsi" w:hAnsiTheme="minorHAnsi" w:cs="Calibri"/>
          <w:b/>
          <w:bCs/>
          <w:sz w:val="22"/>
          <w:szCs w:val="22"/>
          <w:lang w:val="en-US"/>
        </w:rPr>
        <w:t>.</w:t>
      </w:r>
      <w:r w:rsidRPr="553898A1">
        <w:rPr>
          <w:rFonts w:asciiTheme="minorHAnsi" w:eastAsia="Calibri" w:hAnsiTheme="minorHAnsi" w:cs="Calibri"/>
          <w:sz w:val="22"/>
          <w:szCs w:val="22"/>
          <w:lang w:val="en-US"/>
        </w:rPr>
        <w:t xml:space="preserve"> A confirmation of application received will be sent to all applicants. </w:t>
      </w:r>
    </w:p>
    <w:p w14:paraId="1C12418A" w14:textId="32674463" w:rsidR="00810A38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 w:rsidRPr="553898A1">
        <w:rPr>
          <w:rFonts w:asciiTheme="minorHAnsi" w:eastAsia="Calibri" w:hAnsiTheme="minorHAnsi" w:cs="Calibri"/>
          <w:sz w:val="22"/>
          <w:szCs w:val="22"/>
          <w:lang w:val="en-US"/>
        </w:rPr>
        <w:t xml:space="preserve">Applications are sought by </w:t>
      </w:r>
      <w:r w:rsidR="00A51C88">
        <w:rPr>
          <w:rFonts w:asciiTheme="minorHAnsi" w:eastAsia="Calibri" w:hAnsiTheme="minorHAnsi" w:cs="Calibri"/>
          <w:sz w:val="22"/>
          <w:szCs w:val="22"/>
          <w:lang w:val="en-US"/>
        </w:rPr>
        <w:t xml:space="preserve">30 August 2024. </w:t>
      </w:r>
    </w:p>
    <w:p w14:paraId="0369104C" w14:textId="77777777" w:rsidR="00810A38" w:rsidRPr="00516B4D" w:rsidRDefault="00810A38" w:rsidP="00810A38">
      <w:pPr>
        <w:pStyle w:val="Body"/>
        <w:spacing w:after="120"/>
        <w:ind w:right="95"/>
        <w:rPr>
          <w:rFonts w:asciiTheme="minorHAnsi" w:eastAsia="Calibri" w:hAnsiTheme="minorHAnsi" w:cs="Calibri"/>
          <w:sz w:val="22"/>
          <w:szCs w:val="22"/>
          <w:lang w:val="en-US"/>
        </w:rPr>
      </w:pPr>
      <w:r w:rsidRPr="553898A1">
        <w:rPr>
          <w:rFonts w:asciiTheme="minorHAnsi" w:eastAsia="Calibri" w:hAnsiTheme="minorHAnsi" w:cs="Calibri"/>
          <w:sz w:val="22"/>
          <w:szCs w:val="22"/>
          <w:lang w:val="en-US"/>
        </w:rPr>
        <w:t xml:space="preserve">Should you wish to discuss further details of these positions, please contact the Chair of the FRC Nominations Committee or FRC Secretariat via email: </w:t>
      </w:r>
      <w:hyperlink r:id="rId10" w:history="1">
        <w:r w:rsidRPr="007F031F">
          <w:rPr>
            <w:rFonts w:asciiTheme="minorHAnsi" w:eastAsia="Calibri" w:hAnsiTheme="minorHAnsi" w:cs="Calibri"/>
            <w:sz w:val="22"/>
            <w:szCs w:val="22"/>
            <w:lang w:val="en-US"/>
          </w:rPr>
          <w:t>secretariat@frc.gov.au</w:t>
        </w:r>
      </w:hyperlink>
      <w:r w:rsidRPr="007F031F">
        <w:rPr>
          <w:rFonts w:asciiTheme="minorHAnsi" w:eastAsia="Calibri" w:hAnsiTheme="minorHAnsi" w:cs="Calibri"/>
          <w:sz w:val="22"/>
          <w:szCs w:val="22"/>
          <w:lang w:val="en-US"/>
        </w:rPr>
        <w:t xml:space="preserve">. </w:t>
      </w:r>
    </w:p>
    <w:p w14:paraId="0CA282E5" w14:textId="70A2D9D2" w:rsidR="00810A38" w:rsidRDefault="00810A38">
      <w:pP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 w:eastAsia="en-AU"/>
        </w:rPr>
      </w:pPr>
    </w:p>
    <w:p w14:paraId="5B132235" w14:textId="77777777" w:rsidR="00810A38" w:rsidRDefault="00810A38">
      <w:pP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 w:eastAsia="en-AU"/>
        </w:rPr>
      </w:pPr>
    </w:p>
    <w:p w14:paraId="09FF22F4" w14:textId="77777777" w:rsidR="00810A38" w:rsidRDefault="00810A38">
      <w:pP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 w:eastAsia="en-AU"/>
        </w:rPr>
      </w:pPr>
    </w:p>
    <w:p w14:paraId="65A12936" w14:textId="7A303318" w:rsidR="001D7787" w:rsidRPr="001D7787" w:rsidRDefault="001D7787" w:rsidP="001D7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 w:eastAsia="en-AU"/>
        </w:rPr>
      </w:pPr>
    </w:p>
    <w:p w14:paraId="72B6E584" w14:textId="77777777" w:rsidR="001D7787" w:rsidRPr="00E24D02" w:rsidRDefault="001D7787" w:rsidP="001D7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n-AU"/>
        </w:rPr>
      </w:pPr>
      <w:r w:rsidRPr="00E24D02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en-AU"/>
        </w:rPr>
        <w:t>Selection Criteria</w:t>
      </w:r>
    </w:p>
    <w:p w14:paraId="6D8FDE2E" w14:textId="44710E2F" w:rsidR="001D7787" w:rsidRPr="001D7787" w:rsidRDefault="001D7787" w:rsidP="001D7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n-AU"/>
        </w:rPr>
      </w:pPr>
      <w:r w:rsidRPr="001D778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Successful applicants to the Australian</w:t>
      </w:r>
      <w:r w:rsidR="00061B66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 xml:space="preserve"> Auditing and Assurance Standards Board </w:t>
      </w:r>
      <w:r w:rsidRPr="001D778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AU"/>
        </w:rPr>
        <w:t>will be able to succinctly demonstrate the following:</w:t>
      </w:r>
    </w:p>
    <w:p w14:paraId="434B73D6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Understanding of the functions and powers of the Australian Accounting Standards Board as set out in the </w:t>
      </w:r>
      <w:r w:rsidRPr="001D7787">
        <w:rPr>
          <w:rFonts w:ascii="Calibri" w:eastAsia="Calibri" w:hAnsi="Calibri" w:cs="Calibri"/>
          <w:i/>
          <w:iCs/>
          <w:color w:val="000000"/>
          <w:u w:color="000000"/>
          <w:bdr w:val="nil"/>
          <w:lang w:val="en-US" w:eastAsia="en-AU"/>
        </w:rPr>
        <w:t>Australian Securities and Investments Commission Act 2001</w:t>
      </w: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. </w:t>
      </w:r>
    </w:p>
    <w:p w14:paraId="40A7AC96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Ability to balance strategic and policy considerations with technical accounting issues.</w:t>
      </w:r>
    </w:p>
    <w:p w14:paraId="7B94DA25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Appreciation of the importance of the overall public good relative to sectional or vested interests.</w:t>
      </w:r>
    </w:p>
    <w:p w14:paraId="1881AD9D" w14:textId="49165973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Understanding of the needs of users and the external reporting </w:t>
      </w:r>
      <w:r w:rsidR="00672A5F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and assurance </w:t>
      </w: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in the for-profit, not-for-profit and public sectors. </w:t>
      </w:r>
    </w:p>
    <w:p w14:paraId="41EE105D" w14:textId="6278BAB1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Ability to apply technical</w:t>
      </w:r>
      <w:r w:rsidR="00672A5F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, business and market </w:t>
      </w: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knowledge to practical issues, including impacts for smaller entities and practitioners.</w:t>
      </w:r>
    </w:p>
    <w:p w14:paraId="64F69FB1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Ability to communicate clearly and concisely, both verbally and in written format. </w:t>
      </w:r>
    </w:p>
    <w:p w14:paraId="64593652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Ability to work as a collegiate board member, respecting differing points of view.</w:t>
      </w:r>
    </w:p>
    <w:p w14:paraId="4D85CCA4" w14:textId="77777777" w:rsidR="001D7787" w:rsidRPr="001D7787" w:rsidRDefault="001D7787" w:rsidP="001D77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Ability to develop and maintain strong networks and relationships.  </w:t>
      </w:r>
    </w:p>
    <w:p w14:paraId="72F5016F" w14:textId="77777777" w:rsidR="00732735" w:rsidRDefault="001D7787" w:rsidP="00732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Ability to provide appropriate technical and practical input to board deliberations and commit adequate time to board meetings</w:t>
      </w:r>
      <w:r w:rsidR="00672A5F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, subcommittee meetings</w:t>
      </w: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and advisory group meetings.</w:t>
      </w:r>
    </w:p>
    <w:p w14:paraId="7A3CD351" w14:textId="77777777" w:rsidR="00274A0B" w:rsidRPr="000E0371" w:rsidRDefault="00274A0B" w:rsidP="00274A0B">
      <w:pPr>
        <w:pStyle w:val="BulletA"/>
        <w:numPr>
          <w:ilvl w:val="0"/>
          <w:numId w:val="2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Relevant knowledge and experience that satisfies the FRC’s desired skills and expertise in </w:t>
      </w:r>
      <w:r>
        <w:rPr>
          <w:rFonts w:ascii="Calibri" w:hAnsi="Calibri" w:cs="Calibri"/>
          <w:sz w:val="22"/>
          <w:szCs w:val="22"/>
        </w:rPr>
        <w:t>non-executive directorship of, or preparation of financial reports for, a large corporate, ideally with experience on or working with audit committees and strong corporate governance skills.</w:t>
      </w:r>
    </w:p>
    <w:p w14:paraId="719DA51C" w14:textId="259B767B" w:rsidR="009F0417" w:rsidRDefault="001D7787" w:rsidP="001D77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100" w:after="240" w:line="240" w:lineRule="auto"/>
        <w:rPr>
          <w:rFonts w:ascii="Calibri" w:eastAsia="Arial Unicode MS" w:hAnsi="Calibri" w:cs="Calibri"/>
          <w:color w:val="000000"/>
          <w:u w:color="000000"/>
          <w:bdr w:val="nil"/>
          <w:lang w:val="en-US" w:eastAsia="en-AU"/>
        </w:rPr>
      </w:pPr>
      <w:r w:rsidRPr="001D778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Additionally, expertise </w:t>
      </w:r>
      <w:r w:rsidRPr="001D7787">
        <w:rPr>
          <w:rFonts w:ascii="Calibri" w:eastAsia="Arial Unicode MS" w:hAnsi="Calibri" w:cs="Calibri"/>
          <w:color w:val="000000"/>
          <w:u w:color="000000"/>
          <w:bdr w:val="nil"/>
          <w:lang w:val="en-US" w:eastAsia="en-AU"/>
        </w:rPr>
        <w:t xml:space="preserve">in </w:t>
      </w:r>
      <w:r w:rsidR="00260D86">
        <w:rPr>
          <w:rFonts w:ascii="Calibri" w:eastAsia="Arial Unicode MS" w:hAnsi="Calibri" w:cs="Calibri"/>
          <w:color w:val="000000"/>
          <w:u w:color="000000"/>
          <w:bdr w:val="nil"/>
          <w:lang w:val="en-US" w:eastAsia="en-AU"/>
        </w:rPr>
        <w:t xml:space="preserve">matters related to sustainability and climate reporting assurance would be highly valuable. </w:t>
      </w:r>
      <w:r w:rsidRPr="001D7787">
        <w:rPr>
          <w:rFonts w:ascii="Calibri" w:eastAsia="Arial Unicode MS" w:hAnsi="Calibri" w:cs="Calibri"/>
          <w:color w:val="000000"/>
          <w:u w:color="000000"/>
          <w:bdr w:val="nil"/>
          <w:lang w:val="en-US" w:eastAsia="en-AU"/>
        </w:rPr>
        <w:t xml:space="preserve"> </w:t>
      </w:r>
    </w:p>
    <w:p w14:paraId="4E57F62A" w14:textId="3605CE8E" w:rsidR="001D7787" w:rsidRPr="0073004F" w:rsidRDefault="001D7787" w:rsidP="0073004F">
      <w:pPr>
        <w:rPr>
          <w:rFonts w:ascii="Calibri" w:eastAsia="Arial Unicode MS" w:hAnsi="Calibri" w:cs="Calibri"/>
          <w:color w:val="000000"/>
          <w:u w:color="000000"/>
          <w:bdr w:val="nil"/>
          <w:lang w:val="en-US" w:eastAsia="en-AU"/>
        </w:rPr>
      </w:pPr>
    </w:p>
    <w:sectPr w:rsidR="001D7787" w:rsidRPr="0073004F">
      <w:headerReference w:type="default" r:id="rId11"/>
      <w:footerReference w:type="default" r:id="rId12"/>
      <w:pgSz w:w="11906" w:h="16838" w:code="9"/>
      <w:pgMar w:top="160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24AD" w14:textId="77777777" w:rsidR="000F477D" w:rsidRDefault="000F477D">
      <w:pPr>
        <w:spacing w:after="0" w:line="240" w:lineRule="auto"/>
      </w:pPr>
      <w:r>
        <w:separator/>
      </w:r>
    </w:p>
  </w:endnote>
  <w:endnote w:type="continuationSeparator" w:id="0">
    <w:p w14:paraId="6A544693" w14:textId="77777777" w:rsidR="000F477D" w:rsidRDefault="000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C3EF" w14:textId="77777777" w:rsidR="007C35DA" w:rsidRPr="00892C46" w:rsidRDefault="009F0417">
    <w:pPr>
      <w:pStyle w:val="Footer"/>
      <w:jc w:val="center"/>
      <w:rPr>
        <w:caps/>
        <w:noProof/>
        <w:color w:val="auto"/>
      </w:rPr>
    </w:pPr>
    <w:r w:rsidRPr="00892C46">
      <w:rPr>
        <w:caps/>
        <w:color w:val="auto"/>
      </w:rPr>
      <w:fldChar w:fldCharType="begin"/>
    </w:r>
    <w:r w:rsidRPr="00892C46">
      <w:rPr>
        <w:caps/>
        <w:color w:val="auto"/>
      </w:rPr>
      <w:instrText xml:space="preserve"> PAGE   \* MERGEFORMAT </w:instrText>
    </w:r>
    <w:r w:rsidRPr="00892C46">
      <w:rPr>
        <w:caps/>
        <w:color w:val="auto"/>
      </w:rPr>
      <w:fldChar w:fldCharType="separate"/>
    </w:r>
    <w:r w:rsidRPr="00892C46">
      <w:rPr>
        <w:caps/>
        <w:noProof/>
        <w:color w:val="auto"/>
      </w:rPr>
      <w:t>2</w:t>
    </w:r>
    <w:r w:rsidRPr="00892C46">
      <w:rPr>
        <w:caps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9C8" w14:textId="77777777" w:rsidR="000F477D" w:rsidRDefault="000F477D">
      <w:pPr>
        <w:spacing w:after="0" w:line="240" w:lineRule="auto"/>
      </w:pPr>
      <w:r>
        <w:separator/>
      </w:r>
    </w:p>
  </w:footnote>
  <w:footnote w:type="continuationSeparator" w:id="0">
    <w:p w14:paraId="014A1902" w14:textId="77777777" w:rsidR="000F477D" w:rsidRDefault="000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E8FA" w14:textId="11D2E5E2" w:rsidR="00810A38" w:rsidRDefault="00810A38">
    <w:pPr>
      <w:pStyle w:val="Header"/>
    </w:pPr>
  </w:p>
  <w:p w14:paraId="43877623" w14:textId="299B478F" w:rsidR="007C35DA" w:rsidRDefault="001437C1" w:rsidP="001437C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515017B" wp14:editId="51E69EEE">
          <wp:extent cx="3105150" cy="619125"/>
          <wp:effectExtent l="0" t="0" r="0" b="9525"/>
          <wp:docPr id="3" name="Picture 3" descr="FRC_inline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RC_inline_2" descr="FRC_inline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A7A"/>
    <w:multiLevelType w:val="hybridMultilevel"/>
    <w:tmpl w:val="6BD08D56"/>
    <w:styleLink w:val="ImportedStyle1"/>
    <w:lvl w:ilvl="0" w:tplc="8248698C">
      <w:start w:val="1"/>
      <w:numFmt w:val="bullet"/>
      <w:lvlText w:val="•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DF46">
      <w:start w:val="1"/>
      <w:numFmt w:val="bullet"/>
      <w:lvlText w:val="–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CA146">
      <w:start w:val="1"/>
      <w:numFmt w:val="bullet"/>
      <w:lvlText w:val=":"/>
      <w:lvlJc w:val="left"/>
      <w:pPr>
        <w:ind w:left="170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5B8C">
      <w:start w:val="1"/>
      <w:numFmt w:val="bullet"/>
      <w:lvlText w:val=":"/>
      <w:lvlJc w:val="left"/>
      <w:pPr>
        <w:ind w:left="226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E132">
      <w:start w:val="1"/>
      <w:numFmt w:val="bullet"/>
      <w:lvlText w:val=":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6669C">
      <w:start w:val="1"/>
      <w:numFmt w:val="bullet"/>
      <w:lvlText w:val=":"/>
      <w:lvlJc w:val="left"/>
      <w:pPr>
        <w:ind w:left="340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C09E">
      <w:start w:val="1"/>
      <w:numFmt w:val="bullet"/>
      <w:lvlText w:val=":"/>
      <w:lvlJc w:val="left"/>
      <w:pPr>
        <w:ind w:left="396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C4AC0">
      <w:start w:val="1"/>
      <w:numFmt w:val="bullet"/>
      <w:lvlText w:val=":"/>
      <w:lvlJc w:val="left"/>
      <w:pPr>
        <w:ind w:left="453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CD632">
      <w:start w:val="1"/>
      <w:numFmt w:val="bullet"/>
      <w:lvlText w:val=":"/>
      <w:lvlJc w:val="left"/>
      <w:pPr>
        <w:ind w:left="510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C3D3A"/>
    <w:multiLevelType w:val="hybridMultilevel"/>
    <w:tmpl w:val="6BD08D56"/>
    <w:numStyleLink w:val="ImportedStyle1"/>
  </w:abstractNum>
  <w:abstractNum w:abstractNumId="2" w15:restartNumberingAfterBreak="0">
    <w:nsid w:val="51DA6AFB"/>
    <w:multiLevelType w:val="hybridMultilevel"/>
    <w:tmpl w:val="CBD42174"/>
    <w:lvl w:ilvl="0" w:tplc="8738E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7"/>
    <w:rsid w:val="00061B66"/>
    <w:rsid w:val="000828B4"/>
    <w:rsid w:val="000D3D67"/>
    <w:rsid w:val="000F477D"/>
    <w:rsid w:val="0014287D"/>
    <w:rsid w:val="001437C1"/>
    <w:rsid w:val="001C7B20"/>
    <w:rsid w:val="001D7787"/>
    <w:rsid w:val="001E47C6"/>
    <w:rsid w:val="00260D86"/>
    <w:rsid w:val="00274A0B"/>
    <w:rsid w:val="002E2699"/>
    <w:rsid w:val="002F770E"/>
    <w:rsid w:val="00394ADF"/>
    <w:rsid w:val="00435661"/>
    <w:rsid w:val="00531C4C"/>
    <w:rsid w:val="00540747"/>
    <w:rsid w:val="00672A5F"/>
    <w:rsid w:val="0073004F"/>
    <w:rsid w:val="00732735"/>
    <w:rsid w:val="007C35DA"/>
    <w:rsid w:val="00810A38"/>
    <w:rsid w:val="008246CC"/>
    <w:rsid w:val="00846D9F"/>
    <w:rsid w:val="00857C01"/>
    <w:rsid w:val="008F439E"/>
    <w:rsid w:val="008F74B8"/>
    <w:rsid w:val="009005D0"/>
    <w:rsid w:val="009F0417"/>
    <w:rsid w:val="00A51C88"/>
    <w:rsid w:val="00AD3A8F"/>
    <w:rsid w:val="00AF10F0"/>
    <w:rsid w:val="00BF24EB"/>
    <w:rsid w:val="00C244A3"/>
    <w:rsid w:val="00C2544E"/>
    <w:rsid w:val="00C9783F"/>
    <w:rsid w:val="00D61A0F"/>
    <w:rsid w:val="00E24D02"/>
    <w:rsid w:val="00EC6110"/>
    <w:rsid w:val="00EF3BC6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7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7787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D7787"/>
    <w:rPr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1D7787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D7787"/>
    <w:rPr>
      <w:color w:val="000000" w:themeColor="text1"/>
      <w:sz w:val="24"/>
    </w:rPr>
  </w:style>
  <w:style w:type="numbering" w:customStyle="1" w:styleId="ImportedStyle1">
    <w:name w:val="Imported Style 1"/>
    <w:rsid w:val="001D7787"/>
    <w:pPr>
      <w:numPr>
        <w:numId w:val="1"/>
      </w:numPr>
    </w:pPr>
  </w:style>
  <w:style w:type="paragraph" w:customStyle="1" w:styleId="Body">
    <w:name w:val="Body"/>
    <w:rsid w:val="0073273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character" w:styleId="Hyperlink">
    <w:name w:val="Hyperlink"/>
    <w:basedOn w:val="DefaultParagraphFont"/>
    <w:uiPriority w:val="99"/>
    <w:unhideWhenUsed/>
    <w:rsid w:val="00810A38"/>
    <w:rPr>
      <w:color w:val="44546A" w:themeColor="text2"/>
      <w:u w:val="none"/>
    </w:rPr>
  </w:style>
  <w:style w:type="character" w:customStyle="1" w:styleId="Hyperlink0">
    <w:name w:val="Hyperlink.0"/>
    <w:basedOn w:val="DefaultParagraphFont"/>
    <w:rsid w:val="00810A38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81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A38"/>
    <w:pPr>
      <w:spacing w:after="24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A38"/>
    <w:rPr>
      <w:color w:val="000000" w:themeColor="text1"/>
      <w:sz w:val="20"/>
      <w:szCs w:val="20"/>
    </w:rPr>
  </w:style>
  <w:style w:type="paragraph" w:customStyle="1" w:styleId="BulletA">
    <w:name w:val="Bullet A"/>
    <w:link w:val="BulletAChar"/>
    <w:rsid w:val="00F304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  <w:style w:type="character" w:customStyle="1" w:styleId="BulletAChar">
    <w:name w:val="Bullet A Char"/>
    <w:basedOn w:val="DefaultParagraphFont"/>
    <w:link w:val="BulletA"/>
    <w:rsid w:val="00F304D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eb/sites/mg/sect/finrc/nomination/2021/www.auasb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c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t@fr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frc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3449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and Assurance Standards Board - Applications for appointment as a member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Auditing and Assurance Standards Board - Applications for appointment as a member</dc:title>
  <dc:subject/>
  <dc:creator/>
  <cp:keywords/>
  <dc:description/>
  <cp:lastModifiedBy/>
  <cp:revision>1</cp:revision>
  <dcterms:created xsi:type="dcterms:W3CDTF">2024-08-05T01:24:00Z</dcterms:created>
  <dcterms:modified xsi:type="dcterms:W3CDTF">2024-08-12T00:43:00Z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2024-08-12T00:43:12Z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01415de1-449a-437b-9a44-6ef41d1b6bdf</vt:lpwstr>
  </property>
  <property fmtid="{D5CDD505-2E9C-101B-9397-08002B2CF9AE}" pid="8" name="MSIP_Label_4f932d64-9ab1-4d9b-81d2-a3a8b82dd47d_ContentBits">
    <vt:lpwstr>0</vt:lpwstr>
  </property>
</Properties>
</file>