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78044" w14:textId="77777777" w:rsidR="008562A9" w:rsidRPr="00127D08" w:rsidRDefault="008562A9" w:rsidP="008562A9">
      <w:pPr>
        <w:pStyle w:val="Body"/>
        <w:tabs>
          <w:tab w:val="left" w:pos="7230"/>
        </w:tabs>
        <w:spacing w:before="480"/>
        <w:ind w:right="96"/>
        <w:rPr>
          <w:rFonts w:ascii="Calibri" w:eastAsia="Calibri" w:hAnsi="Calibri" w:cs="Calibri"/>
          <w:b/>
          <w:bCs/>
          <w:sz w:val="22"/>
          <w:szCs w:val="22"/>
        </w:rPr>
      </w:pPr>
      <w:r w:rsidRPr="00127D08">
        <w:rPr>
          <w:rFonts w:ascii="Calibri" w:eastAsia="Calibri" w:hAnsi="Calibri" w:cs="Calibri"/>
          <w:b/>
          <w:bCs/>
          <w:sz w:val="28"/>
          <w:szCs w:val="28"/>
          <w:lang w:val="de-DE"/>
        </w:rPr>
        <w:t>AUSTRALIAN ACCOUNTING STANDARDS BOARD</w:t>
      </w:r>
      <w:r w:rsidRPr="00127D08">
        <w:rPr>
          <w:rFonts w:ascii="Calibri" w:eastAsia="Calibri" w:hAnsi="Calibri" w:cs="Calibri"/>
          <w:b/>
          <w:bCs/>
          <w:sz w:val="28"/>
          <w:szCs w:val="28"/>
        </w:rPr>
        <w:br/>
      </w:r>
      <w:r w:rsidRPr="00035DAD">
        <w:rPr>
          <w:rFonts w:ascii="Calibri" w:eastAsiaTheme="minorHAnsi" w:hAnsi="Calibri" w:cs="Calibri"/>
          <w:b/>
          <w:color w:val="000000" w:themeColor="text1"/>
          <w:szCs w:val="22"/>
          <w:bdr w:val="none" w:sz="0" w:space="0" w:color="auto"/>
          <w:lang w:eastAsia="en-US"/>
        </w:rPr>
        <w:t>APPLICATIONS FOR APPOINTMENT AS A MEMBER</w:t>
      </w:r>
    </w:p>
    <w:p w14:paraId="5C4089CB" w14:textId="77777777" w:rsidR="008562A9" w:rsidRPr="00127D08" w:rsidRDefault="008562A9" w:rsidP="008562A9">
      <w:pPr>
        <w:pStyle w:val="Body"/>
        <w:spacing w:after="120"/>
        <w:ind w:right="95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Two</w:t>
      </w:r>
      <w:r w:rsidRPr="00127D08">
        <w:rPr>
          <w:rFonts w:ascii="Calibri" w:eastAsia="Calibri" w:hAnsi="Calibri" w:cs="Calibri"/>
          <w:sz w:val="22"/>
          <w:szCs w:val="22"/>
          <w:lang w:val="en-US"/>
        </w:rPr>
        <w:t xml:space="preserve"> vacancies currently exist for appointment as a part-time member of the Australian Accounting Standards Board (AASB). </w:t>
      </w:r>
    </w:p>
    <w:p w14:paraId="32F30976" w14:textId="77777777" w:rsidR="008562A9" w:rsidRPr="00127D08" w:rsidRDefault="008562A9" w:rsidP="008562A9">
      <w:pPr>
        <w:pStyle w:val="Body"/>
        <w:spacing w:after="120"/>
        <w:ind w:right="95"/>
        <w:rPr>
          <w:rFonts w:ascii="Calibri" w:eastAsia="Calibri" w:hAnsi="Calibri" w:cs="Calibri"/>
          <w:sz w:val="22"/>
          <w:szCs w:val="22"/>
          <w:lang w:val="en-US"/>
        </w:rPr>
      </w:pPr>
      <w:r w:rsidRPr="00127D08">
        <w:rPr>
          <w:rFonts w:ascii="Calibri" w:eastAsia="Calibri" w:hAnsi="Calibri" w:cs="Calibri"/>
          <w:sz w:val="22"/>
          <w:szCs w:val="22"/>
          <w:lang w:val="en-US"/>
        </w:rPr>
        <w:t xml:space="preserve">The AASB is an independent Commonwealth entity established under the </w:t>
      </w:r>
      <w:r w:rsidRPr="00127D08">
        <w:rPr>
          <w:rFonts w:ascii="Calibri" w:eastAsia="Calibri" w:hAnsi="Calibri" w:cs="Calibri"/>
          <w:i/>
          <w:iCs/>
          <w:sz w:val="22"/>
          <w:szCs w:val="22"/>
          <w:lang w:val="en-US"/>
        </w:rPr>
        <w:t>Australian Securities and Investments Commission Act 2001</w:t>
      </w:r>
      <w:r w:rsidRPr="00127D08">
        <w:rPr>
          <w:rFonts w:ascii="Calibri" w:eastAsia="Calibri" w:hAnsi="Calibri" w:cs="Calibri"/>
          <w:sz w:val="22"/>
          <w:szCs w:val="22"/>
          <w:lang w:val="en-US"/>
        </w:rPr>
        <w:t>. Its functions include developing, issuing and maintaining accounting standards for Australia and participating in and contributing to the development of a single set of international accounting standards.</w:t>
      </w:r>
    </w:p>
    <w:p w14:paraId="30BED01B" w14:textId="77777777" w:rsidR="008562A9" w:rsidRPr="00127D08" w:rsidRDefault="008562A9" w:rsidP="008562A9">
      <w:pPr>
        <w:pStyle w:val="Body"/>
        <w:spacing w:after="120"/>
        <w:ind w:right="95"/>
        <w:rPr>
          <w:rFonts w:ascii="Calibri" w:eastAsia="Calibri" w:hAnsi="Calibri" w:cs="Calibri"/>
          <w:sz w:val="22"/>
          <w:szCs w:val="22"/>
          <w:lang w:val="en-US"/>
        </w:rPr>
      </w:pPr>
      <w:r w:rsidRPr="00127D08">
        <w:rPr>
          <w:rFonts w:ascii="Calibri" w:eastAsia="Calibri" w:hAnsi="Calibri" w:cs="Calibri"/>
          <w:sz w:val="22"/>
          <w:szCs w:val="22"/>
          <w:lang w:val="en-US"/>
        </w:rPr>
        <w:t>It is expected that the successful applicant/s will be appointed from 1 January 202</w:t>
      </w:r>
      <w:r>
        <w:rPr>
          <w:rFonts w:ascii="Calibri" w:eastAsia="Calibri" w:hAnsi="Calibri" w:cs="Calibri"/>
          <w:sz w:val="22"/>
          <w:szCs w:val="22"/>
          <w:lang w:val="en-US"/>
        </w:rPr>
        <w:t>5</w:t>
      </w:r>
      <w:r w:rsidRPr="00127D08">
        <w:rPr>
          <w:rFonts w:ascii="Calibri" w:eastAsia="Calibri" w:hAnsi="Calibri" w:cs="Calibri"/>
          <w:sz w:val="22"/>
          <w:szCs w:val="22"/>
          <w:lang w:val="en-US"/>
        </w:rPr>
        <w:t xml:space="preserve">. </w:t>
      </w:r>
    </w:p>
    <w:p w14:paraId="2342664A" w14:textId="77777777" w:rsidR="008562A9" w:rsidRPr="00127D08" w:rsidRDefault="008562A9" w:rsidP="008562A9">
      <w:pPr>
        <w:pStyle w:val="Body"/>
        <w:spacing w:after="120"/>
        <w:ind w:right="95"/>
        <w:rPr>
          <w:rFonts w:ascii="Calibri" w:eastAsia="Calibri" w:hAnsi="Calibri" w:cs="Calibri"/>
          <w:sz w:val="22"/>
          <w:szCs w:val="22"/>
        </w:rPr>
      </w:pPr>
      <w:r w:rsidRPr="00127D08">
        <w:rPr>
          <w:rFonts w:ascii="Calibri" w:eastAsia="Calibri" w:hAnsi="Calibri" w:cs="Calibri"/>
          <w:sz w:val="22"/>
          <w:szCs w:val="22"/>
          <w:lang w:val="en-US"/>
        </w:rPr>
        <w:t>The appointments will be made by the Financial Reporting Council (FRC). The FRC is the peak body responsible for overseeing the effectiveness of the financial reporting framework in Australia.</w:t>
      </w:r>
    </w:p>
    <w:p w14:paraId="455AED7D" w14:textId="77777777" w:rsidR="008562A9" w:rsidRPr="006D2879" w:rsidRDefault="008562A9" w:rsidP="008562A9">
      <w:pPr>
        <w:pStyle w:val="Body"/>
        <w:spacing w:after="120"/>
        <w:ind w:right="95"/>
        <w:rPr>
          <w:rFonts w:ascii="Calibri" w:eastAsia="Calibri" w:hAnsi="Calibri" w:cs="Calibri"/>
          <w:sz w:val="22"/>
          <w:szCs w:val="22"/>
          <w:lang w:val="en-US"/>
        </w:rPr>
      </w:pPr>
      <w:r w:rsidRPr="006D2879">
        <w:rPr>
          <w:rFonts w:ascii="Calibri" w:eastAsia="Calibri" w:hAnsi="Calibri" w:cs="Calibri"/>
          <w:sz w:val="22"/>
          <w:szCs w:val="22"/>
          <w:lang w:val="en-US"/>
        </w:rPr>
        <w:t xml:space="preserve">The FRC 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welcomes applications from all qualified individuals and </w:t>
      </w:r>
      <w:r w:rsidRPr="006D2879">
        <w:rPr>
          <w:rFonts w:ascii="Calibri" w:eastAsia="Calibri" w:hAnsi="Calibri" w:cs="Calibri"/>
          <w:sz w:val="22"/>
          <w:szCs w:val="22"/>
          <w:lang w:val="en-US"/>
        </w:rPr>
        <w:t xml:space="preserve">is 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particularly </w:t>
      </w:r>
      <w:r w:rsidRPr="006D2879">
        <w:rPr>
          <w:rFonts w:ascii="Calibri" w:eastAsia="Calibri" w:hAnsi="Calibri" w:cs="Calibri"/>
          <w:sz w:val="22"/>
          <w:szCs w:val="22"/>
          <w:lang w:val="en-US"/>
        </w:rPr>
        <w:t xml:space="preserve">seeking 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candidates </w:t>
      </w:r>
      <w:r w:rsidRPr="006D2879">
        <w:rPr>
          <w:rFonts w:ascii="Calibri" w:eastAsia="Calibri" w:hAnsi="Calibri" w:cs="Calibri"/>
          <w:sz w:val="22"/>
          <w:szCs w:val="22"/>
          <w:lang w:val="en-US"/>
        </w:rPr>
        <w:t>with:</w:t>
      </w:r>
    </w:p>
    <w:p w14:paraId="4C55AEA0" w14:textId="77777777" w:rsidR="008562A9" w:rsidRDefault="008562A9" w:rsidP="008562A9">
      <w:pPr>
        <w:pStyle w:val="Bulle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significant academic experience, particularly in conducting and evaluating empirical research in a business-related area (please indicate any published articles on the application of accounting standards in the applications)</w:t>
      </w:r>
    </w:p>
    <w:p w14:paraId="0E18FE47" w14:textId="77777777" w:rsidR="008562A9" w:rsidRDefault="008562A9" w:rsidP="008562A9">
      <w:pPr>
        <w:pStyle w:val="Bullet"/>
        <w:rPr>
          <w:sz w:val="22"/>
          <w:szCs w:val="22"/>
          <w:lang w:val="en-US"/>
        </w:rPr>
      </w:pPr>
      <w:r w:rsidRPr="00D96D62">
        <w:rPr>
          <w:sz w:val="22"/>
          <w:szCs w:val="22"/>
          <w:lang w:val="en-US"/>
        </w:rPr>
        <w:t>experience in preparing financial reports for entities in any sector</w:t>
      </w:r>
    </w:p>
    <w:p w14:paraId="6FDFAE93" w14:textId="77777777" w:rsidR="008562A9" w:rsidRDefault="008562A9" w:rsidP="008562A9">
      <w:pPr>
        <w:pStyle w:val="Bullet"/>
        <w:rPr>
          <w:sz w:val="22"/>
          <w:szCs w:val="22"/>
          <w:lang w:val="en-US"/>
        </w:rPr>
      </w:pPr>
      <w:r w:rsidRPr="00D96D62">
        <w:rPr>
          <w:sz w:val="22"/>
          <w:szCs w:val="22"/>
          <w:lang w:val="en-US"/>
        </w:rPr>
        <w:t>experience in preparing financial reports for, or providing accounting or audit services to, the not-for-profit sector.</w:t>
      </w:r>
    </w:p>
    <w:p w14:paraId="733933DC" w14:textId="77777777" w:rsidR="008562A9" w:rsidRDefault="008562A9" w:rsidP="008562A9">
      <w:pPr>
        <w:pStyle w:val="Bulle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Experience as a user of financial reports such as an investor</w:t>
      </w:r>
    </w:p>
    <w:p w14:paraId="748785DD" w14:textId="77777777" w:rsidR="008562A9" w:rsidRPr="007F031F" w:rsidRDefault="008562A9" w:rsidP="008562A9">
      <w:pPr>
        <w:pStyle w:val="Bullet"/>
        <w:rPr>
          <w:sz w:val="22"/>
          <w:szCs w:val="22"/>
          <w:lang w:val="en-US"/>
        </w:rPr>
      </w:pPr>
      <w:r w:rsidRPr="007F031F">
        <w:rPr>
          <w:sz w:val="22"/>
          <w:szCs w:val="22"/>
          <w:lang w:val="en-US"/>
        </w:rPr>
        <w:t>Expertise in financial instruments, external reporting (e.g. remuneration, management commentary, service performance reporting), valuation of non-financial assets and digital and analytical practices would be valuable</w:t>
      </w:r>
    </w:p>
    <w:p w14:paraId="0E2774BC" w14:textId="77777777" w:rsidR="008562A9" w:rsidRPr="007F031F" w:rsidRDefault="008562A9" w:rsidP="008562A9">
      <w:pPr>
        <w:pStyle w:val="Body"/>
        <w:spacing w:after="120"/>
        <w:ind w:right="96"/>
        <w:rPr>
          <w:rFonts w:ascii="Calibri" w:eastAsia="Calibri" w:hAnsi="Calibri" w:cs="Calibri"/>
          <w:sz w:val="22"/>
          <w:szCs w:val="22"/>
          <w:lang w:val="en-US"/>
        </w:rPr>
      </w:pPr>
      <w:r w:rsidRPr="00127D08">
        <w:rPr>
          <w:rFonts w:ascii="Calibri" w:eastAsia="Calibri" w:hAnsi="Calibri" w:cs="Calibri"/>
          <w:sz w:val="22"/>
          <w:szCs w:val="22"/>
          <w:lang w:val="en-US"/>
        </w:rPr>
        <w:t xml:space="preserve">The AASB typically holds </w:t>
      </w:r>
      <w:r>
        <w:rPr>
          <w:rFonts w:ascii="Calibri" w:eastAsia="Calibri" w:hAnsi="Calibri" w:cs="Calibri"/>
          <w:sz w:val="22"/>
          <w:szCs w:val="22"/>
          <w:lang w:val="en-US"/>
        </w:rPr>
        <w:t>eight</w:t>
      </w:r>
      <w:r w:rsidRPr="00127D08">
        <w:rPr>
          <w:rFonts w:ascii="Calibri" w:eastAsia="Calibri" w:hAnsi="Calibri" w:cs="Calibri"/>
          <w:sz w:val="22"/>
          <w:szCs w:val="22"/>
          <w:lang w:val="en-US"/>
        </w:rPr>
        <w:t xml:space="preserve"> meetings a year, </w:t>
      </w:r>
      <w:r>
        <w:rPr>
          <w:rFonts w:ascii="Calibri" w:eastAsia="Calibri" w:hAnsi="Calibri" w:cs="Calibri"/>
          <w:sz w:val="22"/>
          <w:szCs w:val="22"/>
          <w:lang w:val="en-US"/>
        </w:rPr>
        <w:t>comprising a mix of single day and two day meetings</w:t>
      </w:r>
      <w:r w:rsidRPr="00127D08">
        <w:rPr>
          <w:rFonts w:ascii="Calibri" w:eastAsia="Calibri" w:hAnsi="Calibri" w:cs="Calibri"/>
          <w:sz w:val="22"/>
          <w:szCs w:val="22"/>
          <w:lang w:val="en-US"/>
        </w:rPr>
        <w:t>.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 Two day meetings are typically held in person (usually in Melbourne, although meetings may occasionally be in another capital city) and single day meetings are typically held virtually.</w:t>
      </w:r>
      <w:r w:rsidRPr="00127D08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n-US"/>
        </w:rPr>
        <w:t>O</w:t>
      </w:r>
      <w:r w:rsidRPr="00127D08">
        <w:rPr>
          <w:rFonts w:ascii="Calibri" w:eastAsia="Calibri" w:hAnsi="Calibri" w:cs="Calibri"/>
          <w:sz w:val="22"/>
          <w:szCs w:val="22"/>
          <w:lang w:val="en-US"/>
        </w:rPr>
        <w:t>ut of session work to finalise minor issues</w:t>
      </w:r>
      <w:r>
        <w:rPr>
          <w:rFonts w:ascii="Calibri" w:eastAsia="Calibri" w:hAnsi="Calibri" w:cs="Calibri"/>
          <w:sz w:val="22"/>
          <w:szCs w:val="22"/>
          <w:lang w:val="en-US"/>
        </w:rPr>
        <w:t>,</w:t>
      </w:r>
      <w:r w:rsidRPr="00127D08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n-US"/>
        </w:rPr>
        <w:t>i</w:t>
      </w:r>
      <w:r w:rsidRPr="00127D08">
        <w:rPr>
          <w:rFonts w:ascii="Calibri" w:eastAsia="Calibri" w:hAnsi="Calibri" w:cs="Calibri"/>
          <w:sz w:val="22"/>
          <w:szCs w:val="22"/>
          <w:lang w:val="en-US"/>
        </w:rPr>
        <w:t xml:space="preserve">nvolvement in </w:t>
      </w:r>
      <w:r>
        <w:rPr>
          <w:rFonts w:ascii="Calibri" w:eastAsia="Calibri" w:hAnsi="Calibri" w:cs="Calibri"/>
          <w:sz w:val="22"/>
          <w:szCs w:val="22"/>
          <w:lang w:val="en-US"/>
        </w:rPr>
        <w:t>subcommittees</w:t>
      </w:r>
      <w:r w:rsidRPr="00127D08">
        <w:rPr>
          <w:rFonts w:ascii="Calibri" w:eastAsia="Calibri" w:hAnsi="Calibri" w:cs="Calibri"/>
          <w:sz w:val="22"/>
          <w:szCs w:val="22"/>
          <w:lang w:val="en-US"/>
        </w:rPr>
        <w:t xml:space="preserve"> and attendance at related meetings is also expected. </w:t>
      </w:r>
    </w:p>
    <w:p w14:paraId="1AB6171B" w14:textId="2F4F0B2C" w:rsidR="008562A9" w:rsidRPr="00127D08" w:rsidRDefault="008562A9" w:rsidP="008562A9">
      <w:pPr>
        <w:pStyle w:val="Body"/>
        <w:spacing w:after="120"/>
        <w:ind w:right="96"/>
        <w:rPr>
          <w:rFonts w:ascii="Calibri" w:eastAsia="Calibri" w:hAnsi="Calibri" w:cs="Calibri"/>
          <w:sz w:val="22"/>
          <w:szCs w:val="22"/>
        </w:rPr>
      </w:pPr>
      <w:r w:rsidRPr="00127D08">
        <w:rPr>
          <w:rFonts w:ascii="Calibri" w:eastAsia="Calibri" w:hAnsi="Calibri" w:cs="Calibri"/>
          <w:sz w:val="22"/>
          <w:szCs w:val="22"/>
          <w:lang w:val="en-US"/>
        </w:rPr>
        <w:t xml:space="preserve">Applications should comprise a current CV and address the selection criteria. The selection criteria are available at </w:t>
      </w:r>
      <w:hyperlink r:id="rId7" w:history="1">
        <w:r w:rsidRPr="00127D08">
          <w:rPr>
            <w:rFonts w:ascii="ZWAdobeF" w:hAnsi="ZWAdobeF" w:cs="ZWAdobeF"/>
            <w:color w:val="auto"/>
            <w:sz w:val="2"/>
            <w:szCs w:val="2"/>
          </w:rPr>
          <w:t>34T</w:t>
        </w:r>
        <w:r w:rsidRPr="00127D08">
          <w:rPr>
            <w:rFonts w:ascii="ZWAdobeF" w:hAnsi="ZWAdobeF" w:cs="ZWAdobeF"/>
            <w:color w:val="0000FF"/>
            <w:sz w:val="2"/>
            <w:szCs w:val="2"/>
          </w:rPr>
          <w:t>U</w:t>
        </w:r>
        <w:r w:rsidRPr="00127D08">
          <w:rPr>
            <w:rStyle w:val="Hyperlink0"/>
          </w:rPr>
          <w:t>www.frc.gov.au</w:t>
        </w:r>
        <w:r w:rsidRPr="00127D08">
          <w:rPr>
            <w:rStyle w:val="Hyperlink0"/>
            <w:rFonts w:ascii="ZWAdobeF" w:hAnsi="ZWAdobeF" w:cs="ZWAdobeF"/>
            <w:sz w:val="2"/>
            <w:szCs w:val="2"/>
          </w:rPr>
          <w:t>U</w:t>
        </w:r>
        <w:r w:rsidRPr="00127D08">
          <w:rPr>
            <w:rStyle w:val="Hyperlink0"/>
            <w:rFonts w:ascii="ZWAdobeF" w:hAnsi="ZWAdobeF" w:cs="ZWAdobeF"/>
            <w:color w:val="auto"/>
            <w:sz w:val="2"/>
            <w:szCs w:val="2"/>
          </w:rPr>
          <w:t>34T</w:t>
        </w:r>
      </w:hyperlink>
      <w:r w:rsidRPr="00127D08">
        <w:rPr>
          <w:rFonts w:ascii="Calibri" w:eastAsia="Calibri" w:hAnsi="Calibri" w:cs="Calibri"/>
          <w:sz w:val="22"/>
          <w:szCs w:val="22"/>
          <w:lang w:val="en-US"/>
        </w:rPr>
        <w:t xml:space="preserve">. Brevity would be appreciated. Further information about the position, the framework for appointment to the AASB, remuneration and allowances is available at </w:t>
      </w:r>
      <w:hyperlink r:id="rId8" w:history="1">
        <w:r w:rsidRPr="00127D08">
          <w:rPr>
            <w:rFonts w:ascii="ZWAdobeF" w:hAnsi="ZWAdobeF" w:cs="ZWAdobeF"/>
            <w:color w:val="auto"/>
            <w:sz w:val="2"/>
            <w:szCs w:val="2"/>
          </w:rPr>
          <w:t>34T</w:t>
        </w:r>
        <w:r w:rsidRPr="00127D08">
          <w:rPr>
            <w:rFonts w:ascii="ZWAdobeF" w:hAnsi="ZWAdobeF" w:cs="ZWAdobeF"/>
            <w:color w:val="0000FF"/>
            <w:sz w:val="2"/>
            <w:szCs w:val="2"/>
          </w:rPr>
          <w:t>U</w:t>
        </w:r>
        <w:r w:rsidRPr="00127D08">
          <w:rPr>
            <w:rStyle w:val="Hyperlink0"/>
          </w:rPr>
          <w:t>www.aasb.gov.au</w:t>
        </w:r>
        <w:r w:rsidRPr="00127D08">
          <w:rPr>
            <w:rStyle w:val="Hyperlink0"/>
            <w:rFonts w:ascii="ZWAdobeF" w:hAnsi="ZWAdobeF" w:cs="ZWAdobeF"/>
            <w:sz w:val="2"/>
            <w:szCs w:val="2"/>
          </w:rPr>
          <w:t>U</w:t>
        </w:r>
        <w:r w:rsidRPr="00127D08">
          <w:rPr>
            <w:rStyle w:val="Hyperlink0"/>
            <w:rFonts w:ascii="ZWAdobeF" w:hAnsi="ZWAdobeF" w:cs="ZWAdobeF"/>
            <w:color w:val="auto"/>
            <w:sz w:val="2"/>
            <w:szCs w:val="2"/>
          </w:rPr>
          <w:t>34T</w:t>
        </w:r>
      </w:hyperlink>
      <w:hyperlink r:id="rId9" w:history="1">
        <w:r>
          <w:rPr>
            <w:rStyle w:val="Hyperlink"/>
            <w:rFonts w:eastAsia="Calibri" w:cs="Calibri"/>
            <w:sz w:val="22"/>
            <w:szCs w:val="22"/>
            <w:lang w:val="en-US"/>
          </w:rPr>
          <w:t>.</w:t>
        </w:r>
      </w:hyperlink>
      <w:r>
        <w:rPr>
          <w:rStyle w:val="Hyperlink"/>
          <w:rFonts w:eastAsia="Calibri" w:cs="Calibri"/>
          <w:sz w:val="22"/>
          <w:szCs w:val="22"/>
          <w:lang w:val="en-US"/>
        </w:rPr>
        <w:t xml:space="preserve"> </w:t>
      </w:r>
    </w:p>
    <w:p w14:paraId="56A1333C" w14:textId="77777777" w:rsidR="008562A9" w:rsidRPr="00127D08" w:rsidRDefault="008562A9" w:rsidP="008562A9">
      <w:pPr>
        <w:pStyle w:val="Body"/>
        <w:spacing w:after="0"/>
        <w:ind w:right="95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 w:rsidRPr="00035DAD">
        <w:rPr>
          <w:rFonts w:asciiTheme="minorHAnsi" w:eastAsia="Calibri" w:hAnsiTheme="minorHAnsi" w:cs="Calibri"/>
          <w:sz w:val="22"/>
          <w:lang w:val="en-US"/>
        </w:rPr>
        <w:t>Applications</w:t>
      </w:r>
      <w:r w:rsidRPr="00127D08">
        <w:rPr>
          <w:rFonts w:ascii="Calibri" w:eastAsia="Calibri" w:hAnsi="Calibri" w:cs="Calibri"/>
          <w:sz w:val="22"/>
          <w:szCs w:val="22"/>
          <w:lang w:val="en-US"/>
        </w:rPr>
        <w:t xml:space="preserve"> should be addressed to:</w:t>
      </w:r>
    </w:p>
    <w:p w14:paraId="01376921" w14:textId="77777777" w:rsidR="008562A9" w:rsidRPr="00277D81" w:rsidRDefault="008562A9" w:rsidP="008562A9">
      <w:pPr>
        <w:pStyle w:val="Body"/>
        <w:spacing w:after="0"/>
        <w:ind w:right="95"/>
        <w:rPr>
          <w:rFonts w:ascii="Calibri" w:eastAsia="Calibri" w:hAnsi="Calibri" w:cs="Calibri"/>
          <w:sz w:val="22"/>
          <w:szCs w:val="22"/>
        </w:rPr>
      </w:pPr>
      <w:r w:rsidRPr="00127D08">
        <w:rPr>
          <w:rFonts w:ascii="Calibri" w:eastAsia="Calibri" w:hAnsi="Calibri" w:cs="Calibri"/>
          <w:b/>
          <w:bCs/>
          <w:sz w:val="22"/>
          <w:szCs w:val="22"/>
          <w:lang w:val="en-US"/>
        </w:rPr>
        <w:t>The Chair</w:t>
      </w:r>
    </w:p>
    <w:p w14:paraId="45C8D2C8" w14:textId="77777777" w:rsidR="008562A9" w:rsidRPr="00127D08" w:rsidRDefault="008562A9" w:rsidP="008562A9">
      <w:pPr>
        <w:pStyle w:val="Body"/>
        <w:spacing w:after="0"/>
        <w:ind w:right="95"/>
        <w:rPr>
          <w:rFonts w:ascii="Calibri" w:eastAsia="Calibri" w:hAnsi="Calibri" w:cs="Calibri"/>
          <w:sz w:val="22"/>
          <w:szCs w:val="22"/>
        </w:rPr>
      </w:pPr>
      <w:r w:rsidRPr="00127D08">
        <w:rPr>
          <w:rFonts w:ascii="Calibri" w:eastAsia="Calibri" w:hAnsi="Calibri" w:cs="Calibri"/>
          <w:b/>
          <w:bCs/>
          <w:sz w:val="22"/>
          <w:szCs w:val="22"/>
          <w:lang w:val="en-US"/>
        </w:rPr>
        <w:t>FRC Nominations Committee</w:t>
      </w:r>
    </w:p>
    <w:p w14:paraId="444B1A8C" w14:textId="77777777" w:rsidR="008562A9" w:rsidRPr="00127D08" w:rsidRDefault="008562A9" w:rsidP="008562A9">
      <w:pPr>
        <w:pStyle w:val="Body"/>
        <w:spacing w:after="0"/>
        <w:ind w:right="95"/>
        <w:rPr>
          <w:rFonts w:ascii="Calibri" w:eastAsia="Calibri" w:hAnsi="Calibri" w:cs="Calibri"/>
          <w:sz w:val="22"/>
          <w:szCs w:val="22"/>
        </w:rPr>
      </w:pPr>
      <w:r w:rsidRPr="00127D08">
        <w:rPr>
          <w:rFonts w:ascii="Calibri" w:eastAsia="Calibri" w:hAnsi="Calibri" w:cs="Calibri"/>
          <w:b/>
          <w:bCs/>
          <w:sz w:val="22"/>
          <w:szCs w:val="22"/>
          <w:lang w:val="en-US"/>
        </w:rPr>
        <w:t>c/- The Treasury, Langton Crescent</w:t>
      </w:r>
    </w:p>
    <w:p w14:paraId="104654A3" w14:textId="77777777" w:rsidR="008562A9" w:rsidRPr="00127D08" w:rsidRDefault="008562A9" w:rsidP="008562A9">
      <w:pPr>
        <w:pStyle w:val="Body"/>
        <w:spacing w:after="0"/>
        <w:ind w:right="95"/>
        <w:rPr>
          <w:rFonts w:ascii="Calibri" w:eastAsia="Calibri" w:hAnsi="Calibri" w:cs="Calibri"/>
          <w:sz w:val="22"/>
          <w:szCs w:val="22"/>
        </w:rPr>
      </w:pPr>
      <w:r w:rsidRPr="00127D08">
        <w:rPr>
          <w:rFonts w:ascii="Calibri" w:eastAsia="Calibri" w:hAnsi="Calibri" w:cs="Calibri"/>
          <w:b/>
          <w:bCs/>
          <w:sz w:val="22"/>
          <w:szCs w:val="22"/>
          <w:lang w:val="de-DE"/>
        </w:rPr>
        <w:t>Parkes ACT 2600</w:t>
      </w:r>
    </w:p>
    <w:p w14:paraId="7529BAA4" w14:textId="77777777" w:rsidR="008562A9" w:rsidRPr="001F6455" w:rsidRDefault="008562A9" w:rsidP="008562A9">
      <w:pPr>
        <w:pStyle w:val="Body"/>
        <w:spacing w:after="120"/>
        <w:ind w:right="96"/>
        <w:rPr>
          <w:rFonts w:ascii="Calibri" w:eastAsia="Calibri" w:hAnsi="Calibri" w:cs="Calibri"/>
          <w:sz w:val="22"/>
          <w:szCs w:val="22"/>
          <w:lang w:val="en-US"/>
        </w:rPr>
      </w:pPr>
      <w:r w:rsidRPr="00127D08">
        <w:rPr>
          <w:rFonts w:ascii="Calibri" w:eastAsia="Calibri" w:hAnsi="Calibri" w:cs="Calibri"/>
          <w:sz w:val="22"/>
          <w:szCs w:val="22"/>
          <w:lang w:val="en-US"/>
        </w:rPr>
        <w:t>Applications may be emailed to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hyperlink r:id="rId10" w:history="1">
        <w:r w:rsidRPr="007F031F">
          <w:rPr>
            <w:rFonts w:ascii="Calibri" w:eastAsia="Calibri" w:hAnsi="Calibri" w:cs="Calibri"/>
            <w:sz w:val="22"/>
            <w:szCs w:val="22"/>
            <w:lang w:val="en-US"/>
          </w:rPr>
          <w:t>secretariat@frc.gov.au</w:t>
        </w:r>
      </w:hyperlink>
      <w:r w:rsidRPr="007F031F">
        <w:rPr>
          <w:rFonts w:ascii="Calibri" w:eastAsia="Calibri" w:hAnsi="Calibri" w:cs="Calibri"/>
          <w:sz w:val="22"/>
          <w:szCs w:val="22"/>
          <w:lang w:val="en-US"/>
        </w:rPr>
        <w:t xml:space="preserve">. </w:t>
      </w:r>
      <w:r w:rsidRPr="553898A1">
        <w:rPr>
          <w:rFonts w:ascii="Calibri" w:eastAsia="Calibri" w:hAnsi="Calibri" w:cs="Calibri"/>
          <w:sz w:val="22"/>
          <w:szCs w:val="22"/>
          <w:lang w:val="en-US"/>
        </w:rPr>
        <w:t>A confirmation of application received will be sent to all applicants.</w:t>
      </w:r>
    </w:p>
    <w:p w14:paraId="60CF4CA2" w14:textId="0E96AA63" w:rsidR="008562A9" w:rsidRPr="00831FC9" w:rsidRDefault="008562A9" w:rsidP="00831FC9">
      <w:pPr>
        <w:pStyle w:val="Body"/>
        <w:spacing w:after="120"/>
        <w:ind w:right="96"/>
        <w:rPr>
          <w:rFonts w:ascii="Calibri" w:eastAsia="Calibri" w:hAnsi="Calibri" w:cs="Calibri"/>
          <w:sz w:val="22"/>
          <w:szCs w:val="22"/>
        </w:rPr>
      </w:pPr>
      <w:r w:rsidRPr="553898A1">
        <w:rPr>
          <w:rFonts w:ascii="Calibri" w:eastAsia="Calibri" w:hAnsi="Calibri" w:cs="Calibri"/>
          <w:sz w:val="22"/>
          <w:szCs w:val="22"/>
          <w:lang w:val="en-US"/>
        </w:rPr>
        <w:t>Applications are sought by</w:t>
      </w:r>
      <w:r w:rsidRPr="553898A1"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 </w:t>
      </w:r>
      <w:r w:rsidR="00831FC9"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30 August 2024. </w:t>
      </w:r>
      <w:r>
        <w:rPr>
          <w:rFonts w:ascii="Calibri" w:eastAsia="Calibri" w:hAnsi="Calibri" w:cs="Calibri"/>
          <w:b/>
          <w:bCs/>
          <w:lang w:val="fr-FR"/>
        </w:rPr>
        <w:br w:type="page"/>
      </w:r>
    </w:p>
    <w:p w14:paraId="1C461399" w14:textId="77777777" w:rsidR="008562A9" w:rsidRDefault="008562A9" w:rsidP="008562A9">
      <w:pPr>
        <w:pStyle w:val="Body"/>
        <w:spacing w:after="160"/>
        <w:jc w:val="center"/>
        <w:rPr>
          <w:rFonts w:ascii="Calibri" w:eastAsia="Calibri" w:hAnsi="Calibri" w:cs="Calibri"/>
          <w:b/>
          <w:bCs/>
          <w:lang w:val="fr-FR"/>
        </w:rPr>
      </w:pPr>
    </w:p>
    <w:p w14:paraId="6C742BA4" w14:textId="4BB6EB5F" w:rsidR="008562A9" w:rsidRDefault="008562A9" w:rsidP="008562A9">
      <w:pPr>
        <w:pStyle w:val="Body"/>
        <w:spacing w:after="160"/>
        <w:jc w:val="center"/>
      </w:pPr>
      <w:r w:rsidRPr="00B85275">
        <w:rPr>
          <w:rFonts w:ascii="Calibri" w:eastAsia="Calibri" w:hAnsi="Calibri" w:cs="Calibri"/>
          <w:b/>
          <w:bCs/>
          <w:lang w:val="fr-FR"/>
        </w:rPr>
        <w:t>202</w:t>
      </w:r>
      <w:r>
        <w:rPr>
          <w:rFonts w:ascii="Calibri" w:eastAsia="Calibri" w:hAnsi="Calibri" w:cs="Calibri"/>
          <w:b/>
          <w:bCs/>
          <w:lang w:val="fr-FR"/>
        </w:rPr>
        <w:t>4</w:t>
      </w:r>
      <w:r w:rsidRPr="00B85275">
        <w:rPr>
          <w:rFonts w:ascii="Calibri" w:eastAsia="Calibri" w:hAnsi="Calibri" w:cs="Calibri"/>
          <w:b/>
          <w:bCs/>
          <w:lang w:val="fr-FR"/>
        </w:rPr>
        <w:t>-2</w:t>
      </w:r>
      <w:r>
        <w:rPr>
          <w:rFonts w:ascii="Calibri" w:eastAsia="Calibri" w:hAnsi="Calibri" w:cs="Calibri"/>
          <w:b/>
          <w:bCs/>
          <w:lang w:val="fr-FR"/>
        </w:rPr>
        <w:t xml:space="preserve">5 </w:t>
      </w:r>
      <w:r w:rsidRPr="00B85275">
        <w:rPr>
          <w:rFonts w:ascii="Calibri" w:eastAsia="Calibri" w:hAnsi="Calibri" w:cs="Calibri"/>
          <w:b/>
          <w:bCs/>
        </w:rPr>
        <w:t>Selection</w:t>
      </w:r>
      <w:r>
        <w:rPr>
          <w:rFonts w:ascii="Calibri" w:eastAsia="Calibri" w:hAnsi="Calibri" w:cs="Calibri"/>
          <w:b/>
          <w:bCs/>
          <w:lang w:val="fr-FR"/>
        </w:rPr>
        <w:t xml:space="preserve"> </w:t>
      </w:r>
      <w:r w:rsidRPr="00B85275">
        <w:rPr>
          <w:rFonts w:ascii="Calibri" w:eastAsia="Calibri" w:hAnsi="Calibri" w:cs="Calibri"/>
          <w:b/>
          <w:bCs/>
        </w:rPr>
        <w:t>Criteria</w:t>
      </w:r>
    </w:p>
    <w:p w14:paraId="3FBB1C01" w14:textId="77777777" w:rsidR="008562A9" w:rsidRDefault="008562A9" w:rsidP="008562A9">
      <w:pPr>
        <w:pStyle w:val="Body"/>
        <w:spacing w:after="160"/>
        <w:jc w:val="center"/>
      </w:pPr>
      <w:r>
        <w:rPr>
          <w:rFonts w:ascii="Calibri" w:eastAsia="Calibri" w:hAnsi="Calibri" w:cs="Calibri"/>
          <w:b/>
          <w:bCs/>
          <w:lang w:val="en-US"/>
        </w:rPr>
        <w:t>Successful applicants to the Australian Accounting Standards Board (AASB) will be able to succinctly demonstrate the following:</w:t>
      </w:r>
    </w:p>
    <w:p w14:paraId="082E1BB9" w14:textId="77777777" w:rsidR="008562A9" w:rsidRDefault="008562A9" w:rsidP="008562A9">
      <w:pPr>
        <w:pStyle w:val="BulletA"/>
        <w:numPr>
          <w:ilvl w:val="0"/>
          <w:numId w:val="2"/>
        </w:num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Understanding of the AASB’s functions and powers as set out in the </w:t>
      </w:r>
      <w:r>
        <w:rPr>
          <w:rFonts w:ascii="Calibri" w:eastAsia="Calibri" w:hAnsi="Calibri" w:cs="Calibri"/>
          <w:i/>
          <w:iCs/>
          <w:sz w:val="22"/>
          <w:szCs w:val="22"/>
        </w:rPr>
        <w:t>Australian Securities and Investments Commission Act 2001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6BEA3503" w14:textId="77777777" w:rsidR="008562A9" w:rsidRDefault="008562A9" w:rsidP="008562A9">
      <w:pPr>
        <w:pStyle w:val="BulletA"/>
        <w:numPr>
          <w:ilvl w:val="0"/>
          <w:numId w:val="2"/>
        </w:num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Ability to balance strategic and policy considerations with technical accounting and sustainability issues.</w:t>
      </w:r>
    </w:p>
    <w:p w14:paraId="1300A5C2" w14:textId="77777777" w:rsidR="008562A9" w:rsidRDefault="008562A9" w:rsidP="008562A9">
      <w:pPr>
        <w:pStyle w:val="BulletA"/>
        <w:numPr>
          <w:ilvl w:val="0"/>
          <w:numId w:val="2"/>
        </w:num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Appreciation of the importance of the overall public good relative to sectional or vested interests.</w:t>
      </w:r>
    </w:p>
    <w:p w14:paraId="1AE3CC16" w14:textId="77777777" w:rsidR="008562A9" w:rsidRDefault="008562A9" w:rsidP="008562A9">
      <w:pPr>
        <w:pStyle w:val="BulletA"/>
        <w:numPr>
          <w:ilvl w:val="0"/>
          <w:numId w:val="2"/>
        </w:num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Understanding of the needs of users and the external reporting environment in the for-profit, not-for-profit and public sectors. </w:t>
      </w:r>
    </w:p>
    <w:p w14:paraId="30191BD8" w14:textId="77777777" w:rsidR="008562A9" w:rsidRDefault="008562A9" w:rsidP="008562A9">
      <w:pPr>
        <w:pStyle w:val="BulletA"/>
        <w:numPr>
          <w:ilvl w:val="0"/>
          <w:numId w:val="2"/>
        </w:num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Ability to apply technical knowledge to practical issues, including impacts for smaller entities and practitioners.</w:t>
      </w:r>
    </w:p>
    <w:p w14:paraId="4E4DFB9E" w14:textId="77777777" w:rsidR="008562A9" w:rsidRDefault="008562A9" w:rsidP="008562A9">
      <w:pPr>
        <w:pStyle w:val="BulletA"/>
        <w:numPr>
          <w:ilvl w:val="0"/>
          <w:numId w:val="2"/>
        </w:num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Ability to communicate clearly and concisely, both verbally and in written format. </w:t>
      </w:r>
    </w:p>
    <w:p w14:paraId="20BAC78C" w14:textId="77777777" w:rsidR="008562A9" w:rsidRDefault="008562A9" w:rsidP="008562A9">
      <w:pPr>
        <w:pStyle w:val="BulletA"/>
        <w:numPr>
          <w:ilvl w:val="0"/>
          <w:numId w:val="2"/>
        </w:num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Ability to work as a collegiate board member, respecting differing points of view.</w:t>
      </w:r>
    </w:p>
    <w:p w14:paraId="388615F5" w14:textId="77777777" w:rsidR="008562A9" w:rsidRDefault="008562A9" w:rsidP="008562A9">
      <w:pPr>
        <w:pStyle w:val="BulletA"/>
        <w:numPr>
          <w:ilvl w:val="0"/>
          <w:numId w:val="2"/>
        </w:num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Ability to develop and maintain strong networks and relationships.  </w:t>
      </w:r>
    </w:p>
    <w:p w14:paraId="0B053884" w14:textId="77777777" w:rsidR="008562A9" w:rsidRDefault="008562A9" w:rsidP="008562A9">
      <w:pPr>
        <w:pStyle w:val="BulletA"/>
        <w:numPr>
          <w:ilvl w:val="0"/>
          <w:numId w:val="2"/>
        </w:num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Ability to provide appropriate technical and practical input to board deliberations and commit adequate time to board meetings and advisory group meetings.</w:t>
      </w:r>
    </w:p>
    <w:p w14:paraId="6255D1A1" w14:textId="77777777" w:rsidR="008562A9" w:rsidRPr="001D0F56" w:rsidRDefault="008562A9" w:rsidP="008562A9">
      <w:pPr>
        <w:pStyle w:val="BulletA"/>
        <w:numPr>
          <w:ilvl w:val="0"/>
          <w:numId w:val="2"/>
        </w:num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Relevant knowledge and experience that </w:t>
      </w:r>
      <w:bookmarkStart w:id="0" w:name="_Hlk521683997"/>
      <w:r>
        <w:rPr>
          <w:rFonts w:ascii="Calibri" w:eastAsia="Calibri" w:hAnsi="Calibri" w:cs="Calibri"/>
          <w:sz w:val="22"/>
          <w:szCs w:val="22"/>
        </w:rPr>
        <w:t>satisfies the FRC’s desired skills and expertise in one of the following:</w:t>
      </w:r>
      <w:bookmarkEnd w:id="0"/>
    </w:p>
    <w:p w14:paraId="1157F7BD" w14:textId="77777777" w:rsidR="008562A9" w:rsidRPr="00FC27A1" w:rsidRDefault="008562A9" w:rsidP="008562A9">
      <w:pPr>
        <w:pStyle w:val="Bullet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spacing w:after="240"/>
        <w:ind w:left="1134" w:hanging="283"/>
        <w:rPr>
          <w:rFonts w:ascii="Calibri" w:eastAsia="Calibri" w:hAnsi="Calibri" w:cs="Calibri"/>
          <w:sz w:val="22"/>
          <w:szCs w:val="22"/>
        </w:rPr>
      </w:pPr>
      <w:r w:rsidRPr="00FC27A1">
        <w:rPr>
          <w:rFonts w:ascii="Calibri" w:eastAsia="Calibri" w:hAnsi="Calibri" w:cs="Calibri"/>
          <w:sz w:val="22"/>
          <w:szCs w:val="22"/>
        </w:rPr>
        <w:t>academi</w:t>
      </w:r>
      <w:r>
        <w:rPr>
          <w:rFonts w:ascii="Calibri" w:eastAsia="Calibri" w:hAnsi="Calibri" w:cs="Calibri"/>
          <w:sz w:val="22"/>
          <w:szCs w:val="22"/>
        </w:rPr>
        <w:t>a</w:t>
      </w:r>
      <w:r w:rsidRPr="00FC27A1">
        <w:rPr>
          <w:rFonts w:ascii="Calibri" w:eastAsia="Calibri" w:hAnsi="Calibri" w:cs="Calibri"/>
          <w:sz w:val="22"/>
          <w:szCs w:val="22"/>
        </w:rPr>
        <w:t>, particularly in conducting and evaluating empirical research in a business</w:t>
      </w:r>
      <w:r>
        <w:rPr>
          <w:rFonts w:ascii="Calibri" w:eastAsia="Calibri" w:hAnsi="Calibri" w:cs="Calibri"/>
          <w:sz w:val="22"/>
          <w:szCs w:val="22"/>
        </w:rPr>
        <w:t>- or sustainability-</w:t>
      </w:r>
      <w:r w:rsidRPr="00FC27A1">
        <w:rPr>
          <w:rFonts w:ascii="Calibri" w:eastAsia="Calibri" w:hAnsi="Calibri" w:cs="Calibri"/>
          <w:sz w:val="22"/>
          <w:szCs w:val="22"/>
        </w:rPr>
        <w:t xml:space="preserve"> related area (please indicate any published articles on the application of accounting standards in the applications)</w:t>
      </w:r>
    </w:p>
    <w:p w14:paraId="76C7D6DD" w14:textId="77777777" w:rsidR="008562A9" w:rsidRDefault="008562A9" w:rsidP="008562A9">
      <w:pPr>
        <w:pStyle w:val="Bullet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spacing w:after="240"/>
        <w:ind w:left="1134" w:hanging="283"/>
        <w:rPr>
          <w:rFonts w:ascii="Calibri" w:eastAsia="Calibri" w:hAnsi="Calibri" w:cs="Calibri"/>
          <w:sz w:val="22"/>
          <w:szCs w:val="22"/>
        </w:rPr>
      </w:pPr>
      <w:r w:rsidRPr="00FC27A1">
        <w:rPr>
          <w:rFonts w:ascii="Calibri" w:eastAsia="Calibri" w:hAnsi="Calibri" w:cs="Calibri"/>
          <w:sz w:val="22"/>
          <w:szCs w:val="22"/>
        </w:rPr>
        <w:t>preparing financial reports</w:t>
      </w:r>
      <w:r>
        <w:rPr>
          <w:rFonts w:ascii="Calibri" w:eastAsia="Calibri" w:hAnsi="Calibri" w:cs="Calibri"/>
          <w:sz w:val="22"/>
          <w:szCs w:val="22"/>
        </w:rPr>
        <w:t xml:space="preserve"> for</w:t>
      </w:r>
      <w:r w:rsidRPr="00FC27A1">
        <w:rPr>
          <w:rFonts w:ascii="Calibri" w:eastAsia="Calibri" w:hAnsi="Calibri" w:cs="Calibri"/>
          <w:sz w:val="22"/>
          <w:szCs w:val="22"/>
        </w:rPr>
        <w:t>, or providing accounting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 w:rsidRPr="00FC27A1">
        <w:rPr>
          <w:rFonts w:ascii="Calibri" w:eastAsia="Calibri" w:hAnsi="Calibri" w:cs="Calibri"/>
          <w:sz w:val="22"/>
          <w:szCs w:val="22"/>
        </w:rPr>
        <w:t>audit</w:t>
      </w:r>
      <w:r>
        <w:rPr>
          <w:rFonts w:ascii="Calibri" w:eastAsia="Calibri" w:hAnsi="Calibri" w:cs="Calibri"/>
          <w:sz w:val="22"/>
          <w:szCs w:val="22"/>
        </w:rPr>
        <w:t xml:space="preserve"> or sustainability reporting</w:t>
      </w:r>
      <w:r w:rsidRPr="00FC27A1">
        <w:rPr>
          <w:rFonts w:ascii="Calibri" w:eastAsia="Calibri" w:hAnsi="Calibri" w:cs="Calibri"/>
          <w:sz w:val="22"/>
          <w:szCs w:val="22"/>
        </w:rPr>
        <w:t xml:space="preserve"> services to, the not-for-profit and public sectors.</w:t>
      </w:r>
    </w:p>
    <w:p w14:paraId="6B8AC7E1" w14:textId="77777777" w:rsidR="008562A9" w:rsidRPr="00F2776F" w:rsidRDefault="008562A9" w:rsidP="008562A9">
      <w:pPr>
        <w:pStyle w:val="Bullet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spacing w:after="240"/>
        <w:ind w:left="1134" w:hanging="28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sustainability and non-financial reporting</w:t>
      </w:r>
    </w:p>
    <w:p w14:paraId="4622FCA6" w14:textId="3362D3D9" w:rsidR="008562A9" w:rsidRDefault="008562A9" w:rsidP="008562A9">
      <w:pPr>
        <w:pStyle w:val="BulletA"/>
        <w:spacing w:after="240"/>
        <w:rPr>
          <w:rFonts w:ascii="Calibri" w:hAnsi="Calibri" w:cs="Calibri"/>
          <w:sz w:val="22"/>
        </w:rPr>
      </w:pPr>
      <w:r>
        <w:rPr>
          <w:rFonts w:ascii="Calibri" w:eastAsia="Calibri" w:hAnsi="Calibri" w:cs="Calibri"/>
          <w:sz w:val="22"/>
          <w:szCs w:val="22"/>
        </w:rPr>
        <w:t>Additionally, e</w:t>
      </w:r>
      <w:r w:rsidRPr="001D0F56">
        <w:rPr>
          <w:rFonts w:ascii="Calibri" w:eastAsia="Calibri" w:hAnsi="Calibri" w:cs="Calibri"/>
          <w:sz w:val="22"/>
          <w:szCs w:val="22"/>
        </w:rPr>
        <w:t xml:space="preserve">xpertise </w:t>
      </w:r>
      <w:r w:rsidRPr="001D0F56">
        <w:rPr>
          <w:rFonts w:ascii="Calibri" w:hAnsi="Calibri" w:cs="Calibri"/>
          <w:sz w:val="22"/>
          <w:szCs w:val="22"/>
        </w:rPr>
        <w:t>in financial instruments, external reporting (</w:t>
      </w:r>
      <w:r w:rsidR="00831FC9" w:rsidRPr="001D0F56">
        <w:rPr>
          <w:rFonts w:ascii="Calibri" w:hAnsi="Calibri" w:cs="Calibri"/>
          <w:sz w:val="22"/>
          <w:szCs w:val="22"/>
        </w:rPr>
        <w:t>e.g.</w:t>
      </w:r>
      <w:r w:rsidRPr="001D0F56">
        <w:rPr>
          <w:rFonts w:ascii="Calibri" w:hAnsi="Calibri" w:cs="Calibri"/>
          <w:sz w:val="22"/>
          <w:szCs w:val="22"/>
        </w:rPr>
        <w:t xml:space="preserve"> remuneration, management commentary, </w:t>
      </w:r>
      <w:r w:rsidRPr="00FC27A1">
        <w:rPr>
          <w:rFonts w:ascii="Calibri" w:eastAsia="Calibri" w:hAnsi="Calibri" w:cs="Calibri"/>
          <w:sz w:val="22"/>
          <w:szCs w:val="22"/>
        </w:rPr>
        <w:t>service</w:t>
      </w:r>
      <w:r w:rsidRPr="001D0F56">
        <w:rPr>
          <w:rFonts w:ascii="Calibri" w:hAnsi="Calibri" w:cs="Calibri"/>
          <w:sz w:val="22"/>
          <w:szCs w:val="22"/>
        </w:rPr>
        <w:t xml:space="preserve"> performance reporting), valuation of non-financial assets</w:t>
      </w:r>
      <w:r>
        <w:rPr>
          <w:rFonts w:ascii="Calibri" w:hAnsi="Calibri" w:cs="Calibri"/>
          <w:sz w:val="22"/>
          <w:szCs w:val="22"/>
        </w:rPr>
        <w:t xml:space="preserve"> and</w:t>
      </w:r>
      <w:r w:rsidRPr="001D0F5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digital and analytical practices</w:t>
      </w:r>
      <w:r w:rsidRPr="001D0F56">
        <w:rPr>
          <w:rFonts w:ascii="Calibri" w:hAnsi="Calibri" w:cs="Calibri"/>
          <w:sz w:val="22"/>
          <w:szCs w:val="22"/>
        </w:rPr>
        <w:t xml:space="preserve"> would be valuable.</w:t>
      </w:r>
    </w:p>
    <w:p w14:paraId="27A78079" w14:textId="77777777" w:rsidR="001B0450" w:rsidRDefault="001B0450"/>
    <w:sectPr w:rsidR="001B045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65514" w14:textId="77777777" w:rsidR="008562A9" w:rsidRDefault="008562A9" w:rsidP="008562A9">
      <w:pPr>
        <w:spacing w:after="0" w:line="240" w:lineRule="auto"/>
      </w:pPr>
      <w:r>
        <w:separator/>
      </w:r>
    </w:p>
  </w:endnote>
  <w:endnote w:type="continuationSeparator" w:id="0">
    <w:p w14:paraId="33096DF2" w14:textId="77777777" w:rsidR="008562A9" w:rsidRDefault="008562A9" w:rsidP="00856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C8BBE" w14:textId="77777777" w:rsidR="008562A9" w:rsidRDefault="008562A9" w:rsidP="008562A9">
      <w:pPr>
        <w:spacing w:after="0" w:line="240" w:lineRule="auto"/>
      </w:pPr>
      <w:r>
        <w:separator/>
      </w:r>
    </w:p>
  </w:footnote>
  <w:footnote w:type="continuationSeparator" w:id="0">
    <w:p w14:paraId="5CD44DF3" w14:textId="77777777" w:rsidR="008562A9" w:rsidRDefault="008562A9" w:rsidP="00856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570CF" w14:textId="24B18FC4" w:rsidR="008562A9" w:rsidRDefault="008562A9" w:rsidP="008562A9">
    <w:pPr>
      <w:pStyle w:val="Header"/>
      <w:jc w:val="center"/>
    </w:pPr>
    <w:r>
      <w:rPr>
        <w:noProof/>
        <w:lang w:eastAsia="en-AU"/>
      </w:rPr>
      <w:drawing>
        <wp:inline distT="0" distB="0" distL="0" distR="0" wp14:anchorId="0B430692" wp14:editId="255FCF08">
          <wp:extent cx="3105150" cy="619125"/>
          <wp:effectExtent l="0" t="0" r="0" b="9525"/>
          <wp:docPr id="3" name="Picture 3" descr="FRC_inline_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RC_inline_2" descr="FRC_inline_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5150" cy="6191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C134DFF" w14:textId="77777777" w:rsidR="008562A9" w:rsidRDefault="008562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2A7A"/>
    <w:multiLevelType w:val="hybridMultilevel"/>
    <w:tmpl w:val="6BD08D56"/>
    <w:styleLink w:val="ImportedStyle1"/>
    <w:lvl w:ilvl="0" w:tplc="8248698C">
      <w:start w:val="1"/>
      <w:numFmt w:val="bullet"/>
      <w:lvlText w:val="•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C4DF46">
      <w:start w:val="1"/>
      <w:numFmt w:val="bullet"/>
      <w:lvlText w:val="–"/>
      <w:lvlJc w:val="left"/>
      <w:pPr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ACA146">
      <w:start w:val="1"/>
      <w:numFmt w:val="bullet"/>
      <w:lvlText w:val=":"/>
      <w:lvlJc w:val="left"/>
      <w:pPr>
        <w:ind w:left="1701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785B8C">
      <w:start w:val="1"/>
      <w:numFmt w:val="bullet"/>
      <w:lvlText w:val=":"/>
      <w:lvlJc w:val="left"/>
      <w:pPr>
        <w:ind w:left="2268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F6E132">
      <w:start w:val="1"/>
      <w:numFmt w:val="bullet"/>
      <w:lvlText w:val=":"/>
      <w:lvlJc w:val="left"/>
      <w:pPr>
        <w:ind w:left="2835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46669C">
      <w:start w:val="1"/>
      <w:numFmt w:val="bullet"/>
      <w:lvlText w:val=":"/>
      <w:lvlJc w:val="left"/>
      <w:pPr>
        <w:ind w:left="3402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20C09E">
      <w:start w:val="1"/>
      <w:numFmt w:val="bullet"/>
      <w:lvlText w:val=":"/>
      <w:lvlJc w:val="left"/>
      <w:pPr>
        <w:ind w:left="3969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7C4AC0">
      <w:start w:val="1"/>
      <w:numFmt w:val="bullet"/>
      <w:lvlText w:val=":"/>
      <w:lvlJc w:val="left"/>
      <w:pPr>
        <w:ind w:left="4536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9CD632">
      <w:start w:val="1"/>
      <w:numFmt w:val="bullet"/>
      <w:lvlText w:val=":"/>
      <w:lvlJc w:val="left"/>
      <w:pPr>
        <w:ind w:left="5103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31E1F07"/>
    <w:multiLevelType w:val="multilevel"/>
    <w:tmpl w:val="D7D22898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DC3D3A"/>
    <w:multiLevelType w:val="hybridMultilevel"/>
    <w:tmpl w:val="6BD08D56"/>
    <w:numStyleLink w:val="ImportedStyle1"/>
  </w:abstractNum>
  <w:abstractNum w:abstractNumId="3" w15:restartNumberingAfterBreak="0">
    <w:nsid w:val="51DA6AFB"/>
    <w:multiLevelType w:val="hybridMultilevel"/>
    <w:tmpl w:val="CBD42174"/>
    <w:lvl w:ilvl="0" w:tplc="8738E6EE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A9"/>
    <w:rsid w:val="001B0450"/>
    <w:rsid w:val="00342605"/>
    <w:rsid w:val="007A772B"/>
    <w:rsid w:val="00831FC9"/>
    <w:rsid w:val="0083788F"/>
    <w:rsid w:val="008562A9"/>
    <w:rsid w:val="0098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509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8562A9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en-AU"/>
      <w14:ligatures w14:val="none"/>
    </w:rPr>
  </w:style>
  <w:style w:type="paragraph" w:customStyle="1" w:styleId="BulletA">
    <w:name w:val="Bullet A"/>
    <w:link w:val="BulletAChar"/>
    <w:rsid w:val="008562A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</w:tabs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 w:eastAsia="en-AU"/>
      <w14:ligatures w14:val="none"/>
    </w:rPr>
  </w:style>
  <w:style w:type="numbering" w:customStyle="1" w:styleId="ImportedStyle1">
    <w:name w:val="Imported Style 1"/>
    <w:rsid w:val="008562A9"/>
    <w:pPr>
      <w:numPr>
        <w:numId w:val="1"/>
      </w:numPr>
    </w:pPr>
  </w:style>
  <w:style w:type="character" w:customStyle="1" w:styleId="BulletAChar">
    <w:name w:val="Bullet A Char"/>
    <w:basedOn w:val="DefaultParagraphFont"/>
    <w:link w:val="BulletA"/>
    <w:rsid w:val="008562A9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8562A9"/>
    <w:rPr>
      <w:color w:val="44546A" w:themeColor="text2"/>
      <w:u w:val="none"/>
    </w:rPr>
  </w:style>
  <w:style w:type="paragraph" w:customStyle="1" w:styleId="Bullet">
    <w:name w:val="Bullet"/>
    <w:basedOn w:val="Normal"/>
    <w:link w:val="BulletChar"/>
    <w:qFormat/>
    <w:rsid w:val="008562A9"/>
    <w:pPr>
      <w:numPr>
        <w:numId w:val="4"/>
      </w:numPr>
      <w:tabs>
        <w:tab w:val="clear" w:pos="567"/>
        <w:tab w:val="num" w:pos="426"/>
      </w:tabs>
      <w:spacing w:after="120" w:line="240" w:lineRule="auto"/>
      <w:ind w:left="426" w:hanging="426"/>
    </w:pPr>
    <w:rPr>
      <w:color w:val="000000" w:themeColor="text1"/>
      <w:kern w:val="0"/>
      <w:sz w:val="24"/>
      <w:szCs w:val="24"/>
      <w14:ligatures w14:val="none"/>
    </w:rPr>
  </w:style>
  <w:style w:type="paragraph" w:customStyle="1" w:styleId="Dash">
    <w:name w:val="Dash"/>
    <w:basedOn w:val="Normal"/>
    <w:rsid w:val="008562A9"/>
    <w:pPr>
      <w:numPr>
        <w:ilvl w:val="1"/>
        <w:numId w:val="4"/>
      </w:numPr>
      <w:spacing w:before="60" w:after="60" w:line="240" w:lineRule="auto"/>
    </w:pPr>
    <w:rPr>
      <w:color w:val="000000" w:themeColor="text1"/>
      <w:kern w:val="0"/>
      <w:sz w:val="24"/>
      <w:szCs w:val="24"/>
      <w14:ligatures w14:val="none"/>
    </w:rPr>
  </w:style>
  <w:style w:type="paragraph" w:customStyle="1" w:styleId="DoubleDot">
    <w:name w:val="Double Dot"/>
    <w:basedOn w:val="Normal"/>
    <w:rsid w:val="008562A9"/>
    <w:pPr>
      <w:numPr>
        <w:ilvl w:val="2"/>
        <w:numId w:val="4"/>
      </w:numPr>
      <w:spacing w:before="60" w:after="60" w:line="240" w:lineRule="auto"/>
    </w:pPr>
    <w:rPr>
      <w:color w:val="000000" w:themeColor="text1"/>
      <w:kern w:val="0"/>
      <w:sz w:val="24"/>
      <w:szCs w:val="24"/>
      <w14:ligatures w14:val="none"/>
    </w:rPr>
  </w:style>
  <w:style w:type="character" w:customStyle="1" w:styleId="BulletChar">
    <w:name w:val="Bullet Char"/>
    <w:basedOn w:val="DefaultParagraphFont"/>
    <w:link w:val="Bullet"/>
    <w:rsid w:val="008562A9"/>
    <w:rPr>
      <w:color w:val="000000" w:themeColor="text1"/>
      <w:kern w:val="0"/>
      <w:sz w:val="24"/>
      <w:szCs w:val="24"/>
      <w14:ligatures w14:val="none"/>
    </w:rPr>
  </w:style>
  <w:style w:type="character" w:customStyle="1" w:styleId="Hyperlink0">
    <w:name w:val="Hyperlink.0"/>
    <w:basedOn w:val="DefaultParagraphFont"/>
    <w:rsid w:val="008562A9"/>
    <w:rPr>
      <w:rFonts w:ascii="Calibri" w:eastAsia="Calibri" w:hAnsi="Calibri" w:cs="Calibri"/>
      <w:b/>
      <w:bCs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DefaultParagraphFont"/>
    <w:rsid w:val="008562A9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856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2A9"/>
  </w:style>
  <w:style w:type="paragraph" w:styleId="Footer">
    <w:name w:val="footer"/>
    <w:basedOn w:val="Normal"/>
    <w:link w:val="FooterChar"/>
    <w:uiPriority w:val="99"/>
    <w:unhideWhenUsed/>
    <w:rsid w:val="00856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sb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rc.gov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cretariat@frc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asb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3927</Characters>
  <Application>Microsoft Office Word</Application>
  <DocSecurity>0</DocSecurity>
  <Lines>70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Accounting Standards Board - Applications for appointment as a member</vt:lpstr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Accounting Standards Board - Applications for appointment as a member</dc:title>
  <dc:subject/>
  <dc:creator/>
  <cp:keywords/>
  <dc:description/>
  <cp:lastModifiedBy/>
  <cp:revision>1</cp:revision>
  <dcterms:created xsi:type="dcterms:W3CDTF">2024-08-12T00:20:00Z</dcterms:created>
  <dcterms:modified xsi:type="dcterms:W3CDTF">2024-08-12T00:21:00Z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2024-08-12T00:20:59Z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bf4d44e9-f426-4b10-85c0-4b760095f162</vt:lpwstr>
  </property>
  <property fmtid="{D5CDD505-2E9C-101B-9397-08002B2CF9AE}" pid="8" name="MSIP_Label_4f932d64-9ab1-4d9b-81d2-a3a8b82dd47d_ContentBits">
    <vt:lpwstr>0</vt:lpwstr>
  </property>
</Properties>
</file>