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EA89" w14:textId="562DF804" w:rsidR="00A97160" w:rsidRPr="003A6A8B" w:rsidRDefault="00DB57EC" w:rsidP="003A6A8B">
      <w:pPr>
        <w:pStyle w:val="Title"/>
      </w:pPr>
      <w:r w:rsidRPr="003A6A8B">
        <w:t>Oversight of Audit Quality in</w:t>
      </w:r>
      <w:r w:rsidR="006568CC" w:rsidRPr="003A6A8B">
        <w:t> </w:t>
      </w:r>
      <w:r w:rsidRPr="003A6A8B">
        <w:t>Aus</w:t>
      </w:r>
      <w:r w:rsidR="00160DF5" w:rsidRPr="003A6A8B">
        <w:t>t</w:t>
      </w:r>
      <w:r w:rsidRPr="003A6A8B">
        <w:t>ralia</w:t>
      </w:r>
      <w:r w:rsidR="00A758B9" w:rsidRPr="003A6A8B">
        <w:t>–A Review</w:t>
      </w:r>
    </w:p>
    <w:p w14:paraId="7FC33CE3" w14:textId="45CE3570" w:rsidR="00A97160" w:rsidRPr="00586605" w:rsidRDefault="00703FEB" w:rsidP="006923DF">
      <w:pPr>
        <w:pStyle w:val="ReportDate"/>
      </w:pPr>
      <w:r>
        <w:rPr>
          <w:rStyle w:val="ReportDateChar"/>
        </w:rPr>
        <w:t>November</w:t>
      </w:r>
      <w:r w:rsidR="00E91943">
        <w:rPr>
          <w:rStyle w:val="ReportDateChar"/>
        </w:rPr>
        <w:t xml:space="preserve"> 2023</w:t>
      </w:r>
    </w:p>
    <w:p w14:paraId="1114F6B9" w14:textId="77777777" w:rsidR="002F26A5" w:rsidRPr="002F26A5" w:rsidRDefault="002F26A5" w:rsidP="002F26A5"/>
    <w:p w14:paraId="6C49DD7D" w14:textId="77777777" w:rsidR="002F26A5" w:rsidRPr="002F26A5" w:rsidRDefault="002F26A5" w:rsidP="002F26A5">
      <w:pPr>
        <w:sectPr w:rsidR="002F26A5" w:rsidRPr="002F26A5" w:rsidSect="008D43B4">
          <w:headerReference w:type="first" r:id="rId8"/>
          <w:footerReference w:type="first" r:id="rId9"/>
          <w:pgSz w:w="11906" w:h="16838" w:code="9"/>
          <w:pgMar w:top="1843" w:right="1418" w:bottom="1418" w:left="1418" w:header="709" w:footer="709" w:gutter="0"/>
          <w:pgNumType w:fmt="lowerRoman" w:start="0"/>
          <w:cols w:space="708"/>
          <w:vAlign w:val="center"/>
          <w:titlePg/>
          <w:docGrid w:linePitch="360"/>
        </w:sectPr>
      </w:pPr>
    </w:p>
    <w:p w14:paraId="41FF3F39" w14:textId="77777777" w:rsidR="00E251E4" w:rsidRPr="00E251E4" w:rsidRDefault="00E251E4" w:rsidP="00E251E4">
      <w:pPr>
        <w:spacing w:after="160" w:line="259" w:lineRule="auto"/>
        <w:rPr>
          <w:sz w:val="20"/>
          <w:szCs w:val="18"/>
        </w:rPr>
      </w:pPr>
      <w:r w:rsidRPr="00E251E4">
        <w:rPr>
          <w:sz w:val="20"/>
          <w:szCs w:val="18"/>
        </w:rPr>
        <w:lastRenderedPageBreak/>
        <w:t>© Commonwealth of Australia 2023</w:t>
      </w:r>
    </w:p>
    <w:p w14:paraId="782951CF" w14:textId="77777777" w:rsidR="00E251E4" w:rsidRPr="00E251E4" w:rsidRDefault="00E251E4" w:rsidP="00E251E4">
      <w:pPr>
        <w:rPr>
          <w:color w:val="3A6FAF"/>
          <w:sz w:val="20"/>
          <w:szCs w:val="18"/>
        </w:rPr>
      </w:pPr>
      <w:r w:rsidRPr="00E251E4">
        <w:rPr>
          <w:sz w:val="20"/>
          <w:szCs w:val="18"/>
        </w:rPr>
        <w:t xml:space="preserve">This publication is available for your use under a </w:t>
      </w:r>
      <w:hyperlink r:id="rId10" w:history="1">
        <w:r w:rsidRPr="00E251E4">
          <w:rPr>
            <w:color w:val="3A6FAF"/>
            <w:sz w:val="20"/>
            <w:szCs w:val="18"/>
          </w:rPr>
          <w:t>Creative Commons BY Attribution 3.0 Australia</w:t>
        </w:r>
      </w:hyperlink>
      <w:r w:rsidRPr="00E251E4">
        <w:rPr>
          <w:sz w:val="20"/>
          <w:szCs w:val="18"/>
        </w:rPr>
        <w:t xml:space="preserve"> licence, with the exception of the Commonwealth Coat of Arms and the Financial Reporting Council logo. The full licence terms are available from </w:t>
      </w:r>
      <w:hyperlink r:id="rId11" w:history="1">
        <w:r w:rsidRPr="00E251E4">
          <w:rPr>
            <w:color w:val="3A6FAF"/>
            <w:sz w:val="20"/>
            <w:szCs w:val="18"/>
          </w:rPr>
          <w:t>http://creativecommons.org/licenses/by/3.0/au/legalcode</w:t>
        </w:r>
      </w:hyperlink>
    </w:p>
    <w:p w14:paraId="643465D0" w14:textId="77777777" w:rsidR="00E251E4" w:rsidRPr="00E251E4" w:rsidRDefault="00E251E4" w:rsidP="00E251E4">
      <w:pPr>
        <w:rPr>
          <w:sz w:val="20"/>
          <w:szCs w:val="18"/>
        </w:rPr>
      </w:pPr>
      <w:r w:rsidRPr="00E251E4">
        <w:rPr>
          <w:noProof/>
          <w:sz w:val="20"/>
          <w:szCs w:val="18"/>
        </w:rPr>
        <w:drawing>
          <wp:inline distT="0" distB="0" distL="0" distR="0" wp14:anchorId="6D831711" wp14:editId="5918E6B4">
            <wp:extent cx="809625" cy="285750"/>
            <wp:effectExtent l="0" t="0" r="9525" b="0"/>
            <wp:docPr id="8" name="Picture 8" descr="P7#yIS1"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7#yIS1" title="Creative Commons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4932C0E4" w14:textId="77777777" w:rsidR="00E251E4" w:rsidRPr="00E251E4" w:rsidRDefault="00E251E4" w:rsidP="00E251E4">
      <w:pPr>
        <w:tabs>
          <w:tab w:val="left" w:pos="1650"/>
        </w:tabs>
        <w:rPr>
          <w:sz w:val="20"/>
          <w:szCs w:val="18"/>
        </w:rPr>
      </w:pPr>
      <w:r w:rsidRPr="00E251E4">
        <w:rPr>
          <w:sz w:val="20"/>
          <w:szCs w:val="18"/>
        </w:rPr>
        <w:t>Use of Financial Reporting Council material under a</w:t>
      </w:r>
      <w:r w:rsidRPr="00E251E4">
        <w:rPr>
          <w:rFonts w:cstheme="minorHAnsi"/>
          <w:sz w:val="20"/>
          <w:szCs w:val="22"/>
        </w:rPr>
        <w:t xml:space="preserve"> </w:t>
      </w:r>
      <w:hyperlink r:id="rId13" w:history="1">
        <w:r w:rsidRPr="00E251E4">
          <w:rPr>
            <w:color w:val="3A6FAF"/>
            <w:sz w:val="20"/>
            <w:szCs w:val="18"/>
          </w:rPr>
          <w:t>Creative Commons Attribution 3.0 Australia</w:t>
        </w:r>
      </w:hyperlink>
      <w:r w:rsidRPr="00E251E4">
        <w:rPr>
          <w:color w:val="3A6FAF"/>
          <w:sz w:val="20"/>
          <w:szCs w:val="18"/>
        </w:rPr>
        <w:t xml:space="preserve"> </w:t>
      </w:r>
      <w:r w:rsidRPr="00E251E4">
        <w:rPr>
          <w:sz w:val="20"/>
          <w:szCs w:val="18"/>
        </w:rPr>
        <w:t>licence requires you to attribute the work (but not in any way that the Financial Reporting Council suggests that endorses you or your use of the work).</w:t>
      </w:r>
    </w:p>
    <w:p w14:paraId="3B1ECCFC" w14:textId="29DED800" w:rsidR="00E251E4" w:rsidRPr="00E251E4" w:rsidRDefault="00E251E4" w:rsidP="00E251E4">
      <w:pPr>
        <w:rPr>
          <w:b/>
          <w:sz w:val="20"/>
          <w:szCs w:val="18"/>
        </w:rPr>
      </w:pPr>
      <w:r w:rsidRPr="00E251E4">
        <w:rPr>
          <w:b/>
          <w:sz w:val="20"/>
          <w:szCs w:val="18"/>
        </w:rPr>
        <w:t xml:space="preserve">Financial Reporting Council material used </w:t>
      </w:r>
      <w:r w:rsidR="00EB0779">
        <w:rPr>
          <w:b/>
          <w:sz w:val="20"/>
          <w:szCs w:val="18"/>
        </w:rPr>
        <w:t>‘</w:t>
      </w:r>
      <w:r w:rsidRPr="00E251E4">
        <w:rPr>
          <w:b/>
          <w:sz w:val="20"/>
          <w:szCs w:val="18"/>
        </w:rPr>
        <w:t>as supplied</w:t>
      </w:r>
      <w:r w:rsidR="00EB0779">
        <w:rPr>
          <w:b/>
          <w:sz w:val="20"/>
          <w:szCs w:val="18"/>
        </w:rPr>
        <w:t>’</w:t>
      </w:r>
      <w:r w:rsidRPr="00E251E4">
        <w:rPr>
          <w:b/>
          <w:sz w:val="20"/>
          <w:szCs w:val="18"/>
        </w:rPr>
        <w:t>.</w:t>
      </w:r>
    </w:p>
    <w:p w14:paraId="27AAB771" w14:textId="6E38A684" w:rsidR="00E251E4" w:rsidRPr="00E251E4" w:rsidRDefault="00E251E4" w:rsidP="00E251E4">
      <w:pPr>
        <w:rPr>
          <w:sz w:val="20"/>
          <w:szCs w:val="18"/>
        </w:rPr>
      </w:pPr>
      <w:r w:rsidRPr="00E251E4">
        <w:rPr>
          <w:sz w:val="20"/>
          <w:szCs w:val="18"/>
        </w:rPr>
        <w:t>Provided you have not modified or transformed Financial Reporting Council material in any way including, for example, by changing the Financial Reporting Council text; calculating percentage changes; graphing or charting data; or deriving new statistics from published Financial Reporting Council statistics</w:t>
      </w:r>
      <w:r w:rsidR="00EB0779">
        <w:rPr>
          <w:sz w:val="20"/>
          <w:szCs w:val="18"/>
        </w:rPr>
        <w:t xml:space="preserve"> – </w:t>
      </w:r>
      <w:r w:rsidRPr="00E251E4">
        <w:rPr>
          <w:sz w:val="20"/>
          <w:szCs w:val="18"/>
        </w:rPr>
        <w:t xml:space="preserve">then Financial Reporting Council prefers the following attribution: </w:t>
      </w:r>
    </w:p>
    <w:p w14:paraId="5B4C1FFF" w14:textId="77777777" w:rsidR="00E251E4" w:rsidRPr="00E251E4" w:rsidRDefault="00E251E4" w:rsidP="00E251E4">
      <w:pPr>
        <w:ind w:firstLine="720"/>
        <w:rPr>
          <w:i/>
          <w:sz w:val="20"/>
          <w:szCs w:val="18"/>
        </w:rPr>
      </w:pPr>
      <w:r w:rsidRPr="00E251E4">
        <w:rPr>
          <w:i/>
          <w:sz w:val="20"/>
          <w:szCs w:val="18"/>
        </w:rPr>
        <w:t>Source: The Financial Reporting Council</w:t>
      </w:r>
    </w:p>
    <w:p w14:paraId="12747173" w14:textId="77777777" w:rsidR="00E251E4" w:rsidRPr="00E251E4" w:rsidRDefault="00E251E4" w:rsidP="00E251E4">
      <w:pPr>
        <w:rPr>
          <w:sz w:val="20"/>
          <w:szCs w:val="18"/>
        </w:rPr>
      </w:pPr>
      <w:r w:rsidRPr="00E251E4">
        <w:rPr>
          <w:b/>
          <w:sz w:val="20"/>
          <w:szCs w:val="18"/>
        </w:rPr>
        <w:t>Derivative</w:t>
      </w:r>
      <w:r w:rsidRPr="00E251E4">
        <w:rPr>
          <w:sz w:val="20"/>
          <w:szCs w:val="18"/>
        </w:rPr>
        <w:t xml:space="preserve"> </w:t>
      </w:r>
      <w:r w:rsidRPr="00E251E4">
        <w:rPr>
          <w:b/>
          <w:sz w:val="20"/>
          <w:szCs w:val="18"/>
        </w:rPr>
        <w:t>material</w:t>
      </w:r>
    </w:p>
    <w:p w14:paraId="18310D44" w14:textId="77777777" w:rsidR="00E251E4" w:rsidRPr="00E251E4" w:rsidRDefault="00E251E4" w:rsidP="00E251E4">
      <w:pPr>
        <w:rPr>
          <w:sz w:val="20"/>
          <w:szCs w:val="18"/>
        </w:rPr>
      </w:pPr>
      <w:r w:rsidRPr="00E251E4">
        <w:rPr>
          <w:sz w:val="20"/>
          <w:szCs w:val="18"/>
        </w:rPr>
        <w:t xml:space="preserve">If you have modified or transformed Financial Reporting Council material, or derived new material from those of the Financial Reporting Council in any way, then Financial Reporting Council prefers the following attribution: </w:t>
      </w:r>
    </w:p>
    <w:p w14:paraId="2CD69DEE" w14:textId="77777777" w:rsidR="00E251E4" w:rsidRPr="00E251E4" w:rsidRDefault="00E251E4" w:rsidP="00E251E4">
      <w:pPr>
        <w:ind w:firstLine="720"/>
        <w:rPr>
          <w:sz w:val="20"/>
          <w:szCs w:val="18"/>
        </w:rPr>
      </w:pPr>
      <w:r w:rsidRPr="00E251E4">
        <w:rPr>
          <w:i/>
          <w:sz w:val="20"/>
          <w:szCs w:val="18"/>
        </w:rPr>
        <w:t>Based on Financial Reporting Council data</w:t>
      </w:r>
      <w:r w:rsidRPr="00E251E4">
        <w:rPr>
          <w:sz w:val="20"/>
          <w:szCs w:val="18"/>
        </w:rPr>
        <w:t>.</w:t>
      </w:r>
    </w:p>
    <w:p w14:paraId="40757E17" w14:textId="77777777" w:rsidR="00E251E4" w:rsidRPr="00E251E4" w:rsidRDefault="00E251E4" w:rsidP="00E251E4">
      <w:pPr>
        <w:rPr>
          <w:b/>
          <w:sz w:val="20"/>
          <w:szCs w:val="18"/>
        </w:rPr>
      </w:pPr>
      <w:r w:rsidRPr="00E251E4">
        <w:rPr>
          <w:b/>
          <w:sz w:val="20"/>
          <w:szCs w:val="18"/>
        </w:rPr>
        <w:t>Use of the Coat of Arms</w:t>
      </w:r>
    </w:p>
    <w:p w14:paraId="76730EE5" w14:textId="1E9A407E" w:rsidR="00E251E4" w:rsidRPr="00E251E4" w:rsidRDefault="00E251E4" w:rsidP="00E251E4">
      <w:pPr>
        <w:rPr>
          <w:sz w:val="20"/>
          <w:szCs w:val="18"/>
        </w:rPr>
      </w:pPr>
      <w:r w:rsidRPr="00E251E4">
        <w:rPr>
          <w:sz w:val="20"/>
          <w:szCs w:val="18"/>
        </w:rPr>
        <w:t xml:space="preserve">The terms under which the Coat of Arms can be used are set out on the Department of the Prime Minister and Cabinet website (see </w:t>
      </w:r>
      <w:hyperlink r:id="rId14" w:history="1">
        <w:r w:rsidRPr="00E251E4">
          <w:rPr>
            <w:color w:val="3A6FAF"/>
            <w:sz w:val="20"/>
            <w:szCs w:val="18"/>
          </w:rPr>
          <w:t>https://www.pmc.gov.au/honours</w:t>
        </w:r>
        <w:r w:rsidR="00EB0779">
          <w:rPr>
            <w:color w:val="3A6FAF"/>
            <w:sz w:val="20"/>
            <w:szCs w:val="18"/>
          </w:rPr>
          <w:noBreakHyphen/>
        </w:r>
        <w:r w:rsidRPr="00E251E4">
          <w:rPr>
            <w:color w:val="3A6FAF"/>
            <w:sz w:val="20"/>
            <w:szCs w:val="18"/>
          </w:rPr>
          <w:t>and</w:t>
        </w:r>
        <w:r w:rsidR="00EB0779">
          <w:rPr>
            <w:color w:val="3A6FAF"/>
            <w:sz w:val="20"/>
            <w:szCs w:val="18"/>
          </w:rPr>
          <w:noBreakHyphen/>
        </w:r>
        <w:r w:rsidRPr="00E251E4">
          <w:rPr>
            <w:color w:val="3A6FAF"/>
            <w:sz w:val="20"/>
            <w:szCs w:val="18"/>
          </w:rPr>
          <w:t>symbols/commonwealth</w:t>
        </w:r>
        <w:r w:rsidR="00EB0779">
          <w:rPr>
            <w:color w:val="3A6FAF"/>
            <w:sz w:val="20"/>
            <w:szCs w:val="18"/>
          </w:rPr>
          <w:noBreakHyphen/>
        </w:r>
        <w:r w:rsidRPr="00E251E4">
          <w:rPr>
            <w:color w:val="3A6FAF"/>
            <w:sz w:val="20"/>
            <w:szCs w:val="18"/>
          </w:rPr>
          <w:t>coat</w:t>
        </w:r>
        <w:r w:rsidR="00EB0779">
          <w:rPr>
            <w:color w:val="3A6FAF"/>
            <w:sz w:val="20"/>
            <w:szCs w:val="18"/>
          </w:rPr>
          <w:noBreakHyphen/>
        </w:r>
        <w:r w:rsidRPr="00E251E4">
          <w:rPr>
            <w:color w:val="3A6FAF"/>
            <w:sz w:val="20"/>
            <w:szCs w:val="18"/>
          </w:rPr>
          <w:t>arms</w:t>
        </w:r>
      </w:hyperlink>
      <w:r w:rsidRPr="00E251E4">
        <w:rPr>
          <w:sz w:val="20"/>
          <w:szCs w:val="18"/>
        </w:rPr>
        <w:t>).</w:t>
      </w:r>
    </w:p>
    <w:p w14:paraId="370F5F87" w14:textId="77777777" w:rsidR="00E251E4" w:rsidRPr="00E251E4" w:rsidRDefault="00E251E4" w:rsidP="00E251E4">
      <w:pPr>
        <w:rPr>
          <w:b/>
          <w:bCs/>
          <w:sz w:val="20"/>
          <w:szCs w:val="18"/>
        </w:rPr>
      </w:pPr>
      <w:r w:rsidRPr="00E251E4">
        <w:rPr>
          <w:b/>
          <w:bCs/>
          <w:sz w:val="20"/>
          <w:szCs w:val="18"/>
        </w:rPr>
        <w:t>Other uses</w:t>
      </w:r>
    </w:p>
    <w:p w14:paraId="63D08D17" w14:textId="77777777" w:rsidR="00E251E4" w:rsidRPr="00E251E4" w:rsidRDefault="00E251E4" w:rsidP="00E251E4">
      <w:pPr>
        <w:rPr>
          <w:sz w:val="20"/>
          <w:szCs w:val="18"/>
        </w:rPr>
      </w:pPr>
      <w:r w:rsidRPr="00E251E4">
        <w:rPr>
          <w:sz w:val="20"/>
          <w:szCs w:val="18"/>
        </w:rPr>
        <w:t>Enquiries regarding this licence and any other use of this document are welcome at:</w:t>
      </w:r>
    </w:p>
    <w:p w14:paraId="52C19D65" w14:textId="77777777" w:rsidR="00E251E4" w:rsidRPr="00E251E4" w:rsidRDefault="00E251E4" w:rsidP="00E251E4">
      <w:pPr>
        <w:rPr>
          <w:sz w:val="20"/>
          <w:szCs w:val="18"/>
        </w:rPr>
      </w:pPr>
      <w:r w:rsidRPr="00E251E4">
        <w:rPr>
          <w:sz w:val="20"/>
          <w:szCs w:val="18"/>
        </w:rPr>
        <w:t>Secretariat</w:t>
      </w:r>
      <w:r w:rsidRPr="00E251E4">
        <w:rPr>
          <w:sz w:val="20"/>
          <w:szCs w:val="18"/>
        </w:rPr>
        <w:br/>
        <w:t>Financial Reporting Council</w:t>
      </w:r>
      <w:r w:rsidRPr="00E251E4">
        <w:rPr>
          <w:sz w:val="20"/>
          <w:szCs w:val="18"/>
        </w:rPr>
        <w:br/>
        <w:t>c/</w:t>
      </w:r>
      <w:r w:rsidRPr="00E251E4">
        <w:rPr>
          <w:rFonts w:ascii="Cambria Math" w:hAnsi="Cambria Math" w:cs="Cambria Math"/>
          <w:sz w:val="20"/>
          <w:szCs w:val="18"/>
        </w:rPr>
        <w:t>‑</w:t>
      </w:r>
      <w:r w:rsidRPr="00E251E4">
        <w:rPr>
          <w:sz w:val="20"/>
          <w:szCs w:val="18"/>
        </w:rPr>
        <w:t xml:space="preserve"> The Treasury</w:t>
      </w:r>
      <w:r w:rsidRPr="00E251E4">
        <w:rPr>
          <w:sz w:val="20"/>
          <w:szCs w:val="18"/>
        </w:rPr>
        <w:br/>
        <w:t>Langton Crescent</w:t>
      </w:r>
      <w:r w:rsidRPr="00E251E4">
        <w:rPr>
          <w:sz w:val="20"/>
          <w:szCs w:val="18"/>
        </w:rPr>
        <w:br/>
        <w:t>Parkes ACT 2600</w:t>
      </w:r>
    </w:p>
    <w:p w14:paraId="68C01710" w14:textId="77777777" w:rsidR="00E251E4" w:rsidRPr="00E251E4" w:rsidRDefault="00E251E4" w:rsidP="00E251E4">
      <w:pPr>
        <w:rPr>
          <w:sz w:val="20"/>
          <w:szCs w:val="18"/>
        </w:rPr>
      </w:pPr>
      <w:r w:rsidRPr="00E251E4">
        <w:rPr>
          <w:sz w:val="20"/>
          <w:szCs w:val="18"/>
        </w:rPr>
        <w:t xml:space="preserve">Email: </w:t>
      </w:r>
      <w:hyperlink r:id="rId15" w:history="1">
        <w:r w:rsidRPr="00E251E4">
          <w:rPr>
            <w:sz w:val="20"/>
            <w:szCs w:val="18"/>
          </w:rPr>
          <w:t>secretariat@frc.gov.au</w:t>
        </w:r>
      </w:hyperlink>
    </w:p>
    <w:p w14:paraId="2C41A5D1" w14:textId="77777777" w:rsidR="00E251E4" w:rsidRPr="00E251E4" w:rsidRDefault="00E251E4" w:rsidP="00E251E4">
      <w:pPr>
        <w:spacing w:before="0" w:after="0"/>
        <w:rPr>
          <w:i/>
          <w:iCs/>
          <w:sz w:val="20"/>
          <w:szCs w:val="18"/>
        </w:rPr>
      </w:pPr>
      <w:r w:rsidRPr="00E251E4">
        <w:rPr>
          <w:i/>
          <w:iCs/>
          <w:sz w:val="20"/>
          <w:szCs w:val="18"/>
        </w:rPr>
        <w:t>In the spirit of reconciliation, Financial Reporting Council acknowledges the Traditional Custodians of country throughout Australia and their connections to land, sea and community. We pay our respect to their Elders past and present and extend that respect to all Aboriginal and Torres Strait Islander peoples.</w:t>
      </w:r>
    </w:p>
    <w:p w14:paraId="7AC2B13F" w14:textId="77777777" w:rsidR="002437D1" w:rsidRPr="002F1BC2" w:rsidRDefault="002437D1" w:rsidP="000E0B74">
      <w:pPr>
        <w:ind w:left="720"/>
        <w:rPr>
          <w:rStyle w:val="Hyperlink"/>
        </w:rPr>
      </w:pPr>
    </w:p>
    <w:p w14:paraId="1A16B0E7" w14:textId="77777777" w:rsidR="00F836F9" w:rsidRDefault="00F836F9" w:rsidP="009E04E4">
      <w:pPr>
        <w:pStyle w:val="Heading1"/>
        <w:sectPr w:rsidR="00F836F9" w:rsidSect="008D43B4">
          <w:headerReference w:type="first" r:id="rId16"/>
          <w:footerReference w:type="first" r:id="rId17"/>
          <w:pgSz w:w="11906" w:h="16838" w:code="9"/>
          <w:pgMar w:top="1843" w:right="1418" w:bottom="1418" w:left="1418" w:header="709" w:footer="709" w:gutter="0"/>
          <w:pgNumType w:fmt="lowerRoman" w:start="0"/>
          <w:cols w:space="708"/>
          <w:titlePg/>
          <w:docGrid w:linePitch="360"/>
        </w:sectPr>
      </w:pPr>
    </w:p>
    <w:p w14:paraId="0D1A1619" w14:textId="77777777" w:rsidR="00B206D4" w:rsidRDefault="000E0B74" w:rsidP="00E91943">
      <w:pPr>
        <w:pStyle w:val="Heading1"/>
        <w:rPr>
          <w:noProof/>
        </w:rPr>
      </w:pPr>
      <w:bookmarkStart w:id="0" w:name="_Toc149551262"/>
      <w:r w:rsidRPr="009E04E4">
        <w:lastRenderedPageBreak/>
        <w:t>Contents</w:t>
      </w:r>
      <w:bookmarkEnd w:id="0"/>
      <w:r>
        <w:rPr>
          <w:noProof/>
          <w:color w:val="004A7F"/>
          <w:sz w:val="24"/>
          <w:szCs w:val="22"/>
        </w:rPr>
        <w:fldChar w:fldCharType="begin"/>
      </w:r>
      <w:r w:rsidRPr="0025652F">
        <w:instrText xml:space="preserve"> TOC \o "1-3" \h \z \u </w:instrText>
      </w:r>
      <w:r>
        <w:rPr>
          <w:noProof/>
          <w:color w:val="004A7F"/>
          <w:sz w:val="24"/>
          <w:szCs w:val="22"/>
        </w:rPr>
        <w:fldChar w:fldCharType="separate"/>
      </w:r>
    </w:p>
    <w:p w14:paraId="566D935F" w14:textId="1E8D8F58" w:rsidR="00B206D4" w:rsidRDefault="00B973B7">
      <w:pPr>
        <w:pStyle w:val="TOC1"/>
        <w:rPr>
          <w:rFonts w:eastAsiaTheme="minorEastAsia" w:cstheme="minorBidi"/>
          <w:b w:val="0"/>
          <w:color w:val="auto"/>
          <w:sz w:val="22"/>
        </w:rPr>
      </w:pPr>
      <w:hyperlink w:anchor="_Toc149551263" w:history="1">
        <w:r w:rsidR="00B206D4" w:rsidRPr="00990C3D">
          <w:rPr>
            <w:rStyle w:val="Hyperlink"/>
          </w:rPr>
          <w:t>Executive Summary</w:t>
        </w:r>
        <w:r w:rsidR="00B206D4">
          <w:rPr>
            <w:webHidden/>
          </w:rPr>
          <w:tab/>
        </w:r>
        <w:r w:rsidR="00B206D4">
          <w:rPr>
            <w:webHidden/>
          </w:rPr>
          <w:fldChar w:fldCharType="begin"/>
        </w:r>
        <w:r w:rsidR="00B206D4">
          <w:rPr>
            <w:webHidden/>
          </w:rPr>
          <w:instrText xml:space="preserve"> PAGEREF _Toc149551263 \h </w:instrText>
        </w:r>
        <w:r w:rsidR="00B206D4">
          <w:rPr>
            <w:webHidden/>
          </w:rPr>
        </w:r>
        <w:r w:rsidR="00B206D4">
          <w:rPr>
            <w:webHidden/>
          </w:rPr>
          <w:fldChar w:fldCharType="separate"/>
        </w:r>
        <w:r w:rsidR="00675CEA">
          <w:rPr>
            <w:webHidden/>
          </w:rPr>
          <w:t>1</w:t>
        </w:r>
        <w:r w:rsidR="00B206D4">
          <w:rPr>
            <w:webHidden/>
          </w:rPr>
          <w:fldChar w:fldCharType="end"/>
        </w:r>
      </w:hyperlink>
    </w:p>
    <w:p w14:paraId="44BB8152" w14:textId="1F656D02" w:rsidR="00B206D4" w:rsidRDefault="00B973B7">
      <w:pPr>
        <w:pStyle w:val="TOC1"/>
        <w:rPr>
          <w:rFonts w:eastAsiaTheme="minorEastAsia" w:cstheme="minorBidi"/>
          <w:b w:val="0"/>
          <w:color w:val="auto"/>
          <w:sz w:val="22"/>
        </w:rPr>
      </w:pPr>
      <w:hyperlink w:anchor="_Toc149551264" w:history="1">
        <w:r w:rsidR="00B206D4" w:rsidRPr="00990C3D">
          <w:rPr>
            <w:rStyle w:val="Hyperlink"/>
          </w:rPr>
          <w:t>Scope and Methodology</w:t>
        </w:r>
        <w:r w:rsidR="00B206D4">
          <w:rPr>
            <w:webHidden/>
          </w:rPr>
          <w:tab/>
        </w:r>
        <w:r w:rsidR="00B206D4">
          <w:rPr>
            <w:webHidden/>
          </w:rPr>
          <w:fldChar w:fldCharType="begin"/>
        </w:r>
        <w:r w:rsidR="00B206D4">
          <w:rPr>
            <w:webHidden/>
          </w:rPr>
          <w:instrText xml:space="preserve"> PAGEREF _Toc149551264 \h </w:instrText>
        </w:r>
        <w:r w:rsidR="00B206D4">
          <w:rPr>
            <w:webHidden/>
          </w:rPr>
        </w:r>
        <w:r w:rsidR="00B206D4">
          <w:rPr>
            <w:webHidden/>
          </w:rPr>
          <w:fldChar w:fldCharType="separate"/>
        </w:r>
        <w:r w:rsidR="00675CEA">
          <w:rPr>
            <w:webHidden/>
          </w:rPr>
          <w:t>3</w:t>
        </w:r>
        <w:r w:rsidR="00B206D4">
          <w:rPr>
            <w:webHidden/>
          </w:rPr>
          <w:fldChar w:fldCharType="end"/>
        </w:r>
      </w:hyperlink>
    </w:p>
    <w:p w14:paraId="685D1083" w14:textId="3BAC263D" w:rsidR="00B206D4" w:rsidRDefault="00B973B7">
      <w:pPr>
        <w:pStyle w:val="TOC1"/>
        <w:rPr>
          <w:rFonts w:eastAsiaTheme="minorEastAsia" w:cstheme="minorBidi"/>
          <w:b w:val="0"/>
          <w:color w:val="auto"/>
          <w:sz w:val="22"/>
        </w:rPr>
      </w:pPr>
      <w:hyperlink w:anchor="_Toc149551265" w:history="1">
        <w:r w:rsidR="00B206D4" w:rsidRPr="00990C3D">
          <w:rPr>
            <w:rStyle w:val="Hyperlink"/>
          </w:rPr>
          <w:t>Findings</w:t>
        </w:r>
        <w:r w:rsidR="00B206D4">
          <w:rPr>
            <w:webHidden/>
          </w:rPr>
          <w:tab/>
        </w:r>
        <w:r w:rsidR="00B206D4">
          <w:rPr>
            <w:webHidden/>
          </w:rPr>
          <w:fldChar w:fldCharType="begin"/>
        </w:r>
        <w:r w:rsidR="00B206D4">
          <w:rPr>
            <w:webHidden/>
          </w:rPr>
          <w:instrText xml:space="preserve"> PAGEREF _Toc149551265 \h </w:instrText>
        </w:r>
        <w:r w:rsidR="00B206D4">
          <w:rPr>
            <w:webHidden/>
          </w:rPr>
        </w:r>
        <w:r w:rsidR="00B206D4">
          <w:rPr>
            <w:webHidden/>
          </w:rPr>
          <w:fldChar w:fldCharType="separate"/>
        </w:r>
        <w:r w:rsidR="00675CEA">
          <w:rPr>
            <w:webHidden/>
          </w:rPr>
          <w:t>4</w:t>
        </w:r>
        <w:r w:rsidR="00B206D4">
          <w:rPr>
            <w:webHidden/>
          </w:rPr>
          <w:fldChar w:fldCharType="end"/>
        </w:r>
      </w:hyperlink>
    </w:p>
    <w:p w14:paraId="554F56BE" w14:textId="01F8CD8C" w:rsidR="00B206D4" w:rsidRDefault="00B973B7">
      <w:pPr>
        <w:pStyle w:val="TOC1"/>
        <w:rPr>
          <w:rFonts w:eastAsiaTheme="minorEastAsia" w:cstheme="minorBidi"/>
          <w:b w:val="0"/>
          <w:color w:val="auto"/>
          <w:sz w:val="22"/>
        </w:rPr>
      </w:pPr>
      <w:hyperlink w:anchor="_Toc149551266" w:history="1">
        <w:r w:rsidR="00B206D4" w:rsidRPr="00990C3D">
          <w:rPr>
            <w:rStyle w:val="Hyperlink"/>
          </w:rPr>
          <w:t>Recommendations</w:t>
        </w:r>
        <w:r w:rsidR="00B206D4">
          <w:rPr>
            <w:webHidden/>
          </w:rPr>
          <w:tab/>
        </w:r>
        <w:r w:rsidR="00B206D4">
          <w:rPr>
            <w:webHidden/>
          </w:rPr>
          <w:fldChar w:fldCharType="begin"/>
        </w:r>
        <w:r w:rsidR="00B206D4">
          <w:rPr>
            <w:webHidden/>
          </w:rPr>
          <w:instrText xml:space="preserve"> PAGEREF _Toc149551266 \h </w:instrText>
        </w:r>
        <w:r w:rsidR="00B206D4">
          <w:rPr>
            <w:webHidden/>
          </w:rPr>
        </w:r>
        <w:r w:rsidR="00B206D4">
          <w:rPr>
            <w:webHidden/>
          </w:rPr>
          <w:fldChar w:fldCharType="separate"/>
        </w:r>
        <w:r w:rsidR="00675CEA">
          <w:rPr>
            <w:webHidden/>
          </w:rPr>
          <w:t>6</w:t>
        </w:r>
        <w:r w:rsidR="00B206D4">
          <w:rPr>
            <w:webHidden/>
          </w:rPr>
          <w:fldChar w:fldCharType="end"/>
        </w:r>
      </w:hyperlink>
    </w:p>
    <w:p w14:paraId="546171BB" w14:textId="242C87CF" w:rsidR="00B206D4" w:rsidRDefault="00B973B7">
      <w:pPr>
        <w:pStyle w:val="TOC1"/>
        <w:rPr>
          <w:rFonts w:eastAsiaTheme="minorEastAsia" w:cstheme="minorBidi"/>
          <w:b w:val="0"/>
          <w:color w:val="auto"/>
          <w:sz w:val="22"/>
        </w:rPr>
      </w:pPr>
      <w:hyperlink w:anchor="_Toc149551268" w:history="1">
        <w:r w:rsidR="00B206D4" w:rsidRPr="00990C3D">
          <w:rPr>
            <w:rStyle w:val="Hyperlink"/>
          </w:rPr>
          <w:t>Overview of Framework</w:t>
        </w:r>
        <w:r w:rsidR="00B206D4">
          <w:rPr>
            <w:webHidden/>
          </w:rPr>
          <w:tab/>
        </w:r>
        <w:r w:rsidR="00B206D4">
          <w:rPr>
            <w:webHidden/>
          </w:rPr>
          <w:fldChar w:fldCharType="begin"/>
        </w:r>
        <w:r w:rsidR="00B206D4">
          <w:rPr>
            <w:webHidden/>
          </w:rPr>
          <w:instrText xml:space="preserve"> PAGEREF _Toc149551268 \h </w:instrText>
        </w:r>
        <w:r w:rsidR="00B206D4">
          <w:rPr>
            <w:webHidden/>
          </w:rPr>
        </w:r>
        <w:r w:rsidR="00B206D4">
          <w:rPr>
            <w:webHidden/>
          </w:rPr>
          <w:fldChar w:fldCharType="separate"/>
        </w:r>
        <w:r w:rsidR="00675CEA">
          <w:rPr>
            <w:webHidden/>
          </w:rPr>
          <w:t>10</w:t>
        </w:r>
        <w:r w:rsidR="00B206D4">
          <w:rPr>
            <w:webHidden/>
          </w:rPr>
          <w:fldChar w:fldCharType="end"/>
        </w:r>
      </w:hyperlink>
    </w:p>
    <w:p w14:paraId="3954F35E" w14:textId="77C88C34" w:rsidR="00B206D4" w:rsidRDefault="00B973B7">
      <w:pPr>
        <w:pStyle w:val="TOC1"/>
        <w:rPr>
          <w:rFonts w:eastAsiaTheme="minorEastAsia" w:cstheme="minorBidi"/>
          <w:b w:val="0"/>
          <w:color w:val="auto"/>
          <w:sz w:val="22"/>
        </w:rPr>
      </w:pPr>
      <w:hyperlink w:anchor="_Toc149551269" w:history="1">
        <w:r w:rsidR="00B206D4" w:rsidRPr="00990C3D">
          <w:rPr>
            <w:rStyle w:val="Hyperlink"/>
          </w:rPr>
          <w:t>Education and Registration Of Accountants and Auditors</w:t>
        </w:r>
        <w:r w:rsidR="00B206D4">
          <w:rPr>
            <w:webHidden/>
          </w:rPr>
          <w:tab/>
        </w:r>
        <w:r w:rsidR="00B206D4">
          <w:rPr>
            <w:webHidden/>
          </w:rPr>
          <w:fldChar w:fldCharType="begin"/>
        </w:r>
        <w:r w:rsidR="00B206D4">
          <w:rPr>
            <w:webHidden/>
          </w:rPr>
          <w:instrText xml:space="preserve"> PAGEREF _Toc149551269 \h </w:instrText>
        </w:r>
        <w:r w:rsidR="00B206D4">
          <w:rPr>
            <w:webHidden/>
          </w:rPr>
        </w:r>
        <w:r w:rsidR="00B206D4">
          <w:rPr>
            <w:webHidden/>
          </w:rPr>
          <w:fldChar w:fldCharType="separate"/>
        </w:r>
        <w:r w:rsidR="00675CEA">
          <w:rPr>
            <w:webHidden/>
          </w:rPr>
          <w:t>11</w:t>
        </w:r>
        <w:r w:rsidR="00B206D4">
          <w:rPr>
            <w:webHidden/>
          </w:rPr>
          <w:fldChar w:fldCharType="end"/>
        </w:r>
      </w:hyperlink>
    </w:p>
    <w:p w14:paraId="0B092E39" w14:textId="1907C4A8" w:rsidR="00B206D4" w:rsidRDefault="00B973B7">
      <w:pPr>
        <w:pStyle w:val="TOC1"/>
        <w:rPr>
          <w:rFonts w:eastAsiaTheme="minorEastAsia" w:cstheme="minorBidi"/>
          <w:b w:val="0"/>
          <w:color w:val="auto"/>
          <w:sz w:val="22"/>
        </w:rPr>
      </w:pPr>
      <w:hyperlink w:anchor="_Toc149551270" w:history="1">
        <w:r w:rsidR="00B206D4" w:rsidRPr="00990C3D">
          <w:rPr>
            <w:rStyle w:val="Hyperlink"/>
          </w:rPr>
          <w:t>The Audit Firms</w:t>
        </w:r>
        <w:r w:rsidR="00B206D4">
          <w:rPr>
            <w:webHidden/>
          </w:rPr>
          <w:tab/>
        </w:r>
        <w:r w:rsidR="00B206D4">
          <w:rPr>
            <w:webHidden/>
          </w:rPr>
          <w:fldChar w:fldCharType="begin"/>
        </w:r>
        <w:r w:rsidR="00B206D4">
          <w:rPr>
            <w:webHidden/>
          </w:rPr>
          <w:instrText xml:space="preserve"> PAGEREF _Toc149551270 \h </w:instrText>
        </w:r>
        <w:r w:rsidR="00B206D4">
          <w:rPr>
            <w:webHidden/>
          </w:rPr>
        </w:r>
        <w:r w:rsidR="00B206D4">
          <w:rPr>
            <w:webHidden/>
          </w:rPr>
          <w:fldChar w:fldCharType="separate"/>
        </w:r>
        <w:r w:rsidR="00675CEA">
          <w:rPr>
            <w:webHidden/>
          </w:rPr>
          <w:t>13</w:t>
        </w:r>
        <w:r w:rsidR="00B206D4">
          <w:rPr>
            <w:webHidden/>
          </w:rPr>
          <w:fldChar w:fldCharType="end"/>
        </w:r>
      </w:hyperlink>
    </w:p>
    <w:p w14:paraId="2961E4A0" w14:textId="371D6352" w:rsidR="00B206D4" w:rsidRDefault="00B973B7">
      <w:pPr>
        <w:pStyle w:val="TOC1"/>
        <w:rPr>
          <w:rFonts w:eastAsiaTheme="minorEastAsia" w:cstheme="minorBidi"/>
          <w:b w:val="0"/>
          <w:color w:val="auto"/>
          <w:sz w:val="22"/>
        </w:rPr>
      </w:pPr>
      <w:hyperlink w:anchor="_Toc149551276" w:history="1">
        <w:r w:rsidR="00B206D4" w:rsidRPr="00990C3D">
          <w:rPr>
            <w:rStyle w:val="Hyperlink"/>
          </w:rPr>
          <w:t>Professional Accounting Bodies Oversight of Auditors</w:t>
        </w:r>
        <w:r w:rsidR="00B206D4">
          <w:rPr>
            <w:webHidden/>
          </w:rPr>
          <w:tab/>
        </w:r>
        <w:r w:rsidR="00B206D4">
          <w:rPr>
            <w:webHidden/>
          </w:rPr>
          <w:fldChar w:fldCharType="begin"/>
        </w:r>
        <w:r w:rsidR="00B206D4">
          <w:rPr>
            <w:webHidden/>
          </w:rPr>
          <w:instrText xml:space="preserve"> PAGEREF _Toc149551276 \h </w:instrText>
        </w:r>
        <w:r w:rsidR="00B206D4">
          <w:rPr>
            <w:webHidden/>
          </w:rPr>
        </w:r>
        <w:r w:rsidR="00B206D4">
          <w:rPr>
            <w:webHidden/>
          </w:rPr>
          <w:fldChar w:fldCharType="separate"/>
        </w:r>
        <w:r w:rsidR="00675CEA">
          <w:rPr>
            <w:webHidden/>
          </w:rPr>
          <w:t>16</w:t>
        </w:r>
        <w:r w:rsidR="00B206D4">
          <w:rPr>
            <w:webHidden/>
          </w:rPr>
          <w:fldChar w:fldCharType="end"/>
        </w:r>
      </w:hyperlink>
    </w:p>
    <w:p w14:paraId="705B9159" w14:textId="01F6176F" w:rsidR="00B206D4" w:rsidRDefault="00B973B7">
      <w:pPr>
        <w:pStyle w:val="TOC1"/>
        <w:rPr>
          <w:rFonts w:eastAsiaTheme="minorEastAsia" w:cstheme="minorBidi"/>
          <w:b w:val="0"/>
          <w:color w:val="auto"/>
          <w:sz w:val="22"/>
        </w:rPr>
      </w:pPr>
      <w:hyperlink w:anchor="_Toc149551284" w:history="1">
        <w:r w:rsidR="00B206D4" w:rsidRPr="00990C3D">
          <w:rPr>
            <w:rStyle w:val="Hyperlink"/>
          </w:rPr>
          <w:t>ASIC</w:t>
        </w:r>
        <w:r w:rsidR="00EB0779">
          <w:rPr>
            <w:rStyle w:val="Hyperlink"/>
          </w:rPr>
          <w:t>’</w:t>
        </w:r>
        <w:r w:rsidR="00B206D4" w:rsidRPr="00990C3D">
          <w:rPr>
            <w:rStyle w:val="Hyperlink"/>
          </w:rPr>
          <w:t>s Oversight of Auditors</w:t>
        </w:r>
        <w:r w:rsidR="00B206D4">
          <w:rPr>
            <w:webHidden/>
          </w:rPr>
          <w:tab/>
        </w:r>
        <w:r w:rsidR="00B206D4">
          <w:rPr>
            <w:webHidden/>
          </w:rPr>
          <w:fldChar w:fldCharType="begin"/>
        </w:r>
        <w:r w:rsidR="00B206D4">
          <w:rPr>
            <w:webHidden/>
          </w:rPr>
          <w:instrText xml:space="preserve"> PAGEREF _Toc149551284 \h </w:instrText>
        </w:r>
        <w:r w:rsidR="00B206D4">
          <w:rPr>
            <w:webHidden/>
          </w:rPr>
        </w:r>
        <w:r w:rsidR="00B206D4">
          <w:rPr>
            <w:webHidden/>
          </w:rPr>
          <w:fldChar w:fldCharType="separate"/>
        </w:r>
        <w:r w:rsidR="00675CEA">
          <w:rPr>
            <w:webHidden/>
          </w:rPr>
          <w:t>20</w:t>
        </w:r>
        <w:r w:rsidR="00B206D4">
          <w:rPr>
            <w:webHidden/>
          </w:rPr>
          <w:fldChar w:fldCharType="end"/>
        </w:r>
      </w:hyperlink>
    </w:p>
    <w:p w14:paraId="0F7642F7" w14:textId="319EBA68" w:rsidR="00B206D4" w:rsidRDefault="00B973B7">
      <w:pPr>
        <w:pStyle w:val="TOC1"/>
        <w:rPr>
          <w:rFonts w:eastAsiaTheme="minorEastAsia" w:cstheme="minorBidi"/>
          <w:b w:val="0"/>
          <w:color w:val="auto"/>
          <w:sz w:val="22"/>
        </w:rPr>
      </w:pPr>
      <w:hyperlink w:anchor="_Toc149551294" w:history="1">
        <w:r w:rsidR="00B206D4" w:rsidRPr="00990C3D">
          <w:rPr>
            <w:rStyle w:val="Hyperlink"/>
          </w:rPr>
          <w:t>The CADB</w:t>
        </w:r>
        <w:r w:rsidR="00B206D4">
          <w:rPr>
            <w:webHidden/>
          </w:rPr>
          <w:tab/>
        </w:r>
        <w:r w:rsidR="00B206D4">
          <w:rPr>
            <w:webHidden/>
          </w:rPr>
          <w:fldChar w:fldCharType="begin"/>
        </w:r>
        <w:r w:rsidR="00B206D4">
          <w:rPr>
            <w:webHidden/>
          </w:rPr>
          <w:instrText xml:space="preserve"> PAGEREF _Toc149551294 \h </w:instrText>
        </w:r>
        <w:r w:rsidR="00B206D4">
          <w:rPr>
            <w:webHidden/>
          </w:rPr>
        </w:r>
        <w:r w:rsidR="00B206D4">
          <w:rPr>
            <w:webHidden/>
          </w:rPr>
          <w:fldChar w:fldCharType="separate"/>
        </w:r>
        <w:r w:rsidR="00675CEA">
          <w:rPr>
            <w:webHidden/>
          </w:rPr>
          <w:t>26</w:t>
        </w:r>
        <w:r w:rsidR="00B206D4">
          <w:rPr>
            <w:webHidden/>
          </w:rPr>
          <w:fldChar w:fldCharType="end"/>
        </w:r>
      </w:hyperlink>
    </w:p>
    <w:p w14:paraId="46F3A8F7" w14:textId="16C2AF80" w:rsidR="00B206D4" w:rsidRDefault="00B973B7">
      <w:pPr>
        <w:pStyle w:val="TOC1"/>
        <w:rPr>
          <w:rFonts w:eastAsiaTheme="minorEastAsia" w:cstheme="minorBidi"/>
          <w:b w:val="0"/>
          <w:color w:val="auto"/>
          <w:sz w:val="22"/>
        </w:rPr>
      </w:pPr>
      <w:hyperlink w:anchor="_Toc149551295" w:history="1">
        <w:r w:rsidR="00B206D4" w:rsidRPr="00990C3D">
          <w:rPr>
            <w:rStyle w:val="Hyperlink"/>
          </w:rPr>
          <w:t>The APESB</w:t>
        </w:r>
        <w:r w:rsidR="00B206D4">
          <w:rPr>
            <w:webHidden/>
          </w:rPr>
          <w:tab/>
        </w:r>
        <w:r w:rsidR="00B206D4">
          <w:rPr>
            <w:webHidden/>
          </w:rPr>
          <w:fldChar w:fldCharType="begin"/>
        </w:r>
        <w:r w:rsidR="00B206D4">
          <w:rPr>
            <w:webHidden/>
          </w:rPr>
          <w:instrText xml:space="preserve"> PAGEREF _Toc149551295 \h </w:instrText>
        </w:r>
        <w:r w:rsidR="00B206D4">
          <w:rPr>
            <w:webHidden/>
          </w:rPr>
        </w:r>
        <w:r w:rsidR="00B206D4">
          <w:rPr>
            <w:webHidden/>
          </w:rPr>
          <w:fldChar w:fldCharType="separate"/>
        </w:r>
        <w:r w:rsidR="00675CEA">
          <w:rPr>
            <w:webHidden/>
          </w:rPr>
          <w:t>28</w:t>
        </w:r>
        <w:r w:rsidR="00B206D4">
          <w:rPr>
            <w:webHidden/>
          </w:rPr>
          <w:fldChar w:fldCharType="end"/>
        </w:r>
      </w:hyperlink>
    </w:p>
    <w:p w14:paraId="0CA5DE28" w14:textId="5B4CD73A" w:rsidR="00B206D4" w:rsidRDefault="00B973B7">
      <w:pPr>
        <w:pStyle w:val="TOC1"/>
        <w:rPr>
          <w:rFonts w:eastAsiaTheme="minorEastAsia" w:cstheme="minorBidi"/>
          <w:b w:val="0"/>
          <w:color w:val="auto"/>
          <w:sz w:val="22"/>
        </w:rPr>
      </w:pPr>
      <w:hyperlink w:anchor="_Toc149551296" w:history="1">
        <w:r w:rsidR="00B206D4" w:rsidRPr="00990C3D">
          <w:rPr>
            <w:rStyle w:val="Hyperlink"/>
          </w:rPr>
          <w:t>The AASB and AUASB</w:t>
        </w:r>
        <w:r w:rsidR="00B206D4">
          <w:rPr>
            <w:webHidden/>
          </w:rPr>
          <w:tab/>
        </w:r>
        <w:r w:rsidR="00B206D4">
          <w:rPr>
            <w:webHidden/>
          </w:rPr>
          <w:fldChar w:fldCharType="begin"/>
        </w:r>
        <w:r w:rsidR="00B206D4">
          <w:rPr>
            <w:webHidden/>
          </w:rPr>
          <w:instrText xml:space="preserve"> PAGEREF _Toc149551296 \h </w:instrText>
        </w:r>
        <w:r w:rsidR="00B206D4">
          <w:rPr>
            <w:webHidden/>
          </w:rPr>
        </w:r>
        <w:r w:rsidR="00B206D4">
          <w:rPr>
            <w:webHidden/>
          </w:rPr>
          <w:fldChar w:fldCharType="separate"/>
        </w:r>
        <w:r w:rsidR="00675CEA">
          <w:rPr>
            <w:webHidden/>
          </w:rPr>
          <w:t>29</w:t>
        </w:r>
        <w:r w:rsidR="00B206D4">
          <w:rPr>
            <w:webHidden/>
          </w:rPr>
          <w:fldChar w:fldCharType="end"/>
        </w:r>
      </w:hyperlink>
    </w:p>
    <w:p w14:paraId="52485083" w14:textId="7701D3A6" w:rsidR="00B206D4" w:rsidRDefault="00B973B7">
      <w:pPr>
        <w:pStyle w:val="TOC1"/>
        <w:rPr>
          <w:rFonts w:eastAsiaTheme="minorEastAsia" w:cstheme="minorBidi"/>
          <w:b w:val="0"/>
          <w:color w:val="auto"/>
          <w:sz w:val="22"/>
        </w:rPr>
      </w:pPr>
      <w:hyperlink w:anchor="_Toc149551297" w:history="1">
        <w:r w:rsidR="00B206D4" w:rsidRPr="00990C3D">
          <w:rPr>
            <w:rStyle w:val="Hyperlink"/>
          </w:rPr>
          <w:t>Directors and Audit Committees</w:t>
        </w:r>
        <w:r w:rsidR="00B206D4">
          <w:rPr>
            <w:webHidden/>
          </w:rPr>
          <w:tab/>
        </w:r>
        <w:r w:rsidR="00B206D4">
          <w:rPr>
            <w:webHidden/>
          </w:rPr>
          <w:fldChar w:fldCharType="begin"/>
        </w:r>
        <w:r w:rsidR="00B206D4">
          <w:rPr>
            <w:webHidden/>
          </w:rPr>
          <w:instrText xml:space="preserve"> PAGEREF _Toc149551297 \h </w:instrText>
        </w:r>
        <w:r w:rsidR="00B206D4">
          <w:rPr>
            <w:webHidden/>
          </w:rPr>
        </w:r>
        <w:r w:rsidR="00B206D4">
          <w:rPr>
            <w:webHidden/>
          </w:rPr>
          <w:fldChar w:fldCharType="separate"/>
        </w:r>
        <w:r w:rsidR="00675CEA">
          <w:rPr>
            <w:webHidden/>
          </w:rPr>
          <w:t>30</w:t>
        </w:r>
        <w:r w:rsidR="00B206D4">
          <w:rPr>
            <w:webHidden/>
          </w:rPr>
          <w:fldChar w:fldCharType="end"/>
        </w:r>
      </w:hyperlink>
    </w:p>
    <w:p w14:paraId="3B45A355" w14:textId="4ECB2737" w:rsidR="00B206D4" w:rsidRDefault="00B973B7">
      <w:pPr>
        <w:pStyle w:val="TOC1"/>
        <w:rPr>
          <w:rFonts w:eastAsiaTheme="minorEastAsia" w:cstheme="minorBidi"/>
          <w:b w:val="0"/>
          <w:color w:val="auto"/>
          <w:sz w:val="22"/>
        </w:rPr>
      </w:pPr>
      <w:hyperlink w:anchor="_Toc149551298" w:history="1">
        <w:r w:rsidR="00B206D4" w:rsidRPr="00990C3D">
          <w:rPr>
            <w:rStyle w:val="Hyperlink"/>
          </w:rPr>
          <w:t>Appendix 1 – Comparison of ASIC, PCAOB, UK FRC, NZ FMA and CPAB</w:t>
        </w:r>
        <w:r w:rsidR="00B206D4">
          <w:rPr>
            <w:webHidden/>
          </w:rPr>
          <w:tab/>
        </w:r>
        <w:r w:rsidR="00B206D4">
          <w:rPr>
            <w:webHidden/>
          </w:rPr>
          <w:fldChar w:fldCharType="begin"/>
        </w:r>
        <w:r w:rsidR="00B206D4">
          <w:rPr>
            <w:webHidden/>
          </w:rPr>
          <w:instrText xml:space="preserve"> PAGEREF _Toc149551298 \h </w:instrText>
        </w:r>
        <w:r w:rsidR="00B206D4">
          <w:rPr>
            <w:webHidden/>
          </w:rPr>
        </w:r>
        <w:r w:rsidR="00B206D4">
          <w:rPr>
            <w:webHidden/>
          </w:rPr>
          <w:fldChar w:fldCharType="separate"/>
        </w:r>
        <w:r w:rsidR="00675CEA">
          <w:rPr>
            <w:webHidden/>
          </w:rPr>
          <w:t>32</w:t>
        </w:r>
        <w:r w:rsidR="00B206D4">
          <w:rPr>
            <w:webHidden/>
          </w:rPr>
          <w:fldChar w:fldCharType="end"/>
        </w:r>
      </w:hyperlink>
    </w:p>
    <w:p w14:paraId="7997C360" w14:textId="064CDB4D" w:rsidR="00B206D4" w:rsidRDefault="00B973B7">
      <w:pPr>
        <w:pStyle w:val="TOC1"/>
        <w:rPr>
          <w:rFonts w:eastAsiaTheme="minorEastAsia" w:cstheme="minorBidi"/>
          <w:b w:val="0"/>
          <w:color w:val="auto"/>
          <w:sz w:val="22"/>
        </w:rPr>
      </w:pPr>
      <w:hyperlink w:anchor="_Toc149551299" w:history="1">
        <w:r w:rsidR="00B206D4" w:rsidRPr="00990C3D">
          <w:rPr>
            <w:rStyle w:val="Hyperlink"/>
          </w:rPr>
          <w:t>Appendix 2 – How the Recommendations from the 2019 Disciplinary Review have been Addressed</w:t>
        </w:r>
        <w:r w:rsidR="00B206D4">
          <w:rPr>
            <w:webHidden/>
          </w:rPr>
          <w:tab/>
        </w:r>
        <w:r w:rsidR="00B206D4">
          <w:rPr>
            <w:webHidden/>
          </w:rPr>
          <w:fldChar w:fldCharType="begin"/>
        </w:r>
        <w:r w:rsidR="00B206D4">
          <w:rPr>
            <w:webHidden/>
          </w:rPr>
          <w:instrText xml:space="preserve"> PAGEREF _Toc149551299 \h </w:instrText>
        </w:r>
        <w:r w:rsidR="00B206D4">
          <w:rPr>
            <w:webHidden/>
          </w:rPr>
        </w:r>
        <w:r w:rsidR="00B206D4">
          <w:rPr>
            <w:webHidden/>
          </w:rPr>
          <w:fldChar w:fldCharType="separate"/>
        </w:r>
        <w:r w:rsidR="00675CEA">
          <w:rPr>
            <w:webHidden/>
          </w:rPr>
          <w:t>37</w:t>
        </w:r>
        <w:r w:rsidR="00B206D4">
          <w:rPr>
            <w:webHidden/>
          </w:rPr>
          <w:fldChar w:fldCharType="end"/>
        </w:r>
      </w:hyperlink>
    </w:p>
    <w:p w14:paraId="4E2F2F5D" w14:textId="1FCD974A" w:rsidR="00B206D4" w:rsidRDefault="00B973B7">
      <w:pPr>
        <w:pStyle w:val="TOC1"/>
        <w:rPr>
          <w:rFonts w:eastAsiaTheme="minorEastAsia" w:cstheme="minorBidi"/>
          <w:b w:val="0"/>
          <w:color w:val="auto"/>
          <w:sz w:val="22"/>
        </w:rPr>
      </w:pPr>
      <w:hyperlink w:anchor="_Toc149551300" w:history="1">
        <w:r w:rsidR="00B206D4" w:rsidRPr="00990C3D">
          <w:rPr>
            <w:rStyle w:val="Hyperlink"/>
          </w:rPr>
          <w:t>Appendix 3 – Stakeholders Interviewed</w:t>
        </w:r>
        <w:r w:rsidR="00B206D4">
          <w:rPr>
            <w:webHidden/>
          </w:rPr>
          <w:tab/>
        </w:r>
        <w:r w:rsidR="00B206D4">
          <w:rPr>
            <w:webHidden/>
          </w:rPr>
          <w:fldChar w:fldCharType="begin"/>
        </w:r>
        <w:r w:rsidR="00B206D4">
          <w:rPr>
            <w:webHidden/>
          </w:rPr>
          <w:instrText xml:space="preserve"> PAGEREF _Toc149551300 \h </w:instrText>
        </w:r>
        <w:r w:rsidR="00B206D4">
          <w:rPr>
            <w:webHidden/>
          </w:rPr>
        </w:r>
        <w:r w:rsidR="00B206D4">
          <w:rPr>
            <w:webHidden/>
          </w:rPr>
          <w:fldChar w:fldCharType="separate"/>
        </w:r>
        <w:r w:rsidR="00675CEA">
          <w:rPr>
            <w:webHidden/>
          </w:rPr>
          <w:t>43</w:t>
        </w:r>
        <w:r w:rsidR="00B206D4">
          <w:rPr>
            <w:webHidden/>
          </w:rPr>
          <w:fldChar w:fldCharType="end"/>
        </w:r>
      </w:hyperlink>
    </w:p>
    <w:p w14:paraId="0338D56F" w14:textId="67678C26" w:rsidR="00B206D4" w:rsidRDefault="00B973B7">
      <w:pPr>
        <w:pStyle w:val="TOC1"/>
        <w:rPr>
          <w:rFonts w:eastAsiaTheme="minorEastAsia" w:cstheme="minorBidi"/>
          <w:b w:val="0"/>
          <w:color w:val="auto"/>
          <w:sz w:val="22"/>
        </w:rPr>
      </w:pPr>
      <w:hyperlink w:anchor="_Toc149551301" w:history="1">
        <w:r w:rsidR="00B206D4" w:rsidRPr="00990C3D">
          <w:rPr>
            <w:rStyle w:val="Hyperlink"/>
          </w:rPr>
          <w:t>Glossary</w:t>
        </w:r>
        <w:r w:rsidR="00B206D4">
          <w:rPr>
            <w:webHidden/>
          </w:rPr>
          <w:tab/>
        </w:r>
        <w:r w:rsidR="00B206D4">
          <w:rPr>
            <w:webHidden/>
          </w:rPr>
          <w:fldChar w:fldCharType="begin"/>
        </w:r>
        <w:r w:rsidR="00B206D4">
          <w:rPr>
            <w:webHidden/>
          </w:rPr>
          <w:instrText xml:space="preserve"> PAGEREF _Toc149551301 \h </w:instrText>
        </w:r>
        <w:r w:rsidR="00B206D4">
          <w:rPr>
            <w:webHidden/>
          </w:rPr>
        </w:r>
        <w:r w:rsidR="00B206D4">
          <w:rPr>
            <w:webHidden/>
          </w:rPr>
          <w:fldChar w:fldCharType="separate"/>
        </w:r>
        <w:r w:rsidR="00675CEA">
          <w:rPr>
            <w:webHidden/>
          </w:rPr>
          <w:t>44</w:t>
        </w:r>
        <w:r w:rsidR="00B206D4">
          <w:rPr>
            <w:webHidden/>
          </w:rPr>
          <w:fldChar w:fldCharType="end"/>
        </w:r>
      </w:hyperlink>
    </w:p>
    <w:p w14:paraId="3660C437" w14:textId="4ACAB87B" w:rsidR="00B206D4" w:rsidRDefault="00B973B7">
      <w:pPr>
        <w:pStyle w:val="TOC1"/>
        <w:rPr>
          <w:rFonts w:eastAsiaTheme="minorEastAsia" w:cstheme="minorBidi"/>
          <w:b w:val="0"/>
          <w:color w:val="auto"/>
          <w:sz w:val="22"/>
        </w:rPr>
      </w:pPr>
      <w:hyperlink w:anchor="_Toc149551302" w:history="1">
        <w:r w:rsidR="00B206D4" w:rsidRPr="00990C3D">
          <w:rPr>
            <w:rStyle w:val="Hyperlink"/>
          </w:rPr>
          <w:t>Resources Reviewed</w:t>
        </w:r>
        <w:r w:rsidR="00B206D4">
          <w:rPr>
            <w:webHidden/>
          </w:rPr>
          <w:tab/>
        </w:r>
        <w:r w:rsidR="00B206D4">
          <w:rPr>
            <w:webHidden/>
          </w:rPr>
          <w:fldChar w:fldCharType="begin"/>
        </w:r>
        <w:r w:rsidR="00B206D4">
          <w:rPr>
            <w:webHidden/>
          </w:rPr>
          <w:instrText xml:space="preserve"> PAGEREF _Toc149551302 \h </w:instrText>
        </w:r>
        <w:r w:rsidR="00B206D4">
          <w:rPr>
            <w:webHidden/>
          </w:rPr>
        </w:r>
        <w:r w:rsidR="00B206D4">
          <w:rPr>
            <w:webHidden/>
          </w:rPr>
          <w:fldChar w:fldCharType="separate"/>
        </w:r>
        <w:r w:rsidR="00675CEA">
          <w:rPr>
            <w:webHidden/>
          </w:rPr>
          <w:t>46</w:t>
        </w:r>
        <w:r w:rsidR="00B206D4">
          <w:rPr>
            <w:webHidden/>
          </w:rPr>
          <w:fldChar w:fldCharType="end"/>
        </w:r>
      </w:hyperlink>
    </w:p>
    <w:p w14:paraId="792C10B1" w14:textId="54882D4B" w:rsidR="00B775EE" w:rsidRDefault="000E0B74" w:rsidP="0056582C">
      <w:pPr>
        <w:pStyle w:val="SingleParagraph"/>
        <w:ind w:right="-2"/>
      </w:pPr>
      <w:r>
        <w:fldChar w:fldCharType="end"/>
      </w:r>
      <w:bookmarkStart w:id="1" w:name="_Toc432067103"/>
      <w:bookmarkStart w:id="2" w:name="_Toc452635030"/>
    </w:p>
    <w:p w14:paraId="6FFF5918" w14:textId="77777777" w:rsidR="00B775EE" w:rsidRPr="00B775EE" w:rsidRDefault="00B775EE" w:rsidP="0056582C">
      <w:pPr>
        <w:pStyle w:val="SingleParagraph"/>
        <w:ind w:right="-2"/>
        <w:rPr>
          <w:b/>
          <w:bCs/>
        </w:rPr>
        <w:sectPr w:rsidR="00B775EE" w:rsidRPr="00B775EE" w:rsidSect="008D43B4">
          <w:headerReference w:type="even" r:id="rId18"/>
          <w:headerReference w:type="default" r:id="rId19"/>
          <w:footerReference w:type="even" r:id="rId20"/>
          <w:headerReference w:type="first" r:id="rId21"/>
          <w:footerReference w:type="first" r:id="rId22"/>
          <w:pgSz w:w="11906" w:h="16838" w:code="9"/>
          <w:pgMar w:top="1843" w:right="1418" w:bottom="1418" w:left="1418" w:header="709" w:footer="709" w:gutter="0"/>
          <w:pgNumType w:fmt="lowerRoman" w:start="3"/>
          <w:cols w:space="708"/>
          <w:titlePg/>
          <w:docGrid w:linePitch="360"/>
        </w:sectPr>
      </w:pPr>
    </w:p>
    <w:bookmarkEnd w:id="1"/>
    <w:bookmarkEnd w:id="2"/>
    <w:p w14:paraId="55C27C2D" w14:textId="77777777" w:rsidR="009863D7" w:rsidRPr="003074FE" w:rsidRDefault="009863D7" w:rsidP="003074FE">
      <w:pPr>
        <w:pStyle w:val="SingleParagraph"/>
      </w:pPr>
    </w:p>
    <w:tbl>
      <w:tblPr>
        <w:tblW w:w="5000" w:type="pct"/>
        <w:shd w:val="clear" w:color="auto" w:fill="F8F8F8" w:themeFill="background2"/>
        <w:tblCellMar>
          <w:top w:w="284" w:type="dxa"/>
          <w:left w:w="284" w:type="dxa"/>
          <w:bottom w:w="284" w:type="dxa"/>
          <w:right w:w="284" w:type="dxa"/>
        </w:tblCellMar>
        <w:tblLook w:val="0600" w:firstRow="0" w:lastRow="0" w:firstColumn="0" w:lastColumn="0" w:noHBand="1" w:noVBand="1"/>
      </w:tblPr>
      <w:tblGrid>
        <w:gridCol w:w="9026"/>
      </w:tblGrid>
      <w:tr w:rsidR="009863D7" w14:paraId="3F70AEB2" w14:textId="77777777" w:rsidTr="003074FE">
        <w:tc>
          <w:tcPr>
            <w:tcW w:w="5000" w:type="pct"/>
            <w:shd w:val="clear" w:color="auto" w:fill="F8F8F8" w:themeFill="background2"/>
            <w:hideMark/>
          </w:tcPr>
          <w:p w14:paraId="4BD28097" w14:textId="77777777" w:rsidR="009863D7" w:rsidRPr="009863D7" w:rsidRDefault="009863D7" w:rsidP="009863D7">
            <w:pPr>
              <w:pStyle w:val="BoxHeading"/>
              <w:rPr>
                <w:bCs/>
                <w:sz w:val="28"/>
                <w:szCs w:val="28"/>
                <w:lang w:eastAsia="en-US"/>
              </w:rPr>
            </w:pPr>
            <w:r w:rsidRPr="009863D7">
              <w:rPr>
                <w:bCs/>
                <w:sz w:val="28"/>
                <w:szCs w:val="28"/>
                <w:lang w:eastAsia="en-US"/>
              </w:rPr>
              <w:t>About the FRC</w:t>
            </w:r>
          </w:p>
          <w:p w14:paraId="3873E2EB" w14:textId="694673A6" w:rsidR="009863D7" w:rsidRPr="009863D7" w:rsidRDefault="009863D7" w:rsidP="009863D7">
            <w:pPr>
              <w:pStyle w:val="BoxText"/>
            </w:pPr>
            <w:r w:rsidRPr="009863D7">
              <w:t>The Financial Reporting Council (FRC) is responsible for overseeing the effectiveness of the financial reporting framework in Australia. Its key functions include the oversight of the accounting and auditing standards setting processes for the public and private sectors, providing strategic advice in relation to the quality of audits conducted by Australian auditors, and advising the Minister on these and related matters to the extent that they affect the financial reporting framework in Australia.</w:t>
            </w:r>
          </w:p>
          <w:p w14:paraId="1932F2F8" w14:textId="7F9C249B" w:rsidR="009863D7" w:rsidRPr="009863D7" w:rsidRDefault="009863D7" w:rsidP="009863D7">
            <w:pPr>
              <w:pStyle w:val="BoxText"/>
            </w:pPr>
            <w:r w:rsidRPr="009863D7">
              <w:t>The FRC monitors the development of international accounting and auditing standards, works to further the development of a single set of accounting and auditing standards for world</w:t>
            </w:r>
            <w:r w:rsidR="00EB0779">
              <w:noBreakHyphen/>
            </w:r>
            <w:r w:rsidRPr="009863D7">
              <w:t>wide use and promotes the adoption of these standards. It is a statutory body under Part 12 of the </w:t>
            </w:r>
            <w:hyperlink r:id="rId23" w:anchor="_Toc336955476" w:history="1">
              <w:r w:rsidRPr="009863D7">
                <w:rPr>
                  <w:rStyle w:val="Hyperlink"/>
                  <w:i/>
                  <w:iCs/>
                </w:rPr>
                <w:t>Australian Securities and Investments Commission Act 2001</w:t>
              </w:r>
            </w:hyperlink>
            <w:r w:rsidRPr="009863D7">
              <w:t> (the ASIC Act).</w:t>
            </w:r>
          </w:p>
          <w:p w14:paraId="4B921D09" w14:textId="4D10653E" w:rsidR="009863D7" w:rsidRDefault="009863D7" w:rsidP="00EB77D5">
            <w:pPr>
              <w:pStyle w:val="BoxText"/>
            </w:pPr>
            <w:r w:rsidRPr="009863D7">
              <w:t xml:space="preserve">Refer to the </w:t>
            </w:r>
            <w:hyperlink r:id="rId24" w:history="1">
              <w:r w:rsidRPr="009863D7">
                <w:rPr>
                  <w:rStyle w:val="Hyperlink"/>
                </w:rPr>
                <w:t>FRC</w:t>
              </w:r>
              <w:r w:rsidR="00EB0779">
                <w:rPr>
                  <w:rStyle w:val="Hyperlink"/>
                </w:rPr>
                <w:t>’</w:t>
              </w:r>
              <w:r w:rsidRPr="009863D7">
                <w:rPr>
                  <w:rStyle w:val="Hyperlink"/>
                </w:rPr>
                <w:t>s website</w:t>
              </w:r>
            </w:hyperlink>
            <w:r w:rsidRPr="009863D7">
              <w:t xml:space="preserve"> for details of the members and the Declarations of Interest which are included in the public meeting papers. </w:t>
            </w:r>
          </w:p>
        </w:tc>
      </w:tr>
    </w:tbl>
    <w:p w14:paraId="2A9287BA" w14:textId="77777777" w:rsidR="00DB57EC" w:rsidRDefault="00DB57EC" w:rsidP="00DB57EC"/>
    <w:p w14:paraId="526DBE1D" w14:textId="77777777" w:rsidR="00DB57EC" w:rsidRPr="009D0095" w:rsidRDefault="00DB57EC" w:rsidP="00DB57EC">
      <w:pPr>
        <w:sectPr w:rsidR="00DB57EC" w:rsidRPr="009D0095" w:rsidSect="001C10E1">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288" w:footer="0" w:gutter="0"/>
          <w:cols w:space="708"/>
          <w:titlePg/>
          <w:docGrid w:linePitch="360"/>
        </w:sectPr>
      </w:pPr>
    </w:p>
    <w:p w14:paraId="642A6964" w14:textId="77777777" w:rsidR="00DB57EC" w:rsidRPr="00C47F3B" w:rsidRDefault="00DB57EC" w:rsidP="009863D7">
      <w:pPr>
        <w:pStyle w:val="Heading1"/>
      </w:pPr>
      <w:bookmarkStart w:id="3" w:name="_Toc143799220"/>
      <w:bookmarkStart w:id="4" w:name="_Toc149310316"/>
      <w:bookmarkStart w:id="5" w:name="_Toc149551263"/>
      <w:r>
        <w:t>Executive Summary</w:t>
      </w:r>
      <w:bookmarkEnd w:id="3"/>
      <w:bookmarkEnd w:id="4"/>
      <w:bookmarkEnd w:id="5"/>
    </w:p>
    <w:p w14:paraId="4A1A11B8" w14:textId="593149FE" w:rsidR="00DB57EC" w:rsidRPr="00884820" w:rsidRDefault="00DB57EC" w:rsidP="009863D7">
      <w:r w:rsidRPr="00884820">
        <w:t xml:space="preserve">Confidence in the quality of auditing is paramount to the effectiveness of the financial reporting framework in Australia and fostering confidence in the integrity of our markets. The </w:t>
      </w:r>
      <w:r>
        <w:t>FRC</w:t>
      </w:r>
      <w:r w:rsidRPr="00884820">
        <w:t xml:space="preserve"> is </w:t>
      </w:r>
      <w:r>
        <w:t xml:space="preserve">the peak body </w:t>
      </w:r>
      <w:r w:rsidRPr="00884820">
        <w:t xml:space="preserve">responsible for overseeing the effectiveness of the financial reporting framework in Australia, including providing strategic </w:t>
      </w:r>
      <w:r>
        <w:t xml:space="preserve">policy </w:t>
      </w:r>
      <w:r w:rsidRPr="00884820">
        <w:t xml:space="preserve">advice </w:t>
      </w:r>
      <w:r>
        <w:t xml:space="preserve">and reports to the </w:t>
      </w:r>
      <w:r w:rsidRPr="00884820">
        <w:t xml:space="preserve">Minister and the </w:t>
      </w:r>
      <w:r w:rsidRPr="00D907F0">
        <w:t>PABs</w:t>
      </w:r>
      <w:r w:rsidR="00675CEA">
        <w:rPr>
          <w:rFonts w:ascii="ZWAdobeF" w:hAnsi="ZWAdobeF" w:cs="ZWAdobeF"/>
          <w:color w:val="auto"/>
          <w:sz w:val="2"/>
          <w:szCs w:val="2"/>
        </w:rPr>
        <w:t>0F</w:t>
      </w:r>
      <w:r w:rsidRPr="00A758B9">
        <w:rPr>
          <w:vertAlign w:val="superscript"/>
        </w:rPr>
        <w:footnoteReference w:id="1"/>
      </w:r>
      <w:r w:rsidRPr="00A758B9">
        <w:rPr>
          <w:vertAlign w:val="superscript"/>
        </w:rPr>
        <w:t xml:space="preserve"> </w:t>
      </w:r>
      <w:r>
        <w:t xml:space="preserve"> </w:t>
      </w:r>
      <w:r w:rsidRPr="00884820">
        <w:t>in relation to the quality of audits conducted by Australian auditors</w:t>
      </w:r>
      <w:r w:rsidRPr="00A758B9">
        <w:rPr>
          <w:vertAlign w:val="superscript"/>
        </w:rPr>
        <w:t>.</w:t>
      </w:r>
      <w:r w:rsidR="00675CEA">
        <w:rPr>
          <w:rFonts w:ascii="ZWAdobeF" w:hAnsi="ZWAdobeF" w:cs="ZWAdobeF"/>
          <w:color w:val="auto"/>
          <w:sz w:val="2"/>
          <w:szCs w:val="2"/>
        </w:rPr>
        <w:t>1F</w:t>
      </w:r>
      <w:r w:rsidRPr="00A758B9">
        <w:rPr>
          <w:vertAlign w:val="superscript"/>
        </w:rPr>
        <w:footnoteReference w:id="2"/>
      </w:r>
      <w:r w:rsidRPr="00A758B9">
        <w:rPr>
          <w:vertAlign w:val="superscript"/>
        </w:rPr>
        <w:t xml:space="preserve"> </w:t>
      </w:r>
    </w:p>
    <w:p w14:paraId="6526AB5D" w14:textId="35A0DABF" w:rsidR="00DB57EC" w:rsidRDefault="00DB57EC" w:rsidP="009863D7">
      <w:r>
        <w:t>I</w:t>
      </w:r>
      <w:r w:rsidRPr="00A0238B">
        <w:t>n 2019</w:t>
      </w:r>
      <w:r>
        <w:t xml:space="preserve"> the FRC conducted an assessment of the adequacy of auditor disciplinary functions in Australia and produced a report </w:t>
      </w:r>
      <w:hyperlink r:id="rId31" w:history="1">
        <w:r w:rsidRPr="00A0238B">
          <w:rPr>
            <w:rStyle w:val="Hyperlink"/>
            <w:szCs w:val="22"/>
          </w:rPr>
          <w:t>Auditor Disciplinary Processes</w:t>
        </w:r>
      </w:hyperlink>
      <w:r>
        <w:rPr>
          <w:rStyle w:val="Hyperlink"/>
          <w:szCs w:val="22"/>
        </w:rPr>
        <w:t>.</w:t>
      </w:r>
      <w:r w:rsidRPr="00A0238B">
        <w:t xml:space="preserve"> </w:t>
      </w:r>
      <w:r>
        <w:t xml:space="preserve">This report included some recommendations for </w:t>
      </w:r>
      <w:r w:rsidRPr="00D907F0">
        <w:t>ASIC, the CADB, CA ANZ, CPA</w:t>
      </w:r>
      <w:r>
        <w:t>A</w:t>
      </w:r>
      <w:r w:rsidRPr="00D907F0">
        <w:t>, and the IPA</w:t>
      </w:r>
      <w:r>
        <w:t>.</w:t>
      </w:r>
      <w:r w:rsidRPr="00A0238B">
        <w:rPr>
          <w:vertAlign w:val="superscript"/>
        </w:rPr>
        <w:t xml:space="preserve"> </w:t>
      </w:r>
      <w:r>
        <w:t xml:space="preserve">The FRC </w:t>
      </w:r>
      <w:r w:rsidRPr="00A52DD6">
        <w:t xml:space="preserve">have </w:t>
      </w:r>
      <w:r>
        <w:t xml:space="preserve">continued to </w:t>
      </w:r>
      <w:r w:rsidRPr="00A52DD6">
        <w:t>monitor the results of the disciplinary processes of the different bodies</w:t>
      </w:r>
      <w:r>
        <w:t xml:space="preserve">, and their responses to the recommendations. </w:t>
      </w:r>
    </w:p>
    <w:p w14:paraId="7E140878" w14:textId="2ACFD7D3" w:rsidR="00DB57EC" w:rsidRDefault="00DB57EC" w:rsidP="009863D7">
      <w:r>
        <w:t xml:space="preserve">The FRC has been monitoring developments in relation to audit quality and noted there was a lack of visibility and granular data on auditor disciplinary tools, actions and outcomes from PABs, audit firms and regulators. To address this the FRC have conducted a review to assess gaps in how audit quality system is supported and monitored in Australia. </w:t>
      </w:r>
      <w:r w:rsidRPr="00BF0B42">
        <w:t>The FRC have considered if improvements are necessary to address any gaps or ove</w:t>
      </w:r>
      <w:r>
        <w:t>rlaps in processes, and how they could be better co</w:t>
      </w:r>
      <w:r w:rsidR="00EB0779">
        <w:noBreakHyphen/>
      </w:r>
      <w:r>
        <w:t xml:space="preserve">ordinated between stakeholders. </w:t>
      </w:r>
    </w:p>
    <w:p w14:paraId="4E53BAA7" w14:textId="30F43938" w:rsidR="00DB57EC" w:rsidRDefault="00DB57EC" w:rsidP="009863D7">
      <w:r>
        <w:t>The</w:t>
      </w:r>
      <w:r w:rsidRPr="0099014E">
        <w:t xml:space="preserve"> Government announced </w:t>
      </w:r>
      <w:r>
        <w:t>o</w:t>
      </w:r>
      <w:r w:rsidRPr="00352AAD">
        <w:t>n 6 August 2023</w:t>
      </w:r>
      <w:r>
        <w:t xml:space="preserve"> </w:t>
      </w:r>
      <w:r w:rsidRPr="0099014E">
        <w:t xml:space="preserve">that Treasury would be examining the regulation of consulting, accounting and auditing firms, including issues such as governance, transparency, executive responsibility, management of conflicts of interest and dealing with misconduct. </w:t>
      </w:r>
      <w:r>
        <w:t>The FRC</w:t>
      </w:r>
      <w:r w:rsidR="00EB0779">
        <w:t>’</w:t>
      </w:r>
      <w:r>
        <w:t>s recommendations may assist deliberations of that review.</w:t>
      </w:r>
    </w:p>
    <w:p w14:paraId="2C825ECA" w14:textId="41E78071" w:rsidR="00DB57EC" w:rsidRDefault="00DB57EC" w:rsidP="009863D7">
      <w:r>
        <w:t>In summary, the FRC considers that auditors are subject to a robust set of professional standards designed to support the performance of high audit quality audits. However, the FRC considers that the system could benefit from more independent oversight to ensure all auditors are complying with the required standards. The recommendations relate to:</w:t>
      </w:r>
    </w:p>
    <w:p w14:paraId="207B33B1" w14:textId="77777777" w:rsidR="00DB57EC" w:rsidRDefault="00DB57EC" w:rsidP="009863D7">
      <w:pPr>
        <w:pStyle w:val="Bullet"/>
      </w:pPr>
      <w:r w:rsidRPr="004930A5">
        <w:t xml:space="preserve">All auditors should be subject to </w:t>
      </w:r>
      <w:r>
        <w:t>regulatory</w:t>
      </w:r>
      <w:r w:rsidRPr="004930A5">
        <w:t xml:space="preserve"> oversight on a timely basis</w:t>
      </w:r>
      <w:r>
        <w:t>.</w:t>
      </w:r>
    </w:p>
    <w:p w14:paraId="317ACBA4" w14:textId="5D39EABA" w:rsidR="00DB57EC" w:rsidRDefault="00DB57EC" w:rsidP="009863D7">
      <w:pPr>
        <w:pStyle w:val="Bullet"/>
      </w:pPr>
      <w:r>
        <w:t>ASIC</w:t>
      </w:r>
      <w:r w:rsidR="00EB0779">
        <w:t>’</w:t>
      </w:r>
      <w:r>
        <w:t xml:space="preserve">s program should review more audit files on an annual basis. </w:t>
      </w:r>
    </w:p>
    <w:p w14:paraId="4EE33136" w14:textId="77777777" w:rsidR="00DB57EC" w:rsidRPr="004930A5" w:rsidRDefault="00DB57EC" w:rsidP="009863D7">
      <w:pPr>
        <w:pStyle w:val="Bullet"/>
      </w:pPr>
      <w:r>
        <w:t>ASIC should p</w:t>
      </w:r>
      <w:r w:rsidRPr="004930A5">
        <w:t xml:space="preserve">ublish an audit surveillance strategic plan with stated objectives and key performance </w:t>
      </w:r>
      <w:proofErr w:type="gramStart"/>
      <w:r w:rsidRPr="004930A5">
        <w:t>indicators</w:t>
      </w:r>
      <w:r>
        <w:t>, and</w:t>
      </w:r>
      <w:proofErr w:type="gramEnd"/>
      <w:r>
        <w:t xml:space="preserve"> have ongoing</w:t>
      </w:r>
      <w:r>
        <w:rPr>
          <w:b/>
          <w:bCs/>
        </w:rPr>
        <w:t xml:space="preserve"> </w:t>
      </w:r>
      <w:r w:rsidRPr="0028053D">
        <w:t>communication with the PABs as to the scope of the program</w:t>
      </w:r>
      <w:r>
        <w:t>.</w:t>
      </w:r>
    </w:p>
    <w:p w14:paraId="7CE3CE43" w14:textId="076A6F58" w:rsidR="00DB57EC" w:rsidRDefault="00DB57EC" w:rsidP="009863D7">
      <w:pPr>
        <w:pStyle w:val="Bullet"/>
      </w:pPr>
      <w:r w:rsidRPr="0028053D">
        <w:t xml:space="preserve">The PABs should consider the objectives of their </w:t>
      </w:r>
      <w:r>
        <w:t xml:space="preserve">quality review </w:t>
      </w:r>
      <w:r w:rsidRPr="0028053D">
        <w:t>programs and co</w:t>
      </w:r>
      <w:r w:rsidR="00EB0779">
        <w:noBreakHyphen/>
      </w:r>
      <w:r w:rsidRPr="0028053D">
        <w:t>ordination with ASIC</w:t>
      </w:r>
      <w:r>
        <w:t>.</w:t>
      </w:r>
    </w:p>
    <w:p w14:paraId="4A6CE4E3" w14:textId="77777777" w:rsidR="00DB57EC" w:rsidRPr="00687745" w:rsidRDefault="00DB57EC" w:rsidP="009863D7">
      <w:pPr>
        <w:pStyle w:val="Bullet"/>
      </w:pPr>
      <w:r>
        <w:t>The</w:t>
      </w:r>
      <w:r w:rsidRPr="00687745">
        <w:t xml:space="preserve"> PABs</w:t>
      </w:r>
      <w:r>
        <w:t xml:space="preserve"> should report more comprehensively on the scope and results of their quality review programs</w:t>
      </w:r>
      <w:r w:rsidRPr="00687745">
        <w:t>.</w:t>
      </w:r>
    </w:p>
    <w:p w14:paraId="4E95BEBE" w14:textId="77777777" w:rsidR="00DB57EC" w:rsidRDefault="00DB57EC" w:rsidP="009863D7">
      <w:pPr>
        <w:pStyle w:val="Bullet"/>
      </w:pPr>
      <w:r>
        <w:t>Relevant</w:t>
      </w:r>
      <w:r w:rsidRPr="004930A5">
        <w:t xml:space="preserve"> ethic</w:t>
      </w:r>
      <w:r>
        <w:t>al</w:t>
      </w:r>
      <w:r w:rsidRPr="004930A5">
        <w:t xml:space="preserve"> standards</w:t>
      </w:r>
      <w:r>
        <w:t xml:space="preserve"> should</w:t>
      </w:r>
      <w:r w:rsidRPr="004930A5">
        <w:t xml:space="preserve"> </w:t>
      </w:r>
      <w:r>
        <w:t>be given force of law and be subject to a compliance review by a regulator.</w:t>
      </w:r>
      <w:r w:rsidRPr="004930A5">
        <w:t xml:space="preserve"> </w:t>
      </w:r>
    </w:p>
    <w:p w14:paraId="1DDBCBF8" w14:textId="1321C892" w:rsidR="00DB57EC" w:rsidRPr="009863D7" w:rsidRDefault="00DB57EC" w:rsidP="00DB57EC">
      <w:pPr>
        <w:pStyle w:val="Bullet"/>
      </w:pPr>
      <w:r>
        <w:t>There should be consideration as to whether the PABs</w:t>
      </w:r>
      <w:r w:rsidR="00EB0779">
        <w:t>’</w:t>
      </w:r>
      <w:r>
        <w:t xml:space="preserve"> investigatory and disciplinary processes are combined and performed by a single independent body. </w:t>
      </w:r>
    </w:p>
    <w:p w14:paraId="1053E9A2" w14:textId="66D15312" w:rsidR="00DB57EC" w:rsidRDefault="00DB57EC" w:rsidP="00E251E4">
      <w:r>
        <w:t xml:space="preserve">Refer to our findings and recommendations for more details. </w:t>
      </w:r>
    </w:p>
    <w:p w14:paraId="462D0DFD" w14:textId="2DB496FA" w:rsidR="00530D06" w:rsidRDefault="00DB57EC" w:rsidP="00E91943">
      <w:r>
        <w:t>The FRC thanks all stakeholders who generously shared their time and assisted us in performing this review.</w:t>
      </w:r>
      <w:bookmarkStart w:id="6" w:name="_Toc149310317"/>
    </w:p>
    <w:p w14:paraId="3DEFA5B3" w14:textId="3C16B261" w:rsidR="00E91943" w:rsidRDefault="00530D06" w:rsidP="00530D06">
      <w:pPr>
        <w:spacing w:before="0" w:after="160" w:line="259" w:lineRule="auto"/>
      </w:pPr>
      <w:r>
        <w:br w:type="page"/>
      </w:r>
    </w:p>
    <w:p w14:paraId="134B6B81" w14:textId="579D3CA9" w:rsidR="00DB57EC" w:rsidRPr="003F1448" w:rsidRDefault="00DB57EC" w:rsidP="00E91943">
      <w:pPr>
        <w:pStyle w:val="Heading1"/>
      </w:pPr>
      <w:bookmarkStart w:id="7" w:name="_Toc149551264"/>
      <w:r>
        <w:t>Scope and Methodology</w:t>
      </w:r>
      <w:bookmarkEnd w:id="6"/>
      <w:bookmarkEnd w:id="7"/>
      <w:r>
        <w:t xml:space="preserve"> </w:t>
      </w:r>
    </w:p>
    <w:p w14:paraId="4F68011D" w14:textId="59C6309A" w:rsidR="00DB57EC" w:rsidRDefault="00DB57EC" w:rsidP="00E91943">
      <w:r>
        <w:t xml:space="preserve">The review considered how audit </w:t>
      </w:r>
      <w:r w:rsidRPr="00884820">
        <w:t xml:space="preserve">quality and compliance with </w:t>
      </w:r>
      <w:r>
        <w:t>auditing</w:t>
      </w:r>
      <w:r w:rsidRPr="00884820">
        <w:t xml:space="preserve"> and ethical standards by auditors is supported</w:t>
      </w:r>
      <w:r w:rsidRPr="0065755B">
        <w:t xml:space="preserve"> </w:t>
      </w:r>
      <w:r w:rsidRPr="00884820">
        <w:t>and monitored</w:t>
      </w:r>
      <w:r>
        <w:t xml:space="preserve">, </w:t>
      </w:r>
      <w:r w:rsidRPr="00884820">
        <w:t>including processes to identify breaches and escalation to disciplinary action</w:t>
      </w:r>
      <w:r>
        <w:t>. The</w:t>
      </w:r>
      <w:r w:rsidRPr="00884820">
        <w:t xml:space="preserve"> FRC</w:t>
      </w:r>
      <w:r w:rsidR="00EB0779">
        <w:t>’</w:t>
      </w:r>
      <w:r w:rsidRPr="00884820">
        <w:t xml:space="preserve">s mandate </w:t>
      </w:r>
      <w:r>
        <w:t>includes a focus on</w:t>
      </w:r>
      <w:r w:rsidRPr="00884820">
        <w:t xml:space="preserve"> audit quality</w:t>
      </w:r>
      <w:r>
        <w:t xml:space="preserve"> </w:t>
      </w:r>
      <w:proofErr w:type="gramStart"/>
      <w:r>
        <w:t>and also</w:t>
      </w:r>
      <w:proofErr w:type="gramEnd"/>
      <w:r>
        <w:t xml:space="preserve"> includes processes used by auditors to comply with applicable codes of professional conduct</w:t>
      </w:r>
      <w:r w:rsidRPr="00A758B9">
        <w:t>.</w:t>
      </w:r>
      <w:r w:rsidR="00675CEA">
        <w:rPr>
          <w:rFonts w:ascii="ZWAdobeF" w:hAnsi="ZWAdobeF" w:cs="ZWAdobeF"/>
          <w:color w:val="auto"/>
          <w:sz w:val="2"/>
          <w:szCs w:val="2"/>
        </w:rPr>
        <w:t>2F</w:t>
      </w:r>
      <w:r w:rsidRPr="00A758B9">
        <w:rPr>
          <w:vertAlign w:val="superscript"/>
        </w:rPr>
        <w:footnoteReference w:id="3"/>
      </w:r>
      <w:r w:rsidRPr="00A758B9">
        <w:t xml:space="preserve"> </w:t>
      </w:r>
      <w:r>
        <w:t xml:space="preserve">Therefore, the FRC has included </w:t>
      </w:r>
      <w:r w:rsidRPr="00884820">
        <w:t xml:space="preserve">compliance with ethical standards </w:t>
      </w:r>
      <w:r>
        <w:t xml:space="preserve">which </w:t>
      </w:r>
      <w:r w:rsidRPr="00884820">
        <w:t xml:space="preserve">supports </w:t>
      </w:r>
      <w:r>
        <w:t xml:space="preserve">overall firm culture and directly or indirectly </w:t>
      </w:r>
      <w:r w:rsidRPr="00884820">
        <w:t>audit quality</w:t>
      </w:r>
      <w:r>
        <w:t xml:space="preserve"> within</w:t>
      </w:r>
      <w:r w:rsidRPr="00884820">
        <w:t xml:space="preserve"> </w:t>
      </w:r>
      <w:r>
        <w:t xml:space="preserve">the </w:t>
      </w:r>
      <w:r w:rsidRPr="00884820">
        <w:t xml:space="preserve">scope of this </w:t>
      </w:r>
      <w:r>
        <w:t>review</w:t>
      </w:r>
      <w:r w:rsidRPr="00884820">
        <w:t xml:space="preserve">. </w:t>
      </w:r>
    </w:p>
    <w:p w14:paraId="63FF99CA" w14:textId="108A945F" w:rsidR="00DB57EC" w:rsidRPr="00BF0B42" w:rsidRDefault="00DB57EC" w:rsidP="00E91943">
      <w:r w:rsidRPr="00BF0B42">
        <w:t>This review involved obtaining an update on the status of the recommendations from the 2019</w:t>
      </w:r>
      <w:r w:rsidR="009153C1">
        <w:t> </w:t>
      </w:r>
      <w:r>
        <w:t>disciplinary r</w:t>
      </w:r>
      <w:r w:rsidRPr="00BF0B42">
        <w:t>eview</w:t>
      </w:r>
      <w:r>
        <w:t>,</w:t>
      </w:r>
      <w:r w:rsidRPr="00BF0B42">
        <w:t xml:space="preserve"> and an </w:t>
      </w:r>
      <w:r>
        <w:t>understanding</w:t>
      </w:r>
      <w:r w:rsidRPr="00BF0B42">
        <w:t xml:space="preserve"> of: </w:t>
      </w:r>
    </w:p>
    <w:p w14:paraId="5FBBB592" w14:textId="77777777" w:rsidR="00DB57EC" w:rsidRPr="00BF0B42" w:rsidRDefault="00DB57EC" w:rsidP="009863D7">
      <w:pPr>
        <w:pStyle w:val="Bullet"/>
      </w:pPr>
      <w:r w:rsidRPr="00BF0B42">
        <w:t>existing audit and ethical education</w:t>
      </w:r>
      <w:r>
        <w:t>, and accreditation requirements,</w:t>
      </w:r>
      <w:r w:rsidRPr="00BF0B42">
        <w:t xml:space="preserve"> for auditors</w:t>
      </w:r>
      <w:r>
        <w:t>; and</w:t>
      </w:r>
      <w:r w:rsidRPr="00BF0B42">
        <w:t xml:space="preserve"> </w:t>
      </w:r>
    </w:p>
    <w:p w14:paraId="68BD94A8" w14:textId="7AA10369" w:rsidR="00DB57EC" w:rsidRPr="009863D7" w:rsidRDefault="00DB57EC" w:rsidP="00DB57EC">
      <w:pPr>
        <w:pStyle w:val="Bullet"/>
      </w:pPr>
      <w:r w:rsidRPr="00BF0B42">
        <w:t>the firm</w:t>
      </w:r>
      <w:r>
        <w:t>s</w:t>
      </w:r>
      <w:r w:rsidR="00EB0779">
        <w:t>’</w:t>
      </w:r>
      <w:r>
        <w:t>,</w:t>
      </w:r>
      <w:r w:rsidR="00675CEA">
        <w:rPr>
          <w:rFonts w:ascii="ZWAdobeF" w:hAnsi="ZWAdobeF" w:cs="ZWAdobeF"/>
          <w:color w:val="auto"/>
          <w:sz w:val="2"/>
          <w:szCs w:val="2"/>
        </w:rPr>
        <w:t>3F</w:t>
      </w:r>
      <w:r w:rsidRPr="007C0344">
        <w:rPr>
          <w:vertAlign w:val="superscript"/>
        </w:rPr>
        <w:footnoteReference w:id="4"/>
      </w:r>
      <w:r w:rsidRPr="007C0344">
        <w:rPr>
          <w:vertAlign w:val="superscript"/>
        </w:rPr>
        <w:t xml:space="preserve"> </w:t>
      </w:r>
      <w:r>
        <w:t>PABs</w:t>
      </w:r>
      <w:r w:rsidR="00EB0779">
        <w:t>’</w:t>
      </w:r>
      <w:r w:rsidRPr="00BF0B42">
        <w:t xml:space="preserve"> and regulatory </w:t>
      </w:r>
      <w:r>
        <w:t xml:space="preserve">quality </w:t>
      </w:r>
      <w:r w:rsidRPr="00BF0B42">
        <w:t>review processes to understand each stakeholder</w:t>
      </w:r>
      <w:r w:rsidR="00EB0779">
        <w:t>’</w:t>
      </w:r>
      <w:r w:rsidRPr="00BF0B42">
        <w:t xml:space="preserve">s responsibilities in relation to supporting and monitoring audit quality. </w:t>
      </w:r>
    </w:p>
    <w:p w14:paraId="410484E0" w14:textId="0BD1D0AD" w:rsidR="00DB57EC" w:rsidRDefault="00DB57EC" w:rsidP="00E91943">
      <w:r w:rsidRPr="00884820">
        <w:t>For completeness the FRC also considered the role</w:t>
      </w:r>
      <w:r>
        <w:t>s of</w:t>
      </w:r>
      <w:r w:rsidRPr="00884820">
        <w:t xml:space="preserve"> the standard setters, CADB and Audit Committees</w:t>
      </w:r>
      <w:r>
        <w:t xml:space="preserve"> </w:t>
      </w:r>
      <w:r w:rsidRPr="00884820">
        <w:t xml:space="preserve">in </w:t>
      </w:r>
      <w:r>
        <w:t xml:space="preserve">promoting and </w:t>
      </w:r>
      <w:r w:rsidRPr="00884820">
        <w:t>supporting audit quality.</w:t>
      </w:r>
      <w:r>
        <w:t xml:space="preserve"> This review did not include the surveillance programs of SMSFs conducted by the ATO.</w:t>
      </w:r>
    </w:p>
    <w:p w14:paraId="3CA87498" w14:textId="0B3F374C" w:rsidR="00DB57EC" w:rsidRPr="00884820" w:rsidRDefault="00DB57EC" w:rsidP="00DB57EC">
      <w:pPr>
        <w:rPr>
          <w:szCs w:val="24"/>
        </w:rPr>
      </w:pPr>
      <w:r w:rsidRPr="00884820">
        <w:rPr>
          <w:szCs w:val="24"/>
        </w:rPr>
        <w:t xml:space="preserve">During the course of the review, it was noted that CA ANZ recently completed its </w:t>
      </w:r>
      <w:hyperlink r:id="rId32" w:history="1">
        <w:r>
          <w:rPr>
            <w:rStyle w:val="Hyperlink"/>
            <w:szCs w:val="24"/>
          </w:rPr>
          <w:t>PCFR</w:t>
        </w:r>
      </w:hyperlink>
      <w:r w:rsidRPr="00884820">
        <w:rPr>
          <w:szCs w:val="24"/>
        </w:rPr>
        <w:t xml:space="preserve"> which focused on the disciplinary process once an issue is raised. This is useful </w:t>
      </w:r>
      <w:r>
        <w:rPr>
          <w:szCs w:val="24"/>
        </w:rPr>
        <w:t xml:space="preserve">in the context </w:t>
      </w:r>
      <w:r w:rsidRPr="00884820">
        <w:rPr>
          <w:szCs w:val="24"/>
        </w:rPr>
        <w:t xml:space="preserve">of the </w:t>
      </w:r>
      <w:r>
        <w:rPr>
          <w:szCs w:val="24"/>
        </w:rPr>
        <w:t xml:space="preserve">FRC </w:t>
      </w:r>
      <w:r w:rsidRPr="00884820">
        <w:rPr>
          <w:szCs w:val="24"/>
        </w:rPr>
        <w:t xml:space="preserve">review. </w:t>
      </w:r>
    </w:p>
    <w:p w14:paraId="48805CA2" w14:textId="39073ABF" w:rsidR="00DB57EC" w:rsidRDefault="00DB57EC" w:rsidP="00DB57EC">
      <w:pPr>
        <w:rPr>
          <w:szCs w:val="24"/>
        </w:rPr>
      </w:pPr>
      <w:r w:rsidRPr="00884820">
        <w:rPr>
          <w:szCs w:val="24"/>
        </w:rPr>
        <w:t>The FRC has also monitor</w:t>
      </w:r>
      <w:r>
        <w:rPr>
          <w:szCs w:val="24"/>
        </w:rPr>
        <w:t>ed</w:t>
      </w:r>
      <w:r w:rsidRPr="00884820">
        <w:rPr>
          <w:szCs w:val="24"/>
        </w:rPr>
        <w:t xml:space="preserve"> the </w:t>
      </w:r>
      <w:r>
        <w:rPr>
          <w:szCs w:val="24"/>
        </w:rPr>
        <w:t xml:space="preserve">Federal Parliamentary </w:t>
      </w:r>
      <w:r w:rsidRPr="00884820">
        <w:rPr>
          <w:szCs w:val="24"/>
        </w:rPr>
        <w:t>and other inquiries</w:t>
      </w:r>
      <w:r w:rsidR="00675CEA">
        <w:rPr>
          <w:rFonts w:ascii="ZWAdobeF" w:hAnsi="ZWAdobeF" w:cs="ZWAdobeF"/>
          <w:color w:val="auto"/>
          <w:sz w:val="2"/>
          <w:szCs w:val="2"/>
        </w:rPr>
        <w:t>4F</w:t>
      </w:r>
      <w:r w:rsidRPr="007C0344">
        <w:rPr>
          <w:vertAlign w:val="superscript"/>
        </w:rPr>
        <w:footnoteReference w:id="5"/>
      </w:r>
      <w:r w:rsidRPr="007C0344">
        <w:rPr>
          <w:vertAlign w:val="superscript"/>
        </w:rPr>
        <w:t xml:space="preserve"> </w:t>
      </w:r>
      <w:r w:rsidRPr="00884820">
        <w:rPr>
          <w:szCs w:val="24"/>
        </w:rPr>
        <w:t xml:space="preserve">underway in response to recent controversies over </w:t>
      </w:r>
      <w:r>
        <w:rPr>
          <w:szCs w:val="24"/>
        </w:rPr>
        <w:t xml:space="preserve">the behaviour of certain individuals at some large </w:t>
      </w:r>
      <w:r w:rsidRPr="00884820">
        <w:rPr>
          <w:szCs w:val="24"/>
        </w:rPr>
        <w:t>audit firms</w:t>
      </w:r>
      <w:r>
        <w:rPr>
          <w:szCs w:val="24"/>
        </w:rPr>
        <w:t xml:space="preserve">, </w:t>
      </w:r>
      <w:r w:rsidRPr="00884820">
        <w:rPr>
          <w:szCs w:val="24"/>
        </w:rPr>
        <w:t xml:space="preserve">and potential breaches of the ethical standards. Whilst the inquiries are about the broader accounting profession and not </w:t>
      </w:r>
      <w:r>
        <w:rPr>
          <w:szCs w:val="24"/>
        </w:rPr>
        <w:t xml:space="preserve">specifically </w:t>
      </w:r>
      <w:r w:rsidRPr="00884820">
        <w:rPr>
          <w:szCs w:val="24"/>
        </w:rPr>
        <w:t xml:space="preserve">audit quality, they have highlighted potential issues associated with </w:t>
      </w:r>
      <w:r>
        <w:rPr>
          <w:szCs w:val="24"/>
        </w:rPr>
        <w:t xml:space="preserve">regulatory and firm responses to breaches of the ethical standards, </w:t>
      </w:r>
      <w:r w:rsidRPr="00884820">
        <w:rPr>
          <w:szCs w:val="24"/>
        </w:rPr>
        <w:t>transparency</w:t>
      </w:r>
      <w:r>
        <w:rPr>
          <w:szCs w:val="24"/>
        </w:rPr>
        <w:t>,</w:t>
      </w:r>
      <w:r w:rsidRPr="00884820">
        <w:rPr>
          <w:szCs w:val="24"/>
        </w:rPr>
        <w:t xml:space="preserve"> accountability</w:t>
      </w:r>
      <w:r>
        <w:rPr>
          <w:szCs w:val="24"/>
        </w:rPr>
        <w:t xml:space="preserve"> </w:t>
      </w:r>
      <w:r w:rsidRPr="00884820">
        <w:rPr>
          <w:szCs w:val="24"/>
        </w:rPr>
        <w:t>and the governance of the firm</w:t>
      </w:r>
      <w:r>
        <w:rPr>
          <w:szCs w:val="24"/>
        </w:rPr>
        <w:t>s,</w:t>
      </w:r>
      <w:r w:rsidRPr="00884820">
        <w:rPr>
          <w:szCs w:val="24"/>
        </w:rPr>
        <w:t xml:space="preserve"> which may be detrimental to audit quality if not addressed. </w:t>
      </w:r>
      <w:r w:rsidDel="00D77D5F">
        <w:rPr>
          <w:szCs w:val="24"/>
        </w:rPr>
        <w:t>In this report, t</w:t>
      </w:r>
      <w:r w:rsidRPr="00884820" w:rsidDel="00D77D5F">
        <w:rPr>
          <w:szCs w:val="24"/>
        </w:rPr>
        <w:t xml:space="preserve">he FRC </w:t>
      </w:r>
      <w:r>
        <w:rPr>
          <w:szCs w:val="24"/>
        </w:rPr>
        <w:t>makes some observations</w:t>
      </w:r>
      <w:r w:rsidRPr="00884820" w:rsidDel="00D77D5F">
        <w:rPr>
          <w:szCs w:val="24"/>
        </w:rPr>
        <w:t xml:space="preserve"> </w:t>
      </w:r>
      <w:r w:rsidDel="00D77D5F">
        <w:rPr>
          <w:szCs w:val="24"/>
        </w:rPr>
        <w:t>in these areas.</w:t>
      </w:r>
    </w:p>
    <w:p w14:paraId="4F269353" w14:textId="11E40D6B" w:rsidR="00DB57EC" w:rsidRDefault="00DB57EC" w:rsidP="00DB57EC">
      <w:pPr>
        <w:rPr>
          <w:szCs w:val="24"/>
        </w:rPr>
      </w:pPr>
      <w:r w:rsidRPr="00595B6C">
        <w:rPr>
          <w:szCs w:val="24"/>
        </w:rPr>
        <w:t xml:space="preserve">In performing this review, the FRC conducted targeted interviews with representatives from the </w:t>
      </w:r>
      <w:r w:rsidR="00B50466">
        <w:rPr>
          <w:szCs w:val="24"/>
        </w:rPr>
        <w:t>6 </w:t>
      </w:r>
      <w:r w:rsidRPr="00595B6C">
        <w:rPr>
          <w:szCs w:val="24"/>
        </w:rPr>
        <w:t>largest audit firms, the PABs and ASIC, as well as looking at</w:t>
      </w:r>
      <w:r>
        <w:rPr>
          <w:szCs w:val="24"/>
        </w:rPr>
        <w:t xml:space="preserve"> publicly available</w:t>
      </w:r>
      <w:r w:rsidRPr="00595B6C">
        <w:rPr>
          <w:szCs w:val="24"/>
        </w:rPr>
        <w:t xml:space="preserve"> statistical and qualitative information about their processes and the findings from their quality reviews. The FRC also met with a broader range of regulators and stakeholders as detailed in Appendix 3. The FRC </w:t>
      </w:r>
      <w:r>
        <w:rPr>
          <w:szCs w:val="24"/>
        </w:rPr>
        <w:t xml:space="preserve">has </w:t>
      </w:r>
      <w:r w:rsidRPr="00595B6C">
        <w:rPr>
          <w:szCs w:val="24"/>
        </w:rPr>
        <w:t xml:space="preserve">relied on the </w:t>
      </w:r>
      <w:r>
        <w:rPr>
          <w:szCs w:val="24"/>
        </w:rPr>
        <w:t xml:space="preserve">accuracy of the </w:t>
      </w:r>
      <w:r w:rsidRPr="00595B6C">
        <w:rPr>
          <w:szCs w:val="24"/>
        </w:rPr>
        <w:t xml:space="preserve">information </w:t>
      </w:r>
      <w:r>
        <w:rPr>
          <w:szCs w:val="24"/>
        </w:rPr>
        <w:t xml:space="preserve">and feedback </w:t>
      </w:r>
      <w:r w:rsidRPr="00595B6C">
        <w:rPr>
          <w:szCs w:val="24"/>
        </w:rPr>
        <w:t xml:space="preserve">provided </w:t>
      </w:r>
      <w:r>
        <w:rPr>
          <w:szCs w:val="24"/>
        </w:rPr>
        <w:t xml:space="preserve">to us </w:t>
      </w:r>
      <w:r w:rsidRPr="00595B6C">
        <w:rPr>
          <w:szCs w:val="24"/>
        </w:rPr>
        <w:t>by</w:t>
      </w:r>
      <w:r>
        <w:rPr>
          <w:szCs w:val="24"/>
        </w:rPr>
        <w:t xml:space="preserve"> stakeholders.</w:t>
      </w:r>
    </w:p>
    <w:p w14:paraId="0A6B351B" w14:textId="4E69E9D8" w:rsidR="00DB57EC" w:rsidRDefault="00DB57EC" w:rsidP="003E0D91">
      <w:pPr>
        <w:rPr>
          <w:szCs w:val="24"/>
        </w:rPr>
      </w:pPr>
      <w:r>
        <w:rPr>
          <w:szCs w:val="24"/>
        </w:rPr>
        <w:t xml:space="preserve">The FRC also reviewed relevant legislation and publicly available information about how audit quality is supported and monitored in Australia, as well as the systems in place in some overseas jurisdictions. </w:t>
      </w:r>
      <w:r w:rsidR="00E251E4">
        <w:rPr>
          <w:szCs w:val="24"/>
        </w:rPr>
        <w:br w:type="page"/>
      </w:r>
    </w:p>
    <w:p w14:paraId="049FCF9B" w14:textId="77777777" w:rsidR="00DB57EC" w:rsidRPr="00E91943" w:rsidRDefault="00DB57EC" w:rsidP="00E91943">
      <w:pPr>
        <w:pStyle w:val="Heading1"/>
      </w:pPr>
      <w:bookmarkStart w:id="8" w:name="_Toc143799222"/>
      <w:bookmarkStart w:id="9" w:name="_Toc149310318"/>
      <w:bookmarkStart w:id="10" w:name="_Toc149551265"/>
      <w:r w:rsidRPr="00E91943">
        <w:t>Findings</w:t>
      </w:r>
      <w:bookmarkEnd w:id="8"/>
      <w:bookmarkEnd w:id="9"/>
      <w:bookmarkEnd w:id="10"/>
    </w:p>
    <w:p w14:paraId="01EC2DAD" w14:textId="0422C278" w:rsidR="00DB57EC" w:rsidRDefault="00DB57EC" w:rsidP="00E91943">
      <w:r>
        <w:t>T</w:t>
      </w:r>
      <w:r w:rsidRPr="00884820">
        <w:t>he FRC</w:t>
      </w:r>
      <w:r w:rsidR="00EB0779">
        <w:t>’</w:t>
      </w:r>
      <w:r w:rsidRPr="00884820">
        <w:t>s main findings are:</w:t>
      </w:r>
    </w:p>
    <w:p w14:paraId="5CA0FA72" w14:textId="77777777" w:rsidR="00DB57EC" w:rsidRPr="00D42DC4" w:rsidRDefault="00DB57EC" w:rsidP="00D42DC4">
      <w:pPr>
        <w:pStyle w:val="Bullet"/>
      </w:pPr>
      <w:r w:rsidRPr="00D42DC4">
        <w:t xml:space="preserve">ASIC is the statutory regulator who has the power to perform audit surveillance, however there is no legislative requirement for ASIC to undertake proactive surveillance of auditors. As a result, ASIC design their program based on their overall strategy, competing priorities and budgetary pressures. </w:t>
      </w:r>
    </w:p>
    <w:p w14:paraId="26B4D4E3" w14:textId="4C96F31F" w:rsidR="00DB57EC" w:rsidRPr="00D42DC4" w:rsidRDefault="00DB57EC" w:rsidP="00D42DC4">
      <w:pPr>
        <w:pStyle w:val="Bullet"/>
      </w:pPr>
      <w:r w:rsidRPr="00D42DC4">
        <w:t>There has been a decrease in ASIC</w:t>
      </w:r>
      <w:r w:rsidR="00EB0779">
        <w:t>’</w:t>
      </w:r>
      <w:r w:rsidRPr="00D42DC4">
        <w:t>s inspection of audit files in the past few years. During</w:t>
      </w:r>
      <w:r w:rsidR="009153C1">
        <w:t> </w:t>
      </w:r>
      <w:r w:rsidRPr="00D42DC4">
        <w:t>2022</w:t>
      </w:r>
      <w:r w:rsidR="009153C1">
        <w:t> </w:t>
      </w:r>
      <w:r w:rsidRPr="00D42DC4">
        <w:t>ASIC introduced a new integrated approach to conducting financial reporting and audit surveillances. ASIC continue to select audit files for review when there is an identified or suspected error in the financial report, and the number of audit files selected for review where there is no identified or suspected material misstatement of the financial report has been significantly reduced. This has resulted in a decrease in the number of audit files reviewed from 45</w:t>
      </w:r>
      <w:r w:rsidR="00675CEA">
        <w:rPr>
          <w:rFonts w:ascii="ZWAdobeF" w:hAnsi="ZWAdobeF" w:cs="ZWAdobeF"/>
          <w:color w:val="auto"/>
          <w:sz w:val="2"/>
          <w:szCs w:val="2"/>
        </w:rPr>
        <w:t>5F</w:t>
      </w:r>
      <w:r w:rsidRPr="009153C1">
        <w:rPr>
          <w:rStyle w:val="FootnoteReference"/>
          <w:sz w:val="22"/>
          <w:vertAlign w:val="superscript"/>
        </w:rPr>
        <w:footnoteReference w:id="6"/>
      </w:r>
      <w:r w:rsidRPr="00D42DC4">
        <w:t xml:space="preserve"> in 2021/22 to 15</w:t>
      </w:r>
      <w:r w:rsidR="00675CEA">
        <w:rPr>
          <w:rFonts w:ascii="ZWAdobeF" w:hAnsi="ZWAdobeF" w:cs="ZWAdobeF"/>
          <w:color w:val="auto"/>
          <w:sz w:val="2"/>
          <w:szCs w:val="2"/>
        </w:rPr>
        <w:t>6F</w:t>
      </w:r>
      <w:r w:rsidRPr="009153C1">
        <w:rPr>
          <w:rStyle w:val="FootnoteReference"/>
          <w:sz w:val="22"/>
          <w:vertAlign w:val="superscript"/>
        </w:rPr>
        <w:footnoteReference w:id="7"/>
      </w:r>
      <w:r w:rsidRPr="009153C1">
        <w:rPr>
          <w:vertAlign w:val="superscript"/>
        </w:rPr>
        <w:t xml:space="preserve"> </w:t>
      </w:r>
      <w:r w:rsidRPr="00D42DC4">
        <w:t>in 2022/23. Whilst the FRC support the continued focus on high quality financial reporting, the FRC consider that there should be a greater number of auditors and audit files reviewed on an annual basis</w:t>
      </w:r>
      <w:r w:rsidR="00EB0779">
        <w:t xml:space="preserve">. </w:t>
      </w:r>
    </w:p>
    <w:p w14:paraId="0257E169" w14:textId="1F512F38" w:rsidR="00DB57EC" w:rsidRPr="00D42DC4" w:rsidRDefault="00DB57EC" w:rsidP="00D42DC4">
      <w:pPr>
        <w:pStyle w:val="Bullet"/>
      </w:pPr>
      <w:r w:rsidRPr="00D42DC4">
        <w:t>ASIC have indicated that staff resources dedicated to audit surveillance have been reduced in recent years, and the FRC notes that ASIC have less staff dedicated to this role than some overseas jurisdictions. As a result, compared to equivalent bodies, ASIC</w:t>
      </w:r>
      <w:r w:rsidR="00EB0779">
        <w:t>’</w:t>
      </w:r>
      <w:r w:rsidRPr="00D42DC4">
        <w:t>s program is relatively small.</w:t>
      </w:r>
      <w:r w:rsidR="00675CEA">
        <w:rPr>
          <w:rFonts w:ascii="ZWAdobeF" w:hAnsi="ZWAdobeF" w:cs="ZWAdobeF"/>
          <w:color w:val="auto"/>
          <w:sz w:val="2"/>
          <w:szCs w:val="2"/>
        </w:rPr>
        <w:t>7F</w:t>
      </w:r>
      <w:r w:rsidRPr="009153C1">
        <w:rPr>
          <w:rStyle w:val="FootnoteReference"/>
          <w:sz w:val="22"/>
          <w:vertAlign w:val="superscript"/>
        </w:rPr>
        <w:footnoteReference w:id="8"/>
      </w:r>
      <w:r w:rsidRPr="009153C1">
        <w:rPr>
          <w:vertAlign w:val="superscript"/>
        </w:rPr>
        <w:t xml:space="preserve"> </w:t>
      </w:r>
      <w:r w:rsidRPr="00D42DC4">
        <w:t xml:space="preserve">In addition, it is not clear if the new program results in the largest </w:t>
      </w:r>
      <w:r w:rsidR="00B50466">
        <w:t>6</w:t>
      </w:r>
      <w:r w:rsidRPr="00D42DC4">
        <w:t xml:space="preserve"> audit firms being reviewed annually. </w:t>
      </w:r>
    </w:p>
    <w:p w14:paraId="006F1D90" w14:textId="3B6857B1" w:rsidR="00DB57EC" w:rsidRPr="00D42DC4" w:rsidRDefault="00DB57EC" w:rsidP="00D42DC4">
      <w:pPr>
        <w:pStyle w:val="Bullet"/>
      </w:pPr>
      <w:r w:rsidRPr="00D42DC4">
        <w:t>The auditing standards require audit firms and auditors to comply with the QMS and ethical standards, which are important in supporting audit quality. The Corporations Act requires auditors to comply with the QMS and ethical standards only to the extent they apply to the performance of an individual audit.</w:t>
      </w:r>
      <w:r w:rsidR="00675CEA">
        <w:rPr>
          <w:rFonts w:ascii="ZWAdobeF" w:hAnsi="ZWAdobeF" w:cs="ZWAdobeF"/>
          <w:color w:val="auto"/>
          <w:sz w:val="2"/>
          <w:szCs w:val="2"/>
        </w:rPr>
        <w:t>8F</w:t>
      </w:r>
      <w:r w:rsidRPr="007C0344">
        <w:rPr>
          <w:rStyle w:val="FootnoteReference"/>
          <w:sz w:val="22"/>
          <w:vertAlign w:val="superscript"/>
        </w:rPr>
        <w:footnoteReference w:id="9"/>
      </w:r>
      <w:r w:rsidRPr="00D42DC4">
        <w:t xml:space="preserve"> As a result, ASIC can only enforce compliance for parts of the standards by the individual auditor, and not the firm. </w:t>
      </w:r>
    </w:p>
    <w:p w14:paraId="41CDDB6E" w14:textId="4FD4C457" w:rsidR="00DB57EC" w:rsidRPr="00D42DC4" w:rsidRDefault="00DB57EC" w:rsidP="00D42DC4">
      <w:pPr>
        <w:pStyle w:val="Bullet"/>
      </w:pPr>
      <w:r w:rsidRPr="00D42DC4">
        <w:t>In the past ASIC have reviewed discreet components of a firm</w:t>
      </w:r>
      <w:r w:rsidR="00EB0779">
        <w:t>’</w:t>
      </w:r>
      <w:r w:rsidRPr="00D42DC4">
        <w:t>s system of quality management, however this has been limited. ASIC did not review any components of the system of quality management in 2022/23 however have indicated they will do so in the future.</w:t>
      </w:r>
    </w:p>
    <w:p w14:paraId="1167EBB1" w14:textId="56EBAF1A" w:rsidR="00DB57EC" w:rsidRPr="00D42DC4" w:rsidRDefault="00DB57EC" w:rsidP="00D42DC4">
      <w:pPr>
        <w:pStyle w:val="Bullet"/>
      </w:pPr>
      <w:r w:rsidRPr="00D42DC4">
        <w:t>The current regulatory framework in Australia is sometimes described as a co</w:t>
      </w:r>
      <w:r w:rsidR="00EB0779">
        <w:noBreakHyphen/>
      </w:r>
      <w:r w:rsidRPr="00D42DC4">
        <w:t>regulatory framework with the PABs being co</w:t>
      </w:r>
      <w:r w:rsidR="00EB0779">
        <w:noBreakHyphen/>
      </w:r>
      <w:r w:rsidRPr="00D42DC4">
        <w:t xml:space="preserve">regulators of auditors who are their members, with ASIC. However, the PABs do not have any statutory responsibilities or powers to oversee audit quality, and their quality review programs of their members are designed to be educative to support their members, and to promote continuous improvement. The programs are not designed to assess and report on audit quality. </w:t>
      </w:r>
    </w:p>
    <w:p w14:paraId="5AC998C6" w14:textId="77777777" w:rsidR="00DB57EC" w:rsidRDefault="00DB57EC" w:rsidP="009863D7">
      <w:pPr>
        <w:pStyle w:val="Bullet"/>
      </w:pPr>
      <w:r>
        <w:t>Each PAB has its own separate investigatory and disciplinary function. There</w:t>
      </w:r>
      <w:r w:rsidRPr="00884820">
        <w:t xml:space="preserve"> is a perceived conflict of interest between the role of the PABs in managing the conduct of their members, given that membership fees are a significant source of income for the PABs</w:t>
      </w:r>
      <w:r>
        <w:t xml:space="preserve"> and their role in representing the interests of their members</w:t>
      </w:r>
      <w:r w:rsidRPr="00884820">
        <w:t xml:space="preserve">. </w:t>
      </w:r>
      <w:r>
        <w:t>Whilst each PAB has adopted processes to enhance the independence of their disciplinary functions, the perceived conflict remains.</w:t>
      </w:r>
    </w:p>
    <w:p w14:paraId="02F6DBF8" w14:textId="77777777" w:rsidR="00DB57EC" w:rsidRPr="008379CD" w:rsidRDefault="00DB57EC" w:rsidP="009863D7">
      <w:pPr>
        <w:pStyle w:val="Bullet"/>
        <w:rPr>
          <w:szCs w:val="24"/>
        </w:rPr>
      </w:pPr>
      <w:r>
        <w:rPr>
          <w:szCs w:val="24"/>
        </w:rPr>
        <w:t>Not all auditors are subject to regulatory oversight nor are all auditors required to be a member of a PAB.</w:t>
      </w:r>
    </w:p>
    <w:p w14:paraId="53616C1E" w14:textId="6EE25CF2" w:rsidR="00DB57EC" w:rsidRPr="00A16726" w:rsidRDefault="00DB57EC" w:rsidP="009863D7">
      <w:pPr>
        <w:pStyle w:val="Bullet"/>
        <w:rPr>
          <w:szCs w:val="24"/>
        </w:rPr>
      </w:pPr>
      <w:r w:rsidRPr="00A16726">
        <w:rPr>
          <w:szCs w:val="24"/>
        </w:rPr>
        <w:t>The ethical standards that the PABs</w:t>
      </w:r>
      <w:r w:rsidR="00EB0779">
        <w:rPr>
          <w:szCs w:val="24"/>
        </w:rPr>
        <w:t>’</w:t>
      </w:r>
      <w:r w:rsidRPr="00A16726">
        <w:rPr>
          <w:szCs w:val="24"/>
        </w:rPr>
        <w:t xml:space="preserve"> members must comply with are set by the APESB </w:t>
      </w:r>
      <w:r>
        <w:rPr>
          <w:szCs w:val="24"/>
        </w:rPr>
        <w:t>and are based on their international equivalent. However, the APESB is</w:t>
      </w:r>
      <w:r w:rsidRPr="00A16726">
        <w:rPr>
          <w:szCs w:val="24"/>
        </w:rPr>
        <w:t xml:space="preserve"> not a statutory body</w:t>
      </w:r>
      <w:r>
        <w:rPr>
          <w:szCs w:val="24"/>
        </w:rPr>
        <w:t xml:space="preserve"> and their standards do not have force of law</w:t>
      </w:r>
      <w:r w:rsidRPr="00A16726">
        <w:rPr>
          <w:szCs w:val="24"/>
        </w:rPr>
        <w:t xml:space="preserve">. </w:t>
      </w:r>
      <w:proofErr w:type="gramStart"/>
      <w:r>
        <w:rPr>
          <w:szCs w:val="24"/>
        </w:rPr>
        <w:t>Also</w:t>
      </w:r>
      <w:proofErr w:type="gramEnd"/>
      <w:r>
        <w:rPr>
          <w:szCs w:val="24"/>
        </w:rPr>
        <w:t xml:space="preserve"> the</w:t>
      </w:r>
      <w:r w:rsidRPr="00A0238B">
        <w:rPr>
          <w:szCs w:val="24"/>
        </w:rPr>
        <w:t xml:space="preserve"> APESB is funded by the PABs and the board members are drawn from the PABs</w:t>
      </w:r>
      <w:r>
        <w:rPr>
          <w:szCs w:val="24"/>
        </w:rPr>
        <w:t>, except for the Chairman who is required to be an independent person who is not a member of the PABs.</w:t>
      </w:r>
      <w:r w:rsidR="00675CEA">
        <w:rPr>
          <w:rFonts w:ascii="ZWAdobeF" w:hAnsi="ZWAdobeF" w:cs="ZWAdobeF"/>
          <w:color w:val="auto"/>
          <w:sz w:val="2"/>
          <w:szCs w:val="2"/>
        </w:rPr>
        <w:t>9F</w:t>
      </w:r>
      <w:r w:rsidRPr="007C0344">
        <w:rPr>
          <w:vertAlign w:val="superscript"/>
        </w:rPr>
        <w:footnoteReference w:id="10"/>
      </w:r>
    </w:p>
    <w:p w14:paraId="5B7DAF7D" w14:textId="4CB0FB9F" w:rsidR="00DB57EC" w:rsidRPr="001E114A" w:rsidRDefault="00DB57EC" w:rsidP="009863D7">
      <w:pPr>
        <w:pStyle w:val="Bullet"/>
        <w:rPr>
          <w:szCs w:val="24"/>
        </w:rPr>
      </w:pPr>
      <w:r w:rsidRPr="001E114A">
        <w:rPr>
          <w:szCs w:val="24"/>
        </w:rPr>
        <w:t xml:space="preserve">The number of cases referred to the CADB is </w:t>
      </w:r>
      <w:r w:rsidRPr="00A0238B">
        <w:rPr>
          <w:szCs w:val="24"/>
        </w:rPr>
        <w:t xml:space="preserve">historically </w:t>
      </w:r>
      <w:r w:rsidRPr="001E114A">
        <w:rPr>
          <w:szCs w:val="24"/>
        </w:rPr>
        <w:t xml:space="preserve">low. </w:t>
      </w:r>
      <w:r>
        <w:rPr>
          <w:szCs w:val="24"/>
        </w:rPr>
        <w:t xml:space="preserve">ASIC and APRA may refer RCAs to the CADB to sanction inadequate or improper performance of duties or the </w:t>
      </w:r>
      <w:r w:rsidR="00C760F8">
        <w:rPr>
          <w:szCs w:val="24"/>
        </w:rPr>
        <w:t>‘</w:t>
      </w:r>
      <w:r>
        <w:rPr>
          <w:szCs w:val="24"/>
        </w:rPr>
        <w:t>fit and proper</w:t>
      </w:r>
      <w:r w:rsidR="00C760F8">
        <w:rPr>
          <w:szCs w:val="24"/>
        </w:rPr>
        <w:t>’</w:t>
      </w:r>
      <w:r>
        <w:rPr>
          <w:szCs w:val="24"/>
        </w:rPr>
        <w:t xml:space="preserve"> requirement. </w:t>
      </w:r>
    </w:p>
    <w:p w14:paraId="7FC23129" w14:textId="5D52937B" w:rsidR="00530D06" w:rsidRDefault="00DB57EC" w:rsidP="009863D7">
      <w:pPr>
        <w:pStyle w:val="Bullet"/>
        <w:rPr>
          <w:szCs w:val="24"/>
        </w:rPr>
      </w:pPr>
      <w:r w:rsidRPr="00884820">
        <w:rPr>
          <w:szCs w:val="24"/>
        </w:rPr>
        <w:t>There are restrictions on the PABs</w:t>
      </w:r>
      <w:r w:rsidR="00EB0779">
        <w:rPr>
          <w:szCs w:val="24"/>
        </w:rPr>
        <w:t>’</w:t>
      </w:r>
      <w:r w:rsidRPr="00884820">
        <w:rPr>
          <w:szCs w:val="24"/>
        </w:rPr>
        <w:t xml:space="preserve"> ability to share information</w:t>
      </w:r>
      <w:r>
        <w:rPr>
          <w:szCs w:val="24"/>
        </w:rPr>
        <w:t xml:space="preserve"> when they identify breaches</w:t>
      </w:r>
      <w:r w:rsidRPr="00884820">
        <w:rPr>
          <w:szCs w:val="24"/>
        </w:rPr>
        <w:t>.</w:t>
      </w:r>
      <w:bookmarkStart w:id="11" w:name="_Toc143799223"/>
    </w:p>
    <w:p w14:paraId="5958D517" w14:textId="1B21D8CA" w:rsidR="00DB57EC" w:rsidRPr="00EF7621" w:rsidRDefault="00530D06" w:rsidP="00530D06">
      <w:pPr>
        <w:spacing w:before="0" w:after="160" w:line="259" w:lineRule="auto"/>
        <w:rPr>
          <w:szCs w:val="24"/>
        </w:rPr>
      </w:pPr>
      <w:r>
        <w:rPr>
          <w:szCs w:val="24"/>
        </w:rPr>
        <w:br w:type="page"/>
      </w:r>
    </w:p>
    <w:p w14:paraId="57E50188" w14:textId="77777777" w:rsidR="00DB57EC" w:rsidRPr="009863D7" w:rsidRDefault="00DB57EC" w:rsidP="009863D7">
      <w:pPr>
        <w:pStyle w:val="Heading1"/>
      </w:pPr>
      <w:bookmarkStart w:id="12" w:name="_Toc149310319"/>
      <w:bookmarkStart w:id="13" w:name="_Toc149551266"/>
      <w:r w:rsidRPr="003F1448">
        <w:t>Recommendations</w:t>
      </w:r>
      <w:bookmarkEnd w:id="11"/>
      <w:bookmarkEnd w:id="12"/>
      <w:bookmarkEnd w:id="13"/>
      <w:r w:rsidRPr="003F1448">
        <w:t xml:space="preserve"> </w:t>
      </w:r>
    </w:p>
    <w:p w14:paraId="0778A031" w14:textId="77777777" w:rsidR="00DB57EC" w:rsidRPr="00884820" w:rsidRDefault="00DB57EC" w:rsidP="00DB57EC">
      <w:pPr>
        <w:rPr>
          <w:szCs w:val="24"/>
        </w:rPr>
      </w:pPr>
      <w:r>
        <w:rPr>
          <w:szCs w:val="24"/>
        </w:rPr>
        <w:t>T</w:t>
      </w:r>
      <w:r w:rsidRPr="00884820">
        <w:rPr>
          <w:szCs w:val="24"/>
        </w:rPr>
        <w:t xml:space="preserve">he FRC have </w:t>
      </w:r>
      <w:proofErr w:type="gramStart"/>
      <w:r w:rsidRPr="00884820">
        <w:rPr>
          <w:szCs w:val="24"/>
        </w:rPr>
        <w:t>a number of</w:t>
      </w:r>
      <w:proofErr w:type="gramEnd"/>
      <w:r w:rsidRPr="00884820">
        <w:rPr>
          <w:szCs w:val="24"/>
        </w:rPr>
        <w:t xml:space="preserve"> recommendations </w:t>
      </w:r>
      <w:r>
        <w:rPr>
          <w:szCs w:val="24"/>
        </w:rPr>
        <w:t xml:space="preserve">but </w:t>
      </w:r>
      <w:r w:rsidRPr="00884820">
        <w:rPr>
          <w:szCs w:val="24"/>
        </w:rPr>
        <w:t>acknowledge that some</w:t>
      </w:r>
      <w:r>
        <w:rPr>
          <w:szCs w:val="24"/>
        </w:rPr>
        <w:t xml:space="preserve"> of these recommendations</w:t>
      </w:r>
      <w:r w:rsidRPr="00884820">
        <w:rPr>
          <w:szCs w:val="24"/>
        </w:rPr>
        <w:t>:</w:t>
      </w:r>
    </w:p>
    <w:p w14:paraId="39A62CDA" w14:textId="77777777" w:rsidR="00DB57EC" w:rsidRPr="00884820" w:rsidRDefault="00DB57EC" w:rsidP="009863D7">
      <w:pPr>
        <w:pStyle w:val="Bullet"/>
      </w:pPr>
      <w:r w:rsidRPr="00884820">
        <w:t xml:space="preserve">may need further consideration to ensure they are workable and do not have any unintended consequences. </w:t>
      </w:r>
    </w:p>
    <w:p w14:paraId="371371C0" w14:textId="77777777" w:rsidR="00DB57EC" w:rsidRPr="00884820" w:rsidRDefault="00DB57EC" w:rsidP="009863D7">
      <w:pPr>
        <w:pStyle w:val="Bullet"/>
      </w:pPr>
      <w:r w:rsidRPr="00884820">
        <w:t>may require additional or alternate sources of funding and legislative change.</w:t>
      </w:r>
    </w:p>
    <w:p w14:paraId="7FFFA252" w14:textId="77777777" w:rsidR="00DB57EC" w:rsidRPr="00884820" w:rsidRDefault="00DB57EC" w:rsidP="009863D7">
      <w:r w:rsidRPr="00884820">
        <w:t>The FRC welcomes further discussion with all stakeholders on the best way to achieve the intended outcomes</w:t>
      </w:r>
      <w:r>
        <w:t xml:space="preserve"> of supporting the highest level of audit quality</w:t>
      </w:r>
      <w:r w:rsidRPr="00884820">
        <w:t xml:space="preserve">. </w:t>
      </w:r>
    </w:p>
    <w:p w14:paraId="0D032040" w14:textId="24F14DCA" w:rsidR="00DB57EC" w:rsidRDefault="00DB57EC" w:rsidP="009863D7">
      <w:r w:rsidRPr="00884820">
        <w:t>The FRC recommends:</w:t>
      </w:r>
    </w:p>
    <w:tbl>
      <w:tblPr>
        <w:tblW w:w="5000" w:type="pct"/>
        <w:shd w:val="clear" w:color="auto" w:fill="F8F8F8" w:themeFill="background2"/>
        <w:tblCellMar>
          <w:top w:w="284" w:type="dxa"/>
          <w:left w:w="284" w:type="dxa"/>
          <w:bottom w:w="284" w:type="dxa"/>
          <w:right w:w="284" w:type="dxa"/>
        </w:tblCellMar>
        <w:tblLook w:val="0600" w:firstRow="0" w:lastRow="0" w:firstColumn="0" w:lastColumn="0" w:noHBand="1" w:noVBand="1"/>
      </w:tblPr>
      <w:tblGrid>
        <w:gridCol w:w="9026"/>
      </w:tblGrid>
      <w:tr w:rsidR="00991C8C" w14:paraId="6C10851A" w14:textId="77777777" w:rsidTr="003074FE">
        <w:tc>
          <w:tcPr>
            <w:tcW w:w="5000" w:type="pct"/>
            <w:shd w:val="clear" w:color="auto" w:fill="F8F8F8" w:themeFill="background2"/>
            <w:hideMark/>
          </w:tcPr>
          <w:p w14:paraId="4792F6BD" w14:textId="049E6CF1" w:rsidR="00991C8C" w:rsidRPr="00315B3D" w:rsidRDefault="00991C8C" w:rsidP="00315B3D">
            <w:pPr>
              <w:pStyle w:val="OutlineNumbered1"/>
              <w:rPr>
                <w:b/>
                <w:bCs/>
              </w:rPr>
            </w:pPr>
            <w:r w:rsidRPr="00315B3D">
              <w:rPr>
                <w:b/>
                <w:bCs/>
              </w:rPr>
              <w:t>ASIC</w:t>
            </w:r>
            <w:r w:rsidR="00EB0779">
              <w:rPr>
                <w:b/>
                <w:bCs/>
              </w:rPr>
              <w:t>’</w:t>
            </w:r>
            <w:r w:rsidRPr="00315B3D">
              <w:rPr>
                <w:b/>
                <w:bCs/>
              </w:rPr>
              <w:t xml:space="preserve">s program of reviewing audit files only when financial reports are known or suspected to be misstated, should be augmented with a program that selects audit files on a risk and rotational basis for review, with the overall objective to review all auditors over an established </w:t>
            </w:r>
            <w:proofErr w:type="gramStart"/>
            <w:r w:rsidRPr="00315B3D">
              <w:rPr>
                <w:b/>
                <w:bCs/>
              </w:rPr>
              <w:t>time period</w:t>
            </w:r>
            <w:proofErr w:type="gramEnd"/>
            <w:r w:rsidRPr="00315B3D">
              <w:rPr>
                <w:b/>
                <w:bCs/>
              </w:rPr>
              <w:t>.</w:t>
            </w:r>
          </w:p>
        </w:tc>
      </w:tr>
    </w:tbl>
    <w:p w14:paraId="67141F50" w14:textId="77777777" w:rsidR="00DB57EC" w:rsidRDefault="00DB57EC" w:rsidP="00DB57EC">
      <w:pPr>
        <w:rPr>
          <w:szCs w:val="22"/>
        </w:rPr>
      </w:pPr>
      <w:r w:rsidRPr="00E91943">
        <w:t xml:space="preserve">The Government should </w:t>
      </w:r>
      <w:proofErr w:type="gramStart"/>
      <w:r w:rsidRPr="00E91943">
        <w:t>give consideration to</w:t>
      </w:r>
      <w:proofErr w:type="gramEnd"/>
      <w:r w:rsidRPr="00E91943">
        <w:t xml:space="preserve"> whether ASIC undertakes this additional program and are funded to do so, or whether there should be a new independent body established whose legislated responsibility is to perform an audit surveillance program. There should also be consideration as to whether the audit surveillance program covers all RCAs over an established </w:t>
      </w:r>
      <w:proofErr w:type="gramStart"/>
      <w:r w:rsidRPr="00E91943">
        <w:t>time period</w:t>
      </w:r>
      <w:proofErr w:type="gramEnd"/>
      <w:r w:rsidRPr="00E91943">
        <w:t xml:space="preserve">, or all auditors i.e., not just RCAs. This would require consideration as to whether all auditors </w:t>
      </w:r>
      <w:r>
        <w:rPr>
          <w:szCs w:val="22"/>
        </w:rPr>
        <w:t>should be required to be members of a PAB or some other minimum competency accreditation system.</w:t>
      </w:r>
    </w:p>
    <w:p w14:paraId="49A52E93" w14:textId="204724F6" w:rsidR="00991C8C" w:rsidRPr="00D42DC4" w:rsidRDefault="00DB57EC" w:rsidP="00D42DC4">
      <w:r w:rsidRPr="0FB06A72">
        <w:t xml:space="preserve">This body could also be responsible for conducting surveillance of financial reporting, </w:t>
      </w:r>
      <w:r>
        <w:t>and</w:t>
      </w:r>
      <w:r w:rsidRPr="0FB06A72">
        <w:t xml:space="preserve"> surveillance of the disciplinary and enforcement processes currently being performed by ASIC and the PABs. There should be consideration as to whether this body also provides oversight of the broader accounting profession and consulting services.</w:t>
      </w:r>
    </w:p>
    <w:tbl>
      <w:tblPr>
        <w:tblW w:w="5000" w:type="pct"/>
        <w:shd w:val="clear" w:color="auto" w:fill="F8F8F8" w:themeFill="background2"/>
        <w:tblCellMar>
          <w:top w:w="284" w:type="dxa"/>
          <w:left w:w="284" w:type="dxa"/>
          <w:bottom w:w="284" w:type="dxa"/>
          <w:right w:w="284" w:type="dxa"/>
        </w:tblCellMar>
        <w:tblLook w:val="0600" w:firstRow="0" w:lastRow="0" w:firstColumn="0" w:lastColumn="0" w:noHBand="1" w:noVBand="1"/>
      </w:tblPr>
      <w:tblGrid>
        <w:gridCol w:w="9026"/>
      </w:tblGrid>
      <w:tr w:rsidR="00991C8C" w14:paraId="669EA0F7" w14:textId="77777777" w:rsidTr="003074FE">
        <w:tc>
          <w:tcPr>
            <w:tcW w:w="5000" w:type="pct"/>
            <w:shd w:val="clear" w:color="auto" w:fill="F8F8F8" w:themeFill="background2"/>
            <w:hideMark/>
          </w:tcPr>
          <w:p w14:paraId="30700500" w14:textId="77777777" w:rsidR="00991C8C" w:rsidRPr="00315B3D" w:rsidRDefault="00991C8C" w:rsidP="00315B3D">
            <w:pPr>
              <w:pStyle w:val="OutlineNumbered1"/>
              <w:tabs>
                <w:tab w:val="clear" w:pos="851"/>
              </w:tabs>
              <w:ind w:left="1135" w:hanging="1135"/>
              <w:rPr>
                <w:b/>
                <w:bCs/>
              </w:rPr>
            </w:pPr>
            <w:r w:rsidRPr="00315B3D">
              <w:rPr>
                <w:b/>
                <w:bCs/>
              </w:rPr>
              <w:t xml:space="preserve">ASIC should consider: </w:t>
            </w:r>
          </w:p>
          <w:p w14:paraId="547CA571" w14:textId="77777777" w:rsidR="00991C8C" w:rsidRDefault="00991C8C" w:rsidP="00BF3DB4">
            <w:pPr>
              <w:pStyle w:val="OutlineNumbered2"/>
            </w:pPr>
            <w:r w:rsidRPr="002070AD">
              <w:t xml:space="preserve">Publishing an audit surveillance strategic plan with stated objectives and key performance indicators, including establishing a minimum </w:t>
            </w:r>
            <w:r>
              <w:t xml:space="preserve">coverage and </w:t>
            </w:r>
            <w:r w:rsidRPr="002070AD">
              <w:t xml:space="preserve">cycle regarding the frequency of inspection of auditors. </w:t>
            </w:r>
          </w:p>
          <w:p w14:paraId="4CE3D517" w14:textId="77777777" w:rsidR="00991C8C" w:rsidRPr="002070AD" w:rsidRDefault="00991C8C" w:rsidP="00BF3DB4">
            <w:pPr>
              <w:pStyle w:val="OutlineNumbered2"/>
            </w:pPr>
            <w:r>
              <w:t>Ongoing communication with the PABs as to the scope of the program to allow the PABs to consider the impact on their programs in particular which firms to review.</w:t>
            </w:r>
          </w:p>
          <w:p w14:paraId="5B72A28E" w14:textId="151113BE" w:rsidR="00991C8C" w:rsidRPr="002070AD" w:rsidRDefault="00991C8C" w:rsidP="00BF3DB4">
            <w:pPr>
              <w:pStyle w:val="OutlineNumbered2"/>
            </w:pPr>
            <w:r w:rsidRPr="002070AD">
              <w:t xml:space="preserve">Including </w:t>
            </w:r>
            <w:r>
              <w:t xml:space="preserve">greater emphasis on </w:t>
            </w:r>
            <w:r w:rsidRPr="002070AD">
              <w:t>oversight of the adequacy of audit firms</w:t>
            </w:r>
            <w:r w:rsidR="00EB0779">
              <w:t>’</w:t>
            </w:r>
            <w:r w:rsidRPr="002070AD">
              <w:t xml:space="preserve"> compliance with the QMS and monitoring of compliance with ethical standards routinely in its surveillance program</w:t>
            </w:r>
            <w:r>
              <w:t>.</w:t>
            </w:r>
            <w:r w:rsidR="00675CEA">
              <w:rPr>
                <w:rFonts w:ascii="ZWAdobeF" w:hAnsi="ZWAdobeF" w:cs="ZWAdobeF"/>
                <w:color w:val="auto"/>
                <w:sz w:val="2"/>
                <w:szCs w:val="2"/>
              </w:rPr>
              <w:t>10F</w:t>
            </w:r>
            <w:r w:rsidRPr="007C0344">
              <w:rPr>
                <w:vertAlign w:val="superscript"/>
              </w:rPr>
              <w:footnoteReference w:id="11"/>
            </w:r>
            <w:r w:rsidRPr="002070AD">
              <w:t xml:space="preserve"> </w:t>
            </w:r>
          </w:p>
          <w:p w14:paraId="57D2FB33" w14:textId="77777777" w:rsidR="00991C8C" w:rsidRDefault="00991C8C" w:rsidP="00BF3DB4">
            <w:pPr>
              <w:pStyle w:val="OutlineNumbered2"/>
            </w:pPr>
            <w:r w:rsidRPr="002070AD">
              <w:t xml:space="preserve">Allowing auditors to appeal </w:t>
            </w:r>
            <w:r>
              <w:t xml:space="preserve">through an internal independent process </w:t>
            </w:r>
            <w:r w:rsidRPr="002070AD">
              <w:t xml:space="preserve">when they do not agree with a finding. </w:t>
            </w:r>
            <w:r>
              <w:t>This process should be transparent to the auditors.</w:t>
            </w:r>
          </w:p>
          <w:p w14:paraId="6C8C8A32" w14:textId="5D094BFE" w:rsidR="00991C8C" w:rsidRDefault="00991C8C" w:rsidP="00BF3DB4">
            <w:pPr>
              <w:pStyle w:val="OutlineNumbered2"/>
            </w:pPr>
            <w:r w:rsidRPr="00803FF1">
              <w:t xml:space="preserve">Communicating </w:t>
            </w:r>
            <w:r>
              <w:t xml:space="preserve">its findings </w:t>
            </w:r>
            <w:r w:rsidRPr="00803FF1">
              <w:t>to the AUASB, AASB and APESB respectively</w:t>
            </w:r>
            <w:r>
              <w:t xml:space="preserve"> on possible</w:t>
            </w:r>
            <w:r w:rsidRPr="00803FF1">
              <w:t xml:space="preserve"> areas for improvements in the</w:t>
            </w:r>
            <w:r>
              <w:t>ir</w:t>
            </w:r>
            <w:r w:rsidRPr="00803FF1">
              <w:t xml:space="preserve"> standards</w:t>
            </w:r>
            <w:r>
              <w:t>.</w:t>
            </w:r>
          </w:p>
        </w:tc>
      </w:tr>
    </w:tbl>
    <w:p w14:paraId="2FB2D37E" w14:textId="7D81F313" w:rsidR="00DB57EC" w:rsidRDefault="00DB57EC" w:rsidP="00BF3DB4">
      <w:r>
        <w:t>These measures would enhance the transparency of ASIC</w:t>
      </w:r>
      <w:r w:rsidR="00EB0779">
        <w:t>’</w:t>
      </w:r>
      <w:r>
        <w:t>s program and its escalation policy. ASIC should also consider h</w:t>
      </w:r>
      <w:r w:rsidRPr="008B6A2E">
        <w:t xml:space="preserve">ow to finalise reviews and report findings </w:t>
      </w:r>
      <w:r>
        <w:t xml:space="preserve">to the firms </w:t>
      </w:r>
      <w:r w:rsidRPr="008B6A2E">
        <w:t>on a timelier basi</w:t>
      </w:r>
      <w:r>
        <w:t>s.</w:t>
      </w:r>
    </w:p>
    <w:tbl>
      <w:tblPr>
        <w:tblW w:w="5000" w:type="pct"/>
        <w:shd w:val="clear" w:color="auto" w:fill="F8F8F8" w:themeFill="background2"/>
        <w:tblCellMar>
          <w:top w:w="284" w:type="dxa"/>
          <w:left w:w="284" w:type="dxa"/>
          <w:bottom w:w="284" w:type="dxa"/>
          <w:right w:w="284" w:type="dxa"/>
        </w:tblCellMar>
        <w:tblLook w:val="0600" w:firstRow="0" w:lastRow="0" w:firstColumn="0" w:lastColumn="0" w:noHBand="1" w:noVBand="1"/>
      </w:tblPr>
      <w:tblGrid>
        <w:gridCol w:w="9026"/>
      </w:tblGrid>
      <w:tr w:rsidR="005129E7" w14:paraId="02296A85" w14:textId="77777777" w:rsidTr="003074FE">
        <w:tc>
          <w:tcPr>
            <w:tcW w:w="5000" w:type="pct"/>
            <w:shd w:val="clear" w:color="auto" w:fill="F8F8F8" w:themeFill="background2"/>
            <w:hideMark/>
          </w:tcPr>
          <w:p w14:paraId="6571AE6F" w14:textId="77777777" w:rsidR="005129E7" w:rsidRPr="005129E7" w:rsidRDefault="005129E7" w:rsidP="00315B3D">
            <w:pPr>
              <w:pStyle w:val="OutlineNumbered1"/>
              <w:tabs>
                <w:tab w:val="clear" w:pos="851"/>
              </w:tabs>
              <w:ind w:left="1135" w:hanging="1135"/>
              <w:rPr>
                <w:b/>
                <w:bCs/>
              </w:rPr>
            </w:pPr>
            <w:r w:rsidRPr="005129E7">
              <w:rPr>
                <w:b/>
                <w:bCs/>
              </w:rPr>
              <w:t>In relation to their Quality Review Programs, the PABs should consider:</w:t>
            </w:r>
          </w:p>
          <w:p w14:paraId="553DD262" w14:textId="3DC210EA" w:rsidR="005129E7" w:rsidRPr="003F08DC" w:rsidRDefault="005129E7" w:rsidP="005129E7">
            <w:pPr>
              <w:pStyle w:val="OutlineNumbered2"/>
            </w:pPr>
            <w:r>
              <w:t>The objectives of their programs and co</w:t>
            </w:r>
            <w:r w:rsidR="00EB0779">
              <w:noBreakHyphen/>
            </w:r>
            <w:r>
              <w:t>ordination with ASIC.</w:t>
            </w:r>
          </w:p>
          <w:p w14:paraId="3FBCCF52" w14:textId="11B9C618" w:rsidR="005129E7" w:rsidRPr="003F08DC" w:rsidRDefault="005129E7" w:rsidP="005129E7">
            <w:pPr>
              <w:pStyle w:val="OutlineNumbered2"/>
            </w:pPr>
            <w:r w:rsidRPr="003F08DC">
              <w:t xml:space="preserve">Preparing public reports to provide </w:t>
            </w:r>
            <w:r>
              <w:t xml:space="preserve">detail </w:t>
            </w:r>
            <w:r w:rsidRPr="003F08DC">
              <w:t>of the</w:t>
            </w:r>
            <w:r>
              <w:t xml:space="preserve">ir </w:t>
            </w:r>
            <w:r w:rsidRPr="003F08DC">
              <w:t>monitoring and quality review programs including key performance indicators and results. This reporting should also confirm their compliance with IFAC</w:t>
            </w:r>
            <w:r w:rsidR="00EB0779">
              <w:t>’</w:t>
            </w:r>
            <w:r w:rsidRPr="003F08DC">
              <w:t>s SMO 1</w:t>
            </w:r>
            <w:r>
              <w:t>, and their conclusions on the audit quality of their members.</w:t>
            </w:r>
          </w:p>
          <w:p w14:paraId="496A4ED6" w14:textId="1611D863" w:rsidR="005129E7" w:rsidRPr="003F08DC" w:rsidRDefault="005129E7" w:rsidP="005129E7">
            <w:pPr>
              <w:pStyle w:val="OutlineNumbered2"/>
            </w:pPr>
            <w:r w:rsidRPr="003F08DC">
              <w:t>More comprehensive reporting on the scope and results of their programs to the FRC.</w:t>
            </w:r>
            <w:r w:rsidR="00675CEA">
              <w:rPr>
                <w:rFonts w:ascii="ZWAdobeF" w:hAnsi="ZWAdobeF" w:cs="ZWAdobeF"/>
                <w:color w:val="auto"/>
                <w:sz w:val="2"/>
                <w:szCs w:val="2"/>
              </w:rPr>
              <w:t>11F</w:t>
            </w:r>
            <w:r w:rsidRPr="003F08DC">
              <w:rPr>
                <w:vertAlign w:val="superscript"/>
              </w:rPr>
              <w:footnoteReference w:id="12"/>
            </w:r>
            <w:r w:rsidRPr="003F08DC">
              <w:t xml:space="preserve"> </w:t>
            </w:r>
          </w:p>
          <w:p w14:paraId="0F531A6C" w14:textId="37E32CCA" w:rsidR="005129E7" w:rsidRDefault="005129E7" w:rsidP="005129E7">
            <w:pPr>
              <w:pStyle w:val="OutlineNumbered2"/>
            </w:pPr>
            <w:r w:rsidRPr="003F08DC">
              <w:t>Communicating identified areas for improvements in the standards to the AUASB, AASB and APESB respectively.</w:t>
            </w:r>
          </w:p>
        </w:tc>
      </w:tr>
    </w:tbl>
    <w:p w14:paraId="4FEC731D" w14:textId="4EEE92D5" w:rsidR="00D42DC4" w:rsidRPr="00D42DC4" w:rsidRDefault="00DB57EC" w:rsidP="00CC2883">
      <w:r>
        <w:t>The nature of the PAB</w:t>
      </w:r>
      <w:r w:rsidR="00EB0779">
        <w:t>’</w:t>
      </w:r>
      <w:r>
        <w:t>s quality review programs may be revised depending on ASIC</w:t>
      </w:r>
      <w:r w:rsidR="00EB0779">
        <w:t>’</w:t>
      </w:r>
      <w:r>
        <w:t>s and the government</w:t>
      </w:r>
      <w:r w:rsidR="00EB0779">
        <w:t>’</w:t>
      </w:r>
      <w:r>
        <w:t>s response to recommendation 1.</w:t>
      </w:r>
    </w:p>
    <w:tbl>
      <w:tblPr>
        <w:tblW w:w="5000" w:type="pct"/>
        <w:shd w:val="clear" w:color="auto" w:fill="F8F8F8" w:themeFill="background2"/>
        <w:tblCellMar>
          <w:top w:w="284" w:type="dxa"/>
          <w:left w:w="284" w:type="dxa"/>
          <w:bottom w:w="284" w:type="dxa"/>
          <w:right w:w="284" w:type="dxa"/>
        </w:tblCellMar>
        <w:tblLook w:val="0600" w:firstRow="0" w:lastRow="0" w:firstColumn="0" w:lastColumn="0" w:noHBand="1" w:noVBand="1"/>
      </w:tblPr>
      <w:tblGrid>
        <w:gridCol w:w="9026"/>
      </w:tblGrid>
      <w:tr w:rsidR="00D42DC4" w14:paraId="7D524F54" w14:textId="77777777" w:rsidTr="003074FE">
        <w:tc>
          <w:tcPr>
            <w:tcW w:w="5000" w:type="pct"/>
            <w:shd w:val="clear" w:color="auto" w:fill="F8F8F8" w:themeFill="background2"/>
            <w:hideMark/>
          </w:tcPr>
          <w:p w14:paraId="2A684601" w14:textId="3779FD98" w:rsidR="00D42DC4" w:rsidRPr="00D42DC4" w:rsidRDefault="00D42DC4" w:rsidP="00315B3D">
            <w:pPr>
              <w:pStyle w:val="OutlineNumbered1"/>
              <w:tabs>
                <w:tab w:val="clear" w:pos="851"/>
                <w:tab w:val="num" w:pos="1135"/>
              </w:tabs>
              <w:ind w:left="1135" w:hanging="1134"/>
              <w:rPr>
                <w:b/>
                <w:bCs/>
              </w:rPr>
            </w:pPr>
            <w:r w:rsidRPr="00D42DC4">
              <w:rPr>
                <w:b/>
                <w:bCs/>
              </w:rPr>
              <w:t xml:space="preserve">The Government should </w:t>
            </w:r>
            <w:proofErr w:type="gramStart"/>
            <w:r w:rsidRPr="00D42DC4">
              <w:rPr>
                <w:b/>
                <w:bCs/>
              </w:rPr>
              <w:t>give further consideration to</w:t>
            </w:r>
            <w:proofErr w:type="gramEnd"/>
            <w:r w:rsidRPr="00D42DC4">
              <w:rPr>
                <w:b/>
                <w:bCs/>
              </w:rPr>
              <w:t xml:space="preserve"> requiring auditors to comply with relevant ethical standards and for compliance to be appropriately enforced through appropriate legislation.</w:t>
            </w:r>
          </w:p>
        </w:tc>
      </w:tr>
    </w:tbl>
    <w:p w14:paraId="1130808C" w14:textId="77777777" w:rsidR="00DB57EC" w:rsidRDefault="00DB57EC" w:rsidP="00CC2883">
      <w:r>
        <w:t>This should include</w:t>
      </w:r>
      <w:r w:rsidRPr="0020702F">
        <w:t xml:space="preserve"> consideration as to whether</w:t>
      </w:r>
      <w:r>
        <w:t xml:space="preserve"> ethical standards are set by an independent statutory body (</w:t>
      </w:r>
      <w:r w:rsidRPr="0020702F">
        <w:t>consistent with the AASB and AUASB)</w:t>
      </w:r>
      <w:r>
        <w:t>.</w:t>
      </w:r>
      <w:r w:rsidRPr="0020702F">
        <w:t xml:space="preserve"> </w:t>
      </w:r>
      <w:r>
        <w:t>This could help address any perceived conflict of interest.</w:t>
      </w:r>
      <w:r w:rsidRPr="001E69C0">
        <w:t xml:space="preserve"> </w:t>
      </w:r>
      <w:r>
        <w:t>Consideration should also be given whether ASIC would be the most appropriate Government body to undertake the enforcement role.</w:t>
      </w:r>
    </w:p>
    <w:tbl>
      <w:tblPr>
        <w:tblW w:w="5000" w:type="pct"/>
        <w:shd w:val="clear" w:color="auto" w:fill="F8F8F8" w:themeFill="background2"/>
        <w:tblCellMar>
          <w:top w:w="284" w:type="dxa"/>
          <w:left w:w="284" w:type="dxa"/>
          <w:bottom w:w="284" w:type="dxa"/>
          <w:right w:w="284" w:type="dxa"/>
        </w:tblCellMar>
        <w:tblLook w:val="0600" w:firstRow="0" w:lastRow="0" w:firstColumn="0" w:lastColumn="0" w:noHBand="1" w:noVBand="1"/>
      </w:tblPr>
      <w:tblGrid>
        <w:gridCol w:w="9026"/>
      </w:tblGrid>
      <w:tr w:rsidR="00D42DC4" w14:paraId="0D31D8A5" w14:textId="77777777" w:rsidTr="003074FE">
        <w:tc>
          <w:tcPr>
            <w:tcW w:w="5000" w:type="pct"/>
            <w:shd w:val="clear" w:color="auto" w:fill="F8F8F8" w:themeFill="background2"/>
            <w:hideMark/>
          </w:tcPr>
          <w:p w14:paraId="5A125ACA" w14:textId="282D2EF7" w:rsidR="00D42DC4" w:rsidRPr="00227134" w:rsidRDefault="00D42DC4" w:rsidP="00315B3D">
            <w:pPr>
              <w:pStyle w:val="OutlineNumbered1"/>
              <w:tabs>
                <w:tab w:val="clear" w:pos="851"/>
                <w:tab w:val="num" w:pos="1135"/>
              </w:tabs>
              <w:ind w:left="1135" w:hanging="1135"/>
              <w:rPr>
                <w:b/>
                <w:bCs/>
              </w:rPr>
            </w:pPr>
            <w:r w:rsidRPr="00227134">
              <w:rPr>
                <w:b/>
                <w:bCs/>
              </w:rPr>
              <w:t>The Government should give further holistic consideration, in consultation with the PABs, CADB and ASIC, to the PAB</w:t>
            </w:r>
            <w:r w:rsidR="00EB0779">
              <w:rPr>
                <w:b/>
                <w:bCs/>
              </w:rPr>
              <w:t>’</w:t>
            </w:r>
            <w:r w:rsidRPr="00227134">
              <w:rPr>
                <w:b/>
                <w:bCs/>
              </w:rPr>
              <w:t xml:space="preserve">s investigatory and disciplinary processes and whether they should be undertaken by a single independent body. </w:t>
            </w:r>
          </w:p>
        </w:tc>
      </w:tr>
    </w:tbl>
    <w:p w14:paraId="33C21C3C" w14:textId="3946D1AB" w:rsidR="00227134" w:rsidRPr="003074FE" w:rsidRDefault="00530D06" w:rsidP="00530D06">
      <w:r w:rsidRPr="00530D06">
        <w:t>This would further manage perceived conflicts of interest and should include consideration of the PABs being required to refer auditors to the CADB when there appears there may be a failure to comply with s 1280(c) (fit and proper person) of the Corporations Act.</w:t>
      </w:r>
    </w:p>
    <w:tbl>
      <w:tblPr>
        <w:tblW w:w="5000" w:type="pct"/>
        <w:shd w:val="clear" w:color="auto" w:fill="F8F8F8" w:themeFill="background2"/>
        <w:tblCellMar>
          <w:top w:w="284" w:type="dxa"/>
          <w:left w:w="284" w:type="dxa"/>
          <w:bottom w:w="284" w:type="dxa"/>
          <w:right w:w="284" w:type="dxa"/>
        </w:tblCellMar>
        <w:tblLook w:val="0600" w:firstRow="0" w:lastRow="0" w:firstColumn="0" w:lastColumn="0" w:noHBand="1" w:noVBand="1"/>
      </w:tblPr>
      <w:tblGrid>
        <w:gridCol w:w="9026"/>
      </w:tblGrid>
      <w:tr w:rsidR="00227134" w14:paraId="3B052F85" w14:textId="77777777" w:rsidTr="003074FE">
        <w:tc>
          <w:tcPr>
            <w:tcW w:w="5000" w:type="pct"/>
            <w:shd w:val="clear" w:color="auto" w:fill="F8F8F8" w:themeFill="background2"/>
            <w:hideMark/>
          </w:tcPr>
          <w:p w14:paraId="42382B7F" w14:textId="77777777" w:rsidR="00227134" w:rsidRPr="00227134" w:rsidRDefault="00227134" w:rsidP="00315B3D">
            <w:pPr>
              <w:pStyle w:val="OutlineNumbered1"/>
              <w:tabs>
                <w:tab w:val="clear" w:pos="851"/>
                <w:tab w:val="num" w:pos="1135"/>
              </w:tabs>
              <w:ind w:left="1135" w:hanging="1135"/>
              <w:rPr>
                <w:b/>
                <w:bCs/>
              </w:rPr>
            </w:pPr>
            <w:r w:rsidRPr="00227134">
              <w:rPr>
                <w:b/>
                <w:bCs/>
              </w:rPr>
              <w:t>In relation to information sharing, the Government should consider the need for a holistic review to understand if there is a need for legislative reform to:</w:t>
            </w:r>
          </w:p>
          <w:p w14:paraId="7FE98D8F" w14:textId="49A87DB7" w:rsidR="00227134" w:rsidRPr="002070AD" w:rsidRDefault="00227134" w:rsidP="00227134">
            <w:pPr>
              <w:pStyle w:val="OutlineNumbered2"/>
            </w:pPr>
            <w:r w:rsidRPr="002070AD">
              <w:t>Allow regulatory bodies (e.g., ASIC, ATO) and the PABs to communicate with each other when they become aware of matters of non</w:t>
            </w:r>
            <w:r w:rsidR="00EB0779">
              <w:noBreakHyphen/>
            </w:r>
            <w:r w:rsidRPr="002070AD">
              <w:t>compliance with legislation</w:t>
            </w:r>
            <w:r>
              <w:t xml:space="preserve"> (except clearly minor)</w:t>
            </w:r>
            <w:r w:rsidRPr="002070AD">
              <w:t>, auditing standards and ethical standards.</w:t>
            </w:r>
          </w:p>
          <w:p w14:paraId="3DE8B2C4" w14:textId="6D6D0895" w:rsidR="00227134" w:rsidRPr="004930A5" w:rsidRDefault="00227134" w:rsidP="00227134">
            <w:pPr>
              <w:pStyle w:val="OutlineNumbered2"/>
            </w:pPr>
            <w:r w:rsidRPr="002070AD">
              <w:t xml:space="preserve">Require audit firms to report identified </w:t>
            </w:r>
            <w:r>
              <w:t>(except for clearly minor)</w:t>
            </w:r>
            <w:r w:rsidRPr="002070AD">
              <w:t xml:space="preserve"> </w:t>
            </w:r>
            <w:r>
              <w:t>non</w:t>
            </w:r>
            <w:r w:rsidR="00EB0779">
              <w:noBreakHyphen/>
            </w:r>
            <w:r>
              <w:t xml:space="preserve">compliance </w:t>
            </w:r>
            <w:r w:rsidRPr="002070AD">
              <w:t>with auditing and ethical standards to ASIC, PABs (if members), and other relevant regulatory bodies (e.g., Tax Practitioners Board, ATO).</w:t>
            </w:r>
          </w:p>
          <w:p w14:paraId="58B536D3" w14:textId="163727CE" w:rsidR="00227134" w:rsidRDefault="00227134" w:rsidP="00227134">
            <w:pPr>
              <w:pStyle w:val="OutlineNumbered2"/>
            </w:pPr>
            <w:r>
              <w:t>Streamline reporting to different bodies including regulatory bodies.</w:t>
            </w:r>
          </w:p>
        </w:tc>
      </w:tr>
    </w:tbl>
    <w:p w14:paraId="79C08739" w14:textId="1B159E5F" w:rsidR="00DB57EC" w:rsidRPr="00884820" w:rsidRDefault="00DB57EC" w:rsidP="00530D06">
      <w:r>
        <w:t>Such reforms may reduce the risk of breaches to</w:t>
      </w:r>
      <w:r w:rsidRPr="004B747B">
        <w:t xml:space="preserve"> PABs</w:t>
      </w:r>
      <w:r w:rsidR="00EB0779">
        <w:t>’</w:t>
      </w:r>
      <w:r w:rsidRPr="004B747B">
        <w:t xml:space="preserve"> by</w:t>
      </w:r>
      <w:r w:rsidR="00EB0779">
        <w:noBreakHyphen/>
      </w:r>
      <w:r w:rsidRPr="004B747B">
        <w:t>laws or legislation such as privacy laws.</w:t>
      </w:r>
      <w:r>
        <w:t xml:space="preserve"> Appropriate communication between relevant regulatory bodies would also assist with resolving matters more quickly and effectively. </w:t>
      </w:r>
    </w:p>
    <w:p w14:paraId="6A1082A7" w14:textId="77777777" w:rsidR="00DB57EC" w:rsidRPr="002A7B6A" w:rsidRDefault="00DB57EC" w:rsidP="005129E7">
      <w:pPr>
        <w:pStyle w:val="Heading2"/>
      </w:pPr>
      <w:bookmarkStart w:id="14" w:name="_Toc149551267"/>
      <w:r w:rsidRPr="002A7B6A">
        <w:t>Other observations</w:t>
      </w:r>
      <w:bookmarkEnd w:id="14"/>
    </w:p>
    <w:p w14:paraId="16711EB5" w14:textId="77777777" w:rsidR="00DB57EC" w:rsidRPr="00884820" w:rsidRDefault="00DB57EC" w:rsidP="005129E7">
      <w:r w:rsidRPr="00884820">
        <w:t>During the performance of this review the FRC observed other matters which we consider could be addressed to improve oversight of audit quality and compliance with ethical standards.</w:t>
      </w:r>
    </w:p>
    <w:p w14:paraId="0CB3B7A9" w14:textId="0E3FE628" w:rsidR="00DB57EC" w:rsidRPr="00884820" w:rsidRDefault="00DB57EC" w:rsidP="005129E7">
      <w:pPr>
        <w:pStyle w:val="Bullet"/>
      </w:pPr>
      <w:r w:rsidRPr="00884820">
        <w:t>Large audit firm</w:t>
      </w:r>
      <w:r>
        <w:t>s</w:t>
      </w:r>
      <w:r w:rsidR="00EB0779">
        <w:t>’</w:t>
      </w:r>
      <w:r w:rsidRPr="00884820">
        <w:t xml:space="preserve"> corporate governance:</w:t>
      </w:r>
    </w:p>
    <w:p w14:paraId="659980D2" w14:textId="77777777" w:rsidR="00DB57EC" w:rsidRPr="00884820" w:rsidRDefault="00DB57EC" w:rsidP="005129E7">
      <w:pPr>
        <w:pStyle w:val="Dash"/>
      </w:pPr>
      <w:r w:rsidRPr="00884820">
        <w:t xml:space="preserve">Large audit </w:t>
      </w:r>
      <w:r w:rsidRPr="00665FE6">
        <w:t>firms should</w:t>
      </w:r>
      <w:r w:rsidRPr="00884820">
        <w:t xml:space="preserve"> be subject to </w:t>
      </w:r>
      <w:r>
        <w:t xml:space="preserve">annual </w:t>
      </w:r>
      <w:r w:rsidRPr="00884820">
        <w:t>reporting</w:t>
      </w:r>
      <w:r>
        <w:t xml:space="preserve"> and audit</w:t>
      </w:r>
      <w:r w:rsidRPr="00884820">
        <w:t xml:space="preserve"> requirements </w:t>
      </w:r>
      <w:proofErr w:type="gramStart"/>
      <w:r>
        <w:t>similar to</w:t>
      </w:r>
      <w:proofErr w:type="gramEnd"/>
      <w:r>
        <w:t xml:space="preserve"> those for listed companies under Chapter 2M of the </w:t>
      </w:r>
      <w:r w:rsidRPr="00E77CE4">
        <w:rPr>
          <w:i/>
          <w:iCs/>
        </w:rPr>
        <w:t>Corporations Act 2</w:t>
      </w:r>
      <w:r>
        <w:rPr>
          <w:i/>
          <w:iCs/>
        </w:rPr>
        <w:t>0</w:t>
      </w:r>
      <w:r w:rsidRPr="00E77CE4">
        <w:rPr>
          <w:i/>
          <w:iCs/>
        </w:rPr>
        <w:t>01</w:t>
      </w:r>
      <w:r>
        <w:t xml:space="preserve"> (</w:t>
      </w:r>
      <w:r w:rsidRPr="00884820">
        <w:t>Corporations Act</w:t>
      </w:r>
      <w:r>
        <w:t xml:space="preserve">) and the ASX Corporate Governance Principles. This would lead </w:t>
      </w:r>
      <w:r w:rsidRPr="00884820">
        <w:t xml:space="preserve">to more transparency on their financial results, remuneration practices and governance structures. </w:t>
      </w:r>
    </w:p>
    <w:p w14:paraId="4CEFDB7E" w14:textId="696CAFE0" w:rsidR="0090676C" w:rsidRDefault="00DB57EC" w:rsidP="005129E7">
      <w:pPr>
        <w:pStyle w:val="Dash"/>
      </w:pPr>
      <w:r w:rsidRPr="00884820">
        <w:t xml:space="preserve">The large audit firms to review their corporate governance practices as well as ensuring there </w:t>
      </w:r>
      <w:r>
        <w:t>are</w:t>
      </w:r>
      <w:r w:rsidRPr="00884820">
        <w:t xml:space="preserve"> appropriate</w:t>
      </w:r>
      <w:r>
        <w:t xml:space="preserve"> and sufficient</w:t>
      </w:r>
      <w:r w:rsidRPr="00884820">
        <w:t xml:space="preserve"> </w:t>
      </w:r>
      <w:r>
        <w:t xml:space="preserve">(e.g., majority) </w:t>
      </w:r>
      <w:r w:rsidRPr="00884820">
        <w:t>independent non</w:t>
      </w:r>
      <w:r w:rsidR="00EB0779">
        <w:noBreakHyphen/>
      </w:r>
      <w:r w:rsidRPr="00884820">
        <w:t xml:space="preserve">executive personnel allocated to oversight roles including the governing body of the audit division and </w:t>
      </w:r>
      <w:r>
        <w:t xml:space="preserve">of the </w:t>
      </w:r>
      <w:r w:rsidRPr="00884820">
        <w:t>firm.</w:t>
      </w:r>
      <w:r w:rsidR="0090676C">
        <w:br w:type="page"/>
      </w:r>
    </w:p>
    <w:p w14:paraId="28C45D7F" w14:textId="77777777" w:rsidR="00DB57EC" w:rsidRPr="00884820" w:rsidRDefault="00DB57EC" w:rsidP="005129E7">
      <w:pPr>
        <w:pStyle w:val="Bullet"/>
      </w:pPr>
      <w:r w:rsidRPr="00884820">
        <w:t>Monitoring of the quality of work conducted by</w:t>
      </w:r>
      <w:r>
        <w:t xml:space="preserve"> all auditors and</w:t>
      </w:r>
      <w:r w:rsidRPr="00884820">
        <w:t xml:space="preserve"> other accountants</w:t>
      </w:r>
      <w:r>
        <w:t>:</w:t>
      </w:r>
    </w:p>
    <w:p w14:paraId="10439A1F" w14:textId="77777777" w:rsidR="00DB57EC" w:rsidRDefault="00DB57EC" w:rsidP="005129E7">
      <w:pPr>
        <w:pStyle w:val="Dash"/>
      </w:pPr>
      <w:r>
        <w:t xml:space="preserve">Not all practicing auditors are required to be members of a PAB, and other than </w:t>
      </w:r>
      <w:r w:rsidRPr="00884820">
        <w:t xml:space="preserve">RCAs and </w:t>
      </w:r>
      <w:r>
        <w:t>SMSF a</w:t>
      </w:r>
      <w:r w:rsidRPr="00884820">
        <w:t>uditors</w:t>
      </w:r>
      <w:r>
        <w:t>,</w:t>
      </w:r>
      <w:r w:rsidRPr="00884820">
        <w:t xml:space="preserve"> are </w:t>
      </w:r>
      <w:r>
        <w:t xml:space="preserve">not </w:t>
      </w:r>
      <w:r w:rsidRPr="00884820">
        <w:t>subject to statutory oversight</w:t>
      </w:r>
      <w:r>
        <w:t>.</w:t>
      </w:r>
    </w:p>
    <w:p w14:paraId="0C7C4798" w14:textId="6701436C" w:rsidR="00DB57EC" w:rsidRDefault="00DB57EC" w:rsidP="005129E7">
      <w:pPr>
        <w:pStyle w:val="Dash"/>
      </w:pPr>
      <w:r>
        <w:t>Not all</w:t>
      </w:r>
      <w:r w:rsidRPr="00884820">
        <w:t xml:space="preserve"> professional accountants ar</w:t>
      </w:r>
      <w:r>
        <w:t xml:space="preserve">e </w:t>
      </w:r>
      <w:r w:rsidRPr="00884820">
        <w:t>required to be members of a PAB, and other than liquidators and tax practitioners</w:t>
      </w:r>
      <w:r w:rsidR="00675CEA">
        <w:rPr>
          <w:rFonts w:ascii="ZWAdobeF" w:hAnsi="ZWAdobeF" w:cs="ZWAdobeF"/>
          <w:color w:val="auto"/>
          <w:sz w:val="2"/>
          <w:szCs w:val="2"/>
        </w:rPr>
        <w:t>12F</w:t>
      </w:r>
      <w:r w:rsidRPr="00A2661C">
        <w:rPr>
          <w:vertAlign w:val="superscript"/>
        </w:rPr>
        <w:footnoteReference w:id="13"/>
      </w:r>
      <w:r w:rsidRPr="00884820">
        <w:t xml:space="preserve"> are not subject to statutory oversight. </w:t>
      </w:r>
    </w:p>
    <w:p w14:paraId="16D34BC4" w14:textId="77777777" w:rsidR="00DB57EC" w:rsidRPr="00D907F0" w:rsidRDefault="00DB57EC" w:rsidP="005129E7">
      <w:pPr>
        <w:pStyle w:val="Dash"/>
      </w:pPr>
      <w:r w:rsidRPr="00884820">
        <w:t xml:space="preserve">Therefore, there are parts of the profession where there is insufficient monitoring of the quality of their work. </w:t>
      </w:r>
      <w:r>
        <w:t>While our recommendations cover oversight of all auditors, further consideration is required as to how this can best be achieved, as well as how other accountants would be subject to oversight.</w:t>
      </w:r>
    </w:p>
    <w:p w14:paraId="430E64DC" w14:textId="77777777" w:rsidR="00DB57EC" w:rsidRPr="00884820" w:rsidRDefault="00DB57EC" w:rsidP="005129E7">
      <w:pPr>
        <w:pStyle w:val="Bullet"/>
      </w:pPr>
      <w:r w:rsidRPr="00884820">
        <w:t>Number of RCAs and competition in the audit market</w:t>
      </w:r>
      <w:r>
        <w:t>:</w:t>
      </w:r>
      <w:r w:rsidRPr="00884820">
        <w:t xml:space="preserve"> </w:t>
      </w:r>
    </w:p>
    <w:p w14:paraId="1A4030C7" w14:textId="30138FE0" w:rsidR="00DB57EC" w:rsidRPr="00884820" w:rsidRDefault="00DB57EC" w:rsidP="005129E7">
      <w:pPr>
        <w:pStyle w:val="Dash"/>
        <w:rPr>
          <w:szCs w:val="24"/>
        </w:rPr>
      </w:pPr>
      <w:r w:rsidRPr="005129E7">
        <w:rPr>
          <w:rStyle w:val="DashChar"/>
        </w:rPr>
        <w:t>From our discussions with the audit firms and PABs we are aware that attracting and retaining talent in the audit profession is challenging. There has also been a fall in the number of RCAs in recent years.</w:t>
      </w:r>
      <w:r w:rsidR="00675CEA">
        <w:rPr>
          <w:rStyle w:val="DashChar"/>
          <w:rFonts w:ascii="ZWAdobeF" w:hAnsi="ZWAdobeF" w:cs="ZWAdobeF"/>
          <w:color w:val="auto"/>
          <w:sz w:val="2"/>
          <w:szCs w:val="2"/>
        </w:rPr>
        <w:t>13F</w:t>
      </w:r>
      <w:r w:rsidRPr="007C0344">
        <w:rPr>
          <w:rStyle w:val="DashChar"/>
          <w:vertAlign w:val="superscript"/>
        </w:rPr>
        <w:footnoteReference w:id="14"/>
      </w:r>
      <w:r w:rsidRPr="005129E7">
        <w:rPr>
          <w:rStyle w:val="DashChar"/>
        </w:rPr>
        <w:t xml:space="preserve"> The FRC are not aware whether this is creating issues with supply of auditors or not. The FRC note that there should be consideration as to whether it is </w:t>
      </w:r>
      <w:r>
        <w:rPr>
          <w:szCs w:val="24"/>
        </w:rPr>
        <w:t xml:space="preserve">necessary to conduct a review </w:t>
      </w:r>
      <w:r w:rsidRPr="00884820">
        <w:rPr>
          <w:szCs w:val="24"/>
        </w:rPr>
        <w:t xml:space="preserve">to determine if the number of RCAs are adequate, and </w:t>
      </w:r>
      <w:r>
        <w:rPr>
          <w:szCs w:val="24"/>
        </w:rPr>
        <w:t>whether</w:t>
      </w:r>
      <w:r w:rsidRPr="00884820">
        <w:rPr>
          <w:szCs w:val="24"/>
        </w:rPr>
        <w:t xml:space="preserve"> there need to be strategies to increase the supply of auditors</w:t>
      </w:r>
      <w:r>
        <w:rPr>
          <w:szCs w:val="24"/>
        </w:rPr>
        <w:t xml:space="preserve"> or reduce the demand for RCAs</w:t>
      </w:r>
      <w:r w:rsidRPr="00884820">
        <w:rPr>
          <w:szCs w:val="24"/>
        </w:rPr>
        <w:t xml:space="preserve">. This should also be considered as </w:t>
      </w:r>
      <w:r>
        <w:rPr>
          <w:szCs w:val="24"/>
        </w:rPr>
        <w:t>Australia</w:t>
      </w:r>
      <w:r w:rsidRPr="00884820">
        <w:rPr>
          <w:szCs w:val="24"/>
        </w:rPr>
        <w:t xml:space="preserve"> prepare</w:t>
      </w:r>
      <w:r>
        <w:rPr>
          <w:szCs w:val="24"/>
        </w:rPr>
        <w:t>s</w:t>
      </w:r>
      <w:r w:rsidRPr="00884820">
        <w:rPr>
          <w:szCs w:val="24"/>
        </w:rPr>
        <w:t xml:space="preserve"> for assurance over sustainability reporting. </w:t>
      </w:r>
    </w:p>
    <w:p w14:paraId="2B9C0881" w14:textId="5E622CC8" w:rsidR="00DB57EC" w:rsidRDefault="00DB57EC" w:rsidP="005129E7">
      <w:pPr>
        <w:pStyle w:val="Dash"/>
      </w:pPr>
      <w:r w:rsidRPr="00884820">
        <w:rPr>
          <w:szCs w:val="24"/>
        </w:rPr>
        <w:t xml:space="preserve">The audit market is highly concentrated with the largest </w:t>
      </w:r>
      <w:r w:rsidR="00B50466">
        <w:rPr>
          <w:szCs w:val="24"/>
        </w:rPr>
        <w:t>4</w:t>
      </w:r>
      <w:r w:rsidRPr="00884820">
        <w:rPr>
          <w:szCs w:val="24"/>
        </w:rPr>
        <w:t xml:space="preserve"> firms auditing 95.50</w:t>
      </w:r>
      <w:r w:rsidR="007C0344">
        <w:rPr>
          <w:szCs w:val="24"/>
        </w:rPr>
        <w:t> per cent</w:t>
      </w:r>
      <w:r w:rsidRPr="00884820">
        <w:rPr>
          <w:szCs w:val="24"/>
        </w:rPr>
        <w:t xml:space="preserve"> of the </w:t>
      </w:r>
      <w:r w:rsidRPr="005129E7">
        <w:rPr>
          <w:rStyle w:val="DashChar"/>
        </w:rPr>
        <w:t>largest 200 companies by assets.</w:t>
      </w:r>
      <w:r w:rsidR="00675CEA">
        <w:rPr>
          <w:rStyle w:val="DashChar"/>
          <w:rFonts w:ascii="ZWAdobeF" w:hAnsi="ZWAdobeF" w:cs="ZWAdobeF"/>
          <w:color w:val="auto"/>
          <w:sz w:val="2"/>
          <w:szCs w:val="2"/>
        </w:rPr>
        <w:t>14F</w:t>
      </w:r>
      <w:r w:rsidRPr="007C0344">
        <w:rPr>
          <w:rStyle w:val="DashChar"/>
          <w:vertAlign w:val="superscript"/>
        </w:rPr>
        <w:footnoteReference w:id="15"/>
      </w:r>
      <w:r w:rsidRPr="005129E7">
        <w:rPr>
          <w:rStyle w:val="DashChar"/>
        </w:rPr>
        <w:t xml:space="preserve"> In our research on their perceptions of audit quality discussed above, some ACCs commented that there is limited choice in appointing an audit firm as they require auditors with global scale and multi</w:t>
      </w:r>
      <w:r w:rsidR="00EB0779">
        <w:rPr>
          <w:rStyle w:val="DashChar"/>
        </w:rPr>
        <w:noBreakHyphen/>
      </w:r>
      <w:r w:rsidRPr="005129E7">
        <w:rPr>
          <w:rStyle w:val="DashChar"/>
        </w:rPr>
        <w:t>skills. The FRC note that there should be consideration as to whether it is necessary to conduct a review to determine if this is an issue that needs addressing. There should be consideration as to whether there may be barriers to greater competition.</w:t>
      </w:r>
      <w:r>
        <w:br w:type="page"/>
      </w:r>
    </w:p>
    <w:p w14:paraId="09FE7EFF" w14:textId="096BB606" w:rsidR="00DB57EC" w:rsidRPr="005129E7" w:rsidRDefault="00DB57EC" w:rsidP="005129E7">
      <w:pPr>
        <w:pStyle w:val="Heading1"/>
      </w:pPr>
      <w:bookmarkStart w:id="15" w:name="_Toc149310320"/>
      <w:bookmarkStart w:id="16" w:name="_Toc149551268"/>
      <w:r w:rsidRPr="005129E7">
        <w:t>Overview of Framework</w:t>
      </w:r>
      <w:bookmarkEnd w:id="15"/>
      <w:bookmarkEnd w:id="16"/>
    </w:p>
    <w:p w14:paraId="035ABF1A" w14:textId="00F4CF99" w:rsidR="00DB57EC" w:rsidRPr="00884820" w:rsidRDefault="00DB57EC" w:rsidP="007C0344">
      <w:r w:rsidRPr="00884820">
        <w:t>Australia</w:t>
      </w:r>
      <w:r w:rsidR="00EB0779">
        <w:t>’</w:t>
      </w:r>
      <w:r w:rsidRPr="00884820">
        <w:t xml:space="preserve">s legislative framework for oversight of RCAs and audit quality is mainly set out in the </w:t>
      </w:r>
      <w:r w:rsidRPr="00A2661C">
        <w:t>Corporations Act</w:t>
      </w:r>
      <w:r w:rsidR="00675CEA">
        <w:rPr>
          <w:rFonts w:ascii="ZWAdobeF" w:hAnsi="ZWAdobeF" w:cs="ZWAdobeF"/>
          <w:color w:val="auto"/>
          <w:sz w:val="2"/>
          <w:szCs w:val="2"/>
        </w:rPr>
        <w:t>15F</w:t>
      </w:r>
      <w:r w:rsidRPr="007C0344">
        <w:rPr>
          <w:vertAlign w:val="superscript"/>
        </w:rPr>
        <w:footnoteReference w:id="16"/>
      </w:r>
      <w:r w:rsidRPr="00A2661C">
        <w:t xml:space="preserve"> </w:t>
      </w:r>
      <w:r w:rsidRPr="00884820">
        <w:t>as follows:</w:t>
      </w:r>
    </w:p>
    <w:p w14:paraId="4B620057" w14:textId="77777777" w:rsidR="00DB57EC" w:rsidRPr="00884820" w:rsidRDefault="00DB57EC" w:rsidP="005129E7">
      <w:pPr>
        <w:pStyle w:val="Bullet"/>
      </w:pPr>
      <w:r w:rsidRPr="00884820">
        <w:t xml:space="preserve">Auditors of entities required to report under the Corporations Act must be registered with ASIC (i.e., RCAs and Authorised Audit Companies). </w:t>
      </w:r>
    </w:p>
    <w:p w14:paraId="09B3F6C8" w14:textId="77777777" w:rsidR="00DB57EC" w:rsidRPr="00884820" w:rsidRDefault="00DB57EC" w:rsidP="005129E7">
      <w:pPr>
        <w:pStyle w:val="Bullet"/>
      </w:pPr>
      <w:r w:rsidRPr="00884820">
        <w:t xml:space="preserve">Auditors of </w:t>
      </w:r>
      <w:r>
        <w:t>SMSF</w:t>
      </w:r>
      <w:r w:rsidRPr="00884820">
        <w:t xml:space="preserve"> are required to be registered with ASIC</w:t>
      </w:r>
      <w:r>
        <w:t>. The ATO</w:t>
      </w:r>
      <w:r w:rsidRPr="00884820">
        <w:t xml:space="preserve"> </w:t>
      </w:r>
      <w:r>
        <w:t xml:space="preserve">is responsible for surveillance of SMSF auditors, and ASIC is responsible for determining whether auditors referred by the ATO should be deregistered or suspended. </w:t>
      </w:r>
    </w:p>
    <w:p w14:paraId="580EFCB8" w14:textId="77777777" w:rsidR="00DB57EC" w:rsidRPr="00884820" w:rsidRDefault="00DB57EC" w:rsidP="005129E7">
      <w:pPr>
        <w:pStyle w:val="Bullet"/>
      </w:pPr>
      <w:r w:rsidRPr="00884820">
        <w:t xml:space="preserve">ASIC has regulatory responsibility for surveillance, investigation, and enforcement of the financial reporting requirements and audit requirements of RCAs. </w:t>
      </w:r>
    </w:p>
    <w:p w14:paraId="5202032C" w14:textId="77777777" w:rsidR="00DB57EC" w:rsidRPr="00884820" w:rsidRDefault="00DB57EC" w:rsidP="005129E7">
      <w:pPr>
        <w:pStyle w:val="Bullet"/>
      </w:pPr>
      <w:r w:rsidRPr="00884820">
        <w:t>ASIC and APRA have powers to refer RCAs to the CADB who act as an expert independent disciplinary tribunal to consider applications for the cancellation or suspension of the registration of auditors.</w:t>
      </w:r>
    </w:p>
    <w:p w14:paraId="32409124" w14:textId="77777777" w:rsidR="00DB57EC" w:rsidRPr="00884820" w:rsidRDefault="00DB57EC" w:rsidP="005129E7">
      <w:pPr>
        <w:pStyle w:val="Bullet"/>
      </w:pPr>
      <w:r w:rsidRPr="00884820">
        <w:t xml:space="preserve">Auditors must comply with auditing standards issued by the AUASB which have force of law in the performance of an audit. </w:t>
      </w:r>
    </w:p>
    <w:p w14:paraId="7478AB67" w14:textId="3888E594" w:rsidR="00DB57EC" w:rsidRPr="005129E7" w:rsidRDefault="00DB57EC" w:rsidP="007C0344">
      <w:pPr>
        <w:pStyle w:val="Bullet"/>
      </w:pPr>
      <w:r w:rsidRPr="00884820">
        <w:t>The auditing standards require auditors</w:t>
      </w:r>
      <w:r w:rsidR="00675CEA">
        <w:rPr>
          <w:rFonts w:ascii="ZWAdobeF" w:hAnsi="ZWAdobeF" w:cs="ZWAdobeF"/>
          <w:color w:val="auto"/>
          <w:sz w:val="2"/>
          <w:szCs w:val="2"/>
        </w:rPr>
        <w:t>16F</w:t>
      </w:r>
      <w:r w:rsidRPr="007C0344">
        <w:rPr>
          <w:rStyle w:val="BulletChar"/>
          <w:vertAlign w:val="superscript"/>
        </w:rPr>
        <w:footnoteReference w:id="17"/>
      </w:r>
      <w:r w:rsidRPr="00884820">
        <w:t xml:space="preserve"> and firms who conduct audit engagements, to comply with the QMS and </w:t>
      </w:r>
      <w:r>
        <w:t xml:space="preserve">with </w:t>
      </w:r>
      <w:r w:rsidRPr="00884820">
        <w:t>ethical standards issued by the APESB</w:t>
      </w:r>
      <w:r>
        <w:t xml:space="preserve"> in the performance of an audit</w:t>
      </w:r>
      <w:r w:rsidRPr="00884820">
        <w:t>.</w:t>
      </w:r>
    </w:p>
    <w:p w14:paraId="49AE49FE" w14:textId="0FC39AED" w:rsidR="00DB57EC" w:rsidRPr="005129E7" w:rsidRDefault="00DB57EC" w:rsidP="00DB57EC">
      <w:r w:rsidRPr="00884820">
        <w:t xml:space="preserve">However, </w:t>
      </w:r>
      <w:r>
        <w:t>auditors</w:t>
      </w:r>
      <w:r w:rsidRPr="00884820">
        <w:t xml:space="preserve"> of entities not covered by the Corporations Act or the Superannuation Industry </w:t>
      </w:r>
      <w:r>
        <w:t>(</w:t>
      </w:r>
      <w:r w:rsidRPr="00884820">
        <w:t>Supervision Act</w:t>
      </w:r>
      <w:r>
        <w:t>) 1993</w:t>
      </w:r>
      <w:r w:rsidRPr="00884820">
        <w:t xml:space="preserve"> (SIS Act) are not subject to regulatory oversight by ASIC or other government regulators. </w:t>
      </w:r>
      <w:r>
        <w:t>In addition, not all auditors are required to be members of a PAB.</w:t>
      </w:r>
    </w:p>
    <w:p w14:paraId="3E5976D5" w14:textId="77777777" w:rsidR="00DB57EC" w:rsidRPr="00884820" w:rsidRDefault="00DB57EC" w:rsidP="005129E7">
      <w:r>
        <w:t>All</w:t>
      </w:r>
      <w:r w:rsidRPr="00884820">
        <w:t xml:space="preserve"> members of a PAB are required: </w:t>
      </w:r>
    </w:p>
    <w:p w14:paraId="09308FE4" w14:textId="4167466D" w:rsidR="00DB57EC" w:rsidRPr="00884820" w:rsidRDefault="00DB57EC" w:rsidP="005129E7">
      <w:pPr>
        <w:pStyle w:val="Bullet"/>
      </w:pPr>
      <w:r w:rsidRPr="00884820">
        <w:t>To have a CPP if they provide services to the public for reward</w:t>
      </w:r>
      <w:r w:rsidR="00675CEA">
        <w:rPr>
          <w:rFonts w:ascii="ZWAdobeF" w:hAnsi="ZWAdobeF" w:cs="ZWAdobeF"/>
          <w:color w:val="auto"/>
          <w:sz w:val="2"/>
          <w:szCs w:val="2"/>
        </w:rPr>
        <w:t>17F</w:t>
      </w:r>
      <w:r w:rsidRPr="00884820">
        <w:rPr>
          <w:vertAlign w:val="superscript"/>
        </w:rPr>
        <w:footnoteReference w:id="18"/>
      </w:r>
      <w:r>
        <w:t>.</w:t>
      </w:r>
      <w:r w:rsidRPr="00884820">
        <w:t xml:space="preserve"> This includes auditors of entities not required to report under the Corporations Act</w:t>
      </w:r>
      <w:r>
        <w:t>.</w:t>
      </w:r>
    </w:p>
    <w:p w14:paraId="270CCE62" w14:textId="77777777" w:rsidR="00DB57EC" w:rsidRPr="00884820" w:rsidRDefault="00DB57EC" w:rsidP="005129E7">
      <w:pPr>
        <w:pStyle w:val="Bullet"/>
      </w:pPr>
      <w:r w:rsidRPr="00884820">
        <w:t xml:space="preserve">To comply with ethical standards issued by the APESB. </w:t>
      </w:r>
    </w:p>
    <w:p w14:paraId="57E35761" w14:textId="681551EC" w:rsidR="00DB57EC" w:rsidRPr="005129E7" w:rsidRDefault="00DB57EC" w:rsidP="005129E7">
      <w:r w:rsidRPr="00884820">
        <w:t>The PABs also have programs to monitor their members</w:t>
      </w:r>
      <w:r w:rsidR="00EB0779">
        <w:t>’</w:t>
      </w:r>
      <w:r w:rsidRPr="00884820">
        <w:t xml:space="preserve"> compliance with </w:t>
      </w:r>
      <w:proofErr w:type="gramStart"/>
      <w:r>
        <w:t>their</w:t>
      </w:r>
      <w:proofErr w:type="gramEnd"/>
      <w:r>
        <w:t xml:space="preserve"> by</w:t>
      </w:r>
      <w:r w:rsidR="00EB0779">
        <w:noBreakHyphen/>
      </w:r>
      <w:r>
        <w:t xml:space="preserve">laws and the auditing and ethical </w:t>
      </w:r>
      <w:r w:rsidRPr="00884820">
        <w:t xml:space="preserve">standards. </w:t>
      </w:r>
      <w:r>
        <w:t>T</w:t>
      </w:r>
      <w:r w:rsidRPr="00884820">
        <w:t>he effectiveness of the PABs</w:t>
      </w:r>
      <w:r w:rsidR="00EB0779">
        <w:t>’</w:t>
      </w:r>
      <w:r w:rsidRPr="00884820">
        <w:t xml:space="preserve"> </w:t>
      </w:r>
      <w:r>
        <w:t>q</w:t>
      </w:r>
      <w:r w:rsidRPr="00884820">
        <w:t xml:space="preserve">uality </w:t>
      </w:r>
      <w:r>
        <w:t>r</w:t>
      </w:r>
      <w:r w:rsidRPr="00884820">
        <w:t xml:space="preserve">eview </w:t>
      </w:r>
      <w:r>
        <w:t>p</w:t>
      </w:r>
      <w:r w:rsidRPr="00884820">
        <w:t>rograms to monitor their members is not overseen by an independent body.</w:t>
      </w:r>
    </w:p>
    <w:p w14:paraId="775ED0DD" w14:textId="2DD7F4D6" w:rsidR="00C55E74" w:rsidRDefault="00DB57EC" w:rsidP="00DB57EC">
      <w:pPr>
        <w:rPr>
          <w:szCs w:val="24"/>
        </w:rPr>
      </w:pPr>
      <w:proofErr w:type="gramStart"/>
      <w:r>
        <w:rPr>
          <w:szCs w:val="24"/>
        </w:rPr>
        <w:t>Similar to</w:t>
      </w:r>
      <w:proofErr w:type="gramEnd"/>
      <w:r>
        <w:rPr>
          <w:szCs w:val="24"/>
        </w:rPr>
        <w:t xml:space="preserve"> auditors, not all a</w:t>
      </w:r>
      <w:r w:rsidRPr="00884820">
        <w:rPr>
          <w:szCs w:val="24"/>
        </w:rPr>
        <w:t>ccountants</w:t>
      </w:r>
      <w:r>
        <w:rPr>
          <w:szCs w:val="24"/>
        </w:rPr>
        <w:t xml:space="preserve"> are required to be registered with a government agency or a regulator, and t</w:t>
      </w:r>
      <w:r w:rsidRPr="00884820">
        <w:rPr>
          <w:szCs w:val="24"/>
        </w:rPr>
        <w:t>here is no requirement to be a member of a PAB.</w:t>
      </w:r>
      <w:r>
        <w:rPr>
          <w:szCs w:val="24"/>
        </w:rPr>
        <w:t xml:space="preserve"> </w:t>
      </w:r>
    </w:p>
    <w:p w14:paraId="50D890B4" w14:textId="77777777" w:rsidR="00C55E74" w:rsidRDefault="00C55E74">
      <w:pPr>
        <w:spacing w:before="0" w:after="160" w:line="259" w:lineRule="auto"/>
        <w:rPr>
          <w:szCs w:val="24"/>
        </w:rPr>
      </w:pPr>
      <w:r>
        <w:rPr>
          <w:szCs w:val="24"/>
        </w:rPr>
        <w:br w:type="page"/>
      </w:r>
    </w:p>
    <w:p w14:paraId="383112F4" w14:textId="6CE2DE17" w:rsidR="00DB57EC" w:rsidRPr="005129E7" w:rsidRDefault="00DB57EC" w:rsidP="005129E7">
      <w:pPr>
        <w:pStyle w:val="Heading1"/>
      </w:pPr>
      <w:bookmarkStart w:id="17" w:name="_Toc143799225"/>
      <w:bookmarkStart w:id="18" w:name="_Toc149310321"/>
      <w:bookmarkStart w:id="19" w:name="_Toc149551269"/>
      <w:r w:rsidRPr="005129E7">
        <w:t xml:space="preserve">Education and Registration </w:t>
      </w:r>
      <w:r w:rsidR="006D19E0">
        <w:t>o</w:t>
      </w:r>
      <w:r w:rsidRPr="005129E7">
        <w:t>f Accountants and Auditors</w:t>
      </w:r>
      <w:bookmarkEnd w:id="17"/>
      <w:bookmarkEnd w:id="18"/>
      <w:bookmarkEnd w:id="19"/>
    </w:p>
    <w:p w14:paraId="4DB0F41B" w14:textId="04255BEA" w:rsidR="00DB57EC" w:rsidRPr="00884820" w:rsidRDefault="00DB57EC" w:rsidP="005129E7">
      <w:r w:rsidRPr="00884820">
        <w:t xml:space="preserve">Each PAB has eligibility </w:t>
      </w:r>
      <w:r>
        <w:t xml:space="preserve">criteria </w:t>
      </w:r>
      <w:r w:rsidRPr="00884820">
        <w:t>for admittance to membership being an accredited degree or qualification plus successfully completing their specific post</w:t>
      </w:r>
      <w:r w:rsidR="00EB0779">
        <w:noBreakHyphen/>
      </w:r>
      <w:r w:rsidRPr="00884820">
        <w:t xml:space="preserve">graduate programs and relevant work experience. </w:t>
      </w:r>
    </w:p>
    <w:p w14:paraId="21A83EFF" w14:textId="607DB6A7" w:rsidR="00DB57EC" w:rsidRPr="00884820" w:rsidRDefault="00DB57EC" w:rsidP="00DB57EC">
      <w:pPr>
        <w:rPr>
          <w:szCs w:val="24"/>
        </w:rPr>
      </w:pPr>
      <w:r>
        <w:rPr>
          <w:szCs w:val="24"/>
        </w:rPr>
        <w:t>The</w:t>
      </w:r>
      <w:r w:rsidRPr="00884820">
        <w:rPr>
          <w:szCs w:val="24"/>
        </w:rPr>
        <w:t xml:space="preserve"> PABs require all members who provide services to the public to complete a Public Practice Program</w:t>
      </w:r>
      <w:r>
        <w:rPr>
          <w:szCs w:val="24"/>
        </w:rPr>
        <w:t xml:space="preserve">, or equivalent, </w:t>
      </w:r>
      <w:r w:rsidRPr="00884820">
        <w:rPr>
          <w:szCs w:val="24"/>
        </w:rPr>
        <w:t xml:space="preserve">which includes modules covering ethical and regulatory obligations. Once a member has a CPP there are ongoing obligations to </w:t>
      </w:r>
      <w:r>
        <w:rPr>
          <w:szCs w:val="24"/>
        </w:rPr>
        <w:t>maintain appropriate, sufficient</w:t>
      </w:r>
      <w:r w:rsidRPr="00884820">
        <w:rPr>
          <w:szCs w:val="24"/>
        </w:rPr>
        <w:t xml:space="preserve"> professional indemnity insurance</w:t>
      </w:r>
      <w:r>
        <w:rPr>
          <w:szCs w:val="24"/>
        </w:rPr>
        <w:t>,</w:t>
      </w:r>
      <w:r w:rsidRPr="00884820">
        <w:rPr>
          <w:szCs w:val="24"/>
        </w:rPr>
        <w:t xml:space="preserve"> and to complete CPD requirements which</w:t>
      </w:r>
      <w:r>
        <w:rPr>
          <w:szCs w:val="24"/>
        </w:rPr>
        <w:t xml:space="preserve"> is</w:t>
      </w:r>
      <w:r w:rsidRPr="00884820">
        <w:rPr>
          <w:szCs w:val="24"/>
        </w:rPr>
        <w:t xml:space="preserve"> are at least </w:t>
      </w:r>
      <w:r>
        <w:rPr>
          <w:szCs w:val="24"/>
        </w:rPr>
        <w:t>12</w:t>
      </w:r>
      <w:r w:rsidRPr="007C0344">
        <w:t>0</w:t>
      </w:r>
      <w:r w:rsidR="00675CEA">
        <w:rPr>
          <w:rFonts w:ascii="ZWAdobeF" w:hAnsi="ZWAdobeF" w:cs="ZWAdobeF"/>
          <w:color w:val="auto"/>
          <w:sz w:val="2"/>
          <w:szCs w:val="2"/>
        </w:rPr>
        <w:t>18F</w:t>
      </w:r>
      <w:r w:rsidRPr="007C0344">
        <w:rPr>
          <w:vertAlign w:val="superscript"/>
        </w:rPr>
        <w:footnoteReference w:id="19"/>
      </w:r>
      <w:r w:rsidRPr="007C0344">
        <w:t xml:space="preserve"> hours of </w:t>
      </w:r>
      <w:r w:rsidRPr="00884820">
        <w:rPr>
          <w:szCs w:val="24"/>
        </w:rPr>
        <w:t>relevant professional development activity in each rolling three</w:t>
      </w:r>
      <w:r w:rsidR="00EB0779">
        <w:rPr>
          <w:szCs w:val="24"/>
        </w:rPr>
        <w:noBreakHyphen/>
      </w:r>
      <w:r w:rsidRPr="00884820">
        <w:rPr>
          <w:szCs w:val="24"/>
        </w:rPr>
        <w:t>year period</w:t>
      </w:r>
      <w:r>
        <w:rPr>
          <w:szCs w:val="24"/>
        </w:rPr>
        <w:t>.</w:t>
      </w:r>
      <w:r w:rsidRPr="00884820">
        <w:rPr>
          <w:szCs w:val="24"/>
        </w:rPr>
        <w:t xml:space="preserve"> The PABs have recently mandated that the CPD must include ethics training for me</w:t>
      </w:r>
      <w:r w:rsidRPr="007C0344">
        <w:t>mbers.</w:t>
      </w:r>
      <w:r w:rsidR="00675CEA">
        <w:rPr>
          <w:rFonts w:ascii="ZWAdobeF" w:hAnsi="ZWAdobeF" w:cs="ZWAdobeF"/>
          <w:color w:val="auto"/>
          <w:sz w:val="2"/>
          <w:szCs w:val="2"/>
        </w:rPr>
        <w:t>19F</w:t>
      </w:r>
      <w:r w:rsidRPr="007C0344">
        <w:rPr>
          <w:vertAlign w:val="superscript"/>
        </w:rPr>
        <w:footnoteReference w:id="20"/>
      </w:r>
      <w:r w:rsidRPr="007C0344">
        <w:t xml:space="preserve"> Compliance </w:t>
      </w:r>
      <w:r w:rsidRPr="00884820">
        <w:rPr>
          <w:szCs w:val="24"/>
        </w:rPr>
        <w:t>with these obligations is monitored through the</w:t>
      </w:r>
      <w:r>
        <w:rPr>
          <w:szCs w:val="24"/>
        </w:rPr>
        <w:t>ir</w:t>
      </w:r>
      <w:r w:rsidRPr="00884820">
        <w:rPr>
          <w:szCs w:val="24"/>
        </w:rPr>
        <w:t xml:space="preserve"> </w:t>
      </w:r>
      <w:r>
        <w:rPr>
          <w:szCs w:val="24"/>
        </w:rPr>
        <w:t>q</w:t>
      </w:r>
      <w:r w:rsidRPr="00884820">
        <w:rPr>
          <w:szCs w:val="24"/>
        </w:rPr>
        <w:t xml:space="preserve">uality </w:t>
      </w:r>
      <w:r>
        <w:rPr>
          <w:szCs w:val="24"/>
        </w:rPr>
        <w:t>r</w:t>
      </w:r>
      <w:r w:rsidRPr="00884820">
        <w:rPr>
          <w:szCs w:val="24"/>
        </w:rPr>
        <w:t>eview programs and in addition the PAB</w:t>
      </w:r>
      <w:r>
        <w:rPr>
          <w:szCs w:val="24"/>
        </w:rPr>
        <w:t>s</w:t>
      </w:r>
      <w:r w:rsidRPr="00884820">
        <w:rPr>
          <w:szCs w:val="24"/>
        </w:rPr>
        <w:t xml:space="preserve"> select members randomly to check they </w:t>
      </w:r>
      <w:proofErr w:type="gramStart"/>
      <w:r w:rsidRPr="00884820">
        <w:rPr>
          <w:szCs w:val="24"/>
        </w:rPr>
        <w:t>are in compliance with</w:t>
      </w:r>
      <w:proofErr w:type="gramEnd"/>
      <w:r w:rsidRPr="00884820">
        <w:rPr>
          <w:szCs w:val="24"/>
        </w:rPr>
        <w:t xml:space="preserve"> the CPD requirements</w:t>
      </w:r>
      <w:r w:rsidR="00EB0779">
        <w:rPr>
          <w:szCs w:val="24"/>
        </w:rPr>
        <w:t xml:space="preserve">. </w:t>
      </w:r>
    </w:p>
    <w:p w14:paraId="73E52F45" w14:textId="77777777" w:rsidR="00DB57EC" w:rsidRPr="00884820" w:rsidRDefault="00DB57EC" w:rsidP="00CC2883">
      <w:pPr>
        <w:pStyle w:val="Bullet"/>
      </w:pPr>
      <w:r w:rsidRPr="00884820">
        <w:t>Auditors of certain entities must be registered with ASIC as an RCA. The following legislation requires certain entities to be audited by an RCA:</w:t>
      </w:r>
      <w:r w:rsidRPr="00884820" w:rsidDel="00FD7583">
        <w:t xml:space="preserve"> </w:t>
      </w:r>
    </w:p>
    <w:p w14:paraId="5DF72641" w14:textId="77777777" w:rsidR="00CC2883" w:rsidRDefault="00DB57EC" w:rsidP="00CC2883">
      <w:pPr>
        <w:pStyle w:val="Bullet"/>
      </w:pPr>
      <w:r w:rsidRPr="00CC2883">
        <w:t>Most entities that report under Chapter 2M and Chapter 7 of the Corporations Act.</w:t>
      </w:r>
    </w:p>
    <w:p w14:paraId="293E1790" w14:textId="7B1DB593" w:rsidR="00DB57EC" w:rsidRPr="00CC2883" w:rsidRDefault="00DB57EC" w:rsidP="00CC2883">
      <w:pPr>
        <w:pStyle w:val="Bullet"/>
      </w:pPr>
      <w:r w:rsidRPr="00CC2883">
        <w:t xml:space="preserve">Those charities required to prepare an audited report under the </w:t>
      </w:r>
      <w:r w:rsidRPr="0090676C">
        <w:rPr>
          <w:rStyle w:val="Emphasis"/>
        </w:rPr>
        <w:t>Australian Charities and Not</w:t>
      </w:r>
      <w:r w:rsidR="00EB0779" w:rsidRPr="0090676C">
        <w:rPr>
          <w:rStyle w:val="Emphasis"/>
        </w:rPr>
        <w:noBreakHyphen/>
      </w:r>
      <w:r w:rsidRPr="0090676C">
        <w:rPr>
          <w:rStyle w:val="Emphasis"/>
        </w:rPr>
        <w:t>for</w:t>
      </w:r>
      <w:r w:rsidR="00EB0779" w:rsidRPr="0090676C">
        <w:rPr>
          <w:rStyle w:val="Emphasis"/>
        </w:rPr>
        <w:noBreakHyphen/>
      </w:r>
      <w:r w:rsidRPr="0090676C">
        <w:rPr>
          <w:rStyle w:val="Emphasis"/>
        </w:rPr>
        <w:t>profits Commission Act 2012</w:t>
      </w:r>
      <w:r>
        <w:t xml:space="preserve"> (ACNC Ac</w:t>
      </w:r>
      <w:r w:rsidRPr="007C0344">
        <w:t>t).</w:t>
      </w:r>
      <w:r w:rsidR="00675CEA">
        <w:rPr>
          <w:rFonts w:ascii="ZWAdobeF" w:hAnsi="ZWAdobeF" w:cs="ZWAdobeF"/>
          <w:color w:val="auto"/>
          <w:sz w:val="2"/>
          <w:szCs w:val="2"/>
        </w:rPr>
        <w:t>20F</w:t>
      </w:r>
      <w:r w:rsidRPr="007C0344">
        <w:rPr>
          <w:vertAlign w:val="superscript"/>
        </w:rPr>
        <w:footnoteReference w:id="21"/>
      </w:r>
    </w:p>
    <w:p w14:paraId="4E1AAFC0" w14:textId="6967DBCB" w:rsidR="00DB57EC" w:rsidRPr="00884820" w:rsidRDefault="00DB57EC" w:rsidP="00CC2883">
      <w:pPr>
        <w:pStyle w:val="Bullet"/>
      </w:pPr>
      <w:r w:rsidRPr="00884820">
        <w:t>Co</w:t>
      </w:r>
      <w:r w:rsidR="00EB0779">
        <w:noBreakHyphen/>
      </w:r>
      <w:r w:rsidRPr="00884820">
        <w:t>operatives National Law</w:t>
      </w:r>
      <w:r w:rsidRPr="007C0344">
        <w:t>.</w:t>
      </w:r>
      <w:r w:rsidR="00675CEA">
        <w:rPr>
          <w:rFonts w:ascii="ZWAdobeF" w:hAnsi="ZWAdobeF" w:cs="ZWAdobeF"/>
          <w:color w:val="auto"/>
          <w:sz w:val="2"/>
          <w:szCs w:val="2"/>
        </w:rPr>
        <w:t>21F</w:t>
      </w:r>
      <w:r w:rsidRPr="007C0344">
        <w:rPr>
          <w:vertAlign w:val="superscript"/>
        </w:rPr>
        <w:footnoteReference w:id="22"/>
      </w:r>
    </w:p>
    <w:p w14:paraId="3F390E8F" w14:textId="4129A6DF" w:rsidR="00DB57EC" w:rsidRPr="00884820" w:rsidRDefault="00DB57EC" w:rsidP="005129E7">
      <w:r w:rsidRPr="00884820">
        <w:t xml:space="preserve">There are numerous State and Territory Legislation with different </w:t>
      </w:r>
      <w:proofErr w:type="gramStart"/>
      <w:r w:rsidRPr="00884820">
        <w:t>requirements</w:t>
      </w:r>
      <w:proofErr w:type="gramEnd"/>
      <w:r w:rsidRPr="00884820">
        <w:t xml:space="preserve"> </w:t>
      </w:r>
      <w:r>
        <w:t>and these</w:t>
      </w:r>
      <w:r w:rsidRPr="00884820">
        <w:t xml:space="preserve"> </w:t>
      </w:r>
      <w:r>
        <w:t>often</w:t>
      </w:r>
      <w:r w:rsidRPr="00884820">
        <w:t xml:space="preserve"> require that auditors must be a</w:t>
      </w:r>
      <w:r>
        <w:t>n</w:t>
      </w:r>
      <w:r w:rsidRPr="00884820">
        <w:t xml:space="preserve"> RCA or a member of an PAB.</w:t>
      </w:r>
      <w:r>
        <w:t xml:space="preserve"> However, there may be instances where an audit is </w:t>
      </w:r>
      <w:r w:rsidRPr="007C0344">
        <w:t>required but there is no minimum registration or qualifications and experience required of the auditor</w:t>
      </w:r>
      <w:r w:rsidR="00675CEA">
        <w:rPr>
          <w:rFonts w:ascii="ZWAdobeF" w:hAnsi="ZWAdobeF" w:cs="ZWAdobeF"/>
          <w:color w:val="auto"/>
          <w:sz w:val="2"/>
          <w:szCs w:val="2"/>
        </w:rPr>
        <w:t>22F</w:t>
      </w:r>
      <w:r w:rsidRPr="007C0344">
        <w:rPr>
          <w:vertAlign w:val="superscript"/>
        </w:rPr>
        <w:footnoteReference w:id="23"/>
      </w:r>
      <w:r w:rsidRPr="007C0344">
        <w:rPr>
          <w:vertAlign w:val="superscript"/>
        </w:rPr>
        <w:t>.</w:t>
      </w:r>
    </w:p>
    <w:p w14:paraId="4489C631" w14:textId="0CF7D7ED" w:rsidR="00DB57EC" w:rsidRPr="00884820" w:rsidRDefault="00DB57EC" w:rsidP="005129E7">
      <w:r w:rsidRPr="00884820">
        <w:t xml:space="preserve">To be registered with ASIC, RCAs must satisfy the requirements of s1280 of the Corporations Act which include requirements for qualifications, </w:t>
      </w:r>
      <w:r>
        <w:t>experience</w:t>
      </w:r>
      <w:r w:rsidRPr="00884820">
        <w:t xml:space="preserve">, and </w:t>
      </w:r>
      <w:r>
        <w:t xml:space="preserve">being a </w:t>
      </w:r>
      <w:r w:rsidRPr="00884820">
        <w:t xml:space="preserve">fit and proper person. </w:t>
      </w:r>
      <w:r>
        <w:t xml:space="preserve">Conditions can be imposed by ASIC for ongoing </w:t>
      </w:r>
      <w:r w:rsidRPr="00884820">
        <w:t>registration</w:t>
      </w:r>
      <w:r>
        <w:t xml:space="preserve"> as an RCA as to continuing education, professional indemnity insurance and engagement quality assurance</w:t>
      </w:r>
      <w:r w:rsidRPr="00884820">
        <w:t>. Refer to ASIC</w:t>
      </w:r>
      <w:r w:rsidR="00EB0779">
        <w:t>’</w:t>
      </w:r>
      <w:r w:rsidRPr="00884820">
        <w:t xml:space="preserve">s </w:t>
      </w:r>
      <w:hyperlink r:id="rId33" w:history="1">
        <w:r w:rsidRPr="00E26F7C">
          <w:rPr>
            <w:rStyle w:val="Hyperlink"/>
            <w:szCs w:val="24"/>
          </w:rPr>
          <w:t>RG 180 Audit</w:t>
        </w:r>
        <w:r>
          <w:rPr>
            <w:rStyle w:val="Hyperlink"/>
            <w:szCs w:val="24"/>
          </w:rPr>
          <w:t>or</w:t>
        </w:r>
        <w:r w:rsidRPr="00E26F7C">
          <w:rPr>
            <w:rStyle w:val="Hyperlink"/>
            <w:szCs w:val="24"/>
          </w:rPr>
          <w:t xml:space="preserve"> R</w:t>
        </w:r>
        <w:bookmarkStart w:id="20" w:name="_Hlt148623893"/>
        <w:bookmarkStart w:id="21" w:name="_Hlt148623894"/>
        <w:r w:rsidRPr="00E26F7C">
          <w:rPr>
            <w:rStyle w:val="Hyperlink"/>
            <w:szCs w:val="24"/>
          </w:rPr>
          <w:t>e</w:t>
        </w:r>
        <w:bookmarkEnd w:id="20"/>
        <w:bookmarkEnd w:id="21"/>
        <w:r w:rsidRPr="00E26F7C">
          <w:rPr>
            <w:rStyle w:val="Hyperlink"/>
            <w:szCs w:val="24"/>
          </w:rPr>
          <w:t>gistration</w:t>
        </w:r>
      </w:hyperlink>
      <w:r w:rsidRPr="00884820">
        <w:t xml:space="preserve"> for further information.</w:t>
      </w:r>
    </w:p>
    <w:p w14:paraId="0035686A" w14:textId="786C3036" w:rsidR="00DB57EC" w:rsidRPr="009A45C2" w:rsidRDefault="00DB57EC" w:rsidP="009A45C2">
      <w:r w:rsidRPr="00884820">
        <w:t xml:space="preserve">The criteria for initial and ongoing registration as an RCA </w:t>
      </w:r>
      <w:r>
        <w:t xml:space="preserve">is a high level of qualification and is intended </w:t>
      </w:r>
      <w:r w:rsidRPr="00884820">
        <w:t xml:space="preserve">to ensure that only </w:t>
      </w:r>
      <w:r>
        <w:t xml:space="preserve">those </w:t>
      </w:r>
      <w:r w:rsidRPr="00884820">
        <w:t xml:space="preserve">with the required skills </w:t>
      </w:r>
      <w:r>
        <w:t>have that designation</w:t>
      </w:r>
      <w:r w:rsidRPr="00884820">
        <w:t xml:space="preserve">. Auditors who are not RCAs may perform audits </w:t>
      </w:r>
      <w:proofErr w:type="gramStart"/>
      <w:r w:rsidRPr="00884820">
        <w:t>where</w:t>
      </w:r>
      <w:proofErr w:type="gramEnd"/>
      <w:r w:rsidRPr="00884820">
        <w:t xml:space="preserve"> permitted by the relevant legislation</w:t>
      </w:r>
      <w:r>
        <w:t xml:space="preserve">. The PABs have their own restrictions on what types of engagements members can undertake based on their qualifications. </w:t>
      </w:r>
    </w:p>
    <w:p w14:paraId="1BF3664E" w14:textId="77777777" w:rsidR="00DB57EC" w:rsidRDefault="00DB57EC" w:rsidP="009A45C2">
      <w:pPr>
        <w:rPr>
          <w:szCs w:val="24"/>
        </w:rPr>
      </w:pPr>
      <w:r w:rsidRPr="0090676C">
        <w:rPr>
          <w:rStyle w:val="Emphasis"/>
        </w:rPr>
        <w:t>The Superannuation Industry (Supervision) Act 1993</w:t>
      </w:r>
      <w:r w:rsidRPr="00884820">
        <w:rPr>
          <w:szCs w:val="24"/>
        </w:rPr>
        <w:t xml:space="preserve"> also requires SMSF auditors to be registered with ASIC which is a separate and distinct accreditation from an RCA. </w:t>
      </w:r>
    </w:p>
    <w:p w14:paraId="63A86FDD" w14:textId="77777777" w:rsidR="00DB57EC" w:rsidRPr="00884820" w:rsidRDefault="00DB57EC" w:rsidP="009A45C2">
      <w:pPr>
        <w:rPr>
          <w:szCs w:val="24"/>
        </w:rPr>
      </w:pPr>
      <w:r>
        <w:rPr>
          <w:szCs w:val="24"/>
        </w:rPr>
        <w:t>The ATO</w:t>
      </w:r>
      <w:r w:rsidRPr="00884820">
        <w:rPr>
          <w:szCs w:val="24"/>
        </w:rPr>
        <w:t xml:space="preserve"> </w:t>
      </w:r>
      <w:r>
        <w:rPr>
          <w:szCs w:val="24"/>
        </w:rPr>
        <w:t xml:space="preserve">is responsible for surveillance of SMSF auditors, and ASIC is responsible for determining whether auditors referred by the ATO should be deregistered or suspended. </w:t>
      </w:r>
    </w:p>
    <w:p w14:paraId="4FD85BFB" w14:textId="20BB8A70" w:rsidR="00C55E74" w:rsidRDefault="00DB57EC" w:rsidP="009A45C2">
      <w:pPr>
        <w:rPr>
          <w:szCs w:val="24"/>
        </w:rPr>
      </w:pPr>
      <w:r w:rsidRPr="00884820">
        <w:rPr>
          <w:szCs w:val="24"/>
        </w:rPr>
        <w:t>Registered SMSF auditors have reporting requirements to both the SMSF trustees and the ATO.</w:t>
      </w:r>
    </w:p>
    <w:p w14:paraId="55BAA7AE" w14:textId="77777777" w:rsidR="00C55E74" w:rsidRDefault="00C55E74">
      <w:pPr>
        <w:spacing w:before="0" w:after="160" w:line="259" w:lineRule="auto"/>
        <w:rPr>
          <w:szCs w:val="24"/>
        </w:rPr>
      </w:pPr>
      <w:r>
        <w:rPr>
          <w:szCs w:val="24"/>
        </w:rPr>
        <w:br w:type="page"/>
      </w:r>
    </w:p>
    <w:p w14:paraId="3A4D9F33" w14:textId="77777777" w:rsidR="00DB57EC" w:rsidRPr="009A45C2" w:rsidRDefault="00DB57EC" w:rsidP="009A45C2">
      <w:pPr>
        <w:pStyle w:val="Heading1"/>
      </w:pPr>
      <w:bookmarkStart w:id="22" w:name="_Toc149310322"/>
      <w:bookmarkStart w:id="23" w:name="_Toc149551270"/>
      <w:r w:rsidRPr="009A45C2">
        <w:t>The Audit Firms</w:t>
      </w:r>
      <w:bookmarkEnd w:id="22"/>
      <w:bookmarkEnd w:id="23"/>
    </w:p>
    <w:p w14:paraId="4EE13A66" w14:textId="77777777" w:rsidR="00DB57EC" w:rsidRPr="00884820" w:rsidRDefault="00DB57EC" w:rsidP="00DB57EC">
      <w:pPr>
        <w:rPr>
          <w:szCs w:val="24"/>
        </w:rPr>
      </w:pPr>
      <w:r w:rsidRPr="00884820">
        <w:rPr>
          <w:szCs w:val="24"/>
        </w:rPr>
        <w:t xml:space="preserve">Audit firms and auditors must comply with </w:t>
      </w:r>
      <w:r>
        <w:rPr>
          <w:szCs w:val="24"/>
        </w:rPr>
        <w:t xml:space="preserve">relevant </w:t>
      </w:r>
      <w:r w:rsidRPr="00884820">
        <w:rPr>
          <w:szCs w:val="24"/>
        </w:rPr>
        <w:t xml:space="preserve">regulation contained in the Corporations Act, </w:t>
      </w:r>
      <w:r>
        <w:rPr>
          <w:szCs w:val="24"/>
        </w:rPr>
        <w:t>a</w:t>
      </w:r>
      <w:r w:rsidRPr="00884820">
        <w:rPr>
          <w:szCs w:val="24"/>
        </w:rPr>
        <w:t xml:space="preserve">uditing </w:t>
      </w:r>
      <w:r>
        <w:rPr>
          <w:szCs w:val="24"/>
        </w:rPr>
        <w:t>s</w:t>
      </w:r>
      <w:r w:rsidRPr="00884820">
        <w:rPr>
          <w:szCs w:val="24"/>
        </w:rPr>
        <w:t>tandards, ethical standards and the</w:t>
      </w:r>
      <w:r>
        <w:rPr>
          <w:szCs w:val="24"/>
        </w:rPr>
        <w:t>ir relevant</w:t>
      </w:r>
      <w:r w:rsidRPr="00884820">
        <w:rPr>
          <w:szCs w:val="24"/>
        </w:rPr>
        <w:t xml:space="preserve"> PAB regulations. </w:t>
      </w:r>
    </w:p>
    <w:p w14:paraId="1D80CDD9" w14:textId="77777777" w:rsidR="00DB57EC" w:rsidRPr="002A7B6A" w:rsidRDefault="00DB57EC" w:rsidP="009A45C2">
      <w:pPr>
        <w:pStyle w:val="Heading2"/>
      </w:pPr>
      <w:bookmarkStart w:id="24" w:name="_Toc143799227"/>
      <w:bookmarkStart w:id="25" w:name="_Toc149551271"/>
      <w:r w:rsidRPr="002A7B6A">
        <w:t>How Audit Firms Monitor Audit Quality and Compliance with Professional Standards</w:t>
      </w:r>
      <w:bookmarkEnd w:id="24"/>
      <w:bookmarkEnd w:id="25"/>
    </w:p>
    <w:p w14:paraId="7165CF93" w14:textId="1ADBCB6C" w:rsidR="00DB57EC" w:rsidRPr="00884820" w:rsidRDefault="00DB57EC" w:rsidP="009A45C2">
      <w:r w:rsidRPr="00256E4A">
        <w:t xml:space="preserve">The FRC met with the assurance and quality leaders from the largest </w:t>
      </w:r>
      <w:r w:rsidR="00B50466">
        <w:t>6</w:t>
      </w:r>
      <w:r w:rsidRPr="00256E4A">
        <w:t xml:space="preserve"> audit firms and a </w:t>
      </w:r>
      <w:r w:rsidRPr="004930A5">
        <w:t>small number of</w:t>
      </w:r>
      <w:r w:rsidRPr="00256E4A">
        <w:t xml:space="preserve"> mid</w:t>
      </w:r>
      <w:r w:rsidR="00EB0779">
        <w:noBreakHyphen/>
      </w:r>
      <w:r w:rsidRPr="00256E4A">
        <w:t>tier and smaller firms</w:t>
      </w:r>
      <w:r w:rsidRPr="00884820">
        <w:t xml:space="preserve">, to understand how they </w:t>
      </w:r>
      <w:r>
        <w:t xml:space="preserve">support and monitor </w:t>
      </w:r>
      <w:r w:rsidRPr="00884820">
        <w:t xml:space="preserve">audit quality. Each firm we met with emphasised that audit quality, and compliance with </w:t>
      </w:r>
      <w:r>
        <w:t xml:space="preserve">auditing </w:t>
      </w:r>
      <w:r w:rsidRPr="00884820">
        <w:t xml:space="preserve">standards was extremely important and a high priority for leadership, and there has been a significant focus and investment on initiatives and processes to improve quality. </w:t>
      </w:r>
    </w:p>
    <w:p w14:paraId="4EA432E1" w14:textId="77777777" w:rsidR="00DB57EC" w:rsidRPr="002A7B6A" w:rsidRDefault="00DB57EC" w:rsidP="009A45C2">
      <w:pPr>
        <w:pStyle w:val="Heading3"/>
      </w:pPr>
      <w:bookmarkStart w:id="26" w:name="_Toc149551272"/>
      <w:r w:rsidRPr="002A7B6A">
        <w:t>Systems of Quality Management</w:t>
      </w:r>
      <w:bookmarkEnd w:id="26"/>
    </w:p>
    <w:p w14:paraId="2A718E0D" w14:textId="21C8F09C" w:rsidR="00DB57EC" w:rsidRPr="00884820" w:rsidRDefault="00DB57EC" w:rsidP="00DB57EC">
      <w:pPr>
        <w:rPr>
          <w:szCs w:val="24"/>
        </w:rPr>
      </w:pPr>
      <w:r w:rsidRPr="00884820">
        <w:rPr>
          <w:szCs w:val="24"/>
        </w:rPr>
        <w:t>All firms</w:t>
      </w:r>
      <w:r w:rsidR="00675CEA">
        <w:rPr>
          <w:rFonts w:ascii="ZWAdobeF" w:hAnsi="ZWAdobeF" w:cs="ZWAdobeF"/>
          <w:color w:val="auto"/>
          <w:sz w:val="2"/>
          <w:szCs w:val="2"/>
        </w:rPr>
        <w:t>23F</w:t>
      </w:r>
      <w:r w:rsidRPr="00CC2883">
        <w:rPr>
          <w:vertAlign w:val="superscript"/>
        </w:rPr>
        <w:footnoteReference w:id="24"/>
      </w:r>
      <w:r w:rsidRPr="00884820">
        <w:rPr>
          <w:szCs w:val="24"/>
        </w:rPr>
        <w:t xml:space="preserve"> that perform audits or other assurance engage</w:t>
      </w:r>
      <w:r w:rsidRPr="007C0344">
        <w:t>ments must comply with the recently enhanced QMS issued by the AUASB which came into effect in 2023.</w:t>
      </w:r>
      <w:r w:rsidR="00675CEA">
        <w:rPr>
          <w:rFonts w:ascii="ZWAdobeF" w:hAnsi="ZWAdobeF" w:cs="ZWAdobeF"/>
          <w:color w:val="auto"/>
          <w:sz w:val="2"/>
          <w:szCs w:val="2"/>
        </w:rPr>
        <w:t>24F</w:t>
      </w:r>
      <w:r w:rsidRPr="007C0344">
        <w:rPr>
          <w:vertAlign w:val="superscript"/>
        </w:rPr>
        <w:footnoteReference w:id="25"/>
      </w:r>
      <w:r w:rsidRPr="007C0344">
        <w:t xml:space="preserve"> The Q</w:t>
      </w:r>
      <w:r w:rsidRPr="00884820">
        <w:rPr>
          <w:szCs w:val="24"/>
        </w:rPr>
        <w:t>MS are designed to improve the robustness of firms</w:t>
      </w:r>
      <w:r w:rsidR="00EB0779">
        <w:rPr>
          <w:szCs w:val="24"/>
        </w:rPr>
        <w:t>’</w:t>
      </w:r>
      <w:r w:rsidRPr="00884820">
        <w:rPr>
          <w:szCs w:val="24"/>
        </w:rPr>
        <w:t xml:space="preserve"> systems of quality management to support compliance with ASAs and applicable legal and regulatory requirements. </w:t>
      </w:r>
    </w:p>
    <w:p w14:paraId="616355BF" w14:textId="5853B3CF" w:rsidR="00DB57EC" w:rsidRPr="00884820" w:rsidRDefault="00DB57EC" w:rsidP="00DB57EC">
      <w:pPr>
        <w:rPr>
          <w:szCs w:val="24"/>
        </w:rPr>
      </w:pPr>
      <w:r w:rsidRPr="00884820">
        <w:rPr>
          <w:szCs w:val="24"/>
        </w:rPr>
        <w:t xml:space="preserve">The QMS reinforce that </w:t>
      </w:r>
      <w:r w:rsidR="00C760F8">
        <w:rPr>
          <w:szCs w:val="24"/>
        </w:rPr>
        <w:t>‘</w:t>
      </w:r>
      <w:r w:rsidRPr="00884820">
        <w:rPr>
          <w:szCs w:val="24"/>
        </w:rPr>
        <w:t>quality management is not a separate function of the firm; it is the integration of a culture that demonstrates a commitment to quality with the firm</w:t>
      </w:r>
      <w:r w:rsidR="00EB0779">
        <w:rPr>
          <w:szCs w:val="24"/>
        </w:rPr>
        <w:t>’</w:t>
      </w:r>
      <w:r w:rsidRPr="00884820">
        <w:rPr>
          <w:szCs w:val="24"/>
        </w:rPr>
        <w:t xml:space="preserve">s strategy, operational activities and business </w:t>
      </w:r>
      <w:proofErr w:type="gramStart"/>
      <w:r w:rsidRPr="00884820">
        <w:rPr>
          <w:szCs w:val="24"/>
        </w:rPr>
        <w:t>proce</w:t>
      </w:r>
      <w:r w:rsidRPr="007C0344">
        <w:t>sses</w:t>
      </w:r>
      <w:r w:rsidR="00C760F8">
        <w:t>’</w:t>
      </w:r>
      <w:proofErr w:type="gramEnd"/>
      <w:r w:rsidRPr="007C0344">
        <w:t>.</w:t>
      </w:r>
      <w:r w:rsidR="00675CEA">
        <w:rPr>
          <w:rFonts w:ascii="ZWAdobeF" w:hAnsi="ZWAdobeF" w:cs="ZWAdobeF"/>
          <w:color w:val="auto"/>
          <w:sz w:val="2"/>
          <w:szCs w:val="2"/>
        </w:rPr>
        <w:t>25F</w:t>
      </w:r>
      <w:r w:rsidRPr="007C0344">
        <w:rPr>
          <w:vertAlign w:val="superscript"/>
        </w:rPr>
        <w:footnoteReference w:id="26"/>
      </w:r>
      <w:r w:rsidRPr="007C0344">
        <w:t xml:space="preserve"> The QMS r</w:t>
      </w:r>
      <w:r w:rsidRPr="00884820">
        <w:rPr>
          <w:szCs w:val="24"/>
        </w:rPr>
        <w:t>equire the firm</w:t>
      </w:r>
      <w:r w:rsidR="00EB0779">
        <w:rPr>
          <w:szCs w:val="24"/>
        </w:rPr>
        <w:t>’</w:t>
      </w:r>
      <w:r w:rsidRPr="00884820">
        <w:rPr>
          <w:szCs w:val="24"/>
        </w:rPr>
        <w:t>s leadership (</w:t>
      </w:r>
      <w:r w:rsidRPr="00A7220B">
        <w:rPr>
          <w:szCs w:val="24"/>
        </w:rPr>
        <w:t>i.e.</w:t>
      </w:r>
      <w:r>
        <w:rPr>
          <w:szCs w:val="24"/>
        </w:rPr>
        <w:t>,</w:t>
      </w:r>
      <w:r w:rsidRPr="00884820">
        <w:rPr>
          <w:szCs w:val="24"/>
        </w:rPr>
        <w:t xml:space="preserve"> CEO or equivalent) to have ultimate responsibility and accountability for quality. In addition to supporting and monitoring supporting audit quality there are requirements relevant to:</w:t>
      </w:r>
    </w:p>
    <w:p w14:paraId="3ADD761A" w14:textId="77777777" w:rsidR="00DB57EC" w:rsidRPr="00884820" w:rsidRDefault="00DB57EC" w:rsidP="009A45C2">
      <w:pPr>
        <w:pStyle w:val="Bullet"/>
      </w:pPr>
      <w:r>
        <w:t>C</w:t>
      </w:r>
      <w:r w:rsidRPr="00884820">
        <w:t>ompliance with and respond</w:t>
      </w:r>
      <w:r>
        <w:t>ing</w:t>
      </w:r>
      <w:r w:rsidRPr="00884820">
        <w:t xml:space="preserve"> to breaches with the professional and ethical standards.</w:t>
      </w:r>
    </w:p>
    <w:p w14:paraId="5D0884A2" w14:textId="77777777" w:rsidR="00DB57EC" w:rsidRPr="00884820" w:rsidRDefault="00DB57EC" w:rsidP="009A45C2">
      <w:pPr>
        <w:pStyle w:val="Bullet"/>
      </w:pPr>
      <w:r>
        <w:t>A</w:t>
      </w:r>
      <w:r w:rsidRPr="00884820">
        <w:t>udit quality in the performance of individual audit engagements</w:t>
      </w:r>
      <w:r>
        <w:t>.</w:t>
      </w:r>
      <w:r w:rsidRPr="00884820">
        <w:t xml:space="preserve"> </w:t>
      </w:r>
    </w:p>
    <w:p w14:paraId="2AD515BE" w14:textId="77777777" w:rsidR="00DB57EC" w:rsidRPr="00884820" w:rsidRDefault="00DB57EC" w:rsidP="009A45C2">
      <w:pPr>
        <w:pStyle w:val="Bullet"/>
      </w:pPr>
      <w:r>
        <w:t>Q</w:t>
      </w:r>
      <w:r w:rsidRPr="00884820">
        <w:t>uality review programs</w:t>
      </w:r>
      <w:r>
        <w:t>.</w:t>
      </w:r>
    </w:p>
    <w:p w14:paraId="34514351" w14:textId="3F9DD55B" w:rsidR="00DB57EC" w:rsidRPr="009A45C2" w:rsidRDefault="00DB57EC" w:rsidP="00DB57EC">
      <w:pPr>
        <w:pStyle w:val="Bullet"/>
        <w:rPr>
          <w:szCs w:val="24"/>
        </w:rPr>
      </w:pPr>
      <w:r>
        <w:rPr>
          <w:szCs w:val="24"/>
        </w:rPr>
        <w:t>C</w:t>
      </w:r>
      <w:r w:rsidRPr="00884820">
        <w:rPr>
          <w:szCs w:val="24"/>
        </w:rPr>
        <w:t xml:space="preserve">ontinuous improvement </w:t>
      </w:r>
      <w:r>
        <w:rPr>
          <w:szCs w:val="24"/>
        </w:rPr>
        <w:t>through</w:t>
      </w:r>
      <w:r w:rsidRPr="00884820">
        <w:rPr>
          <w:szCs w:val="24"/>
        </w:rPr>
        <w:t xml:space="preserve"> identification and respon</w:t>
      </w:r>
      <w:r>
        <w:rPr>
          <w:szCs w:val="24"/>
        </w:rPr>
        <w:t>ding</w:t>
      </w:r>
      <w:r w:rsidRPr="00884820">
        <w:rPr>
          <w:szCs w:val="24"/>
        </w:rPr>
        <w:t xml:space="preserve"> to root causes of identified deficiencies. </w:t>
      </w:r>
    </w:p>
    <w:p w14:paraId="3709315E" w14:textId="4FA88B5A" w:rsidR="00DB57EC" w:rsidRPr="00884820" w:rsidRDefault="00DB57EC" w:rsidP="009A45C2">
      <w:r w:rsidRPr="00884820">
        <w:t xml:space="preserve">All the audit firms the FRC met with advised that whilst they </w:t>
      </w:r>
      <w:r>
        <w:t>already</w:t>
      </w:r>
      <w:r w:rsidRPr="00884820">
        <w:t xml:space="preserve"> had systems of quality management </w:t>
      </w:r>
      <w:r>
        <w:t xml:space="preserve">in place, </w:t>
      </w:r>
      <w:r w:rsidRPr="00884820">
        <w:t xml:space="preserve">the new QMS </w:t>
      </w:r>
      <w:r>
        <w:t>have required an enhancement in their</w:t>
      </w:r>
      <w:r w:rsidRPr="00884820">
        <w:t xml:space="preserve"> quality controls</w:t>
      </w:r>
      <w:r>
        <w:t>.</w:t>
      </w:r>
    </w:p>
    <w:p w14:paraId="76B7C18E" w14:textId="77777777" w:rsidR="00DB57EC" w:rsidRPr="00884820" w:rsidRDefault="00DB57EC" w:rsidP="009A45C2">
      <w:r w:rsidRPr="00884820">
        <w:t xml:space="preserve">In addition, audit firms report that they have invested in the following to improve audit quality: </w:t>
      </w:r>
    </w:p>
    <w:p w14:paraId="02895FB2" w14:textId="77777777" w:rsidR="00DB57EC" w:rsidRPr="00884820" w:rsidRDefault="00DB57EC" w:rsidP="009A45C2">
      <w:pPr>
        <w:pStyle w:val="Bullet"/>
      </w:pPr>
      <w:r w:rsidRPr="00884820">
        <w:t>Continual staff training on technical and ethical standards.</w:t>
      </w:r>
    </w:p>
    <w:p w14:paraId="6B28F3EC" w14:textId="77777777" w:rsidR="00DB57EC" w:rsidRPr="00884820" w:rsidRDefault="00DB57EC" w:rsidP="009A45C2">
      <w:pPr>
        <w:pStyle w:val="Bullet"/>
      </w:pPr>
      <w:r w:rsidRPr="00884820">
        <w:t xml:space="preserve">Technology solutions being used in the conduct of audits which enhance audit quality as </w:t>
      </w:r>
      <w:r>
        <w:t xml:space="preserve">they </w:t>
      </w:r>
      <w:r w:rsidRPr="00884820">
        <w:t>allow analysis of entire populations and data sets. This is particularly relevant for larger firms and audit</w:t>
      </w:r>
      <w:r>
        <w:t xml:space="preserve"> clients</w:t>
      </w:r>
      <w:r w:rsidRPr="00884820">
        <w:t>.</w:t>
      </w:r>
    </w:p>
    <w:p w14:paraId="1D2290C9" w14:textId="77777777" w:rsidR="00DB57EC" w:rsidRPr="00884820" w:rsidRDefault="00DB57EC" w:rsidP="009A45C2">
      <w:pPr>
        <w:pStyle w:val="Bullet"/>
      </w:pPr>
      <w:proofErr w:type="gramStart"/>
      <w:r w:rsidRPr="00884820">
        <w:t>A number of</w:t>
      </w:r>
      <w:proofErr w:type="gramEnd"/>
      <w:r w:rsidRPr="00884820">
        <w:t xml:space="preserve"> internal quality reviews which are run at different stages of the audit </w:t>
      </w:r>
      <w:r>
        <w:t>(</w:t>
      </w:r>
      <w:r w:rsidRPr="004344EF">
        <w:t>i.e.</w:t>
      </w:r>
      <w:r>
        <w:t>,</w:t>
      </w:r>
      <w:r w:rsidRPr="00884820">
        <w:t xml:space="preserve"> during and after</w:t>
      </w:r>
      <w:r>
        <w:t>)</w:t>
      </w:r>
      <w:r w:rsidRPr="00884820">
        <w:t xml:space="preserve"> and for different purposes. Internal review programs </w:t>
      </w:r>
      <w:r>
        <w:t xml:space="preserve">of the largest firms </w:t>
      </w:r>
      <w:r w:rsidRPr="00884820">
        <w:t xml:space="preserve">on completed engagements are taken seriously and are run with an element of independence as much as practical. For example, being run by a partner from another office including from overseas. </w:t>
      </w:r>
    </w:p>
    <w:p w14:paraId="521936BA" w14:textId="77777777" w:rsidR="00DB57EC" w:rsidRPr="00884820" w:rsidRDefault="00DB57EC" w:rsidP="009A45C2">
      <w:pPr>
        <w:pStyle w:val="Bullet"/>
      </w:pPr>
      <w:r w:rsidRPr="00884820">
        <w:t xml:space="preserve">Accountability frameworks which </w:t>
      </w:r>
      <w:proofErr w:type="gramStart"/>
      <w:r w:rsidRPr="00884820">
        <w:t>take into account</w:t>
      </w:r>
      <w:proofErr w:type="gramEnd"/>
      <w:r w:rsidRPr="00884820">
        <w:t xml:space="preserve"> findings from external and internal quality reviews in partner and staff performance reviews. Depending on severity, negative review findings will impact remuneration. </w:t>
      </w:r>
    </w:p>
    <w:p w14:paraId="600D1411" w14:textId="3DA7B97B" w:rsidR="00DB57EC" w:rsidRPr="009A45C2" w:rsidRDefault="00DB57EC" w:rsidP="009A45C2">
      <w:pPr>
        <w:pStyle w:val="Bullet"/>
      </w:pPr>
      <w:r w:rsidRPr="00884820">
        <w:t xml:space="preserve">Compliance with </w:t>
      </w:r>
      <w:r>
        <w:t xml:space="preserve">auditing </w:t>
      </w:r>
      <w:r w:rsidRPr="00884820">
        <w:t xml:space="preserve">and ethical standards is also taken seriously and the </w:t>
      </w:r>
      <w:r>
        <w:t xml:space="preserve">largest </w:t>
      </w:r>
      <w:r w:rsidRPr="00884820">
        <w:t xml:space="preserve">firms have processes in place for staff to confirm their compliance and to identify breaches. </w:t>
      </w:r>
    </w:p>
    <w:p w14:paraId="70C7B6D3" w14:textId="77777777" w:rsidR="00DB57EC" w:rsidRPr="00345C41" w:rsidRDefault="00DB57EC" w:rsidP="009A45C2">
      <w:pPr>
        <w:pStyle w:val="Heading3"/>
      </w:pPr>
      <w:bookmarkStart w:id="27" w:name="_Toc149551273"/>
      <w:r w:rsidRPr="00345C41">
        <w:t>Quality Review Programs</w:t>
      </w:r>
      <w:bookmarkEnd w:id="27"/>
    </w:p>
    <w:p w14:paraId="38BDB703" w14:textId="77777777" w:rsidR="00DB57EC" w:rsidRPr="00884820" w:rsidRDefault="00DB57EC" w:rsidP="009A45C2">
      <w:r w:rsidRPr="00884820">
        <w:t>In addition to internal quality review programs</w:t>
      </w:r>
      <w:r>
        <w:t>,</w:t>
      </w:r>
      <w:r w:rsidRPr="00884820">
        <w:t xml:space="preserve"> audit firms and auditors are subject to some level of </w:t>
      </w:r>
      <w:r>
        <w:t xml:space="preserve">external </w:t>
      </w:r>
      <w:r w:rsidRPr="00884820">
        <w:t xml:space="preserve">oversight to monitor compliance with regulation through the following: </w:t>
      </w:r>
    </w:p>
    <w:p w14:paraId="6122B964" w14:textId="1954171E" w:rsidR="00DB57EC" w:rsidRPr="00884820" w:rsidRDefault="00DB57EC" w:rsidP="009A45C2">
      <w:pPr>
        <w:pStyle w:val="Bullet"/>
      </w:pPr>
      <w:r>
        <w:t>Reviews by representatives of their g</w:t>
      </w:r>
      <w:r w:rsidRPr="00884820">
        <w:t xml:space="preserve">lobal network on a rotation basis </w:t>
      </w:r>
      <w:r w:rsidR="003A13EA">
        <w:br/>
      </w:r>
      <w:r w:rsidRPr="00884820">
        <w:t>(depending on the structure)</w:t>
      </w:r>
    </w:p>
    <w:p w14:paraId="0C2F203A" w14:textId="7C08900C" w:rsidR="00DB57EC" w:rsidRPr="00884820" w:rsidRDefault="00DB57EC" w:rsidP="009A45C2">
      <w:pPr>
        <w:pStyle w:val="Bullet"/>
      </w:pPr>
      <w:r w:rsidRPr="00884820">
        <w:t>ASIC</w:t>
      </w:r>
      <w:r w:rsidR="00EB0779">
        <w:t>’</w:t>
      </w:r>
      <w:r w:rsidRPr="00884820">
        <w:t>s audit surveillance program</w:t>
      </w:r>
    </w:p>
    <w:p w14:paraId="06F3FDF5" w14:textId="64A905CB" w:rsidR="00DB57EC" w:rsidRPr="00884820" w:rsidRDefault="00DB57EC" w:rsidP="009A45C2">
      <w:pPr>
        <w:pStyle w:val="Bullet"/>
      </w:pPr>
      <w:r w:rsidRPr="00884820">
        <w:t>International regulators</w:t>
      </w:r>
      <w:r>
        <w:t xml:space="preserve">, being </w:t>
      </w:r>
      <w:r w:rsidRPr="00884820">
        <w:t xml:space="preserve">the </w:t>
      </w:r>
      <w:r>
        <w:t>PCAOB (United States) and CPAB (Canada)</w:t>
      </w:r>
    </w:p>
    <w:p w14:paraId="2B07146B" w14:textId="4518E5FA" w:rsidR="00DB57EC" w:rsidRPr="009A45C2" w:rsidRDefault="00DB57EC" w:rsidP="009A45C2">
      <w:pPr>
        <w:pStyle w:val="Bullet"/>
      </w:pPr>
      <w:r w:rsidRPr="00884820">
        <w:t>PABs</w:t>
      </w:r>
      <w:r w:rsidR="00EB0779">
        <w:t>’</w:t>
      </w:r>
      <w:r w:rsidRPr="00884820">
        <w:t xml:space="preserve"> quality review programs </w:t>
      </w:r>
      <w:r>
        <w:t xml:space="preserve">of their systems of quality controls </w:t>
      </w:r>
      <w:r w:rsidRPr="00884820">
        <w:t>on a cyc</w:t>
      </w:r>
      <w:r>
        <w:t>lical</w:t>
      </w:r>
      <w:r w:rsidRPr="00884820">
        <w:t xml:space="preserve"> basis.</w:t>
      </w:r>
    </w:p>
    <w:p w14:paraId="2B965086" w14:textId="29CE09B5" w:rsidR="00DB57EC" w:rsidRPr="009A45C2" w:rsidRDefault="00DB57EC" w:rsidP="009A45C2">
      <w:r w:rsidRPr="00884820">
        <w:t xml:space="preserve">When an audit firm belongs to a network </w:t>
      </w:r>
      <w:proofErr w:type="gramStart"/>
      <w:r w:rsidRPr="00884820">
        <w:t>firm</w:t>
      </w:r>
      <w:proofErr w:type="gramEnd"/>
      <w:r w:rsidRPr="00884820">
        <w:t xml:space="preserve"> they are subject to monitoring activities by the network on their systems of quality management and often reviews of engagement files. These are done on a rotational basis.</w:t>
      </w:r>
    </w:p>
    <w:p w14:paraId="409BFAD9" w14:textId="79660CF4" w:rsidR="00DB57EC" w:rsidRPr="00C55E74" w:rsidRDefault="00DB57EC" w:rsidP="009A45C2">
      <w:pPr>
        <w:rPr>
          <w:color w:val="auto"/>
          <w:szCs w:val="24"/>
        </w:rPr>
      </w:pPr>
      <w:r w:rsidRPr="00884820">
        <w:rPr>
          <w:szCs w:val="24"/>
        </w:rPr>
        <w:t xml:space="preserve">ASIC has in the past reviewed selected audit files of the largest </w:t>
      </w:r>
      <w:r w:rsidR="00B50466">
        <w:rPr>
          <w:szCs w:val="24"/>
        </w:rPr>
        <w:t>6</w:t>
      </w:r>
      <w:r w:rsidRPr="00884820">
        <w:rPr>
          <w:szCs w:val="24"/>
        </w:rPr>
        <w:t xml:space="preserve"> audit firms annually, and audit files of other audit firms of listed entities based on their risk</w:t>
      </w:r>
      <w:r w:rsidR="00EB0779">
        <w:rPr>
          <w:szCs w:val="24"/>
        </w:rPr>
        <w:noBreakHyphen/>
      </w:r>
      <w:r w:rsidRPr="00884820">
        <w:rPr>
          <w:szCs w:val="24"/>
        </w:rPr>
        <w:t>based sample. However</w:t>
      </w:r>
      <w:r>
        <w:rPr>
          <w:szCs w:val="24"/>
        </w:rPr>
        <w:t>,</w:t>
      </w:r>
      <w:r w:rsidRPr="00884820">
        <w:rPr>
          <w:szCs w:val="24"/>
        </w:rPr>
        <w:t xml:space="preserve"> as noted in the </w:t>
      </w:r>
      <w:r w:rsidRPr="00884820">
        <w:rPr>
          <w:i/>
          <w:iCs/>
          <w:szCs w:val="24"/>
        </w:rPr>
        <w:t>ASIC</w:t>
      </w:r>
      <w:r w:rsidR="00EB0779">
        <w:rPr>
          <w:i/>
          <w:iCs/>
          <w:szCs w:val="24"/>
        </w:rPr>
        <w:t>’</w:t>
      </w:r>
      <w:r w:rsidRPr="00884820">
        <w:rPr>
          <w:i/>
          <w:iCs/>
          <w:szCs w:val="24"/>
        </w:rPr>
        <w:t>s Oversight of Auditors</w:t>
      </w:r>
      <w:r w:rsidRPr="00884820">
        <w:rPr>
          <w:szCs w:val="24"/>
        </w:rPr>
        <w:t xml:space="preserve"> section of this report ASIC ha</w:t>
      </w:r>
      <w:r>
        <w:rPr>
          <w:szCs w:val="24"/>
        </w:rPr>
        <w:t>s</w:t>
      </w:r>
      <w:r w:rsidRPr="00884820">
        <w:rPr>
          <w:szCs w:val="24"/>
        </w:rPr>
        <w:t xml:space="preserve"> recently changed </w:t>
      </w:r>
      <w:r>
        <w:rPr>
          <w:szCs w:val="24"/>
        </w:rPr>
        <w:t>its</w:t>
      </w:r>
      <w:r w:rsidRPr="00884820">
        <w:rPr>
          <w:szCs w:val="24"/>
        </w:rPr>
        <w:t xml:space="preserve"> inspection program </w:t>
      </w:r>
      <w:r w:rsidRPr="00C55E74">
        <w:rPr>
          <w:color w:val="auto"/>
          <w:szCs w:val="24"/>
        </w:rPr>
        <w:t xml:space="preserve">and it is not clear if the largest </w:t>
      </w:r>
      <w:r w:rsidR="00B50466">
        <w:rPr>
          <w:color w:val="auto"/>
          <w:szCs w:val="24"/>
        </w:rPr>
        <w:t>6</w:t>
      </w:r>
      <w:r w:rsidRPr="00C55E74">
        <w:rPr>
          <w:color w:val="auto"/>
          <w:szCs w:val="24"/>
        </w:rPr>
        <w:t xml:space="preserve"> audit firms will continue to be reviewed every year. </w:t>
      </w:r>
    </w:p>
    <w:p w14:paraId="1DF84FA9" w14:textId="4F573FCF" w:rsidR="00DB57EC" w:rsidRPr="00884820" w:rsidRDefault="00DB57EC" w:rsidP="00CC2883">
      <w:r w:rsidRPr="00C55E74">
        <w:t>The audit firms we met with provided feedback that they whilst they did not always agree with ASIC</w:t>
      </w:r>
      <w:r w:rsidR="00EB0779">
        <w:t>’</w:t>
      </w:r>
      <w:r w:rsidRPr="00C55E74">
        <w:t xml:space="preserve">s </w:t>
      </w:r>
      <w:proofErr w:type="gramStart"/>
      <w:r w:rsidRPr="00C55E74">
        <w:t>findings</w:t>
      </w:r>
      <w:proofErr w:type="gramEnd"/>
      <w:r w:rsidRPr="00C55E74">
        <w:t xml:space="preserve"> they agree that ASIC</w:t>
      </w:r>
      <w:r w:rsidR="00EB0779">
        <w:t>’</w:t>
      </w:r>
      <w:r w:rsidRPr="00C55E74">
        <w:t xml:space="preserve">s audit surveillance program has resulted in an improvement in </w:t>
      </w:r>
      <w:r>
        <w:t>audit quality. They also provided the following feedback where ASIC</w:t>
      </w:r>
      <w:r w:rsidR="00EB0779">
        <w:t>’</w:t>
      </w:r>
      <w:r>
        <w:t xml:space="preserve">s program could be enhanced: </w:t>
      </w:r>
      <w:r w:rsidRPr="00884820">
        <w:t xml:space="preserve"> </w:t>
      </w:r>
    </w:p>
    <w:p w14:paraId="5A14C243" w14:textId="77777777" w:rsidR="00DB57EC" w:rsidRDefault="00DB57EC" w:rsidP="009A45C2">
      <w:pPr>
        <w:pStyle w:val="Bullet"/>
      </w:pPr>
      <w:r>
        <w:t>More</w:t>
      </w:r>
      <w:r w:rsidRPr="00884820">
        <w:t xml:space="preserve"> attention </w:t>
      </w:r>
      <w:r>
        <w:t xml:space="preserve">should be </w:t>
      </w:r>
      <w:r w:rsidRPr="00884820">
        <w:t xml:space="preserve">given to firm wide quality management systems which are designed to </w:t>
      </w:r>
      <w:r>
        <w:t>support</w:t>
      </w:r>
      <w:r w:rsidRPr="00884820">
        <w:t xml:space="preserve"> audit quality. </w:t>
      </w:r>
    </w:p>
    <w:p w14:paraId="696D6332" w14:textId="77777777" w:rsidR="00DB57EC" w:rsidRPr="00884820" w:rsidRDefault="00DB57EC" w:rsidP="009A45C2">
      <w:pPr>
        <w:pStyle w:val="Bullet"/>
      </w:pPr>
      <w:r w:rsidRPr="00884820">
        <w:t>ASIC focus on a small part of the file and do not review the file more holistically.</w:t>
      </w:r>
    </w:p>
    <w:p w14:paraId="248373B8" w14:textId="77777777" w:rsidR="00DB57EC" w:rsidRPr="00884820" w:rsidRDefault="00DB57EC" w:rsidP="009A45C2">
      <w:pPr>
        <w:pStyle w:val="Bullet"/>
      </w:pPr>
      <w:r>
        <w:t>T</w:t>
      </w:r>
      <w:r w:rsidRPr="00884820">
        <w:t xml:space="preserve">he relative inexperience of the inspectors. </w:t>
      </w:r>
    </w:p>
    <w:p w14:paraId="61FB2BAA" w14:textId="77777777" w:rsidR="00DB57EC" w:rsidRDefault="00DB57EC" w:rsidP="009A45C2">
      <w:pPr>
        <w:pStyle w:val="Bullet"/>
      </w:pPr>
      <w:r>
        <w:t>T</w:t>
      </w:r>
      <w:r w:rsidRPr="00884820">
        <w:t>here being no transparent escalation process for firms if they strongly disagree with the findings in the future.</w:t>
      </w:r>
    </w:p>
    <w:p w14:paraId="1C5B11FA" w14:textId="301D91A5" w:rsidR="00DB57EC" w:rsidRPr="00884820" w:rsidRDefault="00DB57EC" w:rsidP="009A45C2">
      <w:r>
        <w:t xml:space="preserve">Note that ASIC do not agree with all elements of this feedback. </w:t>
      </w:r>
    </w:p>
    <w:p w14:paraId="2060A4D4" w14:textId="4C247CCC" w:rsidR="00DB57EC" w:rsidRPr="009A45C2" w:rsidRDefault="00DB57EC" w:rsidP="00DB57EC">
      <w:pPr>
        <w:rPr>
          <w:i/>
          <w:iCs/>
        </w:rPr>
      </w:pPr>
      <w:r w:rsidRPr="00884820">
        <w:t>The PAB</w:t>
      </w:r>
      <w:r>
        <w:t>s</w:t>
      </w:r>
      <w:r w:rsidRPr="00884820">
        <w:t xml:space="preserve"> review their members on a rotational basis which under the IFAC</w:t>
      </w:r>
      <w:r w:rsidR="00EB0779">
        <w:t>’</w:t>
      </w:r>
      <w:r w:rsidRPr="00884820">
        <w:t xml:space="preserve">s SMO 1 should be every </w:t>
      </w:r>
      <w:r w:rsidR="00B50466">
        <w:t>3 </w:t>
      </w:r>
      <w:r w:rsidRPr="00884820">
        <w:t>years</w:t>
      </w:r>
      <w:r>
        <w:t xml:space="preserve"> for audit firms of PIEs and </w:t>
      </w:r>
      <w:r w:rsidR="00B50466">
        <w:t>6 </w:t>
      </w:r>
      <w:r>
        <w:t xml:space="preserve">years for other audit firms. We understand that the PABs have conducted reviews of the largest </w:t>
      </w:r>
      <w:r w:rsidR="00B50466">
        <w:t>6</w:t>
      </w:r>
      <w:r>
        <w:t xml:space="preserve"> audit firms on a periodic basis. In addition,</w:t>
      </w:r>
      <w:r w:rsidRPr="00884820">
        <w:t xml:space="preserve"> the PABs </w:t>
      </w:r>
      <w:r>
        <w:t xml:space="preserve">monitor whether its members have quality control systems in place. The PABs </w:t>
      </w:r>
      <w:r w:rsidRPr="00884820">
        <w:t>do not review audit files</w:t>
      </w:r>
      <w:r>
        <w:t xml:space="preserve"> at the </w:t>
      </w:r>
      <w:r w:rsidR="00B50466">
        <w:t>6 </w:t>
      </w:r>
      <w:r>
        <w:t>largest audit firms as they consider this an overlap with ASIC</w:t>
      </w:r>
      <w:r w:rsidR="00EB0779">
        <w:t>’</w:t>
      </w:r>
      <w:r>
        <w:t>s program</w:t>
      </w:r>
      <w:r w:rsidRPr="00884820">
        <w:t xml:space="preserve">. Refer to the </w:t>
      </w:r>
      <w:r w:rsidRPr="00884820">
        <w:rPr>
          <w:i/>
          <w:iCs/>
        </w:rPr>
        <w:t>Professional Accounting Bodies Oversight of Auditors</w:t>
      </w:r>
      <w:r w:rsidRPr="00884820">
        <w:t xml:space="preserve"> section of this report for more information on their programs</w:t>
      </w:r>
      <w:r w:rsidR="00EB0779">
        <w:t xml:space="preserve">. </w:t>
      </w:r>
    </w:p>
    <w:p w14:paraId="36A02EF6" w14:textId="77777777" w:rsidR="00DB57EC" w:rsidRPr="002A7B6A" w:rsidRDefault="00DB57EC" w:rsidP="009A45C2">
      <w:pPr>
        <w:pStyle w:val="Heading3"/>
      </w:pPr>
      <w:bookmarkStart w:id="28" w:name="_Toc149551274"/>
      <w:r w:rsidRPr="002A7B6A">
        <w:t>Transparency Reports</w:t>
      </w:r>
      <w:bookmarkEnd w:id="28"/>
    </w:p>
    <w:p w14:paraId="513FA782" w14:textId="6B308C13" w:rsidR="00DB57EC" w:rsidRPr="003A13EA" w:rsidRDefault="00DB57EC" w:rsidP="003A13EA">
      <w:r w:rsidRPr="00884820">
        <w:t>Audit firms who perform more than ten audits of listed entities are required to prepare a Transparen</w:t>
      </w:r>
      <w:r w:rsidRPr="003A13EA">
        <w:t>cy Report</w:t>
      </w:r>
      <w:r w:rsidR="00675CEA">
        <w:rPr>
          <w:rFonts w:ascii="ZWAdobeF" w:hAnsi="ZWAdobeF" w:cs="ZWAdobeF"/>
          <w:color w:val="auto"/>
          <w:sz w:val="2"/>
          <w:szCs w:val="2"/>
        </w:rPr>
        <w:t>26F</w:t>
      </w:r>
      <w:r w:rsidRPr="003A13EA">
        <w:rPr>
          <w:vertAlign w:val="superscript"/>
        </w:rPr>
        <w:footnoteReference w:id="27"/>
      </w:r>
      <w:r w:rsidRPr="003A13EA">
        <w:t xml:space="preserve"> to c</w:t>
      </w:r>
      <w:r w:rsidRPr="00884820">
        <w:t>ommunicate certain information relevant to the firm</w:t>
      </w:r>
      <w:r w:rsidR="00EB0779">
        <w:t>’</w:t>
      </w:r>
      <w:r w:rsidRPr="00884820">
        <w:t xml:space="preserve">s structure and their systems of quality management. Refer to ASIC </w:t>
      </w:r>
      <w:hyperlink r:id="rId34" w:history="1">
        <w:r w:rsidRPr="00E26F7C">
          <w:rPr>
            <w:rStyle w:val="Hyperlink"/>
            <w:szCs w:val="24"/>
          </w:rPr>
          <w:t>Information Sheet 184</w:t>
        </w:r>
      </w:hyperlink>
      <w:r w:rsidRPr="00884820">
        <w:t xml:space="preserve"> for full details of the required reporting. The Transparency Reports are an opportunity for the audit firms to communicate matters relevant to management of quality</w:t>
      </w:r>
      <w:r>
        <w:t xml:space="preserve"> with the objective to enhance confidence in the firm</w:t>
      </w:r>
      <w:r w:rsidR="00EB0779">
        <w:t>’</w:t>
      </w:r>
      <w:r>
        <w:t>s quality</w:t>
      </w:r>
      <w:r w:rsidRPr="003A13EA">
        <w:t>.</w:t>
      </w:r>
      <w:r w:rsidR="00675CEA">
        <w:rPr>
          <w:rFonts w:ascii="ZWAdobeF" w:hAnsi="ZWAdobeF" w:cs="ZWAdobeF"/>
          <w:color w:val="auto"/>
          <w:sz w:val="2"/>
          <w:szCs w:val="2"/>
        </w:rPr>
        <w:t>27F</w:t>
      </w:r>
      <w:r w:rsidRPr="003A13EA">
        <w:rPr>
          <w:vertAlign w:val="superscript"/>
        </w:rPr>
        <w:footnoteReference w:id="28"/>
      </w:r>
      <w:r w:rsidRPr="003A13EA">
        <w:t xml:space="preserve"> </w:t>
      </w:r>
    </w:p>
    <w:p w14:paraId="25C8314E" w14:textId="433797E3" w:rsidR="00DB57EC" w:rsidRPr="002A7B6A" w:rsidRDefault="00DB57EC" w:rsidP="009A45C2">
      <w:pPr>
        <w:pStyle w:val="Heading3"/>
      </w:pPr>
      <w:bookmarkStart w:id="29" w:name="_Toc149551275"/>
      <w:r w:rsidRPr="002A7B6A">
        <w:t>Governance of the</w:t>
      </w:r>
      <w:r>
        <w:rPr>
          <w:iCs/>
          <w:szCs w:val="24"/>
        </w:rPr>
        <w:t xml:space="preserve"> </w:t>
      </w:r>
      <w:r w:rsidRPr="00C25B9F">
        <w:t>Audit Firms</w:t>
      </w:r>
      <w:bookmarkEnd w:id="29"/>
    </w:p>
    <w:p w14:paraId="1A59E79A" w14:textId="7DAD35C1" w:rsidR="00DB57EC" w:rsidRPr="009A45C2" w:rsidRDefault="00DB57EC" w:rsidP="00DB57EC">
      <w:r w:rsidRPr="00884820">
        <w:t>The audit firms are usually large partnerships and managed by executive boards and governed by governance boards, members of which are usually partners</w:t>
      </w:r>
      <w:r w:rsidR="00EB0779">
        <w:t xml:space="preserve">. </w:t>
      </w:r>
      <w:r>
        <w:t>C</w:t>
      </w:r>
      <w:r w:rsidRPr="00884820">
        <w:t xml:space="preserve">oncerns </w:t>
      </w:r>
      <w:r>
        <w:t xml:space="preserve">have been raised </w:t>
      </w:r>
      <w:r w:rsidRPr="00884820">
        <w:t xml:space="preserve">as to </w:t>
      </w:r>
      <w:r>
        <w:t xml:space="preserve">whether </w:t>
      </w:r>
      <w:r w:rsidRPr="00884820">
        <w:t xml:space="preserve">structure of the large firms </w:t>
      </w:r>
      <w:r>
        <w:t>means they are not subject to the provisions of Corporations Act and</w:t>
      </w:r>
      <w:r w:rsidRPr="00884820">
        <w:t xml:space="preserve"> best practice corporate governance principles. For example, </w:t>
      </w:r>
      <w:r>
        <w:t>there may not be</w:t>
      </w:r>
      <w:r w:rsidRPr="00884820">
        <w:t xml:space="preserve"> an appropriate level of independent governance and oversight</w:t>
      </w:r>
      <w:r>
        <w:t>, and that the Corporation Act</w:t>
      </w:r>
      <w:r w:rsidR="00EB0779">
        <w:t>’</w:t>
      </w:r>
      <w:r>
        <w:t>s provisions in relation to director</w:t>
      </w:r>
      <w:r w:rsidR="00EB0779">
        <w:t>’</w:t>
      </w:r>
      <w:r>
        <w:t>s duties and pena</w:t>
      </w:r>
      <w:r w:rsidRPr="007C0344">
        <w:t>lties do not apply.</w:t>
      </w:r>
      <w:r w:rsidR="00675CEA">
        <w:rPr>
          <w:rFonts w:ascii="ZWAdobeF" w:hAnsi="ZWAdobeF" w:cs="ZWAdobeF"/>
          <w:color w:val="auto"/>
          <w:sz w:val="2"/>
          <w:szCs w:val="2"/>
        </w:rPr>
        <w:t>28F</w:t>
      </w:r>
      <w:r w:rsidRPr="007C0344">
        <w:rPr>
          <w:vertAlign w:val="superscript"/>
        </w:rPr>
        <w:footnoteReference w:id="29"/>
      </w:r>
    </w:p>
    <w:p w14:paraId="0616CE60" w14:textId="0419C1BB" w:rsidR="00C55E74" w:rsidRDefault="00DB57EC" w:rsidP="00DB57EC">
      <w:r w:rsidRPr="00884820">
        <w:rPr>
          <w:szCs w:val="24"/>
        </w:rPr>
        <w:t>The FRC discussed this with the audit firms and note that whilst some firms have introduced some non</w:t>
      </w:r>
      <w:r w:rsidR="00EB0779">
        <w:rPr>
          <w:szCs w:val="24"/>
        </w:rPr>
        <w:noBreakHyphen/>
      </w:r>
      <w:r w:rsidRPr="00884820">
        <w:rPr>
          <w:szCs w:val="24"/>
        </w:rPr>
        <w:t>executive personnel to oversight roles there is no requirement for them to do so, and th</w:t>
      </w:r>
      <w:r>
        <w:rPr>
          <w:szCs w:val="24"/>
        </w:rPr>
        <w:t>e</w:t>
      </w:r>
      <w:r w:rsidRPr="00884820">
        <w:rPr>
          <w:szCs w:val="24"/>
        </w:rPr>
        <w:t xml:space="preserve"> </w:t>
      </w:r>
      <w:r>
        <w:rPr>
          <w:szCs w:val="24"/>
        </w:rPr>
        <w:t>involvement of non</w:t>
      </w:r>
      <w:r w:rsidR="00EB0779">
        <w:rPr>
          <w:szCs w:val="24"/>
        </w:rPr>
        <w:noBreakHyphen/>
      </w:r>
      <w:r>
        <w:rPr>
          <w:szCs w:val="24"/>
        </w:rPr>
        <w:t xml:space="preserve">executives </w:t>
      </w:r>
      <w:r w:rsidRPr="00884820">
        <w:rPr>
          <w:szCs w:val="24"/>
        </w:rPr>
        <w:t>could be further enhanced.</w:t>
      </w:r>
      <w:r>
        <w:rPr>
          <w:szCs w:val="24"/>
        </w:rPr>
        <w:t xml:space="preserve"> We note that there have been recent announcements from some large firms that they are introducing enhancements to their governance </w:t>
      </w:r>
      <w:r w:rsidRPr="0019683B">
        <w:t xml:space="preserve">arrangements. We also note that there is a government inquiry into the structure of the firms which will be examining these matters. </w:t>
      </w:r>
    </w:p>
    <w:p w14:paraId="61164B37" w14:textId="77777777" w:rsidR="00C55E74" w:rsidRDefault="00C55E74">
      <w:pPr>
        <w:spacing w:before="0" w:after="160" w:line="259" w:lineRule="auto"/>
      </w:pPr>
      <w:r>
        <w:br w:type="page"/>
      </w:r>
    </w:p>
    <w:p w14:paraId="1D37F358" w14:textId="77777777" w:rsidR="00DB57EC" w:rsidRPr="0019683B" w:rsidRDefault="00DB57EC" w:rsidP="0019683B">
      <w:pPr>
        <w:pStyle w:val="Heading1"/>
      </w:pPr>
      <w:bookmarkStart w:id="30" w:name="_Toc143799229"/>
      <w:bookmarkStart w:id="31" w:name="_Toc149310323"/>
      <w:bookmarkStart w:id="32" w:name="_Toc149551276"/>
      <w:r w:rsidRPr="0019683B">
        <w:t>Professional Accounting Bodies Oversight of Auditors</w:t>
      </w:r>
      <w:bookmarkEnd w:id="30"/>
      <w:bookmarkEnd w:id="31"/>
      <w:bookmarkEnd w:id="32"/>
    </w:p>
    <w:p w14:paraId="067F3982" w14:textId="7DF3819D" w:rsidR="00DB57EC" w:rsidRPr="00884820" w:rsidRDefault="00DB57EC" w:rsidP="0019683B">
      <w:pPr>
        <w:rPr>
          <w:szCs w:val="24"/>
        </w:rPr>
      </w:pPr>
      <w:r w:rsidRPr="00884820">
        <w:rPr>
          <w:szCs w:val="24"/>
        </w:rPr>
        <w:t>Each PAB is a member of IFAC and is required to comply with IFAC</w:t>
      </w:r>
      <w:r w:rsidR="00EB0779">
        <w:rPr>
          <w:szCs w:val="24"/>
        </w:rPr>
        <w:t>’</w:t>
      </w:r>
      <w:r w:rsidRPr="00884820">
        <w:rPr>
          <w:szCs w:val="24"/>
        </w:rPr>
        <w:t xml:space="preserve">s </w:t>
      </w:r>
      <w:hyperlink r:id="rId35" w:history="1">
        <w:r w:rsidRPr="00037CD6">
          <w:rPr>
            <w:rStyle w:val="Hyperlink"/>
            <w:szCs w:val="24"/>
          </w:rPr>
          <w:t>SMOs</w:t>
        </w:r>
      </w:hyperlink>
      <w:r>
        <w:rPr>
          <w:rStyle w:val="Hyperlink"/>
          <w:szCs w:val="24"/>
        </w:rPr>
        <w:t>.</w:t>
      </w:r>
      <w:r>
        <w:rPr>
          <w:szCs w:val="24"/>
        </w:rPr>
        <w:t xml:space="preserve"> The SMOs provide clear benchmarks to IFAC member organisations and core competencies for PABs to serve and function in the public interest.</w:t>
      </w:r>
      <w:r w:rsidRPr="00884820">
        <w:rPr>
          <w:szCs w:val="24"/>
        </w:rPr>
        <w:t xml:space="preserve"> </w:t>
      </w:r>
    </w:p>
    <w:p w14:paraId="4C5A2E68" w14:textId="4B905864" w:rsidR="00DB57EC" w:rsidRPr="00884820" w:rsidRDefault="00DB57EC" w:rsidP="00DB57EC">
      <w:pPr>
        <w:rPr>
          <w:szCs w:val="24"/>
        </w:rPr>
      </w:pPr>
      <w:r w:rsidRPr="00884820">
        <w:rPr>
          <w:szCs w:val="24"/>
        </w:rPr>
        <w:t>Each PAB currently maintains and monitors their members</w:t>
      </w:r>
      <w:r w:rsidR="00EB0779">
        <w:rPr>
          <w:szCs w:val="24"/>
        </w:rPr>
        <w:t>’</w:t>
      </w:r>
      <w:r w:rsidRPr="00884820">
        <w:rPr>
          <w:szCs w:val="24"/>
        </w:rPr>
        <w:t xml:space="preserve"> professional competence through:</w:t>
      </w:r>
    </w:p>
    <w:p w14:paraId="3AB31895" w14:textId="3D755E71" w:rsidR="00DB57EC" w:rsidRPr="00884820" w:rsidRDefault="00DB57EC" w:rsidP="0019683B">
      <w:pPr>
        <w:pStyle w:val="Bullet"/>
      </w:pPr>
      <w:r w:rsidRPr="00884820">
        <w:t>Eligibility for membership with academic criteria plus completion of their specific post</w:t>
      </w:r>
      <w:r w:rsidR="00EB0779">
        <w:noBreakHyphen/>
      </w:r>
      <w:r w:rsidRPr="00884820">
        <w:t>graduate programs and relevant work experience</w:t>
      </w:r>
      <w:r>
        <w:t>.</w:t>
      </w:r>
    </w:p>
    <w:p w14:paraId="03C2ECF1" w14:textId="77777777" w:rsidR="00DB57EC" w:rsidRPr="00884820" w:rsidRDefault="00DB57EC" w:rsidP="0019683B">
      <w:pPr>
        <w:pStyle w:val="Bullet"/>
      </w:pPr>
      <w:r w:rsidRPr="00884820">
        <w:t xml:space="preserve">Providing ongoing training, </w:t>
      </w:r>
      <w:r w:rsidRPr="00884820" w:rsidDel="00801373">
        <w:t>guidance</w:t>
      </w:r>
      <w:r w:rsidRPr="00884820">
        <w:t>, and tools</w:t>
      </w:r>
      <w:r>
        <w:t>.</w:t>
      </w:r>
    </w:p>
    <w:p w14:paraId="680880BC" w14:textId="77777777" w:rsidR="00DB57EC" w:rsidRPr="00884820" w:rsidRDefault="00DB57EC" w:rsidP="0019683B">
      <w:pPr>
        <w:pStyle w:val="Bullet"/>
      </w:pPr>
      <w:r w:rsidRPr="00884820">
        <w:t>CPD</w:t>
      </w:r>
      <w:r>
        <w:t xml:space="preserve"> </w:t>
      </w:r>
      <w:r w:rsidRPr="00884820">
        <w:t>requirements</w:t>
      </w:r>
      <w:r>
        <w:t>.</w:t>
      </w:r>
    </w:p>
    <w:p w14:paraId="0AC69C4E" w14:textId="6E33B481" w:rsidR="00DB57EC" w:rsidRPr="0019683B" w:rsidRDefault="00DB57EC" w:rsidP="0019683B">
      <w:pPr>
        <w:pStyle w:val="Bullet"/>
        <w:rPr>
          <w:i/>
          <w:iCs/>
        </w:rPr>
      </w:pPr>
      <w:r w:rsidRPr="00884820">
        <w:t>Quality review programs of individual members and firms.</w:t>
      </w:r>
    </w:p>
    <w:p w14:paraId="0067137D" w14:textId="77777777" w:rsidR="00DB57EC" w:rsidRPr="002A7B6A" w:rsidRDefault="00DB57EC" w:rsidP="0019683B">
      <w:pPr>
        <w:pStyle w:val="Heading2"/>
      </w:pPr>
      <w:bookmarkStart w:id="33" w:name="_Toc149551277"/>
      <w:r w:rsidRPr="002A7B6A">
        <w:t>Qua</w:t>
      </w:r>
      <w:r w:rsidRPr="00007B0C">
        <w:t>lity Review Programs</w:t>
      </w:r>
      <w:bookmarkEnd w:id="33"/>
    </w:p>
    <w:p w14:paraId="469672F7" w14:textId="20A1BC27" w:rsidR="00DB57EC" w:rsidRPr="0019683B" w:rsidRDefault="00DB57EC" w:rsidP="00DB57EC">
      <w:pPr>
        <w:rPr>
          <w:szCs w:val="24"/>
        </w:rPr>
      </w:pPr>
      <w:r w:rsidRPr="00884820">
        <w:rPr>
          <w:szCs w:val="24"/>
        </w:rPr>
        <w:t xml:space="preserve">The PABs are required to perform </w:t>
      </w:r>
      <w:r>
        <w:rPr>
          <w:szCs w:val="24"/>
        </w:rPr>
        <w:t>q</w:t>
      </w:r>
      <w:r w:rsidRPr="00884820">
        <w:rPr>
          <w:szCs w:val="24"/>
        </w:rPr>
        <w:t xml:space="preserve">uality </w:t>
      </w:r>
      <w:r>
        <w:rPr>
          <w:szCs w:val="24"/>
        </w:rPr>
        <w:t>r</w:t>
      </w:r>
      <w:r w:rsidRPr="00884820">
        <w:rPr>
          <w:szCs w:val="24"/>
        </w:rPr>
        <w:t xml:space="preserve">eview </w:t>
      </w:r>
      <w:r>
        <w:rPr>
          <w:szCs w:val="24"/>
        </w:rPr>
        <w:t>p</w:t>
      </w:r>
      <w:r w:rsidRPr="00884820">
        <w:rPr>
          <w:szCs w:val="24"/>
        </w:rPr>
        <w:t>rograms which are governed by IFAC</w:t>
      </w:r>
      <w:r w:rsidR="00EB0779">
        <w:rPr>
          <w:szCs w:val="24"/>
        </w:rPr>
        <w:t>’</w:t>
      </w:r>
      <w:r w:rsidRPr="00884820">
        <w:rPr>
          <w:szCs w:val="24"/>
        </w:rPr>
        <w:t xml:space="preserve">s </w:t>
      </w:r>
      <w:r>
        <w:rPr>
          <w:szCs w:val="24"/>
        </w:rPr>
        <w:t>SMO</w:t>
      </w:r>
      <w:r w:rsidRPr="00884820">
        <w:rPr>
          <w:szCs w:val="24"/>
        </w:rPr>
        <w:t xml:space="preserve"> 1. SMO 1 covers how to plan and perform quality assurance reviews of firms and individual members (including auditors) and take appropriate </w:t>
      </w:r>
      <w:r>
        <w:rPr>
          <w:szCs w:val="24"/>
        </w:rPr>
        <w:t xml:space="preserve">corrective </w:t>
      </w:r>
      <w:r w:rsidRPr="00884820">
        <w:rPr>
          <w:szCs w:val="24"/>
        </w:rPr>
        <w:t>action for non</w:t>
      </w:r>
      <w:r w:rsidR="00EB0779">
        <w:rPr>
          <w:szCs w:val="24"/>
        </w:rPr>
        <w:noBreakHyphen/>
      </w:r>
      <w:r w:rsidRPr="00884820">
        <w:rPr>
          <w:szCs w:val="24"/>
        </w:rPr>
        <w:t>compliance. SMO1 allows PABs to give due consideration to quality review programs operated by other appointed authorities (e.g., ASIC) to ensure there is no undue overlap between the programs. The FRC understand</w:t>
      </w:r>
      <w:r>
        <w:rPr>
          <w:szCs w:val="24"/>
        </w:rPr>
        <w:t>s</w:t>
      </w:r>
      <w:r w:rsidRPr="00884820">
        <w:rPr>
          <w:szCs w:val="24"/>
        </w:rPr>
        <w:t xml:space="preserve"> that the </w:t>
      </w:r>
      <w:r w:rsidR="00B50466">
        <w:rPr>
          <w:szCs w:val="24"/>
        </w:rPr>
        <w:t>3 </w:t>
      </w:r>
      <w:r w:rsidRPr="00884820">
        <w:rPr>
          <w:szCs w:val="24"/>
        </w:rPr>
        <w:t xml:space="preserve">PABs in Australia conduct reviews of </w:t>
      </w:r>
      <w:r>
        <w:rPr>
          <w:szCs w:val="24"/>
        </w:rPr>
        <w:t>members who are auditors</w:t>
      </w:r>
      <w:r w:rsidRPr="00884820">
        <w:rPr>
          <w:szCs w:val="24"/>
        </w:rPr>
        <w:t xml:space="preserve"> who they believe will not be reviewed by ASIC</w:t>
      </w:r>
      <w:r w:rsidRPr="007A74F5">
        <w:rPr>
          <w:szCs w:val="24"/>
        </w:rPr>
        <w:t xml:space="preserve">, and </w:t>
      </w:r>
      <w:r>
        <w:rPr>
          <w:szCs w:val="24"/>
        </w:rPr>
        <w:t>a</w:t>
      </w:r>
      <w:r w:rsidRPr="004930A5">
        <w:rPr>
          <w:szCs w:val="24"/>
        </w:rPr>
        <w:t xml:space="preserve">s a </w:t>
      </w:r>
      <w:r w:rsidRPr="00BA5780">
        <w:rPr>
          <w:szCs w:val="24"/>
        </w:rPr>
        <w:t>result,</w:t>
      </w:r>
      <w:r w:rsidRPr="004930A5">
        <w:rPr>
          <w:szCs w:val="24"/>
        </w:rPr>
        <w:t xml:space="preserve"> </w:t>
      </w:r>
      <w:r>
        <w:rPr>
          <w:szCs w:val="24"/>
        </w:rPr>
        <w:t xml:space="preserve">the </w:t>
      </w:r>
      <w:r w:rsidRPr="004930A5">
        <w:rPr>
          <w:szCs w:val="24"/>
        </w:rPr>
        <w:t xml:space="preserve">PABs do not review engagement files of the largest </w:t>
      </w:r>
      <w:r w:rsidR="00B50466">
        <w:rPr>
          <w:szCs w:val="24"/>
        </w:rPr>
        <w:t>6</w:t>
      </w:r>
      <w:r w:rsidRPr="004930A5">
        <w:rPr>
          <w:szCs w:val="24"/>
        </w:rPr>
        <w:t xml:space="preserve"> and some mid</w:t>
      </w:r>
      <w:r w:rsidR="00EB0779">
        <w:rPr>
          <w:szCs w:val="24"/>
        </w:rPr>
        <w:noBreakHyphen/>
      </w:r>
      <w:r w:rsidRPr="004930A5">
        <w:rPr>
          <w:szCs w:val="24"/>
        </w:rPr>
        <w:t>tier firms.</w:t>
      </w:r>
    </w:p>
    <w:p w14:paraId="14C54FD1" w14:textId="1720068A" w:rsidR="00DB57EC" w:rsidRPr="00884820" w:rsidRDefault="00DB57EC" w:rsidP="00DB57EC">
      <w:pPr>
        <w:rPr>
          <w:szCs w:val="24"/>
        </w:rPr>
      </w:pPr>
      <w:r>
        <w:rPr>
          <w:szCs w:val="24"/>
        </w:rPr>
        <w:t>There</w:t>
      </w:r>
      <w:r w:rsidRPr="00884820">
        <w:rPr>
          <w:szCs w:val="24"/>
        </w:rPr>
        <w:t xml:space="preserve"> is no formal agreement in place </w:t>
      </w:r>
      <w:r>
        <w:rPr>
          <w:szCs w:val="24"/>
        </w:rPr>
        <w:t xml:space="preserve">or communications </w:t>
      </w:r>
      <w:r w:rsidRPr="00884820">
        <w:rPr>
          <w:szCs w:val="24"/>
        </w:rPr>
        <w:t xml:space="preserve">between </w:t>
      </w:r>
      <w:r>
        <w:rPr>
          <w:szCs w:val="24"/>
        </w:rPr>
        <w:t>ASIC and the PABs</w:t>
      </w:r>
      <w:r w:rsidRPr="00884820">
        <w:rPr>
          <w:szCs w:val="24"/>
        </w:rPr>
        <w:t xml:space="preserve">, as to the scope of their programs. </w:t>
      </w:r>
      <w:r>
        <w:rPr>
          <w:szCs w:val="24"/>
        </w:rPr>
        <w:t xml:space="preserve">The FRC understand that ASIC communicate to the PABs which firms and files they have reviewed, however we consider this could be enhanced to include up front communication on the scope of their respective programs. </w:t>
      </w:r>
    </w:p>
    <w:p w14:paraId="6CC0087A" w14:textId="08D3FC43" w:rsidR="00DB57EC" w:rsidRDefault="00DB57EC" w:rsidP="00DB57EC">
      <w:pPr>
        <w:rPr>
          <w:szCs w:val="24"/>
        </w:rPr>
      </w:pPr>
      <w:r w:rsidRPr="00884820">
        <w:rPr>
          <w:szCs w:val="24"/>
        </w:rPr>
        <w:t xml:space="preserve">The PABs review all members </w:t>
      </w:r>
      <w:r>
        <w:rPr>
          <w:szCs w:val="24"/>
        </w:rPr>
        <w:t xml:space="preserve">with a CPP (generally the partner) </w:t>
      </w:r>
      <w:r w:rsidRPr="00884820">
        <w:rPr>
          <w:szCs w:val="24"/>
        </w:rPr>
        <w:t>an</w:t>
      </w:r>
      <w:r>
        <w:rPr>
          <w:szCs w:val="24"/>
        </w:rPr>
        <w:t>d</w:t>
      </w:r>
      <w:r w:rsidRPr="00884820">
        <w:rPr>
          <w:szCs w:val="24"/>
        </w:rPr>
        <w:t>/or firms however each has a different program for auditors.</w:t>
      </w:r>
      <w:r>
        <w:rPr>
          <w:szCs w:val="24"/>
        </w:rPr>
        <w:t xml:space="preserve"> </w:t>
      </w:r>
      <w:r w:rsidRPr="00884820">
        <w:rPr>
          <w:szCs w:val="24"/>
        </w:rPr>
        <w:t>SMO 1 allows the PABs to have different approaches to how they run their programs. Jurisdictions may adopt a cycle</w:t>
      </w:r>
      <w:r w:rsidR="00EB0779">
        <w:rPr>
          <w:szCs w:val="24"/>
        </w:rPr>
        <w:noBreakHyphen/>
      </w:r>
      <w:r w:rsidRPr="00884820">
        <w:rPr>
          <w:szCs w:val="24"/>
        </w:rPr>
        <w:t>based, risk</w:t>
      </w:r>
      <w:r w:rsidR="00EB0779">
        <w:rPr>
          <w:szCs w:val="24"/>
        </w:rPr>
        <w:noBreakHyphen/>
      </w:r>
      <w:r w:rsidRPr="00884820" w:rsidDel="00801373">
        <w:rPr>
          <w:szCs w:val="24"/>
        </w:rPr>
        <w:t>based</w:t>
      </w:r>
      <w:r w:rsidRPr="00884820">
        <w:rPr>
          <w:szCs w:val="24"/>
        </w:rPr>
        <w:t xml:space="preserve">, or mixed approach. </w:t>
      </w:r>
      <w:r>
        <w:rPr>
          <w:szCs w:val="24"/>
        </w:rPr>
        <w:t>SMO 1</w:t>
      </w:r>
      <w:r w:rsidRPr="00884820">
        <w:rPr>
          <w:szCs w:val="24"/>
        </w:rPr>
        <w:t xml:space="preserve"> details that generally, firms that perform audits of financial statements of </w:t>
      </w:r>
      <w:r w:rsidRPr="008D5BBB">
        <w:rPr>
          <w:szCs w:val="24"/>
        </w:rPr>
        <w:t>PIEs</w:t>
      </w:r>
      <w:r w:rsidRPr="00884820">
        <w:rPr>
          <w:szCs w:val="24"/>
        </w:rPr>
        <w:t xml:space="preserve"> should be reviewed at least every </w:t>
      </w:r>
      <w:r w:rsidR="00B50466">
        <w:rPr>
          <w:szCs w:val="24"/>
        </w:rPr>
        <w:t>3 </w:t>
      </w:r>
      <w:r w:rsidRPr="00884820">
        <w:rPr>
          <w:szCs w:val="24"/>
        </w:rPr>
        <w:t>years (</w:t>
      </w:r>
      <w:r w:rsidR="00B50466">
        <w:rPr>
          <w:szCs w:val="24"/>
        </w:rPr>
        <w:t>6 </w:t>
      </w:r>
      <w:r w:rsidRPr="00884820">
        <w:rPr>
          <w:szCs w:val="24"/>
        </w:rPr>
        <w:t>years for firms that audit non</w:t>
      </w:r>
      <w:r w:rsidR="00EB0779">
        <w:rPr>
          <w:szCs w:val="24"/>
        </w:rPr>
        <w:noBreakHyphen/>
      </w:r>
      <w:r w:rsidRPr="00884820">
        <w:rPr>
          <w:szCs w:val="24"/>
        </w:rPr>
        <w:t>PIEs). However, some firms may need to be reviewed more frequently, meaning that the cycle may be shortened</w:t>
      </w:r>
      <w:r>
        <w:rPr>
          <w:szCs w:val="24"/>
        </w:rPr>
        <w:t xml:space="preserve">, </w:t>
      </w:r>
      <w:r w:rsidRPr="00884820">
        <w:rPr>
          <w:szCs w:val="24"/>
        </w:rPr>
        <w:t xml:space="preserve">for example, when the results of the previous quality assurance review were less than satisfactory. </w:t>
      </w:r>
    </w:p>
    <w:p w14:paraId="398EE56E" w14:textId="02AD388C" w:rsidR="00DB57EC" w:rsidRPr="00884820" w:rsidRDefault="00DB57EC" w:rsidP="00DB57EC">
      <w:pPr>
        <w:rPr>
          <w:szCs w:val="24"/>
        </w:rPr>
      </w:pPr>
      <w:r>
        <w:rPr>
          <w:szCs w:val="24"/>
        </w:rPr>
        <w:t>The PABs are required to perform ongoing self</w:t>
      </w:r>
      <w:r w:rsidR="00EB0779">
        <w:rPr>
          <w:szCs w:val="24"/>
        </w:rPr>
        <w:noBreakHyphen/>
      </w:r>
      <w:r>
        <w:rPr>
          <w:szCs w:val="24"/>
        </w:rPr>
        <w:t>assessments of their compliance with each of the SMO requirements. However, the PABs do not repor</w:t>
      </w:r>
      <w:r w:rsidRPr="00884820">
        <w:rPr>
          <w:szCs w:val="24"/>
        </w:rPr>
        <w:t>t</w:t>
      </w:r>
      <w:r>
        <w:rPr>
          <w:szCs w:val="24"/>
        </w:rPr>
        <w:t xml:space="preserve"> publicly whether they </w:t>
      </w:r>
      <w:proofErr w:type="gramStart"/>
      <w:r>
        <w:rPr>
          <w:szCs w:val="24"/>
        </w:rPr>
        <w:t>are in compliance with</w:t>
      </w:r>
      <w:proofErr w:type="gramEnd"/>
      <w:r>
        <w:rPr>
          <w:szCs w:val="24"/>
        </w:rPr>
        <w:t xml:space="preserve"> the SMOs including </w:t>
      </w:r>
      <w:r w:rsidRPr="00884820">
        <w:rPr>
          <w:szCs w:val="24"/>
        </w:rPr>
        <w:t>whether the number of reviews being performed on an annual basis is sufficient to meet the SMO 1 requirements.</w:t>
      </w:r>
    </w:p>
    <w:p w14:paraId="3A0478A4" w14:textId="58485846" w:rsidR="00DB57EC" w:rsidRPr="00884820" w:rsidRDefault="00DB57EC" w:rsidP="00DB57EC">
      <w:pPr>
        <w:rPr>
          <w:szCs w:val="24"/>
        </w:rPr>
      </w:pPr>
      <w:r w:rsidRPr="00884820">
        <w:rPr>
          <w:szCs w:val="24"/>
        </w:rPr>
        <w:t xml:space="preserve">The </w:t>
      </w:r>
      <w:r>
        <w:rPr>
          <w:szCs w:val="24"/>
        </w:rPr>
        <w:t>purpose of</w:t>
      </w:r>
      <w:r w:rsidRPr="00884820">
        <w:rPr>
          <w:szCs w:val="24"/>
        </w:rPr>
        <w:t xml:space="preserve"> PABs</w:t>
      </w:r>
      <w:r w:rsidR="00EB0779">
        <w:rPr>
          <w:szCs w:val="24"/>
        </w:rPr>
        <w:t>’</w:t>
      </w:r>
      <w:r w:rsidRPr="00884820">
        <w:rPr>
          <w:szCs w:val="24"/>
        </w:rPr>
        <w:t xml:space="preserve"> </w:t>
      </w:r>
      <w:r>
        <w:rPr>
          <w:szCs w:val="24"/>
        </w:rPr>
        <w:t>q</w:t>
      </w:r>
      <w:r w:rsidRPr="00884820">
        <w:rPr>
          <w:szCs w:val="24"/>
        </w:rPr>
        <w:t xml:space="preserve">uality </w:t>
      </w:r>
      <w:r>
        <w:rPr>
          <w:szCs w:val="24"/>
        </w:rPr>
        <w:t>r</w:t>
      </w:r>
      <w:r w:rsidRPr="00884820">
        <w:rPr>
          <w:szCs w:val="24"/>
        </w:rPr>
        <w:t xml:space="preserve">eview </w:t>
      </w:r>
      <w:r>
        <w:rPr>
          <w:szCs w:val="24"/>
        </w:rPr>
        <w:t>p</w:t>
      </w:r>
      <w:r w:rsidRPr="00884820">
        <w:rPr>
          <w:szCs w:val="24"/>
        </w:rPr>
        <w:t xml:space="preserve">rograms is </w:t>
      </w:r>
      <w:r>
        <w:rPr>
          <w:szCs w:val="24"/>
        </w:rPr>
        <w:t xml:space="preserve">educative and </w:t>
      </w:r>
      <w:r w:rsidRPr="00884820">
        <w:rPr>
          <w:szCs w:val="24"/>
        </w:rPr>
        <w:t>different to ASIC</w:t>
      </w:r>
      <w:r>
        <w:rPr>
          <w:szCs w:val="24"/>
        </w:rPr>
        <w:t xml:space="preserve"> as the statutory regulator. </w:t>
      </w:r>
      <w:r w:rsidRPr="00884820">
        <w:rPr>
          <w:szCs w:val="24"/>
        </w:rPr>
        <w:t xml:space="preserve">The </w:t>
      </w:r>
      <w:r>
        <w:rPr>
          <w:szCs w:val="24"/>
        </w:rPr>
        <w:t>PABs</w:t>
      </w:r>
      <w:r w:rsidR="00EB0779">
        <w:rPr>
          <w:szCs w:val="24"/>
        </w:rPr>
        <w:t>’</w:t>
      </w:r>
      <w:r>
        <w:rPr>
          <w:szCs w:val="24"/>
        </w:rPr>
        <w:t xml:space="preserve"> </w:t>
      </w:r>
      <w:r w:rsidRPr="00884820">
        <w:rPr>
          <w:szCs w:val="24"/>
        </w:rPr>
        <w:t>reviews are a high</w:t>
      </w:r>
      <w:r w:rsidR="00EB0779">
        <w:rPr>
          <w:szCs w:val="24"/>
        </w:rPr>
        <w:noBreakHyphen/>
      </w:r>
      <w:r w:rsidRPr="00884820">
        <w:rPr>
          <w:szCs w:val="24"/>
        </w:rPr>
        <w:t xml:space="preserve">level assessment of compliance </w:t>
      </w:r>
      <w:r>
        <w:rPr>
          <w:szCs w:val="24"/>
        </w:rPr>
        <w:t xml:space="preserve">with professional and technical standards. </w:t>
      </w:r>
      <w:r w:rsidRPr="00884820">
        <w:rPr>
          <w:szCs w:val="24"/>
        </w:rPr>
        <w:t>The</w:t>
      </w:r>
      <w:r w:rsidRPr="00884820" w:rsidDel="00B53366">
        <w:rPr>
          <w:szCs w:val="24"/>
        </w:rPr>
        <w:t xml:space="preserve"> </w:t>
      </w:r>
      <w:r w:rsidRPr="00884820">
        <w:rPr>
          <w:szCs w:val="24"/>
        </w:rPr>
        <w:t>quality review programs undertaken by each PAB:</w:t>
      </w:r>
    </w:p>
    <w:p w14:paraId="5894F096" w14:textId="77777777" w:rsidR="00DB57EC" w:rsidRPr="00884820" w:rsidRDefault="00DB57EC" w:rsidP="00530D06">
      <w:pPr>
        <w:pStyle w:val="Bullet"/>
      </w:pPr>
      <w:r>
        <w:t>A</w:t>
      </w:r>
      <w:r w:rsidRPr="00884820">
        <w:t>re</w:t>
      </w:r>
      <w:r w:rsidRPr="00884820" w:rsidDel="00D42877">
        <w:t xml:space="preserve"> </w:t>
      </w:r>
      <w:r w:rsidRPr="00884820">
        <w:t xml:space="preserve">focused on supporting members and </w:t>
      </w:r>
      <w:r>
        <w:t xml:space="preserve">promoting </w:t>
      </w:r>
      <w:r w:rsidRPr="00884820">
        <w:t xml:space="preserve">continuous improvement. </w:t>
      </w:r>
    </w:p>
    <w:p w14:paraId="64DE8F7E" w14:textId="19D7508A" w:rsidR="00DB57EC" w:rsidRDefault="00DB57EC" w:rsidP="00530D06">
      <w:pPr>
        <w:pStyle w:val="Bullet"/>
      </w:pPr>
      <w:r>
        <w:t xml:space="preserve">Monitor compliance with </w:t>
      </w:r>
      <w:proofErr w:type="gramStart"/>
      <w:r>
        <w:t>their</w:t>
      </w:r>
      <w:proofErr w:type="gramEnd"/>
      <w:r>
        <w:t xml:space="preserve"> by</w:t>
      </w:r>
      <w:r w:rsidR="00EB0779">
        <w:noBreakHyphen/>
      </w:r>
      <w:r>
        <w:t>laws and professional standards.</w:t>
      </w:r>
    </w:p>
    <w:p w14:paraId="4933CF48" w14:textId="77777777" w:rsidR="00DB57EC" w:rsidRPr="00490EA8" w:rsidRDefault="00DB57EC" w:rsidP="00530D06">
      <w:pPr>
        <w:pStyle w:val="Bullet"/>
      </w:pPr>
      <w:r>
        <w:t>E</w:t>
      </w:r>
      <w:r w:rsidRPr="00884820">
        <w:t xml:space="preserve">nsure there is </w:t>
      </w:r>
      <w:r>
        <w:t>documentation to support that there is a</w:t>
      </w:r>
      <w:r w:rsidRPr="00884820">
        <w:t xml:space="preserve"> system of quality management in place </w:t>
      </w:r>
      <w:r w:rsidRPr="00490EA8">
        <w:t xml:space="preserve">but </w:t>
      </w:r>
      <w:r>
        <w:t>may not</w:t>
      </w:r>
      <w:r w:rsidRPr="00490EA8">
        <w:t xml:space="preserve"> </w:t>
      </w:r>
      <w:r>
        <w:t>critically assess whether</w:t>
      </w:r>
      <w:r w:rsidRPr="00490EA8">
        <w:t xml:space="preserve"> this </w:t>
      </w:r>
      <w:proofErr w:type="gramStart"/>
      <w:r w:rsidRPr="00490EA8">
        <w:t>is in compliance with</w:t>
      </w:r>
      <w:proofErr w:type="gramEnd"/>
      <w:r w:rsidRPr="00490EA8">
        <w:t xml:space="preserve"> QMS.</w:t>
      </w:r>
    </w:p>
    <w:p w14:paraId="63A3D652" w14:textId="4CE768BA" w:rsidR="00DB57EC" w:rsidRPr="00884820" w:rsidRDefault="00DB57EC" w:rsidP="00530D06">
      <w:pPr>
        <w:pStyle w:val="Bullet"/>
      </w:pPr>
      <w:r>
        <w:t>Consider whether there is documentation to support the auditor</w:t>
      </w:r>
      <w:r w:rsidR="00EB0779">
        <w:t>’</w:t>
      </w:r>
      <w:r>
        <w:t xml:space="preserve">s conclusions, however, </w:t>
      </w:r>
      <w:r w:rsidRPr="00884820">
        <w:t>do</w:t>
      </w:r>
      <w:r w:rsidR="003A13EA">
        <w:t> </w:t>
      </w:r>
      <w:r w:rsidRPr="00884820">
        <w:t xml:space="preserve">not </w:t>
      </w:r>
      <w:r>
        <w:t xml:space="preserve">substitute their judgement with </w:t>
      </w:r>
      <w:r w:rsidRPr="00884820">
        <w:t>the key judgements that were made</w:t>
      </w:r>
      <w:r>
        <w:t xml:space="preserve"> by the auditor</w:t>
      </w:r>
      <w:r w:rsidRPr="00884820">
        <w:t>.</w:t>
      </w:r>
    </w:p>
    <w:p w14:paraId="1F61E77A" w14:textId="246D16A2" w:rsidR="00DB57EC" w:rsidRPr="00884820" w:rsidRDefault="00DB57EC" w:rsidP="00530D06">
      <w:pPr>
        <w:pStyle w:val="Bullet"/>
      </w:pPr>
      <w:r>
        <w:t>W</w:t>
      </w:r>
      <w:r w:rsidRPr="00884820">
        <w:t>hilst slightly different for each PAB</w:t>
      </w:r>
      <w:r>
        <w:t>,</w:t>
      </w:r>
      <w:r w:rsidRPr="00884820">
        <w:t xml:space="preserve"> </w:t>
      </w:r>
      <w:r>
        <w:t xml:space="preserve">measure </w:t>
      </w:r>
      <w:r w:rsidRPr="00884820">
        <w:t>the results as satisfactory/compliant, requires re</w:t>
      </w:r>
      <w:r w:rsidR="00EB0779">
        <w:noBreakHyphen/>
      </w:r>
      <w:r w:rsidRPr="00884820">
        <w:t>review / non</w:t>
      </w:r>
      <w:r w:rsidR="00EB0779">
        <w:noBreakHyphen/>
      </w:r>
      <w:r w:rsidRPr="00884820">
        <w:t xml:space="preserve">compliant, or unsatisfactory/disciplinary action required. </w:t>
      </w:r>
    </w:p>
    <w:p w14:paraId="704FDB8F" w14:textId="56F8BDC1" w:rsidR="00DB57EC" w:rsidRDefault="00DB57EC" w:rsidP="00DB57EC">
      <w:pPr>
        <w:rPr>
          <w:szCs w:val="24"/>
        </w:rPr>
      </w:pPr>
      <w:r>
        <w:rPr>
          <w:szCs w:val="24"/>
        </w:rPr>
        <w:t>The FRC did not review the PABs</w:t>
      </w:r>
      <w:r w:rsidR="00EB0779">
        <w:rPr>
          <w:szCs w:val="24"/>
        </w:rPr>
        <w:t>’</w:t>
      </w:r>
      <w:r>
        <w:rPr>
          <w:szCs w:val="24"/>
        </w:rPr>
        <w:t xml:space="preserve"> quality review programs in detail, however, did review parts of the programs which guide the reviewer i.e., their programs/checklists, and note that they are comprehensive and include for the reviewer to check compliance with some of the Auditing Standards. However, there may be variations in the effectiveness of a review as it is dependent on the quality of the reviewer and the level of robustness in their approach.</w:t>
      </w:r>
    </w:p>
    <w:p w14:paraId="184275D6" w14:textId="08FEE664" w:rsidR="00DB57EC" w:rsidRDefault="00DB57EC" w:rsidP="00DB57EC">
      <w:pPr>
        <w:rPr>
          <w:szCs w:val="24"/>
        </w:rPr>
      </w:pPr>
      <w:r>
        <w:rPr>
          <w:szCs w:val="24"/>
        </w:rPr>
        <w:t xml:space="preserve">As detailed in the </w:t>
      </w:r>
      <w:r w:rsidRPr="00490EA8">
        <w:rPr>
          <w:i/>
          <w:iCs/>
          <w:szCs w:val="24"/>
        </w:rPr>
        <w:t>Audit Firms</w:t>
      </w:r>
      <w:r>
        <w:rPr>
          <w:szCs w:val="24"/>
        </w:rPr>
        <w:t xml:space="preserve"> section of this report, the PABs </w:t>
      </w:r>
      <w:r w:rsidRPr="00884820">
        <w:rPr>
          <w:szCs w:val="24"/>
        </w:rPr>
        <w:t>do not review audit files</w:t>
      </w:r>
      <w:r>
        <w:rPr>
          <w:szCs w:val="24"/>
        </w:rPr>
        <w:t xml:space="preserve"> at the </w:t>
      </w:r>
      <w:r w:rsidR="00B50466">
        <w:rPr>
          <w:szCs w:val="24"/>
        </w:rPr>
        <w:t>6 </w:t>
      </w:r>
      <w:r>
        <w:rPr>
          <w:szCs w:val="24"/>
        </w:rPr>
        <w:t>largest audit firms as they consider this an overlap with ASIC</w:t>
      </w:r>
      <w:r w:rsidR="00EB0779">
        <w:rPr>
          <w:szCs w:val="24"/>
        </w:rPr>
        <w:t>’</w:t>
      </w:r>
      <w:r>
        <w:rPr>
          <w:szCs w:val="24"/>
        </w:rPr>
        <w:t>s program</w:t>
      </w:r>
      <w:r w:rsidRPr="00884820">
        <w:rPr>
          <w:szCs w:val="24"/>
        </w:rPr>
        <w:t xml:space="preserve">. </w:t>
      </w:r>
      <w:r>
        <w:rPr>
          <w:szCs w:val="24"/>
        </w:rPr>
        <w:t xml:space="preserve">They review the </w:t>
      </w:r>
      <w:r w:rsidR="00B50466">
        <w:rPr>
          <w:szCs w:val="24"/>
        </w:rPr>
        <w:t>6 </w:t>
      </w:r>
      <w:r>
        <w:rPr>
          <w:szCs w:val="24"/>
        </w:rPr>
        <w:t xml:space="preserve">largest firms on a periodic basis and review their overarching systems of quality management. </w:t>
      </w:r>
    </w:p>
    <w:p w14:paraId="48AF4CE3" w14:textId="77777777" w:rsidR="00DB57EC" w:rsidRDefault="00DB57EC" w:rsidP="00DB57EC">
      <w:pPr>
        <w:rPr>
          <w:szCs w:val="24"/>
        </w:rPr>
      </w:pPr>
      <w:r>
        <w:rPr>
          <w:szCs w:val="24"/>
        </w:rPr>
        <w:t xml:space="preserve">Only fundamental breaches of professional standards are referred to disciplinary action, and therefore only </w:t>
      </w:r>
      <w:r w:rsidRPr="00884820">
        <w:rPr>
          <w:szCs w:val="24"/>
        </w:rPr>
        <w:t>a small percentage of firms / auditors are referred to disciplinary action</w:t>
      </w:r>
      <w:r>
        <w:rPr>
          <w:szCs w:val="24"/>
        </w:rPr>
        <w:t xml:space="preserve"> in any given year.</w:t>
      </w:r>
    </w:p>
    <w:p w14:paraId="208CD71D" w14:textId="77777777" w:rsidR="00DB57EC" w:rsidRDefault="00DB57EC" w:rsidP="0019683B">
      <w:pPr>
        <w:pStyle w:val="Heading3"/>
      </w:pPr>
      <w:bookmarkStart w:id="34" w:name="_Toc149551278"/>
      <w:r w:rsidRPr="002A7B6A">
        <w:t xml:space="preserve">Communication of </w:t>
      </w:r>
      <w:r w:rsidRPr="00C02327">
        <w:t>results of Quality Review Programs</w:t>
      </w:r>
      <w:bookmarkEnd w:id="34"/>
    </w:p>
    <w:p w14:paraId="7CCE5985" w14:textId="38408F21" w:rsidR="00DB57EC" w:rsidRDefault="00DB57EC" w:rsidP="00DB57EC">
      <w:pPr>
        <w:rPr>
          <w:szCs w:val="24"/>
        </w:rPr>
      </w:pPr>
      <w:r>
        <w:rPr>
          <w:szCs w:val="24"/>
        </w:rPr>
        <w:t xml:space="preserve">The PABs communicates the results of their quality review programs to members for educative purposes and encourage continuous improvement. </w:t>
      </w:r>
    </w:p>
    <w:p w14:paraId="1372361B" w14:textId="59E824EB" w:rsidR="00DB57EC" w:rsidRDefault="00DB57EC" w:rsidP="00DB57EC">
      <w:pPr>
        <w:rPr>
          <w:szCs w:val="24"/>
        </w:rPr>
      </w:pPr>
      <w:r>
        <w:rPr>
          <w:szCs w:val="24"/>
        </w:rPr>
        <w:t xml:space="preserve">The PABs also communicate at a high level, the results of their programs to the FRC and publicly in either a separate publication available on their website, and / or their Annual Report. </w:t>
      </w:r>
    </w:p>
    <w:p w14:paraId="1F925B6A" w14:textId="77777777" w:rsidR="00DB57EC" w:rsidRDefault="00DB57EC" w:rsidP="00DB57EC">
      <w:pPr>
        <w:rPr>
          <w:szCs w:val="24"/>
        </w:rPr>
      </w:pPr>
      <w:r>
        <w:rPr>
          <w:szCs w:val="24"/>
        </w:rPr>
        <w:t>However, the reporting to the FRC and available publicly could be enhanced to provide more detail on:</w:t>
      </w:r>
    </w:p>
    <w:p w14:paraId="4CC9AE6D" w14:textId="77777777" w:rsidR="00DB57EC" w:rsidRDefault="00DB57EC" w:rsidP="0019683B">
      <w:pPr>
        <w:pStyle w:val="Bullet"/>
      </w:pPr>
      <w:r>
        <w:t xml:space="preserve">An overview of their program and key performance indicators </w:t>
      </w:r>
      <w:proofErr w:type="spellStart"/>
      <w:r>
        <w:t>ie</w:t>
      </w:r>
      <w:proofErr w:type="spellEnd"/>
      <w:r>
        <w:t>. how often they review members etc.</w:t>
      </w:r>
    </w:p>
    <w:p w14:paraId="703558EC" w14:textId="77777777" w:rsidR="00DB57EC" w:rsidRPr="004E5CEF" w:rsidRDefault="00DB57EC" w:rsidP="0019683B">
      <w:pPr>
        <w:pStyle w:val="Bullet"/>
      </w:pPr>
      <w:r>
        <w:t>T</w:t>
      </w:r>
      <w:r w:rsidRPr="004E5CEF">
        <w:t xml:space="preserve">he results including the </w:t>
      </w:r>
      <w:r>
        <w:t xml:space="preserve">auditing </w:t>
      </w:r>
      <w:r w:rsidRPr="004E5CEF">
        <w:t>standards which are not being complied with</w:t>
      </w:r>
      <w:r>
        <w:t>.</w:t>
      </w:r>
    </w:p>
    <w:p w14:paraId="49A140F5" w14:textId="77777777" w:rsidR="00DB57EC" w:rsidRDefault="00DB57EC" w:rsidP="0019683B">
      <w:pPr>
        <w:pStyle w:val="Bullet"/>
      </w:pPr>
      <w:r>
        <w:t>Compliance</w:t>
      </w:r>
      <w:r w:rsidRPr="004930A5">
        <w:t xml:space="preserve"> with SMO 1</w:t>
      </w:r>
      <w:r>
        <w:t>.</w:t>
      </w:r>
    </w:p>
    <w:p w14:paraId="4A45CE25" w14:textId="16AB128F" w:rsidR="00DB57EC" w:rsidRDefault="00DB57EC" w:rsidP="0019683B">
      <w:pPr>
        <w:pStyle w:val="Bullet"/>
      </w:pPr>
      <w:r>
        <w:t xml:space="preserve">Whether the findings indicate a broader issue with audit quality which should be addressed. </w:t>
      </w:r>
    </w:p>
    <w:p w14:paraId="39161A68" w14:textId="39DD62EF" w:rsidR="00DB57EC" w:rsidRPr="004E5CEF" w:rsidRDefault="00DB57EC" w:rsidP="0019683B">
      <w:r>
        <w:t>This increased transparency may assist with addressing any perception of a conflict of interest in the PABs assessing the quality of their members, and the robustness of their programs.</w:t>
      </w:r>
    </w:p>
    <w:p w14:paraId="1FFFC899" w14:textId="06FD8157" w:rsidR="00DB57EC" w:rsidRDefault="00DB57EC" w:rsidP="0019683B">
      <w:pPr>
        <w:pStyle w:val="Heading3"/>
      </w:pPr>
      <w:bookmarkStart w:id="35" w:name="_Toc149551279"/>
      <w:r w:rsidRPr="00014548">
        <w:t>Co</w:t>
      </w:r>
      <w:r w:rsidR="00EB0779">
        <w:noBreakHyphen/>
      </w:r>
      <w:r w:rsidRPr="00014548">
        <w:t>regula</w:t>
      </w:r>
      <w:r w:rsidRPr="008930FF">
        <w:t>tors</w:t>
      </w:r>
      <w:bookmarkEnd w:id="35"/>
    </w:p>
    <w:p w14:paraId="7011EE3B" w14:textId="6BD12D3E" w:rsidR="00DB57EC" w:rsidRPr="00884820" w:rsidRDefault="00DB57EC" w:rsidP="0019683B">
      <w:r w:rsidRPr="00884820">
        <w:t xml:space="preserve">The </w:t>
      </w:r>
      <w:r>
        <w:t>PABs are sometimes described as</w:t>
      </w:r>
      <w:r w:rsidRPr="00884820">
        <w:t xml:space="preserve"> co</w:t>
      </w:r>
      <w:r w:rsidR="00EB0779">
        <w:noBreakHyphen/>
      </w:r>
      <w:r w:rsidRPr="00884820">
        <w:t>regulators of auditors who are their members</w:t>
      </w:r>
      <w:r>
        <w:t>,</w:t>
      </w:r>
      <w:r w:rsidRPr="00884820">
        <w:t xml:space="preserve"> with ASIC. </w:t>
      </w:r>
      <w:r>
        <w:t xml:space="preserve">However, the PABs do not have any statutory powers or responsibilities </w:t>
      </w:r>
      <w:proofErr w:type="gramStart"/>
      <w:r>
        <w:t>in regard to</w:t>
      </w:r>
      <w:proofErr w:type="gramEnd"/>
      <w:r>
        <w:t xml:space="preserve"> audit oversight and therefore are not co</w:t>
      </w:r>
      <w:r w:rsidR="00EB0779">
        <w:noBreakHyphen/>
      </w:r>
      <w:r>
        <w:t xml:space="preserve">regulators. Whilst </w:t>
      </w:r>
      <w:r w:rsidRPr="00884820">
        <w:t>IOSCO</w:t>
      </w:r>
      <w:r w:rsidR="00EB0779">
        <w:t>’</w:t>
      </w:r>
      <w:r w:rsidRPr="00884820">
        <w:t xml:space="preserve">s principles detail that if providing audit </w:t>
      </w:r>
      <w:r w:rsidRPr="008653DF">
        <w:t>oversight,</w:t>
      </w:r>
      <w:r w:rsidRPr="00884820">
        <w:t xml:space="preserve"> the PABs should be overseen by the regulator, </w:t>
      </w:r>
      <w:r>
        <w:t>this is not applicable in Australia</w:t>
      </w:r>
      <w:r w:rsidRPr="00884820">
        <w:t xml:space="preserve">. </w:t>
      </w:r>
      <w:r>
        <w:t>In</w:t>
      </w:r>
      <w:r w:rsidRPr="00884820">
        <w:t xml:space="preserve"> some overseas jurisdictions there </w:t>
      </w:r>
      <w:r>
        <w:t>are</w:t>
      </w:r>
      <w:r w:rsidRPr="00884820">
        <w:t xml:space="preserve"> legislated responsibilities for the PABs, or the regulator has the authority to direct the work of the PABs. For example, in New Zealand there i</w:t>
      </w:r>
      <w:r w:rsidRPr="007C0344">
        <w:t>s legislation</w:t>
      </w:r>
      <w:r w:rsidR="00675CEA">
        <w:rPr>
          <w:rFonts w:ascii="ZWAdobeF" w:hAnsi="ZWAdobeF" w:cs="ZWAdobeF"/>
          <w:color w:val="auto"/>
          <w:sz w:val="2"/>
          <w:szCs w:val="2"/>
        </w:rPr>
        <w:t>29F</w:t>
      </w:r>
      <w:r w:rsidRPr="007C0344">
        <w:rPr>
          <w:vertAlign w:val="superscript"/>
        </w:rPr>
        <w:footnoteReference w:id="30"/>
      </w:r>
      <w:r w:rsidRPr="007C0344">
        <w:t xml:space="preserve"> requiring the NZICA, and CPA to monitor registered auditors and audit firms, promote, and monitor the competence of their members and develop an investigative and disciplinary system.</w:t>
      </w:r>
      <w:r w:rsidR="00675CEA">
        <w:rPr>
          <w:rFonts w:ascii="ZWAdobeF" w:hAnsi="ZWAdobeF" w:cs="ZWAdobeF"/>
          <w:color w:val="auto"/>
          <w:sz w:val="2"/>
          <w:szCs w:val="2"/>
        </w:rPr>
        <w:t>30F</w:t>
      </w:r>
      <w:r w:rsidRPr="007C0344">
        <w:rPr>
          <w:vertAlign w:val="superscript"/>
        </w:rPr>
        <w:footnoteReference w:id="31"/>
      </w:r>
      <w:r w:rsidRPr="007C0344">
        <w:t xml:space="preserve"> Similar arrangements exist in the UK for audits of unlisted entities.</w:t>
      </w:r>
    </w:p>
    <w:p w14:paraId="79897D69" w14:textId="1EB388F7" w:rsidR="00DB57EC" w:rsidRPr="00014548" w:rsidRDefault="00DB57EC" w:rsidP="0019683B">
      <w:pPr>
        <w:pStyle w:val="Heading3"/>
      </w:pPr>
      <w:bookmarkStart w:id="36" w:name="_Toc149551280"/>
      <w:r w:rsidRPr="00014548">
        <w:t xml:space="preserve">Monitoring </w:t>
      </w:r>
      <w:r w:rsidRPr="008930FF">
        <w:t>Members</w:t>
      </w:r>
      <w:r w:rsidR="00EB0779">
        <w:t>’</w:t>
      </w:r>
      <w:r w:rsidRPr="008930FF">
        <w:t xml:space="preserve"> Compliance with PAB</w:t>
      </w:r>
      <w:r w:rsidR="00EB0779">
        <w:t>’</w:t>
      </w:r>
      <w:r w:rsidRPr="008930FF">
        <w:t xml:space="preserve">s Regulations and </w:t>
      </w:r>
      <w:proofErr w:type="gramStart"/>
      <w:r w:rsidRPr="008930FF">
        <w:t>By</w:t>
      </w:r>
      <w:proofErr w:type="gramEnd"/>
      <w:r w:rsidR="00EB0779">
        <w:noBreakHyphen/>
      </w:r>
      <w:r w:rsidRPr="008930FF">
        <w:t>laws</w:t>
      </w:r>
      <w:bookmarkEnd w:id="36"/>
    </w:p>
    <w:p w14:paraId="2A9D0E45" w14:textId="5536DD1C" w:rsidR="00DB57EC" w:rsidRPr="00884820" w:rsidRDefault="00DB57EC" w:rsidP="00DB57EC">
      <w:pPr>
        <w:rPr>
          <w:szCs w:val="24"/>
        </w:rPr>
      </w:pPr>
      <w:r w:rsidRPr="00884820">
        <w:rPr>
          <w:szCs w:val="24"/>
        </w:rPr>
        <w:t>As part of the annual renewal</w:t>
      </w:r>
      <w:r>
        <w:rPr>
          <w:szCs w:val="24"/>
        </w:rPr>
        <w:t>,</w:t>
      </w:r>
      <w:r w:rsidRPr="00884820">
        <w:rPr>
          <w:szCs w:val="24"/>
        </w:rPr>
        <w:t xml:space="preserve"> members confirm they have </w:t>
      </w:r>
      <w:proofErr w:type="gramStart"/>
      <w:r w:rsidRPr="00884820">
        <w:rPr>
          <w:szCs w:val="24"/>
        </w:rPr>
        <w:t>been in compliance with</w:t>
      </w:r>
      <w:proofErr w:type="gramEnd"/>
      <w:r w:rsidRPr="00884820">
        <w:rPr>
          <w:szCs w:val="24"/>
        </w:rPr>
        <w:t xml:space="preserve"> the by</w:t>
      </w:r>
      <w:r w:rsidR="00EB0779">
        <w:rPr>
          <w:szCs w:val="24"/>
        </w:rPr>
        <w:noBreakHyphen/>
      </w:r>
      <w:r w:rsidRPr="00884820">
        <w:rPr>
          <w:szCs w:val="24"/>
        </w:rPr>
        <w:t xml:space="preserve">laws and specifically CPD requirements and they have notified the PAB of any disclosure event. The PABs assess compliance with </w:t>
      </w:r>
      <w:proofErr w:type="gramStart"/>
      <w:r w:rsidRPr="00884820">
        <w:rPr>
          <w:szCs w:val="24"/>
        </w:rPr>
        <w:t>their</w:t>
      </w:r>
      <w:proofErr w:type="gramEnd"/>
      <w:r w:rsidRPr="00884820">
        <w:rPr>
          <w:szCs w:val="24"/>
        </w:rPr>
        <w:t xml:space="preserve"> by</w:t>
      </w:r>
      <w:r w:rsidR="00EB0779">
        <w:rPr>
          <w:szCs w:val="24"/>
        </w:rPr>
        <w:noBreakHyphen/>
      </w:r>
      <w:r w:rsidRPr="00884820">
        <w:rPr>
          <w:szCs w:val="24"/>
        </w:rPr>
        <w:t xml:space="preserve">laws as part of their </w:t>
      </w:r>
      <w:r>
        <w:rPr>
          <w:szCs w:val="24"/>
        </w:rPr>
        <w:t>Q</w:t>
      </w:r>
      <w:r w:rsidRPr="00884820">
        <w:rPr>
          <w:szCs w:val="24"/>
        </w:rPr>
        <w:t xml:space="preserve">uality </w:t>
      </w:r>
      <w:r>
        <w:rPr>
          <w:szCs w:val="24"/>
        </w:rPr>
        <w:t>R</w:t>
      </w:r>
      <w:r w:rsidRPr="00884820">
        <w:rPr>
          <w:szCs w:val="24"/>
        </w:rPr>
        <w:t xml:space="preserve">eview </w:t>
      </w:r>
      <w:r>
        <w:rPr>
          <w:szCs w:val="24"/>
        </w:rPr>
        <w:t>P</w:t>
      </w:r>
      <w:r w:rsidRPr="00884820">
        <w:rPr>
          <w:szCs w:val="24"/>
        </w:rPr>
        <w:t>rogram.</w:t>
      </w:r>
    </w:p>
    <w:p w14:paraId="7DE63C0D" w14:textId="105B7C1D" w:rsidR="00C55E74" w:rsidRDefault="00DB57EC" w:rsidP="00C55E74">
      <w:pPr>
        <w:rPr>
          <w:rFonts w:ascii="Arial" w:hAnsi="Arial" w:cs="Arial"/>
          <w:color w:val="202124"/>
          <w:sz w:val="28"/>
          <w:shd w:val="clear" w:color="auto" w:fill="FFFFFF"/>
        </w:rPr>
      </w:pPr>
      <w:r w:rsidRPr="00884820">
        <w:rPr>
          <w:szCs w:val="24"/>
        </w:rPr>
        <w:t xml:space="preserve">The PABs also review CPD records as part of their </w:t>
      </w:r>
      <w:r>
        <w:rPr>
          <w:szCs w:val="24"/>
        </w:rPr>
        <w:t>Q</w:t>
      </w:r>
      <w:r w:rsidRPr="00884820">
        <w:rPr>
          <w:szCs w:val="24"/>
        </w:rPr>
        <w:t xml:space="preserve">uality </w:t>
      </w:r>
      <w:r>
        <w:rPr>
          <w:szCs w:val="24"/>
        </w:rPr>
        <w:t>R</w:t>
      </w:r>
      <w:r w:rsidRPr="00884820">
        <w:rPr>
          <w:szCs w:val="24"/>
        </w:rPr>
        <w:t xml:space="preserve">eview </w:t>
      </w:r>
      <w:r>
        <w:rPr>
          <w:szCs w:val="24"/>
        </w:rPr>
        <w:t>P</w:t>
      </w:r>
      <w:r w:rsidRPr="00884820">
        <w:rPr>
          <w:szCs w:val="24"/>
        </w:rPr>
        <w:t xml:space="preserve">rogram and in addition check a sample of members records on a periodic basis. </w:t>
      </w:r>
      <w:bookmarkStart w:id="37" w:name="_Toc149551281"/>
    </w:p>
    <w:p w14:paraId="5E0FCDE9" w14:textId="7FB1C5E0" w:rsidR="00DB57EC" w:rsidRPr="00014548" w:rsidRDefault="00DB57EC" w:rsidP="00C55E74">
      <w:pPr>
        <w:pStyle w:val="Heading3"/>
      </w:pPr>
      <w:r w:rsidRPr="00014548">
        <w:t>Members</w:t>
      </w:r>
      <w:r w:rsidR="00EB0779">
        <w:t>’</w:t>
      </w:r>
      <w:r w:rsidRPr="00014548">
        <w:t xml:space="preserve"> </w:t>
      </w:r>
      <w:r w:rsidRPr="008930FF">
        <w:t>Disclosure and Notification Events</w:t>
      </w:r>
      <w:bookmarkEnd w:id="37"/>
      <w:r w:rsidRPr="008930FF">
        <w:t xml:space="preserve"> </w:t>
      </w:r>
    </w:p>
    <w:p w14:paraId="1F5B3C96" w14:textId="43A7ECBF" w:rsidR="00DB57EC" w:rsidRPr="00884820" w:rsidRDefault="00DB57EC" w:rsidP="00DB57EC">
      <w:pPr>
        <w:rPr>
          <w:szCs w:val="24"/>
        </w:rPr>
      </w:pPr>
      <w:r w:rsidRPr="00884820">
        <w:rPr>
          <w:szCs w:val="24"/>
        </w:rPr>
        <w:t xml:space="preserve">The PABs have slightly different </w:t>
      </w:r>
      <w:r>
        <w:rPr>
          <w:szCs w:val="24"/>
        </w:rPr>
        <w:t xml:space="preserve">regulations and </w:t>
      </w:r>
      <w:r w:rsidRPr="00884820">
        <w:rPr>
          <w:szCs w:val="24"/>
        </w:rPr>
        <w:t>by</w:t>
      </w:r>
      <w:r w:rsidR="00EB0779">
        <w:rPr>
          <w:szCs w:val="24"/>
        </w:rPr>
        <w:noBreakHyphen/>
      </w:r>
      <w:r w:rsidRPr="00884820">
        <w:rPr>
          <w:szCs w:val="24"/>
        </w:rPr>
        <w:t xml:space="preserve">laws but </w:t>
      </w:r>
      <w:r>
        <w:rPr>
          <w:szCs w:val="24"/>
        </w:rPr>
        <w:t>have</w:t>
      </w:r>
      <w:r w:rsidRPr="00884820">
        <w:rPr>
          <w:szCs w:val="24"/>
        </w:rPr>
        <w:t xml:space="preserve"> member</w:t>
      </w:r>
      <w:r>
        <w:rPr>
          <w:szCs w:val="24"/>
        </w:rPr>
        <w:t xml:space="preserve"> notification and </w:t>
      </w:r>
      <w:r w:rsidRPr="00884820">
        <w:rPr>
          <w:szCs w:val="24"/>
        </w:rPr>
        <w:t>d</w:t>
      </w:r>
      <w:r>
        <w:rPr>
          <w:szCs w:val="24"/>
        </w:rPr>
        <w:t xml:space="preserve">isclosure events. Notification events are those that make a member liable to disciplinary sanctions, whilst a disciplinary event </w:t>
      </w:r>
      <w:proofErr w:type="gramStart"/>
      <w:r>
        <w:rPr>
          <w:szCs w:val="24"/>
        </w:rPr>
        <w:t>are</w:t>
      </w:r>
      <w:proofErr w:type="gramEnd"/>
      <w:r>
        <w:rPr>
          <w:szCs w:val="24"/>
        </w:rPr>
        <w:t xml:space="preserve"> those of a</w:t>
      </w:r>
      <w:r w:rsidRPr="00884820">
        <w:rPr>
          <w:szCs w:val="24"/>
        </w:rPr>
        <w:t xml:space="preserve"> serious </w:t>
      </w:r>
      <w:r>
        <w:rPr>
          <w:szCs w:val="24"/>
        </w:rPr>
        <w:t>nature</w:t>
      </w:r>
      <w:r w:rsidRPr="00884820">
        <w:rPr>
          <w:szCs w:val="24"/>
        </w:rPr>
        <w:t xml:space="preserve"> such as an indictable offence, </w:t>
      </w:r>
      <w:r>
        <w:rPr>
          <w:szCs w:val="24"/>
        </w:rPr>
        <w:t xml:space="preserve">for example, </w:t>
      </w:r>
      <w:r w:rsidRPr="00884820">
        <w:rPr>
          <w:szCs w:val="24"/>
        </w:rPr>
        <w:t xml:space="preserve">an offence under the Tax Administration Act, or is insolvent. </w:t>
      </w:r>
    </w:p>
    <w:p w14:paraId="7113688B" w14:textId="77777777" w:rsidR="00DB57EC" w:rsidRPr="00014548" w:rsidRDefault="00DB57EC" w:rsidP="0019683B">
      <w:pPr>
        <w:pStyle w:val="Heading3"/>
      </w:pPr>
      <w:bookmarkStart w:id="38" w:name="_Toc149551282"/>
      <w:r w:rsidRPr="00014548">
        <w:t>CA</w:t>
      </w:r>
      <w:r w:rsidRPr="008930FF">
        <w:t xml:space="preserve"> ANZ Professional Conduct Framework Review</w:t>
      </w:r>
      <w:bookmarkEnd w:id="38"/>
    </w:p>
    <w:p w14:paraId="109E8C98" w14:textId="4F59BFD5" w:rsidR="00DB57EC" w:rsidRPr="00884820" w:rsidRDefault="00DB57EC" w:rsidP="00DB57EC">
      <w:pPr>
        <w:rPr>
          <w:szCs w:val="24"/>
        </w:rPr>
      </w:pPr>
      <w:r w:rsidRPr="00884820">
        <w:rPr>
          <w:szCs w:val="24"/>
        </w:rPr>
        <w:t xml:space="preserve">In July 2022 CA ANZ commenced a periodic </w:t>
      </w:r>
      <w:r>
        <w:rPr>
          <w:szCs w:val="24"/>
        </w:rPr>
        <w:t>PCFR</w:t>
      </w:r>
      <w:r w:rsidRPr="00884820">
        <w:rPr>
          <w:szCs w:val="24"/>
        </w:rPr>
        <w:t xml:space="preserve"> with the final </w:t>
      </w:r>
      <w:hyperlink r:id="rId36" w:history="1">
        <w:r w:rsidRPr="00E26F7C">
          <w:rPr>
            <w:rStyle w:val="Hyperlink"/>
            <w:szCs w:val="24"/>
          </w:rPr>
          <w:t>report</w:t>
        </w:r>
      </w:hyperlink>
      <w:r w:rsidRPr="00884820">
        <w:rPr>
          <w:szCs w:val="24"/>
        </w:rPr>
        <w:t xml:space="preserve"> issued </w:t>
      </w:r>
      <w:r>
        <w:rPr>
          <w:szCs w:val="24"/>
        </w:rPr>
        <w:t xml:space="preserve">on </w:t>
      </w:r>
      <w:r w:rsidRPr="00884820">
        <w:rPr>
          <w:szCs w:val="24"/>
        </w:rPr>
        <w:t>7</w:t>
      </w:r>
      <w:r w:rsidR="00570F3C">
        <w:rPr>
          <w:szCs w:val="24"/>
        </w:rPr>
        <w:t> </w:t>
      </w:r>
      <w:r w:rsidRPr="00884820">
        <w:rPr>
          <w:szCs w:val="24"/>
        </w:rPr>
        <w:t>June</w:t>
      </w:r>
      <w:r w:rsidR="00570F3C">
        <w:rPr>
          <w:szCs w:val="24"/>
        </w:rPr>
        <w:t> </w:t>
      </w:r>
      <w:r w:rsidRPr="00884820">
        <w:rPr>
          <w:szCs w:val="24"/>
        </w:rPr>
        <w:t>2023.</w:t>
      </w:r>
      <w:r>
        <w:rPr>
          <w:szCs w:val="24"/>
        </w:rPr>
        <w:t xml:space="preserve"> The</w:t>
      </w:r>
      <w:r w:rsidRPr="00884820">
        <w:rPr>
          <w:szCs w:val="24"/>
        </w:rPr>
        <w:t xml:space="preserve"> PCFR examined the alignment of the Australian and New Zealand </w:t>
      </w:r>
      <w:proofErr w:type="gramStart"/>
      <w:r w:rsidRPr="00884820">
        <w:rPr>
          <w:szCs w:val="24"/>
        </w:rPr>
        <w:t>By</w:t>
      </w:r>
      <w:proofErr w:type="gramEnd"/>
      <w:r w:rsidR="00EB0779">
        <w:rPr>
          <w:szCs w:val="24"/>
        </w:rPr>
        <w:noBreakHyphen/>
      </w:r>
      <w:r w:rsidRPr="00884820">
        <w:rPr>
          <w:szCs w:val="24"/>
        </w:rPr>
        <w:t>Laws and Rules, the composition, powers and structure of the PCC and tribunals including how breaches of ethics are communicated to members, member protocols and guidance on disclosure obligations and the interaction between academic misconduct in the CA program with the By</w:t>
      </w:r>
      <w:r w:rsidR="00EB0779">
        <w:rPr>
          <w:szCs w:val="24"/>
        </w:rPr>
        <w:noBreakHyphen/>
      </w:r>
      <w:r w:rsidRPr="00884820">
        <w:rPr>
          <w:szCs w:val="24"/>
        </w:rPr>
        <w:t xml:space="preserve">Laws and Rules. </w:t>
      </w:r>
    </w:p>
    <w:p w14:paraId="2D844C81" w14:textId="327A41EE" w:rsidR="00DB57EC" w:rsidRPr="00884820" w:rsidRDefault="00DB57EC" w:rsidP="0019683B">
      <w:r w:rsidRPr="00884820">
        <w:t xml:space="preserve">The findings were that the Disciplinary Framework met or exceeded the standards set by IFAC and international and peer benchmarks. There were </w:t>
      </w:r>
      <w:proofErr w:type="gramStart"/>
      <w:r w:rsidRPr="00884820">
        <w:t>a number of</w:t>
      </w:r>
      <w:proofErr w:type="gramEnd"/>
      <w:r w:rsidRPr="00884820">
        <w:t xml:space="preserve"> recommendations which CA ANZ have accepted and </w:t>
      </w:r>
      <w:r>
        <w:t xml:space="preserve">has committed to </w:t>
      </w:r>
      <w:r w:rsidRPr="00884820">
        <w:t xml:space="preserve">implement. </w:t>
      </w:r>
      <w:r>
        <w:t xml:space="preserve">Many recommendations, require amendments to </w:t>
      </w:r>
      <w:proofErr w:type="gramStart"/>
      <w:r>
        <w:t>By</w:t>
      </w:r>
      <w:proofErr w:type="gramEnd"/>
      <w:r w:rsidR="00EB0779">
        <w:noBreakHyphen/>
      </w:r>
      <w:r>
        <w:t xml:space="preserve">Laws and member approval, which has now occurred. </w:t>
      </w:r>
      <w:r w:rsidRPr="00884820">
        <w:t xml:space="preserve">A recommendation relevant to this review </w:t>
      </w:r>
      <w:r>
        <w:t>i</w:t>
      </w:r>
      <w:r w:rsidRPr="00884820">
        <w:t xml:space="preserve">s an expansion of the role of the PCOC to include </w:t>
      </w:r>
      <w:r>
        <w:t xml:space="preserve">a broader </w:t>
      </w:r>
      <w:r w:rsidRPr="00884820">
        <w:t xml:space="preserve">oversight </w:t>
      </w:r>
      <w:r>
        <w:t>role in respect of monitoring members</w:t>
      </w:r>
      <w:r w:rsidR="00EB0779">
        <w:t>’</w:t>
      </w:r>
      <w:r>
        <w:t xml:space="preserve"> compliance. This also aligns the PCOC</w:t>
      </w:r>
      <w:r w:rsidR="00EB0779">
        <w:t>’</w:t>
      </w:r>
      <w:r>
        <w:t xml:space="preserve">s responsibilities with NZICA who has a statutory responsibility to maintain and monitor compliance with, and enforce, professional and ethical standards. </w:t>
      </w:r>
    </w:p>
    <w:p w14:paraId="5A23C780" w14:textId="77777777" w:rsidR="00DB57EC" w:rsidRPr="00014548" w:rsidRDefault="00DB57EC" w:rsidP="0019683B">
      <w:pPr>
        <w:pStyle w:val="Heading3"/>
      </w:pPr>
      <w:bookmarkStart w:id="39" w:name="_Toc149551283"/>
      <w:r w:rsidRPr="00014548">
        <w:t>Professional Standards Scheme</w:t>
      </w:r>
      <w:bookmarkEnd w:id="39"/>
    </w:p>
    <w:p w14:paraId="620E49D5" w14:textId="77777777" w:rsidR="00DB57EC" w:rsidRDefault="00DB57EC" w:rsidP="0019683B">
      <w:pPr>
        <w:rPr>
          <w:szCs w:val="24"/>
        </w:rPr>
      </w:pPr>
      <w:r w:rsidRPr="004930A5">
        <w:rPr>
          <w:szCs w:val="24"/>
        </w:rPr>
        <w:t>The PABs have schemes approved by t</w:t>
      </w:r>
      <w:r w:rsidRPr="004D04C8">
        <w:rPr>
          <w:szCs w:val="24"/>
        </w:rPr>
        <w:t xml:space="preserve">he </w:t>
      </w:r>
      <w:hyperlink r:id="rId37" w:anchor=":~:text=A%20professional%20standards%20scheme%20is,who%20use%20their%20members%27%20services." w:history="1">
        <w:r>
          <w:rPr>
            <w:rStyle w:val="Hyperlink"/>
            <w:szCs w:val="24"/>
          </w:rPr>
          <w:t>PSC</w:t>
        </w:r>
      </w:hyperlink>
      <w:r w:rsidRPr="004D04C8">
        <w:rPr>
          <w:szCs w:val="24"/>
        </w:rPr>
        <w:t xml:space="preserve"> </w:t>
      </w:r>
      <w:r w:rsidRPr="004930A5">
        <w:rPr>
          <w:szCs w:val="24"/>
        </w:rPr>
        <w:t xml:space="preserve">under professional standards legislation. </w:t>
      </w:r>
      <w:r>
        <w:rPr>
          <w:szCs w:val="24"/>
        </w:rPr>
        <w:t>This is very important to the PABs as their members potentially can participate in the Professional Standards (Limitation of Liabili</w:t>
      </w:r>
      <w:r w:rsidRPr="004D04C8">
        <w:rPr>
          <w:szCs w:val="24"/>
        </w:rPr>
        <w:t>ty</w:t>
      </w:r>
      <w:r>
        <w:rPr>
          <w:szCs w:val="24"/>
        </w:rPr>
        <w:t>) Scheme.</w:t>
      </w:r>
      <w:r w:rsidRPr="004D04C8">
        <w:rPr>
          <w:szCs w:val="24"/>
        </w:rPr>
        <w:t xml:space="preserve"> </w:t>
      </w:r>
    </w:p>
    <w:p w14:paraId="23A40AA0" w14:textId="77777777" w:rsidR="00DB57EC" w:rsidRDefault="00DB57EC" w:rsidP="0019683B">
      <w:pPr>
        <w:rPr>
          <w:szCs w:val="24"/>
        </w:rPr>
      </w:pPr>
      <w:r w:rsidRPr="004930A5">
        <w:rPr>
          <w:szCs w:val="24"/>
        </w:rPr>
        <w:t>The professional standards schemes are in place to support associations (</w:t>
      </w:r>
      <w:r w:rsidRPr="002E2BD9">
        <w:rPr>
          <w:szCs w:val="24"/>
        </w:rPr>
        <w:t>i.e.,</w:t>
      </w:r>
      <w:r w:rsidRPr="004930A5">
        <w:rPr>
          <w:szCs w:val="24"/>
        </w:rPr>
        <w:t xml:space="preserve"> PABs) to improve and maintain professional standards and conduct of their members. The PSC </w:t>
      </w:r>
      <w:r>
        <w:rPr>
          <w:szCs w:val="24"/>
        </w:rPr>
        <w:t xml:space="preserve">conduct ongoing compliance and </w:t>
      </w:r>
      <w:r w:rsidRPr="004D04C8">
        <w:rPr>
          <w:szCs w:val="24"/>
        </w:rPr>
        <w:t xml:space="preserve">requires the PABs to </w:t>
      </w:r>
      <w:r w:rsidRPr="004930A5">
        <w:rPr>
          <w:szCs w:val="24"/>
        </w:rPr>
        <w:t xml:space="preserve">submit an Annual Professional Standards Report on their actions, policies and decisions relevant to how they improve and maintain professional standards. </w:t>
      </w:r>
      <w:r>
        <w:rPr>
          <w:szCs w:val="24"/>
        </w:rPr>
        <w:t>Some of the PABs indicated that this reporting is extensive and other bodies may benefit from having access to this.</w:t>
      </w:r>
    </w:p>
    <w:p w14:paraId="77F365DD" w14:textId="64E0E7D1" w:rsidR="00C55E74" w:rsidRDefault="00DB57EC" w:rsidP="0019683B">
      <w:pPr>
        <w:rPr>
          <w:szCs w:val="24"/>
        </w:rPr>
      </w:pPr>
      <w:r>
        <w:rPr>
          <w:szCs w:val="24"/>
        </w:rPr>
        <w:t xml:space="preserve">The PSC reviews the PABs at least every </w:t>
      </w:r>
      <w:r w:rsidR="00B50466">
        <w:rPr>
          <w:szCs w:val="24"/>
        </w:rPr>
        <w:t>5 </w:t>
      </w:r>
      <w:r>
        <w:rPr>
          <w:szCs w:val="24"/>
        </w:rPr>
        <w:t xml:space="preserve">years. This includes matters such as their membership entrance requirements, conduct and discipline processes, and continuous education. </w:t>
      </w:r>
    </w:p>
    <w:p w14:paraId="03AD3920" w14:textId="77777777" w:rsidR="00C55E74" w:rsidRDefault="00C55E74">
      <w:pPr>
        <w:spacing w:before="0" w:after="160" w:line="259" w:lineRule="auto"/>
        <w:rPr>
          <w:szCs w:val="24"/>
        </w:rPr>
      </w:pPr>
      <w:r>
        <w:rPr>
          <w:szCs w:val="24"/>
        </w:rPr>
        <w:br w:type="page"/>
      </w:r>
    </w:p>
    <w:p w14:paraId="0A9E872A" w14:textId="123BF94B" w:rsidR="00DB57EC" w:rsidRPr="0019683B" w:rsidRDefault="00DB57EC" w:rsidP="0019683B">
      <w:pPr>
        <w:pStyle w:val="Heading1"/>
      </w:pPr>
      <w:bookmarkStart w:id="40" w:name="_Toc143799231"/>
      <w:bookmarkStart w:id="41" w:name="_Toc149310324"/>
      <w:bookmarkStart w:id="42" w:name="_Toc149551284"/>
      <w:r w:rsidRPr="0019683B">
        <w:t>ASIC</w:t>
      </w:r>
      <w:r w:rsidR="00EB0779">
        <w:t>’</w:t>
      </w:r>
      <w:r w:rsidRPr="0019683B">
        <w:t>s Oversight of Auditors</w:t>
      </w:r>
      <w:bookmarkEnd w:id="40"/>
      <w:bookmarkEnd w:id="41"/>
      <w:bookmarkEnd w:id="42"/>
    </w:p>
    <w:p w14:paraId="5A1777CA" w14:textId="48D34B17" w:rsidR="00DB57EC" w:rsidRPr="00884820" w:rsidRDefault="00DB57EC" w:rsidP="005528A6">
      <w:r w:rsidRPr="00884820">
        <w:t>ASIC has regulatory responsibility for surveillance, investigation, and enforcement of the financial reporting and audit requirements of RCAs. ASIC is responsible for administering the requirements of the Corporations Act as it relates to auditor independence (Divisions 3, 4 and 5 of Part 2M.4) and audit quality (Division 3 of Part 2M.3). This is done through ASIC</w:t>
      </w:r>
      <w:r w:rsidR="00EB0779">
        <w:t>’</w:t>
      </w:r>
      <w:r w:rsidRPr="00884820">
        <w:t>s audit surveillance program which has an objective to promote the improvement and maintenance of audit quality. ASIC focuses on audits of financial reports of PIEs prepared under the Corporations Act</w:t>
      </w:r>
      <w:r>
        <w:t>.</w:t>
      </w:r>
      <w:r w:rsidR="00675CEA">
        <w:rPr>
          <w:rFonts w:ascii="ZWAdobeF" w:hAnsi="ZWAdobeF" w:cs="ZWAdobeF"/>
          <w:color w:val="auto"/>
          <w:sz w:val="2"/>
          <w:szCs w:val="2"/>
        </w:rPr>
        <w:t>31F</w:t>
      </w:r>
      <w:r w:rsidRPr="00884820">
        <w:rPr>
          <w:vertAlign w:val="superscript"/>
        </w:rPr>
        <w:footnoteReference w:id="32"/>
      </w:r>
    </w:p>
    <w:p w14:paraId="3A44BB7F" w14:textId="64DE7D77" w:rsidR="00DB57EC" w:rsidRDefault="00DB57EC" w:rsidP="005528A6">
      <w:r w:rsidRPr="00884820">
        <w:t>The audit surveillances program mainly consists of risk</w:t>
      </w:r>
      <w:r w:rsidR="00EB0779">
        <w:noBreakHyphen/>
      </w:r>
      <w:r w:rsidRPr="00884820">
        <w:t xml:space="preserve">based reviews and ASIC also perform separate surveillances </w:t>
      </w:r>
      <w:proofErr w:type="gramStart"/>
      <w:r w:rsidRPr="00884820">
        <w:t>as a result of</w:t>
      </w:r>
      <w:proofErr w:type="gramEnd"/>
      <w:r w:rsidRPr="00884820">
        <w:t xml:space="preserve"> complaints or linked to </w:t>
      </w:r>
      <w:r>
        <w:t xml:space="preserve">other information received, or </w:t>
      </w:r>
      <w:r w:rsidRPr="00884820">
        <w:t xml:space="preserve">another investigation. </w:t>
      </w:r>
    </w:p>
    <w:p w14:paraId="35F34451" w14:textId="004FB745" w:rsidR="00DB57EC" w:rsidRPr="0088160B" w:rsidRDefault="00DB57EC" w:rsidP="0088160B">
      <w:pPr>
        <w:pStyle w:val="Heading3"/>
      </w:pPr>
      <w:bookmarkStart w:id="43" w:name="_Toc149551285"/>
      <w:r w:rsidRPr="00014548">
        <w:t>Change in Audit Surveillance Program</w:t>
      </w:r>
      <w:bookmarkEnd w:id="43"/>
    </w:p>
    <w:p w14:paraId="5B463FDB" w14:textId="0D3684DF" w:rsidR="00DB57EC" w:rsidRDefault="00DB57EC" w:rsidP="0088160B">
      <w:r w:rsidRPr="00884820">
        <w:t xml:space="preserve">In November 2022 ASIC </w:t>
      </w:r>
      <w:r>
        <w:t xml:space="preserve">announced that it would combine the financial reporting and audit surveillance programs to focus on the entire financial reporting chain. ASIC now routinely select audit files for surveillance where there is a known or suspected material misstatement of the financial report. Audit files may also be selected based on other available intelligence. </w:t>
      </w:r>
    </w:p>
    <w:p w14:paraId="4A4F6A43" w14:textId="08AF7DCD" w:rsidR="00C55E74" w:rsidRDefault="00DB57EC" w:rsidP="0088160B">
      <w:r>
        <w:t xml:space="preserve">On 18 October 2023 ASIC released the results of this program in the </w:t>
      </w:r>
      <w:hyperlink r:id="rId38" w:history="1">
        <w:r w:rsidRPr="009E6992">
          <w:rPr>
            <w:rStyle w:val="Hyperlink"/>
            <w:szCs w:val="24"/>
          </w:rPr>
          <w:t xml:space="preserve">Annual </w:t>
        </w:r>
        <w:bookmarkStart w:id="44" w:name="_Hlt148624137"/>
        <w:bookmarkStart w:id="45" w:name="_Hlt148624138"/>
        <w:r w:rsidRPr="009E6992">
          <w:rPr>
            <w:rStyle w:val="Hyperlink"/>
            <w:szCs w:val="24"/>
          </w:rPr>
          <w:t>F</w:t>
        </w:r>
        <w:bookmarkEnd w:id="44"/>
        <w:bookmarkEnd w:id="45"/>
        <w:r w:rsidRPr="009E6992">
          <w:rPr>
            <w:rStyle w:val="Hyperlink"/>
            <w:szCs w:val="24"/>
          </w:rPr>
          <w:t>inancial Reporting and Surveillance Report 2022</w:t>
        </w:r>
        <w:r w:rsidR="003D54C2">
          <w:rPr>
            <w:rStyle w:val="Hyperlink"/>
            <w:szCs w:val="24"/>
          </w:rPr>
          <w:t>–</w:t>
        </w:r>
        <w:r w:rsidRPr="009E6992">
          <w:rPr>
            <w:rStyle w:val="Hyperlink"/>
            <w:szCs w:val="24"/>
          </w:rPr>
          <w:t>23</w:t>
        </w:r>
      </w:hyperlink>
      <w:r>
        <w:t xml:space="preserve"> report. ASIC</w:t>
      </w:r>
      <w:r w:rsidR="00EB0779">
        <w:t>’</w:t>
      </w:r>
      <w:r>
        <w:t xml:space="preserve">s report summarised the findings from both financial reports and audit files and emphasises the role of preparers and auditors in improving the quality of financial reporting and audit. As a result of the new approach there has been a reduction in the number of audit files reviewed from 45 in 2021/22 to 15 in 2022/23. Of the 15 files 11 had findings. Due to the small number of audit files reviewed ASIC have not reported which firms have been reviewed and have not issued individual firm reports. </w:t>
      </w:r>
    </w:p>
    <w:p w14:paraId="726E57C9" w14:textId="77777777" w:rsidR="00C55E74" w:rsidRDefault="00C55E74">
      <w:pPr>
        <w:spacing w:before="0" w:after="160" w:line="259" w:lineRule="auto"/>
      </w:pPr>
      <w:r>
        <w:br w:type="page"/>
      </w:r>
    </w:p>
    <w:p w14:paraId="63AC577E" w14:textId="1177EE1B" w:rsidR="00DB57EC" w:rsidRPr="00014548" w:rsidRDefault="00DB57EC" w:rsidP="0088160B">
      <w:pPr>
        <w:pStyle w:val="Heading3"/>
      </w:pPr>
      <w:bookmarkStart w:id="46" w:name="_Toc149551286"/>
      <w:r w:rsidRPr="00014548">
        <w:t xml:space="preserve">Prior </w:t>
      </w:r>
      <w:r>
        <w:t>Y</w:t>
      </w:r>
      <w:r w:rsidRPr="00014548">
        <w:t>ear</w:t>
      </w:r>
      <w:r w:rsidR="00EB0779">
        <w:t>’</w:t>
      </w:r>
      <w:r w:rsidRPr="00014548">
        <w:t xml:space="preserve">s </w:t>
      </w:r>
      <w:r>
        <w:t>A</w:t>
      </w:r>
      <w:r w:rsidRPr="00014548">
        <w:t xml:space="preserve">pproach and </w:t>
      </w:r>
      <w:r>
        <w:t>R</w:t>
      </w:r>
      <w:r w:rsidRPr="00014548">
        <w:t>esults</w:t>
      </w:r>
      <w:bookmarkEnd w:id="46"/>
    </w:p>
    <w:p w14:paraId="1409AA6D" w14:textId="2E7D7760" w:rsidR="00DB57EC" w:rsidRPr="0088160B" w:rsidRDefault="00DB57EC" w:rsidP="0088160B">
      <w:r w:rsidRPr="00884820">
        <w:t>ASIC</w:t>
      </w:r>
      <w:r w:rsidR="00EB0779">
        <w:t>’</w:t>
      </w:r>
      <w:r w:rsidRPr="00884820">
        <w:t xml:space="preserve">s </w:t>
      </w:r>
      <w:r>
        <w:t xml:space="preserve">previous </w:t>
      </w:r>
      <w:r w:rsidRPr="00884820">
        <w:t>program</w:t>
      </w:r>
      <w:r>
        <w:t xml:space="preserve"> covered the</w:t>
      </w:r>
      <w:r w:rsidRPr="00884820">
        <w:t xml:space="preserve"> largest </w:t>
      </w:r>
      <w:r w:rsidR="00B50466">
        <w:t>6</w:t>
      </w:r>
      <w:r w:rsidRPr="00884820">
        <w:t xml:space="preserve"> audit firms, and a small number of other firms</w:t>
      </w:r>
      <w:r>
        <w:t xml:space="preserve"> and they produced individual reports for the largest </w:t>
      </w:r>
      <w:r w:rsidR="00B50466">
        <w:t>6</w:t>
      </w:r>
      <w:r>
        <w:t xml:space="preserve"> audit firms. ASIC </w:t>
      </w:r>
      <w:r w:rsidRPr="00884820">
        <w:t>use</w:t>
      </w:r>
      <w:r>
        <w:t>d</w:t>
      </w:r>
      <w:r w:rsidRPr="00884820">
        <w:t xml:space="preserve"> a risk</w:t>
      </w:r>
      <w:r w:rsidR="00EB0779">
        <w:noBreakHyphen/>
      </w:r>
      <w:r w:rsidRPr="00884820">
        <w:t xml:space="preserve">based approach </w:t>
      </w:r>
      <w:r>
        <w:t>to select</w:t>
      </w:r>
      <w:r w:rsidRPr="00884820">
        <w:t xml:space="preserve"> engagements and key audit areas </w:t>
      </w:r>
      <w:r>
        <w:t xml:space="preserve">for review. </w:t>
      </w:r>
    </w:p>
    <w:p w14:paraId="51DBC2C1" w14:textId="238F5AAA" w:rsidR="00DB57EC" w:rsidRDefault="00DB57EC" w:rsidP="0088160B">
      <w:r>
        <w:t xml:space="preserve">It is not possible to compare the 2022/23 results to previous year results due to the small number of files reviewed and ASIC have not reported all the information which they have reported in prior years. </w:t>
      </w:r>
      <w:r w:rsidRPr="00884820">
        <w:t xml:space="preserve">The following table summarises the number and results for </w:t>
      </w:r>
      <w:hyperlink r:id="rId39" w:history="1">
        <w:r w:rsidRPr="00074E63">
          <w:rPr>
            <w:rStyle w:val="Hyperlink"/>
            <w:szCs w:val="24"/>
          </w:rPr>
          <w:t>2021</w:t>
        </w:r>
        <w:r w:rsidR="00570F3C">
          <w:rPr>
            <w:rStyle w:val="Hyperlink"/>
            <w:szCs w:val="24"/>
          </w:rPr>
          <w:t>–</w:t>
        </w:r>
        <w:r w:rsidRPr="00074E63">
          <w:rPr>
            <w:rStyle w:val="Hyperlink"/>
            <w:szCs w:val="24"/>
          </w:rPr>
          <w:t>22</w:t>
        </w:r>
      </w:hyperlink>
      <w:r w:rsidRPr="00884820">
        <w:t xml:space="preserve"> and 2020</w:t>
      </w:r>
      <w:r w:rsidR="00570F3C">
        <w:t>–</w:t>
      </w:r>
      <w:r w:rsidRPr="00884820">
        <w:t>21:</w:t>
      </w:r>
    </w:p>
    <w:tbl>
      <w:tblPr>
        <w:tblStyle w:val="TableGrid"/>
        <w:tblW w:w="5000" w:type="pct"/>
        <w:tblLayout w:type="fixed"/>
        <w:tblLook w:val="04A0" w:firstRow="1" w:lastRow="0" w:firstColumn="1" w:lastColumn="0" w:noHBand="0" w:noVBand="1"/>
      </w:tblPr>
      <w:tblGrid>
        <w:gridCol w:w="566"/>
        <w:gridCol w:w="2836"/>
        <w:gridCol w:w="709"/>
        <w:gridCol w:w="991"/>
        <w:gridCol w:w="567"/>
        <w:gridCol w:w="569"/>
        <w:gridCol w:w="852"/>
        <w:gridCol w:w="569"/>
        <w:gridCol w:w="715"/>
        <w:gridCol w:w="652"/>
      </w:tblGrid>
      <w:tr w:rsidR="00CC23B3" w:rsidRPr="00B547F5" w14:paraId="05AEDF35" w14:textId="77777777" w:rsidTr="00CC23B3">
        <w:trPr>
          <w:cnfStyle w:val="100000000000" w:firstRow="1" w:lastRow="0" w:firstColumn="0" w:lastColumn="0" w:oddVBand="0" w:evenVBand="0" w:oddHBand="0" w:evenHBand="0" w:firstRowFirstColumn="0" w:firstRowLastColumn="0" w:lastRowFirstColumn="0" w:lastRowLastColumn="0"/>
        </w:trPr>
        <w:tc>
          <w:tcPr>
            <w:tcW w:w="1885" w:type="pct"/>
            <w:gridSpan w:val="2"/>
            <w:shd w:val="clear" w:color="auto" w:fill="auto"/>
          </w:tcPr>
          <w:p w14:paraId="42368F23" w14:textId="77777777" w:rsidR="00CC23B3" w:rsidRPr="00884820" w:rsidRDefault="00CC23B3" w:rsidP="0088160B">
            <w:pPr>
              <w:pStyle w:val="TableTextLeft"/>
            </w:pPr>
          </w:p>
        </w:tc>
        <w:tc>
          <w:tcPr>
            <w:tcW w:w="3115" w:type="pct"/>
            <w:gridSpan w:val="8"/>
          </w:tcPr>
          <w:p w14:paraId="18295BAE" w14:textId="35C8206D" w:rsidR="00CC23B3" w:rsidRPr="00CC23B3" w:rsidRDefault="00CC23B3" w:rsidP="0088160B">
            <w:pPr>
              <w:pStyle w:val="TableColumnHeadingLeft"/>
              <w:rPr>
                <w:b/>
              </w:rPr>
            </w:pPr>
            <w:r w:rsidRPr="00CC23B3">
              <w:rPr>
                <w:b/>
              </w:rPr>
              <w:t xml:space="preserve">Negative findings from reviews of key audit areas in audit files, </w:t>
            </w:r>
            <w:r w:rsidRPr="00CC23B3">
              <w:rPr>
                <w:b/>
              </w:rPr>
              <w:br/>
              <w:t>by firm</w:t>
            </w:r>
          </w:p>
        </w:tc>
      </w:tr>
      <w:tr w:rsidR="0088160B" w:rsidRPr="00B547F5" w14:paraId="7B0AE61F" w14:textId="77777777" w:rsidTr="0088160B">
        <w:tc>
          <w:tcPr>
            <w:tcW w:w="1885" w:type="pct"/>
            <w:gridSpan w:val="2"/>
            <w:vMerge w:val="restart"/>
          </w:tcPr>
          <w:p w14:paraId="7CB1449C" w14:textId="77777777" w:rsidR="00DB57EC" w:rsidRPr="00884820" w:rsidRDefault="00DB57EC" w:rsidP="0088160B">
            <w:pPr>
              <w:pStyle w:val="TableTextLeft"/>
            </w:pPr>
          </w:p>
        </w:tc>
        <w:tc>
          <w:tcPr>
            <w:tcW w:w="1256" w:type="pct"/>
            <w:gridSpan w:val="3"/>
          </w:tcPr>
          <w:p w14:paraId="37A21C11" w14:textId="77777777" w:rsidR="00DB57EC" w:rsidRPr="00884820" w:rsidRDefault="00DB57EC" w:rsidP="0088160B">
            <w:pPr>
              <w:pStyle w:val="TableColumnHeadingLeft"/>
            </w:pPr>
            <w:r w:rsidRPr="00884820">
              <w:t>Audit Firm</w:t>
            </w:r>
          </w:p>
        </w:tc>
        <w:tc>
          <w:tcPr>
            <w:tcW w:w="1860" w:type="pct"/>
            <w:gridSpan w:val="5"/>
          </w:tcPr>
          <w:p w14:paraId="611B9AB4" w14:textId="77777777" w:rsidR="00DB57EC" w:rsidRPr="00884820" w:rsidRDefault="00DB57EC" w:rsidP="0088160B">
            <w:pPr>
              <w:pStyle w:val="TableColumnHeadingLeft"/>
            </w:pPr>
          </w:p>
        </w:tc>
      </w:tr>
      <w:tr w:rsidR="0088160B" w:rsidRPr="00B547F5" w14:paraId="664B93B3" w14:textId="77777777" w:rsidTr="0088160B">
        <w:tc>
          <w:tcPr>
            <w:tcW w:w="1885" w:type="pct"/>
            <w:gridSpan w:val="2"/>
            <w:vMerge/>
          </w:tcPr>
          <w:p w14:paraId="6C2B2154" w14:textId="77777777" w:rsidR="00DB57EC" w:rsidRPr="00884820" w:rsidRDefault="00DB57EC" w:rsidP="0088160B">
            <w:pPr>
              <w:pStyle w:val="TableTextLeft"/>
            </w:pPr>
          </w:p>
        </w:tc>
        <w:tc>
          <w:tcPr>
            <w:tcW w:w="393" w:type="pct"/>
          </w:tcPr>
          <w:p w14:paraId="4DAA8D46" w14:textId="77777777" w:rsidR="00DB57EC" w:rsidRPr="00884820" w:rsidRDefault="00DB57EC" w:rsidP="0088160B">
            <w:pPr>
              <w:pStyle w:val="TableColumnHeadingLeft"/>
            </w:pPr>
            <w:r w:rsidRPr="00884820">
              <w:t>BDO</w:t>
            </w:r>
          </w:p>
        </w:tc>
        <w:tc>
          <w:tcPr>
            <w:tcW w:w="549" w:type="pct"/>
          </w:tcPr>
          <w:p w14:paraId="22FA96B7" w14:textId="77777777" w:rsidR="00DB57EC" w:rsidRPr="00884820" w:rsidRDefault="00DB57EC" w:rsidP="0088160B">
            <w:pPr>
              <w:pStyle w:val="TableColumnHeadingLeft"/>
            </w:pPr>
            <w:r w:rsidRPr="00884820">
              <w:t>Deloitte</w:t>
            </w:r>
          </w:p>
        </w:tc>
        <w:tc>
          <w:tcPr>
            <w:tcW w:w="314" w:type="pct"/>
          </w:tcPr>
          <w:p w14:paraId="0274AD9F" w14:textId="77777777" w:rsidR="00DB57EC" w:rsidRPr="00884820" w:rsidRDefault="00DB57EC" w:rsidP="0088160B">
            <w:pPr>
              <w:pStyle w:val="TableColumnHeadingLeft"/>
            </w:pPr>
            <w:r w:rsidRPr="00884820">
              <w:t>EY</w:t>
            </w:r>
          </w:p>
        </w:tc>
        <w:tc>
          <w:tcPr>
            <w:tcW w:w="315" w:type="pct"/>
          </w:tcPr>
          <w:p w14:paraId="513556A5" w14:textId="77777777" w:rsidR="00DB57EC" w:rsidRPr="00884820" w:rsidRDefault="00DB57EC" w:rsidP="0088160B">
            <w:pPr>
              <w:pStyle w:val="TableColumnHeadingLeft"/>
            </w:pPr>
            <w:r w:rsidRPr="00884820">
              <w:t>GT</w:t>
            </w:r>
          </w:p>
        </w:tc>
        <w:tc>
          <w:tcPr>
            <w:tcW w:w="472" w:type="pct"/>
          </w:tcPr>
          <w:p w14:paraId="0649E664" w14:textId="77777777" w:rsidR="00DB57EC" w:rsidRPr="00884820" w:rsidRDefault="00DB57EC" w:rsidP="0088160B">
            <w:pPr>
              <w:pStyle w:val="TableColumnHeadingLeft"/>
            </w:pPr>
            <w:r w:rsidRPr="00884820">
              <w:t>KPMG</w:t>
            </w:r>
          </w:p>
        </w:tc>
        <w:tc>
          <w:tcPr>
            <w:tcW w:w="315" w:type="pct"/>
          </w:tcPr>
          <w:p w14:paraId="5C184AC4" w14:textId="77777777" w:rsidR="00DB57EC" w:rsidRPr="00884820" w:rsidRDefault="00DB57EC" w:rsidP="0088160B">
            <w:pPr>
              <w:pStyle w:val="TableColumnHeadingLeft"/>
            </w:pPr>
            <w:r w:rsidRPr="00884820">
              <w:t>PwC</w:t>
            </w:r>
          </w:p>
        </w:tc>
        <w:tc>
          <w:tcPr>
            <w:tcW w:w="396" w:type="pct"/>
          </w:tcPr>
          <w:p w14:paraId="2AF92323" w14:textId="77777777" w:rsidR="00DB57EC" w:rsidRPr="00884820" w:rsidRDefault="00DB57EC" w:rsidP="0088160B">
            <w:pPr>
              <w:pStyle w:val="TableColumnHeadingLeft"/>
            </w:pPr>
            <w:r w:rsidRPr="00884820">
              <w:t>Other</w:t>
            </w:r>
          </w:p>
        </w:tc>
        <w:tc>
          <w:tcPr>
            <w:tcW w:w="361" w:type="pct"/>
          </w:tcPr>
          <w:p w14:paraId="32C5B8B4" w14:textId="77777777" w:rsidR="00DB57EC" w:rsidRPr="00884820" w:rsidRDefault="00DB57EC" w:rsidP="0088160B">
            <w:pPr>
              <w:pStyle w:val="TableColumnHeadingLeft"/>
            </w:pPr>
            <w:r w:rsidRPr="00884820">
              <w:t>Total</w:t>
            </w:r>
          </w:p>
        </w:tc>
      </w:tr>
      <w:tr w:rsidR="0088160B" w:rsidRPr="00C51858" w14:paraId="667C0F31" w14:textId="77777777" w:rsidTr="003D54C2">
        <w:trPr>
          <w:trHeight w:val="255"/>
        </w:trPr>
        <w:tc>
          <w:tcPr>
            <w:tcW w:w="314" w:type="pct"/>
            <w:vMerge w:val="restart"/>
            <w:shd w:val="clear" w:color="auto" w:fill="F8F8F8" w:themeFill="background2"/>
            <w:textDirection w:val="btLr"/>
          </w:tcPr>
          <w:p w14:paraId="7C6E30B6" w14:textId="7408FACB" w:rsidR="00DB57EC" w:rsidRPr="00884820" w:rsidRDefault="00DB57EC" w:rsidP="0088160B">
            <w:pPr>
              <w:pStyle w:val="TableColumnHeadingLeft"/>
            </w:pPr>
            <w:r w:rsidRPr="00884820">
              <w:t>FY 2021</w:t>
            </w:r>
            <w:r w:rsidR="003D54C2">
              <w:t>–</w:t>
            </w:r>
            <w:r w:rsidRPr="00884820">
              <w:t>22</w:t>
            </w:r>
          </w:p>
        </w:tc>
        <w:tc>
          <w:tcPr>
            <w:tcW w:w="1570" w:type="pct"/>
          </w:tcPr>
          <w:p w14:paraId="2A4FAB88" w14:textId="77777777" w:rsidR="00DB57EC" w:rsidRPr="0088160B" w:rsidRDefault="00DB57EC" w:rsidP="0088160B">
            <w:pPr>
              <w:pStyle w:val="TableColumnHeadingLeft"/>
            </w:pPr>
            <w:r w:rsidRPr="0088160B">
              <w:t>Audit files reviewed</w:t>
            </w:r>
          </w:p>
        </w:tc>
        <w:tc>
          <w:tcPr>
            <w:tcW w:w="393" w:type="pct"/>
          </w:tcPr>
          <w:p w14:paraId="4D744C29" w14:textId="77777777" w:rsidR="00DB57EC" w:rsidRPr="0088160B" w:rsidRDefault="00DB57EC" w:rsidP="00FC65CD">
            <w:pPr>
              <w:pStyle w:val="TableTextLeft"/>
            </w:pPr>
            <w:r w:rsidRPr="0088160B">
              <w:t>3</w:t>
            </w:r>
          </w:p>
        </w:tc>
        <w:tc>
          <w:tcPr>
            <w:tcW w:w="549" w:type="pct"/>
          </w:tcPr>
          <w:p w14:paraId="019A8CE0" w14:textId="77777777" w:rsidR="00DB57EC" w:rsidRPr="0088160B" w:rsidRDefault="00DB57EC" w:rsidP="00FC65CD">
            <w:pPr>
              <w:pStyle w:val="TableTextLeft"/>
            </w:pPr>
            <w:r w:rsidRPr="0088160B">
              <w:t>5</w:t>
            </w:r>
          </w:p>
        </w:tc>
        <w:tc>
          <w:tcPr>
            <w:tcW w:w="314" w:type="pct"/>
          </w:tcPr>
          <w:p w14:paraId="211B27E5" w14:textId="77777777" w:rsidR="00DB57EC" w:rsidRPr="0088160B" w:rsidRDefault="00DB57EC" w:rsidP="00FC65CD">
            <w:pPr>
              <w:pStyle w:val="TableTextLeft"/>
            </w:pPr>
            <w:r w:rsidRPr="0088160B">
              <w:t>8</w:t>
            </w:r>
          </w:p>
        </w:tc>
        <w:tc>
          <w:tcPr>
            <w:tcW w:w="315" w:type="pct"/>
          </w:tcPr>
          <w:p w14:paraId="29D650B7" w14:textId="77777777" w:rsidR="00DB57EC" w:rsidRPr="0088160B" w:rsidRDefault="00DB57EC" w:rsidP="00FC65CD">
            <w:pPr>
              <w:pStyle w:val="TableTextLeft"/>
            </w:pPr>
            <w:r w:rsidRPr="0088160B">
              <w:t>3</w:t>
            </w:r>
          </w:p>
        </w:tc>
        <w:tc>
          <w:tcPr>
            <w:tcW w:w="472" w:type="pct"/>
          </w:tcPr>
          <w:p w14:paraId="1DE33744" w14:textId="77777777" w:rsidR="00DB57EC" w:rsidRPr="0088160B" w:rsidRDefault="00DB57EC" w:rsidP="00FC65CD">
            <w:pPr>
              <w:pStyle w:val="TableTextLeft"/>
            </w:pPr>
            <w:r w:rsidRPr="0088160B">
              <w:t>8</w:t>
            </w:r>
          </w:p>
        </w:tc>
        <w:tc>
          <w:tcPr>
            <w:tcW w:w="315" w:type="pct"/>
          </w:tcPr>
          <w:p w14:paraId="30CBDF11" w14:textId="77777777" w:rsidR="00DB57EC" w:rsidRPr="0088160B" w:rsidRDefault="00DB57EC" w:rsidP="00FC65CD">
            <w:pPr>
              <w:pStyle w:val="TableTextLeft"/>
            </w:pPr>
            <w:r w:rsidRPr="0088160B">
              <w:t>8</w:t>
            </w:r>
          </w:p>
        </w:tc>
        <w:tc>
          <w:tcPr>
            <w:tcW w:w="396" w:type="pct"/>
          </w:tcPr>
          <w:p w14:paraId="18396994" w14:textId="77777777" w:rsidR="00DB57EC" w:rsidRPr="0088160B" w:rsidRDefault="00DB57EC" w:rsidP="00FC65CD">
            <w:pPr>
              <w:pStyle w:val="TableTextLeft"/>
            </w:pPr>
            <w:r w:rsidRPr="0088160B">
              <w:t>10</w:t>
            </w:r>
          </w:p>
        </w:tc>
        <w:tc>
          <w:tcPr>
            <w:tcW w:w="361" w:type="pct"/>
          </w:tcPr>
          <w:p w14:paraId="6D941F27" w14:textId="77777777" w:rsidR="00DB57EC" w:rsidRPr="0088160B" w:rsidRDefault="00DB57EC" w:rsidP="00FC65CD">
            <w:pPr>
              <w:pStyle w:val="TableTextLeft"/>
              <w:rPr>
                <w:b/>
                <w:bCs/>
              </w:rPr>
            </w:pPr>
            <w:r w:rsidRPr="0088160B">
              <w:rPr>
                <w:b/>
                <w:bCs/>
              </w:rPr>
              <w:t>45</w:t>
            </w:r>
          </w:p>
        </w:tc>
      </w:tr>
      <w:tr w:rsidR="0088160B" w:rsidRPr="00C51858" w14:paraId="2DF32C89" w14:textId="77777777" w:rsidTr="003D54C2">
        <w:trPr>
          <w:trHeight w:val="359"/>
        </w:trPr>
        <w:tc>
          <w:tcPr>
            <w:tcW w:w="314" w:type="pct"/>
            <w:vMerge/>
            <w:shd w:val="clear" w:color="auto" w:fill="F8F8F8" w:themeFill="background2"/>
            <w:textDirection w:val="btLr"/>
          </w:tcPr>
          <w:p w14:paraId="405FC250" w14:textId="77777777" w:rsidR="00DB57EC" w:rsidRPr="00884820" w:rsidRDefault="00DB57EC" w:rsidP="0088160B">
            <w:pPr>
              <w:pStyle w:val="TableColumnHeadingLeft"/>
            </w:pPr>
          </w:p>
        </w:tc>
        <w:tc>
          <w:tcPr>
            <w:tcW w:w="1570" w:type="pct"/>
          </w:tcPr>
          <w:p w14:paraId="34AE460A" w14:textId="77777777" w:rsidR="00DB57EC" w:rsidRPr="0088160B" w:rsidRDefault="00DB57EC" w:rsidP="0088160B">
            <w:pPr>
              <w:pStyle w:val="TableColumnHeadingLeft"/>
            </w:pPr>
            <w:r w:rsidRPr="0088160B">
              <w:t>Key audit areas</w:t>
            </w:r>
          </w:p>
        </w:tc>
        <w:tc>
          <w:tcPr>
            <w:tcW w:w="393" w:type="pct"/>
          </w:tcPr>
          <w:p w14:paraId="1CC1B258" w14:textId="77777777" w:rsidR="00DB57EC" w:rsidRPr="0088160B" w:rsidRDefault="00DB57EC" w:rsidP="00FC65CD">
            <w:pPr>
              <w:pStyle w:val="TableTextLeft"/>
            </w:pPr>
            <w:r w:rsidRPr="0088160B">
              <w:t>10</w:t>
            </w:r>
          </w:p>
        </w:tc>
        <w:tc>
          <w:tcPr>
            <w:tcW w:w="549" w:type="pct"/>
          </w:tcPr>
          <w:p w14:paraId="4DE3A319" w14:textId="77777777" w:rsidR="00DB57EC" w:rsidRPr="0088160B" w:rsidRDefault="00DB57EC" w:rsidP="00FC65CD">
            <w:pPr>
              <w:pStyle w:val="TableTextLeft"/>
            </w:pPr>
            <w:r w:rsidRPr="0088160B">
              <w:t>18</w:t>
            </w:r>
          </w:p>
        </w:tc>
        <w:tc>
          <w:tcPr>
            <w:tcW w:w="314" w:type="pct"/>
          </w:tcPr>
          <w:p w14:paraId="30F4DAB6" w14:textId="77777777" w:rsidR="00DB57EC" w:rsidRPr="0088160B" w:rsidRDefault="00DB57EC" w:rsidP="00FC65CD">
            <w:pPr>
              <w:pStyle w:val="TableTextLeft"/>
            </w:pPr>
            <w:r w:rsidRPr="0088160B">
              <w:t>26</w:t>
            </w:r>
          </w:p>
        </w:tc>
        <w:tc>
          <w:tcPr>
            <w:tcW w:w="315" w:type="pct"/>
          </w:tcPr>
          <w:p w14:paraId="3C774FC9" w14:textId="77777777" w:rsidR="00DB57EC" w:rsidRPr="0088160B" w:rsidRDefault="00DB57EC" w:rsidP="00FC65CD">
            <w:pPr>
              <w:pStyle w:val="TableTextLeft"/>
            </w:pPr>
            <w:r w:rsidRPr="0088160B">
              <w:t>9</w:t>
            </w:r>
          </w:p>
        </w:tc>
        <w:tc>
          <w:tcPr>
            <w:tcW w:w="472" w:type="pct"/>
          </w:tcPr>
          <w:p w14:paraId="483C996D" w14:textId="77777777" w:rsidR="00DB57EC" w:rsidRPr="0088160B" w:rsidRDefault="00DB57EC" w:rsidP="00FC65CD">
            <w:pPr>
              <w:pStyle w:val="TableTextLeft"/>
            </w:pPr>
            <w:r w:rsidRPr="0088160B">
              <w:t>27</w:t>
            </w:r>
          </w:p>
        </w:tc>
        <w:tc>
          <w:tcPr>
            <w:tcW w:w="315" w:type="pct"/>
          </w:tcPr>
          <w:p w14:paraId="57D6C868" w14:textId="77777777" w:rsidR="00DB57EC" w:rsidRPr="0088160B" w:rsidRDefault="00DB57EC" w:rsidP="00FC65CD">
            <w:pPr>
              <w:pStyle w:val="TableTextLeft"/>
            </w:pPr>
            <w:r w:rsidRPr="0088160B">
              <w:t>24</w:t>
            </w:r>
          </w:p>
        </w:tc>
        <w:tc>
          <w:tcPr>
            <w:tcW w:w="396" w:type="pct"/>
          </w:tcPr>
          <w:p w14:paraId="65D32781" w14:textId="77777777" w:rsidR="00DB57EC" w:rsidRPr="0088160B" w:rsidRDefault="00DB57EC" w:rsidP="00FC65CD">
            <w:pPr>
              <w:pStyle w:val="TableTextLeft"/>
            </w:pPr>
            <w:r w:rsidRPr="0088160B">
              <w:t>32</w:t>
            </w:r>
          </w:p>
        </w:tc>
        <w:tc>
          <w:tcPr>
            <w:tcW w:w="361" w:type="pct"/>
          </w:tcPr>
          <w:p w14:paraId="709F6504" w14:textId="77777777" w:rsidR="00DB57EC" w:rsidRPr="0088160B" w:rsidRDefault="00DB57EC" w:rsidP="00FC65CD">
            <w:pPr>
              <w:pStyle w:val="TableTextLeft"/>
              <w:rPr>
                <w:b/>
                <w:bCs/>
              </w:rPr>
            </w:pPr>
            <w:r w:rsidRPr="0088160B">
              <w:rPr>
                <w:b/>
                <w:bCs/>
              </w:rPr>
              <w:t>146</w:t>
            </w:r>
          </w:p>
        </w:tc>
      </w:tr>
      <w:tr w:rsidR="0088160B" w:rsidRPr="00C51858" w14:paraId="54958848" w14:textId="77777777" w:rsidTr="003D54C2">
        <w:trPr>
          <w:trHeight w:val="421"/>
        </w:trPr>
        <w:tc>
          <w:tcPr>
            <w:tcW w:w="314" w:type="pct"/>
            <w:vMerge/>
            <w:shd w:val="clear" w:color="auto" w:fill="F8F8F8" w:themeFill="background2"/>
            <w:textDirection w:val="btLr"/>
          </w:tcPr>
          <w:p w14:paraId="650054C4" w14:textId="77777777" w:rsidR="00DB57EC" w:rsidRPr="00884820" w:rsidRDefault="00DB57EC" w:rsidP="0088160B">
            <w:pPr>
              <w:pStyle w:val="TableColumnHeadingLeft"/>
            </w:pPr>
          </w:p>
        </w:tc>
        <w:tc>
          <w:tcPr>
            <w:tcW w:w="1570" w:type="pct"/>
          </w:tcPr>
          <w:p w14:paraId="58C0CA9A" w14:textId="77777777" w:rsidR="00DB57EC" w:rsidRPr="0088160B" w:rsidRDefault="00DB57EC" w:rsidP="0088160B">
            <w:pPr>
              <w:pStyle w:val="TableColumnHeadingLeft"/>
            </w:pPr>
            <w:r w:rsidRPr="0088160B">
              <w:t>Areas with negative findings</w:t>
            </w:r>
          </w:p>
        </w:tc>
        <w:tc>
          <w:tcPr>
            <w:tcW w:w="393" w:type="pct"/>
          </w:tcPr>
          <w:p w14:paraId="77296942" w14:textId="77777777" w:rsidR="00DB57EC" w:rsidRPr="0088160B" w:rsidRDefault="00DB57EC" w:rsidP="00FC65CD">
            <w:pPr>
              <w:pStyle w:val="TableTextLeft"/>
            </w:pPr>
            <w:r w:rsidRPr="0088160B">
              <w:t>2</w:t>
            </w:r>
          </w:p>
        </w:tc>
        <w:tc>
          <w:tcPr>
            <w:tcW w:w="549" w:type="pct"/>
          </w:tcPr>
          <w:p w14:paraId="0AB7F7B9" w14:textId="77777777" w:rsidR="00DB57EC" w:rsidRPr="0088160B" w:rsidRDefault="00DB57EC" w:rsidP="00FC65CD">
            <w:pPr>
              <w:pStyle w:val="TableTextLeft"/>
            </w:pPr>
            <w:r w:rsidRPr="0088160B">
              <w:t>9</w:t>
            </w:r>
          </w:p>
        </w:tc>
        <w:tc>
          <w:tcPr>
            <w:tcW w:w="314" w:type="pct"/>
          </w:tcPr>
          <w:p w14:paraId="4EA739AA" w14:textId="77777777" w:rsidR="00DB57EC" w:rsidRPr="0088160B" w:rsidRDefault="00DB57EC" w:rsidP="00FC65CD">
            <w:pPr>
              <w:pStyle w:val="TableTextLeft"/>
            </w:pPr>
            <w:r w:rsidRPr="0088160B">
              <w:t>4</w:t>
            </w:r>
          </w:p>
        </w:tc>
        <w:tc>
          <w:tcPr>
            <w:tcW w:w="315" w:type="pct"/>
          </w:tcPr>
          <w:p w14:paraId="005C1736" w14:textId="77777777" w:rsidR="00DB57EC" w:rsidRPr="0088160B" w:rsidRDefault="00DB57EC" w:rsidP="00FC65CD">
            <w:pPr>
              <w:pStyle w:val="TableTextLeft"/>
            </w:pPr>
            <w:r w:rsidRPr="0088160B">
              <w:t>4</w:t>
            </w:r>
          </w:p>
        </w:tc>
        <w:tc>
          <w:tcPr>
            <w:tcW w:w="472" w:type="pct"/>
          </w:tcPr>
          <w:p w14:paraId="67F32E09" w14:textId="77777777" w:rsidR="00DB57EC" w:rsidRPr="0088160B" w:rsidRDefault="00DB57EC" w:rsidP="00FC65CD">
            <w:pPr>
              <w:pStyle w:val="TableTextLeft"/>
            </w:pPr>
            <w:r w:rsidRPr="0088160B">
              <w:t>13</w:t>
            </w:r>
          </w:p>
        </w:tc>
        <w:tc>
          <w:tcPr>
            <w:tcW w:w="315" w:type="pct"/>
          </w:tcPr>
          <w:p w14:paraId="7739EAAE" w14:textId="77777777" w:rsidR="00DB57EC" w:rsidRPr="0088160B" w:rsidRDefault="00DB57EC" w:rsidP="00FC65CD">
            <w:pPr>
              <w:pStyle w:val="TableTextLeft"/>
            </w:pPr>
            <w:r w:rsidRPr="0088160B">
              <w:t>4</w:t>
            </w:r>
          </w:p>
        </w:tc>
        <w:tc>
          <w:tcPr>
            <w:tcW w:w="396" w:type="pct"/>
          </w:tcPr>
          <w:p w14:paraId="03ED1485" w14:textId="77777777" w:rsidR="00DB57EC" w:rsidRPr="0088160B" w:rsidRDefault="00DB57EC" w:rsidP="00FC65CD">
            <w:pPr>
              <w:pStyle w:val="TableTextLeft"/>
            </w:pPr>
            <w:r w:rsidRPr="0088160B">
              <w:t>16</w:t>
            </w:r>
          </w:p>
        </w:tc>
        <w:tc>
          <w:tcPr>
            <w:tcW w:w="361" w:type="pct"/>
          </w:tcPr>
          <w:p w14:paraId="3938D6CF" w14:textId="77777777" w:rsidR="00DB57EC" w:rsidRPr="0088160B" w:rsidRDefault="00DB57EC" w:rsidP="00FC65CD">
            <w:pPr>
              <w:pStyle w:val="TableTextLeft"/>
              <w:rPr>
                <w:b/>
                <w:bCs/>
              </w:rPr>
            </w:pPr>
            <w:r w:rsidRPr="0088160B">
              <w:rPr>
                <w:b/>
                <w:bCs/>
              </w:rPr>
              <w:t>52</w:t>
            </w:r>
          </w:p>
        </w:tc>
      </w:tr>
      <w:tr w:rsidR="0088160B" w:rsidRPr="00C51858" w14:paraId="2B2766EA" w14:textId="77777777" w:rsidTr="003D54C2">
        <w:trPr>
          <w:trHeight w:val="426"/>
        </w:trPr>
        <w:tc>
          <w:tcPr>
            <w:tcW w:w="314" w:type="pct"/>
            <w:vMerge w:val="restart"/>
            <w:shd w:val="clear" w:color="auto" w:fill="F8F8F8" w:themeFill="background2"/>
            <w:textDirection w:val="btLr"/>
          </w:tcPr>
          <w:p w14:paraId="079A1E22" w14:textId="479CD69A" w:rsidR="00DB57EC" w:rsidRPr="00884820" w:rsidRDefault="00DB57EC" w:rsidP="0088160B">
            <w:pPr>
              <w:pStyle w:val="TableColumnHeadingLeft"/>
            </w:pPr>
            <w:r w:rsidRPr="00884820">
              <w:t>FY 2020</w:t>
            </w:r>
            <w:r w:rsidR="003D54C2">
              <w:t>–</w:t>
            </w:r>
            <w:r w:rsidRPr="00884820">
              <w:t>21</w:t>
            </w:r>
          </w:p>
        </w:tc>
        <w:tc>
          <w:tcPr>
            <w:tcW w:w="1570" w:type="pct"/>
          </w:tcPr>
          <w:p w14:paraId="3E82A803" w14:textId="77777777" w:rsidR="00DB57EC" w:rsidRPr="0088160B" w:rsidRDefault="00DB57EC" w:rsidP="0088160B">
            <w:pPr>
              <w:pStyle w:val="TableColumnHeadingLeft"/>
            </w:pPr>
            <w:r w:rsidRPr="0088160B">
              <w:t>Audit files reviewed</w:t>
            </w:r>
          </w:p>
        </w:tc>
        <w:tc>
          <w:tcPr>
            <w:tcW w:w="393" w:type="pct"/>
          </w:tcPr>
          <w:p w14:paraId="357454A1" w14:textId="77777777" w:rsidR="00DB57EC" w:rsidRPr="0088160B" w:rsidRDefault="00DB57EC" w:rsidP="00FC65CD">
            <w:pPr>
              <w:pStyle w:val="TableTextLeft"/>
            </w:pPr>
            <w:r w:rsidRPr="0088160B">
              <w:t>3</w:t>
            </w:r>
          </w:p>
        </w:tc>
        <w:tc>
          <w:tcPr>
            <w:tcW w:w="549" w:type="pct"/>
          </w:tcPr>
          <w:p w14:paraId="4ADF80A6" w14:textId="77777777" w:rsidR="00DB57EC" w:rsidRPr="0088160B" w:rsidRDefault="00DB57EC" w:rsidP="00FC65CD">
            <w:pPr>
              <w:pStyle w:val="TableTextLeft"/>
            </w:pPr>
            <w:r w:rsidRPr="0088160B">
              <w:t>5</w:t>
            </w:r>
          </w:p>
        </w:tc>
        <w:tc>
          <w:tcPr>
            <w:tcW w:w="314" w:type="pct"/>
          </w:tcPr>
          <w:p w14:paraId="7B574A2D" w14:textId="77777777" w:rsidR="00DB57EC" w:rsidRPr="0088160B" w:rsidRDefault="00DB57EC" w:rsidP="00FC65CD">
            <w:pPr>
              <w:pStyle w:val="TableTextLeft"/>
            </w:pPr>
            <w:r w:rsidRPr="0088160B">
              <w:t>8</w:t>
            </w:r>
          </w:p>
        </w:tc>
        <w:tc>
          <w:tcPr>
            <w:tcW w:w="315" w:type="pct"/>
          </w:tcPr>
          <w:p w14:paraId="5EC59370" w14:textId="77777777" w:rsidR="00DB57EC" w:rsidRPr="0088160B" w:rsidRDefault="00DB57EC" w:rsidP="00FC65CD">
            <w:pPr>
              <w:pStyle w:val="TableTextLeft"/>
            </w:pPr>
            <w:r w:rsidRPr="0088160B">
              <w:t>3</w:t>
            </w:r>
          </w:p>
        </w:tc>
        <w:tc>
          <w:tcPr>
            <w:tcW w:w="472" w:type="pct"/>
          </w:tcPr>
          <w:p w14:paraId="5CB60986" w14:textId="77777777" w:rsidR="00DB57EC" w:rsidRPr="0088160B" w:rsidRDefault="00DB57EC" w:rsidP="00FC65CD">
            <w:pPr>
              <w:pStyle w:val="TableTextLeft"/>
            </w:pPr>
            <w:r w:rsidRPr="0088160B">
              <w:t>8</w:t>
            </w:r>
          </w:p>
        </w:tc>
        <w:tc>
          <w:tcPr>
            <w:tcW w:w="315" w:type="pct"/>
          </w:tcPr>
          <w:p w14:paraId="4E9851B7" w14:textId="77777777" w:rsidR="00DB57EC" w:rsidRPr="0088160B" w:rsidRDefault="00DB57EC" w:rsidP="00FC65CD">
            <w:pPr>
              <w:pStyle w:val="TableTextLeft"/>
            </w:pPr>
            <w:r w:rsidRPr="0088160B">
              <w:t>8</w:t>
            </w:r>
          </w:p>
        </w:tc>
        <w:tc>
          <w:tcPr>
            <w:tcW w:w="396" w:type="pct"/>
          </w:tcPr>
          <w:p w14:paraId="4483B2DF" w14:textId="77777777" w:rsidR="00DB57EC" w:rsidRPr="0088160B" w:rsidRDefault="00DB57EC" w:rsidP="00FC65CD">
            <w:pPr>
              <w:pStyle w:val="TableTextLeft"/>
            </w:pPr>
            <w:r w:rsidRPr="0088160B">
              <w:t>10</w:t>
            </w:r>
          </w:p>
        </w:tc>
        <w:tc>
          <w:tcPr>
            <w:tcW w:w="361" w:type="pct"/>
          </w:tcPr>
          <w:p w14:paraId="0B71E33E" w14:textId="77777777" w:rsidR="00DB57EC" w:rsidRPr="0088160B" w:rsidRDefault="00DB57EC" w:rsidP="00FC65CD">
            <w:pPr>
              <w:pStyle w:val="TableTextLeft"/>
              <w:rPr>
                <w:b/>
                <w:bCs/>
              </w:rPr>
            </w:pPr>
            <w:r w:rsidRPr="0088160B">
              <w:rPr>
                <w:b/>
                <w:bCs/>
              </w:rPr>
              <w:t>45</w:t>
            </w:r>
          </w:p>
        </w:tc>
      </w:tr>
      <w:tr w:rsidR="0088160B" w:rsidRPr="00C51858" w14:paraId="58EA0B69" w14:textId="77777777" w:rsidTr="003D54C2">
        <w:trPr>
          <w:trHeight w:val="277"/>
        </w:trPr>
        <w:tc>
          <w:tcPr>
            <w:tcW w:w="314" w:type="pct"/>
            <w:vMerge/>
            <w:shd w:val="clear" w:color="auto" w:fill="F8F8F8" w:themeFill="background2"/>
          </w:tcPr>
          <w:p w14:paraId="21A3EAFD" w14:textId="77777777" w:rsidR="00DB57EC" w:rsidRPr="00884820" w:rsidRDefault="00DB57EC" w:rsidP="0088160B">
            <w:pPr>
              <w:pStyle w:val="TableTextLeft"/>
              <w:rPr>
                <w:b/>
                <w:bCs/>
              </w:rPr>
            </w:pPr>
          </w:p>
        </w:tc>
        <w:tc>
          <w:tcPr>
            <w:tcW w:w="1570" w:type="pct"/>
          </w:tcPr>
          <w:p w14:paraId="287AA66E" w14:textId="77777777" w:rsidR="00DB57EC" w:rsidRPr="0088160B" w:rsidRDefault="00DB57EC" w:rsidP="0088160B">
            <w:pPr>
              <w:pStyle w:val="TableColumnHeadingLeft"/>
            </w:pPr>
            <w:r w:rsidRPr="0088160B">
              <w:t>Key audit areas</w:t>
            </w:r>
          </w:p>
        </w:tc>
        <w:tc>
          <w:tcPr>
            <w:tcW w:w="393" w:type="pct"/>
          </w:tcPr>
          <w:p w14:paraId="044F9E7C" w14:textId="77777777" w:rsidR="00DB57EC" w:rsidRPr="0088160B" w:rsidRDefault="00DB57EC" w:rsidP="00FC65CD">
            <w:pPr>
              <w:pStyle w:val="TableTextLeft"/>
            </w:pPr>
            <w:r w:rsidRPr="0088160B">
              <w:t>10</w:t>
            </w:r>
          </w:p>
        </w:tc>
        <w:tc>
          <w:tcPr>
            <w:tcW w:w="549" w:type="pct"/>
          </w:tcPr>
          <w:p w14:paraId="7D7FAA53" w14:textId="77777777" w:rsidR="00DB57EC" w:rsidRPr="0088160B" w:rsidRDefault="00DB57EC" w:rsidP="00FC65CD">
            <w:pPr>
              <w:pStyle w:val="TableTextLeft"/>
            </w:pPr>
            <w:r w:rsidRPr="0088160B">
              <w:t>17</w:t>
            </w:r>
          </w:p>
        </w:tc>
        <w:tc>
          <w:tcPr>
            <w:tcW w:w="314" w:type="pct"/>
          </w:tcPr>
          <w:p w14:paraId="25B62399" w14:textId="77777777" w:rsidR="00DB57EC" w:rsidRPr="0088160B" w:rsidRDefault="00DB57EC" w:rsidP="00FC65CD">
            <w:pPr>
              <w:pStyle w:val="TableTextLeft"/>
            </w:pPr>
            <w:r w:rsidRPr="0088160B">
              <w:t>30</w:t>
            </w:r>
          </w:p>
        </w:tc>
        <w:tc>
          <w:tcPr>
            <w:tcW w:w="315" w:type="pct"/>
          </w:tcPr>
          <w:p w14:paraId="5780585B" w14:textId="77777777" w:rsidR="00DB57EC" w:rsidRPr="0088160B" w:rsidRDefault="00DB57EC" w:rsidP="00FC65CD">
            <w:pPr>
              <w:pStyle w:val="TableTextLeft"/>
            </w:pPr>
            <w:r w:rsidRPr="0088160B">
              <w:t>11</w:t>
            </w:r>
          </w:p>
        </w:tc>
        <w:tc>
          <w:tcPr>
            <w:tcW w:w="472" w:type="pct"/>
          </w:tcPr>
          <w:p w14:paraId="71CA889A" w14:textId="77777777" w:rsidR="00DB57EC" w:rsidRPr="0088160B" w:rsidRDefault="00DB57EC" w:rsidP="00FC65CD">
            <w:pPr>
              <w:pStyle w:val="TableTextLeft"/>
            </w:pPr>
            <w:r w:rsidRPr="0088160B">
              <w:t>27</w:t>
            </w:r>
          </w:p>
        </w:tc>
        <w:tc>
          <w:tcPr>
            <w:tcW w:w="315" w:type="pct"/>
          </w:tcPr>
          <w:p w14:paraId="01E76B38" w14:textId="77777777" w:rsidR="00DB57EC" w:rsidRPr="0088160B" w:rsidRDefault="00DB57EC" w:rsidP="00FC65CD">
            <w:pPr>
              <w:pStyle w:val="TableTextLeft"/>
            </w:pPr>
            <w:r w:rsidRPr="0088160B">
              <w:t>20</w:t>
            </w:r>
          </w:p>
        </w:tc>
        <w:tc>
          <w:tcPr>
            <w:tcW w:w="396" w:type="pct"/>
          </w:tcPr>
          <w:p w14:paraId="2608ECC8" w14:textId="77777777" w:rsidR="00DB57EC" w:rsidRPr="0088160B" w:rsidRDefault="00DB57EC" w:rsidP="00FC65CD">
            <w:pPr>
              <w:pStyle w:val="TableTextLeft"/>
            </w:pPr>
            <w:r w:rsidRPr="0088160B">
              <w:t>34</w:t>
            </w:r>
          </w:p>
        </w:tc>
        <w:tc>
          <w:tcPr>
            <w:tcW w:w="361" w:type="pct"/>
          </w:tcPr>
          <w:p w14:paraId="3F70794B" w14:textId="77777777" w:rsidR="00DB57EC" w:rsidRPr="0088160B" w:rsidRDefault="00DB57EC" w:rsidP="00FC65CD">
            <w:pPr>
              <w:pStyle w:val="TableTextLeft"/>
              <w:rPr>
                <w:b/>
                <w:bCs/>
              </w:rPr>
            </w:pPr>
            <w:r w:rsidRPr="0088160B">
              <w:rPr>
                <w:b/>
                <w:bCs/>
              </w:rPr>
              <w:t>149</w:t>
            </w:r>
          </w:p>
        </w:tc>
      </w:tr>
      <w:tr w:rsidR="0088160B" w:rsidRPr="00C51858" w14:paraId="18D72819" w14:textId="77777777" w:rsidTr="003D54C2">
        <w:trPr>
          <w:trHeight w:val="302"/>
        </w:trPr>
        <w:tc>
          <w:tcPr>
            <w:tcW w:w="314" w:type="pct"/>
            <w:vMerge/>
            <w:shd w:val="clear" w:color="auto" w:fill="F8F8F8" w:themeFill="background2"/>
          </w:tcPr>
          <w:p w14:paraId="25C49AD4" w14:textId="77777777" w:rsidR="00DB57EC" w:rsidRPr="00884820" w:rsidRDefault="00DB57EC" w:rsidP="0088160B">
            <w:pPr>
              <w:pStyle w:val="TableTextLeft"/>
              <w:rPr>
                <w:b/>
                <w:bCs/>
              </w:rPr>
            </w:pPr>
          </w:p>
        </w:tc>
        <w:tc>
          <w:tcPr>
            <w:tcW w:w="1570" w:type="pct"/>
          </w:tcPr>
          <w:p w14:paraId="02748F23" w14:textId="77777777" w:rsidR="00DB57EC" w:rsidRPr="0088160B" w:rsidRDefault="00DB57EC" w:rsidP="0088160B">
            <w:pPr>
              <w:pStyle w:val="TableColumnHeadingLeft"/>
            </w:pPr>
            <w:r w:rsidRPr="0088160B">
              <w:t>Areas with negative findings</w:t>
            </w:r>
          </w:p>
        </w:tc>
        <w:tc>
          <w:tcPr>
            <w:tcW w:w="393" w:type="pct"/>
          </w:tcPr>
          <w:p w14:paraId="4CA3D634" w14:textId="77777777" w:rsidR="00DB57EC" w:rsidRPr="0088160B" w:rsidRDefault="00DB57EC" w:rsidP="00FC65CD">
            <w:pPr>
              <w:pStyle w:val="TableTextLeft"/>
            </w:pPr>
            <w:r w:rsidRPr="0088160B">
              <w:t>2</w:t>
            </w:r>
          </w:p>
        </w:tc>
        <w:tc>
          <w:tcPr>
            <w:tcW w:w="549" w:type="pct"/>
          </w:tcPr>
          <w:p w14:paraId="445D7457" w14:textId="77777777" w:rsidR="00DB57EC" w:rsidRPr="0088160B" w:rsidRDefault="00DB57EC" w:rsidP="00FC65CD">
            <w:pPr>
              <w:pStyle w:val="TableTextLeft"/>
            </w:pPr>
            <w:r w:rsidRPr="0088160B">
              <w:t>5</w:t>
            </w:r>
          </w:p>
        </w:tc>
        <w:tc>
          <w:tcPr>
            <w:tcW w:w="314" w:type="pct"/>
          </w:tcPr>
          <w:p w14:paraId="50450A37" w14:textId="77777777" w:rsidR="00DB57EC" w:rsidRPr="0088160B" w:rsidRDefault="00DB57EC" w:rsidP="00FC65CD">
            <w:pPr>
              <w:pStyle w:val="TableTextLeft"/>
            </w:pPr>
            <w:r w:rsidRPr="0088160B">
              <w:t>2</w:t>
            </w:r>
          </w:p>
        </w:tc>
        <w:tc>
          <w:tcPr>
            <w:tcW w:w="315" w:type="pct"/>
          </w:tcPr>
          <w:p w14:paraId="03A5CD4E" w14:textId="77777777" w:rsidR="00DB57EC" w:rsidRPr="0088160B" w:rsidRDefault="00DB57EC" w:rsidP="00FC65CD">
            <w:pPr>
              <w:pStyle w:val="TableTextLeft"/>
            </w:pPr>
            <w:r w:rsidRPr="0088160B">
              <w:t>5</w:t>
            </w:r>
          </w:p>
        </w:tc>
        <w:tc>
          <w:tcPr>
            <w:tcW w:w="472" w:type="pct"/>
          </w:tcPr>
          <w:p w14:paraId="0AC1DD57" w14:textId="77777777" w:rsidR="00DB57EC" w:rsidRPr="0088160B" w:rsidRDefault="00DB57EC" w:rsidP="00FC65CD">
            <w:pPr>
              <w:pStyle w:val="TableTextLeft"/>
            </w:pPr>
            <w:r w:rsidRPr="0088160B">
              <w:t>8</w:t>
            </w:r>
          </w:p>
        </w:tc>
        <w:tc>
          <w:tcPr>
            <w:tcW w:w="315" w:type="pct"/>
          </w:tcPr>
          <w:p w14:paraId="4A550854" w14:textId="77777777" w:rsidR="00DB57EC" w:rsidRPr="0088160B" w:rsidRDefault="00DB57EC" w:rsidP="00FC65CD">
            <w:pPr>
              <w:pStyle w:val="TableTextLeft"/>
            </w:pPr>
            <w:r w:rsidRPr="0088160B">
              <w:t>5</w:t>
            </w:r>
          </w:p>
        </w:tc>
        <w:tc>
          <w:tcPr>
            <w:tcW w:w="396" w:type="pct"/>
          </w:tcPr>
          <w:p w14:paraId="3B2D616C" w14:textId="77777777" w:rsidR="00DB57EC" w:rsidRPr="0088160B" w:rsidRDefault="00DB57EC" w:rsidP="00FC65CD">
            <w:pPr>
              <w:pStyle w:val="TableTextLeft"/>
            </w:pPr>
            <w:r w:rsidRPr="0088160B">
              <w:t>20</w:t>
            </w:r>
          </w:p>
        </w:tc>
        <w:tc>
          <w:tcPr>
            <w:tcW w:w="361" w:type="pct"/>
          </w:tcPr>
          <w:p w14:paraId="56FF3D15" w14:textId="77777777" w:rsidR="00DB57EC" w:rsidRPr="0088160B" w:rsidRDefault="00DB57EC" w:rsidP="00FC65CD">
            <w:pPr>
              <w:pStyle w:val="TableTextLeft"/>
              <w:rPr>
                <w:b/>
                <w:bCs/>
              </w:rPr>
            </w:pPr>
            <w:r w:rsidRPr="0088160B">
              <w:rPr>
                <w:b/>
                <w:bCs/>
              </w:rPr>
              <w:t>47</w:t>
            </w:r>
          </w:p>
        </w:tc>
      </w:tr>
    </w:tbl>
    <w:p w14:paraId="11CBD9A4" w14:textId="3EC0DBAD" w:rsidR="00DB57EC" w:rsidRDefault="00DB57EC" w:rsidP="0088160B">
      <w:r>
        <w:t>It is worth noting that t</w:t>
      </w:r>
      <w:r w:rsidRPr="005701A5">
        <w:t>he results continue</w:t>
      </w:r>
      <w:r>
        <w:t>d</w:t>
      </w:r>
      <w:r w:rsidRPr="005701A5">
        <w:t xml:space="preserve"> to </w:t>
      </w:r>
      <w:r w:rsidR="00C760F8">
        <w:t>‘</w:t>
      </w:r>
      <w:r w:rsidRPr="005701A5">
        <w:t>worsen</w:t>
      </w:r>
      <w:r w:rsidR="00C760F8">
        <w:t>’</w:t>
      </w:r>
      <w:r w:rsidRPr="005701A5">
        <w:t xml:space="preserve"> despite the firm</w:t>
      </w:r>
      <w:r w:rsidR="00EB0779">
        <w:t>’</w:t>
      </w:r>
      <w:r w:rsidRPr="005701A5">
        <w:t xml:space="preserve">s efforts to improve audit quality, however we are aware that the results are </w:t>
      </w:r>
      <w:r>
        <w:t xml:space="preserve">sometimes </w:t>
      </w:r>
      <w:r w:rsidRPr="005701A5">
        <w:t>subjective in nature and the firms do not always agree with ASIC</w:t>
      </w:r>
      <w:r w:rsidR="00EB0779">
        <w:t>’</w:t>
      </w:r>
      <w:r w:rsidRPr="005701A5">
        <w:t>s conclusions. Further, the more sophisticated the risk</w:t>
      </w:r>
      <w:r w:rsidR="00EB0779">
        <w:noBreakHyphen/>
      </w:r>
      <w:r w:rsidRPr="005701A5">
        <w:t xml:space="preserve">based selection of files by ASIC, the more likely that a file selected will have a negative finding. Hence the results </w:t>
      </w:r>
      <w:r w:rsidRPr="004930A5">
        <w:t>do not provide evidence as to the state of audit quality across the audit profession more broadly</w:t>
      </w:r>
      <w:r w:rsidRPr="005701A5">
        <w:t>.</w:t>
      </w:r>
    </w:p>
    <w:p w14:paraId="63206BD2" w14:textId="5A0246C1" w:rsidR="00DB57EC" w:rsidRPr="0088160B" w:rsidRDefault="00DB57EC" w:rsidP="0088160B">
      <w:pPr>
        <w:rPr>
          <w:vertAlign w:val="superscript"/>
        </w:rPr>
      </w:pPr>
      <w:r>
        <w:t>The FRC considers the number of audit files reviewed is small given there are over 3000 RCAs (of</w:t>
      </w:r>
      <w:r w:rsidR="00570F3C">
        <w:t> </w:t>
      </w:r>
      <w:r>
        <w:t>which o</w:t>
      </w:r>
      <w:r w:rsidRPr="007C0344">
        <w:t xml:space="preserve">ver 500 </w:t>
      </w:r>
      <w:proofErr w:type="gramStart"/>
      <w:r w:rsidRPr="007C0344">
        <w:t>audit</w:t>
      </w:r>
      <w:proofErr w:type="gramEnd"/>
      <w:r w:rsidRPr="007C0344">
        <w:t xml:space="preserve"> listed entities) and 200 (of which 50 audit listed companies) authorised audit companies in Australia.</w:t>
      </w:r>
      <w:r w:rsidR="00675CEA">
        <w:rPr>
          <w:rFonts w:ascii="ZWAdobeF" w:hAnsi="ZWAdobeF" w:cs="ZWAdobeF"/>
          <w:color w:val="auto"/>
          <w:sz w:val="2"/>
          <w:szCs w:val="2"/>
        </w:rPr>
        <w:t>32F</w:t>
      </w:r>
      <w:r w:rsidRPr="007C0344">
        <w:rPr>
          <w:vertAlign w:val="superscript"/>
        </w:rPr>
        <w:footnoteReference w:id="33"/>
      </w:r>
    </w:p>
    <w:p w14:paraId="28A7BB32" w14:textId="40E532F3" w:rsidR="00DB57EC" w:rsidRPr="0088160B" w:rsidRDefault="00DB57EC" w:rsidP="0088160B">
      <w:pPr>
        <w:pStyle w:val="Heading3"/>
        <w:rPr>
          <w:sz w:val="48"/>
          <w:szCs w:val="28"/>
        </w:rPr>
      </w:pPr>
      <w:bookmarkStart w:id="47" w:name="_Toc149551287"/>
      <w:r w:rsidRPr="00014548">
        <w:t xml:space="preserve">External </w:t>
      </w:r>
      <w:r>
        <w:t>I</w:t>
      </w:r>
      <w:r w:rsidRPr="00014548">
        <w:t xml:space="preserve">ndependent </w:t>
      </w:r>
      <w:r>
        <w:t>P</w:t>
      </w:r>
      <w:r w:rsidRPr="00014548">
        <w:t>anel</w:t>
      </w:r>
      <w:bookmarkEnd w:id="47"/>
    </w:p>
    <w:p w14:paraId="45C526A2" w14:textId="77777777" w:rsidR="00DB57EC" w:rsidRPr="00884820" w:rsidRDefault="00DB57EC" w:rsidP="00DB57EC">
      <w:pPr>
        <w:rPr>
          <w:szCs w:val="24"/>
        </w:rPr>
      </w:pPr>
      <w:r w:rsidRPr="00884820">
        <w:rPr>
          <w:szCs w:val="24"/>
        </w:rPr>
        <w:t xml:space="preserve">As detailed in Information Sheet 224, ASIC have an external independent panel which they may choose to consult to review the method of measuring and reporting findings. ASIC may also choose to discuss the conclusions reached (including firm responses) on a small number of anonymised findings where significant judgement is required. </w:t>
      </w:r>
      <w:r w:rsidRPr="00884820" w:rsidDel="0005421D">
        <w:rPr>
          <w:szCs w:val="24"/>
        </w:rPr>
        <w:t>However</w:t>
      </w:r>
      <w:r w:rsidRPr="00884820">
        <w:rPr>
          <w:szCs w:val="24"/>
        </w:rPr>
        <w:t>, ASIC makes the decisions on individual findings and the panel:</w:t>
      </w:r>
    </w:p>
    <w:p w14:paraId="3767FAE8" w14:textId="576B623D" w:rsidR="00DB57EC" w:rsidRPr="00884820" w:rsidRDefault="00DB57EC" w:rsidP="0019683B">
      <w:pPr>
        <w:pStyle w:val="Bullet"/>
      </w:pPr>
      <w:r w:rsidRPr="00884820">
        <w:t xml:space="preserve">does not review audit working </w:t>
      </w:r>
      <w:proofErr w:type="gramStart"/>
      <w:r w:rsidRPr="00884820">
        <w:t>papers</w:t>
      </w:r>
      <w:proofErr w:type="gramEnd"/>
    </w:p>
    <w:p w14:paraId="538C0F06" w14:textId="4AC2C049" w:rsidR="00DB57EC" w:rsidRPr="0019683B" w:rsidRDefault="00DB57EC" w:rsidP="00DB57EC">
      <w:pPr>
        <w:pStyle w:val="Bullet"/>
      </w:pPr>
      <w:r w:rsidRPr="00884820">
        <w:t xml:space="preserve">does not engage with the audit firm and the audit firms are not made aware of which matters were discussed by the panel. </w:t>
      </w:r>
    </w:p>
    <w:p w14:paraId="2C408559" w14:textId="77777777" w:rsidR="00DB57EC" w:rsidRPr="00884820" w:rsidRDefault="00DB57EC" w:rsidP="005528A6">
      <w:r w:rsidRPr="00884820">
        <w:t>ASIC communicate</w:t>
      </w:r>
      <w:r>
        <w:t>s</w:t>
      </w:r>
      <w:r w:rsidRPr="00884820">
        <w:t xml:space="preserve"> the findings from </w:t>
      </w:r>
      <w:r>
        <w:t>each</w:t>
      </w:r>
      <w:r w:rsidRPr="00884820">
        <w:t xml:space="preserve"> audit surveillance:</w:t>
      </w:r>
    </w:p>
    <w:p w14:paraId="4248849E" w14:textId="77777777" w:rsidR="00DB57EC" w:rsidRPr="00884820" w:rsidRDefault="00DB57EC" w:rsidP="005528A6">
      <w:pPr>
        <w:pStyle w:val="Bullet"/>
      </w:pPr>
      <w:r w:rsidRPr="00884820">
        <w:t xml:space="preserve">to the audit firm who </w:t>
      </w:r>
      <w:r>
        <w:t>is</w:t>
      </w:r>
      <w:r w:rsidRPr="00884820">
        <w:t xml:space="preserve"> asked to commit to remedial actions which are agreed to by ASIC. </w:t>
      </w:r>
    </w:p>
    <w:p w14:paraId="731480B4" w14:textId="1F6F2EC2" w:rsidR="00DB57EC" w:rsidRPr="00884820" w:rsidRDefault="00DB57EC" w:rsidP="005528A6">
      <w:pPr>
        <w:pStyle w:val="Bullet"/>
      </w:pPr>
      <w:r w:rsidRPr="00884820">
        <w:t>to directors of the entity</w:t>
      </w:r>
      <w:r w:rsidR="00675CEA">
        <w:rPr>
          <w:rFonts w:ascii="ZWAdobeF" w:hAnsi="ZWAdobeF" w:cs="ZWAdobeF"/>
          <w:color w:val="auto"/>
          <w:sz w:val="2"/>
          <w:szCs w:val="2"/>
        </w:rPr>
        <w:t>33F</w:t>
      </w:r>
      <w:r w:rsidRPr="00A2661C">
        <w:rPr>
          <w:vertAlign w:val="superscript"/>
        </w:rPr>
        <w:footnoteReference w:id="34"/>
      </w:r>
      <w:r>
        <w:t xml:space="preserve"> (from 1 July 2022)</w:t>
      </w:r>
    </w:p>
    <w:p w14:paraId="657C8ADC" w14:textId="44AE84B1" w:rsidR="00DB57EC" w:rsidRPr="005528A6" w:rsidRDefault="00DB57EC" w:rsidP="005528A6">
      <w:pPr>
        <w:pStyle w:val="Bullet"/>
      </w:pPr>
      <w:r w:rsidRPr="00884820">
        <w:t xml:space="preserve">in a public report </w:t>
      </w:r>
      <w:r>
        <w:t>as detailed above.</w:t>
      </w:r>
    </w:p>
    <w:p w14:paraId="61E92A32" w14:textId="1638E731" w:rsidR="00DB57EC" w:rsidRPr="00884820" w:rsidRDefault="00DB57EC" w:rsidP="005528A6">
      <w:r w:rsidRPr="00884820">
        <w:t xml:space="preserve">In the past </w:t>
      </w:r>
      <w:r>
        <w:t xml:space="preserve">few years, </w:t>
      </w:r>
      <w:r w:rsidRPr="00884820">
        <w:t xml:space="preserve">the </w:t>
      </w:r>
      <w:r>
        <w:t xml:space="preserve">largest </w:t>
      </w:r>
      <w:r w:rsidR="00B50466">
        <w:t>6</w:t>
      </w:r>
      <w:r>
        <w:t xml:space="preserve"> firm </w:t>
      </w:r>
      <w:r w:rsidRPr="00884820">
        <w:t>individual reports were released by ASIC and the firms themselves.</w:t>
      </w:r>
    </w:p>
    <w:p w14:paraId="4904A6E4" w14:textId="77777777" w:rsidR="00DB57EC" w:rsidRPr="00884820" w:rsidRDefault="00DB57EC" w:rsidP="005528A6">
      <w:r w:rsidRPr="00884820">
        <w:t>The impact of a negative finding is:</w:t>
      </w:r>
    </w:p>
    <w:p w14:paraId="528353CA" w14:textId="77777777" w:rsidR="00DB57EC" w:rsidRPr="00884820" w:rsidRDefault="00DB57EC" w:rsidP="005528A6">
      <w:pPr>
        <w:pStyle w:val="Bullet"/>
      </w:pPr>
      <w:r w:rsidRPr="00884820">
        <w:t>The firm may need to perform remedial actions as communicated to ASIC</w:t>
      </w:r>
      <w:r>
        <w:t>.</w:t>
      </w:r>
      <w:r w:rsidRPr="00884820">
        <w:t xml:space="preserve"> </w:t>
      </w:r>
    </w:p>
    <w:p w14:paraId="133259DB" w14:textId="3D47A206" w:rsidR="00DB57EC" w:rsidRPr="00884820" w:rsidRDefault="00DB57EC" w:rsidP="005528A6">
      <w:pPr>
        <w:pStyle w:val="Bullet"/>
      </w:pPr>
      <w:r w:rsidRPr="00884820">
        <w:t>The firm is required to perform root cause analysis as part of a continuous improvement process</w:t>
      </w:r>
      <w:r>
        <w:t>.</w:t>
      </w:r>
      <w:r w:rsidR="00675CEA">
        <w:rPr>
          <w:rFonts w:ascii="ZWAdobeF" w:hAnsi="ZWAdobeF" w:cs="ZWAdobeF"/>
          <w:color w:val="auto"/>
          <w:sz w:val="2"/>
          <w:szCs w:val="2"/>
        </w:rPr>
        <w:t>34F</w:t>
      </w:r>
      <w:r w:rsidRPr="00884820">
        <w:rPr>
          <w:vertAlign w:val="superscript"/>
        </w:rPr>
        <w:footnoteReference w:id="35"/>
      </w:r>
    </w:p>
    <w:p w14:paraId="0DADE880" w14:textId="77777777" w:rsidR="00DB57EC" w:rsidRPr="00884820" w:rsidRDefault="00DB57EC" w:rsidP="005528A6">
      <w:pPr>
        <w:pStyle w:val="Bullet"/>
      </w:pPr>
      <w:r w:rsidRPr="00884820">
        <w:t xml:space="preserve">The repercussions for the partner are determined by the firm and may impact partner remuneration depending on the severity of the finding. </w:t>
      </w:r>
    </w:p>
    <w:p w14:paraId="6A1A37D6" w14:textId="46EB6A27" w:rsidR="00DB57EC" w:rsidRPr="005528A6" w:rsidRDefault="00DB57EC" w:rsidP="005528A6">
      <w:pPr>
        <w:pStyle w:val="Bullet"/>
      </w:pPr>
      <w:r w:rsidRPr="00884820">
        <w:t xml:space="preserve">ASIC may consider whether to take enforcement </w:t>
      </w:r>
      <w:r w:rsidRPr="00884820" w:rsidDel="00277CC9">
        <w:t>action</w:t>
      </w:r>
      <w:r w:rsidRPr="00884820">
        <w:t>, however this is not common.</w:t>
      </w:r>
    </w:p>
    <w:p w14:paraId="5ADF4D43" w14:textId="332EA66E" w:rsidR="00DB57EC" w:rsidRPr="005528A6" w:rsidRDefault="00DB57EC" w:rsidP="00CC2883">
      <w:r w:rsidRPr="00884820">
        <w:t>ASIC assesses whether sufficient appropriate audit evidence was obtained to support the auditor</w:t>
      </w:r>
      <w:r w:rsidR="00EB0779">
        <w:t>’</w:t>
      </w:r>
      <w:r w:rsidRPr="00884820">
        <w:t>s conclusions, and whether they agree with key judgements made by the auditor. Audits necessarily involve the application of professional judgement and the audit firms do not always agree with ASIC</w:t>
      </w:r>
      <w:r w:rsidR="00EB0779">
        <w:t>’</w:t>
      </w:r>
      <w:r w:rsidRPr="00884820">
        <w:t>s conclusions. ASIC are of the view that they do not raise negative findings where they consider that it is due to a legitimate difference in professional judgement.</w:t>
      </w:r>
    </w:p>
    <w:p w14:paraId="43A3DC48" w14:textId="77777777" w:rsidR="00DB57EC" w:rsidRPr="00014548" w:rsidRDefault="00DB57EC" w:rsidP="005528A6">
      <w:pPr>
        <w:pStyle w:val="Heading3"/>
      </w:pPr>
      <w:bookmarkStart w:id="48" w:name="_Toc149551288"/>
      <w:r w:rsidRPr="00014548">
        <w:t xml:space="preserve">Separate </w:t>
      </w:r>
      <w:r w:rsidRPr="008930FF">
        <w:t>Surveillances</w:t>
      </w:r>
      <w:bookmarkEnd w:id="48"/>
    </w:p>
    <w:p w14:paraId="2BCD354E" w14:textId="3FFFDD23" w:rsidR="00DB57EC" w:rsidRPr="00884820" w:rsidRDefault="00DB57EC" w:rsidP="005528A6">
      <w:r w:rsidRPr="00884820">
        <w:t xml:space="preserve">In addition to the </w:t>
      </w:r>
      <w:r w:rsidRPr="00884820" w:rsidDel="007A4123">
        <w:t>risk</w:t>
      </w:r>
      <w:r w:rsidR="00EB0779">
        <w:noBreakHyphen/>
      </w:r>
      <w:r w:rsidRPr="00884820">
        <w:t xml:space="preserve">based surveillances ASIC may review audits based on specific concerns such as complaints or other intelligence, including corporate collapses. Findings from these have resulted in enforcement outcomes, with auditors removed from practice or having their registration cancelled through enforceable undertakings and decisions of the CADB. </w:t>
      </w:r>
    </w:p>
    <w:p w14:paraId="044F5937" w14:textId="22744A51" w:rsidR="00DB57EC" w:rsidRPr="00370D99" w:rsidRDefault="00DB57EC" w:rsidP="005528A6">
      <w:r w:rsidRPr="00884820">
        <w:t xml:space="preserve">There have been very few court actions against RCAs for contraventions of the Corporations Act due to difficulties with proving alleged breaches and relatively low penalties however </w:t>
      </w:r>
      <w:r>
        <w:t>penalties</w:t>
      </w:r>
      <w:r w:rsidRPr="00884820">
        <w:t xml:space="preserve"> have increased recently. </w:t>
      </w:r>
    </w:p>
    <w:p w14:paraId="6B484AC3" w14:textId="6AEEB298" w:rsidR="00DB57EC" w:rsidRPr="00884820" w:rsidRDefault="00DB57EC" w:rsidP="005528A6">
      <w:pPr>
        <w:rPr>
          <w:szCs w:val="24"/>
        </w:rPr>
      </w:pPr>
      <w:r w:rsidRPr="00884820">
        <w:rPr>
          <w:szCs w:val="24"/>
        </w:rPr>
        <w:t xml:space="preserve">Refer to the </w:t>
      </w:r>
      <w:hyperlink r:id="rId40" w:history="1">
        <w:r w:rsidRPr="00E26F7C">
          <w:rPr>
            <w:rStyle w:val="Hyperlink"/>
            <w:szCs w:val="24"/>
          </w:rPr>
          <w:t>FRC</w:t>
        </w:r>
        <w:r w:rsidR="00EB0779">
          <w:rPr>
            <w:rStyle w:val="Hyperlink"/>
            <w:szCs w:val="24"/>
          </w:rPr>
          <w:t>’</w:t>
        </w:r>
        <w:r w:rsidRPr="00E26F7C">
          <w:rPr>
            <w:rStyle w:val="Hyperlink"/>
            <w:szCs w:val="24"/>
          </w:rPr>
          <w:t>s Auditor Disc</w:t>
        </w:r>
        <w:bookmarkStart w:id="49" w:name="_Hlt148624193"/>
        <w:bookmarkStart w:id="50" w:name="_Hlt148624194"/>
        <w:r w:rsidRPr="00E26F7C">
          <w:rPr>
            <w:rStyle w:val="Hyperlink"/>
            <w:szCs w:val="24"/>
          </w:rPr>
          <w:t>i</w:t>
        </w:r>
        <w:bookmarkEnd w:id="49"/>
        <w:bookmarkEnd w:id="50"/>
        <w:r w:rsidRPr="00E26F7C">
          <w:rPr>
            <w:rStyle w:val="Hyperlink"/>
            <w:szCs w:val="24"/>
          </w:rPr>
          <w:t>plinary review</w:t>
        </w:r>
      </w:hyperlink>
      <w:r w:rsidRPr="00884820">
        <w:rPr>
          <w:szCs w:val="24"/>
        </w:rPr>
        <w:t xml:space="preserve"> for further detail on ASIC</w:t>
      </w:r>
      <w:r w:rsidR="00EB0779">
        <w:rPr>
          <w:szCs w:val="24"/>
        </w:rPr>
        <w:t>’</w:t>
      </w:r>
      <w:r w:rsidRPr="00884820">
        <w:rPr>
          <w:szCs w:val="24"/>
        </w:rPr>
        <w:t xml:space="preserve">s audit enforcement powers and processes. </w:t>
      </w:r>
    </w:p>
    <w:p w14:paraId="094E7FA6" w14:textId="2FA48977" w:rsidR="00DB57EC" w:rsidRPr="00014548" w:rsidRDefault="00DB57EC" w:rsidP="005528A6">
      <w:pPr>
        <w:pStyle w:val="Heading3"/>
      </w:pPr>
      <w:bookmarkStart w:id="51" w:name="_Toc149551289"/>
      <w:r w:rsidRPr="00014548">
        <w:t xml:space="preserve">Review of QMS and Compliance with </w:t>
      </w:r>
      <w:r w:rsidRPr="00E86F40">
        <w:t>Ethical Standards</w:t>
      </w:r>
      <w:bookmarkEnd w:id="51"/>
    </w:p>
    <w:p w14:paraId="1188EB7E" w14:textId="2ADBD84E" w:rsidR="00DB57EC" w:rsidRPr="005528A6" w:rsidRDefault="00DB57EC" w:rsidP="00DB57EC">
      <w:r w:rsidRPr="00830AA8">
        <w:t>ASIC</w:t>
      </w:r>
      <w:r w:rsidR="00EB0779">
        <w:t>’</w:t>
      </w:r>
      <w:r w:rsidRPr="00830AA8">
        <w:t xml:space="preserve">s program focuses on key audit areas of selected audit engagements. In addition in </w:t>
      </w:r>
      <w:r>
        <w:t>prior</w:t>
      </w:r>
      <w:r w:rsidRPr="00830AA8">
        <w:t xml:space="preserve"> years, ASIC have conducted reviews of elements of the QMS such as, </w:t>
      </w:r>
      <w:r w:rsidRPr="00621E90">
        <w:t xml:space="preserve">processes to </w:t>
      </w:r>
      <w:r w:rsidRPr="00C02220">
        <w:t xml:space="preserve">manage conflicts of interest and approaches to firm governance and accountability for audit quality in </w:t>
      </w:r>
      <w:hyperlink r:id="rId41" w:history="1">
        <w:r w:rsidRPr="00C02220">
          <w:rPr>
            <w:rStyle w:val="Hyperlink"/>
            <w:szCs w:val="24"/>
          </w:rPr>
          <w:t>2019/2020</w:t>
        </w:r>
      </w:hyperlink>
      <w:r w:rsidRPr="00C02220">
        <w:t>,</w:t>
      </w:r>
      <w:r w:rsidRPr="00830AA8">
        <w:t xml:space="preserve"> processes to manage culture and talent in </w:t>
      </w:r>
      <w:hyperlink r:id="rId42" w:history="1">
        <w:r w:rsidRPr="00830AA8">
          <w:rPr>
            <w:rStyle w:val="Hyperlink"/>
            <w:szCs w:val="24"/>
          </w:rPr>
          <w:t>2020/2021</w:t>
        </w:r>
      </w:hyperlink>
      <w:r w:rsidRPr="00830AA8">
        <w:t xml:space="preserve">, and root cause analysis in </w:t>
      </w:r>
      <w:hyperlink r:id="rId43" w:history="1">
        <w:r w:rsidRPr="00830AA8">
          <w:rPr>
            <w:rStyle w:val="Hyperlink"/>
            <w:szCs w:val="24"/>
          </w:rPr>
          <w:t>202</w:t>
        </w:r>
        <w:r>
          <w:rPr>
            <w:rStyle w:val="Hyperlink"/>
            <w:szCs w:val="24"/>
          </w:rPr>
          <w:t>1</w:t>
        </w:r>
        <w:r w:rsidRPr="00830AA8">
          <w:rPr>
            <w:rStyle w:val="Hyperlink"/>
            <w:szCs w:val="24"/>
          </w:rPr>
          <w:t>/</w:t>
        </w:r>
        <w:r w:rsidRPr="000154FD">
          <w:rPr>
            <w:rStyle w:val="Hyperlink"/>
            <w:szCs w:val="24"/>
          </w:rPr>
          <w:t>202</w:t>
        </w:r>
        <w:r>
          <w:rPr>
            <w:rStyle w:val="Hyperlink"/>
            <w:szCs w:val="24"/>
          </w:rPr>
          <w:t>2</w:t>
        </w:r>
      </w:hyperlink>
      <w:r w:rsidRPr="00830AA8">
        <w:t>. However, ASIC do not routinely review a firm</w:t>
      </w:r>
      <w:r w:rsidR="00EB0779">
        <w:t>’</w:t>
      </w:r>
      <w:r w:rsidRPr="00830AA8">
        <w:t xml:space="preserve">s QMS more widely, and whether it </w:t>
      </w:r>
      <w:proofErr w:type="gramStart"/>
      <w:r w:rsidRPr="00830AA8">
        <w:t>is in compliance with</w:t>
      </w:r>
      <w:proofErr w:type="gramEnd"/>
      <w:r w:rsidRPr="00830AA8">
        <w:t xml:space="preserve"> the Auditing Standards, or processes to manage compliance with ethical standards. </w:t>
      </w:r>
      <w:r>
        <w:t>We</w:t>
      </w:r>
      <w:r w:rsidR="00570F3C">
        <w:t> </w:t>
      </w:r>
      <w:r>
        <w:t>understand that during 2022/23 ASIC had high level discussions with the firms on their implementation of the QMS, and a</w:t>
      </w:r>
      <w:r w:rsidRPr="004930A5">
        <w:t xml:space="preserve">s reported </w:t>
      </w:r>
      <w:r>
        <w:t xml:space="preserve">in the </w:t>
      </w:r>
      <w:hyperlink r:id="rId44" w:history="1">
        <w:r w:rsidRPr="009E6992">
          <w:rPr>
            <w:rStyle w:val="Hyperlink"/>
            <w:szCs w:val="24"/>
          </w:rPr>
          <w:t>Annual Financial Reporting and Surveillance Report 2022</w:t>
        </w:r>
        <w:r w:rsidR="003D54C2">
          <w:rPr>
            <w:rStyle w:val="Hyperlink"/>
            <w:szCs w:val="24"/>
          </w:rPr>
          <w:t>–</w:t>
        </w:r>
        <w:r w:rsidRPr="009E6992">
          <w:rPr>
            <w:rStyle w:val="Hyperlink"/>
            <w:szCs w:val="24"/>
          </w:rPr>
          <w:t>23</w:t>
        </w:r>
      </w:hyperlink>
      <w:r>
        <w:t xml:space="preserve"> </w:t>
      </w:r>
      <w:r w:rsidRPr="004930A5">
        <w:t xml:space="preserve">they did not </w:t>
      </w:r>
      <w:r>
        <w:t>perform any thematic reviews of</w:t>
      </w:r>
      <w:r w:rsidRPr="004930A5">
        <w:t xml:space="preserve"> QMS in 2022/23. </w:t>
      </w:r>
      <w:r>
        <w:t xml:space="preserve">ASIC have indicated that they will be </w:t>
      </w:r>
      <w:r w:rsidRPr="009D2C3E">
        <w:t xml:space="preserve">reviewing aspects of </w:t>
      </w:r>
      <w:r>
        <w:t>the firms</w:t>
      </w:r>
      <w:r w:rsidR="00EB0779">
        <w:t>’</w:t>
      </w:r>
      <w:r>
        <w:t xml:space="preserve"> QMS</w:t>
      </w:r>
      <w:r w:rsidRPr="009D2C3E">
        <w:t xml:space="preserve"> in 2024</w:t>
      </w:r>
      <w:r w:rsidR="00570F3C">
        <w:t>–</w:t>
      </w:r>
      <w:r w:rsidRPr="009D2C3E">
        <w:t>25.</w:t>
      </w:r>
    </w:p>
    <w:p w14:paraId="4CBEF586" w14:textId="77777777" w:rsidR="00DB57EC" w:rsidRPr="00FE006B" w:rsidRDefault="00DB57EC" w:rsidP="005528A6">
      <w:pPr>
        <w:pStyle w:val="Heading3"/>
        <w:rPr>
          <w:iCs/>
        </w:rPr>
      </w:pPr>
      <w:bookmarkStart w:id="52" w:name="_Toc149551290"/>
      <w:r w:rsidRPr="00014548">
        <w:t>International Regulator Organisations Principles</w:t>
      </w:r>
      <w:bookmarkEnd w:id="52"/>
      <w:r w:rsidRPr="00014548">
        <w:t xml:space="preserve"> </w:t>
      </w:r>
    </w:p>
    <w:p w14:paraId="54DDEAB9" w14:textId="77777777" w:rsidR="00DB57EC" w:rsidRPr="00884820" w:rsidRDefault="00DB57EC" w:rsidP="00DB57EC">
      <w:pPr>
        <w:rPr>
          <w:szCs w:val="24"/>
        </w:rPr>
      </w:pPr>
      <w:r w:rsidRPr="00884820">
        <w:rPr>
          <w:szCs w:val="24"/>
        </w:rPr>
        <w:t>IOSCO is an international body recognised as the global standard setter for the securities sector. IOSCO has principles that international audit regulators should comply with. The following are relevant:</w:t>
      </w:r>
    </w:p>
    <w:p w14:paraId="60829B43" w14:textId="322A0591" w:rsidR="00DB57EC" w:rsidRPr="00082D51" w:rsidRDefault="00DB57EC" w:rsidP="005528A6">
      <w:pPr>
        <w:pStyle w:val="Bullet"/>
        <w:rPr>
          <w:szCs w:val="22"/>
        </w:rPr>
      </w:pPr>
      <w:r w:rsidRPr="004D14EF">
        <w:rPr>
          <w:szCs w:val="22"/>
        </w:rPr>
        <w:t>IOSCO</w:t>
      </w:r>
      <w:r w:rsidR="00EB0779">
        <w:rPr>
          <w:szCs w:val="22"/>
        </w:rPr>
        <w:t>’</w:t>
      </w:r>
      <w:r w:rsidRPr="004D14EF">
        <w:rPr>
          <w:szCs w:val="22"/>
        </w:rPr>
        <w:t>s</w:t>
      </w:r>
      <w:r w:rsidRPr="006342DD">
        <w:rPr>
          <w:szCs w:val="22"/>
        </w:rPr>
        <w:t xml:space="preserve"> </w:t>
      </w:r>
      <w:hyperlink r:id="rId45" w:history="1">
        <w:r w:rsidRPr="002572E4">
          <w:rPr>
            <w:rStyle w:val="Hyperlink"/>
            <w:i/>
            <w:iCs/>
          </w:rPr>
          <w:t>Objectives and Principles of Securities Regulation</w:t>
        </w:r>
      </w:hyperlink>
      <w:r w:rsidRPr="002572E4">
        <w:rPr>
          <w:rStyle w:val="Hyperlink"/>
          <w:i/>
          <w:iCs/>
        </w:rPr>
        <w:t xml:space="preserve"> </w:t>
      </w:r>
      <w:r w:rsidRPr="002572E4">
        <w:rPr>
          <w:szCs w:val="22"/>
        </w:rPr>
        <w:t>pr</w:t>
      </w:r>
      <w:r w:rsidRPr="00884820">
        <w:rPr>
          <w:szCs w:val="22"/>
        </w:rPr>
        <w:t xml:space="preserve">inciple 19 </w:t>
      </w:r>
      <w:r>
        <w:rPr>
          <w:szCs w:val="22"/>
        </w:rPr>
        <w:t xml:space="preserve">states that </w:t>
      </w:r>
      <w:r w:rsidRPr="00082D51">
        <w:rPr>
          <w:szCs w:val="24"/>
        </w:rPr>
        <w:t xml:space="preserve">Auditors should be subject to adequate levels of oversight. </w:t>
      </w:r>
    </w:p>
    <w:p w14:paraId="0D8B544D" w14:textId="3B96B34A" w:rsidR="00DB57EC" w:rsidRPr="00884820" w:rsidRDefault="00DB57EC" w:rsidP="005528A6">
      <w:pPr>
        <w:pStyle w:val="Bullet"/>
        <w:rPr>
          <w:szCs w:val="24"/>
        </w:rPr>
      </w:pPr>
      <w:r w:rsidRPr="00884820">
        <w:rPr>
          <w:szCs w:val="24"/>
        </w:rPr>
        <w:t>IOSCO</w:t>
      </w:r>
      <w:r w:rsidR="00EB0779">
        <w:rPr>
          <w:szCs w:val="24"/>
        </w:rPr>
        <w:t>’</w:t>
      </w:r>
      <w:r w:rsidRPr="00884820">
        <w:rPr>
          <w:szCs w:val="24"/>
        </w:rPr>
        <w:t xml:space="preserve">s </w:t>
      </w:r>
      <w:hyperlink r:id="rId46" w:history="1">
        <w:r w:rsidRPr="002572E4">
          <w:rPr>
            <w:rStyle w:val="Hyperlink"/>
            <w:i/>
            <w:iCs/>
          </w:rPr>
          <w:t>Principles for Auditor Oversight</w:t>
        </w:r>
      </w:hyperlink>
      <w:r w:rsidRPr="002572E4">
        <w:rPr>
          <w:rStyle w:val="Hyperlink"/>
          <w:i/>
          <w:iCs/>
        </w:rPr>
        <w:t xml:space="preserve"> </w:t>
      </w:r>
      <w:r w:rsidRPr="002572E4">
        <w:rPr>
          <w:color w:val="auto"/>
          <w:szCs w:val="24"/>
        </w:rPr>
        <w:t>incl</w:t>
      </w:r>
      <w:r w:rsidRPr="00884820">
        <w:rPr>
          <w:szCs w:val="24"/>
        </w:rPr>
        <w:t xml:space="preserve">udes a list of general principles for oversight of audit firms and auditors that audit financial statements of companies whose securities are publicly traded in the capital markets. The following are relevant: </w:t>
      </w:r>
    </w:p>
    <w:p w14:paraId="352DC439" w14:textId="29531A38" w:rsidR="00DB57EC" w:rsidRPr="00884820" w:rsidRDefault="00DB57EC" w:rsidP="005528A6">
      <w:pPr>
        <w:pStyle w:val="Dash"/>
      </w:pPr>
      <w:r w:rsidRPr="00884820">
        <w:t>Principle 8 III</w:t>
      </w:r>
      <w:r w:rsidR="00EB0779">
        <w:t xml:space="preserve"> – </w:t>
      </w:r>
      <w:r w:rsidRPr="00884820">
        <w:t>a mechanism should exist for a body to provide oversight over the quality and implementation of auditing, independence, and ethical standards used in the jurisdiction, as well as audit quality control environments.</w:t>
      </w:r>
    </w:p>
    <w:p w14:paraId="628DA51F" w14:textId="4BBE6941" w:rsidR="00DB57EC" w:rsidRPr="00CC23B3" w:rsidRDefault="00DB57EC" w:rsidP="00CC23B3">
      <w:pPr>
        <w:pStyle w:val="Dash"/>
      </w:pPr>
      <w:r w:rsidRPr="00884820">
        <w:t>Principle 8 IV</w:t>
      </w:r>
      <w:r w:rsidR="00EB0779">
        <w:t xml:space="preserve"> – </w:t>
      </w:r>
      <w:r w:rsidRPr="00884820">
        <w:t>a mechanism should exist to require auditors to be subject to the discipline of an auditor oversight body that is independent of the audit profession, or, if a professional body acts as the oversight body, is overseen by an independent body. Such an auditor oversight body must operate in the public interest, and have an appropriate membership, an adequate charter of responsibilities and powers, and adequate funding that is not under the control of the auditing profession, to carry out those responsibilities.</w:t>
      </w:r>
    </w:p>
    <w:p w14:paraId="6F047259" w14:textId="3F1166F2" w:rsidR="00DB57EC" w:rsidRPr="00884820" w:rsidRDefault="00DB57EC" w:rsidP="00DB57EC">
      <w:pPr>
        <w:rPr>
          <w:szCs w:val="24"/>
        </w:rPr>
      </w:pPr>
      <w:r w:rsidRPr="00BE3D9D">
        <w:t>IFIAR</w:t>
      </w:r>
      <w:r w:rsidR="00675CEA">
        <w:rPr>
          <w:rFonts w:ascii="ZWAdobeF" w:hAnsi="ZWAdobeF" w:cs="ZWAdobeF"/>
          <w:color w:val="auto"/>
          <w:sz w:val="2"/>
          <w:szCs w:val="2"/>
        </w:rPr>
        <w:t>35F</w:t>
      </w:r>
      <w:r w:rsidRPr="00BE3D9D">
        <w:rPr>
          <w:vertAlign w:val="superscript"/>
        </w:rPr>
        <w:footnoteReference w:id="36"/>
      </w:r>
      <w:r w:rsidRPr="00BE3D9D">
        <w:t xml:space="preserve"> is the International Orga</w:t>
      </w:r>
      <w:r w:rsidRPr="00884820">
        <w:rPr>
          <w:szCs w:val="24"/>
        </w:rPr>
        <w:t xml:space="preserve">nization of </w:t>
      </w:r>
      <w:r>
        <w:rPr>
          <w:szCs w:val="24"/>
        </w:rPr>
        <w:t>I</w:t>
      </w:r>
      <w:r w:rsidRPr="00884820">
        <w:rPr>
          <w:szCs w:val="24"/>
        </w:rPr>
        <w:t xml:space="preserve">ndependent </w:t>
      </w:r>
      <w:r>
        <w:rPr>
          <w:szCs w:val="24"/>
        </w:rPr>
        <w:t>A</w:t>
      </w:r>
      <w:r w:rsidRPr="00884820">
        <w:rPr>
          <w:szCs w:val="24"/>
        </w:rPr>
        <w:t xml:space="preserve">udit </w:t>
      </w:r>
      <w:r>
        <w:rPr>
          <w:szCs w:val="24"/>
        </w:rPr>
        <w:t>R</w:t>
      </w:r>
      <w:r w:rsidRPr="00884820">
        <w:rPr>
          <w:szCs w:val="24"/>
        </w:rPr>
        <w:t>egulators. IFIAR</w:t>
      </w:r>
      <w:r w:rsidR="00EB0779">
        <w:rPr>
          <w:szCs w:val="24"/>
        </w:rPr>
        <w:t>’</w:t>
      </w:r>
      <w:r w:rsidRPr="00884820">
        <w:rPr>
          <w:szCs w:val="24"/>
        </w:rPr>
        <w:t xml:space="preserve">s </w:t>
      </w:r>
      <w:hyperlink r:id="rId47" w:history="1">
        <w:r w:rsidRPr="005F28B1">
          <w:rPr>
            <w:rStyle w:val="Hyperlink"/>
            <w:i/>
            <w:iCs/>
            <w:szCs w:val="24"/>
          </w:rPr>
          <w:t>Core Principles for Independent Audit Regulators</w:t>
        </w:r>
      </w:hyperlink>
      <w:r w:rsidRPr="00884820">
        <w:rPr>
          <w:szCs w:val="24"/>
        </w:rPr>
        <w:t xml:space="preserve"> seek to promote effective independent audit oversight globally. ASIC is a member of IFIAR. The following are relevant:</w:t>
      </w:r>
    </w:p>
    <w:p w14:paraId="18A3A33D" w14:textId="6DEAF7C2" w:rsidR="00DB57EC" w:rsidRPr="00884820" w:rsidRDefault="00DB57EC" w:rsidP="000D7599">
      <w:pPr>
        <w:pStyle w:val="Bullet"/>
      </w:pPr>
      <w:r w:rsidRPr="00884820">
        <w:t>Principle 3</w:t>
      </w:r>
      <w:r w:rsidR="00EB0779">
        <w:t xml:space="preserve"> – </w:t>
      </w:r>
      <w:r w:rsidRPr="00884820">
        <w:t>Transparency should include the publication of annual work plans and activity reports, including the outcome of inspections either in the aggregate or on a firm</w:t>
      </w:r>
      <w:r w:rsidR="00EB0779">
        <w:noBreakHyphen/>
      </w:r>
      <w:r w:rsidRPr="00884820">
        <w:t>by</w:t>
      </w:r>
      <w:r w:rsidR="00EB0779">
        <w:noBreakHyphen/>
      </w:r>
      <w:r w:rsidRPr="00884820">
        <w:t>firm basis.</w:t>
      </w:r>
    </w:p>
    <w:p w14:paraId="58BA2C02" w14:textId="44C4B70C" w:rsidR="00DB57EC" w:rsidRPr="00884820" w:rsidRDefault="00DB57EC" w:rsidP="000D7599">
      <w:pPr>
        <w:pStyle w:val="Bullet"/>
      </w:pPr>
      <w:r w:rsidRPr="00884820">
        <w:t>Principle 8</w:t>
      </w:r>
      <w:r w:rsidR="00EB0779">
        <w:t xml:space="preserve"> – </w:t>
      </w:r>
      <w:r w:rsidRPr="00884820">
        <w:t>Audit regulators should establish a minimum cycle regarding the frequency of inspections, with the option of conducting ad</w:t>
      </w:r>
      <w:r w:rsidR="00EB0779">
        <w:noBreakHyphen/>
      </w:r>
      <w:r w:rsidRPr="00884820">
        <w:t>hoc inspections when the need arises.</w:t>
      </w:r>
    </w:p>
    <w:p w14:paraId="79372230" w14:textId="179FA22B" w:rsidR="00DB57EC" w:rsidRPr="00884820" w:rsidRDefault="00DB57EC" w:rsidP="0019683B">
      <w:pPr>
        <w:pStyle w:val="Bullet"/>
      </w:pPr>
      <w:r w:rsidRPr="00884820">
        <w:t>Principle 9</w:t>
      </w:r>
      <w:r w:rsidR="00EB0779">
        <w:t xml:space="preserve"> – </w:t>
      </w:r>
      <w:r w:rsidRPr="00884820">
        <w:t>Audit regulators should ensure that a risk</w:t>
      </w:r>
      <w:r w:rsidRPr="00884820">
        <w:rPr>
          <w:rFonts w:ascii="Cambria Math" w:hAnsi="Cambria Math" w:cs="Cambria Math"/>
        </w:rPr>
        <w:t>‐</w:t>
      </w:r>
      <w:r w:rsidRPr="00884820">
        <w:t>based inspections program is in place.</w:t>
      </w:r>
    </w:p>
    <w:p w14:paraId="532786FE" w14:textId="5EA7D28D" w:rsidR="00DB57EC" w:rsidRPr="00884820" w:rsidRDefault="00DB57EC" w:rsidP="0019683B">
      <w:pPr>
        <w:pStyle w:val="Bullet"/>
      </w:pPr>
      <w:r w:rsidRPr="00884820">
        <w:t>Principle 10</w:t>
      </w:r>
      <w:r w:rsidR="00EB0779">
        <w:t xml:space="preserve"> – </w:t>
      </w:r>
      <w:r w:rsidRPr="00884820">
        <w:t>Audit regulators should ensure that inspections include effective procedures for both firm</w:t>
      </w:r>
      <w:r w:rsidR="00EB0779">
        <w:noBreakHyphen/>
      </w:r>
      <w:r w:rsidRPr="00884820">
        <w:t>wide and audit engagement file reviews.</w:t>
      </w:r>
    </w:p>
    <w:p w14:paraId="4502131F" w14:textId="77777777" w:rsidR="00DB57EC" w:rsidRPr="00014548" w:rsidRDefault="00DB57EC" w:rsidP="0019683B">
      <w:pPr>
        <w:pStyle w:val="Heading3"/>
      </w:pPr>
      <w:bookmarkStart w:id="53" w:name="_Toc149551291"/>
      <w:r w:rsidRPr="00014548">
        <w:t xml:space="preserve">Comparison with </w:t>
      </w:r>
      <w:r>
        <w:t>s</w:t>
      </w:r>
      <w:r w:rsidRPr="00014548">
        <w:t>ome other International Regulators</w:t>
      </w:r>
      <w:bookmarkEnd w:id="53"/>
    </w:p>
    <w:p w14:paraId="6ED95D63" w14:textId="46B9032C" w:rsidR="00DB57EC" w:rsidRPr="00884820" w:rsidRDefault="00DB57EC" w:rsidP="00DB57EC">
      <w:pPr>
        <w:rPr>
          <w:szCs w:val="24"/>
        </w:rPr>
      </w:pPr>
      <w:r w:rsidRPr="00884820">
        <w:rPr>
          <w:szCs w:val="24"/>
        </w:rPr>
        <w:t>The FRC compared ASIC</w:t>
      </w:r>
      <w:r w:rsidR="00EB0779">
        <w:rPr>
          <w:szCs w:val="24"/>
        </w:rPr>
        <w:t>’</w:t>
      </w:r>
      <w:r w:rsidRPr="00884820">
        <w:rPr>
          <w:szCs w:val="24"/>
        </w:rPr>
        <w:t xml:space="preserve">s </w:t>
      </w:r>
      <w:r>
        <w:rPr>
          <w:szCs w:val="24"/>
        </w:rPr>
        <w:t xml:space="preserve">surveillance </w:t>
      </w:r>
      <w:r w:rsidRPr="00884820">
        <w:rPr>
          <w:szCs w:val="24"/>
        </w:rPr>
        <w:t>program to</w:t>
      </w:r>
      <w:r>
        <w:rPr>
          <w:szCs w:val="24"/>
        </w:rPr>
        <w:t xml:space="preserve"> equivalent programs of</w:t>
      </w:r>
      <w:r w:rsidRPr="00884820">
        <w:rPr>
          <w:szCs w:val="24"/>
        </w:rPr>
        <w:t xml:space="preserve"> PCAOB, UK FRC</w:t>
      </w:r>
      <w:r>
        <w:rPr>
          <w:szCs w:val="24"/>
        </w:rPr>
        <w:t xml:space="preserve">, </w:t>
      </w:r>
      <w:r w:rsidRPr="00884820">
        <w:rPr>
          <w:szCs w:val="24"/>
        </w:rPr>
        <w:t>New Zealand</w:t>
      </w:r>
      <w:r w:rsidR="00EB0779">
        <w:rPr>
          <w:szCs w:val="24"/>
        </w:rPr>
        <w:t>’</w:t>
      </w:r>
      <w:r w:rsidRPr="00884820">
        <w:rPr>
          <w:szCs w:val="24"/>
        </w:rPr>
        <w:t xml:space="preserve">s FMA </w:t>
      </w:r>
      <w:r>
        <w:rPr>
          <w:szCs w:val="24"/>
        </w:rPr>
        <w:t xml:space="preserve">and CPAB </w:t>
      </w:r>
      <w:r w:rsidRPr="00884820">
        <w:rPr>
          <w:szCs w:val="24"/>
        </w:rPr>
        <w:t xml:space="preserve">(refer to Appendix </w:t>
      </w:r>
      <w:r>
        <w:rPr>
          <w:szCs w:val="24"/>
        </w:rPr>
        <w:t>1</w:t>
      </w:r>
      <w:r w:rsidRPr="00884820">
        <w:rPr>
          <w:szCs w:val="24"/>
        </w:rPr>
        <w:t>). In addition, the FRC reviewed IFIAR</w:t>
      </w:r>
      <w:r w:rsidR="00EB0779">
        <w:rPr>
          <w:szCs w:val="24"/>
        </w:rPr>
        <w:t>’</w:t>
      </w:r>
      <w:r w:rsidRPr="00884820">
        <w:rPr>
          <w:szCs w:val="24"/>
        </w:rPr>
        <w:t xml:space="preserve">s </w:t>
      </w:r>
      <w:hyperlink r:id="rId48" w:history="1">
        <w:r w:rsidRPr="00E26F7C">
          <w:rPr>
            <w:rStyle w:val="Hyperlink"/>
            <w:szCs w:val="24"/>
          </w:rPr>
          <w:t>2022 Survey of Inspection Findings</w:t>
        </w:r>
      </w:hyperlink>
      <w:r w:rsidRPr="00884820">
        <w:rPr>
          <w:szCs w:val="24"/>
        </w:rPr>
        <w:t xml:space="preserve"> which details the results and scope of members</w:t>
      </w:r>
      <w:r w:rsidR="00EB0779">
        <w:rPr>
          <w:szCs w:val="24"/>
        </w:rPr>
        <w:t>’</w:t>
      </w:r>
      <w:r w:rsidRPr="00884820">
        <w:rPr>
          <w:szCs w:val="24"/>
        </w:rPr>
        <w:t xml:space="preserve"> inspection program. From this the FRC noted: </w:t>
      </w:r>
    </w:p>
    <w:p w14:paraId="23E08BD6" w14:textId="78CB8806" w:rsidR="00DB57EC" w:rsidRPr="00884820" w:rsidRDefault="00DB57EC" w:rsidP="0019683B">
      <w:pPr>
        <w:pStyle w:val="Bullet"/>
      </w:pPr>
      <w:r w:rsidRPr="00884820">
        <w:t xml:space="preserve">In addition to reviewing engagement files </w:t>
      </w:r>
      <w:r>
        <w:t>some</w:t>
      </w:r>
      <w:r w:rsidRPr="00884820">
        <w:t xml:space="preserve"> international audit regulators review the firm</w:t>
      </w:r>
      <w:r w:rsidR="00EB0779">
        <w:t>’</w:t>
      </w:r>
      <w:r w:rsidRPr="00884820">
        <w:t xml:space="preserve">s system of quality management as they serve as the foundation for executing and monitoring quality audits. </w:t>
      </w:r>
      <w:r>
        <w:t xml:space="preserve">As detailed above </w:t>
      </w:r>
      <w:r w:rsidRPr="00884820">
        <w:t xml:space="preserve">ASIC </w:t>
      </w:r>
      <w:r>
        <w:t>have in the past reviewed discrete elements of the firms</w:t>
      </w:r>
      <w:r w:rsidR="00EB0779">
        <w:t>’</w:t>
      </w:r>
      <w:r>
        <w:t xml:space="preserve"> system of quality management and did not review any in 2022/23 and </w:t>
      </w:r>
      <w:r w:rsidRPr="00884820">
        <w:t>do</w:t>
      </w:r>
      <w:r>
        <w:t>es</w:t>
      </w:r>
      <w:r w:rsidRPr="00884820">
        <w:t xml:space="preserve"> not </w:t>
      </w:r>
      <w:r>
        <w:t>review the</w:t>
      </w:r>
      <w:r w:rsidRPr="00884820">
        <w:t xml:space="preserve"> firm</w:t>
      </w:r>
      <w:r w:rsidR="00EB0779">
        <w:t>’</w:t>
      </w:r>
      <w:r w:rsidRPr="00884820">
        <w:t xml:space="preserve">s </w:t>
      </w:r>
      <w:r>
        <w:t>system of quality management more widely. The</w:t>
      </w:r>
      <w:r w:rsidRPr="00884820">
        <w:t xml:space="preserve"> Corporations Act s 307A requires auditors to comply with the </w:t>
      </w:r>
      <w:r>
        <w:t>auditing standard</w:t>
      </w:r>
      <w:r w:rsidRPr="00884820">
        <w:t xml:space="preserve">s in the conduct of an audit and QMS are not specifically relevant in the conduct of an audit. </w:t>
      </w:r>
      <w:r>
        <w:t xml:space="preserve">Therefore, </w:t>
      </w:r>
      <w:r w:rsidRPr="00884820">
        <w:t>ASIC</w:t>
      </w:r>
      <w:r w:rsidR="00EB0779">
        <w:t>’</w:t>
      </w:r>
      <w:r>
        <w:t>s</w:t>
      </w:r>
      <w:r w:rsidRPr="00884820">
        <w:t xml:space="preserve"> scope is individual audits and </w:t>
      </w:r>
      <w:r>
        <w:t>not</w:t>
      </w:r>
      <w:r w:rsidRPr="00884820">
        <w:t xml:space="preserve"> the audit firms</w:t>
      </w:r>
      <w:r w:rsidR="00EB0779">
        <w:t>’</w:t>
      </w:r>
      <w:r w:rsidRPr="00884820">
        <w:t xml:space="preserve"> systems of quality management. </w:t>
      </w:r>
    </w:p>
    <w:p w14:paraId="4BD56CB7" w14:textId="6B529ED3" w:rsidR="00DB57EC" w:rsidRPr="0019683B" w:rsidRDefault="00DB57EC" w:rsidP="00DB57EC">
      <w:pPr>
        <w:pStyle w:val="Bullet"/>
      </w:pPr>
      <w:r w:rsidRPr="00884820">
        <w:t xml:space="preserve">Other regulators have </w:t>
      </w:r>
      <w:r>
        <w:t xml:space="preserve">detailed </w:t>
      </w:r>
      <w:r w:rsidRPr="00884820">
        <w:t>transparent plans and KPIs on how often auditors (the entire population in scope) are reviewed</w:t>
      </w:r>
      <w:r>
        <w:t>.</w:t>
      </w:r>
    </w:p>
    <w:p w14:paraId="22D3D0CF" w14:textId="1A96794F" w:rsidR="00DB57EC" w:rsidRPr="0019683B" w:rsidRDefault="00DB57EC" w:rsidP="00DB57EC">
      <w:pPr>
        <w:rPr>
          <w:szCs w:val="24"/>
        </w:rPr>
      </w:pPr>
      <w:r w:rsidRPr="00884820">
        <w:rPr>
          <w:szCs w:val="24"/>
        </w:rPr>
        <w:t xml:space="preserve">ASIC have measured their findings by reference to key audit areas on audit files reviewed whereas IFIAR measures findings by reference to audit </w:t>
      </w:r>
      <w:proofErr w:type="gramStart"/>
      <w:r w:rsidRPr="00884820">
        <w:rPr>
          <w:szCs w:val="24"/>
        </w:rPr>
        <w:t>engagements as a whole</w:t>
      </w:r>
      <w:proofErr w:type="gramEnd"/>
      <w:r w:rsidRPr="00884820">
        <w:rPr>
          <w:szCs w:val="24"/>
        </w:rPr>
        <w:t xml:space="preserve">. </w:t>
      </w:r>
    </w:p>
    <w:p w14:paraId="60E91E80" w14:textId="54E34254" w:rsidR="00DB57EC" w:rsidRPr="0019683B" w:rsidRDefault="00DB57EC" w:rsidP="0019683B">
      <w:pPr>
        <w:pStyle w:val="Heading3"/>
      </w:pPr>
      <w:bookmarkStart w:id="54" w:name="_Toc149551292"/>
      <w:r w:rsidRPr="00014548">
        <w:t xml:space="preserve">Small </w:t>
      </w:r>
      <w:r w:rsidRPr="008930FF">
        <w:t>Number of Reviews</w:t>
      </w:r>
      <w:bookmarkEnd w:id="54"/>
    </w:p>
    <w:p w14:paraId="4CFE3B8D" w14:textId="192B7989" w:rsidR="00DB57EC" w:rsidRPr="0019683B" w:rsidRDefault="00DB57EC" w:rsidP="00DB57EC">
      <w:r w:rsidRPr="00884820">
        <w:t xml:space="preserve">As the regulator, ASIC is the body with legislative responsibility for oversight of audit quality. The number of reviews being conducted has continued to decrease over the last few years and is now only </w:t>
      </w:r>
      <w:hyperlink r:id="rId49" w:history="1">
        <w:r w:rsidRPr="00884820">
          <w:rPr>
            <w:rStyle w:val="Hyperlink"/>
            <w:szCs w:val="24"/>
          </w:rPr>
          <w:t>15 files</w:t>
        </w:r>
      </w:hyperlink>
      <w:r w:rsidRPr="00884820">
        <w:t xml:space="preserve"> in 2022/23. Given that there are approxima</w:t>
      </w:r>
      <w:r w:rsidRPr="00BE3D9D">
        <w:t>tely 1900</w:t>
      </w:r>
      <w:r w:rsidR="00675CEA">
        <w:rPr>
          <w:rFonts w:ascii="ZWAdobeF" w:hAnsi="ZWAdobeF" w:cs="ZWAdobeF"/>
          <w:color w:val="auto"/>
          <w:sz w:val="2"/>
          <w:szCs w:val="2"/>
        </w:rPr>
        <w:t>36F</w:t>
      </w:r>
      <w:r w:rsidRPr="00BE3D9D">
        <w:rPr>
          <w:vertAlign w:val="superscript"/>
        </w:rPr>
        <w:footnoteReference w:id="37"/>
      </w:r>
      <w:r w:rsidRPr="00BE3D9D">
        <w:t xml:space="preserve"> entities on the Austra</w:t>
      </w:r>
      <w:r w:rsidRPr="00884820">
        <w:t>lian Stock Exchange the number of files reviewed is very low. ASIC is transparent that that the small number of files reviewed does not allow them to conclude on the quality of audits in Australia. However, the FRC consider that number of reviews in both the current and recent years raises questions as to whether there is sufficient coverage of the audit market by ASIC, to enable sufficient monitoring of audit quality in Australia. The FRC also note that some overseas regulators have stated objectives of reviewing all auditors in a particular time frame, for example every year, or every 3 years. Refer to Appendix 1 for a comparison of ASIC</w:t>
      </w:r>
      <w:r w:rsidR="00EB0779">
        <w:t>’</w:t>
      </w:r>
      <w:r w:rsidRPr="00884820">
        <w:t>s program to some international regulators.</w:t>
      </w:r>
    </w:p>
    <w:p w14:paraId="2B7E7D5E" w14:textId="7D83BF8B" w:rsidR="00DB57EC" w:rsidRPr="0019683B" w:rsidRDefault="00DB57EC" w:rsidP="0019683B">
      <w:pPr>
        <w:pStyle w:val="Heading3"/>
      </w:pPr>
      <w:bookmarkStart w:id="55" w:name="_Toc149551293"/>
      <w:r w:rsidRPr="00014548">
        <w:t xml:space="preserve">Quality of the </w:t>
      </w:r>
      <w:r w:rsidRPr="008930FF">
        <w:t>Program</w:t>
      </w:r>
      <w:bookmarkEnd w:id="55"/>
    </w:p>
    <w:p w14:paraId="2E9C3AB8" w14:textId="03629B62" w:rsidR="00DB57EC" w:rsidRPr="0019683B" w:rsidRDefault="00DB57EC" w:rsidP="00DB57EC">
      <w:pPr>
        <w:pStyle w:val="Style3"/>
        <w:spacing w:after="120"/>
        <w:rPr>
          <w:color w:val="auto"/>
          <w:sz w:val="22"/>
          <w:szCs w:val="24"/>
        </w:rPr>
      </w:pPr>
      <w:r w:rsidRPr="0019683B">
        <w:rPr>
          <w:color w:val="auto"/>
          <w:sz w:val="22"/>
          <w:szCs w:val="24"/>
        </w:rPr>
        <w:t>Prior to the recent reduction in ASIC</w:t>
      </w:r>
      <w:r w:rsidR="00EB0779">
        <w:rPr>
          <w:color w:val="auto"/>
          <w:sz w:val="22"/>
          <w:szCs w:val="24"/>
        </w:rPr>
        <w:t>’</w:t>
      </w:r>
      <w:r w:rsidRPr="0019683B">
        <w:rPr>
          <w:color w:val="auto"/>
          <w:sz w:val="22"/>
          <w:szCs w:val="24"/>
        </w:rPr>
        <w:t>s audit file selections and the discontinuation of reporting of findings by firm, the FRC understands that the ASIC program provided a deterrent to poor quality as:</w:t>
      </w:r>
    </w:p>
    <w:p w14:paraId="3A8567D5" w14:textId="77777777" w:rsidR="00DB57EC" w:rsidRPr="00884820" w:rsidRDefault="00DB57EC" w:rsidP="0019683B">
      <w:pPr>
        <w:pStyle w:val="Bullet"/>
      </w:pPr>
      <w:r w:rsidRPr="00884820">
        <w:t>there is media and Parliamentary attention to the negative findings.</w:t>
      </w:r>
    </w:p>
    <w:p w14:paraId="2AED18B1" w14:textId="77777777" w:rsidR="00DB57EC" w:rsidRPr="00884820" w:rsidRDefault="00DB57EC" w:rsidP="0019683B">
      <w:pPr>
        <w:pStyle w:val="Bullet"/>
      </w:pPr>
      <w:r w:rsidRPr="00884820">
        <w:t>there are financial penalties for audit partners from a negative ASIC review imposed by the audit firm.</w:t>
      </w:r>
    </w:p>
    <w:p w14:paraId="64D90E9F" w14:textId="7C8DCEDB" w:rsidR="00DB57EC" w:rsidRPr="00884820" w:rsidRDefault="00DB57EC" w:rsidP="0019683B">
      <w:pPr>
        <w:pStyle w:val="Bullet"/>
      </w:pPr>
      <w:r w:rsidRPr="00884820">
        <w:t>directors are notified of negative findings</w:t>
      </w:r>
      <w:r>
        <w:t xml:space="preserve"> (from</w:t>
      </w:r>
      <w:r w:rsidR="00CC2883">
        <w:t> </w:t>
      </w:r>
      <w:r>
        <w:t>1</w:t>
      </w:r>
      <w:r w:rsidR="00D2533E">
        <w:t> </w:t>
      </w:r>
      <w:r>
        <w:t>July</w:t>
      </w:r>
      <w:r w:rsidR="00D2533E">
        <w:t> </w:t>
      </w:r>
      <w:r>
        <w:t>2022)</w:t>
      </w:r>
      <w:r w:rsidRPr="00884820">
        <w:t>.</w:t>
      </w:r>
    </w:p>
    <w:p w14:paraId="7612DF2C" w14:textId="77777777" w:rsidR="00DB57EC" w:rsidRPr="00884820" w:rsidRDefault="00DB57EC" w:rsidP="0019683B">
      <w:pPr>
        <w:pStyle w:val="Bullet"/>
      </w:pPr>
      <w:r w:rsidRPr="00884820">
        <w:t>firms are concerned about the possibility of losing or not winning audits based on higher levels of negative findings compared to competitors.</w:t>
      </w:r>
    </w:p>
    <w:p w14:paraId="5C170AB3" w14:textId="59DD9322" w:rsidR="00DF2691" w:rsidRDefault="00DB57EC" w:rsidP="00DB57EC">
      <w:pPr>
        <w:pStyle w:val="Bullet"/>
      </w:pPr>
      <w:r w:rsidRPr="00884820">
        <w:t xml:space="preserve">the largest </w:t>
      </w:r>
      <w:r w:rsidR="00B50466">
        <w:t>6</w:t>
      </w:r>
      <w:r w:rsidRPr="00884820">
        <w:t xml:space="preserve"> global firms have in the past focussed on the results of local firms which affect an IFIAR target to reduce inspection findings across 25 IFIAR members and the largest </w:t>
      </w:r>
      <w:r w:rsidR="00B50466">
        <w:t>6</w:t>
      </w:r>
      <w:r w:rsidRPr="00884820">
        <w:t xml:space="preserve"> firms in aggregate.</w:t>
      </w:r>
      <w:bookmarkStart w:id="56" w:name="_Toc143799233"/>
    </w:p>
    <w:p w14:paraId="1648E9C8" w14:textId="77777777" w:rsidR="00DF2691" w:rsidRDefault="00DF2691">
      <w:pPr>
        <w:spacing w:before="0" w:after="160" w:line="259" w:lineRule="auto"/>
      </w:pPr>
      <w:r>
        <w:br w:type="page"/>
      </w:r>
    </w:p>
    <w:p w14:paraId="7B0267F7" w14:textId="77777777" w:rsidR="00DB57EC" w:rsidRPr="008F6040" w:rsidRDefault="00DB57EC" w:rsidP="0019683B">
      <w:pPr>
        <w:pStyle w:val="Heading1"/>
      </w:pPr>
      <w:bookmarkStart w:id="57" w:name="_Toc149551294"/>
      <w:r w:rsidRPr="008F6040">
        <w:t>The CADB</w:t>
      </w:r>
      <w:bookmarkEnd w:id="56"/>
      <w:bookmarkEnd w:id="57"/>
    </w:p>
    <w:p w14:paraId="1AA4F0A1" w14:textId="79464DFC" w:rsidR="00DB57EC" w:rsidRPr="00884820" w:rsidRDefault="00DB57EC" w:rsidP="0019683B">
      <w:r w:rsidRPr="00884820">
        <w:t xml:space="preserve">The CADB is an independent statutory body established under Part 11 of the ASIC Act. The primary role is to act as an expert disciplinary tribunal to consider applications for the cancellation or suspension of the registration of auditors under the Corporations Act. </w:t>
      </w:r>
    </w:p>
    <w:p w14:paraId="30724272" w14:textId="773A9021" w:rsidR="00DB57EC" w:rsidRPr="00884820" w:rsidRDefault="00DB57EC" w:rsidP="0019683B">
      <w:r w:rsidRPr="00884820">
        <w:t xml:space="preserve">CADB jurisdiction is limited to matters referred to it by ASIC and APRA, and to matters involving RCAs. Its functions and powers are conferred to it by sections of the ASIC Act and Corporations Act. </w:t>
      </w:r>
    </w:p>
    <w:p w14:paraId="2A6BDE64" w14:textId="77777777" w:rsidR="00DB57EC" w:rsidRPr="00884820" w:rsidRDefault="00DB57EC" w:rsidP="00570F3C">
      <w:r w:rsidRPr="00884820">
        <w:t xml:space="preserve">The functions and powers of the Board in relation to applications are to determine whether </w:t>
      </w:r>
      <w:proofErr w:type="gramStart"/>
      <w:r w:rsidRPr="00884820">
        <w:t>a</w:t>
      </w:r>
      <w:proofErr w:type="gramEnd"/>
      <w:r w:rsidRPr="00884820">
        <w:t xml:space="preserve"> RCA:</w:t>
      </w:r>
    </w:p>
    <w:p w14:paraId="073F670B" w14:textId="77777777" w:rsidR="00DB57EC" w:rsidRPr="00884820" w:rsidRDefault="00DB57EC" w:rsidP="0019683B">
      <w:pPr>
        <w:pStyle w:val="Bullet"/>
        <w:rPr>
          <w:szCs w:val="24"/>
        </w:rPr>
      </w:pPr>
      <w:r w:rsidRPr="00884820">
        <w:rPr>
          <w:szCs w:val="24"/>
        </w:rPr>
        <w:t>has failed to carry out their duties and functions adequately and properly.</w:t>
      </w:r>
    </w:p>
    <w:p w14:paraId="2660B3C4" w14:textId="77777777" w:rsidR="00DB57EC" w:rsidRPr="00884820" w:rsidRDefault="00DB57EC" w:rsidP="0019683B">
      <w:pPr>
        <w:pStyle w:val="Bullet"/>
        <w:rPr>
          <w:szCs w:val="24"/>
        </w:rPr>
      </w:pPr>
      <w:r w:rsidRPr="00884820">
        <w:rPr>
          <w:szCs w:val="24"/>
        </w:rPr>
        <w:t>has breached certain requirements under the Corporations Act.</w:t>
      </w:r>
    </w:p>
    <w:p w14:paraId="66DD2477" w14:textId="77777777" w:rsidR="00DB57EC" w:rsidRPr="00884820" w:rsidRDefault="00DB57EC" w:rsidP="0019683B">
      <w:pPr>
        <w:pStyle w:val="Bullet"/>
        <w:rPr>
          <w:szCs w:val="24"/>
        </w:rPr>
      </w:pPr>
      <w:r w:rsidRPr="00884820">
        <w:rPr>
          <w:szCs w:val="24"/>
        </w:rPr>
        <w:t>is not a fit and proper person.</w:t>
      </w:r>
    </w:p>
    <w:p w14:paraId="4CCCE742" w14:textId="77777777" w:rsidR="00DB57EC" w:rsidRPr="00884820" w:rsidRDefault="00DB57EC" w:rsidP="0019683B">
      <w:pPr>
        <w:pStyle w:val="Bullet"/>
        <w:rPr>
          <w:szCs w:val="24"/>
        </w:rPr>
      </w:pPr>
      <w:r w:rsidRPr="00884820">
        <w:rPr>
          <w:szCs w:val="24"/>
        </w:rPr>
        <w:t>has failed to comply with a condition of their registration.</w:t>
      </w:r>
    </w:p>
    <w:p w14:paraId="6BD0BCBF" w14:textId="77777777" w:rsidR="00DB57EC" w:rsidRPr="00884820" w:rsidRDefault="00DB57EC" w:rsidP="0019683B">
      <w:pPr>
        <w:pStyle w:val="Bullet"/>
        <w:rPr>
          <w:szCs w:val="24"/>
        </w:rPr>
      </w:pPr>
      <w:r w:rsidRPr="00884820">
        <w:rPr>
          <w:szCs w:val="24"/>
        </w:rPr>
        <w:t>is subject to disqualification.</w:t>
      </w:r>
    </w:p>
    <w:p w14:paraId="27646CE4" w14:textId="47F4E7A1" w:rsidR="00DB57EC" w:rsidRPr="0019683B" w:rsidRDefault="00DB57EC" w:rsidP="00DB57EC">
      <w:pPr>
        <w:pStyle w:val="Bullet"/>
        <w:rPr>
          <w:szCs w:val="24"/>
        </w:rPr>
      </w:pPr>
      <w:r w:rsidRPr="00884820">
        <w:rPr>
          <w:szCs w:val="24"/>
        </w:rPr>
        <w:t xml:space="preserve">is otherwise ineligible to remain registered. </w:t>
      </w:r>
    </w:p>
    <w:p w14:paraId="175A007B" w14:textId="4667B83D" w:rsidR="00DB57EC" w:rsidRDefault="00DB57EC" w:rsidP="00DB57EC">
      <w:pPr>
        <w:rPr>
          <w:szCs w:val="24"/>
        </w:rPr>
      </w:pPr>
      <w:r w:rsidRPr="00884820">
        <w:rPr>
          <w:szCs w:val="24"/>
        </w:rPr>
        <w:t>Refer to the FRC</w:t>
      </w:r>
      <w:r w:rsidR="00EB0779">
        <w:rPr>
          <w:szCs w:val="24"/>
        </w:rPr>
        <w:t>’</w:t>
      </w:r>
      <w:r w:rsidRPr="00884820">
        <w:rPr>
          <w:szCs w:val="24"/>
        </w:rPr>
        <w:t xml:space="preserve">s </w:t>
      </w:r>
      <w:hyperlink r:id="rId50" w:history="1">
        <w:r w:rsidRPr="00587FF2">
          <w:rPr>
            <w:rStyle w:val="Hyperlink"/>
            <w:szCs w:val="24"/>
          </w:rPr>
          <w:t>Auditor Disciplina</w:t>
        </w:r>
        <w:bookmarkStart w:id="58" w:name="_Hlt148624756"/>
        <w:bookmarkStart w:id="59" w:name="_Hlt148624757"/>
        <w:r w:rsidRPr="00587FF2">
          <w:rPr>
            <w:rStyle w:val="Hyperlink"/>
            <w:szCs w:val="24"/>
          </w:rPr>
          <w:t>r</w:t>
        </w:r>
        <w:bookmarkEnd w:id="58"/>
        <w:bookmarkEnd w:id="59"/>
        <w:r w:rsidRPr="00587FF2">
          <w:rPr>
            <w:rStyle w:val="Hyperlink"/>
            <w:szCs w:val="24"/>
          </w:rPr>
          <w:t>y review</w:t>
        </w:r>
      </w:hyperlink>
      <w:r w:rsidRPr="00884820">
        <w:rPr>
          <w:szCs w:val="24"/>
        </w:rPr>
        <w:t xml:space="preserve"> for an overview of the CADB</w:t>
      </w:r>
      <w:r w:rsidR="00EB0779">
        <w:rPr>
          <w:szCs w:val="24"/>
        </w:rPr>
        <w:t>’</w:t>
      </w:r>
      <w:r w:rsidRPr="00884820">
        <w:rPr>
          <w:szCs w:val="24"/>
        </w:rPr>
        <w:t xml:space="preserve">s process when investigating a case. </w:t>
      </w:r>
    </w:p>
    <w:p w14:paraId="72D13F9A" w14:textId="590E03C6" w:rsidR="00DB57EC" w:rsidRPr="00884820" w:rsidRDefault="00DB57EC" w:rsidP="00DB57EC">
      <w:pPr>
        <w:rPr>
          <w:szCs w:val="24"/>
        </w:rPr>
      </w:pPr>
      <w:r>
        <w:rPr>
          <w:szCs w:val="24"/>
        </w:rPr>
        <w:t>When cases are referred to the CADB they evaluate the appropriateness of the auditor</w:t>
      </w:r>
      <w:r w:rsidR="00EB0779">
        <w:rPr>
          <w:szCs w:val="24"/>
        </w:rPr>
        <w:t>’</w:t>
      </w:r>
      <w:r>
        <w:rPr>
          <w:szCs w:val="24"/>
        </w:rPr>
        <w:t>s work compared to professional standards without the need for expert evidence. This evaluation is valuable in contributing to understanding what appropriate standards of competency for auditors are, and how audit quality can be improved. The CADB publish its decisions which provides useful information to regulators and others.</w:t>
      </w:r>
    </w:p>
    <w:p w14:paraId="4EA0BB3A" w14:textId="16392887" w:rsidR="00DB57EC" w:rsidRPr="0019683B" w:rsidRDefault="00DB57EC" w:rsidP="00DB57EC">
      <w:pPr>
        <w:rPr>
          <w:bCs/>
          <w:szCs w:val="24"/>
        </w:rPr>
      </w:pPr>
      <w:r w:rsidRPr="00884820">
        <w:rPr>
          <w:bCs/>
          <w:szCs w:val="24"/>
        </w:rPr>
        <w:t>Number of cases that have been referred the CADB since 2019/20 by nature of sanction:</w:t>
      </w:r>
    </w:p>
    <w:tbl>
      <w:tblPr>
        <w:tblStyle w:val="TableGrid"/>
        <w:tblW w:w="5000" w:type="pct"/>
        <w:tblLook w:val="0020" w:firstRow="1" w:lastRow="0" w:firstColumn="0" w:lastColumn="0" w:noHBand="0" w:noVBand="0"/>
        <w:tblCaption w:val="Cases referred to the CADB since 2019"/>
        <w:tblDescription w:val="Yearly breakdown of the number of cases referred to the CADB since 2019 "/>
      </w:tblPr>
      <w:tblGrid>
        <w:gridCol w:w="3259"/>
        <w:gridCol w:w="1921"/>
        <w:gridCol w:w="1923"/>
        <w:gridCol w:w="1923"/>
      </w:tblGrid>
      <w:tr w:rsidR="002572E4" w:rsidRPr="0073049C" w14:paraId="0A507459" w14:textId="77777777" w:rsidTr="002572E4">
        <w:trPr>
          <w:cnfStyle w:val="100000000000" w:firstRow="1" w:lastRow="0" w:firstColumn="0" w:lastColumn="0" w:oddVBand="0" w:evenVBand="0" w:oddHBand="0" w:evenHBand="0" w:firstRowFirstColumn="0" w:firstRowLastColumn="0" w:lastRowFirstColumn="0" w:lastRowLastColumn="0"/>
          <w:tblHeader/>
        </w:trPr>
        <w:tc>
          <w:tcPr>
            <w:tcW w:w="1806" w:type="pct"/>
            <w:shd w:val="clear" w:color="auto" w:fill="E6E6E6" w:themeFill="accent1"/>
          </w:tcPr>
          <w:p w14:paraId="073B7724" w14:textId="77777777" w:rsidR="00DB57EC" w:rsidRPr="0073049C" w:rsidRDefault="00DB57EC" w:rsidP="0073049C">
            <w:pPr>
              <w:pStyle w:val="TableColumnHeadingLeft"/>
            </w:pPr>
            <w:r w:rsidRPr="0073049C">
              <w:t>Result</w:t>
            </w:r>
          </w:p>
        </w:tc>
        <w:tc>
          <w:tcPr>
            <w:tcW w:w="1064" w:type="pct"/>
            <w:shd w:val="clear" w:color="auto" w:fill="E6E6E6" w:themeFill="accent1"/>
          </w:tcPr>
          <w:p w14:paraId="0F56561B" w14:textId="13946D7B" w:rsidR="00DB57EC" w:rsidRPr="0073049C" w:rsidRDefault="00DB57EC" w:rsidP="0073049C">
            <w:pPr>
              <w:pStyle w:val="TableColumnHeadingLeft"/>
            </w:pPr>
            <w:r w:rsidRPr="0073049C">
              <w:t>19</w:t>
            </w:r>
            <w:r w:rsidR="003D54C2" w:rsidRPr="0073049C">
              <w:t>–</w:t>
            </w:r>
            <w:r w:rsidRPr="0073049C">
              <w:t>20</w:t>
            </w:r>
          </w:p>
        </w:tc>
        <w:tc>
          <w:tcPr>
            <w:tcW w:w="1065" w:type="pct"/>
            <w:shd w:val="clear" w:color="auto" w:fill="E6E6E6" w:themeFill="accent1"/>
          </w:tcPr>
          <w:p w14:paraId="7E31FBDB" w14:textId="35CDE376" w:rsidR="00DB57EC" w:rsidRPr="0073049C" w:rsidRDefault="00DB57EC" w:rsidP="0073049C">
            <w:pPr>
              <w:pStyle w:val="TableColumnHeadingLeft"/>
            </w:pPr>
            <w:r w:rsidRPr="0073049C">
              <w:t>20</w:t>
            </w:r>
            <w:r w:rsidR="003D54C2" w:rsidRPr="0073049C">
              <w:t>–</w:t>
            </w:r>
            <w:r w:rsidRPr="0073049C">
              <w:t>21</w:t>
            </w:r>
          </w:p>
        </w:tc>
        <w:tc>
          <w:tcPr>
            <w:tcW w:w="1065" w:type="pct"/>
            <w:shd w:val="clear" w:color="auto" w:fill="E6E6E6" w:themeFill="accent1"/>
          </w:tcPr>
          <w:p w14:paraId="5E980DA6" w14:textId="52C3A04E" w:rsidR="00DB57EC" w:rsidRPr="0073049C" w:rsidRDefault="00DB57EC" w:rsidP="0073049C">
            <w:pPr>
              <w:pStyle w:val="TableColumnHeadingLeft"/>
            </w:pPr>
            <w:r w:rsidRPr="0073049C">
              <w:t>21</w:t>
            </w:r>
            <w:r w:rsidR="003D54C2" w:rsidRPr="0073049C">
              <w:t>–</w:t>
            </w:r>
            <w:r w:rsidRPr="0073049C">
              <w:t>22</w:t>
            </w:r>
          </w:p>
        </w:tc>
      </w:tr>
      <w:tr w:rsidR="00DB57EC" w:rsidRPr="005B02B2" w14:paraId="2CEFE8C3" w14:textId="77777777" w:rsidTr="002572E4">
        <w:tc>
          <w:tcPr>
            <w:tcW w:w="1806" w:type="pct"/>
          </w:tcPr>
          <w:p w14:paraId="4B8C220B" w14:textId="77777777" w:rsidR="00DB57EC" w:rsidRPr="00884820" w:rsidRDefault="00DB57EC" w:rsidP="0019683B">
            <w:pPr>
              <w:pStyle w:val="TableTextLeft"/>
            </w:pPr>
            <w:r w:rsidRPr="00884820">
              <w:t>Registration cancelled</w:t>
            </w:r>
          </w:p>
        </w:tc>
        <w:tc>
          <w:tcPr>
            <w:tcW w:w="1064" w:type="pct"/>
          </w:tcPr>
          <w:p w14:paraId="5A02E42D" w14:textId="6A0F4A9C" w:rsidR="00DB57EC" w:rsidRPr="00884820" w:rsidRDefault="00EB0779" w:rsidP="0019683B">
            <w:pPr>
              <w:pStyle w:val="TableTextLeft"/>
            </w:pPr>
            <w:r>
              <w:noBreakHyphen/>
            </w:r>
          </w:p>
        </w:tc>
        <w:tc>
          <w:tcPr>
            <w:tcW w:w="1065" w:type="pct"/>
          </w:tcPr>
          <w:p w14:paraId="3BF86691" w14:textId="47C91ED1" w:rsidR="00DB57EC" w:rsidRPr="00884820" w:rsidRDefault="00DB57EC" w:rsidP="0019683B">
            <w:pPr>
              <w:pStyle w:val="TableTextLeft"/>
            </w:pPr>
            <w:r w:rsidRPr="00884820">
              <w:t>9</w:t>
            </w:r>
            <w:r w:rsidR="00675CEA">
              <w:rPr>
                <w:rFonts w:ascii="ZWAdobeF" w:hAnsi="ZWAdobeF" w:cs="ZWAdobeF"/>
                <w:sz w:val="2"/>
                <w:szCs w:val="2"/>
              </w:rPr>
              <w:t>37F</w:t>
            </w:r>
            <w:r w:rsidRPr="00BE3D9D">
              <w:rPr>
                <w:rStyle w:val="FootnoteReference"/>
                <w:szCs w:val="24"/>
                <w:vertAlign w:val="superscript"/>
              </w:rPr>
              <w:footnoteReference w:id="38"/>
            </w:r>
          </w:p>
        </w:tc>
        <w:tc>
          <w:tcPr>
            <w:tcW w:w="1065" w:type="pct"/>
          </w:tcPr>
          <w:p w14:paraId="4383A8CF" w14:textId="77777777" w:rsidR="00DB57EC" w:rsidRPr="00884820" w:rsidRDefault="00DB57EC" w:rsidP="0019683B">
            <w:pPr>
              <w:pStyle w:val="TableTextLeft"/>
            </w:pPr>
            <w:r w:rsidRPr="00884820">
              <w:t>1</w:t>
            </w:r>
          </w:p>
        </w:tc>
      </w:tr>
      <w:tr w:rsidR="00DB57EC" w:rsidRPr="005B02B2" w14:paraId="391C341D" w14:textId="77777777" w:rsidTr="002572E4">
        <w:tc>
          <w:tcPr>
            <w:tcW w:w="1806" w:type="pct"/>
          </w:tcPr>
          <w:p w14:paraId="0AC15955" w14:textId="77777777" w:rsidR="00DB57EC" w:rsidRPr="00884820" w:rsidRDefault="00DB57EC" w:rsidP="0019683B">
            <w:pPr>
              <w:pStyle w:val="TableTextLeft"/>
            </w:pPr>
            <w:r w:rsidRPr="00884820">
              <w:t>Registration suspended</w:t>
            </w:r>
          </w:p>
        </w:tc>
        <w:tc>
          <w:tcPr>
            <w:tcW w:w="1064" w:type="pct"/>
          </w:tcPr>
          <w:p w14:paraId="368CD936" w14:textId="1E8873C1" w:rsidR="00DB57EC" w:rsidRPr="00884820" w:rsidRDefault="00EB0779" w:rsidP="0019683B">
            <w:pPr>
              <w:pStyle w:val="TableTextLeft"/>
            </w:pPr>
            <w:r>
              <w:noBreakHyphen/>
            </w:r>
          </w:p>
        </w:tc>
        <w:tc>
          <w:tcPr>
            <w:tcW w:w="1065" w:type="pct"/>
          </w:tcPr>
          <w:p w14:paraId="5475C375" w14:textId="2C5B0435" w:rsidR="00DB57EC" w:rsidRPr="00884820" w:rsidRDefault="00EB0779" w:rsidP="0019683B">
            <w:pPr>
              <w:pStyle w:val="TableTextLeft"/>
            </w:pPr>
            <w:r>
              <w:noBreakHyphen/>
            </w:r>
          </w:p>
        </w:tc>
        <w:tc>
          <w:tcPr>
            <w:tcW w:w="1065" w:type="pct"/>
          </w:tcPr>
          <w:p w14:paraId="44D84D59" w14:textId="77777777" w:rsidR="00DB57EC" w:rsidRPr="00884820" w:rsidRDefault="00DB57EC" w:rsidP="0019683B">
            <w:pPr>
              <w:pStyle w:val="TableTextLeft"/>
            </w:pPr>
            <w:r w:rsidRPr="00884820">
              <w:t>1</w:t>
            </w:r>
          </w:p>
        </w:tc>
      </w:tr>
      <w:tr w:rsidR="00DB57EC" w:rsidRPr="005B02B2" w14:paraId="5CEA4AD2" w14:textId="77777777" w:rsidTr="002572E4">
        <w:tc>
          <w:tcPr>
            <w:tcW w:w="1806" w:type="pct"/>
          </w:tcPr>
          <w:p w14:paraId="0A07FBC7" w14:textId="77777777" w:rsidR="00DB57EC" w:rsidRPr="00884820" w:rsidRDefault="00DB57EC" w:rsidP="0019683B">
            <w:pPr>
              <w:pStyle w:val="TableTextLeft"/>
            </w:pPr>
            <w:r w:rsidRPr="00884820">
              <w:t>Admonition</w:t>
            </w:r>
          </w:p>
        </w:tc>
        <w:tc>
          <w:tcPr>
            <w:tcW w:w="1064" w:type="pct"/>
          </w:tcPr>
          <w:p w14:paraId="6F52C074" w14:textId="0616B0D4" w:rsidR="00DB57EC" w:rsidRPr="00884820" w:rsidRDefault="00EB0779" w:rsidP="0019683B">
            <w:pPr>
              <w:pStyle w:val="TableTextLeft"/>
            </w:pPr>
            <w:r>
              <w:noBreakHyphen/>
            </w:r>
          </w:p>
        </w:tc>
        <w:tc>
          <w:tcPr>
            <w:tcW w:w="1065" w:type="pct"/>
          </w:tcPr>
          <w:p w14:paraId="54AE2710" w14:textId="6E445F82" w:rsidR="00DB57EC" w:rsidRPr="00884820" w:rsidRDefault="00EB0779" w:rsidP="0019683B">
            <w:pPr>
              <w:pStyle w:val="TableTextLeft"/>
            </w:pPr>
            <w:r>
              <w:noBreakHyphen/>
            </w:r>
          </w:p>
        </w:tc>
        <w:tc>
          <w:tcPr>
            <w:tcW w:w="1065" w:type="pct"/>
          </w:tcPr>
          <w:p w14:paraId="381D73A5" w14:textId="35C161EF" w:rsidR="00DB57EC" w:rsidRPr="00884820" w:rsidRDefault="00EB0779" w:rsidP="0019683B">
            <w:pPr>
              <w:pStyle w:val="TableTextLeft"/>
            </w:pPr>
            <w:r>
              <w:noBreakHyphen/>
            </w:r>
          </w:p>
        </w:tc>
      </w:tr>
      <w:tr w:rsidR="00DB57EC" w:rsidRPr="005B02B2" w14:paraId="3BD73517" w14:textId="77777777" w:rsidTr="002572E4">
        <w:tc>
          <w:tcPr>
            <w:tcW w:w="1806" w:type="pct"/>
          </w:tcPr>
          <w:p w14:paraId="234537E0" w14:textId="77777777" w:rsidR="00DB57EC" w:rsidRPr="00884820" w:rsidRDefault="00DB57EC" w:rsidP="0019683B">
            <w:pPr>
              <w:pStyle w:val="TableTextLeft"/>
            </w:pPr>
            <w:r w:rsidRPr="00884820">
              <w:t>Reprimand</w:t>
            </w:r>
          </w:p>
        </w:tc>
        <w:tc>
          <w:tcPr>
            <w:tcW w:w="1064" w:type="pct"/>
          </w:tcPr>
          <w:p w14:paraId="317D6132" w14:textId="0D6E1757" w:rsidR="00DB57EC" w:rsidRPr="00884820" w:rsidRDefault="00EB0779" w:rsidP="0019683B">
            <w:pPr>
              <w:pStyle w:val="TableTextLeft"/>
            </w:pPr>
            <w:r>
              <w:noBreakHyphen/>
            </w:r>
          </w:p>
        </w:tc>
        <w:tc>
          <w:tcPr>
            <w:tcW w:w="1065" w:type="pct"/>
          </w:tcPr>
          <w:p w14:paraId="32068651" w14:textId="3F646080" w:rsidR="00DB57EC" w:rsidRPr="00884820" w:rsidRDefault="00EB0779" w:rsidP="0019683B">
            <w:pPr>
              <w:pStyle w:val="TableTextLeft"/>
            </w:pPr>
            <w:r>
              <w:noBreakHyphen/>
            </w:r>
          </w:p>
        </w:tc>
        <w:tc>
          <w:tcPr>
            <w:tcW w:w="1065" w:type="pct"/>
          </w:tcPr>
          <w:p w14:paraId="3F5BB262" w14:textId="3931710B" w:rsidR="00DB57EC" w:rsidRPr="00884820" w:rsidRDefault="00EB0779" w:rsidP="0019683B">
            <w:pPr>
              <w:pStyle w:val="TableTextLeft"/>
            </w:pPr>
            <w:r>
              <w:noBreakHyphen/>
            </w:r>
          </w:p>
        </w:tc>
      </w:tr>
      <w:tr w:rsidR="00DB57EC" w:rsidRPr="005B02B2" w14:paraId="2DF55090" w14:textId="77777777" w:rsidTr="002572E4">
        <w:tc>
          <w:tcPr>
            <w:tcW w:w="1806" w:type="pct"/>
          </w:tcPr>
          <w:p w14:paraId="4A1C84E1" w14:textId="77777777" w:rsidR="00DB57EC" w:rsidRPr="00884820" w:rsidRDefault="00DB57EC" w:rsidP="0019683B">
            <w:pPr>
              <w:pStyle w:val="TableTextLeft"/>
            </w:pPr>
            <w:r w:rsidRPr="00884820">
              <w:t>Undertaking required to be given</w:t>
            </w:r>
          </w:p>
        </w:tc>
        <w:tc>
          <w:tcPr>
            <w:tcW w:w="1064" w:type="pct"/>
          </w:tcPr>
          <w:p w14:paraId="43227731" w14:textId="4CA0E9E4" w:rsidR="00DB57EC" w:rsidRPr="00884820" w:rsidRDefault="00EB0779" w:rsidP="0019683B">
            <w:pPr>
              <w:pStyle w:val="TableTextLeft"/>
            </w:pPr>
            <w:r>
              <w:noBreakHyphen/>
            </w:r>
          </w:p>
        </w:tc>
        <w:tc>
          <w:tcPr>
            <w:tcW w:w="1065" w:type="pct"/>
          </w:tcPr>
          <w:p w14:paraId="1C436945" w14:textId="4165CB5B" w:rsidR="00DB57EC" w:rsidRPr="00884820" w:rsidRDefault="00EB0779" w:rsidP="0019683B">
            <w:pPr>
              <w:pStyle w:val="TableTextLeft"/>
            </w:pPr>
            <w:r>
              <w:noBreakHyphen/>
            </w:r>
          </w:p>
        </w:tc>
        <w:tc>
          <w:tcPr>
            <w:tcW w:w="1065" w:type="pct"/>
          </w:tcPr>
          <w:p w14:paraId="612A4711" w14:textId="77777777" w:rsidR="00DB57EC" w:rsidRPr="00884820" w:rsidRDefault="00DB57EC" w:rsidP="0019683B">
            <w:pPr>
              <w:pStyle w:val="TableTextLeft"/>
            </w:pPr>
            <w:r w:rsidRPr="00884820">
              <w:t>1</w:t>
            </w:r>
          </w:p>
        </w:tc>
      </w:tr>
      <w:tr w:rsidR="00DB57EC" w:rsidRPr="005B02B2" w14:paraId="5E402D30" w14:textId="77777777" w:rsidTr="002572E4">
        <w:tc>
          <w:tcPr>
            <w:tcW w:w="1806" w:type="pct"/>
          </w:tcPr>
          <w:p w14:paraId="372061AE" w14:textId="77777777" w:rsidR="00DB57EC" w:rsidRPr="00884820" w:rsidRDefault="00DB57EC" w:rsidP="0019683B">
            <w:pPr>
              <w:pStyle w:val="TableTextLeft"/>
            </w:pPr>
            <w:r w:rsidRPr="00884820">
              <w:t>Dismissed</w:t>
            </w:r>
          </w:p>
        </w:tc>
        <w:tc>
          <w:tcPr>
            <w:tcW w:w="1064" w:type="pct"/>
          </w:tcPr>
          <w:p w14:paraId="705020FB" w14:textId="576653B3" w:rsidR="00DB57EC" w:rsidRPr="00884820" w:rsidRDefault="00EB0779" w:rsidP="0019683B">
            <w:pPr>
              <w:pStyle w:val="TableTextLeft"/>
            </w:pPr>
            <w:r>
              <w:noBreakHyphen/>
            </w:r>
          </w:p>
        </w:tc>
        <w:tc>
          <w:tcPr>
            <w:tcW w:w="1065" w:type="pct"/>
          </w:tcPr>
          <w:p w14:paraId="4D0E360B" w14:textId="7510EE0F" w:rsidR="00DB57EC" w:rsidRPr="00884820" w:rsidRDefault="00EB0779" w:rsidP="0019683B">
            <w:pPr>
              <w:pStyle w:val="TableTextLeft"/>
            </w:pPr>
            <w:r>
              <w:noBreakHyphen/>
            </w:r>
          </w:p>
        </w:tc>
        <w:tc>
          <w:tcPr>
            <w:tcW w:w="1065" w:type="pct"/>
          </w:tcPr>
          <w:p w14:paraId="353C1D63" w14:textId="2B16C6F0" w:rsidR="00DB57EC" w:rsidRPr="00884820" w:rsidRDefault="00EB0779" w:rsidP="0019683B">
            <w:pPr>
              <w:pStyle w:val="TableTextLeft"/>
            </w:pPr>
            <w:r>
              <w:noBreakHyphen/>
            </w:r>
          </w:p>
        </w:tc>
      </w:tr>
      <w:tr w:rsidR="00DB57EC" w:rsidRPr="005B02B2" w14:paraId="5CA15137" w14:textId="77777777" w:rsidTr="002572E4">
        <w:tc>
          <w:tcPr>
            <w:tcW w:w="1806" w:type="pct"/>
          </w:tcPr>
          <w:p w14:paraId="5F127C8D" w14:textId="77777777" w:rsidR="00DB57EC" w:rsidRPr="00884820" w:rsidRDefault="00DB57EC" w:rsidP="0019683B">
            <w:pPr>
              <w:pStyle w:val="TableTextLeft"/>
            </w:pPr>
            <w:r w:rsidRPr="00884820">
              <w:t>Withdrawn by ASIC</w:t>
            </w:r>
          </w:p>
        </w:tc>
        <w:tc>
          <w:tcPr>
            <w:tcW w:w="1064" w:type="pct"/>
          </w:tcPr>
          <w:p w14:paraId="63411F90" w14:textId="19C56262" w:rsidR="00DB57EC" w:rsidRPr="00884820" w:rsidRDefault="00EB0779" w:rsidP="0019683B">
            <w:pPr>
              <w:pStyle w:val="TableTextLeft"/>
            </w:pPr>
            <w:r>
              <w:noBreakHyphen/>
            </w:r>
          </w:p>
        </w:tc>
        <w:tc>
          <w:tcPr>
            <w:tcW w:w="1065" w:type="pct"/>
          </w:tcPr>
          <w:p w14:paraId="5464B832" w14:textId="7343D648" w:rsidR="00DB57EC" w:rsidRPr="00884820" w:rsidRDefault="00DB57EC" w:rsidP="0019683B">
            <w:pPr>
              <w:pStyle w:val="TableTextLeft"/>
            </w:pPr>
            <w:r w:rsidRPr="00884820">
              <w:t>27</w:t>
            </w:r>
            <w:r w:rsidR="00675CEA">
              <w:rPr>
                <w:rFonts w:ascii="ZWAdobeF" w:hAnsi="ZWAdobeF" w:cs="ZWAdobeF"/>
                <w:sz w:val="2"/>
                <w:szCs w:val="2"/>
              </w:rPr>
              <w:t>38F</w:t>
            </w:r>
            <w:r w:rsidRPr="00BE3D9D">
              <w:rPr>
                <w:rStyle w:val="FootnoteReference"/>
                <w:szCs w:val="24"/>
                <w:vertAlign w:val="superscript"/>
              </w:rPr>
              <w:footnoteReference w:id="39"/>
            </w:r>
          </w:p>
        </w:tc>
        <w:tc>
          <w:tcPr>
            <w:tcW w:w="1065" w:type="pct"/>
          </w:tcPr>
          <w:p w14:paraId="36FB2AAF" w14:textId="17C69CEA" w:rsidR="00DB57EC" w:rsidRPr="00884820" w:rsidRDefault="00EB0779" w:rsidP="0019683B">
            <w:pPr>
              <w:pStyle w:val="TableTextLeft"/>
            </w:pPr>
            <w:r>
              <w:noBreakHyphen/>
            </w:r>
          </w:p>
        </w:tc>
      </w:tr>
      <w:tr w:rsidR="00DB57EC" w:rsidRPr="005B02B2" w14:paraId="3B1F3D61" w14:textId="77777777" w:rsidTr="002572E4">
        <w:tc>
          <w:tcPr>
            <w:tcW w:w="1806" w:type="pct"/>
          </w:tcPr>
          <w:p w14:paraId="33B59C6C" w14:textId="77777777" w:rsidR="00DB57EC" w:rsidRPr="000D7599" w:rsidRDefault="00DB57EC" w:rsidP="000D7599">
            <w:pPr>
              <w:pStyle w:val="TableTextLeft"/>
              <w:rPr>
                <w:b/>
                <w:bCs/>
              </w:rPr>
            </w:pPr>
            <w:r w:rsidRPr="000D7599">
              <w:rPr>
                <w:b/>
                <w:bCs/>
              </w:rPr>
              <w:t>Total</w:t>
            </w:r>
          </w:p>
        </w:tc>
        <w:tc>
          <w:tcPr>
            <w:tcW w:w="1064" w:type="pct"/>
          </w:tcPr>
          <w:p w14:paraId="593EB539" w14:textId="45519854" w:rsidR="00DB57EC" w:rsidRPr="000D7599" w:rsidRDefault="00EB0779" w:rsidP="000D7599">
            <w:pPr>
              <w:pStyle w:val="TableTextLeft"/>
              <w:rPr>
                <w:b/>
                <w:bCs/>
              </w:rPr>
            </w:pPr>
            <w:r>
              <w:rPr>
                <w:b/>
                <w:bCs/>
              </w:rPr>
              <w:noBreakHyphen/>
            </w:r>
          </w:p>
        </w:tc>
        <w:tc>
          <w:tcPr>
            <w:tcW w:w="1065" w:type="pct"/>
          </w:tcPr>
          <w:p w14:paraId="55BB2B51" w14:textId="77777777" w:rsidR="00DB57EC" w:rsidRPr="000D7599" w:rsidRDefault="00DB57EC" w:rsidP="000D7599">
            <w:pPr>
              <w:pStyle w:val="TableTextLeft"/>
              <w:rPr>
                <w:b/>
                <w:bCs/>
              </w:rPr>
            </w:pPr>
            <w:r w:rsidRPr="000D7599">
              <w:rPr>
                <w:b/>
                <w:bCs/>
              </w:rPr>
              <w:t>36</w:t>
            </w:r>
          </w:p>
        </w:tc>
        <w:tc>
          <w:tcPr>
            <w:tcW w:w="1065" w:type="pct"/>
          </w:tcPr>
          <w:p w14:paraId="08799394" w14:textId="77777777" w:rsidR="00DB57EC" w:rsidRPr="000D7599" w:rsidRDefault="00DB57EC" w:rsidP="000D7599">
            <w:pPr>
              <w:pStyle w:val="TableTextLeft"/>
              <w:rPr>
                <w:b/>
                <w:bCs/>
              </w:rPr>
            </w:pPr>
            <w:r w:rsidRPr="000D7599">
              <w:rPr>
                <w:b/>
                <w:bCs/>
              </w:rPr>
              <w:t>3</w:t>
            </w:r>
          </w:p>
        </w:tc>
      </w:tr>
    </w:tbl>
    <w:p w14:paraId="001A1169" w14:textId="1E8CCE51" w:rsidR="00DB57EC" w:rsidRPr="00B15F0F" w:rsidRDefault="00DB57EC" w:rsidP="00B15F0F">
      <w:pPr>
        <w:pStyle w:val="ChartorTableNote"/>
        <w:rPr>
          <w:szCs w:val="22"/>
        </w:rPr>
      </w:pPr>
      <w:r w:rsidRPr="00884820">
        <w:rPr>
          <w:sz w:val="20"/>
        </w:rPr>
        <w:t xml:space="preserve">Source: </w:t>
      </w:r>
      <w:r w:rsidR="00B15F0F">
        <w:rPr>
          <w:sz w:val="20"/>
        </w:rPr>
        <w:tab/>
      </w:r>
      <w:hyperlink r:id="rId51" w:history="1">
        <w:r w:rsidRPr="005B02B2">
          <w:rPr>
            <w:rStyle w:val="Hyperlink"/>
            <w:sz w:val="20"/>
          </w:rPr>
          <w:t>CADB Annua</w:t>
        </w:r>
        <w:bookmarkStart w:id="60" w:name="_Hlt148624775"/>
        <w:bookmarkStart w:id="61" w:name="_Hlt148624776"/>
        <w:r w:rsidRPr="005B02B2">
          <w:rPr>
            <w:rStyle w:val="Hyperlink"/>
            <w:sz w:val="20"/>
          </w:rPr>
          <w:t>l</w:t>
        </w:r>
        <w:bookmarkEnd w:id="60"/>
        <w:bookmarkEnd w:id="61"/>
        <w:r w:rsidRPr="005B02B2">
          <w:rPr>
            <w:rStyle w:val="Hyperlink"/>
            <w:sz w:val="20"/>
          </w:rPr>
          <w:t xml:space="preserve"> Report 2021</w:t>
        </w:r>
        <w:r w:rsidR="00C760F8">
          <w:rPr>
            <w:rStyle w:val="Hyperlink"/>
            <w:sz w:val="20"/>
          </w:rPr>
          <w:t>–2</w:t>
        </w:r>
        <w:r w:rsidRPr="005B02B2">
          <w:rPr>
            <w:rStyle w:val="Hyperlink"/>
            <w:sz w:val="20"/>
          </w:rPr>
          <w:t>022</w:t>
        </w:r>
      </w:hyperlink>
    </w:p>
    <w:p w14:paraId="30953ED0" w14:textId="4B2D3C41" w:rsidR="00DB57EC" w:rsidRDefault="00DB57EC" w:rsidP="00B15F0F">
      <w:r w:rsidRPr="00884820">
        <w:t>The CADB cancelled the registration of one auditor in 2022. The number of cases referred to the CADB continues to be low due to ASIC</w:t>
      </w:r>
      <w:r w:rsidR="00EB0779">
        <w:t>’</w:t>
      </w:r>
      <w:r w:rsidRPr="00884820">
        <w:t xml:space="preserve">s preference to resolve cases before referring to CADB. In </w:t>
      </w:r>
      <w:r w:rsidRPr="00884820" w:rsidDel="00277CC9">
        <w:t>addition</w:t>
      </w:r>
      <w:r w:rsidRPr="00884820">
        <w:t>, APRA have never referred cases to CADB</w:t>
      </w:r>
      <w:r>
        <w:t xml:space="preserve"> as it can achieve its objectives using other tools</w:t>
      </w:r>
      <w:r w:rsidRPr="00884820">
        <w:t xml:space="preserve">. </w:t>
      </w:r>
    </w:p>
    <w:p w14:paraId="18301419" w14:textId="67CA1771" w:rsidR="00DB57EC" w:rsidRDefault="00DB57EC" w:rsidP="00B15F0F">
      <w:r>
        <w:t xml:space="preserve">As detailed in its </w:t>
      </w:r>
      <w:hyperlink r:id="rId52" w:history="1">
        <w:r w:rsidRPr="0073137A">
          <w:rPr>
            <w:rStyle w:val="Hyperlink"/>
            <w:szCs w:val="24"/>
          </w:rPr>
          <w:t>submission</w:t>
        </w:r>
      </w:hyperlink>
      <w:r>
        <w:t xml:space="preserve"> to the PJC Inquiry: Ethics and Professional Accountability: Structural Challenges in the Audit, Assurance and Consultancy Industry, the CADB have noted that they are underutilised as ASIC and APRA do not refer cases to them frequently. </w:t>
      </w:r>
      <w:r w:rsidR="00FC65CD">
        <w:t>‘</w:t>
      </w:r>
      <w:r>
        <w:t>… the number of matters that have been considered by CADB is insufficient to fully realise either CADB</w:t>
      </w:r>
      <w:r w:rsidR="00EB0779">
        <w:t>’</w:t>
      </w:r>
      <w:r>
        <w:t>s potential to meaningfully impact regulatory settings in relation to auditors or the full scope of its legislative function.</w:t>
      </w:r>
      <w:r w:rsidR="00FC65CD">
        <w:t>’</w:t>
      </w:r>
      <w:r>
        <w:t xml:space="preserve"> The CADB recommended there is consideration of:</w:t>
      </w:r>
    </w:p>
    <w:p w14:paraId="077FCC11" w14:textId="183CE069" w:rsidR="00DB57EC" w:rsidRDefault="00DB57EC" w:rsidP="00B15F0F">
      <w:pPr>
        <w:pStyle w:val="Bullet"/>
      </w:pPr>
      <w:r w:rsidRPr="0099014E">
        <w:t>an accountability framework or a supervisory body that monitors utilisation by ASIC and APRA o</w:t>
      </w:r>
      <w:r>
        <w:t>f</w:t>
      </w:r>
      <w:r w:rsidRPr="0099014E">
        <w:t xml:space="preserve"> CADB</w:t>
      </w:r>
      <w:r w:rsidR="00EB0779">
        <w:t>’</w:t>
      </w:r>
      <w:r w:rsidRPr="0099014E">
        <w:t>s jurisdiction</w:t>
      </w:r>
      <w:r>
        <w:t>.</w:t>
      </w:r>
    </w:p>
    <w:p w14:paraId="4CC45881" w14:textId="36DD8527" w:rsidR="00DB57EC" w:rsidRDefault="00DB57EC" w:rsidP="00B15F0F">
      <w:pPr>
        <w:pStyle w:val="Bullet"/>
      </w:pPr>
      <w:r>
        <w:t>expanding the entities that may make applications to CADB regarding RCAs.</w:t>
      </w:r>
    </w:p>
    <w:p w14:paraId="6B49F54B" w14:textId="692F5E10" w:rsidR="00DF2691" w:rsidRDefault="00DF2691">
      <w:pPr>
        <w:spacing w:before="0" w:after="160" w:line="259" w:lineRule="auto"/>
      </w:pPr>
      <w:r>
        <w:br w:type="page"/>
      </w:r>
    </w:p>
    <w:p w14:paraId="23842CC6" w14:textId="77777777" w:rsidR="00DB57EC" w:rsidRPr="007B037A" w:rsidRDefault="00DB57EC" w:rsidP="00B15F0F">
      <w:pPr>
        <w:pStyle w:val="Heading1"/>
      </w:pPr>
      <w:bookmarkStart w:id="62" w:name="_Toc143799234"/>
      <w:bookmarkStart w:id="63" w:name="_Toc149551295"/>
      <w:r w:rsidRPr="007B037A">
        <w:t>The APESB</w:t>
      </w:r>
      <w:bookmarkEnd w:id="62"/>
      <w:bookmarkEnd w:id="63"/>
    </w:p>
    <w:p w14:paraId="11BD5559" w14:textId="541EB1C7" w:rsidR="00DB57EC" w:rsidRPr="00884820" w:rsidRDefault="00DB57EC" w:rsidP="00DB57EC">
      <w:pPr>
        <w:rPr>
          <w:szCs w:val="24"/>
        </w:rPr>
      </w:pPr>
      <w:r w:rsidRPr="00884820">
        <w:rPr>
          <w:szCs w:val="24"/>
        </w:rPr>
        <w:t>The APESB sets professional and ethical standards with which accounting professionals who are members of the PABs must comply. The APESB is a non</w:t>
      </w:r>
      <w:r w:rsidR="00EB0779">
        <w:rPr>
          <w:szCs w:val="24"/>
        </w:rPr>
        <w:noBreakHyphen/>
      </w:r>
      <w:r w:rsidRPr="00884820">
        <w:rPr>
          <w:szCs w:val="24"/>
        </w:rPr>
        <w:t>statutory body that was created by the Australian PABs to develop, issue and maintain high</w:t>
      </w:r>
      <w:r w:rsidR="00EB0779">
        <w:rPr>
          <w:szCs w:val="24"/>
        </w:rPr>
        <w:noBreakHyphen/>
      </w:r>
      <w:r w:rsidRPr="00884820">
        <w:rPr>
          <w:szCs w:val="24"/>
        </w:rPr>
        <w:t xml:space="preserve">quality professional and ethical standards. </w:t>
      </w:r>
      <w:r>
        <w:rPr>
          <w:szCs w:val="24"/>
        </w:rPr>
        <w:t>The APESB</w:t>
      </w:r>
      <w:r w:rsidR="00EB0779">
        <w:rPr>
          <w:szCs w:val="24"/>
        </w:rPr>
        <w:t>’</w:t>
      </w:r>
      <w:r>
        <w:rPr>
          <w:szCs w:val="24"/>
        </w:rPr>
        <w:t xml:space="preserve">s standards are based on the standards set by the International Ethics Standards Board for Accountants. </w:t>
      </w:r>
      <w:r w:rsidRPr="00884820">
        <w:rPr>
          <w:szCs w:val="24"/>
        </w:rPr>
        <w:t>The APESB</w:t>
      </w:r>
      <w:r w:rsidR="00EB0779">
        <w:rPr>
          <w:szCs w:val="24"/>
        </w:rPr>
        <w:t>’</w:t>
      </w:r>
      <w:r w:rsidRPr="00884820">
        <w:rPr>
          <w:szCs w:val="24"/>
        </w:rPr>
        <w:t>s standards do not carry the force of law, except those which are relevant to the performance of an audit, which are legally enforceable by virtue of being referenced in auditing standards. </w:t>
      </w:r>
    </w:p>
    <w:p w14:paraId="742E7889" w14:textId="2FCC1020" w:rsidR="00DB57EC" w:rsidRPr="00884820" w:rsidRDefault="00DB57EC" w:rsidP="00DB57EC">
      <w:pPr>
        <w:rPr>
          <w:szCs w:val="24"/>
        </w:rPr>
      </w:pPr>
      <w:r w:rsidRPr="00884820">
        <w:rPr>
          <w:szCs w:val="24"/>
        </w:rPr>
        <w:t>As a standard</w:t>
      </w:r>
      <w:r w:rsidR="00EB0779">
        <w:rPr>
          <w:szCs w:val="24"/>
        </w:rPr>
        <w:noBreakHyphen/>
      </w:r>
      <w:r w:rsidRPr="00884820">
        <w:rPr>
          <w:szCs w:val="24"/>
        </w:rPr>
        <w:t>setter, the APESB does not have responsibility for monitoring and enforcing compliance with their standards as this is the responsibility PABs (for their members) and ASIC. However, ASIC</w:t>
      </w:r>
      <w:r w:rsidR="00EB0779">
        <w:rPr>
          <w:szCs w:val="24"/>
        </w:rPr>
        <w:t>’</w:t>
      </w:r>
      <w:r w:rsidRPr="00884820">
        <w:rPr>
          <w:szCs w:val="24"/>
        </w:rPr>
        <w:t>s audit surveillance program does not routinely focus on the firms</w:t>
      </w:r>
      <w:r w:rsidR="00EB0779">
        <w:rPr>
          <w:szCs w:val="24"/>
        </w:rPr>
        <w:t>’</w:t>
      </w:r>
      <w:r w:rsidRPr="00884820">
        <w:rPr>
          <w:szCs w:val="24"/>
        </w:rPr>
        <w:t xml:space="preserve"> systems to monitor compliance with APESB</w:t>
      </w:r>
      <w:r w:rsidR="00EB0779">
        <w:rPr>
          <w:szCs w:val="24"/>
        </w:rPr>
        <w:t>’</w:t>
      </w:r>
      <w:r w:rsidRPr="00884820">
        <w:rPr>
          <w:szCs w:val="24"/>
        </w:rPr>
        <w:t xml:space="preserve">s standards. </w:t>
      </w:r>
      <w:r w:rsidRPr="0014769C">
        <w:rPr>
          <w:szCs w:val="24"/>
        </w:rPr>
        <w:t>Also,</w:t>
      </w:r>
      <w:r w:rsidRPr="00884820">
        <w:rPr>
          <w:szCs w:val="24"/>
        </w:rPr>
        <w:t xml:space="preserve"> as detailed previously in this report ASIC do</w:t>
      </w:r>
      <w:r>
        <w:rPr>
          <w:szCs w:val="24"/>
        </w:rPr>
        <w:t>es</w:t>
      </w:r>
      <w:r w:rsidRPr="00884820">
        <w:rPr>
          <w:szCs w:val="24"/>
        </w:rPr>
        <w:t xml:space="preserve"> not have the powers to enforce compliance with the APESB standards. The PABs review their member firm</w:t>
      </w:r>
      <w:r w:rsidR="00EB0779">
        <w:rPr>
          <w:szCs w:val="24"/>
        </w:rPr>
        <w:t>’</w:t>
      </w:r>
      <w:r w:rsidRPr="00884820">
        <w:rPr>
          <w:szCs w:val="24"/>
        </w:rPr>
        <w:t>s system of quality management which include processes to monitor compliance with the professional and ethical standards.</w:t>
      </w:r>
    </w:p>
    <w:p w14:paraId="35D32511" w14:textId="43EF79F5" w:rsidR="000D7599" w:rsidRDefault="00DB57EC" w:rsidP="00DB57EC">
      <w:pPr>
        <w:rPr>
          <w:szCs w:val="24"/>
        </w:rPr>
      </w:pPr>
      <w:r w:rsidRPr="00884820">
        <w:rPr>
          <w:szCs w:val="24"/>
        </w:rPr>
        <w:t xml:space="preserve">Compliance with the professional and ethical standards are vitally important and recent controversies indicate that more regulation is required in this area. </w:t>
      </w:r>
    </w:p>
    <w:p w14:paraId="55268F22" w14:textId="77777777" w:rsidR="000D7599" w:rsidRDefault="000D7599">
      <w:pPr>
        <w:spacing w:before="0" w:after="160" w:line="259" w:lineRule="auto"/>
        <w:rPr>
          <w:szCs w:val="24"/>
        </w:rPr>
      </w:pPr>
      <w:r>
        <w:rPr>
          <w:szCs w:val="24"/>
        </w:rPr>
        <w:br w:type="page"/>
      </w:r>
    </w:p>
    <w:p w14:paraId="0041DC6A" w14:textId="77777777" w:rsidR="00DB57EC" w:rsidRPr="007B037A" w:rsidRDefault="00DB57EC" w:rsidP="0044486F">
      <w:pPr>
        <w:pStyle w:val="Heading1"/>
      </w:pPr>
      <w:bookmarkStart w:id="64" w:name="_Toc143799235"/>
      <w:bookmarkStart w:id="65" w:name="_Toc149551296"/>
      <w:r w:rsidRPr="007B037A">
        <w:t>The AASB</w:t>
      </w:r>
      <w:r>
        <w:t xml:space="preserve"> </w:t>
      </w:r>
      <w:r w:rsidRPr="007B037A">
        <w:t>and AUASB</w:t>
      </w:r>
      <w:bookmarkEnd w:id="64"/>
      <w:bookmarkEnd w:id="65"/>
      <w:r w:rsidRPr="007B037A">
        <w:t xml:space="preserve"> </w:t>
      </w:r>
    </w:p>
    <w:p w14:paraId="290E1B25" w14:textId="2C537BD2" w:rsidR="00DB57EC" w:rsidRDefault="00DB57EC" w:rsidP="00DB57EC">
      <w:pPr>
        <w:rPr>
          <w:szCs w:val="24"/>
        </w:rPr>
      </w:pPr>
      <w:r>
        <w:rPr>
          <w:szCs w:val="24"/>
        </w:rPr>
        <w:t>The FRC is responsible for overseeing the AASB and AUASB</w:t>
      </w:r>
      <w:r w:rsidR="00EB0779">
        <w:rPr>
          <w:szCs w:val="24"/>
        </w:rPr>
        <w:t>’</w:t>
      </w:r>
      <w:r>
        <w:rPr>
          <w:szCs w:val="24"/>
        </w:rPr>
        <w:t xml:space="preserve">s standards setting processes. </w:t>
      </w:r>
    </w:p>
    <w:p w14:paraId="757ECE91" w14:textId="701531BC" w:rsidR="00DB57EC" w:rsidRDefault="00DB57EC" w:rsidP="00DB57EC">
      <w:pPr>
        <w:rPr>
          <w:szCs w:val="24"/>
        </w:rPr>
      </w:pPr>
      <w:r w:rsidRPr="00884820">
        <w:rPr>
          <w:szCs w:val="24"/>
        </w:rPr>
        <w:t>The AASB and AUASB are independent non</w:t>
      </w:r>
      <w:r w:rsidR="00EB0779">
        <w:rPr>
          <w:szCs w:val="24"/>
        </w:rPr>
        <w:noBreakHyphen/>
      </w:r>
      <w:r w:rsidRPr="00884820">
        <w:rPr>
          <w:szCs w:val="24"/>
        </w:rPr>
        <w:t xml:space="preserve">corporate Commonwealth entities of the Australian Government responsible for setting </w:t>
      </w:r>
      <w:r>
        <w:rPr>
          <w:szCs w:val="24"/>
        </w:rPr>
        <w:t>a</w:t>
      </w:r>
      <w:r w:rsidRPr="00884820">
        <w:rPr>
          <w:szCs w:val="24"/>
        </w:rPr>
        <w:t xml:space="preserve">ccounting and </w:t>
      </w:r>
      <w:r>
        <w:rPr>
          <w:szCs w:val="24"/>
        </w:rPr>
        <w:t>a</w:t>
      </w:r>
      <w:r w:rsidRPr="00884820">
        <w:rPr>
          <w:szCs w:val="24"/>
        </w:rPr>
        <w:t xml:space="preserve">uditing </w:t>
      </w:r>
      <w:r>
        <w:rPr>
          <w:szCs w:val="24"/>
        </w:rPr>
        <w:t>s</w:t>
      </w:r>
      <w:r w:rsidRPr="00884820">
        <w:rPr>
          <w:szCs w:val="24"/>
        </w:rPr>
        <w:t xml:space="preserve">tandards. </w:t>
      </w:r>
    </w:p>
    <w:p w14:paraId="3066C9F8" w14:textId="40003FB3" w:rsidR="00DB57EC" w:rsidRDefault="00DB57EC" w:rsidP="00DB57EC">
      <w:pPr>
        <w:rPr>
          <w:szCs w:val="24"/>
        </w:rPr>
      </w:pPr>
      <w:r>
        <w:rPr>
          <w:szCs w:val="24"/>
        </w:rPr>
        <w:t>The AASB and AUASB</w:t>
      </w:r>
      <w:r w:rsidR="00EB0779">
        <w:rPr>
          <w:szCs w:val="24"/>
        </w:rPr>
        <w:t>’</w:t>
      </w:r>
      <w:r>
        <w:rPr>
          <w:szCs w:val="24"/>
        </w:rPr>
        <w:t xml:space="preserve">s functions are set out in the </w:t>
      </w:r>
      <w:r w:rsidRPr="00E577B9">
        <w:rPr>
          <w:i/>
          <w:iCs/>
          <w:szCs w:val="24"/>
        </w:rPr>
        <w:t>Australian Securities and Investments Commission Act</w:t>
      </w:r>
      <w:r>
        <w:rPr>
          <w:szCs w:val="24"/>
        </w:rPr>
        <w:t xml:space="preserve"> </w:t>
      </w:r>
      <w:r w:rsidRPr="00E577B9">
        <w:rPr>
          <w:i/>
          <w:iCs/>
          <w:szCs w:val="24"/>
        </w:rPr>
        <w:t>2001</w:t>
      </w:r>
      <w:r>
        <w:rPr>
          <w:szCs w:val="24"/>
        </w:rPr>
        <w:t>, and both have extensive due process frameworks to ensure that their standards and guidance are developed, issued and maintained with proper regard to the public interest, are principles</w:t>
      </w:r>
      <w:r w:rsidR="00EB0779">
        <w:rPr>
          <w:szCs w:val="24"/>
        </w:rPr>
        <w:noBreakHyphen/>
      </w:r>
      <w:r>
        <w:rPr>
          <w:szCs w:val="24"/>
        </w:rPr>
        <w:t>based, of a high quality, clearly stated and concise and meet the needs of stakeholders.</w:t>
      </w:r>
      <w:r w:rsidRPr="0027723F">
        <w:rPr>
          <w:szCs w:val="24"/>
        </w:rPr>
        <w:t xml:space="preserve"> </w:t>
      </w:r>
      <w:r>
        <w:rPr>
          <w:szCs w:val="24"/>
        </w:rPr>
        <w:t>The AASB and AUASB standards are based on, and consistent with the standards set by the equivalent international standards setting bodies.</w:t>
      </w:r>
    </w:p>
    <w:p w14:paraId="3EC1DA38" w14:textId="0B9E5EED" w:rsidR="00DB57EC" w:rsidRPr="0044486F" w:rsidRDefault="00DB57EC" w:rsidP="00DB57EC">
      <w:pPr>
        <w:rPr>
          <w:szCs w:val="24"/>
        </w:rPr>
      </w:pPr>
      <w:proofErr w:type="gramStart"/>
      <w:r w:rsidRPr="00884820">
        <w:rPr>
          <w:szCs w:val="24"/>
        </w:rPr>
        <w:t>Similar to</w:t>
      </w:r>
      <w:proofErr w:type="gramEnd"/>
      <w:r w:rsidRPr="00884820">
        <w:rPr>
          <w:szCs w:val="24"/>
        </w:rPr>
        <w:t xml:space="preserve"> the APESB</w:t>
      </w:r>
      <w:r>
        <w:rPr>
          <w:szCs w:val="24"/>
        </w:rPr>
        <w:t>,</w:t>
      </w:r>
      <w:r w:rsidRPr="00884820">
        <w:rPr>
          <w:szCs w:val="24"/>
        </w:rPr>
        <w:t xml:space="preserve"> </w:t>
      </w:r>
      <w:r>
        <w:rPr>
          <w:szCs w:val="24"/>
        </w:rPr>
        <w:t>the AASB and AUASB</w:t>
      </w:r>
      <w:r w:rsidRPr="00884820">
        <w:rPr>
          <w:szCs w:val="24"/>
        </w:rPr>
        <w:t xml:space="preserve"> do not have responsibility for monitoring and enforcing compliance as this is the responsibility of ASIC and the PABs (for their members).</w:t>
      </w:r>
    </w:p>
    <w:p w14:paraId="2DDD61F3" w14:textId="5508F1C2" w:rsidR="000D7599" w:rsidRDefault="00DB57EC" w:rsidP="00DB57EC">
      <w:pPr>
        <w:rPr>
          <w:szCs w:val="24"/>
        </w:rPr>
      </w:pPr>
      <w:r w:rsidRPr="00F66B21">
        <w:rPr>
          <w:szCs w:val="24"/>
        </w:rPr>
        <w:t>While audit and assurance practitioners have the primary responsibility for quality audits and assurance, the AUASB sets auditing and assurance standards that play an important role in promoting and supporting audit and assurance quality.</w:t>
      </w:r>
      <w:r>
        <w:rPr>
          <w:szCs w:val="24"/>
        </w:rPr>
        <w:t xml:space="preserve"> The AUASB has a strategic objective of, in</w:t>
      </w:r>
      <w:r w:rsidR="00570F3C">
        <w:rPr>
          <w:szCs w:val="24"/>
        </w:rPr>
        <w:t> </w:t>
      </w:r>
      <w:r>
        <w:rPr>
          <w:szCs w:val="24"/>
        </w:rPr>
        <w:t>conjunction with the FRC, identifying and implementing initiatives designed to enhance audit quality in Australia. The</w:t>
      </w:r>
      <w:r w:rsidRPr="00F66B21">
        <w:rPr>
          <w:szCs w:val="24"/>
        </w:rPr>
        <w:t xml:space="preserve"> AUASB </w:t>
      </w:r>
      <w:r>
        <w:rPr>
          <w:szCs w:val="24"/>
        </w:rPr>
        <w:t>seeks</w:t>
      </w:r>
      <w:r w:rsidRPr="00F66B21">
        <w:rPr>
          <w:szCs w:val="24"/>
        </w:rPr>
        <w:t xml:space="preserve"> to understand from stakeholders such as regulators, auditors and accounting bodies where the auditing, assurance and quality management standards may need to be improved or enhanced</w:t>
      </w:r>
      <w:r>
        <w:rPr>
          <w:szCs w:val="24"/>
        </w:rPr>
        <w:t xml:space="preserve">. </w:t>
      </w:r>
      <w:bookmarkStart w:id="66" w:name="_Toc143799236"/>
    </w:p>
    <w:p w14:paraId="0D727D20" w14:textId="77777777" w:rsidR="000D7599" w:rsidRDefault="000D7599">
      <w:pPr>
        <w:spacing w:before="0" w:after="160" w:line="259" w:lineRule="auto"/>
        <w:rPr>
          <w:szCs w:val="24"/>
        </w:rPr>
      </w:pPr>
      <w:r>
        <w:rPr>
          <w:szCs w:val="24"/>
        </w:rPr>
        <w:br w:type="page"/>
      </w:r>
    </w:p>
    <w:p w14:paraId="21036552" w14:textId="77777777" w:rsidR="00DB57EC" w:rsidRPr="001C56E2" w:rsidRDefault="00DB57EC" w:rsidP="0044486F">
      <w:pPr>
        <w:pStyle w:val="Heading1"/>
      </w:pPr>
      <w:bookmarkStart w:id="67" w:name="_Toc149551297"/>
      <w:r w:rsidRPr="001C56E2">
        <w:t>Directors and Audit Committees</w:t>
      </w:r>
      <w:bookmarkEnd w:id="66"/>
      <w:bookmarkEnd w:id="67"/>
      <w:r w:rsidRPr="001C56E2">
        <w:t xml:space="preserve"> </w:t>
      </w:r>
    </w:p>
    <w:p w14:paraId="733E9DFD" w14:textId="5DF2CE8E" w:rsidR="00DB57EC" w:rsidRPr="0044486F" w:rsidRDefault="00DB57EC" w:rsidP="00DB57EC">
      <w:pPr>
        <w:rPr>
          <w:szCs w:val="24"/>
        </w:rPr>
      </w:pPr>
      <w:r w:rsidRPr="00884820">
        <w:rPr>
          <w:szCs w:val="24"/>
        </w:rPr>
        <w:t xml:space="preserve">Directors have a primary responsibility for the quality of financial reporting, which is supported by high quality audits. Directors and in </w:t>
      </w:r>
      <w:r w:rsidRPr="00884820" w:rsidDel="00277CC9">
        <w:rPr>
          <w:szCs w:val="24"/>
        </w:rPr>
        <w:t>particular</w:t>
      </w:r>
      <w:r w:rsidRPr="00884820">
        <w:rPr>
          <w:szCs w:val="24"/>
        </w:rPr>
        <w:t xml:space="preserve"> audit committees have key roles to play in supporting audit quality. The importance of their roles are emphasised in </w:t>
      </w:r>
      <w:r>
        <w:rPr>
          <w:szCs w:val="24"/>
        </w:rPr>
        <w:t>ASIC</w:t>
      </w:r>
      <w:r w:rsidRPr="00884820">
        <w:rPr>
          <w:szCs w:val="24"/>
        </w:rPr>
        <w:t xml:space="preserve"> Information Sheet 196</w:t>
      </w:r>
      <w:r w:rsidR="00EB0779">
        <w:rPr>
          <w:szCs w:val="24"/>
        </w:rPr>
        <w:t xml:space="preserve"> – </w:t>
      </w:r>
      <w:hyperlink r:id="rId53" w:history="1">
        <w:r w:rsidRPr="00E26F7C">
          <w:rPr>
            <w:rStyle w:val="Hyperlink"/>
            <w:szCs w:val="24"/>
          </w:rPr>
          <w:t>Audit quality – The role of directors and audit committees</w:t>
        </w:r>
      </w:hyperlink>
      <w:r w:rsidRPr="00884820">
        <w:rPr>
          <w:szCs w:val="24"/>
        </w:rPr>
        <w:t>.</w:t>
      </w:r>
    </w:p>
    <w:p w14:paraId="443FF5F6" w14:textId="745A8302" w:rsidR="00DB57EC" w:rsidRPr="00884820" w:rsidRDefault="00DB57EC" w:rsidP="00DB57EC">
      <w:pPr>
        <w:rPr>
          <w:szCs w:val="24"/>
        </w:rPr>
      </w:pPr>
      <w:r w:rsidRPr="00884820">
        <w:rPr>
          <w:szCs w:val="24"/>
        </w:rPr>
        <w:t>The directors</w:t>
      </w:r>
      <w:r w:rsidR="00EB0779">
        <w:rPr>
          <w:szCs w:val="24"/>
        </w:rPr>
        <w:t>’</w:t>
      </w:r>
      <w:r w:rsidRPr="00884820">
        <w:rPr>
          <w:szCs w:val="24"/>
        </w:rPr>
        <w:t xml:space="preserve"> role in ensuring the independence of the auditor is governed by the requirements in the Corporations Act which requires that the directors</w:t>
      </w:r>
      <w:r w:rsidR="00EB0779">
        <w:rPr>
          <w:szCs w:val="24"/>
        </w:rPr>
        <w:t>’</w:t>
      </w:r>
      <w:r w:rsidRPr="00884820">
        <w:rPr>
          <w:szCs w:val="24"/>
        </w:rPr>
        <w:t xml:space="preserve"> report include:</w:t>
      </w:r>
    </w:p>
    <w:p w14:paraId="64CBAC5E" w14:textId="500156A4" w:rsidR="00DB57EC" w:rsidRPr="00884820" w:rsidRDefault="00DB57EC" w:rsidP="0044486F">
      <w:pPr>
        <w:pStyle w:val="Bullet"/>
      </w:pPr>
      <w:r w:rsidRPr="00884820">
        <w:t>the auditor</w:t>
      </w:r>
      <w:r w:rsidR="00EB0779">
        <w:t>’</w:t>
      </w:r>
      <w:r w:rsidRPr="00884820">
        <w:t>s independence declaration</w:t>
      </w:r>
    </w:p>
    <w:p w14:paraId="49DCF4C3" w14:textId="3CDA446B" w:rsidR="00DB57EC" w:rsidRDefault="00DB57EC" w:rsidP="0044486F">
      <w:pPr>
        <w:pStyle w:val="Bullet"/>
        <w:tabs>
          <w:tab w:val="clear" w:pos="520"/>
        </w:tabs>
      </w:pPr>
      <w:r w:rsidRPr="00884820">
        <w:t>for a listed company, a statement about whether the provision of non</w:t>
      </w:r>
      <w:r w:rsidR="00EB0779">
        <w:noBreakHyphen/>
      </w:r>
      <w:r w:rsidRPr="00884820">
        <w:t>audit services by the auditor during the financial year is compatible with the general standard of auditor independence in the Corporations Act, and whether that statement is consistent with the advice of the audit committee (section 300(11B)–(11E)).</w:t>
      </w:r>
    </w:p>
    <w:p w14:paraId="63A0F889" w14:textId="77777777" w:rsidR="00DB57EC" w:rsidRPr="00884820" w:rsidRDefault="00DB57EC" w:rsidP="0044486F">
      <w:r w:rsidRPr="00884820">
        <w:t xml:space="preserve">Many entities have an audit committee whose role is to assist the board of directors to fulfill its corporate governance and oversight responsibilities in areas including annual financial reporting and oversight of the external auditor. The ASX Corporate Governance Principles also state the role of the audit committee is usually to review and make recommendations to the board in relation to: </w:t>
      </w:r>
    </w:p>
    <w:p w14:paraId="316B88BF" w14:textId="09AA028B" w:rsidR="00DB57EC" w:rsidRPr="00884820" w:rsidRDefault="00DB57EC" w:rsidP="0044486F">
      <w:pPr>
        <w:pStyle w:val="Bullet"/>
      </w:pPr>
      <w:r w:rsidRPr="00884820">
        <w:t>the appointment or removal of the external auditor</w:t>
      </w:r>
    </w:p>
    <w:p w14:paraId="0569CD39" w14:textId="671306C9" w:rsidR="00DB57EC" w:rsidRPr="00884820" w:rsidRDefault="00DB57EC" w:rsidP="0044486F">
      <w:pPr>
        <w:pStyle w:val="Bullet"/>
      </w:pPr>
      <w:r w:rsidRPr="00884820">
        <w:t>the fees payable to the auditor for audit and non</w:t>
      </w:r>
      <w:r w:rsidR="00EB0779">
        <w:noBreakHyphen/>
      </w:r>
      <w:r w:rsidRPr="00884820">
        <w:t>audit work</w:t>
      </w:r>
    </w:p>
    <w:p w14:paraId="46F2C246" w14:textId="14A96482" w:rsidR="00DB57EC" w:rsidRPr="00884820" w:rsidRDefault="00DB57EC" w:rsidP="0044486F">
      <w:pPr>
        <w:pStyle w:val="Bullet"/>
      </w:pPr>
      <w:r w:rsidRPr="00884820">
        <w:t>the rotation of the audit engagement partner</w:t>
      </w:r>
    </w:p>
    <w:p w14:paraId="6A13C49B" w14:textId="08BB7743" w:rsidR="00DB57EC" w:rsidRPr="00884820" w:rsidRDefault="00DB57EC" w:rsidP="0044486F">
      <w:pPr>
        <w:pStyle w:val="Bullet"/>
      </w:pPr>
      <w:r w:rsidRPr="00884820">
        <w:t xml:space="preserve">the scope and adequacy of the external audit </w:t>
      </w:r>
    </w:p>
    <w:p w14:paraId="136A4B99" w14:textId="0FC6E44B" w:rsidR="00DB57EC" w:rsidRPr="00884820" w:rsidRDefault="00DB57EC" w:rsidP="0044486F">
      <w:pPr>
        <w:pStyle w:val="Bullet"/>
      </w:pPr>
      <w:r w:rsidRPr="00884820">
        <w:t>the independence and performance of the external auditor</w:t>
      </w:r>
    </w:p>
    <w:p w14:paraId="6FE2E586" w14:textId="6E76570B" w:rsidR="00DB57EC" w:rsidRPr="00884820" w:rsidRDefault="00DB57EC" w:rsidP="0044486F">
      <w:pPr>
        <w:pStyle w:val="Bullet"/>
      </w:pPr>
      <w:r w:rsidRPr="00884820">
        <w:t>any proposal for the external auditor to provide non</w:t>
      </w:r>
      <w:r w:rsidR="00EB0779">
        <w:noBreakHyphen/>
      </w:r>
      <w:r w:rsidRPr="00884820">
        <w:t>audit services and whether it might compromise independence of the external auditor.</w:t>
      </w:r>
      <w:r w:rsidR="00675CEA">
        <w:rPr>
          <w:rFonts w:ascii="ZWAdobeF" w:hAnsi="ZWAdobeF" w:cs="ZWAdobeF"/>
          <w:color w:val="auto"/>
          <w:sz w:val="2"/>
          <w:szCs w:val="2"/>
        </w:rPr>
        <w:t>39F</w:t>
      </w:r>
      <w:r w:rsidRPr="00884820">
        <w:rPr>
          <w:vertAlign w:val="superscript"/>
        </w:rPr>
        <w:footnoteReference w:id="40"/>
      </w:r>
    </w:p>
    <w:p w14:paraId="16A6BDBF" w14:textId="5422EF4F" w:rsidR="00DB57EC" w:rsidRPr="00884820" w:rsidRDefault="00DB57EC" w:rsidP="00DB57EC">
      <w:pPr>
        <w:rPr>
          <w:szCs w:val="24"/>
        </w:rPr>
      </w:pPr>
      <w:r w:rsidRPr="000F6623">
        <w:rPr>
          <w:szCs w:val="24"/>
        </w:rPr>
        <w:t xml:space="preserve">In recognition of the integral role in the oversight of their external auditor, the FRC and the AUASB have conducted </w:t>
      </w:r>
      <w:r w:rsidR="00B50466">
        <w:rPr>
          <w:szCs w:val="24"/>
        </w:rPr>
        <w:t>3</w:t>
      </w:r>
      <w:r w:rsidRPr="000F6623">
        <w:rPr>
          <w:szCs w:val="24"/>
        </w:rPr>
        <w:t xml:space="preserve"> separate research projects into understanding the perspectives of ACCs on audit quality. Th</w:t>
      </w:r>
      <w:r w:rsidRPr="00BE3D9D">
        <w:t>e findings</w:t>
      </w:r>
      <w:r w:rsidR="00675CEA">
        <w:rPr>
          <w:rFonts w:ascii="ZWAdobeF" w:hAnsi="ZWAdobeF" w:cs="ZWAdobeF"/>
          <w:color w:val="auto"/>
          <w:sz w:val="2"/>
          <w:szCs w:val="2"/>
        </w:rPr>
        <w:t>40F</w:t>
      </w:r>
      <w:r w:rsidRPr="00BE3D9D">
        <w:rPr>
          <w:vertAlign w:val="superscript"/>
        </w:rPr>
        <w:footnoteReference w:id="41"/>
      </w:r>
      <w:r w:rsidRPr="00BE3D9D">
        <w:t xml:space="preserve"> were that </w:t>
      </w:r>
      <w:r>
        <w:rPr>
          <w:szCs w:val="24"/>
        </w:rPr>
        <w:t>over 90</w:t>
      </w:r>
      <w:r w:rsidR="009C22AA">
        <w:rPr>
          <w:szCs w:val="24"/>
        </w:rPr>
        <w:t> per cent</w:t>
      </w:r>
      <w:r>
        <w:rPr>
          <w:szCs w:val="24"/>
        </w:rPr>
        <w:t xml:space="preserve"> of ACCs who participated rated their auditor above average or excellent. This </w:t>
      </w:r>
      <w:r w:rsidRPr="000F6623">
        <w:rPr>
          <w:szCs w:val="24"/>
        </w:rPr>
        <w:t>indicate</w:t>
      </w:r>
      <w:r>
        <w:rPr>
          <w:szCs w:val="24"/>
        </w:rPr>
        <w:t>s</w:t>
      </w:r>
      <w:r w:rsidRPr="000F6623">
        <w:rPr>
          <w:szCs w:val="24"/>
        </w:rPr>
        <w:t xml:space="preserve"> that ACCs are satisfied with audit quality. It is worth noting that the ACCs who engaged in this research were mainly from large ASX entities. </w:t>
      </w:r>
    </w:p>
    <w:p w14:paraId="0439F7A5" w14:textId="02DF18D2" w:rsidR="00DB57EC" w:rsidRDefault="00DB57EC" w:rsidP="001E74ED">
      <w:r w:rsidRPr="00884820">
        <w:t xml:space="preserve">Nonetheless, </w:t>
      </w:r>
      <w:r>
        <w:t xml:space="preserve">some audit committees expressed </w:t>
      </w:r>
      <w:r w:rsidRPr="00884820">
        <w:t xml:space="preserve">concern in relation to the lack of depth of the audit market and limited choice companies have. We note that the UK also have observed this market concentration issue and recommendations have been made to address the issue in that jurisdiction. We note that the size of the largest auditing firms in the Australian market may suggest a level of market concentration and may warrant a review. </w:t>
      </w:r>
    </w:p>
    <w:p w14:paraId="3EDE3528" w14:textId="77777777" w:rsidR="00DB57EC" w:rsidRDefault="00DB57EC" w:rsidP="001E74ED">
      <w:r w:rsidRPr="00884820">
        <w:t xml:space="preserve">In </w:t>
      </w:r>
      <w:r w:rsidRPr="005B02B2">
        <w:t>addition,</w:t>
      </w:r>
      <w:r w:rsidRPr="00884820">
        <w:t xml:space="preserve"> the AUASB and AICD jointly prepared the </w:t>
      </w:r>
      <w:hyperlink r:id="rId54" w:history="1">
        <w:r w:rsidRPr="00E26F7C">
          <w:rPr>
            <w:rStyle w:val="Hyperlink"/>
            <w:szCs w:val="24"/>
          </w:rPr>
          <w:t>Periodic Comprehensive Review of the External Auditor</w:t>
        </w:r>
      </w:hyperlink>
      <w:r w:rsidRPr="00884820">
        <w:t xml:space="preserve"> to provide guidance on matters where a formal review on audit quality by an incumbent auditor is prepared (which supplements </w:t>
      </w:r>
      <w:hyperlink r:id="rId55" w:history="1">
        <w:r w:rsidRPr="00A66F06">
          <w:rPr>
            <w:rStyle w:val="Hyperlink"/>
            <w:szCs w:val="24"/>
          </w:rPr>
          <w:t>ASIC Information Sheet 196</w:t>
        </w:r>
      </w:hyperlink>
      <w:r w:rsidRPr="00884820">
        <w:t>).</w:t>
      </w:r>
    </w:p>
    <w:p w14:paraId="2FB0994D" w14:textId="77777777" w:rsidR="00DB57EC" w:rsidRDefault="00DB57EC" w:rsidP="00DB57EC">
      <w:pPr>
        <w:pStyle w:val="Heading1"/>
        <w:rPr>
          <w:sz w:val="22"/>
          <w:szCs w:val="24"/>
        </w:rPr>
        <w:sectPr w:rsidR="00DB57EC" w:rsidSect="00ED3B91">
          <w:pgSz w:w="11906" w:h="16838" w:code="9"/>
          <w:pgMar w:top="1440" w:right="1440" w:bottom="1440" w:left="1440" w:header="709" w:footer="709" w:gutter="0"/>
          <w:pgNumType w:start="1"/>
          <w:cols w:space="708"/>
          <w:docGrid w:linePitch="360"/>
        </w:sectPr>
      </w:pPr>
    </w:p>
    <w:p w14:paraId="24F5E03D" w14:textId="77777777" w:rsidR="00DB57EC" w:rsidRPr="0044486F" w:rsidRDefault="00DB57EC" w:rsidP="00942A96">
      <w:pPr>
        <w:pStyle w:val="AppendixHeading"/>
      </w:pPr>
      <w:bookmarkStart w:id="70" w:name="_Toc143799237"/>
      <w:bookmarkStart w:id="71" w:name="_Toc149310325"/>
      <w:bookmarkStart w:id="72" w:name="_Toc149551298"/>
      <w:bookmarkStart w:id="73" w:name="_Hlk144197666"/>
      <w:r w:rsidRPr="0044486F">
        <w:t>Appendix 1 – Comparison of ASIC, PCAOB, UK FRC, NZ FMA</w:t>
      </w:r>
      <w:bookmarkEnd w:id="70"/>
      <w:r w:rsidRPr="0044486F">
        <w:t xml:space="preserve"> and CPAB</w:t>
      </w:r>
      <w:bookmarkEnd w:id="71"/>
      <w:bookmarkEnd w:id="72"/>
    </w:p>
    <w:bookmarkEnd w:id="73"/>
    <w:tbl>
      <w:tblPr>
        <w:tblStyle w:val="TableGrid"/>
        <w:tblW w:w="5000" w:type="pct"/>
        <w:tblLayout w:type="fixed"/>
        <w:tblLook w:val="04A0" w:firstRow="1" w:lastRow="0" w:firstColumn="1" w:lastColumn="0" w:noHBand="0" w:noVBand="1"/>
      </w:tblPr>
      <w:tblGrid>
        <w:gridCol w:w="2329"/>
        <w:gridCol w:w="2329"/>
        <w:gridCol w:w="2325"/>
        <w:gridCol w:w="2325"/>
        <w:gridCol w:w="2325"/>
        <w:gridCol w:w="2325"/>
      </w:tblGrid>
      <w:tr w:rsidR="00DB57EC" w:rsidRPr="005B02B2" w14:paraId="2FF5518D" w14:textId="77777777" w:rsidTr="000D7599">
        <w:trPr>
          <w:cnfStyle w:val="100000000000" w:firstRow="1" w:lastRow="0" w:firstColumn="0" w:lastColumn="0" w:oddVBand="0" w:evenVBand="0" w:oddHBand="0" w:evenHBand="0" w:firstRowFirstColumn="0" w:firstRowLastColumn="0" w:lastRowFirstColumn="0" w:lastRowLastColumn="0"/>
          <w:tblHeader/>
        </w:trPr>
        <w:tc>
          <w:tcPr>
            <w:tcW w:w="834" w:type="pct"/>
          </w:tcPr>
          <w:p w14:paraId="5C9ECC0C" w14:textId="77777777" w:rsidR="00DB57EC" w:rsidRPr="00884820" w:rsidRDefault="00DB57EC" w:rsidP="0015375F">
            <w:pPr>
              <w:pStyle w:val="TableColumnHeadingLeft"/>
              <w:rPr>
                <w:b/>
              </w:rPr>
            </w:pPr>
          </w:p>
        </w:tc>
        <w:tc>
          <w:tcPr>
            <w:tcW w:w="834" w:type="pct"/>
          </w:tcPr>
          <w:p w14:paraId="5306D528" w14:textId="77777777" w:rsidR="00DB57EC" w:rsidRPr="00884820" w:rsidRDefault="00DB57EC" w:rsidP="0015375F">
            <w:pPr>
              <w:pStyle w:val="TableColumnHeadingLeft"/>
              <w:rPr>
                <w:b/>
              </w:rPr>
            </w:pPr>
            <w:r w:rsidRPr="00884820">
              <w:rPr>
                <w:b/>
              </w:rPr>
              <w:t xml:space="preserve">ASIC </w:t>
            </w:r>
          </w:p>
        </w:tc>
        <w:tc>
          <w:tcPr>
            <w:tcW w:w="833" w:type="pct"/>
          </w:tcPr>
          <w:p w14:paraId="482C2F7B" w14:textId="77777777" w:rsidR="00DB57EC" w:rsidRPr="00884820" w:rsidRDefault="00DB57EC" w:rsidP="0015375F">
            <w:pPr>
              <w:pStyle w:val="TableColumnHeadingLeft"/>
              <w:rPr>
                <w:b/>
              </w:rPr>
            </w:pPr>
            <w:r w:rsidRPr="00884820">
              <w:rPr>
                <w:b/>
              </w:rPr>
              <w:t>PCAOB</w:t>
            </w:r>
          </w:p>
        </w:tc>
        <w:tc>
          <w:tcPr>
            <w:tcW w:w="833" w:type="pct"/>
          </w:tcPr>
          <w:p w14:paraId="62265441" w14:textId="77777777" w:rsidR="00DB57EC" w:rsidRPr="00884820" w:rsidRDefault="00DB57EC" w:rsidP="0015375F">
            <w:pPr>
              <w:pStyle w:val="TableColumnHeadingLeft"/>
              <w:rPr>
                <w:b/>
              </w:rPr>
            </w:pPr>
            <w:r w:rsidRPr="00884820">
              <w:rPr>
                <w:b/>
              </w:rPr>
              <w:t>UK FRC</w:t>
            </w:r>
          </w:p>
        </w:tc>
        <w:tc>
          <w:tcPr>
            <w:tcW w:w="833" w:type="pct"/>
          </w:tcPr>
          <w:p w14:paraId="737B21E5" w14:textId="77777777" w:rsidR="00DB57EC" w:rsidRPr="00884820" w:rsidRDefault="00DB57EC" w:rsidP="0015375F">
            <w:pPr>
              <w:pStyle w:val="TableColumnHeadingLeft"/>
              <w:rPr>
                <w:b/>
              </w:rPr>
            </w:pPr>
            <w:r w:rsidRPr="00884820">
              <w:rPr>
                <w:b/>
              </w:rPr>
              <w:t>NZ FMA</w:t>
            </w:r>
          </w:p>
        </w:tc>
        <w:tc>
          <w:tcPr>
            <w:tcW w:w="833" w:type="pct"/>
          </w:tcPr>
          <w:p w14:paraId="55D037B0" w14:textId="77777777" w:rsidR="00DB57EC" w:rsidRPr="00884820" w:rsidRDefault="00DB57EC" w:rsidP="0015375F">
            <w:pPr>
              <w:pStyle w:val="TableColumnHeadingLeft"/>
              <w:rPr>
                <w:b/>
              </w:rPr>
            </w:pPr>
            <w:r w:rsidRPr="00884820">
              <w:rPr>
                <w:b/>
              </w:rPr>
              <w:t>CPAB</w:t>
            </w:r>
          </w:p>
        </w:tc>
      </w:tr>
      <w:tr w:rsidR="00DB57EC" w:rsidRPr="005B02B2" w14:paraId="788C04BC" w14:textId="77777777" w:rsidTr="000D7599">
        <w:trPr>
          <w:cantSplit/>
        </w:trPr>
        <w:tc>
          <w:tcPr>
            <w:tcW w:w="834" w:type="pct"/>
          </w:tcPr>
          <w:p w14:paraId="7146564D" w14:textId="77777777" w:rsidR="00DB57EC" w:rsidRPr="00884820" w:rsidRDefault="00DB57EC" w:rsidP="0015375F">
            <w:pPr>
              <w:pStyle w:val="TableTextLeft"/>
            </w:pPr>
            <w:r w:rsidRPr="00884820">
              <w:t>Objective of program</w:t>
            </w:r>
          </w:p>
          <w:p w14:paraId="3269BE23" w14:textId="77777777" w:rsidR="00DB57EC" w:rsidRPr="00884820" w:rsidRDefault="00DB57EC" w:rsidP="0015375F">
            <w:pPr>
              <w:pStyle w:val="TableTextLeft"/>
            </w:pPr>
          </w:p>
        </w:tc>
        <w:tc>
          <w:tcPr>
            <w:tcW w:w="834" w:type="pct"/>
          </w:tcPr>
          <w:p w14:paraId="1DB0096D" w14:textId="77777777" w:rsidR="00DB57EC" w:rsidRPr="00884820" w:rsidRDefault="00DB57EC" w:rsidP="0015375F">
            <w:pPr>
              <w:pStyle w:val="TableTextLeft"/>
            </w:pPr>
            <w:r w:rsidRPr="00884820">
              <w:t>To promote the improvement and maintenance of audit quality.</w:t>
            </w:r>
          </w:p>
        </w:tc>
        <w:tc>
          <w:tcPr>
            <w:tcW w:w="833" w:type="pct"/>
          </w:tcPr>
          <w:p w14:paraId="056663BB" w14:textId="663274A4" w:rsidR="00DB57EC" w:rsidRPr="00884820" w:rsidRDefault="00DB57EC" w:rsidP="0015375F">
            <w:pPr>
              <w:pStyle w:val="TableTextLeft"/>
            </w:pPr>
            <w:r w:rsidRPr="00884820">
              <w:t>To assess compliance with the Sarbanes</w:t>
            </w:r>
            <w:r w:rsidR="00EB0779">
              <w:noBreakHyphen/>
            </w:r>
            <w:r w:rsidRPr="00884820">
              <w:t>Oxley Act, the rules of the Board, the rules of the Securities and Exchange Commission, and professional standards.</w:t>
            </w:r>
          </w:p>
          <w:p w14:paraId="440CBB33" w14:textId="77777777" w:rsidR="00DB57EC" w:rsidRPr="00884820" w:rsidRDefault="00DB57EC" w:rsidP="0015375F">
            <w:pPr>
              <w:pStyle w:val="TableTextLeft"/>
            </w:pPr>
          </w:p>
        </w:tc>
        <w:tc>
          <w:tcPr>
            <w:tcW w:w="833" w:type="pct"/>
          </w:tcPr>
          <w:p w14:paraId="37766B32" w14:textId="77777777" w:rsidR="00DB57EC" w:rsidRPr="00884820" w:rsidRDefault="00DB57EC" w:rsidP="0015375F">
            <w:pPr>
              <w:pStyle w:val="TableTextLeft"/>
            </w:pPr>
            <w:r w:rsidRPr="00884820">
              <w:t>To monitor and promote improvements in the quality of auditing in the UK.</w:t>
            </w:r>
          </w:p>
        </w:tc>
        <w:tc>
          <w:tcPr>
            <w:tcW w:w="833" w:type="pct"/>
          </w:tcPr>
          <w:p w14:paraId="54FB2492" w14:textId="77777777" w:rsidR="00DB57EC" w:rsidRPr="00884820" w:rsidRDefault="00DB57EC" w:rsidP="0015375F">
            <w:pPr>
              <w:pStyle w:val="TableTextLeft"/>
            </w:pPr>
            <w:r w:rsidRPr="00884820">
              <w:t>To promote and facilitate the development of fair, efficient and transparent financial markets.</w:t>
            </w:r>
          </w:p>
        </w:tc>
        <w:tc>
          <w:tcPr>
            <w:tcW w:w="833" w:type="pct"/>
          </w:tcPr>
          <w:p w14:paraId="41B6D2D9" w14:textId="77777777" w:rsidR="00DB57EC" w:rsidRDefault="00DB57EC" w:rsidP="0015375F">
            <w:pPr>
              <w:pStyle w:val="TableTextLeft"/>
            </w:pPr>
            <w:r w:rsidRPr="00884820">
              <w:t>To promote audit quality through proactive regulation, robust audit assessments, dialogue with domestic and international stakeholders, and practicable insights that inform capital market participants and contribute to public confidence in the integrity of financial reporting.</w:t>
            </w:r>
          </w:p>
          <w:p w14:paraId="1DC3B88F" w14:textId="77777777" w:rsidR="00DB57EC" w:rsidRPr="00884820" w:rsidRDefault="00DB57EC" w:rsidP="0015375F">
            <w:pPr>
              <w:pStyle w:val="TableTextLeft"/>
            </w:pPr>
          </w:p>
        </w:tc>
      </w:tr>
      <w:tr w:rsidR="00DB57EC" w:rsidRPr="005B02B2" w14:paraId="1C4BE59B" w14:textId="77777777" w:rsidTr="000D7599">
        <w:tc>
          <w:tcPr>
            <w:tcW w:w="834" w:type="pct"/>
          </w:tcPr>
          <w:p w14:paraId="2E9EA8BE" w14:textId="77777777" w:rsidR="00DB57EC" w:rsidRPr="00884820" w:rsidRDefault="00DB57EC" w:rsidP="0015375F">
            <w:pPr>
              <w:pStyle w:val="TableTextLeft"/>
            </w:pPr>
            <w:r w:rsidRPr="00884820">
              <w:t>Scope of program</w:t>
            </w:r>
          </w:p>
        </w:tc>
        <w:tc>
          <w:tcPr>
            <w:tcW w:w="834" w:type="pct"/>
          </w:tcPr>
          <w:p w14:paraId="17BC5206" w14:textId="77777777" w:rsidR="00DB57EC" w:rsidRPr="00884820" w:rsidRDefault="00DB57EC" w:rsidP="0015375F">
            <w:pPr>
              <w:pStyle w:val="TableTextLeft"/>
            </w:pPr>
            <w:r w:rsidRPr="00884820">
              <w:t xml:space="preserve">Audits of financial reports of PIEs prepared under the </w:t>
            </w:r>
            <w:r w:rsidRPr="00884820">
              <w:rPr>
                <w:i/>
                <w:iCs/>
              </w:rPr>
              <w:t>Corporations Act 2001.</w:t>
            </w:r>
          </w:p>
        </w:tc>
        <w:tc>
          <w:tcPr>
            <w:tcW w:w="833" w:type="pct"/>
          </w:tcPr>
          <w:p w14:paraId="2EA37138" w14:textId="77777777" w:rsidR="00DB57EC" w:rsidRPr="00884820" w:rsidRDefault="00DB57EC" w:rsidP="0015375F">
            <w:pPr>
              <w:pStyle w:val="TableTextLeft"/>
            </w:pPr>
            <w:r w:rsidRPr="00884820">
              <w:t>Registered Public Accounting Firms (approx. 1700) i.e., auditors of public companies.</w:t>
            </w:r>
          </w:p>
        </w:tc>
        <w:tc>
          <w:tcPr>
            <w:tcW w:w="833" w:type="pct"/>
          </w:tcPr>
          <w:p w14:paraId="4F3B3E4B" w14:textId="77777777" w:rsidR="00DB57EC" w:rsidRPr="00884820" w:rsidRDefault="00DB57EC" w:rsidP="0015375F">
            <w:pPr>
              <w:pStyle w:val="TableTextLeft"/>
            </w:pPr>
            <w:r w:rsidRPr="00884820">
              <w:t>Firms that undertake statutory audits of PIEs and certain other entities.</w:t>
            </w:r>
          </w:p>
        </w:tc>
        <w:tc>
          <w:tcPr>
            <w:tcW w:w="833" w:type="pct"/>
          </w:tcPr>
          <w:p w14:paraId="2ED1B1FE" w14:textId="77777777" w:rsidR="00DB57EC" w:rsidRDefault="00DB57EC" w:rsidP="0015375F">
            <w:pPr>
              <w:pStyle w:val="TableTextLeft"/>
            </w:pPr>
            <w:r w:rsidRPr="00884820">
              <w:t>Registered audit firms (F</w:t>
            </w:r>
            <w:r>
              <w:t xml:space="preserve">inancial </w:t>
            </w:r>
            <w:r w:rsidRPr="00884820">
              <w:t>M</w:t>
            </w:r>
            <w:r>
              <w:t xml:space="preserve">arkets </w:t>
            </w:r>
            <w:r w:rsidRPr="00884820">
              <w:t>C</w:t>
            </w:r>
            <w:r>
              <w:t>onduct Act</w:t>
            </w:r>
            <w:r w:rsidRPr="00884820">
              <w:t xml:space="preserve"> Reporting Entities).</w:t>
            </w:r>
          </w:p>
          <w:p w14:paraId="3DA62295" w14:textId="77777777" w:rsidR="00DB57EC" w:rsidRPr="00884820" w:rsidRDefault="00DB57EC" w:rsidP="0015375F">
            <w:pPr>
              <w:pStyle w:val="TableTextLeft"/>
            </w:pPr>
          </w:p>
        </w:tc>
        <w:tc>
          <w:tcPr>
            <w:tcW w:w="833" w:type="pct"/>
          </w:tcPr>
          <w:p w14:paraId="298988A5" w14:textId="77777777" w:rsidR="00DB57EC" w:rsidRPr="00884820" w:rsidRDefault="00DB57EC" w:rsidP="0015375F">
            <w:pPr>
              <w:pStyle w:val="TableTextLeft"/>
            </w:pPr>
            <w:r w:rsidRPr="00884820">
              <w:t>Registered public accounting firms.</w:t>
            </w:r>
          </w:p>
        </w:tc>
      </w:tr>
      <w:tr w:rsidR="00DB57EC" w:rsidRPr="005B02B2" w14:paraId="3B2D7E33" w14:textId="77777777" w:rsidTr="000D7599">
        <w:tc>
          <w:tcPr>
            <w:tcW w:w="834" w:type="pct"/>
          </w:tcPr>
          <w:p w14:paraId="26B41F9C" w14:textId="77777777" w:rsidR="00DB57EC" w:rsidRPr="00884820" w:rsidRDefault="00DB57EC" w:rsidP="0015375F">
            <w:pPr>
              <w:pStyle w:val="TableTextLeft"/>
            </w:pPr>
            <w:r w:rsidRPr="00884820">
              <w:t>Delegate to PABs?</w:t>
            </w:r>
          </w:p>
        </w:tc>
        <w:tc>
          <w:tcPr>
            <w:tcW w:w="834" w:type="pct"/>
          </w:tcPr>
          <w:p w14:paraId="672D7544" w14:textId="77777777" w:rsidR="00DB57EC" w:rsidRPr="00884820" w:rsidRDefault="00DB57EC" w:rsidP="0015375F">
            <w:pPr>
              <w:pStyle w:val="TableTextLeft"/>
            </w:pPr>
            <w:r>
              <w:t>No.</w:t>
            </w:r>
          </w:p>
        </w:tc>
        <w:tc>
          <w:tcPr>
            <w:tcW w:w="833" w:type="pct"/>
          </w:tcPr>
          <w:p w14:paraId="55F8AA7D" w14:textId="12143C9E" w:rsidR="00DB57EC" w:rsidRPr="00884820" w:rsidRDefault="00DB57EC" w:rsidP="0015375F">
            <w:pPr>
              <w:pStyle w:val="TableTextLeft"/>
            </w:pPr>
            <w:r>
              <w:t xml:space="preserve">No. </w:t>
            </w:r>
            <w:r w:rsidRPr="00884820">
              <w:t>Private companies are not subject to oversight by the PCAOB. Auditors of private companies must be members of AICPA which is a PAB and conducts a Peer Review Program</w:t>
            </w:r>
            <w:r w:rsidR="00EB0779">
              <w:t xml:space="preserve">. </w:t>
            </w:r>
          </w:p>
        </w:tc>
        <w:tc>
          <w:tcPr>
            <w:tcW w:w="833" w:type="pct"/>
          </w:tcPr>
          <w:p w14:paraId="3FB14FC2" w14:textId="43D17F2D" w:rsidR="00DB57EC" w:rsidRPr="00884820" w:rsidRDefault="00DB57EC" w:rsidP="0015375F">
            <w:pPr>
              <w:pStyle w:val="TableTextLeft"/>
            </w:pPr>
            <w:r w:rsidRPr="00884820">
              <w:t>FRC is the authority with responsibility for oversight of statutory auditors, however, can delegate tasks to Recognised Supervisory Bodies (</w:t>
            </w:r>
            <w:r>
              <w:t>accounting bodies</w:t>
            </w:r>
            <w:r w:rsidRPr="00884820">
              <w:t xml:space="preserve">). Monitoring of statutory audits outside the scope of </w:t>
            </w:r>
            <w:r>
              <w:t>FRC</w:t>
            </w:r>
            <w:r w:rsidRPr="00884820">
              <w:t xml:space="preserve"> inspections </w:t>
            </w:r>
            <w:r>
              <w:t xml:space="preserve">of listed entity audits </w:t>
            </w:r>
            <w:r w:rsidRPr="00884820">
              <w:t xml:space="preserve">is delegated to the Recognised Supervisory Bodies under a series of Delegation Agreements. </w:t>
            </w:r>
            <w:hyperlink r:id="rId56" w:history="1">
              <w:r w:rsidRPr="00E26F7C">
                <w:rPr>
                  <w:rStyle w:val="Hyperlink"/>
                  <w:szCs w:val="24"/>
                </w:rPr>
                <w:t>Link</w:t>
              </w:r>
            </w:hyperlink>
            <w:r w:rsidRPr="00884820">
              <w:t xml:space="preserve"> to example of agreement. The agreements are extensive, and </w:t>
            </w:r>
            <w:r>
              <w:t>accounting bodies</w:t>
            </w:r>
            <w:r w:rsidRPr="00884820">
              <w:t xml:space="preserve"> must report their plans and results etc</w:t>
            </w:r>
            <w:r w:rsidR="00EB0779">
              <w:t xml:space="preserve">. </w:t>
            </w:r>
          </w:p>
        </w:tc>
        <w:tc>
          <w:tcPr>
            <w:tcW w:w="833" w:type="pct"/>
          </w:tcPr>
          <w:p w14:paraId="104D90DC" w14:textId="1F8BA839" w:rsidR="00DB57EC" w:rsidRPr="00884820" w:rsidRDefault="00DB57EC" w:rsidP="0015375F">
            <w:pPr>
              <w:pStyle w:val="TableTextLeft"/>
            </w:pPr>
            <w:r w:rsidRPr="00884820">
              <w:t xml:space="preserve">There are currently </w:t>
            </w:r>
            <w:proofErr w:type="gramStart"/>
            <w:r w:rsidR="00EB0779">
              <w:t>2 </w:t>
            </w:r>
            <w:r w:rsidRPr="00884820">
              <w:t xml:space="preserve"> accredited</w:t>
            </w:r>
            <w:proofErr w:type="gramEnd"/>
            <w:r w:rsidRPr="00884820">
              <w:t xml:space="preserve"> PAB in New Zealand: The NZICA</w:t>
            </w:r>
            <w:r w:rsidR="00675CEA">
              <w:rPr>
                <w:rFonts w:ascii="ZWAdobeF" w:hAnsi="ZWAdobeF" w:cs="ZWAdobeF"/>
                <w:sz w:val="2"/>
                <w:szCs w:val="2"/>
              </w:rPr>
              <w:t>41F</w:t>
            </w:r>
            <w:r w:rsidRPr="00BE3D9D">
              <w:rPr>
                <w:vertAlign w:val="superscript"/>
              </w:rPr>
              <w:footnoteReference w:id="42"/>
            </w:r>
            <w:r w:rsidRPr="00884820">
              <w:t>, and CPA</w:t>
            </w:r>
            <w:r>
              <w:t xml:space="preserve">. </w:t>
            </w:r>
            <w:r w:rsidRPr="00884820">
              <w:t>The responsibilities of the</w:t>
            </w:r>
            <w:r>
              <w:t>se bodies</w:t>
            </w:r>
            <w:r w:rsidRPr="00884820">
              <w:t xml:space="preserve"> are in legisl</w:t>
            </w:r>
            <w:r w:rsidRPr="00BE3D9D">
              <w:t>ation</w:t>
            </w:r>
            <w:r w:rsidR="00675CEA">
              <w:rPr>
                <w:rFonts w:ascii="ZWAdobeF" w:hAnsi="ZWAdobeF" w:cs="ZWAdobeF"/>
                <w:sz w:val="2"/>
                <w:szCs w:val="2"/>
              </w:rPr>
              <w:t>42F</w:t>
            </w:r>
            <w:r w:rsidRPr="00BE3D9D">
              <w:rPr>
                <w:vertAlign w:val="superscript"/>
              </w:rPr>
              <w:footnoteReference w:id="43"/>
            </w:r>
            <w:r w:rsidRPr="00BE3D9D">
              <w:t xml:space="preserve"> which requires the bodies to monitor registered auditors and audit firms, promot</w:t>
            </w:r>
            <w:r w:rsidRPr="00884820">
              <w:t xml:space="preserve">e, and monitor the competence of their members and develop an investigative and disciplinary system. They are also required to report the results to the FMA </w:t>
            </w:r>
            <w:r>
              <w:t xml:space="preserve">for </w:t>
            </w:r>
            <w:r w:rsidRPr="00884820">
              <w:t xml:space="preserve">assessing their performance against their responsibilities. </w:t>
            </w:r>
            <w:r>
              <w:t xml:space="preserve">The </w:t>
            </w:r>
            <w:r w:rsidRPr="00884820">
              <w:t>FMA ha</w:t>
            </w:r>
            <w:r>
              <w:t>s</w:t>
            </w:r>
            <w:r w:rsidRPr="00884820">
              <w:t xml:space="preserve"> the power to conduct reviews to assess that they have met their responsibilities.</w:t>
            </w:r>
          </w:p>
          <w:p w14:paraId="0ABAF110" w14:textId="106E1C46" w:rsidR="00DB57EC" w:rsidRPr="00E26F7C" w:rsidRDefault="00DB57EC" w:rsidP="0015375F">
            <w:pPr>
              <w:pStyle w:val="TableTextLeft"/>
              <w:rPr>
                <w:rStyle w:val="Hyperlink"/>
                <w:szCs w:val="24"/>
              </w:rPr>
            </w:pPr>
            <w:r w:rsidRPr="00884820">
              <w:t xml:space="preserve">Refer to </w:t>
            </w:r>
            <w:hyperlink r:id="rId57" w:history="1">
              <w:r w:rsidRPr="00A07C80">
                <w:rPr>
                  <w:rStyle w:val="Hyperlink"/>
                  <w:szCs w:val="24"/>
                </w:rPr>
                <w:t>Accredited</w:t>
              </w:r>
              <w:r w:rsidR="00EB0779">
                <w:rPr>
                  <w:rStyle w:val="Hyperlink"/>
                  <w:szCs w:val="24"/>
                </w:rPr>
                <w:noBreakHyphen/>
              </w:r>
              <w:r w:rsidRPr="00A07C80">
                <w:rPr>
                  <w:rStyle w:val="Hyperlink"/>
                  <w:szCs w:val="24"/>
                </w:rPr>
                <w:t>body</w:t>
              </w:r>
              <w:r w:rsidR="00EB0779">
                <w:rPr>
                  <w:rStyle w:val="Hyperlink"/>
                  <w:szCs w:val="24"/>
                </w:rPr>
                <w:noBreakHyphen/>
              </w:r>
              <w:r w:rsidRPr="00A07C80">
                <w:rPr>
                  <w:rStyle w:val="Hyperlink"/>
                  <w:szCs w:val="24"/>
                </w:rPr>
                <w:t>report</w:t>
              </w:r>
              <w:r w:rsidR="00EB0779">
                <w:rPr>
                  <w:rStyle w:val="Hyperlink"/>
                  <w:szCs w:val="24"/>
                </w:rPr>
                <w:noBreakHyphen/>
              </w:r>
              <w:r w:rsidRPr="00A07C80">
                <w:rPr>
                  <w:rStyle w:val="Hyperlink"/>
                  <w:szCs w:val="24"/>
                </w:rPr>
                <w:t>2022</w:t>
              </w:r>
            </w:hyperlink>
            <w:r w:rsidRPr="00E26F7C">
              <w:rPr>
                <w:rStyle w:val="Hyperlink"/>
                <w:szCs w:val="24"/>
              </w:rPr>
              <w:t xml:space="preserve"> </w:t>
            </w:r>
          </w:p>
          <w:p w14:paraId="40BE9B93" w14:textId="77777777" w:rsidR="00DB57EC" w:rsidRPr="00884820" w:rsidRDefault="00DB57EC" w:rsidP="0015375F">
            <w:pPr>
              <w:pStyle w:val="TableTextLeft"/>
            </w:pPr>
            <w:r>
              <w:t>a</w:t>
            </w:r>
            <w:r w:rsidRPr="00884820">
              <w:t xml:space="preserve">nd </w:t>
            </w:r>
            <w:hyperlink r:id="rId58" w:history="1">
              <w:r w:rsidRPr="00E26F7C">
                <w:rPr>
                  <w:rStyle w:val="Hyperlink"/>
                  <w:szCs w:val="24"/>
                </w:rPr>
                <w:t>NZICA_accredited_body_report_2020</w:t>
              </w:r>
            </w:hyperlink>
          </w:p>
          <w:p w14:paraId="6B63290C" w14:textId="77777777" w:rsidR="00DB57EC" w:rsidRPr="00884820" w:rsidRDefault="00DB57EC" w:rsidP="0015375F">
            <w:pPr>
              <w:pStyle w:val="TableTextLeft"/>
            </w:pPr>
          </w:p>
        </w:tc>
        <w:tc>
          <w:tcPr>
            <w:tcW w:w="833" w:type="pct"/>
          </w:tcPr>
          <w:p w14:paraId="562A989C" w14:textId="77777777" w:rsidR="00DB57EC" w:rsidRPr="00884820" w:rsidRDefault="00DB57EC" w:rsidP="0015375F">
            <w:pPr>
              <w:pStyle w:val="TableTextLeft"/>
            </w:pPr>
            <w:r w:rsidRPr="00884820">
              <w:t>There are several provincial and regional bodies that represent the Canadian Chartered Professional Accountant membership. The CPA Practice Review program requires the review of all registered PAFs and PSPs who perform assurance, compilation and/or tax services.</w:t>
            </w:r>
          </w:p>
        </w:tc>
      </w:tr>
      <w:tr w:rsidR="00DB57EC" w:rsidRPr="005B02B2" w14:paraId="7D7E76C6" w14:textId="77777777" w:rsidTr="000D7599">
        <w:trPr>
          <w:cantSplit/>
        </w:trPr>
        <w:tc>
          <w:tcPr>
            <w:tcW w:w="834" w:type="pct"/>
          </w:tcPr>
          <w:p w14:paraId="5B4F4916" w14:textId="77777777" w:rsidR="00DB57EC" w:rsidRPr="00884820" w:rsidRDefault="00DB57EC" w:rsidP="0015375F">
            <w:pPr>
              <w:pStyle w:val="TableTextLeft"/>
            </w:pPr>
            <w:r w:rsidRPr="00884820">
              <w:t>Frequency of reviews</w:t>
            </w:r>
          </w:p>
        </w:tc>
        <w:tc>
          <w:tcPr>
            <w:tcW w:w="834" w:type="pct"/>
          </w:tcPr>
          <w:p w14:paraId="0BB3B3AD" w14:textId="77777777" w:rsidR="00DB57EC" w:rsidRDefault="00DB57EC" w:rsidP="0015375F">
            <w:pPr>
              <w:pStyle w:val="TableTextLeft"/>
            </w:pPr>
            <w:r>
              <w:t xml:space="preserve">Previously reviewed </w:t>
            </w:r>
            <w:r w:rsidRPr="00884820">
              <w:t>Big 6 firms annually. Others on a random basis but no publicly stated target for other auditors.</w:t>
            </w:r>
          </w:p>
          <w:p w14:paraId="0800AFCB" w14:textId="77777777" w:rsidR="00DB57EC" w:rsidRPr="00884820" w:rsidRDefault="00DB57EC" w:rsidP="0015375F">
            <w:pPr>
              <w:pStyle w:val="TableTextLeft"/>
            </w:pPr>
            <w:r>
              <w:t>It is not clear if the Big 6 will be reviewed annually in the new program.</w:t>
            </w:r>
          </w:p>
        </w:tc>
        <w:tc>
          <w:tcPr>
            <w:tcW w:w="833" w:type="pct"/>
          </w:tcPr>
          <w:p w14:paraId="1D64BE36" w14:textId="77777777" w:rsidR="00DB57EC" w:rsidRPr="00884820" w:rsidRDefault="00DB57EC" w:rsidP="0015375F">
            <w:pPr>
              <w:pStyle w:val="TableTextLeft"/>
            </w:pPr>
            <w:r w:rsidRPr="00884820">
              <w:t xml:space="preserve">If a firm provides audit opinions for more than 100 issuers, the PCAOB inspects them annually. </w:t>
            </w:r>
          </w:p>
          <w:p w14:paraId="4301BF22" w14:textId="06AED894" w:rsidR="00DB57EC" w:rsidRPr="00884820" w:rsidRDefault="00DB57EC" w:rsidP="0015375F">
            <w:pPr>
              <w:pStyle w:val="TableTextLeft"/>
            </w:pPr>
            <w:r w:rsidRPr="00884820">
              <w:t>If a firm provides audit opinions for less than 100 issuers, the PCAOB, in general, inspects them at least triennially.</w:t>
            </w:r>
          </w:p>
        </w:tc>
        <w:tc>
          <w:tcPr>
            <w:tcW w:w="833" w:type="pct"/>
          </w:tcPr>
          <w:p w14:paraId="350E5F28" w14:textId="26450342" w:rsidR="00DB57EC" w:rsidRPr="00884820" w:rsidRDefault="00DB57EC" w:rsidP="0015375F">
            <w:pPr>
              <w:pStyle w:val="TableTextLeft"/>
            </w:pPr>
            <w:r w:rsidRPr="00884820">
              <w:t xml:space="preserve">Larger firms are inspected annually while other firms are generally inspected once every </w:t>
            </w:r>
            <w:r w:rsidR="00B50466">
              <w:t>3 </w:t>
            </w:r>
            <w:r w:rsidRPr="00884820">
              <w:t xml:space="preserve">years. In certain cases, the inspection cycle can be extended to </w:t>
            </w:r>
            <w:r w:rsidR="00B50466">
              <w:t>6 </w:t>
            </w:r>
            <w:r w:rsidRPr="00884820">
              <w:t>years.</w:t>
            </w:r>
          </w:p>
        </w:tc>
        <w:tc>
          <w:tcPr>
            <w:tcW w:w="833" w:type="pct"/>
          </w:tcPr>
          <w:p w14:paraId="03655947" w14:textId="27D5FD85" w:rsidR="00DB57EC" w:rsidRDefault="00DB57EC" w:rsidP="0015375F">
            <w:pPr>
              <w:pStyle w:val="TableTextLeft"/>
            </w:pPr>
            <w:r w:rsidRPr="00884820">
              <w:t>Previously did each firm at least every 3 years and now starting from the 2023</w:t>
            </w:r>
            <w:r w:rsidR="003D54C2">
              <w:t>–</w:t>
            </w:r>
            <w:r w:rsidRPr="00884820">
              <w:t xml:space="preserve">2024 review cycle, every licensed firm will be reviewed each year. </w:t>
            </w:r>
          </w:p>
          <w:p w14:paraId="621EA0CE" w14:textId="244D445E" w:rsidR="00DB57EC" w:rsidRPr="00884820" w:rsidRDefault="00DB57EC" w:rsidP="0015375F">
            <w:pPr>
              <w:pStyle w:val="TableTextLeft"/>
            </w:pPr>
            <w:r w:rsidRPr="00884820">
              <w:t xml:space="preserve">The FMA are transparent about their program and issue periodically their Auditor Regulation and Oversight Plan. Refer to </w:t>
            </w:r>
            <w:hyperlink r:id="rId59" w:history="1">
              <w:r w:rsidRPr="00E26F7C">
                <w:rPr>
                  <w:rStyle w:val="Hyperlink"/>
                  <w:szCs w:val="24"/>
                </w:rPr>
                <w:t>Auditor Regulation and Oversight Plan 2023</w:t>
              </w:r>
              <w:r w:rsidR="003D54C2">
                <w:rPr>
                  <w:rStyle w:val="Hyperlink"/>
                  <w:szCs w:val="24"/>
                </w:rPr>
                <w:t>–</w:t>
              </w:r>
              <w:r w:rsidRPr="00E26F7C">
                <w:rPr>
                  <w:rStyle w:val="Hyperlink"/>
                  <w:szCs w:val="24"/>
                </w:rPr>
                <w:t>2026. (fma.govt.nz)</w:t>
              </w:r>
            </w:hyperlink>
          </w:p>
        </w:tc>
        <w:tc>
          <w:tcPr>
            <w:tcW w:w="833" w:type="pct"/>
          </w:tcPr>
          <w:p w14:paraId="4C0BD886" w14:textId="00E63196" w:rsidR="00DB57EC" w:rsidRPr="00884820" w:rsidRDefault="00DB57EC" w:rsidP="0015375F">
            <w:pPr>
              <w:pStyle w:val="TableTextLeft"/>
            </w:pPr>
            <w:r w:rsidRPr="00884820">
              <w:t xml:space="preserve">All firms that audit 100 or more reporting issuers are reviewed each year and firms that audit between 50 and 99 reporting issuers are reviewed at least every </w:t>
            </w:r>
            <w:r w:rsidR="00EB0779">
              <w:t>2 </w:t>
            </w:r>
            <w:r w:rsidRPr="00884820">
              <w:t>years. Remaining firms are inspected periodically based on CPAB</w:t>
            </w:r>
            <w:r w:rsidR="00EB0779">
              <w:t>’</w:t>
            </w:r>
            <w:r w:rsidRPr="00884820">
              <w:t xml:space="preserve">s risk analysis. </w:t>
            </w:r>
          </w:p>
        </w:tc>
      </w:tr>
      <w:tr w:rsidR="00DB57EC" w:rsidRPr="005B02B2" w14:paraId="587613B1" w14:textId="77777777" w:rsidTr="000D7599">
        <w:trPr>
          <w:cantSplit/>
        </w:trPr>
        <w:tc>
          <w:tcPr>
            <w:tcW w:w="834" w:type="pct"/>
          </w:tcPr>
          <w:p w14:paraId="779F91EC" w14:textId="77777777" w:rsidR="00DB57EC" w:rsidRPr="00BE3D9D" w:rsidRDefault="00DB57EC" w:rsidP="00BE3D9D">
            <w:pPr>
              <w:pStyle w:val="TableTextLeft"/>
            </w:pPr>
            <w:r w:rsidRPr="00BE3D9D">
              <w:t>How are audits selected?</w:t>
            </w:r>
          </w:p>
        </w:tc>
        <w:tc>
          <w:tcPr>
            <w:tcW w:w="834" w:type="pct"/>
          </w:tcPr>
          <w:p w14:paraId="3FADFEA6" w14:textId="7B93A2A7" w:rsidR="00DB57EC" w:rsidRDefault="00DB57EC" w:rsidP="0015375F">
            <w:pPr>
              <w:pStyle w:val="TableTextLeft"/>
            </w:pPr>
            <w:r>
              <w:t xml:space="preserve">Previously </w:t>
            </w:r>
            <w:r w:rsidRPr="00884820">
              <w:t>Audit engagements and key audit areas for review in our audit surveillances using a risk</w:t>
            </w:r>
            <w:r w:rsidR="00EB0779">
              <w:noBreakHyphen/>
            </w:r>
            <w:r w:rsidRPr="00884820">
              <w:t>based approach. This means that ASIC generally select some of the more complex, demanding, and challenging audits, and some more significant or higher risk areas of the financial reports.</w:t>
            </w:r>
          </w:p>
          <w:p w14:paraId="07855D1E" w14:textId="48B52418" w:rsidR="00DB57EC" w:rsidRPr="00884820" w:rsidRDefault="00DB57EC" w:rsidP="0015375F">
            <w:pPr>
              <w:pStyle w:val="TableTextLeft"/>
            </w:pPr>
            <w:r>
              <w:t>From 2022</w:t>
            </w:r>
            <w:r w:rsidR="003D54C2">
              <w:t>–</w:t>
            </w:r>
            <w:r>
              <w:t xml:space="preserve">23 the financial reporting and audit surveillance programs have been combined and ASIC now routinely select audit files for surveillance where there is a known or suspected material misstatement of the financial report. They may select other audits from other intelligence. </w:t>
            </w:r>
          </w:p>
        </w:tc>
        <w:tc>
          <w:tcPr>
            <w:tcW w:w="833" w:type="pct"/>
          </w:tcPr>
          <w:p w14:paraId="2251FAED" w14:textId="1BE1010A" w:rsidR="00DB57EC" w:rsidRPr="00884820" w:rsidRDefault="00DB57EC" w:rsidP="0015375F">
            <w:pPr>
              <w:pStyle w:val="TableTextLeft"/>
            </w:pPr>
            <w:r w:rsidRPr="00884820">
              <w:t xml:space="preserve">Selects audits for inspection using both </w:t>
            </w:r>
            <w:r w:rsidRPr="00AF6ADF">
              <w:t>risk</w:t>
            </w:r>
            <w:r w:rsidR="00EB0779">
              <w:noBreakHyphen/>
            </w:r>
            <w:r w:rsidRPr="00AF6ADF">
              <w:t>based and random methods</w:t>
            </w:r>
            <w:r w:rsidRPr="002A02E1">
              <w:t>.</w:t>
            </w:r>
            <w:r w:rsidRPr="00884820">
              <w:t xml:space="preserve"> Most selections are based on an internal evaluation of audits believed to present a </w:t>
            </w:r>
            <w:r w:rsidRPr="00AF6ADF">
              <w:t>heightened risk of material misstatement</w:t>
            </w:r>
            <w:r w:rsidRPr="00884820">
              <w:t>. Focus is also placed on risk factors including economic trends, industry developments, market</w:t>
            </w:r>
            <w:r w:rsidR="00EB0779">
              <w:noBreakHyphen/>
            </w:r>
            <w:r w:rsidRPr="00884820">
              <w:t xml:space="preserve">capitalization size and/or changes, audit firm and partner, and inspection history. The </w:t>
            </w:r>
            <w:r w:rsidRPr="00AF6ADF">
              <w:t>remaining audits are selected randomly</w:t>
            </w:r>
            <w:r w:rsidRPr="002A02E1">
              <w:t xml:space="preserve"> to</w:t>
            </w:r>
            <w:r w:rsidRPr="00884820">
              <w:t xml:space="preserve"> provide an element of unpredictability.</w:t>
            </w:r>
          </w:p>
          <w:p w14:paraId="3E142453" w14:textId="77777777" w:rsidR="00DB57EC" w:rsidRPr="00884820" w:rsidRDefault="00DB57EC" w:rsidP="0015375F">
            <w:pPr>
              <w:pStyle w:val="TableTextLeft"/>
            </w:pPr>
          </w:p>
        </w:tc>
        <w:tc>
          <w:tcPr>
            <w:tcW w:w="833" w:type="pct"/>
          </w:tcPr>
          <w:p w14:paraId="25C24FE8" w14:textId="77777777" w:rsidR="00DB57EC" w:rsidRPr="00884820" w:rsidRDefault="00DB57EC" w:rsidP="0015375F">
            <w:pPr>
              <w:pStyle w:val="TableTextLeft"/>
            </w:pPr>
            <w:r w:rsidRPr="00884820">
              <w:t>In selecting individual audits to inspect, the UK FRC take account of a wide range of factors including periodic coverage of FTSE 350 constituents, the assessed level of risk in relation to individual audited entities and priority sectors for review announced by the FRC.</w:t>
            </w:r>
          </w:p>
          <w:p w14:paraId="2A804343" w14:textId="77777777" w:rsidR="00DB57EC" w:rsidRPr="00884820" w:rsidRDefault="00DB57EC" w:rsidP="0015375F">
            <w:pPr>
              <w:pStyle w:val="TableTextLeft"/>
            </w:pPr>
          </w:p>
        </w:tc>
        <w:tc>
          <w:tcPr>
            <w:tcW w:w="833" w:type="pct"/>
          </w:tcPr>
          <w:p w14:paraId="15A11BDD" w14:textId="77777777" w:rsidR="00DB57EC" w:rsidRPr="00884820" w:rsidRDefault="00DB57EC" w:rsidP="0015375F">
            <w:pPr>
              <w:pStyle w:val="TableTextLeft"/>
            </w:pPr>
            <w:r w:rsidRPr="00884820">
              <w:t xml:space="preserve">Audit quality reviews are risk based. This means that they may perform unscheduled reviews of audit firms and select audit firms and identify key audit areas for reviews based on specific risk factors. </w:t>
            </w:r>
          </w:p>
        </w:tc>
        <w:tc>
          <w:tcPr>
            <w:tcW w:w="833" w:type="pct"/>
          </w:tcPr>
          <w:p w14:paraId="60B69B70" w14:textId="4D689A5E" w:rsidR="00DB57EC" w:rsidRPr="00884820" w:rsidRDefault="00DB57EC" w:rsidP="0015375F">
            <w:pPr>
              <w:pStyle w:val="TableTextLeft"/>
            </w:pPr>
            <w:r w:rsidRPr="00884820">
              <w:t>Identifies and rates reporting issuers and audit firms using a risk</w:t>
            </w:r>
            <w:r w:rsidR="00EB0779">
              <w:noBreakHyphen/>
            </w:r>
            <w:r w:rsidRPr="00884820">
              <w:t xml:space="preserve">based approach. </w:t>
            </w:r>
          </w:p>
        </w:tc>
      </w:tr>
      <w:tr w:rsidR="00DB57EC" w:rsidRPr="005B02B2" w14:paraId="05D8154F" w14:textId="77777777" w:rsidTr="000D7599">
        <w:trPr>
          <w:cantSplit/>
        </w:trPr>
        <w:tc>
          <w:tcPr>
            <w:tcW w:w="834" w:type="pct"/>
          </w:tcPr>
          <w:p w14:paraId="44DE5EBE" w14:textId="6C990FB1" w:rsidR="00DB57EC" w:rsidRPr="00BE3D9D" w:rsidRDefault="00DB57EC" w:rsidP="00BE3D9D">
            <w:pPr>
              <w:pStyle w:val="TableTextLeft"/>
            </w:pPr>
            <w:r w:rsidRPr="00BE3D9D">
              <w:t>Size of the inspection team</w:t>
            </w:r>
            <w:r w:rsidR="00675CEA">
              <w:rPr>
                <w:rFonts w:ascii="ZWAdobeF" w:hAnsi="ZWAdobeF" w:cs="ZWAdobeF"/>
                <w:sz w:val="2"/>
                <w:szCs w:val="2"/>
              </w:rPr>
              <w:t>43F</w:t>
            </w:r>
            <w:r w:rsidRPr="00BE3D9D">
              <w:rPr>
                <w:rStyle w:val="FootnoteReference"/>
                <w:vertAlign w:val="superscript"/>
              </w:rPr>
              <w:footnoteReference w:id="44"/>
            </w:r>
          </w:p>
        </w:tc>
        <w:tc>
          <w:tcPr>
            <w:tcW w:w="834" w:type="pct"/>
          </w:tcPr>
          <w:p w14:paraId="21E57904" w14:textId="77777777" w:rsidR="00DB57EC" w:rsidRPr="00884820" w:rsidRDefault="00DB57EC" w:rsidP="0015375F">
            <w:pPr>
              <w:pStyle w:val="TableTextLeft"/>
            </w:pPr>
            <w:r>
              <w:t>13</w:t>
            </w:r>
          </w:p>
        </w:tc>
        <w:tc>
          <w:tcPr>
            <w:tcW w:w="833" w:type="pct"/>
          </w:tcPr>
          <w:p w14:paraId="7B6047B2" w14:textId="77777777" w:rsidR="00DB57EC" w:rsidRPr="00884820" w:rsidRDefault="00DB57EC" w:rsidP="0015375F">
            <w:pPr>
              <w:pStyle w:val="TableTextLeft"/>
            </w:pPr>
            <w:r>
              <w:t>460</w:t>
            </w:r>
          </w:p>
        </w:tc>
        <w:tc>
          <w:tcPr>
            <w:tcW w:w="833" w:type="pct"/>
          </w:tcPr>
          <w:p w14:paraId="37AB6F2D" w14:textId="77777777" w:rsidR="00DB57EC" w:rsidRPr="00884820" w:rsidRDefault="00DB57EC" w:rsidP="0015375F">
            <w:pPr>
              <w:pStyle w:val="TableTextLeft"/>
            </w:pPr>
            <w:r>
              <w:t>128</w:t>
            </w:r>
          </w:p>
        </w:tc>
        <w:tc>
          <w:tcPr>
            <w:tcW w:w="833" w:type="pct"/>
          </w:tcPr>
          <w:p w14:paraId="46D4E066" w14:textId="77777777" w:rsidR="00DB57EC" w:rsidRPr="00884820" w:rsidRDefault="00DB57EC" w:rsidP="0015375F">
            <w:pPr>
              <w:pStyle w:val="TableTextLeft"/>
            </w:pPr>
            <w:r>
              <w:t>Not disclosed.</w:t>
            </w:r>
          </w:p>
        </w:tc>
        <w:tc>
          <w:tcPr>
            <w:tcW w:w="833" w:type="pct"/>
          </w:tcPr>
          <w:p w14:paraId="6FB174BB" w14:textId="77777777" w:rsidR="00DB57EC" w:rsidRPr="00884820" w:rsidRDefault="00DB57EC" w:rsidP="0015375F">
            <w:pPr>
              <w:pStyle w:val="TableTextLeft"/>
            </w:pPr>
            <w:r>
              <w:t>37</w:t>
            </w:r>
          </w:p>
        </w:tc>
      </w:tr>
      <w:tr w:rsidR="00DB57EC" w:rsidRPr="005B02B2" w14:paraId="37E3ED90" w14:textId="77777777" w:rsidTr="000D7599">
        <w:trPr>
          <w:cantSplit/>
        </w:trPr>
        <w:tc>
          <w:tcPr>
            <w:tcW w:w="834" w:type="pct"/>
          </w:tcPr>
          <w:p w14:paraId="62525B9E" w14:textId="6F432D6D" w:rsidR="00DB57EC" w:rsidRPr="00884820" w:rsidRDefault="00DB57EC" w:rsidP="0015375F">
            <w:pPr>
              <w:pStyle w:val="TableTextLeft"/>
            </w:pPr>
            <w:r w:rsidRPr="00884820">
              <w:t>The number of files reviewed in 2022</w:t>
            </w:r>
          </w:p>
        </w:tc>
        <w:tc>
          <w:tcPr>
            <w:tcW w:w="834" w:type="pct"/>
          </w:tcPr>
          <w:p w14:paraId="0C91B7CF" w14:textId="5833CA0A" w:rsidR="00DB57EC" w:rsidRPr="00884820" w:rsidRDefault="00DB57EC" w:rsidP="0015375F">
            <w:pPr>
              <w:pStyle w:val="TableTextLeft"/>
            </w:pPr>
            <w:r w:rsidRPr="00884820">
              <w:t>45</w:t>
            </w:r>
            <w:r w:rsidR="00675CEA">
              <w:rPr>
                <w:rFonts w:ascii="ZWAdobeF" w:hAnsi="ZWAdobeF" w:cs="ZWAdobeF"/>
                <w:sz w:val="2"/>
                <w:szCs w:val="2"/>
              </w:rPr>
              <w:t>44F</w:t>
            </w:r>
            <w:r w:rsidRPr="00BE3D9D">
              <w:rPr>
                <w:rStyle w:val="FootnoteReference"/>
                <w:szCs w:val="24"/>
                <w:vertAlign w:val="superscript"/>
              </w:rPr>
              <w:footnoteReference w:id="45"/>
            </w:r>
            <w:r w:rsidRPr="00884820">
              <w:t xml:space="preserve"> (</w:t>
            </w:r>
            <w:r>
              <w:t xml:space="preserve">15 reviewed </w:t>
            </w:r>
            <w:r w:rsidRPr="00884820">
              <w:t>in</w:t>
            </w:r>
            <w:r>
              <w:t xml:space="preserve"> </w:t>
            </w:r>
            <w:r w:rsidR="003D54C2">
              <w:br/>
            </w:r>
            <w:r>
              <w:t>2022</w:t>
            </w:r>
            <w:r w:rsidR="003D54C2">
              <w:t>–</w:t>
            </w:r>
            <w:r w:rsidRPr="00884820">
              <w:t>2023)</w:t>
            </w:r>
          </w:p>
        </w:tc>
        <w:tc>
          <w:tcPr>
            <w:tcW w:w="833" w:type="pct"/>
          </w:tcPr>
          <w:p w14:paraId="4D4539E5" w14:textId="04A19761" w:rsidR="00DB57EC" w:rsidRPr="00884820" w:rsidRDefault="00DB57EC" w:rsidP="0015375F">
            <w:pPr>
              <w:pStyle w:val="TableTextLeft"/>
            </w:pPr>
            <w:r w:rsidRPr="00884820">
              <w:t>710</w:t>
            </w:r>
            <w:r w:rsidR="00675CEA">
              <w:rPr>
                <w:rFonts w:ascii="ZWAdobeF" w:hAnsi="ZWAdobeF" w:cs="ZWAdobeF"/>
                <w:sz w:val="2"/>
                <w:szCs w:val="2"/>
              </w:rPr>
              <w:t>45F</w:t>
            </w:r>
            <w:r w:rsidRPr="00BE3D9D">
              <w:rPr>
                <w:rStyle w:val="FootnoteReference"/>
                <w:szCs w:val="24"/>
                <w:vertAlign w:val="superscript"/>
              </w:rPr>
              <w:footnoteReference w:id="46"/>
            </w:r>
          </w:p>
        </w:tc>
        <w:tc>
          <w:tcPr>
            <w:tcW w:w="833" w:type="pct"/>
          </w:tcPr>
          <w:p w14:paraId="73CADAC8" w14:textId="77777777" w:rsidR="00DB57EC" w:rsidRPr="00884820" w:rsidRDefault="00DB57EC" w:rsidP="0015375F">
            <w:pPr>
              <w:pStyle w:val="TableTextLeft"/>
            </w:pPr>
            <w:r w:rsidRPr="00884820">
              <w:t>148</w:t>
            </w:r>
          </w:p>
        </w:tc>
        <w:tc>
          <w:tcPr>
            <w:tcW w:w="833" w:type="pct"/>
          </w:tcPr>
          <w:p w14:paraId="48382DA1" w14:textId="65A3A0F4" w:rsidR="00DB57EC" w:rsidRPr="00884820" w:rsidRDefault="00DB57EC" w:rsidP="0015375F">
            <w:pPr>
              <w:pStyle w:val="TableTextLeft"/>
            </w:pPr>
            <w:r w:rsidRPr="00884820">
              <w:t>25</w:t>
            </w:r>
            <w:r w:rsidR="00675CEA">
              <w:rPr>
                <w:rFonts w:ascii="ZWAdobeF" w:hAnsi="ZWAdobeF" w:cs="ZWAdobeF"/>
                <w:sz w:val="2"/>
                <w:szCs w:val="2"/>
              </w:rPr>
              <w:t>46F</w:t>
            </w:r>
            <w:r w:rsidRPr="00BE3D9D">
              <w:rPr>
                <w:rStyle w:val="FootnoteReference"/>
                <w:szCs w:val="24"/>
                <w:vertAlign w:val="superscript"/>
              </w:rPr>
              <w:footnoteReference w:id="47"/>
            </w:r>
          </w:p>
        </w:tc>
        <w:tc>
          <w:tcPr>
            <w:tcW w:w="833" w:type="pct"/>
          </w:tcPr>
          <w:p w14:paraId="2E3B66CF" w14:textId="7144EBD1" w:rsidR="00DB57EC" w:rsidRPr="00884820" w:rsidRDefault="00DB57EC" w:rsidP="0015375F">
            <w:pPr>
              <w:pStyle w:val="TableTextLeft"/>
            </w:pPr>
            <w:r w:rsidRPr="00884820">
              <w:t>132</w:t>
            </w:r>
            <w:r w:rsidR="00675CEA">
              <w:rPr>
                <w:rFonts w:ascii="ZWAdobeF" w:hAnsi="ZWAdobeF" w:cs="ZWAdobeF"/>
                <w:sz w:val="2"/>
                <w:szCs w:val="2"/>
              </w:rPr>
              <w:t>47F</w:t>
            </w:r>
            <w:r w:rsidRPr="00BE3D9D">
              <w:rPr>
                <w:rStyle w:val="FootnoteReference"/>
                <w:szCs w:val="24"/>
                <w:vertAlign w:val="superscript"/>
              </w:rPr>
              <w:footnoteReference w:id="48"/>
            </w:r>
          </w:p>
        </w:tc>
      </w:tr>
      <w:tr w:rsidR="00DB57EC" w:rsidRPr="005B02B2" w14:paraId="340030B4" w14:textId="77777777" w:rsidTr="000D7599">
        <w:trPr>
          <w:cantSplit/>
        </w:trPr>
        <w:tc>
          <w:tcPr>
            <w:tcW w:w="834" w:type="pct"/>
          </w:tcPr>
          <w:p w14:paraId="3E1D8966" w14:textId="77777777" w:rsidR="00DB57EC" w:rsidRPr="00884820" w:rsidRDefault="00DB57EC" w:rsidP="0015375F">
            <w:pPr>
              <w:pStyle w:val="TableTextLeft"/>
            </w:pPr>
            <w:r w:rsidRPr="00884820">
              <w:t>What is reviewed within a file?</w:t>
            </w:r>
          </w:p>
        </w:tc>
        <w:tc>
          <w:tcPr>
            <w:tcW w:w="834" w:type="pct"/>
          </w:tcPr>
          <w:p w14:paraId="0E2CF0F7" w14:textId="77777777" w:rsidR="00DB57EC" w:rsidRPr="00884820" w:rsidRDefault="00DB57EC" w:rsidP="0015375F">
            <w:pPr>
              <w:pStyle w:val="TableTextLeft"/>
            </w:pPr>
            <w:r w:rsidRPr="00884820">
              <w:t xml:space="preserve">Key audit areas in the audit working papers for selected audit engagements. ASIC may also assess key aspects of audit firm quality control systems over audits of financial reports. This is based on direct reviews of the design and operation of those systems or evidence from audit files. </w:t>
            </w:r>
          </w:p>
        </w:tc>
        <w:tc>
          <w:tcPr>
            <w:tcW w:w="833" w:type="pct"/>
          </w:tcPr>
          <w:p w14:paraId="3A6DBD72" w14:textId="40897CD1" w:rsidR="00DB57EC" w:rsidRPr="00884820" w:rsidRDefault="00DB57EC" w:rsidP="0015375F">
            <w:pPr>
              <w:pStyle w:val="TableTextLeft"/>
            </w:pPr>
            <w:r w:rsidRPr="00884820">
              <w:t>While inspections vary by firm, the PCAOB may focus on an auditor</w:t>
            </w:r>
            <w:r w:rsidR="00EB0779">
              <w:t>’</w:t>
            </w:r>
            <w:r w:rsidRPr="00884820">
              <w:t>s risk assessment processes, financial reporting and audit areas affected by economic trends or pressures, audit areas that present challenges and significant risk, new accounting standards, and areas of recurring audit deficiencies.</w:t>
            </w:r>
          </w:p>
        </w:tc>
        <w:tc>
          <w:tcPr>
            <w:tcW w:w="833" w:type="pct"/>
          </w:tcPr>
          <w:p w14:paraId="1F0993C2" w14:textId="77777777" w:rsidR="00DB57EC" w:rsidRPr="00884820" w:rsidRDefault="00DB57EC" w:rsidP="0015375F">
            <w:pPr>
              <w:pStyle w:val="TableTextLeft"/>
            </w:pPr>
            <w:r w:rsidRPr="00884820">
              <w:t>Focus on the quality of the audit work performed in the areas selected for review, the appropriateness of key audit judgments made, and the sufficiency and appropriateness of the audit evidence obtained.</w:t>
            </w:r>
          </w:p>
        </w:tc>
        <w:tc>
          <w:tcPr>
            <w:tcW w:w="833" w:type="pct"/>
          </w:tcPr>
          <w:p w14:paraId="4D764F0B" w14:textId="04873F5C" w:rsidR="00DB57EC" w:rsidRPr="00884820" w:rsidRDefault="00DB57EC" w:rsidP="0015375F">
            <w:pPr>
              <w:pStyle w:val="TableTextLeft"/>
            </w:pPr>
            <w:r w:rsidRPr="00884820">
              <w:t xml:space="preserve">Focus is on key audit areas chosen based on common findings identified by international audit regulators and recent reviews. The reviews for the next </w:t>
            </w:r>
            <w:r w:rsidR="00B50466">
              <w:t>3 </w:t>
            </w:r>
            <w:r w:rsidRPr="00884820">
              <w:t xml:space="preserve">years will focus on the audit </w:t>
            </w:r>
            <w:proofErr w:type="gramStart"/>
            <w:r w:rsidRPr="00884820">
              <w:t>firms</w:t>
            </w:r>
            <w:proofErr w:type="gramEnd"/>
            <w:r w:rsidRPr="00884820">
              <w:t xml:space="preserve"> system of quality management, planning of the audit, execution of the audit, reporting of the audit and any significant matters. </w:t>
            </w:r>
          </w:p>
        </w:tc>
        <w:tc>
          <w:tcPr>
            <w:tcW w:w="833" w:type="pct"/>
          </w:tcPr>
          <w:p w14:paraId="4EC34378" w14:textId="77777777" w:rsidR="00DB57EC" w:rsidRPr="00884820" w:rsidRDefault="00DB57EC" w:rsidP="0015375F">
            <w:pPr>
              <w:pStyle w:val="TableTextLeft"/>
            </w:pPr>
            <w:r w:rsidRPr="00884820">
              <w:t>The entire audit file is not inspected. Two to four focus areas are selected as a basis for assessing the quality of audit work in a selected file. Core areas such as materiality, risk assessment and fraud are also reviewed for each file.</w:t>
            </w:r>
          </w:p>
        </w:tc>
      </w:tr>
      <w:tr w:rsidR="00DB57EC" w:rsidRPr="005B02B2" w14:paraId="1B8B75FA" w14:textId="77777777" w:rsidTr="000D7599">
        <w:trPr>
          <w:cantSplit/>
        </w:trPr>
        <w:tc>
          <w:tcPr>
            <w:tcW w:w="834" w:type="pct"/>
          </w:tcPr>
          <w:p w14:paraId="065948A1" w14:textId="7E403943" w:rsidR="00DB57EC" w:rsidRPr="00884820" w:rsidRDefault="00DB57EC" w:rsidP="002B666D">
            <w:pPr>
              <w:pStyle w:val="TableTextLeft"/>
            </w:pPr>
            <w:r w:rsidRPr="00884820">
              <w:t>Do they review the firm</w:t>
            </w:r>
            <w:r w:rsidR="00EB0779">
              <w:t>’</w:t>
            </w:r>
            <w:r w:rsidRPr="00884820">
              <w:t>s systems of quality management?</w:t>
            </w:r>
          </w:p>
        </w:tc>
        <w:tc>
          <w:tcPr>
            <w:tcW w:w="834" w:type="pct"/>
          </w:tcPr>
          <w:p w14:paraId="2A43F6CC" w14:textId="77777777" w:rsidR="00DB57EC" w:rsidRPr="00884820" w:rsidRDefault="00DB57EC" w:rsidP="002B666D">
            <w:pPr>
              <w:pStyle w:val="TableTextLeft"/>
            </w:pPr>
            <w:r w:rsidRPr="00884820">
              <w:t xml:space="preserve">ASIC may also assess </w:t>
            </w:r>
            <w:r>
              <w:t>selected</w:t>
            </w:r>
            <w:r w:rsidRPr="00884820">
              <w:t xml:space="preserve"> aspects of audit firm quality control systems over audits of financial reports. </w:t>
            </w:r>
            <w:proofErr w:type="gramStart"/>
            <w:r>
              <w:t>However</w:t>
            </w:r>
            <w:proofErr w:type="gramEnd"/>
            <w:r>
              <w:t xml:space="preserve"> this is not done routinely every year.</w:t>
            </w:r>
          </w:p>
        </w:tc>
        <w:tc>
          <w:tcPr>
            <w:tcW w:w="833" w:type="pct"/>
          </w:tcPr>
          <w:p w14:paraId="4D89325A" w14:textId="205D9C01" w:rsidR="00DB57EC" w:rsidRPr="00884820" w:rsidRDefault="00DB57EC" w:rsidP="002B666D">
            <w:pPr>
              <w:pStyle w:val="TableTextLeft"/>
            </w:pPr>
            <w:r w:rsidRPr="00884820">
              <w:t xml:space="preserve">Yes. The inspection team will </w:t>
            </w:r>
            <w:r w:rsidRPr="0099014E">
              <w:t>review the firm</w:t>
            </w:r>
            <w:r w:rsidR="00EB0779">
              <w:t>’</w:t>
            </w:r>
            <w:r w:rsidRPr="0099014E">
              <w:t>s system of quality control</w:t>
            </w:r>
            <w:r w:rsidRPr="00F323A9">
              <w:t>,</w:t>
            </w:r>
            <w:r w:rsidRPr="00884820">
              <w:t xml:space="preserve"> including areas such as the firm</w:t>
            </w:r>
            <w:r w:rsidR="00EB0779">
              <w:t>’</w:t>
            </w:r>
            <w:r w:rsidRPr="00884820">
              <w:t>s management structure and processes, practices for partner management, policies and procedures for an issuer</w:t>
            </w:r>
            <w:r w:rsidR="00EB0779">
              <w:t>’</w:t>
            </w:r>
            <w:r w:rsidRPr="00884820">
              <w:t>s acceptance and retention, internal inspections programs, how the firm responds to deficiencies in its audit quality, and independence policies and procedures.</w:t>
            </w:r>
          </w:p>
        </w:tc>
        <w:tc>
          <w:tcPr>
            <w:tcW w:w="833" w:type="pct"/>
          </w:tcPr>
          <w:p w14:paraId="235D8170" w14:textId="77777777" w:rsidR="00DB57EC" w:rsidRPr="00884820" w:rsidRDefault="00DB57EC" w:rsidP="002B666D">
            <w:pPr>
              <w:pStyle w:val="TableTextLeft"/>
            </w:pPr>
            <w:r w:rsidRPr="00884820">
              <w:t>Yes. They select components of the systems of quality management to identify examples of good practice.</w:t>
            </w:r>
          </w:p>
          <w:p w14:paraId="553B57E3" w14:textId="77777777" w:rsidR="00DB57EC" w:rsidRPr="00884820" w:rsidRDefault="00DB57EC" w:rsidP="002B666D">
            <w:pPr>
              <w:pStyle w:val="TableTextLeft"/>
            </w:pPr>
          </w:p>
        </w:tc>
        <w:tc>
          <w:tcPr>
            <w:tcW w:w="833" w:type="pct"/>
          </w:tcPr>
          <w:p w14:paraId="60A79420" w14:textId="44F22A27" w:rsidR="00DB57EC" w:rsidRPr="00884820" w:rsidRDefault="00DB57EC" w:rsidP="002B666D">
            <w:pPr>
              <w:pStyle w:val="TableTextLeft"/>
            </w:pPr>
            <w:r w:rsidRPr="00884820">
              <w:t>Yes. They assess whether the audit firms</w:t>
            </w:r>
            <w:r w:rsidR="00EB0779">
              <w:t>’</w:t>
            </w:r>
            <w:r w:rsidRPr="00884820">
              <w:t xml:space="preserve"> systems of quality management are appropriate. </w:t>
            </w:r>
          </w:p>
        </w:tc>
        <w:tc>
          <w:tcPr>
            <w:tcW w:w="833" w:type="pct"/>
          </w:tcPr>
          <w:p w14:paraId="17EA88B6" w14:textId="77777777" w:rsidR="00DB57EC" w:rsidRPr="00884820" w:rsidRDefault="00DB57EC" w:rsidP="002B666D">
            <w:pPr>
              <w:pStyle w:val="TableTextLeft"/>
            </w:pPr>
            <w:r w:rsidRPr="00884820">
              <w:t>Yes. They evaluate the effectiveness of the system of quality management, including firm implementation of the new quality management standards, firm culture and firm leadership.</w:t>
            </w:r>
          </w:p>
        </w:tc>
      </w:tr>
    </w:tbl>
    <w:p w14:paraId="5039B2B7" w14:textId="77777777" w:rsidR="00DB57EC" w:rsidRDefault="00DB57EC" w:rsidP="00DB57EC">
      <w:pPr>
        <w:sectPr w:rsidR="00DB57EC" w:rsidSect="00026147">
          <w:headerReference w:type="even" r:id="rId60"/>
          <w:headerReference w:type="default" r:id="rId61"/>
          <w:footerReference w:type="even" r:id="rId62"/>
          <w:footerReference w:type="default" r:id="rId63"/>
          <w:pgSz w:w="16838" w:h="11906" w:orient="landscape" w:code="9"/>
          <w:pgMar w:top="1440" w:right="1440" w:bottom="1440" w:left="1440" w:header="289" w:footer="522" w:gutter="0"/>
          <w:cols w:space="708"/>
          <w:docGrid w:linePitch="360"/>
        </w:sectPr>
      </w:pPr>
    </w:p>
    <w:p w14:paraId="5089E77A" w14:textId="77777777" w:rsidR="00DB57EC" w:rsidRPr="002B666D" w:rsidRDefault="00DB57EC" w:rsidP="00942A96">
      <w:pPr>
        <w:pStyle w:val="AppendixHeading"/>
      </w:pPr>
      <w:bookmarkStart w:id="74" w:name="_Toc149310326"/>
      <w:bookmarkStart w:id="75" w:name="_Toc149551299"/>
      <w:bookmarkStart w:id="76" w:name="_Toc143799238"/>
      <w:r w:rsidRPr="002B666D">
        <w:t xml:space="preserve">Appendix 2 – How the Recommendations from the 2019 Disciplinary Review have been </w:t>
      </w:r>
      <w:proofErr w:type="gramStart"/>
      <w:r w:rsidRPr="002B666D">
        <w:t>Addressed</w:t>
      </w:r>
      <w:bookmarkEnd w:id="74"/>
      <w:bookmarkEnd w:id="75"/>
      <w:proofErr w:type="gramEnd"/>
    </w:p>
    <w:tbl>
      <w:tblPr>
        <w:tblStyle w:val="TableGrid"/>
        <w:tblW w:w="5000" w:type="pct"/>
        <w:tblLook w:val="0020" w:firstRow="1" w:lastRow="0" w:firstColumn="0" w:lastColumn="0" w:noHBand="0" w:noVBand="0"/>
      </w:tblPr>
      <w:tblGrid>
        <w:gridCol w:w="571"/>
        <w:gridCol w:w="2547"/>
        <w:gridCol w:w="5952"/>
      </w:tblGrid>
      <w:tr w:rsidR="00DB57EC" w:rsidRPr="0016113E" w14:paraId="13080547" w14:textId="77777777" w:rsidTr="0073049C">
        <w:trPr>
          <w:cnfStyle w:val="100000000000" w:firstRow="1" w:lastRow="0" w:firstColumn="0" w:lastColumn="0" w:oddVBand="0" w:evenVBand="0" w:oddHBand="0" w:evenHBand="0" w:firstRowFirstColumn="0" w:firstRowLastColumn="0" w:lastRowFirstColumn="0" w:lastRowLastColumn="0"/>
          <w:trHeight w:val="365"/>
          <w:tblHeader/>
        </w:trPr>
        <w:tc>
          <w:tcPr>
            <w:tcW w:w="5000" w:type="pct"/>
            <w:gridSpan w:val="3"/>
          </w:tcPr>
          <w:p w14:paraId="7B47F828" w14:textId="78776E66" w:rsidR="00DB57EC" w:rsidRPr="00654BCC" w:rsidRDefault="00DB57EC" w:rsidP="002B666D">
            <w:pPr>
              <w:pStyle w:val="TableColumnHeadingLeft"/>
              <w:rPr>
                <w:b/>
                <w:szCs w:val="24"/>
              </w:rPr>
            </w:pPr>
            <w:r w:rsidRPr="00B665D1">
              <w:t xml:space="preserve"> </w:t>
            </w:r>
            <w:r w:rsidRPr="00654BCC">
              <w:rPr>
                <w:b/>
              </w:rPr>
              <w:t xml:space="preserve">ASIC </w:t>
            </w:r>
          </w:p>
        </w:tc>
      </w:tr>
      <w:tr w:rsidR="00DB57EC" w:rsidRPr="0016113E" w14:paraId="042A91B4" w14:textId="77777777" w:rsidTr="0073049C">
        <w:trPr>
          <w:cnfStyle w:val="100000000000" w:firstRow="1" w:lastRow="0" w:firstColumn="0" w:lastColumn="0" w:oddVBand="0" w:evenVBand="0" w:oddHBand="0" w:evenHBand="0" w:firstRowFirstColumn="0" w:firstRowLastColumn="0" w:lastRowFirstColumn="0" w:lastRowLastColumn="0"/>
          <w:tblHeader/>
        </w:trPr>
        <w:tc>
          <w:tcPr>
            <w:tcW w:w="5000" w:type="pct"/>
            <w:gridSpan w:val="3"/>
            <w:shd w:val="clear" w:color="auto" w:fill="FFFFFF" w:themeFill="background1"/>
          </w:tcPr>
          <w:p w14:paraId="35BF3A41" w14:textId="76189D09" w:rsidR="00DB57EC" w:rsidRPr="00654BCC" w:rsidRDefault="00DB57EC" w:rsidP="002B666D">
            <w:pPr>
              <w:pStyle w:val="TableColumnHeadingLeft"/>
              <w:rPr>
                <w:b/>
                <w:szCs w:val="24"/>
              </w:rPr>
            </w:pPr>
            <w:r w:rsidRPr="00654BCC">
              <w:rPr>
                <w:b/>
                <w:szCs w:val="24"/>
              </w:rPr>
              <w:t>ASIC</w:t>
            </w:r>
            <w:r w:rsidR="00EB0779">
              <w:rPr>
                <w:b/>
                <w:szCs w:val="24"/>
              </w:rPr>
              <w:t>’</w:t>
            </w:r>
            <w:r w:rsidRPr="00654BCC">
              <w:rPr>
                <w:b/>
                <w:szCs w:val="24"/>
              </w:rPr>
              <w:t>s detection, investigation, and enforcement processes</w:t>
            </w:r>
          </w:p>
        </w:tc>
      </w:tr>
      <w:tr w:rsidR="00DB57EC" w:rsidRPr="0016113E" w14:paraId="44ABA26E" w14:textId="77777777" w:rsidTr="0073049C">
        <w:trPr>
          <w:cnfStyle w:val="100000000000" w:firstRow="1" w:lastRow="0" w:firstColumn="0" w:lastColumn="0" w:oddVBand="0" w:evenVBand="0" w:oddHBand="0" w:evenHBand="0" w:firstRowFirstColumn="0" w:firstRowLastColumn="0" w:lastRowFirstColumn="0" w:lastRowLastColumn="0"/>
          <w:tblHeader/>
        </w:trPr>
        <w:tc>
          <w:tcPr>
            <w:tcW w:w="315" w:type="pct"/>
            <w:shd w:val="clear" w:color="auto" w:fill="FFFFFF" w:themeFill="background1"/>
          </w:tcPr>
          <w:p w14:paraId="702461CE" w14:textId="77777777" w:rsidR="00DB57EC" w:rsidRPr="00654BCC" w:rsidRDefault="00DB57EC" w:rsidP="002B666D">
            <w:pPr>
              <w:pStyle w:val="TableColumnHeadingLeft"/>
              <w:rPr>
                <w:b/>
                <w:szCs w:val="24"/>
              </w:rPr>
            </w:pPr>
            <w:r w:rsidRPr="00654BCC">
              <w:rPr>
                <w:b/>
                <w:szCs w:val="24"/>
              </w:rPr>
              <w:t xml:space="preserve">No. </w:t>
            </w:r>
          </w:p>
        </w:tc>
        <w:tc>
          <w:tcPr>
            <w:tcW w:w="1404" w:type="pct"/>
            <w:shd w:val="clear" w:color="auto" w:fill="FFFFFF" w:themeFill="background1"/>
          </w:tcPr>
          <w:p w14:paraId="3EC91D9D" w14:textId="77777777" w:rsidR="00DB57EC" w:rsidRPr="00654BCC" w:rsidRDefault="00DB57EC" w:rsidP="002B666D">
            <w:pPr>
              <w:pStyle w:val="TableColumnHeadingLeft"/>
              <w:rPr>
                <w:b/>
                <w:szCs w:val="24"/>
              </w:rPr>
            </w:pPr>
            <w:r w:rsidRPr="00654BCC">
              <w:rPr>
                <w:b/>
                <w:szCs w:val="24"/>
              </w:rPr>
              <w:t>Recommendations</w:t>
            </w:r>
          </w:p>
        </w:tc>
        <w:tc>
          <w:tcPr>
            <w:tcW w:w="3281" w:type="pct"/>
            <w:shd w:val="clear" w:color="auto" w:fill="FFFFFF" w:themeFill="background1"/>
          </w:tcPr>
          <w:p w14:paraId="4481DA97" w14:textId="38730953" w:rsidR="00DB57EC" w:rsidRPr="00654BCC" w:rsidRDefault="00DB57EC" w:rsidP="002B666D">
            <w:pPr>
              <w:pStyle w:val="TableColumnHeadingLeft"/>
              <w:rPr>
                <w:b/>
                <w:szCs w:val="24"/>
              </w:rPr>
            </w:pPr>
            <w:r w:rsidRPr="00654BCC">
              <w:rPr>
                <w:b/>
                <w:szCs w:val="24"/>
              </w:rPr>
              <w:t>Responses</w:t>
            </w:r>
            <w:r w:rsidR="00675CEA">
              <w:rPr>
                <w:rFonts w:ascii="ZWAdobeF" w:hAnsi="ZWAdobeF" w:cs="ZWAdobeF"/>
                <w:sz w:val="2"/>
                <w:szCs w:val="2"/>
              </w:rPr>
              <w:t>48F</w:t>
            </w:r>
            <w:r w:rsidRPr="007601CF">
              <w:rPr>
                <w:vertAlign w:val="superscript"/>
              </w:rPr>
              <w:footnoteReference w:id="49"/>
            </w:r>
          </w:p>
        </w:tc>
      </w:tr>
      <w:tr w:rsidR="00DB57EC" w:rsidRPr="0016113E" w14:paraId="05E39612" w14:textId="77777777" w:rsidTr="003D54C2">
        <w:tc>
          <w:tcPr>
            <w:tcW w:w="315" w:type="pct"/>
          </w:tcPr>
          <w:p w14:paraId="07832C0F" w14:textId="77777777" w:rsidR="00DB57EC" w:rsidRPr="00884820" w:rsidRDefault="00DB57EC" w:rsidP="002B666D">
            <w:pPr>
              <w:pStyle w:val="TableTextLeft"/>
            </w:pPr>
            <w:r w:rsidRPr="00884820">
              <w:t>1</w:t>
            </w:r>
          </w:p>
        </w:tc>
        <w:tc>
          <w:tcPr>
            <w:tcW w:w="1404" w:type="pct"/>
          </w:tcPr>
          <w:p w14:paraId="4E3DE39C" w14:textId="77777777" w:rsidR="00DB57EC" w:rsidRPr="00884820" w:rsidRDefault="00DB57EC" w:rsidP="002B666D">
            <w:pPr>
              <w:pStyle w:val="TableTextLeft"/>
            </w:pPr>
            <w:r w:rsidRPr="00884820">
              <w:t>ASIC should adopt a more structured and consistent approach to preliminary investigations of RCA misconduct matters. </w:t>
            </w:r>
          </w:p>
        </w:tc>
        <w:tc>
          <w:tcPr>
            <w:tcW w:w="3281" w:type="pct"/>
          </w:tcPr>
          <w:p w14:paraId="5624A877" w14:textId="197405F2" w:rsidR="00DB57EC" w:rsidRDefault="00DB57EC" w:rsidP="002B666D">
            <w:pPr>
              <w:pStyle w:val="TableTextLeft"/>
            </w:pPr>
            <w:r w:rsidRPr="002B666D">
              <w:t>On 1 June 2018, ASIC introduced a new workflow system that better captures the existing approach to surveillance of potential RCA misconduct matters. This information is readily accessible to ASIC</w:t>
            </w:r>
            <w:r w:rsidR="00EB0779">
              <w:t>’</w:t>
            </w:r>
            <w:r w:rsidRPr="002B666D">
              <w:t>s Enforcement teams prior to a formal memo seeking acceptance by Enforcement.</w:t>
            </w:r>
          </w:p>
          <w:p w14:paraId="74C7E80C" w14:textId="77777777" w:rsidR="002B666D" w:rsidRPr="002B666D" w:rsidRDefault="002B666D" w:rsidP="002B666D">
            <w:pPr>
              <w:pStyle w:val="TableTextLeft"/>
            </w:pPr>
          </w:p>
          <w:p w14:paraId="25ECBB8B" w14:textId="2382E606" w:rsidR="00DB57EC" w:rsidRPr="00884820" w:rsidRDefault="00DB57EC" w:rsidP="002B666D">
            <w:pPr>
              <w:pStyle w:val="TableTextLeft"/>
            </w:pPr>
            <w:r w:rsidRPr="002B666D">
              <w:t>Following ASIC</w:t>
            </w:r>
            <w:r w:rsidR="00EB0779">
              <w:t>’</w:t>
            </w:r>
            <w:r w:rsidRPr="002B666D">
              <w:t>s recent organisation design review a new Enforcement Inquiries and Compliance Team dedicated to Financial Reporting Audit and Corporations matters was established. The team has staff with relevant experience and considers auditor misconduct referrals from stakeholder teams for possible enforcement action.</w:t>
            </w:r>
          </w:p>
        </w:tc>
      </w:tr>
      <w:tr w:rsidR="00DB57EC" w:rsidRPr="0016113E" w14:paraId="50546BB2" w14:textId="77777777" w:rsidTr="003D54C2">
        <w:tc>
          <w:tcPr>
            <w:tcW w:w="315" w:type="pct"/>
          </w:tcPr>
          <w:p w14:paraId="0700EA76" w14:textId="77777777" w:rsidR="00DB57EC" w:rsidRPr="002B666D" w:rsidRDefault="00DB57EC" w:rsidP="002B666D">
            <w:pPr>
              <w:pStyle w:val="TableTextLeft"/>
            </w:pPr>
            <w:r w:rsidRPr="00884820">
              <w:t>2</w:t>
            </w:r>
          </w:p>
        </w:tc>
        <w:tc>
          <w:tcPr>
            <w:tcW w:w="1404" w:type="pct"/>
          </w:tcPr>
          <w:p w14:paraId="492F7401" w14:textId="77777777" w:rsidR="00DB57EC" w:rsidRPr="002B666D" w:rsidRDefault="00DB57EC" w:rsidP="002B666D">
            <w:pPr>
              <w:pStyle w:val="TableTextLeft"/>
            </w:pPr>
            <w:r w:rsidRPr="002B666D">
              <w:t>ASIC should improve its record keeping and data management systems to ensure key decision points in relation to RCA matters are easily tracked across the organisation. </w:t>
            </w:r>
          </w:p>
        </w:tc>
        <w:tc>
          <w:tcPr>
            <w:tcW w:w="3281" w:type="pct"/>
          </w:tcPr>
          <w:p w14:paraId="6643C11D" w14:textId="10D6B7D7" w:rsidR="00DB57EC" w:rsidRPr="002B666D" w:rsidRDefault="00DB57EC" w:rsidP="002B666D">
            <w:pPr>
              <w:pStyle w:val="TableTextLeft"/>
            </w:pPr>
            <w:r w:rsidRPr="002B666D">
              <w:t>ASIC implemented a new workflow system which is used by all ASIC teams. The progress of a matter and key decision points can be more easily tracked across the organisation.</w:t>
            </w:r>
          </w:p>
        </w:tc>
      </w:tr>
      <w:tr w:rsidR="00DB57EC" w:rsidRPr="0016113E" w14:paraId="04E4AE64" w14:textId="77777777" w:rsidTr="003D54C2">
        <w:tc>
          <w:tcPr>
            <w:tcW w:w="315" w:type="pct"/>
          </w:tcPr>
          <w:p w14:paraId="51B476A9" w14:textId="77777777" w:rsidR="00DB57EC" w:rsidRPr="00884820" w:rsidRDefault="00DB57EC" w:rsidP="002B666D">
            <w:pPr>
              <w:pStyle w:val="TableTextLeft"/>
            </w:pPr>
            <w:r w:rsidRPr="00884820">
              <w:t>3</w:t>
            </w:r>
          </w:p>
        </w:tc>
        <w:tc>
          <w:tcPr>
            <w:tcW w:w="1404" w:type="pct"/>
          </w:tcPr>
          <w:p w14:paraId="133919EC" w14:textId="77777777" w:rsidR="00DB57EC" w:rsidRPr="00884820" w:rsidRDefault="00DB57EC" w:rsidP="002B666D">
            <w:pPr>
              <w:pStyle w:val="TableTextLeft"/>
            </w:pPr>
            <w:r w:rsidRPr="00884820">
              <w:t xml:space="preserve">ASIC should evaluate whether the criteria used for resourcing </w:t>
            </w:r>
            <w:proofErr w:type="gramStart"/>
            <w:r w:rsidRPr="00884820">
              <w:t>a</w:t>
            </w:r>
            <w:proofErr w:type="gramEnd"/>
            <w:r w:rsidRPr="00884820">
              <w:t xml:space="preserve"> RCA misconduct matter for enforcement action appropriately recognises the market</w:t>
            </w:r>
            <w:r w:rsidRPr="00884820">
              <w:rPr>
                <w:rFonts w:ascii="Cambria Math" w:hAnsi="Cambria Math" w:cs="Cambria Math"/>
              </w:rPr>
              <w:t>‐</w:t>
            </w:r>
            <w:r w:rsidRPr="00884820">
              <w:t>wide benefits of improving audit quality.</w:t>
            </w:r>
          </w:p>
        </w:tc>
        <w:tc>
          <w:tcPr>
            <w:tcW w:w="3281" w:type="pct"/>
          </w:tcPr>
          <w:p w14:paraId="10A43520" w14:textId="142780C8" w:rsidR="00DB57EC" w:rsidRPr="00884820" w:rsidRDefault="00DB57EC" w:rsidP="002B666D">
            <w:pPr>
              <w:pStyle w:val="TableTextLeft"/>
            </w:pPr>
            <w:r w:rsidRPr="00884820">
              <w:t xml:space="preserve">ASIC Information Sheet 151 </w:t>
            </w:r>
            <w:r w:rsidRPr="00884820">
              <w:rPr>
                <w:i/>
                <w:iCs/>
              </w:rPr>
              <w:t>ASIC</w:t>
            </w:r>
            <w:r w:rsidR="00EB0779">
              <w:rPr>
                <w:i/>
                <w:iCs/>
              </w:rPr>
              <w:t>’</w:t>
            </w:r>
            <w:r w:rsidRPr="00884820">
              <w:rPr>
                <w:i/>
                <w:iCs/>
              </w:rPr>
              <w:t>s approach to enforcement</w:t>
            </w:r>
            <w:r w:rsidRPr="00884820">
              <w:t xml:space="preserve"> publicly was reissued in November 2021. It outlines ASICs general approach to enforcement and discusses how we respond to matters </w:t>
            </w:r>
            <w:proofErr w:type="gramStart"/>
            <w:r w:rsidRPr="00884820">
              <w:t>taking into account</w:t>
            </w:r>
            <w:proofErr w:type="gramEnd"/>
            <w:r w:rsidRPr="00884820">
              <w:t xml:space="preserve"> considerations such as: </w:t>
            </w:r>
          </w:p>
          <w:p w14:paraId="0696BD8F" w14:textId="77777777" w:rsidR="00DB57EC" w:rsidRPr="00884820" w:rsidRDefault="00DB57EC" w:rsidP="002B666D">
            <w:pPr>
              <w:pStyle w:val="Tablebullet"/>
            </w:pPr>
            <w:r w:rsidRPr="00884820">
              <w:t>Strategic significance (e.g., what is the extent of harm or loss?</w:t>
            </w:r>
            <w:proofErr w:type="gramStart"/>
            <w:r w:rsidRPr="00884820">
              <w:t>);</w:t>
            </w:r>
            <w:proofErr w:type="gramEnd"/>
            <w:r w:rsidRPr="00884820">
              <w:t xml:space="preserve"> </w:t>
            </w:r>
          </w:p>
          <w:p w14:paraId="5FF2BB83" w14:textId="5948A417" w:rsidR="00DB57EC" w:rsidRPr="00884820" w:rsidRDefault="00DB57EC" w:rsidP="002B666D">
            <w:pPr>
              <w:pStyle w:val="Tablebullet"/>
            </w:pPr>
            <w:r w:rsidRPr="00884820">
              <w:t>Benefits of pursuing misconduct (e.g., is enforcement cost</w:t>
            </w:r>
            <w:r w:rsidR="00EB0779">
              <w:noBreakHyphen/>
            </w:r>
            <w:r w:rsidRPr="00884820">
              <w:t>effective?</w:t>
            </w:r>
            <w:proofErr w:type="gramStart"/>
            <w:r w:rsidRPr="00884820">
              <w:t>);</w:t>
            </w:r>
            <w:proofErr w:type="gramEnd"/>
            <w:r w:rsidRPr="00884820">
              <w:t xml:space="preserve"> </w:t>
            </w:r>
          </w:p>
          <w:p w14:paraId="7E108300" w14:textId="77777777" w:rsidR="00DB57EC" w:rsidRPr="00884820" w:rsidRDefault="00DB57EC" w:rsidP="002B666D">
            <w:pPr>
              <w:pStyle w:val="Tablebullet"/>
            </w:pPr>
            <w:r w:rsidRPr="00884820">
              <w:t xml:space="preserve">Issues specific to the case (e.g., what evidence is available?); and </w:t>
            </w:r>
          </w:p>
          <w:p w14:paraId="5A7EA536" w14:textId="77777777" w:rsidR="00DB57EC" w:rsidRPr="00884820" w:rsidRDefault="00DB57EC" w:rsidP="002B666D">
            <w:pPr>
              <w:pStyle w:val="TableTextLeft"/>
            </w:pPr>
            <w:r w:rsidRPr="00884820">
              <w:t>What enforcement tools are available.</w:t>
            </w:r>
          </w:p>
          <w:p w14:paraId="4794FF87" w14:textId="4EF0BFBE" w:rsidR="00DB57EC" w:rsidRPr="00884820" w:rsidRDefault="00DB57EC" w:rsidP="002B666D">
            <w:pPr>
              <w:pStyle w:val="TableTextLeft"/>
            </w:pPr>
            <w:r w:rsidRPr="00884820">
              <w:t>A new internal guide for assessing auditor related matters has been developed having regard to ASIC</w:t>
            </w:r>
            <w:r w:rsidR="00EB0779">
              <w:t>’</w:t>
            </w:r>
            <w:r w:rsidRPr="00884820">
              <w:t>s experience from current audit matters under investigation.</w:t>
            </w:r>
          </w:p>
          <w:p w14:paraId="3A1BC1FF" w14:textId="77777777" w:rsidR="00DB57EC" w:rsidRPr="00884820" w:rsidRDefault="00DB57EC" w:rsidP="002B666D">
            <w:pPr>
              <w:pStyle w:val="TableTextLeft"/>
            </w:pPr>
          </w:p>
          <w:p w14:paraId="2F199E8F" w14:textId="557F6448" w:rsidR="00DB57EC" w:rsidRPr="00884820" w:rsidRDefault="00DB57EC" w:rsidP="002B666D">
            <w:pPr>
              <w:pStyle w:val="TableTextLeft"/>
            </w:pPr>
            <w:r w:rsidRPr="00884820">
              <w:t>Note also that the objective under ASIC</w:t>
            </w:r>
            <w:r w:rsidR="00EB0779">
              <w:t>’</w:t>
            </w:r>
            <w:r w:rsidRPr="00884820">
              <w:t>s Enforcement Strategy since 2019 has been to identity, prioritise and act quickly and decisively on the most important enforcement matters within ASIC to obtain criminal and civil court</w:t>
            </w:r>
            <w:r w:rsidR="00EB0779">
              <w:noBreakHyphen/>
            </w:r>
            <w:r w:rsidRPr="00884820">
              <w:t xml:space="preserve">based outcomes that discourage and punish misconduct. </w:t>
            </w:r>
            <w:proofErr w:type="gramStart"/>
            <w:r w:rsidRPr="00884820">
              <w:t>In order to</w:t>
            </w:r>
            <w:proofErr w:type="gramEnd"/>
            <w:r w:rsidRPr="00884820">
              <w:t xml:space="preserve"> further this priority, ASIC is pursuing several current investigations in relation to auditor misconduct, which include a focus on pursuing criminal and or civil liability for relevant auditor misconduct. </w:t>
            </w:r>
          </w:p>
        </w:tc>
      </w:tr>
      <w:tr w:rsidR="00DB57EC" w:rsidRPr="0016113E" w14:paraId="012F4845" w14:textId="77777777" w:rsidTr="003D54C2">
        <w:tc>
          <w:tcPr>
            <w:tcW w:w="315" w:type="pct"/>
          </w:tcPr>
          <w:p w14:paraId="5402EF05" w14:textId="77777777" w:rsidR="00DB57EC" w:rsidRPr="00884820" w:rsidRDefault="00DB57EC" w:rsidP="002B666D">
            <w:pPr>
              <w:pStyle w:val="TableTextLeft"/>
            </w:pPr>
            <w:r w:rsidRPr="00884820">
              <w:t>4</w:t>
            </w:r>
          </w:p>
        </w:tc>
        <w:tc>
          <w:tcPr>
            <w:tcW w:w="1404" w:type="pct"/>
          </w:tcPr>
          <w:p w14:paraId="0F98719B" w14:textId="0D863B70" w:rsidR="00DB57EC" w:rsidRPr="00884820" w:rsidRDefault="00DB57EC" w:rsidP="002B666D">
            <w:pPr>
              <w:pStyle w:val="TableTextLeft"/>
            </w:pPr>
            <w:r w:rsidRPr="00884820">
              <w:t xml:space="preserve">ASIC should outline how their </w:t>
            </w:r>
            <w:r w:rsidR="00EB0779">
              <w:t>‘</w:t>
            </w:r>
            <w:r w:rsidRPr="00884820">
              <w:t>why not litigate</w:t>
            </w:r>
            <w:r w:rsidR="00EB0779">
              <w:t>’</w:t>
            </w:r>
            <w:r w:rsidRPr="00884820">
              <w:t xml:space="preserve"> enforcement strategy will apply to misconduct by RCAs.</w:t>
            </w:r>
          </w:p>
        </w:tc>
        <w:tc>
          <w:tcPr>
            <w:tcW w:w="3281" w:type="pct"/>
          </w:tcPr>
          <w:p w14:paraId="64393190" w14:textId="76CE7D30" w:rsidR="00DB57EC" w:rsidRPr="00884820" w:rsidRDefault="00B973B7" w:rsidP="002B666D">
            <w:pPr>
              <w:pStyle w:val="TableTextLeft"/>
            </w:pPr>
            <w:hyperlink r:id="rId64" w:history="1">
              <w:r w:rsidR="00DB57EC" w:rsidRPr="00661753">
                <w:rPr>
                  <w:rStyle w:val="Hyperlink"/>
                  <w:szCs w:val="22"/>
                </w:rPr>
                <w:t>ASIC</w:t>
              </w:r>
              <w:r w:rsidR="00EB0779">
                <w:rPr>
                  <w:rStyle w:val="Hyperlink"/>
                  <w:szCs w:val="22"/>
                </w:rPr>
                <w:t>’</w:t>
              </w:r>
              <w:r w:rsidR="00DB57EC" w:rsidRPr="00661753">
                <w:rPr>
                  <w:rStyle w:val="Hyperlink"/>
                  <w:szCs w:val="22"/>
                </w:rPr>
                <w:t>s Corporate Plan 2023</w:t>
              </w:r>
              <w:r w:rsidR="00942A96">
                <w:rPr>
                  <w:rStyle w:val="Hyperlink"/>
                  <w:szCs w:val="22"/>
                </w:rPr>
                <w:t>–</w:t>
              </w:r>
              <w:r w:rsidR="00DB57EC" w:rsidRPr="00661753">
                <w:rPr>
                  <w:rStyle w:val="Hyperlink"/>
                  <w:szCs w:val="22"/>
                </w:rPr>
                <w:t>27</w:t>
              </w:r>
            </w:hyperlink>
            <w:r w:rsidR="00DB57EC" w:rsidRPr="00884820">
              <w:t xml:space="preserve"> has dropped all mention of </w:t>
            </w:r>
            <w:r w:rsidR="00C760F8">
              <w:t>‘</w:t>
            </w:r>
            <w:r w:rsidR="00DB57EC" w:rsidRPr="00884820">
              <w:t>Why not litigate?</w:t>
            </w:r>
            <w:r w:rsidR="00C760F8">
              <w:t>’</w:t>
            </w:r>
            <w:r w:rsidR="00DB57EC" w:rsidRPr="00884820">
              <w:t xml:space="preserve"> test but is committed to continuing as an </w:t>
            </w:r>
            <w:r w:rsidR="00EB0779">
              <w:t>‘</w:t>
            </w:r>
            <w:r w:rsidR="00DB57EC" w:rsidRPr="00884820">
              <w:t>active litigator against misconduct</w:t>
            </w:r>
            <w:r w:rsidR="00EB0779">
              <w:t>’</w:t>
            </w:r>
            <w:r w:rsidR="00DB57EC" w:rsidRPr="00884820">
              <w:t xml:space="preserve">. </w:t>
            </w:r>
            <w:r w:rsidR="00DB57EC">
              <w:t>ASIC assesses the best regulatory approach to a matter having regard to all the relevant facts and circumstances, as well as the full range of regulatory tools available to ASIC. This applies to misconduct by RCAs.</w:t>
            </w:r>
          </w:p>
        </w:tc>
      </w:tr>
    </w:tbl>
    <w:p w14:paraId="69D12C5C" w14:textId="77777777" w:rsidR="00DB57EC" w:rsidRDefault="00DB57EC" w:rsidP="0073049C"/>
    <w:tbl>
      <w:tblPr>
        <w:tblStyle w:val="TableGrid"/>
        <w:tblW w:w="5001" w:type="pct"/>
        <w:tblLook w:val="0020" w:firstRow="1" w:lastRow="0" w:firstColumn="0" w:lastColumn="0" w:noHBand="0" w:noVBand="0"/>
        <w:tblCaption w:val="Recommendations for CADB"/>
        <w:tblDescription w:val="Recommendations to CADB arising from Auditors Disciplinary Processes Review"/>
      </w:tblPr>
      <w:tblGrid>
        <w:gridCol w:w="572"/>
        <w:gridCol w:w="2547"/>
        <w:gridCol w:w="5953"/>
      </w:tblGrid>
      <w:tr w:rsidR="00DB57EC" w:rsidRPr="0016113E" w14:paraId="42BCC04C" w14:textId="77777777" w:rsidTr="0073049C">
        <w:trPr>
          <w:cnfStyle w:val="100000000000" w:firstRow="1" w:lastRow="0" w:firstColumn="0" w:lastColumn="0" w:oddVBand="0" w:evenVBand="0" w:oddHBand="0" w:evenHBand="0" w:firstRowFirstColumn="0" w:firstRowLastColumn="0" w:lastRowFirstColumn="0" w:lastRowLastColumn="0"/>
          <w:tblHeader/>
        </w:trPr>
        <w:tc>
          <w:tcPr>
            <w:tcW w:w="4999" w:type="pct"/>
            <w:gridSpan w:val="3"/>
          </w:tcPr>
          <w:p w14:paraId="189FBA5A" w14:textId="77777777" w:rsidR="00DB57EC" w:rsidRPr="00654BCC" w:rsidRDefault="00DB57EC" w:rsidP="002B666D">
            <w:pPr>
              <w:pStyle w:val="TableColumnHeadingLeft"/>
              <w:rPr>
                <w:b/>
              </w:rPr>
            </w:pPr>
            <w:r w:rsidRPr="00654BCC">
              <w:rPr>
                <w:b/>
              </w:rPr>
              <w:t>ASIC</w:t>
            </w:r>
          </w:p>
        </w:tc>
      </w:tr>
      <w:tr w:rsidR="00DB57EC" w:rsidRPr="0016113E" w14:paraId="0D572628" w14:textId="77777777" w:rsidTr="0073049C">
        <w:trPr>
          <w:cnfStyle w:val="100000000000" w:firstRow="1" w:lastRow="0" w:firstColumn="0" w:lastColumn="0" w:oddVBand="0" w:evenVBand="0" w:oddHBand="0" w:evenHBand="0" w:firstRowFirstColumn="0" w:firstRowLastColumn="0" w:lastRowFirstColumn="0" w:lastRowLastColumn="0"/>
          <w:tblHeader/>
        </w:trPr>
        <w:tc>
          <w:tcPr>
            <w:tcW w:w="4999" w:type="pct"/>
            <w:gridSpan w:val="3"/>
            <w:shd w:val="clear" w:color="auto" w:fill="FFFFFF" w:themeFill="background1"/>
          </w:tcPr>
          <w:p w14:paraId="5E2A06E3" w14:textId="0FF78ECA" w:rsidR="00DB57EC" w:rsidRPr="00654BCC" w:rsidRDefault="00DB57EC" w:rsidP="002B666D">
            <w:pPr>
              <w:pStyle w:val="TableColumnHeadingLeft"/>
              <w:rPr>
                <w:b/>
                <w:szCs w:val="24"/>
              </w:rPr>
            </w:pPr>
            <w:r w:rsidRPr="00654BCC">
              <w:rPr>
                <w:b/>
                <w:szCs w:val="24"/>
              </w:rPr>
              <w:t>ASIC</w:t>
            </w:r>
            <w:r w:rsidR="00EB0779">
              <w:rPr>
                <w:b/>
                <w:szCs w:val="24"/>
              </w:rPr>
              <w:t>’</w:t>
            </w:r>
            <w:r w:rsidRPr="00654BCC">
              <w:rPr>
                <w:b/>
                <w:szCs w:val="24"/>
              </w:rPr>
              <w:t>s Audit Inspection Program</w:t>
            </w:r>
          </w:p>
        </w:tc>
      </w:tr>
      <w:tr w:rsidR="00DB57EC" w:rsidRPr="00A4787F" w14:paraId="79DAFAAE" w14:textId="77777777" w:rsidTr="0073049C">
        <w:trPr>
          <w:cnfStyle w:val="100000000000" w:firstRow="1" w:lastRow="0" w:firstColumn="0" w:lastColumn="0" w:oddVBand="0" w:evenVBand="0" w:oddHBand="0" w:evenHBand="0" w:firstRowFirstColumn="0" w:firstRowLastColumn="0" w:lastRowFirstColumn="0" w:lastRowLastColumn="0"/>
          <w:tblHeader/>
        </w:trPr>
        <w:tc>
          <w:tcPr>
            <w:tcW w:w="315" w:type="pct"/>
            <w:shd w:val="clear" w:color="auto" w:fill="FFFFFF" w:themeFill="background1"/>
          </w:tcPr>
          <w:p w14:paraId="635F9163" w14:textId="77777777" w:rsidR="00DB57EC" w:rsidRPr="00A4787F" w:rsidRDefault="00DB57EC" w:rsidP="002B666D">
            <w:pPr>
              <w:pStyle w:val="TableColumnHeadingLeft"/>
              <w:rPr>
                <w:b/>
                <w:szCs w:val="24"/>
              </w:rPr>
            </w:pPr>
            <w:r>
              <w:rPr>
                <w:b/>
                <w:szCs w:val="24"/>
              </w:rPr>
              <w:t>No.</w:t>
            </w:r>
          </w:p>
        </w:tc>
        <w:tc>
          <w:tcPr>
            <w:tcW w:w="1404" w:type="pct"/>
            <w:shd w:val="clear" w:color="auto" w:fill="FFFFFF" w:themeFill="background1"/>
          </w:tcPr>
          <w:p w14:paraId="64598065" w14:textId="77777777" w:rsidR="00DB57EC" w:rsidRPr="00A4787F" w:rsidRDefault="00DB57EC" w:rsidP="002B666D">
            <w:pPr>
              <w:pStyle w:val="TableColumnHeadingLeft"/>
              <w:rPr>
                <w:b/>
                <w:szCs w:val="24"/>
              </w:rPr>
            </w:pPr>
            <w:r>
              <w:rPr>
                <w:b/>
                <w:szCs w:val="24"/>
              </w:rPr>
              <w:t>Recommendations</w:t>
            </w:r>
          </w:p>
        </w:tc>
        <w:tc>
          <w:tcPr>
            <w:tcW w:w="3282" w:type="pct"/>
            <w:shd w:val="clear" w:color="auto" w:fill="FFFFFF" w:themeFill="background1"/>
          </w:tcPr>
          <w:p w14:paraId="589F7F14" w14:textId="687E71B5" w:rsidR="00DB57EC" w:rsidRPr="00A4787F" w:rsidRDefault="00DB57EC" w:rsidP="002B666D">
            <w:pPr>
              <w:pStyle w:val="TableColumnHeadingLeft"/>
              <w:rPr>
                <w:b/>
                <w:szCs w:val="24"/>
              </w:rPr>
            </w:pPr>
            <w:r>
              <w:rPr>
                <w:b/>
                <w:szCs w:val="24"/>
              </w:rPr>
              <w:t>Responses</w:t>
            </w:r>
            <w:r w:rsidR="00675CEA">
              <w:rPr>
                <w:rFonts w:ascii="ZWAdobeF" w:hAnsi="ZWAdobeF" w:cs="ZWAdobeF"/>
                <w:sz w:val="2"/>
                <w:szCs w:val="2"/>
              </w:rPr>
              <w:t>49F</w:t>
            </w:r>
            <w:r w:rsidRPr="00BE3D9D">
              <w:rPr>
                <w:vertAlign w:val="superscript"/>
              </w:rPr>
              <w:footnoteReference w:id="50"/>
            </w:r>
          </w:p>
        </w:tc>
      </w:tr>
      <w:tr w:rsidR="00DB57EC" w:rsidRPr="0016113E" w14:paraId="6C0CCB66" w14:textId="77777777" w:rsidTr="003D54C2">
        <w:tc>
          <w:tcPr>
            <w:tcW w:w="315" w:type="pct"/>
          </w:tcPr>
          <w:p w14:paraId="60CFCBF0" w14:textId="77777777" w:rsidR="00DB57EC" w:rsidRPr="00884820" w:rsidRDefault="00DB57EC" w:rsidP="002B666D">
            <w:pPr>
              <w:pStyle w:val="TableTextLeft"/>
            </w:pPr>
            <w:r w:rsidRPr="00884820">
              <w:t>10</w:t>
            </w:r>
          </w:p>
        </w:tc>
        <w:tc>
          <w:tcPr>
            <w:tcW w:w="1404" w:type="pct"/>
          </w:tcPr>
          <w:p w14:paraId="1ECF913A" w14:textId="199D81CC" w:rsidR="00DB57EC" w:rsidRPr="00884820" w:rsidRDefault="00DB57EC" w:rsidP="002B666D">
            <w:pPr>
              <w:pStyle w:val="TableTextLeft"/>
            </w:pPr>
            <w:r w:rsidRPr="00884820">
              <w:t>Potential breaches of the law and failures of RCAs to meet their obligations identified in ASIC</w:t>
            </w:r>
            <w:r w:rsidR="00EB0779">
              <w:t>’</w:t>
            </w:r>
            <w:r w:rsidRPr="00884820">
              <w:t>s Audit Inspection Program should be reviewed for possible enforcement action.</w:t>
            </w:r>
          </w:p>
        </w:tc>
        <w:tc>
          <w:tcPr>
            <w:tcW w:w="3282" w:type="pct"/>
          </w:tcPr>
          <w:p w14:paraId="1C032C26" w14:textId="77777777" w:rsidR="00DB57EC" w:rsidRPr="00884820" w:rsidRDefault="00DB57EC" w:rsidP="002B666D">
            <w:pPr>
              <w:pStyle w:val="TableTextLeft"/>
            </w:pPr>
            <w:r w:rsidRPr="00884820">
              <w:t xml:space="preserve">ASIC reviews negative findings from audit file reviews conducted as a part of our audit firm inspections for possible enforcement action, as appropriate. </w:t>
            </w:r>
          </w:p>
          <w:p w14:paraId="40C16B9F" w14:textId="77777777" w:rsidR="00DB57EC" w:rsidRPr="00884820" w:rsidRDefault="00DB57EC" w:rsidP="002B666D">
            <w:pPr>
              <w:pStyle w:val="TableTextLeft"/>
            </w:pPr>
          </w:p>
          <w:p w14:paraId="574A86FB" w14:textId="77777777" w:rsidR="00DB57EC" w:rsidRDefault="00DB57EC" w:rsidP="002B666D">
            <w:pPr>
              <w:pStyle w:val="TableTextLeft"/>
            </w:pPr>
            <w:r w:rsidRPr="00884820">
              <w:t xml:space="preserve">ASIC took criminal action against the lead auditor and audit company for the audit of Halifax Investment Services Pty Ltd, as well as referring the lead auditor to the </w:t>
            </w:r>
            <w:r>
              <w:t xml:space="preserve">CADB. </w:t>
            </w:r>
          </w:p>
          <w:p w14:paraId="036F9DFE" w14:textId="3E305544" w:rsidR="00DB57EC" w:rsidRPr="00884820" w:rsidRDefault="00DB57EC" w:rsidP="002B666D">
            <w:pPr>
              <w:pStyle w:val="TableTextLeft"/>
            </w:pPr>
            <w:r>
              <w:t>ASIC</w:t>
            </w:r>
            <w:r w:rsidR="00EB0779">
              <w:t>’</w:t>
            </w:r>
            <w:r>
              <w:t xml:space="preserve">s enforcement actions have also resulted in one auditor being convicted for failing to comply with the auditing standards and one auditor being charged with contravening the Corporations Act. In addition, </w:t>
            </w:r>
            <w:r w:rsidR="00EB0779">
              <w:t>2 </w:t>
            </w:r>
            <w:r>
              <w:t>auditors</w:t>
            </w:r>
            <w:r w:rsidR="00EB0779">
              <w:t>’</w:t>
            </w:r>
            <w:r>
              <w:t xml:space="preserve"> registrations were suspended by the CADB for deficient audits. </w:t>
            </w:r>
          </w:p>
        </w:tc>
      </w:tr>
      <w:tr w:rsidR="00DB57EC" w:rsidRPr="0016113E" w14:paraId="715B5A4C" w14:textId="77777777" w:rsidTr="003D54C2">
        <w:tc>
          <w:tcPr>
            <w:tcW w:w="315" w:type="pct"/>
          </w:tcPr>
          <w:p w14:paraId="41E3F5C0" w14:textId="77777777" w:rsidR="00DB57EC" w:rsidRPr="00884820" w:rsidRDefault="00DB57EC" w:rsidP="002B666D">
            <w:pPr>
              <w:pStyle w:val="TableTextLeft"/>
            </w:pPr>
            <w:r w:rsidRPr="00884820">
              <w:t>11</w:t>
            </w:r>
          </w:p>
        </w:tc>
        <w:tc>
          <w:tcPr>
            <w:tcW w:w="1404" w:type="pct"/>
          </w:tcPr>
          <w:p w14:paraId="61579D97" w14:textId="77777777" w:rsidR="00DB57EC" w:rsidRPr="00884820" w:rsidRDefault="00DB57EC" w:rsidP="002B666D">
            <w:pPr>
              <w:pStyle w:val="TableTextLeft"/>
            </w:pPr>
            <w:r w:rsidRPr="00884820">
              <w:t>ASIC should publish the results of audit inspections in greater detail, including naming firms. </w:t>
            </w:r>
          </w:p>
        </w:tc>
        <w:tc>
          <w:tcPr>
            <w:tcW w:w="3282" w:type="pct"/>
          </w:tcPr>
          <w:p w14:paraId="794597B2" w14:textId="11C43F3E" w:rsidR="00DB57EC" w:rsidRDefault="00DB57EC" w:rsidP="002B666D">
            <w:pPr>
              <w:pStyle w:val="TableTextLeft"/>
            </w:pPr>
            <w:r w:rsidRPr="00884820">
              <w:t xml:space="preserve">This has been adopted. For example, in October 2022, ASIC published the percentage of negative findings from reviews of key audit areas in audit files as a part of its audit firm inspections during the 12 months to 30 June 2022. ASIC Report </w:t>
            </w:r>
            <w:hyperlink r:id="rId65" w:history="1">
              <w:r w:rsidRPr="00884820">
                <w:rPr>
                  <w:color w:val="990033"/>
                  <w:u w:val="single"/>
                </w:rPr>
                <w:t>74</w:t>
              </w:r>
              <w:bookmarkStart w:id="77" w:name="_Hlt148625181"/>
              <w:bookmarkStart w:id="78" w:name="_Hlt148625182"/>
              <w:r w:rsidRPr="00884820">
                <w:rPr>
                  <w:color w:val="990033"/>
                  <w:u w:val="single"/>
                </w:rPr>
                <w:t>3</w:t>
              </w:r>
              <w:bookmarkEnd w:id="77"/>
              <w:bookmarkEnd w:id="78"/>
            </w:hyperlink>
            <w:r w:rsidRPr="00884820">
              <w:t xml:space="preserve"> Audit inspection report for 2021</w:t>
            </w:r>
            <w:r w:rsidR="00942A96">
              <w:t>–</w:t>
            </w:r>
            <w:r w:rsidRPr="00884820">
              <w:t xml:space="preserve">22 included individual percentages for each of the largest </w:t>
            </w:r>
            <w:r w:rsidR="00B50466">
              <w:t>6</w:t>
            </w:r>
            <w:r w:rsidRPr="00884820">
              <w:t xml:space="preserve"> firms by name. </w:t>
            </w:r>
          </w:p>
          <w:p w14:paraId="7DD992CD" w14:textId="77777777" w:rsidR="00DB57EC" w:rsidRPr="00884820" w:rsidRDefault="00DB57EC" w:rsidP="002B666D">
            <w:pPr>
              <w:pStyle w:val="TableTextLeft"/>
            </w:pPr>
          </w:p>
          <w:p w14:paraId="57BC6429" w14:textId="7F160821" w:rsidR="00DB57EC" w:rsidRPr="00884820" w:rsidRDefault="00DB57EC" w:rsidP="002B666D">
            <w:pPr>
              <w:pStyle w:val="TableTextLeft"/>
            </w:pPr>
            <w:r>
              <w:t>Under ASIC</w:t>
            </w:r>
            <w:r w:rsidR="00EB0779">
              <w:t>’</w:t>
            </w:r>
            <w:r>
              <w:t>s new financial reporting and audit surveillance program they include in its public report individual audit findings for all firms reviewed in the period, providing prominence to all audit findings. Firms are no longer named</w:t>
            </w:r>
            <w:r w:rsidR="00EB0779">
              <w:t xml:space="preserve">. </w:t>
            </w:r>
            <w:r>
              <w:t>From 1</w:t>
            </w:r>
            <w:r w:rsidR="00942A96">
              <w:t xml:space="preserve"> </w:t>
            </w:r>
            <w:r>
              <w:t xml:space="preserve">July 2022, ASIC report audit findings to the directors of companies as well as the auditor to encourage constructive dialogue between the company and auditor to improve financial reporting and audit quality. </w:t>
            </w:r>
          </w:p>
        </w:tc>
      </w:tr>
      <w:tr w:rsidR="00DB57EC" w:rsidRPr="0016113E" w14:paraId="4B67E057" w14:textId="77777777" w:rsidTr="003D54C2">
        <w:tc>
          <w:tcPr>
            <w:tcW w:w="315" w:type="pct"/>
          </w:tcPr>
          <w:p w14:paraId="58A41AE8" w14:textId="77777777" w:rsidR="00DB57EC" w:rsidRPr="00884820" w:rsidRDefault="00DB57EC" w:rsidP="002B666D">
            <w:pPr>
              <w:pStyle w:val="TableTextLeft"/>
            </w:pPr>
            <w:r w:rsidRPr="00884820">
              <w:t>12</w:t>
            </w:r>
          </w:p>
        </w:tc>
        <w:tc>
          <w:tcPr>
            <w:tcW w:w="1404" w:type="pct"/>
          </w:tcPr>
          <w:p w14:paraId="2AA91584" w14:textId="05C1BD7A" w:rsidR="00DB57EC" w:rsidRPr="00884820" w:rsidRDefault="00DB57EC" w:rsidP="002B666D">
            <w:pPr>
              <w:pStyle w:val="TableTextLeft"/>
            </w:pPr>
            <w:r w:rsidRPr="00884820">
              <w:t>ASIC be given the power to compel remediation of defective audits, alongside the power to publish notices when this occurs</w:t>
            </w:r>
            <w:r w:rsidR="00EB0779">
              <w:t xml:space="preserve">. </w:t>
            </w:r>
          </w:p>
        </w:tc>
        <w:tc>
          <w:tcPr>
            <w:tcW w:w="3282" w:type="pct"/>
          </w:tcPr>
          <w:p w14:paraId="33AB3DA0" w14:textId="77777777" w:rsidR="00DB57EC" w:rsidRPr="00884820" w:rsidRDefault="00DB57EC" w:rsidP="002B666D">
            <w:pPr>
              <w:pStyle w:val="TableTextLeft"/>
            </w:pPr>
            <w:r w:rsidRPr="00884820">
              <w:t>ASIC is supportive of this proposal</w:t>
            </w:r>
            <w:r>
              <w:t xml:space="preserve"> however this requires legislative change</w:t>
            </w:r>
            <w:r w:rsidRPr="00884820">
              <w:t>.</w:t>
            </w:r>
            <w:r>
              <w:t xml:space="preserve"> </w:t>
            </w:r>
          </w:p>
        </w:tc>
      </w:tr>
      <w:tr w:rsidR="00DB57EC" w:rsidRPr="0016113E" w14:paraId="16F71D4E" w14:textId="77777777" w:rsidTr="003D54C2">
        <w:tc>
          <w:tcPr>
            <w:tcW w:w="315" w:type="pct"/>
          </w:tcPr>
          <w:p w14:paraId="6B1652CD" w14:textId="77777777" w:rsidR="00DB57EC" w:rsidRPr="00884820" w:rsidRDefault="00DB57EC" w:rsidP="002B666D">
            <w:pPr>
              <w:pStyle w:val="TableTextLeft"/>
            </w:pPr>
            <w:r w:rsidRPr="00884820">
              <w:t>13</w:t>
            </w:r>
          </w:p>
        </w:tc>
        <w:tc>
          <w:tcPr>
            <w:tcW w:w="1404" w:type="pct"/>
          </w:tcPr>
          <w:p w14:paraId="52738393" w14:textId="3F0B2204" w:rsidR="00DB57EC" w:rsidRPr="00884820" w:rsidRDefault="00DB57EC" w:rsidP="002B666D">
            <w:pPr>
              <w:pStyle w:val="TableTextLeft"/>
            </w:pPr>
            <w:r w:rsidRPr="00884820">
              <w:t>ASIC should consider the division of resources between audit inspection and financial reporting surveillance work to ensure that ASIC</w:t>
            </w:r>
            <w:r w:rsidR="00EB0779">
              <w:t>’</w:t>
            </w:r>
            <w:r w:rsidRPr="00884820">
              <w:t>s resources are being used effectively to ensure good RCA audit quality</w:t>
            </w:r>
            <w:r w:rsidR="00EB0779">
              <w:t xml:space="preserve">. </w:t>
            </w:r>
          </w:p>
        </w:tc>
        <w:tc>
          <w:tcPr>
            <w:tcW w:w="3282" w:type="pct"/>
          </w:tcPr>
          <w:p w14:paraId="6562B643" w14:textId="03FE66C2" w:rsidR="00DB57EC" w:rsidRPr="00884820" w:rsidRDefault="00DB57EC" w:rsidP="002B666D">
            <w:pPr>
              <w:pStyle w:val="TableTextLeft"/>
            </w:pPr>
            <w:r w:rsidRPr="00884820">
              <w:t>Audit and financial reporting surveillances are all conducted by ASIC</w:t>
            </w:r>
            <w:r w:rsidR="00EB0779">
              <w:t>’</w:t>
            </w:r>
            <w:r w:rsidRPr="00884820">
              <w:t xml:space="preserve">s </w:t>
            </w:r>
            <w:r>
              <w:t xml:space="preserve">Companies and Small Business </w:t>
            </w:r>
            <w:r w:rsidRPr="00884820">
              <w:t>team. Resources continue to be dynamically allocated within the team to achieve the best outcomes for quality financial reporting supported by quality audits.</w:t>
            </w:r>
          </w:p>
        </w:tc>
      </w:tr>
      <w:tr w:rsidR="00DB57EC" w:rsidRPr="0016113E" w14:paraId="6618CB41" w14:textId="77777777" w:rsidTr="003D54C2">
        <w:tc>
          <w:tcPr>
            <w:tcW w:w="315" w:type="pct"/>
          </w:tcPr>
          <w:p w14:paraId="212C0192" w14:textId="77777777" w:rsidR="00DB57EC" w:rsidRPr="00884820" w:rsidRDefault="00DB57EC" w:rsidP="002B666D">
            <w:pPr>
              <w:pStyle w:val="TableTextLeft"/>
            </w:pPr>
            <w:r w:rsidRPr="00884820">
              <w:t>14</w:t>
            </w:r>
          </w:p>
        </w:tc>
        <w:tc>
          <w:tcPr>
            <w:tcW w:w="1404" w:type="pct"/>
          </w:tcPr>
          <w:p w14:paraId="3044F56A" w14:textId="77777777" w:rsidR="00DB57EC" w:rsidRPr="00884820" w:rsidRDefault="00DB57EC" w:rsidP="002B666D">
            <w:pPr>
              <w:pStyle w:val="TableTextLeft"/>
            </w:pPr>
            <w:r w:rsidRPr="00884820">
              <w:t>ASIC and the FRC will work together to implement the Parliamentary Joint Committee on Corporations and Financial Services report Oversight of ASIC, the Takeovers Panel and the Corporations Legislation No.1 of the 45th Parliament recommendation to devise a study that would track audit quality over time. </w:t>
            </w:r>
          </w:p>
        </w:tc>
        <w:tc>
          <w:tcPr>
            <w:tcW w:w="3282" w:type="pct"/>
          </w:tcPr>
          <w:p w14:paraId="60879FE6" w14:textId="2D738C5B" w:rsidR="00DB57EC" w:rsidRPr="00884820" w:rsidRDefault="00DB57EC" w:rsidP="002B666D">
            <w:pPr>
              <w:pStyle w:val="TableTextLeft"/>
            </w:pPr>
            <w:r w:rsidRPr="00884820">
              <w:t xml:space="preserve">In December 2019, ASIC published Report </w:t>
            </w:r>
            <w:hyperlink r:id="rId66" w:history="1">
              <w:r w:rsidRPr="00884820">
                <w:rPr>
                  <w:rStyle w:val="Hyperlink"/>
                </w:rPr>
                <w:t>649</w:t>
              </w:r>
            </w:hyperlink>
            <w:r w:rsidRPr="00884820">
              <w:rPr>
                <w:rStyle w:val="Hyperlink"/>
              </w:rPr>
              <w:t xml:space="preserve"> </w:t>
            </w:r>
            <w:r w:rsidRPr="00884820">
              <w:t>Audit quality measures, indicators and other information: 2018</w:t>
            </w:r>
            <w:r w:rsidR="00942A96">
              <w:t>–</w:t>
            </w:r>
            <w:r w:rsidRPr="00884820">
              <w:t xml:space="preserve">19. This report was partly in response to the recommendation. The report contains a broad group of audit quality measures, indicators, and other information to supplement the findings outlined in ASIC Report </w:t>
            </w:r>
            <w:hyperlink r:id="rId67" w:history="1">
              <w:r w:rsidRPr="00884820">
                <w:rPr>
                  <w:rStyle w:val="Hyperlink"/>
                </w:rPr>
                <w:t>648</w:t>
              </w:r>
            </w:hyperlink>
            <w:r w:rsidRPr="00884820">
              <w:t xml:space="preserve"> Audit inspection report for 2018–19. In December</w:t>
            </w:r>
            <w:r w:rsidR="00942A96">
              <w:t> </w:t>
            </w:r>
            <w:r w:rsidRPr="00884820">
              <w:t xml:space="preserve">2020, ASIC published Report </w:t>
            </w:r>
            <w:hyperlink r:id="rId68" w:history="1">
              <w:r w:rsidRPr="00884820">
                <w:rPr>
                  <w:rStyle w:val="Hyperlink"/>
                </w:rPr>
                <w:t>678</w:t>
              </w:r>
            </w:hyperlink>
            <w:r w:rsidRPr="00884820">
              <w:t xml:space="preserve"> Audit quality measures, indicators and other information 2019–20, which similarly supplemented Report </w:t>
            </w:r>
            <w:hyperlink r:id="rId69" w:history="1">
              <w:r w:rsidRPr="00884820">
                <w:rPr>
                  <w:rStyle w:val="Hyperlink"/>
                </w:rPr>
                <w:t>677</w:t>
              </w:r>
            </w:hyperlink>
            <w:r w:rsidRPr="00884820">
              <w:t xml:space="preserve"> Audit inspection report: 1 July 2019 to 30 June 2020. </w:t>
            </w:r>
          </w:p>
          <w:p w14:paraId="4E0E23D4" w14:textId="77777777" w:rsidR="00DB57EC" w:rsidRPr="00884820" w:rsidRDefault="00DB57EC" w:rsidP="002B666D">
            <w:pPr>
              <w:pStyle w:val="TableTextLeft"/>
            </w:pPr>
          </w:p>
          <w:p w14:paraId="0F815DBA" w14:textId="57BA3F3A" w:rsidR="00DB57EC" w:rsidRPr="00884820" w:rsidRDefault="00DB57EC" w:rsidP="002B666D">
            <w:pPr>
              <w:pStyle w:val="TableTextLeft"/>
            </w:pPr>
            <w:r w:rsidRPr="00884820">
              <w:t xml:space="preserve">The output measures that appeared in Reports </w:t>
            </w:r>
            <w:hyperlink r:id="rId70" w:history="1">
              <w:r w:rsidRPr="00884820">
                <w:rPr>
                  <w:rStyle w:val="Hyperlink"/>
                </w:rPr>
                <w:t>648</w:t>
              </w:r>
            </w:hyperlink>
            <w:r w:rsidRPr="00884820">
              <w:t xml:space="preserve"> and </w:t>
            </w:r>
            <w:hyperlink r:id="rId71" w:history="1">
              <w:r w:rsidRPr="00884820">
                <w:rPr>
                  <w:rStyle w:val="Hyperlink"/>
                </w:rPr>
                <w:t>678</w:t>
              </w:r>
            </w:hyperlink>
            <w:r w:rsidRPr="00884820">
              <w:t xml:space="preserve"> were included in Report 709 Audit inspection report: 1</w:t>
            </w:r>
            <w:r w:rsidR="007601CF">
              <w:t> </w:t>
            </w:r>
            <w:r w:rsidRPr="00884820">
              <w:t>July</w:t>
            </w:r>
            <w:r w:rsidR="007601CF">
              <w:t> </w:t>
            </w:r>
            <w:r w:rsidRPr="00884820">
              <w:t>2020 to 30 June 2021, together with input measures on audit fees and non</w:t>
            </w:r>
            <w:r w:rsidR="00EB0779">
              <w:noBreakHyphen/>
            </w:r>
            <w:r w:rsidRPr="00884820">
              <w:t xml:space="preserve">audit fees. In 2022, ASIC separately reported on the effectiveness of root cause analysis at the largest </w:t>
            </w:r>
            <w:r w:rsidR="00B50466">
              <w:t>6</w:t>
            </w:r>
            <w:r w:rsidRPr="00884820">
              <w:t xml:space="preserve"> firms in Report </w:t>
            </w:r>
            <w:hyperlink r:id="rId72" w:history="1">
              <w:r w:rsidRPr="00884820">
                <w:rPr>
                  <w:rStyle w:val="Hyperlink"/>
                </w:rPr>
                <w:t>739</w:t>
              </w:r>
            </w:hyperlink>
            <w:r w:rsidRPr="00884820">
              <w:t xml:space="preserve">. </w:t>
            </w:r>
          </w:p>
          <w:p w14:paraId="70F556A6" w14:textId="77777777" w:rsidR="00DB57EC" w:rsidRPr="00884820" w:rsidRDefault="00DB57EC" w:rsidP="002B666D">
            <w:pPr>
              <w:pStyle w:val="TableTextLeft"/>
            </w:pPr>
          </w:p>
          <w:p w14:paraId="0F0A1359" w14:textId="5FEC9FAB" w:rsidR="00DB57EC" w:rsidRPr="00884820" w:rsidRDefault="00DB57EC" w:rsidP="002B666D">
            <w:pPr>
              <w:pStyle w:val="TableTextLeft"/>
            </w:pPr>
            <w:r w:rsidRPr="00884820">
              <w:t xml:space="preserve">The results of FRC/AUASB </w:t>
            </w:r>
            <w:hyperlink r:id="rId73" w:history="1">
              <w:r w:rsidRPr="00884820">
                <w:rPr>
                  <w:rStyle w:val="Hyperlink"/>
                </w:rPr>
                <w:t>surveys</w:t>
              </w:r>
            </w:hyperlink>
            <w:r w:rsidRPr="00884820">
              <w:t xml:space="preserve"> of audit committee chairs and CFOs on perceptions of audit quality w</w:t>
            </w:r>
            <w:r>
              <w:t>ere</w:t>
            </w:r>
            <w:r w:rsidRPr="00884820">
              <w:t xml:space="preserve"> published by the FRC/AUASB in December</w:t>
            </w:r>
            <w:r w:rsidR="00C158DA">
              <w:t> </w:t>
            </w:r>
            <w:r w:rsidRPr="00884820">
              <w:t xml:space="preserve">2022. </w:t>
            </w:r>
          </w:p>
          <w:p w14:paraId="1094E652" w14:textId="77777777" w:rsidR="00DB57EC" w:rsidRPr="00884820" w:rsidRDefault="00DB57EC" w:rsidP="002B666D">
            <w:pPr>
              <w:pStyle w:val="TableTextLeft"/>
            </w:pPr>
          </w:p>
          <w:p w14:paraId="377D89B6" w14:textId="6520EA81" w:rsidR="00DB57EC" w:rsidRPr="00884820" w:rsidRDefault="00DB57EC" w:rsidP="002B666D">
            <w:pPr>
              <w:pStyle w:val="TableTextLeft"/>
            </w:pPr>
            <w:r w:rsidRPr="00884820">
              <w:t>The information required for other measures and indicators was provided by the</w:t>
            </w:r>
            <w:r>
              <w:t xml:space="preserve"> </w:t>
            </w:r>
            <w:r w:rsidR="00B50466">
              <w:t>6</w:t>
            </w:r>
            <w:r>
              <w:t xml:space="preserve"> largest</w:t>
            </w:r>
            <w:r w:rsidRPr="00884820">
              <w:t xml:space="preserve"> audit firms </w:t>
            </w:r>
            <w:r>
              <w:t xml:space="preserve">to ASIC </w:t>
            </w:r>
            <w:r w:rsidRPr="00884820">
              <w:t xml:space="preserve">and is no longer collected from the largest </w:t>
            </w:r>
            <w:r w:rsidR="00B50466">
              <w:t>6 </w:t>
            </w:r>
            <w:r w:rsidRPr="00884820">
              <w:t>firms. This is due to the time and effort required by the firms to collect this information and the view of the firms that the cost outweighed the benefit.</w:t>
            </w:r>
          </w:p>
        </w:tc>
      </w:tr>
    </w:tbl>
    <w:p w14:paraId="603A6908" w14:textId="5F157ED2" w:rsidR="00DB57EC" w:rsidRDefault="00DB57EC" w:rsidP="00DB57EC"/>
    <w:tbl>
      <w:tblPr>
        <w:tblStyle w:val="TableGrid"/>
        <w:tblW w:w="5001" w:type="pct"/>
        <w:tblLook w:val="0020" w:firstRow="1" w:lastRow="0" w:firstColumn="0" w:lastColumn="0" w:noHBand="0" w:noVBand="0"/>
        <w:tblCaption w:val="Recommendations for CADB"/>
        <w:tblDescription w:val="Recommendations to CADB arising from Auditors Disciplinary Processes Review"/>
      </w:tblPr>
      <w:tblGrid>
        <w:gridCol w:w="610"/>
        <w:gridCol w:w="2547"/>
        <w:gridCol w:w="5915"/>
      </w:tblGrid>
      <w:tr w:rsidR="00DB57EC" w:rsidRPr="0016113E" w14:paraId="0E38A6D7" w14:textId="77777777" w:rsidTr="002572E4">
        <w:trPr>
          <w:cnfStyle w:val="100000000000" w:firstRow="1" w:lastRow="0" w:firstColumn="0" w:lastColumn="0" w:oddVBand="0" w:evenVBand="0" w:oddHBand="0" w:evenHBand="0" w:firstRowFirstColumn="0" w:firstRowLastColumn="0" w:lastRowFirstColumn="0" w:lastRowLastColumn="0"/>
          <w:tblHeader/>
        </w:trPr>
        <w:tc>
          <w:tcPr>
            <w:tcW w:w="4999" w:type="pct"/>
            <w:gridSpan w:val="3"/>
          </w:tcPr>
          <w:p w14:paraId="3BDC51BD" w14:textId="77777777" w:rsidR="00DB57EC" w:rsidRPr="00654BCC" w:rsidRDefault="00DB57EC" w:rsidP="00827943">
            <w:pPr>
              <w:pStyle w:val="TableColumnHeadingLeft"/>
              <w:rPr>
                <w:b/>
              </w:rPr>
            </w:pPr>
            <w:r w:rsidRPr="00654BCC">
              <w:rPr>
                <w:b/>
              </w:rPr>
              <w:t>The CADB</w:t>
            </w:r>
          </w:p>
        </w:tc>
      </w:tr>
      <w:tr w:rsidR="00DB57EC" w:rsidRPr="0016113E" w14:paraId="0E21E008" w14:textId="77777777" w:rsidTr="002572E4">
        <w:trPr>
          <w:cnfStyle w:val="100000000000" w:firstRow="1" w:lastRow="0" w:firstColumn="0" w:lastColumn="0" w:oddVBand="0" w:evenVBand="0" w:oddHBand="0" w:evenHBand="0" w:firstRowFirstColumn="0" w:firstRowLastColumn="0" w:lastRowFirstColumn="0" w:lastRowLastColumn="0"/>
          <w:tblHeader/>
        </w:trPr>
        <w:tc>
          <w:tcPr>
            <w:tcW w:w="336" w:type="pct"/>
            <w:shd w:val="clear" w:color="auto" w:fill="FFFFFF" w:themeFill="background1"/>
          </w:tcPr>
          <w:p w14:paraId="2E653E27" w14:textId="77777777" w:rsidR="00DB57EC" w:rsidRPr="00654BCC" w:rsidRDefault="00DB57EC" w:rsidP="00827943">
            <w:pPr>
              <w:pStyle w:val="TableColumnHeadingLeft"/>
              <w:rPr>
                <w:b/>
                <w:szCs w:val="24"/>
              </w:rPr>
            </w:pPr>
            <w:r w:rsidRPr="00654BCC">
              <w:rPr>
                <w:b/>
                <w:szCs w:val="24"/>
              </w:rPr>
              <w:t>No.</w:t>
            </w:r>
          </w:p>
        </w:tc>
        <w:tc>
          <w:tcPr>
            <w:tcW w:w="1404" w:type="pct"/>
            <w:shd w:val="clear" w:color="auto" w:fill="FFFFFF" w:themeFill="background1"/>
          </w:tcPr>
          <w:p w14:paraId="7D0E32E9" w14:textId="77777777" w:rsidR="00DB57EC" w:rsidRPr="00654BCC" w:rsidRDefault="00DB57EC" w:rsidP="00827943">
            <w:pPr>
              <w:pStyle w:val="TableColumnHeadingLeft"/>
              <w:rPr>
                <w:b/>
                <w:szCs w:val="24"/>
              </w:rPr>
            </w:pPr>
            <w:r w:rsidRPr="00654BCC">
              <w:rPr>
                <w:b/>
                <w:szCs w:val="24"/>
              </w:rPr>
              <w:t>Recommendations</w:t>
            </w:r>
          </w:p>
        </w:tc>
        <w:tc>
          <w:tcPr>
            <w:tcW w:w="3260" w:type="pct"/>
            <w:shd w:val="clear" w:color="auto" w:fill="FFFFFF" w:themeFill="background1"/>
          </w:tcPr>
          <w:p w14:paraId="24C3FF32" w14:textId="5811E9C4" w:rsidR="00DB57EC" w:rsidRPr="00654BCC" w:rsidRDefault="00DB57EC" w:rsidP="00C158DA">
            <w:pPr>
              <w:pStyle w:val="TableColumnHeadingLeft"/>
            </w:pPr>
            <w:r w:rsidRPr="00C158DA">
              <w:rPr>
                <w:b/>
                <w:szCs w:val="24"/>
              </w:rPr>
              <w:t>Responses</w:t>
            </w:r>
            <w:r w:rsidR="00675CEA">
              <w:rPr>
                <w:rFonts w:ascii="ZWAdobeF" w:hAnsi="ZWAdobeF" w:cs="ZWAdobeF"/>
                <w:sz w:val="2"/>
                <w:szCs w:val="2"/>
              </w:rPr>
              <w:t>50F</w:t>
            </w:r>
            <w:r w:rsidRPr="00BE3D9D">
              <w:rPr>
                <w:vertAlign w:val="superscript"/>
              </w:rPr>
              <w:footnoteReference w:id="51"/>
            </w:r>
          </w:p>
        </w:tc>
      </w:tr>
      <w:tr w:rsidR="00DB57EC" w:rsidRPr="0016113E" w14:paraId="0F8E9DB6" w14:textId="77777777" w:rsidTr="002572E4">
        <w:tc>
          <w:tcPr>
            <w:tcW w:w="336" w:type="pct"/>
          </w:tcPr>
          <w:p w14:paraId="449C5598" w14:textId="77777777" w:rsidR="00DB57EC" w:rsidRPr="00827943" w:rsidRDefault="00DB57EC" w:rsidP="00827943">
            <w:pPr>
              <w:pStyle w:val="TableTextLeft"/>
            </w:pPr>
            <w:r w:rsidRPr="00827943">
              <w:t>1</w:t>
            </w:r>
          </w:p>
        </w:tc>
        <w:tc>
          <w:tcPr>
            <w:tcW w:w="1404" w:type="pct"/>
          </w:tcPr>
          <w:p w14:paraId="3C8C7505" w14:textId="3AC7A7E4" w:rsidR="00DB57EC" w:rsidRPr="00827943" w:rsidRDefault="00DB57EC" w:rsidP="00827943">
            <w:pPr>
              <w:pStyle w:val="TableTextLeft"/>
            </w:pPr>
            <w:r w:rsidRPr="00827943">
              <w:t xml:space="preserve">CADB and ASIC should work to adopt a less formal and a </w:t>
            </w:r>
            <w:proofErr w:type="gramStart"/>
            <w:r w:rsidRPr="00827943">
              <w:t>more timely</w:t>
            </w:r>
            <w:proofErr w:type="gramEnd"/>
            <w:r w:rsidRPr="00827943">
              <w:t xml:space="preserve"> approach to the carriage of CADB matters. This should include a review of CADB</w:t>
            </w:r>
            <w:r w:rsidR="00EB0779">
              <w:t>’</w:t>
            </w:r>
            <w:r w:rsidRPr="00827943">
              <w:t>s practice and procedures manuals.</w:t>
            </w:r>
          </w:p>
        </w:tc>
        <w:tc>
          <w:tcPr>
            <w:tcW w:w="3260" w:type="pct"/>
          </w:tcPr>
          <w:p w14:paraId="7372219F" w14:textId="77777777" w:rsidR="00DB57EC" w:rsidRPr="00827943" w:rsidRDefault="00DB57EC" w:rsidP="00827943">
            <w:pPr>
              <w:pStyle w:val="TableTextLeft"/>
            </w:pPr>
            <w:r w:rsidRPr="00827943">
              <w:t xml:space="preserve">CADB has comprehensively revised its matter conduct guidelines for parties to applications (Matter Guidelines). </w:t>
            </w:r>
          </w:p>
          <w:p w14:paraId="7C80C4AC" w14:textId="77777777" w:rsidR="00DB57EC" w:rsidRPr="00827943" w:rsidRDefault="00DB57EC" w:rsidP="00827943">
            <w:pPr>
              <w:pStyle w:val="TableTextLeft"/>
            </w:pPr>
          </w:p>
          <w:p w14:paraId="7305FAAF" w14:textId="1AC37199" w:rsidR="00DB57EC" w:rsidRPr="00827943" w:rsidRDefault="00DB57EC" w:rsidP="00827943">
            <w:pPr>
              <w:pStyle w:val="TableTextLeft"/>
            </w:pPr>
            <w:r w:rsidRPr="00827943">
              <w:t>The Matter Guidelines introduce new hearing preparation procedures to be conducted between the parties which are designed to result in streamlined hearings and more efficient decision</w:t>
            </w:r>
            <w:r w:rsidR="00EB0779">
              <w:noBreakHyphen/>
            </w:r>
            <w:r w:rsidRPr="00827943">
              <w:t>making on applications to meet the FRC</w:t>
            </w:r>
            <w:r w:rsidR="00EB0779">
              <w:t>’</w:t>
            </w:r>
            <w:r w:rsidRPr="00827943">
              <w:t xml:space="preserve">s 1st recommendation of adopting a less formal and more timely approach to matters once they are filed with CADB. </w:t>
            </w:r>
          </w:p>
          <w:p w14:paraId="476F03AF" w14:textId="77777777" w:rsidR="00DB57EC" w:rsidRPr="00827943" w:rsidRDefault="00DB57EC" w:rsidP="00827943">
            <w:pPr>
              <w:pStyle w:val="TableTextLeft"/>
            </w:pPr>
          </w:p>
          <w:p w14:paraId="08ED3103" w14:textId="77777777" w:rsidR="00DB57EC" w:rsidRPr="00827943" w:rsidRDefault="00DB57EC" w:rsidP="00827943">
            <w:pPr>
              <w:pStyle w:val="TableTextLeft"/>
            </w:pPr>
            <w:r w:rsidRPr="00827943">
              <w:t xml:space="preserve">CADB consulted with ASIC on the proposed changes before they were finalised. The </w:t>
            </w:r>
            <w:hyperlink r:id="rId74" w:history="1">
              <w:r w:rsidRPr="00827943">
                <w:rPr>
                  <w:rStyle w:val="Hyperlink"/>
                  <w:color w:val="auto"/>
                </w:rPr>
                <w:t>Matter Guidelines</w:t>
              </w:r>
            </w:hyperlink>
            <w:r w:rsidRPr="00827943">
              <w:t xml:space="preserve"> may be found on the CADB website.</w:t>
            </w:r>
          </w:p>
          <w:p w14:paraId="0E7DEACD" w14:textId="77777777" w:rsidR="00DB57EC" w:rsidRPr="00827943" w:rsidRDefault="00DB57EC" w:rsidP="00827943">
            <w:pPr>
              <w:pStyle w:val="TableTextLeft"/>
            </w:pPr>
          </w:p>
          <w:p w14:paraId="5B8B7183" w14:textId="5D673FEA" w:rsidR="00DB57EC" w:rsidRPr="00827943" w:rsidRDefault="00DB57EC" w:rsidP="00827943">
            <w:pPr>
              <w:pStyle w:val="TableTextLeft"/>
            </w:pPr>
            <w:r w:rsidRPr="00827943">
              <w:t>The Matter Guidelines are designed to enable CADB to deliver decisions within a shorter timeframe and deal with more volume, to the extent applications are made.</w:t>
            </w:r>
          </w:p>
        </w:tc>
      </w:tr>
      <w:tr w:rsidR="00DB57EC" w:rsidRPr="0016113E" w14:paraId="170F370F" w14:textId="77777777" w:rsidTr="002572E4">
        <w:tc>
          <w:tcPr>
            <w:tcW w:w="336" w:type="pct"/>
          </w:tcPr>
          <w:p w14:paraId="6D4510E7" w14:textId="77777777" w:rsidR="00DB57EC" w:rsidRPr="00827943" w:rsidRDefault="00DB57EC" w:rsidP="00827943">
            <w:pPr>
              <w:pStyle w:val="TableTextLeft"/>
            </w:pPr>
            <w:r w:rsidRPr="00827943">
              <w:t>2</w:t>
            </w:r>
          </w:p>
        </w:tc>
        <w:tc>
          <w:tcPr>
            <w:tcW w:w="1404" w:type="pct"/>
          </w:tcPr>
          <w:p w14:paraId="0DA65A31" w14:textId="556E5172" w:rsidR="00DB57EC" w:rsidRPr="00827943" w:rsidRDefault="00DB57EC" w:rsidP="00827943">
            <w:pPr>
              <w:pStyle w:val="TableTextLeft"/>
            </w:pPr>
            <w:r w:rsidRPr="00827943">
              <w:t>The Government should consider revising provisions so that CADB may publish the commencement of proceedings including naming the RCA subject to the proceedings and his or her firm</w:t>
            </w:r>
            <w:r w:rsidR="00EB0779">
              <w:t xml:space="preserve">. </w:t>
            </w:r>
          </w:p>
        </w:tc>
        <w:tc>
          <w:tcPr>
            <w:tcW w:w="3260" w:type="pct"/>
          </w:tcPr>
          <w:p w14:paraId="58FDAE29" w14:textId="5DFCAF63" w:rsidR="00DB57EC" w:rsidRPr="00827943" w:rsidRDefault="00DB57EC" w:rsidP="00827943">
            <w:pPr>
              <w:pStyle w:val="TableTextLeft"/>
            </w:pPr>
            <w:r w:rsidRPr="00827943">
              <w:t xml:space="preserve">CADB believes that the transparency benefits need to be balanced against the potential reputational damage caused by such publication. If CADB selectively published the names of some RCAs to proceedings and not others, this might be perceived as lacking impartiality. </w:t>
            </w:r>
          </w:p>
        </w:tc>
      </w:tr>
      <w:tr w:rsidR="00DB57EC" w:rsidRPr="0016113E" w14:paraId="64573377" w14:textId="77777777" w:rsidTr="002572E4">
        <w:tc>
          <w:tcPr>
            <w:tcW w:w="336" w:type="pct"/>
          </w:tcPr>
          <w:p w14:paraId="3DBFFDF6" w14:textId="77777777" w:rsidR="00DB57EC" w:rsidRPr="00827943" w:rsidRDefault="00DB57EC" w:rsidP="00827943">
            <w:pPr>
              <w:pStyle w:val="TableTextLeft"/>
            </w:pPr>
            <w:r w:rsidRPr="00827943">
              <w:t>3</w:t>
            </w:r>
          </w:p>
        </w:tc>
        <w:tc>
          <w:tcPr>
            <w:tcW w:w="1404" w:type="pct"/>
          </w:tcPr>
          <w:p w14:paraId="097E9319" w14:textId="5BF4AE9C" w:rsidR="00DB57EC" w:rsidRPr="00827943" w:rsidRDefault="00DB57EC" w:rsidP="00827943">
            <w:pPr>
              <w:pStyle w:val="TableTextLeft"/>
            </w:pPr>
            <w:r w:rsidRPr="00827943">
              <w:t>The Government should consider providing CADB with additional disciplinary powers, including powers to suspend registration during a CADB proceeding and impose fines against individual RCAs or the firms that employ them, if adverse findings are made</w:t>
            </w:r>
            <w:r w:rsidR="00EB0779">
              <w:t xml:space="preserve">. </w:t>
            </w:r>
          </w:p>
        </w:tc>
        <w:tc>
          <w:tcPr>
            <w:tcW w:w="3260" w:type="pct"/>
          </w:tcPr>
          <w:p w14:paraId="3953F127" w14:textId="136CAC82" w:rsidR="00DB57EC" w:rsidRPr="00827943" w:rsidRDefault="00DB57EC" w:rsidP="00827943">
            <w:pPr>
              <w:pStyle w:val="TableTextLeft"/>
            </w:pPr>
            <w:r w:rsidRPr="00827943">
              <w:t xml:space="preserve">CADB supports this recommendation in principle. </w:t>
            </w:r>
          </w:p>
        </w:tc>
      </w:tr>
      <w:tr w:rsidR="00DB57EC" w:rsidRPr="0016113E" w14:paraId="1E666983" w14:textId="77777777" w:rsidTr="002572E4">
        <w:tc>
          <w:tcPr>
            <w:tcW w:w="336" w:type="pct"/>
          </w:tcPr>
          <w:p w14:paraId="005E5552" w14:textId="77777777" w:rsidR="00DB57EC" w:rsidRPr="00827943" w:rsidRDefault="00DB57EC" w:rsidP="00827943">
            <w:pPr>
              <w:pStyle w:val="TableTextLeft"/>
            </w:pPr>
            <w:r w:rsidRPr="00827943">
              <w:t>4</w:t>
            </w:r>
          </w:p>
        </w:tc>
        <w:tc>
          <w:tcPr>
            <w:tcW w:w="1404" w:type="pct"/>
          </w:tcPr>
          <w:p w14:paraId="3DFBCC48" w14:textId="77777777" w:rsidR="00DB57EC" w:rsidRPr="00827943" w:rsidRDefault="00DB57EC" w:rsidP="00827943">
            <w:pPr>
              <w:pStyle w:val="TableTextLeft"/>
            </w:pPr>
            <w:r w:rsidRPr="00827943">
              <w:t xml:space="preserve">If a greater number of applications are made to CADB </w:t>
            </w:r>
            <w:proofErr w:type="gramStart"/>
            <w:r w:rsidRPr="00827943">
              <w:t>as a result of</w:t>
            </w:r>
            <w:proofErr w:type="gramEnd"/>
            <w:r w:rsidRPr="00827943">
              <w:t xml:space="preserve"> current and upcoming reforms, the Government should consider whether CADB will require additional administrative support to ensure matters are dealt with.</w:t>
            </w:r>
          </w:p>
        </w:tc>
        <w:tc>
          <w:tcPr>
            <w:tcW w:w="3260" w:type="pct"/>
          </w:tcPr>
          <w:p w14:paraId="3A670CE4" w14:textId="552C7D68" w:rsidR="00DB57EC" w:rsidRPr="00827943" w:rsidRDefault="00DB57EC" w:rsidP="00827943">
            <w:pPr>
              <w:pStyle w:val="TableTextLeft"/>
            </w:pPr>
            <w:r w:rsidRPr="00827943">
              <w:t>CADB supports this recommendation however additional resources will be necessary for the CADB to hear more applications.</w:t>
            </w:r>
          </w:p>
        </w:tc>
      </w:tr>
    </w:tbl>
    <w:p w14:paraId="321B3BE5" w14:textId="2B778AEE" w:rsidR="004E6BC0" w:rsidRDefault="004E6BC0">
      <w:pPr>
        <w:spacing w:before="0" w:after="160" w:line="259" w:lineRule="auto"/>
      </w:pPr>
    </w:p>
    <w:tbl>
      <w:tblPr>
        <w:tblStyle w:val="TableGrid"/>
        <w:tblW w:w="5001" w:type="pct"/>
        <w:tblLook w:val="0020" w:firstRow="1" w:lastRow="0" w:firstColumn="0" w:lastColumn="0" w:noHBand="0" w:noVBand="0"/>
        <w:tblCaption w:val="Recommendations for CADB"/>
        <w:tblDescription w:val="Recommendations to CADB arising from Auditors Disciplinary Processes Review"/>
      </w:tblPr>
      <w:tblGrid>
        <w:gridCol w:w="576"/>
        <w:gridCol w:w="2547"/>
        <w:gridCol w:w="5949"/>
      </w:tblGrid>
      <w:tr w:rsidR="00DB57EC" w:rsidRPr="001949FF" w14:paraId="1FD0AEDE" w14:textId="77777777" w:rsidTr="002572E4">
        <w:trPr>
          <w:cnfStyle w:val="100000000000" w:firstRow="1" w:lastRow="0" w:firstColumn="0" w:lastColumn="0" w:oddVBand="0" w:evenVBand="0" w:oddHBand="0" w:evenHBand="0" w:firstRowFirstColumn="0" w:firstRowLastColumn="0" w:lastRowFirstColumn="0" w:lastRowLastColumn="0"/>
          <w:tblHeader/>
        </w:trPr>
        <w:tc>
          <w:tcPr>
            <w:tcW w:w="4999" w:type="pct"/>
            <w:gridSpan w:val="3"/>
          </w:tcPr>
          <w:p w14:paraId="149E813D" w14:textId="77777777" w:rsidR="00DB57EC" w:rsidRPr="004E6BC0" w:rsidRDefault="00DB57EC" w:rsidP="004E6BC0">
            <w:pPr>
              <w:pStyle w:val="TableColumnHeadingLeft"/>
            </w:pPr>
            <w:r w:rsidRPr="004E6BC0">
              <w:t>The PABs</w:t>
            </w:r>
          </w:p>
        </w:tc>
      </w:tr>
      <w:tr w:rsidR="00DB57EC" w:rsidRPr="00C158DA" w14:paraId="41E4955C" w14:textId="77777777" w:rsidTr="002572E4">
        <w:trPr>
          <w:cnfStyle w:val="100000000000" w:firstRow="1" w:lastRow="0" w:firstColumn="0" w:lastColumn="0" w:oddVBand="0" w:evenVBand="0" w:oddHBand="0" w:evenHBand="0" w:firstRowFirstColumn="0" w:firstRowLastColumn="0" w:lastRowFirstColumn="0" w:lastRowLastColumn="0"/>
          <w:tblHeader/>
        </w:trPr>
        <w:tc>
          <w:tcPr>
            <w:tcW w:w="317" w:type="pct"/>
            <w:shd w:val="clear" w:color="auto" w:fill="FFFFFF" w:themeFill="background1"/>
          </w:tcPr>
          <w:p w14:paraId="23D14CD9" w14:textId="77777777" w:rsidR="00DB57EC" w:rsidRPr="00C158DA" w:rsidRDefault="00DB57EC" w:rsidP="00C158DA">
            <w:pPr>
              <w:pStyle w:val="TableColumnHeadingLeft"/>
              <w:rPr>
                <w:b/>
                <w:szCs w:val="24"/>
              </w:rPr>
            </w:pPr>
            <w:r w:rsidRPr="00C158DA">
              <w:rPr>
                <w:b/>
                <w:szCs w:val="24"/>
              </w:rPr>
              <w:t>No.</w:t>
            </w:r>
          </w:p>
        </w:tc>
        <w:tc>
          <w:tcPr>
            <w:tcW w:w="1404" w:type="pct"/>
            <w:shd w:val="clear" w:color="auto" w:fill="FFFFFF" w:themeFill="background1"/>
          </w:tcPr>
          <w:p w14:paraId="2F7DDE46" w14:textId="77777777" w:rsidR="00DB57EC" w:rsidRPr="00C158DA" w:rsidRDefault="00DB57EC" w:rsidP="00C158DA">
            <w:pPr>
              <w:pStyle w:val="TableColumnHeadingLeft"/>
            </w:pPr>
            <w:r w:rsidRPr="00C158DA">
              <w:rPr>
                <w:b/>
                <w:szCs w:val="24"/>
              </w:rPr>
              <w:t>Recommendations</w:t>
            </w:r>
          </w:p>
        </w:tc>
        <w:tc>
          <w:tcPr>
            <w:tcW w:w="3279" w:type="pct"/>
            <w:shd w:val="clear" w:color="auto" w:fill="FFFFFF" w:themeFill="background1"/>
          </w:tcPr>
          <w:p w14:paraId="0AC4FB2D" w14:textId="5CC6DB52" w:rsidR="00DB57EC" w:rsidRPr="00C158DA" w:rsidRDefault="00DB57EC" w:rsidP="00C158DA">
            <w:pPr>
              <w:pStyle w:val="TableColumnHeadingLeft"/>
            </w:pPr>
            <w:r w:rsidRPr="00C158DA">
              <w:rPr>
                <w:b/>
                <w:szCs w:val="24"/>
              </w:rPr>
              <w:t>Responses</w:t>
            </w:r>
            <w:r w:rsidR="00675CEA">
              <w:rPr>
                <w:rFonts w:ascii="ZWAdobeF" w:hAnsi="ZWAdobeF" w:cs="ZWAdobeF"/>
                <w:sz w:val="2"/>
                <w:szCs w:val="2"/>
              </w:rPr>
              <w:t>51F</w:t>
            </w:r>
            <w:r w:rsidRPr="00C158DA">
              <w:rPr>
                <w:vertAlign w:val="superscript"/>
              </w:rPr>
              <w:footnoteReference w:id="52"/>
            </w:r>
          </w:p>
        </w:tc>
      </w:tr>
      <w:tr w:rsidR="00DB57EC" w:rsidRPr="001949FF" w14:paraId="000A5539" w14:textId="77777777" w:rsidTr="002572E4">
        <w:trPr>
          <w:trHeight w:val="183"/>
        </w:trPr>
        <w:tc>
          <w:tcPr>
            <w:tcW w:w="317" w:type="pct"/>
            <w:vMerge w:val="restart"/>
          </w:tcPr>
          <w:p w14:paraId="7942C41C" w14:textId="77777777" w:rsidR="00DB57EC" w:rsidRPr="00884820" w:rsidRDefault="00DB57EC" w:rsidP="002B666D">
            <w:pPr>
              <w:pStyle w:val="TableTextLeft"/>
            </w:pPr>
            <w:r w:rsidRPr="00884820">
              <w:t>1</w:t>
            </w:r>
          </w:p>
        </w:tc>
        <w:tc>
          <w:tcPr>
            <w:tcW w:w="1404" w:type="pct"/>
            <w:vMerge w:val="restart"/>
          </w:tcPr>
          <w:p w14:paraId="116A5046" w14:textId="77777777" w:rsidR="00DB57EC" w:rsidRPr="00884820" w:rsidRDefault="00DB57EC" w:rsidP="002B666D">
            <w:pPr>
              <w:pStyle w:val="TableTextLeft"/>
            </w:pPr>
            <w:r w:rsidRPr="00884820">
              <w:t>Professional bodies should refer to ASIC all matters relating to RCAs where there appears there may be a breach of the law. </w:t>
            </w:r>
          </w:p>
        </w:tc>
        <w:tc>
          <w:tcPr>
            <w:tcW w:w="3279" w:type="pct"/>
          </w:tcPr>
          <w:p w14:paraId="369648B3" w14:textId="77777777" w:rsidR="00DB57EC" w:rsidRPr="00800870" w:rsidRDefault="00DB57EC" w:rsidP="002B666D">
            <w:pPr>
              <w:pStyle w:val="TableTextLeft"/>
              <w:rPr>
                <w:b/>
                <w:bCs/>
              </w:rPr>
            </w:pPr>
            <w:r w:rsidRPr="00800870">
              <w:rPr>
                <w:b/>
                <w:bCs/>
              </w:rPr>
              <w:t>CPA</w:t>
            </w:r>
          </w:p>
          <w:p w14:paraId="616BCFA8" w14:textId="615C3DDD" w:rsidR="00DB57EC" w:rsidRPr="00884820" w:rsidRDefault="00DB57EC" w:rsidP="002B666D">
            <w:pPr>
              <w:pStyle w:val="TableTextLeft"/>
            </w:pPr>
            <w:r w:rsidRPr="00884820">
              <w:t>Due to privacy regulations CPA Australia can only refer to ASIC evidence of breaches of law or matters that have been published and/or the Disciplinary Tribunal specifies that ASIC is to be notified. Where this is the case CPA Australia</w:t>
            </w:r>
            <w:r w:rsidR="00EB0779">
              <w:t>’</w:t>
            </w:r>
            <w:r w:rsidRPr="00884820">
              <w:t>s Professional Conduct Unit will notify ASIC in writing.</w:t>
            </w:r>
          </w:p>
        </w:tc>
      </w:tr>
      <w:tr w:rsidR="00DB57EC" w:rsidRPr="001949FF" w14:paraId="1589DC4E" w14:textId="77777777" w:rsidTr="002572E4">
        <w:trPr>
          <w:trHeight w:val="181"/>
        </w:trPr>
        <w:tc>
          <w:tcPr>
            <w:tcW w:w="317" w:type="pct"/>
            <w:vMerge/>
          </w:tcPr>
          <w:p w14:paraId="2774227B" w14:textId="77777777" w:rsidR="00DB57EC" w:rsidRPr="00884820" w:rsidRDefault="00DB57EC" w:rsidP="002B666D">
            <w:pPr>
              <w:pStyle w:val="TableTextLeft"/>
            </w:pPr>
          </w:p>
        </w:tc>
        <w:tc>
          <w:tcPr>
            <w:tcW w:w="1404" w:type="pct"/>
            <w:vMerge/>
          </w:tcPr>
          <w:p w14:paraId="2D5B9A0F" w14:textId="77777777" w:rsidR="00DB57EC" w:rsidRPr="00884820" w:rsidRDefault="00DB57EC" w:rsidP="002B666D">
            <w:pPr>
              <w:pStyle w:val="TableTextLeft"/>
            </w:pPr>
          </w:p>
        </w:tc>
        <w:tc>
          <w:tcPr>
            <w:tcW w:w="3279" w:type="pct"/>
          </w:tcPr>
          <w:p w14:paraId="2E31FC9B" w14:textId="77777777" w:rsidR="00DB57EC" w:rsidRPr="00800870" w:rsidRDefault="00DB57EC" w:rsidP="002B666D">
            <w:pPr>
              <w:pStyle w:val="TableTextLeft"/>
              <w:rPr>
                <w:b/>
                <w:bCs/>
              </w:rPr>
            </w:pPr>
            <w:r w:rsidRPr="00800870">
              <w:rPr>
                <w:b/>
                <w:bCs/>
              </w:rPr>
              <w:t>CA ANZ</w:t>
            </w:r>
          </w:p>
          <w:p w14:paraId="7DC1F967" w14:textId="2BDCE76C" w:rsidR="00DB57EC" w:rsidRPr="00884820" w:rsidRDefault="00DB57EC" w:rsidP="002B666D">
            <w:pPr>
              <w:pStyle w:val="TableTextLeft"/>
            </w:pPr>
            <w:r w:rsidRPr="00884820">
              <w:t>Due to confidentiality requirements, this would need to be a specific sanction applied to the member, CA ANZ will amend the operating guidelines to facilitate this.</w:t>
            </w:r>
          </w:p>
        </w:tc>
      </w:tr>
      <w:tr w:rsidR="00DB57EC" w:rsidRPr="001949FF" w14:paraId="7EAED0AD" w14:textId="77777777" w:rsidTr="002572E4">
        <w:trPr>
          <w:trHeight w:val="181"/>
        </w:trPr>
        <w:tc>
          <w:tcPr>
            <w:tcW w:w="317" w:type="pct"/>
            <w:vMerge/>
          </w:tcPr>
          <w:p w14:paraId="64D567C9" w14:textId="77777777" w:rsidR="00DB57EC" w:rsidRPr="00884820" w:rsidRDefault="00DB57EC" w:rsidP="00D562CC">
            <w:pPr>
              <w:rPr>
                <w:rFonts w:cstheme="minorHAnsi"/>
                <w:kern w:val="2"/>
                <w:sz w:val="22"/>
                <w:szCs w:val="22"/>
                <w14:ligatures w14:val="standardContextual"/>
              </w:rPr>
            </w:pPr>
          </w:p>
        </w:tc>
        <w:tc>
          <w:tcPr>
            <w:tcW w:w="1404" w:type="pct"/>
            <w:vMerge/>
          </w:tcPr>
          <w:p w14:paraId="69FB86D9" w14:textId="77777777" w:rsidR="00DB57EC" w:rsidRPr="00884820" w:rsidRDefault="00DB57EC" w:rsidP="002B666D">
            <w:pPr>
              <w:pStyle w:val="TableTextLeft"/>
              <w:rPr>
                <w:rFonts w:cstheme="minorHAnsi"/>
                <w:kern w:val="2"/>
                <w:sz w:val="22"/>
                <w:szCs w:val="22"/>
                <w14:ligatures w14:val="standardContextual"/>
              </w:rPr>
            </w:pPr>
          </w:p>
        </w:tc>
        <w:tc>
          <w:tcPr>
            <w:tcW w:w="3279" w:type="pct"/>
          </w:tcPr>
          <w:p w14:paraId="71712432" w14:textId="77777777" w:rsidR="00DB57EC" w:rsidRPr="002B666D" w:rsidRDefault="00DB57EC" w:rsidP="002B666D">
            <w:pPr>
              <w:pStyle w:val="TableTextLeft"/>
              <w:rPr>
                <w:b/>
                <w:bCs/>
              </w:rPr>
            </w:pPr>
            <w:r w:rsidRPr="002B666D">
              <w:rPr>
                <w:b/>
                <w:bCs/>
              </w:rPr>
              <w:t>IPA</w:t>
            </w:r>
          </w:p>
          <w:p w14:paraId="1C868B8D" w14:textId="3384A1D4" w:rsidR="00DB57EC" w:rsidRPr="002B666D" w:rsidRDefault="00DB57EC" w:rsidP="002B666D">
            <w:pPr>
              <w:pStyle w:val="TableTextLeft"/>
            </w:pPr>
            <w:r w:rsidRPr="002B666D">
              <w:t>The IPA has not had cause to report to ASIC as we are not aware of any RCA members breaching the law. All breaches have been against professional and ethical standards and IPA by</w:t>
            </w:r>
            <w:r w:rsidR="00EB0779">
              <w:noBreakHyphen/>
            </w:r>
            <w:r w:rsidRPr="002B666D">
              <w:t>laws. If the situation should arise, we will refer the matter to ASIC. The IPA has on the other hand, had members refer breaches of the law to ASIC relating to a range of matters</w:t>
            </w:r>
            <w:r w:rsidR="00EB0779">
              <w:t xml:space="preserve">. </w:t>
            </w:r>
          </w:p>
          <w:p w14:paraId="70A45D96" w14:textId="77777777" w:rsidR="00DB57EC" w:rsidRPr="002B666D" w:rsidRDefault="00DB57EC" w:rsidP="002B666D">
            <w:pPr>
              <w:pStyle w:val="TableTextLeft"/>
            </w:pPr>
          </w:p>
          <w:p w14:paraId="66810522" w14:textId="179CC94F" w:rsidR="00DB57EC" w:rsidRPr="002B666D" w:rsidRDefault="00DB57EC" w:rsidP="002B666D">
            <w:pPr>
              <w:pStyle w:val="TableTextLeft"/>
            </w:pPr>
            <w:r w:rsidRPr="002B666D">
              <w:t>Members are obliged under Non</w:t>
            </w:r>
            <w:r w:rsidR="00EB0779">
              <w:noBreakHyphen/>
            </w:r>
            <w:r w:rsidRPr="002B666D">
              <w:t>compliance with Laws and Regulations to report potential and actual material breaches of laws and regulations to the relevant public authority, and this obligation is consistently reinforced with all IPA members. The IPA have assisted members in this regard on numerous occasions.</w:t>
            </w:r>
          </w:p>
        </w:tc>
      </w:tr>
      <w:tr w:rsidR="00DB57EC" w:rsidRPr="001949FF" w14:paraId="72568680" w14:textId="77777777" w:rsidTr="002572E4">
        <w:trPr>
          <w:trHeight w:val="405"/>
        </w:trPr>
        <w:tc>
          <w:tcPr>
            <w:tcW w:w="317" w:type="pct"/>
            <w:vMerge w:val="restart"/>
          </w:tcPr>
          <w:p w14:paraId="13886932" w14:textId="77777777" w:rsidR="00DB57EC" w:rsidRPr="00884820" w:rsidRDefault="00DB57EC" w:rsidP="004E6BC0">
            <w:pPr>
              <w:pStyle w:val="TableTextLeft"/>
            </w:pPr>
            <w:r w:rsidRPr="00884820">
              <w:t>2</w:t>
            </w:r>
          </w:p>
        </w:tc>
        <w:tc>
          <w:tcPr>
            <w:tcW w:w="1404" w:type="pct"/>
            <w:vMerge w:val="restart"/>
          </w:tcPr>
          <w:p w14:paraId="73386FD0" w14:textId="58AFB603" w:rsidR="00DB57EC" w:rsidRPr="004E6BC0" w:rsidRDefault="00DB57EC" w:rsidP="004E6BC0">
            <w:pPr>
              <w:pStyle w:val="TableTextLeft"/>
            </w:pPr>
            <w:r w:rsidRPr="004E6BC0">
              <w:t>Professional bodies should accurately record all disciplinary processes, including those that lead to no substantive action, and the reasons for the decision. They should also distinguish between lack of evidence that conduct was inappropriate and lack of evidence because information was not provided</w:t>
            </w:r>
            <w:r w:rsidR="00EB0779">
              <w:t xml:space="preserve">. </w:t>
            </w:r>
          </w:p>
        </w:tc>
        <w:tc>
          <w:tcPr>
            <w:tcW w:w="3279" w:type="pct"/>
          </w:tcPr>
          <w:p w14:paraId="572677CC" w14:textId="77777777" w:rsidR="00DB57EC" w:rsidRPr="004E6BC0" w:rsidRDefault="00DB57EC" w:rsidP="004E6BC0">
            <w:pPr>
              <w:pStyle w:val="TableTextLeft"/>
              <w:rPr>
                <w:b/>
                <w:bCs/>
              </w:rPr>
            </w:pPr>
            <w:r w:rsidRPr="004E6BC0">
              <w:rPr>
                <w:b/>
                <w:bCs/>
              </w:rPr>
              <w:t>CPA</w:t>
            </w:r>
          </w:p>
          <w:p w14:paraId="075210AE" w14:textId="2C193D95" w:rsidR="00DB57EC" w:rsidRPr="004E6BC0" w:rsidRDefault="00DB57EC" w:rsidP="004E6BC0">
            <w:pPr>
              <w:pStyle w:val="TableTextLeft"/>
            </w:pPr>
            <w:r w:rsidRPr="004E6BC0">
              <w:t>All disciplinary processes are recorded accurately and electronically by the Professional Conduct Unit of CPA, including reasons for the decisions. Outcomes of Disciplinary Tribunal hearings are recorded, including the reasons for sustaining (or dismissing) complaints/allegations and the reasons for the penalty/</w:t>
            </w:r>
            <w:proofErr w:type="spellStart"/>
            <w:r w:rsidRPr="004E6BC0">
              <w:t>ies</w:t>
            </w:r>
            <w:proofErr w:type="spellEnd"/>
            <w:r w:rsidRPr="004E6BC0">
              <w:t xml:space="preserve"> imposed. For those matters that do not proceed to a Disciplinary Tribunal for hearing due to either insufficient evidence provided by the </w:t>
            </w:r>
            <w:proofErr w:type="gramStart"/>
            <w:r w:rsidRPr="004E6BC0">
              <w:t>complainant</w:t>
            </w:r>
            <w:proofErr w:type="gramEnd"/>
            <w:r w:rsidRPr="004E6BC0">
              <w:t xml:space="preserve"> or the evidence provided does not support the allegations made, reasons for the decision are recorded in the final report and communicated to the parties involved.</w:t>
            </w:r>
          </w:p>
        </w:tc>
      </w:tr>
      <w:tr w:rsidR="00DB57EC" w:rsidRPr="001949FF" w14:paraId="71329D02" w14:textId="77777777" w:rsidTr="002572E4">
        <w:trPr>
          <w:trHeight w:val="403"/>
        </w:trPr>
        <w:tc>
          <w:tcPr>
            <w:tcW w:w="317" w:type="pct"/>
            <w:vMerge/>
          </w:tcPr>
          <w:p w14:paraId="7C72CB8A" w14:textId="77777777" w:rsidR="00DB57EC" w:rsidRPr="00884820" w:rsidRDefault="00DB57EC" w:rsidP="00D562CC">
            <w:pPr>
              <w:rPr>
                <w:rFonts w:cstheme="minorHAnsi"/>
                <w:kern w:val="2"/>
                <w:sz w:val="22"/>
                <w:szCs w:val="22"/>
                <w14:ligatures w14:val="standardContextual"/>
              </w:rPr>
            </w:pPr>
          </w:p>
        </w:tc>
        <w:tc>
          <w:tcPr>
            <w:tcW w:w="1404" w:type="pct"/>
            <w:vMerge/>
          </w:tcPr>
          <w:p w14:paraId="5AF774D4" w14:textId="77777777" w:rsidR="00DB57EC" w:rsidRPr="004E6BC0" w:rsidRDefault="00DB57EC" w:rsidP="004E6BC0">
            <w:pPr>
              <w:pStyle w:val="TableTextLeft"/>
            </w:pPr>
          </w:p>
        </w:tc>
        <w:tc>
          <w:tcPr>
            <w:tcW w:w="3279" w:type="pct"/>
          </w:tcPr>
          <w:p w14:paraId="6249C10E" w14:textId="77777777" w:rsidR="00DB57EC" w:rsidRPr="004E6BC0" w:rsidRDefault="00DB57EC" w:rsidP="004E6BC0">
            <w:pPr>
              <w:pStyle w:val="TableTextLeft"/>
              <w:rPr>
                <w:b/>
                <w:bCs/>
              </w:rPr>
            </w:pPr>
            <w:r w:rsidRPr="004E6BC0">
              <w:rPr>
                <w:b/>
                <w:bCs/>
              </w:rPr>
              <w:t>CA ANZ</w:t>
            </w:r>
          </w:p>
          <w:p w14:paraId="48654C72" w14:textId="3C5993C8" w:rsidR="00DB57EC" w:rsidRPr="004E6BC0" w:rsidRDefault="00DB57EC" w:rsidP="004E6BC0">
            <w:pPr>
              <w:pStyle w:val="TableTextLeft"/>
            </w:pPr>
            <w:r w:rsidRPr="004E6BC0">
              <w:t xml:space="preserve">CA ANZ records all disciplinary </w:t>
            </w:r>
            <w:proofErr w:type="gramStart"/>
            <w:r w:rsidRPr="004E6BC0">
              <w:t>processes, and</w:t>
            </w:r>
            <w:proofErr w:type="gramEnd"/>
            <w:r w:rsidRPr="004E6BC0">
              <w:t xml:space="preserve"> will however amend the recording to distinguish between lack of evidence that conduct was inappropriate and lack of evidence because information was not provided.</w:t>
            </w:r>
          </w:p>
        </w:tc>
      </w:tr>
      <w:tr w:rsidR="00DB57EC" w:rsidRPr="001949FF" w14:paraId="16048E6B" w14:textId="77777777" w:rsidTr="002572E4">
        <w:trPr>
          <w:trHeight w:val="403"/>
        </w:trPr>
        <w:tc>
          <w:tcPr>
            <w:tcW w:w="317" w:type="pct"/>
            <w:vMerge/>
          </w:tcPr>
          <w:p w14:paraId="3DBE4FA3" w14:textId="77777777" w:rsidR="00DB57EC" w:rsidRPr="00884820" w:rsidRDefault="00DB57EC" w:rsidP="00D562CC">
            <w:pPr>
              <w:rPr>
                <w:rFonts w:cstheme="minorHAnsi"/>
                <w:kern w:val="2"/>
                <w:sz w:val="22"/>
                <w:szCs w:val="22"/>
                <w14:ligatures w14:val="standardContextual"/>
              </w:rPr>
            </w:pPr>
          </w:p>
        </w:tc>
        <w:tc>
          <w:tcPr>
            <w:tcW w:w="1404" w:type="pct"/>
            <w:vMerge/>
          </w:tcPr>
          <w:p w14:paraId="4901E812" w14:textId="77777777" w:rsidR="00DB57EC" w:rsidRPr="00884820" w:rsidRDefault="00DB57EC" w:rsidP="00D562CC">
            <w:pPr>
              <w:rPr>
                <w:rFonts w:cstheme="minorHAnsi"/>
                <w:kern w:val="2"/>
                <w:sz w:val="22"/>
                <w:szCs w:val="22"/>
                <w14:ligatures w14:val="standardContextual"/>
              </w:rPr>
            </w:pPr>
          </w:p>
        </w:tc>
        <w:tc>
          <w:tcPr>
            <w:tcW w:w="3279" w:type="pct"/>
          </w:tcPr>
          <w:p w14:paraId="6930DBCB" w14:textId="77777777" w:rsidR="00DB57EC" w:rsidRPr="004E6BC0" w:rsidRDefault="00DB57EC" w:rsidP="00B206D4">
            <w:pPr>
              <w:pStyle w:val="TableTextLeft"/>
              <w:rPr>
                <w:b/>
                <w:bCs/>
              </w:rPr>
            </w:pPr>
            <w:r w:rsidRPr="004E6BC0">
              <w:rPr>
                <w:b/>
                <w:bCs/>
              </w:rPr>
              <w:t>IPA</w:t>
            </w:r>
          </w:p>
          <w:p w14:paraId="126CF21C" w14:textId="77777777" w:rsidR="00DB57EC" w:rsidRPr="00884820" w:rsidRDefault="00DB57EC" w:rsidP="00B206D4">
            <w:pPr>
              <w:pStyle w:val="TableTextLeft"/>
            </w:pPr>
            <w:r w:rsidRPr="00884820">
              <w:t>This is already being done.</w:t>
            </w:r>
            <w:r>
              <w:t xml:space="preserve"> The IPA records all disciplinary action taken against members. The IPA ensures that the information recorded includes reasons for the decision including where there is lack of evidence that conduct was inappropriate, and lack of evidence because information was not provided.</w:t>
            </w:r>
            <w:r w:rsidRPr="00884820">
              <w:t xml:space="preserve"> IPA members who face disciplinary action can be penalised for failing to provide information requested as part of the disciplinary process. </w:t>
            </w:r>
          </w:p>
          <w:p w14:paraId="7890DD35" w14:textId="77777777" w:rsidR="00DB57EC" w:rsidRPr="00884820" w:rsidRDefault="00DB57EC" w:rsidP="00B206D4">
            <w:pPr>
              <w:pStyle w:val="TableTextLeft"/>
            </w:pPr>
            <w:r w:rsidRPr="00884820">
              <w:t> </w:t>
            </w:r>
          </w:p>
          <w:p w14:paraId="0B780280" w14:textId="5C4893DF" w:rsidR="00DB57EC" w:rsidRPr="004E6BC0" w:rsidRDefault="00DB57EC" w:rsidP="004E6BC0">
            <w:pPr>
              <w:pStyle w:val="TableTextLeft"/>
            </w:pPr>
            <w:r w:rsidRPr="00884820">
              <w:t>Since COVID</w:t>
            </w:r>
            <w:r w:rsidR="00EB0779">
              <w:noBreakHyphen/>
            </w:r>
            <w:r w:rsidRPr="00884820">
              <w:t xml:space="preserve">19, IPA has introduced enhanced record keeping and reporting </w:t>
            </w:r>
            <w:proofErr w:type="gramStart"/>
            <w:r w:rsidRPr="00884820">
              <w:t>through the use of</w:t>
            </w:r>
            <w:proofErr w:type="gramEnd"/>
            <w:r w:rsidRPr="00884820">
              <w:t xml:space="preserve"> digital document management systems, electronic signatures, enhanced recording, improved online public and member communications, and our Disciplinary Tribunal hearings are entirely virtual. Further digitisation is currently underway which will lead to more improvements in the overall disciplinary process</w:t>
            </w:r>
            <w:r w:rsidR="00EB0779">
              <w:t xml:space="preserve">. </w:t>
            </w:r>
            <w:r w:rsidRPr="00884820">
              <w:t>In addition</w:t>
            </w:r>
            <w:r>
              <w:t xml:space="preserve"> to a process of continuous improvement,</w:t>
            </w:r>
            <w:r w:rsidRPr="00884820">
              <w:t xml:space="preserve"> the IPA</w:t>
            </w:r>
            <w:r>
              <w:t xml:space="preserve"> </w:t>
            </w:r>
            <w:r w:rsidRPr="00884820">
              <w:t xml:space="preserve">commenced a </w:t>
            </w:r>
            <w:r>
              <w:t xml:space="preserve">root and branch </w:t>
            </w:r>
            <w:r w:rsidRPr="00884820">
              <w:t xml:space="preserve">review of its complaints and disciplinary </w:t>
            </w:r>
            <w:r>
              <w:t xml:space="preserve">system and </w:t>
            </w:r>
            <w:r w:rsidRPr="00884820">
              <w:t>processes to ensure they are operating at best practice levels.</w:t>
            </w:r>
            <w:r>
              <w:t xml:space="preserve"> The final tranche will be completed in early 2024</w:t>
            </w:r>
            <w:r w:rsidR="00EB0779">
              <w:t xml:space="preserve">. </w:t>
            </w:r>
            <w:r w:rsidRPr="00884820">
              <w:t xml:space="preserve"> </w:t>
            </w:r>
          </w:p>
        </w:tc>
      </w:tr>
      <w:tr w:rsidR="00DB57EC" w:rsidRPr="001949FF" w14:paraId="4C3787B4" w14:textId="77777777" w:rsidTr="002572E4">
        <w:trPr>
          <w:trHeight w:val="256"/>
        </w:trPr>
        <w:tc>
          <w:tcPr>
            <w:tcW w:w="317" w:type="pct"/>
            <w:vMerge w:val="restart"/>
          </w:tcPr>
          <w:p w14:paraId="47D84EE6" w14:textId="77777777" w:rsidR="00DB57EC" w:rsidRPr="00884820" w:rsidRDefault="00DB57EC" w:rsidP="00B206D4">
            <w:pPr>
              <w:pStyle w:val="TableTextLeft"/>
            </w:pPr>
            <w:r w:rsidRPr="00884820">
              <w:t>3</w:t>
            </w:r>
          </w:p>
        </w:tc>
        <w:tc>
          <w:tcPr>
            <w:tcW w:w="1404" w:type="pct"/>
            <w:vMerge w:val="restart"/>
          </w:tcPr>
          <w:p w14:paraId="5057B7F4" w14:textId="59938CE9" w:rsidR="00DB57EC" w:rsidRPr="00E7081F" w:rsidRDefault="00DB57EC" w:rsidP="00B206D4">
            <w:pPr>
              <w:pStyle w:val="TableTextLeft"/>
            </w:pPr>
            <w:r w:rsidRPr="00E7081F">
              <w:t>Professional bodies should formalise processes for advising each other and the FRC of their disciplinary proceedings, particularly regarding RCAs</w:t>
            </w:r>
            <w:r w:rsidR="00EB0779">
              <w:t xml:space="preserve">. </w:t>
            </w:r>
          </w:p>
        </w:tc>
        <w:tc>
          <w:tcPr>
            <w:tcW w:w="3279" w:type="pct"/>
          </w:tcPr>
          <w:p w14:paraId="5038E2C8" w14:textId="77777777" w:rsidR="00DB57EC" w:rsidRPr="004930A5" w:rsidRDefault="00DB57EC" w:rsidP="00B206D4">
            <w:pPr>
              <w:pStyle w:val="TableTextLeft"/>
              <w:rPr>
                <w:b/>
                <w:bCs/>
              </w:rPr>
            </w:pPr>
            <w:r w:rsidRPr="004930A5">
              <w:rPr>
                <w:b/>
                <w:bCs/>
              </w:rPr>
              <w:t>CPA</w:t>
            </w:r>
          </w:p>
          <w:p w14:paraId="6FCAA562" w14:textId="5F2E4A93" w:rsidR="00DB57EC" w:rsidRPr="00E7081F" w:rsidRDefault="00DB57EC" w:rsidP="00B206D4">
            <w:pPr>
              <w:pStyle w:val="TableTextLeft"/>
            </w:pPr>
            <w:r w:rsidRPr="00E7081F">
              <w:t>CPA Australia has continued to review how it may form closer ties with other statutory and professional bodies to directly advise them of disciplinary outcomes that are publicly available on CPA Australia</w:t>
            </w:r>
            <w:r w:rsidR="00EB0779">
              <w:t>’</w:t>
            </w:r>
            <w:r w:rsidRPr="00E7081F">
              <w:t xml:space="preserve">s website. In September 2020 CPA Australia and the FRC signed a </w:t>
            </w:r>
            <w:hyperlink r:id="rId75" w:history="1">
              <w:r w:rsidRPr="009E66B7">
                <w:rPr>
                  <w:rStyle w:val="Hyperlink"/>
                  <w:rFonts w:cstheme="minorHAnsi"/>
                  <w:kern w:val="2"/>
                  <w:szCs w:val="22"/>
                  <w14:ligatures w14:val="standardContextual"/>
                </w:rPr>
                <w:t>MOU</w:t>
              </w:r>
            </w:hyperlink>
            <w:r w:rsidRPr="00E7081F">
              <w:t xml:space="preserve"> to collaborate wherever possible and mutually beneficial to ensure audit quality and to promote open discussion on issues relating to audit quality. </w:t>
            </w:r>
          </w:p>
        </w:tc>
      </w:tr>
      <w:tr w:rsidR="00DB57EC" w:rsidRPr="001949FF" w14:paraId="610E1282" w14:textId="77777777" w:rsidTr="002572E4">
        <w:trPr>
          <w:trHeight w:val="254"/>
        </w:trPr>
        <w:tc>
          <w:tcPr>
            <w:tcW w:w="317" w:type="pct"/>
            <w:vMerge/>
          </w:tcPr>
          <w:p w14:paraId="095DDBD6" w14:textId="77777777" w:rsidR="00DB57EC" w:rsidRPr="00884820" w:rsidRDefault="00DB57EC" w:rsidP="00D562CC">
            <w:pPr>
              <w:rPr>
                <w:rFonts w:cstheme="minorHAnsi"/>
                <w:kern w:val="2"/>
                <w:sz w:val="22"/>
                <w:szCs w:val="22"/>
                <w14:ligatures w14:val="standardContextual"/>
              </w:rPr>
            </w:pPr>
          </w:p>
        </w:tc>
        <w:tc>
          <w:tcPr>
            <w:tcW w:w="1404" w:type="pct"/>
            <w:vMerge/>
          </w:tcPr>
          <w:p w14:paraId="70C7533E" w14:textId="77777777" w:rsidR="00DB57EC" w:rsidRPr="00884820" w:rsidRDefault="00DB57EC" w:rsidP="00D562CC">
            <w:pPr>
              <w:rPr>
                <w:rFonts w:cstheme="minorHAnsi"/>
                <w:kern w:val="2"/>
                <w:sz w:val="22"/>
                <w:szCs w:val="22"/>
                <w14:ligatures w14:val="standardContextual"/>
              </w:rPr>
            </w:pPr>
          </w:p>
        </w:tc>
        <w:tc>
          <w:tcPr>
            <w:tcW w:w="3279" w:type="pct"/>
          </w:tcPr>
          <w:p w14:paraId="29D15BB3" w14:textId="77777777" w:rsidR="00DB57EC" w:rsidRPr="004E6BC0" w:rsidRDefault="00DB57EC" w:rsidP="00B206D4">
            <w:pPr>
              <w:pStyle w:val="TableTextLeft"/>
              <w:rPr>
                <w:b/>
                <w:bCs/>
              </w:rPr>
            </w:pPr>
            <w:r w:rsidRPr="004E6BC0">
              <w:rPr>
                <w:b/>
                <w:bCs/>
              </w:rPr>
              <w:t xml:space="preserve">CA ANZ </w:t>
            </w:r>
          </w:p>
          <w:p w14:paraId="5FB7A456" w14:textId="77777777" w:rsidR="00DB57EC" w:rsidRPr="00884820" w:rsidRDefault="00DB57EC" w:rsidP="00B206D4">
            <w:pPr>
              <w:pStyle w:val="TableTextLeft"/>
            </w:pPr>
            <w:r w:rsidRPr="00884820">
              <w:t>Due to confidentiality requirements, this would need to be a specific sanction applied to the member, CA ANZ will amend the operating guidelines to facilitate this.</w:t>
            </w:r>
          </w:p>
          <w:p w14:paraId="23286DEE" w14:textId="44247C0C" w:rsidR="00DB57EC" w:rsidRPr="00884820" w:rsidRDefault="00DB57EC" w:rsidP="00B206D4">
            <w:pPr>
              <w:pStyle w:val="TableTextLeft"/>
            </w:pPr>
            <w:r>
              <w:t>In addition i</w:t>
            </w:r>
            <w:r w:rsidRPr="00884820">
              <w:t>n September 2020 CA ANZ and the FRC signed</w:t>
            </w:r>
            <w:r>
              <w:t xml:space="preserve"> </w:t>
            </w:r>
            <w:r w:rsidRPr="00884820">
              <w:t xml:space="preserve">a </w:t>
            </w:r>
            <w:hyperlink r:id="rId76" w:history="1">
              <w:r w:rsidRPr="00B01373">
                <w:rPr>
                  <w:rStyle w:val="Hyperlink"/>
                  <w:rFonts w:cstheme="minorHAnsi"/>
                  <w:kern w:val="2"/>
                  <w:szCs w:val="22"/>
                  <w14:ligatures w14:val="standardContextual"/>
                </w:rPr>
                <w:t>MOU</w:t>
              </w:r>
            </w:hyperlink>
            <w:r w:rsidRPr="00884820">
              <w:t xml:space="preserve"> to collaborate wherever possible and mutually beneficial to ensure audit quality and to promote open discussion on issues relating to audit quality</w:t>
            </w:r>
            <w:r>
              <w:t xml:space="preserve">. As part of this </w:t>
            </w:r>
            <w:r w:rsidRPr="00884820">
              <w:t>CA ANZ undertakes to inform the FRC of any disciplinary action taken against any member of CA ANZ in relation to a breach of CA ANZ</w:t>
            </w:r>
            <w:r w:rsidR="00EB0779">
              <w:t>’</w:t>
            </w:r>
            <w:r w:rsidRPr="00884820">
              <w:t xml:space="preserve">s audit quality requirements without necessarily identifying individual auditors. CA ANZ will also inform the FRC when it is aware that one of its members has been referred to the CADB in relation to a breach of audit quality requirements. </w:t>
            </w:r>
          </w:p>
        </w:tc>
      </w:tr>
      <w:tr w:rsidR="00DB57EC" w:rsidRPr="001949FF" w14:paraId="7AA3AEB9" w14:textId="77777777" w:rsidTr="002572E4">
        <w:trPr>
          <w:trHeight w:val="254"/>
        </w:trPr>
        <w:tc>
          <w:tcPr>
            <w:tcW w:w="317" w:type="pct"/>
            <w:vMerge/>
          </w:tcPr>
          <w:p w14:paraId="73E8F744" w14:textId="77777777" w:rsidR="00DB57EC" w:rsidRPr="00884820" w:rsidRDefault="00DB57EC" w:rsidP="00D562CC">
            <w:pPr>
              <w:rPr>
                <w:rFonts w:cstheme="minorHAnsi"/>
                <w:kern w:val="2"/>
                <w:sz w:val="22"/>
                <w:szCs w:val="22"/>
                <w14:ligatures w14:val="standardContextual"/>
              </w:rPr>
            </w:pPr>
          </w:p>
        </w:tc>
        <w:tc>
          <w:tcPr>
            <w:tcW w:w="1404" w:type="pct"/>
            <w:vMerge/>
          </w:tcPr>
          <w:p w14:paraId="4B62D713" w14:textId="77777777" w:rsidR="00DB57EC" w:rsidRPr="00884820" w:rsidRDefault="00DB57EC" w:rsidP="00D562CC">
            <w:pPr>
              <w:rPr>
                <w:rFonts w:cstheme="minorHAnsi"/>
                <w:kern w:val="2"/>
                <w:sz w:val="22"/>
                <w:szCs w:val="22"/>
                <w14:ligatures w14:val="standardContextual"/>
              </w:rPr>
            </w:pPr>
          </w:p>
        </w:tc>
        <w:tc>
          <w:tcPr>
            <w:tcW w:w="3279" w:type="pct"/>
          </w:tcPr>
          <w:p w14:paraId="29E1D8FB" w14:textId="77777777" w:rsidR="00DB57EC" w:rsidRPr="004E6BC0" w:rsidRDefault="00DB57EC" w:rsidP="00B206D4">
            <w:pPr>
              <w:pStyle w:val="TableTextLeft"/>
              <w:rPr>
                <w:b/>
                <w:bCs/>
              </w:rPr>
            </w:pPr>
            <w:r w:rsidRPr="004E6BC0">
              <w:rPr>
                <w:b/>
                <w:bCs/>
              </w:rPr>
              <w:t>IPA</w:t>
            </w:r>
          </w:p>
          <w:p w14:paraId="410868A7" w14:textId="0EDA901C" w:rsidR="00DB57EC" w:rsidRPr="00884820" w:rsidRDefault="00DB57EC" w:rsidP="00B206D4">
            <w:pPr>
              <w:pStyle w:val="TableTextLeft"/>
            </w:pPr>
            <w:r w:rsidRPr="00884820">
              <w:t xml:space="preserve">The outcomes of </w:t>
            </w:r>
            <w:r>
              <w:t>IPA</w:t>
            </w:r>
            <w:r w:rsidR="00EB0779">
              <w:t>’</w:t>
            </w:r>
            <w:r>
              <w:t>s</w:t>
            </w:r>
            <w:r w:rsidRPr="00884820">
              <w:t xml:space="preserve"> disciplinary proceedings are published, and members are required to report any disciplinary action taken by other bodies or regulators etc and can be penalised for failing to do so. The IPA ha</w:t>
            </w:r>
            <w:r>
              <w:t>s</w:t>
            </w:r>
            <w:r w:rsidRPr="00884820">
              <w:t xml:space="preserve"> not formalised processes with the other bodies, </w:t>
            </w:r>
            <w:r>
              <w:t xml:space="preserve">however subject to obtaining further legal advice, the IPA may be </w:t>
            </w:r>
            <w:proofErr w:type="gramStart"/>
            <w:r>
              <w:t>in a position</w:t>
            </w:r>
            <w:proofErr w:type="gramEnd"/>
            <w:r>
              <w:t xml:space="preserve"> to comply with or implement the recommendations. The IPA </w:t>
            </w:r>
            <w:r w:rsidRPr="00884820">
              <w:t xml:space="preserve">regularly </w:t>
            </w:r>
            <w:r>
              <w:t xml:space="preserve">engages with the other PABs and regulatory bodies to </w:t>
            </w:r>
            <w:r w:rsidRPr="00884820">
              <w:t xml:space="preserve">discuss developments, trends, and concerns. The IPA </w:t>
            </w:r>
            <w:r>
              <w:t>adheres to its</w:t>
            </w:r>
            <w:r w:rsidRPr="00884820">
              <w:t xml:space="preserve"> legal obligations on privacy and confidentiality and will take these into consideration. In September 2020 the IPA and the FRC signed a </w:t>
            </w:r>
            <w:hyperlink r:id="rId77" w:history="1">
              <w:r w:rsidRPr="009D24DF">
                <w:rPr>
                  <w:rStyle w:val="Hyperlink"/>
                  <w:rFonts w:cstheme="minorHAnsi"/>
                  <w:kern w:val="2"/>
                  <w:szCs w:val="22"/>
                  <w14:ligatures w14:val="standardContextual"/>
                </w:rPr>
                <w:t>MOU</w:t>
              </w:r>
            </w:hyperlink>
            <w:r w:rsidRPr="00884820">
              <w:t xml:space="preserve"> to collaborate wherever possible to promote open discussion on issues relating to audit quality.</w:t>
            </w:r>
          </w:p>
        </w:tc>
      </w:tr>
      <w:tr w:rsidR="00DB57EC" w:rsidRPr="001949FF" w14:paraId="222FFB3A" w14:textId="77777777" w:rsidTr="002572E4">
        <w:trPr>
          <w:trHeight w:val="256"/>
        </w:trPr>
        <w:tc>
          <w:tcPr>
            <w:tcW w:w="317" w:type="pct"/>
            <w:vMerge w:val="restart"/>
          </w:tcPr>
          <w:p w14:paraId="7472EA29" w14:textId="77777777" w:rsidR="00DB57EC" w:rsidRPr="00884820" w:rsidRDefault="00DB57EC" w:rsidP="00B206D4">
            <w:pPr>
              <w:pStyle w:val="TableTextLeft"/>
            </w:pPr>
            <w:r w:rsidRPr="00884820">
              <w:t>4</w:t>
            </w:r>
          </w:p>
        </w:tc>
        <w:tc>
          <w:tcPr>
            <w:tcW w:w="1404" w:type="pct"/>
            <w:vMerge w:val="restart"/>
          </w:tcPr>
          <w:p w14:paraId="778E29F1" w14:textId="77777777" w:rsidR="00DB57EC" w:rsidRPr="00884820" w:rsidRDefault="00DB57EC" w:rsidP="00B206D4">
            <w:pPr>
              <w:pStyle w:val="TableTextLeft"/>
            </w:pPr>
            <w:r w:rsidRPr="00884820">
              <w:t>Professional bodies should publicly report statistics on the number of complaints they receive, and the number of complaints that do not proceed.</w:t>
            </w:r>
          </w:p>
        </w:tc>
        <w:tc>
          <w:tcPr>
            <w:tcW w:w="3279" w:type="pct"/>
          </w:tcPr>
          <w:p w14:paraId="23EBF6EB" w14:textId="77777777" w:rsidR="00DB57EC" w:rsidRPr="00D75AB9" w:rsidRDefault="00DB57EC" w:rsidP="00B206D4">
            <w:pPr>
              <w:pStyle w:val="TableTextLeft"/>
              <w:rPr>
                <w:b/>
                <w:bCs/>
              </w:rPr>
            </w:pPr>
            <w:r w:rsidRPr="00D75AB9">
              <w:rPr>
                <w:b/>
                <w:bCs/>
              </w:rPr>
              <w:t>CPA</w:t>
            </w:r>
          </w:p>
          <w:p w14:paraId="0BB7B88F" w14:textId="04D41C9A" w:rsidR="00DB57EC" w:rsidRPr="00884820" w:rsidRDefault="00DB57EC" w:rsidP="00B206D4">
            <w:pPr>
              <w:pStyle w:val="TableTextLeft"/>
            </w:pPr>
            <w:r w:rsidRPr="00884820">
              <w:t>There has been no change in CPA</w:t>
            </w:r>
            <w:r w:rsidR="00EB0779">
              <w:t>’</w:t>
            </w:r>
            <w:r w:rsidRPr="00884820">
              <w:t>s complaints reporting processes since the update of March 2020. CPA Australia</w:t>
            </w:r>
            <w:r w:rsidR="00EB0779">
              <w:t>’</w:t>
            </w:r>
            <w:r w:rsidRPr="00884820">
              <w:t xml:space="preserve">s </w:t>
            </w:r>
            <w:hyperlink r:id="rId78" w:history="1">
              <w:r w:rsidRPr="00884820">
                <w:rPr>
                  <w:rStyle w:val="Hyperlink"/>
                </w:rPr>
                <w:t>Annual Integrated R</w:t>
              </w:r>
              <w:bookmarkStart w:id="79" w:name="_Hlt148625440"/>
              <w:bookmarkStart w:id="80" w:name="_Hlt148625441"/>
              <w:r w:rsidRPr="00884820">
                <w:rPr>
                  <w:rStyle w:val="Hyperlink"/>
                </w:rPr>
                <w:t>e</w:t>
              </w:r>
              <w:bookmarkEnd w:id="79"/>
              <w:bookmarkEnd w:id="80"/>
              <w:r w:rsidRPr="00884820">
                <w:rPr>
                  <w:rStyle w:val="Hyperlink"/>
                </w:rPr>
                <w:t>port</w:t>
              </w:r>
            </w:hyperlink>
            <w:r w:rsidRPr="00884820">
              <w:t xml:space="preserve"> contains statistics relating to the source of complaints received, those investigated and closed due to lack of supporting evidence and complaints brought before a disciplinary tribunal and penalties imposed. </w:t>
            </w:r>
          </w:p>
        </w:tc>
      </w:tr>
      <w:tr w:rsidR="00DB57EC" w:rsidRPr="001949FF" w14:paraId="78C0D777" w14:textId="77777777" w:rsidTr="002572E4">
        <w:trPr>
          <w:trHeight w:val="254"/>
        </w:trPr>
        <w:tc>
          <w:tcPr>
            <w:tcW w:w="317" w:type="pct"/>
            <w:vMerge/>
          </w:tcPr>
          <w:p w14:paraId="25C5992B" w14:textId="77777777" w:rsidR="00DB57EC" w:rsidRPr="00884820" w:rsidRDefault="00DB57EC" w:rsidP="00B206D4">
            <w:pPr>
              <w:pStyle w:val="TableTextLeft"/>
            </w:pPr>
          </w:p>
        </w:tc>
        <w:tc>
          <w:tcPr>
            <w:tcW w:w="1404" w:type="pct"/>
            <w:vMerge/>
          </w:tcPr>
          <w:p w14:paraId="2891C9D5" w14:textId="77777777" w:rsidR="00DB57EC" w:rsidRPr="00884820" w:rsidRDefault="00DB57EC" w:rsidP="00B206D4">
            <w:pPr>
              <w:pStyle w:val="TableTextLeft"/>
            </w:pPr>
          </w:p>
        </w:tc>
        <w:tc>
          <w:tcPr>
            <w:tcW w:w="3279" w:type="pct"/>
          </w:tcPr>
          <w:p w14:paraId="7BF8C798" w14:textId="77777777" w:rsidR="00DB57EC" w:rsidRPr="00D75AB9" w:rsidRDefault="00DB57EC" w:rsidP="00B206D4">
            <w:pPr>
              <w:pStyle w:val="TableTextLeft"/>
              <w:rPr>
                <w:b/>
                <w:bCs/>
              </w:rPr>
            </w:pPr>
            <w:r w:rsidRPr="00D75AB9">
              <w:rPr>
                <w:b/>
                <w:bCs/>
              </w:rPr>
              <w:t>CAANZ</w:t>
            </w:r>
          </w:p>
          <w:p w14:paraId="3D9E30BF" w14:textId="4DF608DD" w:rsidR="00DB57EC" w:rsidRPr="00884820" w:rsidRDefault="00DB57EC" w:rsidP="00B206D4">
            <w:pPr>
              <w:pStyle w:val="TableTextLeft"/>
            </w:pPr>
            <w:r w:rsidRPr="00884820">
              <w:t xml:space="preserve">CA ANZ currently publish the number of complaints and the outcome in </w:t>
            </w:r>
            <w:r>
              <w:t>their</w:t>
            </w:r>
            <w:r w:rsidRPr="00884820">
              <w:t xml:space="preserve"> </w:t>
            </w:r>
            <w:hyperlink r:id="rId79" w:history="1">
              <w:r w:rsidRPr="00884820">
                <w:rPr>
                  <w:rStyle w:val="Hyperlink"/>
                </w:rPr>
                <w:t>annual report</w:t>
              </w:r>
            </w:hyperlink>
            <w:r w:rsidRPr="00884820">
              <w:t xml:space="preserve">. </w:t>
            </w:r>
          </w:p>
        </w:tc>
      </w:tr>
      <w:tr w:rsidR="00DB57EC" w:rsidRPr="001949FF" w14:paraId="2BB5E1AD" w14:textId="77777777" w:rsidTr="002572E4">
        <w:trPr>
          <w:trHeight w:val="254"/>
        </w:trPr>
        <w:tc>
          <w:tcPr>
            <w:tcW w:w="317" w:type="pct"/>
            <w:vMerge/>
          </w:tcPr>
          <w:p w14:paraId="1916E665" w14:textId="77777777" w:rsidR="00DB57EC" w:rsidRPr="00884820" w:rsidRDefault="00DB57EC" w:rsidP="00D562CC">
            <w:pPr>
              <w:rPr>
                <w:rFonts w:cstheme="minorHAnsi"/>
                <w:kern w:val="2"/>
                <w:sz w:val="22"/>
                <w:szCs w:val="22"/>
                <w14:ligatures w14:val="standardContextual"/>
              </w:rPr>
            </w:pPr>
          </w:p>
        </w:tc>
        <w:tc>
          <w:tcPr>
            <w:tcW w:w="1404" w:type="pct"/>
            <w:vMerge/>
          </w:tcPr>
          <w:p w14:paraId="1E917567" w14:textId="77777777" w:rsidR="00DB57EC" w:rsidRPr="00884820" w:rsidRDefault="00DB57EC" w:rsidP="00B206D4">
            <w:pPr>
              <w:pStyle w:val="TableTextLeft"/>
              <w:rPr>
                <w:rFonts w:cstheme="minorHAnsi"/>
                <w:kern w:val="2"/>
                <w:sz w:val="22"/>
                <w:szCs w:val="22"/>
                <w14:ligatures w14:val="standardContextual"/>
              </w:rPr>
            </w:pPr>
          </w:p>
        </w:tc>
        <w:tc>
          <w:tcPr>
            <w:tcW w:w="3279" w:type="pct"/>
          </w:tcPr>
          <w:p w14:paraId="4D51B98C" w14:textId="77777777" w:rsidR="00DB57EC" w:rsidRPr="00B206D4" w:rsidRDefault="00DB57EC" w:rsidP="00B206D4">
            <w:pPr>
              <w:pStyle w:val="TableTextLeft"/>
              <w:rPr>
                <w:b/>
                <w:bCs/>
              </w:rPr>
            </w:pPr>
            <w:r w:rsidRPr="00B206D4">
              <w:rPr>
                <w:b/>
                <w:bCs/>
              </w:rPr>
              <w:t>IPA</w:t>
            </w:r>
          </w:p>
          <w:p w14:paraId="0F46D714" w14:textId="452F08B2" w:rsidR="00DB57EC" w:rsidRPr="00B206D4" w:rsidRDefault="00DB57EC" w:rsidP="00B206D4">
            <w:pPr>
              <w:pStyle w:val="TableTextLeft"/>
            </w:pPr>
            <w:r w:rsidRPr="00B206D4">
              <w:t>The IPA publishes statistics on the number and nature of complaints received and outcomes. The IPA publishes information on the type of complaint, common causes of investigations, geographical location of members and information on the outcomes of Tribunal decisions, including reasons for determination provided by the Tribunal. With respect to the number of complaints that don</w:t>
            </w:r>
            <w:r w:rsidR="00EB0779">
              <w:t>’</w:t>
            </w:r>
            <w:r w:rsidRPr="00B206D4">
              <w:t xml:space="preserve">t proceed (i.e., </w:t>
            </w:r>
            <w:r w:rsidR="00EB0779">
              <w:t>‘</w:t>
            </w:r>
            <w:r w:rsidRPr="00B206D4">
              <w:t>no case to answer</w:t>
            </w:r>
            <w:r w:rsidR="00EB0779">
              <w:t>’</w:t>
            </w:r>
            <w:r w:rsidRPr="00B206D4">
              <w:t xml:space="preserve">), the IPA provides this information internally for Board purposes and as part of our Professional Standards Improvement Program with the Professional Standards Councils. </w:t>
            </w:r>
          </w:p>
        </w:tc>
      </w:tr>
    </w:tbl>
    <w:p w14:paraId="5A507916" w14:textId="49BAB273" w:rsidR="004E6BC0" w:rsidRDefault="004E6BC0">
      <w:pPr>
        <w:spacing w:before="0" w:after="160" w:line="259" w:lineRule="auto"/>
      </w:pPr>
      <w:r>
        <w:br w:type="page"/>
      </w:r>
    </w:p>
    <w:p w14:paraId="4025C6AB" w14:textId="77777777" w:rsidR="00DB57EC" w:rsidRPr="00B206D4" w:rsidRDefault="00DB57EC" w:rsidP="00B206D4">
      <w:pPr>
        <w:pStyle w:val="Heading1"/>
      </w:pPr>
      <w:bookmarkStart w:id="81" w:name="_Toc149310327"/>
      <w:bookmarkStart w:id="82" w:name="_Toc149551300"/>
      <w:r w:rsidRPr="00B206D4">
        <w:t>Appendix 3 – Stakeholders Interviewed</w:t>
      </w:r>
      <w:bookmarkEnd w:id="76"/>
      <w:bookmarkEnd w:id="81"/>
      <w:bookmarkEnd w:id="82"/>
    </w:p>
    <w:p w14:paraId="04435216" w14:textId="77777777" w:rsidR="00DB57EC" w:rsidRPr="00884820" w:rsidRDefault="00DB57EC" w:rsidP="00DB57EC">
      <w:pPr>
        <w:rPr>
          <w:szCs w:val="24"/>
        </w:rPr>
      </w:pPr>
      <w:r w:rsidRPr="00884820">
        <w:rPr>
          <w:szCs w:val="24"/>
        </w:rPr>
        <w:t>We thank representatives from the following bodies who shared their views with us:</w:t>
      </w:r>
    </w:p>
    <w:p w14:paraId="08BB02F4" w14:textId="77777777" w:rsidR="00DB57EC" w:rsidRPr="00AF11A9" w:rsidRDefault="00DB57EC" w:rsidP="00DB57EC">
      <w:pPr>
        <w:rPr>
          <w:b/>
          <w:bCs/>
          <w:szCs w:val="24"/>
          <w:lang w:val="fr-FR"/>
        </w:rPr>
      </w:pPr>
      <w:r w:rsidRPr="00AF11A9">
        <w:rPr>
          <w:b/>
          <w:bCs/>
          <w:szCs w:val="24"/>
          <w:lang w:val="fr-FR"/>
        </w:rPr>
        <w:t xml:space="preserve">Audit </w:t>
      </w:r>
      <w:proofErr w:type="spellStart"/>
      <w:r w:rsidRPr="00AF11A9">
        <w:rPr>
          <w:b/>
          <w:bCs/>
          <w:szCs w:val="24"/>
          <w:lang w:val="fr-FR"/>
        </w:rPr>
        <w:t>Firms</w:t>
      </w:r>
      <w:proofErr w:type="spellEnd"/>
    </w:p>
    <w:p w14:paraId="096CF833" w14:textId="77777777" w:rsidR="00DB57EC" w:rsidRPr="0099014E" w:rsidRDefault="00DB57EC" w:rsidP="00DB57EC">
      <w:pPr>
        <w:rPr>
          <w:szCs w:val="24"/>
          <w:lang w:val="fr-FR"/>
        </w:rPr>
      </w:pPr>
      <w:r w:rsidRPr="0099014E">
        <w:rPr>
          <w:szCs w:val="24"/>
          <w:lang w:val="fr-FR"/>
        </w:rPr>
        <w:tab/>
        <w:t xml:space="preserve">Deloitte </w:t>
      </w:r>
    </w:p>
    <w:p w14:paraId="347A80CA" w14:textId="77777777" w:rsidR="00DB57EC" w:rsidRPr="00884820" w:rsidRDefault="00DB57EC" w:rsidP="00DB57EC">
      <w:pPr>
        <w:rPr>
          <w:szCs w:val="24"/>
        </w:rPr>
      </w:pPr>
      <w:r w:rsidRPr="0099014E">
        <w:rPr>
          <w:szCs w:val="24"/>
          <w:lang w:val="fr-FR"/>
        </w:rPr>
        <w:tab/>
      </w:r>
      <w:r w:rsidRPr="00884820">
        <w:rPr>
          <w:szCs w:val="24"/>
        </w:rPr>
        <w:t>EY</w:t>
      </w:r>
    </w:p>
    <w:p w14:paraId="5AAB8B11" w14:textId="77777777" w:rsidR="00DB57EC" w:rsidRDefault="00DB57EC" w:rsidP="00DB57EC">
      <w:pPr>
        <w:rPr>
          <w:szCs w:val="24"/>
        </w:rPr>
      </w:pPr>
      <w:r w:rsidRPr="00884820">
        <w:rPr>
          <w:szCs w:val="24"/>
        </w:rPr>
        <w:tab/>
        <w:t>P</w:t>
      </w:r>
      <w:r>
        <w:rPr>
          <w:szCs w:val="24"/>
        </w:rPr>
        <w:t>w</w:t>
      </w:r>
      <w:r w:rsidRPr="00884820">
        <w:rPr>
          <w:szCs w:val="24"/>
        </w:rPr>
        <w:t>C</w:t>
      </w:r>
    </w:p>
    <w:p w14:paraId="0202E22C" w14:textId="77777777" w:rsidR="00DB57EC" w:rsidRPr="00884820" w:rsidRDefault="00DB57EC" w:rsidP="00DB57EC">
      <w:pPr>
        <w:rPr>
          <w:szCs w:val="24"/>
        </w:rPr>
      </w:pPr>
      <w:r>
        <w:rPr>
          <w:szCs w:val="24"/>
        </w:rPr>
        <w:tab/>
        <w:t>KPMG</w:t>
      </w:r>
    </w:p>
    <w:p w14:paraId="43AB610A" w14:textId="77777777" w:rsidR="00DB57EC" w:rsidRPr="00884820" w:rsidRDefault="00DB57EC" w:rsidP="00DB57EC">
      <w:pPr>
        <w:rPr>
          <w:szCs w:val="24"/>
        </w:rPr>
      </w:pPr>
      <w:r w:rsidRPr="00884820">
        <w:rPr>
          <w:szCs w:val="24"/>
        </w:rPr>
        <w:tab/>
        <w:t>BDO</w:t>
      </w:r>
      <w:r>
        <w:rPr>
          <w:szCs w:val="24"/>
        </w:rPr>
        <w:t xml:space="preserve"> </w:t>
      </w:r>
    </w:p>
    <w:p w14:paraId="20B6992D" w14:textId="77777777" w:rsidR="00DB57EC" w:rsidRPr="00884820" w:rsidRDefault="00DB57EC" w:rsidP="00DB57EC">
      <w:pPr>
        <w:ind w:firstLine="720"/>
        <w:rPr>
          <w:szCs w:val="24"/>
        </w:rPr>
      </w:pPr>
      <w:r w:rsidRPr="00884820">
        <w:rPr>
          <w:szCs w:val="24"/>
        </w:rPr>
        <w:t>Grant Thornton</w:t>
      </w:r>
    </w:p>
    <w:p w14:paraId="181F03FB" w14:textId="77777777" w:rsidR="00DB57EC" w:rsidRPr="00884820" w:rsidRDefault="00DB57EC" w:rsidP="00DB57EC">
      <w:pPr>
        <w:rPr>
          <w:szCs w:val="24"/>
        </w:rPr>
      </w:pPr>
      <w:r w:rsidRPr="00884820">
        <w:rPr>
          <w:szCs w:val="24"/>
        </w:rPr>
        <w:tab/>
        <w:t>Pitcher Partners</w:t>
      </w:r>
    </w:p>
    <w:p w14:paraId="0633F7B3" w14:textId="64D4F9D3" w:rsidR="00DB57EC" w:rsidRPr="00884820" w:rsidRDefault="00DB57EC" w:rsidP="0040240E">
      <w:pPr>
        <w:ind w:firstLine="720"/>
        <w:rPr>
          <w:szCs w:val="24"/>
        </w:rPr>
      </w:pPr>
      <w:r w:rsidRPr="00884820">
        <w:rPr>
          <w:szCs w:val="24"/>
        </w:rPr>
        <w:t>William Buck</w:t>
      </w:r>
    </w:p>
    <w:p w14:paraId="12B24E18" w14:textId="77777777" w:rsidR="00DB57EC" w:rsidRPr="00AF11A9" w:rsidRDefault="00DB57EC" w:rsidP="00DB57EC">
      <w:pPr>
        <w:rPr>
          <w:b/>
          <w:bCs/>
          <w:szCs w:val="24"/>
        </w:rPr>
      </w:pPr>
      <w:r w:rsidRPr="00AF11A9">
        <w:rPr>
          <w:b/>
          <w:bCs/>
          <w:szCs w:val="24"/>
        </w:rPr>
        <w:t>Regulators</w:t>
      </w:r>
    </w:p>
    <w:p w14:paraId="5D6AADCF" w14:textId="77777777" w:rsidR="00DB57EC" w:rsidRPr="00884820" w:rsidRDefault="00DB57EC" w:rsidP="00DB57EC">
      <w:pPr>
        <w:ind w:firstLine="720"/>
        <w:rPr>
          <w:szCs w:val="24"/>
        </w:rPr>
      </w:pPr>
      <w:r w:rsidRPr="00884820">
        <w:rPr>
          <w:szCs w:val="24"/>
        </w:rPr>
        <w:t>ASIC</w:t>
      </w:r>
    </w:p>
    <w:p w14:paraId="609AB5CA" w14:textId="77777777" w:rsidR="00DB57EC" w:rsidRPr="00884820" w:rsidRDefault="00DB57EC" w:rsidP="00DB57EC">
      <w:pPr>
        <w:rPr>
          <w:szCs w:val="24"/>
        </w:rPr>
      </w:pPr>
      <w:r>
        <w:rPr>
          <w:szCs w:val="24"/>
        </w:rPr>
        <w:tab/>
      </w:r>
      <w:r w:rsidRPr="00884820">
        <w:rPr>
          <w:szCs w:val="24"/>
        </w:rPr>
        <w:t>APRA</w:t>
      </w:r>
    </w:p>
    <w:p w14:paraId="2A3CED30" w14:textId="77777777" w:rsidR="00DB57EC" w:rsidRPr="00884820" w:rsidRDefault="00DB57EC" w:rsidP="00DB57EC">
      <w:pPr>
        <w:ind w:firstLine="720"/>
        <w:rPr>
          <w:szCs w:val="24"/>
        </w:rPr>
      </w:pPr>
      <w:r w:rsidRPr="00884820">
        <w:rPr>
          <w:szCs w:val="24"/>
        </w:rPr>
        <w:t>Tax Practitioners Board</w:t>
      </w:r>
    </w:p>
    <w:p w14:paraId="5E473DB6" w14:textId="77777777" w:rsidR="00DB57EC" w:rsidRPr="00AF11A9" w:rsidRDefault="00DB57EC" w:rsidP="00DB57EC">
      <w:pPr>
        <w:rPr>
          <w:b/>
          <w:bCs/>
          <w:szCs w:val="24"/>
        </w:rPr>
      </w:pPr>
      <w:r w:rsidRPr="00AF11A9">
        <w:rPr>
          <w:b/>
          <w:bCs/>
          <w:szCs w:val="24"/>
        </w:rPr>
        <w:t>Professional Accounting Bodies</w:t>
      </w:r>
    </w:p>
    <w:p w14:paraId="6E1757F0" w14:textId="77777777" w:rsidR="00DB57EC" w:rsidRPr="00884820" w:rsidRDefault="00DB57EC" w:rsidP="00DB57EC">
      <w:pPr>
        <w:ind w:firstLine="720"/>
        <w:rPr>
          <w:szCs w:val="24"/>
        </w:rPr>
      </w:pPr>
      <w:r w:rsidRPr="00884820">
        <w:rPr>
          <w:szCs w:val="24"/>
        </w:rPr>
        <w:t>CA ANZ</w:t>
      </w:r>
    </w:p>
    <w:p w14:paraId="109596D0" w14:textId="77777777" w:rsidR="00DB57EC" w:rsidRPr="00884820" w:rsidRDefault="00DB57EC" w:rsidP="00DB57EC">
      <w:pPr>
        <w:rPr>
          <w:szCs w:val="24"/>
        </w:rPr>
      </w:pPr>
      <w:r w:rsidRPr="00884820">
        <w:rPr>
          <w:szCs w:val="24"/>
        </w:rPr>
        <w:tab/>
      </w:r>
      <w:r>
        <w:rPr>
          <w:szCs w:val="24"/>
        </w:rPr>
        <w:t xml:space="preserve">CPA Australia </w:t>
      </w:r>
      <w:r w:rsidRPr="00884820">
        <w:rPr>
          <w:szCs w:val="24"/>
        </w:rPr>
        <w:t>CPA</w:t>
      </w:r>
    </w:p>
    <w:p w14:paraId="55C77085" w14:textId="77777777" w:rsidR="00DB57EC" w:rsidRPr="00884820" w:rsidRDefault="00DB57EC" w:rsidP="00DB57EC">
      <w:pPr>
        <w:ind w:firstLine="720"/>
        <w:rPr>
          <w:szCs w:val="24"/>
        </w:rPr>
      </w:pPr>
      <w:r w:rsidRPr="00884820">
        <w:rPr>
          <w:szCs w:val="24"/>
        </w:rPr>
        <w:t>IPA</w:t>
      </w:r>
    </w:p>
    <w:p w14:paraId="7B06874B" w14:textId="77777777" w:rsidR="00DB57EC" w:rsidRPr="00AF11A9" w:rsidRDefault="00DB57EC" w:rsidP="00DB57EC">
      <w:pPr>
        <w:rPr>
          <w:b/>
          <w:bCs/>
          <w:szCs w:val="24"/>
        </w:rPr>
      </w:pPr>
      <w:r w:rsidRPr="00AF11A9">
        <w:rPr>
          <w:b/>
          <w:bCs/>
          <w:szCs w:val="24"/>
        </w:rPr>
        <w:t>Other</w:t>
      </w:r>
    </w:p>
    <w:p w14:paraId="44815184" w14:textId="77777777" w:rsidR="00DB57EC" w:rsidRPr="00884820" w:rsidRDefault="00DB57EC" w:rsidP="00DB57EC">
      <w:pPr>
        <w:ind w:firstLine="720"/>
        <w:rPr>
          <w:szCs w:val="24"/>
        </w:rPr>
      </w:pPr>
      <w:r w:rsidRPr="00884820">
        <w:rPr>
          <w:szCs w:val="24"/>
        </w:rPr>
        <w:t>The Companies Auditor Disciplinary Board</w:t>
      </w:r>
      <w:r>
        <w:rPr>
          <w:szCs w:val="24"/>
        </w:rPr>
        <w:t xml:space="preserve"> (CADB)</w:t>
      </w:r>
    </w:p>
    <w:p w14:paraId="302105CD" w14:textId="77777777" w:rsidR="00DB57EC" w:rsidRPr="00884820" w:rsidRDefault="00DB57EC" w:rsidP="00DB57EC">
      <w:pPr>
        <w:ind w:firstLine="720"/>
        <w:rPr>
          <w:szCs w:val="24"/>
        </w:rPr>
      </w:pPr>
      <w:r>
        <w:rPr>
          <w:szCs w:val="24"/>
        </w:rPr>
        <w:t>Accounting Professional &amp; Ethical Standards Board (</w:t>
      </w:r>
      <w:r w:rsidRPr="00884820">
        <w:rPr>
          <w:szCs w:val="24"/>
        </w:rPr>
        <w:t>APESB</w:t>
      </w:r>
      <w:r>
        <w:rPr>
          <w:szCs w:val="24"/>
        </w:rPr>
        <w:t>)</w:t>
      </w:r>
    </w:p>
    <w:p w14:paraId="7DE862EF" w14:textId="77777777" w:rsidR="00DB57EC" w:rsidRPr="00884820" w:rsidRDefault="00DB57EC" w:rsidP="00DB57EC">
      <w:pPr>
        <w:ind w:firstLine="720"/>
        <w:rPr>
          <w:szCs w:val="24"/>
        </w:rPr>
      </w:pPr>
      <w:r w:rsidRPr="00884820">
        <w:rPr>
          <w:szCs w:val="24"/>
        </w:rPr>
        <w:t xml:space="preserve">Professional Standards </w:t>
      </w:r>
      <w:r>
        <w:rPr>
          <w:szCs w:val="24"/>
        </w:rPr>
        <w:t>Council</w:t>
      </w:r>
    </w:p>
    <w:p w14:paraId="2DBDE543" w14:textId="77777777" w:rsidR="00DB57EC" w:rsidRPr="00B206D4" w:rsidRDefault="00DB57EC" w:rsidP="00B206D4">
      <w:pPr>
        <w:pStyle w:val="Heading1"/>
      </w:pPr>
      <w:bookmarkStart w:id="83" w:name="_Toc149310328"/>
      <w:bookmarkStart w:id="84" w:name="_Toc149551301"/>
      <w:r w:rsidRPr="00B206D4">
        <w:t>Glossary</w:t>
      </w:r>
      <w:bookmarkEnd w:id="83"/>
      <w:bookmarkEnd w:id="84"/>
      <w:r w:rsidRPr="00B206D4">
        <w:t xml:space="preserve"> </w:t>
      </w:r>
    </w:p>
    <w:tbl>
      <w:tblPr>
        <w:tblStyle w:val="TableGrid"/>
        <w:tblW w:w="0" w:type="auto"/>
        <w:tblLook w:val="04A0" w:firstRow="1" w:lastRow="0" w:firstColumn="1" w:lastColumn="0" w:noHBand="0" w:noVBand="1"/>
      </w:tblPr>
      <w:tblGrid>
        <w:gridCol w:w="1128"/>
        <w:gridCol w:w="7888"/>
      </w:tblGrid>
      <w:tr w:rsidR="00DB57EC" w:rsidRPr="00864015" w14:paraId="47E48A6C" w14:textId="77777777" w:rsidTr="00B206D4">
        <w:trPr>
          <w:cnfStyle w:val="100000000000" w:firstRow="1" w:lastRow="0" w:firstColumn="0" w:lastColumn="0" w:oddVBand="0" w:evenVBand="0" w:oddHBand="0" w:evenHBand="0" w:firstRowFirstColumn="0" w:firstRowLastColumn="0" w:lastRowFirstColumn="0" w:lastRowLastColumn="0"/>
        </w:trPr>
        <w:tc>
          <w:tcPr>
            <w:tcW w:w="1128" w:type="dxa"/>
            <w:shd w:val="clear" w:color="auto" w:fill="auto"/>
          </w:tcPr>
          <w:p w14:paraId="69110B49" w14:textId="77777777" w:rsidR="00DB57EC" w:rsidRPr="00C875DB" w:rsidRDefault="00DB57EC" w:rsidP="00B206D4">
            <w:pPr>
              <w:pStyle w:val="TableTextLeft"/>
            </w:pPr>
            <w:r w:rsidRPr="00C875DB">
              <w:t>AASB</w:t>
            </w:r>
          </w:p>
        </w:tc>
        <w:tc>
          <w:tcPr>
            <w:tcW w:w="7888" w:type="dxa"/>
            <w:shd w:val="clear" w:color="auto" w:fill="auto"/>
          </w:tcPr>
          <w:p w14:paraId="4DEAE874" w14:textId="77777777" w:rsidR="00DB57EC" w:rsidRPr="00B206D4" w:rsidRDefault="00DB57EC" w:rsidP="00B206D4">
            <w:pPr>
              <w:pStyle w:val="TableTextLeft"/>
              <w:rPr>
                <w:b w:val="0"/>
                <w:bCs/>
              </w:rPr>
            </w:pPr>
            <w:r w:rsidRPr="00B206D4">
              <w:rPr>
                <w:b w:val="0"/>
                <w:bCs/>
              </w:rPr>
              <w:t>Australian Accounting Standards Board.</w:t>
            </w:r>
          </w:p>
        </w:tc>
      </w:tr>
      <w:tr w:rsidR="00DB57EC" w:rsidRPr="00864015" w14:paraId="6C43D8F0" w14:textId="77777777" w:rsidTr="00B206D4">
        <w:tc>
          <w:tcPr>
            <w:tcW w:w="1128" w:type="dxa"/>
          </w:tcPr>
          <w:p w14:paraId="259F3ABC" w14:textId="77777777" w:rsidR="00DB57EC" w:rsidRPr="00C875DB" w:rsidRDefault="00DB57EC" w:rsidP="00B206D4">
            <w:pPr>
              <w:pStyle w:val="TableTextLeft"/>
              <w:rPr>
                <w:b/>
              </w:rPr>
            </w:pPr>
            <w:r w:rsidRPr="00C875DB">
              <w:rPr>
                <w:b/>
              </w:rPr>
              <w:t>ACC</w:t>
            </w:r>
          </w:p>
        </w:tc>
        <w:tc>
          <w:tcPr>
            <w:tcW w:w="7888" w:type="dxa"/>
          </w:tcPr>
          <w:p w14:paraId="689D0E8B" w14:textId="77777777" w:rsidR="00DB57EC" w:rsidRPr="00B206D4" w:rsidRDefault="00DB57EC" w:rsidP="00B206D4">
            <w:pPr>
              <w:pStyle w:val="TableTextLeft"/>
            </w:pPr>
            <w:r w:rsidRPr="00B206D4">
              <w:t>Audit Committee Chair.</w:t>
            </w:r>
          </w:p>
        </w:tc>
      </w:tr>
      <w:tr w:rsidR="00DB57EC" w:rsidRPr="00864015" w14:paraId="4AC248EA" w14:textId="77777777" w:rsidTr="00B206D4">
        <w:tc>
          <w:tcPr>
            <w:tcW w:w="1128" w:type="dxa"/>
          </w:tcPr>
          <w:p w14:paraId="01E6655B" w14:textId="77777777" w:rsidR="00DB57EC" w:rsidRPr="00C875DB" w:rsidRDefault="00DB57EC" w:rsidP="00B206D4">
            <w:pPr>
              <w:pStyle w:val="TableTextLeft"/>
              <w:rPr>
                <w:b/>
              </w:rPr>
            </w:pPr>
            <w:r w:rsidRPr="00C875DB">
              <w:rPr>
                <w:b/>
              </w:rPr>
              <w:t>ACNC</w:t>
            </w:r>
          </w:p>
        </w:tc>
        <w:tc>
          <w:tcPr>
            <w:tcW w:w="7888" w:type="dxa"/>
          </w:tcPr>
          <w:p w14:paraId="7ECAF267" w14:textId="164FA10F" w:rsidR="00DB57EC" w:rsidRPr="00B206D4" w:rsidRDefault="00DB57EC" w:rsidP="00B206D4">
            <w:pPr>
              <w:pStyle w:val="TableTextLeft"/>
            </w:pPr>
            <w:r w:rsidRPr="00B206D4">
              <w:t>Australian Charities and Not</w:t>
            </w:r>
            <w:r w:rsidR="00EB0779">
              <w:noBreakHyphen/>
            </w:r>
            <w:r w:rsidRPr="00B206D4">
              <w:t>for</w:t>
            </w:r>
            <w:r w:rsidR="00EB0779">
              <w:noBreakHyphen/>
            </w:r>
            <w:r w:rsidRPr="00B206D4">
              <w:t>profits Commission.</w:t>
            </w:r>
          </w:p>
        </w:tc>
      </w:tr>
      <w:tr w:rsidR="00DB57EC" w:rsidRPr="00864015" w14:paraId="4147BCD0" w14:textId="77777777" w:rsidTr="00B206D4">
        <w:tc>
          <w:tcPr>
            <w:tcW w:w="1128" w:type="dxa"/>
          </w:tcPr>
          <w:p w14:paraId="1A740E5B" w14:textId="77777777" w:rsidR="00DB57EC" w:rsidRPr="00C875DB" w:rsidRDefault="00DB57EC" w:rsidP="00B206D4">
            <w:pPr>
              <w:pStyle w:val="TableTextLeft"/>
              <w:rPr>
                <w:b/>
              </w:rPr>
            </w:pPr>
            <w:r w:rsidRPr="00C875DB">
              <w:rPr>
                <w:b/>
              </w:rPr>
              <w:t>AFR</w:t>
            </w:r>
          </w:p>
        </w:tc>
        <w:tc>
          <w:tcPr>
            <w:tcW w:w="7888" w:type="dxa"/>
          </w:tcPr>
          <w:p w14:paraId="71576843" w14:textId="77777777" w:rsidR="00DB57EC" w:rsidRPr="00B206D4" w:rsidRDefault="00DB57EC" w:rsidP="00B206D4">
            <w:pPr>
              <w:pStyle w:val="TableTextLeft"/>
            </w:pPr>
            <w:r w:rsidRPr="00B206D4">
              <w:t>Australian Financial Review.</w:t>
            </w:r>
          </w:p>
        </w:tc>
      </w:tr>
      <w:tr w:rsidR="00DB57EC" w:rsidRPr="00864015" w14:paraId="77757F66" w14:textId="77777777" w:rsidTr="00B206D4">
        <w:tc>
          <w:tcPr>
            <w:tcW w:w="1128" w:type="dxa"/>
          </w:tcPr>
          <w:p w14:paraId="782355BF" w14:textId="77777777" w:rsidR="00DB57EC" w:rsidRPr="00C875DB" w:rsidRDefault="00DB57EC" w:rsidP="00B206D4">
            <w:pPr>
              <w:pStyle w:val="TableTextLeft"/>
              <w:rPr>
                <w:b/>
              </w:rPr>
            </w:pPr>
            <w:r w:rsidRPr="00C875DB">
              <w:rPr>
                <w:b/>
              </w:rPr>
              <w:t>AICD</w:t>
            </w:r>
          </w:p>
        </w:tc>
        <w:tc>
          <w:tcPr>
            <w:tcW w:w="7888" w:type="dxa"/>
          </w:tcPr>
          <w:p w14:paraId="7E9D6696" w14:textId="77777777" w:rsidR="00DB57EC" w:rsidRPr="00B206D4" w:rsidRDefault="00DB57EC" w:rsidP="00B206D4">
            <w:pPr>
              <w:pStyle w:val="TableTextLeft"/>
            </w:pPr>
            <w:r w:rsidRPr="00B206D4">
              <w:t>Australian Institute of Company Directors.</w:t>
            </w:r>
          </w:p>
        </w:tc>
      </w:tr>
      <w:tr w:rsidR="00DB57EC" w:rsidRPr="00864015" w14:paraId="564C67C5" w14:textId="77777777" w:rsidTr="00B206D4">
        <w:tc>
          <w:tcPr>
            <w:tcW w:w="1128" w:type="dxa"/>
          </w:tcPr>
          <w:p w14:paraId="71A57672" w14:textId="77777777" w:rsidR="00DB57EC" w:rsidRPr="00C875DB" w:rsidRDefault="00DB57EC" w:rsidP="00B206D4">
            <w:pPr>
              <w:pStyle w:val="TableTextLeft"/>
              <w:rPr>
                <w:b/>
              </w:rPr>
            </w:pPr>
            <w:r w:rsidRPr="00C875DB">
              <w:rPr>
                <w:b/>
              </w:rPr>
              <w:t>APESB</w:t>
            </w:r>
          </w:p>
        </w:tc>
        <w:tc>
          <w:tcPr>
            <w:tcW w:w="7888" w:type="dxa"/>
          </w:tcPr>
          <w:p w14:paraId="73BDE022" w14:textId="77777777" w:rsidR="00DB57EC" w:rsidRPr="00B206D4" w:rsidRDefault="00DB57EC" w:rsidP="00B206D4">
            <w:pPr>
              <w:pStyle w:val="TableTextLeft"/>
            </w:pPr>
            <w:r w:rsidRPr="00B206D4">
              <w:t>Accounting Professional and Ethical Standards Board.</w:t>
            </w:r>
          </w:p>
        </w:tc>
      </w:tr>
      <w:tr w:rsidR="00DB57EC" w:rsidRPr="00864015" w14:paraId="5464C2D8" w14:textId="77777777" w:rsidTr="00B206D4">
        <w:tc>
          <w:tcPr>
            <w:tcW w:w="1128" w:type="dxa"/>
          </w:tcPr>
          <w:p w14:paraId="4C35CE4D" w14:textId="77777777" w:rsidR="00DB57EC" w:rsidRPr="00C875DB" w:rsidRDefault="00DB57EC" w:rsidP="00B206D4">
            <w:pPr>
              <w:pStyle w:val="TableTextLeft"/>
              <w:rPr>
                <w:b/>
              </w:rPr>
            </w:pPr>
            <w:r w:rsidRPr="00C875DB">
              <w:rPr>
                <w:b/>
              </w:rPr>
              <w:t>APRA</w:t>
            </w:r>
          </w:p>
        </w:tc>
        <w:tc>
          <w:tcPr>
            <w:tcW w:w="7888" w:type="dxa"/>
          </w:tcPr>
          <w:p w14:paraId="473842BA" w14:textId="77777777" w:rsidR="00DB57EC" w:rsidRPr="00B206D4" w:rsidRDefault="00DB57EC" w:rsidP="00B206D4">
            <w:pPr>
              <w:pStyle w:val="TableTextLeft"/>
            </w:pPr>
            <w:r w:rsidRPr="00B206D4">
              <w:t>Australian Prudential Regulation Authority.</w:t>
            </w:r>
          </w:p>
        </w:tc>
      </w:tr>
      <w:tr w:rsidR="00DB57EC" w:rsidRPr="00864015" w14:paraId="1B424E6C" w14:textId="77777777" w:rsidTr="00B206D4">
        <w:tc>
          <w:tcPr>
            <w:tcW w:w="1128" w:type="dxa"/>
          </w:tcPr>
          <w:p w14:paraId="3893BA2D" w14:textId="77777777" w:rsidR="00DB57EC" w:rsidRPr="00C875DB" w:rsidRDefault="00DB57EC" w:rsidP="00B206D4">
            <w:pPr>
              <w:pStyle w:val="TableTextLeft"/>
              <w:rPr>
                <w:b/>
              </w:rPr>
            </w:pPr>
            <w:r w:rsidRPr="00C875DB">
              <w:rPr>
                <w:b/>
              </w:rPr>
              <w:t>ASA</w:t>
            </w:r>
          </w:p>
        </w:tc>
        <w:tc>
          <w:tcPr>
            <w:tcW w:w="7888" w:type="dxa"/>
          </w:tcPr>
          <w:p w14:paraId="165A24CB" w14:textId="77777777" w:rsidR="00DB57EC" w:rsidRPr="00B206D4" w:rsidRDefault="00DB57EC" w:rsidP="00B206D4">
            <w:pPr>
              <w:pStyle w:val="TableTextLeft"/>
            </w:pPr>
            <w:r w:rsidRPr="00B206D4">
              <w:t>Australian Auditing Standards.</w:t>
            </w:r>
          </w:p>
        </w:tc>
      </w:tr>
      <w:tr w:rsidR="00DB57EC" w:rsidRPr="00864015" w14:paraId="27AD7D52" w14:textId="77777777" w:rsidTr="00B206D4">
        <w:tc>
          <w:tcPr>
            <w:tcW w:w="1128" w:type="dxa"/>
          </w:tcPr>
          <w:p w14:paraId="59C7546F" w14:textId="77777777" w:rsidR="00DB57EC" w:rsidRPr="00C875DB" w:rsidRDefault="00DB57EC" w:rsidP="00B206D4">
            <w:pPr>
              <w:pStyle w:val="TableTextLeft"/>
              <w:rPr>
                <w:b/>
              </w:rPr>
            </w:pPr>
            <w:r w:rsidRPr="00C875DB">
              <w:rPr>
                <w:b/>
              </w:rPr>
              <w:t>ASIC</w:t>
            </w:r>
          </w:p>
        </w:tc>
        <w:tc>
          <w:tcPr>
            <w:tcW w:w="7888" w:type="dxa"/>
          </w:tcPr>
          <w:p w14:paraId="4EFEFFF0" w14:textId="77777777" w:rsidR="00DB57EC" w:rsidRPr="00B206D4" w:rsidRDefault="00DB57EC" w:rsidP="00B206D4">
            <w:pPr>
              <w:pStyle w:val="TableTextLeft"/>
            </w:pPr>
            <w:r w:rsidRPr="00B206D4">
              <w:t>Australian Securities and Investments Commission.</w:t>
            </w:r>
          </w:p>
        </w:tc>
      </w:tr>
      <w:tr w:rsidR="00DB57EC" w:rsidRPr="00864015" w14:paraId="2DF1D0E2" w14:textId="77777777" w:rsidTr="00B206D4">
        <w:tc>
          <w:tcPr>
            <w:tcW w:w="1128" w:type="dxa"/>
          </w:tcPr>
          <w:p w14:paraId="45AD722E" w14:textId="77777777" w:rsidR="00DB57EC" w:rsidRPr="00C875DB" w:rsidRDefault="00DB57EC" w:rsidP="00B206D4">
            <w:pPr>
              <w:pStyle w:val="TableTextLeft"/>
              <w:rPr>
                <w:b/>
              </w:rPr>
            </w:pPr>
            <w:r w:rsidRPr="00C875DB">
              <w:rPr>
                <w:b/>
              </w:rPr>
              <w:t>ASX</w:t>
            </w:r>
          </w:p>
        </w:tc>
        <w:tc>
          <w:tcPr>
            <w:tcW w:w="7888" w:type="dxa"/>
          </w:tcPr>
          <w:p w14:paraId="2A021BD0" w14:textId="77777777" w:rsidR="00DB57EC" w:rsidRPr="00B206D4" w:rsidRDefault="00DB57EC" w:rsidP="00B206D4">
            <w:pPr>
              <w:pStyle w:val="TableTextLeft"/>
            </w:pPr>
            <w:r w:rsidRPr="00B206D4">
              <w:t>Australian Securities Exchange.</w:t>
            </w:r>
          </w:p>
        </w:tc>
      </w:tr>
      <w:tr w:rsidR="00DB57EC" w:rsidRPr="00864015" w14:paraId="73B92014" w14:textId="77777777" w:rsidTr="00B206D4">
        <w:tc>
          <w:tcPr>
            <w:tcW w:w="1128" w:type="dxa"/>
          </w:tcPr>
          <w:p w14:paraId="30E72B2B" w14:textId="77777777" w:rsidR="00DB57EC" w:rsidRPr="00C875DB" w:rsidRDefault="00DB57EC" w:rsidP="00B206D4">
            <w:pPr>
              <w:pStyle w:val="TableTextLeft"/>
              <w:rPr>
                <w:b/>
              </w:rPr>
            </w:pPr>
            <w:r w:rsidRPr="00C875DB">
              <w:rPr>
                <w:b/>
              </w:rPr>
              <w:t>ATO</w:t>
            </w:r>
          </w:p>
        </w:tc>
        <w:tc>
          <w:tcPr>
            <w:tcW w:w="7888" w:type="dxa"/>
          </w:tcPr>
          <w:p w14:paraId="2F6FEBE3" w14:textId="77777777" w:rsidR="00DB57EC" w:rsidRPr="00B206D4" w:rsidRDefault="00DB57EC" w:rsidP="00B206D4">
            <w:pPr>
              <w:pStyle w:val="TableTextLeft"/>
            </w:pPr>
            <w:r w:rsidRPr="00B206D4">
              <w:t>Australian Taxation Office.</w:t>
            </w:r>
          </w:p>
        </w:tc>
      </w:tr>
      <w:tr w:rsidR="00DB57EC" w:rsidRPr="00864015" w14:paraId="79B82F0B" w14:textId="77777777" w:rsidTr="00B206D4">
        <w:tc>
          <w:tcPr>
            <w:tcW w:w="1128" w:type="dxa"/>
          </w:tcPr>
          <w:p w14:paraId="20109D72" w14:textId="77777777" w:rsidR="00DB57EC" w:rsidRPr="00C875DB" w:rsidRDefault="00DB57EC" w:rsidP="00B206D4">
            <w:pPr>
              <w:pStyle w:val="TableTextLeft"/>
              <w:rPr>
                <w:b/>
              </w:rPr>
            </w:pPr>
            <w:r w:rsidRPr="00C875DB">
              <w:rPr>
                <w:b/>
              </w:rPr>
              <w:t>AUASB</w:t>
            </w:r>
          </w:p>
        </w:tc>
        <w:tc>
          <w:tcPr>
            <w:tcW w:w="7888" w:type="dxa"/>
          </w:tcPr>
          <w:p w14:paraId="3874F3C2" w14:textId="77777777" w:rsidR="00DB57EC" w:rsidRPr="00B206D4" w:rsidRDefault="00DB57EC" w:rsidP="00B206D4">
            <w:pPr>
              <w:pStyle w:val="TableTextLeft"/>
            </w:pPr>
            <w:r w:rsidRPr="00B206D4">
              <w:t>Auditing and Assurance Standards Board.</w:t>
            </w:r>
          </w:p>
        </w:tc>
      </w:tr>
      <w:tr w:rsidR="00DB57EC" w:rsidRPr="00864015" w14:paraId="7AA5887E" w14:textId="77777777" w:rsidTr="00B206D4">
        <w:tc>
          <w:tcPr>
            <w:tcW w:w="1128" w:type="dxa"/>
          </w:tcPr>
          <w:p w14:paraId="29F1A379" w14:textId="77777777" w:rsidR="00DB57EC" w:rsidRPr="00C875DB" w:rsidRDefault="00DB57EC" w:rsidP="00B206D4">
            <w:pPr>
              <w:pStyle w:val="TableTextLeft"/>
              <w:rPr>
                <w:b/>
              </w:rPr>
            </w:pPr>
            <w:r w:rsidRPr="00C875DB">
              <w:rPr>
                <w:b/>
              </w:rPr>
              <w:t xml:space="preserve">CA ANZ </w:t>
            </w:r>
          </w:p>
        </w:tc>
        <w:tc>
          <w:tcPr>
            <w:tcW w:w="7888" w:type="dxa"/>
          </w:tcPr>
          <w:p w14:paraId="361910C8" w14:textId="77777777" w:rsidR="00DB57EC" w:rsidRPr="00B206D4" w:rsidRDefault="00DB57EC" w:rsidP="00B206D4">
            <w:pPr>
              <w:pStyle w:val="TableTextLeft"/>
            </w:pPr>
            <w:r w:rsidRPr="00B206D4">
              <w:t>Chartered Accountants Australia and New Zealand.</w:t>
            </w:r>
          </w:p>
        </w:tc>
      </w:tr>
      <w:tr w:rsidR="00DB57EC" w:rsidRPr="00864015" w14:paraId="0C9BC998" w14:textId="77777777" w:rsidTr="00B206D4">
        <w:tc>
          <w:tcPr>
            <w:tcW w:w="1128" w:type="dxa"/>
          </w:tcPr>
          <w:p w14:paraId="3B7240AF" w14:textId="77777777" w:rsidR="00DB57EC" w:rsidRPr="00C875DB" w:rsidRDefault="00DB57EC" w:rsidP="00B206D4">
            <w:pPr>
              <w:pStyle w:val="TableTextLeft"/>
              <w:rPr>
                <w:b/>
              </w:rPr>
            </w:pPr>
            <w:r w:rsidRPr="00C875DB">
              <w:rPr>
                <w:b/>
              </w:rPr>
              <w:t>CADB</w:t>
            </w:r>
          </w:p>
        </w:tc>
        <w:tc>
          <w:tcPr>
            <w:tcW w:w="7888" w:type="dxa"/>
          </w:tcPr>
          <w:p w14:paraId="29285D9B" w14:textId="77777777" w:rsidR="00DB57EC" w:rsidRPr="00B206D4" w:rsidRDefault="00DB57EC" w:rsidP="00B206D4">
            <w:pPr>
              <w:pStyle w:val="TableTextLeft"/>
            </w:pPr>
            <w:r w:rsidRPr="00B206D4">
              <w:t>Companies and Auditors Disciplinary Board.</w:t>
            </w:r>
          </w:p>
        </w:tc>
      </w:tr>
      <w:tr w:rsidR="00DB57EC" w:rsidRPr="00864015" w14:paraId="0B82786C" w14:textId="77777777" w:rsidTr="00B206D4">
        <w:tc>
          <w:tcPr>
            <w:tcW w:w="1128" w:type="dxa"/>
          </w:tcPr>
          <w:p w14:paraId="4F918E3B" w14:textId="77777777" w:rsidR="00DB57EC" w:rsidRPr="00C875DB" w:rsidRDefault="00DB57EC" w:rsidP="00B206D4">
            <w:pPr>
              <w:pStyle w:val="TableTextLeft"/>
              <w:rPr>
                <w:b/>
              </w:rPr>
            </w:pPr>
            <w:r w:rsidRPr="00C875DB">
              <w:rPr>
                <w:b/>
              </w:rPr>
              <w:t>CEO</w:t>
            </w:r>
          </w:p>
        </w:tc>
        <w:tc>
          <w:tcPr>
            <w:tcW w:w="7888" w:type="dxa"/>
          </w:tcPr>
          <w:p w14:paraId="1E0A4840" w14:textId="77777777" w:rsidR="00DB57EC" w:rsidRPr="00B206D4" w:rsidRDefault="00DB57EC" w:rsidP="00B206D4">
            <w:pPr>
              <w:pStyle w:val="TableTextLeft"/>
            </w:pPr>
            <w:r w:rsidRPr="00B206D4">
              <w:t>Chief Executive Officer.</w:t>
            </w:r>
          </w:p>
        </w:tc>
      </w:tr>
      <w:tr w:rsidR="00DB57EC" w:rsidRPr="00864015" w14:paraId="3B5098A5" w14:textId="77777777" w:rsidTr="00B206D4">
        <w:tc>
          <w:tcPr>
            <w:tcW w:w="1128" w:type="dxa"/>
          </w:tcPr>
          <w:p w14:paraId="2752916A" w14:textId="77777777" w:rsidR="00DB57EC" w:rsidRPr="00C875DB" w:rsidRDefault="00DB57EC" w:rsidP="00B206D4">
            <w:pPr>
              <w:pStyle w:val="TableTextLeft"/>
              <w:rPr>
                <w:b/>
              </w:rPr>
            </w:pPr>
            <w:r w:rsidRPr="00C875DB">
              <w:rPr>
                <w:b/>
              </w:rPr>
              <w:t>CPA</w:t>
            </w:r>
          </w:p>
        </w:tc>
        <w:tc>
          <w:tcPr>
            <w:tcW w:w="7888" w:type="dxa"/>
          </w:tcPr>
          <w:p w14:paraId="25A1629B" w14:textId="77777777" w:rsidR="00DB57EC" w:rsidRPr="00B206D4" w:rsidRDefault="00DB57EC" w:rsidP="00B206D4">
            <w:pPr>
              <w:pStyle w:val="TableTextLeft"/>
            </w:pPr>
            <w:r w:rsidRPr="00B206D4">
              <w:t>CPA Australia.</w:t>
            </w:r>
          </w:p>
        </w:tc>
      </w:tr>
      <w:tr w:rsidR="00DB57EC" w:rsidRPr="00864015" w14:paraId="25926826" w14:textId="77777777" w:rsidTr="00B206D4">
        <w:tc>
          <w:tcPr>
            <w:tcW w:w="1128" w:type="dxa"/>
          </w:tcPr>
          <w:p w14:paraId="1DFCBE98" w14:textId="77777777" w:rsidR="00DB57EC" w:rsidRPr="00C875DB" w:rsidRDefault="00DB57EC" w:rsidP="00B206D4">
            <w:pPr>
              <w:pStyle w:val="TableTextLeft"/>
              <w:rPr>
                <w:b/>
              </w:rPr>
            </w:pPr>
            <w:r w:rsidRPr="00C875DB">
              <w:rPr>
                <w:b/>
              </w:rPr>
              <w:t>CPAB</w:t>
            </w:r>
          </w:p>
        </w:tc>
        <w:tc>
          <w:tcPr>
            <w:tcW w:w="7888" w:type="dxa"/>
          </w:tcPr>
          <w:p w14:paraId="0428A018" w14:textId="77777777" w:rsidR="00DB57EC" w:rsidRPr="00B206D4" w:rsidRDefault="00DB57EC" w:rsidP="00B206D4">
            <w:pPr>
              <w:pStyle w:val="TableTextLeft"/>
            </w:pPr>
            <w:r w:rsidRPr="00B206D4">
              <w:t>Canadian Public Accountability Board.</w:t>
            </w:r>
          </w:p>
        </w:tc>
      </w:tr>
      <w:tr w:rsidR="00DB57EC" w:rsidRPr="00864015" w14:paraId="49AD7DB4" w14:textId="77777777" w:rsidTr="00B206D4">
        <w:tc>
          <w:tcPr>
            <w:tcW w:w="1128" w:type="dxa"/>
          </w:tcPr>
          <w:p w14:paraId="7CB252D1" w14:textId="77777777" w:rsidR="00DB57EC" w:rsidRPr="00C875DB" w:rsidRDefault="00DB57EC" w:rsidP="00B206D4">
            <w:pPr>
              <w:pStyle w:val="TableTextLeft"/>
              <w:rPr>
                <w:b/>
              </w:rPr>
            </w:pPr>
            <w:r w:rsidRPr="00C875DB">
              <w:rPr>
                <w:b/>
              </w:rPr>
              <w:t>CPD</w:t>
            </w:r>
          </w:p>
        </w:tc>
        <w:tc>
          <w:tcPr>
            <w:tcW w:w="7888" w:type="dxa"/>
          </w:tcPr>
          <w:p w14:paraId="60201409" w14:textId="77777777" w:rsidR="00DB57EC" w:rsidRPr="00B206D4" w:rsidRDefault="00DB57EC" w:rsidP="00B206D4">
            <w:pPr>
              <w:pStyle w:val="TableTextLeft"/>
            </w:pPr>
            <w:r w:rsidRPr="00B206D4">
              <w:t xml:space="preserve">Continuing Professional Development. </w:t>
            </w:r>
          </w:p>
        </w:tc>
      </w:tr>
      <w:tr w:rsidR="00DB57EC" w:rsidRPr="00864015" w14:paraId="69EE00FD" w14:textId="77777777" w:rsidTr="00B206D4">
        <w:tc>
          <w:tcPr>
            <w:tcW w:w="1128" w:type="dxa"/>
          </w:tcPr>
          <w:p w14:paraId="1FBC3377" w14:textId="77777777" w:rsidR="00DB57EC" w:rsidRPr="00C875DB" w:rsidRDefault="00DB57EC" w:rsidP="00B206D4">
            <w:pPr>
              <w:pStyle w:val="TableTextLeft"/>
              <w:rPr>
                <w:b/>
              </w:rPr>
            </w:pPr>
            <w:r w:rsidRPr="00C875DB">
              <w:rPr>
                <w:b/>
              </w:rPr>
              <w:t>CPP</w:t>
            </w:r>
          </w:p>
        </w:tc>
        <w:tc>
          <w:tcPr>
            <w:tcW w:w="7888" w:type="dxa"/>
          </w:tcPr>
          <w:p w14:paraId="120F243D" w14:textId="77777777" w:rsidR="00DB57EC" w:rsidRPr="00B206D4" w:rsidRDefault="00DB57EC" w:rsidP="00B206D4">
            <w:pPr>
              <w:pStyle w:val="TableTextLeft"/>
            </w:pPr>
            <w:r w:rsidRPr="00B206D4">
              <w:t xml:space="preserve">Certificate of Public Practice. </w:t>
            </w:r>
          </w:p>
        </w:tc>
      </w:tr>
      <w:tr w:rsidR="00DB57EC" w:rsidRPr="00864015" w14:paraId="4F387792" w14:textId="77777777" w:rsidTr="00B206D4">
        <w:tc>
          <w:tcPr>
            <w:tcW w:w="1128" w:type="dxa"/>
          </w:tcPr>
          <w:p w14:paraId="6AA8D907" w14:textId="77777777" w:rsidR="00DB57EC" w:rsidRPr="00C875DB" w:rsidRDefault="00DB57EC" w:rsidP="00B206D4">
            <w:pPr>
              <w:pStyle w:val="TableTextLeft"/>
              <w:rPr>
                <w:b/>
              </w:rPr>
            </w:pPr>
            <w:r w:rsidRPr="00C875DB">
              <w:rPr>
                <w:b/>
              </w:rPr>
              <w:t>EY</w:t>
            </w:r>
          </w:p>
        </w:tc>
        <w:tc>
          <w:tcPr>
            <w:tcW w:w="7888" w:type="dxa"/>
          </w:tcPr>
          <w:p w14:paraId="6A9AC9B1" w14:textId="77777777" w:rsidR="00DB57EC" w:rsidRPr="00B206D4" w:rsidRDefault="00DB57EC" w:rsidP="00B206D4">
            <w:pPr>
              <w:pStyle w:val="TableTextLeft"/>
            </w:pPr>
            <w:r w:rsidRPr="00B206D4">
              <w:t>Ernst &amp; Young Australia.</w:t>
            </w:r>
          </w:p>
        </w:tc>
      </w:tr>
      <w:tr w:rsidR="00DB57EC" w:rsidRPr="00864015" w14:paraId="294C672F" w14:textId="77777777" w:rsidTr="00B206D4">
        <w:tc>
          <w:tcPr>
            <w:tcW w:w="1128" w:type="dxa"/>
          </w:tcPr>
          <w:p w14:paraId="445007F0" w14:textId="77777777" w:rsidR="00DB57EC" w:rsidRPr="00C875DB" w:rsidRDefault="00DB57EC" w:rsidP="00B206D4">
            <w:pPr>
              <w:pStyle w:val="TableTextLeft"/>
              <w:rPr>
                <w:b/>
              </w:rPr>
            </w:pPr>
            <w:r w:rsidRPr="00C875DB">
              <w:rPr>
                <w:b/>
              </w:rPr>
              <w:t>FMA</w:t>
            </w:r>
          </w:p>
        </w:tc>
        <w:tc>
          <w:tcPr>
            <w:tcW w:w="7888" w:type="dxa"/>
          </w:tcPr>
          <w:p w14:paraId="4D4D4B3E" w14:textId="77777777" w:rsidR="00DB57EC" w:rsidRPr="00B206D4" w:rsidRDefault="00DB57EC" w:rsidP="00B206D4">
            <w:pPr>
              <w:pStyle w:val="TableTextLeft"/>
            </w:pPr>
            <w:r w:rsidRPr="00B206D4">
              <w:t>Financial Markets Authority.</w:t>
            </w:r>
          </w:p>
        </w:tc>
      </w:tr>
      <w:tr w:rsidR="00DB57EC" w:rsidRPr="00864015" w14:paraId="3C26CEC2" w14:textId="77777777" w:rsidTr="00B206D4">
        <w:tc>
          <w:tcPr>
            <w:tcW w:w="1128" w:type="dxa"/>
          </w:tcPr>
          <w:p w14:paraId="731F51DC" w14:textId="77777777" w:rsidR="00DB57EC" w:rsidRPr="00C875DB" w:rsidRDefault="00DB57EC" w:rsidP="00B206D4">
            <w:pPr>
              <w:pStyle w:val="TableTextLeft"/>
              <w:rPr>
                <w:b/>
              </w:rPr>
            </w:pPr>
            <w:r w:rsidRPr="00C875DB">
              <w:rPr>
                <w:b/>
              </w:rPr>
              <w:t>FRC</w:t>
            </w:r>
          </w:p>
        </w:tc>
        <w:tc>
          <w:tcPr>
            <w:tcW w:w="7888" w:type="dxa"/>
          </w:tcPr>
          <w:p w14:paraId="13945252" w14:textId="77777777" w:rsidR="00DB57EC" w:rsidRPr="00B206D4" w:rsidRDefault="00DB57EC" w:rsidP="00B206D4">
            <w:pPr>
              <w:pStyle w:val="TableTextLeft"/>
            </w:pPr>
            <w:r w:rsidRPr="00B206D4">
              <w:t>Financial Reporting Council.</w:t>
            </w:r>
          </w:p>
        </w:tc>
      </w:tr>
      <w:tr w:rsidR="00DB57EC" w:rsidRPr="00864015" w14:paraId="05779435" w14:textId="77777777" w:rsidTr="00B206D4">
        <w:tc>
          <w:tcPr>
            <w:tcW w:w="1128" w:type="dxa"/>
          </w:tcPr>
          <w:p w14:paraId="37D6C071" w14:textId="77777777" w:rsidR="00DB57EC" w:rsidRPr="00C875DB" w:rsidRDefault="00DB57EC" w:rsidP="00B206D4">
            <w:pPr>
              <w:pStyle w:val="TableTextLeft"/>
              <w:rPr>
                <w:b/>
              </w:rPr>
            </w:pPr>
            <w:r w:rsidRPr="00C875DB">
              <w:rPr>
                <w:b/>
              </w:rPr>
              <w:t>GT</w:t>
            </w:r>
          </w:p>
        </w:tc>
        <w:tc>
          <w:tcPr>
            <w:tcW w:w="7888" w:type="dxa"/>
          </w:tcPr>
          <w:p w14:paraId="44A19255" w14:textId="77777777" w:rsidR="00DB57EC" w:rsidRPr="00B206D4" w:rsidRDefault="00DB57EC" w:rsidP="00B206D4">
            <w:pPr>
              <w:pStyle w:val="TableTextLeft"/>
            </w:pPr>
            <w:r w:rsidRPr="00B206D4">
              <w:t>Grant Thornton Australia Limited.</w:t>
            </w:r>
          </w:p>
        </w:tc>
      </w:tr>
      <w:tr w:rsidR="00DB57EC" w:rsidRPr="00864015" w14:paraId="57F2CD55" w14:textId="77777777" w:rsidTr="00B206D4">
        <w:tc>
          <w:tcPr>
            <w:tcW w:w="1128" w:type="dxa"/>
          </w:tcPr>
          <w:p w14:paraId="577D7A1D" w14:textId="77777777" w:rsidR="00DB57EC" w:rsidRPr="00C875DB" w:rsidRDefault="00DB57EC" w:rsidP="00B206D4">
            <w:pPr>
              <w:pStyle w:val="TableTextLeft"/>
              <w:rPr>
                <w:b/>
              </w:rPr>
            </w:pPr>
            <w:r w:rsidRPr="00C875DB">
              <w:rPr>
                <w:b/>
              </w:rPr>
              <w:t>IFAC</w:t>
            </w:r>
          </w:p>
        </w:tc>
        <w:tc>
          <w:tcPr>
            <w:tcW w:w="7888" w:type="dxa"/>
          </w:tcPr>
          <w:p w14:paraId="03C2819B" w14:textId="77777777" w:rsidR="00DB57EC" w:rsidRPr="00B206D4" w:rsidRDefault="00DB57EC" w:rsidP="00B206D4">
            <w:pPr>
              <w:pStyle w:val="TableTextLeft"/>
            </w:pPr>
            <w:r w:rsidRPr="00B206D4">
              <w:t xml:space="preserve">International Federation of Accountants. </w:t>
            </w:r>
          </w:p>
        </w:tc>
      </w:tr>
      <w:tr w:rsidR="00DB57EC" w:rsidRPr="00864015" w14:paraId="3C25E06C" w14:textId="77777777" w:rsidTr="00B206D4">
        <w:tc>
          <w:tcPr>
            <w:tcW w:w="1128" w:type="dxa"/>
          </w:tcPr>
          <w:p w14:paraId="18BC0E4C" w14:textId="77777777" w:rsidR="00DB57EC" w:rsidRPr="00C875DB" w:rsidRDefault="00DB57EC" w:rsidP="00B206D4">
            <w:pPr>
              <w:pStyle w:val="TableTextLeft"/>
              <w:rPr>
                <w:b/>
              </w:rPr>
            </w:pPr>
            <w:r w:rsidRPr="00C875DB">
              <w:rPr>
                <w:b/>
              </w:rPr>
              <w:t>IFIAR</w:t>
            </w:r>
          </w:p>
        </w:tc>
        <w:tc>
          <w:tcPr>
            <w:tcW w:w="7888" w:type="dxa"/>
          </w:tcPr>
          <w:p w14:paraId="017D39FA" w14:textId="77777777" w:rsidR="00DB57EC" w:rsidRPr="00B206D4" w:rsidRDefault="00DB57EC" w:rsidP="00B206D4">
            <w:pPr>
              <w:pStyle w:val="TableTextLeft"/>
            </w:pPr>
            <w:r w:rsidRPr="00B206D4">
              <w:t>International Forum of Independent Audit Regulators.</w:t>
            </w:r>
          </w:p>
        </w:tc>
      </w:tr>
      <w:tr w:rsidR="00DB57EC" w:rsidRPr="00864015" w14:paraId="68327756" w14:textId="77777777" w:rsidTr="00B206D4">
        <w:tc>
          <w:tcPr>
            <w:tcW w:w="1128" w:type="dxa"/>
          </w:tcPr>
          <w:p w14:paraId="141F5658" w14:textId="77777777" w:rsidR="00DB57EC" w:rsidRPr="00C875DB" w:rsidRDefault="00DB57EC" w:rsidP="00B206D4">
            <w:pPr>
              <w:pStyle w:val="TableTextLeft"/>
              <w:rPr>
                <w:b/>
              </w:rPr>
            </w:pPr>
            <w:r w:rsidRPr="00C875DB">
              <w:rPr>
                <w:b/>
              </w:rPr>
              <w:t>IOSCO</w:t>
            </w:r>
          </w:p>
        </w:tc>
        <w:tc>
          <w:tcPr>
            <w:tcW w:w="7888" w:type="dxa"/>
          </w:tcPr>
          <w:p w14:paraId="11403B5F" w14:textId="77777777" w:rsidR="00DB57EC" w:rsidRPr="00B206D4" w:rsidRDefault="00DB57EC" w:rsidP="00B206D4">
            <w:pPr>
              <w:pStyle w:val="TableTextLeft"/>
            </w:pPr>
            <w:r w:rsidRPr="00B206D4">
              <w:t>International Organization of Securities Commissions.</w:t>
            </w:r>
          </w:p>
        </w:tc>
      </w:tr>
      <w:tr w:rsidR="00DB57EC" w:rsidRPr="00864015" w14:paraId="0FC79098" w14:textId="77777777" w:rsidTr="00B206D4">
        <w:tc>
          <w:tcPr>
            <w:tcW w:w="1128" w:type="dxa"/>
          </w:tcPr>
          <w:p w14:paraId="7319178C" w14:textId="77777777" w:rsidR="00DB57EC" w:rsidRPr="00C875DB" w:rsidRDefault="00DB57EC" w:rsidP="00B206D4">
            <w:pPr>
              <w:pStyle w:val="TableTextLeft"/>
              <w:rPr>
                <w:b/>
              </w:rPr>
            </w:pPr>
            <w:r w:rsidRPr="00C875DB">
              <w:rPr>
                <w:b/>
              </w:rPr>
              <w:t>IPA</w:t>
            </w:r>
          </w:p>
        </w:tc>
        <w:tc>
          <w:tcPr>
            <w:tcW w:w="7888" w:type="dxa"/>
          </w:tcPr>
          <w:p w14:paraId="24A958FC" w14:textId="77777777" w:rsidR="00DB57EC" w:rsidRPr="00B206D4" w:rsidRDefault="00DB57EC" w:rsidP="00B206D4">
            <w:pPr>
              <w:pStyle w:val="TableTextLeft"/>
            </w:pPr>
            <w:r w:rsidRPr="00B206D4">
              <w:t>Institute of Public Accountants.</w:t>
            </w:r>
          </w:p>
        </w:tc>
      </w:tr>
      <w:tr w:rsidR="00DB57EC" w:rsidRPr="00864015" w14:paraId="034D71A3" w14:textId="77777777" w:rsidTr="00B206D4">
        <w:tc>
          <w:tcPr>
            <w:tcW w:w="1128" w:type="dxa"/>
          </w:tcPr>
          <w:p w14:paraId="7602D0E9" w14:textId="77777777" w:rsidR="00DB57EC" w:rsidRPr="00C875DB" w:rsidRDefault="00DB57EC" w:rsidP="00B206D4">
            <w:pPr>
              <w:pStyle w:val="TableTextLeft"/>
              <w:rPr>
                <w:b/>
              </w:rPr>
            </w:pPr>
            <w:r w:rsidRPr="00C875DB">
              <w:rPr>
                <w:b/>
              </w:rPr>
              <w:t>MOU</w:t>
            </w:r>
          </w:p>
        </w:tc>
        <w:tc>
          <w:tcPr>
            <w:tcW w:w="7888" w:type="dxa"/>
          </w:tcPr>
          <w:p w14:paraId="6515759A" w14:textId="77777777" w:rsidR="00DB57EC" w:rsidRPr="00B206D4" w:rsidRDefault="00DB57EC" w:rsidP="00B206D4">
            <w:pPr>
              <w:pStyle w:val="TableTextLeft"/>
            </w:pPr>
            <w:r w:rsidRPr="00B206D4">
              <w:t>Memorandum of Understanding.</w:t>
            </w:r>
          </w:p>
        </w:tc>
      </w:tr>
      <w:tr w:rsidR="00DB57EC" w:rsidRPr="00864015" w14:paraId="1E3C6C3D" w14:textId="77777777" w:rsidTr="00B206D4">
        <w:tc>
          <w:tcPr>
            <w:tcW w:w="1128" w:type="dxa"/>
          </w:tcPr>
          <w:p w14:paraId="4D0D21C7" w14:textId="77777777" w:rsidR="00DB57EC" w:rsidRPr="00C875DB" w:rsidRDefault="00DB57EC" w:rsidP="00B206D4">
            <w:pPr>
              <w:pStyle w:val="TableTextLeft"/>
              <w:rPr>
                <w:b/>
              </w:rPr>
            </w:pPr>
            <w:r w:rsidRPr="00C875DB">
              <w:rPr>
                <w:b/>
              </w:rPr>
              <w:t>NZICA</w:t>
            </w:r>
          </w:p>
        </w:tc>
        <w:tc>
          <w:tcPr>
            <w:tcW w:w="7888" w:type="dxa"/>
          </w:tcPr>
          <w:p w14:paraId="0BD5A58B" w14:textId="77777777" w:rsidR="00DB57EC" w:rsidRPr="00B206D4" w:rsidRDefault="00DB57EC" w:rsidP="00B206D4">
            <w:pPr>
              <w:pStyle w:val="TableTextLeft"/>
            </w:pPr>
            <w:r w:rsidRPr="00B206D4">
              <w:t>New Zealand Institute of Chartered Accountants.</w:t>
            </w:r>
          </w:p>
        </w:tc>
      </w:tr>
      <w:tr w:rsidR="00DB57EC" w:rsidRPr="00864015" w14:paraId="5C6BDDFE" w14:textId="77777777" w:rsidTr="00B206D4">
        <w:tc>
          <w:tcPr>
            <w:tcW w:w="1128" w:type="dxa"/>
          </w:tcPr>
          <w:p w14:paraId="0F11101E" w14:textId="77777777" w:rsidR="00DB57EC" w:rsidRPr="00C875DB" w:rsidRDefault="00DB57EC" w:rsidP="00B206D4">
            <w:pPr>
              <w:pStyle w:val="TableTextLeft"/>
              <w:rPr>
                <w:b/>
              </w:rPr>
            </w:pPr>
            <w:r w:rsidRPr="00C875DB">
              <w:rPr>
                <w:b/>
              </w:rPr>
              <w:t>PABs</w:t>
            </w:r>
          </w:p>
        </w:tc>
        <w:tc>
          <w:tcPr>
            <w:tcW w:w="7888" w:type="dxa"/>
          </w:tcPr>
          <w:p w14:paraId="1CA40BF8" w14:textId="77777777" w:rsidR="00DB57EC" w:rsidRPr="00B206D4" w:rsidRDefault="00DB57EC" w:rsidP="00B206D4">
            <w:pPr>
              <w:pStyle w:val="TableTextLeft"/>
            </w:pPr>
            <w:r w:rsidRPr="00B206D4">
              <w:t>Professional Accounting Bodies. This consists of CA ANZ, CPA and IPA.</w:t>
            </w:r>
          </w:p>
        </w:tc>
      </w:tr>
      <w:tr w:rsidR="00DB57EC" w:rsidRPr="00864015" w14:paraId="4B9A8E4E" w14:textId="77777777" w:rsidTr="00B206D4">
        <w:tc>
          <w:tcPr>
            <w:tcW w:w="1128" w:type="dxa"/>
          </w:tcPr>
          <w:p w14:paraId="31303C41" w14:textId="77777777" w:rsidR="00DB57EC" w:rsidRPr="00C875DB" w:rsidRDefault="00DB57EC" w:rsidP="00B206D4">
            <w:pPr>
              <w:pStyle w:val="TableTextLeft"/>
              <w:rPr>
                <w:b/>
              </w:rPr>
            </w:pPr>
            <w:r w:rsidRPr="00C875DB">
              <w:rPr>
                <w:b/>
              </w:rPr>
              <w:t>PAF</w:t>
            </w:r>
          </w:p>
        </w:tc>
        <w:tc>
          <w:tcPr>
            <w:tcW w:w="7888" w:type="dxa"/>
          </w:tcPr>
          <w:p w14:paraId="2284616E" w14:textId="77777777" w:rsidR="00DB57EC" w:rsidRPr="00B206D4" w:rsidRDefault="00DB57EC" w:rsidP="00B206D4">
            <w:pPr>
              <w:pStyle w:val="TableTextLeft"/>
            </w:pPr>
            <w:r w:rsidRPr="00B206D4">
              <w:t>Professional Accounting Firm in Canada.</w:t>
            </w:r>
          </w:p>
        </w:tc>
      </w:tr>
      <w:tr w:rsidR="00DB57EC" w:rsidRPr="00864015" w14:paraId="67F67570" w14:textId="77777777" w:rsidTr="00B206D4">
        <w:tc>
          <w:tcPr>
            <w:tcW w:w="1128" w:type="dxa"/>
          </w:tcPr>
          <w:p w14:paraId="03521BE8" w14:textId="77777777" w:rsidR="00DB57EC" w:rsidRPr="00C875DB" w:rsidRDefault="00DB57EC" w:rsidP="00B206D4">
            <w:pPr>
              <w:pStyle w:val="TableTextLeft"/>
              <w:rPr>
                <w:b/>
              </w:rPr>
            </w:pPr>
            <w:r w:rsidRPr="00C875DB">
              <w:rPr>
                <w:b/>
              </w:rPr>
              <w:t>PCAOB</w:t>
            </w:r>
          </w:p>
        </w:tc>
        <w:tc>
          <w:tcPr>
            <w:tcW w:w="7888" w:type="dxa"/>
          </w:tcPr>
          <w:p w14:paraId="00055765" w14:textId="77777777" w:rsidR="00DB57EC" w:rsidRPr="00B206D4" w:rsidRDefault="00DB57EC" w:rsidP="00B206D4">
            <w:pPr>
              <w:pStyle w:val="TableTextLeft"/>
            </w:pPr>
            <w:r w:rsidRPr="00B206D4">
              <w:t>Public Company Accounting Oversight Board.</w:t>
            </w:r>
          </w:p>
        </w:tc>
      </w:tr>
      <w:tr w:rsidR="00DB57EC" w:rsidRPr="00864015" w14:paraId="230340B1" w14:textId="77777777" w:rsidTr="00B206D4">
        <w:tc>
          <w:tcPr>
            <w:tcW w:w="1128" w:type="dxa"/>
          </w:tcPr>
          <w:p w14:paraId="75043FEA" w14:textId="77777777" w:rsidR="00DB57EC" w:rsidRPr="00C875DB" w:rsidRDefault="00DB57EC" w:rsidP="00B206D4">
            <w:pPr>
              <w:pStyle w:val="TableTextLeft"/>
              <w:rPr>
                <w:b/>
              </w:rPr>
            </w:pPr>
            <w:r w:rsidRPr="00C875DB">
              <w:rPr>
                <w:b/>
              </w:rPr>
              <w:t>PCC</w:t>
            </w:r>
          </w:p>
        </w:tc>
        <w:tc>
          <w:tcPr>
            <w:tcW w:w="7888" w:type="dxa"/>
          </w:tcPr>
          <w:p w14:paraId="3F14FB8E" w14:textId="77777777" w:rsidR="00DB57EC" w:rsidRPr="00B206D4" w:rsidRDefault="00DB57EC" w:rsidP="00B206D4">
            <w:pPr>
              <w:pStyle w:val="TableTextLeft"/>
            </w:pPr>
            <w:r w:rsidRPr="00B206D4">
              <w:t>Professional Conduct Committee.</w:t>
            </w:r>
          </w:p>
        </w:tc>
      </w:tr>
      <w:tr w:rsidR="00DB57EC" w:rsidRPr="00864015" w14:paraId="4D502B26" w14:textId="77777777" w:rsidTr="00B206D4">
        <w:tc>
          <w:tcPr>
            <w:tcW w:w="1128" w:type="dxa"/>
          </w:tcPr>
          <w:p w14:paraId="4ED5926D" w14:textId="77777777" w:rsidR="00DB57EC" w:rsidRPr="00C875DB" w:rsidRDefault="00DB57EC" w:rsidP="00B206D4">
            <w:pPr>
              <w:pStyle w:val="TableTextLeft"/>
              <w:rPr>
                <w:b/>
              </w:rPr>
            </w:pPr>
            <w:r w:rsidRPr="00C875DB">
              <w:rPr>
                <w:b/>
              </w:rPr>
              <w:t>PCFR</w:t>
            </w:r>
          </w:p>
        </w:tc>
        <w:tc>
          <w:tcPr>
            <w:tcW w:w="7888" w:type="dxa"/>
          </w:tcPr>
          <w:p w14:paraId="725F4E6A" w14:textId="77777777" w:rsidR="00DB57EC" w:rsidRPr="00B206D4" w:rsidRDefault="00DB57EC" w:rsidP="00B206D4">
            <w:pPr>
              <w:pStyle w:val="TableTextLeft"/>
            </w:pPr>
            <w:r w:rsidRPr="00B206D4">
              <w:t>Professional Conduct Framework Review.</w:t>
            </w:r>
          </w:p>
        </w:tc>
      </w:tr>
      <w:tr w:rsidR="00DB57EC" w:rsidRPr="00864015" w14:paraId="52A6A63C" w14:textId="77777777" w:rsidTr="00B206D4">
        <w:tc>
          <w:tcPr>
            <w:tcW w:w="1128" w:type="dxa"/>
          </w:tcPr>
          <w:p w14:paraId="1794275A" w14:textId="77777777" w:rsidR="00DB57EC" w:rsidRPr="00C875DB" w:rsidRDefault="00DB57EC" w:rsidP="00B206D4">
            <w:pPr>
              <w:pStyle w:val="TableTextLeft"/>
              <w:rPr>
                <w:b/>
              </w:rPr>
            </w:pPr>
            <w:r w:rsidRPr="00C875DB">
              <w:rPr>
                <w:b/>
              </w:rPr>
              <w:t>PCOC</w:t>
            </w:r>
          </w:p>
        </w:tc>
        <w:tc>
          <w:tcPr>
            <w:tcW w:w="7888" w:type="dxa"/>
          </w:tcPr>
          <w:p w14:paraId="29B6534E" w14:textId="77777777" w:rsidR="00DB57EC" w:rsidRPr="00B206D4" w:rsidRDefault="00DB57EC" w:rsidP="00B206D4">
            <w:pPr>
              <w:pStyle w:val="TableTextLeft"/>
            </w:pPr>
            <w:r w:rsidRPr="00B206D4">
              <w:t>Professional Conduct Oversight Committee.</w:t>
            </w:r>
          </w:p>
        </w:tc>
      </w:tr>
      <w:tr w:rsidR="00DB57EC" w:rsidRPr="00864015" w14:paraId="706B1BDF" w14:textId="77777777" w:rsidTr="00B206D4">
        <w:tc>
          <w:tcPr>
            <w:tcW w:w="1128" w:type="dxa"/>
          </w:tcPr>
          <w:p w14:paraId="5E442FE6" w14:textId="77777777" w:rsidR="00DB57EC" w:rsidRPr="00C875DB" w:rsidRDefault="00DB57EC" w:rsidP="00B206D4">
            <w:pPr>
              <w:pStyle w:val="TableTextLeft"/>
              <w:rPr>
                <w:b/>
              </w:rPr>
            </w:pPr>
            <w:r w:rsidRPr="00C875DB">
              <w:rPr>
                <w:b/>
              </w:rPr>
              <w:t>PIE</w:t>
            </w:r>
          </w:p>
        </w:tc>
        <w:tc>
          <w:tcPr>
            <w:tcW w:w="7888" w:type="dxa"/>
          </w:tcPr>
          <w:p w14:paraId="78EE7E2A" w14:textId="77777777" w:rsidR="00DB57EC" w:rsidRPr="00B206D4" w:rsidRDefault="00DB57EC" w:rsidP="00B206D4">
            <w:pPr>
              <w:pStyle w:val="TableTextLeft"/>
            </w:pPr>
            <w:r w:rsidRPr="00B206D4">
              <w:t>Public Interest Entity.</w:t>
            </w:r>
          </w:p>
        </w:tc>
      </w:tr>
      <w:tr w:rsidR="00DB57EC" w:rsidRPr="00864015" w14:paraId="412A02BE" w14:textId="77777777" w:rsidTr="00B206D4">
        <w:tc>
          <w:tcPr>
            <w:tcW w:w="1128" w:type="dxa"/>
          </w:tcPr>
          <w:p w14:paraId="58193BB6" w14:textId="77777777" w:rsidR="00DB57EC" w:rsidRPr="00C875DB" w:rsidRDefault="00DB57EC" w:rsidP="00B206D4">
            <w:pPr>
              <w:pStyle w:val="TableTextLeft"/>
              <w:rPr>
                <w:b/>
              </w:rPr>
            </w:pPr>
            <w:r w:rsidRPr="00C875DB">
              <w:rPr>
                <w:b/>
              </w:rPr>
              <w:t>PJC</w:t>
            </w:r>
          </w:p>
        </w:tc>
        <w:tc>
          <w:tcPr>
            <w:tcW w:w="7888" w:type="dxa"/>
          </w:tcPr>
          <w:p w14:paraId="5B149F24" w14:textId="77777777" w:rsidR="00DB57EC" w:rsidRPr="00B206D4" w:rsidRDefault="00DB57EC" w:rsidP="00B206D4">
            <w:pPr>
              <w:pStyle w:val="TableTextLeft"/>
            </w:pPr>
            <w:r w:rsidRPr="00B206D4">
              <w:t>Parliamentary Joint Committee on Corporations and Financial Services.</w:t>
            </w:r>
          </w:p>
        </w:tc>
      </w:tr>
      <w:tr w:rsidR="00DB57EC" w:rsidRPr="00864015" w14:paraId="2A774F6C" w14:textId="77777777" w:rsidTr="00B206D4">
        <w:tc>
          <w:tcPr>
            <w:tcW w:w="1128" w:type="dxa"/>
          </w:tcPr>
          <w:p w14:paraId="03B804A0" w14:textId="77777777" w:rsidR="00DB57EC" w:rsidRPr="00C875DB" w:rsidRDefault="00DB57EC" w:rsidP="00B206D4">
            <w:pPr>
              <w:pStyle w:val="TableTextLeft"/>
              <w:rPr>
                <w:b/>
              </w:rPr>
            </w:pPr>
            <w:r w:rsidRPr="00C875DB">
              <w:rPr>
                <w:b/>
              </w:rPr>
              <w:t>PSC</w:t>
            </w:r>
          </w:p>
        </w:tc>
        <w:tc>
          <w:tcPr>
            <w:tcW w:w="7888" w:type="dxa"/>
          </w:tcPr>
          <w:p w14:paraId="45961A2F" w14:textId="77777777" w:rsidR="00DB57EC" w:rsidRPr="00B206D4" w:rsidRDefault="00DB57EC" w:rsidP="00B206D4">
            <w:pPr>
              <w:pStyle w:val="TableTextLeft"/>
            </w:pPr>
            <w:r w:rsidRPr="00B206D4">
              <w:t>Professional Standards Council.</w:t>
            </w:r>
          </w:p>
        </w:tc>
      </w:tr>
      <w:tr w:rsidR="00DB57EC" w:rsidRPr="00864015" w14:paraId="377769E5" w14:textId="77777777" w:rsidTr="00B206D4">
        <w:tc>
          <w:tcPr>
            <w:tcW w:w="1128" w:type="dxa"/>
          </w:tcPr>
          <w:p w14:paraId="3E2EAD9D" w14:textId="77777777" w:rsidR="00DB57EC" w:rsidRPr="00C875DB" w:rsidRDefault="00DB57EC" w:rsidP="00B206D4">
            <w:pPr>
              <w:pStyle w:val="TableTextLeft"/>
              <w:rPr>
                <w:b/>
              </w:rPr>
            </w:pPr>
            <w:r w:rsidRPr="00C875DB">
              <w:rPr>
                <w:b/>
              </w:rPr>
              <w:t>PSP</w:t>
            </w:r>
          </w:p>
        </w:tc>
        <w:tc>
          <w:tcPr>
            <w:tcW w:w="7888" w:type="dxa"/>
          </w:tcPr>
          <w:p w14:paraId="1FC72F89" w14:textId="77777777" w:rsidR="00DB57EC" w:rsidRPr="00B206D4" w:rsidRDefault="00DB57EC" w:rsidP="00B206D4">
            <w:pPr>
              <w:pStyle w:val="TableTextLeft"/>
            </w:pPr>
            <w:r w:rsidRPr="00B206D4">
              <w:t>Professional Service Provider in Canada.</w:t>
            </w:r>
          </w:p>
        </w:tc>
      </w:tr>
      <w:tr w:rsidR="00DB57EC" w:rsidRPr="00864015" w14:paraId="538F95CD" w14:textId="77777777" w:rsidTr="00B206D4">
        <w:tc>
          <w:tcPr>
            <w:tcW w:w="1128" w:type="dxa"/>
          </w:tcPr>
          <w:p w14:paraId="7B2648D6" w14:textId="77777777" w:rsidR="00DB57EC" w:rsidRPr="00C875DB" w:rsidRDefault="00DB57EC" w:rsidP="00B206D4">
            <w:pPr>
              <w:pStyle w:val="TableTextLeft"/>
              <w:rPr>
                <w:b/>
              </w:rPr>
            </w:pPr>
            <w:r w:rsidRPr="00C875DB">
              <w:rPr>
                <w:b/>
              </w:rPr>
              <w:t>PWC</w:t>
            </w:r>
          </w:p>
        </w:tc>
        <w:tc>
          <w:tcPr>
            <w:tcW w:w="7888" w:type="dxa"/>
          </w:tcPr>
          <w:p w14:paraId="06C520FF" w14:textId="77777777" w:rsidR="00DB57EC" w:rsidRPr="00B206D4" w:rsidRDefault="00DB57EC" w:rsidP="00B206D4">
            <w:pPr>
              <w:pStyle w:val="TableTextLeft"/>
            </w:pPr>
            <w:r w:rsidRPr="00B206D4">
              <w:t>PricewaterhouseCoopers Australia.</w:t>
            </w:r>
          </w:p>
        </w:tc>
      </w:tr>
      <w:tr w:rsidR="00DB57EC" w:rsidRPr="00864015" w14:paraId="504975CC" w14:textId="77777777" w:rsidTr="00B206D4">
        <w:tc>
          <w:tcPr>
            <w:tcW w:w="1128" w:type="dxa"/>
          </w:tcPr>
          <w:p w14:paraId="4672B808" w14:textId="77777777" w:rsidR="00DB57EC" w:rsidRPr="00C875DB" w:rsidRDefault="00DB57EC" w:rsidP="00B206D4">
            <w:pPr>
              <w:pStyle w:val="TableTextLeft"/>
              <w:rPr>
                <w:b/>
              </w:rPr>
            </w:pPr>
            <w:r w:rsidRPr="00C875DB">
              <w:rPr>
                <w:b/>
              </w:rPr>
              <w:t>SMO</w:t>
            </w:r>
          </w:p>
        </w:tc>
        <w:tc>
          <w:tcPr>
            <w:tcW w:w="7888" w:type="dxa"/>
          </w:tcPr>
          <w:p w14:paraId="3A0AED96" w14:textId="77777777" w:rsidR="00DB57EC" w:rsidRPr="00B206D4" w:rsidRDefault="00DB57EC" w:rsidP="00B206D4">
            <w:pPr>
              <w:pStyle w:val="TableTextLeft"/>
            </w:pPr>
            <w:r w:rsidRPr="00B206D4">
              <w:t>Statements of Membership Obligations.</w:t>
            </w:r>
          </w:p>
        </w:tc>
      </w:tr>
      <w:tr w:rsidR="00DB57EC" w:rsidRPr="00864015" w14:paraId="52C52D2C" w14:textId="77777777" w:rsidTr="00B206D4">
        <w:tc>
          <w:tcPr>
            <w:tcW w:w="1128" w:type="dxa"/>
          </w:tcPr>
          <w:p w14:paraId="2D38F8F0" w14:textId="77777777" w:rsidR="00DB57EC" w:rsidRPr="00C875DB" w:rsidRDefault="00DB57EC" w:rsidP="00B206D4">
            <w:pPr>
              <w:pStyle w:val="TableTextLeft"/>
              <w:rPr>
                <w:b/>
              </w:rPr>
            </w:pPr>
            <w:r w:rsidRPr="00C875DB">
              <w:rPr>
                <w:b/>
              </w:rPr>
              <w:t>SMSF</w:t>
            </w:r>
          </w:p>
        </w:tc>
        <w:tc>
          <w:tcPr>
            <w:tcW w:w="7888" w:type="dxa"/>
          </w:tcPr>
          <w:p w14:paraId="7DB2E341" w14:textId="17A4497A" w:rsidR="00DB57EC" w:rsidRPr="00B206D4" w:rsidRDefault="00DB57EC" w:rsidP="00B206D4">
            <w:pPr>
              <w:pStyle w:val="TableTextLeft"/>
            </w:pPr>
            <w:r w:rsidRPr="00B206D4">
              <w:t>Self</w:t>
            </w:r>
            <w:r w:rsidR="00EB0779">
              <w:noBreakHyphen/>
            </w:r>
            <w:r w:rsidRPr="00B206D4">
              <w:t>Managed Superannuation Fund.</w:t>
            </w:r>
          </w:p>
        </w:tc>
      </w:tr>
      <w:tr w:rsidR="00DB57EC" w:rsidRPr="00864015" w14:paraId="776C00E3" w14:textId="77777777" w:rsidTr="00B206D4">
        <w:tc>
          <w:tcPr>
            <w:tcW w:w="1128" w:type="dxa"/>
          </w:tcPr>
          <w:p w14:paraId="7162D4DC" w14:textId="77777777" w:rsidR="00DB57EC" w:rsidRPr="00C875DB" w:rsidRDefault="00DB57EC" w:rsidP="00B206D4">
            <w:pPr>
              <w:pStyle w:val="TableTextLeft"/>
              <w:rPr>
                <w:b/>
              </w:rPr>
            </w:pPr>
            <w:r w:rsidRPr="00C875DB">
              <w:rPr>
                <w:b/>
              </w:rPr>
              <w:t>QMS</w:t>
            </w:r>
          </w:p>
        </w:tc>
        <w:tc>
          <w:tcPr>
            <w:tcW w:w="7888" w:type="dxa"/>
          </w:tcPr>
          <w:p w14:paraId="778D00FE" w14:textId="77777777" w:rsidR="00DB57EC" w:rsidRPr="00B206D4" w:rsidRDefault="00DB57EC" w:rsidP="00B206D4">
            <w:pPr>
              <w:pStyle w:val="TableTextLeft"/>
            </w:pPr>
            <w:r w:rsidRPr="00B206D4">
              <w:t>Quality Management Standards.</w:t>
            </w:r>
          </w:p>
        </w:tc>
      </w:tr>
      <w:tr w:rsidR="00DB57EC" w:rsidRPr="00864015" w14:paraId="24FEFD92" w14:textId="77777777" w:rsidTr="00B206D4">
        <w:tc>
          <w:tcPr>
            <w:tcW w:w="1128" w:type="dxa"/>
          </w:tcPr>
          <w:p w14:paraId="056B04F9" w14:textId="77777777" w:rsidR="00DB57EC" w:rsidRPr="00C875DB" w:rsidRDefault="00DB57EC" w:rsidP="00B206D4">
            <w:pPr>
              <w:pStyle w:val="TableTextLeft"/>
              <w:rPr>
                <w:b/>
              </w:rPr>
            </w:pPr>
            <w:r w:rsidRPr="00C875DB">
              <w:rPr>
                <w:b/>
              </w:rPr>
              <w:t>RCA</w:t>
            </w:r>
          </w:p>
        </w:tc>
        <w:tc>
          <w:tcPr>
            <w:tcW w:w="7888" w:type="dxa"/>
          </w:tcPr>
          <w:p w14:paraId="75AA6559" w14:textId="77777777" w:rsidR="00DB57EC" w:rsidRPr="00B206D4" w:rsidRDefault="00DB57EC" w:rsidP="00B206D4">
            <w:pPr>
              <w:pStyle w:val="TableTextLeft"/>
            </w:pPr>
            <w:r w:rsidRPr="00B206D4">
              <w:t>Registered Company Auditor.</w:t>
            </w:r>
          </w:p>
        </w:tc>
      </w:tr>
      <w:tr w:rsidR="00DB57EC" w:rsidRPr="00864015" w14:paraId="14DD9218" w14:textId="77777777" w:rsidTr="00B206D4">
        <w:tc>
          <w:tcPr>
            <w:tcW w:w="1128" w:type="dxa"/>
          </w:tcPr>
          <w:p w14:paraId="655295CA" w14:textId="77777777" w:rsidR="00DB57EC" w:rsidRPr="00C875DB" w:rsidRDefault="00DB57EC" w:rsidP="00B206D4">
            <w:pPr>
              <w:pStyle w:val="TableTextLeft"/>
              <w:rPr>
                <w:b/>
              </w:rPr>
            </w:pPr>
            <w:r w:rsidRPr="00C875DB">
              <w:rPr>
                <w:b/>
              </w:rPr>
              <w:t>UK FRC</w:t>
            </w:r>
          </w:p>
        </w:tc>
        <w:tc>
          <w:tcPr>
            <w:tcW w:w="7888" w:type="dxa"/>
          </w:tcPr>
          <w:p w14:paraId="2C4958BA" w14:textId="77777777" w:rsidR="00DB57EC" w:rsidRPr="00B206D4" w:rsidRDefault="00DB57EC" w:rsidP="00B206D4">
            <w:pPr>
              <w:pStyle w:val="TableTextLeft"/>
            </w:pPr>
            <w:r w:rsidRPr="00B206D4">
              <w:t>UK Financial Reporting Council</w:t>
            </w:r>
          </w:p>
        </w:tc>
      </w:tr>
    </w:tbl>
    <w:p w14:paraId="133A50E1" w14:textId="77777777" w:rsidR="00DB57EC" w:rsidRDefault="00DB57EC" w:rsidP="00DB57EC"/>
    <w:p w14:paraId="3F3D7705" w14:textId="77777777" w:rsidR="00DB57EC" w:rsidRDefault="00DB57EC" w:rsidP="00DB57EC">
      <w:r>
        <w:br w:type="page"/>
      </w:r>
    </w:p>
    <w:p w14:paraId="340BC5E5" w14:textId="77777777" w:rsidR="00DB57EC" w:rsidRPr="0040240E" w:rsidRDefault="00DB57EC" w:rsidP="0040240E">
      <w:pPr>
        <w:pStyle w:val="Heading1"/>
      </w:pPr>
      <w:bookmarkStart w:id="85" w:name="_Toc149310329"/>
      <w:bookmarkStart w:id="86" w:name="_Toc149551302"/>
      <w:r w:rsidRPr="0040240E">
        <w:t>Resources Reviewed</w:t>
      </w:r>
      <w:bookmarkEnd w:id="85"/>
      <w:bookmarkEnd w:id="86"/>
      <w:r w:rsidRPr="0040240E">
        <w:t xml:space="preserve"> </w:t>
      </w:r>
    </w:p>
    <w:p w14:paraId="42B3BC2E" w14:textId="77777777" w:rsidR="00DB57EC" w:rsidRDefault="00DB57EC" w:rsidP="001E74ED">
      <w:pPr>
        <w:pStyle w:val="OutlineNumbered1"/>
        <w:numPr>
          <w:ilvl w:val="0"/>
          <w:numId w:val="22"/>
        </w:numPr>
      </w:pPr>
      <w:r w:rsidRPr="004D14EF">
        <w:t xml:space="preserve">Relevant parts of </w:t>
      </w:r>
      <w:r w:rsidRPr="00407FFD">
        <w:rPr>
          <w:rStyle w:val="Emphasis"/>
        </w:rPr>
        <w:t>Corporations Act 200</w:t>
      </w:r>
      <w:r w:rsidRPr="00453329">
        <w:t>1</w:t>
      </w:r>
      <w:r w:rsidRPr="0087119B">
        <w:t xml:space="preserve"> </w:t>
      </w:r>
    </w:p>
    <w:p w14:paraId="04471053" w14:textId="77777777" w:rsidR="00DB57EC" w:rsidRDefault="00DB57EC" w:rsidP="001E74ED">
      <w:pPr>
        <w:pStyle w:val="OutlineNumbered1"/>
        <w:numPr>
          <w:ilvl w:val="0"/>
          <w:numId w:val="22"/>
        </w:numPr>
      </w:pPr>
      <w:r w:rsidRPr="004D14EF">
        <w:t xml:space="preserve">s 225(2C) </w:t>
      </w:r>
      <w:r w:rsidRPr="00407FFD">
        <w:rPr>
          <w:rStyle w:val="Emphasis"/>
        </w:rPr>
        <w:t>Australian and Investments Commission Act 2001</w:t>
      </w:r>
      <w:r w:rsidRPr="004D14EF">
        <w:t xml:space="preserve"> </w:t>
      </w:r>
    </w:p>
    <w:p w14:paraId="3549EAF0" w14:textId="77777777" w:rsidR="00DB57EC" w:rsidRDefault="00DB57EC" w:rsidP="001E74ED">
      <w:pPr>
        <w:pStyle w:val="OutlineNumbered1"/>
        <w:numPr>
          <w:ilvl w:val="0"/>
          <w:numId w:val="22"/>
        </w:numPr>
      </w:pPr>
      <w:r>
        <w:t xml:space="preserve">Submissions to the </w:t>
      </w:r>
      <w:hyperlink r:id="rId80" w:anchor=":~:text=On%2022%20June%202023%2C%20the,the%20%27Big%20Four%27)." w:history="1">
        <w:r w:rsidRPr="004D14EF">
          <w:t>PJC Inquiry</w:t>
        </w:r>
      </w:hyperlink>
      <w:r w:rsidRPr="004D14EF">
        <w:t>: Ethics and Accountability: Structural Challenges in the Audit, Assurance and Consultancy Industry</w:t>
      </w:r>
    </w:p>
    <w:p w14:paraId="6FC6C829" w14:textId="41829F47" w:rsidR="00DB57EC" w:rsidRDefault="00DB57EC" w:rsidP="001E74ED">
      <w:pPr>
        <w:pStyle w:val="OutlineNumbered1"/>
        <w:numPr>
          <w:ilvl w:val="0"/>
          <w:numId w:val="22"/>
        </w:numPr>
      </w:pPr>
      <w:r>
        <w:t xml:space="preserve">Submissions to the </w:t>
      </w:r>
      <w:hyperlink r:id="rId81" w:history="1">
        <w:r w:rsidRPr="004D14EF">
          <w:t>Senate Inquiry</w:t>
        </w:r>
      </w:hyperlink>
      <w:r w:rsidRPr="004D14EF">
        <w:t xml:space="preserve"> into Management and Assurance of Integrity by Consulting Services and the </w:t>
      </w:r>
      <w:hyperlink r:id="rId82" w:anchor="tab-submissions" w:history="1">
        <w:r w:rsidRPr="004D14EF">
          <w:t>NSW Government</w:t>
        </w:r>
        <w:r w:rsidR="00EB0779">
          <w:t>’</w:t>
        </w:r>
        <w:r w:rsidRPr="004D14EF">
          <w:t>s</w:t>
        </w:r>
      </w:hyperlink>
      <w:r w:rsidRPr="004D14EF">
        <w:t xml:space="preserve"> use and management of consulting services</w:t>
      </w:r>
    </w:p>
    <w:p w14:paraId="37F9B7F8" w14:textId="77777777" w:rsidR="00DB57EC" w:rsidRPr="00402635" w:rsidRDefault="00DB57EC" w:rsidP="001E74ED">
      <w:pPr>
        <w:pStyle w:val="OutlineNumbered1"/>
        <w:numPr>
          <w:ilvl w:val="0"/>
          <w:numId w:val="22"/>
        </w:numPr>
      </w:pPr>
      <w:r>
        <w:t xml:space="preserve">Auditor registration </w:t>
      </w:r>
      <w:hyperlink r:id="rId83" w:history="1">
        <w:r w:rsidRPr="001E74ED">
          <w:rPr>
            <w:rStyle w:val="Hyperlink"/>
            <w:sz w:val="24"/>
          </w:rPr>
          <w:t>requirements</w:t>
        </w:r>
      </w:hyperlink>
      <w:r>
        <w:t xml:space="preserve"> </w:t>
      </w:r>
    </w:p>
    <w:p w14:paraId="02136E4E" w14:textId="77777777" w:rsidR="00DB57EC" w:rsidRDefault="00B973B7" w:rsidP="001E74ED">
      <w:pPr>
        <w:pStyle w:val="OutlineNumbered1"/>
        <w:numPr>
          <w:ilvl w:val="0"/>
          <w:numId w:val="22"/>
        </w:numPr>
      </w:pPr>
      <w:hyperlink r:id="rId84" w:history="1">
        <w:r w:rsidR="00DB57EC" w:rsidRPr="001E74ED">
          <w:rPr>
            <w:rStyle w:val="Hyperlink"/>
            <w:sz w:val="24"/>
          </w:rPr>
          <w:t>IOSCO</w:t>
        </w:r>
      </w:hyperlink>
      <w:r w:rsidR="00DB57EC">
        <w:t xml:space="preserve"> Objectives and Principles of Securities Regulation</w:t>
      </w:r>
    </w:p>
    <w:p w14:paraId="3E7B4535" w14:textId="77777777" w:rsidR="00DB57EC" w:rsidRDefault="00B973B7" w:rsidP="001E74ED">
      <w:pPr>
        <w:pStyle w:val="OutlineNumbered1"/>
        <w:numPr>
          <w:ilvl w:val="0"/>
          <w:numId w:val="22"/>
        </w:numPr>
      </w:pPr>
      <w:hyperlink r:id="rId85" w:history="1">
        <w:r w:rsidR="00DB57EC" w:rsidRPr="001E74ED">
          <w:rPr>
            <w:rStyle w:val="Hyperlink"/>
            <w:sz w:val="24"/>
          </w:rPr>
          <w:t>IOSCO</w:t>
        </w:r>
      </w:hyperlink>
      <w:r w:rsidR="00DB57EC">
        <w:t xml:space="preserve"> Principles for Auditor Oversight</w:t>
      </w:r>
    </w:p>
    <w:p w14:paraId="1A1AD5CE" w14:textId="6F9AAA9C" w:rsidR="00DB57EC" w:rsidRDefault="00DB57EC" w:rsidP="001E74ED">
      <w:pPr>
        <w:pStyle w:val="OutlineNumbered1"/>
        <w:numPr>
          <w:ilvl w:val="0"/>
          <w:numId w:val="22"/>
        </w:numPr>
      </w:pPr>
      <w:r>
        <w:t>IFIAR</w:t>
      </w:r>
      <w:r w:rsidR="00EB0779">
        <w:t>’</w:t>
      </w:r>
      <w:r>
        <w:t xml:space="preserve">s Core Principles for Independent Audit Regulators </w:t>
      </w:r>
    </w:p>
    <w:p w14:paraId="1288F843" w14:textId="77777777" w:rsidR="00DB57EC" w:rsidRPr="001E74ED" w:rsidRDefault="00DB57EC" w:rsidP="001E74ED">
      <w:pPr>
        <w:pStyle w:val="OutlineNumbered1"/>
        <w:numPr>
          <w:ilvl w:val="0"/>
          <w:numId w:val="22"/>
        </w:numPr>
        <w:rPr>
          <w:szCs w:val="24"/>
        </w:rPr>
      </w:pPr>
      <w:r w:rsidRPr="001E74ED">
        <w:rPr>
          <w:szCs w:val="24"/>
        </w:rPr>
        <w:t>CAANZ, CPA, IPA Annual Reports</w:t>
      </w:r>
    </w:p>
    <w:p w14:paraId="2BA8CD33" w14:textId="01B0F30F" w:rsidR="00DB57EC" w:rsidRPr="001E74ED" w:rsidRDefault="00DB57EC" w:rsidP="001E74ED">
      <w:pPr>
        <w:pStyle w:val="OutlineNumbered1"/>
        <w:numPr>
          <w:ilvl w:val="0"/>
          <w:numId w:val="22"/>
        </w:numPr>
        <w:rPr>
          <w:szCs w:val="24"/>
        </w:rPr>
      </w:pPr>
      <w:r w:rsidRPr="001E74ED">
        <w:rPr>
          <w:szCs w:val="24"/>
        </w:rPr>
        <w:t>Relevant extracts from PAB</w:t>
      </w:r>
      <w:r w:rsidR="00EB0779">
        <w:rPr>
          <w:szCs w:val="24"/>
        </w:rPr>
        <w:t>’</w:t>
      </w:r>
      <w:r w:rsidRPr="001E74ED">
        <w:rPr>
          <w:szCs w:val="24"/>
        </w:rPr>
        <w:t>s by</w:t>
      </w:r>
      <w:r w:rsidR="00EB0779">
        <w:rPr>
          <w:szCs w:val="24"/>
        </w:rPr>
        <w:noBreakHyphen/>
      </w:r>
      <w:r w:rsidRPr="001E74ED">
        <w:rPr>
          <w:szCs w:val="24"/>
        </w:rPr>
        <w:t>laws</w:t>
      </w:r>
    </w:p>
    <w:p w14:paraId="05D4F379" w14:textId="6908CB7D" w:rsidR="00DB57EC" w:rsidRPr="001E74ED" w:rsidRDefault="00DB57EC" w:rsidP="001E74ED">
      <w:pPr>
        <w:pStyle w:val="OutlineNumbered1"/>
        <w:numPr>
          <w:ilvl w:val="0"/>
          <w:numId w:val="22"/>
        </w:numPr>
        <w:rPr>
          <w:szCs w:val="24"/>
        </w:rPr>
      </w:pPr>
      <w:r w:rsidRPr="001E74ED">
        <w:rPr>
          <w:szCs w:val="24"/>
        </w:rPr>
        <w:t>The PAB</w:t>
      </w:r>
      <w:r w:rsidR="00EB0779">
        <w:rPr>
          <w:szCs w:val="24"/>
        </w:rPr>
        <w:t>’</w:t>
      </w:r>
      <w:r w:rsidRPr="001E74ED">
        <w:rPr>
          <w:szCs w:val="24"/>
        </w:rPr>
        <w:t>s requirements for membership entry, CPP and CPD</w:t>
      </w:r>
    </w:p>
    <w:p w14:paraId="558D298B" w14:textId="14DABA3B" w:rsidR="00DB57EC" w:rsidRDefault="00DB57EC" w:rsidP="001E74ED">
      <w:pPr>
        <w:pStyle w:val="OutlineNumbered1"/>
        <w:numPr>
          <w:ilvl w:val="0"/>
          <w:numId w:val="22"/>
        </w:numPr>
      </w:pPr>
      <w:r>
        <w:t>Extracts from the PAB</w:t>
      </w:r>
      <w:r w:rsidR="00EB0779">
        <w:t>’</w:t>
      </w:r>
      <w:r>
        <w:t xml:space="preserve">s quality review </w:t>
      </w:r>
      <w:proofErr w:type="gramStart"/>
      <w:r>
        <w:t>programs</w:t>
      </w:r>
      <w:proofErr w:type="gramEnd"/>
    </w:p>
    <w:p w14:paraId="237FA95E" w14:textId="77777777" w:rsidR="00DB57EC" w:rsidRDefault="00DB57EC" w:rsidP="001E74ED">
      <w:pPr>
        <w:pStyle w:val="OutlineNumbered1"/>
        <w:numPr>
          <w:ilvl w:val="0"/>
          <w:numId w:val="22"/>
        </w:numPr>
      </w:pPr>
      <w:r>
        <w:t xml:space="preserve">Reporting on PAB quality review programs and results </w:t>
      </w:r>
    </w:p>
    <w:p w14:paraId="739135E4" w14:textId="77777777" w:rsidR="00DB57EC" w:rsidRDefault="00DB57EC" w:rsidP="001E74ED">
      <w:pPr>
        <w:pStyle w:val="OutlineNumbered1"/>
        <w:numPr>
          <w:ilvl w:val="0"/>
          <w:numId w:val="22"/>
        </w:numPr>
      </w:pPr>
      <w:r>
        <w:t xml:space="preserve">CAANZ Professional Conduct Framework Review </w:t>
      </w:r>
      <w:hyperlink r:id="rId86" w:history="1">
        <w:r w:rsidRPr="001E74ED">
          <w:rPr>
            <w:rStyle w:val="Hyperlink"/>
            <w:sz w:val="24"/>
          </w:rPr>
          <w:t>Final Report</w:t>
        </w:r>
      </w:hyperlink>
    </w:p>
    <w:p w14:paraId="24CD5541" w14:textId="77777777" w:rsidR="00DB57EC" w:rsidRPr="001E74ED" w:rsidRDefault="00B973B7" w:rsidP="001E74ED">
      <w:pPr>
        <w:pStyle w:val="OutlineNumbered1"/>
        <w:numPr>
          <w:ilvl w:val="0"/>
          <w:numId w:val="22"/>
        </w:numPr>
        <w:rPr>
          <w:color w:val="5F5F5F" w:themeColor="hyperlink"/>
          <w:szCs w:val="24"/>
          <w:u w:val="single"/>
        </w:rPr>
      </w:pPr>
      <w:hyperlink r:id="rId87" w:history="1">
        <w:r w:rsidR="00DB57EC" w:rsidRPr="001E74ED">
          <w:rPr>
            <w:rStyle w:val="Hyperlink"/>
            <w:sz w:val="24"/>
            <w:szCs w:val="24"/>
          </w:rPr>
          <w:t>CA ANZs</w:t>
        </w:r>
      </w:hyperlink>
      <w:r w:rsidR="00DB57EC" w:rsidRPr="001E74ED">
        <w:rPr>
          <w:szCs w:val="24"/>
        </w:rPr>
        <w:t xml:space="preserve"> Summary of Research into Statutory audit and assurance requirements and the demand for RCAs in Australia</w:t>
      </w:r>
    </w:p>
    <w:p w14:paraId="744C67F7" w14:textId="77777777" w:rsidR="00DB57EC" w:rsidRDefault="00DB57EC" w:rsidP="001E74ED">
      <w:pPr>
        <w:pStyle w:val="OutlineNumbered1"/>
        <w:numPr>
          <w:ilvl w:val="0"/>
          <w:numId w:val="22"/>
        </w:numPr>
      </w:pPr>
      <w:r>
        <w:t xml:space="preserve">ASIC </w:t>
      </w:r>
      <w:hyperlink r:id="rId88" w:history="1">
        <w:r w:rsidRPr="001E74ED">
          <w:rPr>
            <w:rStyle w:val="Hyperlink"/>
            <w:sz w:val="24"/>
          </w:rPr>
          <w:t>Report 743</w:t>
        </w:r>
      </w:hyperlink>
      <w:r w:rsidRPr="004D14EF">
        <w:t xml:space="preserve"> ASIC reports on audit inspection findings for 12 months to 30 June 2022</w:t>
      </w:r>
    </w:p>
    <w:p w14:paraId="323D6844" w14:textId="51A31F9F" w:rsidR="00DB57EC" w:rsidRDefault="00DB57EC" w:rsidP="001E74ED">
      <w:pPr>
        <w:pStyle w:val="OutlineNumbered1"/>
        <w:numPr>
          <w:ilvl w:val="0"/>
          <w:numId w:val="22"/>
        </w:numPr>
      </w:pPr>
      <w:r>
        <w:t xml:space="preserve">ASIC </w:t>
      </w:r>
      <w:hyperlink r:id="rId89" w:history="1">
        <w:r w:rsidRPr="001E74ED">
          <w:rPr>
            <w:rStyle w:val="Hyperlink"/>
            <w:sz w:val="24"/>
          </w:rPr>
          <w:t>Report 774</w:t>
        </w:r>
      </w:hyperlink>
      <w:r w:rsidRPr="004D14EF">
        <w:t xml:space="preserve"> Annual financial reporting and audit surveillance report 2022</w:t>
      </w:r>
      <w:r w:rsidR="003D54C2">
        <w:t>–</w:t>
      </w:r>
      <w:r w:rsidRPr="004D14EF">
        <w:t>23</w:t>
      </w:r>
    </w:p>
    <w:p w14:paraId="78D5C427" w14:textId="44DAB056" w:rsidR="00DB57EC" w:rsidRDefault="00DB57EC" w:rsidP="001E74ED">
      <w:pPr>
        <w:pStyle w:val="OutlineNumbered1"/>
        <w:numPr>
          <w:ilvl w:val="0"/>
          <w:numId w:val="22"/>
        </w:numPr>
      </w:pPr>
      <w:r>
        <w:t>ASIC</w:t>
      </w:r>
      <w:r w:rsidR="00EB0779">
        <w:t>’</w:t>
      </w:r>
      <w:r>
        <w:t xml:space="preserve">s </w:t>
      </w:r>
      <w:hyperlink r:id="rId90" w:history="1">
        <w:r w:rsidRPr="001E74ED">
          <w:rPr>
            <w:rStyle w:val="Hyperlink"/>
            <w:sz w:val="24"/>
          </w:rPr>
          <w:t>RG 260</w:t>
        </w:r>
      </w:hyperlink>
      <w:r>
        <w:t xml:space="preserve"> Communicating findings from audit files to directors, audit committees or senior management</w:t>
      </w:r>
    </w:p>
    <w:p w14:paraId="3BD30900" w14:textId="77777777" w:rsidR="00DB57EC" w:rsidRDefault="00DB57EC" w:rsidP="001E74ED">
      <w:pPr>
        <w:pStyle w:val="OutlineNumbered1"/>
        <w:numPr>
          <w:ilvl w:val="0"/>
          <w:numId w:val="22"/>
        </w:numPr>
      </w:pPr>
      <w:r>
        <w:t xml:space="preserve">ASIC </w:t>
      </w:r>
      <w:hyperlink r:id="rId91" w:history="1">
        <w:r w:rsidRPr="001E74ED">
          <w:rPr>
            <w:rStyle w:val="Hyperlink"/>
            <w:sz w:val="24"/>
          </w:rPr>
          <w:t>Information Sheet 196</w:t>
        </w:r>
      </w:hyperlink>
      <w:r>
        <w:t xml:space="preserve"> Audit Quality: The role of directors and audit committees</w:t>
      </w:r>
    </w:p>
    <w:p w14:paraId="2A0D1028" w14:textId="77777777" w:rsidR="00DB57EC" w:rsidRDefault="00DB57EC" w:rsidP="001E74ED">
      <w:pPr>
        <w:pStyle w:val="OutlineNumbered1"/>
        <w:numPr>
          <w:ilvl w:val="0"/>
          <w:numId w:val="22"/>
        </w:numPr>
      </w:pPr>
      <w:r>
        <w:t xml:space="preserve">ASIC </w:t>
      </w:r>
      <w:hyperlink r:id="rId92" w:history="1">
        <w:r w:rsidRPr="001E74ED">
          <w:rPr>
            <w:rStyle w:val="Hyperlink"/>
            <w:sz w:val="24"/>
          </w:rPr>
          <w:t>Information Sheet 184</w:t>
        </w:r>
      </w:hyperlink>
      <w:r>
        <w:t xml:space="preserve"> Audit transparency reports</w:t>
      </w:r>
    </w:p>
    <w:p w14:paraId="52318920" w14:textId="77777777" w:rsidR="00DB57EC" w:rsidRDefault="00DB57EC" w:rsidP="001E74ED">
      <w:pPr>
        <w:pStyle w:val="OutlineNumbered1"/>
        <w:numPr>
          <w:ilvl w:val="0"/>
          <w:numId w:val="22"/>
        </w:numPr>
      </w:pPr>
      <w:r>
        <w:t xml:space="preserve">ASIC </w:t>
      </w:r>
      <w:hyperlink r:id="rId93" w:history="1">
        <w:r w:rsidRPr="001E74ED">
          <w:rPr>
            <w:rStyle w:val="Hyperlink"/>
            <w:sz w:val="24"/>
          </w:rPr>
          <w:t>Information Sheet 224</w:t>
        </w:r>
      </w:hyperlink>
      <w:r>
        <w:t xml:space="preserve"> Audit surveillances</w:t>
      </w:r>
    </w:p>
    <w:p w14:paraId="51666C1D" w14:textId="17166795" w:rsidR="00DB57EC" w:rsidRDefault="00DB57EC" w:rsidP="001E74ED">
      <w:pPr>
        <w:pStyle w:val="OutlineNumbered1"/>
        <w:numPr>
          <w:ilvl w:val="0"/>
          <w:numId w:val="22"/>
        </w:numPr>
      </w:pPr>
      <w:r>
        <w:t xml:space="preserve">ASIC </w:t>
      </w:r>
      <w:hyperlink r:id="rId94" w:history="1">
        <w:r w:rsidRPr="001E74ED">
          <w:rPr>
            <w:rStyle w:val="Hyperlink"/>
            <w:sz w:val="24"/>
          </w:rPr>
          <w:t>Information Sheet 151</w:t>
        </w:r>
      </w:hyperlink>
      <w:r>
        <w:t xml:space="preserve"> ASIC</w:t>
      </w:r>
      <w:r w:rsidR="00EB0779">
        <w:t>’</w:t>
      </w:r>
      <w:r>
        <w:t>s Approach to Enforcement</w:t>
      </w:r>
    </w:p>
    <w:p w14:paraId="614E660E" w14:textId="2F66A084" w:rsidR="00DB57EC" w:rsidRDefault="00DB57EC" w:rsidP="001E74ED">
      <w:pPr>
        <w:pStyle w:val="OutlineNumbered1"/>
        <w:numPr>
          <w:ilvl w:val="0"/>
          <w:numId w:val="22"/>
        </w:numPr>
      </w:pPr>
      <w:r>
        <w:t>ASIC</w:t>
      </w:r>
      <w:r w:rsidR="00EB0779">
        <w:t>’</w:t>
      </w:r>
      <w:r>
        <w:t xml:space="preserve">s </w:t>
      </w:r>
      <w:hyperlink r:id="rId95" w:history="1">
        <w:r w:rsidRPr="001E74ED">
          <w:rPr>
            <w:rStyle w:val="Hyperlink"/>
            <w:sz w:val="24"/>
          </w:rPr>
          <w:t>Corporate Plan</w:t>
        </w:r>
      </w:hyperlink>
      <w:r>
        <w:t xml:space="preserve"> 2023</w:t>
      </w:r>
      <w:r w:rsidR="003D54C2" w:rsidRPr="003D54C2">
        <w:t>–</w:t>
      </w:r>
      <w:r>
        <w:t>27</w:t>
      </w:r>
    </w:p>
    <w:p w14:paraId="17AE18E8" w14:textId="77777777" w:rsidR="00DB57EC" w:rsidRDefault="00B973B7" w:rsidP="001E74ED">
      <w:pPr>
        <w:pStyle w:val="OutlineNumbered1"/>
        <w:numPr>
          <w:ilvl w:val="0"/>
          <w:numId w:val="22"/>
        </w:numPr>
      </w:pPr>
      <w:hyperlink r:id="rId96" w:history="1">
        <w:r w:rsidR="00DB57EC" w:rsidRPr="001E74ED">
          <w:rPr>
            <w:rStyle w:val="Hyperlink"/>
            <w:sz w:val="24"/>
          </w:rPr>
          <w:t>ASQM 1</w:t>
        </w:r>
      </w:hyperlink>
      <w:r w:rsidR="00DB57EC">
        <w:t xml:space="preserve"> </w:t>
      </w:r>
      <w:r w:rsidR="00DB57EC" w:rsidRPr="001E74ED">
        <w:rPr>
          <w:i/>
          <w:iCs/>
        </w:rPr>
        <w:t>Quality Control for Firms that Perform Audits and Reviews of Financial Reports and Other Financial Information, Other Assurance Engagements and Related Services Engagements</w:t>
      </w:r>
    </w:p>
    <w:p w14:paraId="0CFE2C63" w14:textId="77777777" w:rsidR="00DB57EC" w:rsidRPr="001E74ED" w:rsidRDefault="00B973B7" w:rsidP="001E74ED">
      <w:pPr>
        <w:pStyle w:val="OutlineNumbered1"/>
        <w:numPr>
          <w:ilvl w:val="0"/>
          <w:numId w:val="22"/>
        </w:numPr>
        <w:rPr>
          <w:i/>
          <w:iCs/>
        </w:rPr>
      </w:pPr>
      <w:hyperlink r:id="rId97" w:history="1">
        <w:r w:rsidR="00DB57EC" w:rsidRPr="001E74ED">
          <w:rPr>
            <w:rStyle w:val="Hyperlink"/>
            <w:sz w:val="24"/>
          </w:rPr>
          <w:t>ASA 102</w:t>
        </w:r>
      </w:hyperlink>
      <w:r w:rsidR="00DB57EC" w:rsidRPr="00374384">
        <w:t xml:space="preserve"> </w:t>
      </w:r>
      <w:r w:rsidR="00DB57EC" w:rsidRPr="001E74ED">
        <w:rPr>
          <w:i/>
          <w:iCs/>
        </w:rPr>
        <w:t>Compliance with Ethical Requirements when Performing Audits, Reviews and Other Assurance Engagements</w:t>
      </w:r>
    </w:p>
    <w:p w14:paraId="0DF99CF9" w14:textId="24C5924A" w:rsidR="00DB57EC" w:rsidRDefault="00DB57EC" w:rsidP="001E74ED">
      <w:pPr>
        <w:pStyle w:val="OutlineNumbered1"/>
        <w:numPr>
          <w:ilvl w:val="0"/>
          <w:numId w:val="22"/>
        </w:numPr>
      </w:pPr>
      <w:r w:rsidRPr="004D14EF">
        <w:t>APESB</w:t>
      </w:r>
      <w:r w:rsidR="00EB0779">
        <w:t>’</w:t>
      </w:r>
      <w:r w:rsidRPr="004D14EF">
        <w:t xml:space="preserve">s </w:t>
      </w:r>
      <w:hyperlink r:id="rId98" w:history="1">
        <w:r w:rsidRPr="001E74ED">
          <w:rPr>
            <w:rStyle w:val="Hyperlink"/>
            <w:sz w:val="24"/>
          </w:rPr>
          <w:t>Website</w:t>
        </w:r>
      </w:hyperlink>
      <w:r w:rsidRPr="004D14EF">
        <w:t xml:space="preserve"> </w:t>
      </w:r>
      <w:r>
        <w:t>and Annual Report</w:t>
      </w:r>
    </w:p>
    <w:p w14:paraId="3C07A91D" w14:textId="77777777" w:rsidR="00DB57EC" w:rsidRDefault="00DB57EC" w:rsidP="001E74ED">
      <w:pPr>
        <w:pStyle w:val="OutlineNumbered1"/>
        <w:numPr>
          <w:ilvl w:val="0"/>
          <w:numId w:val="22"/>
        </w:numPr>
      </w:pPr>
      <w:r>
        <w:t xml:space="preserve">CADB </w:t>
      </w:r>
      <w:hyperlink r:id="rId99" w:history="1">
        <w:r w:rsidRPr="001E74ED">
          <w:rPr>
            <w:rStyle w:val="Hyperlink"/>
            <w:sz w:val="24"/>
          </w:rPr>
          <w:t>Website</w:t>
        </w:r>
      </w:hyperlink>
      <w:r>
        <w:t xml:space="preserve"> and Annual Report</w:t>
      </w:r>
    </w:p>
    <w:p w14:paraId="0CEFA145" w14:textId="607393E2" w:rsidR="00DB57EC" w:rsidRDefault="00DB57EC" w:rsidP="001E74ED">
      <w:pPr>
        <w:pStyle w:val="OutlineNumbered1"/>
        <w:numPr>
          <w:ilvl w:val="0"/>
          <w:numId w:val="22"/>
        </w:numPr>
      </w:pPr>
      <w:r>
        <w:t xml:space="preserve">Transparency Reports of the largest </w:t>
      </w:r>
      <w:r w:rsidR="00B50466">
        <w:t>6</w:t>
      </w:r>
      <w:r>
        <w:t xml:space="preserve"> audit firms</w:t>
      </w:r>
    </w:p>
    <w:p w14:paraId="600A7E79" w14:textId="26E944F9" w:rsidR="00DB57EC" w:rsidRDefault="00DB57EC" w:rsidP="001E74ED">
      <w:pPr>
        <w:pStyle w:val="OutlineNumbered1"/>
        <w:numPr>
          <w:ilvl w:val="0"/>
          <w:numId w:val="22"/>
        </w:numPr>
      </w:pPr>
      <w:r>
        <w:t>IFAC</w:t>
      </w:r>
      <w:r w:rsidR="00EB0779">
        <w:t>’</w:t>
      </w:r>
      <w:r>
        <w:t xml:space="preserve">s </w:t>
      </w:r>
      <w:hyperlink r:id="rId100" w:history="1">
        <w:r w:rsidRPr="001E74ED">
          <w:rPr>
            <w:rStyle w:val="Hyperlink"/>
            <w:sz w:val="24"/>
          </w:rPr>
          <w:t>SMO 1</w:t>
        </w:r>
      </w:hyperlink>
    </w:p>
    <w:p w14:paraId="0DA2E0D2" w14:textId="77777777" w:rsidR="00DB57EC" w:rsidRDefault="00DB57EC" w:rsidP="001E74ED">
      <w:pPr>
        <w:pStyle w:val="OutlineNumbered1"/>
        <w:numPr>
          <w:ilvl w:val="0"/>
          <w:numId w:val="22"/>
        </w:numPr>
      </w:pPr>
      <w:r>
        <w:t xml:space="preserve">Professional Standards Council </w:t>
      </w:r>
      <w:hyperlink r:id="rId101" w:history="1">
        <w:r w:rsidRPr="001E74ED">
          <w:rPr>
            <w:rStyle w:val="Hyperlink"/>
            <w:sz w:val="24"/>
          </w:rPr>
          <w:t>website</w:t>
        </w:r>
      </w:hyperlink>
    </w:p>
    <w:p w14:paraId="3C978B3E" w14:textId="77777777" w:rsidR="00DB57EC" w:rsidRDefault="00DB57EC" w:rsidP="001E74ED">
      <w:pPr>
        <w:pStyle w:val="OutlineNumbered1"/>
        <w:numPr>
          <w:ilvl w:val="0"/>
          <w:numId w:val="22"/>
        </w:numPr>
      </w:pPr>
      <w:r>
        <w:t>Public reporting by the PCAOB, UK FRC, NZ FMA and CPAB on their Audit Surveillance Programs</w:t>
      </w:r>
    </w:p>
    <w:sectPr w:rsidR="00DB57EC" w:rsidSect="00B66783">
      <w:headerReference w:type="even" r:id="rId102"/>
      <w:headerReference w:type="default" r:id="rId103"/>
      <w:footerReference w:type="even" r:id="rId104"/>
      <w:footerReference w:type="default" r:id="rId105"/>
      <w:headerReference w:type="first" r:id="rId106"/>
      <w:footerReference w:type="first" r:id="rId107"/>
      <w:pgSz w:w="11906" w:h="16838" w:code="9"/>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7494" w14:textId="77777777" w:rsidR="00DB57EC" w:rsidRDefault="00DB57EC">
      <w:pPr>
        <w:spacing w:before="0" w:after="0"/>
      </w:pPr>
      <w:r>
        <w:separator/>
      </w:r>
    </w:p>
  </w:endnote>
  <w:endnote w:type="continuationSeparator" w:id="0">
    <w:p w14:paraId="10E17D89" w14:textId="77777777" w:rsidR="00DB57EC" w:rsidRDefault="00DB57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4937" w14:textId="600453DA" w:rsidR="003A6A8B" w:rsidRDefault="003A6A8B">
    <w:pPr>
      <w:pStyle w:val="Footer"/>
    </w:pPr>
    <w:r>
      <w:rPr>
        <w:noProof/>
      </w:rPr>
      <w:drawing>
        <wp:anchor distT="0" distB="0" distL="114300" distR="114300" simplePos="0" relativeHeight="251667456" behindDoc="1" locked="0" layoutInCell="1" allowOverlap="1" wp14:anchorId="2111B840" wp14:editId="0F6B2BCA">
          <wp:simplePos x="0" y="0"/>
          <wp:positionH relativeFrom="page">
            <wp:posOffset>-8546</wp:posOffset>
          </wp:positionH>
          <wp:positionV relativeFrom="page">
            <wp:posOffset>6657173</wp:posOffset>
          </wp:positionV>
          <wp:extent cx="7576805" cy="4033259"/>
          <wp:effectExtent l="38100" t="38100" r="43815" b="43815"/>
          <wp:wrapNone/>
          <wp:docPr id="308128904" name="Picture 3081289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28904" name="Picture 308128904">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t="15304"/>
                  <a:stretch/>
                </pic:blipFill>
                <pic:spPr bwMode="auto">
                  <a:xfrm>
                    <a:off x="0" y="0"/>
                    <a:ext cx="7578000" cy="4033895"/>
                  </a:xfrm>
                  <a:prstGeom prst="rect">
                    <a:avLst/>
                  </a:prstGeom>
                  <a:ln w="285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F703" w14:textId="48E69497" w:rsidR="00C60B0F" w:rsidRPr="00C60B0F" w:rsidRDefault="00C60B0F" w:rsidP="00C60B0F">
    <w:pPr>
      <w:pStyle w:val="FooterEven"/>
    </w:pPr>
    <w:r w:rsidRPr="00C60B0F">
      <w:fldChar w:fldCharType="begin"/>
    </w:r>
    <w:r w:rsidRPr="00C60B0F">
      <w:instrText xml:space="preserve"> PAGE   \* MERGEFORMAT </w:instrText>
    </w:r>
    <w:r w:rsidRPr="00C60B0F">
      <w:fldChar w:fldCharType="separate"/>
    </w:r>
    <w:r w:rsidRPr="00C60B0F">
      <w:t>2</w:t>
    </w:r>
    <w:r w:rsidRPr="00C60B0F">
      <w:fldChar w:fldCharType="end"/>
    </w:r>
    <w:r w:rsidRPr="00C60B0F">
      <w:t xml:space="preserve"> | </w:t>
    </w:r>
    <w:fldSimple w:instr=" STYLEREF  &quot;Heading 1&quot;  \* MERGEFORMAT ">
      <w:r w:rsidR="00B973B7">
        <w:t>Resources Reviewed</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E84C" w14:textId="0526781B" w:rsidR="00C60B0F" w:rsidRPr="001515FD" w:rsidRDefault="000A3599" w:rsidP="00AB738A">
    <w:pPr>
      <w:pStyle w:val="FooterOdd"/>
    </w:pPr>
    <w:fldSimple w:instr=" STYLEREF  &quot;Heading 1&quot;  \* MERGEFORMAT ">
      <w:r w:rsidR="00B973B7">
        <w:rPr>
          <w:noProof/>
        </w:rPr>
        <w:t>Resources Reviewed</w:t>
      </w:r>
    </w:fldSimple>
    <w:r w:rsidR="00C60B0F">
      <w:t xml:space="preserve"> | </w:t>
    </w:r>
    <w:r w:rsidR="00C60B0F">
      <w:fldChar w:fldCharType="begin"/>
    </w:r>
    <w:r w:rsidR="00C60B0F">
      <w:instrText xml:space="preserve"> PAGE   \* MERGEFORMAT </w:instrText>
    </w:r>
    <w:r w:rsidR="00C60B0F">
      <w:fldChar w:fldCharType="separate"/>
    </w:r>
    <w:r w:rsidR="00C60B0F">
      <w:t>1</w:t>
    </w:r>
    <w:r w:rsidR="00C60B0F">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DE4D" w14:textId="77777777" w:rsidR="00C60B0F" w:rsidRDefault="00C60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6253" w14:textId="69514EE4" w:rsidR="00DA2E0B" w:rsidRDefault="00DA2E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15DC" w14:textId="7526370F" w:rsidR="00B55B04" w:rsidRPr="00577281" w:rsidRDefault="0088666B" w:rsidP="00577281">
    <w:pPr>
      <w:pStyle w:val="FooterEven"/>
    </w:pPr>
    <w:r w:rsidRPr="00577281">
      <w:fldChar w:fldCharType="begin"/>
    </w:r>
    <w:r w:rsidRPr="00577281">
      <w:instrText xml:space="preserve"> PAGE   \* MERGEFORMAT </w:instrText>
    </w:r>
    <w:r w:rsidRPr="00577281">
      <w:fldChar w:fldCharType="separate"/>
    </w:r>
    <w:r w:rsidRPr="00577281">
      <w:t>2</w:t>
    </w:r>
    <w:r w:rsidRPr="00577281">
      <w:fldChar w:fldCharType="end"/>
    </w:r>
    <w:r w:rsidRPr="00577281">
      <w:t xml:space="preserve"> | </w:t>
    </w:r>
    <w:r w:rsidR="00B973B7">
      <w:fldChar w:fldCharType="begin"/>
    </w:r>
    <w:r w:rsidR="00B973B7">
      <w:instrText xml:space="preserve"> STYLEREF  Title  \* MERGEFORMAT </w:instrText>
    </w:r>
    <w:r w:rsidR="00B973B7">
      <w:fldChar w:fldCharType="separate"/>
    </w:r>
    <w:r w:rsidR="00675CEA">
      <w:t>Oversight of Audit Quality in Australia–A Review</w:t>
    </w:r>
    <w:r w:rsidR="00B973B7">
      <w:fldChar w:fldCharType="end"/>
    </w:r>
    <w:r w:rsidR="00B973B7">
      <w:fldChar w:fldCharType="begin"/>
    </w:r>
    <w:r w:rsidR="00B973B7">
      <w:instrText xml:space="preserve"> STYLEREF  Title  \* MERGEFORMAT </w:instrText>
    </w:r>
    <w:r w:rsidR="00B973B7">
      <w:fldChar w:fldCharType="separate"/>
    </w:r>
    <w:r w:rsidR="00675CEA">
      <w:t>Oversight of Audit Quality in Australia–A Review</w:t>
    </w:r>
    <w:r w:rsidR="00B973B7">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B0F8" w14:textId="7A5D9E4E" w:rsidR="00B55B04" w:rsidRDefault="00B55B04" w:rsidP="003C6534">
    <w:pPr>
      <w:pStyle w:val="FooterOdd"/>
    </w:pPr>
    <w:r>
      <w:ptab w:relativeTo="margin" w:alignment="right" w:leader="none"/>
    </w:r>
    <w:r w:rsidR="00B973B7">
      <w:fldChar w:fldCharType="begin"/>
    </w:r>
    <w:r w:rsidR="00B973B7">
      <w:instrText xml:space="preserve"> STYLEREF  "Heading 1"  \* MERGEFORMAT </w:instrText>
    </w:r>
    <w:r w:rsidR="00B973B7">
      <w:fldChar w:fldCharType="separate"/>
    </w:r>
    <w:r w:rsidR="00B973B7">
      <w:rPr>
        <w:noProof/>
      </w:rPr>
      <w:t>Contents</w:t>
    </w:r>
    <w:r w:rsidR="00B973B7">
      <w:rPr>
        <w:noProof/>
      </w:rPr>
      <w:fldChar w:fldCharType="end"/>
    </w:r>
    <w:r>
      <w:rPr>
        <w:noProof/>
      </w:rPr>
      <w:t xml:space="preserve"> </w:t>
    </w:r>
    <w:r>
      <w:t xml:space="preserve">| </w:t>
    </w:r>
    <w:r>
      <w:fldChar w:fldCharType="begin"/>
    </w:r>
    <w:r>
      <w:instrText xml:space="preserve"> PAGE   \* MERGEFORMAT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5979" w14:textId="11AF2594" w:rsidR="00DB57EC" w:rsidRPr="002519A5" w:rsidRDefault="00C55E74" w:rsidP="00C55E74">
    <w:pPr>
      <w:pStyle w:val="FooterEven"/>
    </w:pPr>
    <w:r w:rsidRPr="00C55E74">
      <w:fldChar w:fldCharType="begin"/>
    </w:r>
    <w:r w:rsidRPr="00C55E74">
      <w:instrText xml:space="preserve"> PAGE   \* MERGEFORMAT </w:instrText>
    </w:r>
    <w:r w:rsidRPr="00C55E74">
      <w:fldChar w:fldCharType="separate"/>
    </w:r>
    <w:r w:rsidRPr="00C55E74">
      <w:t>2</w:t>
    </w:r>
    <w:r w:rsidRPr="00C55E74">
      <w:fldChar w:fldCharType="end"/>
    </w:r>
    <w:r w:rsidRPr="00C55E74">
      <w:t xml:space="preserve"> | </w:t>
    </w:r>
    <w:fldSimple w:instr=" STYLEREF  &quot;Heading 1&quot;  \* MERGEFORMAT ">
      <w:r w:rsidR="00B973B7">
        <w:t>Professional Accounting Bodies Oversight of Auditors</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9F4B" w14:textId="6C8399D7" w:rsidR="00DB57EC" w:rsidRDefault="00B973B7" w:rsidP="009A6E89">
    <w:pPr>
      <w:pStyle w:val="FooterOdd"/>
    </w:pPr>
    <w:r>
      <w:fldChar w:fldCharType="begin"/>
    </w:r>
    <w:r>
      <w:instrText xml:space="preserve"> STYLEREF  "Heading 1"  \* MERGEFORMAT </w:instrText>
    </w:r>
    <w:r>
      <w:fldChar w:fldCharType="separate"/>
    </w:r>
    <w:r>
      <w:rPr>
        <w:noProof/>
      </w:rPr>
      <w:t>Professional Accounting Bodies Oversight of Auditors</w:t>
    </w:r>
    <w:r>
      <w:rPr>
        <w:noProof/>
      </w:rPr>
      <w:fldChar w:fldCharType="end"/>
    </w:r>
    <w:r w:rsidR="009A6E89">
      <w:t xml:space="preserve"> | </w:t>
    </w:r>
    <w:r w:rsidR="009A6E89">
      <w:fldChar w:fldCharType="begin"/>
    </w:r>
    <w:r w:rsidR="009A6E89">
      <w:instrText xml:space="preserve"> PAGE   \* MERGEFORMAT </w:instrText>
    </w:r>
    <w:r w:rsidR="009A6E89">
      <w:fldChar w:fldCharType="separate"/>
    </w:r>
    <w:r w:rsidR="009A6E89">
      <w:t>1</w:t>
    </w:r>
    <w:r w:rsidR="009A6E89">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D0B7" w14:textId="77777777" w:rsidR="00DB57EC" w:rsidRDefault="00DB57EC">
    <w:pPr>
      <w:pStyle w:val="Footer"/>
    </w:pPr>
  </w:p>
  <w:p w14:paraId="6026D1F9" w14:textId="35A70115" w:rsidR="00DB57EC" w:rsidRPr="002519A5" w:rsidRDefault="00DB57EC">
    <w:pPr>
      <w:pStyle w:val="Footer"/>
      <w:rPr>
        <w:sz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BBD95" w14:textId="77777777" w:rsidR="00026147" w:rsidRPr="005A1321" w:rsidRDefault="00026147" w:rsidP="0001756A">
    <w:pPr>
      <w:pBdr>
        <w:left w:val="single" w:sz="12" w:space="11" w:color="E6E6E6" w:themeColor="accent1"/>
      </w:pBdr>
      <w:tabs>
        <w:tab w:val="left" w:pos="622"/>
      </w:tabs>
      <w:spacing w:after="0"/>
      <w:ind w:left="13041"/>
      <w:rPr>
        <w:rFonts w:asciiTheme="majorHAnsi" w:eastAsiaTheme="majorEastAsia" w:hAnsiTheme="majorHAnsi" w:cstheme="majorBidi"/>
        <w:color w:val="ACACAC" w:themeColor="accent1" w:themeShade="BF"/>
        <w:sz w:val="20"/>
      </w:rPr>
    </w:pPr>
    <w:r w:rsidRPr="005A1321">
      <w:rPr>
        <w:rFonts w:asciiTheme="majorHAnsi" w:eastAsiaTheme="majorEastAsia" w:hAnsiTheme="majorHAnsi" w:cstheme="majorBidi"/>
        <w:color w:val="ACACAC" w:themeColor="accent1" w:themeShade="BF"/>
        <w:sz w:val="20"/>
      </w:rPr>
      <w:fldChar w:fldCharType="begin"/>
    </w:r>
    <w:r w:rsidRPr="005A1321">
      <w:rPr>
        <w:rFonts w:asciiTheme="majorHAnsi" w:eastAsiaTheme="majorEastAsia" w:hAnsiTheme="majorHAnsi" w:cstheme="majorBidi"/>
        <w:color w:val="ACACAC" w:themeColor="accent1" w:themeShade="BF"/>
        <w:sz w:val="20"/>
      </w:rPr>
      <w:instrText xml:space="preserve"> PAGE   \* MERGEFORMAT </w:instrText>
    </w:r>
    <w:r w:rsidRPr="005A1321">
      <w:rPr>
        <w:rFonts w:asciiTheme="majorHAnsi" w:eastAsiaTheme="majorEastAsia" w:hAnsiTheme="majorHAnsi" w:cstheme="majorBidi"/>
        <w:color w:val="ACACAC" w:themeColor="accent1" w:themeShade="BF"/>
        <w:sz w:val="20"/>
      </w:rPr>
      <w:fldChar w:fldCharType="separate"/>
    </w:r>
    <w:r w:rsidRPr="005A1321">
      <w:rPr>
        <w:rFonts w:asciiTheme="majorHAnsi" w:eastAsiaTheme="majorEastAsia" w:hAnsiTheme="majorHAnsi" w:cstheme="majorBidi"/>
        <w:noProof/>
        <w:color w:val="ACACAC" w:themeColor="accent1" w:themeShade="BF"/>
        <w:sz w:val="20"/>
      </w:rPr>
      <w:t>2</w:t>
    </w:r>
    <w:r w:rsidRPr="005A1321">
      <w:rPr>
        <w:rFonts w:asciiTheme="majorHAnsi" w:eastAsiaTheme="majorEastAsia" w:hAnsiTheme="majorHAnsi" w:cstheme="majorBidi"/>
        <w:noProof/>
        <w:color w:val="ACACAC" w:themeColor="accent1" w:themeShade="BF"/>
        <w:sz w:val="20"/>
      </w:rPr>
      <w:fldChar w:fldCharType="end"/>
    </w:r>
  </w:p>
  <w:p w14:paraId="238685FB" w14:textId="2FD97BF0" w:rsidR="0044486F" w:rsidRPr="002519A5" w:rsidRDefault="0044486F" w:rsidP="00570F3C">
    <w:pPr>
      <w:pStyle w:val="FooterEven"/>
      <w:rPr>
        <w:sz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CB23E" w14:textId="77777777" w:rsidR="009C28AB" w:rsidRPr="005A1321" w:rsidRDefault="009C28AB" w:rsidP="009C28AB">
    <w:pPr>
      <w:pBdr>
        <w:left w:val="single" w:sz="12" w:space="11" w:color="E6E6E6" w:themeColor="accent1"/>
      </w:pBdr>
      <w:tabs>
        <w:tab w:val="left" w:pos="622"/>
      </w:tabs>
      <w:spacing w:after="0"/>
      <w:ind w:left="13041"/>
      <w:rPr>
        <w:rFonts w:asciiTheme="majorHAnsi" w:eastAsiaTheme="majorEastAsia" w:hAnsiTheme="majorHAnsi" w:cstheme="majorBidi"/>
        <w:color w:val="ACACAC" w:themeColor="accent1" w:themeShade="BF"/>
        <w:sz w:val="20"/>
      </w:rPr>
    </w:pPr>
    <w:r w:rsidRPr="005A1321">
      <w:rPr>
        <w:rFonts w:asciiTheme="majorHAnsi" w:eastAsiaTheme="majorEastAsia" w:hAnsiTheme="majorHAnsi" w:cstheme="majorBidi"/>
        <w:color w:val="ACACAC" w:themeColor="accent1" w:themeShade="BF"/>
        <w:sz w:val="20"/>
      </w:rPr>
      <w:fldChar w:fldCharType="begin"/>
    </w:r>
    <w:r w:rsidRPr="005A1321">
      <w:rPr>
        <w:rFonts w:asciiTheme="majorHAnsi" w:eastAsiaTheme="majorEastAsia" w:hAnsiTheme="majorHAnsi" w:cstheme="majorBidi"/>
        <w:color w:val="ACACAC" w:themeColor="accent1" w:themeShade="BF"/>
        <w:sz w:val="20"/>
      </w:rPr>
      <w:instrText xml:space="preserve"> PAGE   \* MERGEFORMAT </w:instrText>
    </w:r>
    <w:r w:rsidRPr="005A1321">
      <w:rPr>
        <w:rFonts w:asciiTheme="majorHAnsi" w:eastAsiaTheme="majorEastAsia" w:hAnsiTheme="majorHAnsi" w:cstheme="majorBidi"/>
        <w:color w:val="ACACAC" w:themeColor="accent1" w:themeShade="BF"/>
        <w:sz w:val="20"/>
      </w:rPr>
      <w:fldChar w:fldCharType="separate"/>
    </w:r>
    <w:r w:rsidRPr="005A1321">
      <w:rPr>
        <w:rFonts w:asciiTheme="majorHAnsi" w:eastAsiaTheme="majorEastAsia" w:hAnsiTheme="majorHAnsi" w:cstheme="majorBidi"/>
        <w:noProof/>
        <w:color w:val="ACACAC" w:themeColor="accent1" w:themeShade="BF"/>
        <w:sz w:val="20"/>
      </w:rPr>
      <w:t>2</w:t>
    </w:r>
    <w:r w:rsidRPr="005A1321">
      <w:rPr>
        <w:rFonts w:asciiTheme="majorHAnsi" w:eastAsiaTheme="majorEastAsia" w:hAnsiTheme="majorHAnsi" w:cstheme="majorBidi"/>
        <w:noProof/>
        <w:color w:val="ACACAC" w:themeColor="accent1" w:themeShade="BF"/>
        <w:sz w:val="20"/>
      </w:rPr>
      <w:fldChar w:fldCharType="end"/>
    </w:r>
  </w:p>
  <w:p w14:paraId="577467F6" w14:textId="54B0A752" w:rsidR="00E273BF" w:rsidRDefault="00E273BF" w:rsidP="00E273BF">
    <w:pPr>
      <w:pStyle w:val="FooterOdd"/>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F912" w14:textId="77777777" w:rsidR="00DB57EC" w:rsidRPr="00ED5A20" w:rsidRDefault="00DB57EC" w:rsidP="000F6233">
      <w:pPr>
        <w:rPr>
          <w:color w:val="B2B2B2" w:themeColor="accent2"/>
        </w:rPr>
      </w:pPr>
      <w:r w:rsidRPr="00ED5A20">
        <w:rPr>
          <w:color w:val="B2B2B2" w:themeColor="accent2"/>
        </w:rPr>
        <w:separator/>
      </w:r>
    </w:p>
  </w:footnote>
  <w:footnote w:type="continuationSeparator" w:id="0">
    <w:p w14:paraId="625B8251" w14:textId="77777777" w:rsidR="00DB57EC" w:rsidRPr="00B737EB" w:rsidRDefault="00DB57EC">
      <w:pPr>
        <w:spacing w:before="0" w:after="0"/>
        <w:rPr>
          <w:color w:val="E6E6E6" w:themeColor="accent1"/>
        </w:rPr>
      </w:pPr>
      <w:r w:rsidRPr="00B737EB">
        <w:rPr>
          <w:color w:val="E6E6E6" w:themeColor="accent1"/>
        </w:rPr>
        <w:continuationSeparator/>
      </w:r>
    </w:p>
  </w:footnote>
  <w:footnote w:id="1">
    <w:p w14:paraId="443E5975" w14:textId="4DFB4F0B" w:rsidR="00DB57EC" w:rsidRPr="00E91943" w:rsidRDefault="009863D7" w:rsidP="009863D7">
      <w:pPr>
        <w:pStyle w:val="FootnoteText"/>
        <w:rPr>
          <w:rStyle w:val="FootnoteReference"/>
        </w:rPr>
      </w:pPr>
      <w:r w:rsidRPr="00E91943">
        <w:rPr>
          <w:rStyle w:val="FootnoteReference"/>
        </w:rPr>
        <w:footnoteRef/>
      </w:r>
      <w:r w:rsidR="00DB57EC" w:rsidRPr="00E91943">
        <w:rPr>
          <w:rStyle w:val="FootnoteReference"/>
        </w:rPr>
        <w:t xml:space="preserve"> </w:t>
      </w:r>
      <w:r w:rsidRPr="00E91943">
        <w:rPr>
          <w:rStyle w:val="FootnoteReference"/>
        </w:rPr>
        <w:tab/>
      </w:r>
      <w:r w:rsidR="00DB57EC" w:rsidRPr="00E91943">
        <w:rPr>
          <w:rStyle w:val="FootnoteReference"/>
        </w:rPr>
        <w:t>Refer to the Glossary for a list of the abbreviations and acronyms used in this report.</w:t>
      </w:r>
    </w:p>
  </w:footnote>
  <w:footnote w:id="2">
    <w:p w14:paraId="26FAC01D" w14:textId="78DDD4C3" w:rsidR="00DB57EC" w:rsidRPr="00D3530C" w:rsidRDefault="009863D7" w:rsidP="009863D7">
      <w:pPr>
        <w:pStyle w:val="FootnoteText"/>
        <w:rPr>
          <w:lang w:val="en-US"/>
        </w:rPr>
      </w:pPr>
      <w:r w:rsidRPr="00E91943">
        <w:rPr>
          <w:rStyle w:val="FootnoteReference"/>
        </w:rPr>
        <w:footnoteRef/>
      </w:r>
      <w:r w:rsidR="00DB57EC" w:rsidRPr="00E91943">
        <w:rPr>
          <w:rStyle w:val="FootnoteReference"/>
        </w:rPr>
        <w:t xml:space="preserve"> </w:t>
      </w:r>
      <w:r w:rsidRPr="00E91943">
        <w:rPr>
          <w:rStyle w:val="FootnoteReference"/>
        </w:rPr>
        <w:tab/>
      </w:r>
      <w:r w:rsidR="00DB57EC" w:rsidRPr="00E91943">
        <w:rPr>
          <w:rStyle w:val="FootnoteReference"/>
        </w:rPr>
        <w:t>Refer s 225(2C) Australian and Investments Commission Act 2001 (the ASIC Act).</w:t>
      </w:r>
    </w:p>
  </w:footnote>
  <w:footnote w:id="3">
    <w:p w14:paraId="7CA8CD82" w14:textId="7E8D1B9C" w:rsidR="00DB57EC" w:rsidRPr="00E91943" w:rsidRDefault="009863D7" w:rsidP="00E91943">
      <w:pPr>
        <w:pStyle w:val="FootnoteText"/>
        <w:rPr>
          <w:rStyle w:val="FootnoteReference"/>
        </w:rPr>
      </w:pPr>
      <w:r w:rsidRPr="00E91943">
        <w:rPr>
          <w:rStyle w:val="FootnoteReference"/>
        </w:rPr>
        <w:footnoteRef/>
      </w:r>
      <w:r w:rsidR="00DB57EC" w:rsidRPr="00E91943">
        <w:rPr>
          <w:rStyle w:val="FootnoteReference"/>
        </w:rPr>
        <w:t xml:space="preserve"> </w:t>
      </w:r>
      <w:r w:rsidR="00E91943" w:rsidRPr="00E91943">
        <w:rPr>
          <w:rStyle w:val="FootnoteReference"/>
        </w:rPr>
        <w:tab/>
      </w:r>
      <w:r w:rsidR="00DB57EC" w:rsidRPr="00E91943">
        <w:rPr>
          <w:rStyle w:val="FootnoteReference"/>
        </w:rPr>
        <w:t>S.225(2C)(a)(iii) of the ASIC Act.</w:t>
      </w:r>
    </w:p>
  </w:footnote>
  <w:footnote w:id="4">
    <w:p w14:paraId="72E0DE2C" w14:textId="38CE5C13" w:rsidR="00DB57EC" w:rsidRPr="00E91943" w:rsidRDefault="009863D7" w:rsidP="00E91943">
      <w:pPr>
        <w:pStyle w:val="FootnoteText"/>
        <w:rPr>
          <w:rStyle w:val="FootnoteReference"/>
        </w:rPr>
      </w:pPr>
      <w:r w:rsidRPr="00E91943">
        <w:rPr>
          <w:rStyle w:val="FootnoteReference"/>
        </w:rPr>
        <w:footnoteRef/>
      </w:r>
      <w:r w:rsidR="00DB57EC" w:rsidRPr="00E91943">
        <w:rPr>
          <w:rStyle w:val="FootnoteReference"/>
        </w:rPr>
        <w:t xml:space="preserve">  </w:t>
      </w:r>
      <w:r w:rsidR="00E91943" w:rsidRPr="00E91943">
        <w:rPr>
          <w:rStyle w:val="FootnoteReference"/>
        </w:rPr>
        <w:tab/>
      </w:r>
      <w:r w:rsidR="00DB57EC" w:rsidRPr="00E91943">
        <w:rPr>
          <w:rStyle w:val="FootnoteReference"/>
        </w:rPr>
        <w:t xml:space="preserve">The </w:t>
      </w:r>
      <w:r w:rsidR="00B50466">
        <w:rPr>
          <w:rStyle w:val="FootnoteReference"/>
        </w:rPr>
        <w:t>6</w:t>
      </w:r>
      <w:r w:rsidR="00DB57EC" w:rsidRPr="00E91943">
        <w:rPr>
          <w:rStyle w:val="FootnoteReference"/>
        </w:rPr>
        <w:t xml:space="preserve"> largest audit firms plus a sample of mid and smaller firms.</w:t>
      </w:r>
    </w:p>
  </w:footnote>
  <w:footnote w:id="5">
    <w:p w14:paraId="37B83831" w14:textId="6AD18A5B" w:rsidR="00DB57EC" w:rsidRPr="00884820" w:rsidRDefault="009863D7" w:rsidP="00E91943">
      <w:pPr>
        <w:pStyle w:val="FootnoteText"/>
        <w:rPr>
          <w:lang w:val="en-US"/>
        </w:rPr>
      </w:pPr>
      <w:r w:rsidRPr="00E91943">
        <w:rPr>
          <w:rStyle w:val="FootnoteReference"/>
        </w:rPr>
        <w:footnoteRef/>
      </w:r>
      <w:r w:rsidR="00DB57EC" w:rsidRPr="00E91943">
        <w:rPr>
          <w:rStyle w:val="FootnoteReference"/>
        </w:rPr>
        <w:t xml:space="preserve"> </w:t>
      </w:r>
      <w:r w:rsidR="00E91943" w:rsidRPr="00E91943">
        <w:rPr>
          <w:rStyle w:val="FootnoteReference"/>
        </w:rPr>
        <w:tab/>
      </w:r>
      <w:r w:rsidR="00DB57EC" w:rsidRPr="00E91943">
        <w:rPr>
          <w:rStyle w:val="FootnoteReference"/>
        </w:rPr>
        <w:t xml:space="preserve">For example the </w:t>
      </w:r>
      <w:hyperlink r:id="rId1" w:anchor=":~:text=On%2022%20June%202023%2C%20the,the%20%27Big%20Four%27)." w:history="1">
        <w:r w:rsidR="00DB57EC" w:rsidRPr="00E91943">
          <w:rPr>
            <w:rStyle w:val="FootnoteReference"/>
          </w:rPr>
          <w:t>PJC Inquiry</w:t>
        </w:r>
      </w:hyperlink>
      <w:r w:rsidR="00DB57EC" w:rsidRPr="00E91943">
        <w:rPr>
          <w:rStyle w:val="FootnoteReference"/>
        </w:rPr>
        <w:t xml:space="preserve">: Ethics and Accountability: Structural Challenges in the Audit, Assurance and Consultancy Industry, </w:t>
      </w:r>
      <w:hyperlink r:id="rId2" w:history="1">
        <w:r w:rsidR="00DB57EC" w:rsidRPr="00E91943">
          <w:rPr>
            <w:rStyle w:val="FootnoteReference"/>
          </w:rPr>
          <w:t>Senate Inquiry</w:t>
        </w:r>
      </w:hyperlink>
      <w:r w:rsidR="00DB57EC" w:rsidRPr="00E91943">
        <w:rPr>
          <w:rStyle w:val="FootnoteReference"/>
        </w:rPr>
        <w:t xml:space="preserve"> into Management and Assurance of Integrity by Consulting Services and the </w:t>
      </w:r>
      <w:hyperlink r:id="rId3" w:anchor="tab-submissions" w:history="1">
        <w:r w:rsidR="00DB57EC" w:rsidRPr="00E91943">
          <w:rPr>
            <w:rStyle w:val="FootnoteReference"/>
          </w:rPr>
          <w:t>NSW Government</w:t>
        </w:r>
        <w:r w:rsidR="00EB0779">
          <w:rPr>
            <w:rStyle w:val="FootnoteReference"/>
          </w:rPr>
          <w:t>’</w:t>
        </w:r>
        <w:r w:rsidR="00DB57EC" w:rsidRPr="00E91943">
          <w:rPr>
            <w:rStyle w:val="FootnoteReference"/>
          </w:rPr>
          <w:t>s</w:t>
        </w:r>
      </w:hyperlink>
      <w:r w:rsidR="00DB57EC" w:rsidRPr="00E91943">
        <w:rPr>
          <w:rStyle w:val="FootnoteReference"/>
        </w:rPr>
        <w:t xml:space="preserve"> use and management of consulting services.</w:t>
      </w:r>
    </w:p>
  </w:footnote>
  <w:footnote w:id="6">
    <w:p w14:paraId="31509388" w14:textId="56926FDF" w:rsidR="00DB57EC" w:rsidRPr="00E91943" w:rsidRDefault="009863D7" w:rsidP="00DB57EC">
      <w:pPr>
        <w:pStyle w:val="FootnoteText"/>
        <w:rPr>
          <w:rStyle w:val="FootnoteReference"/>
        </w:rPr>
      </w:pPr>
      <w:r w:rsidRPr="00E91943">
        <w:rPr>
          <w:rStyle w:val="FootnoteReference"/>
        </w:rPr>
        <w:footnoteRef/>
      </w:r>
      <w:r w:rsidR="00DB57EC" w:rsidRPr="00E91943">
        <w:rPr>
          <w:rStyle w:val="FootnoteReference"/>
        </w:rPr>
        <w:t xml:space="preserve"> </w:t>
      </w:r>
      <w:r w:rsidRPr="00E91943">
        <w:rPr>
          <w:rStyle w:val="FootnoteReference"/>
        </w:rPr>
        <w:tab/>
      </w:r>
      <w:r w:rsidR="00DB57EC" w:rsidRPr="00E91943">
        <w:rPr>
          <w:rStyle w:val="FootnoteReference"/>
        </w:rPr>
        <w:t xml:space="preserve">Refer to </w:t>
      </w:r>
      <w:hyperlink r:id="rId4" w:history="1">
        <w:r w:rsidR="00DB57EC" w:rsidRPr="00E91943">
          <w:rPr>
            <w:rStyle w:val="FootnoteReference"/>
          </w:rPr>
          <w:t>Rep 743</w:t>
        </w:r>
      </w:hyperlink>
      <w:r w:rsidR="00DB57EC" w:rsidRPr="00E91943">
        <w:rPr>
          <w:rStyle w:val="FootnoteReference"/>
        </w:rPr>
        <w:t xml:space="preserve"> ASIC reports on audit inspection findings for 12 months to 30 June 2022</w:t>
      </w:r>
    </w:p>
  </w:footnote>
  <w:footnote w:id="7">
    <w:p w14:paraId="7B38992D" w14:textId="7FB79C10" w:rsidR="00DB57EC" w:rsidRPr="00E91943" w:rsidRDefault="009863D7" w:rsidP="00DB57EC">
      <w:pPr>
        <w:pStyle w:val="FootnoteText"/>
        <w:rPr>
          <w:rStyle w:val="FootnoteReference"/>
        </w:rPr>
      </w:pPr>
      <w:r w:rsidRPr="00E91943">
        <w:rPr>
          <w:rStyle w:val="FootnoteReference"/>
        </w:rPr>
        <w:footnoteRef/>
      </w:r>
      <w:r w:rsidR="00DB57EC" w:rsidRPr="00E91943">
        <w:rPr>
          <w:rStyle w:val="FootnoteReference"/>
        </w:rPr>
        <w:t xml:space="preserve"> </w:t>
      </w:r>
      <w:r w:rsidRPr="00E91943">
        <w:rPr>
          <w:rStyle w:val="FootnoteReference"/>
        </w:rPr>
        <w:tab/>
      </w:r>
      <w:r w:rsidR="00DB57EC" w:rsidRPr="00E91943">
        <w:rPr>
          <w:rStyle w:val="FootnoteReference"/>
        </w:rPr>
        <w:t xml:space="preserve">Refer to </w:t>
      </w:r>
      <w:hyperlink r:id="rId5" w:history="1">
        <w:r w:rsidR="00DB57EC" w:rsidRPr="00E91943">
          <w:rPr>
            <w:rStyle w:val="FootnoteReference"/>
          </w:rPr>
          <w:t>Rep 774</w:t>
        </w:r>
      </w:hyperlink>
      <w:r w:rsidR="00DB57EC" w:rsidRPr="00E91943">
        <w:rPr>
          <w:rStyle w:val="FootnoteReference"/>
        </w:rPr>
        <w:t xml:space="preserve"> Annual financial reporting and audit surveillance report 2022</w:t>
      </w:r>
      <w:r w:rsidR="00C760F8">
        <w:rPr>
          <w:rStyle w:val="FootnoteReference"/>
        </w:rPr>
        <w:t>–2</w:t>
      </w:r>
      <w:r w:rsidR="00DB57EC" w:rsidRPr="00E91943">
        <w:rPr>
          <w:rStyle w:val="FootnoteReference"/>
        </w:rPr>
        <w:t>3</w:t>
      </w:r>
    </w:p>
  </w:footnote>
  <w:footnote w:id="8">
    <w:p w14:paraId="45594C35" w14:textId="67C54ABF" w:rsidR="00DB57EC" w:rsidRPr="00E91943" w:rsidRDefault="009863D7" w:rsidP="00DB57EC">
      <w:pPr>
        <w:pStyle w:val="FootnoteText"/>
        <w:rPr>
          <w:rStyle w:val="FootnoteReference"/>
        </w:rPr>
      </w:pPr>
      <w:r w:rsidRPr="00E91943">
        <w:rPr>
          <w:rStyle w:val="FootnoteReference"/>
        </w:rPr>
        <w:footnoteRef/>
      </w:r>
      <w:r w:rsidR="00DB57EC" w:rsidRPr="00E91943">
        <w:rPr>
          <w:rStyle w:val="FootnoteReference"/>
        </w:rPr>
        <w:t xml:space="preserve"> </w:t>
      </w:r>
      <w:r w:rsidRPr="00E91943">
        <w:rPr>
          <w:rStyle w:val="FootnoteReference"/>
        </w:rPr>
        <w:tab/>
      </w:r>
      <w:r w:rsidR="00DB57EC" w:rsidRPr="00E91943">
        <w:rPr>
          <w:rStyle w:val="FootnoteReference"/>
        </w:rPr>
        <w:t>Refer to Appendix 1 for a comparison of the scope and size of some overseas jurisdictions audit inspection programs.</w:t>
      </w:r>
    </w:p>
  </w:footnote>
  <w:footnote w:id="9">
    <w:p w14:paraId="0DCD66A6" w14:textId="36BC29C8" w:rsidR="00DB57EC" w:rsidRPr="00884820" w:rsidRDefault="009863D7" w:rsidP="00DB57EC">
      <w:pPr>
        <w:pStyle w:val="FootnoteText"/>
        <w:rPr>
          <w:sz w:val="16"/>
          <w:lang w:val="en-US"/>
        </w:rPr>
      </w:pPr>
      <w:r w:rsidRPr="00E91943">
        <w:rPr>
          <w:rStyle w:val="FootnoteReference"/>
        </w:rPr>
        <w:footnoteRef/>
      </w:r>
      <w:r w:rsidR="00DB57EC" w:rsidRPr="00E91943">
        <w:rPr>
          <w:rStyle w:val="FootnoteReference"/>
        </w:rPr>
        <w:t xml:space="preserve"> </w:t>
      </w:r>
      <w:r w:rsidRPr="00E91943">
        <w:rPr>
          <w:rStyle w:val="FootnoteReference"/>
        </w:rPr>
        <w:tab/>
      </w:r>
      <w:r w:rsidR="00DB57EC" w:rsidRPr="00E91943">
        <w:rPr>
          <w:rStyle w:val="FootnoteReference"/>
        </w:rPr>
        <w:t>Corporations Act s 307A requires auditors to conduct audits of financial reports prepared under Part 2M.3 in accordance with Australian Auditing Standards.</w:t>
      </w:r>
    </w:p>
  </w:footnote>
  <w:footnote w:id="10">
    <w:p w14:paraId="1BE7962B" w14:textId="6A21E95A" w:rsidR="00DB57EC" w:rsidRPr="00E91943" w:rsidRDefault="009863D7" w:rsidP="00DB57EC">
      <w:pPr>
        <w:pStyle w:val="FootnoteText"/>
        <w:rPr>
          <w:rStyle w:val="FootnoteReference"/>
        </w:rPr>
      </w:pPr>
      <w:r w:rsidRPr="00E91943">
        <w:rPr>
          <w:rStyle w:val="FootnoteReference"/>
        </w:rPr>
        <w:footnoteRef/>
      </w:r>
      <w:r w:rsidR="00DB57EC" w:rsidRPr="00E91943">
        <w:rPr>
          <w:rStyle w:val="FootnoteReference"/>
        </w:rPr>
        <w:t xml:space="preserve"> </w:t>
      </w:r>
      <w:r w:rsidRPr="00E91943">
        <w:rPr>
          <w:rStyle w:val="FootnoteReference"/>
        </w:rPr>
        <w:tab/>
      </w:r>
      <w:r w:rsidR="00DB57EC" w:rsidRPr="00E91943">
        <w:rPr>
          <w:rStyle w:val="FootnoteReference"/>
        </w:rPr>
        <w:t>Refer to the APESB</w:t>
      </w:r>
      <w:r w:rsidR="00EB0779">
        <w:rPr>
          <w:rStyle w:val="FootnoteReference"/>
        </w:rPr>
        <w:t>’</w:t>
      </w:r>
      <w:r w:rsidR="00DB57EC" w:rsidRPr="00E91943">
        <w:rPr>
          <w:rStyle w:val="FootnoteReference"/>
        </w:rPr>
        <w:t xml:space="preserve">s </w:t>
      </w:r>
      <w:hyperlink r:id="rId6" w:history="1">
        <w:r w:rsidR="00DB57EC" w:rsidRPr="00E91943">
          <w:rPr>
            <w:rStyle w:val="FootnoteReference"/>
          </w:rPr>
          <w:t>Website</w:t>
        </w:r>
      </w:hyperlink>
      <w:r w:rsidR="00DB57EC" w:rsidRPr="00E91943">
        <w:rPr>
          <w:rStyle w:val="FootnoteReference"/>
        </w:rPr>
        <w:t xml:space="preserve"> for an overview of the Board of Directors.</w:t>
      </w:r>
    </w:p>
  </w:footnote>
  <w:footnote w:id="11">
    <w:p w14:paraId="7A9B30C8" w14:textId="10B4B98B" w:rsidR="00991C8C" w:rsidRPr="00BF3DB4" w:rsidRDefault="00991C8C" w:rsidP="00991C8C">
      <w:pPr>
        <w:pStyle w:val="FootnoteText"/>
        <w:rPr>
          <w:rStyle w:val="FootnoteReference"/>
        </w:rPr>
      </w:pPr>
      <w:r w:rsidRPr="00BF3DB4">
        <w:rPr>
          <w:rStyle w:val="FootnoteReference"/>
        </w:rPr>
        <w:footnoteRef/>
      </w:r>
      <w:r w:rsidRPr="00BF3DB4">
        <w:rPr>
          <w:rStyle w:val="FootnoteReference"/>
        </w:rPr>
        <w:t xml:space="preserve"> </w:t>
      </w:r>
      <w:r w:rsidR="00BF3DB4">
        <w:rPr>
          <w:rStyle w:val="FootnoteReference"/>
        </w:rPr>
        <w:tab/>
      </w:r>
      <w:r w:rsidRPr="00BF3DB4">
        <w:rPr>
          <w:rStyle w:val="FootnoteReference"/>
        </w:rPr>
        <w:t>ASIC have indicated they will review aspects of the QMS in 2024/25.</w:t>
      </w:r>
    </w:p>
  </w:footnote>
  <w:footnote w:id="12">
    <w:p w14:paraId="76CB69A7" w14:textId="77777777" w:rsidR="005129E7" w:rsidRPr="00314A92" w:rsidRDefault="005129E7" w:rsidP="005129E7">
      <w:pPr>
        <w:pStyle w:val="FootnoteText"/>
        <w:rPr>
          <w:sz w:val="16"/>
          <w:lang w:val="en-US"/>
        </w:rPr>
      </w:pPr>
      <w:r w:rsidRPr="00BF3DB4">
        <w:rPr>
          <w:rStyle w:val="FootnoteReference"/>
        </w:rPr>
        <w:footnoteRef/>
      </w:r>
      <w:r w:rsidRPr="00BF3DB4">
        <w:rPr>
          <w:rStyle w:val="FootnoteReference"/>
        </w:rPr>
        <w:t xml:space="preserve"> </w:t>
      </w:r>
      <w:r>
        <w:rPr>
          <w:rStyle w:val="FootnoteReference"/>
        </w:rPr>
        <w:tab/>
      </w:r>
      <w:r w:rsidRPr="00BF3DB4">
        <w:rPr>
          <w:rStyle w:val="FootnoteReference"/>
        </w:rPr>
        <w:t xml:space="preserve">We acknowledge that data on the high level findings is provided to the FRC and reported in our Annual Reports. </w:t>
      </w:r>
    </w:p>
  </w:footnote>
  <w:footnote w:id="13">
    <w:p w14:paraId="10BB1515" w14:textId="081483A8" w:rsidR="00DB57EC" w:rsidRPr="005129E7" w:rsidRDefault="009863D7" w:rsidP="00DB57EC">
      <w:pPr>
        <w:pStyle w:val="FootnoteText"/>
        <w:rPr>
          <w:rStyle w:val="FootnoteReference"/>
        </w:rPr>
      </w:pPr>
      <w:r w:rsidRPr="005129E7">
        <w:rPr>
          <w:rStyle w:val="FootnoteReference"/>
        </w:rPr>
        <w:footnoteRef/>
      </w:r>
      <w:r w:rsidR="00DB57EC" w:rsidRPr="005129E7">
        <w:rPr>
          <w:rStyle w:val="FootnoteReference"/>
        </w:rPr>
        <w:t xml:space="preserve"> </w:t>
      </w:r>
      <w:r w:rsidR="005129E7">
        <w:tab/>
      </w:r>
      <w:r w:rsidR="00DB57EC" w:rsidRPr="005129E7">
        <w:rPr>
          <w:rStyle w:val="FootnoteReference"/>
        </w:rPr>
        <w:t>These are subject to some form of statutory supervision.</w:t>
      </w:r>
    </w:p>
  </w:footnote>
  <w:footnote w:id="14">
    <w:p w14:paraId="742474C8" w14:textId="0ADD3806" w:rsidR="00DB57EC" w:rsidRPr="00884820" w:rsidRDefault="009863D7" w:rsidP="00DB57EC">
      <w:pPr>
        <w:pStyle w:val="FootnoteText"/>
        <w:rPr>
          <w:sz w:val="16"/>
          <w:lang w:val="en-US"/>
        </w:rPr>
      </w:pPr>
      <w:r w:rsidRPr="005129E7">
        <w:rPr>
          <w:rStyle w:val="FootnoteReference"/>
        </w:rPr>
        <w:footnoteRef/>
      </w:r>
      <w:r w:rsidR="00DB57EC" w:rsidRPr="005129E7">
        <w:rPr>
          <w:rStyle w:val="FootnoteReference"/>
        </w:rPr>
        <w:t xml:space="preserve"> </w:t>
      </w:r>
      <w:r w:rsidR="005129E7">
        <w:tab/>
      </w:r>
      <w:r w:rsidR="00DB57EC" w:rsidRPr="005129E7">
        <w:rPr>
          <w:rStyle w:val="FootnoteReference"/>
        </w:rPr>
        <w:t>The number of RCAs was 3077 at 30 June 2023 and 6163 at 30 June 2005. These numbers were provided by ASIC.</w:t>
      </w:r>
    </w:p>
  </w:footnote>
  <w:footnote w:id="15">
    <w:p w14:paraId="35A118AA" w14:textId="0EE743E2" w:rsidR="00DB57EC" w:rsidRPr="005129E7" w:rsidRDefault="009863D7" w:rsidP="00DB57EC">
      <w:pPr>
        <w:pStyle w:val="FootnoteText"/>
        <w:rPr>
          <w:rStyle w:val="FootnoteReference"/>
        </w:rPr>
      </w:pPr>
      <w:r w:rsidRPr="005129E7">
        <w:rPr>
          <w:rStyle w:val="FootnoteReference"/>
        </w:rPr>
        <w:footnoteRef/>
      </w:r>
      <w:r w:rsidR="00DB57EC" w:rsidRPr="005129E7">
        <w:rPr>
          <w:rStyle w:val="FootnoteReference"/>
        </w:rPr>
        <w:t xml:space="preserve"> </w:t>
      </w:r>
      <w:r w:rsidR="005129E7">
        <w:tab/>
      </w:r>
      <w:r w:rsidR="00DB57EC" w:rsidRPr="005129E7">
        <w:rPr>
          <w:rStyle w:val="FootnoteReference"/>
        </w:rPr>
        <w:t xml:space="preserve">Refer </w:t>
      </w:r>
      <w:hyperlink r:id="rId7" w:history="1">
        <w:r w:rsidR="00DB57EC" w:rsidRPr="005129E7">
          <w:rPr>
            <w:rStyle w:val="FootnoteReference"/>
          </w:rPr>
          <w:t xml:space="preserve">Submission 4 </w:t>
        </w:r>
      </w:hyperlink>
      <w:r w:rsidR="00DB57EC" w:rsidRPr="005129E7">
        <w:rPr>
          <w:rStyle w:val="FootnoteReference"/>
        </w:rPr>
        <w:t>to the PJC Ethics and Accountability: Structural Challenges in the Audit, Assurance and Consultancy Industry.</w:t>
      </w:r>
    </w:p>
  </w:footnote>
  <w:footnote w:id="16">
    <w:p w14:paraId="003BFCEA" w14:textId="79B79C56" w:rsidR="00DB57EC" w:rsidRPr="005129E7" w:rsidRDefault="009863D7" w:rsidP="00DB57EC">
      <w:pPr>
        <w:pStyle w:val="FootnoteText"/>
        <w:rPr>
          <w:rStyle w:val="FootnoteReference"/>
        </w:rPr>
      </w:pPr>
      <w:r w:rsidRPr="005129E7">
        <w:rPr>
          <w:rStyle w:val="FootnoteReference"/>
        </w:rPr>
        <w:footnoteRef/>
      </w:r>
      <w:r w:rsidR="00DB57EC" w:rsidRPr="005129E7">
        <w:rPr>
          <w:rStyle w:val="FootnoteReference"/>
        </w:rPr>
        <w:t xml:space="preserve"> </w:t>
      </w:r>
      <w:r w:rsidR="005129E7">
        <w:rPr>
          <w:rStyle w:val="FootnoteReference"/>
        </w:rPr>
        <w:tab/>
      </w:r>
      <w:r w:rsidR="00DB57EC" w:rsidRPr="005129E7">
        <w:rPr>
          <w:rStyle w:val="FootnoteReference"/>
        </w:rPr>
        <w:t>Pt 2M.3, Division 3 and Part 2M.4</w:t>
      </w:r>
    </w:p>
  </w:footnote>
  <w:footnote w:id="17">
    <w:p w14:paraId="1862579B" w14:textId="1DC05362" w:rsidR="00DB57EC" w:rsidRPr="005129E7" w:rsidRDefault="009863D7" w:rsidP="00DB57EC">
      <w:pPr>
        <w:pStyle w:val="FootnoteText"/>
        <w:rPr>
          <w:rStyle w:val="FootnoteReference"/>
        </w:rPr>
      </w:pPr>
      <w:r w:rsidRPr="005129E7">
        <w:rPr>
          <w:rStyle w:val="FootnoteReference"/>
        </w:rPr>
        <w:footnoteRef/>
      </w:r>
      <w:r w:rsidR="00DB57EC" w:rsidRPr="005129E7">
        <w:rPr>
          <w:rStyle w:val="FootnoteReference"/>
        </w:rPr>
        <w:t xml:space="preserve"> </w:t>
      </w:r>
      <w:r w:rsidR="005129E7">
        <w:rPr>
          <w:rStyle w:val="FootnoteReference"/>
        </w:rPr>
        <w:tab/>
      </w:r>
      <w:hyperlink r:id="rId8" w:history="1">
        <w:r w:rsidR="00DB57EC" w:rsidRPr="005129E7">
          <w:rPr>
            <w:rStyle w:val="FootnoteReference"/>
          </w:rPr>
          <w:t>ASA 102</w:t>
        </w:r>
      </w:hyperlink>
      <w:r w:rsidR="00DB57EC" w:rsidRPr="005129E7">
        <w:rPr>
          <w:rStyle w:val="FootnoteReference"/>
        </w:rPr>
        <w:t xml:space="preserve"> Compliance with Ethical Requirements when Performing Audits, Reviews and Other Assurance Engagements.</w:t>
      </w:r>
    </w:p>
  </w:footnote>
  <w:footnote w:id="18">
    <w:p w14:paraId="0FC78A70" w14:textId="405EF63D" w:rsidR="00DB57EC" w:rsidRPr="00E93ED6" w:rsidRDefault="009863D7" w:rsidP="00DB57EC">
      <w:pPr>
        <w:pStyle w:val="FootnoteText"/>
        <w:rPr>
          <w:sz w:val="16"/>
        </w:rPr>
      </w:pPr>
      <w:r w:rsidRPr="005129E7">
        <w:rPr>
          <w:rStyle w:val="FootnoteReference"/>
        </w:rPr>
        <w:footnoteRef/>
      </w:r>
      <w:r w:rsidR="00DB57EC" w:rsidRPr="005129E7">
        <w:rPr>
          <w:rStyle w:val="FootnoteReference"/>
        </w:rPr>
        <w:t xml:space="preserve"> </w:t>
      </w:r>
      <w:r w:rsidR="005129E7">
        <w:rPr>
          <w:rStyle w:val="FootnoteReference"/>
        </w:rPr>
        <w:tab/>
      </w:r>
      <w:r w:rsidR="00DB57EC" w:rsidRPr="005129E7">
        <w:rPr>
          <w:rStyle w:val="FootnoteReference"/>
        </w:rPr>
        <w:t>Each PAB has a by</w:t>
      </w:r>
      <w:r w:rsidR="00EB0779">
        <w:rPr>
          <w:rStyle w:val="FootnoteReference"/>
        </w:rPr>
        <w:noBreakHyphen/>
      </w:r>
      <w:r w:rsidR="00DB57EC" w:rsidRPr="005129E7">
        <w:rPr>
          <w:rStyle w:val="FootnoteReference"/>
        </w:rPr>
        <w:t>laws requiring members who provide services to the public to have a CPP.</w:t>
      </w:r>
    </w:p>
  </w:footnote>
  <w:footnote w:id="19">
    <w:p w14:paraId="7516A436" w14:textId="1C85D501" w:rsidR="00DB57EC" w:rsidRPr="005129E7" w:rsidRDefault="009863D7" w:rsidP="00DB57EC">
      <w:pPr>
        <w:pStyle w:val="FootnoteText"/>
        <w:rPr>
          <w:rStyle w:val="FootnoteReference"/>
        </w:rPr>
      </w:pPr>
      <w:r w:rsidRPr="005129E7">
        <w:rPr>
          <w:rStyle w:val="FootnoteReference"/>
        </w:rPr>
        <w:footnoteRef/>
      </w:r>
      <w:r w:rsidR="00DB57EC" w:rsidRPr="005129E7">
        <w:rPr>
          <w:rStyle w:val="FootnoteReference"/>
        </w:rPr>
        <w:t xml:space="preserve"> </w:t>
      </w:r>
      <w:r w:rsidR="005129E7">
        <w:tab/>
      </w:r>
      <w:hyperlink r:id="rId9" w:history="1">
        <w:r w:rsidR="00DB57EC" w:rsidRPr="005129E7">
          <w:rPr>
            <w:rStyle w:val="FootnoteReference"/>
          </w:rPr>
          <w:t>Australia Regulations &amp; Guidance for Members | CA ANZ (charteredaccountantsanz.com)</w:t>
        </w:r>
      </w:hyperlink>
      <w:r w:rsidR="00DB57EC" w:rsidRPr="005129E7">
        <w:rPr>
          <w:rStyle w:val="FootnoteReference"/>
        </w:rPr>
        <w:t xml:space="preserve">, </w:t>
      </w:r>
      <w:hyperlink r:id="rId10" w:anchor=":~:text=As%20a%20member%20of%20CPA,a%20result%20of%20your%20study." w:history="1">
        <w:r w:rsidR="00DB57EC" w:rsidRPr="005129E7">
          <w:rPr>
            <w:rStyle w:val="FootnoteReference"/>
          </w:rPr>
          <w:t>Now you</w:t>
        </w:r>
        <w:r w:rsidR="00EB0779">
          <w:rPr>
            <w:rStyle w:val="FootnoteReference"/>
          </w:rPr>
          <w:t>’</w:t>
        </w:r>
        <w:r w:rsidR="00DB57EC" w:rsidRPr="005129E7">
          <w:rPr>
            <w:rStyle w:val="FootnoteReference"/>
          </w:rPr>
          <w:t>re a CPA: what</w:t>
        </w:r>
        <w:r w:rsidR="00EB0779">
          <w:rPr>
            <w:rStyle w:val="FootnoteReference"/>
          </w:rPr>
          <w:t>’</w:t>
        </w:r>
        <w:r w:rsidR="00DB57EC" w:rsidRPr="005129E7">
          <w:rPr>
            <w:rStyle w:val="FootnoteReference"/>
          </w:rPr>
          <w:t>s next? | CPA Australia</w:t>
        </w:r>
      </w:hyperlink>
      <w:r w:rsidR="00DB57EC" w:rsidRPr="005129E7">
        <w:rPr>
          <w:rStyle w:val="FootnoteReference"/>
        </w:rPr>
        <w:t xml:space="preserve">, </w:t>
      </w:r>
      <w:hyperlink r:id="rId11" w:anchor=":~:text=IPA%20Members%20are%20required%20to,over%20a%20three%2Dyear%20period." w:history="1">
        <w:r w:rsidR="00DB57EC" w:rsidRPr="005129E7">
          <w:rPr>
            <w:rStyle w:val="FootnoteReference"/>
          </w:rPr>
          <w:t>CPD Records Feature (publicaccountants.org.au)</w:t>
        </w:r>
      </w:hyperlink>
    </w:p>
  </w:footnote>
  <w:footnote w:id="20">
    <w:p w14:paraId="00A6A07E" w14:textId="59B473C1" w:rsidR="00DB57EC" w:rsidRPr="005129E7" w:rsidRDefault="009863D7" w:rsidP="00DB57EC">
      <w:pPr>
        <w:pStyle w:val="FootnoteText"/>
        <w:rPr>
          <w:rStyle w:val="FootnoteReference"/>
        </w:rPr>
      </w:pPr>
      <w:r w:rsidRPr="005129E7">
        <w:rPr>
          <w:rStyle w:val="FootnoteReference"/>
        </w:rPr>
        <w:footnoteRef/>
      </w:r>
      <w:r w:rsidR="00DB57EC" w:rsidRPr="005129E7">
        <w:rPr>
          <w:rStyle w:val="FootnoteReference"/>
        </w:rPr>
        <w:t xml:space="preserve"> </w:t>
      </w:r>
      <w:r w:rsidR="005129E7">
        <w:rPr>
          <w:rStyle w:val="FootnoteReference"/>
        </w:rPr>
        <w:tab/>
      </w:r>
      <w:hyperlink r:id="rId12" w:history="1">
        <w:r w:rsidR="00DB57EC" w:rsidRPr="005129E7">
          <w:rPr>
            <w:rStyle w:val="FootnoteReference"/>
          </w:rPr>
          <w:t>CA ANZ</w:t>
        </w:r>
      </w:hyperlink>
      <w:r w:rsidR="00DB57EC" w:rsidRPr="005129E7">
        <w:rPr>
          <w:rStyle w:val="FootnoteReference"/>
        </w:rPr>
        <w:t xml:space="preserve"> requires members to undertake a minimum of 2 hours of verifiable ethics training per triennium. IPA have also introduced </w:t>
      </w:r>
      <w:r w:rsidR="00B50466">
        <w:rPr>
          <w:rStyle w:val="FootnoteReference"/>
        </w:rPr>
        <w:t>3</w:t>
      </w:r>
      <w:r w:rsidR="00DB57EC" w:rsidRPr="005129E7">
        <w:rPr>
          <w:rStyle w:val="FootnoteReference"/>
        </w:rPr>
        <w:t xml:space="preserve"> new competency areas of CPD with one being Professional and Ethical Standards </w:t>
      </w:r>
      <w:hyperlink r:id="rId13" w:history="1">
        <w:r w:rsidR="00DB57EC" w:rsidRPr="005129E7">
          <w:rPr>
            <w:rStyle w:val="FootnoteReference"/>
          </w:rPr>
          <w:t>Pronouncement</w:t>
        </w:r>
        <w:r w:rsidR="00EB0779">
          <w:rPr>
            <w:rStyle w:val="FootnoteReference"/>
          </w:rPr>
          <w:noBreakHyphen/>
        </w:r>
        <w:r w:rsidR="00DB57EC" w:rsidRPr="005129E7">
          <w:rPr>
            <w:rStyle w:val="FootnoteReference"/>
          </w:rPr>
          <w:t>7</w:t>
        </w:r>
        <w:r w:rsidR="00EB0779">
          <w:rPr>
            <w:rStyle w:val="FootnoteReference"/>
          </w:rPr>
          <w:noBreakHyphen/>
        </w:r>
        <w:r w:rsidR="00DB57EC" w:rsidRPr="005129E7">
          <w:rPr>
            <w:rStyle w:val="FootnoteReference"/>
          </w:rPr>
          <w:t>V41</w:t>
        </w:r>
        <w:r w:rsidR="00EB0779">
          <w:rPr>
            <w:rStyle w:val="FootnoteReference"/>
          </w:rPr>
          <w:noBreakHyphen/>
        </w:r>
        <w:r w:rsidR="00DB57EC" w:rsidRPr="005129E7">
          <w:rPr>
            <w:rStyle w:val="FootnoteReference"/>
          </w:rPr>
          <w:t>CPD</w:t>
        </w:r>
        <w:r w:rsidR="00EB0779">
          <w:rPr>
            <w:rStyle w:val="FootnoteReference"/>
          </w:rPr>
          <w:noBreakHyphen/>
        </w:r>
        <w:r w:rsidR="00DB57EC" w:rsidRPr="005129E7">
          <w:rPr>
            <w:rStyle w:val="FootnoteReference"/>
          </w:rPr>
          <w:t>6</w:t>
        </w:r>
        <w:r w:rsidR="00EB0779">
          <w:rPr>
            <w:rStyle w:val="FootnoteReference"/>
          </w:rPr>
          <w:noBreakHyphen/>
        </w:r>
        <w:r w:rsidR="00DB57EC" w:rsidRPr="005129E7">
          <w:rPr>
            <w:rStyle w:val="FootnoteReference"/>
          </w:rPr>
          <w:t>Sep</w:t>
        </w:r>
        <w:r w:rsidR="00EB0779">
          <w:rPr>
            <w:rStyle w:val="FootnoteReference"/>
          </w:rPr>
          <w:noBreakHyphen/>
        </w:r>
        <w:r w:rsidR="00DB57EC" w:rsidRPr="005129E7">
          <w:rPr>
            <w:rStyle w:val="FootnoteReference"/>
          </w:rPr>
          <w:t>2022.pdf (publicaccountants.org.au)</w:t>
        </w:r>
      </w:hyperlink>
      <w:r w:rsidR="00DB57EC" w:rsidRPr="005129E7">
        <w:rPr>
          <w:rStyle w:val="FootnoteReference"/>
        </w:rPr>
        <w:t xml:space="preserve">, and CPA </w:t>
      </w:r>
      <w:hyperlink r:id="rId14" w:history="1">
        <w:r w:rsidR="00DB57EC" w:rsidRPr="005129E7">
          <w:rPr>
            <w:rStyle w:val="FootnoteReference"/>
          </w:rPr>
          <w:t>Ethics requirements for CPD | CPA Australia</w:t>
        </w:r>
      </w:hyperlink>
      <w:r w:rsidR="00DB57EC" w:rsidRPr="005129E7">
        <w:rPr>
          <w:rStyle w:val="FootnoteReference"/>
        </w:rPr>
        <w:t xml:space="preserve"> which is minimum 2 hours a year, and 10 hours over 3 years.</w:t>
      </w:r>
    </w:p>
  </w:footnote>
  <w:footnote w:id="21">
    <w:p w14:paraId="1367A49E" w14:textId="20D23484" w:rsidR="00DB57EC" w:rsidRPr="005129E7" w:rsidRDefault="009863D7" w:rsidP="00DB57EC">
      <w:pPr>
        <w:pStyle w:val="FootnoteText"/>
        <w:rPr>
          <w:rStyle w:val="FootnoteReference"/>
        </w:rPr>
      </w:pPr>
      <w:r w:rsidRPr="005129E7">
        <w:rPr>
          <w:rStyle w:val="FootnoteReference"/>
        </w:rPr>
        <w:footnoteRef/>
      </w:r>
      <w:r w:rsidR="00DB57EC" w:rsidRPr="005129E7">
        <w:rPr>
          <w:rStyle w:val="FootnoteReference"/>
        </w:rPr>
        <w:t xml:space="preserve"> </w:t>
      </w:r>
      <w:r w:rsidR="005129E7">
        <w:tab/>
      </w:r>
      <w:r w:rsidR="00DB57EC" w:rsidRPr="005129E7">
        <w:rPr>
          <w:rStyle w:val="FootnoteReference"/>
        </w:rPr>
        <w:t xml:space="preserve">Under the ACNC Act, Medium and Large charities must have their audit conducted by an RCA, an audit firm or an authorised audit company. </w:t>
      </w:r>
    </w:p>
  </w:footnote>
  <w:footnote w:id="22">
    <w:p w14:paraId="0A2306A3" w14:textId="79E6CC7D" w:rsidR="00DB57EC" w:rsidRPr="005129E7" w:rsidRDefault="009863D7" w:rsidP="00DB57EC">
      <w:pPr>
        <w:pStyle w:val="FootnoteText"/>
        <w:rPr>
          <w:rStyle w:val="FootnoteReference"/>
        </w:rPr>
      </w:pPr>
      <w:r w:rsidRPr="005129E7">
        <w:rPr>
          <w:rStyle w:val="FootnoteReference"/>
        </w:rPr>
        <w:footnoteRef/>
      </w:r>
      <w:r w:rsidR="00DB57EC" w:rsidRPr="005129E7">
        <w:rPr>
          <w:rStyle w:val="FootnoteReference"/>
        </w:rPr>
        <w:t xml:space="preserve"> </w:t>
      </w:r>
      <w:r w:rsidR="005129E7">
        <w:tab/>
      </w:r>
      <w:hyperlink r:id="rId15" w:history="1">
        <w:r w:rsidR="00DB57EC" w:rsidRPr="005129E7">
          <w:rPr>
            <w:rStyle w:val="FootnoteReference"/>
          </w:rPr>
          <w:t>Co</w:t>
        </w:r>
        <w:r w:rsidR="00EB0779">
          <w:rPr>
            <w:rStyle w:val="FootnoteReference"/>
          </w:rPr>
          <w:noBreakHyphen/>
        </w:r>
        <w:r w:rsidR="00DB57EC" w:rsidRPr="005129E7">
          <w:rPr>
            <w:rStyle w:val="FootnoteReference"/>
          </w:rPr>
          <w:t>operatives (Adoption of National Law) Act 2012 No 29</w:t>
        </w:r>
      </w:hyperlink>
    </w:p>
  </w:footnote>
  <w:footnote w:id="23">
    <w:p w14:paraId="7CC253E5" w14:textId="7E4AC9C1" w:rsidR="00DB57EC" w:rsidRPr="004424D3" w:rsidRDefault="009863D7" w:rsidP="00DB57EC">
      <w:pPr>
        <w:pStyle w:val="FootnoteText"/>
        <w:rPr>
          <w:sz w:val="16"/>
          <w:lang w:val="en-US"/>
        </w:rPr>
      </w:pPr>
      <w:r w:rsidRPr="005129E7">
        <w:rPr>
          <w:rStyle w:val="FootnoteReference"/>
        </w:rPr>
        <w:footnoteRef/>
      </w:r>
      <w:r w:rsidR="00DB57EC" w:rsidRPr="005129E7">
        <w:rPr>
          <w:rStyle w:val="FootnoteReference"/>
        </w:rPr>
        <w:t xml:space="preserve"> </w:t>
      </w:r>
      <w:r w:rsidR="005129E7">
        <w:tab/>
      </w:r>
      <w:r w:rsidR="00DB57EC" w:rsidRPr="005129E7">
        <w:rPr>
          <w:rStyle w:val="FootnoteReference"/>
        </w:rPr>
        <w:t xml:space="preserve">As discussed in </w:t>
      </w:r>
      <w:hyperlink r:id="rId16" w:history="1">
        <w:r w:rsidR="00DB57EC" w:rsidRPr="005129E7">
          <w:rPr>
            <w:rStyle w:val="FootnoteReference"/>
          </w:rPr>
          <w:t>CA ANZs</w:t>
        </w:r>
      </w:hyperlink>
      <w:r w:rsidR="00DB57EC" w:rsidRPr="005129E7">
        <w:rPr>
          <w:rStyle w:val="FootnoteReference"/>
        </w:rPr>
        <w:t xml:space="preserve"> Summary of Research into Statutory audit and assurance requirements and the demand for RCAs in Australia some state and federal legislation refers to an appropriate person, some fit &amp; proper person, a specified auditor</w:t>
      </w:r>
    </w:p>
  </w:footnote>
  <w:footnote w:id="24">
    <w:p w14:paraId="461974FC" w14:textId="68E0D7CF" w:rsidR="00DB57EC" w:rsidRPr="009A45C2" w:rsidRDefault="009863D7" w:rsidP="00DB57EC">
      <w:pPr>
        <w:pStyle w:val="FootnoteText"/>
        <w:rPr>
          <w:rStyle w:val="FootnoteReference"/>
        </w:rPr>
      </w:pPr>
      <w:r w:rsidRPr="009A45C2">
        <w:rPr>
          <w:rStyle w:val="FootnoteReference"/>
        </w:rPr>
        <w:footnoteRef/>
      </w:r>
      <w:r w:rsidR="00DB57EC" w:rsidRPr="009A45C2">
        <w:rPr>
          <w:rStyle w:val="FootnoteReference"/>
        </w:rPr>
        <w:t xml:space="preserve"> </w:t>
      </w:r>
      <w:r w:rsidR="009A45C2">
        <w:tab/>
      </w:r>
      <w:r w:rsidR="00DB57EC" w:rsidRPr="009A45C2">
        <w:rPr>
          <w:rStyle w:val="FootnoteReference"/>
        </w:rPr>
        <w:t xml:space="preserve">The QMS apply to audit, assurance and related services provided by audit firms. </w:t>
      </w:r>
    </w:p>
  </w:footnote>
  <w:footnote w:id="25">
    <w:p w14:paraId="59A9C249" w14:textId="29163B48" w:rsidR="00DB57EC" w:rsidRPr="009A45C2" w:rsidRDefault="009863D7" w:rsidP="00DB57EC">
      <w:pPr>
        <w:pStyle w:val="FootnoteText"/>
        <w:rPr>
          <w:rStyle w:val="FootnoteReference"/>
        </w:rPr>
      </w:pPr>
      <w:r w:rsidRPr="009A45C2">
        <w:rPr>
          <w:rStyle w:val="FootnoteReference"/>
        </w:rPr>
        <w:footnoteRef/>
      </w:r>
      <w:r w:rsidR="00DB57EC" w:rsidRPr="009A45C2">
        <w:rPr>
          <w:rStyle w:val="FootnoteReference"/>
        </w:rPr>
        <w:t xml:space="preserve"> </w:t>
      </w:r>
      <w:r w:rsidR="009A45C2">
        <w:tab/>
      </w:r>
      <w:r w:rsidR="00DB57EC" w:rsidRPr="009A45C2">
        <w:rPr>
          <w:rStyle w:val="FootnoteReference"/>
        </w:rPr>
        <w:t>QMS replace the previous Auditing Standard Quality Control for Firms that Perform Audits which have been in place since 2010.</w:t>
      </w:r>
    </w:p>
  </w:footnote>
  <w:footnote w:id="26">
    <w:p w14:paraId="608F4315" w14:textId="6A66760F" w:rsidR="00DB57EC" w:rsidRPr="00C15CFE" w:rsidRDefault="009863D7" w:rsidP="00DB57EC">
      <w:pPr>
        <w:pStyle w:val="FootnoteText"/>
        <w:rPr>
          <w:sz w:val="16"/>
        </w:rPr>
      </w:pPr>
      <w:r w:rsidRPr="009A45C2">
        <w:rPr>
          <w:rStyle w:val="FootnoteReference"/>
        </w:rPr>
        <w:footnoteRef/>
      </w:r>
      <w:r w:rsidR="00DB57EC" w:rsidRPr="009A45C2">
        <w:rPr>
          <w:rStyle w:val="FootnoteReference"/>
        </w:rPr>
        <w:t xml:space="preserve"> </w:t>
      </w:r>
      <w:r w:rsidR="009A45C2">
        <w:tab/>
      </w:r>
      <w:r w:rsidR="00DB57EC" w:rsidRPr="009A45C2">
        <w:rPr>
          <w:rStyle w:val="FootnoteReference"/>
        </w:rPr>
        <w:t>ASQM 1 paragraph A30.</w:t>
      </w:r>
    </w:p>
  </w:footnote>
  <w:footnote w:id="27">
    <w:p w14:paraId="730D714A" w14:textId="282BE240" w:rsidR="00DB57EC" w:rsidRPr="009A45C2" w:rsidRDefault="009863D7" w:rsidP="00DB57EC">
      <w:pPr>
        <w:pStyle w:val="FootnoteText"/>
        <w:rPr>
          <w:rStyle w:val="FootnoteReference"/>
        </w:rPr>
      </w:pPr>
      <w:r w:rsidRPr="009A45C2">
        <w:rPr>
          <w:rStyle w:val="FootnoteReference"/>
        </w:rPr>
        <w:footnoteRef/>
      </w:r>
      <w:r w:rsidR="00DB57EC" w:rsidRPr="009A45C2">
        <w:rPr>
          <w:rStyle w:val="FootnoteReference"/>
        </w:rPr>
        <w:t xml:space="preserve"> </w:t>
      </w:r>
      <w:r w:rsidR="009A45C2">
        <w:tab/>
      </w:r>
      <w:r w:rsidR="00DB57EC" w:rsidRPr="009A45C2">
        <w:rPr>
          <w:rStyle w:val="FootnoteReference"/>
        </w:rPr>
        <w:t>Section 332 of the Corporations Act.</w:t>
      </w:r>
    </w:p>
  </w:footnote>
  <w:footnote w:id="28">
    <w:p w14:paraId="65C01CF7" w14:textId="74C502E3" w:rsidR="00DB57EC" w:rsidRPr="009A45C2" w:rsidRDefault="009863D7" w:rsidP="00DB57EC">
      <w:pPr>
        <w:pStyle w:val="FootnoteText"/>
        <w:rPr>
          <w:rStyle w:val="FootnoteReference"/>
        </w:rPr>
      </w:pPr>
      <w:r w:rsidRPr="009A45C2">
        <w:rPr>
          <w:rStyle w:val="FootnoteReference"/>
        </w:rPr>
        <w:footnoteRef/>
      </w:r>
      <w:r w:rsidR="00DB57EC" w:rsidRPr="009A45C2">
        <w:rPr>
          <w:rStyle w:val="FootnoteReference"/>
        </w:rPr>
        <w:t xml:space="preserve"> </w:t>
      </w:r>
      <w:r w:rsidR="009A45C2">
        <w:tab/>
      </w:r>
      <w:r w:rsidR="00DB57EC" w:rsidRPr="009A45C2">
        <w:rPr>
          <w:rStyle w:val="FootnoteReference"/>
        </w:rPr>
        <w:t>Refer to the individual firms</w:t>
      </w:r>
      <w:r w:rsidR="00EB0779">
        <w:rPr>
          <w:rStyle w:val="FootnoteReference"/>
        </w:rPr>
        <w:t>’</w:t>
      </w:r>
      <w:r w:rsidR="00DB57EC" w:rsidRPr="009A45C2">
        <w:rPr>
          <w:rStyle w:val="FootnoteReference"/>
        </w:rPr>
        <w:t xml:space="preserve"> websites for a copy of their Transparency Reports.</w:t>
      </w:r>
    </w:p>
  </w:footnote>
  <w:footnote w:id="29">
    <w:p w14:paraId="16241DF4" w14:textId="59FE78D6" w:rsidR="00DB57EC" w:rsidRPr="004930A5" w:rsidRDefault="009863D7" w:rsidP="00DB57EC">
      <w:pPr>
        <w:pStyle w:val="FootnoteText"/>
        <w:rPr>
          <w:sz w:val="16"/>
          <w:szCs w:val="16"/>
          <w:lang w:val="en-US"/>
        </w:rPr>
      </w:pPr>
      <w:r w:rsidRPr="009A45C2">
        <w:rPr>
          <w:rStyle w:val="FootnoteReference"/>
        </w:rPr>
        <w:footnoteRef/>
      </w:r>
      <w:r w:rsidR="00DB57EC" w:rsidRPr="009A45C2">
        <w:rPr>
          <w:rStyle w:val="FootnoteReference"/>
        </w:rPr>
        <w:t xml:space="preserve"> </w:t>
      </w:r>
      <w:r w:rsidR="009A45C2">
        <w:tab/>
      </w:r>
      <w:r w:rsidR="00DB57EC" w:rsidRPr="009A45C2">
        <w:rPr>
          <w:rStyle w:val="FootnoteReference"/>
        </w:rPr>
        <w:t xml:space="preserve">Refer AFR Article </w:t>
      </w:r>
      <w:hyperlink r:id="rId17" w:history="1">
        <w:r w:rsidR="00DB57EC" w:rsidRPr="009A45C2">
          <w:rPr>
            <w:rStyle w:val="FootnoteReference"/>
          </w:rPr>
          <w:t>PwC tax scandal has exposed partnerships as regulatory havens (afr.com)</w:t>
        </w:r>
      </w:hyperlink>
      <w:r w:rsidR="00DB57EC" w:rsidRPr="009A45C2">
        <w:rPr>
          <w:rStyle w:val="FootnoteReference"/>
        </w:rPr>
        <w:t>.</w:t>
      </w:r>
    </w:p>
  </w:footnote>
  <w:footnote w:id="30">
    <w:p w14:paraId="029DD48A" w14:textId="5FA7D937" w:rsidR="00DB57EC" w:rsidRPr="0019683B" w:rsidRDefault="009863D7" w:rsidP="00DB57EC">
      <w:pPr>
        <w:pStyle w:val="FootnoteText"/>
        <w:rPr>
          <w:rStyle w:val="FootnoteReference"/>
        </w:rPr>
      </w:pPr>
      <w:r w:rsidRPr="0019683B">
        <w:rPr>
          <w:rStyle w:val="FootnoteReference"/>
        </w:rPr>
        <w:footnoteRef/>
      </w:r>
      <w:r w:rsidR="00DB57EC" w:rsidRPr="0019683B">
        <w:rPr>
          <w:rStyle w:val="FootnoteReference"/>
        </w:rPr>
        <w:t xml:space="preserve"> </w:t>
      </w:r>
      <w:r w:rsidR="0019683B">
        <w:rPr>
          <w:rStyle w:val="FootnoteReference"/>
        </w:rPr>
        <w:tab/>
      </w:r>
      <w:r w:rsidR="00DB57EC" w:rsidRPr="0019683B">
        <w:rPr>
          <w:rStyle w:val="FootnoteReference"/>
        </w:rPr>
        <w:t>Auditor Regulation Act.</w:t>
      </w:r>
    </w:p>
  </w:footnote>
  <w:footnote w:id="31">
    <w:p w14:paraId="7BEF5CC4" w14:textId="7D13C5F9" w:rsidR="00DB57EC" w:rsidRPr="00C15CFE" w:rsidRDefault="009863D7" w:rsidP="00DB57EC">
      <w:pPr>
        <w:pStyle w:val="FootnoteText"/>
        <w:rPr>
          <w:sz w:val="16"/>
        </w:rPr>
      </w:pPr>
      <w:r w:rsidRPr="0019683B">
        <w:rPr>
          <w:rStyle w:val="FootnoteReference"/>
        </w:rPr>
        <w:footnoteRef/>
      </w:r>
      <w:r w:rsidR="00DB57EC" w:rsidRPr="0019683B">
        <w:rPr>
          <w:rStyle w:val="FootnoteReference"/>
        </w:rPr>
        <w:t xml:space="preserve"> </w:t>
      </w:r>
      <w:r w:rsidR="0019683B">
        <w:tab/>
      </w:r>
      <w:r w:rsidR="00DB57EC" w:rsidRPr="0019683B">
        <w:rPr>
          <w:rStyle w:val="FootnoteReference"/>
        </w:rPr>
        <w:t>Refer to Appendix 1 for a comparison of ASIC</w:t>
      </w:r>
      <w:r w:rsidR="00EB0779">
        <w:rPr>
          <w:rStyle w:val="FootnoteReference"/>
        </w:rPr>
        <w:t>’</w:t>
      </w:r>
      <w:r w:rsidR="00DB57EC" w:rsidRPr="0019683B">
        <w:rPr>
          <w:rStyle w:val="FootnoteReference"/>
        </w:rPr>
        <w:t>s program with the PCAOB, UK FRC, New Zealand</w:t>
      </w:r>
      <w:r w:rsidR="00EB0779">
        <w:rPr>
          <w:rStyle w:val="FootnoteReference"/>
        </w:rPr>
        <w:t>’</w:t>
      </w:r>
      <w:r w:rsidR="00DB57EC" w:rsidRPr="0019683B">
        <w:rPr>
          <w:rStyle w:val="FootnoteReference"/>
        </w:rPr>
        <w:t xml:space="preserve">s FMA and CPAB. </w:t>
      </w:r>
    </w:p>
  </w:footnote>
  <w:footnote w:id="32">
    <w:p w14:paraId="28C6B29C" w14:textId="397DE203" w:rsidR="00DB57EC" w:rsidRPr="00CB3E44" w:rsidRDefault="009863D7" w:rsidP="00DB57EC">
      <w:pPr>
        <w:pStyle w:val="FootnoteText"/>
        <w:rPr>
          <w:rStyle w:val="FootnoteReference"/>
        </w:rPr>
      </w:pPr>
      <w:r w:rsidRPr="00CB3E44">
        <w:rPr>
          <w:rStyle w:val="FootnoteReference"/>
        </w:rPr>
        <w:footnoteRef/>
      </w:r>
      <w:r w:rsidR="00DB57EC" w:rsidRPr="00CB3E44">
        <w:rPr>
          <w:rStyle w:val="FootnoteReference"/>
        </w:rPr>
        <w:t xml:space="preserve"> </w:t>
      </w:r>
      <w:r w:rsidR="00CB3E44">
        <w:tab/>
      </w:r>
      <w:r w:rsidR="00DB57EC" w:rsidRPr="00CB3E44">
        <w:rPr>
          <w:rStyle w:val="FootnoteReference"/>
        </w:rPr>
        <w:t xml:space="preserve">Refer ASIC </w:t>
      </w:r>
      <w:hyperlink r:id="rId18" w:history="1">
        <w:r w:rsidR="00DB57EC" w:rsidRPr="00CB3E44">
          <w:rPr>
            <w:rStyle w:val="FootnoteReference"/>
          </w:rPr>
          <w:t>Information Sheet 224</w:t>
        </w:r>
      </w:hyperlink>
      <w:r w:rsidR="00DB57EC" w:rsidRPr="00CB3E44">
        <w:rPr>
          <w:rStyle w:val="FootnoteReference"/>
        </w:rPr>
        <w:t xml:space="preserve"> which outlines ASIC</w:t>
      </w:r>
      <w:r w:rsidR="00EB0779">
        <w:rPr>
          <w:rStyle w:val="FootnoteReference"/>
        </w:rPr>
        <w:t>’</w:t>
      </w:r>
      <w:r w:rsidR="00DB57EC" w:rsidRPr="00CB3E44">
        <w:rPr>
          <w:rStyle w:val="FootnoteReference"/>
        </w:rPr>
        <w:t>s approach to audit surveillance.</w:t>
      </w:r>
    </w:p>
  </w:footnote>
  <w:footnote w:id="33">
    <w:p w14:paraId="69BEC856" w14:textId="6C5BDF2C" w:rsidR="00DB57EC" w:rsidRPr="0019683B" w:rsidRDefault="009863D7" w:rsidP="00DB57EC">
      <w:pPr>
        <w:pStyle w:val="FootnoteText"/>
        <w:rPr>
          <w:rStyle w:val="FootnoteReference"/>
        </w:rPr>
      </w:pPr>
      <w:r w:rsidRPr="0019683B">
        <w:rPr>
          <w:rStyle w:val="FootnoteReference"/>
        </w:rPr>
        <w:footnoteRef/>
      </w:r>
      <w:r w:rsidR="00DB57EC" w:rsidRPr="0019683B">
        <w:rPr>
          <w:rStyle w:val="FootnoteReference"/>
        </w:rPr>
        <w:t xml:space="preserve"> </w:t>
      </w:r>
      <w:r w:rsidR="0019683B">
        <w:tab/>
      </w:r>
      <w:r w:rsidR="00DB57EC" w:rsidRPr="0019683B">
        <w:rPr>
          <w:rStyle w:val="FootnoteReference"/>
        </w:rPr>
        <w:t>As reported in ASIC</w:t>
      </w:r>
      <w:r w:rsidR="00EB0779">
        <w:rPr>
          <w:rStyle w:val="FootnoteReference"/>
        </w:rPr>
        <w:t>’</w:t>
      </w:r>
      <w:r w:rsidR="00DB57EC" w:rsidRPr="0019683B">
        <w:rPr>
          <w:rStyle w:val="FootnoteReference"/>
        </w:rPr>
        <w:t>s Annual reporting and audit surveillance report 2022–23.</w:t>
      </w:r>
    </w:p>
  </w:footnote>
  <w:footnote w:id="34">
    <w:p w14:paraId="571877E3" w14:textId="121E7130" w:rsidR="00DB57EC" w:rsidRPr="0019683B" w:rsidRDefault="009863D7" w:rsidP="00DB57EC">
      <w:pPr>
        <w:pStyle w:val="FootnoteText"/>
        <w:rPr>
          <w:rStyle w:val="FootnoteReference"/>
        </w:rPr>
      </w:pPr>
      <w:r w:rsidRPr="0019683B">
        <w:rPr>
          <w:rStyle w:val="FootnoteReference"/>
        </w:rPr>
        <w:footnoteRef/>
      </w:r>
      <w:r w:rsidR="00DB57EC" w:rsidRPr="0019683B">
        <w:rPr>
          <w:rStyle w:val="FootnoteReference"/>
        </w:rPr>
        <w:t xml:space="preserve"> </w:t>
      </w:r>
      <w:r w:rsidR="0019683B">
        <w:tab/>
      </w:r>
      <w:r w:rsidR="00DB57EC" w:rsidRPr="0019683B">
        <w:rPr>
          <w:rStyle w:val="FootnoteReference"/>
        </w:rPr>
        <w:t xml:space="preserve">Refer </w:t>
      </w:r>
      <w:hyperlink r:id="rId19" w:history="1">
        <w:r w:rsidR="00DB57EC" w:rsidRPr="0019683B">
          <w:rPr>
            <w:rStyle w:val="FootnoteReference"/>
          </w:rPr>
          <w:t>RG 260 Communicating findings from audit files to directors, audit committees or senior managers</w:t>
        </w:r>
      </w:hyperlink>
      <w:r w:rsidR="00DB57EC" w:rsidRPr="0019683B">
        <w:rPr>
          <w:rStyle w:val="FootnoteReference"/>
        </w:rPr>
        <w:t>.</w:t>
      </w:r>
    </w:p>
  </w:footnote>
  <w:footnote w:id="35">
    <w:p w14:paraId="60BC27D7" w14:textId="23D44594" w:rsidR="00DB57EC" w:rsidRPr="00C15CFE" w:rsidRDefault="009863D7" w:rsidP="00DB57EC">
      <w:pPr>
        <w:pStyle w:val="FootnoteText"/>
        <w:rPr>
          <w:rFonts w:cstheme="minorHAnsi"/>
          <w:sz w:val="16"/>
          <w:szCs w:val="16"/>
        </w:rPr>
      </w:pPr>
      <w:r w:rsidRPr="0019683B">
        <w:rPr>
          <w:rStyle w:val="FootnoteReference"/>
        </w:rPr>
        <w:footnoteRef/>
      </w:r>
      <w:r w:rsidR="00DB57EC" w:rsidRPr="0019683B">
        <w:rPr>
          <w:rStyle w:val="FootnoteReference"/>
        </w:rPr>
        <w:t xml:space="preserve"> </w:t>
      </w:r>
      <w:r w:rsidR="0019683B">
        <w:tab/>
      </w:r>
      <w:hyperlink r:id="rId20" w:history="1">
        <w:r w:rsidR="00DB57EC" w:rsidRPr="0019683B">
          <w:rPr>
            <w:rStyle w:val="FootnoteReference"/>
          </w:rPr>
          <w:t>ASQM 1</w:t>
        </w:r>
      </w:hyperlink>
      <w:r w:rsidR="00DB57EC" w:rsidRPr="0019683B">
        <w:rPr>
          <w:rStyle w:val="FootnoteReference"/>
        </w:rPr>
        <w:t xml:space="preserve"> also requires firms to include information from external inspections when determining if there are deficiencies in their systems of quality management.</w:t>
      </w:r>
    </w:p>
  </w:footnote>
  <w:footnote w:id="36">
    <w:p w14:paraId="2D513DEC" w14:textId="45B5F25D" w:rsidR="00DB57EC" w:rsidRPr="0019683B" w:rsidRDefault="009863D7" w:rsidP="00DB57EC">
      <w:pPr>
        <w:pStyle w:val="FootnoteText"/>
        <w:rPr>
          <w:rStyle w:val="FootnoteReference"/>
        </w:rPr>
      </w:pPr>
      <w:r w:rsidRPr="0019683B">
        <w:rPr>
          <w:rStyle w:val="FootnoteReference"/>
        </w:rPr>
        <w:footnoteRef/>
      </w:r>
      <w:r w:rsidR="00DB57EC" w:rsidRPr="0019683B">
        <w:rPr>
          <w:rStyle w:val="FootnoteReference"/>
        </w:rPr>
        <w:t xml:space="preserve"> </w:t>
      </w:r>
      <w:r w:rsidR="0019683B">
        <w:rPr>
          <w:rStyle w:val="FootnoteReference"/>
        </w:rPr>
        <w:tab/>
      </w:r>
      <w:r w:rsidR="00DB57EC" w:rsidRPr="0019683B">
        <w:rPr>
          <w:rStyle w:val="FootnoteReference"/>
        </w:rPr>
        <w:t>IFIAR is a membership organisation of 54 independent audit regulators including ASIC.</w:t>
      </w:r>
    </w:p>
  </w:footnote>
  <w:footnote w:id="37">
    <w:p w14:paraId="20C13FE8" w14:textId="04F378AD" w:rsidR="00DB57EC" w:rsidRPr="000D7599" w:rsidRDefault="009863D7" w:rsidP="00DB57EC">
      <w:pPr>
        <w:pStyle w:val="FootnoteText"/>
        <w:rPr>
          <w:rStyle w:val="FootnoteReference"/>
        </w:rPr>
      </w:pPr>
      <w:r w:rsidRPr="000D7599">
        <w:rPr>
          <w:rStyle w:val="FootnoteReference"/>
        </w:rPr>
        <w:footnoteRef/>
      </w:r>
      <w:r w:rsidR="00DB57EC" w:rsidRPr="000D7599">
        <w:rPr>
          <w:rStyle w:val="FootnoteReference"/>
        </w:rPr>
        <w:t xml:space="preserve"> </w:t>
      </w:r>
      <w:r w:rsidR="000D7599">
        <w:tab/>
      </w:r>
      <w:r w:rsidR="00DB57EC" w:rsidRPr="000D7599">
        <w:rPr>
          <w:rStyle w:val="FootnoteReference"/>
        </w:rPr>
        <w:t xml:space="preserve">Refer </w:t>
      </w:r>
      <w:hyperlink r:id="rId21" w:history="1">
        <w:r w:rsidR="00DB57EC" w:rsidRPr="000D7599">
          <w:rPr>
            <w:rStyle w:val="FootnoteReference"/>
          </w:rPr>
          <w:t>ASIC Annual financial reporting and audit surveillance report 2022</w:t>
        </w:r>
        <w:r w:rsidR="00FC65CD">
          <w:rPr>
            <w:rStyle w:val="FootnoteReference"/>
          </w:rPr>
          <w:t>–</w:t>
        </w:r>
        <w:r w:rsidR="00DB57EC" w:rsidRPr="000D7599">
          <w:rPr>
            <w:rStyle w:val="FootnoteReference"/>
          </w:rPr>
          <w:t>23</w:t>
        </w:r>
      </w:hyperlink>
      <w:r w:rsidR="00DB57EC" w:rsidRPr="000D7599">
        <w:rPr>
          <w:rStyle w:val="FootnoteReference"/>
        </w:rPr>
        <w:t>.</w:t>
      </w:r>
    </w:p>
  </w:footnote>
  <w:footnote w:id="38">
    <w:p w14:paraId="30BD7176" w14:textId="3E9328BC" w:rsidR="00DB57EC" w:rsidRPr="00B15F0F" w:rsidRDefault="009863D7" w:rsidP="00DB57EC">
      <w:pPr>
        <w:pStyle w:val="FootnoteText"/>
        <w:rPr>
          <w:rStyle w:val="FootnoteReference"/>
        </w:rPr>
      </w:pPr>
      <w:r w:rsidRPr="00B15F0F">
        <w:rPr>
          <w:rStyle w:val="FootnoteReference"/>
        </w:rPr>
        <w:footnoteRef/>
      </w:r>
      <w:r w:rsidR="00DB57EC" w:rsidRPr="00B15F0F">
        <w:rPr>
          <w:rStyle w:val="FootnoteReference"/>
        </w:rPr>
        <w:t xml:space="preserve"> </w:t>
      </w:r>
      <w:r w:rsidR="00B15F0F">
        <w:tab/>
      </w:r>
      <w:r w:rsidR="00DB57EC" w:rsidRPr="00B15F0F">
        <w:rPr>
          <w:rStyle w:val="FootnoteReference"/>
        </w:rPr>
        <w:t xml:space="preserve">These matters relate to failure to lodge annual returns. Refer to </w:t>
      </w:r>
      <w:hyperlink r:id="rId22" w:history="1">
        <w:r w:rsidR="00DB57EC" w:rsidRPr="00B15F0F">
          <w:rPr>
            <w:rStyle w:val="FootnoteReference"/>
          </w:rPr>
          <w:t>CADB decisions | CADB</w:t>
        </w:r>
        <w:r w:rsidR="00EB0779">
          <w:rPr>
            <w:rStyle w:val="FootnoteReference"/>
          </w:rPr>
          <w:t xml:space="preserve"> – </w:t>
        </w:r>
        <w:r w:rsidR="00DB57EC" w:rsidRPr="00B15F0F">
          <w:rPr>
            <w:rStyle w:val="FootnoteReference"/>
          </w:rPr>
          <w:t>Companies Auditors Disciplinary Board</w:t>
        </w:r>
      </w:hyperlink>
    </w:p>
  </w:footnote>
  <w:footnote w:id="39">
    <w:p w14:paraId="6EB68EF6" w14:textId="4D2987FD" w:rsidR="00DB57EC" w:rsidRPr="004930A5" w:rsidRDefault="009863D7" w:rsidP="00DB57EC">
      <w:pPr>
        <w:pStyle w:val="FootnoteText"/>
        <w:rPr>
          <w:sz w:val="16"/>
          <w:lang w:val="en-US"/>
        </w:rPr>
      </w:pPr>
      <w:r w:rsidRPr="00B15F0F">
        <w:rPr>
          <w:rStyle w:val="FootnoteReference"/>
        </w:rPr>
        <w:footnoteRef/>
      </w:r>
      <w:r w:rsidR="00DB57EC" w:rsidRPr="00B15F0F">
        <w:rPr>
          <w:rStyle w:val="FootnoteReference"/>
        </w:rPr>
        <w:t xml:space="preserve"> </w:t>
      </w:r>
      <w:r w:rsidR="00B15F0F">
        <w:tab/>
      </w:r>
      <w:r w:rsidR="00DB57EC" w:rsidRPr="00B15F0F">
        <w:rPr>
          <w:rStyle w:val="FootnoteReference"/>
        </w:rPr>
        <w:t>These matters relate to failure to lodge annual reports and were withdrawn when the auditor lodged required documentation or cancelled their registration</w:t>
      </w:r>
    </w:p>
  </w:footnote>
  <w:footnote w:id="40">
    <w:p w14:paraId="6C975E10" w14:textId="35B98C10" w:rsidR="00DB57EC" w:rsidRPr="0044486F" w:rsidRDefault="009863D7" w:rsidP="00DB57EC">
      <w:pPr>
        <w:pStyle w:val="FootnoteText"/>
        <w:rPr>
          <w:rStyle w:val="FootnoteReference"/>
        </w:rPr>
      </w:pPr>
      <w:r w:rsidRPr="0044486F">
        <w:rPr>
          <w:rStyle w:val="FootnoteReference"/>
        </w:rPr>
        <w:footnoteRef/>
      </w:r>
      <w:r w:rsidR="00DB57EC" w:rsidRPr="0044486F">
        <w:rPr>
          <w:rStyle w:val="FootnoteReference"/>
        </w:rPr>
        <w:t xml:space="preserve"> </w:t>
      </w:r>
      <w:r w:rsidR="0044486F">
        <w:tab/>
      </w:r>
      <w:r w:rsidR="00DB57EC" w:rsidRPr="0044486F">
        <w:rPr>
          <w:rStyle w:val="FootnoteReference"/>
        </w:rPr>
        <w:t>Recommendation 4.1, ASX Corporate Governance Council, Corporate Governance Principles and Recommendations (4th ed.).</w:t>
      </w:r>
    </w:p>
  </w:footnote>
  <w:footnote w:id="41">
    <w:p w14:paraId="06007ED5" w14:textId="2D7D0F59" w:rsidR="00DB57EC" w:rsidRPr="006B5979" w:rsidRDefault="009863D7" w:rsidP="00DB57EC">
      <w:pPr>
        <w:pStyle w:val="FootnoteText"/>
        <w:rPr>
          <w:sz w:val="16"/>
          <w:lang w:val="en-US"/>
        </w:rPr>
      </w:pPr>
      <w:r w:rsidRPr="0044486F">
        <w:rPr>
          <w:rStyle w:val="FootnoteReference"/>
        </w:rPr>
        <w:footnoteRef/>
      </w:r>
      <w:r w:rsidR="00DB57EC" w:rsidRPr="0044486F">
        <w:rPr>
          <w:rStyle w:val="FootnoteReference"/>
        </w:rPr>
        <w:t xml:space="preserve"> </w:t>
      </w:r>
      <w:r w:rsidR="0044486F">
        <w:tab/>
      </w:r>
      <w:r w:rsidR="00DB57EC" w:rsidRPr="0044486F">
        <w:rPr>
          <w:rStyle w:val="FootnoteReference"/>
        </w:rPr>
        <w:t xml:space="preserve">Refer to </w:t>
      </w:r>
      <w:hyperlink r:id="rId23" w:history="1">
        <w:r w:rsidR="00DB57EC" w:rsidRPr="0044486F">
          <w:rPr>
            <w:rStyle w:val="FootnoteReference"/>
          </w:rPr>
          <w:t>Audit Quality in Australia: The Perspective of Audit Committee Chairs 2018</w:t>
        </w:r>
      </w:hyperlink>
      <w:r w:rsidR="00DB57EC" w:rsidRPr="0044486F">
        <w:rPr>
          <w:rStyle w:val="FootnoteReference"/>
        </w:rPr>
        <w:t xml:space="preserve">, </w:t>
      </w:r>
      <w:hyperlink r:id="rId24" w:history="1">
        <w:r w:rsidR="00DB57EC" w:rsidRPr="0044486F">
          <w:rPr>
            <w:rStyle w:val="FootnoteReference"/>
          </w:rPr>
          <w:t>Audit Quality in Au</w:t>
        </w:r>
        <w:bookmarkStart w:id="68" w:name="_Hlt148624925"/>
        <w:bookmarkStart w:id="69" w:name="_Hlt148624926"/>
        <w:r w:rsidR="00DB57EC" w:rsidRPr="0044486F">
          <w:rPr>
            <w:rStyle w:val="FootnoteReference"/>
          </w:rPr>
          <w:t>s</w:t>
        </w:r>
        <w:bookmarkEnd w:id="68"/>
        <w:bookmarkEnd w:id="69"/>
        <w:r w:rsidR="00DB57EC" w:rsidRPr="0044486F">
          <w:rPr>
            <w:rStyle w:val="FootnoteReference"/>
          </w:rPr>
          <w:t>tralia: The Perspective of Audit Committee Chairs 2021</w:t>
        </w:r>
      </w:hyperlink>
      <w:r w:rsidR="00DB57EC" w:rsidRPr="0044486F">
        <w:rPr>
          <w:rStyle w:val="FootnoteReference"/>
        </w:rPr>
        <w:t xml:space="preserve">, and </w:t>
      </w:r>
      <w:hyperlink r:id="rId25" w:history="1">
        <w:r w:rsidR="00DB57EC" w:rsidRPr="0044486F">
          <w:rPr>
            <w:rStyle w:val="FootnoteReference"/>
          </w:rPr>
          <w:t>Perceptions of Audit Quality by Audit Committee Chairs in Australia 2022</w:t>
        </w:r>
      </w:hyperlink>
      <w:r w:rsidR="00DB57EC" w:rsidRPr="0044486F">
        <w:rPr>
          <w:rStyle w:val="FootnoteReference"/>
        </w:rPr>
        <w:t xml:space="preserve">. </w:t>
      </w:r>
    </w:p>
  </w:footnote>
  <w:footnote w:id="42">
    <w:p w14:paraId="5C0E5DF6" w14:textId="02AABCC7" w:rsidR="00DB57EC" w:rsidRPr="0044486F" w:rsidRDefault="009863D7" w:rsidP="00DB57EC">
      <w:pPr>
        <w:pStyle w:val="FootnoteText"/>
        <w:rPr>
          <w:rStyle w:val="FootnoteReference"/>
        </w:rPr>
      </w:pPr>
      <w:r w:rsidRPr="0044486F">
        <w:rPr>
          <w:rStyle w:val="FootnoteReference"/>
        </w:rPr>
        <w:footnoteRef/>
      </w:r>
      <w:r w:rsidR="00DB57EC" w:rsidRPr="0044486F">
        <w:rPr>
          <w:rStyle w:val="FootnoteReference"/>
        </w:rPr>
        <w:t xml:space="preserve"> </w:t>
      </w:r>
      <w:r w:rsidR="0044486F">
        <w:tab/>
      </w:r>
      <w:r w:rsidR="00DB57EC" w:rsidRPr="0044486F">
        <w:rPr>
          <w:rStyle w:val="FootnoteReference"/>
        </w:rPr>
        <w:t>NZICA amalgamated with the Institute of Chartered Accountants in Australia (ICAA) on 1 January 2015, to form the Chartered Accountants Australia and New Zealand. However, for the purposes of New Zealand</w:t>
      </w:r>
      <w:r w:rsidR="00EB0779">
        <w:rPr>
          <w:rStyle w:val="FootnoteReference"/>
        </w:rPr>
        <w:t>’</w:t>
      </w:r>
      <w:r w:rsidR="00DB57EC" w:rsidRPr="0044486F">
        <w:rPr>
          <w:rStyle w:val="FootnoteReference"/>
        </w:rPr>
        <w:t>s audit oversight regime, NZICA continues to be the accredited body.</w:t>
      </w:r>
    </w:p>
  </w:footnote>
  <w:footnote w:id="43">
    <w:p w14:paraId="2E378321" w14:textId="220BB8EB" w:rsidR="00DB57EC" w:rsidRPr="00C15CFE" w:rsidRDefault="009863D7" w:rsidP="00DB57EC">
      <w:pPr>
        <w:pStyle w:val="FootnoteText"/>
        <w:rPr>
          <w:sz w:val="16"/>
        </w:rPr>
      </w:pPr>
      <w:r w:rsidRPr="0044486F">
        <w:rPr>
          <w:rStyle w:val="FootnoteReference"/>
        </w:rPr>
        <w:footnoteRef/>
      </w:r>
      <w:r w:rsidR="00DB57EC" w:rsidRPr="0044486F">
        <w:rPr>
          <w:rStyle w:val="FootnoteReference"/>
        </w:rPr>
        <w:t xml:space="preserve"> </w:t>
      </w:r>
      <w:r w:rsidR="0044486F">
        <w:tab/>
      </w:r>
      <w:r w:rsidR="00DB57EC" w:rsidRPr="0044486F">
        <w:rPr>
          <w:rStyle w:val="FootnoteReference"/>
        </w:rPr>
        <w:t>Auditor Regulation Act 2011.</w:t>
      </w:r>
    </w:p>
  </w:footnote>
  <w:footnote w:id="44">
    <w:p w14:paraId="22AE5DE2" w14:textId="0C8FDB77" w:rsidR="00DB57EC" w:rsidRPr="002B666D" w:rsidRDefault="009863D7" w:rsidP="00DB57EC">
      <w:pPr>
        <w:pStyle w:val="FootnoteText"/>
        <w:rPr>
          <w:rStyle w:val="FootnoteReference"/>
        </w:rPr>
      </w:pPr>
      <w:r w:rsidRPr="002B666D">
        <w:rPr>
          <w:rStyle w:val="FootnoteReference"/>
        </w:rPr>
        <w:footnoteRef/>
      </w:r>
      <w:r w:rsidR="00DB57EC" w:rsidRPr="002B666D">
        <w:rPr>
          <w:rStyle w:val="FootnoteReference"/>
        </w:rPr>
        <w:t xml:space="preserve"> </w:t>
      </w:r>
      <w:r w:rsidR="002B666D">
        <w:tab/>
      </w:r>
      <w:r w:rsidR="00DB57EC" w:rsidRPr="002B666D">
        <w:rPr>
          <w:rStyle w:val="FootnoteReference"/>
        </w:rPr>
        <w:t>Provided by ASIC.</w:t>
      </w:r>
    </w:p>
  </w:footnote>
  <w:footnote w:id="45">
    <w:p w14:paraId="1654793A" w14:textId="7FCA05B5" w:rsidR="00DB57EC" w:rsidRPr="002B666D" w:rsidRDefault="009863D7" w:rsidP="00DB57EC">
      <w:pPr>
        <w:pStyle w:val="FootnoteText"/>
        <w:rPr>
          <w:rStyle w:val="FootnoteReference"/>
        </w:rPr>
      </w:pPr>
      <w:r w:rsidRPr="002B666D">
        <w:rPr>
          <w:rStyle w:val="FootnoteReference"/>
        </w:rPr>
        <w:footnoteRef/>
      </w:r>
      <w:r w:rsidR="00DB57EC" w:rsidRPr="002B666D">
        <w:rPr>
          <w:rStyle w:val="FootnoteReference"/>
        </w:rPr>
        <w:t xml:space="preserve"> </w:t>
      </w:r>
      <w:r w:rsidR="002B666D">
        <w:tab/>
      </w:r>
      <w:r w:rsidR="00DB57EC" w:rsidRPr="002B666D">
        <w:rPr>
          <w:rStyle w:val="FootnoteReference"/>
        </w:rPr>
        <w:t xml:space="preserve">Refer </w:t>
      </w:r>
      <w:hyperlink r:id="rId26" w:history="1">
        <w:r w:rsidR="00DB57EC" w:rsidRPr="002B666D">
          <w:rPr>
            <w:rStyle w:val="FootnoteReference"/>
          </w:rPr>
          <w:t>Report REP 743 Audit inspection report: 1 July 2021 to 30 June 2022 (asic.gov.au)</w:t>
        </w:r>
      </w:hyperlink>
      <w:r w:rsidR="00DB57EC" w:rsidRPr="002B666D">
        <w:rPr>
          <w:rStyle w:val="FootnoteReference"/>
        </w:rPr>
        <w:t xml:space="preserve">. </w:t>
      </w:r>
    </w:p>
  </w:footnote>
  <w:footnote w:id="46">
    <w:p w14:paraId="41BB5C8B" w14:textId="54694022" w:rsidR="00DB57EC" w:rsidRPr="002B666D" w:rsidRDefault="009863D7" w:rsidP="00DB57EC">
      <w:pPr>
        <w:pStyle w:val="FootnoteText"/>
        <w:rPr>
          <w:rStyle w:val="FootnoteReference"/>
        </w:rPr>
      </w:pPr>
      <w:r w:rsidRPr="002B666D">
        <w:rPr>
          <w:rStyle w:val="FootnoteReference"/>
        </w:rPr>
        <w:footnoteRef/>
      </w:r>
      <w:r w:rsidR="00DB57EC" w:rsidRPr="002B666D">
        <w:rPr>
          <w:rStyle w:val="FootnoteReference"/>
        </w:rPr>
        <w:t xml:space="preserve"> </w:t>
      </w:r>
      <w:r w:rsidR="002B666D">
        <w:tab/>
      </w:r>
      <w:r w:rsidR="00DB57EC" w:rsidRPr="002B666D">
        <w:rPr>
          <w:rStyle w:val="FootnoteReference"/>
        </w:rPr>
        <w:t xml:space="preserve">Refer </w:t>
      </w:r>
      <w:hyperlink r:id="rId27" w:history="1">
        <w:r w:rsidR="00DB57EC" w:rsidRPr="002B666D">
          <w:rPr>
            <w:rStyle w:val="FootnoteReference"/>
          </w:rPr>
          <w:t>staff</w:t>
        </w:r>
        <w:r w:rsidR="00EB0779">
          <w:rPr>
            <w:rStyle w:val="FootnoteReference"/>
          </w:rPr>
          <w:noBreakHyphen/>
        </w:r>
        <w:r w:rsidR="00DB57EC" w:rsidRPr="002B666D">
          <w:rPr>
            <w:rStyle w:val="FootnoteReference"/>
          </w:rPr>
          <w:t>preview</w:t>
        </w:r>
        <w:r w:rsidR="00EB0779">
          <w:rPr>
            <w:rStyle w:val="FootnoteReference"/>
          </w:rPr>
          <w:noBreakHyphen/>
        </w:r>
        <w:r w:rsidR="00DB57EC" w:rsidRPr="002B666D">
          <w:rPr>
            <w:rStyle w:val="FootnoteReference"/>
          </w:rPr>
          <w:t>2022</w:t>
        </w:r>
        <w:r w:rsidR="00EB0779">
          <w:rPr>
            <w:rStyle w:val="FootnoteReference"/>
          </w:rPr>
          <w:noBreakHyphen/>
        </w:r>
        <w:r w:rsidR="00DB57EC" w:rsidRPr="002B666D">
          <w:rPr>
            <w:rStyle w:val="FootnoteReference"/>
          </w:rPr>
          <w:t>inspection</w:t>
        </w:r>
        <w:r w:rsidR="00EB0779">
          <w:rPr>
            <w:rStyle w:val="FootnoteReference"/>
          </w:rPr>
          <w:noBreakHyphen/>
        </w:r>
        <w:r w:rsidR="00DB57EC" w:rsidRPr="002B666D">
          <w:rPr>
            <w:rStyle w:val="FootnoteReference"/>
          </w:rPr>
          <w:t>observations</w:t>
        </w:r>
        <w:r w:rsidR="00EB0779">
          <w:rPr>
            <w:rStyle w:val="FootnoteReference"/>
          </w:rPr>
          <w:noBreakHyphen/>
        </w:r>
        <w:r w:rsidR="00DB57EC" w:rsidRPr="002B666D">
          <w:rPr>
            <w:rStyle w:val="FootnoteReference"/>
          </w:rPr>
          <w:t>spotlight.pdf (pcaobus.org)</w:t>
        </w:r>
      </w:hyperlink>
      <w:r w:rsidR="00DB57EC" w:rsidRPr="002B666D">
        <w:rPr>
          <w:rStyle w:val="FootnoteReference"/>
        </w:rPr>
        <w:t>.</w:t>
      </w:r>
    </w:p>
  </w:footnote>
  <w:footnote w:id="47">
    <w:p w14:paraId="4BDA1C5C" w14:textId="2CF7EA2D" w:rsidR="00DB57EC" w:rsidRPr="002B666D" w:rsidRDefault="009863D7" w:rsidP="00DB57EC">
      <w:pPr>
        <w:pStyle w:val="FootnoteText"/>
        <w:rPr>
          <w:rStyle w:val="FootnoteReference"/>
        </w:rPr>
      </w:pPr>
      <w:r w:rsidRPr="002B666D">
        <w:rPr>
          <w:rStyle w:val="FootnoteReference"/>
        </w:rPr>
        <w:footnoteRef/>
      </w:r>
      <w:r w:rsidR="00DB57EC" w:rsidRPr="002B666D">
        <w:rPr>
          <w:rStyle w:val="FootnoteReference"/>
        </w:rPr>
        <w:t xml:space="preserve"> </w:t>
      </w:r>
      <w:r w:rsidR="002B666D">
        <w:tab/>
      </w:r>
      <w:r w:rsidR="00DB57EC" w:rsidRPr="002B666D">
        <w:rPr>
          <w:rStyle w:val="FootnoteReference"/>
        </w:rPr>
        <w:t xml:space="preserve">Refer </w:t>
      </w:r>
      <w:hyperlink r:id="rId28" w:history="1">
        <w:r w:rsidR="00DB57EC" w:rsidRPr="002B666D">
          <w:rPr>
            <w:rStyle w:val="FootnoteReference"/>
          </w:rPr>
          <w:t>2022</w:t>
        </w:r>
        <w:r w:rsidR="00EB0779">
          <w:rPr>
            <w:rStyle w:val="FootnoteReference"/>
          </w:rPr>
          <w:noBreakHyphen/>
        </w:r>
        <w:r w:rsidR="00DB57EC" w:rsidRPr="002B666D">
          <w:rPr>
            <w:rStyle w:val="FootnoteReference"/>
          </w:rPr>
          <w:t>Audit</w:t>
        </w:r>
        <w:r w:rsidR="00EB0779">
          <w:rPr>
            <w:rStyle w:val="FootnoteReference"/>
          </w:rPr>
          <w:noBreakHyphen/>
        </w:r>
        <w:r w:rsidR="00DB57EC" w:rsidRPr="002B666D">
          <w:rPr>
            <w:rStyle w:val="FootnoteReference"/>
          </w:rPr>
          <w:t>Quality</w:t>
        </w:r>
        <w:r w:rsidR="00EB0779">
          <w:rPr>
            <w:rStyle w:val="FootnoteReference"/>
          </w:rPr>
          <w:noBreakHyphen/>
        </w:r>
        <w:r w:rsidR="00DB57EC" w:rsidRPr="002B666D">
          <w:rPr>
            <w:rStyle w:val="FootnoteReference"/>
          </w:rPr>
          <w:t>Monitoring</w:t>
        </w:r>
        <w:r w:rsidR="00EB0779">
          <w:rPr>
            <w:rStyle w:val="FootnoteReference"/>
          </w:rPr>
          <w:noBreakHyphen/>
        </w:r>
        <w:r w:rsidR="00DB57EC" w:rsidRPr="002B666D">
          <w:rPr>
            <w:rStyle w:val="FootnoteReference"/>
          </w:rPr>
          <w:t>Report.pdf (fma.govt.nz)</w:t>
        </w:r>
      </w:hyperlink>
      <w:r w:rsidR="00DB57EC" w:rsidRPr="002B666D">
        <w:rPr>
          <w:rStyle w:val="FootnoteReference"/>
        </w:rPr>
        <w:t>.</w:t>
      </w:r>
    </w:p>
  </w:footnote>
  <w:footnote w:id="48">
    <w:p w14:paraId="097EC36D" w14:textId="3C2EE8D8" w:rsidR="00DB57EC" w:rsidRPr="00884820" w:rsidRDefault="009863D7" w:rsidP="00DB57EC">
      <w:pPr>
        <w:pStyle w:val="FootnoteText"/>
        <w:rPr>
          <w:sz w:val="16"/>
          <w:szCs w:val="16"/>
          <w:lang w:val="en-US"/>
        </w:rPr>
      </w:pPr>
      <w:r w:rsidRPr="002B666D">
        <w:rPr>
          <w:rStyle w:val="FootnoteReference"/>
        </w:rPr>
        <w:footnoteRef/>
      </w:r>
      <w:r w:rsidR="00DB57EC" w:rsidRPr="002B666D">
        <w:rPr>
          <w:rStyle w:val="FootnoteReference"/>
        </w:rPr>
        <w:t xml:space="preserve"> </w:t>
      </w:r>
      <w:r w:rsidR="002B666D">
        <w:rPr>
          <w:rStyle w:val="FootnoteReference"/>
        </w:rPr>
        <w:tab/>
      </w:r>
      <w:r w:rsidR="00DB57EC" w:rsidRPr="002B666D">
        <w:rPr>
          <w:rStyle w:val="FootnoteReference"/>
        </w:rPr>
        <w:t xml:space="preserve">Refer </w:t>
      </w:r>
      <w:hyperlink r:id="rId29" w:history="1">
        <w:r w:rsidR="00DB57EC" w:rsidRPr="002B666D">
          <w:rPr>
            <w:rStyle w:val="FootnoteReference"/>
          </w:rPr>
          <w:t>cpab</w:t>
        </w:r>
        <w:r w:rsidR="00EB0779">
          <w:rPr>
            <w:rStyle w:val="FootnoteReference"/>
          </w:rPr>
          <w:noBreakHyphen/>
        </w:r>
        <w:r w:rsidR="00DB57EC" w:rsidRPr="002B666D">
          <w:rPr>
            <w:rStyle w:val="FootnoteReference"/>
          </w:rPr>
          <w:t>ccrc.ca/docs/default</w:t>
        </w:r>
        <w:r w:rsidR="00EB0779">
          <w:rPr>
            <w:rStyle w:val="FootnoteReference"/>
          </w:rPr>
          <w:noBreakHyphen/>
        </w:r>
        <w:r w:rsidR="00DB57EC" w:rsidRPr="002B666D">
          <w:rPr>
            <w:rStyle w:val="FootnoteReference"/>
          </w:rPr>
          <w:t>source/inspections</w:t>
        </w:r>
        <w:r w:rsidR="00EB0779">
          <w:rPr>
            <w:rStyle w:val="FootnoteReference"/>
          </w:rPr>
          <w:noBreakHyphen/>
        </w:r>
        <w:r w:rsidR="00DB57EC" w:rsidRPr="002B666D">
          <w:rPr>
            <w:rStyle w:val="FootnoteReference"/>
          </w:rPr>
          <w:t>reports/2022</w:t>
        </w:r>
        <w:r w:rsidR="00EB0779">
          <w:rPr>
            <w:rStyle w:val="FootnoteReference"/>
          </w:rPr>
          <w:noBreakHyphen/>
        </w:r>
        <w:r w:rsidR="00DB57EC" w:rsidRPr="002B666D">
          <w:rPr>
            <w:rStyle w:val="FootnoteReference"/>
          </w:rPr>
          <w:t>annual</w:t>
        </w:r>
        <w:r w:rsidR="00EB0779">
          <w:rPr>
            <w:rStyle w:val="FootnoteReference"/>
          </w:rPr>
          <w:noBreakHyphen/>
        </w:r>
        <w:r w:rsidR="00DB57EC" w:rsidRPr="002B666D">
          <w:rPr>
            <w:rStyle w:val="FootnoteReference"/>
          </w:rPr>
          <w:t>inspections</w:t>
        </w:r>
        <w:r w:rsidR="00EB0779">
          <w:rPr>
            <w:rStyle w:val="FootnoteReference"/>
          </w:rPr>
          <w:noBreakHyphen/>
        </w:r>
        <w:r w:rsidR="00DB57EC" w:rsidRPr="002B666D">
          <w:rPr>
            <w:rStyle w:val="FootnoteReference"/>
          </w:rPr>
          <w:t>results</w:t>
        </w:r>
        <w:r w:rsidR="00EB0779">
          <w:rPr>
            <w:rStyle w:val="FootnoteReference"/>
          </w:rPr>
          <w:noBreakHyphen/>
        </w:r>
        <w:r w:rsidR="00DB57EC" w:rsidRPr="002B666D">
          <w:rPr>
            <w:rStyle w:val="FootnoteReference"/>
          </w:rPr>
          <w:t>en.pdf</w:t>
        </w:r>
      </w:hyperlink>
      <w:r w:rsidR="00DB57EC" w:rsidRPr="002B666D">
        <w:rPr>
          <w:rStyle w:val="FootnoteReference"/>
        </w:rPr>
        <w:t>.</w:t>
      </w:r>
    </w:p>
  </w:footnote>
  <w:footnote w:id="49">
    <w:p w14:paraId="5F1BE372" w14:textId="722CFD4D" w:rsidR="00DB57EC" w:rsidRPr="00820463" w:rsidRDefault="009863D7" w:rsidP="00DB57EC">
      <w:pPr>
        <w:pStyle w:val="FootnoteText"/>
        <w:rPr>
          <w:rStyle w:val="FootnoteReference"/>
        </w:rPr>
      </w:pPr>
      <w:r w:rsidRPr="00820463">
        <w:rPr>
          <w:rStyle w:val="FootnoteReference"/>
        </w:rPr>
        <w:footnoteRef/>
      </w:r>
      <w:r w:rsidR="00DB57EC" w:rsidRPr="00820463">
        <w:rPr>
          <w:rStyle w:val="FootnoteReference"/>
        </w:rPr>
        <w:t xml:space="preserve"> </w:t>
      </w:r>
      <w:r w:rsidR="00820463">
        <w:tab/>
      </w:r>
      <w:r w:rsidR="00DB57EC" w:rsidRPr="00820463">
        <w:rPr>
          <w:rStyle w:val="FootnoteReference"/>
        </w:rPr>
        <w:t>These responses are based on communications to the FRC in December 2021.</w:t>
      </w:r>
    </w:p>
  </w:footnote>
  <w:footnote w:id="50">
    <w:p w14:paraId="06B31FE0" w14:textId="7210FEAB" w:rsidR="00DB57EC" w:rsidRPr="0073049C" w:rsidRDefault="009863D7" w:rsidP="0073049C">
      <w:pPr>
        <w:pStyle w:val="FootnoteText"/>
        <w:rPr>
          <w:sz w:val="18"/>
        </w:rPr>
      </w:pPr>
      <w:r w:rsidRPr="002B666D">
        <w:rPr>
          <w:rStyle w:val="FootnoteReference"/>
        </w:rPr>
        <w:footnoteRef/>
      </w:r>
      <w:r w:rsidR="00DB57EC" w:rsidRPr="002B666D">
        <w:rPr>
          <w:rStyle w:val="FootnoteReference"/>
        </w:rPr>
        <w:t xml:space="preserve"> </w:t>
      </w:r>
      <w:r w:rsidR="002B666D">
        <w:tab/>
      </w:r>
      <w:r w:rsidR="00DB57EC" w:rsidRPr="002B666D">
        <w:rPr>
          <w:rStyle w:val="FootnoteReference"/>
        </w:rPr>
        <w:t xml:space="preserve">These responses are based on communications to the FRC. </w:t>
      </w:r>
    </w:p>
  </w:footnote>
  <w:footnote w:id="51">
    <w:p w14:paraId="7B63BED0" w14:textId="53565AE2" w:rsidR="00DB57EC" w:rsidRPr="004E6BC0" w:rsidRDefault="009863D7" w:rsidP="004E6BC0">
      <w:pPr>
        <w:pStyle w:val="FootnoteText"/>
        <w:rPr>
          <w:sz w:val="18"/>
        </w:rPr>
      </w:pPr>
      <w:r w:rsidRPr="002B666D">
        <w:rPr>
          <w:rStyle w:val="FootnoteReference"/>
        </w:rPr>
        <w:footnoteRef/>
      </w:r>
      <w:r w:rsidR="00DB57EC" w:rsidRPr="002B666D">
        <w:rPr>
          <w:rStyle w:val="FootnoteReference"/>
        </w:rPr>
        <w:t xml:space="preserve"> </w:t>
      </w:r>
      <w:r w:rsidR="002B666D">
        <w:rPr>
          <w:rStyle w:val="FootnoteReference"/>
        </w:rPr>
        <w:tab/>
      </w:r>
      <w:r w:rsidR="00DB57EC" w:rsidRPr="002B666D">
        <w:rPr>
          <w:rStyle w:val="FootnoteReference"/>
        </w:rPr>
        <w:t xml:space="preserve">These responses are based on communications to the FRC. </w:t>
      </w:r>
    </w:p>
  </w:footnote>
  <w:footnote w:id="52">
    <w:p w14:paraId="4C202120" w14:textId="1B4204AD" w:rsidR="00DB57EC" w:rsidRPr="004E6BC0" w:rsidRDefault="009863D7" w:rsidP="004E6BC0">
      <w:pPr>
        <w:pStyle w:val="FootnoteText"/>
        <w:rPr>
          <w:sz w:val="18"/>
        </w:rPr>
      </w:pPr>
      <w:r w:rsidRPr="002B666D">
        <w:rPr>
          <w:rStyle w:val="FootnoteReference"/>
        </w:rPr>
        <w:footnoteRef/>
      </w:r>
      <w:r w:rsidR="00DB57EC" w:rsidRPr="002B666D">
        <w:rPr>
          <w:rStyle w:val="FootnoteReference"/>
        </w:rPr>
        <w:t xml:space="preserve"> </w:t>
      </w:r>
      <w:r w:rsidR="002B666D">
        <w:rPr>
          <w:rStyle w:val="FootnoteReference"/>
        </w:rPr>
        <w:tab/>
      </w:r>
      <w:r w:rsidR="00DB57EC" w:rsidRPr="002B666D">
        <w:rPr>
          <w:rStyle w:val="FootnoteReference"/>
        </w:rPr>
        <w:t xml:space="preserve">These responses are based on communications to the FRC.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014A" w14:textId="69E438A5" w:rsidR="003A6A8B" w:rsidRDefault="00F02C90" w:rsidP="00F02C90">
    <w:pPr>
      <w:pStyle w:val="Header"/>
      <w:jc w:val="left"/>
    </w:pPr>
    <w:r>
      <w:rPr>
        <w:noProof/>
      </w:rPr>
      <w:drawing>
        <wp:inline distT="0" distB="0" distL="0" distR="0" wp14:anchorId="2DCAA44A" wp14:editId="130922D7">
          <wp:extent cx="2418715" cy="538480"/>
          <wp:effectExtent l="0" t="0" r="635"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8715" cy="53848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6BD1" w14:textId="1E16E331" w:rsidR="009F6796" w:rsidRPr="00CC2F27" w:rsidRDefault="009F6796" w:rsidP="009F6796">
    <w:pPr>
      <w:pStyle w:val="HeaderOdd"/>
      <w:jc w:val="left"/>
    </w:pPr>
    <w:fldSimple w:instr=" STYLEREF  Title  \* MERGEFORMAT ">
      <w:r w:rsidR="00B973B7">
        <w:rPr>
          <w:noProof/>
        </w:rPr>
        <w:t>Oversight of Audit Quality in Australia–A Review</w:t>
      </w:r>
    </w:fldSimple>
  </w:p>
  <w:p w14:paraId="70AA6737" w14:textId="2D1DAF7E" w:rsidR="00E273BF" w:rsidRPr="00E273BF" w:rsidRDefault="00E273BF" w:rsidP="00E273BF">
    <w:pPr>
      <w:pStyle w:val="FooterOdd"/>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3A01C" w14:textId="379BA287" w:rsidR="00C60B0F" w:rsidRPr="00647692" w:rsidRDefault="005A1321" w:rsidP="00647692">
    <w:pPr>
      <w:pStyle w:val="HeaderEven"/>
    </w:pPr>
    <w:fldSimple w:instr=" STYLEREF  Title  \* MERGEFORMAT ">
      <w:r w:rsidR="00B973B7">
        <w:rPr>
          <w:noProof/>
        </w:rPr>
        <w:t>Oversight of Audit Quality in Australia–A Review</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4F30" w14:textId="1EBD0C9D" w:rsidR="00C60B0F" w:rsidRPr="00F60198" w:rsidRDefault="005A1321" w:rsidP="00A12F62">
    <w:pPr>
      <w:pStyle w:val="HeaderOdd"/>
    </w:pPr>
    <w:fldSimple w:instr=" STYLEREF  Title  \* MERGEFORMAT ">
      <w:r w:rsidR="00B973B7">
        <w:rPr>
          <w:noProof/>
        </w:rPr>
        <w:t>Oversight of Audit Quality in Australia–A Review</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5B9ED" w14:textId="77777777" w:rsidR="00C60B0F" w:rsidRDefault="00C60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FECBA" w14:textId="6C1F2933" w:rsidR="00DA2E0B" w:rsidRDefault="00DA2E0B" w:rsidP="00F02C90">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6242" w14:textId="735B4777" w:rsidR="00B55B04" w:rsidRPr="005C5571" w:rsidRDefault="005A1321" w:rsidP="005C5571">
    <w:pPr>
      <w:pStyle w:val="HeaderEven"/>
    </w:pPr>
    <w:fldSimple w:instr=" STYLEREF  Title  \* MERGEFORMAT ">
      <w:r w:rsidR="00675CEA">
        <w:rPr>
          <w:noProof/>
        </w:rPr>
        <w:t>Oversight of Audit Quality in Australia–A Review</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A703" w14:textId="77777777" w:rsidR="00B55B04" w:rsidRPr="00F836F9" w:rsidRDefault="00B55B04" w:rsidP="00F836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8934" w14:textId="77777777" w:rsidR="005C5571" w:rsidRPr="00647692" w:rsidRDefault="005C5571" w:rsidP="0064769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8DC0" w14:textId="1760A5F2" w:rsidR="00E251E4" w:rsidRPr="00AB738A" w:rsidRDefault="00B973B7" w:rsidP="00C60B0F">
    <w:pPr>
      <w:pStyle w:val="HeaderEven"/>
    </w:pPr>
    <w:r>
      <w:fldChar w:fldCharType="begin"/>
    </w:r>
    <w:r>
      <w:instrText xml:space="preserve"> STYLEREF  Title  \* MERGEFORMAT </w:instrText>
    </w:r>
    <w:r>
      <w:fldChar w:fldCharType="separate"/>
    </w:r>
    <w:r>
      <w:rPr>
        <w:noProof/>
      </w:rPr>
      <w:t>Oversight of Audit Quality in Australia–A Review</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4021" w14:textId="7C627F83" w:rsidR="00E273BF" w:rsidRPr="00F60198" w:rsidRDefault="00B973B7" w:rsidP="00A12F62">
    <w:pPr>
      <w:pStyle w:val="HeaderOdd"/>
    </w:pPr>
    <w:r>
      <w:fldChar w:fldCharType="begin"/>
    </w:r>
    <w:r>
      <w:instrText xml:space="preserve"> STYLEREF  Title  \* MERGEFORMAT </w:instrText>
    </w:r>
    <w:r>
      <w:fldChar w:fldCharType="separate"/>
    </w:r>
    <w:r>
      <w:rPr>
        <w:noProof/>
      </w:rPr>
      <w:t>Oversight of Audit Quality in Australia–A Review</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4F31" w14:textId="77777777" w:rsidR="00DB57EC" w:rsidRDefault="00DB57EC">
    <w:pPr>
      <w:pStyle w:val="Header"/>
    </w:pPr>
  </w:p>
  <w:p w14:paraId="55FBDE6B" w14:textId="49BBABE9" w:rsidR="00DB57EC" w:rsidRPr="002519A5" w:rsidRDefault="00DB57EC">
    <w:pPr>
      <w:pStyle w:val="Header"/>
      <w:rPr>
        <w:sz w:val="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2944" w14:textId="508D4D10" w:rsidR="00FA3FC8" w:rsidRPr="00CC2F27" w:rsidRDefault="00FA3FC8" w:rsidP="00FA3FC8">
    <w:pPr>
      <w:pStyle w:val="HeaderEven"/>
    </w:pPr>
    <w:fldSimple w:instr=" STYLEREF  Title  \* MERGEFORMAT ">
      <w:r w:rsidR="00B973B7">
        <w:rPr>
          <w:noProof/>
        </w:rPr>
        <w:t>Oversight of Audit Quality in Australia–A Review</w:t>
      </w:r>
    </w:fldSimple>
  </w:p>
  <w:p w14:paraId="534A8C63" w14:textId="7096FEF9" w:rsidR="0044486F" w:rsidRPr="0044486F" w:rsidRDefault="0044486F" w:rsidP="00FA3FC8">
    <w:pPr>
      <w:pStyle w:val="HeaderEv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34E0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BA8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9028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B9421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CF673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DA12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6404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D643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AAD9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2AAC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10653560"/>
    <w:multiLevelType w:val="multilevel"/>
    <w:tmpl w:val="72F8140E"/>
    <w:styleLink w:val="OutlineList"/>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7874F6"/>
    <w:multiLevelType w:val="hybridMultilevel"/>
    <w:tmpl w:val="97D2F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77C1250"/>
    <w:multiLevelType w:val="hybridMultilevel"/>
    <w:tmpl w:val="247853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091EDF"/>
    <w:multiLevelType w:val="hybridMultilevel"/>
    <w:tmpl w:val="CF5235A6"/>
    <w:lvl w:ilvl="0" w:tplc="0C090003">
      <w:start w:val="1"/>
      <w:numFmt w:val="bullet"/>
      <w:lvlText w:val="o"/>
      <w:lvlJc w:val="left"/>
      <w:pPr>
        <w:ind w:left="1794" w:hanging="360"/>
      </w:pPr>
      <w:rPr>
        <w:rFonts w:ascii="Courier New" w:hAnsi="Courier New" w:cs="Courier New" w:hint="default"/>
      </w:rPr>
    </w:lvl>
    <w:lvl w:ilvl="1" w:tplc="FFFFFFFF">
      <w:start w:val="1"/>
      <w:numFmt w:val="bullet"/>
      <w:lvlText w:val="o"/>
      <w:lvlJc w:val="left"/>
      <w:pPr>
        <w:ind w:left="2514" w:hanging="360"/>
      </w:pPr>
      <w:rPr>
        <w:rFonts w:ascii="Courier New" w:hAnsi="Courier New" w:cs="Courier New" w:hint="default"/>
      </w:rPr>
    </w:lvl>
    <w:lvl w:ilvl="2" w:tplc="FFFFFFFF" w:tentative="1">
      <w:start w:val="1"/>
      <w:numFmt w:val="bullet"/>
      <w:lvlText w:val=""/>
      <w:lvlJc w:val="left"/>
      <w:pPr>
        <w:ind w:left="3234" w:hanging="360"/>
      </w:pPr>
      <w:rPr>
        <w:rFonts w:ascii="Wingdings" w:hAnsi="Wingdings" w:hint="default"/>
      </w:rPr>
    </w:lvl>
    <w:lvl w:ilvl="3" w:tplc="FFFFFFFF" w:tentative="1">
      <w:start w:val="1"/>
      <w:numFmt w:val="bullet"/>
      <w:lvlText w:val=""/>
      <w:lvlJc w:val="left"/>
      <w:pPr>
        <w:ind w:left="3954" w:hanging="360"/>
      </w:pPr>
      <w:rPr>
        <w:rFonts w:ascii="Symbol" w:hAnsi="Symbol" w:hint="default"/>
      </w:rPr>
    </w:lvl>
    <w:lvl w:ilvl="4" w:tplc="FFFFFFFF" w:tentative="1">
      <w:start w:val="1"/>
      <w:numFmt w:val="bullet"/>
      <w:lvlText w:val="o"/>
      <w:lvlJc w:val="left"/>
      <w:pPr>
        <w:ind w:left="4674" w:hanging="360"/>
      </w:pPr>
      <w:rPr>
        <w:rFonts w:ascii="Courier New" w:hAnsi="Courier New" w:cs="Courier New" w:hint="default"/>
      </w:rPr>
    </w:lvl>
    <w:lvl w:ilvl="5" w:tplc="FFFFFFFF" w:tentative="1">
      <w:start w:val="1"/>
      <w:numFmt w:val="bullet"/>
      <w:lvlText w:val=""/>
      <w:lvlJc w:val="left"/>
      <w:pPr>
        <w:ind w:left="5394" w:hanging="360"/>
      </w:pPr>
      <w:rPr>
        <w:rFonts w:ascii="Wingdings" w:hAnsi="Wingdings" w:hint="default"/>
      </w:rPr>
    </w:lvl>
    <w:lvl w:ilvl="6" w:tplc="FFFFFFFF" w:tentative="1">
      <w:start w:val="1"/>
      <w:numFmt w:val="bullet"/>
      <w:lvlText w:val=""/>
      <w:lvlJc w:val="left"/>
      <w:pPr>
        <w:ind w:left="6114" w:hanging="360"/>
      </w:pPr>
      <w:rPr>
        <w:rFonts w:ascii="Symbol" w:hAnsi="Symbol" w:hint="default"/>
      </w:rPr>
    </w:lvl>
    <w:lvl w:ilvl="7" w:tplc="FFFFFFFF" w:tentative="1">
      <w:start w:val="1"/>
      <w:numFmt w:val="bullet"/>
      <w:lvlText w:val="o"/>
      <w:lvlJc w:val="left"/>
      <w:pPr>
        <w:ind w:left="6834" w:hanging="360"/>
      </w:pPr>
      <w:rPr>
        <w:rFonts w:ascii="Courier New" w:hAnsi="Courier New" w:cs="Courier New" w:hint="default"/>
      </w:rPr>
    </w:lvl>
    <w:lvl w:ilvl="8" w:tplc="FFFFFFFF" w:tentative="1">
      <w:start w:val="1"/>
      <w:numFmt w:val="bullet"/>
      <w:lvlText w:val=""/>
      <w:lvlJc w:val="left"/>
      <w:pPr>
        <w:ind w:left="7554" w:hanging="360"/>
      </w:pPr>
      <w:rPr>
        <w:rFonts w:ascii="Wingdings" w:hAnsi="Wingdings" w:hint="default"/>
      </w:rPr>
    </w:lvl>
  </w:abstractNum>
  <w:abstractNum w:abstractNumId="16"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97705AD"/>
    <w:multiLevelType w:val="hybridMultilevel"/>
    <w:tmpl w:val="EAAC4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C2710"/>
    <w:multiLevelType w:val="multilevel"/>
    <w:tmpl w:val="7F402170"/>
    <w:styleLink w:val="BulletedList"/>
    <w:lvl w:ilvl="0">
      <w:start w:val="1"/>
      <w:numFmt w:val="bullet"/>
      <w:lvlRestart w:val="0"/>
      <w:lvlText w:val="•"/>
      <w:lvlJc w:val="left"/>
      <w:pPr>
        <w:tabs>
          <w:tab w:val="num" w:pos="283"/>
        </w:tabs>
        <w:ind w:left="284" w:hanging="284"/>
      </w:pPr>
      <w:rPr>
        <w:rFonts w:ascii="Times New Roman" w:hAnsi="Times New Roman" w:cs="Times New Roman" w:hint="default"/>
        <w:b w:val="0"/>
        <w:i w:val="0"/>
      </w:rPr>
    </w:lvl>
    <w:lvl w:ilvl="1">
      <w:start w:val="1"/>
      <w:numFmt w:val="bullet"/>
      <w:lvlText w:val="–"/>
      <w:lvlJc w:val="left"/>
      <w:pPr>
        <w:tabs>
          <w:tab w:val="num" w:pos="567"/>
        </w:tabs>
        <w:ind w:left="568" w:hanging="284"/>
      </w:pPr>
      <w:rPr>
        <w:rFonts w:ascii="Times New Roman" w:hAnsi="Times New Roman" w:cs="Times New Roman" w:hint="default"/>
        <w:b w:val="0"/>
        <w:i w:val="0"/>
      </w:rPr>
    </w:lvl>
    <w:lvl w:ilvl="2">
      <w:start w:val="1"/>
      <w:numFmt w:val="bulle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19"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15648B"/>
    <w:multiLevelType w:val="hybridMultilevel"/>
    <w:tmpl w:val="D4044A40"/>
    <w:lvl w:ilvl="0" w:tplc="0C090003">
      <w:start w:val="1"/>
      <w:numFmt w:val="bullet"/>
      <w:lvlText w:val="o"/>
      <w:lvlJc w:val="left"/>
      <w:pPr>
        <w:ind w:left="1794" w:hanging="360"/>
      </w:pPr>
      <w:rPr>
        <w:rFonts w:ascii="Courier New" w:hAnsi="Courier New" w:cs="Courier New" w:hint="default"/>
      </w:rPr>
    </w:lvl>
    <w:lvl w:ilvl="1" w:tplc="FFFFFFFF">
      <w:start w:val="1"/>
      <w:numFmt w:val="bullet"/>
      <w:lvlText w:val="o"/>
      <w:lvlJc w:val="left"/>
      <w:pPr>
        <w:ind w:left="2514" w:hanging="360"/>
      </w:pPr>
      <w:rPr>
        <w:rFonts w:ascii="Courier New" w:hAnsi="Courier New" w:cs="Courier New" w:hint="default"/>
      </w:rPr>
    </w:lvl>
    <w:lvl w:ilvl="2" w:tplc="FFFFFFFF" w:tentative="1">
      <w:start w:val="1"/>
      <w:numFmt w:val="bullet"/>
      <w:lvlText w:val=""/>
      <w:lvlJc w:val="left"/>
      <w:pPr>
        <w:ind w:left="3234" w:hanging="360"/>
      </w:pPr>
      <w:rPr>
        <w:rFonts w:ascii="Wingdings" w:hAnsi="Wingdings" w:hint="default"/>
      </w:rPr>
    </w:lvl>
    <w:lvl w:ilvl="3" w:tplc="FFFFFFFF" w:tentative="1">
      <w:start w:val="1"/>
      <w:numFmt w:val="bullet"/>
      <w:lvlText w:val=""/>
      <w:lvlJc w:val="left"/>
      <w:pPr>
        <w:ind w:left="3954" w:hanging="360"/>
      </w:pPr>
      <w:rPr>
        <w:rFonts w:ascii="Symbol" w:hAnsi="Symbol" w:hint="default"/>
      </w:rPr>
    </w:lvl>
    <w:lvl w:ilvl="4" w:tplc="FFFFFFFF" w:tentative="1">
      <w:start w:val="1"/>
      <w:numFmt w:val="bullet"/>
      <w:lvlText w:val="o"/>
      <w:lvlJc w:val="left"/>
      <w:pPr>
        <w:ind w:left="4674" w:hanging="360"/>
      </w:pPr>
      <w:rPr>
        <w:rFonts w:ascii="Courier New" w:hAnsi="Courier New" w:cs="Courier New" w:hint="default"/>
      </w:rPr>
    </w:lvl>
    <w:lvl w:ilvl="5" w:tplc="FFFFFFFF" w:tentative="1">
      <w:start w:val="1"/>
      <w:numFmt w:val="bullet"/>
      <w:lvlText w:val=""/>
      <w:lvlJc w:val="left"/>
      <w:pPr>
        <w:ind w:left="5394" w:hanging="360"/>
      </w:pPr>
      <w:rPr>
        <w:rFonts w:ascii="Wingdings" w:hAnsi="Wingdings" w:hint="default"/>
      </w:rPr>
    </w:lvl>
    <w:lvl w:ilvl="6" w:tplc="FFFFFFFF" w:tentative="1">
      <w:start w:val="1"/>
      <w:numFmt w:val="bullet"/>
      <w:lvlText w:val=""/>
      <w:lvlJc w:val="left"/>
      <w:pPr>
        <w:ind w:left="6114" w:hanging="360"/>
      </w:pPr>
      <w:rPr>
        <w:rFonts w:ascii="Symbol" w:hAnsi="Symbol" w:hint="default"/>
      </w:rPr>
    </w:lvl>
    <w:lvl w:ilvl="7" w:tplc="FFFFFFFF" w:tentative="1">
      <w:start w:val="1"/>
      <w:numFmt w:val="bullet"/>
      <w:lvlText w:val="o"/>
      <w:lvlJc w:val="left"/>
      <w:pPr>
        <w:ind w:left="6834" w:hanging="360"/>
      </w:pPr>
      <w:rPr>
        <w:rFonts w:ascii="Courier New" w:hAnsi="Courier New" w:cs="Courier New" w:hint="default"/>
      </w:rPr>
    </w:lvl>
    <w:lvl w:ilvl="8" w:tplc="FFFFFFFF" w:tentative="1">
      <w:start w:val="1"/>
      <w:numFmt w:val="bullet"/>
      <w:lvlText w:val=""/>
      <w:lvlJc w:val="left"/>
      <w:pPr>
        <w:ind w:left="7554" w:hanging="360"/>
      </w:pPr>
      <w:rPr>
        <w:rFonts w:ascii="Wingdings" w:hAnsi="Wingdings" w:hint="default"/>
      </w:rPr>
    </w:lvl>
  </w:abstractNum>
  <w:abstractNum w:abstractNumId="22" w15:restartNumberingAfterBreak="0">
    <w:nsid w:val="45883FBB"/>
    <w:multiLevelType w:val="hybridMultilevel"/>
    <w:tmpl w:val="DD6E7AE2"/>
    <w:lvl w:ilvl="0" w:tplc="FA4AB1DA">
      <w:start w:val="1"/>
      <w:numFmt w:val="bullet"/>
      <w:lvlText w:val=""/>
      <w:lvlJc w:val="left"/>
      <w:pPr>
        <w:ind w:left="360" w:hanging="360"/>
      </w:pPr>
      <w:rPr>
        <w:rFonts w:ascii="Symbol" w:hAnsi="Symbol" w:hint="default"/>
      </w:rPr>
    </w:lvl>
    <w:lvl w:ilvl="1" w:tplc="0C090003">
      <w:start w:val="1"/>
      <w:numFmt w:val="bullet"/>
      <w:lvlText w:val="o"/>
      <w:lvlJc w:val="left"/>
      <w:pPr>
        <w:ind w:left="6435" w:hanging="360"/>
      </w:pPr>
      <w:rPr>
        <w:rFonts w:ascii="Courier New" w:hAnsi="Courier New" w:cs="Courier New" w:hint="default"/>
      </w:rPr>
    </w:lvl>
    <w:lvl w:ilvl="2" w:tplc="0C090005">
      <w:start w:val="1"/>
      <w:numFmt w:val="bullet"/>
      <w:lvlText w:val=""/>
      <w:lvlJc w:val="left"/>
      <w:pPr>
        <w:ind w:left="7155" w:hanging="360"/>
      </w:pPr>
      <w:rPr>
        <w:rFonts w:ascii="Wingdings" w:hAnsi="Wingdings" w:hint="default"/>
      </w:rPr>
    </w:lvl>
    <w:lvl w:ilvl="3" w:tplc="0C090001" w:tentative="1">
      <w:start w:val="1"/>
      <w:numFmt w:val="bullet"/>
      <w:lvlText w:val=""/>
      <w:lvlJc w:val="left"/>
      <w:pPr>
        <w:ind w:left="7875" w:hanging="360"/>
      </w:pPr>
      <w:rPr>
        <w:rFonts w:ascii="Symbol" w:hAnsi="Symbol" w:hint="default"/>
      </w:rPr>
    </w:lvl>
    <w:lvl w:ilvl="4" w:tplc="0C090003" w:tentative="1">
      <w:start w:val="1"/>
      <w:numFmt w:val="bullet"/>
      <w:lvlText w:val="o"/>
      <w:lvlJc w:val="left"/>
      <w:pPr>
        <w:ind w:left="8595" w:hanging="360"/>
      </w:pPr>
      <w:rPr>
        <w:rFonts w:ascii="Courier New" w:hAnsi="Courier New" w:cs="Courier New" w:hint="default"/>
      </w:rPr>
    </w:lvl>
    <w:lvl w:ilvl="5" w:tplc="0C090005" w:tentative="1">
      <w:start w:val="1"/>
      <w:numFmt w:val="bullet"/>
      <w:lvlText w:val=""/>
      <w:lvlJc w:val="left"/>
      <w:pPr>
        <w:ind w:left="9315" w:hanging="360"/>
      </w:pPr>
      <w:rPr>
        <w:rFonts w:ascii="Wingdings" w:hAnsi="Wingdings" w:hint="default"/>
      </w:rPr>
    </w:lvl>
    <w:lvl w:ilvl="6" w:tplc="0C090001" w:tentative="1">
      <w:start w:val="1"/>
      <w:numFmt w:val="bullet"/>
      <w:lvlText w:val=""/>
      <w:lvlJc w:val="left"/>
      <w:pPr>
        <w:ind w:left="10035" w:hanging="360"/>
      </w:pPr>
      <w:rPr>
        <w:rFonts w:ascii="Symbol" w:hAnsi="Symbol" w:hint="default"/>
      </w:rPr>
    </w:lvl>
    <w:lvl w:ilvl="7" w:tplc="0C090003" w:tentative="1">
      <w:start w:val="1"/>
      <w:numFmt w:val="bullet"/>
      <w:lvlText w:val="o"/>
      <w:lvlJc w:val="left"/>
      <w:pPr>
        <w:ind w:left="10755" w:hanging="360"/>
      </w:pPr>
      <w:rPr>
        <w:rFonts w:ascii="Courier New" w:hAnsi="Courier New" w:cs="Courier New" w:hint="default"/>
      </w:rPr>
    </w:lvl>
    <w:lvl w:ilvl="8" w:tplc="0C090005" w:tentative="1">
      <w:start w:val="1"/>
      <w:numFmt w:val="bullet"/>
      <w:lvlText w:val=""/>
      <w:lvlJc w:val="left"/>
      <w:pPr>
        <w:ind w:left="11475" w:hanging="360"/>
      </w:pPr>
      <w:rPr>
        <w:rFonts w:ascii="Wingdings" w:hAnsi="Wingdings" w:hint="default"/>
      </w:rPr>
    </w:lvl>
  </w:abstractNum>
  <w:abstractNum w:abstractNumId="23" w15:restartNumberingAfterBreak="0">
    <w:nsid w:val="484A0255"/>
    <w:multiLevelType w:val="hybridMultilevel"/>
    <w:tmpl w:val="3968B038"/>
    <w:lvl w:ilvl="0" w:tplc="0C090003">
      <w:start w:val="1"/>
      <w:numFmt w:val="bullet"/>
      <w:lvlText w:val="o"/>
      <w:lvlJc w:val="left"/>
      <w:pPr>
        <w:ind w:left="1794" w:hanging="360"/>
      </w:pPr>
      <w:rPr>
        <w:rFonts w:ascii="Courier New" w:hAnsi="Courier New" w:cs="Courier New" w:hint="default"/>
      </w:rPr>
    </w:lvl>
    <w:lvl w:ilvl="1" w:tplc="FFFFFFFF">
      <w:start w:val="1"/>
      <w:numFmt w:val="bullet"/>
      <w:lvlText w:val="o"/>
      <w:lvlJc w:val="left"/>
      <w:pPr>
        <w:ind w:left="2514" w:hanging="360"/>
      </w:pPr>
      <w:rPr>
        <w:rFonts w:ascii="Courier New" w:hAnsi="Courier New" w:cs="Courier New" w:hint="default"/>
      </w:rPr>
    </w:lvl>
    <w:lvl w:ilvl="2" w:tplc="FFFFFFFF" w:tentative="1">
      <w:start w:val="1"/>
      <w:numFmt w:val="bullet"/>
      <w:lvlText w:val=""/>
      <w:lvlJc w:val="left"/>
      <w:pPr>
        <w:ind w:left="3234" w:hanging="360"/>
      </w:pPr>
      <w:rPr>
        <w:rFonts w:ascii="Wingdings" w:hAnsi="Wingdings" w:hint="default"/>
      </w:rPr>
    </w:lvl>
    <w:lvl w:ilvl="3" w:tplc="FFFFFFFF" w:tentative="1">
      <w:start w:val="1"/>
      <w:numFmt w:val="bullet"/>
      <w:lvlText w:val=""/>
      <w:lvlJc w:val="left"/>
      <w:pPr>
        <w:ind w:left="3954" w:hanging="360"/>
      </w:pPr>
      <w:rPr>
        <w:rFonts w:ascii="Symbol" w:hAnsi="Symbol" w:hint="default"/>
      </w:rPr>
    </w:lvl>
    <w:lvl w:ilvl="4" w:tplc="FFFFFFFF" w:tentative="1">
      <w:start w:val="1"/>
      <w:numFmt w:val="bullet"/>
      <w:lvlText w:val="o"/>
      <w:lvlJc w:val="left"/>
      <w:pPr>
        <w:ind w:left="4674" w:hanging="360"/>
      </w:pPr>
      <w:rPr>
        <w:rFonts w:ascii="Courier New" w:hAnsi="Courier New" w:cs="Courier New" w:hint="default"/>
      </w:rPr>
    </w:lvl>
    <w:lvl w:ilvl="5" w:tplc="FFFFFFFF" w:tentative="1">
      <w:start w:val="1"/>
      <w:numFmt w:val="bullet"/>
      <w:lvlText w:val=""/>
      <w:lvlJc w:val="left"/>
      <w:pPr>
        <w:ind w:left="5394" w:hanging="360"/>
      </w:pPr>
      <w:rPr>
        <w:rFonts w:ascii="Wingdings" w:hAnsi="Wingdings" w:hint="default"/>
      </w:rPr>
    </w:lvl>
    <w:lvl w:ilvl="6" w:tplc="FFFFFFFF" w:tentative="1">
      <w:start w:val="1"/>
      <w:numFmt w:val="bullet"/>
      <w:lvlText w:val=""/>
      <w:lvlJc w:val="left"/>
      <w:pPr>
        <w:ind w:left="6114" w:hanging="360"/>
      </w:pPr>
      <w:rPr>
        <w:rFonts w:ascii="Symbol" w:hAnsi="Symbol" w:hint="default"/>
      </w:rPr>
    </w:lvl>
    <w:lvl w:ilvl="7" w:tplc="FFFFFFFF" w:tentative="1">
      <w:start w:val="1"/>
      <w:numFmt w:val="bullet"/>
      <w:lvlText w:val="o"/>
      <w:lvlJc w:val="left"/>
      <w:pPr>
        <w:ind w:left="6834" w:hanging="360"/>
      </w:pPr>
      <w:rPr>
        <w:rFonts w:ascii="Courier New" w:hAnsi="Courier New" w:cs="Courier New" w:hint="default"/>
      </w:rPr>
    </w:lvl>
    <w:lvl w:ilvl="8" w:tplc="FFFFFFFF" w:tentative="1">
      <w:start w:val="1"/>
      <w:numFmt w:val="bullet"/>
      <w:lvlText w:val=""/>
      <w:lvlJc w:val="left"/>
      <w:pPr>
        <w:ind w:left="7554" w:hanging="360"/>
      </w:pPr>
      <w:rPr>
        <w:rFonts w:ascii="Wingdings" w:hAnsi="Wingdings" w:hint="default"/>
      </w:rPr>
    </w:lvl>
  </w:abstractNum>
  <w:abstractNum w:abstractNumId="24" w15:restartNumberingAfterBreak="0">
    <w:nsid w:val="510D2021"/>
    <w:multiLevelType w:val="multilevel"/>
    <w:tmpl w:val="3A1A713E"/>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7AF223D"/>
    <w:multiLevelType w:val="multilevel"/>
    <w:tmpl w:val="6D220A9E"/>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520"/>
        </w:tabs>
        <w:ind w:left="520" w:hanging="520"/>
      </w:pPr>
      <w:rPr>
        <w:b/>
        <w:bCs/>
      </w:r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9BD7DFF"/>
    <w:multiLevelType w:val="multilevel"/>
    <w:tmpl w:val="55D42826"/>
    <w:name w:val="StandardBulletedList2"/>
    <w:lvl w:ilvl="0">
      <w:start w:val="1"/>
      <w:numFmt w:val="bullet"/>
      <w:pStyle w:val="Boxbullet"/>
      <w:lvlText w:val="•"/>
      <w:lvlJc w:val="left"/>
      <w:pPr>
        <w:ind w:left="284" w:hanging="284"/>
      </w:pPr>
      <w:rPr>
        <w:rFonts w:ascii="Times New Roman" w:hAnsi="Times New Roman" w:cs="Times New Roman" w:hint="default"/>
        <w:color w:val="auto"/>
      </w:rPr>
    </w:lvl>
    <w:lvl w:ilvl="1">
      <w:start w:val="1"/>
      <w:numFmt w:val="bullet"/>
      <w:pStyle w:val="Boxdash"/>
      <w:lvlText w:val="–"/>
      <w:lvlJc w:val="left"/>
      <w:pPr>
        <w:ind w:left="568" w:hanging="284"/>
      </w:pPr>
      <w:rPr>
        <w:rFonts w:ascii="Times New Roman" w:hAnsi="Times New Roman" w:cs="Times New Roman" w:hint="default"/>
      </w:rPr>
    </w:lvl>
    <w:lvl w:ilvl="2">
      <w:start w:val="1"/>
      <w:numFmt w:val="bullet"/>
      <w:pStyle w:val="Boxdoubledot"/>
      <w:lvlText w:val=":"/>
      <w:lvlJc w:val="left"/>
      <w:pPr>
        <w:ind w:left="852" w:hanging="284"/>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abstractNum w:abstractNumId="27" w15:restartNumberingAfterBreak="0">
    <w:nsid w:val="5EEA05B4"/>
    <w:multiLevelType w:val="hybridMultilevel"/>
    <w:tmpl w:val="FD70629C"/>
    <w:lvl w:ilvl="0" w:tplc="7CE8686E">
      <w:start w:val="1"/>
      <w:numFmt w:val="bullet"/>
      <w:pStyle w:val="Style4"/>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7A851097"/>
    <w:multiLevelType w:val="hybridMultilevel"/>
    <w:tmpl w:val="5C0ED93E"/>
    <w:lvl w:ilvl="0" w:tplc="0C09000F">
      <w:start w:val="1"/>
      <w:numFmt w:val="decimal"/>
      <w:lvlText w:val="%1."/>
      <w:lvlJc w:val="left"/>
      <w:pPr>
        <w:ind w:left="5747"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6B5224"/>
    <w:multiLevelType w:val="multilevel"/>
    <w:tmpl w:val="C6FEAA62"/>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color w:val="auto"/>
      </w:rPr>
    </w:lvl>
    <w:lvl w:ilvl="1">
      <w:start w:val="1"/>
      <w:numFmt w:val="bullet"/>
      <w:pStyle w:val="Dash"/>
      <w:lvlText w:val="–"/>
      <w:lvlJc w:val="left"/>
      <w:pPr>
        <w:tabs>
          <w:tab w:val="num" w:pos="1040"/>
        </w:tabs>
        <w:ind w:left="1040" w:hanging="520"/>
      </w:pPr>
      <w:rPr>
        <w:rFonts w:ascii="Times New Roman" w:hAnsi="Times New Roman" w:cs="Times New Roman" w:hint="default"/>
      </w:rPr>
    </w:lvl>
    <w:lvl w:ilvl="2">
      <w:start w:val="1"/>
      <w:numFmt w:val="bullet"/>
      <w:pStyle w:val="DoubleDo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tabs>
          <w:tab w:val="num" w:pos="1372"/>
        </w:tabs>
        <w:ind w:left="1136" w:hanging="284"/>
      </w:pPr>
      <w:rPr>
        <w:rFonts w:hint="default"/>
      </w:rPr>
    </w:lvl>
    <w:lvl w:ilvl="4">
      <w:start w:val="1"/>
      <w:numFmt w:val="lowerLetter"/>
      <w:lvlText w:val="(%5)"/>
      <w:lvlJc w:val="left"/>
      <w:pPr>
        <w:tabs>
          <w:tab w:val="num" w:pos="1656"/>
        </w:tabs>
        <w:ind w:left="1420" w:hanging="284"/>
      </w:pPr>
      <w:rPr>
        <w:rFonts w:hint="default"/>
      </w:rPr>
    </w:lvl>
    <w:lvl w:ilvl="5">
      <w:start w:val="1"/>
      <w:numFmt w:val="lowerRoman"/>
      <w:lvlText w:val="(%6)"/>
      <w:lvlJc w:val="left"/>
      <w:pPr>
        <w:tabs>
          <w:tab w:val="num" w:pos="1940"/>
        </w:tabs>
        <w:ind w:left="1704" w:hanging="284"/>
      </w:pPr>
      <w:rPr>
        <w:rFonts w:hint="default"/>
      </w:rPr>
    </w:lvl>
    <w:lvl w:ilvl="6">
      <w:start w:val="1"/>
      <w:numFmt w:val="decimal"/>
      <w:lvlText w:val="%7."/>
      <w:lvlJc w:val="left"/>
      <w:pPr>
        <w:tabs>
          <w:tab w:val="num" w:pos="2224"/>
        </w:tabs>
        <w:ind w:left="1988" w:hanging="284"/>
      </w:pPr>
      <w:rPr>
        <w:rFonts w:hint="default"/>
      </w:rPr>
    </w:lvl>
    <w:lvl w:ilvl="7">
      <w:start w:val="1"/>
      <w:numFmt w:val="lowerLetter"/>
      <w:lvlText w:val="%8."/>
      <w:lvlJc w:val="left"/>
      <w:pPr>
        <w:tabs>
          <w:tab w:val="num" w:pos="2508"/>
        </w:tabs>
        <w:ind w:left="2272" w:hanging="284"/>
      </w:pPr>
      <w:rPr>
        <w:rFonts w:hint="default"/>
      </w:rPr>
    </w:lvl>
    <w:lvl w:ilvl="8">
      <w:start w:val="1"/>
      <w:numFmt w:val="lowerRoman"/>
      <w:lvlText w:val="%9."/>
      <w:lvlJc w:val="left"/>
      <w:pPr>
        <w:tabs>
          <w:tab w:val="num" w:pos="2792"/>
        </w:tabs>
        <w:ind w:left="2556" w:hanging="284"/>
      </w:pPr>
      <w:rPr>
        <w:rFonts w:hint="default"/>
      </w:rPr>
    </w:lvl>
  </w:abstractNum>
  <w:num w:numId="1" w16cid:durableId="747112092">
    <w:abstractNumId w:val="18"/>
  </w:num>
  <w:num w:numId="2" w16cid:durableId="125392115">
    <w:abstractNumId w:val="10"/>
  </w:num>
  <w:num w:numId="3" w16cid:durableId="1138493796">
    <w:abstractNumId w:val="20"/>
  </w:num>
  <w:num w:numId="4" w16cid:durableId="697198535">
    <w:abstractNumId w:val="11"/>
  </w:num>
  <w:num w:numId="5" w16cid:durableId="1530605932">
    <w:abstractNumId w:val="24"/>
  </w:num>
  <w:num w:numId="6" w16cid:durableId="1077706018">
    <w:abstractNumId w:val="19"/>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16cid:durableId="1334606905">
    <w:abstractNumId w:val="14"/>
  </w:num>
  <w:num w:numId="8" w16cid:durableId="732696603">
    <w:abstractNumId w:val="16"/>
  </w:num>
  <w:num w:numId="9" w16cid:durableId="157624863">
    <w:abstractNumId w:val="19"/>
  </w:num>
  <w:num w:numId="10" w16cid:durableId="1455251550">
    <w:abstractNumId w:val="29"/>
  </w:num>
  <w:num w:numId="11" w16cid:durableId="1065297974">
    <w:abstractNumId w:val="26"/>
  </w:num>
  <w:num w:numId="12" w16cid:durableId="641889885">
    <w:abstractNumId w:val="22"/>
  </w:num>
  <w:num w:numId="13" w16cid:durableId="835455321">
    <w:abstractNumId w:val="17"/>
  </w:num>
  <w:num w:numId="14" w16cid:durableId="843976230">
    <w:abstractNumId w:val="13"/>
  </w:num>
  <w:num w:numId="15" w16cid:durableId="286590694">
    <w:abstractNumId w:val="15"/>
  </w:num>
  <w:num w:numId="16" w16cid:durableId="1721442760">
    <w:abstractNumId w:val="23"/>
  </w:num>
  <w:num w:numId="17" w16cid:durableId="728841335">
    <w:abstractNumId w:val="21"/>
  </w:num>
  <w:num w:numId="18" w16cid:durableId="1754427064">
    <w:abstractNumId w:val="12"/>
  </w:num>
  <w:num w:numId="19" w16cid:durableId="1396968806">
    <w:abstractNumId w:val="25"/>
  </w:num>
  <w:num w:numId="20" w16cid:durableId="123811019">
    <w:abstractNumId w:val="28"/>
  </w:num>
  <w:num w:numId="21" w16cid:durableId="5637025">
    <w:abstractNumId w:val="27"/>
  </w:num>
  <w:num w:numId="22" w16cid:durableId="7865063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0464739">
    <w:abstractNumId w:val="9"/>
  </w:num>
  <w:num w:numId="24" w16cid:durableId="739594974">
    <w:abstractNumId w:val="7"/>
  </w:num>
  <w:num w:numId="25" w16cid:durableId="1354844739">
    <w:abstractNumId w:val="6"/>
  </w:num>
  <w:num w:numId="26" w16cid:durableId="229538217">
    <w:abstractNumId w:val="5"/>
  </w:num>
  <w:num w:numId="27" w16cid:durableId="1676346714">
    <w:abstractNumId w:val="4"/>
  </w:num>
  <w:num w:numId="28" w16cid:durableId="182599472">
    <w:abstractNumId w:val="8"/>
  </w:num>
  <w:num w:numId="29" w16cid:durableId="142309276">
    <w:abstractNumId w:val="3"/>
  </w:num>
  <w:num w:numId="30" w16cid:durableId="360280911">
    <w:abstractNumId w:val="2"/>
  </w:num>
  <w:num w:numId="31" w16cid:durableId="542795271">
    <w:abstractNumId w:val="1"/>
  </w:num>
  <w:num w:numId="32" w16cid:durableId="200778496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EC"/>
    <w:rsid w:val="00011725"/>
    <w:rsid w:val="00012C62"/>
    <w:rsid w:val="0001396A"/>
    <w:rsid w:val="0001756A"/>
    <w:rsid w:val="0002544D"/>
    <w:rsid w:val="00026147"/>
    <w:rsid w:val="0003540B"/>
    <w:rsid w:val="0004274D"/>
    <w:rsid w:val="00043348"/>
    <w:rsid w:val="0004483F"/>
    <w:rsid w:val="00046CB4"/>
    <w:rsid w:val="0005138B"/>
    <w:rsid w:val="000522B7"/>
    <w:rsid w:val="00053717"/>
    <w:rsid w:val="00056880"/>
    <w:rsid w:val="000675D1"/>
    <w:rsid w:val="00073521"/>
    <w:rsid w:val="000775DE"/>
    <w:rsid w:val="0008683F"/>
    <w:rsid w:val="00087FAF"/>
    <w:rsid w:val="000A3599"/>
    <w:rsid w:val="000A3675"/>
    <w:rsid w:val="000B093F"/>
    <w:rsid w:val="000B302A"/>
    <w:rsid w:val="000C571D"/>
    <w:rsid w:val="000C5F40"/>
    <w:rsid w:val="000D7599"/>
    <w:rsid w:val="000E0B74"/>
    <w:rsid w:val="000E727D"/>
    <w:rsid w:val="000E7901"/>
    <w:rsid w:val="000F19AB"/>
    <w:rsid w:val="000F6233"/>
    <w:rsid w:val="00131DC3"/>
    <w:rsid w:val="00135E4C"/>
    <w:rsid w:val="001373F5"/>
    <w:rsid w:val="001515FD"/>
    <w:rsid w:val="0015375F"/>
    <w:rsid w:val="001574C0"/>
    <w:rsid w:val="001606CF"/>
    <w:rsid w:val="00160DF5"/>
    <w:rsid w:val="0016128D"/>
    <w:rsid w:val="00164599"/>
    <w:rsid w:val="00165C2A"/>
    <w:rsid w:val="0017089D"/>
    <w:rsid w:val="001805A8"/>
    <w:rsid w:val="0019101A"/>
    <w:rsid w:val="00191CFE"/>
    <w:rsid w:val="00195C8E"/>
    <w:rsid w:val="00195CBF"/>
    <w:rsid w:val="0019683B"/>
    <w:rsid w:val="001972D2"/>
    <w:rsid w:val="001C358D"/>
    <w:rsid w:val="001C40A0"/>
    <w:rsid w:val="001E74ED"/>
    <w:rsid w:val="001F1B27"/>
    <w:rsid w:val="00221EC0"/>
    <w:rsid w:val="00227134"/>
    <w:rsid w:val="00231049"/>
    <w:rsid w:val="002314D2"/>
    <w:rsid w:val="0023305C"/>
    <w:rsid w:val="00241881"/>
    <w:rsid w:val="0024294C"/>
    <w:rsid w:val="002437D1"/>
    <w:rsid w:val="002461BA"/>
    <w:rsid w:val="002543D8"/>
    <w:rsid w:val="0025652F"/>
    <w:rsid w:val="002572E4"/>
    <w:rsid w:val="00260820"/>
    <w:rsid w:val="002608F1"/>
    <w:rsid w:val="00263B6C"/>
    <w:rsid w:val="00272939"/>
    <w:rsid w:val="0027590B"/>
    <w:rsid w:val="00285969"/>
    <w:rsid w:val="00295B30"/>
    <w:rsid w:val="00296BB1"/>
    <w:rsid w:val="002A25B8"/>
    <w:rsid w:val="002A74EF"/>
    <w:rsid w:val="002A7A31"/>
    <w:rsid w:val="002B3829"/>
    <w:rsid w:val="002B666D"/>
    <w:rsid w:val="002C22EF"/>
    <w:rsid w:val="002E1FB6"/>
    <w:rsid w:val="002E454C"/>
    <w:rsid w:val="002F26A5"/>
    <w:rsid w:val="002F617F"/>
    <w:rsid w:val="00300109"/>
    <w:rsid w:val="00301755"/>
    <w:rsid w:val="0030665E"/>
    <w:rsid w:val="00306894"/>
    <w:rsid w:val="003074FE"/>
    <w:rsid w:val="003122F4"/>
    <w:rsid w:val="00315B3D"/>
    <w:rsid w:val="003268D5"/>
    <w:rsid w:val="00334176"/>
    <w:rsid w:val="0033755F"/>
    <w:rsid w:val="0034082F"/>
    <w:rsid w:val="003448F6"/>
    <w:rsid w:val="00350388"/>
    <w:rsid w:val="00350759"/>
    <w:rsid w:val="00354D27"/>
    <w:rsid w:val="0035738A"/>
    <w:rsid w:val="003744B0"/>
    <w:rsid w:val="00375655"/>
    <w:rsid w:val="003858A6"/>
    <w:rsid w:val="0039150C"/>
    <w:rsid w:val="00392DCC"/>
    <w:rsid w:val="00397BB5"/>
    <w:rsid w:val="003A13EA"/>
    <w:rsid w:val="003A5B36"/>
    <w:rsid w:val="003A6A8B"/>
    <w:rsid w:val="003C24B4"/>
    <w:rsid w:val="003C6534"/>
    <w:rsid w:val="003D54C2"/>
    <w:rsid w:val="003E0D91"/>
    <w:rsid w:val="003E20D6"/>
    <w:rsid w:val="003E4D87"/>
    <w:rsid w:val="00401082"/>
    <w:rsid w:val="0040240E"/>
    <w:rsid w:val="00407FFD"/>
    <w:rsid w:val="00410819"/>
    <w:rsid w:val="00412369"/>
    <w:rsid w:val="00416762"/>
    <w:rsid w:val="00416E55"/>
    <w:rsid w:val="00421955"/>
    <w:rsid w:val="004233EB"/>
    <w:rsid w:val="0042518A"/>
    <w:rsid w:val="004276A0"/>
    <w:rsid w:val="00437EE9"/>
    <w:rsid w:val="0044486F"/>
    <w:rsid w:val="00444A63"/>
    <w:rsid w:val="00445265"/>
    <w:rsid w:val="004559CE"/>
    <w:rsid w:val="00460E1A"/>
    <w:rsid w:val="00463DF8"/>
    <w:rsid w:val="00475085"/>
    <w:rsid w:val="00476CF6"/>
    <w:rsid w:val="00477AA8"/>
    <w:rsid w:val="0048370D"/>
    <w:rsid w:val="00492FCB"/>
    <w:rsid w:val="00497F86"/>
    <w:rsid w:val="004A0F11"/>
    <w:rsid w:val="004A3EAA"/>
    <w:rsid w:val="004A7D97"/>
    <w:rsid w:val="004B5133"/>
    <w:rsid w:val="004C2902"/>
    <w:rsid w:val="004C41B6"/>
    <w:rsid w:val="004D6E37"/>
    <w:rsid w:val="004E00EA"/>
    <w:rsid w:val="004E6B14"/>
    <w:rsid w:val="004E6BC0"/>
    <w:rsid w:val="004F4B92"/>
    <w:rsid w:val="00501B6C"/>
    <w:rsid w:val="00502A9D"/>
    <w:rsid w:val="005129E7"/>
    <w:rsid w:val="00516785"/>
    <w:rsid w:val="0052419D"/>
    <w:rsid w:val="005301F8"/>
    <w:rsid w:val="00530D06"/>
    <w:rsid w:val="005312FC"/>
    <w:rsid w:val="00532C6D"/>
    <w:rsid w:val="0053569E"/>
    <w:rsid w:val="0053603D"/>
    <w:rsid w:val="0053742A"/>
    <w:rsid w:val="00537C85"/>
    <w:rsid w:val="00541D29"/>
    <w:rsid w:val="00543F23"/>
    <w:rsid w:val="005528A6"/>
    <w:rsid w:val="005556DC"/>
    <w:rsid w:val="00562F17"/>
    <w:rsid w:val="00565232"/>
    <w:rsid w:val="0056582C"/>
    <w:rsid w:val="00570F3C"/>
    <w:rsid w:val="00577281"/>
    <w:rsid w:val="005776B2"/>
    <w:rsid w:val="00586605"/>
    <w:rsid w:val="005868DE"/>
    <w:rsid w:val="005877AC"/>
    <w:rsid w:val="005966B7"/>
    <w:rsid w:val="005A1321"/>
    <w:rsid w:val="005A5164"/>
    <w:rsid w:val="005B5E2A"/>
    <w:rsid w:val="005C02A4"/>
    <w:rsid w:val="005C20D2"/>
    <w:rsid w:val="005C32FE"/>
    <w:rsid w:val="005C503A"/>
    <w:rsid w:val="005C5571"/>
    <w:rsid w:val="005D024A"/>
    <w:rsid w:val="005D4FD4"/>
    <w:rsid w:val="005D6D64"/>
    <w:rsid w:val="005E0082"/>
    <w:rsid w:val="00601650"/>
    <w:rsid w:val="00604EEF"/>
    <w:rsid w:val="00605AFD"/>
    <w:rsid w:val="00611F76"/>
    <w:rsid w:val="006123D4"/>
    <w:rsid w:val="0061445B"/>
    <w:rsid w:val="00624C4B"/>
    <w:rsid w:val="006469CC"/>
    <w:rsid w:val="00647692"/>
    <w:rsid w:val="006568CC"/>
    <w:rsid w:val="00672B5D"/>
    <w:rsid w:val="00675CEA"/>
    <w:rsid w:val="0067622C"/>
    <w:rsid w:val="00682249"/>
    <w:rsid w:val="00685CF7"/>
    <w:rsid w:val="00686165"/>
    <w:rsid w:val="00691CB5"/>
    <w:rsid w:val="006923DF"/>
    <w:rsid w:val="006A37F5"/>
    <w:rsid w:val="006B38FF"/>
    <w:rsid w:val="006C1892"/>
    <w:rsid w:val="006C5B73"/>
    <w:rsid w:val="006C645D"/>
    <w:rsid w:val="006D19E0"/>
    <w:rsid w:val="006E2D2A"/>
    <w:rsid w:val="006E3CC3"/>
    <w:rsid w:val="006F0637"/>
    <w:rsid w:val="00703FEB"/>
    <w:rsid w:val="00706E8E"/>
    <w:rsid w:val="00722B53"/>
    <w:rsid w:val="0073049C"/>
    <w:rsid w:val="00742366"/>
    <w:rsid w:val="00744484"/>
    <w:rsid w:val="007509DD"/>
    <w:rsid w:val="007601CF"/>
    <w:rsid w:val="00763474"/>
    <w:rsid w:val="00766184"/>
    <w:rsid w:val="0078257B"/>
    <w:rsid w:val="00783D75"/>
    <w:rsid w:val="00784C0A"/>
    <w:rsid w:val="00790447"/>
    <w:rsid w:val="00794B40"/>
    <w:rsid w:val="00796E26"/>
    <w:rsid w:val="007A1079"/>
    <w:rsid w:val="007B2677"/>
    <w:rsid w:val="007B76AB"/>
    <w:rsid w:val="007C0344"/>
    <w:rsid w:val="007D592B"/>
    <w:rsid w:val="007D5AA6"/>
    <w:rsid w:val="007D7A91"/>
    <w:rsid w:val="007E6456"/>
    <w:rsid w:val="00811943"/>
    <w:rsid w:val="00815C81"/>
    <w:rsid w:val="00820463"/>
    <w:rsid w:val="00827943"/>
    <w:rsid w:val="008311B8"/>
    <w:rsid w:val="00834243"/>
    <w:rsid w:val="008374C4"/>
    <w:rsid w:val="00847551"/>
    <w:rsid w:val="00857969"/>
    <w:rsid w:val="0088160B"/>
    <w:rsid w:val="00882CC4"/>
    <w:rsid w:val="008844AC"/>
    <w:rsid w:val="00884926"/>
    <w:rsid w:val="0088666B"/>
    <w:rsid w:val="00897F46"/>
    <w:rsid w:val="008A1B2D"/>
    <w:rsid w:val="008C4B22"/>
    <w:rsid w:val="008C7F71"/>
    <w:rsid w:val="008D339F"/>
    <w:rsid w:val="008D43B4"/>
    <w:rsid w:val="008E6292"/>
    <w:rsid w:val="008E739F"/>
    <w:rsid w:val="008F23EB"/>
    <w:rsid w:val="0090676C"/>
    <w:rsid w:val="00906E61"/>
    <w:rsid w:val="009153C1"/>
    <w:rsid w:val="00917E28"/>
    <w:rsid w:val="009250E6"/>
    <w:rsid w:val="00925AA5"/>
    <w:rsid w:val="0093540D"/>
    <w:rsid w:val="0094019D"/>
    <w:rsid w:val="00942A96"/>
    <w:rsid w:val="00942C11"/>
    <w:rsid w:val="0094351F"/>
    <w:rsid w:val="009547F8"/>
    <w:rsid w:val="00962ACF"/>
    <w:rsid w:val="009729D4"/>
    <w:rsid w:val="00980759"/>
    <w:rsid w:val="009817B0"/>
    <w:rsid w:val="009821CE"/>
    <w:rsid w:val="009863D7"/>
    <w:rsid w:val="00991C8C"/>
    <w:rsid w:val="009A277C"/>
    <w:rsid w:val="009A45C2"/>
    <w:rsid w:val="009A658F"/>
    <w:rsid w:val="009A65CD"/>
    <w:rsid w:val="009A6E89"/>
    <w:rsid w:val="009B088F"/>
    <w:rsid w:val="009B2249"/>
    <w:rsid w:val="009C22AA"/>
    <w:rsid w:val="009C28AB"/>
    <w:rsid w:val="009C4692"/>
    <w:rsid w:val="009D2CFF"/>
    <w:rsid w:val="009E04E4"/>
    <w:rsid w:val="009E0CA5"/>
    <w:rsid w:val="009E171B"/>
    <w:rsid w:val="009F6796"/>
    <w:rsid w:val="00A00436"/>
    <w:rsid w:val="00A015E8"/>
    <w:rsid w:val="00A07D47"/>
    <w:rsid w:val="00A10593"/>
    <w:rsid w:val="00A12F62"/>
    <w:rsid w:val="00A14FE9"/>
    <w:rsid w:val="00A24911"/>
    <w:rsid w:val="00A3749B"/>
    <w:rsid w:val="00A3770E"/>
    <w:rsid w:val="00A37D87"/>
    <w:rsid w:val="00A50D88"/>
    <w:rsid w:val="00A54654"/>
    <w:rsid w:val="00A56923"/>
    <w:rsid w:val="00A62E42"/>
    <w:rsid w:val="00A64A71"/>
    <w:rsid w:val="00A65143"/>
    <w:rsid w:val="00A65CD3"/>
    <w:rsid w:val="00A7236C"/>
    <w:rsid w:val="00A72960"/>
    <w:rsid w:val="00A72D8F"/>
    <w:rsid w:val="00A74815"/>
    <w:rsid w:val="00A758B9"/>
    <w:rsid w:val="00A93401"/>
    <w:rsid w:val="00A97160"/>
    <w:rsid w:val="00AB738A"/>
    <w:rsid w:val="00AC1AA0"/>
    <w:rsid w:val="00AC3196"/>
    <w:rsid w:val="00AC4065"/>
    <w:rsid w:val="00AE2F90"/>
    <w:rsid w:val="00B03DD6"/>
    <w:rsid w:val="00B15F0F"/>
    <w:rsid w:val="00B206D4"/>
    <w:rsid w:val="00B214C6"/>
    <w:rsid w:val="00B31FE5"/>
    <w:rsid w:val="00B3583B"/>
    <w:rsid w:val="00B37A8F"/>
    <w:rsid w:val="00B50466"/>
    <w:rsid w:val="00B55B04"/>
    <w:rsid w:val="00B65347"/>
    <w:rsid w:val="00B65DE1"/>
    <w:rsid w:val="00B66783"/>
    <w:rsid w:val="00B72AF0"/>
    <w:rsid w:val="00B737EB"/>
    <w:rsid w:val="00B775EE"/>
    <w:rsid w:val="00B87927"/>
    <w:rsid w:val="00B97308"/>
    <w:rsid w:val="00B973B7"/>
    <w:rsid w:val="00BB00F3"/>
    <w:rsid w:val="00BC2A87"/>
    <w:rsid w:val="00BC6E69"/>
    <w:rsid w:val="00BD26AA"/>
    <w:rsid w:val="00BD2B12"/>
    <w:rsid w:val="00BD454F"/>
    <w:rsid w:val="00BD659D"/>
    <w:rsid w:val="00BE3D9D"/>
    <w:rsid w:val="00BE7EA5"/>
    <w:rsid w:val="00BF3DB4"/>
    <w:rsid w:val="00C01DCC"/>
    <w:rsid w:val="00C11147"/>
    <w:rsid w:val="00C158DA"/>
    <w:rsid w:val="00C202B3"/>
    <w:rsid w:val="00C21EE0"/>
    <w:rsid w:val="00C30297"/>
    <w:rsid w:val="00C50B48"/>
    <w:rsid w:val="00C555AC"/>
    <w:rsid w:val="00C55E74"/>
    <w:rsid w:val="00C60B0F"/>
    <w:rsid w:val="00C713ED"/>
    <w:rsid w:val="00C72318"/>
    <w:rsid w:val="00C724E6"/>
    <w:rsid w:val="00C747A5"/>
    <w:rsid w:val="00C760F8"/>
    <w:rsid w:val="00C85314"/>
    <w:rsid w:val="00C875DB"/>
    <w:rsid w:val="00C964E0"/>
    <w:rsid w:val="00C9723C"/>
    <w:rsid w:val="00CA0116"/>
    <w:rsid w:val="00CA4BC0"/>
    <w:rsid w:val="00CA5CA8"/>
    <w:rsid w:val="00CB0157"/>
    <w:rsid w:val="00CB28E9"/>
    <w:rsid w:val="00CB3E44"/>
    <w:rsid w:val="00CB5205"/>
    <w:rsid w:val="00CC23B3"/>
    <w:rsid w:val="00CC2883"/>
    <w:rsid w:val="00CC2F27"/>
    <w:rsid w:val="00CC38AC"/>
    <w:rsid w:val="00CC559D"/>
    <w:rsid w:val="00CD0C13"/>
    <w:rsid w:val="00CD654B"/>
    <w:rsid w:val="00CE223E"/>
    <w:rsid w:val="00CF3F0D"/>
    <w:rsid w:val="00D0497B"/>
    <w:rsid w:val="00D101F7"/>
    <w:rsid w:val="00D145F5"/>
    <w:rsid w:val="00D2533E"/>
    <w:rsid w:val="00D316A1"/>
    <w:rsid w:val="00D3285B"/>
    <w:rsid w:val="00D329F1"/>
    <w:rsid w:val="00D355F0"/>
    <w:rsid w:val="00D42DC4"/>
    <w:rsid w:val="00D43AC8"/>
    <w:rsid w:val="00D50879"/>
    <w:rsid w:val="00D51610"/>
    <w:rsid w:val="00D54098"/>
    <w:rsid w:val="00D54F46"/>
    <w:rsid w:val="00D56113"/>
    <w:rsid w:val="00D643F4"/>
    <w:rsid w:val="00D833D9"/>
    <w:rsid w:val="00D83BD9"/>
    <w:rsid w:val="00D94DCF"/>
    <w:rsid w:val="00D94EAE"/>
    <w:rsid w:val="00DA2E0B"/>
    <w:rsid w:val="00DA586F"/>
    <w:rsid w:val="00DB08DA"/>
    <w:rsid w:val="00DB57EC"/>
    <w:rsid w:val="00DB5E34"/>
    <w:rsid w:val="00DB7F09"/>
    <w:rsid w:val="00DC00E8"/>
    <w:rsid w:val="00DC1C56"/>
    <w:rsid w:val="00DC4756"/>
    <w:rsid w:val="00DC6379"/>
    <w:rsid w:val="00DC6AAD"/>
    <w:rsid w:val="00DE2763"/>
    <w:rsid w:val="00DE3A53"/>
    <w:rsid w:val="00DE3C77"/>
    <w:rsid w:val="00DE70F1"/>
    <w:rsid w:val="00DF2691"/>
    <w:rsid w:val="00DF6F61"/>
    <w:rsid w:val="00E03934"/>
    <w:rsid w:val="00E101C6"/>
    <w:rsid w:val="00E22D51"/>
    <w:rsid w:val="00E251E4"/>
    <w:rsid w:val="00E273BF"/>
    <w:rsid w:val="00E349A7"/>
    <w:rsid w:val="00E3510C"/>
    <w:rsid w:val="00E50E7C"/>
    <w:rsid w:val="00E51545"/>
    <w:rsid w:val="00E51D9E"/>
    <w:rsid w:val="00E537D1"/>
    <w:rsid w:val="00E567E6"/>
    <w:rsid w:val="00E56971"/>
    <w:rsid w:val="00E61484"/>
    <w:rsid w:val="00E7017C"/>
    <w:rsid w:val="00E711D7"/>
    <w:rsid w:val="00E815E1"/>
    <w:rsid w:val="00E902B0"/>
    <w:rsid w:val="00E902E8"/>
    <w:rsid w:val="00E91943"/>
    <w:rsid w:val="00E9296B"/>
    <w:rsid w:val="00E97C19"/>
    <w:rsid w:val="00EA23AC"/>
    <w:rsid w:val="00EA398F"/>
    <w:rsid w:val="00EA7C3D"/>
    <w:rsid w:val="00EB0779"/>
    <w:rsid w:val="00EB4B0B"/>
    <w:rsid w:val="00EB6878"/>
    <w:rsid w:val="00EB77D5"/>
    <w:rsid w:val="00EC1E0E"/>
    <w:rsid w:val="00EC236D"/>
    <w:rsid w:val="00EC6B16"/>
    <w:rsid w:val="00ED3B91"/>
    <w:rsid w:val="00ED5A20"/>
    <w:rsid w:val="00EE1447"/>
    <w:rsid w:val="00EE1BF1"/>
    <w:rsid w:val="00EE4864"/>
    <w:rsid w:val="00EE7744"/>
    <w:rsid w:val="00EF03E1"/>
    <w:rsid w:val="00EF145E"/>
    <w:rsid w:val="00EF2BBB"/>
    <w:rsid w:val="00F0082D"/>
    <w:rsid w:val="00F015AB"/>
    <w:rsid w:val="00F02C90"/>
    <w:rsid w:val="00F045E0"/>
    <w:rsid w:val="00F07C90"/>
    <w:rsid w:val="00F11922"/>
    <w:rsid w:val="00F20F8A"/>
    <w:rsid w:val="00F304A4"/>
    <w:rsid w:val="00F33DB8"/>
    <w:rsid w:val="00F51D7F"/>
    <w:rsid w:val="00F52721"/>
    <w:rsid w:val="00F57BED"/>
    <w:rsid w:val="00F60198"/>
    <w:rsid w:val="00F669CD"/>
    <w:rsid w:val="00F737DB"/>
    <w:rsid w:val="00F73BCE"/>
    <w:rsid w:val="00F7613A"/>
    <w:rsid w:val="00F82746"/>
    <w:rsid w:val="00F836F9"/>
    <w:rsid w:val="00F845D7"/>
    <w:rsid w:val="00F92279"/>
    <w:rsid w:val="00FA3FC8"/>
    <w:rsid w:val="00FB3CE2"/>
    <w:rsid w:val="00FB4D21"/>
    <w:rsid w:val="00FB762B"/>
    <w:rsid w:val="00FC65CD"/>
    <w:rsid w:val="00FC6ADA"/>
    <w:rsid w:val="00FD63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1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5"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232"/>
    <w:pPr>
      <w:spacing w:before="240" w:after="240" w:line="240" w:lineRule="auto"/>
    </w:pPr>
    <w:rPr>
      <w:rFonts w:eastAsia="Times New Roman" w:cs="Times New Roman"/>
      <w:color w:val="000000" w:themeColor="text1"/>
      <w:szCs w:val="20"/>
      <w:lang w:eastAsia="en-AU"/>
    </w:rPr>
  </w:style>
  <w:style w:type="paragraph" w:styleId="Heading1">
    <w:name w:val="heading 1"/>
    <w:basedOn w:val="HeadingBase"/>
    <w:next w:val="Normal"/>
    <w:link w:val="Heading1Char"/>
    <w:qFormat/>
    <w:rsid w:val="00C55E74"/>
    <w:pPr>
      <w:spacing w:before="600"/>
      <w:outlineLvl w:val="0"/>
    </w:pPr>
    <w:rPr>
      <w:b/>
      <w:bCs w:val="0"/>
      <w:sz w:val="56"/>
    </w:rPr>
  </w:style>
  <w:style w:type="paragraph" w:styleId="Heading2">
    <w:name w:val="heading 2"/>
    <w:basedOn w:val="HeadingBase"/>
    <w:next w:val="Normal"/>
    <w:link w:val="Heading2Char"/>
    <w:uiPriority w:val="1"/>
    <w:qFormat/>
    <w:rsid w:val="00C55E74"/>
    <w:pPr>
      <w:spacing w:before="360" w:line="460" w:lineRule="exact"/>
      <w:outlineLvl w:val="1"/>
    </w:pPr>
    <w:rPr>
      <w:bCs w:val="0"/>
      <w:iCs/>
      <w:color w:val="4D4D4D" w:themeColor="accent6"/>
      <w:sz w:val="44"/>
      <w:szCs w:val="28"/>
    </w:rPr>
  </w:style>
  <w:style w:type="paragraph" w:styleId="Heading3">
    <w:name w:val="heading 3"/>
    <w:basedOn w:val="HeadingBase"/>
    <w:next w:val="Normal"/>
    <w:link w:val="Heading3Char"/>
    <w:uiPriority w:val="2"/>
    <w:qFormat/>
    <w:rsid w:val="00C55E74"/>
    <w:pPr>
      <w:spacing w:before="320"/>
      <w:outlineLvl w:val="2"/>
    </w:pPr>
    <w:rPr>
      <w:bCs w:val="0"/>
      <w:color w:val="5F5F5F" w:themeColor="accent5"/>
      <w:sz w:val="36"/>
      <w:szCs w:val="26"/>
    </w:rPr>
  </w:style>
  <w:style w:type="paragraph" w:styleId="Heading4">
    <w:name w:val="heading 4"/>
    <w:basedOn w:val="HeadingBase"/>
    <w:next w:val="Normal"/>
    <w:link w:val="Heading4Char"/>
    <w:uiPriority w:val="9"/>
    <w:qFormat/>
    <w:rsid w:val="0039150C"/>
    <w:pPr>
      <w:spacing w:before="280" w:line="276" w:lineRule="auto"/>
      <w:outlineLvl w:val="3"/>
    </w:pPr>
    <w:rPr>
      <w:rFonts w:ascii="Calibri Light" w:hAnsi="Calibri Light"/>
      <w:b/>
      <w:bCs w:val="0"/>
      <w:sz w:val="28"/>
      <w:szCs w:val="26"/>
    </w:rPr>
  </w:style>
  <w:style w:type="paragraph" w:styleId="Heading5">
    <w:name w:val="heading 5"/>
    <w:basedOn w:val="HeadingBase"/>
    <w:next w:val="Normal"/>
    <w:link w:val="Heading5Char"/>
    <w:uiPriority w:val="9"/>
    <w:qFormat/>
    <w:rsid w:val="00296BB1"/>
    <w:pPr>
      <w:spacing w:before="240" w:after="0" w:line="276" w:lineRule="auto"/>
      <w:outlineLvl w:val="4"/>
    </w:pPr>
    <w:rPr>
      <w:bCs w:val="0"/>
      <w:iCs/>
      <w:color w:val="4D4D4D" w:themeColor="accent6"/>
      <w:sz w:val="25"/>
    </w:rPr>
  </w:style>
  <w:style w:type="paragraph" w:styleId="Heading6">
    <w:name w:val="heading 6"/>
    <w:basedOn w:val="HeadingBase"/>
    <w:next w:val="Normal"/>
    <w:link w:val="Heading6Char"/>
    <w:uiPriority w:val="9"/>
    <w:qFormat/>
    <w:rsid w:val="00296BB1"/>
    <w:pPr>
      <w:spacing w:before="240" w:after="0" w:line="276" w:lineRule="auto"/>
      <w:outlineLvl w:val="5"/>
    </w:pPr>
    <w:rPr>
      <w:rFonts w:ascii="Calibri Light" w:hAnsi="Calibri Light"/>
      <w:b/>
      <w:bCs w:val="0"/>
      <w:color w:val="5F5F5F" w:themeColor="accent5"/>
      <w:sz w:val="23"/>
      <w:szCs w:val="22"/>
    </w:rPr>
  </w:style>
  <w:style w:type="paragraph" w:styleId="Heading7">
    <w:name w:val="heading 7"/>
    <w:basedOn w:val="Normal"/>
    <w:next w:val="Normal"/>
    <w:link w:val="Heading7Char"/>
    <w:uiPriority w:val="9"/>
    <w:semiHidden/>
    <w:unhideWhenUsed/>
    <w:rsid w:val="00675CEA"/>
    <w:pPr>
      <w:keepNext/>
      <w:keepLines/>
      <w:spacing w:before="40" w:after="0"/>
      <w:outlineLvl w:val="6"/>
    </w:pPr>
    <w:rPr>
      <w:rFonts w:asciiTheme="majorHAnsi" w:eastAsiaTheme="majorEastAsia" w:hAnsiTheme="majorHAnsi" w:cstheme="majorBidi"/>
      <w:i/>
      <w:iCs/>
      <w:color w:val="727272" w:themeColor="accent1" w:themeShade="7F"/>
    </w:rPr>
  </w:style>
  <w:style w:type="paragraph" w:styleId="Heading8">
    <w:name w:val="heading 8"/>
    <w:basedOn w:val="Normal"/>
    <w:next w:val="Normal"/>
    <w:link w:val="Heading8Char"/>
    <w:uiPriority w:val="9"/>
    <w:semiHidden/>
    <w:unhideWhenUsed/>
    <w:qFormat/>
    <w:rsid w:val="00675CE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5C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E74"/>
    <w:rPr>
      <w:rFonts w:asciiTheme="majorHAnsi" w:eastAsia="Times New Roman" w:hAnsiTheme="majorHAnsi" w:cs="Arial"/>
      <w:b/>
      <w:color w:val="000000" w:themeColor="text1"/>
      <w:kern w:val="32"/>
      <w:sz w:val="56"/>
      <w:szCs w:val="36"/>
      <w:lang w:eastAsia="en-AU"/>
    </w:rPr>
  </w:style>
  <w:style w:type="character" w:customStyle="1" w:styleId="Heading2Char">
    <w:name w:val="Heading 2 Char"/>
    <w:basedOn w:val="DefaultParagraphFont"/>
    <w:link w:val="Heading2"/>
    <w:uiPriority w:val="1"/>
    <w:rsid w:val="00C55E74"/>
    <w:rPr>
      <w:rFonts w:asciiTheme="majorHAnsi" w:eastAsia="Times New Roman" w:hAnsiTheme="majorHAnsi" w:cs="Arial"/>
      <w:iCs/>
      <w:color w:val="4D4D4D" w:themeColor="accent6"/>
      <w:kern w:val="32"/>
      <w:sz w:val="44"/>
      <w:szCs w:val="28"/>
      <w:lang w:eastAsia="en-AU"/>
    </w:rPr>
  </w:style>
  <w:style w:type="character" w:customStyle="1" w:styleId="Heading3Char">
    <w:name w:val="Heading 3 Char"/>
    <w:basedOn w:val="DefaultParagraphFont"/>
    <w:link w:val="Heading3"/>
    <w:uiPriority w:val="2"/>
    <w:rsid w:val="00C55E74"/>
    <w:rPr>
      <w:rFonts w:asciiTheme="majorHAnsi" w:eastAsia="Times New Roman" w:hAnsiTheme="majorHAnsi" w:cs="Arial"/>
      <w:color w:val="5F5F5F" w:themeColor="accent5"/>
      <w:kern w:val="32"/>
      <w:sz w:val="36"/>
      <w:szCs w:val="26"/>
      <w:lang w:eastAsia="en-AU"/>
    </w:rPr>
  </w:style>
  <w:style w:type="character" w:customStyle="1" w:styleId="Heading4Char">
    <w:name w:val="Heading 4 Char"/>
    <w:basedOn w:val="DefaultParagraphFont"/>
    <w:link w:val="Heading4"/>
    <w:uiPriority w:val="9"/>
    <w:rsid w:val="0039150C"/>
    <w:rPr>
      <w:rFonts w:ascii="Calibri Light" w:eastAsia="Times New Roman" w:hAnsi="Calibri Light" w:cs="Arial"/>
      <w:b/>
      <w:color w:val="000000" w:themeColor="text1"/>
      <w:kern w:val="32"/>
      <w:sz w:val="28"/>
      <w:szCs w:val="26"/>
      <w:lang w:eastAsia="en-AU"/>
    </w:rPr>
  </w:style>
  <w:style w:type="character" w:customStyle="1" w:styleId="Heading5Char">
    <w:name w:val="Heading 5 Char"/>
    <w:basedOn w:val="DefaultParagraphFont"/>
    <w:link w:val="Heading5"/>
    <w:uiPriority w:val="9"/>
    <w:rsid w:val="00296BB1"/>
    <w:rPr>
      <w:rFonts w:asciiTheme="majorHAnsi" w:eastAsia="Times New Roman" w:hAnsiTheme="majorHAnsi" w:cs="Arial"/>
      <w:iCs/>
      <w:color w:val="4D4D4D" w:themeColor="accent6"/>
      <w:kern w:val="32"/>
      <w:sz w:val="25"/>
      <w:szCs w:val="36"/>
      <w:lang w:eastAsia="en-AU"/>
    </w:rPr>
  </w:style>
  <w:style w:type="character" w:customStyle="1" w:styleId="Heading6Char">
    <w:name w:val="Heading 6 Char"/>
    <w:basedOn w:val="DefaultParagraphFont"/>
    <w:link w:val="Heading6"/>
    <w:uiPriority w:val="9"/>
    <w:rsid w:val="00296BB1"/>
    <w:rPr>
      <w:rFonts w:ascii="Calibri Light" w:eastAsia="Times New Roman" w:hAnsi="Calibri Light" w:cs="Arial"/>
      <w:b/>
      <w:color w:val="5F5F5F" w:themeColor="accent5"/>
      <w:kern w:val="32"/>
      <w:sz w:val="23"/>
      <w:lang w:eastAsia="en-AU"/>
    </w:rPr>
  </w:style>
  <w:style w:type="paragraph" w:customStyle="1" w:styleId="ChartGraphic">
    <w:name w:val="Chart Graphic"/>
    <w:basedOn w:val="Normal"/>
    <w:next w:val="Normal"/>
    <w:rsid w:val="009250E6"/>
    <w:pPr>
      <w:keepNext/>
      <w:spacing w:before="0" w:after="0"/>
      <w:jc w:val="center"/>
    </w:pPr>
    <w:rPr>
      <w:color w:val="4D4D4D" w:themeColor="accent6"/>
      <w:sz w:val="20"/>
    </w:rPr>
  </w:style>
  <w:style w:type="paragraph" w:customStyle="1" w:styleId="AlphaParagraph">
    <w:name w:val="Alpha Paragraph"/>
    <w:basedOn w:val="Normal"/>
    <w:qFormat/>
    <w:rsid w:val="000E0B74"/>
    <w:pPr>
      <w:numPr>
        <w:ilvl w:val="1"/>
        <w:numId w:val="8"/>
      </w:numPr>
      <w:spacing w:before="0"/>
    </w:pPr>
  </w:style>
  <w:style w:type="character" w:customStyle="1" w:styleId="DashChar">
    <w:name w:val="Dash Char"/>
    <w:basedOn w:val="DefaultParagraphFont"/>
    <w:link w:val="Dash"/>
    <w:locked/>
    <w:rsid w:val="00D54098"/>
    <w:rPr>
      <w:rFonts w:eastAsia="Times New Roman" w:cs="Times New Roman"/>
      <w:color w:val="000000" w:themeColor="text1"/>
      <w:szCs w:val="20"/>
      <w:lang w:eastAsia="en-AU"/>
    </w:rPr>
  </w:style>
  <w:style w:type="character" w:customStyle="1" w:styleId="DoubleDotChar">
    <w:name w:val="Double Dot Char"/>
    <w:basedOn w:val="DefaultParagraphFont"/>
    <w:link w:val="DoubleDot"/>
    <w:locked/>
    <w:rsid w:val="00D54098"/>
    <w:rPr>
      <w:rFonts w:eastAsia="Times New Roman" w:cs="Times New Roman"/>
      <w:color w:val="000000" w:themeColor="text1"/>
      <w:szCs w:val="20"/>
      <w:lang w:eastAsia="en-AU"/>
    </w:rPr>
  </w:style>
  <w:style w:type="character" w:customStyle="1" w:styleId="BulletChar">
    <w:name w:val="Bullet Char"/>
    <w:basedOn w:val="DefaultParagraphFont"/>
    <w:link w:val="Bullet"/>
    <w:locked/>
    <w:rsid w:val="00D54098"/>
    <w:rPr>
      <w:rFonts w:eastAsia="Times New Roman" w:cs="Times New Roman"/>
      <w:color w:val="000000" w:themeColor="text1"/>
      <w:szCs w:val="20"/>
      <w:lang w:eastAsia="en-AU"/>
    </w:rPr>
  </w:style>
  <w:style w:type="paragraph" w:customStyle="1" w:styleId="BoxHeading">
    <w:name w:val="Box Heading"/>
    <w:basedOn w:val="Normal"/>
    <w:next w:val="Normal"/>
    <w:rsid w:val="00565232"/>
    <w:pPr>
      <w:keepNext/>
      <w:spacing w:before="120"/>
    </w:pPr>
    <w:rPr>
      <w:b/>
      <w:sz w:val="26"/>
      <w:szCs w:val="26"/>
    </w:rPr>
  </w:style>
  <w:style w:type="paragraph" w:customStyle="1" w:styleId="BoxText">
    <w:name w:val="Box Text"/>
    <w:basedOn w:val="Normal"/>
    <w:link w:val="BoxTextChar"/>
    <w:rsid w:val="00A65143"/>
    <w:pPr>
      <w:spacing w:before="120" w:after="120"/>
    </w:pPr>
    <w:rPr>
      <w:sz w:val="20"/>
    </w:rPr>
  </w:style>
  <w:style w:type="paragraph" w:customStyle="1" w:styleId="Bullet">
    <w:name w:val="Bullet"/>
    <w:basedOn w:val="Normal"/>
    <w:link w:val="BulletChar"/>
    <w:qFormat/>
    <w:rsid w:val="00D54098"/>
    <w:pPr>
      <w:numPr>
        <w:numId w:val="10"/>
      </w:numPr>
      <w:spacing w:before="120" w:after="60" w:line="276" w:lineRule="auto"/>
    </w:pPr>
  </w:style>
  <w:style w:type="paragraph" w:customStyle="1" w:styleId="ChartandTableFootnoteAlpha">
    <w:name w:val="Chart and Table Footnote Alpha"/>
    <w:rsid w:val="0039150C"/>
    <w:pPr>
      <w:numPr>
        <w:numId w:val="6"/>
      </w:numPr>
      <w:tabs>
        <w:tab w:val="num" w:pos="284"/>
      </w:tabs>
      <w:spacing w:before="40" w:after="40" w:line="240" w:lineRule="auto"/>
      <w:ind w:left="284" w:hanging="284"/>
      <w:contextualSpacing/>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39150C"/>
  </w:style>
  <w:style w:type="paragraph" w:customStyle="1" w:styleId="ChartorTableNote">
    <w:name w:val="Chart or Table Note"/>
    <w:next w:val="Normal"/>
    <w:rsid w:val="0039150C"/>
    <w:pPr>
      <w:spacing w:before="60" w:after="4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39150C"/>
    <w:rPr>
      <w:bCs/>
    </w:rPr>
  </w:style>
  <w:style w:type="paragraph" w:customStyle="1" w:styleId="ReportDate">
    <w:name w:val="Report Date"/>
    <w:basedOn w:val="Normal"/>
    <w:link w:val="ReportDateChar"/>
    <w:rsid w:val="009250E6"/>
    <w:pPr>
      <w:keepNext/>
      <w:spacing w:before="0" w:after="360"/>
    </w:pPr>
    <w:rPr>
      <w:color w:val="000000" w:themeColor="text2"/>
      <w:sz w:val="32"/>
    </w:rPr>
  </w:style>
  <w:style w:type="paragraph" w:customStyle="1" w:styleId="Dash">
    <w:name w:val="Dash"/>
    <w:basedOn w:val="Normal"/>
    <w:link w:val="DashChar"/>
    <w:qFormat/>
    <w:rsid w:val="00D54098"/>
    <w:pPr>
      <w:numPr>
        <w:ilvl w:val="1"/>
        <w:numId w:val="10"/>
      </w:numPr>
      <w:spacing w:before="120" w:after="120"/>
    </w:pPr>
  </w:style>
  <w:style w:type="paragraph" w:customStyle="1" w:styleId="DoubleDot">
    <w:name w:val="Double Dot"/>
    <w:basedOn w:val="Normal"/>
    <w:link w:val="DoubleDotChar"/>
    <w:qFormat/>
    <w:rsid w:val="00D54098"/>
    <w:pPr>
      <w:numPr>
        <w:ilvl w:val="2"/>
        <w:numId w:val="10"/>
      </w:numPr>
      <w:spacing w:before="120" w:after="120"/>
    </w:pPr>
  </w:style>
  <w:style w:type="paragraph" w:customStyle="1" w:styleId="TableMainHeading">
    <w:name w:val="Table Main Heading"/>
    <w:basedOn w:val="Heading3"/>
    <w:next w:val="Normal"/>
    <w:rsid w:val="00D54F46"/>
    <w:pPr>
      <w:spacing w:before="240" w:after="60"/>
      <w:outlineLvl w:val="3"/>
    </w:pPr>
    <w:rPr>
      <w:b/>
      <w:color w:val="auto"/>
      <w:sz w:val="26"/>
    </w:rPr>
  </w:style>
  <w:style w:type="paragraph" w:customStyle="1" w:styleId="FooterEven">
    <w:name w:val="Footer Even"/>
    <w:basedOn w:val="Footer"/>
    <w:rsid w:val="008A1B2D"/>
    <w:pPr>
      <w:keepNext/>
      <w:tabs>
        <w:tab w:val="clear" w:pos="4513"/>
        <w:tab w:val="clear" w:pos="9026"/>
      </w:tabs>
      <w:jc w:val="left"/>
    </w:pPr>
    <w:rPr>
      <w:noProof/>
      <w:color w:val="auto"/>
    </w:rPr>
  </w:style>
  <w:style w:type="paragraph" w:customStyle="1" w:styleId="FooterOdd">
    <w:name w:val="Footer Odd"/>
    <w:basedOn w:val="Footer"/>
    <w:rsid w:val="008A1B2D"/>
    <w:pPr>
      <w:keepNext/>
      <w:tabs>
        <w:tab w:val="clear" w:pos="4513"/>
        <w:tab w:val="clear" w:pos="9026"/>
      </w:tabs>
      <w:jc w:val="right"/>
    </w:pPr>
    <w:rPr>
      <w:color w:val="auto"/>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link w:val="OutlineNumbered1Char"/>
    <w:rsid w:val="00847551"/>
    <w:pPr>
      <w:numPr>
        <w:numId w:val="5"/>
      </w:numPr>
      <w:spacing w:before="0" w:after="120"/>
    </w:pPr>
  </w:style>
  <w:style w:type="paragraph" w:customStyle="1" w:styleId="OutlineNumbered2">
    <w:name w:val="Outline Numbered 2"/>
    <w:basedOn w:val="Normal"/>
    <w:link w:val="OutlineNumbered2Char"/>
    <w:rsid w:val="00847551"/>
    <w:pPr>
      <w:numPr>
        <w:ilvl w:val="1"/>
        <w:numId w:val="5"/>
      </w:numPr>
      <w:spacing w:before="0" w:after="120"/>
    </w:pPr>
  </w:style>
  <w:style w:type="paragraph" w:customStyle="1" w:styleId="OutlineNumbered3">
    <w:name w:val="Outline Numbered 3"/>
    <w:basedOn w:val="Normal"/>
    <w:link w:val="OutlineNumbered3Char"/>
    <w:rsid w:val="000E0B74"/>
    <w:pPr>
      <w:numPr>
        <w:ilvl w:val="2"/>
        <w:numId w:val="5"/>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39150C"/>
    <w:pPr>
      <w:keepNext/>
      <w:spacing w:before="60" w:after="60"/>
    </w:pPr>
    <w:rPr>
      <w:b/>
      <w:color w:val="5F5F5F" w:themeColor="accent5"/>
      <w:sz w:val="23"/>
    </w:rPr>
  </w:style>
  <w:style w:type="paragraph" w:customStyle="1" w:styleId="TableColumnHeadingCentred">
    <w:name w:val="Table Column Heading Centred"/>
    <w:basedOn w:val="TableTextLeft"/>
    <w:rsid w:val="00296BB1"/>
    <w:pPr>
      <w:jc w:val="center"/>
    </w:pPr>
    <w:rPr>
      <w:b/>
      <w:sz w:val="20"/>
    </w:rPr>
  </w:style>
  <w:style w:type="paragraph" w:customStyle="1" w:styleId="TableColumnHeadingLeft">
    <w:name w:val="Table Column Heading Left"/>
    <w:basedOn w:val="TableTextLeft"/>
    <w:rsid w:val="00296BB1"/>
    <w:rPr>
      <w:b/>
      <w:sz w:val="20"/>
    </w:rPr>
  </w:style>
  <w:style w:type="paragraph" w:customStyle="1" w:styleId="TableColumnHeadingRight">
    <w:name w:val="Table Column Heading Right"/>
    <w:basedOn w:val="TableTextLeft"/>
    <w:rsid w:val="00296BB1"/>
    <w:pPr>
      <w:jc w:val="right"/>
    </w:pPr>
    <w:rPr>
      <w:b/>
      <w:sz w:val="20"/>
    </w:rPr>
  </w:style>
  <w:style w:type="table" w:styleId="TableGrid">
    <w:name w:val="Table Grid"/>
    <w:basedOn w:val="TableNormal"/>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E6E6E6" w:themeColor="accent1"/>
        <w:sz w:val="20"/>
      </w:rPr>
      <w:tblPr/>
      <w:tcPr>
        <w:shd w:val="clear" w:color="auto" w:fill="F8F8F8" w:themeFill="background2"/>
      </w:tcPr>
    </w:tblStylePr>
  </w:style>
  <w:style w:type="paragraph" w:customStyle="1" w:styleId="TableTextCentered">
    <w:name w:val="Table Text Centered"/>
    <w:basedOn w:val="TableTextRight"/>
    <w:rsid w:val="00296BB1"/>
    <w:pPr>
      <w:jc w:val="center"/>
    </w:pPr>
    <w:rPr>
      <w:color w:val="auto"/>
    </w:rPr>
  </w:style>
  <w:style w:type="paragraph" w:customStyle="1" w:styleId="TableTextLeft">
    <w:name w:val="Table Text Left"/>
    <w:basedOn w:val="TableTextRight"/>
    <w:rsid w:val="002B666D"/>
    <w:pPr>
      <w:jc w:val="left"/>
    </w:pPr>
    <w:rPr>
      <w:color w:val="auto"/>
    </w:rPr>
  </w:style>
  <w:style w:type="paragraph" w:customStyle="1" w:styleId="TableTextRight">
    <w:name w:val="Table Text Right"/>
    <w:basedOn w:val="Normal"/>
    <w:rsid w:val="00296BB1"/>
    <w:pPr>
      <w:spacing w:before="40" w:after="40"/>
      <w:jc w:val="right"/>
    </w:pPr>
    <w:rPr>
      <w:sz w:val="18"/>
    </w:rPr>
  </w:style>
  <w:style w:type="paragraph" w:styleId="TOC1">
    <w:name w:val="toc 1"/>
    <w:basedOn w:val="Normal"/>
    <w:next w:val="Normal"/>
    <w:uiPriority w:val="39"/>
    <w:rsid w:val="00565232"/>
    <w:pPr>
      <w:keepNext/>
      <w:tabs>
        <w:tab w:val="right" w:leader="dot" w:pos="9072"/>
      </w:tabs>
      <w:spacing w:before="180" w:after="0"/>
      <w:ind w:right="-2"/>
    </w:pPr>
    <w:rPr>
      <w:b/>
      <w:noProof/>
      <w:sz w:val="24"/>
      <w:szCs w:val="22"/>
    </w:rPr>
  </w:style>
  <w:style w:type="paragraph" w:styleId="TOC2">
    <w:name w:val="toc 2"/>
    <w:basedOn w:val="Normal"/>
    <w:next w:val="Normal"/>
    <w:uiPriority w:val="39"/>
    <w:rsid w:val="002608F1"/>
    <w:pPr>
      <w:keepNext/>
      <w:tabs>
        <w:tab w:val="right" w:leader="dot" w:pos="9072"/>
      </w:tabs>
      <w:spacing w:before="40" w:after="20"/>
      <w:ind w:right="-2"/>
    </w:pPr>
    <w:rPr>
      <w:noProof/>
      <w:color w:val="000000" w:themeColor="text2"/>
    </w:rPr>
  </w:style>
  <w:style w:type="paragraph" w:styleId="TOC3">
    <w:name w:val="toc 3"/>
    <w:basedOn w:val="Normal"/>
    <w:next w:val="Normal"/>
    <w:uiPriority w:val="39"/>
    <w:rsid w:val="002608F1"/>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611F76"/>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9"/>
      </w:numPr>
    </w:pPr>
  </w:style>
  <w:style w:type="paragraph" w:customStyle="1" w:styleId="Heading1Numbered">
    <w:name w:val="Heading 1 Numbered"/>
    <w:basedOn w:val="Heading1"/>
    <w:next w:val="Normal"/>
    <w:rsid w:val="00EE1BF1"/>
    <w:pPr>
      <w:numPr>
        <w:numId w:val="7"/>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7"/>
      </w:numPr>
      <w:ind w:left="284" w:hanging="284"/>
    </w:pPr>
  </w:style>
  <w:style w:type="paragraph" w:customStyle="1" w:styleId="Heading3Numbered">
    <w:name w:val="Heading 3 Numbered"/>
    <w:basedOn w:val="Heading3"/>
    <w:rsid w:val="00EE1BF1"/>
    <w:pPr>
      <w:numPr>
        <w:ilvl w:val="2"/>
        <w:numId w:val="7"/>
      </w:numPr>
      <w:ind w:left="284" w:hanging="284"/>
    </w:pPr>
  </w:style>
  <w:style w:type="paragraph" w:styleId="Title">
    <w:name w:val="Title"/>
    <w:basedOn w:val="Normal"/>
    <w:next w:val="Normal"/>
    <w:link w:val="TitleChar"/>
    <w:uiPriority w:val="10"/>
    <w:qFormat/>
    <w:rsid w:val="009250E6"/>
    <w:pPr>
      <w:spacing w:before="0" w:after="300"/>
      <w:contextualSpacing/>
    </w:pPr>
    <w:rPr>
      <w:rFonts w:asciiTheme="majorHAnsi" w:eastAsiaTheme="majorEastAsia" w:hAnsiTheme="majorHAnsi" w:cstheme="majorBidi"/>
      <w:b/>
      <w:spacing w:val="5"/>
      <w:kern w:val="28"/>
      <w:sz w:val="72"/>
      <w:szCs w:val="52"/>
    </w:rPr>
  </w:style>
  <w:style w:type="character" w:customStyle="1" w:styleId="TitleChar">
    <w:name w:val="Title Char"/>
    <w:basedOn w:val="DefaultParagraphFont"/>
    <w:link w:val="Title"/>
    <w:uiPriority w:val="10"/>
    <w:rsid w:val="009250E6"/>
    <w:rPr>
      <w:rFonts w:asciiTheme="majorHAnsi" w:eastAsiaTheme="majorEastAsia" w:hAnsiTheme="majorHAnsi" w:cstheme="majorBidi"/>
      <w:b/>
      <w:spacing w:val="5"/>
      <w:kern w:val="28"/>
      <w:sz w:val="72"/>
      <w:szCs w:val="52"/>
      <w:lang w:eastAsia="en-AU"/>
    </w:rPr>
  </w:style>
  <w:style w:type="paragraph" w:styleId="Subtitle">
    <w:name w:val="Subtitle"/>
    <w:basedOn w:val="Normal"/>
    <w:next w:val="Normal"/>
    <w:link w:val="SubtitleChar"/>
    <w:uiPriority w:val="11"/>
    <w:qFormat/>
    <w:rsid w:val="00565232"/>
    <w:pPr>
      <w:numPr>
        <w:ilvl w:val="1"/>
      </w:numPr>
    </w:pPr>
    <w:rPr>
      <w:rFonts w:asciiTheme="majorHAnsi" w:eastAsiaTheme="majorEastAsia" w:hAnsiTheme="majorHAnsi" w:cstheme="majorBidi"/>
      <w:iCs/>
      <w:color w:val="5F5F5F" w:themeColor="accent5"/>
      <w:sz w:val="44"/>
      <w:szCs w:val="44"/>
    </w:rPr>
  </w:style>
  <w:style w:type="character" w:customStyle="1" w:styleId="SubtitleChar">
    <w:name w:val="Subtitle Char"/>
    <w:basedOn w:val="DefaultParagraphFont"/>
    <w:link w:val="Subtitle"/>
    <w:uiPriority w:val="11"/>
    <w:rsid w:val="00565232"/>
    <w:rPr>
      <w:rFonts w:asciiTheme="majorHAnsi" w:eastAsiaTheme="majorEastAsia" w:hAnsiTheme="majorHAnsi" w:cstheme="majorBidi"/>
      <w:iCs/>
      <w:color w:val="5F5F5F" w:themeColor="accent5"/>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iPriority w:val="99"/>
    <w:unhideWhenUsed/>
    <w:rsid w:val="00191CFE"/>
    <w:pPr>
      <w:tabs>
        <w:tab w:val="center" w:pos="4513"/>
        <w:tab w:val="right" w:pos="9026"/>
      </w:tabs>
      <w:spacing w:before="0" w:after="0"/>
      <w:jc w:val="center"/>
    </w:pPr>
    <w:rPr>
      <w:sz w:val="20"/>
    </w:rPr>
  </w:style>
  <w:style w:type="character" w:customStyle="1" w:styleId="FooterChar">
    <w:name w:val="Footer Char"/>
    <w:basedOn w:val="DefaultParagraphFont"/>
    <w:link w:val="Footer"/>
    <w:uiPriority w:val="99"/>
    <w:rsid w:val="00191CFE"/>
    <w:rPr>
      <w:rFonts w:eastAsia="Times New Roman" w:cs="Times New Roman"/>
      <w:color w:val="000000" w:themeColor="text1"/>
      <w:sz w:val="20"/>
      <w:szCs w:val="20"/>
      <w:lang w:eastAsia="en-AU"/>
    </w:rPr>
  </w:style>
  <w:style w:type="paragraph" w:styleId="Header">
    <w:name w:val="header"/>
    <w:basedOn w:val="Normal"/>
    <w:link w:val="HeaderChar"/>
    <w:uiPriority w:val="99"/>
    <w:unhideWhenUsed/>
    <w:rsid w:val="00AB738A"/>
    <w:pPr>
      <w:keepNext/>
      <w:spacing w:before="0" w:after="0"/>
      <w:jc w:val="right"/>
    </w:pPr>
    <w:rPr>
      <w:color w:val="auto"/>
      <w:sz w:val="20"/>
    </w:rPr>
  </w:style>
  <w:style w:type="character" w:customStyle="1" w:styleId="HeaderChar">
    <w:name w:val="Header Char"/>
    <w:basedOn w:val="DefaultParagraphFont"/>
    <w:link w:val="Header"/>
    <w:uiPriority w:val="99"/>
    <w:rsid w:val="00AB738A"/>
    <w:rPr>
      <w:rFonts w:eastAsia="Times New Roman" w:cs="Times New Roman"/>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296BB1"/>
    <w:pPr>
      <w:keepNext/>
      <w:spacing w:after="120" w:line="240" w:lineRule="auto"/>
    </w:pPr>
    <w:rPr>
      <w:rFonts w:asciiTheme="majorHAnsi" w:eastAsia="Times New Roman" w:hAnsiTheme="majorHAnsi" w:cs="Arial"/>
      <w:bCs/>
      <w:color w:val="000000" w:themeColor="text1"/>
      <w:kern w:val="32"/>
      <w:sz w:val="48"/>
      <w:szCs w:val="36"/>
      <w:lang w:eastAsia="en-AU"/>
    </w:rPr>
  </w:style>
  <w:style w:type="character" w:customStyle="1" w:styleId="ReportDateChar">
    <w:name w:val="Report Date Char"/>
    <w:basedOn w:val="DefaultParagraphFont"/>
    <w:link w:val="ReportDate"/>
    <w:rsid w:val="009250E6"/>
    <w:rPr>
      <w:rFonts w:eastAsia="Times New Roman" w:cs="Times New Roman"/>
      <w:color w:val="000000" w:themeColor="text2"/>
      <w:sz w:val="32"/>
      <w:szCs w:val="20"/>
      <w:lang w:eastAsia="en-AU"/>
    </w:rPr>
  </w:style>
  <w:style w:type="paragraph" w:customStyle="1" w:styleId="NotesHeading">
    <w:name w:val="Notes Heading"/>
    <w:basedOn w:val="Normal"/>
    <w:rsid w:val="002F617F"/>
    <w:pPr>
      <w:keepNext/>
      <w:spacing w:after="360"/>
      <w:jc w:val="center"/>
    </w:pPr>
    <w:rPr>
      <w:rFonts w:ascii="Century Gothic" w:hAnsi="Century Gothic"/>
      <w:smallCaps/>
      <w:color w:val="000000" w:themeColor="text2"/>
      <w:sz w:val="36"/>
      <w:szCs w:val="36"/>
    </w:rPr>
  </w:style>
  <w:style w:type="paragraph" w:styleId="ListParagraph">
    <w:name w:val="List Paragraph"/>
    <w:basedOn w:val="Normal"/>
    <w:uiPriority w:val="34"/>
    <w:qFormat/>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8A1B2D"/>
    <w:pPr>
      <w:jc w:val="left"/>
    </w:pPr>
  </w:style>
  <w:style w:type="paragraph" w:customStyle="1" w:styleId="HeaderOdd">
    <w:name w:val="Header Odd"/>
    <w:basedOn w:val="Header"/>
    <w:qFormat/>
    <w:rsid w:val="008A1B2D"/>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A65143"/>
    <w:rPr>
      <w:rFonts w:eastAsia="Times New Roman" w:cs="Times New Roman"/>
      <w:color w:val="000000" w:themeColor="text1"/>
      <w:sz w:val="20"/>
      <w:szCs w:val="20"/>
      <w:lang w:eastAsia="en-AU"/>
    </w:rPr>
  </w:style>
  <w:style w:type="paragraph" w:customStyle="1" w:styleId="Boxbullet">
    <w:name w:val="Box bullet"/>
    <w:basedOn w:val="BoxText"/>
    <w:rsid w:val="00565232"/>
    <w:pPr>
      <w:numPr>
        <w:numId w:val="11"/>
      </w:numPr>
    </w:pPr>
    <w:rPr>
      <w:lang w:eastAsia="en-US"/>
    </w:rPr>
  </w:style>
  <w:style w:type="paragraph" w:customStyle="1" w:styleId="Boxdash">
    <w:name w:val="Box dash"/>
    <w:basedOn w:val="Boxbullet"/>
    <w:rsid w:val="00565232"/>
    <w:pPr>
      <w:numPr>
        <w:ilvl w:val="1"/>
      </w:numPr>
      <w:tabs>
        <w:tab w:val="num" w:pos="1040"/>
      </w:tabs>
      <w:spacing w:before="60" w:after="60" w:line="276" w:lineRule="auto"/>
    </w:pPr>
    <w:rPr>
      <w:rFonts w:eastAsiaTheme="minorHAnsi"/>
      <w:color w:val="0D0D0D" w:themeColor="text1" w:themeTint="F2"/>
    </w:rPr>
  </w:style>
  <w:style w:type="paragraph" w:customStyle="1" w:styleId="Boxdoubledot">
    <w:name w:val="Box double dot"/>
    <w:basedOn w:val="Boxdash"/>
    <w:rsid w:val="00565232"/>
    <w:pPr>
      <w:numPr>
        <w:ilvl w:val="2"/>
      </w:numPr>
      <w:tabs>
        <w:tab w:val="left" w:pos="567"/>
        <w:tab w:val="num" w:pos="1560"/>
      </w:tabs>
    </w:pPr>
  </w:style>
  <w:style w:type="paragraph" w:customStyle="1" w:styleId="Instructions">
    <w:name w:val="Instructions"/>
    <w:basedOn w:val="Normal"/>
    <w:uiPriority w:val="1"/>
    <w:qFormat/>
    <w:rsid w:val="00BE7EA5"/>
    <w:pPr>
      <w:shd w:val="clear" w:color="auto" w:fill="FFFF00"/>
      <w:ind w:left="170" w:hanging="170"/>
    </w:pPr>
    <w:rPr>
      <w:sz w:val="20"/>
      <w:szCs w:val="24"/>
    </w:rPr>
  </w:style>
  <w:style w:type="character" w:styleId="CommentReference">
    <w:name w:val="annotation reference"/>
    <w:basedOn w:val="DefaultParagraphFont"/>
    <w:uiPriority w:val="5"/>
    <w:semiHidden/>
    <w:unhideWhenUsed/>
    <w:rsid w:val="00BE7EA5"/>
    <w:rPr>
      <w:sz w:val="16"/>
      <w:szCs w:val="16"/>
    </w:rPr>
  </w:style>
  <w:style w:type="paragraph" w:styleId="CommentText">
    <w:name w:val="annotation text"/>
    <w:basedOn w:val="Normal"/>
    <w:link w:val="CommentTextChar"/>
    <w:uiPriority w:val="5"/>
    <w:unhideWhenUsed/>
    <w:rsid w:val="00BE7EA5"/>
    <w:rPr>
      <w:rFonts w:ascii="Calibri" w:hAnsi="Calibri"/>
      <w:sz w:val="20"/>
    </w:rPr>
  </w:style>
  <w:style w:type="character" w:customStyle="1" w:styleId="CommentTextChar">
    <w:name w:val="Comment Text Char"/>
    <w:basedOn w:val="DefaultParagraphFont"/>
    <w:link w:val="CommentText"/>
    <w:uiPriority w:val="5"/>
    <w:rsid w:val="00BE7EA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3540B"/>
    <w:rPr>
      <w:rFonts w:asciiTheme="minorHAnsi" w:hAnsiTheme="minorHAnsi"/>
      <w:b/>
      <w:bCs/>
    </w:rPr>
  </w:style>
  <w:style w:type="character" w:customStyle="1" w:styleId="CommentSubjectChar">
    <w:name w:val="Comment Subject Char"/>
    <w:basedOn w:val="CommentTextChar"/>
    <w:link w:val="CommentSubject"/>
    <w:uiPriority w:val="99"/>
    <w:semiHidden/>
    <w:rsid w:val="0003540B"/>
    <w:rPr>
      <w:rFonts w:ascii="Calibri" w:eastAsia="Times New Roman" w:hAnsi="Calibri" w:cs="Times New Roman"/>
      <w:b/>
      <w:bCs/>
      <w:color w:val="000000" w:themeColor="text1"/>
      <w:sz w:val="20"/>
      <w:szCs w:val="20"/>
      <w:lang w:eastAsia="en-AU"/>
    </w:rPr>
  </w:style>
  <w:style w:type="paragraph" w:styleId="TOCHeading">
    <w:name w:val="TOC Heading"/>
    <w:basedOn w:val="Heading1"/>
    <w:next w:val="Normal"/>
    <w:uiPriority w:val="39"/>
    <w:unhideWhenUsed/>
    <w:qFormat/>
    <w:rsid w:val="00DB57EC"/>
    <w:pPr>
      <w:keepLines/>
      <w:spacing w:before="240" w:after="0"/>
      <w:outlineLvl w:val="9"/>
    </w:pPr>
    <w:rPr>
      <w:rFonts w:eastAsiaTheme="majorEastAsia" w:cstheme="majorBidi"/>
      <w:b w:val="0"/>
      <w:color w:val="ACACAC" w:themeColor="accent1" w:themeShade="BF"/>
      <w:kern w:val="0"/>
      <w:sz w:val="32"/>
      <w:szCs w:val="32"/>
    </w:rPr>
  </w:style>
  <w:style w:type="paragraph" w:customStyle="1" w:styleId="Footer1">
    <w:name w:val="Footer 1"/>
    <w:basedOn w:val="Header"/>
    <w:uiPriority w:val="5"/>
    <w:rsid w:val="00DB57EC"/>
    <w:pPr>
      <w:keepNext w:val="0"/>
      <w:tabs>
        <w:tab w:val="center" w:pos="4680"/>
        <w:tab w:val="right" w:pos="9360"/>
      </w:tabs>
      <w:ind w:right="360"/>
      <w:jc w:val="left"/>
    </w:pPr>
    <w:rPr>
      <w:rFonts w:eastAsiaTheme="minorHAnsi" w:cstheme="minorBidi"/>
      <w:b/>
      <w:color w:val="000000" w:themeColor="text2"/>
      <w:szCs w:val="28"/>
      <w:lang w:eastAsia="en-US"/>
    </w:rPr>
  </w:style>
  <w:style w:type="character" w:styleId="PageNumber">
    <w:name w:val="page number"/>
    <w:basedOn w:val="DefaultParagraphFont"/>
    <w:uiPriority w:val="99"/>
    <w:semiHidden/>
    <w:rsid w:val="00DB57EC"/>
  </w:style>
  <w:style w:type="paragraph" w:styleId="Quote">
    <w:name w:val="Quote"/>
    <w:basedOn w:val="Normal"/>
    <w:next w:val="Normal"/>
    <w:link w:val="QuoteChar"/>
    <w:uiPriority w:val="4"/>
    <w:qFormat/>
    <w:rsid w:val="00DB57EC"/>
    <w:pPr>
      <w:spacing w:before="0" w:after="0"/>
    </w:pPr>
    <w:rPr>
      <w:rFonts w:eastAsiaTheme="minorHAnsi" w:cstheme="minorBidi"/>
      <w:b/>
      <w:color w:val="auto"/>
      <w:sz w:val="40"/>
      <w:szCs w:val="96"/>
      <w:lang w:eastAsia="en-US"/>
    </w:rPr>
  </w:style>
  <w:style w:type="character" w:customStyle="1" w:styleId="QuoteChar">
    <w:name w:val="Quote Char"/>
    <w:basedOn w:val="DefaultParagraphFont"/>
    <w:link w:val="Quote"/>
    <w:uiPriority w:val="4"/>
    <w:rsid w:val="00DB57EC"/>
    <w:rPr>
      <w:b/>
      <w:sz w:val="40"/>
      <w:szCs w:val="96"/>
    </w:rPr>
  </w:style>
  <w:style w:type="paragraph" w:customStyle="1" w:styleId="NormalWhite">
    <w:name w:val="Normal White"/>
    <w:basedOn w:val="Normal"/>
    <w:link w:val="NormalWhiteChar"/>
    <w:uiPriority w:val="6"/>
    <w:qFormat/>
    <w:rsid w:val="00DB57EC"/>
    <w:pPr>
      <w:spacing w:before="0"/>
    </w:pPr>
    <w:rPr>
      <w:rFonts w:eastAsiaTheme="minorHAnsi" w:cstheme="minorBidi"/>
      <w:color w:val="FFFFFF" w:themeColor="background1"/>
      <w:sz w:val="24"/>
      <w:szCs w:val="28"/>
      <w:lang w:eastAsia="en-US"/>
    </w:rPr>
  </w:style>
  <w:style w:type="paragraph" w:styleId="Caption">
    <w:name w:val="caption"/>
    <w:basedOn w:val="Normal"/>
    <w:next w:val="Normal"/>
    <w:uiPriority w:val="35"/>
    <w:semiHidden/>
    <w:qFormat/>
    <w:rsid w:val="00DB57EC"/>
    <w:pPr>
      <w:spacing w:before="0" w:after="200"/>
    </w:pPr>
    <w:rPr>
      <w:rFonts w:eastAsiaTheme="minorHAnsi" w:cstheme="minorBidi"/>
      <w:i/>
      <w:iCs/>
      <w:color w:val="000000" w:themeColor="text2"/>
      <w:sz w:val="18"/>
      <w:szCs w:val="18"/>
      <w:lang w:eastAsia="en-US"/>
    </w:rPr>
  </w:style>
  <w:style w:type="paragraph" w:customStyle="1" w:styleId="paragraph">
    <w:name w:val="paragraph"/>
    <w:basedOn w:val="Normal"/>
    <w:uiPriority w:val="12"/>
    <w:semiHidden/>
    <w:rsid w:val="00DB57EC"/>
    <w:pPr>
      <w:spacing w:before="100" w:beforeAutospacing="1" w:after="100" w:afterAutospacing="1"/>
    </w:pPr>
    <w:rPr>
      <w:rFonts w:ascii="Times New Roman" w:hAnsi="Times New Roman"/>
      <w:color w:val="auto"/>
      <w:sz w:val="24"/>
      <w:szCs w:val="28"/>
      <w:lang w:eastAsia="en-US"/>
    </w:rPr>
  </w:style>
  <w:style w:type="character" w:customStyle="1" w:styleId="normaltextrun">
    <w:name w:val="normaltextrun"/>
    <w:basedOn w:val="DefaultParagraphFont"/>
    <w:uiPriority w:val="12"/>
    <w:semiHidden/>
    <w:rsid w:val="00DB57EC"/>
  </w:style>
  <w:style w:type="paragraph" w:customStyle="1" w:styleId="Table">
    <w:name w:val="Table"/>
    <w:basedOn w:val="Normal"/>
    <w:uiPriority w:val="6"/>
    <w:qFormat/>
    <w:rsid w:val="00DB57EC"/>
    <w:pPr>
      <w:spacing w:before="0" w:after="0"/>
      <w:jc w:val="center"/>
    </w:pPr>
    <w:rPr>
      <w:rFonts w:eastAsiaTheme="minorHAnsi" w:cstheme="minorBidi"/>
      <w:b/>
      <w:sz w:val="24"/>
      <w:szCs w:val="28"/>
      <w:lang w:eastAsia="en-US"/>
    </w:rPr>
  </w:style>
  <w:style w:type="paragraph" w:customStyle="1" w:styleId="company">
    <w:name w:val="company"/>
    <w:basedOn w:val="Normal"/>
    <w:uiPriority w:val="6"/>
    <w:qFormat/>
    <w:rsid w:val="00DB57EC"/>
    <w:pPr>
      <w:spacing w:before="0"/>
    </w:pPr>
    <w:rPr>
      <w:rFonts w:eastAsiaTheme="minorHAnsi" w:cstheme="minorBidi"/>
      <w:b/>
      <w:caps/>
      <w:color w:val="FFFFFF" w:themeColor="background1"/>
      <w:sz w:val="24"/>
      <w:szCs w:val="28"/>
      <w:lang w:eastAsia="en-US"/>
    </w:rPr>
  </w:style>
  <w:style w:type="paragraph" w:customStyle="1" w:styleId="Style1">
    <w:name w:val="Style1"/>
    <w:next w:val="Heading1"/>
    <w:uiPriority w:val="6"/>
    <w:semiHidden/>
    <w:rsid w:val="00DB57EC"/>
    <w:pPr>
      <w:spacing w:after="0" w:line="240" w:lineRule="auto"/>
    </w:pPr>
    <w:rPr>
      <w:rFonts w:asciiTheme="majorHAnsi" w:hAnsiTheme="majorHAnsi"/>
      <w:b/>
      <w:caps/>
      <w:color w:val="FFFFFF" w:themeColor="background1"/>
      <w:sz w:val="72"/>
      <w:szCs w:val="48"/>
      <w:lang w:val="en-US"/>
    </w:rPr>
  </w:style>
  <w:style w:type="paragraph" w:customStyle="1" w:styleId="Email">
    <w:name w:val="Email"/>
    <w:basedOn w:val="Normal"/>
    <w:uiPriority w:val="12"/>
    <w:rsid w:val="00DB57EC"/>
    <w:pPr>
      <w:spacing w:before="0"/>
    </w:pPr>
    <w:rPr>
      <w:rFonts w:eastAsiaTheme="minorHAnsi" w:cstheme="minorBidi"/>
      <w:color w:val="auto"/>
      <w:sz w:val="24"/>
      <w:szCs w:val="28"/>
      <w:lang w:eastAsia="en-US"/>
    </w:rPr>
  </w:style>
  <w:style w:type="paragraph" w:customStyle="1" w:styleId="TableGrey">
    <w:name w:val="Table Grey"/>
    <w:basedOn w:val="Normal"/>
    <w:next w:val="Normal"/>
    <w:uiPriority w:val="6"/>
    <w:rsid w:val="00DB57EC"/>
    <w:pPr>
      <w:spacing w:before="0" w:after="0"/>
    </w:pPr>
    <w:rPr>
      <w:rFonts w:eastAsiaTheme="minorHAnsi" w:cstheme="minorBidi"/>
      <w:bCs/>
      <w:color w:val="595959" w:themeColor="text1" w:themeTint="A6"/>
      <w:sz w:val="24"/>
      <w:szCs w:val="28"/>
      <w:lang w:eastAsia="en-US"/>
    </w:rPr>
  </w:style>
  <w:style w:type="paragraph" w:customStyle="1" w:styleId="TableData">
    <w:name w:val="Table Data"/>
    <w:basedOn w:val="TableGrey"/>
    <w:uiPriority w:val="6"/>
    <w:rsid w:val="00DB57EC"/>
    <w:pPr>
      <w:jc w:val="center"/>
    </w:pPr>
  </w:style>
  <w:style w:type="paragraph" w:customStyle="1" w:styleId="Heading2Centered">
    <w:name w:val="Heading 2 Centered"/>
    <w:basedOn w:val="Heading4"/>
    <w:uiPriority w:val="6"/>
    <w:rsid w:val="00DB57EC"/>
    <w:pPr>
      <w:keepNext w:val="0"/>
      <w:spacing w:before="60" w:after="0" w:line="240" w:lineRule="auto"/>
      <w:jc w:val="center"/>
    </w:pPr>
    <w:rPr>
      <w:rFonts w:asciiTheme="minorHAnsi" w:eastAsiaTheme="minorHAnsi" w:hAnsiTheme="minorHAnsi" w:cstheme="minorBidi"/>
      <w:color w:val="auto"/>
      <w:kern w:val="0"/>
      <w:szCs w:val="36"/>
      <w:lang w:eastAsia="en-US"/>
    </w:rPr>
  </w:style>
  <w:style w:type="paragraph" w:customStyle="1" w:styleId="NormalCentered">
    <w:name w:val="Normal Centered"/>
    <w:basedOn w:val="Normal"/>
    <w:uiPriority w:val="6"/>
    <w:rsid w:val="00DB57EC"/>
    <w:pPr>
      <w:spacing w:before="0" w:after="0"/>
      <w:jc w:val="center"/>
    </w:pPr>
    <w:rPr>
      <w:rFonts w:eastAsiaTheme="minorHAnsi" w:cstheme="minorBidi"/>
      <w:color w:val="auto"/>
      <w:sz w:val="24"/>
      <w:szCs w:val="28"/>
      <w:lang w:eastAsia="en-US"/>
    </w:rPr>
  </w:style>
  <w:style w:type="paragraph" w:customStyle="1" w:styleId="Heading1White">
    <w:name w:val="Heading 1 White"/>
    <w:basedOn w:val="Heading1"/>
    <w:uiPriority w:val="6"/>
    <w:rsid w:val="00DB57EC"/>
    <w:pPr>
      <w:keepNext w:val="0"/>
      <w:spacing w:before="240"/>
    </w:pPr>
    <w:rPr>
      <w:rFonts w:eastAsiaTheme="minorHAnsi" w:cstheme="minorBidi"/>
      <w:caps/>
      <w:color w:val="FFFFFF" w:themeColor="background1"/>
      <w:kern w:val="0"/>
      <w:sz w:val="48"/>
      <w:szCs w:val="48"/>
      <w:lang w:eastAsia="en-US"/>
    </w:rPr>
  </w:style>
  <w:style w:type="paragraph" w:styleId="NormalWeb">
    <w:name w:val="Normal (Web)"/>
    <w:basedOn w:val="Normal"/>
    <w:uiPriority w:val="99"/>
    <w:semiHidden/>
    <w:rsid w:val="00DB57EC"/>
    <w:pPr>
      <w:spacing w:before="0" w:after="0"/>
    </w:pPr>
    <w:rPr>
      <w:rFonts w:ascii="Times New Roman" w:hAnsi="Times New Roman"/>
      <w:color w:val="auto"/>
      <w:sz w:val="24"/>
      <w:szCs w:val="24"/>
    </w:rPr>
  </w:style>
  <w:style w:type="character" w:styleId="UnresolvedMention">
    <w:name w:val="Unresolved Mention"/>
    <w:basedOn w:val="DefaultParagraphFont"/>
    <w:uiPriority w:val="99"/>
    <w:semiHidden/>
    <w:unhideWhenUsed/>
    <w:rsid w:val="00DB57EC"/>
    <w:rPr>
      <w:color w:val="605E5C"/>
      <w:shd w:val="clear" w:color="auto" w:fill="E1DFDD"/>
    </w:rPr>
  </w:style>
  <w:style w:type="paragraph" w:customStyle="1" w:styleId="Style2">
    <w:name w:val="Style2"/>
    <w:basedOn w:val="Heading3"/>
    <w:link w:val="Style2Char"/>
    <w:uiPriority w:val="6"/>
    <w:qFormat/>
    <w:rsid w:val="00DB57EC"/>
    <w:pPr>
      <w:keepNext w:val="0"/>
      <w:spacing w:before="0"/>
    </w:pPr>
    <w:rPr>
      <w:smallCaps/>
      <w:sz w:val="32"/>
      <w:szCs w:val="28"/>
    </w:rPr>
  </w:style>
  <w:style w:type="paragraph" w:customStyle="1" w:styleId="Style3">
    <w:name w:val="Style3"/>
    <w:basedOn w:val="NormalWhite"/>
    <w:link w:val="Style3Char"/>
    <w:uiPriority w:val="6"/>
    <w:qFormat/>
    <w:rsid w:val="00DB57EC"/>
  </w:style>
  <w:style w:type="character" w:customStyle="1" w:styleId="Style2Char">
    <w:name w:val="Style2 Char"/>
    <w:basedOn w:val="Heading3Char"/>
    <w:link w:val="Style2"/>
    <w:uiPriority w:val="6"/>
    <w:rsid w:val="00DB57EC"/>
    <w:rPr>
      <w:rFonts w:asciiTheme="majorHAnsi" w:eastAsia="Times New Roman" w:hAnsiTheme="majorHAnsi" w:cs="Arial"/>
      <w:smallCaps/>
      <w:color w:val="5F5F5F" w:themeColor="accent5"/>
      <w:kern w:val="32"/>
      <w:sz w:val="32"/>
      <w:szCs w:val="28"/>
      <w:lang w:eastAsia="en-AU"/>
    </w:rPr>
  </w:style>
  <w:style w:type="character" w:customStyle="1" w:styleId="NormalWhiteChar">
    <w:name w:val="Normal White Char"/>
    <w:basedOn w:val="DefaultParagraphFont"/>
    <w:link w:val="NormalWhite"/>
    <w:uiPriority w:val="6"/>
    <w:rsid w:val="00DB57EC"/>
    <w:rPr>
      <w:color w:val="FFFFFF" w:themeColor="background1"/>
      <w:sz w:val="24"/>
      <w:szCs w:val="28"/>
    </w:rPr>
  </w:style>
  <w:style w:type="character" w:customStyle="1" w:styleId="Style3Char">
    <w:name w:val="Style3 Char"/>
    <w:basedOn w:val="NormalWhiteChar"/>
    <w:link w:val="Style3"/>
    <w:uiPriority w:val="6"/>
    <w:rsid w:val="00DB57EC"/>
    <w:rPr>
      <w:color w:val="FFFFFF" w:themeColor="background1"/>
      <w:sz w:val="24"/>
      <w:szCs w:val="28"/>
    </w:rPr>
  </w:style>
  <w:style w:type="paragraph" w:styleId="Revision">
    <w:name w:val="Revision"/>
    <w:hidden/>
    <w:uiPriority w:val="99"/>
    <w:semiHidden/>
    <w:rsid w:val="00DB57EC"/>
    <w:pPr>
      <w:spacing w:after="0" w:line="240" w:lineRule="auto"/>
    </w:pPr>
    <w:rPr>
      <w:sz w:val="24"/>
      <w:szCs w:val="28"/>
      <w:lang w:val="en-US"/>
    </w:rPr>
  </w:style>
  <w:style w:type="character" w:styleId="FollowedHyperlink">
    <w:name w:val="FollowedHyperlink"/>
    <w:basedOn w:val="DefaultParagraphFont"/>
    <w:uiPriority w:val="99"/>
    <w:semiHidden/>
    <w:rsid w:val="00DB57EC"/>
    <w:rPr>
      <w:color w:val="919191" w:themeColor="followedHyperlink"/>
      <w:u w:val="single"/>
    </w:rPr>
  </w:style>
  <w:style w:type="character" w:styleId="Mention">
    <w:name w:val="Mention"/>
    <w:basedOn w:val="DefaultParagraphFont"/>
    <w:uiPriority w:val="99"/>
    <w:unhideWhenUsed/>
    <w:rsid w:val="00DB57EC"/>
    <w:rPr>
      <w:color w:val="2B579A"/>
      <w:shd w:val="clear" w:color="auto" w:fill="E1DFDD"/>
    </w:rPr>
  </w:style>
  <w:style w:type="table" w:customStyle="1" w:styleId="TableGrid1">
    <w:name w:val="Table Grid1"/>
    <w:basedOn w:val="TableNormal"/>
    <w:next w:val="TableGrid"/>
    <w:rsid w:val="00DB57EC"/>
    <w:pPr>
      <w:spacing w:after="0" w:line="240" w:lineRule="auto"/>
    </w:pPr>
    <w:rPr>
      <w:rFonts w:ascii="Times New Roman" w:eastAsia="Times New Roman" w:hAnsi="Times New Roman" w:cs="Times New Roman"/>
      <w:kern w:val="2"/>
      <w:sz w:val="24"/>
      <w:szCs w:val="24"/>
      <w:lang w:eastAsia="en-A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lineNumbered1Char">
    <w:name w:val="Outline Numbered 1 Char"/>
    <w:basedOn w:val="DefaultParagraphFont"/>
    <w:link w:val="OutlineNumbered1"/>
    <w:rsid w:val="00847551"/>
    <w:rPr>
      <w:rFonts w:eastAsia="Times New Roman" w:cs="Times New Roman"/>
      <w:color w:val="000000" w:themeColor="text1"/>
      <w:szCs w:val="20"/>
      <w:lang w:eastAsia="en-AU"/>
    </w:rPr>
  </w:style>
  <w:style w:type="character" w:customStyle="1" w:styleId="OutlineNumbered2Char">
    <w:name w:val="Outline Numbered 2 Char"/>
    <w:basedOn w:val="DefaultParagraphFont"/>
    <w:link w:val="OutlineNumbered2"/>
    <w:rsid w:val="00847551"/>
    <w:rPr>
      <w:rFonts w:eastAsia="Times New Roman" w:cs="Times New Roman"/>
      <w:color w:val="000000" w:themeColor="text1"/>
      <w:szCs w:val="20"/>
      <w:lang w:eastAsia="en-AU"/>
    </w:rPr>
  </w:style>
  <w:style w:type="character" w:customStyle="1" w:styleId="OutlineNumbered3Char">
    <w:name w:val="Outline Numbered 3 Char"/>
    <w:basedOn w:val="DefaultParagraphFont"/>
    <w:link w:val="OutlineNumbered3"/>
    <w:rsid w:val="00DB57EC"/>
    <w:rPr>
      <w:rFonts w:eastAsia="Times New Roman" w:cs="Times New Roman"/>
      <w:color w:val="000000" w:themeColor="text1"/>
      <w:szCs w:val="20"/>
      <w:lang w:eastAsia="en-AU"/>
    </w:rPr>
  </w:style>
  <w:style w:type="character" w:customStyle="1" w:styleId="cf01">
    <w:name w:val="cf01"/>
    <w:basedOn w:val="DefaultParagraphFont"/>
    <w:rsid w:val="00DB57EC"/>
    <w:rPr>
      <w:rFonts w:ascii="Segoe UI" w:hAnsi="Segoe UI" w:cs="Segoe UI" w:hint="default"/>
      <w:sz w:val="18"/>
      <w:szCs w:val="18"/>
    </w:rPr>
  </w:style>
  <w:style w:type="character" w:styleId="Emphasis">
    <w:name w:val="Emphasis"/>
    <w:basedOn w:val="DefaultParagraphFont"/>
    <w:uiPriority w:val="20"/>
    <w:qFormat/>
    <w:rsid w:val="00DB57EC"/>
    <w:rPr>
      <w:i/>
      <w:iCs/>
    </w:rPr>
  </w:style>
  <w:style w:type="paragraph" w:customStyle="1" w:styleId="Style4">
    <w:name w:val="Style4"/>
    <w:basedOn w:val="TableTextIndented"/>
    <w:qFormat/>
    <w:rsid w:val="002B666D"/>
    <w:pPr>
      <w:numPr>
        <w:numId w:val="21"/>
      </w:numPr>
      <w:ind w:left="357" w:hanging="357"/>
    </w:pPr>
  </w:style>
  <w:style w:type="paragraph" w:customStyle="1" w:styleId="Tablebullet">
    <w:name w:val="Table bullet"/>
    <w:basedOn w:val="Style4"/>
    <w:qFormat/>
    <w:rsid w:val="002B666D"/>
  </w:style>
  <w:style w:type="paragraph" w:styleId="Bibliography">
    <w:name w:val="Bibliography"/>
    <w:basedOn w:val="Normal"/>
    <w:next w:val="Normal"/>
    <w:uiPriority w:val="37"/>
    <w:semiHidden/>
    <w:unhideWhenUsed/>
    <w:rsid w:val="00675CEA"/>
  </w:style>
  <w:style w:type="paragraph" w:styleId="BlockText">
    <w:name w:val="Block Text"/>
    <w:basedOn w:val="Normal"/>
    <w:uiPriority w:val="99"/>
    <w:semiHidden/>
    <w:unhideWhenUsed/>
    <w:rsid w:val="00675CEA"/>
    <w:pPr>
      <w:pBdr>
        <w:top w:val="single" w:sz="2" w:space="10" w:color="E6E6E6" w:themeColor="accent1"/>
        <w:left w:val="single" w:sz="2" w:space="10" w:color="E6E6E6" w:themeColor="accent1"/>
        <w:bottom w:val="single" w:sz="2" w:space="10" w:color="E6E6E6" w:themeColor="accent1"/>
        <w:right w:val="single" w:sz="2" w:space="10" w:color="E6E6E6" w:themeColor="accent1"/>
      </w:pBdr>
      <w:ind w:left="1152" w:right="1152"/>
    </w:pPr>
    <w:rPr>
      <w:rFonts w:eastAsiaTheme="minorEastAsia" w:cstheme="minorBidi"/>
      <w:i/>
      <w:iCs/>
      <w:color w:val="E6E6E6" w:themeColor="accent1"/>
    </w:rPr>
  </w:style>
  <w:style w:type="paragraph" w:styleId="BodyText">
    <w:name w:val="Body Text"/>
    <w:basedOn w:val="Normal"/>
    <w:link w:val="BodyTextChar"/>
    <w:uiPriority w:val="99"/>
    <w:semiHidden/>
    <w:unhideWhenUsed/>
    <w:rsid w:val="00675CEA"/>
    <w:pPr>
      <w:spacing w:after="120"/>
    </w:pPr>
  </w:style>
  <w:style w:type="character" w:customStyle="1" w:styleId="BodyTextChar">
    <w:name w:val="Body Text Char"/>
    <w:basedOn w:val="DefaultParagraphFont"/>
    <w:link w:val="BodyText"/>
    <w:uiPriority w:val="99"/>
    <w:semiHidden/>
    <w:rsid w:val="00675CEA"/>
    <w:rPr>
      <w:rFonts w:eastAsia="Times New Roman" w:cs="Times New Roman"/>
      <w:color w:val="000000" w:themeColor="text1"/>
      <w:szCs w:val="20"/>
      <w:lang w:eastAsia="en-AU"/>
    </w:rPr>
  </w:style>
  <w:style w:type="paragraph" w:styleId="BodyText2">
    <w:name w:val="Body Text 2"/>
    <w:basedOn w:val="Normal"/>
    <w:link w:val="BodyText2Char"/>
    <w:uiPriority w:val="99"/>
    <w:semiHidden/>
    <w:unhideWhenUsed/>
    <w:rsid w:val="00675CEA"/>
    <w:pPr>
      <w:spacing w:after="120" w:line="480" w:lineRule="auto"/>
    </w:pPr>
  </w:style>
  <w:style w:type="character" w:customStyle="1" w:styleId="BodyText2Char">
    <w:name w:val="Body Text 2 Char"/>
    <w:basedOn w:val="DefaultParagraphFont"/>
    <w:link w:val="BodyText2"/>
    <w:uiPriority w:val="99"/>
    <w:semiHidden/>
    <w:rsid w:val="00675CEA"/>
    <w:rPr>
      <w:rFonts w:eastAsia="Times New Roman" w:cs="Times New Roman"/>
      <w:color w:val="000000" w:themeColor="text1"/>
      <w:szCs w:val="20"/>
      <w:lang w:eastAsia="en-AU"/>
    </w:rPr>
  </w:style>
  <w:style w:type="paragraph" w:styleId="BodyText3">
    <w:name w:val="Body Text 3"/>
    <w:basedOn w:val="Normal"/>
    <w:link w:val="BodyText3Char"/>
    <w:uiPriority w:val="99"/>
    <w:semiHidden/>
    <w:unhideWhenUsed/>
    <w:rsid w:val="00675CEA"/>
    <w:pPr>
      <w:spacing w:after="120"/>
    </w:pPr>
    <w:rPr>
      <w:sz w:val="16"/>
      <w:szCs w:val="16"/>
    </w:rPr>
  </w:style>
  <w:style w:type="character" w:customStyle="1" w:styleId="BodyText3Char">
    <w:name w:val="Body Text 3 Char"/>
    <w:basedOn w:val="DefaultParagraphFont"/>
    <w:link w:val="BodyText3"/>
    <w:uiPriority w:val="99"/>
    <w:semiHidden/>
    <w:rsid w:val="00675CEA"/>
    <w:rPr>
      <w:rFonts w:eastAsia="Times New Roman" w:cs="Times New Roman"/>
      <w:color w:val="000000" w:themeColor="text1"/>
      <w:sz w:val="16"/>
      <w:szCs w:val="16"/>
      <w:lang w:eastAsia="en-AU"/>
    </w:rPr>
  </w:style>
  <w:style w:type="paragraph" w:styleId="BodyTextFirstIndent">
    <w:name w:val="Body Text First Indent"/>
    <w:basedOn w:val="BodyText"/>
    <w:link w:val="BodyTextFirstIndentChar"/>
    <w:uiPriority w:val="99"/>
    <w:semiHidden/>
    <w:unhideWhenUsed/>
    <w:rsid w:val="00675CEA"/>
    <w:pPr>
      <w:spacing w:after="240"/>
      <w:ind w:firstLine="360"/>
    </w:pPr>
  </w:style>
  <w:style w:type="character" w:customStyle="1" w:styleId="BodyTextFirstIndentChar">
    <w:name w:val="Body Text First Indent Char"/>
    <w:basedOn w:val="BodyTextChar"/>
    <w:link w:val="BodyTextFirstIndent"/>
    <w:uiPriority w:val="99"/>
    <w:semiHidden/>
    <w:rsid w:val="00675CEA"/>
    <w:rPr>
      <w:rFonts w:eastAsia="Times New Roman" w:cs="Times New Roman"/>
      <w:color w:val="000000" w:themeColor="text1"/>
      <w:szCs w:val="20"/>
      <w:lang w:eastAsia="en-AU"/>
    </w:rPr>
  </w:style>
  <w:style w:type="paragraph" w:styleId="BodyTextIndent">
    <w:name w:val="Body Text Indent"/>
    <w:basedOn w:val="Normal"/>
    <w:link w:val="BodyTextIndentChar"/>
    <w:uiPriority w:val="99"/>
    <w:semiHidden/>
    <w:unhideWhenUsed/>
    <w:rsid w:val="00675CEA"/>
    <w:pPr>
      <w:spacing w:after="120"/>
      <w:ind w:left="283"/>
    </w:pPr>
  </w:style>
  <w:style w:type="character" w:customStyle="1" w:styleId="BodyTextIndentChar">
    <w:name w:val="Body Text Indent Char"/>
    <w:basedOn w:val="DefaultParagraphFont"/>
    <w:link w:val="BodyTextIndent"/>
    <w:uiPriority w:val="99"/>
    <w:semiHidden/>
    <w:rsid w:val="00675CEA"/>
    <w:rPr>
      <w:rFonts w:eastAsia="Times New Roman" w:cs="Times New Roman"/>
      <w:color w:val="000000" w:themeColor="text1"/>
      <w:szCs w:val="20"/>
      <w:lang w:eastAsia="en-AU"/>
    </w:rPr>
  </w:style>
  <w:style w:type="paragraph" w:styleId="BodyTextFirstIndent2">
    <w:name w:val="Body Text First Indent 2"/>
    <w:basedOn w:val="BodyTextIndent"/>
    <w:link w:val="BodyTextFirstIndent2Char"/>
    <w:uiPriority w:val="99"/>
    <w:semiHidden/>
    <w:unhideWhenUsed/>
    <w:rsid w:val="00675CEA"/>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5CEA"/>
    <w:rPr>
      <w:rFonts w:eastAsia="Times New Roman" w:cs="Times New Roman"/>
      <w:color w:val="000000" w:themeColor="text1"/>
      <w:szCs w:val="20"/>
      <w:lang w:eastAsia="en-AU"/>
    </w:rPr>
  </w:style>
  <w:style w:type="paragraph" w:styleId="BodyTextIndent2">
    <w:name w:val="Body Text Indent 2"/>
    <w:basedOn w:val="Normal"/>
    <w:link w:val="BodyTextIndent2Char"/>
    <w:uiPriority w:val="99"/>
    <w:semiHidden/>
    <w:unhideWhenUsed/>
    <w:rsid w:val="00675CEA"/>
    <w:pPr>
      <w:spacing w:after="120" w:line="480" w:lineRule="auto"/>
      <w:ind w:left="283"/>
    </w:pPr>
  </w:style>
  <w:style w:type="character" w:customStyle="1" w:styleId="BodyTextIndent2Char">
    <w:name w:val="Body Text Indent 2 Char"/>
    <w:basedOn w:val="DefaultParagraphFont"/>
    <w:link w:val="BodyTextIndent2"/>
    <w:uiPriority w:val="99"/>
    <w:semiHidden/>
    <w:rsid w:val="00675CEA"/>
    <w:rPr>
      <w:rFonts w:eastAsia="Times New Roman" w:cs="Times New Roman"/>
      <w:color w:val="000000" w:themeColor="text1"/>
      <w:szCs w:val="20"/>
      <w:lang w:eastAsia="en-AU"/>
    </w:rPr>
  </w:style>
  <w:style w:type="paragraph" w:styleId="BodyTextIndent3">
    <w:name w:val="Body Text Indent 3"/>
    <w:basedOn w:val="Normal"/>
    <w:link w:val="BodyTextIndent3Char"/>
    <w:uiPriority w:val="99"/>
    <w:semiHidden/>
    <w:unhideWhenUsed/>
    <w:rsid w:val="00675CE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5CEA"/>
    <w:rPr>
      <w:rFonts w:eastAsia="Times New Roman" w:cs="Times New Roman"/>
      <w:color w:val="000000" w:themeColor="text1"/>
      <w:sz w:val="16"/>
      <w:szCs w:val="16"/>
      <w:lang w:eastAsia="en-AU"/>
    </w:rPr>
  </w:style>
  <w:style w:type="paragraph" w:styleId="Closing">
    <w:name w:val="Closing"/>
    <w:basedOn w:val="Normal"/>
    <w:link w:val="ClosingChar"/>
    <w:uiPriority w:val="99"/>
    <w:semiHidden/>
    <w:unhideWhenUsed/>
    <w:rsid w:val="00675CEA"/>
    <w:pPr>
      <w:spacing w:before="0" w:after="0"/>
      <w:ind w:left="4252"/>
    </w:pPr>
  </w:style>
  <w:style w:type="character" w:customStyle="1" w:styleId="ClosingChar">
    <w:name w:val="Closing Char"/>
    <w:basedOn w:val="DefaultParagraphFont"/>
    <w:link w:val="Closing"/>
    <w:uiPriority w:val="99"/>
    <w:semiHidden/>
    <w:rsid w:val="00675CEA"/>
    <w:rPr>
      <w:rFonts w:eastAsia="Times New Roman" w:cs="Times New Roman"/>
      <w:color w:val="000000" w:themeColor="text1"/>
      <w:szCs w:val="20"/>
      <w:lang w:eastAsia="en-AU"/>
    </w:rPr>
  </w:style>
  <w:style w:type="paragraph" w:styleId="Date">
    <w:name w:val="Date"/>
    <w:basedOn w:val="Normal"/>
    <w:next w:val="Normal"/>
    <w:link w:val="DateChar"/>
    <w:uiPriority w:val="99"/>
    <w:semiHidden/>
    <w:unhideWhenUsed/>
    <w:rsid w:val="00675CEA"/>
  </w:style>
  <w:style w:type="character" w:customStyle="1" w:styleId="DateChar">
    <w:name w:val="Date Char"/>
    <w:basedOn w:val="DefaultParagraphFont"/>
    <w:link w:val="Date"/>
    <w:uiPriority w:val="99"/>
    <w:semiHidden/>
    <w:rsid w:val="00675CEA"/>
    <w:rPr>
      <w:rFonts w:eastAsia="Times New Roman" w:cs="Times New Roman"/>
      <w:color w:val="000000" w:themeColor="text1"/>
      <w:szCs w:val="20"/>
      <w:lang w:eastAsia="en-AU"/>
    </w:rPr>
  </w:style>
  <w:style w:type="paragraph" w:styleId="DocumentMap">
    <w:name w:val="Document Map"/>
    <w:basedOn w:val="Normal"/>
    <w:link w:val="DocumentMapChar"/>
    <w:uiPriority w:val="99"/>
    <w:semiHidden/>
    <w:unhideWhenUsed/>
    <w:rsid w:val="00675CEA"/>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5CEA"/>
    <w:rPr>
      <w:rFonts w:ascii="Segoe UI" w:eastAsia="Times New Roman" w:hAnsi="Segoe UI" w:cs="Segoe UI"/>
      <w:color w:val="000000" w:themeColor="text1"/>
      <w:sz w:val="16"/>
      <w:szCs w:val="16"/>
      <w:lang w:eastAsia="en-AU"/>
    </w:rPr>
  </w:style>
  <w:style w:type="paragraph" w:styleId="E-mailSignature">
    <w:name w:val="E-mail Signature"/>
    <w:basedOn w:val="Normal"/>
    <w:link w:val="E-mailSignatureChar"/>
    <w:uiPriority w:val="99"/>
    <w:semiHidden/>
    <w:unhideWhenUsed/>
    <w:rsid w:val="00675CEA"/>
    <w:pPr>
      <w:spacing w:before="0" w:after="0"/>
    </w:pPr>
  </w:style>
  <w:style w:type="character" w:customStyle="1" w:styleId="E-mailSignatureChar">
    <w:name w:val="E-mail Signature Char"/>
    <w:basedOn w:val="DefaultParagraphFont"/>
    <w:link w:val="E-mailSignature"/>
    <w:uiPriority w:val="99"/>
    <w:semiHidden/>
    <w:rsid w:val="00675CEA"/>
    <w:rPr>
      <w:rFonts w:eastAsia="Times New Roman" w:cs="Times New Roman"/>
      <w:color w:val="000000" w:themeColor="text1"/>
      <w:szCs w:val="20"/>
      <w:lang w:eastAsia="en-AU"/>
    </w:rPr>
  </w:style>
  <w:style w:type="paragraph" w:styleId="EndnoteText">
    <w:name w:val="endnote text"/>
    <w:basedOn w:val="Normal"/>
    <w:link w:val="EndnoteTextChar"/>
    <w:uiPriority w:val="99"/>
    <w:semiHidden/>
    <w:unhideWhenUsed/>
    <w:rsid w:val="00675CEA"/>
    <w:pPr>
      <w:spacing w:before="0" w:after="0"/>
    </w:pPr>
    <w:rPr>
      <w:sz w:val="20"/>
    </w:rPr>
  </w:style>
  <w:style w:type="character" w:customStyle="1" w:styleId="EndnoteTextChar">
    <w:name w:val="Endnote Text Char"/>
    <w:basedOn w:val="DefaultParagraphFont"/>
    <w:link w:val="EndnoteText"/>
    <w:uiPriority w:val="99"/>
    <w:semiHidden/>
    <w:rsid w:val="00675CEA"/>
    <w:rPr>
      <w:rFonts w:eastAsia="Times New Roman" w:cs="Times New Roman"/>
      <w:color w:val="000000" w:themeColor="text1"/>
      <w:sz w:val="20"/>
      <w:szCs w:val="20"/>
      <w:lang w:eastAsia="en-AU"/>
    </w:rPr>
  </w:style>
  <w:style w:type="paragraph" w:styleId="EnvelopeAddress">
    <w:name w:val="envelope address"/>
    <w:basedOn w:val="Normal"/>
    <w:uiPriority w:val="99"/>
    <w:semiHidden/>
    <w:unhideWhenUsed/>
    <w:rsid w:val="00675CEA"/>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75CEA"/>
    <w:pPr>
      <w:spacing w:before="0" w:after="0"/>
    </w:pPr>
    <w:rPr>
      <w:rFonts w:asciiTheme="majorHAnsi" w:eastAsiaTheme="majorEastAsia" w:hAnsiTheme="majorHAnsi" w:cstheme="majorBidi"/>
      <w:sz w:val="20"/>
    </w:rPr>
  </w:style>
  <w:style w:type="character" w:customStyle="1" w:styleId="Heading7Char">
    <w:name w:val="Heading 7 Char"/>
    <w:basedOn w:val="DefaultParagraphFont"/>
    <w:link w:val="Heading7"/>
    <w:uiPriority w:val="9"/>
    <w:semiHidden/>
    <w:rsid w:val="00675CEA"/>
    <w:rPr>
      <w:rFonts w:asciiTheme="majorHAnsi" w:eastAsiaTheme="majorEastAsia" w:hAnsiTheme="majorHAnsi" w:cstheme="majorBidi"/>
      <w:i/>
      <w:iCs/>
      <w:color w:val="727272" w:themeColor="accent1" w:themeShade="7F"/>
      <w:szCs w:val="20"/>
      <w:lang w:eastAsia="en-AU"/>
    </w:rPr>
  </w:style>
  <w:style w:type="character" w:customStyle="1" w:styleId="Heading8Char">
    <w:name w:val="Heading 8 Char"/>
    <w:basedOn w:val="DefaultParagraphFont"/>
    <w:link w:val="Heading8"/>
    <w:uiPriority w:val="9"/>
    <w:semiHidden/>
    <w:rsid w:val="00675CEA"/>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675CEA"/>
    <w:rPr>
      <w:rFonts w:asciiTheme="majorHAnsi" w:eastAsiaTheme="majorEastAsia" w:hAnsiTheme="majorHAnsi" w:cstheme="majorBidi"/>
      <w:i/>
      <w:iCs/>
      <w:color w:val="272727" w:themeColor="text1" w:themeTint="D8"/>
      <w:sz w:val="21"/>
      <w:szCs w:val="21"/>
      <w:lang w:eastAsia="en-AU"/>
    </w:rPr>
  </w:style>
  <w:style w:type="paragraph" w:styleId="HTMLAddress">
    <w:name w:val="HTML Address"/>
    <w:basedOn w:val="Normal"/>
    <w:link w:val="HTMLAddressChar"/>
    <w:uiPriority w:val="99"/>
    <w:semiHidden/>
    <w:unhideWhenUsed/>
    <w:rsid w:val="00675CEA"/>
    <w:pPr>
      <w:spacing w:before="0" w:after="0"/>
    </w:pPr>
    <w:rPr>
      <w:i/>
      <w:iCs/>
    </w:rPr>
  </w:style>
  <w:style w:type="character" w:customStyle="1" w:styleId="HTMLAddressChar">
    <w:name w:val="HTML Address Char"/>
    <w:basedOn w:val="DefaultParagraphFont"/>
    <w:link w:val="HTMLAddress"/>
    <w:uiPriority w:val="99"/>
    <w:semiHidden/>
    <w:rsid w:val="00675CEA"/>
    <w:rPr>
      <w:rFonts w:eastAsia="Times New Roman" w:cs="Times New Roman"/>
      <w:i/>
      <w:iCs/>
      <w:color w:val="000000" w:themeColor="text1"/>
      <w:szCs w:val="20"/>
      <w:lang w:eastAsia="en-AU"/>
    </w:rPr>
  </w:style>
  <w:style w:type="paragraph" w:styleId="HTMLPreformatted">
    <w:name w:val="HTML Preformatted"/>
    <w:basedOn w:val="Normal"/>
    <w:link w:val="HTMLPreformattedChar"/>
    <w:uiPriority w:val="99"/>
    <w:semiHidden/>
    <w:unhideWhenUsed/>
    <w:rsid w:val="00675CEA"/>
    <w:pPr>
      <w:spacing w:before="0"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675CEA"/>
    <w:rPr>
      <w:rFonts w:ascii="Consolas" w:eastAsia="Times New Roman" w:hAnsi="Consolas" w:cs="Times New Roman"/>
      <w:color w:val="000000" w:themeColor="text1"/>
      <w:sz w:val="20"/>
      <w:szCs w:val="20"/>
      <w:lang w:eastAsia="en-AU"/>
    </w:rPr>
  </w:style>
  <w:style w:type="paragraph" w:styleId="Index1">
    <w:name w:val="index 1"/>
    <w:basedOn w:val="Normal"/>
    <w:next w:val="Normal"/>
    <w:autoRedefine/>
    <w:uiPriority w:val="99"/>
    <w:semiHidden/>
    <w:unhideWhenUsed/>
    <w:rsid w:val="00675CEA"/>
    <w:pPr>
      <w:spacing w:before="0" w:after="0"/>
      <w:ind w:left="220" w:hanging="220"/>
    </w:pPr>
  </w:style>
  <w:style w:type="paragraph" w:styleId="Index2">
    <w:name w:val="index 2"/>
    <w:basedOn w:val="Normal"/>
    <w:next w:val="Normal"/>
    <w:autoRedefine/>
    <w:uiPriority w:val="99"/>
    <w:semiHidden/>
    <w:unhideWhenUsed/>
    <w:rsid w:val="00675CEA"/>
    <w:pPr>
      <w:spacing w:before="0" w:after="0"/>
      <w:ind w:left="440" w:hanging="220"/>
    </w:pPr>
  </w:style>
  <w:style w:type="paragraph" w:styleId="Index3">
    <w:name w:val="index 3"/>
    <w:basedOn w:val="Normal"/>
    <w:next w:val="Normal"/>
    <w:autoRedefine/>
    <w:uiPriority w:val="99"/>
    <w:semiHidden/>
    <w:unhideWhenUsed/>
    <w:rsid w:val="00675CEA"/>
    <w:pPr>
      <w:spacing w:before="0" w:after="0"/>
      <w:ind w:left="660" w:hanging="220"/>
    </w:pPr>
  </w:style>
  <w:style w:type="paragraph" w:styleId="Index4">
    <w:name w:val="index 4"/>
    <w:basedOn w:val="Normal"/>
    <w:next w:val="Normal"/>
    <w:autoRedefine/>
    <w:uiPriority w:val="99"/>
    <w:semiHidden/>
    <w:unhideWhenUsed/>
    <w:rsid w:val="00675CEA"/>
    <w:pPr>
      <w:spacing w:before="0" w:after="0"/>
      <w:ind w:left="880" w:hanging="220"/>
    </w:pPr>
  </w:style>
  <w:style w:type="paragraph" w:styleId="Index5">
    <w:name w:val="index 5"/>
    <w:basedOn w:val="Normal"/>
    <w:next w:val="Normal"/>
    <w:autoRedefine/>
    <w:uiPriority w:val="99"/>
    <w:semiHidden/>
    <w:unhideWhenUsed/>
    <w:rsid w:val="00675CEA"/>
    <w:pPr>
      <w:spacing w:before="0" w:after="0"/>
      <w:ind w:left="1100" w:hanging="220"/>
    </w:pPr>
  </w:style>
  <w:style w:type="paragraph" w:styleId="Index6">
    <w:name w:val="index 6"/>
    <w:basedOn w:val="Normal"/>
    <w:next w:val="Normal"/>
    <w:autoRedefine/>
    <w:uiPriority w:val="99"/>
    <w:semiHidden/>
    <w:unhideWhenUsed/>
    <w:rsid w:val="00675CEA"/>
    <w:pPr>
      <w:spacing w:before="0" w:after="0"/>
      <w:ind w:left="1320" w:hanging="220"/>
    </w:pPr>
  </w:style>
  <w:style w:type="paragraph" w:styleId="Index7">
    <w:name w:val="index 7"/>
    <w:basedOn w:val="Normal"/>
    <w:next w:val="Normal"/>
    <w:autoRedefine/>
    <w:uiPriority w:val="99"/>
    <w:semiHidden/>
    <w:unhideWhenUsed/>
    <w:rsid w:val="00675CEA"/>
    <w:pPr>
      <w:spacing w:before="0" w:after="0"/>
      <w:ind w:left="1540" w:hanging="220"/>
    </w:pPr>
  </w:style>
  <w:style w:type="paragraph" w:styleId="Index8">
    <w:name w:val="index 8"/>
    <w:basedOn w:val="Normal"/>
    <w:next w:val="Normal"/>
    <w:autoRedefine/>
    <w:uiPriority w:val="99"/>
    <w:semiHidden/>
    <w:unhideWhenUsed/>
    <w:rsid w:val="00675CEA"/>
    <w:pPr>
      <w:spacing w:before="0" w:after="0"/>
      <w:ind w:left="1760" w:hanging="220"/>
    </w:pPr>
  </w:style>
  <w:style w:type="paragraph" w:styleId="Index9">
    <w:name w:val="index 9"/>
    <w:basedOn w:val="Normal"/>
    <w:next w:val="Normal"/>
    <w:autoRedefine/>
    <w:uiPriority w:val="99"/>
    <w:semiHidden/>
    <w:unhideWhenUsed/>
    <w:rsid w:val="00675CEA"/>
    <w:pPr>
      <w:spacing w:before="0" w:after="0"/>
      <w:ind w:left="1980" w:hanging="220"/>
    </w:pPr>
  </w:style>
  <w:style w:type="paragraph" w:styleId="IndexHeading">
    <w:name w:val="index heading"/>
    <w:basedOn w:val="Normal"/>
    <w:next w:val="Index1"/>
    <w:uiPriority w:val="99"/>
    <w:semiHidden/>
    <w:unhideWhenUsed/>
    <w:rsid w:val="00675CEA"/>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5CEA"/>
    <w:pPr>
      <w:pBdr>
        <w:top w:val="single" w:sz="4" w:space="10" w:color="E6E6E6" w:themeColor="accent1"/>
        <w:bottom w:val="single" w:sz="4" w:space="10" w:color="E6E6E6" w:themeColor="accent1"/>
      </w:pBdr>
      <w:spacing w:before="360" w:after="360"/>
      <w:ind w:left="864" w:right="864"/>
      <w:jc w:val="center"/>
    </w:pPr>
    <w:rPr>
      <w:i/>
      <w:iCs/>
      <w:color w:val="E6E6E6" w:themeColor="accent1"/>
    </w:rPr>
  </w:style>
  <w:style w:type="character" w:customStyle="1" w:styleId="IntenseQuoteChar">
    <w:name w:val="Intense Quote Char"/>
    <w:basedOn w:val="DefaultParagraphFont"/>
    <w:link w:val="IntenseQuote"/>
    <w:uiPriority w:val="30"/>
    <w:rsid w:val="00675CEA"/>
    <w:rPr>
      <w:rFonts w:eastAsia="Times New Roman" w:cs="Times New Roman"/>
      <w:i/>
      <w:iCs/>
      <w:color w:val="E6E6E6" w:themeColor="accent1"/>
      <w:szCs w:val="20"/>
      <w:lang w:eastAsia="en-AU"/>
    </w:rPr>
  </w:style>
  <w:style w:type="paragraph" w:styleId="List">
    <w:name w:val="List"/>
    <w:basedOn w:val="Normal"/>
    <w:uiPriority w:val="99"/>
    <w:semiHidden/>
    <w:unhideWhenUsed/>
    <w:rsid w:val="00675CEA"/>
    <w:pPr>
      <w:ind w:left="283" w:hanging="283"/>
      <w:contextualSpacing/>
    </w:pPr>
  </w:style>
  <w:style w:type="paragraph" w:styleId="List2">
    <w:name w:val="List 2"/>
    <w:basedOn w:val="Normal"/>
    <w:uiPriority w:val="99"/>
    <w:semiHidden/>
    <w:unhideWhenUsed/>
    <w:rsid w:val="00675CEA"/>
    <w:pPr>
      <w:ind w:left="566" w:hanging="283"/>
      <w:contextualSpacing/>
    </w:pPr>
  </w:style>
  <w:style w:type="paragraph" w:styleId="List3">
    <w:name w:val="List 3"/>
    <w:basedOn w:val="Normal"/>
    <w:uiPriority w:val="99"/>
    <w:semiHidden/>
    <w:unhideWhenUsed/>
    <w:rsid w:val="00675CEA"/>
    <w:pPr>
      <w:ind w:left="849" w:hanging="283"/>
      <w:contextualSpacing/>
    </w:pPr>
  </w:style>
  <w:style w:type="paragraph" w:styleId="List4">
    <w:name w:val="List 4"/>
    <w:basedOn w:val="Normal"/>
    <w:uiPriority w:val="99"/>
    <w:semiHidden/>
    <w:unhideWhenUsed/>
    <w:rsid w:val="00675CEA"/>
    <w:pPr>
      <w:ind w:left="1132" w:hanging="283"/>
      <w:contextualSpacing/>
    </w:pPr>
  </w:style>
  <w:style w:type="paragraph" w:styleId="List5">
    <w:name w:val="List 5"/>
    <w:basedOn w:val="Normal"/>
    <w:uiPriority w:val="99"/>
    <w:semiHidden/>
    <w:unhideWhenUsed/>
    <w:rsid w:val="00675CEA"/>
    <w:pPr>
      <w:ind w:left="1415" w:hanging="283"/>
      <w:contextualSpacing/>
    </w:pPr>
  </w:style>
  <w:style w:type="paragraph" w:styleId="ListBullet">
    <w:name w:val="List Bullet"/>
    <w:basedOn w:val="Normal"/>
    <w:uiPriority w:val="99"/>
    <w:semiHidden/>
    <w:unhideWhenUsed/>
    <w:rsid w:val="00675CEA"/>
    <w:pPr>
      <w:numPr>
        <w:numId w:val="23"/>
      </w:numPr>
      <w:contextualSpacing/>
    </w:pPr>
  </w:style>
  <w:style w:type="paragraph" w:styleId="ListBullet2">
    <w:name w:val="List Bullet 2"/>
    <w:basedOn w:val="Normal"/>
    <w:uiPriority w:val="99"/>
    <w:semiHidden/>
    <w:unhideWhenUsed/>
    <w:rsid w:val="00675CEA"/>
    <w:pPr>
      <w:numPr>
        <w:numId w:val="24"/>
      </w:numPr>
      <w:contextualSpacing/>
    </w:pPr>
  </w:style>
  <w:style w:type="paragraph" w:styleId="ListBullet3">
    <w:name w:val="List Bullet 3"/>
    <w:basedOn w:val="Normal"/>
    <w:uiPriority w:val="99"/>
    <w:semiHidden/>
    <w:unhideWhenUsed/>
    <w:rsid w:val="00675CEA"/>
    <w:pPr>
      <w:numPr>
        <w:numId w:val="25"/>
      </w:numPr>
      <w:contextualSpacing/>
    </w:pPr>
  </w:style>
  <w:style w:type="paragraph" w:styleId="ListBullet4">
    <w:name w:val="List Bullet 4"/>
    <w:basedOn w:val="Normal"/>
    <w:uiPriority w:val="99"/>
    <w:semiHidden/>
    <w:unhideWhenUsed/>
    <w:rsid w:val="00675CEA"/>
    <w:pPr>
      <w:numPr>
        <w:numId w:val="26"/>
      </w:numPr>
      <w:contextualSpacing/>
    </w:pPr>
  </w:style>
  <w:style w:type="paragraph" w:styleId="ListBullet5">
    <w:name w:val="List Bullet 5"/>
    <w:basedOn w:val="Normal"/>
    <w:uiPriority w:val="99"/>
    <w:semiHidden/>
    <w:unhideWhenUsed/>
    <w:rsid w:val="00675CEA"/>
    <w:pPr>
      <w:numPr>
        <w:numId w:val="27"/>
      </w:numPr>
      <w:contextualSpacing/>
    </w:pPr>
  </w:style>
  <w:style w:type="paragraph" w:styleId="ListContinue">
    <w:name w:val="List Continue"/>
    <w:basedOn w:val="Normal"/>
    <w:uiPriority w:val="99"/>
    <w:semiHidden/>
    <w:unhideWhenUsed/>
    <w:rsid w:val="00675CEA"/>
    <w:pPr>
      <w:spacing w:after="120"/>
      <w:ind w:left="283"/>
      <w:contextualSpacing/>
    </w:pPr>
  </w:style>
  <w:style w:type="paragraph" w:styleId="ListContinue2">
    <w:name w:val="List Continue 2"/>
    <w:basedOn w:val="Normal"/>
    <w:uiPriority w:val="99"/>
    <w:semiHidden/>
    <w:unhideWhenUsed/>
    <w:rsid w:val="00675CEA"/>
    <w:pPr>
      <w:spacing w:after="120"/>
      <w:ind w:left="566"/>
      <w:contextualSpacing/>
    </w:pPr>
  </w:style>
  <w:style w:type="paragraph" w:styleId="ListContinue3">
    <w:name w:val="List Continue 3"/>
    <w:basedOn w:val="Normal"/>
    <w:uiPriority w:val="99"/>
    <w:semiHidden/>
    <w:unhideWhenUsed/>
    <w:rsid w:val="00675CEA"/>
    <w:pPr>
      <w:spacing w:after="120"/>
      <w:ind w:left="849"/>
      <w:contextualSpacing/>
    </w:pPr>
  </w:style>
  <w:style w:type="paragraph" w:styleId="ListContinue4">
    <w:name w:val="List Continue 4"/>
    <w:basedOn w:val="Normal"/>
    <w:uiPriority w:val="99"/>
    <w:semiHidden/>
    <w:unhideWhenUsed/>
    <w:rsid w:val="00675CEA"/>
    <w:pPr>
      <w:spacing w:after="120"/>
      <w:ind w:left="1132"/>
      <w:contextualSpacing/>
    </w:pPr>
  </w:style>
  <w:style w:type="paragraph" w:styleId="ListContinue5">
    <w:name w:val="List Continue 5"/>
    <w:basedOn w:val="Normal"/>
    <w:uiPriority w:val="99"/>
    <w:semiHidden/>
    <w:unhideWhenUsed/>
    <w:rsid w:val="00675CEA"/>
    <w:pPr>
      <w:spacing w:after="120"/>
      <w:ind w:left="1415"/>
      <w:contextualSpacing/>
    </w:pPr>
  </w:style>
  <w:style w:type="paragraph" w:styleId="ListNumber">
    <w:name w:val="List Number"/>
    <w:basedOn w:val="Normal"/>
    <w:uiPriority w:val="99"/>
    <w:semiHidden/>
    <w:unhideWhenUsed/>
    <w:rsid w:val="00675CEA"/>
    <w:pPr>
      <w:numPr>
        <w:numId w:val="28"/>
      </w:numPr>
      <w:contextualSpacing/>
    </w:pPr>
  </w:style>
  <w:style w:type="paragraph" w:styleId="ListNumber2">
    <w:name w:val="List Number 2"/>
    <w:basedOn w:val="Normal"/>
    <w:uiPriority w:val="99"/>
    <w:semiHidden/>
    <w:unhideWhenUsed/>
    <w:rsid w:val="00675CEA"/>
    <w:pPr>
      <w:numPr>
        <w:numId w:val="29"/>
      </w:numPr>
      <w:contextualSpacing/>
    </w:pPr>
  </w:style>
  <w:style w:type="paragraph" w:styleId="ListNumber3">
    <w:name w:val="List Number 3"/>
    <w:basedOn w:val="Normal"/>
    <w:uiPriority w:val="99"/>
    <w:semiHidden/>
    <w:unhideWhenUsed/>
    <w:rsid w:val="00675CEA"/>
    <w:pPr>
      <w:numPr>
        <w:numId w:val="30"/>
      </w:numPr>
      <w:contextualSpacing/>
    </w:pPr>
  </w:style>
  <w:style w:type="paragraph" w:styleId="ListNumber4">
    <w:name w:val="List Number 4"/>
    <w:basedOn w:val="Normal"/>
    <w:uiPriority w:val="99"/>
    <w:semiHidden/>
    <w:unhideWhenUsed/>
    <w:rsid w:val="00675CEA"/>
    <w:pPr>
      <w:numPr>
        <w:numId w:val="31"/>
      </w:numPr>
      <w:contextualSpacing/>
    </w:pPr>
  </w:style>
  <w:style w:type="paragraph" w:styleId="ListNumber5">
    <w:name w:val="List Number 5"/>
    <w:basedOn w:val="Normal"/>
    <w:uiPriority w:val="99"/>
    <w:semiHidden/>
    <w:unhideWhenUsed/>
    <w:rsid w:val="00675CEA"/>
    <w:pPr>
      <w:numPr>
        <w:numId w:val="32"/>
      </w:numPr>
      <w:contextualSpacing/>
    </w:pPr>
  </w:style>
  <w:style w:type="paragraph" w:styleId="MacroText">
    <w:name w:val="macro"/>
    <w:link w:val="MacroTextChar"/>
    <w:uiPriority w:val="99"/>
    <w:semiHidden/>
    <w:unhideWhenUsed/>
    <w:rsid w:val="00675CE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imes New Roman" w:hAnsi="Consolas" w:cs="Times New Roman"/>
      <w:color w:val="000000" w:themeColor="text1"/>
      <w:sz w:val="20"/>
      <w:szCs w:val="20"/>
      <w:lang w:eastAsia="en-AU"/>
    </w:rPr>
  </w:style>
  <w:style w:type="character" w:customStyle="1" w:styleId="MacroTextChar">
    <w:name w:val="Macro Text Char"/>
    <w:basedOn w:val="DefaultParagraphFont"/>
    <w:link w:val="MacroText"/>
    <w:uiPriority w:val="99"/>
    <w:semiHidden/>
    <w:rsid w:val="00675CEA"/>
    <w:rPr>
      <w:rFonts w:ascii="Consolas" w:eastAsia="Times New Roman" w:hAnsi="Consolas" w:cs="Times New Roman"/>
      <w:color w:val="000000" w:themeColor="text1"/>
      <w:sz w:val="20"/>
      <w:szCs w:val="20"/>
      <w:lang w:eastAsia="en-AU"/>
    </w:rPr>
  </w:style>
  <w:style w:type="paragraph" w:styleId="MessageHeader">
    <w:name w:val="Message Header"/>
    <w:basedOn w:val="Normal"/>
    <w:link w:val="MessageHeaderChar"/>
    <w:uiPriority w:val="99"/>
    <w:semiHidden/>
    <w:unhideWhenUsed/>
    <w:rsid w:val="00675CE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75CEA"/>
    <w:rPr>
      <w:rFonts w:asciiTheme="majorHAnsi" w:eastAsiaTheme="majorEastAsia" w:hAnsiTheme="majorHAnsi" w:cstheme="majorBidi"/>
      <w:color w:val="000000" w:themeColor="text1"/>
      <w:sz w:val="24"/>
      <w:szCs w:val="24"/>
      <w:shd w:val="pct20" w:color="auto" w:fill="auto"/>
      <w:lang w:eastAsia="en-AU"/>
    </w:rPr>
  </w:style>
  <w:style w:type="paragraph" w:styleId="NoSpacing">
    <w:name w:val="No Spacing"/>
    <w:uiPriority w:val="1"/>
    <w:rsid w:val="00675CEA"/>
    <w:pPr>
      <w:spacing w:after="0" w:line="240" w:lineRule="auto"/>
    </w:pPr>
    <w:rPr>
      <w:rFonts w:eastAsia="Times New Roman" w:cs="Times New Roman"/>
      <w:color w:val="000000" w:themeColor="text1"/>
      <w:szCs w:val="20"/>
      <w:lang w:eastAsia="en-AU"/>
    </w:rPr>
  </w:style>
  <w:style w:type="paragraph" w:styleId="NormalIndent">
    <w:name w:val="Normal Indent"/>
    <w:basedOn w:val="Normal"/>
    <w:uiPriority w:val="99"/>
    <w:semiHidden/>
    <w:unhideWhenUsed/>
    <w:rsid w:val="00675CEA"/>
    <w:pPr>
      <w:ind w:left="720"/>
    </w:pPr>
  </w:style>
  <w:style w:type="paragraph" w:styleId="NoteHeading">
    <w:name w:val="Note Heading"/>
    <w:basedOn w:val="Normal"/>
    <w:next w:val="Normal"/>
    <w:link w:val="NoteHeadingChar"/>
    <w:uiPriority w:val="99"/>
    <w:semiHidden/>
    <w:unhideWhenUsed/>
    <w:rsid w:val="00675CEA"/>
    <w:pPr>
      <w:spacing w:before="0" w:after="0"/>
    </w:pPr>
  </w:style>
  <w:style w:type="character" w:customStyle="1" w:styleId="NoteHeadingChar">
    <w:name w:val="Note Heading Char"/>
    <w:basedOn w:val="DefaultParagraphFont"/>
    <w:link w:val="NoteHeading"/>
    <w:uiPriority w:val="99"/>
    <w:semiHidden/>
    <w:rsid w:val="00675CEA"/>
    <w:rPr>
      <w:rFonts w:eastAsia="Times New Roman" w:cs="Times New Roman"/>
      <w:color w:val="000000" w:themeColor="text1"/>
      <w:szCs w:val="20"/>
      <w:lang w:eastAsia="en-AU"/>
    </w:rPr>
  </w:style>
  <w:style w:type="paragraph" w:styleId="PlainText">
    <w:name w:val="Plain Text"/>
    <w:basedOn w:val="Normal"/>
    <w:link w:val="PlainTextChar"/>
    <w:uiPriority w:val="99"/>
    <w:semiHidden/>
    <w:unhideWhenUsed/>
    <w:rsid w:val="00675CEA"/>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675CEA"/>
    <w:rPr>
      <w:rFonts w:ascii="Consolas" w:eastAsia="Times New Roman" w:hAnsi="Consolas" w:cs="Times New Roman"/>
      <w:color w:val="000000" w:themeColor="text1"/>
      <w:sz w:val="21"/>
      <w:szCs w:val="21"/>
      <w:lang w:eastAsia="en-AU"/>
    </w:rPr>
  </w:style>
  <w:style w:type="paragraph" w:styleId="Salutation">
    <w:name w:val="Salutation"/>
    <w:basedOn w:val="Normal"/>
    <w:next w:val="Normal"/>
    <w:link w:val="SalutationChar"/>
    <w:uiPriority w:val="99"/>
    <w:semiHidden/>
    <w:unhideWhenUsed/>
    <w:rsid w:val="00675CEA"/>
  </w:style>
  <w:style w:type="character" w:customStyle="1" w:styleId="SalutationChar">
    <w:name w:val="Salutation Char"/>
    <w:basedOn w:val="DefaultParagraphFont"/>
    <w:link w:val="Salutation"/>
    <w:uiPriority w:val="99"/>
    <w:semiHidden/>
    <w:rsid w:val="00675CEA"/>
    <w:rPr>
      <w:rFonts w:eastAsia="Times New Roman" w:cs="Times New Roman"/>
      <w:color w:val="000000" w:themeColor="text1"/>
      <w:szCs w:val="20"/>
      <w:lang w:eastAsia="en-AU"/>
    </w:rPr>
  </w:style>
  <w:style w:type="paragraph" w:styleId="Signature">
    <w:name w:val="Signature"/>
    <w:basedOn w:val="Normal"/>
    <w:link w:val="SignatureChar"/>
    <w:uiPriority w:val="99"/>
    <w:semiHidden/>
    <w:unhideWhenUsed/>
    <w:rsid w:val="00675CEA"/>
    <w:pPr>
      <w:spacing w:before="0" w:after="0"/>
      <w:ind w:left="4252"/>
    </w:pPr>
  </w:style>
  <w:style w:type="character" w:customStyle="1" w:styleId="SignatureChar">
    <w:name w:val="Signature Char"/>
    <w:basedOn w:val="DefaultParagraphFont"/>
    <w:link w:val="Signature"/>
    <w:uiPriority w:val="99"/>
    <w:semiHidden/>
    <w:rsid w:val="00675CEA"/>
    <w:rPr>
      <w:rFonts w:eastAsia="Times New Roman" w:cs="Times New Roman"/>
      <w:color w:val="000000" w:themeColor="text1"/>
      <w:szCs w:val="20"/>
      <w:lang w:eastAsia="en-AU"/>
    </w:rPr>
  </w:style>
  <w:style w:type="paragraph" w:styleId="TableofAuthorities">
    <w:name w:val="table of authorities"/>
    <w:basedOn w:val="Normal"/>
    <w:next w:val="Normal"/>
    <w:uiPriority w:val="99"/>
    <w:semiHidden/>
    <w:unhideWhenUsed/>
    <w:rsid w:val="00675CEA"/>
    <w:pPr>
      <w:spacing w:after="0"/>
      <w:ind w:left="220" w:hanging="220"/>
    </w:pPr>
  </w:style>
  <w:style w:type="paragraph" w:styleId="TableofFigures">
    <w:name w:val="table of figures"/>
    <w:basedOn w:val="Normal"/>
    <w:next w:val="Normal"/>
    <w:uiPriority w:val="99"/>
    <w:semiHidden/>
    <w:unhideWhenUsed/>
    <w:rsid w:val="00675CEA"/>
    <w:pPr>
      <w:spacing w:after="0"/>
    </w:pPr>
  </w:style>
  <w:style w:type="paragraph" w:styleId="TOAHeading">
    <w:name w:val="toa heading"/>
    <w:basedOn w:val="Normal"/>
    <w:next w:val="Normal"/>
    <w:uiPriority w:val="99"/>
    <w:semiHidden/>
    <w:unhideWhenUsed/>
    <w:rsid w:val="00675CEA"/>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675CEA"/>
    <w:pPr>
      <w:spacing w:after="100"/>
      <w:ind w:left="660"/>
    </w:pPr>
  </w:style>
  <w:style w:type="paragraph" w:styleId="TOC5">
    <w:name w:val="toc 5"/>
    <w:basedOn w:val="Normal"/>
    <w:next w:val="Normal"/>
    <w:autoRedefine/>
    <w:uiPriority w:val="39"/>
    <w:semiHidden/>
    <w:unhideWhenUsed/>
    <w:rsid w:val="00675CEA"/>
    <w:pPr>
      <w:spacing w:after="100"/>
      <w:ind w:left="880"/>
    </w:pPr>
  </w:style>
  <w:style w:type="paragraph" w:styleId="TOC6">
    <w:name w:val="toc 6"/>
    <w:basedOn w:val="Normal"/>
    <w:next w:val="Normal"/>
    <w:autoRedefine/>
    <w:uiPriority w:val="39"/>
    <w:semiHidden/>
    <w:unhideWhenUsed/>
    <w:rsid w:val="00675CEA"/>
    <w:pPr>
      <w:spacing w:after="100"/>
      <w:ind w:left="1100"/>
    </w:pPr>
  </w:style>
  <w:style w:type="paragraph" w:styleId="TOC7">
    <w:name w:val="toc 7"/>
    <w:basedOn w:val="Normal"/>
    <w:next w:val="Normal"/>
    <w:autoRedefine/>
    <w:uiPriority w:val="39"/>
    <w:semiHidden/>
    <w:unhideWhenUsed/>
    <w:rsid w:val="00675CEA"/>
    <w:pPr>
      <w:spacing w:after="100"/>
      <w:ind w:left="1320"/>
    </w:pPr>
  </w:style>
  <w:style w:type="paragraph" w:styleId="TOC8">
    <w:name w:val="toc 8"/>
    <w:basedOn w:val="Normal"/>
    <w:next w:val="Normal"/>
    <w:autoRedefine/>
    <w:uiPriority w:val="39"/>
    <w:semiHidden/>
    <w:unhideWhenUsed/>
    <w:rsid w:val="00675CEA"/>
    <w:pPr>
      <w:spacing w:after="100"/>
      <w:ind w:left="1540"/>
    </w:pPr>
  </w:style>
  <w:style w:type="paragraph" w:styleId="TOC9">
    <w:name w:val="toc 9"/>
    <w:basedOn w:val="Normal"/>
    <w:next w:val="Normal"/>
    <w:autoRedefine/>
    <w:uiPriority w:val="39"/>
    <w:semiHidden/>
    <w:unhideWhenUsed/>
    <w:rsid w:val="00675CEA"/>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header" Target="header5.xml"/><Relationship Id="rId42" Type="http://schemas.openxmlformats.org/officeDocument/2006/relationships/hyperlink" Target="https://download.asic.gov.au/media/vosb0x4p/rep709-published-30-november-2021.pdf" TargetMode="External"/><Relationship Id="rId47" Type="http://schemas.openxmlformats.org/officeDocument/2006/relationships/hyperlink" Target="https://www.ifiar.org/?wpdmdl=14848" TargetMode="External"/><Relationship Id="rId63" Type="http://schemas.openxmlformats.org/officeDocument/2006/relationships/footer" Target="footer9.xml"/><Relationship Id="rId68" Type="http://schemas.openxmlformats.org/officeDocument/2006/relationships/hyperlink" Target="https://download.asic.gov.au/media/5900581/rep678-published-22-december-2020.pdf" TargetMode="External"/><Relationship Id="rId84" Type="http://schemas.openxmlformats.org/officeDocument/2006/relationships/hyperlink" Target="https://www.iosco.org/" TargetMode="External"/><Relationship Id="rId89" Type="http://schemas.openxmlformats.org/officeDocument/2006/relationships/hyperlink" Target="https://asic.gov.au/regulatory-resources/find-a-document/reports/rep-774-annual-financial-reporting-and-audit-surveillance-report-2022-23/" TargetMode="External"/><Relationship Id="rId16" Type="http://schemas.openxmlformats.org/officeDocument/2006/relationships/header" Target="header2.xml"/><Relationship Id="rId107" Type="http://schemas.openxmlformats.org/officeDocument/2006/relationships/footer" Target="footer12.xml"/><Relationship Id="rId11" Type="http://schemas.openxmlformats.org/officeDocument/2006/relationships/hyperlink" Target="http://creativecommons.org/licenses/by/3.0/au/legalcode" TargetMode="External"/><Relationship Id="rId32" Type="http://schemas.openxmlformats.org/officeDocument/2006/relationships/hyperlink" Target="https://www.charteredaccountantsanz.com/news-and-analysis/media-centre/press-releases/ca-anz-professional-conduct-framework-review" TargetMode="External"/><Relationship Id="rId37" Type="http://schemas.openxmlformats.org/officeDocument/2006/relationships/hyperlink" Target="https://www.psc.gov.au/consumer-information/what-is-a-scheme" TargetMode="External"/><Relationship Id="rId53" Type="http://schemas.openxmlformats.org/officeDocument/2006/relationships/hyperlink" Target="https://asic.gov.au/regulatory-resources/financial-reporting-and-audit/auditors/audit-quality-the-role-of-directors-and-audit-committees/" TargetMode="External"/><Relationship Id="rId58" Type="http://schemas.openxmlformats.org/officeDocument/2006/relationships/hyperlink" Target="https://www.fma.govt.nz/assets/Reports/NZICA-accredited-body-report-2020.pdf" TargetMode="External"/><Relationship Id="rId74" Type="http://schemas.openxmlformats.org/officeDocument/2006/relationships/hyperlink" Target="https://www.cadb.gov.au/resources/manuals-and-guidelines/" TargetMode="External"/><Relationship Id="rId79" Type="http://schemas.openxmlformats.org/officeDocument/2006/relationships/hyperlink" Target="https://charteredaccountants.partica.online/chartered-accountants/ca-anz-annual-report-2022/flipbook/1/" TargetMode="External"/><Relationship Id="rId102" Type="http://schemas.openxmlformats.org/officeDocument/2006/relationships/header" Target="header11.xml"/><Relationship Id="rId5" Type="http://schemas.openxmlformats.org/officeDocument/2006/relationships/webSettings" Target="webSettings.xml"/><Relationship Id="rId90" Type="http://schemas.openxmlformats.org/officeDocument/2006/relationships/hyperlink" Target="https://asic.gov.au/regulatory-resources/find-a-document/regulatory-guides/rg-260-communicating-findings-from-audit-files-to-directors-audit-committees-or-senior-managers/" TargetMode="External"/><Relationship Id="rId95" Type="http://schemas.openxmlformats.org/officeDocument/2006/relationships/hyperlink" Target="https://www.google.com/search?q=asic+corporate+plan+2023-27&amp;oq=&amp;gs_lcrp=EgZjaHJvbWUqBggDEEUYOzIGCAAQRRg5MggIARAAGBYYHjIICAIQABgWGB4yBggDEEUYOzIICAQQABgWGB4yCAgFEAAYFhgeMgoIBhAAGA8YFhgeMggIBxAAGBYYHjIKCAgQABiGAxiKBdIBCDg0NDJqMGoxqAIAsAIA&amp;sourceid=chrome&amp;ie=UTF-8" TargetMode="External"/><Relationship Id="rId22" Type="http://schemas.openxmlformats.org/officeDocument/2006/relationships/footer" Target="footer4.xml"/><Relationship Id="rId27" Type="http://schemas.openxmlformats.org/officeDocument/2006/relationships/footer" Target="footer5.xml"/><Relationship Id="rId43" Type="http://schemas.openxmlformats.org/officeDocument/2006/relationships/hyperlink" Target="https://asic.gov.au/regulatory-resources/find-a-document/reports/rep-739-root-cause-analysis-audit-firm-thematic-review/" TargetMode="External"/><Relationship Id="rId48" Type="http://schemas.openxmlformats.org/officeDocument/2006/relationships/hyperlink" Target="https://www.ifiar.org/?wpdmdl=15294" TargetMode="External"/><Relationship Id="rId64" Type="http://schemas.openxmlformats.org/officeDocument/2006/relationships/hyperlink" Target="https://download.asic.gov.au/media/2cshqbxb/asic-corporate-plan-2023-27-focus-2023-24-published-28-august-2023.pdf" TargetMode="External"/><Relationship Id="rId69" Type="http://schemas.openxmlformats.org/officeDocument/2006/relationships/hyperlink" Target="https://download.asic.gov.au/media/5900575/rep677-published-22-december-2020.pdf" TargetMode="External"/><Relationship Id="rId80" Type="http://schemas.openxmlformats.org/officeDocument/2006/relationships/hyperlink" Target="https://www.aph.gov.au/Parliamentary_Business/Committees/Joint/Corporations_and_Financial_Services/ConsultancyFirms" TargetMode="External"/><Relationship Id="rId85" Type="http://schemas.openxmlformats.org/officeDocument/2006/relationships/hyperlink" Target="https://www.iosco.org/" TargetMode="External"/><Relationship Id="rId12" Type="http://schemas.openxmlformats.org/officeDocument/2006/relationships/image" Target="media/image3.wmf"/><Relationship Id="rId17" Type="http://schemas.openxmlformats.org/officeDocument/2006/relationships/footer" Target="footer2.xml"/><Relationship Id="rId33" Type="http://schemas.openxmlformats.org/officeDocument/2006/relationships/hyperlink" Target="https://asic.gov.au/regulatory-resources/find-a-document/regulatory-guides/rg-180-auditor-registration/" TargetMode="External"/><Relationship Id="rId38" Type="http://schemas.openxmlformats.org/officeDocument/2006/relationships/hyperlink" Target="https://asic.gov.au/regulatory-resources/find-a-document/reports/rep-774-annual-financial-reporting-and-audit-surveillance-report-2022-23/" TargetMode="External"/><Relationship Id="rId59" Type="http://schemas.openxmlformats.org/officeDocument/2006/relationships/hyperlink" Target="https://www.fma.govt.nz/assets/Reports/Auditor-Regulation-and-Oversight-Plan-2023-2026.pdf" TargetMode="External"/><Relationship Id="rId103" Type="http://schemas.openxmlformats.org/officeDocument/2006/relationships/header" Target="header12.xml"/><Relationship Id="rId108" Type="http://schemas.openxmlformats.org/officeDocument/2006/relationships/fontTable" Target="fontTable.xml"/><Relationship Id="rId54" Type="http://schemas.openxmlformats.org/officeDocument/2006/relationships/hyperlink" Target="https://www.auasb.gov.au/media/oqyaiuiz/periodic-comprehensive-review-external-auditor-final.pdf" TargetMode="External"/><Relationship Id="rId70" Type="http://schemas.openxmlformats.org/officeDocument/2006/relationships/hyperlink" Target="https://download.asic.gov.au/media/5409276/rep648-published-12-december-2019.pdf" TargetMode="External"/><Relationship Id="rId75" Type="http://schemas.openxmlformats.org/officeDocument/2006/relationships/hyperlink" Target="https://frc.gov.au/all-frc-documents/mou/mou-between-cpa-australia-and-frc" TargetMode="External"/><Relationship Id="rId91" Type="http://schemas.openxmlformats.org/officeDocument/2006/relationships/hyperlink" Target="https://asic.gov.au/regulatory-resources/financial-reporting-and-audit/auditors/audit-quality-the-role-of-others/" TargetMode="External"/><Relationship Id="rId96" Type="http://schemas.openxmlformats.org/officeDocument/2006/relationships/hyperlink" Target="https://standards.auasb.gov.au/australian-auditing-standards?series_id=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ecretariat@frc.gov.au" TargetMode="External"/><Relationship Id="rId23" Type="http://schemas.openxmlformats.org/officeDocument/2006/relationships/hyperlink" Target="http://www.comlaw.gov.au/Details/C2012C00694/Html/Text" TargetMode="External"/><Relationship Id="rId28" Type="http://schemas.openxmlformats.org/officeDocument/2006/relationships/footer" Target="footer6.xml"/><Relationship Id="rId36" Type="http://schemas.openxmlformats.org/officeDocument/2006/relationships/hyperlink" Target="https://www.charteredaccountantsanz.com/news-and-analysis/media-centre/press-releases/ca-anz-professional-conduct-framework-review" TargetMode="External"/><Relationship Id="rId49" Type="http://schemas.openxmlformats.org/officeDocument/2006/relationships/hyperlink" Target="https://www.afr.com/companies/professional-services/big-four-name-and-shame-audit-quality-reprieve-criticised-20230815-p5dwl0" TargetMode="External"/><Relationship Id="rId57" Type="http://schemas.openxmlformats.org/officeDocument/2006/relationships/hyperlink" Target="https://www.fma.govt.nz/assets/Reports/Accredited-body-report-2022-CPA-Australia.pdf" TargetMode="External"/><Relationship Id="rId106" Type="http://schemas.openxmlformats.org/officeDocument/2006/relationships/header" Target="header13.xml"/><Relationship Id="rId10" Type="http://schemas.openxmlformats.org/officeDocument/2006/relationships/hyperlink" Target="https://creativecommons.org/licenses/by/3.0/au/deed.en" TargetMode="External"/><Relationship Id="rId31" Type="http://schemas.openxmlformats.org/officeDocument/2006/relationships/hyperlink" Target="https://treasury.gov.au/sites/default/files/2019-04/p2019-t374191-review.pdf" TargetMode="External"/><Relationship Id="rId44" Type="http://schemas.openxmlformats.org/officeDocument/2006/relationships/hyperlink" Target="https://asic.gov.au/regulatory-resources/find-a-document/reports/rep-774-annual-financial-reporting-and-audit-surveillance-report-2022-23/" TargetMode="External"/><Relationship Id="rId52" Type="http://schemas.openxmlformats.org/officeDocument/2006/relationships/hyperlink" Target="https://www.aph.gov.au/Parliamentary_Business/Committees/Joint/Corporations_and_Financial_Services/ConsultancyFirms/Submissions" TargetMode="External"/><Relationship Id="rId60" Type="http://schemas.openxmlformats.org/officeDocument/2006/relationships/header" Target="header9.xml"/><Relationship Id="rId65" Type="http://schemas.openxmlformats.org/officeDocument/2006/relationships/hyperlink" Target="https://download.asic.gov.au/media/up0fmjmy/rep743-published-28-october-2022.pdf" TargetMode="External"/><Relationship Id="rId73" Type="http://schemas.openxmlformats.org/officeDocument/2006/relationships/hyperlink" Target="https://auasb.gov.au/media/4ujeedno/auasb_researchreport9_12-22.pdf" TargetMode="External"/><Relationship Id="rId78" Type="http://schemas.openxmlformats.org/officeDocument/2006/relationships/hyperlink" Target="https://www.cpaaustralia.com.au/-/media/project/cpa/corporate/documents/about-cpa/our-organisation/annual-report/cpa-australia-integrated-report-2021-full-report.pdf?rev=1a7a6e4cd3ff4a91bd07505770238b5c" TargetMode="External"/><Relationship Id="rId81" Type="http://schemas.openxmlformats.org/officeDocument/2006/relationships/hyperlink" Target="https://www.aph.gov.au/Parliamentary_Business/Committees/Senate/Finance_and_Public_Administration/Consultingservices" TargetMode="External"/><Relationship Id="rId86" Type="http://schemas.openxmlformats.org/officeDocument/2006/relationships/hyperlink" Target="https://www.charteredaccountantsanz.com/news-and-analysis/media-centre/press-releases/ca-anz-professional-conduct-framework-review" TargetMode="External"/><Relationship Id="rId94" Type="http://schemas.openxmlformats.org/officeDocument/2006/relationships/hyperlink" Target="https://asic.gov.au/about-asic/asic-investigations-and-enforcement/asic-s-approach-to-enforcement/" TargetMode="External"/><Relationship Id="rId99" Type="http://schemas.openxmlformats.org/officeDocument/2006/relationships/hyperlink" Target="https://www.cadb.gov.au/" TargetMode="External"/><Relationship Id="rId101" Type="http://schemas.openxmlformats.org/officeDocument/2006/relationships/hyperlink" Target="https://www.ifac.org/_flysystem/azure-private/publications/files/Statements-of-Membership-Obligations-1-7-Revised.pdf"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creativecommons.org/licenses/by/3.0/au/deed.en" TargetMode="External"/><Relationship Id="rId18" Type="http://schemas.openxmlformats.org/officeDocument/2006/relationships/header" Target="header3.xml"/><Relationship Id="rId39" Type="http://schemas.openxmlformats.org/officeDocument/2006/relationships/hyperlink" Target="https://asic.gov.au/about-asic/news-centre/find-a-media-release/2022-releases/22-296mr-asic-reports-on-audit-inspection-findings-for-12-months-to-30-june-2022/" TargetMode="External"/><Relationship Id="rId109" Type="http://schemas.openxmlformats.org/officeDocument/2006/relationships/theme" Target="theme/theme1.xml"/><Relationship Id="rId34" Type="http://schemas.openxmlformats.org/officeDocument/2006/relationships/hyperlink" Target="https://asic.gov.au/regulatory-resources/financial-reporting-and-audit/auditors/audit-transparency-reports/" TargetMode="External"/><Relationship Id="rId50" Type="http://schemas.openxmlformats.org/officeDocument/2006/relationships/hyperlink" Target="https://treasury.gov.au/sites/default/files/2019-04/p2019-t374191-review.pdf" TargetMode="External"/><Relationship Id="rId55" Type="http://schemas.openxmlformats.org/officeDocument/2006/relationships/hyperlink" Target="https://asic.gov.au/regulatory-resources/financial-reporting-and-audit/auditors/audit-quality-the-role-of-directors-and-audit-committees/" TargetMode="External"/><Relationship Id="rId76" Type="http://schemas.openxmlformats.org/officeDocument/2006/relationships/hyperlink" Target="https://frc.gov.au/all-frc-documents/mou/mou-between-ca-anz-and-frc" TargetMode="External"/><Relationship Id="rId97" Type="http://schemas.openxmlformats.org/officeDocument/2006/relationships/hyperlink" Target="https://standards.auasb.gov.au/" TargetMode="External"/><Relationship Id="rId104" Type="http://schemas.openxmlformats.org/officeDocument/2006/relationships/footer" Target="footer10.xml"/><Relationship Id="rId7" Type="http://schemas.openxmlformats.org/officeDocument/2006/relationships/endnotes" Target="endnotes.xml"/><Relationship Id="rId71" Type="http://schemas.openxmlformats.org/officeDocument/2006/relationships/hyperlink" Target="https://download.asic.gov.au/media/5900581/rep678-published-22-december-2020.pdf" TargetMode="External"/><Relationship Id="rId92" Type="http://schemas.openxmlformats.org/officeDocument/2006/relationships/hyperlink" Target="https://asic.gov.au/regulatory-resources/financial-reporting-and-audit/auditors/audit-transparency-reports/" TargetMode="Externa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hyperlink" Target="https://frc.gov.au/about-frc/frc-members" TargetMode="External"/><Relationship Id="rId40" Type="http://schemas.openxmlformats.org/officeDocument/2006/relationships/hyperlink" Target="https://treasury.gov.au/sites/default/files/2019-04/p2019-t374191-review.pdf" TargetMode="External"/><Relationship Id="rId45" Type="http://schemas.openxmlformats.org/officeDocument/2006/relationships/hyperlink" Target="about:blank" TargetMode="External"/><Relationship Id="rId66" Type="http://schemas.openxmlformats.org/officeDocument/2006/relationships/hyperlink" Target="https://download.asic.gov.au/media/5409270/rep649-published-12-december-2019.pdf" TargetMode="External"/><Relationship Id="rId87" Type="http://schemas.openxmlformats.org/officeDocument/2006/relationships/hyperlink" Target="https://www.charteredaccountantsanz.com/news-and-analysis/advocacy/policy-submissions/joint-accounting-bodies-seek-coordinated-national-reporting-reform" TargetMode="External"/><Relationship Id="rId61" Type="http://schemas.openxmlformats.org/officeDocument/2006/relationships/header" Target="header10.xml"/><Relationship Id="rId82" Type="http://schemas.openxmlformats.org/officeDocument/2006/relationships/hyperlink" Target="https://www.parliament.nsw.gov.au/committees/inquiries/Pages/inquiry-details.aspx?pk=2963" TargetMode="External"/><Relationship Id="rId19" Type="http://schemas.openxmlformats.org/officeDocument/2006/relationships/header" Target="header4.xml"/><Relationship Id="rId14" Type="http://schemas.openxmlformats.org/officeDocument/2006/relationships/hyperlink" Target="https://www.pmc.gov.au/honours-and-symbols/commonwealth-coat-arms" TargetMode="External"/><Relationship Id="rId30" Type="http://schemas.openxmlformats.org/officeDocument/2006/relationships/footer" Target="footer7.xml"/><Relationship Id="rId35" Type="http://schemas.openxmlformats.org/officeDocument/2006/relationships/hyperlink" Target="https://www.ifac.org/knowledge-gateway/supporting-international-standards/publications/statements-membership-obligations-1-7" TargetMode="External"/><Relationship Id="rId56" Type="http://schemas.openxmlformats.org/officeDocument/2006/relationships/hyperlink" Target="https://www.frc.org.uk/getattachment/ac6c5dc2-3087-4e95-8b2c-ce78391a3ef5/DELEGATION-AGREEMENT-BETWEEN-FRC-AND-ICAEW.pdf" TargetMode="External"/><Relationship Id="rId77" Type="http://schemas.openxmlformats.org/officeDocument/2006/relationships/hyperlink" Target="https://frc.gov.au/all-frc-documents/mou/mou-between-ipa-and-frc" TargetMode="External"/><Relationship Id="rId100" Type="http://schemas.openxmlformats.org/officeDocument/2006/relationships/hyperlink" Target="https://www.ifac.org/_flysystem/azure-private/publications/files/Statements-of-Membership-Obligations-1-7-Revised.pdf" TargetMode="External"/><Relationship Id="rId105" Type="http://schemas.openxmlformats.org/officeDocument/2006/relationships/footer" Target="footer11.xml"/><Relationship Id="rId8" Type="http://schemas.openxmlformats.org/officeDocument/2006/relationships/header" Target="header1.xml"/><Relationship Id="rId51" Type="http://schemas.openxmlformats.org/officeDocument/2006/relationships/hyperlink" Target="https://www.cadb.gov.au/media/o2zhngk3/cadb-annual-report-2021-2022.pdf" TargetMode="External"/><Relationship Id="rId72" Type="http://schemas.openxmlformats.org/officeDocument/2006/relationships/hyperlink" Target="https://asic.gov.au/regulatory-resources/find-a-document/reports/rep-739-root-cause-analysis-audit-firm-thematic-review/" TargetMode="External"/><Relationship Id="rId93" Type="http://schemas.openxmlformats.org/officeDocument/2006/relationships/hyperlink" Target="https://asic.gov.au/regulatory-resources/financial-reporting-and-audit/auditors/asic-audit-surveillances/" TargetMode="External"/><Relationship Id="rId98" Type="http://schemas.openxmlformats.org/officeDocument/2006/relationships/hyperlink" Target="https://apesb.org.au/about-apesb/governance/board-of-directors/" TargetMode="External"/><Relationship Id="rId3" Type="http://schemas.openxmlformats.org/officeDocument/2006/relationships/styles" Target="styles.xml"/><Relationship Id="rId25" Type="http://schemas.openxmlformats.org/officeDocument/2006/relationships/header" Target="header6.xml"/><Relationship Id="rId46" Type="http://schemas.openxmlformats.org/officeDocument/2006/relationships/hyperlink" Target="about:blank" TargetMode="External"/><Relationship Id="rId67" Type="http://schemas.openxmlformats.org/officeDocument/2006/relationships/hyperlink" Target="https://download.asic.gov.au/media/5409276/rep648-published-12-december-2019.pdf" TargetMode="External"/><Relationship Id="rId20" Type="http://schemas.openxmlformats.org/officeDocument/2006/relationships/footer" Target="footer3.xml"/><Relationship Id="rId41" Type="http://schemas.openxmlformats.org/officeDocument/2006/relationships/hyperlink" Target="https://asic.gov.au/regulatory-resources/find-a-document/reports/rep-677-audit-inspection-report-1-july-2019-to-30-june-2020/" TargetMode="External"/><Relationship Id="rId62" Type="http://schemas.openxmlformats.org/officeDocument/2006/relationships/footer" Target="footer8.xml"/><Relationship Id="rId83" Type="http://schemas.openxmlformats.org/officeDocument/2006/relationships/hyperlink" Target="https://asic.gov.au/for-finance-professionals/company-auditors/applying-for-auditor-or-authorised-audit-company-registration/" TargetMode="External"/><Relationship Id="rId88" Type="http://schemas.openxmlformats.org/officeDocument/2006/relationships/hyperlink" Target="https://asic.gov.au/about-asic/news-centre/find-a-media-release/2022-releases/22-296mr-asic-reports-on-audit-inspection-findings-for-12-months-to-30-june-202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standards.auasb.gov.au/" TargetMode="External"/><Relationship Id="rId13" Type="http://schemas.openxmlformats.org/officeDocument/2006/relationships/hyperlink" Target="https://www.publicaccountants.org.au/media/4140524/Pronouncement-7-V41-CPD-6-Sep-2022.pdf" TargetMode="External"/><Relationship Id="rId18" Type="http://schemas.openxmlformats.org/officeDocument/2006/relationships/hyperlink" Target="https://asic.gov.au/regulatory-resources/financial-reporting-and-audit/auditors/asic-audit-surveillances/" TargetMode="External"/><Relationship Id="rId26" Type="http://schemas.openxmlformats.org/officeDocument/2006/relationships/hyperlink" Target="https://download.asic.gov.au/media/up0fmjmy/rep743-published-28-october-2022.pdf" TargetMode="External"/><Relationship Id="rId3" Type="http://schemas.openxmlformats.org/officeDocument/2006/relationships/hyperlink" Target="https://www.parliament.nsw.gov.au/committees/inquiries/Pages/inquiry-details.aspx?pk=2963" TargetMode="External"/><Relationship Id="rId21" Type="http://schemas.openxmlformats.org/officeDocument/2006/relationships/hyperlink" Target="https://download.asic.gov.au/media/vghfoz4o/rep774-published-18-october-2023.pdf" TargetMode="External"/><Relationship Id="rId7" Type="http://schemas.openxmlformats.org/officeDocument/2006/relationships/hyperlink" Target="https://www.aph.gov.au/Parliamentary_Business/Committees/Joint/Corporations_and_Financial_Services/ConsultancyFirms/Submissions" TargetMode="External"/><Relationship Id="rId12" Type="http://schemas.openxmlformats.org/officeDocument/2006/relationships/hyperlink" Target="https://www.charteredaccountantsanz.com/learning-and-events/managing-your-cpd/cpd-requirements/important-changes-to-your-cpd-requirements" TargetMode="External"/><Relationship Id="rId17" Type="http://schemas.openxmlformats.org/officeDocument/2006/relationships/hyperlink" Target="https://www.afr.com/companies/professional-services/pwc-tax-leak-scandal-has-exposed-partnerships-as-regulatory-havens-20231004-p5e9u1?utm_content=INTRODUCTION&amp;list_name=E508F719-E064-4C7E-891D-38A5B4F0E40D&amp;promote_channel=edmail&amp;utm_campaign=afr-professional-life&amp;utm_medium=email&amp;utm_source=newsletter&amp;utm_term=2023-10-11&amp;mbnr=MTMxOTg5MDg&amp;instance=2023-10-11-06-00-AEDT&amp;jobid=29925203" TargetMode="External"/><Relationship Id="rId25" Type="http://schemas.openxmlformats.org/officeDocument/2006/relationships/hyperlink" Target="https://auasb.gov.au/media/4ujeedno/auasb_researchreport9_12-22.pdf" TargetMode="External"/><Relationship Id="rId2" Type="http://schemas.openxmlformats.org/officeDocument/2006/relationships/hyperlink" Target="https://www.aph.gov.au/Parliamentary_Business/Committees/Senate/Finance_and_Public_Administration/Consultingservices" TargetMode="External"/><Relationship Id="rId16" Type="http://schemas.openxmlformats.org/officeDocument/2006/relationships/hyperlink" Target="https://www.charteredaccountantsanz.com/news-and-analysis/advocacy/policy-submissions/joint-accounting-bodies-seek-coordinated-national-reporting-reform" TargetMode="External"/><Relationship Id="rId20" Type="http://schemas.openxmlformats.org/officeDocument/2006/relationships/hyperlink" Target="https://www.auasb.gov.au/media/40ijwc0u/asqm1_03-21_1620870747504.pdf" TargetMode="External"/><Relationship Id="rId29" Type="http://schemas.openxmlformats.org/officeDocument/2006/relationships/hyperlink" Target="https://cpab-ccrc.ca/docs/default-source/inspections-reports/2022-annual-inspections-results-en.pdf" TargetMode="External"/><Relationship Id="rId1" Type="http://schemas.openxmlformats.org/officeDocument/2006/relationships/hyperlink" Target="https://www.aph.gov.au/Parliamentary_Business/Committees/Joint/Corporations_and_Financial_Services/ConsultancyFirms" TargetMode="External"/><Relationship Id="rId6" Type="http://schemas.openxmlformats.org/officeDocument/2006/relationships/hyperlink" Target="https://apesb.org.au/about-apesb/governance/board-of-directors/" TargetMode="External"/><Relationship Id="rId11" Type="http://schemas.openxmlformats.org/officeDocument/2006/relationships/hyperlink" Target="https://www.publicaccountants.org.au/events/cpd-records-feature" TargetMode="External"/><Relationship Id="rId24" Type="http://schemas.openxmlformats.org/officeDocument/2006/relationships/hyperlink" Target="https://www.auasb.gov.au/admin/file/content102/c3/AQSurveyReport2020_2-21.pdf" TargetMode="External"/><Relationship Id="rId5" Type="http://schemas.openxmlformats.org/officeDocument/2006/relationships/hyperlink" Target="https://asic.gov.au/regulatory-resources/find-a-document/reports/rep-774-annual-financial-reporting-and-audit-surveillance-report-2022-23/" TargetMode="External"/><Relationship Id="rId15" Type="http://schemas.openxmlformats.org/officeDocument/2006/relationships/hyperlink" Target="http://classic.austlii.edu.au/au/legis/nsw/num_act/conla2012n29400.pdf" TargetMode="External"/><Relationship Id="rId23" Type="http://schemas.openxmlformats.org/officeDocument/2006/relationships/hyperlink" Target="https://www.auasb.gov.au/admin/file/content102/c3/AQSurveyReport-FINAL-Printable.pdf" TargetMode="External"/><Relationship Id="rId28" Type="http://schemas.openxmlformats.org/officeDocument/2006/relationships/hyperlink" Target="https://www.fma.govt.nz/assets/Reports/2022-Audit-Quality-Monitoring-Report.pdf" TargetMode="External"/><Relationship Id="rId10" Type="http://schemas.openxmlformats.org/officeDocument/2006/relationships/hyperlink" Target="https://www.cpaaustralia.com.au/your-cpa-program/now-youre-a-cpa" TargetMode="External"/><Relationship Id="rId19" Type="http://schemas.openxmlformats.org/officeDocument/2006/relationships/hyperlink" Target="https://asic.gov.au/regulatory-resources/find-a-document/regulatory-guides/rg-260-communicating-findings-from-audit-files-to-directors-audit-committees-or-senior-managers/" TargetMode="External"/><Relationship Id="rId4" Type="http://schemas.openxmlformats.org/officeDocument/2006/relationships/hyperlink" Target="https://asic.gov.au/about-asic/news-centre/find-a-media-release/2022-releases/22-296mr-asic-reports-on-audit-inspection-findings-for-12-months-to-30-june-2022/" TargetMode="External"/><Relationship Id="rId9" Type="http://schemas.openxmlformats.org/officeDocument/2006/relationships/hyperlink" Target="https://www.charteredaccountantsanz.com/member-services/member-obligations/regulations-and-guidance/australian-regulations" TargetMode="External"/><Relationship Id="rId14" Type="http://schemas.openxmlformats.org/officeDocument/2006/relationships/hyperlink" Target="https://www.cpaaustralia.com.au/career-development/continuing-professional-development/ethics-requirements-for-cpd" TargetMode="External"/><Relationship Id="rId22" Type="http://schemas.openxmlformats.org/officeDocument/2006/relationships/hyperlink" Target="https://www.cadb.gov.au/decisions/cadb-decisions/" TargetMode="External"/><Relationship Id="rId27" Type="http://schemas.openxmlformats.org/officeDocument/2006/relationships/hyperlink" Target="https://assets.pcaobus.org/pcaob-dev/docs/default-source/documents/staff-preview-2022-inspection-observations-spotlight.pdf?sfvrsn=63b51390_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SYBrand">
  <a:themeElements>
    <a:clrScheme name="Treasury Grayscale">
      <a:dk1>
        <a:sysClr val="windowText" lastClr="000000"/>
      </a:dk1>
      <a:lt1>
        <a:sysClr val="window" lastClr="FFFFFF"/>
      </a:lt1>
      <a:dk2>
        <a:srgbClr val="000000"/>
      </a:dk2>
      <a:lt2>
        <a:srgbClr val="F8F8F8"/>
      </a:lt2>
      <a:accent1>
        <a:srgbClr val="E6E6E6"/>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40C02-DC9C-4AD1-B940-5F3BD4BD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14348</Words>
  <Characters>78862</Characters>
  <Application>Microsoft Office Word</Application>
  <DocSecurity>0</DocSecurity>
  <Lines>1870</Lines>
  <Paragraphs>754</Paragraphs>
  <ScaleCrop>false</ScaleCrop>
  <HeadingPairs>
    <vt:vector size="2" baseType="variant">
      <vt:variant>
        <vt:lpstr>Title</vt:lpstr>
      </vt:variant>
      <vt:variant>
        <vt:i4>1</vt:i4>
      </vt:variant>
    </vt:vector>
  </HeadingPairs>
  <TitlesOfParts>
    <vt:vector size="1" baseType="lpstr">
      <vt:lpstr>Oversight of Audit Quality in Australia</vt:lpstr>
    </vt:vector>
  </TitlesOfParts>
  <Company/>
  <LinksUpToDate>false</LinksUpToDate>
  <CharactersWithSpaces>92755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Oversight of Audit Quality in Australia</dc:title>
  <dc:subject/>
  <dc:creator/>
  <cp:keywords/>
  <cp:lastModifiedBy/>
  <cp:revision>1</cp:revision>
  <dcterms:created xsi:type="dcterms:W3CDTF">2023-11-03T03:09:00Z</dcterms:created>
  <dcterms:modified xsi:type="dcterms:W3CDTF">2023-11-03T03:10:00Z</dcterms:modified>
</cp:coreProperties>
</file>